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20"/>
        <w:gridCol w:w="1010"/>
        <w:gridCol w:w="590"/>
        <w:gridCol w:w="2350"/>
        <w:gridCol w:w="3402"/>
        <w:gridCol w:w="1988"/>
      </w:tblGrid>
      <w:tr w:rsidR="00B37A58" w14:paraId="5121CA88" w14:textId="77777777" w:rsidTr="00B37A58">
        <w:trPr>
          <w:trHeight w:val="248"/>
        </w:trPr>
        <w:tc>
          <w:tcPr>
            <w:tcW w:w="7372" w:type="dxa"/>
            <w:gridSpan w:val="5"/>
            <w:hideMark/>
          </w:tcPr>
          <w:p w14:paraId="2168B24A" w14:textId="77777777" w:rsidR="00B37A58" w:rsidRDefault="00B37A58">
            <w:pPr>
              <w:pStyle w:val="zSoquijdatRepertorie"/>
              <w:rPr>
                <w:rFonts w:cs="Arial"/>
              </w:rPr>
            </w:pPr>
            <w:r>
              <w:rPr>
                <w:rFonts w:cs="Arial"/>
              </w:rPr>
              <w:t>Procureur général du Canada (République d'Albanie) c. Brahimi</w:t>
            </w:r>
          </w:p>
        </w:tc>
        <w:tc>
          <w:tcPr>
            <w:tcW w:w="1988" w:type="dxa"/>
            <w:hideMark/>
          </w:tcPr>
          <w:p w14:paraId="488C8046" w14:textId="77777777" w:rsidR="00B37A58" w:rsidRDefault="00B37A58">
            <w:pPr>
              <w:pStyle w:val="zSoquijdatRefNeutre"/>
              <w:jc w:val="right"/>
              <w:rPr>
                <w:rFonts w:cs="Arial"/>
              </w:rPr>
            </w:pPr>
            <w:r>
              <w:rPr>
                <w:rFonts w:cs="Arial"/>
              </w:rPr>
              <w:t>2025 QCCA 1586</w:t>
            </w:r>
          </w:p>
        </w:tc>
      </w:tr>
      <w:tr w:rsidR="00DD5A27" w14:paraId="133F608A" w14:textId="77777777" w:rsidTr="006B2147">
        <w:tblPrEx>
          <w:tblLook w:val="0000" w:firstRow="0" w:lastRow="0" w:firstColumn="0" w:lastColumn="0" w:noHBand="0" w:noVBand="0"/>
        </w:tblPrEx>
        <w:trPr>
          <w:trHeight w:val="247"/>
        </w:trPr>
        <w:tc>
          <w:tcPr>
            <w:tcW w:w="9360" w:type="dxa"/>
            <w:gridSpan w:val="6"/>
          </w:tcPr>
          <w:p w14:paraId="7497972D" w14:textId="768F95F3" w:rsidR="00B37A58" w:rsidRPr="00B37A58" w:rsidRDefault="00B37A58" w:rsidP="00B37A58">
            <w:pPr>
              <w:pStyle w:val="zSoquijlblCour"/>
              <w:jc w:val="left"/>
              <w:rPr>
                <w:sz w:val="24"/>
                <w:szCs w:val="24"/>
                <w:lang w:val="en-CA"/>
              </w:rPr>
            </w:pPr>
            <w:r w:rsidRPr="00B37A58">
              <w:rPr>
                <w:sz w:val="24"/>
                <w:szCs w:val="24"/>
                <w:lang w:val="en-CA"/>
              </w:rPr>
              <w:t>English translation of the judgment of the Court</w:t>
            </w:r>
          </w:p>
          <w:p w14:paraId="471F34F4" w14:textId="76B0B834" w:rsidR="008F364A" w:rsidRPr="006B2147" w:rsidRDefault="00B37A58">
            <w:pPr>
              <w:pStyle w:val="zSoquijlblCour"/>
              <w:rPr>
                <w:lang w:val="en-CA"/>
              </w:rPr>
            </w:pPr>
            <w:r w:rsidRPr="006B2147">
              <w:rPr>
                <w:lang w:val="en-CA"/>
              </w:rPr>
              <w:t>COUR</w:t>
            </w:r>
            <w:r w:rsidR="006B2147">
              <w:rPr>
                <w:lang w:val="en-CA"/>
              </w:rPr>
              <w:t>T</w:t>
            </w:r>
            <w:r w:rsidRPr="006B2147">
              <w:rPr>
                <w:lang w:val="en-CA"/>
              </w:rPr>
              <w:t xml:space="preserve"> </w:t>
            </w:r>
            <w:r w:rsidR="006B2147">
              <w:rPr>
                <w:lang w:val="en-CA"/>
              </w:rPr>
              <w:t xml:space="preserve">OF </w:t>
            </w:r>
            <w:r w:rsidRPr="006B2147">
              <w:rPr>
                <w:lang w:val="en-CA"/>
              </w:rPr>
              <w:t>APPE</w:t>
            </w:r>
            <w:r w:rsidR="006B2147">
              <w:rPr>
                <w:lang w:val="en-CA"/>
              </w:rPr>
              <w:t>A</w:t>
            </w:r>
            <w:r w:rsidRPr="006B2147">
              <w:rPr>
                <w:lang w:val="en-CA"/>
              </w:rPr>
              <w:t>L</w:t>
            </w:r>
          </w:p>
        </w:tc>
      </w:tr>
      <w:tr w:rsidR="00DD5A27" w14:paraId="7488AA18" w14:textId="77777777" w:rsidTr="006B2147">
        <w:tblPrEx>
          <w:tblLook w:val="0000" w:firstRow="0" w:lastRow="0" w:firstColumn="0" w:lastColumn="0" w:noHBand="0" w:noVBand="0"/>
        </w:tblPrEx>
        <w:trPr>
          <w:trHeight w:val="540"/>
        </w:trPr>
        <w:tc>
          <w:tcPr>
            <w:tcW w:w="9360" w:type="dxa"/>
            <w:gridSpan w:val="6"/>
          </w:tcPr>
          <w:p w14:paraId="01675731" w14:textId="77777777" w:rsidR="008F364A" w:rsidRPr="006B2147" w:rsidRDefault="008F364A">
            <w:pPr>
              <w:pStyle w:val="zSoquijdatDivision"/>
              <w:rPr>
                <w:lang w:val="en-CA"/>
              </w:rPr>
            </w:pPr>
          </w:p>
        </w:tc>
      </w:tr>
      <w:tr w:rsidR="00DD5A27" w14:paraId="21E1A9A9" w14:textId="77777777" w:rsidTr="006B2147">
        <w:tblPrEx>
          <w:tblLook w:val="0000" w:firstRow="0" w:lastRow="0" w:firstColumn="0" w:lastColumn="0" w:noHBand="0" w:noVBand="0"/>
        </w:tblPrEx>
        <w:tc>
          <w:tcPr>
            <w:tcW w:w="9360" w:type="dxa"/>
            <w:gridSpan w:val="6"/>
          </w:tcPr>
          <w:p w14:paraId="39F25CDF" w14:textId="77777777" w:rsidR="008F364A" w:rsidRPr="006B2147" w:rsidRDefault="00B37A58">
            <w:pPr>
              <w:pStyle w:val="zSoquijlblPays"/>
              <w:rPr>
                <w:lang w:val="en-CA"/>
              </w:rPr>
            </w:pPr>
            <w:r w:rsidRPr="006B2147">
              <w:rPr>
                <w:lang w:val="en-CA"/>
              </w:rPr>
              <w:t>CANADA</w:t>
            </w:r>
          </w:p>
        </w:tc>
      </w:tr>
      <w:tr w:rsidR="00DD5A27" w14:paraId="69D7A488" w14:textId="77777777" w:rsidTr="006B2147">
        <w:tblPrEx>
          <w:tblLook w:val="0000" w:firstRow="0" w:lastRow="0" w:firstColumn="0" w:lastColumn="0" w:noHBand="0" w:noVBand="0"/>
        </w:tblPrEx>
        <w:tc>
          <w:tcPr>
            <w:tcW w:w="9360" w:type="dxa"/>
            <w:gridSpan w:val="6"/>
          </w:tcPr>
          <w:p w14:paraId="69367948" w14:textId="455A8426" w:rsidR="008F364A" w:rsidRPr="006B2147" w:rsidRDefault="00B37A58">
            <w:pPr>
              <w:pStyle w:val="zSoquijlblProvince"/>
              <w:rPr>
                <w:lang w:val="en-CA"/>
              </w:rPr>
            </w:pPr>
            <w:r w:rsidRPr="006B2147">
              <w:rPr>
                <w:lang w:val="en-CA"/>
              </w:rPr>
              <w:t xml:space="preserve">PROVINCE </w:t>
            </w:r>
            <w:r w:rsidR="006B2147">
              <w:rPr>
                <w:lang w:val="en-CA"/>
              </w:rPr>
              <w:t>OF</w:t>
            </w:r>
            <w:r w:rsidRPr="006B2147">
              <w:rPr>
                <w:lang w:val="en-CA"/>
              </w:rPr>
              <w:t xml:space="preserve"> QU</w:t>
            </w:r>
            <w:r w:rsidR="006B2147">
              <w:rPr>
                <w:lang w:val="en-CA"/>
              </w:rPr>
              <w:t>E</w:t>
            </w:r>
            <w:r w:rsidRPr="006B2147">
              <w:rPr>
                <w:lang w:val="en-CA"/>
              </w:rPr>
              <w:t>BEC</w:t>
            </w:r>
          </w:p>
        </w:tc>
      </w:tr>
      <w:tr w:rsidR="00DD5A27" w14:paraId="4C085EB5" w14:textId="77777777" w:rsidTr="006B2147">
        <w:tblPrEx>
          <w:tblLook w:val="0000" w:firstRow="0" w:lastRow="0" w:firstColumn="0" w:lastColumn="0" w:noHBand="0" w:noVBand="0"/>
        </w:tblPrEx>
        <w:tc>
          <w:tcPr>
            <w:tcW w:w="20" w:type="dxa"/>
          </w:tcPr>
          <w:p w14:paraId="13ACA341" w14:textId="77777777" w:rsidR="008F364A" w:rsidRPr="006B2147" w:rsidRDefault="008F364A">
            <w:pPr>
              <w:pStyle w:val="zSoquijlblGreffe"/>
              <w:rPr>
                <w:lang w:val="en-CA"/>
              </w:rPr>
            </w:pPr>
          </w:p>
        </w:tc>
        <w:tc>
          <w:tcPr>
            <w:tcW w:w="9340" w:type="dxa"/>
            <w:gridSpan w:val="5"/>
          </w:tcPr>
          <w:p w14:paraId="60FFAFCE" w14:textId="1A92AF25" w:rsidR="008F364A" w:rsidRPr="006B2147" w:rsidRDefault="00B37A58">
            <w:pPr>
              <w:pStyle w:val="zSoquijdatGreffe"/>
              <w:rPr>
                <w:lang w:val="en-CA"/>
              </w:rPr>
            </w:pPr>
            <w:bookmarkStart w:id="0" w:name="NomGreffe"/>
            <w:r w:rsidRPr="006B2147">
              <w:rPr>
                <w:lang w:val="en-CA"/>
              </w:rPr>
              <w:t>MONTR</w:t>
            </w:r>
            <w:r w:rsidR="006B2147">
              <w:rPr>
                <w:lang w:val="en-CA"/>
              </w:rPr>
              <w:t>E</w:t>
            </w:r>
            <w:r w:rsidRPr="006B2147">
              <w:rPr>
                <w:lang w:val="en-CA"/>
              </w:rPr>
              <w:t>AL</w:t>
            </w:r>
            <w:bookmarkEnd w:id="0"/>
            <w:r w:rsidR="006B2147">
              <w:rPr>
                <w:lang w:val="en-CA"/>
              </w:rPr>
              <w:t xml:space="preserve"> SEAT</w:t>
            </w:r>
          </w:p>
        </w:tc>
      </w:tr>
      <w:tr w:rsidR="00DD5A27" w14:paraId="0EC4718F" w14:textId="77777777" w:rsidTr="006B2147">
        <w:tblPrEx>
          <w:tblLook w:val="0000" w:firstRow="0" w:lastRow="0" w:firstColumn="0" w:lastColumn="0" w:noHBand="0" w:noVBand="0"/>
        </w:tblPrEx>
        <w:tc>
          <w:tcPr>
            <w:tcW w:w="1030" w:type="dxa"/>
            <w:gridSpan w:val="2"/>
          </w:tcPr>
          <w:p w14:paraId="78261CAB" w14:textId="57216927" w:rsidR="008F364A" w:rsidRPr="006B2147" w:rsidRDefault="00B37A58">
            <w:pPr>
              <w:pStyle w:val="zSoquijlblNoDossier"/>
              <w:rPr>
                <w:lang w:val="en-CA"/>
              </w:rPr>
            </w:pPr>
            <w:r w:rsidRPr="006B2147">
              <w:rPr>
                <w:lang w:val="en-CA"/>
              </w:rPr>
              <w:t>N</w:t>
            </w:r>
            <w:r w:rsidR="006B2147">
              <w:rPr>
                <w:lang w:val="en-CA"/>
              </w:rPr>
              <w:t>o.</w:t>
            </w:r>
            <w:r w:rsidRPr="006B2147">
              <w:rPr>
                <w:lang w:val="en-CA"/>
              </w:rPr>
              <w:t>:</w:t>
            </w:r>
          </w:p>
        </w:tc>
        <w:tc>
          <w:tcPr>
            <w:tcW w:w="8330" w:type="dxa"/>
            <w:gridSpan w:val="4"/>
          </w:tcPr>
          <w:p w14:paraId="6926C0EF" w14:textId="77777777" w:rsidR="008F364A" w:rsidRPr="006B2147" w:rsidRDefault="00B37A58">
            <w:pPr>
              <w:pStyle w:val="zSoquijdatNoDossier"/>
              <w:rPr>
                <w:lang w:val="en-CA"/>
              </w:rPr>
            </w:pPr>
            <w:bookmarkStart w:id="1" w:name="NoDossier"/>
            <w:r w:rsidRPr="006B2147">
              <w:rPr>
                <w:lang w:val="en-CA"/>
              </w:rPr>
              <w:t>500-10-008126-235</w:t>
            </w:r>
            <w:bookmarkEnd w:id="1"/>
          </w:p>
        </w:tc>
      </w:tr>
      <w:tr w:rsidR="00DD5A27" w14:paraId="78EFDC4A" w14:textId="77777777" w:rsidTr="006B2147">
        <w:tblPrEx>
          <w:tblLook w:val="0000" w:firstRow="0" w:lastRow="0" w:firstColumn="0" w:lastColumn="0" w:noHBand="0" w:noVBand="0"/>
        </w:tblPrEx>
        <w:tc>
          <w:tcPr>
            <w:tcW w:w="9360" w:type="dxa"/>
            <w:gridSpan w:val="6"/>
          </w:tcPr>
          <w:p w14:paraId="21454189" w14:textId="77777777" w:rsidR="008E677D" w:rsidRPr="006B2147" w:rsidRDefault="00B37A58" w:rsidP="008E677D">
            <w:pPr>
              <w:pStyle w:val="zSoquijdatNoDossierAnt"/>
              <w:rPr>
                <w:lang w:val="en-CA"/>
              </w:rPr>
            </w:pPr>
            <w:r w:rsidRPr="006B2147">
              <w:rPr>
                <w:lang w:val="en-CA"/>
              </w:rPr>
              <w:t>(500-36-010484-239)</w:t>
            </w:r>
          </w:p>
        </w:tc>
      </w:tr>
      <w:tr w:rsidR="00DD5A27" w14:paraId="31A72F70" w14:textId="77777777" w:rsidTr="006B2147">
        <w:tblPrEx>
          <w:tblLook w:val="0000" w:firstRow="0" w:lastRow="0" w:firstColumn="0" w:lastColumn="0" w:noHBand="0" w:noVBand="0"/>
        </w:tblPrEx>
        <w:tc>
          <w:tcPr>
            <w:tcW w:w="9360" w:type="dxa"/>
            <w:gridSpan w:val="6"/>
          </w:tcPr>
          <w:p w14:paraId="24E2F394" w14:textId="77777777" w:rsidR="008F364A" w:rsidRPr="006B2147" w:rsidRDefault="008F364A">
            <w:pPr>
              <w:rPr>
                <w:lang w:val="en-CA"/>
              </w:rPr>
            </w:pPr>
          </w:p>
        </w:tc>
      </w:tr>
      <w:tr w:rsidR="00DD5A27" w14:paraId="3599885A" w14:textId="77777777" w:rsidTr="006B2147">
        <w:tblPrEx>
          <w:tblLook w:val="0000" w:firstRow="0" w:lastRow="0" w:firstColumn="0" w:lastColumn="0" w:noHBand="0" w:noVBand="0"/>
        </w:tblPrEx>
        <w:tc>
          <w:tcPr>
            <w:tcW w:w="1030" w:type="dxa"/>
            <w:gridSpan w:val="2"/>
          </w:tcPr>
          <w:p w14:paraId="75D397C7" w14:textId="0CF18B40" w:rsidR="008F364A" w:rsidRPr="006B2147" w:rsidRDefault="00B37A58">
            <w:pPr>
              <w:pStyle w:val="zSoquijlblDateJugement"/>
              <w:rPr>
                <w:lang w:val="en-CA"/>
              </w:rPr>
            </w:pPr>
            <w:r w:rsidRPr="006B2147">
              <w:rPr>
                <w:lang w:val="en-CA"/>
              </w:rPr>
              <w:t>DATE:</w:t>
            </w:r>
          </w:p>
        </w:tc>
        <w:tc>
          <w:tcPr>
            <w:tcW w:w="8330" w:type="dxa"/>
            <w:gridSpan w:val="4"/>
          </w:tcPr>
          <w:p w14:paraId="5172A10E" w14:textId="49DA22B1" w:rsidR="008F364A" w:rsidRPr="006B2147" w:rsidRDefault="00B37A58">
            <w:pPr>
              <w:pStyle w:val="zSoquijdatDateJugement"/>
              <w:rPr>
                <w:lang w:val="en-CA"/>
              </w:rPr>
            </w:pPr>
            <w:r>
              <w:rPr>
                <w:lang w:val="en-CA"/>
              </w:rPr>
              <w:t>December 5, 2025</w:t>
            </w:r>
          </w:p>
        </w:tc>
      </w:tr>
      <w:tr w:rsidR="00DD5A27" w14:paraId="436D3F50" w14:textId="77777777" w:rsidTr="00A806E9">
        <w:tblPrEx>
          <w:tblLook w:val="0000" w:firstRow="0" w:lastRow="0" w:firstColumn="0" w:lastColumn="0" w:noHBand="0" w:noVBand="0"/>
        </w:tblPrEx>
        <w:tc>
          <w:tcPr>
            <w:tcW w:w="9360" w:type="dxa"/>
            <w:gridSpan w:val="6"/>
            <w:tcBorders>
              <w:bottom w:val="single" w:sz="6" w:space="0" w:color="auto"/>
            </w:tcBorders>
          </w:tcPr>
          <w:p w14:paraId="5E10BE9C" w14:textId="77777777" w:rsidR="008F364A" w:rsidRPr="006B2147" w:rsidRDefault="008F364A">
            <w:pPr>
              <w:rPr>
                <w:lang w:val="en-CA"/>
              </w:rPr>
            </w:pPr>
          </w:p>
        </w:tc>
      </w:tr>
      <w:tr w:rsidR="00DD5A27" w14:paraId="3B934C7B" w14:textId="77777777" w:rsidTr="00A806E9">
        <w:tblPrEx>
          <w:tblLook w:val="0000" w:firstRow="0" w:lastRow="0" w:firstColumn="0" w:lastColumn="0" w:noHBand="0" w:noVBand="0"/>
        </w:tblPrEx>
        <w:tc>
          <w:tcPr>
            <w:tcW w:w="9360" w:type="dxa"/>
            <w:gridSpan w:val="6"/>
            <w:tcBorders>
              <w:top w:val="single" w:sz="6" w:space="0" w:color="auto"/>
            </w:tcBorders>
          </w:tcPr>
          <w:p w14:paraId="5122B555" w14:textId="77777777" w:rsidR="008F364A" w:rsidRPr="006B2147" w:rsidRDefault="008F364A">
            <w:pPr>
              <w:rPr>
                <w:lang w:val="en-CA"/>
              </w:rPr>
            </w:pPr>
          </w:p>
        </w:tc>
      </w:tr>
      <w:tr w:rsidR="00DD5A27" w14:paraId="48EB820C" w14:textId="77777777" w:rsidTr="00A806E9">
        <w:tblPrEx>
          <w:tblLook w:val="0000" w:firstRow="0" w:lastRow="0" w:firstColumn="0" w:lastColumn="0" w:noHBand="0" w:noVBand="0"/>
        </w:tblPrEx>
        <w:tc>
          <w:tcPr>
            <w:tcW w:w="1620" w:type="dxa"/>
            <w:gridSpan w:val="3"/>
          </w:tcPr>
          <w:p w14:paraId="1CE9D2EB" w14:textId="69769735" w:rsidR="008F364A" w:rsidRPr="006B2147" w:rsidRDefault="00B37A58" w:rsidP="00423DF1">
            <w:pPr>
              <w:pStyle w:val="zSoquijlblJuge"/>
              <w:ind w:right="-142"/>
              <w:rPr>
                <w:lang w:val="en-CA"/>
              </w:rPr>
            </w:pPr>
            <w:bookmarkStart w:id="2" w:name="FORMATION"/>
            <w:r>
              <w:rPr>
                <w:lang w:val="en-CA"/>
              </w:rPr>
              <w:t>CORAM</w:t>
            </w:r>
            <w:r w:rsidR="00740A17" w:rsidRPr="006B2147">
              <w:rPr>
                <w:lang w:val="en-CA"/>
              </w:rPr>
              <w:t>:</w:t>
            </w:r>
            <w:bookmarkEnd w:id="2"/>
          </w:p>
        </w:tc>
        <w:tc>
          <w:tcPr>
            <w:tcW w:w="2350" w:type="dxa"/>
          </w:tcPr>
          <w:p w14:paraId="514D38BE" w14:textId="51388D66" w:rsidR="008F364A" w:rsidRPr="006B2147" w:rsidRDefault="00B37A58">
            <w:pPr>
              <w:pStyle w:val="zSoquijdatQteJuge"/>
              <w:rPr>
                <w:lang w:val="en-CA"/>
              </w:rPr>
            </w:pPr>
            <w:r>
              <w:rPr>
                <w:lang w:val="en-CA"/>
              </w:rPr>
              <w:t>THE HONOURABLE</w:t>
            </w:r>
          </w:p>
        </w:tc>
        <w:tc>
          <w:tcPr>
            <w:tcW w:w="5390" w:type="dxa"/>
            <w:gridSpan w:val="2"/>
          </w:tcPr>
          <w:p w14:paraId="1A86B3C8" w14:textId="46719D24" w:rsidR="008F364A" w:rsidRPr="00C35B84" w:rsidRDefault="00B37A58">
            <w:pPr>
              <w:pStyle w:val="zSoquijdatJuge"/>
            </w:pPr>
            <w:bookmarkStart w:id="3" w:name="NomJuge1"/>
            <w:r w:rsidRPr="00C35B84">
              <w:t>MARIE-FRANCE BICH, J.A.</w:t>
            </w:r>
            <w:bookmarkEnd w:id="3"/>
          </w:p>
          <w:p w14:paraId="3CABC291" w14:textId="78755BCD" w:rsidR="008F364A" w:rsidRPr="006B2147" w:rsidRDefault="00B37A58">
            <w:pPr>
              <w:pStyle w:val="zSoquijdatJuge"/>
              <w:rPr>
                <w:lang w:val="en-CA"/>
              </w:rPr>
            </w:pPr>
            <w:bookmarkStart w:id="4" w:name="NomJuge2"/>
            <w:r w:rsidRPr="006B2147">
              <w:rPr>
                <w:lang w:val="en-CA"/>
              </w:rPr>
              <w:t>STEPHEN W. HAMILTON, J.A.</w:t>
            </w:r>
            <w:bookmarkEnd w:id="4"/>
          </w:p>
          <w:p w14:paraId="24541662" w14:textId="116A6F1A" w:rsidR="005A78BF" w:rsidRPr="006B2147" w:rsidRDefault="00B37A58" w:rsidP="008E677D">
            <w:pPr>
              <w:pStyle w:val="zSoquijdatJuge"/>
              <w:rPr>
                <w:lang w:val="en-CA"/>
              </w:rPr>
            </w:pPr>
            <w:bookmarkStart w:id="5" w:name="_Hlt520513784"/>
            <w:bookmarkStart w:id="6" w:name="NomJuge3"/>
            <w:bookmarkEnd w:id="5"/>
            <w:r w:rsidRPr="006B2147">
              <w:rPr>
                <w:lang w:val="en-CA"/>
              </w:rPr>
              <w:t>SOPHIE LAVALLÉE, J.A.</w:t>
            </w:r>
            <w:bookmarkEnd w:id="6"/>
          </w:p>
        </w:tc>
      </w:tr>
      <w:tr w:rsidR="00DD5A27" w14:paraId="38418978" w14:textId="77777777" w:rsidTr="00A806E9">
        <w:tblPrEx>
          <w:tblLook w:val="0000" w:firstRow="0" w:lastRow="0" w:firstColumn="0" w:lastColumn="0" w:noHBand="0" w:noVBand="0"/>
        </w:tblPrEx>
        <w:tc>
          <w:tcPr>
            <w:tcW w:w="9360" w:type="dxa"/>
            <w:gridSpan w:val="6"/>
            <w:tcBorders>
              <w:bottom w:val="single" w:sz="6" w:space="0" w:color="auto"/>
            </w:tcBorders>
          </w:tcPr>
          <w:p w14:paraId="0DE8D50A" w14:textId="77777777" w:rsidR="008F364A" w:rsidRPr="006B2147" w:rsidRDefault="008F364A">
            <w:pPr>
              <w:rPr>
                <w:lang w:val="en-CA"/>
              </w:rPr>
            </w:pPr>
          </w:p>
        </w:tc>
      </w:tr>
      <w:tr w:rsidR="00DD5A27" w14:paraId="4D7FC662" w14:textId="77777777" w:rsidTr="00A806E9">
        <w:tblPrEx>
          <w:tblLook w:val="0000" w:firstRow="0" w:lastRow="0" w:firstColumn="0" w:lastColumn="0" w:noHBand="0" w:noVBand="0"/>
        </w:tblPrEx>
        <w:tc>
          <w:tcPr>
            <w:tcW w:w="9360" w:type="dxa"/>
            <w:gridSpan w:val="6"/>
            <w:tcBorders>
              <w:top w:val="single" w:sz="6" w:space="0" w:color="auto"/>
            </w:tcBorders>
          </w:tcPr>
          <w:p w14:paraId="45439A35" w14:textId="77777777" w:rsidR="008F364A" w:rsidRPr="006B2147" w:rsidRDefault="008F364A">
            <w:pPr>
              <w:pStyle w:val="zSoquijlblTitrePartie"/>
              <w:rPr>
                <w:lang w:val="en-CA"/>
              </w:rPr>
            </w:pPr>
          </w:p>
        </w:tc>
      </w:tr>
      <w:tr w:rsidR="00DD5A27" w14:paraId="74BE0728" w14:textId="77777777" w:rsidTr="006B2147">
        <w:tblPrEx>
          <w:tblLook w:val="0000" w:firstRow="0" w:lastRow="0" w:firstColumn="0" w:lastColumn="0" w:noHBand="0" w:noVBand="0"/>
        </w:tblPrEx>
        <w:tc>
          <w:tcPr>
            <w:tcW w:w="9360" w:type="dxa"/>
            <w:gridSpan w:val="6"/>
          </w:tcPr>
          <w:p w14:paraId="39EA835B" w14:textId="6CDC20A6" w:rsidR="008F364A" w:rsidRPr="006B2147" w:rsidRDefault="00B37A58">
            <w:pPr>
              <w:pStyle w:val="zSoquijdatNomPartieDem"/>
              <w:rPr>
                <w:lang w:val="en-CA"/>
              </w:rPr>
            </w:pPr>
            <w:r w:rsidRPr="006B2147">
              <w:rPr>
                <w:lang w:val="en-CA"/>
              </w:rPr>
              <w:t>ATTORNEY GENERAL OF CANADA ON BEHALF OF THE REPUBLIC OF ALBANIA</w:t>
            </w:r>
          </w:p>
        </w:tc>
      </w:tr>
      <w:tr w:rsidR="00DD5A27" w14:paraId="6F9AA90B" w14:textId="77777777" w:rsidTr="006B2147">
        <w:tblPrEx>
          <w:tblLook w:val="0000" w:firstRow="0" w:lastRow="0" w:firstColumn="0" w:lastColumn="0" w:noHBand="0" w:noVBand="0"/>
        </w:tblPrEx>
        <w:tc>
          <w:tcPr>
            <w:tcW w:w="9360" w:type="dxa"/>
            <w:gridSpan w:val="6"/>
          </w:tcPr>
          <w:p w14:paraId="39258636" w14:textId="670366A8" w:rsidR="008F364A" w:rsidRPr="006B2147" w:rsidRDefault="00B37A58">
            <w:pPr>
              <w:pStyle w:val="zSoquijdatQtePartieDem"/>
              <w:rPr>
                <w:lang w:val="en-CA"/>
              </w:rPr>
            </w:pPr>
            <w:r w:rsidRPr="006B2147">
              <w:rPr>
                <w:lang w:val="en-CA"/>
              </w:rPr>
              <w:t>APPEL</w:t>
            </w:r>
            <w:r w:rsidR="00D01CEA">
              <w:rPr>
                <w:lang w:val="en-CA"/>
              </w:rPr>
              <w:t>L</w:t>
            </w:r>
            <w:r w:rsidRPr="006B2147">
              <w:rPr>
                <w:lang w:val="en-CA"/>
              </w:rPr>
              <w:t>ANT – Requesting State</w:t>
            </w:r>
          </w:p>
        </w:tc>
      </w:tr>
      <w:tr w:rsidR="00DD5A27" w14:paraId="027512E5" w14:textId="77777777" w:rsidTr="006B2147">
        <w:tblPrEx>
          <w:tblLook w:val="0000" w:firstRow="0" w:lastRow="0" w:firstColumn="0" w:lastColumn="0" w:noHBand="0" w:noVBand="0"/>
        </w:tblPrEx>
        <w:tc>
          <w:tcPr>
            <w:tcW w:w="9360" w:type="dxa"/>
            <w:gridSpan w:val="6"/>
          </w:tcPr>
          <w:p w14:paraId="1B540CA0" w14:textId="1D3445A8" w:rsidR="008F364A" w:rsidRPr="006B2147" w:rsidRDefault="00B37A58">
            <w:pPr>
              <w:pStyle w:val="zSoquijlblLienParties"/>
              <w:rPr>
                <w:lang w:val="en-CA"/>
              </w:rPr>
            </w:pPr>
            <w:r>
              <w:rPr>
                <w:lang w:val="en-CA"/>
              </w:rPr>
              <w:t>v</w:t>
            </w:r>
            <w:r w:rsidR="00740A17" w:rsidRPr="006B2147">
              <w:rPr>
                <w:lang w:val="en-CA"/>
              </w:rPr>
              <w:t>.</w:t>
            </w:r>
          </w:p>
        </w:tc>
      </w:tr>
      <w:tr w:rsidR="00DD5A27" w14:paraId="41D1133C" w14:textId="77777777" w:rsidTr="006B2147">
        <w:tblPrEx>
          <w:tblLook w:val="0000" w:firstRow="0" w:lastRow="0" w:firstColumn="0" w:lastColumn="0" w:noHBand="0" w:noVBand="0"/>
        </w:tblPrEx>
        <w:tc>
          <w:tcPr>
            <w:tcW w:w="9360" w:type="dxa"/>
            <w:gridSpan w:val="6"/>
          </w:tcPr>
          <w:p w14:paraId="60629A94" w14:textId="77777777" w:rsidR="008F364A" w:rsidRPr="006B2147" w:rsidRDefault="008F364A">
            <w:pPr>
              <w:rPr>
                <w:lang w:val="en-CA"/>
              </w:rPr>
            </w:pPr>
          </w:p>
        </w:tc>
      </w:tr>
      <w:tr w:rsidR="00DD5A27" w14:paraId="6258E57A" w14:textId="77777777" w:rsidTr="006B2147">
        <w:tblPrEx>
          <w:tblLook w:val="0000" w:firstRow="0" w:lastRow="0" w:firstColumn="0" w:lastColumn="0" w:noHBand="0" w:noVBand="0"/>
        </w:tblPrEx>
        <w:tc>
          <w:tcPr>
            <w:tcW w:w="9360" w:type="dxa"/>
            <w:gridSpan w:val="6"/>
          </w:tcPr>
          <w:p w14:paraId="0CDBABC2" w14:textId="77777777" w:rsidR="008F364A" w:rsidRPr="006B2147" w:rsidRDefault="00B37A58">
            <w:pPr>
              <w:pStyle w:val="zSoquijdatNomPartieDef"/>
              <w:rPr>
                <w:lang w:val="en-CA"/>
              </w:rPr>
            </w:pPr>
            <w:r w:rsidRPr="006B2147">
              <w:rPr>
                <w:lang w:val="en-CA"/>
              </w:rPr>
              <w:t>ËNGJËLL BRAHIMI</w:t>
            </w:r>
          </w:p>
        </w:tc>
      </w:tr>
      <w:tr w:rsidR="00DD5A27" w14:paraId="48A159B0" w14:textId="77777777" w:rsidTr="006B2147">
        <w:tblPrEx>
          <w:tblLook w:val="0000" w:firstRow="0" w:lastRow="0" w:firstColumn="0" w:lastColumn="0" w:noHBand="0" w:noVBand="0"/>
        </w:tblPrEx>
        <w:tc>
          <w:tcPr>
            <w:tcW w:w="9360" w:type="dxa"/>
            <w:gridSpan w:val="6"/>
          </w:tcPr>
          <w:p w14:paraId="07685569" w14:textId="72C5DBB4" w:rsidR="008F364A" w:rsidRPr="006B2147" w:rsidRDefault="00B37A58">
            <w:pPr>
              <w:pStyle w:val="zSoquijdatQtePartieDef"/>
              <w:rPr>
                <w:lang w:val="en-CA"/>
              </w:rPr>
            </w:pPr>
            <w:r w:rsidRPr="006B2147">
              <w:rPr>
                <w:lang w:val="en-CA"/>
              </w:rPr>
              <w:t xml:space="preserve">RESPONDENT – Person </w:t>
            </w:r>
            <w:r w:rsidR="0054407D">
              <w:rPr>
                <w:lang w:val="en-CA"/>
              </w:rPr>
              <w:t>Sought</w:t>
            </w:r>
          </w:p>
        </w:tc>
      </w:tr>
      <w:tr w:rsidR="00DD5A27" w14:paraId="55EB497C" w14:textId="77777777" w:rsidTr="006B2147">
        <w:tblPrEx>
          <w:tblLook w:val="0000" w:firstRow="0" w:lastRow="0" w:firstColumn="0" w:lastColumn="0" w:noHBand="0" w:noVBand="0"/>
        </w:tblPrEx>
        <w:tc>
          <w:tcPr>
            <w:tcW w:w="9360" w:type="dxa"/>
            <w:gridSpan w:val="6"/>
          </w:tcPr>
          <w:p w14:paraId="70FA85C8" w14:textId="77777777" w:rsidR="008F364A" w:rsidRPr="006B2147" w:rsidRDefault="008F364A">
            <w:pPr>
              <w:rPr>
                <w:lang w:val="en-CA"/>
              </w:rPr>
            </w:pPr>
          </w:p>
        </w:tc>
      </w:tr>
      <w:tr w:rsidR="00DD5A27" w14:paraId="6733F62F" w14:textId="77777777" w:rsidTr="0044649E">
        <w:tblPrEx>
          <w:tblLook w:val="0000" w:firstRow="0" w:lastRow="0" w:firstColumn="0" w:lastColumn="0" w:noHBand="0" w:noVBand="0"/>
        </w:tblPrEx>
        <w:tc>
          <w:tcPr>
            <w:tcW w:w="9360" w:type="dxa"/>
            <w:gridSpan w:val="6"/>
          </w:tcPr>
          <w:p w14:paraId="44400606" w14:textId="77777777" w:rsidR="00C35B84" w:rsidRDefault="00C35B84" w:rsidP="0044649E">
            <w:pPr>
              <w:rPr>
                <w:lang w:val="en-CA"/>
              </w:rPr>
            </w:pPr>
            <w:bookmarkStart w:id="7" w:name="Opinion"/>
          </w:p>
        </w:tc>
      </w:tr>
      <w:tr w:rsidR="00DD5A27" w14:paraId="570A35E1" w14:textId="77777777" w:rsidTr="0044649E">
        <w:tblPrEx>
          <w:tblLook w:val="0000" w:firstRow="0" w:lastRow="0" w:firstColumn="0" w:lastColumn="0" w:noHBand="0" w:noVBand="0"/>
        </w:tblPrEx>
        <w:tc>
          <w:tcPr>
            <w:tcW w:w="9360" w:type="dxa"/>
            <w:gridSpan w:val="6"/>
            <w:tcBorders>
              <w:top w:val="single" w:sz="8" w:space="0" w:color="auto"/>
            </w:tcBorders>
          </w:tcPr>
          <w:p w14:paraId="4F785964" w14:textId="77777777" w:rsidR="00C35B84" w:rsidRDefault="00C35B84" w:rsidP="0044649E">
            <w:pPr>
              <w:rPr>
                <w:lang w:val="en-CA"/>
              </w:rPr>
            </w:pPr>
          </w:p>
        </w:tc>
      </w:tr>
      <w:tr w:rsidR="00DD5A27" w14:paraId="54195700" w14:textId="77777777" w:rsidTr="0044649E">
        <w:tblPrEx>
          <w:tblLook w:val="0000" w:firstRow="0" w:lastRow="0" w:firstColumn="0" w:lastColumn="0" w:noHBand="0" w:noVBand="0"/>
        </w:tblPrEx>
        <w:tc>
          <w:tcPr>
            <w:tcW w:w="9360" w:type="dxa"/>
            <w:gridSpan w:val="6"/>
          </w:tcPr>
          <w:p w14:paraId="3DC1EFCD" w14:textId="399D2116" w:rsidR="00C35B84" w:rsidRDefault="00B37A58" w:rsidP="0044649E">
            <w:pPr>
              <w:pStyle w:val="zSoquijlblTypeDocument"/>
            </w:pPr>
            <w:bookmarkStart w:id="8" w:name="TitreDocument"/>
            <w:r>
              <w:t>JUDGMENT</w:t>
            </w:r>
            <w:bookmarkEnd w:id="8"/>
          </w:p>
        </w:tc>
      </w:tr>
      <w:tr w:rsidR="00DD5A27" w14:paraId="7DB82791" w14:textId="77777777" w:rsidTr="0044649E">
        <w:tblPrEx>
          <w:tblLook w:val="0000" w:firstRow="0" w:lastRow="0" w:firstColumn="0" w:lastColumn="0" w:noHBand="0" w:noVBand="0"/>
        </w:tblPrEx>
        <w:tc>
          <w:tcPr>
            <w:tcW w:w="9360" w:type="dxa"/>
            <w:gridSpan w:val="6"/>
            <w:tcBorders>
              <w:bottom w:val="single" w:sz="8" w:space="0" w:color="auto"/>
            </w:tcBorders>
          </w:tcPr>
          <w:p w14:paraId="6B2B786F" w14:textId="77777777" w:rsidR="00C35B84" w:rsidRDefault="00C35B84" w:rsidP="0044649E"/>
        </w:tc>
      </w:tr>
      <w:tr w:rsidR="00DD5A27" w14:paraId="60D84559" w14:textId="77777777" w:rsidTr="0044649E">
        <w:tblPrEx>
          <w:tblLook w:val="0000" w:firstRow="0" w:lastRow="0" w:firstColumn="0" w:lastColumn="0" w:noHBand="0" w:noVBand="0"/>
        </w:tblPrEx>
        <w:tc>
          <w:tcPr>
            <w:tcW w:w="9360" w:type="dxa"/>
            <w:gridSpan w:val="6"/>
            <w:tcBorders>
              <w:top w:val="single" w:sz="8" w:space="0" w:color="auto"/>
            </w:tcBorders>
          </w:tcPr>
          <w:p w14:paraId="1CD2DF96" w14:textId="77777777" w:rsidR="00C35B84" w:rsidRDefault="00C35B84" w:rsidP="0044649E"/>
        </w:tc>
      </w:tr>
    </w:tbl>
    <w:p w14:paraId="63E94896" w14:textId="2EBF40C3" w:rsidR="00C35B84" w:rsidRPr="00C35B84" w:rsidRDefault="00B37A58" w:rsidP="00C35B84">
      <w:pPr>
        <w:pStyle w:val="Paragraphe"/>
        <w:tabs>
          <w:tab w:val="clear" w:pos="720"/>
        </w:tabs>
        <w:spacing w:line="240" w:lineRule="auto"/>
        <w:rPr>
          <w:lang w:val="en-CA"/>
        </w:rPr>
      </w:pPr>
      <w:r w:rsidRPr="00C35B84">
        <w:rPr>
          <w:lang w:val="en-CA"/>
        </w:rPr>
        <w:t xml:space="preserve">The appellant appeals from a judgment rendered on November 16, 2023 by the Superior Court, District of Montreal (the Honourable Alexandre Boucher) who, acting as an extradition judge, dismissed the application for committal and ordered the respondent’s discharge. </w:t>
      </w:r>
    </w:p>
    <w:p w14:paraId="079299DB" w14:textId="0F43FE50" w:rsidR="00C35B84" w:rsidRPr="00C35B84" w:rsidRDefault="00B37A58" w:rsidP="00C35B84">
      <w:pPr>
        <w:pStyle w:val="Paragraphe"/>
        <w:spacing w:line="240" w:lineRule="auto"/>
        <w:rPr>
          <w:lang w:val="en-CA"/>
        </w:rPr>
      </w:pPr>
      <w:r w:rsidRPr="00C35B84">
        <w:rPr>
          <w:lang w:val="en-CA"/>
        </w:rPr>
        <w:t xml:space="preserve">For the reasons of Lavallée, J.A., with which Bich and Hamilton, JJ.A. concur, </w:t>
      </w:r>
      <w:r w:rsidRPr="00C35B84">
        <w:rPr>
          <w:b/>
          <w:bCs/>
          <w:lang w:val="en-CA"/>
        </w:rPr>
        <w:t>THE COURT</w:t>
      </w:r>
      <w:r w:rsidRPr="00C35B84">
        <w:rPr>
          <w:lang w:val="en-CA"/>
        </w:rPr>
        <w:t>:</w:t>
      </w:r>
    </w:p>
    <w:p w14:paraId="24ECAA5F" w14:textId="77777777" w:rsidR="00C35B84" w:rsidRPr="009360E3" w:rsidRDefault="00B37A58" w:rsidP="00C35B84">
      <w:pPr>
        <w:pStyle w:val="Paragraphe"/>
        <w:pageBreakBefore/>
        <w:spacing w:line="240" w:lineRule="auto"/>
        <w:rPr>
          <w:lang w:val="en-CA"/>
        </w:rPr>
      </w:pPr>
      <w:r w:rsidRPr="009360E3">
        <w:rPr>
          <w:b/>
          <w:bCs/>
          <w:lang w:val="en-CA"/>
        </w:rPr>
        <w:lastRenderedPageBreak/>
        <w:t xml:space="preserve">DISMISSES </w:t>
      </w:r>
      <w:r w:rsidRPr="009360E3">
        <w:rPr>
          <w:lang w:val="en-CA"/>
        </w:rPr>
        <w:t>the appeal.</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DD5A27" w14:paraId="05B9CFAF" w14:textId="77777777" w:rsidTr="0044649E">
        <w:trPr>
          <w:trHeight w:val="576"/>
        </w:trPr>
        <w:tc>
          <w:tcPr>
            <w:tcW w:w="9362" w:type="dxa"/>
            <w:gridSpan w:val="3"/>
            <w:tcBorders>
              <w:top w:val="nil"/>
              <w:bottom w:val="nil"/>
            </w:tcBorders>
          </w:tcPr>
          <w:p w14:paraId="2650D2F5" w14:textId="77777777" w:rsidR="00C35B84" w:rsidRPr="009E5E71" w:rsidRDefault="00C35B84" w:rsidP="0044649E">
            <w:pPr>
              <w:keepNext/>
              <w:spacing w:line="240" w:lineRule="auto"/>
              <w:rPr>
                <w:lang w:val="en-CA"/>
              </w:rPr>
            </w:pPr>
          </w:p>
        </w:tc>
      </w:tr>
      <w:tr w:rsidR="00DD5A27" w14:paraId="3A64939B" w14:textId="77777777" w:rsidTr="0044649E">
        <w:trPr>
          <w:trHeight w:val="283"/>
        </w:trPr>
        <w:tc>
          <w:tcPr>
            <w:tcW w:w="4682" w:type="dxa"/>
            <w:gridSpan w:val="2"/>
            <w:tcBorders>
              <w:top w:val="nil"/>
              <w:bottom w:val="nil"/>
            </w:tcBorders>
          </w:tcPr>
          <w:p w14:paraId="44611569" w14:textId="77777777" w:rsidR="00C35B84" w:rsidRPr="009E5E71" w:rsidRDefault="00C35B84" w:rsidP="0044649E">
            <w:pPr>
              <w:keepNext/>
              <w:rPr>
                <w:lang w:val="en-CA"/>
              </w:rPr>
            </w:pPr>
          </w:p>
        </w:tc>
        <w:tc>
          <w:tcPr>
            <w:tcW w:w="4680" w:type="dxa"/>
            <w:tcBorders>
              <w:top w:val="nil"/>
              <w:bottom w:val="single" w:sz="8" w:space="0" w:color="auto"/>
            </w:tcBorders>
          </w:tcPr>
          <w:p w14:paraId="5B7F36C2" w14:textId="77777777" w:rsidR="00C35B84" w:rsidRPr="009E5E71" w:rsidRDefault="00C35B84" w:rsidP="0044649E">
            <w:pPr>
              <w:keepNext/>
              <w:rPr>
                <w:lang w:val="en-CA"/>
              </w:rPr>
            </w:pPr>
          </w:p>
        </w:tc>
      </w:tr>
      <w:tr w:rsidR="00DD5A27" w14:paraId="6BED1053" w14:textId="77777777" w:rsidTr="0044649E">
        <w:trPr>
          <w:trHeight w:val="283"/>
        </w:trPr>
        <w:tc>
          <w:tcPr>
            <w:tcW w:w="4682" w:type="dxa"/>
            <w:gridSpan w:val="2"/>
            <w:tcBorders>
              <w:top w:val="nil"/>
            </w:tcBorders>
          </w:tcPr>
          <w:p w14:paraId="3F7F8710" w14:textId="77777777" w:rsidR="00C35B84" w:rsidRPr="009E5E71" w:rsidRDefault="00C35B84" w:rsidP="0044649E">
            <w:pPr>
              <w:keepNext/>
              <w:rPr>
                <w:lang w:val="en-CA"/>
              </w:rPr>
            </w:pPr>
          </w:p>
        </w:tc>
        <w:tc>
          <w:tcPr>
            <w:tcW w:w="4680" w:type="dxa"/>
            <w:tcBorders>
              <w:top w:val="single" w:sz="8" w:space="0" w:color="auto"/>
            </w:tcBorders>
          </w:tcPr>
          <w:p w14:paraId="1A6D3DEB" w14:textId="77777777" w:rsidR="00C35B84" w:rsidRPr="00386DE6" w:rsidRDefault="00B37A58" w:rsidP="0044649E">
            <w:r w:rsidRPr="00386DE6">
              <w:t>MARIE-FRANCE BICH, J.A.</w:t>
            </w:r>
          </w:p>
        </w:tc>
      </w:tr>
      <w:tr w:rsidR="00DD5A27" w14:paraId="162B4D2F" w14:textId="77777777" w:rsidTr="0044649E">
        <w:trPr>
          <w:trHeight w:val="283"/>
        </w:trPr>
        <w:tc>
          <w:tcPr>
            <w:tcW w:w="4682" w:type="dxa"/>
            <w:gridSpan w:val="2"/>
            <w:tcBorders>
              <w:top w:val="nil"/>
            </w:tcBorders>
          </w:tcPr>
          <w:p w14:paraId="00982396" w14:textId="77777777" w:rsidR="00C35B84" w:rsidRPr="00386DE6" w:rsidRDefault="00C35B84" w:rsidP="0044649E">
            <w:pPr>
              <w:keepNext/>
            </w:pPr>
            <w:bookmarkStart w:id="9" w:name="Signature2"/>
          </w:p>
        </w:tc>
        <w:tc>
          <w:tcPr>
            <w:tcW w:w="4680" w:type="dxa"/>
            <w:tcBorders>
              <w:top w:val="nil"/>
            </w:tcBorders>
          </w:tcPr>
          <w:p w14:paraId="6799E677" w14:textId="77777777" w:rsidR="00C35B84" w:rsidRPr="00386DE6" w:rsidRDefault="00C35B84" w:rsidP="0044649E">
            <w:pPr>
              <w:keepNext/>
            </w:pPr>
          </w:p>
        </w:tc>
      </w:tr>
      <w:tr w:rsidR="00DD5A27" w14:paraId="67BE21D1" w14:textId="77777777" w:rsidTr="0044649E">
        <w:trPr>
          <w:trHeight w:val="283"/>
        </w:trPr>
        <w:tc>
          <w:tcPr>
            <w:tcW w:w="4682" w:type="dxa"/>
            <w:gridSpan w:val="2"/>
            <w:tcBorders>
              <w:top w:val="nil"/>
              <w:bottom w:val="nil"/>
            </w:tcBorders>
          </w:tcPr>
          <w:p w14:paraId="163CBCDF" w14:textId="77777777" w:rsidR="00C35B84" w:rsidRPr="00386DE6" w:rsidRDefault="00C35B84" w:rsidP="0044649E">
            <w:pPr>
              <w:keepNext/>
            </w:pPr>
          </w:p>
        </w:tc>
        <w:tc>
          <w:tcPr>
            <w:tcW w:w="4680" w:type="dxa"/>
            <w:tcBorders>
              <w:top w:val="nil"/>
              <w:bottom w:val="single" w:sz="8" w:space="0" w:color="auto"/>
            </w:tcBorders>
          </w:tcPr>
          <w:p w14:paraId="332684B7" w14:textId="77777777" w:rsidR="00C35B84" w:rsidRPr="00386DE6" w:rsidRDefault="00C35B84" w:rsidP="0044649E">
            <w:pPr>
              <w:keepNext/>
            </w:pPr>
          </w:p>
        </w:tc>
      </w:tr>
      <w:tr w:rsidR="00DD5A27" w14:paraId="2D8FFCE6" w14:textId="77777777" w:rsidTr="0044649E">
        <w:trPr>
          <w:trHeight w:val="283"/>
        </w:trPr>
        <w:tc>
          <w:tcPr>
            <w:tcW w:w="4682" w:type="dxa"/>
            <w:gridSpan w:val="2"/>
            <w:tcBorders>
              <w:top w:val="nil"/>
            </w:tcBorders>
          </w:tcPr>
          <w:p w14:paraId="042437C1" w14:textId="77777777" w:rsidR="00C35B84" w:rsidRPr="00386DE6" w:rsidRDefault="00C35B84" w:rsidP="0044649E">
            <w:pPr>
              <w:keepNext/>
            </w:pPr>
          </w:p>
        </w:tc>
        <w:tc>
          <w:tcPr>
            <w:tcW w:w="4680" w:type="dxa"/>
            <w:tcBorders>
              <w:top w:val="single" w:sz="8" w:space="0" w:color="auto"/>
            </w:tcBorders>
          </w:tcPr>
          <w:p w14:paraId="7C7B9F02" w14:textId="77777777" w:rsidR="00C35B84" w:rsidRPr="009E5E71" w:rsidRDefault="00B37A58" w:rsidP="0044649E">
            <w:pPr>
              <w:keepNext/>
              <w:rPr>
                <w:lang w:val="en-CA"/>
              </w:rPr>
            </w:pPr>
            <w:r>
              <w:rPr>
                <w:lang w:val="en-CA"/>
              </w:rPr>
              <w:t>STEPHEN W. HAMILTON, J.A.</w:t>
            </w:r>
          </w:p>
        </w:tc>
      </w:tr>
      <w:tr w:rsidR="00DD5A27" w14:paraId="382851A3" w14:textId="77777777" w:rsidTr="0044649E">
        <w:trPr>
          <w:trHeight w:val="283"/>
        </w:trPr>
        <w:tc>
          <w:tcPr>
            <w:tcW w:w="4682" w:type="dxa"/>
            <w:gridSpan w:val="2"/>
            <w:tcBorders>
              <w:top w:val="nil"/>
            </w:tcBorders>
          </w:tcPr>
          <w:p w14:paraId="07E5D00F" w14:textId="77777777" w:rsidR="00C35B84" w:rsidRPr="009E5E71" w:rsidRDefault="00C35B84" w:rsidP="0044649E">
            <w:pPr>
              <w:keepNext/>
              <w:rPr>
                <w:lang w:val="en-CA"/>
              </w:rPr>
            </w:pPr>
            <w:bookmarkStart w:id="10" w:name="Signature3"/>
            <w:bookmarkEnd w:id="9"/>
          </w:p>
        </w:tc>
        <w:tc>
          <w:tcPr>
            <w:tcW w:w="4680" w:type="dxa"/>
            <w:tcBorders>
              <w:top w:val="nil"/>
            </w:tcBorders>
          </w:tcPr>
          <w:p w14:paraId="166B9463" w14:textId="77777777" w:rsidR="00C35B84" w:rsidRPr="009E5E71" w:rsidRDefault="00C35B84" w:rsidP="0044649E">
            <w:pPr>
              <w:keepNext/>
              <w:rPr>
                <w:lang w:val="en-CA"/>
              </w:rPr>
            </w:pPr>
          </w:p>
        </w:tc>
      </w:tr>
      <w:tr w:rsidR="00DD5A27" w14:paraId="444B923D" w14:textId="77777777" w:rsidTr="0044649E">
        <w:trPr>
          <w:trHeight w:val="283"/>
        </w:trPr>
        <w:tc>
          <w:tcPr>
            <w:tcW w:w="4682" w:type="dxa"/>
            <w:gridSpan w:val="2"/>
            <w:tcBorders>
              <w:top w:val="nil"/>
              <w:bottom w:val="nil"/>
            </w:tcBorders>
          </w:tcPr>
          <w:p w14:paraId="7DD0B27A" w14:textId="77777777" w:rsidR="00C35B84" w:rsidRPr="009E5E71" w:rsidRDefault="00C35B84" w:rsidP="0044649E">
            <w:pPr>
              <w:keepNext/>
              <w:rPr>
                <w:lang w:val="en-CA"/>
              </w:rPr>
            </w:pPr>
          </w:p>
        </w:tc>
        <w:tc>
          <w:tcPr>
            <w:tcW w:w="4680" w:type="dxa"/>
            <w:tcBorders>
              <w:top w:val="nil"/>
              <w:bottom w:val="single" w:sz="8" w:space="0" w:color="auto"/>
            </w:tcBorders>
          </w:tcPr>
          <w:p w14:paraId="4A5BF179" w14:textId="77777777" w:rsidR="00C35B84" w:rsidRPr="009E5E71" w:rsidRDefault="00C35B84" w:rsidP="0044649E">
            <w:pPr>
              <w:keepNext/>
              <w:rPr>
                <w:lang w:val="en-CA"/>
              </w:rPr>
            </w:pPr>
          </w:p>
        </w:tc>
      </w:tr>
      <w:tr w:rsidR="00DD5A27" w14:paraId="1E39C123" w14:textId="77777777" w:rsidTr="0044649E">
        <w:trPr>
          <w:trHeight w:val="283"/>
        </w:trPr>
        <w:tc>
          <w:tcPr>
            <w:tcW w:w="4682" w:type="dxa"/>
            <w:gridSpan w:val="2"/>
            <w:tcBorders>
              <w:top w:val="nil"/>
            </w:tcBorders>
          </w:tcPr>
          <w:p w14:paraId="2235FB7D" w14:textId="77777777" w:rsidR="00C35B84" w:rsidRPr="009E5E71" w:rsidRDefault="00C35B84" w:rsidP="0044649E">
            <w:pPr>
              <w:keepNext/>
              <w:rPr>
                <w:lang w:val="en-CA"/>
              </w:rPr>
            </w:pPr>
          </w:p>
        </w:tc>
        <w:tc>
          <w:tcPr>
            <w:tcW w:w="4680" w:type="dxa"/>
            <w:tcBorders>
              <w:top w:val="single" w:sz="8" w:space="0" w:color="auto"/>
            </w:tcBorders>
          </w:tcPr>
          <w:p w14:paraId="0BFDAF46" w14:textId="77777777" w:rsidR="00C35B84" w:rsidRPr="009E5E71" w:rsidRDefault="00B37A58" w:rsidP="0044649E">
            <w:pPr>
              <w:keepNext/>
              <w:rPr>
                <w:lang w:val="en-CA"/>
              </w:rPr>
            </w:pPr>
            <w:r>
              <w:rPr>
                <w:lang w:val="en-CA"/>
              </w:rPr>
              <w:t>SOPHIE LAVALLÉE, J.A.</w:t>
            </w:r>
          </w:p>
        </w:tc>
      </w:tr>
      <w:bookmarkEnd w:id="10"/>
      <w:tr w:rsidR="00DD5A27" w14:paraId="78BC5813" w14:textId="77777777" w:rsidTr="0044649E">
        <w:tc>
          <w:tcPr>
            <w:tcW w:w="9362" w:type="dxa"/>
            <w:gridSpan w:val="3"/>
            <w:tcBorders>
              <w:bottom w:val="nil"/>
            </w:tcBorders>
          </w:tcPr>
          <w:p w14:paraId="28B311BD" w14:textId="77777777" w:rsidR="00C35B84" w:rsidRPr="009E5E71" w:rsidRDefault="00C35B84" w:rsidP="0044649E">
            <w:pPr>
              <w:rPr>
                <w:lang w:val="en-CA"/>
              </w:rPr>
            </w:pPr>
          </w:p>
        </w:tc>
      </w:tr>
      <w:tr w:rsidR="00DD5A27" w14:paraId="47107687" w14:textId="77777777" w:rsidTr="0044649E">
        <w:tc>
          <w:tcPr>
            <w:tcW w:w="9362" w:type="dxa"/>
            <w:gridSpan w:val="3"/>
            <w:tcBorders>
              <w:top w:val="nil"/>
            </w:tcBorders>
          </w:tcPr>
          <w:p w14:paraId="6C8BB7A0" w14:textId="77777777" w:rsidR="00C35B84" w:rsidRPr="009E5E71" w:rsidRDefault="00B37A58" w:rsidP="0044649E">
            <w:pPr>
              <w:pStyle w:val="zSoquijdatNomProcureurDem"/>
              <w:rPr>
                <w:lang w:val="en-CA"/>
              </w:rPr>
            </w:pPr>
            <w:r w:rsidRPr="009E5E71">
              <w:rPr>
                <w:lang w:val="en-CA"/>
              </w:rPr>
              <w:t>M</w:t>
            </w:r>
            <w:r>
              <w:rPr>
                <w:lang w:val="en-CA"/>
              </w:rPr>
              <w:t>tre</w:t>
            </w:r>
            <w:r w:rsidRPr="009E5E71">
              <w:rPr>
                <w:lang w:val="en-CA"/>
              </w:rPr>
              <w:t xml:space="preserve"> Erin Morgan</w:t>
            </w:r>
          </w:p>
        </w:tc>
      </w:tr>
      <w:tr w:rsidR="00DD5A27" w14:paraId="5A752DF2" w14:textId="77777777" w:rsidTr="0044649E">
        <w:tc>
          <w:tcPr>
            <w:tcW w:w="9362" w:type="dxa"/>
            <w:gridSpan w:val="3"/>
          </w:tcPr>
          <w:p w14:paraId="5D9FE731" w14:textId="77777777" w:rsidR="00C35B84" w:rsidRPr="009E5E71" w:rsidRDefault="00B37A58" w:rsidP="0044649E">
            <w:pPr>
              <w:pStyle w:val="zSoquijdatCabinetProcureurDem"/>
              <w:rPr>
                <w:lang w:val="en-CA"/>
              </w:rPr>
            </w:pPr>
            <w:r>
              <w:rPr>
                <w:lang w:val="en-CA"/>
              </w:rPr>
              <w:t>DEPARTMENT OF</w:t>
            </w:r>
            <w:r w:rsidRPr="009E5E71">
              <w:rPr>
                <w:lang w:val="en-CA"/>
              </w:rPr>
              <w:t xml:space="preserve"> JUSTICE CANADA</w:t>
            </w:r>
          </w:p>
        </w:tc>
      </w:tr>
      <w:tr w:rsidR="00DD5A27" w14:paraId="65D2AA61" w14:textId="77777777" w:rsidTr="0044649E">
        <w:tc>
          <w:tcPr>
            <w:tcW w:w="9362" w:type="dxa"/>
            <w:gridSpan w:val="3"/>
          </w:tcPr>
          <w:p w14:paraId="5C709360" w14:textId="77777777" w:rsidR="00C35B84" w:rsidRPr="009E5E71" w:rsidRDefault="00B37A58" w:rsidP="0044649E">
            <w:pPr>
              <w:pStyle w:val="zSoquijlblProcureurDem"/>
              <w:rPr>
                <w:lang w:val="en-CA"/>
              </w:rPr>
            </w:pPr>
            <w:r>
              <w:rPr>
                <w:lang w:val="en-CA"/>
              </w:rPr>
              <w:t>For the Appellant</w:t>
            </w:r>
          </w:p>
        </w:tc>
      </w:tr>
      <w:tr w:rsidR="00DD5A27" w14:paraId="5A1902D3" w14:textId="77777777" w:rsidTr="0044649E">
        <w:tc>
          <w:tcPr>
            <w:tcW w:w="9362" w:type="dxa"/>
            <w:gridSpan w:val="3"/>
          </w:tcPr>
          <w:p w14:paraId="5DDF49A4" w14:textId="77777777" w:rsidR="00C35B84" w:rsidRPr="009E5E71" w:rsidRDefault="00C35B84" w:rsidP="0044649E">
            <w:pPr>
              <w:rPr>
                <w:lang w:val="en-CA"/>
              </w:rPr>
            </w:pPr>
          </w:p>
        </w:tc>
      </w:tr>
      <w:tr w:rsidR="00DD5A27" w14:paraId="497577F1" w14:textId="77777777" w:rsidTr="0044649E">
        <w:tc>
          <w:tcPr>
            <w:tcW w:w="9362" w:type="dxa"/>
            <w:gridSpan w:val="3"/>
          </w:tcPr>
          <w:p w14:paraId="7977BC73" w14:textId="2CF45081" w:rsidR="00C35B84" w:rsidRDefault="00B37A58" w:rsidP="0044649E">
            <w:pPr>
              <w:pStyle w:val="zSoquijdatNomProcureurDef"/>
              <w:rPr>
                <w:lang w:val="en-CA"/>
              </w:rPr>
            </w:pPr>
            <w:r w:rsidRPr="009E5E71">
              <w:rPr>
                <w:lang w:val="en-CA"/>
              </w:rPr>
              <w:t>M</w:t>
            </w:r>
            <w:r>
              <w:rPr>
                <w:lang w:val="en-CA"/>
              </w:rPr>
              <w:t>tr</w:t>
            </w:r>
            <w:r w:rsidRPr="009E5E71">
              <w:rPr>
                <w:lang w:val="en-CA"/>
              </w:rPr>
              <w:t>e Andrew Barba</w:t>
            </w:r>
            <w:r w:rsidR="00171CE9">
              <w:rPr>
                <w:lang w:val="en-CA"/>
              </w:rPr>
              <w:t>c</w:t>
            </w:r>
            <w:r w:rsidRPr="009E5E71">
              <w:rPr>
                <w:lang w:val="en-CA"/>
              </w:rPr>
              <w:t>ki</w:t>
            </w:r>
          </w:p>
          <w:p w14:paraId="0C8E4839" w14:textId="326D2E13" w:rsidR="00396EF0" w:rsidRPr="009E5E71" w:rsidRDefault="00B37A58" w:rsidP="0044649E">
            <w:pPr>
              <w:pStyle w:val="zSoquijdatNomProcureurDef"/>
              <w:rPr>
                <w:lang w:val="en-CA"/>
              </w:rPr>
            </w:pPr>
            <w:r>
              <w:rPr>
                <w:lang w:val="en-CA"/>
              </w:rPr>
              <w:t>Mtre Jordan Trevick</w:t>
            </w:r>
          </w:p>
        </w:tc>
      </w:tr>
      <w:tr w:rsidR="00DD5A27" w14:paraId="6EB382DC" w14:textId="77777777" w:rsidTr="0044649E">
        <w:tc>
          <w:tcPr>
            <w:tcW w:w="9362" w:type="dxa"/>
            <w:gridSpan w:val="3"/>
          </w:tcPr>
          <w:p w14:paraId="3A872C19" w14:textId="77777777" w:rsidR="00C35B84" w:rsidRPr="009E5E71" w:rsidRDefault="00B37A58" w:rsidP="0044649E">
            <w:pPr>
              <w:pStyle w:val="zSoquijlblProcureurDef"/>
              <w:rPr>
                <w:lang w:val="en-CA"/>
              </w:rPr>
            </w:pPr>
            <w:r>
              <w:rPr>
                <w:lang w:val="en-CA"/>
              </w:rPr>
              <w:t>For the Respondent</w:t>
            </w:r>
          </w:p>
        </w:tc>
      </w:tr>
      <w:tr w:rsidR="00DD5A27" w14:paraId="3D910699" w14:textId="77777777" w:rsidTr="0044649E">
        <w:tc>
          <w:tcPr>
            <w:tcW w:w="9362" w:type="dxa"/>
            <w:gridSpan w:val="3"/>
          </w:tcPr>
          <w:p w14:paraId="77B03292" w14:textId="77777777" w:rsidR="00C35B84" w:rsidRPr="009E5E71" w:rsidRDefault="00C35B84" w:rsidP="0044649E">
            <w:pPr>
              <w:rPr>
                <w:lang w:val="en-CA"/>
              </w:rPr>
            </w:pPr>
          </w:p>
        </w:tc>
      </w:tr>
      <w:tr w:rsidR="00DD5A27" w14:paraId="28AFE122" w14:textId="77777777" w:rsidTr="0044649E">
        <w:trPr>
          <w:trHeight w:val="80"/>
        </w:trPr>
        <w:tc>
          <w:tcPr>
            <w:tcW w:w="1997" w:type="dxa"/>
          </w:tcPr>
          <w:p w14:paraId="7FB6E349" w14:textId="77777777" w:rsidR="00C35B84" w:rsidRPr="009E5E71" w:rsidRDefault="00B37A58" w:rsidP="0044649E">
            <w:pPr>
              <w:pStyle w:val="zSoquijlblDateAudience"/>
              <w:rPr>
                <w:lang w:val="en-CA"/>
              </w:rPr>
            </w:pPr>
            <w:r>
              <w:rPr>
                <w:lang w:val="en-CA"/>
              </w:rPr>
              <w:t>Date of hearing</w:t>
            </w:r>
            <w:r w:rsidRPr="009E5E71">
              <w:rPr>
                <w:lang w:val="en-CA"/>
              </w:rPr>
              <w:t>:</w:t>
            </w:r>
          </w:p>
        </w:tc>
        <w:tc>
          <w:tcPr>
            <w:tcW w:w="7365" w:type="dxa"/>
            <w:gridSpan w:val="2"/>
          </w:tcPr>
          <w:p w14:paraId="263A6134" w14:textId="77777777" w:rsidR="00C35B84" w:rsidRPr="009E5E71" w:rsidRDefault="00B37A58" w:rsidP="0044649E">
            <w:pPr>
              <w:pStyle w:val="zSoquijdatDateAudience"/>
              <w:rPr>
                <w:lang w:val="en-CA"/>
              </w:rPr>
            </w:pPr>
            <w:r>
              <w:rPr>
                <w:lang w:val="en-CA"/>
              </w:rPr>
              <w:t>February 12,</w:t>
            </w:r>
            <w:r w:rsidRPr="009E5E71">
              <w:rPr>
                <w:lang w:val="en-CA"/>
              </w:rPr>
              <w:t xml:space="preserve"> 2025</w:t>
            </w:r>
          </w:p>
        </w:tc>
      </w:tr>
    </w:tbl>
    <w:p w14:paraId="7E5C95A3" w14:textId="77777777" w:rsidR="00C35B84" w:rsidRPr="009E5E71" w:rsidRDefault="00C35B84" w:rsidP="00C35B84">
      <w:pPr>
        <w:rPr>
          <w:lang w:val="en-CA"/>
        </w:rPr>
        <w:sectPr w:rsidR="00C35B84" w:rsidRPr="009E5E71" w:rsidSect="00C35B84">
          <w:headerReference w:type="default" r:id="rId8"/>
          <w:footerReference w:type="default" r:id="rId9"/>
          <w:pgSz w:w="12242" w:h="15842" w:code="1"/>
          <w:pgMar w:top="1440" w:right="1008" w:bottom="1440" w:left="1872" w:header="1440" w:footer="792" w:gutter="0"/>
          <w:cols w:space="720"/>
          <w:formProt w:val="0"/>
          <w:titlePg/>
        </w:sectPr>
      </w:pPr>
    </w:p>
    <w:tbl>
      <w:tblPr>
        <w:tblW w:w="0" w:type="auto"/>
        <w:tblLayout w:type="fixed"/>
        <w:tblCellMar>
          <w:left w:w="0" w:type="dxa"/>
          <w:right w:w="0" w:type="dxa"/>
        </w:tblCellMar>
        <w:tblLook w:val="0000" w:firstRow="0" w:lastRow="0" w:firstColumn="0" w:lastColumn="0" w:noHBand="0" w:noVBand="0"/>
      </w:tblPr>
      <w:tblGrid>
        <w:gridCol w:w="9360"/>
      </w:tblGrid>
      <w:tr w:rsidR="00DD5A27" w14:paraId="1F178ADF" w14:textId="77777777" w:rsidTr="000B2DB8">
        <w:tc>
          <w:tcPr>
            <w:tcW w:w="9360" w:type="dxa"/>
            <w:tcBorders>
              <w:bottom w:val="single" w:sz="8" w:space="0" w:color="auto"/>
            </w:tcBorders>
          </w:tcPr>
          <w:p w14:paraId="51DCCFAA" w14:textId="2E26C15A" w:rsidR="00C8758C" w:rsidRPr="00C35B84" w:rsidRDefault="00B37A58" w:rsidP="00346B93">
            <w:pPr>
              <w:rPr>
                <w:lang w:val="en-CA"/>
              </w:rPr>
            </w:pPr>
            <w:r w:rsidRPr="00C35B84">
              <w:rPr>
                <w:lang w:val="en-CA"/>
              </w:rPr>
              <w:lastRenderedPageBreak/>
              <w:br w:type="page"/>
            </w:r>
          </w:p>
        </w:tc>
      </w:tr>
      <w:tr w:rsidR="00DD5A27" w14:paraId="1480C3C6" w14:textId="77777777" w:rsidTr="000B2DB8">
        <w:tc>
          <w:tcPr>
            <w:tcW w:w="9360" w:type="dxa"/>
            <w:tcBorders>
              <w:top w:val="single" w:sz="8" w:space="0" w:color="auto"/>
            </w:tcBorders>
          </w:tcPr>
          <w:p w14:paraId="653745E1" w14:textId="77777777" w:rsidR="00C8758C" w:rsidRPr="00C35B84" w:rsidRDefault="00C8758C" w:rsidP="000B2DB8">
            <w:pPr>
              <w:rPr>
                <w:lang w:val="en-CA"/>
              </w:rPr>
            </w:pPr>
          </w:p>
        </w:tc>
      </w:tr>
      <w:tr w:rsidR="00DD5A27" w14:paraId="6B20B4A3" w14:textId="77777777" w:rsidTr="000B2DB8">
        <w:tc>
          <w:tcPr>
            <w:tcW w:w="9360" w:type="dxa"/>
          </w:tcPr>
          <w:p w14:paraId="2AE34026" w14:textId="343920C1" w:rsidR="00C8758C" w:rsidRPr="006B2147" w:rsidRDefault="00B37A58" w:rsidP="000B2DB8">
            <w:pPr>
              <w:pStyle w:val="zSoquijlblOpinionJuge"/>
              <w:rPr>
                <w:lang w:val="en-CA"/>
              </w:rPr>
            </w:pPr>
            <w:r>
              <w:rPr>
                <w:lang w:val="en-CA"/>
              </w:rPr>
              <w:t>REASONS OF</w:t>
            </w:r>
            <w:r w:rsidRPr="006B2147">
              <w:rPr>
                <w:lang w:val="en-CA"/>
              </w:rPr>
              <w:t xml:space="preserve"> </w:t>
            </w:r>
            <w:r w:rsidR="0025323F" w:rsidRPr="006B2147">
              <w:rPr>
                <w:lang w:val="en-CA"/>
              </w:rPr>
              <w:t>LAVALLÉE</w:t>
            </w:r>
            <w:r>
              <w:rPr>
                <w:lang w:val="en-CA"/>
              </w:rPr>
              <w:t>, J.A.</w:t>
            </w:r>
          </w:p>
        </w:tc>
      </w:tr>
      <w:tr w:rsidR="00DD5A27" w14:paraId="13974612" w14:textId="77777777" w:rsidTr="000B2DB8">
        <w:tc>
          <w:tcPr>
            <w:tcW w:w="9360" w:type="dxa"/>
            <w:tcBorders>
              <w:bottom w:val="single" w:sz="8" w:space="0" w:color="auto"/>
            </w:tcBorders>
          </w:tcPr>
          <w:p w14:paraId="60BED251" w14:textId="77777777" w:rsidR="00C8758C" w:rsidRPr="006B2147" w:rsidRDefault="00C8758C" w:rsidP="000B2DB8">
            <w:pPr>
              <w:rPr>
                <w:lang w:val="en-CA"/>
              </w:rPr>
            </w:pPr>
          </w:p>
        </w:tc>
      </w:tr>
      <w:tr w:rsidR="00DD5A27" w14:paraId="028E1705" w14:textId="77777777" w:rsidTr="000B2DB8">
        <w:tc>
          <w:tcPr>
            <w:tcW w:w="9360" w:type="dxa"/>
            <w:tcBorders>
              <w:top w:val="single" w:sz="8" w:space="0" w:color="auto"/>
            </w:tcBorders>
          </w:tcPr>
          <w:p w14:paraId="2D67CF72" w14:textId="77777777" w:rsidR="00C8758C" w:rsidRPr="006B2147" w:rsidRDefault="00C8758C" w:rsidP="000B2DB8">
            <w:pPr>
              <w:rPr>
                <w:lang w:val="en-CA"/>
              </w:rPr>
            </w:pPr>
          </w:p>
        </w:tc>
      </w:tr>
    </w:tbl>
    <w:p w14:paraId="088CA5C2" w14:textId="42994FD3" w:rsidR="001F1B9A" w:rsidRPr="006B2147" w:rsidRDefault="00B37A58" w:rsidP="00441741">
      <w:pPr>
        <w:pStyle w:val="Paragraphe"/>
        <w:spacing w:line="280" w:lineRule="exact"/>
        <w:rPr>
          <w:lang w:val="en-CA"/>
        </w:rPr>
      </w:pPr>
      <w:r>
        <w:rPr>
          <w:lang w:val="en-CA"/>
        </w:rPr>
        <w:t>The appellant</w:t>
      </w:r>
      <w:r w:rsidR="007D4B80">
        <w:rPr>
          <w:lang w:val="en-CA"/>
        </w:rPr>
        <w:t xml:space="preserve">, </w:t>
      </w:r>
      <w:r>
        <w:rPr>
          <w:lang w:val="en-CA"/>
        </w:rPr>
        <w:t>Attorney General of Canada</w:t>
      </w:r>
      <w:r w:rsidRPr="006B2147">
        <w:rPr>
          <w:lang w:val="en-CA"/>
        </w:rPr>
        <w:t>,</w:t>
      </w:r>
      <w:r w:rsidR="009A7C42" w:rsidRPr="006B2147">
        <w:rPr>
          <w:lang w:val="en-CA"/>
        </w:rPr>
        <w:t xml:space="preserve"> </w:t>
      </w:r>
      <w:r>
        <w:rPr>
          <w:lang w:val="en-CA"/>
        </w:rPr>
        <w:t>appeals from a judgment rendered on November 16, 20</w:t>
      </w:r>
      <w:r w:rsidR="00361E7F" w:rsidRPr="006B2147">
        <w:rPr>
          <w:lang w:val="en-CA"/>
        </w:rPr>
        <w:t>23</w:t>
      </w:r>
      <w:r w:rsidR="00B04C4E" w:rsidRPr="006B2147">
        <w:rPr>
          <w:lang w:val="en-CA"/>
        </w:rPr>
        <w:t xml:space="preserve"> </w:t>
      </w:r>
      <w:r>
        <w:rPr>
          <w:lang w:val="en-CA"/>
        </w:rPr>
        <w:t>by Justice</w:t>
      </w:r>
      <w:r w:rsidR="00D6199A" w:rsidRPr="006B2147">
        <w:rPr>
          <w:lang w:val="en-CA"/>
        </w:rPr>
        <w:t xml:space="preserve"> Alexandre Boucher </w:t>
      </w:r>
      <w:r>
        <w:rPr>
          <w:lang w:val="en-CA"/>
        </w:rPr>
        <w:t xml:space="preserve">of the Superior Court </w:t>
      </w:r>
      <w:r w:rsidR="007D4B80">
        <w:rPr>
          <w:lang w:val="en-CA"/>
        </w:rPr>
        <w:t>for</w:t>
      </w:r>
      <w:r>
        <w:rPr>
          <w:lang w:val="en-CA"/>
        </w:rPr>
        <w:t xml:space="preserve"> the D</w:t>
      </w:r>
      <w:r w:rsidR="006326C8" w:rsidRPr="006B2147">
        <w:rPr>
          <w:lang w:val="en-CA"/>
        </w:rPr>
        <w:t xml:space="preserve">istrict </w:t>
      </w:r>
      <w:r>
        <w:rPr>
          <w:lang w:val="en-CA"/>
        </w:rPr>
        <w:t>of</w:t>
      </w:r>
      <w:r w:rsidR="006326C8" w:rsidRPr="006B2147">
        <w:rPr>
          <w:lang w:val="en-CA"/>
        </w:rPr>
        <w:t xml:space="preserve"> Montr</w:t>
      </w:r>
      <w:r>
        <w:rPr>
          <w:lang w:val="en-CA"/>
        </w:rPr>
        <w:t>e</w:t>
      </w:r>
      <w:r w:rsidR="006326C8" w:rsidRPr="006B2147">
        <w:rPr>
          <w:lang w:val="en-CA"/>
        </w:rPr>
        <w:t>al</w:t>
      </w:r>
      <w:r w:rsidR="00D6199A" w:rsidRPr="006B2147">
        <w:rPr>
          <w:lang w:val="en-CA"/>
        </w:rPr>
        <w:t>.</w:t>
      </w:r>
      <w:r w:rsidR="004C230E" w:rsidRPr="006B2147">
        <w:rPr>
          <w:lang w:val="en-CA"/>
        </w:rPr>
        <w:t xml:space="preserve"> </w:t>
      </w:r>
    </w:p>
    <w:p w14:paraId="5362A020" w14:textId="26D47FC4" w:rsidR="00BB40AA" w:rsidRPr="006B2147" w:rsidRDefault="00B37A58" w:rsidP="00441741">
      <w:pPr>
        <w:pStyle w:val="Paragraphe"/>
        <w:spacing w:line="280" w:lineRule="exact"/>
        <w:rPr>
          <w:lang w:val="en-CA"/>
        </w:rPr>
      </w:pPr>
      <w:r>
        <w:rPr>
          <w:lang w:val="en-CA"/>
        </w:rPr>
        <w:t xml:space="preserve">Acting as an extradition judge, the latter dismissed </w:t>
      </w:r>
      <w:r w:rsidR="0016139A">
        <w:rPr>
          <w:lang w:val="en-CA"/>
        </w:rPr>
        <w:t>the Attorney General’s</w:t>
      </w:r>
      <w:r w:rsidRPr="00D04BBC">
        <w:rPr>
          <w:lang w:val="en-CA"/>
        </w:rPr>
        <w:t xml:space="preserve"> application for </w:t>
      </w:r>
      <w:r w:rsidR="0016139A">
        <w:rPr>
          <w:lang w:val="en-CA"/>
        </w:rPr>
        <w:t xml:space="preserve">an order of </w:t>
      </w:r>
      <w:r w:rsidRPr="00D04BBC">
        <w:rPr>
          <w:lang w:val="en-CA"/>
        </w:rPr>
        <w:t xml:space="preserve">committal </w:t>
      </w:r>
      <w:r>
        <w:rPr>
          <w:lang w:val="en-CA"/>
        </w:rPr>
        <w:t>of the respondent</w:t>
      </w:r>
      <w:r w:rsidR="00361E7F" w:rsidRPr="006B2147">
        <w:rPr>
          <w:lang w:val="en-CA"/>
        </w:rPr>
        <w:t xml:space="preserve"> Ëngjëll Brahimi</w:t>
      </w:r>
      <w:r w:rsidR="007341D8" w:rsidRPr="006B2147">
        <w:rPr>
          <w:lang w:val="en-CA"/>
        </w:rPr>
        <w:t xml:space="preserve"> </w:t>
      </w:r>
      <w:r>
        <w:rPr>
          <w:lang w:val="en-CA"/>
        </w:rPr>
        <w:t>pending his surrender to Albanian authorities</w:t>
      </w:r>
      <w:r w:rsidR="001D0BC8" w:rsidRPr="006B2147">
        <w:rPr>
          <w:lang w:val="en-CA"/>
        </w:rPr>
        <w:t xml:space="preserve"> </w:t>
      </w:r>
      <w:r w:rsidR="00100F7A">
        <w:rPr>
          <w:lang w:val="en-CA"/>
        </w:rPr>
        <w:t xml:space="preserve">to serve </w:t>
      </w:r>
      <w:r w:rsidR="0016139A">
        <w:rPr>
          <w:lang w:val="en-CA"/>
        </w:rPr>
        <w:t xml:space="preserve">in that state </w:t>
      </w:r>
      <w:r w:rsidR="00100F7A">
        <w:rPr>
          <w:lang w:val="en-CA"/>
        </w:rPr>
        <w:t>a sentence of life imprisonment following guilty verdicts</w:t>
      </w:r>
      <w:r w:rsidR="00100F7A" w:rsidRPr="00C35B84">
        <w:rPr>
          <w:lang w:val="en-CA"/>
        </w:rPr>
        <w:t xml:space="preserve"> </w:t>
      </w:r>
      <w:r w:rsidR="00100F7A" w:rsidRPr="00100F7A">
        <w:rPr>
          <w:lang w:val="en-CA"/>
        </w:rPr>
        <w:t xml:space="preserve">rendered </w:t>
      </w:r>
      <w:r w:rsidR="00100F7A" w:rsidRPr="00100F7A">
        <w:rPr>
          <w:i/>
          <w:iCs/>
          <w:lang w:val="en-CA"/>
        </w:rPr>
        <w:t>in absentia</w:t>
      </w:r>
      <w:r w:rsidR="00100F7A">
        <w:rPr>
          <w:lang w:val="en-CA"/>
        </w:rPr>
        <w:t xml:space="preserve">, by an Albanian court, on May 21, </w:t>
      </w:r>
      <w:r w:rsidR="007341D8" w:rsidRPr="006B2147">
        <w:rPr>
          <w:lang w:val="en-CA"/>
        </w:rPr>
        <w:t>200</w:t>
      </w:r>
      <w:r w:rsidR="00974387" w:rsidRPr="006B2147">
        <w:rPr>
          <w:lang w:val="en-CA"/>
        </w:rPr>
        <w:t>1</w:t>
      </w:r>
      <w:r w:rsidR="007341D8" w:rsidRPr="006B2147">
        <w:rPr>
          <w:lang w:val="en-CA"/>
        </w:rPr>
        <w:t xml:space="preserve">, </w:t>
      </w:r>
      <w:r w:rsidR="00100F7A">
        <w:rPr>
          <w:lang w:val="en-CA"/>
        </w:rPr>
        <w:t>for two murders and one attempted murder committed on August 10,</w:t>
      </w:r>
      <w:r w:rsidR="00C27AC3" w:rsidRPr="006B2147">
        <w:rPr>
          <w:lang w:val="en-CA" w:eastAsia="fr-CA"/>
        </w:rPr>
        <w:t xml:space="preserve"> </w:t>
      </w:r>
      <w:r w:rsidR="00B04C4E" w:rsidRPr="006B2147">
        <w:rPr>
          <w:lang w:val="en-CA" w:eastAsia="fr-CA"/>
        </w:rPr>
        <w:t>2000</w:t>
      </w:r>
      <w:r w:rsidR="00100F7A">
        <w:rPr>
          <w:lang w:val="en-CA" w:eastAsia="fr-CA"/>
        </w:rPr>
        <w:t>.</w:t>
      </w:r>
      <w:r>
        <w:rPr>
          <w:rStyle w:val="Appelnotedebasdep"/>
          <w:lang w:val="en-CA"/>
        </w:rPr>
        <w:footnoteReference w:id="1"/>
      </w:r>
    </w:p>
    <w:p w14:paraId="69E31732" w14:textId="30ADBC78" w:rsidR="00F4485B" w:rsidRPr="006B2147" w:rsidRDefault="00B37A58" w:rsidP="00441741">
      <w:pPr>
        <w:pStyle w:val="Titre1"/>
        <w:spacing w:line="280" w:lineRule="exact"/>
        <w:rPr>
          <w:lang w:val="en-CA"/>
        </w:rPr>
      </w:pPr>
      <w:r w:rsidRPr="006B2147">
        <w:rPr>
          <w:lang w:val="en-CA"/>
        </w:rPr>
        <w:t>I.</w:t>
      </w:r>
      <w:r w:rsidR="00C27AC3" w:rsidRPr="006B2147">
        <w:rPr>
          <w:lang w:val="en-CA"/>
        </w:rPr>
        <w:tab/>
      </w:r>
      <w:r w:rsidR="00AD52F9">
        <w:rPr>
          <w:lang w:val="en-CA"/>
        </w:rPr>
        <w:t>OVERVIEW OF THE APPEAL</w:t>
      </w:r>
    </w:p>
    <w:p w14:paraId="17DE17E9" w14:textId="2784B458" w:rsidR="00F4485B" w:rsidRPr="006B2147" w:rsidRDefault="00B37A58" w:rsidP="00441741">
      <w:pPr>
        <w:pStyle w:val="Paragraphe"/>
        <w:spacing w:line="280" w:lineRule="exact"/>
        <w:rPr>
          <w:lang w:val="en-CA"/>
        </w:rPr>
      </w:pPr>
      <w:r w:rsidRPr="0041122C">
        <w:rPr>
          <w:lang w:val="en-CA"/>
        </w:rPr>
        <w:t>In 2018, Interpol advised Albania</w:t>
      </w:r>
      <w:r>
        <w:rPr>
          <w:lang w:val="en-CA"/>
        </w:rPr>
        <w:t>n autorities</w:t>
      </w:r>
      <w:r w:rsidRPr="0041122C">
        <w:rPr>
          <w:lang w:val="en-CA"/>
        </w:rPr>
        <w:t xml:space="preserve"> that they had reason to suspect Mr.</w:t>
      </w:r>
      <w:r w:rsidR="00BD758E">
        <w:rPr>
          <w:lang w:val="en-CA"/>
        </w:rPr>
        <w:t> </w:t>
      </w:r>
      <w:r w:rsidRPr="0041122C">
        <w:rPr>
          <w:lang w:val="en-CA"/>
        </w:rPr>
        <w:t>Brahimi was living in Montreal under a false identity of Piro KOTA</w:t>
      </w:r>
      <w:r w:rsidRPr="006B2147">
        <w:rPr>
          <w:lang w:val="en-CA"/>
        </w:rPr>
        <w:t>.</w:t>
      </w:r>
    </w:p>
    <w:p w14:paraId="3E47F4ED" w14:textId="196639E8" w:rsidR="00F4485B" w:rsidRPr="006B2147" w:rsidRDefault="00B37A58" w:rsidP="00441741">
      <w:pPr>
        <w:pStyle w:val="Paragraphe"/>
        <w:spacing w:line="280" w:lineRule="exact"/>
        <w:rPr>
          <w:lang w:val="en-CA"/>
        </w:rPr>
      </w:pPr>
      <w:r>
        <w:rPr>
          <w:lang w:val="en-CA"/>
        </w:rPr>
        <w:t>Havin</w:t>
      </w:r>
      <w:r w:rsidR="00F818F9">
        <w:rPr>
          <w:lang w:val="en-CA"/>
        </w:rPr>
        <w:t>g</w:t>
      </w:r>
      <w:r>
        <w:rPr>
          <w:lang w:val="en-CA"/>
        </w:rPr>
        <w:t xml:space="preserve"> received an extradition request from Albanian authorities, the Minister of Justice of Canada</w:t>
      </w:r>
      <w:r w:rsidRPr="006B2147">
        <w:rPr>
          <w:lang w:val="en-CA"/>
        </w:rPr>
        <w:t xml:space="preserve"> </w:t>
      </w:r>
      <w:r>
        <w:rPr>
          <w:lang w:val="en-CA"/>
        </w:rPr>
        <w:t>issued, on November 22,</w:t>
      </w:r>
      <w:r w:rsidRPr="006B2147">
        <w:rPr>
          <w:lang w:val="en-CA"/>
        </w:rPr>
        <w:t xml:space="preserve"> 2022, </w:t>
      </w:r>
      <w:r>
        <w:rPr>
          <w:lang w:val="en-CA"/>
        </w:rPr>
        <w:t>an authority to proceed pursuant to s.</w:t>
      </w:r>
      <w:r w:rsidR="00BD758E">
        <w:rPr>
          <w:lang w:val="en-CA"/>
        </w:rPr>
        <w:t> </w:t>
      </w:r>
      <w:r w:rsidRPr="006B2147">
        <w:rPr>
          <w:lang w:val="en-CA"/>
        </w:rPr>
        <w:t xml:space="preserve">15 </w:t>
      </w:r>
      <w:r>
        <w:rPr>
          <w:lang w:val="en-CA"/>
        </w:rPr>
        <w:t>of the</w:t>
      </w:r>
      <w:r w:rsidRPr="006B2147">
        <w:rPr>
          <w:lang w:val="en-CA"/>
        </w:rPr>
        <w:t xml:space="preserve"> </w:t>
      </w:r>
      <w:bookmarkStart w:id="11" w:name="_Ref210291937"/>
      <w:r>
        <w:rPr>
          <w:i/>
          <w:iCs/>
          <w:lang w:val="en-CA"/>
        </w:rPr>
        <w:t>Extradition Act</w:t>
      </w:r>
      <w:r>
        <w:rPr>
          <w:rStyle w:val="Appelnotedebasdep"/>
          <w:rFonts w:cs="Arial"/>
          <w:szCs w:val="24"/>
          <w:lang w:val="en-CA"/>
        </w:rPr>
        <w:footnoteReference w:id="2"/>
      </w:r>
      <w:bookmarkEnd w:id="11"/>
      <w:r w:rsidR="001F1B9A" w:rsidRPr="006B2147">
        <w:rPr>
          <w:lang w:val="en-CA"/>
        </w:rPr>
        <w:t xml:space="preserve"> </w:t>
      </w:r>
      <w:r w:rsidRPr="006B2147">
        <w:rPr>
          <w:lang w:val="en-CA"/>
        </w:rPr>
        <w:t>(</w:t>
      </w:r>
      <w:r>
        <w:rPr>
          <w:lang w:val="en-CA"/>
        </w:rPr>
        <w:t>“Act”</w:t>
      </w:r>
      <w:r w:rsidRPr="006B2147">
        <w:rPr>
          <w:lang w:val="en-CA"/>
        </w:rPr>
        <w:t>)</w:t>
      </w:r>
      <w:r w:rsidR="001F1B9A" w:rsidRPr="006B2147">
        <w:rPr>
          <w:lang w:val="en-CA"/>
        </w:rPr>
        <w:t xml:space="preserve">. </w:t>
      </w:r>
      <w:r>
        <w:rPr>
          <w:lang w:val="en-CA"/>
        </w:rPr>
        <w:t>That authority authorized the Attorney General of Canada to apply to the Superior Court</w:t>
      </w:r>
      <w:r w:rsidRPr="006B2147">
        <w:rPr>
          <w:color w:val="000000"/>
          <w:lang w:val="en-CA"/>
        </w:rPr>
        <w:t xml:space="preserve">, </w:t>
      </w:r>
      <w:r>
        <w:rPr>
          <w:color w:val="000000"/>
          <w:lang w:val="en-CA"/>
        </w:rPr>
        <w:t>on behalf of Albania</w:t>
      </w:r>
      <w:r w:rsidRPr="006B2147">
        <w:rPr>
          <w:color w:val="000000"/>
          <w:lang w:val="en-CA"/>
        </w:rPr>
        <w:t xml:space="preserve">, </w:t>
      </w:r>
      <w:r w:rsidR="00F818F9">
        <w:rPr>
          <w:color w:val="000000"/>
          <w:lang w:val="en-CA"/>
        </w:rPr>
        <w:t xml:space="preserve">for </w:t>
      </w:r>
      <w:r>
        <w:rPr>
          <w:color w:val="000000"/>
          <w:lang w:val="en-CA"/>
        </w:rPr>
        <w:t>the issuance of a committal order under s. 29 of the Act for the offences</w:t>
      </w:r>
      <w:r w:rsidR="00B53984">
        <w:rPr>
          <w:color w:val="000000"/>
          <w:lang w:val="en-CA"/>
        </w:rPr>
        <w:t xml:space="preserve"> corresponding, in Canadian law, to murder</w:t>
      </w:r>
      <w:r w:rsidRPr="006B2147">
        <w:rPr>
          <w:lang w:val="en-CA"/>
        </w:rPr>
        <w:t xml:space="preserve"> (</w:t>
      </w:r>
      <w:r w:rsidR="00B53984">
        <w:rPr>
          <w:lang w:val="en-CA"/>
        </w:rPr>
        <w:t>s.</w:t>
      </w:r>
      <w:r w:rsidRPr="006B2147">
        <w:rPr>
          <w:lang w:val="en-CA"/>
        </w:rPr>
        <w:t xml:space="preserve"> 235 </w:t>
      </w:r>
      <w:r w:rsidRPr="006B2147">
        <w:rPr>
          <w:i/>
          <w:iCs/>
          <w:lang w:val="en-CA"/>
        </w:rPr>
        <w:t>C</w:t>
      </w:r>
      <w:r w:rsidR="00B53984">
        <w:rPr>
          <w:i/>
          <w:iCs/>
          <w:lang w:val="en-CA"/>
        </w:rPr>
        <w:t>r</w:t>
      </w:r>
      <w:r w:rsidRPr="006B2147">
        <w:rPr>
          <w:i/>
          <w:iCs/>
          <w:lang w:val="en-CA"/>
        </w:rPr>
        <w:t>.</w:t>
      </w:r>
      <w:r w:rsidR="00B53984">
        <w:rPr>
          <w:i/>
          <w:iCs/>
          <w:lang w:val="en-CA"/>
        </w:rPr>
        <w:t>C</w:t>
      </w:r>
      <w:r w:rsidRPr="006B2147">
        <w:rPr>
          <w:i/>
          <w:iCs/>
          <w:lang w:val="en-CA"/>
        </w:rPr>
        <w:t>.</w:t>
      </w:r>
      <w:r w:rsidRPr="006B2147">
        <w:rPr>
          <w:lang w:val="en-CA"/>
        </w:rPr>
        <w:t xml:space="preserve">) </w:t>
      </w:r>
      <w:r w:rsidR="00B53984">
        <w:rPr>
          <w:lang w:val="en-CA"/>
        </w:rPr>
        <w:t>and attempted murder</w:t>
      </w:r>
      <w:r w:rsidRPr="006B2147">
        <w:rPr>
          <w:lang w:val="en-CA"/>
        </w:rPr>
        <w:t xml:space="preserve"> (</w:t>
      </w:r>
      <w:r w:rsidR="00B53984">
        <w:rPr>
          <w:lang w:val="en-CA"/>
        </w:rPr>
        <w:t>s.</w:t>
      </w:r>
      <w:r w:rsidRPr="006B2147">
        <w:rPr>
          <w:lang w:val="en-CA"/>
        </w:rPr>
        <w:t xml:space="preserve"> 239 </w:t>
      </w:r>
      <w:r w:rsidRPr="006B2147">
        <w:rPr>
          <w:i/>
          <w:iCs/>
          <w:lang w:val="en-CA"/>
        </w:rPr>
        <w:t>C</w:t>
      </w:r>
      <w:r w:rsidR="00B53984">
        <w:rPr>
          <w:i/>
          <w:iCs/>
          <w:lang w:val="en-CA"/>
        </w:rPr>
        <w:t>r</w:t>
      </w:r>
      <w:r w:rsidRPr="006B2147">
        <w:rPr>
          <w:i/>
          <w:iCs/>
          <w:lang w:val="en-CA"/>
        </w:rPr>
        <w:t>.</w:t>
      </w:r>
      <w:r w:rsidR="00B53984">
        <w:rPr>
          <w:i/>
          <w:iCs/>
          <w:lang w:val="en-CA"/>
        </w:rPr>
        <w:t>C</w:t>
      </w:r>
      <w:r w:rsidRPr="006B2147">
        <w:rPr>
          <w:i/>
          <w:iCs/>
          <w:lang w:val="en-CA"/>
        </w:rPr>
        <w:t>.</w:t>
      </w:r>
      <w:r w:rsidRPr="006B2147">
        <w:rPr>
          <w:lang w:val="en-CA"/>
        </w:rPr>
        <w:t>).</w:t>
      </w:r>
    </w:p>
    <w:p w14:paraId="7412EECB" w14:textId="15BFC821" w:rsidR="008D57DD" w:rsidRPr="006B2147" w:rsidRDefault="00B37A58" w:rsidP="00441741">
      <w:pPr>
        <w:pStyle w:val="Paragraphe"/>
        <w:spacing w:line="280" w:lineRule="exact"/>
        <w:rPr>
          <w:lang w:val="en-CA"/>
        </w:rPr>
      </w:pPr>
      <w:r>
        <w:rPr>
          <w:lang w:val="en-CA"/>
        </w:rPr>
        <w:t>Acting as an extradition judge</w:t>
      </w:r>
      <w:r w:rsidR="00F4485B" w:rsidRPr="006B2147">
        <w:rPr>
          <w:lang w:val="en-CA"/>
        </w:rPr>
        <w:t xml:space="preserve">, </w:t>
      </w:r>
      <w:r>
        <w:rPr>
          <w:lang w:val="en-CA"/>
        </w:rPr>
        <w:t>the judge then</w:t>
      </w:r>
      <w:r w:rsidR="006E2C37">
        <w:rPr>
          <w:lang w:val="en-CA"/>
        </w:rPr>
        <w:t xml:space="preserve"> had to</w:t>
      </w:r>
      <w:r>
        <w:rPr>
          <w:lang w:val="en-CA"/>
        </w:rPr>
        <w:t xml:space="preserve"> determine</w:t>
      </w:r>
      <w:r w:rsidR="00F4485B" w:rsidRPr="006B2147">
        <w:rPr>
          <w:lang w:val="en-CA"/>
        </w:rPr>
        <w:t xml:space="preserve">, </w:t>
      </w:r>
      <w:r>
        <w:rPr>
          <w:lang w:val="en-CA"/>
        </w:rPr>
        <w:t>pursuant to s.</w:t>
      </w:r>
      <w:r w:rsidR="00BD758E">
        <w:rPr>
          <w:lang w:val="en-CA"/>
        </w:rPr>
        <w:t> </w:t>
      </w:r>
      <w:r w:rsidR="00F4485B" w:rsidRPr="006B2147">
        <w:rPr>
          <w:lang w:val="en-CA"/>
        </w:rPr>
        <w:t>29(1)</w:t>
      </w:r>
      <w:r>
        <w:rPr>
          <w:lang w:val="en-CA"/>
        </w:rPr>
        <w:t>(</w:t>
      </w:r>
      <w:r w:rsidR="00F4485B" w:rsidRPr="006B2147">
        <w:rPr>
          <w:i/>
          <w:iCs/>
          <w:lang w:val="en-CA"/>
        </w:rPr>
        <w:t>a</w:t>
      </w:r>
      <w:r w:rsidR="00F4485B" w:rsidRPr="006B2147">
        <w:rPr>
          <w:lang w:val="en-CA"/>
        </w:rPr>
        <w:t xml:space="preserve">) </w:t>
      </w:r>
      <w:r>
        <w:rPr>
          <w:lang w:val="en-CA"/>
        </w:rPr>
        <w:t>of the Act</w:t>
      </w:r>
      <w:r w:rsidR="00F4485B" w:rsidRPr="006B2147">
        <w:rPr>
          <w:lang w:val="en-CA"/>
        </w:rPr>
        <w:t xml:space="preserve">, </w:t>
      </w:r>
      <w:r w:rsidR="006E2C37">
        <w:rPr>
          <w:lang w:val="en-CA"/>
        </w:rPr>
        <w:t>whether</w:t>
      </w:r>
      <w:r>
        <w:rPr>
          <w:lang w:val="en-CA"/>
        </w:rPr>
        <w:t xml:space="preserve"> he ha</w:t>
      </w:r>
      <w:r w:rsidR="006E2C37">
        <w:rPr>
          <w:lang w:val="en-CA"/>
        </w:rPr>
        <w:t>d</w:t>
      </w:r>
      <w:r>
        <w:rPr>
          <w:lang w:val="en-CA"/>
        </w:rPr>
        <w:t xml:space="preserve"> </w:t>
      </w:r>
      <w:r w:rsidRPr="005576E4">
        <w:rPr>
          <w:lang w:val="en-CA"/>
        </w:rPr>
        <w:t>sufficient evidence to order the committal of Mr.</w:t>
      </w:r>
      <w:r w:rsidR="00BD758E">
        <w:rPr>
          <w:lang w:val="en-CA"/>
        </w:rPr>
        <w:t> </w:t>
      </w:r>
      <w:r w:rsidRPr="005576E4">
        <w:rPr>
          <w:lang w:val="en-CA"/>
        </w:rPr>
        <w:t xml:space="preserve">Brahimi into custody </w:t>
      </w:r>
      <w:r>
        <w:rPr>
          <w:lang w:val="en-CA"/>
        </w:rPr>
        <w:t>pending his</w:t>
      </w:r>
      <w:r w:rsidRPr="005576E4">
        <w:rPr>
          <w:lang w:val="en-CA"/>
        </w:rPr>
        <w:t xml:space="preserve"> surrende</w:t>
      </w:r>
      <w:r>
        <w:rPr>
          <w:lang w:val="en-CA"/>
        </w:rPr>
        <w:t>r to Albanian authorities</w:t>
      </w:r>
      <w:r w:rsidR="00F4485B" w:rsidRPr="006B2147">
        <w:rPr>
          <w:lang w:val="en-CA"/>
        </w:rPr>
        <w:t>.</w:t>
      </w:r>
    </w:p>
    <w:p w14:paraId="4FEA935A" w14:textId="72BFEEB3" w:rsidR="00E07D83" w:rsidRPr="006B2147" w:rsidRDefault="00B37A58" w:rsidP="00441741">
      <w:pPr>
        <w:pStyle w:val="Paragraphe"/>
        <w:spacing w:line="280" w:lineRule="exact"/>
        <w:rPr>
          <w:lang w:val="en-CA"/>
        </w:rPr>
      </w:pPr>
      <w:r>
        <w:rPr>
          <w:lang w:val="en-CA"/>
        </w:rPr>
        <w:t>Finding that the photo array used during the identification was unfair, and</w:t>
      </w:r>
      <w:r w:rsidR="00BE469F">
        <w:rPr>
          <w:lang w:val="en-CA"/>
        </w:rPr>
        <w:t xml:space="preserve"> that</w:t>
      </w:r>
      <w:r>
        <w:rPr>
          <w:lang w:val="en-CA"/>
        </w:rPr>
        <w:t xml:space="preserve"> the testimony of the two eyewitnesses that had identified M</w:t>
      </w:r>
      <w:r w:rsidR="006E2C37">
        <w:rPr>
          <w:lang w:val="en-CA"/>
        </w:rPr>
        <w:t>r</w:t>
      </w:r>
      <w:r>
        <w:rPr>
          <w:lang w:val="en-CA"/>
        </w:rPr>
        <w:t>. Brahimi during the photo lineups that took place on January 15 and 16,</w:t>
      </w:r>
      <w:r w:rsidRPr="006B2147">
        <w:rPr>
          <w:lang w:val="en-CA"/>
        </w:rPr>
        <w:t xml:space="preserve"> 2001 </w:t>
      </w:r>
      <w:r w:rsidR="00BE469F">
        <w:rPr>
          <w:lang w:val="en-CA"/>
        </w:rPr>
        <w:t>was</w:t>
      </w:r>
      <w:r w:rsidR="00BE469F" w:rsidRPr="00BE469F">
        <w:rPr>
          <w:lang w:val="en-CA"/>
        </w:rPr>
        <w:t xml:space="preserve"> </w:t>
      </w:r>
      <w:r w:rsidR="00D614DB">
        <w:rPr>
          <w:lang w:val="en-CA"/>
        </w:rPr>
        <w:t xml:space="preserve">so </w:t>
      </w:r>
      <w:r w:rsidR="006E2C37">
        <w:rPr>
          <w:lang w:val="en-CA"/>
        </w:rPr>
        <w:t>manifestly</w:t>
      </w:r>
      <w:r w:rsidR="00D614DB">
        <w:rPr>
          <w:lang w:val="en-CA"/>
        </w:rPr>
        <w:t xml:space="preserve"> </w:t>
      </w:r>
      <w:r w:rsidR="00BE469F" w:rsidRPr="00BE469F">
        <w:rPr>
          <w:lang w:val="en-CA"/>
        </w:rPr>
        <w:t>unreliable that</w:t>
      </w:r>
      <w:r w:rsidR="00BE469F">
        <w:rPr>
          <w:lang w:val="en-CA"/>
        </w:rPr>
        <w:t xml:space="preserve"> Mr.</w:t>
      </w:r>
      <w:r w:rsidR="00BD758E">
        <w:rPr>
          <w:lang w:val="en-CA"/>
        </w:rPr>
        <w:t> </w:t>
      </w:r>
      <w:r w:rsidR="00BE469F">
        <w:rPr>
          <w:lang w:val="en-CA"/>
        </w:rPr>
        <w:t>Brahimi’s</w:t>
      </w:r>
      <w:r w:rsidR="00BE469F" w:rsidRPr="00BE469F">
        <w:rPr>
          <w:lang w:val="en-CA"/>
        </w:rPr>
        <w:t xml:space="preserve"> extradition would be a miscarriage of justice</w:t>
      </w:r>
      <w:r w:rsidR="00BE469F">
        <w:rPr>
          <w:lang w:val="en-CA"/>
        </w:rPr>
        <w:t>,</w:t>
      </w:r>
      <w:r>
        <w:rPr>
          <w:rStyle w:val="Appelnotedebasdep"/>
          <w:lang w:val="en-CA"/>
        </w:rPr>
        <w:footnoteReference w:id="3"/>
      </w:r>
      <w:r w:rsidR="00BE469F">
        <w:rPr>
          <w:lang w:val="en-CA"/>
        </w:rPr>
        <w:t xml:space="preserve"> the judge ordered his </w:t>
      </w:r>
      <w:r w:rsidR="006E2C37">
        <w:rPr>
          <w:lang w:val="en-CA"/>
        </w:rPr>
        <w:t>discharge</w:t>
      </w:r>
      <w:r w:rsidRPr="006B2147">
        <w:rPr>
          <w:lang w:val="en-CA"/>
        </w:rPr>
        <w:t>.</w:t>
      </w:r>
    </w:p>
    <w:p w14:paraId="00811AFF" w14:textId="307E24D4" w:rsidR="0060565D" w:rsidRPr="006B2147" w:rsidRDefault="00B37A58" w:rsidP="00441741">
      <w:pPr>
        <w:pStyle w:val="Paragraphe"/>
        <w:spacing w:line="280" w:lineRule="exact"/>
        <w:rPr>
          <w:lang w:val="en-CA"/>
        </w:rPr>
      </w:pPr>
      <w:r>
        <w:rPr>
          <w:lang w:val="en-CA"/>
        </w:rPr>
        <w:t xml:space="preserve">The appellant argues that in making that finding, the judge exceeded his role </w:t>
      </w:r>
      <w:r w:rsidR="00D614DB">
        <w:rPr>
          <w:lang w:val="en-CA"/>
        </w:rPr>
        <w:t>in</w:t>
      </w:r>
      <w:r>
        <w:rPr>
          <w:lang w:val="en-CA"/>
        </w:rPr>
        <w:t xml:space="preserve"> assessing the ultimate reliability of the identification evidence</w:t>
      </w:r>
      <w:r w:rsidR="00901249">
        <w:rPr>
          <w:lang w:val="en-CA"/>
        </w:rPr>
        <w:t>, whereas that assessment is properly within the jurisdiction of the trial judge</w:t>
      </w:r>
      <w:r w:rsidR="001F1B9A" w:rsidRPr="006B2147">
        <w:rPr>
          <w:lang w:val="en-CA"/>
        </w:rPr>
        <w:t xml:space="preserve">. </w:t>
      </w:r>
      <w:r w:rsidR="00D614DB">
        <w:rPr>
          <w:lang w:val="en-CA"/>
        </w:rPr>
        <w:t xml:space="preserve">The appellant </w:t>
      </w:r>
      <w:r w:rsidR="00901249">
        <w:rPr>
          <w:lang w:val="en-CA"/>
        </w:rPr>
        <w:t xml:space="preserve">submits that the judge </w:t>
      </w:r>
      <w:r w:rsidR="00901249">
        <w:rPr>
          <w:lang w:val="en-CA"/>
        </w:rPr>
        <w:lastRenderedPageBreak/>
        <w:t>further erred</w:t>
      </w:r>
      <w:r w:rsidR="00A378F6" w:rsidRPr="006B2147">
        <w:rPr>
          <w:lang w:val="en-CA"/>
        </w:rPr>
        <w:t xml:space="preserve"> </w:t>
      </w:r>
      <w:r w:rsidR="00901249">
        <w:rPr>
          <w:lang w:val="en-CA"/>
        </w:rPr>
        <w:t xml:space="preserve">in </w:t>
      </w:r>
      <w:r w:rsidR="00901249" w:rsidRPr="00901249">
        <w:rPr>
          <w:lang w:val="en-CA"/>
        </w:rPr>
        <w:t>appl</w:t>
      </w:r>
      <w:r w:rsidR="00901249">
        <w:rPr>
          <w:lang w:val="en-CA"/>
        </w:rPr>
        <w:t>ying</w:t>
      </w:r>
      <w:r w:rsidR="00901249" w:rsidRPr="00901249">
        <w:rPr>
          <w:lang w:val="en-CA"/>
        </w:rPr>
        <w:t xml:space="preserve"> Canadian evidentiary standards to </w:t>
      </w:r>
      <w:r w:rsidR="00901249">
        <w:rPr>
          <w:lang w:val="en-CA"/>
        </w:rPr>
        <w:t xml:space="preserve">the </w:t>
      </w:r>
      <w:r w:rsidR="00901249" w:rsidRPr="00901249">
        <w:rPr>
          <w:lang w:val="en-CA"/>
        </w:rPr>
        <w:t>evidence</w:t>
      </w:r>
      <w:r w:rsidR="00901249">
        <w:rPr>
          <w:lang w:val="en-CA"/>
        </w:rPr>
        <w:t xml:space="preserve"> collected in Albania, and in </w:t>
      </w:r>
      <w:r w:rsidR="00901249" w:rsidRPr="00901249">
        <w:rPr>
          <w:lang w:val="en-CA"/>
        </w:rPr>
        <w:t>rebutt</w:t>
      </w:r>
      <w:r w:rsidR="00BD155E">
        <w:rPr>
          <w:lang w:val="en-CA"/>
        </w:rPr>
        <w:t>ing</w:t>
      </w:r>
      <w:r w:rsidR="00901249" w:rsidRPr="00901249">
        <w:rPr>
          <w:lang w:val="en-CA"/>
        </w:rPr>
        <w:t xml:space="preserve"> the presumption of availability and reliability of the identification evidence without an evidentiary basis</w:t>
      </w:r>
      <w:r w:rsidR="00F4485B" w:rsidRPr="006B2147">
        <w:rPr>
          <w:lang w:val="en-CA"/>
        </w:rPr>
        <w:t>.</w:t>
      </w:r>
    </w:p>
    <w:p w14:paraId="67CAAC6E" w14:textId="6F3D6C1B" w:rsidR="0060565D" w:rsidRPr="006B2147" w:rsidRDefault="00B37A58" w:rsidP="00441741">
      <w:pPr>
        <w:pStyle w:val="Paragraphe"/>
        <w:spacing w:line="280" w:lineRule="exact"/>
        <w:rPr>
          <w:lang w:val="en-CA"/>
        </w:rPr>
      </w:pPr>
      <w:r>
        <w:rPr>
          <w:lang w:val="en-CA"/>
        </w:rPr>
        <w:t>In my view, the judgment is tainted by no such error and the appeal should be dismissed</w:t>
      </w:r>
      <w:r w:rsidR="00F4485B" w:rsidRPr="006B2147">
        <w:rPr>
          <w:lang w:val="en-CA"/>
        </w:rPr>
        <w:t xml:space="preserve">. </w:t>
      </w:r>
    </w:p>
    <w:p w14:paraId="742A0466" w14:textId="53DBD1CA" w:rsidR="009703F6" w:rsidRPr="006B2147" w:rsidRDefault="00B37A58" w:rsidP="00441741">
      <w:pPr>
        <w:pStyle w:val="Titre1"/>
        <w:spacing w:line="280" w:lineRule="exact"/>
        <w:rPr>
          <w:lang w:val="en-CA"/>
        </w:rPr>
      </w:pPr>
      <w:r w:rsidRPr="006B2147">
        <w:rPr>
          <w:lang w:val="en-CA"/>
        </w:rPr>
        <w:t>II.</w:t>
      </w:r>
      <w:r w:rsidR="00C27AC3" w:rsidRPr="006B2147">
        <w:rPr>
          <w:lang w:val="en-CA"/>
        </w:rPr>
        <w:tab/>
      </w:r>
      <w:r w:rsidR="00E777DE">
        <w:rPr>
          <w:lang w:val="en-CA"/>
        </w:rPr>
        <w:t>BACKGROUND</w:t>
      </w:r>
      <w:r w:rsidR="006326C8" w:rsidRPr="006B2147">
        <w:rPr>
          <w:lang w:val="en-CA"/>
        </w:rPr>
        <w:t xml:space="preserve"> </w:t>
      </w:r>
    </w:p>
    <w:p w14:paraId="642792C1" w14:textId="2FE923B3" w:rsidR="001F1B9A" w:rsidRPr="006B2147" w:rsidRDefault="00B37A58" w:rsidP="00441741">
      <w:pPr>
        <w:pStyle w:val="Paragraphe"/>
        <w:spacing w:line="280" w:lineRule="exact"/>
        <w:rPr>
          <w:lang w:val="en-CA"/>
        </w:rPr>
      </w:pPr>
      <w:bookmarkStart w:id="12" w:name="_Hlk205316188"/>
      <w:r>
        <w:rPr>
          <w:lang w:val="en-CA"/>
        </w:rPr>
        <w:t xml:space="preserve">The facts </w:t>
      </w:r>
      <w:r w:rsidR="00706C67">
        <w:rPr>
          <w:lang w:val="en-CA"/>
        </w:rPr>
        <w:t xml:space="preserve">that gave rise to the </w:t>
      </w:r>
      <w:r>
        <w:rPr>
          <w:lang w:val="en-CA"/>
        </w:rPr>
        <w:t xml:space="preserve">extradition request are summarized in the </w:t>
      </w:r>
      <w:r w:rsidR="00E5778C">
        <w:rPr>
          <w:lang w:val="en-CA"/>
        </w:rPr>
        <w:t xml:space="preserve">certified </w:t>
      </w:r>
      <w:r w:rsidRPr="00E777DE">
        <w:rPr>
          <w:lang w:val="en-CA"/>
        </w:rPr>
        <w:t xml:space="preserve">record of the case </w:t>
      </w:r>
      <w:r w:rsidR="00023DAA" w:rsidRPr="006B2147">
        <w:rPr>
          <w:lang w:val="en-CA"/>
        </w:rPr>
        <w:t>(</w:t>
      </w:r>
      <w:r>
        <w:rPr>
          <w:lang w:val="en-CA"/>
        </w:rPr>
        <w:t>“</w:t>
      </w:r>
      <w:r w:rsidR="00706C67">
        <w:rPr>
          <w:lang w:val="en-CA"/>
        </w:rPr>
        <w:t>ROC</w:t>
      </w:r>
      <w:r>
        <w:rPr>
          <w:lang w:val="en-CA"/>
        </w:rPr>
        <w:t>”</w:t>
      </w:r>
      <w:r w:rsidR="00023DAA" w:rsidRPr="006B2147">
        <w:rPr>
          <w:lang w:val="en-CA"/>
        </w:rPr>
        <w:t>)</w:t>
      </w:r>
      <w:r w:rsidR="00CB4836" w:rsidRPr="006B2147">
        <w:rPr>
          <w:lang w:val="en-CA"/>
        </w:rPr>
        <w:t xml:space="preserve"> </w:t>
      </w:r>
      <w:r>
        <w:rPr>
          <w:lang w:val="en-CA"/>
        </w:rPr>
        <w:t>dated</w:t>
      </w:r>
      <w:r w:rsidR="0051761B" w:rsidRPr="006B2147">
        <w:rPr>
          <w:lang w:val="en-CA"/>
        </w:rPr>
        <w:t xml:space="preserve"> </w:t>
      </w:r>
      <w:r w:rsidR="00706C67">
        <w:rPr>
          <w:lang w:val="en-CA"/>
        </w:rPr>
        <w:t xml:space="preserve">June 27, </w:t>
      </w:r>
      <w:r w:rsidR="0051761B" w:rsidRPr="006B2147">
        <w:rPr>
          <w:lang w:val="en-CA"/>
        </w:rPr>
        <w:t xml:space="preserve">2022 </w:t>
      </w:r>
      <w:r w:rsidR="00706C67">
        <w:rPr>
          <w:lang w:val="en-CA"/>
        </w:rPr>
        <w:t xml:space="preserve">and in the supplemental </w:t>
      </w:r>
      <w:r w:rsidR="00E5778C">
        <w:rPr>
          <w:lang w:val="en-CA"/>
        </w:rPr>
        <w:t xml:space="preserve">certified </w:t>
      </w:r>
      <w:r w:rsidR="00706C67">
        <w:rPr>
          <w:lang w:val="en-CA"/>
        </w:rPr>
        <w:t>record of the case</w:t>
      </w:r>
      <w:r w:rsidR="00023DAA" w:rsidRPr="006B2147">
        <w:rPr>
          <w:lang w:val="en-CA"/>
        </w:rPr>
        <w:t xml:space="preserve"> (</w:t>
      </w:r>
      <w:r w:rsidR="00706C67">
        <w:rPr>
          <w:lang w:val="en-CA"/>
        </w:rPr>
        <w:t>“SROC</w:t>
      </w:r>
      <w:r w:rsidR="00023DAA" w:rsidRPr="006B2147">
        <w:rPr>
          <w:lang w:val="en-CA"/>
        </w:rPr>
        <w:t>»)</w:t>
      </w:r>
      <w:r w:rsidR="00CB4836" w:rsidRPr="006B2147">
        <w:rPr>
          <w:lang w:val="en-CA"/>
        </w:rPr>
        <w:t xml:space="preserve"> </w:t>
      </w:r>
      <w:r w:rsidR="00706C67">
        <w:rPr>
          <w:lang w:val="en-CA"/>
        </w:rPr>
        <w:t>dated June 5,</w:t>
      </w:r>
      <w:r w:rsidR="00A308E1" w:rsidRPr="006B2147">
        <w:rPr>
          <w:lang w:val="en-CA"/>
        </w:rPr>
        <w:t xml:space="preserve"> </w:t>
      </w:r>
      <w:r w:rsidR="00023DAA" w:rsidRPr="006B2147">
        <w:rPr>
          <w:lang w:val="en-CA"/>
        </w:rPr>
        <w:t xml:space="preserve">2023, </w:t>
      </w:r>
      <w:r w:rsidR="007C55BC">
        <w:rPr>
          <w:lang w:val="en-CA"/>
        </w:rPr>
        <w:t xml:space="preserve">both </w:t>
      </w:r>
      <w:r w:rsidR="00706C67">
        <w:rPr>
          <w:lang w:val="en-CA"/>
        </w:rPr>
        <w:t xml:space="preserve">prepared by </w:t>
      </w:r>
      <w:r w:rsidR="00A5200E" w:rsidRPr="006B2147">
        <w:rPr>
          <w:lang w:val="en-CA"/>
        </w:rPr>
        <w:t xml:space="preserve">Ervisa Hyka, </w:t>
      </w:r>
      <w:r w:rsidR="007C55BC">
        <w:rPr>
          <w:lang w:val="en-CA"/>
        </w:rPr>
        <w:t xml:space="preserve">the </w:t>
      </w:r>
      <w:r w:rsidR="00706C67">
        <w:rPr>
          <w:lang w:val="en-CA"/>
        </w:rPr>
        <w:t xml:space="preserve">prosecutor </w:t>
      </w:r>
      <w:r w:rsidR="007C55BC">
        <w:rPr>
          <w:lang w:val="en-CA"/>
        </w:rPr>
        <w:t>of</w:t>
      </w:r>
      <w:r w:rsidR="00706C67">
        <w:rPr>
          <w:lang w:val="en-CA"/>
        </w:rPr>
        <w:t xml:space="preserve"> the</w:t>
      </w:r>
      <w:r w:rsidR="00A5200E" w:rsidRPr="006B2147">
        <w:rPr>
          <w:lang w:val="en-CA"/>
        </w:rPr>
        <w:t xml:space="preserve"> </w:t>
      </w:r>
      <w:r w:rsidR="00706C67">
        <w:rPr>
          <w:lang w:val="en-CA"/>
        </w:rPr>
        <w:t>District</w:t>
      </w:r>
      <w:r w:rsidR="007C55BC">
        <w:rPr>
          <w:lang w:val="en-CA"/>
        </w:rPr>
        <w:t xml:space="preserve"> of Fier</w:t>
      </w:r>
      <w:r w:rsidR="00A5200E" w:rsidRPr="006B2147">
        <w:rPr>
          <w:lang w:val="en-CA"/>
        </w:rPr>
        <w:t xml:space="preserve"> </w:t>
      </w:r>
      <w:r w:rsidR="00706C67">
        <w:rPr>
          <w:lang w:val="en-CA"/>
        </w:rPr>
        <w:t>in charge of the case</w:t>
      </w:r>
      <w:r w:rsidR="00A5200E" w:rsidRPr="006B2147">
        <w:rPr>
          <w:lang w:val="en-CA"/>
        </w:rPr>
        <w:t xml:space="preserve"> (</w:t>
      </w:r>
      <w:r w:rsidR="00706C67">
        <w:rPr>
          <w:lang w:val="en-CA"/>
        </w:rPr>
        <w:t>“prosecutor</w:t>
      </w:r>
      <w:r w:rsidR="00A5200E" w:rsidRPr="006B2147">
        <w:rPr>
          <w:lang w:val="en-CA"/>
        </w:rPr>
        <w:t xml:space="preserve"> Hyka</w:t>
      </w:r>
      <w:r w:rsidR="00706C67">
        <w:rPr>
          <w:lang w:val="en-CA"/>
        </w:rPr>
        <w:t>”</w:t>
      </w:r>
      <w:r w:rsidR="00A5200E" w:rsidRPr="006B2147">
        <w:rPr>
          <w:lang w:val="en-CA"/>
        </w:rPr>
        <w:t xml:space="preserve">), </w:t>
      </w:r>
      <w:r w:rsidR="00706C67">
        <w:rPr>
          <w:lang w:val="en-CA"/>
        </w:rPr>
        <w:t>which were submitted by the Albanian authorities</w:t>
      </w:r>
      <w:r w:rsidR="00A378F6" w:rsidRPr="006B2147">
        <w:rPr>
          <w:lang w:val="en-CA"/>
        </w:rPr>
        <w:t>.</w:t>
      </w:r>
    </w:p>
    <w:p w14:paraId="052CD512" w14:textId="4F2C4C47" w:rsidR="00517AC0" w:rsidRPr="006B2147" w:rsidRDefault="00B37A58" w:rsidP="00441741">
      <w:pPr>
        <w:pStyle w:val="Paragraphe"/>
        <w:spacing w:line="280" w:lineRule="exact"/>
        <w:rPr>
          <w:lang w:val="en-CA"/>
        </w:rPr>
      </w:pPr>
      <w:r>
        <w:rPr>
          <w:lang w:val="en-CA"/>
        </w:rPr>
        <w:t xml:space="preserve">The ROC is based on evidence gathered during the police investigation as well as on the court record that led to the </w:t>
      </w:r>
      <w:r w:rsidR="0016139A">
        <w:rPr>
          <w:lang w:val="en-CA"/>
        </w:rPr>
        <w:t>convictions</w:t>
      </w:r>
      <w:r>
        <w:rPr>
          <w:lang w:val="en-CA"/>
        </w:rPr>
        <w:t xml:space="preserve"> and </w:t>
      </w:r>
      <w:r w:rsidR="0016139A">
        <w:rPr>
          <w:lang w:val="en-CA"/>
        </w:rPr>
        <w:t xml:space="preserve">the </w:t>
      </w:r>
      <w:r>
        <w:rPr>
          <w:lang w:val="en-CA"/>
        </w:rPr>
        <w:t>sentence entered by the Albanian Court on May 21, 2001.</w:t>
      </w:r>
      <w:r w:rsidR="00A5200E" w:rsidRPr="006B2147">
        <w:rPr>
          <w:lang w:val="en-CA"/>
        </w:rPr>
        <w:t xml:space="preserve"> </w:t>
      </w:r>
      <w:r>
        <w:rPr>
          <w:lang w:val="en-CA"/>
        </w:rPr>
        <w:t xml:space="preserve">The SROC is intended to </w:t>
      </w:r>
      <w:r w:rsidR="0050663B">
        <w:rPr>
          <w:lang w:val="en-CA"/>
        </w:rPr>
        <w:t>supp</w:t>
      </w:r>
      <w:r>
        <w:rPr>
          <w:lang w:val="en-CA"/>
        </w:rPr>
        <w:t>lement the ROC</w:t>
      </w:r>
      <w:r w:rsidRPr="006B2147">
        <w:rPr>
          <w:lang w:val="en-CA"/>
        </w:rPr>
        <w:t xml:space="preserve">. </w:t>
      </w:r>
    </w:p>
    <w:p w14:paraId="410826FB" w14:textId="36F07157" w:rsidR="002E128F" w:rsidRPr="006B2147" w:rsidRDefault="00B37A58" w:rsidP="00441741">
      <w:pPr>
        <w:pStyle w:val="Titre2"/>
        <w:keepNext/>
        <w:spacing w:line="280" w:lineRule="exact"/>
        <w:ind w:left="714" w:hanging="357"/>
        <w:rPr>
          <w:lang w:val="en-CA"/>
        </w:rPr>
      </w:pPr>
      <w:r>
        <w:rPr>
          <w:lang w:val="en-CA"/>
        </w:rPr>
        <w:t>The events that occurred on August 10, 2000</w:t>
      </w:r>
    </w:p>
    <w:p w14:paraId="72AD0F8A" w14:textId="4304EAEA" w:rsidR="00B149AA" w:rsidRPr="006B2147" w:rsidRDefault="00B37A58" w:rsidP="00441741">
      <w:pPr>
        <w:pStyle w:val="Paragraphe"/>
        <w:spacing w:line="280" w:lineRule="exact"/>
        <w:rPr>
          <w:lang w:val="en-CA"/>
        </w:rPr>
      </w:pPr>
      <w:r>
        <w:rPr>
          <w:lang w:val="en-CA"/>
        </w:rPr>
        <w:t>The case involves the murder of the former chief of criminal investigations for the Albanian district of</w:t>
      </w:r>
      <w:r w:rsidR="00083731" w:rsidRPr="006B2147">
        <w:rPr>
          <w:lang w:val="en-CA"/>
        </w:rPr>
        <w:t xml:space="preserve"> </w:t>
      </w:r>
      <w:r w:rsidR="00E61B60" w:rsidRPr="006B2147">
        <w:rPr>
          <w:lang w:val="en-CA"/>
        </w:rPr>
        <w:t xml:space="preserve">Fier, Astrit Brace </w:t>
      </w:r>
      <w:r w:rsidR="00083731" w:rsidRPr="006B2147">
        <w:rPr>
          <w:lang w:val="en-CA"/>
        </w:rPr>
        <w:t>(</w:t>
      </w:r>
      <w:r>
        <w:rPr>
          <w:lang w:val="en-CA"/>
        </w:rPr>
        <w:t>“</w:t>
      </w:r>
      <w:r w:rsidR="00083731" w:rsidRPr="006B2147">
        <w:rPr>
          <w:lang w:val="en-CA"/>
        </w:rPr>
        <w:t>M</w:t>
      </w:r>
      <w:r>
        <w:rPr>
          <w:lang w:val="en-CA"/>
        </w:rPr>
        <w:t>r</w:t>
      </w:r>
      <w:r w:rsidR="00083731" w:rsidRPr="006B2147">
        <w:rPr>
          <w:lang w:val="en-CA"/>
        </w:rPr>
        <w:t>. Brace</w:t>
      </w:r>
      <w:r>
        <w:rPr>
          <w:lang w:val="en-CA"/>
        </w:rPr>
        <w:t>”</w:t>
      </w:r>
      <w:r w:rsidR="00085AFA" w:rsidRPr="006B2147">
        <w:rPr>
          <w:lang w:val="en-CA"/>
        </w:rPr>
        <w:t> </w:t>
      </w:r>
      <w:r>
        <w:rPr>
          <w:lang w:val="en-CA"/>
        </w:rPr>
        <w:t xml:space="preserve">or “officer </w:t>
      </w:r>
      <w:r w:rsidR="00F224C3" w:rsidRPr="006B2147">
        <w:rPr>
          <w:lang w:val="en-CA"/>
        </w:rPr>
        <w:t>Brace</w:t>
      </w:r>
      <w:r>
        <w:rPr>
          <w:lang w:val="en-CA"/>
        </w:rPr>
        <w:t>”</w:t>
      </w:r>
      <w:r w:rsidR="00083731" w:rsidRPr="006B2147">
        <w:rPr>
          <w:lang w:val="en-CA"/>
        </w:rPr>
        <w:t>),</w:t>
      </w:r>
      <w:r w:rsidR="00EA0904">
        <w:rPr>
          <w:lang w:val="en-CA"/>
        </w:rPr>
        <w:t xml:space="preserve"> </w:t>
      </w:r>
      <w:r>
        <w:rPr>
          <w:lang w:val="en-CA"/>
        </w:rPr>
        <w:t>that of his 8 year-old son</w:t>
      </w:r>
      <w:r w:rsidR="00E61B60" w:rsidRPr="006B2147">
        <w:rPr>
          <w:lang w:val="en-CA"/>
        </w:rPr>
        <w:t xml:space="preserve">, </w:t>
      </w:r>
      <w:r w:rsidR="00194B9B">
        <w:rPr>
          <w:lang w:val="en-CA"/>
        </w:rPr>
        <w:t>X</w:t>
      </w:r>
      <w:r w:rsidR="00E61B60" w:rsidRPr="006B2147">
        <w:rPr>
          <w:lang w:val="en-CA"/>
        </w:rPr>
        <w:t xml:space="preserve"> (</w:t>
      </w:r>
      <w:r>
        <w:rPr>
          <w:lang w:val="en-CA"/>
        </w:rPr>
        <w:t>“</w:t>
      </w:r>
      <w:r w:rsidR="00194B9B">
        <w:rPr>
          <w:lang w:val="en-CA"/>
        </w:rPr>
        <w:t>X</w:t>
      </w:r>
      <w:r>
        <w:rPr>
          <w:lang w:val="en-CA"/>
        </w:rPr>
        <w:t>”</w:t>
      </w:r>
      <w:r w:rsidR="00E61B60" w:rsidRPr="006B2147">
        <w:rPr>
          <w:lang w:val="en-CA"/>
        </w:rPr>
        <w:t xml:space="preserve">), </w:t>
      </w:r>
      <w:r>
        <w:rPr>
          <w:lang w:val="en-CA"/>
        </w:rPr>
        <w:t>and the attempted murder of his nephew</w:t>
      </w:r>
      <w:r w:rsidR="00083731" w:rsidRPr="006B2147">
        <w:rPr>
          <w:lang w:val="en-CA"/>
        </w:rPr>
        <w:t xml:space="preserve"> </w:t>
      </w:r>
      <w:r w:rsidR="00194B9B">
        <w:rPr>
          <w:lang w:val="en-CA"/>
        </w:rPr>
        <w:t>Y</w:t>
      </w:r>
      <w:r w:rsidR="00E61B60" w:rsidRPr="006B2147">
        <w:rPr>
          <w:lang w:val="en-CA"/>
        </w:rPr>
        <w:t xml:space="preserve"> (</w:t>
      </w:r>
      <w:r>
        <w:rPr>
          <w:lang w:val="en-CA"/>
        </w:rPr>
        <w:t>“</w:t>
      </w:r>
      <w:r w:rsidR="00EA0904">
        <w:rPr>
          <w:lang w:val="en-CA"/>
        </w:rPr>
        <w:t>Mr.</w:t>
      </w:r>
      <w:r w:rsidR="00BD758E">
        <w:rPr>
          <w:lang w:val="en-CA"/>
        </w:rPr>
        <w:t> </w:t>
      </w:r>
      <w:r w:rsidR="00194B9B">
        <w:rPr>
          <w:lang w:val="en-CA"/>
        </w:rPr>
        <w:t>Y</w:t>
      </w:r>
      <w:r>
        <w:rPr>
          <w:lang w:val="en-CA"/>
        </w:rPr>
        <w:t>”</w:t>
      </w:r>
      <w:r w:rsidR="00E61B60" w:rsidRPr="006B2147">
        <w:rPr>
          <w:lang w:val="en-CA"/>
        </w:rPr>
        <w:t xml:space="preserve">), </w:t>
      </w:r>
      <w:r w:rsidR="00EA0904">
        <w:rPr>
          <w:lang w:val="en-CA"/>
        </w:rPr>
        <w:t>who was ten years old</w:t>
      </w:r>
      <w:r w:rsidR="00E61B60" w:rsidRPr="006B2147">
        <w:rPr>
          <w:lang w:val="en-CA"/>
        </w:rPr>
        <w:t xml:space="preserve">, </w:t>
      </w:r>
      <w:r>
        <w:rPr>
          <w:lang w:val="en-CA"/>
        </w:rPr>
        <w:t>that occurred on August 10,</w:t>
      </w:r>
      <w:r w:rsidR="00A308E1" w:rsidRPr="006B2147">
        <w:rPr>
          <w:lang w:val="en-CA"/>
        </w:rPr>
        <w:t xml:space="preserve"> </w:t>
      </w:r>
      <w:r w:rsidR="00083731" w:rsidRPr="006B2147">
        <w:rPr>
          <w:lang w:val="en-CA"/>
        </w:rPr>
        <w:t>2000</w:t>
      </w:r>
      <w:bookmarkStart w:id="13" w:name="_Ref213402462"/>
      <w:r>
        <w:rPr>
          <w:lang w:val="en-CA"/>
        </w:rPr>
        <w:t>.</w:t>
      </w:r>
      <w:r>
        <w:rPr>
          <w:rStyle w:val="Appelnotedebasdep"/>
          <w:lang w:val="en-CA"/>
        </w:rPr>
        <w:footnoteReference w:id="4"/>
      </w:r>
      <w:bookmarkEnd w:id="13"/>
      <w:r w:rsidR="00083731" w:rsidRPr="006B2147">
        <w:rPr>
          <w:lang w:val="en-CA"/>
        </w:rPr>
        <w:t xml:space="preserve"> </w:t>
      </w:r>
    </w:p>
    <w:p w14:paraId="101DD667" w14:textId="058F9FC3" w:rsidR="00F51040" w:rsidRPr="006B2147" w:rsidRDefault="00B37A58" w:rsidP="00441741">
      <w:pPr>
        <w:pStyle w:val="Paragraphe"/>
        <w:spacing w:line="280" w:lineRule="exact"/>
        <w:rPr>
          <w:lang w:val="en-CA"/>
        </w:rPr>
      </w:pPr>
      <w:r>
        <w:rPr>
          <w:lang w:val="en-CA"/>
        </w:rPr>
        <w:t>That day, officer</w:t>
      </w:r>
      <w:r w:rsidR="00E61B60" w:rsidRPr="006B2147">
        <w:rPr>
          <w:lang w:val="en-CA"/>
        </w:rPr>
        <w:t xml:space="preserve"> Brace </w:t>
      </w:r>
      <w:r>
        <w:rPr>
          <w:lang w:val="en-CA"/>
        </w:rPr>
        <w:t>was not on duty</w:t>
      </w:r>
      <w:r w:rsidR="00E61B60" w:rsidRPr="006B2147">
        <w:rPr>
          <w:lang w:val="en-CA"/>
        </w:rPr>
        <w:t xml:space="preserve">. </w:t>
      </w:r>
      <w:r>
        <w:rPr>
          <w:lang w:val="en-CA"/>
        </w:rPr>
        <w:t>He was in a car in the company of his wife</w:t>
      </w:r>
      <w:r w:rsidR="00B149AA" w:rsidRPr="006B2147">
        <w:rPr>
          <w:lang w:val="en-CA"/>
        </w:rPr>
        <w:t>, Luljeta Brace (</w:t>
      </w:r>
      <w:r>
        <w:rPr>
          <w:lang w:val="en-CA"/>
        </w:rPr>
        <w:t>“</w:t>
      </w:r>
      <w:r w:rsidR="008847A1">
        <w:rPr>
          <w:lang w:val="en-CA"/>
        </w:rPr>
        <w:t>Mrs. Brace</w:t>
      </w:r>
      <w:r>
        <w:rPr>
          <w:lang w:val="en-CA"/>
        </w:rPr>
        <w:t>”</w:t>
      </w:r>
      <w:r w:rsidR="00B149AA" w:rsidRPr="006B2147">
        <w:rPr>
          <w:lang w:val="en-CA"/>
        </w:rPr>
        <w:t xml:space="preserve">), </w:t>
      </w:r>
      <w:r>
        <w:rPr>
          <w:lang w:val="en-CA"/>
        </w:rPr>
        <w:t>and four other passengers</w:t>
      </w:r>
      <w:r w:rsidR="00B149AA" w:rsidRPr="006B2147">
        <w:rPr>
          <w:lang w:val="en-CA"/>
        </w:rPr>
        <w:t xml:space="preserve">: </w:t>
      </w:r>
      <w:r>
        <w:rPr>
          <w:lang w:val="en-CA"/>
        </w:rPr>
        <w:t>his son</w:t>
      </w:r>
      <w:r w:rsidR="00B149AA" w:rsidRPr="006B2147">
        <w:rPr>
          <w:lang w:val="en-CA"/>
        </w:rPr>
        <w:t xml:space="preserve"> </w:t>
      </w:r>
      <w:r w:rsidR="00194B9B">
        <w:rPr>
          <w:lang w:val="en-CA"/>
        </w:rPr>
        <w:t>X</w:t>
      </w:r>
      <w:r w:rsidR="00B149AA" w:rsidRPr="006B2147">
        <w:rPr>
          <w:lang w:val="en-CA"/>
        </w:rPr>
        <w:t xml:space="preserve">, </w:t>
      </w:r>
      <w:r>
        <w:rPr>
          <w:lang w:val="en-CA"/>
        </w:rPr>
        <w:t>his daughter</w:t>
      </w:r>
      <w:r w:rsidR="00B149AA" w:rsidRPr="006B2147">
        <w:rPr>
          <w:lang w:val="en-CA"/>
        </w:rPr>
        <w:t xml:space="preserve"> </w:t>
      </w:r>
      <w:r w:rsidR="00194B9B">
        <w:rPr>
          <w:lang w:val="en-CA"/>
        </w:rPr>
        <w:t>Z</w:t>
      </w:r>
      <w:r w:rsidR="00B149AA" w:rsidRPr="006B2147">
        <w:rPr>
          <w:lang w:val="en-CA"/>
        </w:rPr>
        <w:t xml:space="preserve">, </w:t>
      </w:r>
      <w:r>
        <w:rPr>
          <w:lang w:val="en-CA"/>
        </w:rPr>
        <w:t>his nephew</w:t>
      </w:r>
      <w:r w:rsidR="00B149AA" w:rsidRPr="006B2147">
        <w:rPr>
          <w:lang w:val="en-CA"/>
        </w:rPr>
        <w:t xml:space="preserve"> </w:t>
      </w:r>
      <w:r w:rsidR="00EA0904">
        <w:rPr>
          <w:lang w:val="en-CA"/>
        </w:rPr>
        <w:t xml:space="preserve">Mr. </w:t>
      </w:r>
      <w:r w:rsidR="00194B9B">
        <w:rPr>
          <w:lang w:val="en-CA"/>
        </w:rPr>
        <w:t>Y</w:t>
      </w:r>
      <w:r w:rsidR="00B149AA" w:rsidRPr="006B2147">
        <w:rPr>
          <w:lang w:val="en-CA"/>
        </w:rPr>
        <w:t xml:space="preserve"> </w:t>
      </w:r>
      <w:r>
        <w:rPr>
          <w:lang w:val="en-CA"/>
        </w:rPr>
        <w:t xml:space="preserve">and his niece </w:t>
      </w:r>
      <w:r w:rsidR="00194B9B">
        <w:rPr>
          <w:lang w:val="en-CA"/>
        </w:rPr>
        <w:t>A</w:t>
      </w:r>
      <w:r w:rsidR="00B149AA" w:rsidRPr="006B2147">
        <w:rPr>
          <w:lang w:val="en-CA"/>
        </w:rPr>
        <w:t xml:space="preserve"> (</w:t>
      </w:r>
      <w:r>
        <w:rPr>
          <w:lang w:val="en-CA"/>
        </w:rPr>
        <w:t>“</w:t>
      </w:r>
      <w:r w:rsidR="00B149AA" w:rsidRPr="006B2147">
        <w:rPr>
          <w:lang w:val="en-CA"/>
        </w:rPr>
        <w:t>M</w:t>
      </w:r>
      <w:r>
        <w:rPr>
          <w:lang w:val="en-CA"/>
        </w:rPr>
        <w:t>s.</w:t>
      </w:r>
      <w:r w:rsidR="00A308E1" w:rsidRPr="006B2147">
        <w:rPr>
          <w:lang w:val="en-CA"/>
        </w:rPr>
        <w:t> </w:t>
      </w:r>
      <w:r w:rsidR="00194B9B">
        <w:rPr>
          <w:lang w:val="en-CA"/>
        </w:rPr>
        <w:t>A</w:t>
      </w:r>
      <w:r>
        <w:rPr>
          <w:lang w:val="en-CA"/>
        </w:rPr>
        <w:t>”</w:t>
      </w:r>
      <w:r w:rsidR="00B149AA" w:rsidRPr="006B2147">
        <w:rPr>
          <w:lang w:val="en-CA"/>
        </w:rPr>
        <w:t xml:space="preserve">). </w:t>
      </w:r>
      <w:r>
        <w:rPr>
          <w:lang w:val="en-CA"/>
        </w:rPr>
        <w:t xml:space="preserve">The family had left the beach on an unpaved access road when </w:t>
      </w:r>
      <w:r w:rsidR="003F135B">
        <w:rPr>
          <w:lang w:val="en-CA"/>
        </w:rPr>
        <w:t xml:space="preserve">an </w:t>
      </w:r>
      <w:r w:rsidR="00B149AA" w:rsidRPr="006B2147">
        <w:rPr>
          <w:lang w:val="en-CA"/>
        </w:rPr>
        <w:t>Audi</w:t>
      </w:r>
      <w:r w:rsidR="003F135B">
        <w:rPr>
          <w:lang w:val="en-CA"/>
        </w:rPr>
        <w:t xml:space="preserve"> automobile</w:t>
      </w:r>
      <w:r w:rsidR="00B149AA" w:rsidRPr="006B2147">
        <w:rPr>
          <w:lang w:val="en-CA"/>
        </w:rPr>
        <w:t xml:space="preserve"> </w:t>
      </w:r>
      <w:r>
        <w:rPr>
          <w:lang w:val="en-CA"/>
        </w:rPr>
        <w:t>came out of a small</w:t>
      </w:r>
      <w:r w:rsidR="00627A11">
        <w:rPr>
          <w:lang w:val="en-CA"/>
        </w:rPr>
        <w:t xml:space="preserve">, </w:t>
      </w:r>
      <w:r>
        <w:rPr>
          <w:lang w:val="en-CA"/>
        </w:rPr>
        <w:t>wooded area and ambushed them</w:t>
      </w:r>
      <w:r w:rsidR="00B149AA" w:rsidRPr="006B2147">
        <w:rPr>
          <w:lang w:val="en-CA"/>
        </w:rPr>
        <w:t>.</w:t>
      </w:r>
    </w:p>
    <w:p w14:paraId="7671FF81" w14:textId="50455208" w:rsidR="00B149AA" w:rsidRPr="003F135B" w:rsidRDefault="00B37A58" w:rsidP="00441741">
      <w:pPr>
        <w:pStyle w:val="Paragraphe"/>
        <w:spacing w:line="280" w:lineRule="exact"/>
        <w:rPr>
          <w:lang w:val="en-CA"/>
        </w:rPr>
      </w:pPr>
      <w:r w:rsidRPr="003F135B">
        <w:rPr>
          <w:lang w:val="en-CA" w:eastAsia="fr-CA"/>
        </w:rPr>
        <w:t>A man emerged from the</w:t>
      </w:r>
      <w:r w:rsidR="00F51040" w:rsidRPr="003F135B">
        <w:rPr>
          <w:lang w:val="en-CA"/>
        </w:rPr>
        <w:t xml:space="preserve"> Audi </w:t>
      </w:r>
      <w:r w:rsidRPr="003F135B">
        <w:rPr>
          <w:lang w:val="en-CA"/>
        </w:rPr>
        <w:t xml:space="preserve">holding an automatic </w:t>
      </w:r>
      <w:r w:rsidR="00EF22E6">
        <w:rPr>
          <w:lang w:val="en-CA"/>
        </w:rPr>
        <w:t>weapon</w:t>
      </w:r>
      <w:r w:rsidR="00F51040" w:rsidRPr="003F135B">
        <w:rPr>
          <w:lang w:val="en-CA"/>
        </w:rPr>
        <w:t xml:space="preserve">. </w:t>
      </w:r>
      <w:r w:rsidR="00EF22E6">
        <w:rPr>
          <w:lang w:val="en-CA"/>
        </w:rPr>
        <w:t>He fired</w:t>
      </w:r>
      <w:r w:rsidRPr="003F135B">
        <w:rPr>
          <w:lang w:val="en-CA"/>
        </w:rPr>
        <w:t xml:space="preserve"> repeatedly in the direction of Mr. Brace’s car, killing </w:t>
      </w:r>
      <w:r w:rsidR="00194B9B">
        <w:rPr>
          <w:lang w:val="en-CA"/>
        </w:rPr>
        <w:t>X</w:t>
      </w:r>
      <w:r w:rsidRPr="003F135B">
        <w:rPr>
          <w:lang w:val="en-CA"/>
        </w:rPr>
        <w:t xml:space="preserve"> and seriously injuring </w:t>
      </w:r>
      <w:r w:rsidR="00EF22E6">
        <w:rPr>
          <w:lang w:val="en-CA"/>
        </w:rPr>
        <w:t xml:space="preserve">Mr. </w:t>
      </w:r>
      <w:r w:rsidR="00194B9B">
        <w:rPr>
          <w:lang w:val="en-CA"/>
        </w:rPr>
        <w:t>Y</w:t>
      </w:r>
      <w:r w:rsidR="00F51040" w:rsidRPr="003F135B">
        <w:rPr>
          <w:lang w:val="en-CA"/>
        </w:rPr>
        <w:t xml:space="preserve">. </w:t>
      </w:r>
      <w:r w:rsidRPr="003F135B">
        <w:rPr>
          <w:lang w:val="en-CA"/>
        </w:rPr>
        <w:t>It is believed that a second shooter was present, as gunshots were also fired from the left</w:t>
      </w:r>
      <w:r w:rsidR="00EF22E6">
        <w:rPr>
          <w:lang w:val="en-CA"/>
        </w:rPr>
        <w:t xml:space="preserve"> of</w:t>
      </w:r>
      <w:r w:rsidRPr="003F135B">
        <w:rPr>
          <w:lang w:val="en-CA"/>
        </w:rPr>
        <w:t xml:space="preserve"> the driver</w:t>
      </w:r>
      <w:r w:rsidR="0016139A">
        <w:rPr>
          <w:lang w:val="en-CA"/>
        </w:rPr>
        <w:t>’s</w:t>
      </w:r>
      <w:r w:rsidRPr="003F135B">
        <w:rPr>
          <w:lang w:val="en-CA"/>
        </w:rPr>
        <w:t xml:space="preserve"> side of the Audi</w:t>
      </w:r>
      <w:r w:rsidR="0016139A">
        <w:rPr>
          <w:lang w:val="en-CA"/>
        </w:rPr>
        <w:t>,</w:t>
      </w:r>
      <w:r w:rsidRPr="003F135B">
        <w:rPr>
          <w:lang w:val="en-CA"/>
        </w:rPr>
        <w:t xml:space="preserve"> and </w:t>
      </w:r>
      <w:r w:rsidR="0016139A">
        <w:rPr>
          <w:lang w:val="en-CA"/>
        </w:rPr>
        <w:t>the ballistic examination would</w:t>
      </w:r>
      <w:r w:rsidRPr="003F135B">
        <w:rPr>
          <w:lang w:val="en-CA"/>
        </w:rPr>
        <w:t xml:space="preserve"> </w:t>
      </w:r>
      <w:r w:rsidR="0016139A">
        <w:rPr>
          <w:lang w:val="en-CA"/>
        </w:rPr>
        <w:t>establish</w:t>
      </w:r>
      <w:r w:rsidRPr="003F135B">
        <w:rPr>
          <w:lang w:val="en-CA"/>
        </w:rPr>
        <w:t xml:space="preserve"> that more</w:t>
      </w:r>
      <w:r>
        <w:rPr>
          <w:lang w:val="en-CA"/>
        </w:rPr>
        <w:t xml:space="preserve"> </w:t>
      </w:r>
      <w:r w:rsidRPr="003F135B">
        <w:rPr>
          <w:lang w:val="en-CA"/>
        </w:rPr>
        <w:t xml:space="preserve">than one </w:t>
      </w:r>
      <w:r w:rsidR="00EF22E6">
        <w:rPr>
          <w:lang w:val="en-CA"/>
        </w:rPr>
        <w:t>firearm</w:t>
      </w:r>
      <w:r w:rsidRPr="003F135B">
        <w:rPr>
          <w:lang w:val="en-CA"/>
        </w:rPr>
        <w:t xml:space="preserve"> was used</w:t>
      </w:r>
      <w:r w:rsidR="00F51040" w:rsidRPr="003F135B">
        <w:rPr>
          <w:lang w:val="en-CA"/>
        </w:rPr>
        <w:t>.</w:t>
      </w:r>
    </w:p>
    <w:p w14:paraId="78EFED98" w14:textId="38665A5B" w:rsidR="00F51040" w:rsidRPr="00F73508" w:rsidRDefault="00B37A58" w:rsidP="00441741">
      <w:pPr>
        <w:pStyle w:val="Paragraphe"/>
        <w:spacing w:line="280" w:lineRule="exact"/>
        <w:rPr>
          <w:lang w:val="en-CA"/>
        </w:rPr>
      </w:pPr>
      <w:r w:rsidRPr="00F73508">
        <w:rPr>
          <w:lang w:val="en-CA"/>
        </w:rPr>
        <w:t>Mr. Brace was injured but managed to flee from his</w:t>
      </w:r>
      <w:r>
        <w:rPr>
          <w:lang w:val="en-CA"/>
        </w:rPr>
        <w:t xml:space="preserve"> </w:t>
      </w:r>
      <w:r w:rsidRPr="00F73508">
        <w:rPr>
          <w:lang w:val="en-CA"/>
        </w:rPr>
        <w:t>car in the direction of the Vjosa River.</w:t>
      </w:r>
    </w:p>
    <w:p w14:paraId="20B7DA8C" w14:textId="39828819" w:rsidR="00517AC0" w:rsidRPr="00F73508" w:rsidRDefault="00B37A58" w:rsidP="00441741">
      <w:pPr>
        <w:pStyle w:val="Paragraphe"/>
        <w:spacing w:line="280" w:lineRule="exact"/>
        <w:rPr>
          <w:lang w:val="en-CA"/>
        </w:rPr>
      </w:pPr>
      <w:r>
        <w:rPr>
          <w:lang w:val="en-CA"/>
        </w:rPr>
        <w:t>Mrs. Brace</w:t>
      </w:r>
      <w:r w:rsidR="00F73508" w:rsidRPr="00F73508">
        <w:rPr>
          <w:lang w:val="en-CA"/>
        </w:rPr>
        <w:t xml:space="preserve"> testified that after the </w:t>
      </w:r>
      <w:r w:rsidR="00EF22E6">
        <w:rPr>
          <w:lang w:val="en-CA"/>
        </w:rPr>
        <w:t>gunfire</w:t>
      </w:r>
      <w:r w:rsidR="00F73508" w:rsidRPr="00F73508">
        <w:rPr>
          <w:lang w:val="en-CA"/>
        </w:rPr>
        <w:t xml:space="preserve"> had stopped, she </w:t>
      </w:r>
      <w:r w:rsidR="00EF22E6">
        <w:rPr>
          <w:lang w:val="en-CA"/>
        </w:rPr>
        <w:t>got</w:t>
      </w:r>
      <w:r w:rsidR="00F73508" w:rsidRPr="00F73508">
        <w:rPr>
          <w:lang w:val="en-CA"/>
        </w:rPr>
        <w:t xml:space="preserve"> out of the vehicle and addressed the shooter, screaming: “Criminal you killed my son”. Her niece, Ms. </w:t>
      </w:r>
      <w:r w:rsidR="00194B9B">
        <w:rPr>
          <w:lang w:val="en-CA"/>
        </w:rPr>
        <w:t>A</w:t>
      </w:r>
      <w:r w:rsidR="00F73508" w:rsidRPr="00F73508">
        <w:rPr>
          <w:lang w:val="en-CA"/>
        </w:rPr>
        <w:t>, also got out of the car. Both women later testified that they had a clear view of Mr.</w:t>
      </w:r>
      <w:r w:rsidR="0054407D">
        <w:rPr>
          <w:lang w:val="en-CA"/>
        </w:rPr>
        <w:t> </w:t>
      </w:r>
      <w:r w:rsidR="00F73508" w:rsidRPr="00F73508">
        <w:rPr>
          <w:lang w:val="en-CA"/>
        </w:rPr>
        <w:t>Brahimi’s face.</w:t>
      </w:r>
      <w:r w:rsidRPr="00F73508">
        <w:rPr>
          <w:lang w:val="en-CA" w:eastAsia="fr-CA"/>
        </w:rPr>
        <w:t xml:space="preserve"> </w:t>
      </w:r>
      <w:r w:rsidR="00F73508" w:rsidRPr="00F73508">
        <w:rPr>
          <w:lang w:val="en-CA" w:eastAsia="fr-CA"/>
        </w:rPr>
        <w:t>As indicated in the SROC</w:t>
      </w:r>
      <w:r w:rsidRPr="00F73508">
        <w:rPr>
          <w:lang w:val="en-CA" w:eastAsia="fr-CA"/>
        </w:rPr>
        <w:t xml:space="preserve">, </w:t>
      </w:r>
      <w:r w:rsidR="00F73508" w:rsidRPr="00F73508">
        <w:rPr>
          <w:lang w:val="en-CA" w:eastAsia="fr-CA"/>
        </w:rPr>
        <w:t xml:space="preserve">the latter could therefore not have </w:t>
      </w:r>
      <w:r w:rsidR="001C7A70">
        <w:rPr>
          <w:lang w:val="en-CA" w:eastAsia="fr-CA"/>
        </w:rPr>
        <w:t>been wearing</w:t>
      </w:r>
      <w:r w:rsidR="00F73508" w:rsidRPr="00F73508">
        <w:rPr>
          <w:lang w:val="en-CA" w:eastAsia="fr-CA"/>
        </w:rPr>
        <w:t xml:space="preserve"> a mask</w:t>
      </w:r>
      <w:r w:rsidRPr="00F73508">
        <w:rPr>
          <w:lang w:val="en-CA" w:eastAsia="fr-CA"/>
        </w:rPr>
        <w:t xml:space="preserve">, </w:t>
      </w:r>
      <w:bookmarkStart w:id="15" w:name="_Ref210900421"/>
      <w:r w:rsidR="001C7A70">
        <w:rPr>
          <w:lang w:val="en-CA" w:eastAsia="fr-CA"/>
        </w:rPr>
        <w:t>no</w:t>
      </w:r>
      <w:r w:rsidR="00F73508" w:rsidRPr="00F73508">
        <w:rPr>
          <w:lang w:val="en-CA" w:eastAsia="fr-CA"/>
        </w:rPr>
        <w:t xml:space="preserve"> police report adduced at</w:t>
      </w:r>
      <w:r w:rsidR="001C7A70">
        <w:rPr>
          <w:lang w:val="en-CA" w:eastAsia="fr-CA"/>
        </w:rPr>
        <w:t xml:space="preserve"> the</w:t>
      </w:r>
      <w:r w:rsidR="00F73508" w:rsidRPr="00F73508">
        <w:rPr>
          <w:lang w:val="en-CA" w:eastAsia="fr-CA"/>
        </w:rPr>
        <w:t xml:space="preserve"> trial mention</w:t>
      </w:r>
      <w:r w:rsidR="001C7A70">
        <w:rPr>
          <w:lang w:val="en-CA" w:eastAsia="fr-CA"/>
        </w:rPr>
        <w:t>ing, moreover,</w:t>
      </w:r>
      <w:r w:rsidR="00F73508" w:rsidRPr="00F73508">
        <w:rPr>
          <w:lang w:val="en-CA" w:eastAsia="fr-CA"/>
        </w:rPr>
        <w:t xml:space="preserve"> </w:t>
      </w:r>
      <w:r w:rsidR="001C7A70">
        <w:rPr>
          <w:lang w:val="en-CA" w:eastAsia="fr-CA"/>
        </w:rPr>
        <w:t xml:space="preserve">the discovery of </w:t>
      </w:r>
      <w:r w:rsidR="00F73508" w:rsidRPr="00F73508">
        <w:rPr>
          <w:lang w:val="en-CA" w:eastAsia="fr-CA"/>
        </w:rPr>
        <w:t>a mask at the scene</w:t>
      </w:r>
      <w:r w:rsidR="00F73508">
        <w:rPr>
          <w:lang w:val="en-CA" w:eastAsia="fr-CA"/>
        </w:rPr>
        <w:t>.</w:t>
      </w:r>
      <w:r>
        <w:rPr>
          <w:rStyle w:val="Appelnotedebasdep"/>
          <w:lang w:val="en-CA"/>
        </w:rPr>
        <w:footnoteReference w:id="5"/>
      </w:r>
      <w:bookmarkEnd w:id="15"/>
      <w:r w:rsidRPr="00F73508">
        <w:rPr>
          <w:lang w:val="en-CA"/>
        </w:rPr>
        <w:t xml:space="preserve"> </w:t>
      </w:r>
    </w:p>
    <w:p w14:paraId="77FDD753" w14:textId="64A0AFEC" w:rsidR="002A33C9" w:rsidRPr="006B2147" w:rsidRDefault="00B37A58" w:rsidP="00441741">
      <w:pPr>
        <w:pStyle w:val="Paragraphe"/>
        <w:spacing w:line="280" w:lineRule="exact"/>
        <w:rPr>
          <w:lang w:val="en-CA"/>
        </w:rPr>
      </w:pPr>
      <w:r>
        <w:rPr>
          <w:lang w:val="en-CA"/>
        </w:rPr>
        <w:t>Mrs. Brace</w:t>
      </w:r>
      <w:r w:rsidR="00517AC0" w:rsidRPr="006B2147">
        <w:rPr>
          <w:lang w:val="en-CA"/>
        </w:rPr>
        <w:t xml:space="preserve"> </w:t>
      </w:r>
      <w:r w:rsidR="002A73C9">
        <w:rPr>
          <w:lang w:val="en-CA"/>
        </w:rPr>
        <w:t>and Ms.</w:t>
      </w:r>
      <w:r w:rsidR="00517AC0" w:rsidRPr="006B2147">
        <w:rPr>
          <w:lang w:val="en-CA"/>
        </w:rPr>
        <w:t xml:space="preserve"> </w:t>
      </w:r>
      <w:r w:rsidR="00194B9B">
        <w:rPr>
          <w:lang w:val="en-CA"/>
        </w:rPr>
        <w:t>A</w:t>
      </w:r>
      <w:r w:rsidR="00517AC0" w:rsidRPr="006B2147">
        <w:rPr>
          <w:lang w:val="en-CA"/>
        </w:rPr>
        <w:t xml:space="preserve"> </w:t>
      </w:r>
      <w:r w:rsidR="002A73C9">
        <w:rPr>
          <w:lang w:val="en-CA"/>
        </w:rPr>
        <w:t xml:space="preserve">also testified that they saw </w:t>
      </w:r>
      <w:r w:rsidR="00517AC0" w:rsidRPr="006B2147">
        <w:rPr>
          <w:lang w:val="en-CA"/>
        </w:rPr>
        <w:t>M</w:t>
      </w:r>
      <w:r w:rsidR="002A73C9">
        <w:rPr>
          <w:lang w:val="en-CA"/>
        </w:rPr>
        <w:t>r</w:t>
      </w:r>
      <w:r w:rsidR="00517AC0" w:rsidRPr="006B2147">
        <w:rPr>
          <w:lang w:val="en-CA"/>
        </w:rPr>
        <w:t xml:space="preserve">. Brahimi </w:t>
      </w:r>
      <w:r w:rsidR="002A73C9">
        <w:rPr>
          <w:lang w:val="en-CA"/>
        </w:rPr>
        <w:t>holding an automatic weapon</w:t>
      </w:r>
      <w:r w:rsidR="00F51040" w:rsidRPr="006B2147">
        <w:rPr>
          <w:lang w:val="en-CA"/>
        </w:rPr>
        <w:t xml:space="preserve">, </w:t>
      </w:r>
      <w:r w:rsidR="002A73C9">
        <w:rPr>
          <w:lang w:val="en-CA"/>
        </w:rPr>
        <w:t xml:space="preserve">that he said nothing, </w:t>
      </w:r>
      <w:r w:rsidR="002A73C9" w:rsidRPr="002A73C9">
        <w:rPr>
          <w:lang w:val="en-CA"/>
        </w:rPr>
        <w:t xml:space="preserve">but got back in the Audi and left in the direction </w:t>
      </w:r>
      <w:r w:rsidR="00180F33">
        <w:rPr>
          <w:lang w:val="en-CA"/>
        </w:rPr>
        <w:t>of</w:t>
      </w:r>
      <w:r w:rsidR="002A73C9" w:rsidRPr="002A73C9">
        <w:rPr>
          <w:lang w:val="en-CA"/>
        </w:rPr>
        <w:t xml:space="preserve"> Mr. Brace</w:t>
      </w:r>
      <w:r w:rsidR="00180F33">
        <w:rPr>
          <w:lang w:val="en-CA"/>
        </w:rPr>
        <w:t>, who</w:t>
      </w:r>
      <w:r w:rsidR="002A73C9" w:rsidRPr="002A73C9">
        <w:rPr>
          <w:lang w:val="en-CA"/>
        </w:rPr>
        <w:t xml:space="preserve"> had fled. The family </w:t>
      </w:r>
      <w:r w:rsidR="00180F33">
        <w:rPr>
          <w:lang w:val="en-CA"/>
        </w:rPr>
        <w:t>then</w:t>
      </w:r>
      <w:r w:rsidR="002A73C9" w:rsidRPr="002A73C9">
        <w:rPr>
          <w:lang w:val="en-CA"/>
        </w:rPr>
        <w:t xml:space="preserve"> heard more gunshots</w:t>
      </w:r>
      <w:r w:rsidR="00F51040" w:rsidRPr="006B2147">
        <w:rPr>
          <w:lang w:val="en-CA"/>
        </w:rPr>
        <w:t xml:space="preserve">. </w:t>
      </w:r>
    </w:p>
    <w:p w14:paraId="50DDEAC5" w14:textId="3F161F3C" w:rsidR="00F51040" w:rsidRPr="002A73C9" w:rsidRDefault="00B37A58" w:rsidP="00441741">
      <w:pPr>
        <w:pStyle w:val="Paragraphe"/>
        <w:spacing w:line="280" w:lineRule="exact"/>
        <w:rPr>
          <w:lang w:val="en-CA"/>
        </w:rPr>
      </w:pPr>
      <w:r>
        <w:rPr>
          <w:lang w:val="en-CA"/>
        </w:rPr>
        <w:t>The following day, Mr. Brace’s body was discovered near the Vjosa River, during a search</w:t>
      </w:r>
      <w:r w:rsidR="00B149AA" w:rsidRPr="002A73C9">
        <w:rPr>
          <w:lang w:val="en-CA"/>
        </w:rPr>
        <w:t>.</w:t>
      </w:r>
      <w:r w:rsidR="00517AC0" w:rsidRPr="002A73C9">
        <w:rPr>
          <w:lang w:val="en-CA"/>
        </w:rPr>
        <w:t xml:space="preserve"> </w:t>
      </w:r>
      <w:r w:rsidRPr="002A73C9">
        <w:rPr>
          <w:lang w:val="en-CA"/>
        </w:rPr>
        <w:t xml:space="preserve">The </w:t>
      </w:r>
      <w:r>
        <w:rPr>
          <w:lang w:val="en-CA"/>
        </w:rPr>
        <w:t>automobile</w:t>
      </w:r>
      <w:r w:rsidRPr="002A73C9">
        <w:rPr>
          <w:lang w:val="en-CA"/>
        </w:rPr>
        <w:t xml:space="preserve"> used by the shooter was found abandoned with false license plates</w:t>
      </w:r>
      <w:r>
        <w:rPr>
          <w:lang w:val="en-CA"/>
        </w:rPr>
        <w:t xml:space="preserve"> </w:t>
      </w:r>
      <w:r w:rsidRPr="002A73C9">
        <w:rPr>
          <w:lang w:val="en-CA"/>
        </w:rPr>
        <w:t>in the village of Ferras</w:t>
      </w:r>
      <w:r w:rsidR="00DF2F86" w:rsidRPr="002A73C9">
        <w:rPr>
          <w:rFonts w:cs="Arial"/>
          <w:shd w:val="clear" w:color="auto" w:fill="FFFFFF"/>
          <w:lang w:val="en-CA"/>
        </w:rPr>
        <w:t>.</w:t>
      </w:r>
    </w:p>
    <w:p w14:paraId="6CA38382" w14:textId="5D20973E" w:rsidR="00EB77E3" w:rsidRPr="006B2147" w:rsidRDefault="00B37A58" w:rsidP="00441741">
      <w:pPr>
        <w:pStyle w:val="Titre2"/>
        <w:spacing w:line="280" w:lineRule="exact"/>
        <w:rPr>
          <w:lang w:val="en-CA"/>
        </w:rPr>
      </w:pPr>
      <w:r>
        <w:rPr>
          <w:lang w:val="en-CA"/>
        </w:rPr>
        <w:t>The police investigation</w:t>
      </w:r>
    </w:p>
    <w:p w14:paraId="268B8F80" w14:textId="24AA63D1" w:rsidR="00EB77E3" w:rsidRPr="006B2147" w:rsidRDefault="00B37A58" w:rsidP="00441741">
      <w:pPr>
        <w:pStyle w:val="Paragraphe"/>
        <w:spacing w:line="280" w:lineRule="exact"/>
        <w:rPr>
          <w:lang w:val="en-CA"/>
        </w:rPr>
      </w:pPr>
      <w:r>
        <w:rPr>
          <w:lang w:val="en-CA"/>
        </w:rPr>
        <w:t>After the shooting</w:t>
      </w:r>
      <w:r w:rsidRPr="006B2147">
        <w:rPr>
          <w:lang w:val="en-CA"/>
        </w:rPr>
        <w:t xml:space="preserve">, </w:t>
      </w:r>
      <w:r w:rsidR="00A5200E" w:rsidRPr="006B2147">
        <w:rPr>
          <w:lang w:val="en-CA"/>
        </w:rPr>
        <w:t>M</w:t>
      </w:r>
      <w:r>
        <w:rPr>
          <w:lang w:val="en-CA"/>
        </w:rPr>
        <w:t>r</w:t>
      </w:r>
      <w:r w:rsidR="00A5200E" w:rsidRPr="006B2147">
        <w:rPr>
          <w:lang w:val="en-CA"/>
        </w:rPr>
        <w:t xml:space="preserve">. Brahimi </w:t>
      </w:r>
      <w:r>
        <w:rPr>
          <w:lang w:val="en-CA"/>
        </w:rPr>
        <w:t>became a suspect</w:t>
      </w:r>
      <w:r w:rsidR="003B65B8">
        <w:rPr>
          <w:lang w:val="en-CA"/>
        </w:rPr>
        <w:t xml:space="preserve"> in the police investigation</w:t>
      </w:r>
      <w:r w:rsidR="00A5200E" w:rsidRPr="006B2147">
        <w:rPr>
          <w:lang w:val="en-CA"/>
        </w:rPr>
        <w:t xml:space="preserve">, </w:t>
      </w:r>
      <w:r>
        <w:rPr>
          <w:lang w:val="en-CA"/>
        </w:rPr>
        <w:t>but police were unable to locate him in Albania</w:t>
      </w:r>
      <w:r w:rsidRPr="006B2147">
        <w:rPr>
          <w:lang w:val="en-CA"/>
        </w:rPr>
        <w:t>.</w:t>
      </w:r>
    </w:p>
    <w:p w14:paraId="2E89C98B" w14:textId="4A0086CC" w:rsidR="00F51040" w:rsidRPr="00B65F3B" w:rsidRDefault="00B37A58" w:rsidP="00441741">
      <w:pPr>
        <w:pStyle w:val="Paragraphe"/>
        <w:spacing w:line="280" w:lineRule="exact"/>
        <w:rPr>
          <w:lang w:val="en-CA"/>
        </w:rPr>
      </w:pPr>
      <w:r w:rsidRPr="00B65F3B">
        <w:rPr>
          <w:lang w:val="en-CA"/>
        </w:rPr>
        <w:t>In the ROC</w:t>
      </w:r>
      <w:r w:rsidR="00EB77E3" w:rsidRPr="00B65F3B">
        <w:rPr>
          <w:lang w:val="en-CA"/>
        </w:rPr>
        <w:t xml:space="preserve">, </w:t>
      </w:r>
      <w:r w:rsidRPr="00B65F3B">
        <w:rPr>
          <w:lang w:val="en-CA"/>
        </w:rPr>
        <w:t xml:space="preserve">it is mentioned that </w:t>
      </w:r>
      <w:r w:rsidR="008847A1">
        <w:rPr>
          <w:lang w:val="en-CA"/>
        </w:rPr>
        <w:t>Mrs. Brace</w:t>
      </w:r>
      <w:r w:rsidR="00FD46FE" w:rsidRPr="00B65F3B">
        <w:rPr>
          <w:lang w:val="en-CA"/>
        </w:rPr>
        <w:t xml:space="preserve"> </w:t>
      </w:r>
      <w:r w:rsidRPr="00B65F3B">
        <w:rPr>
          <w:lang w:val="en-CA"/>
        </w:rPr>
        <w:t>testified that</w:t>
      </w:r>
      <w:r w:rsidR="00FD46FE" w:rsidRPr="00B65F3B">
        <w:rPr>
          <w:lang w:val="en-CA"/>
        </w:rPr>
        <w:t xml:space="preserve"> </w:t>
      </w:r>
      <w:r w:rsidR="004F3F3B" w:rsidRPr="00B65F3B">
        <w:rPr>
          <w:lang w:val="en-CA" w:eastAsia="fr-CA"/>
        </w:rPr>
        <w:t>M</w:t>
      </w:r>
      <w:r w:rsidRPr="00B65F3B">
        <w:rPr>
          <w:lang w:val="en-CA" w:eastAsia="fr-CA"/>
        </w:rPr>
        <w:t>r</w:t>
      </w:r>
      <w:r w:rsidR="004F3F3B" w:rsidRPr="00B65F3B">
        <w:rPr>
          <w:lang w:val="en-CA" w:eastAsia="fr-CA"/>
        </w:rPr>
        <w:t>.</w:t>
      </w:r>
      <w:r w:rsidR="00B75727" w:rsidRPr="00B65F3B">
        <w:rPr>
          <w:lang w:val="en-CA" w:eastAsia="fr-CA"/>
        </w:rPr>
        <w:t xml:space="preserve"> </w:t>
      </w:r>
      <w:r w:rsidR="004F3F3B" w:rsidRPr="00B65F3B">
        <w:rPr>
          <w:lang w:val="en-CA" w:eastAsia="fr-CA"/>
        </w:rPr>
        <w:t>Brahimi</w:t>
      </w:r>
      <w:r w:rsidR="00083731" w:rsidRPr="00B65F3B">
        <w:rPr>
          <w:lang w:val="en-CA"/>
        </w:rPr>
        <w:t xml:space="preserve"> </w:t>
      </w:r>
      <w:r w:rsidR="003B65B8">
        <w:rPr>
          <w:lang w:val="en-CA"/>
        </w:rPr>
        <w:t>held</w:t>
      </w:r>
      <w:r w:rsidR="00083731" w:rsidRPr="00B65F3B">
        <w:rPr>
          <w:lang w:val="en-CA"/>
        </w:rPr>
        <w:t xml:space="preserve"> M</w:t>
      </w:r>
      <w:r w:rsidRPr="00B65F3B">
        <w:rPr>
          <w:lang w:val="en-CA"/>
        </w:rPr>
        <w:t>r</w:t>
      </w:r>
      <w:r w:rsidR="00083731" w:rsidRPr="00B65F3B">
        <w:rPr>
          <w:lang w:val="en-CA"/>
        </w:rPr>
        <w:t xml:space="preserve">. Brace </w:t>
      </w:r>
      <w:r w:rsidR="003B65B8">
        <w:rPr>
          <w:lang w:val="en-CA"/>
        </w:rPr>
        <w:t xml:space="preserve">responsible </w:t>
      </w:r>
      <w:r w:rsidRPr="00B65F3B">
        <w:rPr>
          <w:lang w:val="en-CA"/>
        </w:rPr>
        <w:t>for the death of his brother</w:t>
      </w:r>
      <w:r w:rsidR="00E61B60" w:rsidRPr="00B65F3B">
        <w:rPr>
          <w:lang w:val="en-CA"/>
        </w:rPr>
        <w:t xml:space="preserve">, </w:t>
      </w:r>
      <w:r w:rsidRPr="00B65F3B">
        <w:rPr>
          <w:lang w:val="en-CA"/>
        </w:rPr>
        <w:t xml:space="preserve">who was shot in a </w:t>
      </w:r>
      <w:r w:rsidR="0007382F">
        <w:rPr>
          <w:lang w:val="en-CA"/>
        </w:rPr>
        <w:t xml:space="preserve">exchange of </w:t>
      </w:r>
      <w:r w:rsidRPr="00B65F3B">
        <w:rPr>
          <w:lang w:val="en-CA"/>
        </w:rPr>
        <w:t>gun</w:t>
      </w:r>
      <w:r w:rsidR="0007382F">
        <w:rPr>
          <w:lang w:val="en-CA"/>
        </w:rPr>
        <w:t xml:space="preserve">fire </w:t>
      </w:r>
      <w:r w:rsidRPr="00B65F3B">
        <w:rPr>
          <w:lang w:val="en-CA"/>
        </w:rPr>
        <w:t>with the police in 1997</w:t>
      </w:r>
      <w:r w:rsidR="00E61B60" w:rsidRPr="00B65F3B">
        <w:rPr>
          <w:lang w:val="en-CA"/>
        </w:rPr>
        <w:t>,</w:t>
      </w:r>
      <w:r w:rsidR="000D7C82" w:rsidRPr="00B65F3B">
        <w:rPr>
          <w:lang w:val="en-CA"/>
        </w:rPr>
        <w:t xml:space="preserve"> </w:t>
      </w:r>
      <w:r w:rsidRPr="00B65F3B">
        <w:rPr>
          <w:lang w:val="en-CA"/>
        </w:rPr>
        <w:t>during which</w:t>
      </w:r>
      <w:r w:rsidR="00083731" w:rsidRPr="00B65F3B">
        <w:rPr>
          <w:lang w:val="en-CA"/>
        </w:rPr>
        <w:t xml:space="preserve"> M</w:t>
      </w:r>
      <w:r w:rsidRPr="00B65F3B">
        <w:rPr>
          <w:lang w:val="en-CA"/>
        </w:rPr>
        <w:t>r</w:t>
      </w:r>
      <w:r w:rsidR="00083731" w:rsidRPr="00B65F3B">
        <w:rPr>
          <w:lang w:val="en-CA"/>
        </w:rPr>
        <w:t xml:space="preserve">. Brace </w:t>
      </w:r>
      <w:r w:rsidRPr="00B65F3B">
        <w:rPr>
          <w:lang w:val="en-CA"/>
        </w:rPr>
        <w:t>was present</w:t>
      </w:r>
      <w:r w:rsidR="00E61B60" w:rsidRPr="00B65F3B">
        <w:rPr>
          <w:lang w:val="en-CA"/>
        </w:rPr>
        <w:t>.</w:t>
      </w:r>
      <w:r w:rsidR="00E23981" w:rsidRPr="00B65F3B">
        <w:rPr>
          <w:lang w:val="en-CA"/>
        </w:rPr>
        <w:t xml:space="preserve"> </w:t>
      </w:r>
      <w:r w:rsidRPr="00B65F3B">
        <w:rPr>
          <w:lang w:val="en-CA"/>
        </w:rPr>
        <w:t xml:space="preserve">The conflict between the </w:t>
      </w:r>
      <w:r>
        <w:rPr>
          <w:lang w:val="en-CA"/>
        </w:rPr>
        <w:t>two families</w:t>
      </w:r>
      <w:r w:rsidRPr="00B65F3B">
        <w:rPr>
          <w:lang w:val="en-CA"/>
        </w:rPr>
        <w:t xml:space="preserve"> </w:t>
      </w:r>
      <w:r>
        <w:rPr>
          <w:lang w:val="en-CA"/>
        </w:rPr>
        <w:t xml:space="preserve">was </w:t>
      </w:r>
      <w:r w:rsidRPr="00B65F3B">
        <w:rPr>
          <w:lang w:val="en-CA"/>
        </w:rPr>
        <w:t>widely known in</w:t>
      </w:r>
      <w:r>
        <w:rPr>
          <w:lang w:val="en-CA"/>
        </w:rPr>
        <w:t xml:space="preserve"> the small </w:t>
      </w:r>
      <w:r w:rsidRPr="00B65F3B">
        <w:rPr>
          <w:lang w:val="en-CA"/>
        </w:rPr>
        <w:t>town</w:t>
      </w:r>
      <w:r w:rsidR="00083731" w:rsidRPr="00B65F3B">
        <w:rPr>
          <w:lang w:val="en-CA"/>
        </w:rPr>
        <w:t xml:space="preserve"> </w:t>
      </w:r>
      <w:r>
        <w:rPr>
          <w:lang w:val="en-CA"/>
        </w:rPr>
        <w:t xml:space="preserve">of </w:t>
      </w:r>
      <w:r w:rsidR="00083731" w:rsidRPr="00B65F3B">
        <w:rPr>
          <w:lang w:val="en-CA"/>
        </w:rPr>
        <w:t xml:space="preserve">Fier. </w:t>
      </w:r>
      <w:r w:rsidR="003B65B8">
        <w:rPr>
          <w:lang w:val="en-CA"/>
        </w:rPr>
        <w:t>According to the ROC, i</w:t>
      </w:r>
      <w:r>
        <w:rPr>
          <w:lang w:val="en-CA"/>
        </w:rPr>
        <w:t>n August</w:t>
      </w:r>
      <w:r w:rsidR="00083731" w:rsidRPr="00B65F3B">
        <w:rPr>
          <w:lang w:val="en-CA"/>
        </w:rPr>
        <w:t xml:space="preserve"> 1999, </w:t>
      </w:r>
      <w:r w:rsidR="0007382F">
        <w:rPr>
          <w:lang w:val="en-CA"/>
        </w:rPr>
        <w:t>Mr.</w:t>
      </w:r>
      <w:r w:rsidR="00396EF0">
        <w:rPr>
          <w:lang w:val="en-CA"/>
        </w:rPr>
        <w:t> </w:t>
      </w:r>
      <w:r w:rsidR="0007382F">
        <w:rPr>
          <w:lang w:val="en-CA"/>
        </w:rPr>
        <w:t xml:space="preserve">Brace was </w:t>
      </w:r>
      <w:r w:rsidR="0007382F" w:rsidRPr="0007382F">
        <w:rPr>
          <w:lang w:val="en-CA"/>
        </w:rPr>
        <w:t xml:space="preserve">the target of an assassination attempt </w:t>
      </w:r>
      <w:r w:rsidR="003B65B8">
        <w:rPr>
          <w:lang w:val="en-CA"/>
        </w:rPr>
        <w:t>while he was in his car and</w:t>
      </w:r>
      <w:r>
        <w:rPr>
          <w:lang w:val="en-CA"/>
        </w:rPr>
        <w:t xml:space="preserve"> gunshots </w:t>
      </w:r>
      <w:r w:rsidR="003B65B8">
        <w:rPr>
          <w:lang w:val="en-CA"/>
        </w:rPr>
        <w:t>were</w:t>
      </w:r>
      <w:r>
        <w:rPr>
          <w:lang w:val="en-CA"/>
        </w:rPr>
        <w:t xml:space="preserve"> fired in </w:t>
      </w:r>
      <w:r w:rsidR="003B65B8">
        <w:rPr>
          <w:lang w:val="en-CA"/>
        </w:rPr>
        <w:t>its</w:t>
      </w:r>
      <w:r>
        <w:rPr>
          <w:lang w:val="en-CA"/>
        </w:rPr>
        <w:t xml:space="preserve"> direction</w:t>
      </w:r>
      <w:r w:rsidR="00083731" w:rsidRPr="00B65F3B">
        <w:rPr>
          <w:lang w:val="en-CA"/>
        </w:rPr>
        <w:t xml:space="preserve">. </w:t>
      </w:r>
      <w:r>
        <w:rPr>
          <w:lang w:val="en-CA"/>
        </w:rPr>
        <w:t>Although Mr. Brahimi was suspected, the</w:t>
      </w:r>
      <w:r w:rsidR="009006FC">
        <w:rPr>
          <w:lang w:val="en-CA"/>
        </w:rPr>
        <w:t>re was not enough</w:t>
      </w:r>
      <w:r>
        <w:rPr>
          <w:lang w:val="en-CA"/>
        </w:rPr>
        <w:t xml:space="preserve"> evidence to charge</w:t>
      </w:r>
      <w:r w:rsidR="009006FC">
        <w:rPr>
          <w:lang w:val="en-CA"/>
        </w:rPr>
        <w:t xml:space="preserve"> him.</w:t>
      </w:r>
      <w:r>
        <w:rPr>
          <w:rStyle w:val="Appelnotedebasdep"/>
          <w:lang w:val="en-CA"/>
        </w:rPr>
        <w:footnoteReference w:id="6"/>
      </w:r>
    </w:p>
    <w:p w14:paraId="1CE1191B" w14:textId="5A945F66" w:rsidR="00A5200E" w:rsidRPr="006B2147" w:rsidRDefault="00B37A58" w:rsidP="00441741">
      <w:pPr>
        <w:pStyle w:val="Paragraphe"/>
        <w:spacing w:line="280" w:lineRule="exact"/>
        <w:rPr>
          <w:lang w:val="en-CA"/>
        </w:rPr>
      </w:pPr>
      <w:r>
        <w:rPr>
          <w:lang w:val="en-CA"/>
        </w:rPr>
        <w:t>According to the ROC</w:t>
      </w:r>
      <w:r w:rsidR="00083731" w:rsidRPr="006B2147">
        <w:rPr>
          <w:lang w:val="en-CA"/>
        </w:rPr>
        <w:t xml:space="preserve">, </w:t>
      </w:r>
      <w:r w:rsidR="008847A1">
        <w:rPr>
          <w:lang w:val="en-CA"/>
        </w:rPr>
        <w:t>Mrs. Brace</w:t>
      </w:r>
      <w:r w:rsidR="00C25974" w:rsidRPr="006B2147">
        <w:rPr>
          <w:lang w:val="en-CA"/>
        </w:rPr>
        <w:t xml:space="preserve"> </w:t>
      </w:r>
      <w:r>
        <w:rPr>
          <w:lang w:val="en-CA"/>
        </w:rPr>
        <w:t>and Ms.</w:t>
      </w:r>
      <w:r w:rsidR="00C25974" w:rsidRPr="006B2147">
        <w:rPr>
          <w:lang w:val="en-CA"/>
        </w:rPr>
        <w:t xml:space="preserve"> </w:t>
      </w:r>
      <w:r w:rsidR="00194B9B">
        <w:rPr>
          <w:lang w:val="en-CA"/>
        </w:rPr>
        <w:t>A</w:t>
      </w:r>
      <w:r w:rsidR="00083731" w:rsidRPr="006B2147">
        <w:rPr>
          <w:lang w:val="en-CA"/>
        </w:rPr>
        <w:t xml:space="preserve"> </w:t>
      </w:r>
      <w:r>
        <w:rPr>
          <w:lang w:val="en-CA"/>
        </w:rPr>
        <w:t>identified</w:t>
      </w:r>
      <w:r w:rsidR="00083731" w:rsidRPr="006B2147">
        <w:rPr>
          <w:lang w:val="en-CA"/>
        </w:rPr>
        <w:t xml:space="preserve"> </w:t>
      </w:r>
      <w:r w:rsidR="00C25974" w:rsidRPr="006B2147">
        <w:rPr>
          <w:lang w:val="en-CA"/>
        </w:rPr>
        <w:t>M</w:t>
      </w:r>
      <w:r>
        <w:rPr>
          <w:lang w:val="en-CA"/>
        </w:rPr>
        <w:t>r</w:t>
      </w:r>
      <w:r w:rsidR="00C25974" w:rsidRPr="006B2147">
        <w:rPr>
          <w:lang w:val="en-CA"/>
        </w:rPr>
        <w:t xml:space="preserve">. Brahimi </w:t>
      </w:r>
      <w:r>
        <w:rPr>
          <w:lang w:val="en-CA"/>
        </w:rPr>
        <w:t xml:space="preserve">in separate </w:t>
      </w:r>
      <w:r w:rsidR="00317600">
        <w:rPr>
          <w:lang w:val="en-CA"/>
        </w:rPr>
        <w:t>photo identification lineups</w:t>
      </w:r>
      <w:r>
        <w:rPr>
          <w:lang w:val="en-CA"/>
        </w:rPr>
        <w:t>, on January</w:t>
      </w:r>
      <w:r w:rsidR="00AF0931" w:rsidRPr="006B2147">
        <w:rPr>
          <w:lang w:val="en-CA"/>
        </w:rPr>
        <w:t xml:space="preserve"> 15 </w:t>
      </w:r>
      <w:r>
        <w:rPr>
          <w:lang w:val="en-CA"/>
        </w:rPr>
        <w:t>and</w:t>
      </w:r>
      <w:r w:rsidR="00AF0931" w:rsidRPr="006B2147">
        <w:rPr>
          <w:lang w:val="en-CA"/>
        </w:rPr>
        <w:t xml:space="preserve"> 16</w:t>
      </w:r>
      <w:r>
        <w:rPr>
          <w:lang w:val="en-CA"/>
        </w:rPr>
        <w:t>,</w:t>
      </w:r>
      <w:r w:rsidR="00AF0931" w:rsidRPr="006B2147">
        <w:rPr>
          <w:lang w:val="en-CA"/>
        </w:rPr>
        <w:t xml:space="preserve"> 2001</w:t>
      </w:r>
      <w:r w:rsidR="008E4C49" w:rsidRPr="006B2147">
        <w:rPr>
          <w:lang w:val="en-CA"/>
        </w:rPr>
        <w:t xml:space="preserve">, </w:t>
      </w:r>
      <w:bookmarkStart w:id="16" w:name="_Ref210307685"/>
      <w:r>
        <w:rPr>
          <w:lang w:val="en-CA"/>
        </w:rPr>
        <w:t>i.e.</w:t>
      </w:r>
      <w:r w:rsidR="0007382F">
        <w:rPr>
          <w:lang w:val="en-CA"/>
        </w:rPr>
        <w:t>,</w:t>
      </w:r>
      <w:r>
        <w:rPr>
          <w:lang w:val="en-CA"/>
        </w:rPr>
        <w:t xml:space="preserve"> 5 months after the events.</w:t>
      </w:r>
      <w:r>
        <w:rPr>
          <w:rStyle w:val="Appelnotedebasdep"/>
          <w:lang w:val="en-CA"/>
        </w:rPr>
        <w:footnoteReference w:id="7"/>
      </w:r>
      <w:bookmarkEnd w:id="16"/>
      <w:r w:rsidR="00AF0931" w:rsidRPr="006B2147">
        <w:rPr>
          <w:lang w:val="en-CA"/>
        </w:rPr>
        <w:t xml:space="preserve"> </w:t>
      </w:r>
      <w:r>
        <w:rPr>
          <w:lang w:val="en-CA"/>
        </w:rPr>
        <w:t>Those two photo</w:t>
      </w:r>
      <w:r w:rsidR="00317600">
        <w:rPr>
          <w:lang w:val="en-CA"/>
        </w:rPr>
        <w:t xml:space="preserve"> lineups were prepared by a forensic expert</w:t>
      </w:r>
      <w:r w:rsidR="008E4C49" w:rsidRPr="006B2147">
        <w:rPr>
          <w:lang w:val="en-CA"/>
        </w:rPr>
        <w:t xml:space="preserve">. </w:t>
      </w:r>
      <w:r w:rsidR="00317600">
        <w:rPr>
          <w:lang w:val="en-CA"/>
        </w:rPr>
        <w:t>They took place under his supervision and that of two police officers</w:t>
      </w:r>
      <w:r w:rsidR="00083731" w:rsidRPr="006B2147">
        <w:rPr>
          <w:lang w:val="en-CA"/>
        </w:rPr>
        <w:t>.</w:t>
      </w:r>
      <w:r w:rsidRPr="006B2147">
        <w:rPr>
          <w:lang w:val="en-CA"/>
        </w:rPr>
        <w:t xml:space="preserve"> </w:t>
      </w:r>
    </w:p>
    <w:p w14:paraId="4AB37D2D" w14:textId="42649C49" w:rsidR="007C02B9" w:rsidRPr="006B2147" w:rsidRDefault="00B37A58" w:rsidP="00441741">
      <w:pPr>
        <w:pStyle w:val="Paragraphe"/>
        <w:spacing w:line="280" w:lineRule="exact"/>
        <w:rPr>
          <w:lang w:val="en-CA"/>
        </w:rPr>
      </w:pPr>
      <w:r>
        <w:rPr>
          <w:lang w:val="en-CA"/>
        </w:rPr>
        <w:t>According to the forensic expert</w:t>
      </w:r>
      <w:r w:rsidR="00DC3593">
        <w:rPr>
          <w:lang w:val="en-CA"/>
        </w:rPr>
        <w:t>’s report</w:t>
      </w:r>
      <w:r w:rsidRPr="006B2147">
        <w:rPr>
          <w:lang w:val="en-CA"/>
        </w:rPr>
        <w:t xml:space="preserve">, </w:t>
      </w:r>
      <w:r>
        <w:rPr>
          <w:lang w:val="en-CA"/>
        </w:rPr>
        <w:t>during the</w:t>
      </w:r>
      <w:r w:rsidRPr="006B2147">
        <w:rPr>
          <w:lang w:val="en-CA"/>
        </w:rPr>
        <w:t xml:space="preserve"> </w:t>
      </w:r>
      <w:r>
        <w:rPr>
          <w:lang w:val="en-CA"/>
        </w:rPr>
        <w:t>January 15,</w:t>
      </w:r>
      <w:r w:rsidRPr="006B2147">
        <w:rPr>
          <w:lang w:val="en-CA"/>
        </w:rPr>
        <w:t xml:space="preserve"> 2001</w:t>
      </w:r>
      <w:r>
        <w:rPr>
          <w:lang w:val="en-CA"/>
        </w:rPr>
        <w:t xml:space="preserve"> photo lineup</w:t>
      </w:r>
      <w:r w:rsidRPr="006B2147">
        <w:rPr>
          <w:lang w:val="en-CA"/>
        </w:rPr>
        <w:t xml:space="preserve">, </w:t>
      </w:r>
      <w:r w:rsidR="008847A1">
        <w:rPr>
          <w:lang w:val="en-CA"/>
        </w:rPr>
        <w:t>Mrs. Brace</w:t>
      </w:r>
      <w:r w:rsidRPr="006B2147">
        <w:rPr>
          <w:lang w:val="en-CA"/>
        </w:rPr>
        <w:t xml:space="preserve"> </w:t>
      </w:r>
      <w:r>
        <w:rPr>
          <w:lang w:val="en-CA"/>
        </w:rPr>
        <w:t>chose</w:t>
      </w:r>
      <w:r w:rsidRPr="006B2147">
        <w:rPr>
          <w:lang w:val="en-CA"/>
        </w:rPr>
        <w:t xml:space="preserve"> photo num</w:t>
      </w:r>
      <w:r w:rsidR="00DC3593">
        <w:rPr>
          <w:lang w:val="en-CA"/>
        </w:rPr>
        <w:t>ber</w:t>
      </w:r>
      <w:r w:rsidRPr="006B2147">
        <w:rPr>
          <w:lang w:val="en-CA"/>
        </w:rPr>
        <w:t xml:space="preserve"> 3, </w:t>
      </w:r>
      <w:r w:rsidR="00DC3593">
        <w:rPr>
          <w:lang w:val="en-CA"/>
        </w:rPr>
        <w:t>i.e.</w:t>
      </w:r>
      <w:r w:rsidR="0007382F">
        <w:rPr>
          <w:lang w:val="en-CA"/>
        </w:rPr>
        <w:t>,</w:t>
      </w:r>
      <w:r w:rsidR="00DC3593">
        <w:rPr>
          <w:lang w:val="en-CA"/>
        </w:rPr>
        <w:t xml:space="preserve"> that which showed</w:t>
      </w:r>
      <w:r w:rsidRPr="006B2147">
        <w:rPr>
          <w:lang w:val="en-CA"/>
        </w:rPr>
        <w:t xml:space="preserve"> M</w:t>
      </w:r>
      <w:r w:rsidR="00DC3593">
        <w:rPr>
          <w:lang w:val="en-CA"/>
        </w:rPr>
        <w:t>r</w:t>
      </w:r>
      <w:r w:rsidRPr="006B2147">
        <w:rPr>
          <w:lang w:val="en-CA"/>
        </w:rPr>
        <w:t>. Brahimi</w:t>
      </w:r>
      <w:r w:rsidR="00DC3593">
        <w:rPr>
          <w:lang w:val="en-CA"/>
        </w:rPr>
        <w:t>.</w:t>
      </w:r>
      <w:r>
        <w:rPr>
          <w:rStyle w:val="Appelnotedebasdep"/>
          <w:lang w:val="en-CA"/>
        </w:rPr>
        <w:footnoteReference w:id="8"/>
      </w:r>
      <w:r w:rsidR="00DC3593">
        <w:rPr>
          <w:lang w:val="en-CA"/>
        </w:rPr>
        <w:t xml:space="preserve"> That expert report does not appear in the ROC however.</w:t>
      </w:r>
      <w:r>
        <w:rPr>
          <w:rStyle w:val="Appelnotedebasdep"/>
          <w:lang w:val="en-CA"/>
        </w:rPr>
        <w:footnoteReference w:id="9"/>
      </w:r>
      <w:r w:rsidR="00DC3593">
        <w:rPr>
          <w:lang w:val="en-CA"/>
        </w:rPr>
        <w:t xml:space="preserve"> </w:t>
      </w:r>
      <w:r w:rsidRPr="006B2147">
        <w:rPr>
          <w:lang w:val="en-CA"/>
        </w:rPr>
        <w:t xml:space="preserve"> </w:t>
      </w:r>
      <w:r w:rsidR="003B65B8">
        <w:rPr>
          <w:lang w:val="en-CA"/>
        </w:rPr>
        <w:t xml:space="preserve">Annex 6 of the SROC </w:t>
      </w:r>
      <w:r w:rsidR="00A74616">
        <w:rPr>
          <w:lang w:val="en-CA"/>
        </w:rPr>
        <w:t>contains</w:t>
      </w:r>
      <w:r w:rsidR="003B65B8">
        <w:rPr>
          <w:lang w:val="en-CA"/>
        </w:rPr>
        <w:t xml:space="preserve"> a</w:t>
      </w:r>
      <w:r w:rsidR="00DC3593">
        <w:rPr>
          <w:lang w:val="en-CA"/>
        </w:rPr>
        <w:t xml:space="preserve"> copy of the photo that captured the moment when </w:t>
      </w:r>
      <w:r w:rsidR="008847A1">
        <w:rPr>
          <w:lang w:val="en-CA"/>
        </w:rPr>
        <w:t>Mrs. Brace</w:t>
      </w:r>
      <w:r w:rsidR="00DC3593">
        <w:rPr>
          <w:lang w:val="en-CA"/>
        </w:rPr>
        <w:t xml:space="preserve"> identified Mr. Brahimi</w:t>
      </w:r>
      <w:r w:rsidR="00A74616">
        <w:rPr>
          <w:lang w:val="en-CA"/>
        </w:rPr>
        <w:t xml:space="preserve"> during that lineup</w:t>
      </w:r>
      <w:r w:rsidRPr="006B2147">
        <w:rPr>
          <w:lang w:val="en-CA"/>
        </w:rPr>
        <w:t xml:space="preserve">. </w:t>
      </w:r>
      <w:r w:rsidR="00DC3593">
        <w:rPr>
          <w:lang w:val="en-CA"/>
        </w:rPr>
        <w:t>That photo confirms that</w:t>
      </w:r>
      <w:r w:rsidR="00A74616">
        <w:rPr>
          <w:lang w:val="en-CA"/>
        </w:rPr>
        <w:t xml:space="preserve"> </w:t>
      </w:r>
      <w:r w:rsidR="003B0BF6">
        <w:rPr>
          <w:lang w:val="en-CA"/>
        </w:rPr>
        <w:t xml:space="preserve">she </w:t>
      </w:r>
      <w:r w:rsidR="00A74616">
        <w:rPr>
          <w:lang w:val="en-CA"/>
        </w:rPr>
        <w:t xml:space="preserve">pointed to </w:t>
      </w:r>
      <w:r w:rsidR="00DC3593">
        <w:rPr>
          <w:lang w:val="en-CA"/>
        </w:rPr>
        <w:t>photo number 3, as indicated in the ROC.</w:t>
      </w:r>
      <w:r>
        <w:rPr>
          <w:rStyle w:val="Appelnotedebasdep"/>
          <w:lang w:val="en-CA"/>
        </w:rPr>
        <w:footnoteReference w:id="10"/>
      </w:r>
    </w:p>
    <w:p w14:paraId="62D600A9" w14:textId="562FA453" w:rsidR="007C02B9" w:rsidRPr="006B2147" w:rsidRDefault="00B37A58" w:rsidP="00441741">
      <w:pPr>
        <w:pStyle w:val="Paragraphe"/>
        <w:spacing w:line="280" w:lineRule="exact"/>
        <w:rPr>
          <w:lang w:val="en-CA"/>
        </w:rPr>
      </w:pPr>
      <w:r>
        <w:rPr>
          <w:lang w:val="en-CA"/>
        </w:rPr>
        <w:t>The photos used</w:t>
      </w:r>
      <w:r w:rsidRPr="006B2147">
        <w:rPr>
          <w:lang w:val="en-CA"/>
        </w:rPr>
        <w:t xml:space="preserve"> </w:t>
      </w:r>
      <w:r>
        <w:rPr>
          <w:lang w:val="en-CA"/>
        </w:rPr>
        <w:t xml:space="preserve">during the photo lineups with police </w:t>
      </w:r>
      <w:r w:rsidR="00C95EE4">
        <w:rPr>
          <w:lang w:val="en-CA"/>
        </w:rPr>
        <w:t>are</w:t>
      </w:r>
      <w:r>
        <w:rPr>
          <w:lang w:val="en-CA"/>
        </w:rPr>
        <w:t xml:space="preserve"> not part of the ROC, but the photograph that both witnesses identified</w:t>
      </w:r>
      <w:r w:rsidR="00A74616">
        <w:rPr>
          <w:lang w:val="en-CA"/>
        </w:rPr>
        <w:t xml:space="preserve"> as</w:t>
      </w:r>
      <w:r w:rsidR="00C95EE4">
        <w:rPr>
          <w:lang w:val="en-CA"/>
        </w:rPr>
        <w:t xml:space="preserve"> being</w:t>
      </w:r>
      <w:r w:rsidR="00A74616">
        <w:rPr>
          <w:lang w:val="en-CA"/>
        </w:rPr>
        <w:t xml:space="preserve"> that of Mr. Brahimi</w:t>
      </w:r>
      <w:r>
        <w:rPr>
          <w:lang w:val="en-CA"/>
        </w:rPr>
        <w:t xml:space="preserve"> was included</w:t>
      </w:r>
      <w:r w:rsidR="00C95EE4">
        <w:rPr>
          <w:lang w:val="en-CA"/>
        </w:rPr>
        <w:t xml:space="preserve"> therein</w:t>
      </w:r>
      <w:r>
        <w:rPr>
          <w:lang w:val="en-CA"/>
        </w:rPr>
        <w:t>.</w:t>
      </w:r>
      <w:r>
        <w:rPr>
          <w:rStyle w:val="Appelnotedebasdep"/>
          <w:lang w:val="en-CA"/>
        </w:rPr>
        <w:footnoteReference w:id="11"/>
      </w:r>
      <w:r w:rsidRPr="006B2147">
        <w:rPr>
          <w:lang w:val="en-CA"/>
        </w:rPr>
        <w:t xml:space="preserve"> </w:t>
      </w:r>
      <w:r>
        <w:rPr>
          <w:lang w:val="en-CA"/>
        </w:rPr>
        <w:t>In the SROC, prosecutor</w:t>
      </w:r>
      <w:r w:rsidRPr="006B2147">
        <w:rPr>
          <w:lang w:val="en-CA"/>
        </w:rPr>
        <w:t xml:space="preserve"> Hyka </w:t>
      </w:r>
      <w:r>
        <w:rPr>
          <w:lang w:val="en-CA"/>
        </w:rPr>
        <w:t>mention</w:t>
      </w:r>
      <w:r w:rsidR="00C95EE4">
        <w:rPr>
          <w:lang w:val="en-CA"/>
        </w:rPr>
        <w:t>s</w:t>
      </w:r>
      <w:r>
        <w:rPr>
          <w:lang w:val="en-CA"/>
        </w:rPr>
        <w:t xml:space="preserve"> that a typographical error in the ROC </w:t>
      </w:r>
      <w:r w:rsidR="00C95EE4">
        <w:rPr>
          <w:lang w:val="en-CA"/>
        </w:rPr>
        <w:t>was</w:t>
      </w:r>
      <w:r>
        <w:rPr>
          <w:lang w:val="en-CA"/>
        </w:rPr>
        <w:t xml:space="preserve"> corrected to indicate that </w:t>
      </w:r>
      <w:r w:rsidRPr="006B2147">
        <w:rPr>
          <w:lang w:val="en-CA" w:eastAsia="fr-CA"/>
        </w:rPr>
        <w:t>M</w:t>
      </w:r>
      <w:r>
        <w:rPr>
          <w:lang w:val="en-CA" w:eastAsia="fr-CA"/>
        </w:rPr>
        <w:t>r</w:t>
      </w:r>
      <w:r w:rsidRPr="006B2147">
        <w:rPr>
          <w:lang w:val="en-CA" w:eastAsia="fr-CA"/>
        </w:rPr>
        <w:t>. Brahimi</w:t>
      </w:r>
      <w:r>
        <w:rPr>
          <w:lang w:val="en-CA" w:eastAsia="fr-CA"/>
        </w:rPr>
        <w:t>’s photo</w:t>
      </w:r>
      <w:r w:rsidR="00C418A3">
        <w:rPr>
          <w:lang w:val="en-CA" w:eastAsia="fr-CA"/>
        </w:rPr>
        <w:t xml:space="preserve"> was identified in</w:t>
      </w:r>
      <w:r w:rsidRPr="006B2147">
        <w:rPr>
          <w:lang w:val="en-CA"/>
        </w:rPr>
        <w:t xml:space="preserve"> </w:t>
      </w:r>
      <w:r>
        <w:rPr>
          <w:lang w:val="en-CA"/>
        </w:rPr>
        <w:t>January</w:t>
      </w:r>
      <w:r w:rsidRPr="006B2147">
        <w:rPr>
          <w:lang w:val="en-CA"/>
        </w:rPr>
        <w:t xml:space="preserve"> 2001, </w:t>
      </w:r>
      <w:r>
        <w:rPr>
          <w:lang w:val="en-CA"/>
        </w:rPr>
        <w:t xml:space="preserve">as already noted in the Albanian </w:t>
      </w:r>
      <w:r w:rsidR="00C95EE4">
        <w:rPr>
          <w:lang w:val="en-CA"/>
        </w:rPr>
        <w:t>trial</w:t>
      </w:r>
      <w:r>
        <w:rPr>
          <w:lang w:val="en-CA"/>
        </w:rPr>
        <w:t xml:space="preserve"> record</w:t>
      </w:r>
      <w:r w:rsidRPr="006B2147">
        <w:rPr>
          <w:lang w:val="en-CA"/>
        </w:rPr>
        <w:t xml:space="preserve">. </w:t>
      </w:r>
    </w:p>
    <w:p w14:paraId="01A16D8B" w14:textId="2C89A91F" w:rsidR="00EB77E3" w:rsidRPr="00C44A76" w:rsidRDefault="00B37A58" w:rsidP="00441741">
      <w:pPr>
        <w:pStyle w:val="Paragraphe"/>
        <w:spacing w:line="280" w:lineRule="exact"/>
        <w:rPr>
          <w:lang w:val="en-CA"/>
        </w:rPr>
      </w:pPr>
      <w:r w:rsidRPr="00C44A76">
        <w:rPr>
          <w:lang w:val="en-CA"/>
        </w:rPr>
        <w:t xml:space="preserve">Finally, the ROC contained legal documents from Greece showing that Mr. Brahimi and his wife </w:t>
      </w:r>
      <w:r w:rsidR="00882E62">
        <w:rPr>
          <w:lang w:val="en-CA"/>
        </w:rPr>
        <w:t xml:space="preserve">were </w:t>
      </w:r>
      <w:r w:rsidRPr="00C44A76">
        <w:rPr>
          <w:lang w:val="en-CA"/>
        </w:rPr>
        <w:t>convicted, in 2001, for having used false passports to travel to Turkey</w:t>
      </w:r>
      <w:r w:rsidR="00A74616">
        <w:rPr>
          <w:lang w:val="en-CA"/>
        </w:rPr>
        <w:t>, in the company of their two children</w:t>
      </w:r>
      <w:r w:rsidRPr="00C44A76">
        <w:rPr>
          <w:lang w:val="en-CA"/>
        </w:rPr>
        <w:t>.</w:t>
      </w:r>
      <w:r>
        <w:rPr>
          <w:rStyle w:val="Appelnotedebasdep"/>
          <w:lang w:val="en-CA"/>
        </w:rPr>
        <w:footnoteReference w:id="12"/>
      </w:r>
      <w:r w:rsidRPr="00C44A76">
        <w:rPr>
          <w:lang w:val="en-CA"/>
        </w:rPr>
        <w:t xml:space="preserve"> Specifically, on April 6, 2001, roughly eight months after the shooting, </w:t>
      </w:r>
      <w:r w:rsidRPr="00C44A76">
        <w:rPr>
          <w:lang w:val="en-CA" w:eastAsia="fr-CA"/>
        </w:rPr>
        <w:t>Mr. Brahimi</w:t>
      </w:r>
      <w:r w:rsidRPr="00C44A76">
        <w:rPr>
          <w:lang w:val="en-CA"/>
        </w:rPr>
        <w:t xml:space="preserve"> and his wife appeared before a </w:t>
      </w:r>
      <w:r w:rsidR="00C44A76" w:rsidRPr="00C44A76">
        <w:rPr>
          <w:lang w:val="en-CA"/>
        </w:rPr>
        <w:t xml:space="preserve">Greek </w:t>
      </w:r>
      <w:r w:rsidR="00882E62">
        <w:rPr>
          <w:lang w:val="en-CA"/>
        </w:rPr>
        <w:t>c</w:t>
      </w:r>
      <w:r w:rsidR="00C44A76" w:rsidRPr="00C44A76">
        <w:rPr>
          <w:lang w:val="en-CA"/>
        </w:rPr>
        <w:t>ourt in Athens in relation to immigration violations</w:t>
      </w:r>
      <w:r w:rsidR="00C44A76">
        <w:rPr>
          <w:lang w:val="en-CA"/>
        </w:rPr>
        <w:t xml:space="preserve"> </w:t>
      </w:r>
      <w:r w:rsidR="00C44A76" w:rsidRPr="00C44A76">
        <w:rPr>
          <w:lang w:val="en-CA"/>
        </w:rPr>
        <w:t>and the use of false passports while they were attempting to travel to Istanbul</w:t>
      </w:r>
      <w:r w:rsidR="00C44A76">
        <w:rPr>
          <w:lang w:val="en-CA"/>
        </w:rPr>
        <w:t>.</w:t>
      </w:r>
      <w:r>
        <w:rPr>
          <w:rStyle w:val="Appelnotedebasdep"/>
          <w:lang w:val="en-CA"/>
        </w:rPr>
        <w:footnoteReference w:id="13"/>
      </w:r>
      <w:r w:rsidR="00C44A76">
        <w:rPr>
          <w:lang w:val="en-CA"/>
        </w:rPr>
        <w:t xml:space="preserve"> </w:t>
      </w:r>
      <w:r w:rsidR="00C44A76" w:rsidRPr="00C44A76">
        <w:rPr>
          <w:lang w:val="en-CA"/>
        </w:rPr>
        <w:t xml:space="preserve">During the hearing, </w:t>
      </w:r>
      <w:r w:rsidR="00C44A76">
        <w:rPr>
          <w:lang w:val="en-CA"/>
        </w:rPr>
        <w:t>they</w:t>
      </w:r>
      <w:r w:rsidR="00C44A76" w:rsidRPr="00C44A76">
        <w:rPr>
          <w:lang w:val="en-CA"/>
        </w:rPr>
        <w:t xml:space="preserve"> admitted their real names were Ëngjëll and Elvira Brahimi and that they had purchased the false passports while still in Albania</w:t>
      </w:r>
      <w:r w:rsidRPr="00C44A76">
        <w:rPr>
          <w:lang w:val="en-CA"/>
        </w:rPr>
        <w:t xml:space="preserve">. </w:t>
      </w:r>
      <w:r w:rsidR="00C44A76">
        <w:rPr>
          <w:lang w:val="en-CA"/>
        </w:rPr>
        <w:t>Greek authorities</w:t>
      </w:r>
      <w:r w:rsidR="00A74616">
        <w:rPr>
          <w:lang w:val="en-CA"/>
        </w:rPr>
        <w:t>, after having found them guilty of possession and use of false passports,</w:t>
      </w:r>
      <w:r w:rsidR="00C44A76">
        <w:rPr>
          <w:lang w:val="en-CA"/>
        </w:rPr>
        <w:t xml:space="preserve"> fingerprinted and photographed them, and collected the personal data</w:t>
      </w:r>
      <w:r w:rsidRPr="00C44A76">
        <w:rPr>
          <w:lang w:val="en-CA"/>
        </w:rPr>
        <w:t xml:space="preserve"> </w:t>
      </w:r>
      <w:r w:rsidR="00C44A76">
        <w:rPr>
          <w:lang w:val="en-CA"/>
        </w:rPr>
        <w:t>of their two children</w:t>
      </w:r>
      <w:r w:rsidRPr="00C44A76">
        <w:rPr>
          <w:lang w:val="en-CA"/>
        </w:rPr>
        <w:t>.</w:t>
      </w:r>
    </w:p>
    <w:p w14:paraId="114BDE2B" w14:textId="747A0A6C" w:rsidR="007C02B9" w:rsidRPr="006B2147" w:rsidRDefault="00B37A58" w:rsidP="00441741">
      <w:pPr>
        <w:pStyle w:val="Paragraphe"/>
        <w:spacing w:line="280" w:lineRule="exact"/>
        <w:rPr>
          <w:lang w:val="en-CA"/>
        </w:rPr>
      </w:pPr>
      <w:r w:rsidRPr="00882E62">
        <w:rPr>
          <w:lang w:val="en-CA"/>
        </w:rPr>
        <w:t>Interpol and the Albanian authorities subsequently obtained the information in the Greek court file</w:t>
      </w:r>
      <w:r w:rsidRPr="006B2147">
        <w:rPr>
          <w:lang w:val="en-CA"/>
        </w:rPr>
        <w:t xml:space="preserve">. </w:t>
      </w:r>
      <w:r>
        <w:rPr>
          <w:lang w:val="en-CA"/>
        </w:rPr>
        <w:t>It was only in</w:t>
      </w:r>
      <w:r w:rsidRPr="00882E62">
        <w:rPr>
          <w:lang w:val="en-CA"/>
        </w:rPr>
        <w:t xml:space="preserve"> 2018 </w:t>
      </w:r>
      <w:r>
        <w:rPr>
          <w:lang w:val="en-CA"/>
        </w:rPr>
        <w:t xml:space="preserve">that </w:t>
      </w:r>
      <w:r w:rsidRPr="00882E62">
        <w:rPr>
          <w:lang w:val="en-CA"/>
        </w:rPr>
        <w:t xml:space="preserve">Interpol </w:t>
      </w:r>
      <w:r>
        <w:rPr>
          <w:lang w:val="en-CA"/>
        </w:rPr>
        <w:t>received information leading it to believe that</w:t>
      </w:r>
      <w:r w:rsidRPr="00882E62">
        <w:rPr>
          <w:lang w:val="en-CA"/>
        </w:rPr>
        <w:t xml:space="preserve"> Mr. Brahimi was living in Montreal under a false identity</w:t>
      </w:r>
      <w:r w:rsidRPr="006B2147">
        <w:rPr>
          <w:lang w:val="en-CA"/>
        </w:rPr>
        <w:t>.</w:t>
      </w:r>
    </w:p>
    <w:p w14:paraId="01405628" w14:textId="71615F59" w:rsidR="00EB77E3" w:rsidRPr="006B2147" w:rsidRDefault="00B37A58" w:rsidP="00441741">
      <w:pPr>
        <w:pStyle w:val="Titre2"/>
        <w:keepNext/>
        <w:keepLines/>
        <w:spacing w:line="280" w:lineRule="exact"/>
        <w:ind w:left="714" w:hanging="357"/>
        <w:rPr>
          <w:i/>
          <w:iCs/>
          <w:lang w:val="en-CA"/>
        </w:rPr>
      </w:pPr>
      <w:r>
        <w:rPr>
          <w:lang w:val="en-CA"/>
        </w:rPr>
        <w:t xml:space="preserve">The trial </w:t>
      </w:r>
      <w:r w:rsidRPr="006673B8">
        <w:rPr>
          <w:i/>
          <w:iCs/>
          <w:lang w:val="en-CA"/>
        </w:rPr>
        <w:t>in absentia</w:t>
      </w:r>
      <w:r w:rsidRPr="006B2147">
        <w:rPr>
          <w:lang w:val="en-CA"/>
        </w:rPr>
        <w:t xml:space="preserve"> </w:t>
      </w:r>
      <w:r w:rsidR="006673B8">
        <w:rPr>
          <w:lang w:val="en-CA"/>
        </w:rPr>
        <w:t xml:space="preserve">in </w:t>
      </w:r>
      <w:r w:rsidRPr="006B2147">
        <w:rPr>
          <w:lang w:val="en-CA"/>
        </w:rPr>
        <w:t>Alban</w:t>
      </w:r>
      <w:r w:rsidR="006673B8">
        <w:rPr>
          <w:lang w:val="en-CA"/>
        </w:rPr>
        <w:t>ia</w:t>
      </w:r>
    </w:p>
    <w:p w14:paraId="4974D056" w14:textId="5EA8F5D9" w:rsidR="00EB77E3" w:rsidRPr="006B2147" w:rsidRDefault="00B37A58" w:rsidP="00441741">
      <w:pPr>
        <w:pStyle w:val="Paragraphe"/>
        <w:spacing w:line="280" w:lineRule="exact"/>
        <w:rPr>
          <w:lang w:val="en-CA"/>
        </w:rPr>
      </w:pPr>
      <w:r>
        <w:rPr>
          <w:lang w:val="en-CA"/>
        </w:rPr>
        <w:t xml:space="preserve">The trial having been held in </w:t>
      </w:r>
      <w:r w:rsidRPr="006B2147">
        <w:rPr>
          <w:lang w:val="en-CA"/>
        </w:rPr>
        <w:t>M</w:t>
      </w:r>
      <w:r>
        <w:rPr>
          <w:lang w:val="en-CA"/>
        </w:rPr>
        <w:t>r</w:t>
      </w:r>
      <w:r w:rsidRPr="006B2147">
        <w:rPr>
          <w:lang w:val="en-CA"/>
        </w:rPr>
        <w:t>. Brahimi</w:t>
      </w:r>
      <w:r>
        <w:rPr>
          <w:lang w:val="en-CA"/>
        </w:rPr>
        <w:t>’s absence, he was represented by a court</w:t>
      </w:r>
      <w:r w:rsidR="00393DEA">
        <w:rPr>
          <w:lang w:val="en-CA"/>
        </w:rPr>
        <w:t>-</w:t>
      </w:r>
      <w:r>
        <w:rPr>
          <w:lang w:val="en-CA"/>
        </w:rPr>
        <w:t>appointed lawyer</w:t>
      </w:r>
      <w:r w:rsidRPr="006B2147">
        <w:rPr>
          <w:lang w:val="en-CA"/>
        </w:rPr>
        <w:t xml:space="preserve">. </w:t>
      </w:r>
    </w:p>
    <w:p w14:paraId="520D429F" w14:textId="4A498AF3" w:rsidR="00083731" w:rsidRPr="006B2147" w:rsidRDefault="00B37A58" w:rsidP="00441741">
      <w:pPr>
        <w:pStyle w:val="Paragraphe"/>
        <w:spacing w:line="280" w:lineRule="exact"/>
        <w:rPr>
          <w:lang w:val="en-CA"/>
        </w:rPr>
      </w:pPr>
      <w:r>
        <w:rPr>
          <w:lang w:val="en-CA"/>
        </w:rPr>
        <w:t>During the trial</w:t>
      </w:r>
      <w:r w:rsidR="00935CFB" w:rsidRPr="006B2147">
        <w:rPr>
          <w:lang w:val="en-CA"/>
        </w:rPr>
        <w:t>, M</w:t>
      </w:r>
      <w:r>
        <w:rPr>
          <w:lang w:val="en-CA"/>
        </w:rPr>
        <w:t>rs.</w:t>
      </w:r>
      <w:r w:rsidR="00935CFB" w:rsidRPr="006B2147">
        <w:rPr>
          <w:lang w:val="en-CA"/>
        </w:rPr>
        <w:t xml:space="preserve"> Brace </w:t>
      </w:r>
      <w:r w:rsidR="00393DEA">
        <w:rPr>
          <w:lang w:val="en-CA"/>
        </w:rPr>
        <w:t>recounted</w:t>
      </w:r>
      <w:r>
        <w:rPr>
          <w:lang w:val="en-CA"/>
        </w:rPr>
        <w:t xml:space="preserve"> the January 15, 2001 photo lineup</w:t>
      </w:r>
      <w:r w:rsidR="00935CFB" w:rsidRPr="006B2147">
        <w:rPr>
          <w:lang w:val="en-CA"/>
        </w:rPr>
        <w:t xml:space="preserve">. </w:t>
      </w:r>
      <w:r>
        <w:rPr>
          <w:lang w:val="en-CA"/>
        </w:rPr>
        <w:t>She testified that a board, on which appeared two rows, each comprising two photographs, was presented to her, and that she then pointed to photo number 2</w:t>
      </w:r>
      <w:r w:rsidR="00935CFB" w:rsidRPr="006B2147">
        <w:rPr>
          <w:lang w:val="en-CA"/>
        </w:rPr>
        <w:t>.</w:t>
      </w:r>
    </w:p>
    <w:p w14:paraId="3C9971EB" w14:textId="6C0524DC" w:rsidR="007C02B9" w:rsidRPr="006B2147" w:rsidRDefault="00B37A58" w:rsidP="00441741">
      <w:pPr>
        <w:pStyle w:val="Paragraphe"/>
        <w:spacing w:line="280" w:lineRule="exact"/>
        <w:rPr>
          <w:lang w:val="en-CA"/>
        </w:rPr>
      </w:pPr>
      <w:r>
        <w:rPr>
          <w:lang w:val="en-CA"/>
        </w:rPr>
        <w:t>However, according to prosecutor</w:t>
      </w:r>
      <w:r w:rsidRPr="006B2147">
        <w:rPr>
          <w:lang w:val="en-CA"/>
        </w:rPr>
        <w:t xml:space="preserve"> Hyka, </w:t>
      </w:r>
      <w:r>
        <w:rPr>
          <w:lang w:val="en-CA"/>
        </w:rPr>
        <w:t>either Mrs. Brace</w:t>
      </w:r>
      <w:r w:rsidR="00BB5025">
        <w:rPr>
          <w:lang w:val="en-CA"/>
        </w:rPr>
        <w:t xml:space="preserve"> misspoke during her testimony at trial, or there was a typographical error in the transcript of her testimony</w:t>
      </w:r>
      <w:r w:rsidRPr="006B2147">
        <w:rPr>
          <w:lang w:val="en-CA"/>
        </w:rPr>
        <w:t xml:space="preserve">. </w:t>
      </w:r>
      <w:r w:rsidR="00BB5025">
        <w:rPr>
          <w:lang w:val="en-CA"/>
        </w:rPr>
        <w:t>Relying on the expert report</w:t>
      </w:r>
      <w:r w:rsidRPr="006B2147">
        <w:rPr>
          <w:lang w:val="en-CA"/>
        </w:rPr>
        <w:t xml:space="preserve">, </w:t>
      </w:r>
      <w:r w:rsidR="00BB5025">
        <w:rPr>
          <w:lang w:val="en-CA"/>
        </w:rPr>
        <w:t xml:space="preserve">the Albanian court found that Mrs. Brace had pointed to photograph number </w:t>
      </w:r>
      <w:r w:rsidRPr="006B2147">
        <w:rPr>
          <w:lang w:val="en-CA"/>
        </w:rPr>
        <w:t xml:space="preserve">3, </w:t>
      </w:r>
      <w:r w:rsidR="008F675C">
        <w:rPr>
          <w:lang w:val="en-CA"/>
        </w:rPr>
        <w:t>i.e., that of</w:t>
      </w:r>
      <w:r w:rsidRPr="006B2147">
        <w:rPr>
          <w:lang w:val="en-CA"/>
        </w:rPr>
        <w:t xml:space="preserve"> M</w:t>
      </w:r>
      <w:r w:rsidR="00BB5025">
        <w:rPr>
          <w:lang w:val="en-CA"/>
        </w:rPr>
        <w:t>r</w:t>
      </w:r>
      <w:r w:rsidRPr="006B2147">
        <w:rPr>
          <w:lang w:val="en-CA"/>
        </w:rPr>
        <w:t>. Brahimi</w:t>
      </w:r>
      <w:r w:rsidR="00BB5025">
        <w:rPr>
          <w:lang w:val="en-CA"/>
        </w:rPr>
        <w:t>.</w:t>
      </w:r>
      <w:r>
        <w:rPr>
          <w:rStyle w:val="Appelnotedebasdep"/>
          <w:lang w:val="en-CA"/>
        </w:rPr>
        <w:footnoteReference w:id="14"/>
      </w:r>
      <w:r w:rsidRPr="006B2147">
        <w:rPr>
          <w:lang w:val="en-CA"/>
        </w:rPr>
        <w:t xml:space="preserve"> </w:t>
      </w:r>
    </w:p>
    <w:p w14:paraId="031EB58C" w14:textId="2B1513DD" w:rsidR="0040234D" w:rsidRPr="006B2147" w:rsidRDefault="00B37A58" w:rsidP="00441741">
      <w:pPr>
        <w:pStyle w:val="Paragraphe"/>
        <w:spacing w:line="280" w:lineRule="exact"/>
        <w:rPr>
          <w:lang w:val="en-CA"/>
        </w:rPr>
      </w:pPr>
      <w:r w:rsidRPr="006B2147">
        <w:rPr>
          <w:lang w:val="en-CA"/>
        </w:rPr>
        <w:t>M</w:t>
      </w:r>
      <w:r w:rsidR="00BB5025">
        <w:rPr>
          <w:lang w:val="en-CA"/>
        </w:rPr>
        <w:t>s.</w:t>
      </w:r>
      <w:r w:rsidRPr="006B2147">
        <w:rPr>
          <w:lang w:val="en-CA"/>
        </w:rPr>
        <w:t xml:space="preserve"> </w:t>
      </w:r>
      <w:r w:rsidR="00194B9B">
        <w:rPr>
          <w:lang w:val="en-CA"/>
        </w:rPr>
        <w:t>A</w:t>
      </w:r>
      <w:r w:rsidRPr="006B2147">
        <w:rPr>
          <w:lang w:val="en-CA"/>
        </w:rPr>
        <w:t xml:space="preserve">, </w:t>
      </w:r>
      <w:r w:rsidR="00BB5025">
        <w:rPr>
          <w:lang w:val="en-CA"/>
        </w:rPr>
        <w:t>who was 14 years-old</w:t>
      </w:r>
      <w:r w:rsidR="006D2D45" w:rsidRPr="006B2147">
        <w:rPr>
          <w:lang w:val="en-CA"/>
        </w:rPr>
        <w:t xml:space="preserve"> </w:t>
      </w:r>
      <w:r w:rsidR="00BB5025">
        <w:rPr>
          <w:lang w:val="en-CA"/>
        </w:rPr>
        <w:t>at the time of the shooting</w:t>
      </w:r>
      <w:r w:rsidR="006D2D45" w:rsidRPr="006B2147">
        <w:rPr>
          <w:lang w:val="en-CA"/>
        </w:rPr>
        <w:t xml:space="preserve">, </w:t>
      </w:r>
      <w:r w:rsidR="00BB5025">
        <w:rPr>
          <w:lang w:val="en-CA"/>
        </w:rPr>
        <w:t>also testified at the trial</w:t>
      </w:r>
      <w:r w:rsidRPr="006B2147">
        <w:rPr>
          <w:lang w:val="en-CA"/>
        </w:rPr>
        <w:t xml:space="preserve">. </w:t>
      </w:r>
      <w:r w:rsidR="00BB5025">
        <w:rPr>
          <w:lang w:val="en-CA"/>
        </w:rPr>
        <w:t>Besides confirming the chain of events</w:t>
      </w:r>
      <w:r w:rsidR="00A74616">
        <w:rPr>
          <w:lang w:val="en-CA"/>
        </w:rPr>
        <w:t>, as related by Mrs. Brace</w:t>
      </w:r>
      <w:r w:rsidR="00BB5025">
        <w:rPr>
          <w:lang w:val="en-CA"/>
        </w:rPr>
        <w:t>,</w:t>
      </w:r>
      <w:r>
        <w:rPr>
          <w:rStyle w:val="Appelnotedebasdep"/>
          <w:lang w:val="en-CA"/>
        </w:rPr>
        <w:footnoteReference w:id="15"/>
      </w:r>
      <w:r w:rsidR="00BB5025">
        <w:rPr>
          <w:lang w:val="en-CA"/>
        </w:rPr>
        <w:t xml:space="preserve"> she claimed to have seen the shooter’s face</w:t>
      </w:r>
      <w:r w:rsidRPr="006B2147">
        <w:rPr>
          <w:lang w:val="en-CA"/>
        </w:rPr>
        <w:t xml:space="preserve">. </w:t>
      </w:r>
      <w:r w:rsidR="00BB5025">
        <w:rPr>
          <w:lang w:val="en-CA"/>
        </w:rPr>
        <w:t>She did not know him prior to the event.</w:t>
      </w:r>
      <w:r>
        <w:rPr>
          <w:rStyle w:val="Appelnotedebasdep"/>
          <w:lang w:val="en-CA"/>
        </w:rPr>
        <w:footnoteReference w:id="16"/>
      </w:r>
      <w:r w:rsidR="00133EF2" w:rsidRPr="006B2147">
        <w:rPr>
          <w:lang w:val="en-CA"/>
        </w:rPr>
        <w:t xml:space="preserve"> </w:t>
      </w:r>
      <w:r w:rsidR="00BB5025">
        <w:rPr>
          <w:lang w:val="en-CA"/>
        </w:rPr>
        <w:t xml:space="preserve">She </w:t>
      </w:r>
      <w:r w:rsidR="008F675C">
        <w:rPr>
          <w:lang w:val="en-CA"/>
        </w:rPr>
        <w:t>recounted</w:t>
      </w:r>
      <w:r w:rsidR="00BB5025">
        <w:rPr>
          <w:lang w:val="en-CA"/>
        </w:rPr>
        <w:t xml:space="preserve"> having recognized him during the photo lineup</w:t>
      </w:r>
      <w:r w:rsidR="00FC2193">
        <w:rPr>
          <w:lang w:val="en-CA"/>
        </w:rPr>
        <w:t xml:space="preserve"> that took place at her aunt’s home on January 16, </w:t>
      </w:r>
      <w:r w:rsidR="006868A2" w:rsidRPr="006B2147">
        <w:rPr>
          <w:lang w:val="en-CA"/>
        </w:rPr>
        <w:t>2001</w:t>
      </w:r>
      <w:r w:rsidR="00D476A1" w:rsidRPr="006B2147">
        <w:rPr>
          <w:lang w:val="en-CA"/>
        </w:rPr>
        <w:t xml:space="preserve">, </w:t>
      </w:r>
      <w:r w:rsidR="00FC2193">
        <w:rPr>
          <w:lang w:val="en-CA"/>
        </w:rPr>
        <w:t>when police showed her a white sheet of paper on which appeared four numbered photographs</w:t>
      </w:r>
      <w:r w:rsidRPr="006B2147">
        <w:rPr>
          <w:lang w:val="en-CA"/>
        </w:rPr>
        <w:t xml:space="preserve">. </w:t>
      </w:r>
      <w:r w:rsidR="00FC2193">
        <w:rPr>
          <w:lang w:val="en-CA"/>
        </w:rPr>
        <w:t>She testified that one of the persons present photographed her at the moment she pointed to the photograph in question</w:t>
      </w:r>
      <w:r w:rsidRPr="006B2147">
        <w:rPr>
          <w:lang w:val="en-CA"/>
        </w:rPr>
        <w:t>.</w:t>
      </w:r>
    </w:p>
    <w:p w14:paraId="6148F838" w14:textId="694AB4CE" w:rsidR="00015B49" w:rsidRPr="006B2147" w:rsidRDefault="00B37A58" w:rsidP="00441741">
      <w:pPr>
        <w:pStyle w:val="Paragraphe"/>
        <w:spacing w:line="280" w:lineRule="exact"/>
        <w:rPr>
          <w:lang w:val="en-CA"/>
        </w:rPr>
      </w:pPr>
      <w:bookmarkStart w:id="17" w:name="_Hlk205323937"/>
      <w:r>
        <w:rPr>
          <w:lang w:val="en-CA"/>
        </w:rPr>
        <w:t>The Albanian court heard the depositions of those two eyewitnesses and considered that their identification of</w:t>
      </w:r>
      <w:r w:rsidR="00083731" w:rsidRPr="006B2147">
        <w:rPr>
          <w:lang w:val="en-CA"/>
        </w:rPr>
        <w:t xml:space="preserve"> </w:t>
      </w:r>
      <w:r w:rsidR="00D415EF" w:rsidRPr="006B2147">
        <w:rPr>
          <w:lang w:val="en-CA" w:eastAsia="fr-CA"/>
        </w:rPr>
        <w:t>M</w:t>
      </w:r>
      <w:r>
        <w:rPr>
          <w:lang w:val="en-CA" w:eastAsia="fr-CA"/>
        </w:rPr>
        <w:t>r.</w:t>
      </w:r>
      <w:r w:rsidR="00D415EF" w:rsidRPr="006B2147">
        <w:rPr>
          <w:lang w:val="en-CA" w:eastAsia="fr-CA"/>
        </w:rPr>
        <w:t xml:space="preserve"> Brahimi</w:t>
      </w:r>
      <w:r w:rsidR="00B313D1" w:rsidRPr="006B2147">
        <w:rPr>
          <w:lang w:val="en-CA" w:eastAsia="fr-CA"/>
        </w:rPr>
        <w:t xml:space="preserve"> </w:t>
      </w:r>
      <w:r>
        <w:rPr>
          <w:lang w:val="en-CA" w:eastAsia="fr-CA"/>
        </w:rPr>
        <w:t>was reliable</w:t>
      </w:r>
      <w:r w:rsidR="00440682" w:rsidRPr="006B2147">
        <w:rPr>
          <w:lang w:val="en-CA" w:eastAsia="fr-CA"/>
        </w:rPr>
        <w:t xml:space="preserve">. </w:t>
      </w:r>
      <w:r w:rsidR="000D7BC3">
        <w:rPr>
          <w:lang w:val="en-CA"/>
        </w:rPr>
        <w:t>It found that the the crime scene examination was consistent</w:t>
      </w:r>
      <w:r w:rsidR="00083731" w:rsidRPr="006B2147">
        <w:rPr>
          <w:lang w:val="en-CA"/>
        </w:rPr>
        <w:t xml:space="preserve"> </w:t>
      </w:r>
      <w:r w:rsidR="000D7BC3">
        <w:rPr>
          <w:lang w:val="en-CA"/>
        </w:rPr>
        <w:t>with the witnesses’ narrative, that Mr. Brace’s car had multiple bullet holes</w:t>
      </w:r>
      <w:r w:rsidR="00E57A95">
        <w:rPr>
          <w:lang w:val="en-CA"/>
        </w:rPr>
        <w:t xml:space="preserve">, </w:t>
      </w:r>
      <w:r w:rsidR="000D7BC3">
        <w:rPr>
          <w:lang w:val="en-CA"/>
        </w:rPr>
        <w:t>that ten cartridges had been</w:t>
      </w:r>
      <w:r w:rsidR="000D7BC3" w:rsidRPr="000D7BC3">
        <w:rPr>
          <w:lang w:val="en-CA"/>
        </w:rPr>
        <w:t xml:space="preserve"> recovered from the scene</w:t>
      </w:r>
      <w:r w:rsidR="000D7BC3">
        <w:rPr>
          <w:lang w:val="en-CA"/>
        </w:rPr>
        <w:t>, that a</w:t>
      </w:r>
      <w:r w:rsidR="000D7BC3" w:rsidRPr="000D7BC3">
        <w:rPr>
          <w:lang w:val="en-CA"/>
        </w:rPr>
        <w:t xml:space="preserve"> ballistic examination revealed that th</w:t>
      </w:r>
      <w:r w:rsidR="008F675C">
        <w:rPr>
          <w:lang w:val="en-CA"/>
        </w:rPr>
        <w:t>o</w:t>
      </w:r>
      <w:r w:rsidR="000D7BC3" w:rsidRPr="000D7BC3">
        <w:rPr>
          <w:lang w:val="en-CA"/>
        </w:rPr>
        <w:t>se cartridges came from two automatic firearms</w:t>
      </w:r>
      <w:r w:rsidR="00D476A1" w:rsidRPr="006B2147">
        <w:rPr>
          <w:lang w:val="en-CA"/>
        </w:rPr>
        <w:t xml:space="preserve">, </w:t>
      </w:r>
      <w:r w:rsidR="000D7BC3">
        <w:rPr>
          <w:lang w:val="en-CA"/>
        </w:rPr>
        <w:t>and that t</w:t>
      </w:r>
      <w:r w:rsidR="000D7BC3" w:rsidRPr="000D7BC3">
        <w:rPr>
          <w:lang w:val="en-CA"/>
        </w:rPr>
        <w:t xml:space="preserve">he autopsies </w:t>
      </w:r>
      <w:r w:rsidR="000D7BC3">
        <w:rPr>
          <w:lang w:val="en-CA"/>
        </w:rPr>
        <w:t>confirmed</w:t>
      </w:r>
      <w:r w:rsidR="000D7BC3" w:rsidRPr="000D7BC3">
        <w:rPr>
          <w:lang w:val="en-CA"/>
        </w:rPr>
        <w:t xml:space="preserve"> that Mr. Brace and </w:t>
      </w:r>
      <w:r w:rsidR="00194B9B">
        <w:rPr>
          <w:lang w:val="en-CA"/>
        </w:rPr>
        <w:t>X</w:t>
      </w:r>
      <w:r w:rsidR="000D7BC3" w:rsidRPr="000D7BC3">
        <w:rPr>
          <w:lang w:val="en-CA"/>
        </w:rPr>
        <w:t xml:space="preserve"> </w:t>
      </w:r>
      <w:r w:rsidR="00E57A95">
        <w:rPr>
          <w:lang w:val="en-CA"/>
        </w:rPr>
        <w:t xml:space="preserve">had </w:t>
      </w:r>
      <w:r w:rsidR="000D7BC3" w:rsidRPr="000D7BC3">
        <w:rPr>
          <w:lang w:val="en-CA"/>
        </w:rPr>
        <w:t>died from gunshot wounds which caused massive head injuries</w:t>
      </w:r>
      <w:r w:rsidR="00D476A1" w:rsidRPr="006B2147">
        <w:rPr>
          <w:lang w:val="en-CA"/>
        </w:rPr>
        <w:t xml:space="preserve">. </w:t>
      </w:r>
      <w:r w:rsidR="000D7BC3">
        <w:rPr>
          <w:lang w:val="en-CA"/>
        </w:rPr>
        <w:t xml:space="preserve">Those </w:t>
      </w:r>
      <w:r w:rsidR="00E23981" w:rsidRPr="006B2147">
        <w:rPr>
          <w:lang w:val="en-CA"/>
        </w:rPr>
        <w:t xml:space="preserve">autopsies </w:t>
      </w:r>
      <w:r w:rsidR="000D7BC3">
        <w:rPr>
          <w:lang w:val="en-CA"/>
        </w:rPr>
        <w:t xml:space="preserve">also established that Mr. </w:t>
      </w:r>
      <w:r w:rsidR="00194B9B">
        <w:rPr>
          <w:lang w:val="en-CA"/>
        </w:rPr>
        <w:t>Y</w:t>
      </w:r>
      <w:r w:rsidR="000D7BC3">
        <w:rPr>
          <w:lang w:val="en-CA"/>
        </w:rPr>
        <w:t xml:space="preserve"> had </w:t>
      </w:r>
      <w:r w:rsidR="000A2065">
        <w:rPr>
          <w:lang w:val="en-CA"/>
        </w:rPr>
        <w:t>sustained</w:t>
      </w:r>
      <w:r w:rsidR="000D7BC3" w:rsidRPr="000D7BC3">
        <w:rPr>
          <w:lang w:val="en-CA"/>
        </w:rPr>
        <w:t xml:space="preserve"> ten </w:t>
      </w:r>
      <w:r w:rsidR="000A2065">
        <w:rPr>
          <w:lang w:val="en-CA"/>
        </w:rPr>
        <w:t>life-threatening bullet wounds</w:t>
      </w:r>
      <w:r w:rsidR="00083731" w:rsidRPr="006B2147">
        <w:rPr>
          <w:lang w:val="en-CA"/>
        </w:rPr>
        <w:t>.</w:t>
      </w:r>
      <w:r w:rsidRPr="006B2147">
        <w:rPr>
          <w:lang w:val="en-CA"/>
        </w:rPr>
        <w:t xml:space="preserve"> </w:t>
      </w:r>
    </w:p>
    <w:p w14:paraId="2F1873AA" w14:textId="16EF3E7F" w:rsidR="00E23981" w:rsidRPr="006B2147" w:rsidRDefault="00B37A58" w:rsidP="00441741">
      <w:pPr>
        <w:pStyle w:val="Paragraphe"/>
        <w:spacing w:line="280" w:lineRule="exact"/>
        <w:rPr>
          <w:lang w:val="en-CA"/>
        </w:rPr>
      </w:pPr>
      <w:r w:rsidRPr="00E57A95">
        <w:rPr>
          <w:lang w:val="en-CA"/>
        </w:rPr>
        <w:t xml:space="preserve">The Albanian </w:t>
      </w:r>
      <w:r>
        <w:rPr>
          <w:lang w:val="en-CA"/>
        </w:rPr>
        <w:t>court</w:t>
      </w:r>
      <w:r w:rsidRPr="00E57A95">
        <w:rPr>
          <w:lang w:val="en-CA"/>
        </w:rPr>
        <w:t xml:space="preserve"> concluded, after reviewing all the evidence, that Mr. Brahimi, in complicity with other persons, </w:t>
      </w:r>
      <w:r>
        <w:rPr>
          <w:lang w:val="en-CA"/>
        </w:rPr>
        <w:t xml:space="preserve">had </w:t>
      </w:r>
      <w:r w:rsidRPr="00E57A95">
        <w:rPr>
          <w:lang w:val="en-CA"/>
        </w:rPr>
        <w:t xml:space="preserve">murdered Mr. Brace and his son </w:t>
      </w:r>
      <w:r w:rsidR="00194B9B">
        <w:rPr>
          <w:lang w:val="en-CA"/>
        </w:rPr>
        <w:t>X</w:t>
      </w:r>
      <w:r w:rsidRPr="00E57A95">
        <w:rPr>
          <w:lang w:val="en-CA"/>
        </w:rPr>
        <w:t>, and</w:t>
      </w:r>
      <w:r w:rsidR="008F675C">
        <w:rPr>
          <w:lang w:val="en-CA"/>
        </w:rPr>
        <w:t xml:space="preserve"> </w:t>
      </w:r>
      <w:r w:rsidRPr="00E57A95">
        <w:rPr>
          <w:lang w:val="en-CA"/>
        </w:rPr>
        <w:t xml:space="preserve">attempted to murder </w:t>
      </w:r>
      <w:r>
        <w:rPr>
          <w:lang w:val="en-CA"/>
        </w:rPr>
        <w:t xml:space="preserve">Mr. </w:t>
      </w:r>
      <w:r w:rsidR="00194B9B">
        <w:rPr>
          <w:lang w:val="en-CA"/>
        </w:rPr>
        <w:t>Y</w:t>
      </w:r>
      <w:r w:rsidR="00083731" w:rsidRPr="006B2147">
        <w:rPr>
          <w:lang w:val="en-CA"/>
        </w:rPr>
        <w:t>.</w:t>
      </w:r>
    </w:p>
    <w:p w14:paraId="2948784D" w14:textId="4C86FB3E" w:rsidR="00E23981" w:rsidRPr="006B2147" w:rsidRDefault="00B37A58" w:rsidP="00441741">
      <w:pPr>
        <w:pStyle w:val="Paragraphe"/>
        <w:spacing w:line="280" w:lineRule="exact"/>
        <w:rPr>
          <w:lang w:val="en-CA"/>
        </w:rPr>
      </w:pPr>
      <w:r>
        <w:rPr>
          <w:lang w:val="en-CA"/>
        </w:rPr>
        <w:t>On May 21</w:t>
      </w:r>
      <w:r w:rsidR="00F0621F">
        <w:rPr>
          <w:lang w:val="en-CA"/>
        </w:rPr>
        <w:t>,</w:t>
      </w:r>
      <w:r w:rsidR="0020431B" w:rsidRPr="006B2147">
        <w:rPr>
          <w:lang w:val="en-CA"/>
        </w:rPr>
        <w:t xml:space="preserve"> </w:t>
      </w:r>
      <w:r w:rsidR="00083731" w:rsidRPr="006B2147">
        <w:rPr>
          <w:lang w:val="en-CA"/>
        </w:rPr>
        <w:t xml:space="preserve">2001, </w:t>
      </w:r>
      <w:r w:rsidR="00D415EF" w:rsidRPr="006B2147">
        <w:rPr>
          <w:lang w:val="en-CA" w:eastAsia="fr-CA"/>
        </w:rPr>
        <w:t>M</w:t>
      </w:r>
      <w:r>
        <w:rPr>
          <w:lang w:val="en-CA" w:eastAsia="fr-CA"/>
        </w:rPr>
        <w:t>r</w:t>
      </w:r>
      <w:r w:rsidR="00D415EF" w:rsidRPr="006B2147">
        <w:rPr>
          <w:lang w:val="en-CA" w:eastAsia="fr-CA"/>
        </w:rPr>
        <w:t>. Brahimi</w:t>
      </w:r>
      <w:r w:rsidR="00083731" w:rsidRPr="006B2147">
        <w:rPr>
          <w:lang w:val="en-CA"/>
        </w:rPr>
        <w:t xml:space="preserve"> </w:t>
      </w:r>
      <w:r>
        <w:rPr>
          <w:lang w:val="en-CA"/>
        </w:rPr>
        <w:t>was found guilty</w:t>
      </w:r>
      <w:r w:rsidR="00083731" w:rsidRPr="006B2147">
        <w:rPr>
          <w:lang w:val="en-CA"/>
        </w:rPr>
        <w:t xml:space="preserve"> </w:t>
      </w:r>
      <w:r w:rsidR="00B313D1" w:rsidRPr="006B2147">
        <w:rPr>
          <w:i/>
          <w:iCs/>
          <w:lang w:val="en-CA"/>
        </w:rPr>
        <w:t xml:space="preserve">in absentia </w:t>
      </w:r>
      <w:r w:rsidRPr="00E57A95">
        <w:rPr>
          <w:lang w:val="en-CA"/>
        </w:rPr>
        <w:t>of premeditated murder due to vengeance, murder committed in other specific circumstances, attempted murder, and illegal possession of firearms</w:t>
      </w:r>
      <w:r w:rsidR="00083731" w:rsidRPr="006B2147">
        <w:rPr>
          <w:lang w:val="en-CA"/>
        </w:rPr>
        <w:t xml:space="preserve">. </w:t>
      </w:r>
      <w:r>
        <w:rPr>
          <w:lang w:val="en-CA"/>
        </w:rPr>
        <w:t>A translated copy of the decision is appended to the ROC</w:t>
      </w:r>
      <w:r w:rsidR="00083731" w:rsidRPr="006B2147">
        <w:rPr>
          <w:lang w:val="en-CA"/>
        </w:rPr>
        <w:t>.</w:t>
      </w:r>
    </w:p>
    <w:bookmarkEnd w:id="17"/>
    <w:p w14:paraId="1571E34B" w14:textId="3E18934F" w:rsidR="00E07451" w:rsidRPr="006B2147" w:rsidRDefault="00B37A58" w:rsidP="00441741">
      <w:pPr>
        <w:pStyle w:val="Titre1"/>
        <w:spacing w:line="280" w:lineRule="exact"/>
        <w:rPr>
          <w:lang w:val="en-CA"/>
        </w:rPr>
      </w:pPr>
      <w:r w:rsidRPr="006B2147">
        <w:rPr>
          <w:lang w:val="en-CA"/>
        </w:rPr>
        <w:t>III</w:t>
      </w:r>
      <w:r w:rsidR="005742DA" w:rsidRPr="006B2147">
        <w:rPr>
          <w:lang w:val="en-CA"/>
        </w:rPr>
        <w:t xml:space="preserve">. </w:t>
      </w:r>
      <w:bookmarkEnd w:id="12"/>
      <w:r w:rsidR="00C27AC3" w:rsidRPr="006B2147">
        <w:rPr>
          <w:lang w:val="en-CA"/>
        </w:rPr>
        <w:tab/>
      </w:r>
      <w:r w:rsidR="005E695C">
        <w:rPr>
          <w:lang w:val="en-CA"/>
        </w:rPr>
        <w:t>JUDGMENT IN FIRST</w:t>
      </w:r>
      <w:r w:rsidRPr="006B2147">
        <w:rPr>
          <w:lang w:val="en-CA"/>
        </w:rPr>
        <w:t xml:space="preserve"> INSTANCE</w:t>
      </w:r>
    </w:p>
    <w:p w14:paraId="4D297595" w14:textId="3DA15FE7" w:rsidR="00E07451" w:rsidRPr="006B2147" w:rsidRDefault="00B37A58" w:rsidP="00441741">
      <w:pPr>
        <w:pStyle w:val="Paragraphe"/>
        <w:spacing w:line="280" w:lineRule="exact"/>
        <w:rPr>
          <w:lang w:val="en-CA"/>
        </w:rPr>
      </w:pPr>
      <w:r>
        <w:rPr>
          <w:lang w:val="en-CA"/>
        </w:rPr>
        <w:t xml:space="preserve">The judgment in first instance </w:t>
      </w:r>
      <w:r w:rsidR="00067F81">
        <w:rPr>
          <w:lang w:val="en-CA"/>
        </w:rPr>
        <w:t>i</w:t>
      </w:r>
      <w:r>
        <w:rPr>
          <w:lang w:val="en-CA"/>
        </w:rPr>
        <w:t>s carefully reasoned</w:t>
      </w:r>
      <w:r w:rsidRPr="006B2147">
        <w:rPr>
          <w:lang w:val="en-CA"/>
        </w:rPr>
        <w:t xml:space="preserve">. </w:t>
      </w:r>
      <w:r>
        <w:rPr>
          <w:lang w:val="en-CA"/>
        </w:rPr>
        <w:t xml:space="preserve">The judge indicated that the only issue </w:t>
      </w:r>
      <w:r w:rsidR="00067F81">
        <w:rPr>
          <w:lang w:val="en-CA"/>
        </w:rPr>
        <w:t xml:space="preserve">is the identification evidence </w:t>
      </w:r>
      <w:r w:rsidR="003F3865">
        <w:rPr>
          <w:lang w:val="en-CA"/>
        </w:rPr>
        <w:t>incriminating</w:t>
      </w:r>
      <w:r w:rsidR="00067F81">
        <w:rPr>
          <w:lang w:val="en-CA"/>
        </w:rPr>
        <w:t xml:space="preserve"> </w:t>
      </w:r>
      <w:r>
        <w:rPr>
          <w:lang w:val="en-CA"/>
        </w:rPr>
        <w:t>Mr. Brahimi</w:t>
      </w:r>
      <w:r w:rsidR="000A2065">
        <w:rPr>
          <w:lang w:val="en-CA"/>
        </w:rPr>
        <w:t xml:space="preserve"> in </w:t>
      </w:r>
      <w:r w:rsidR="003F423A">
        <w:rPr>
          <w:lang w:val="en-CA"/>
        </w:rPr>
        <w:t>a</w:t>
      </w:r>
      <w:r w:rsidR="000A2065">
        <w:rPr>
          <w:lang w:val="en-CA"/>
        </w:rPr>
        <w:t xml:space="preserve"> context </w:t>
      </w:r>
      <w:r>
        <w:rPr>
          <w:lang w:val="en-CA"/>
        </w:rPr>
        <w:t>wher</w:t>
      </w:r>
      <w:r w:rsidR="000A2065">
        <w:rPr>
          <w:lang w:val="en-CA"/>
        </w:rPr>
        <w:t>e</w:t>
      </w:r>
      <w:r>
        <w:rPr>
          <w:lang w:val="en-CA"/>
        </w:rPr>
        <w:t xml:space="preserve"> extradition is request</w:t>
      </w:r>
      <w:r w:rsidR="00067F81">
        <w:rPr>
          <w:lang w:val="en-CA"/>
        </w:rPr>
        <w:t>ed</w:t>
      </w:r>
      <w:r>
        <w:rPr>
          <w:lang w:val="en-CA"/>
        </w:rPr>
        <w:t xml:space="preserve"> for the </w:t>
      </w:r>
      <w:r w:rsidRPr="006301FB">
        <w:rPr>
          <w:lang w:val="en-CA"/>
        </w:rPr>
        <w:t xml:space="preserve">execution of a sentence following a guilty verdict rendered </w:t>
      </w:r>
      <w:r w:rsidRPr="00067F81">
        <w:rPr>
          <w:i/>
          <w:iCs/>
          <w:lang w:val="en-CA"/>
        </w:rPr>
        <w:t>in absenti</w:t>
      </w:r>
      <w:r w:rsidR="00067F81">
        <w:rPr>
          <w:i/>
          <w:iCs/>
          <w:lang w:val="en-CA"/>
        </w:rPr>
        <w:t>a</w:t>
      </w:r>
      <w:r w:rsidR="00067F81" w:rsidRPr="00067F81">
        <w:rPr>
          <w:lang w:val="en-CA"/>
        </w:rPr>
        <w:t>.</w:t>
      </w:r>
      <w:r>
        <w:rPr>
          <w:rStyle w:val="Appelnotedebasdep"/>
          <w:lang w:val="en-CA"/>
        </w:rPr>
        <w:footnoteReference w:id="17"/>
      </w:r>
    </w:p>
    <w:p w14:paraId="1B41A357" w14:textId="4AADC922" w:rsidR="007C02B9" w:rsidRPr="006B2147" w:rsidRDefault="00B37A58" w:rsidP="00441741">
      <w:pPr>
        <w:pStyle w:val="Paragraphe"/>
        <w:spacing w:line="280" w:lineRule="exact"/>
        <w:rPr>
          <w:lang w:val="en-CA"/>
        </w:rPr>
      </w:pPr>
      <w:r>
        <w:rPr>
          <w:lang w:val="en-CA"/>
        </w:rPr>
        <w:t>The evidence</w:t>
      </w:r>
      <w:r w:rsidR="000A2065">
        <w:rPr>
          <w:lang w:val="en-CA"/>
        </w:rPr>
        <w:t xml:space="preserve"> filed by the appellant</w:t>
      </w:r>
      <w:r>
        <w:rPr>
          <w:lang w:val="en-CA"/>
        </w:rPr>
        <w:t xml:space="preserve"> in first instance was limited to the ROC and the SROC</w:t>
      </w:r>
      <w:r w:rsidRPr="006B2147">
        <w:rPr>
          <w:lang w:val="en-CA"/>
        </w:rPr>
        <w:t xml:space="preserve">. </w:t>
      </w:r>
      <w:r w:rsidR="008A5302">
        <w:rPr>
          <w:lang w:val="en-CA"/>
        </w:rPr>
        <w:t>Pursuant to</w:t>
      </w:r>
      <w:r>
        <w:rPr>
          <w:lang w:val="en-CA"/>
        </w:rPr>
        <w:t xml:space="preserve"> the Act, </w:t>
      </w:r>
      <w:r w:rsidR="008A5302">
        <w:rPr>
          <w:lang w:val="en-CA"/>
        </w:rPr>
        <w:t>their</w:t>
      </w:r>
      <w:r w:rsidR="009C7312">
        <w:rPr>
          <w:lang w:val="en-CA"/>
        </w:rPr>
        <w:t xml:space="preserve"> </w:t>
      </w:r>
      <w:r w:rsidR="008A5302">
        <w:rPr>
          <w:lang w:val="en-CA"/>
        </w:rPr>
        <w:t xml:space="preserve">certification </w:t>
      </w:r>
      <w:r w:rsidR="00B36A3E">
        <w:rPr>
          <w:lang w:val="en-CA"/>
        </w:rPr>
        <w:t>attested to the fact</w:t>
      </w:r>
      <w:r w:rsidR="009C7312">
        <w:rPr>
          <w:lang w:val="en-CA"/>
        </w:rPr>
        <w:t xml:space="preserve"> that the evidence summarized therein and the documents included therein are reliable, that they were collected in accordance with Albanian law and</w:t>
      </w:r>
      <w:r w:rsidR="00B36A3E">
        <w:rPr>
          <w:lang w:val="en-CA"/>
        </w:rPr>
        <w:t xml:space="preserve"> that they</w:t>
      </w:r>
      <w:r w:rsidR="009C7312">
        <w:rPr>
          <w:lang w:val="en-CA"/>
        </w:rPr>
        <w:t xml:space="preserve"> will be available for trial</w:t>
      </w:r>
      <w:r w:rsidRPr="006B2147">
        <w:rPr>
          <w:lang w:val="en-CA"/>
        </w:rPr>
        <w:t xml:space="preserve">, </w:t>
      </w:r>
      <w:r w:rsidR="00B36A3E">
        <w:rPr>
          <w:lang w:val="en-CA"/>
        </w:rPr>
        <w:t>if any.</w:t>
      </w:r>
      <w:r>
        <w:rPr>
          <w:rStyle w:val="Appelnotedebasdep"/>
          <w:lang w:val="en-CA"/>
        </w:rPr>
        <w:footnoteReference w:id="18"/>
      </w:r>
      <w:r w:rsidRPr="006B2147">
        <w:rPr>
          <w:lang w:val="en-CA"/>
        </w:rPr>
        <w:t xml:space="preserve"> </w:t>
      </w:r>
      <w:r w:rsidR="000A2065">
        <w:rPr>
          <w:lang w:val="en-CA"/>
        </w:rPr>
        <w:t xml:space="preserve">For his part, </w:t>
      </w:r>
      <w:r w:rsidRPr="006B2147">
        <w:rPr>
          <w:lang w:val="en-CA"/>
        </w:rPr>
        <w:t>M</w:t>
      </w:r>
      <w:r w:rsidR="00B36A3E">
        <w:rPr>
          <w:lang w:val="en-CA"/>
        </w:rPr>
        <w:t>r</w:t>
      </w:r>
      <w:r w:rsidRPr="006B2147">
        <w:rPr>
          <w:lang w:val="en-CA"/>
        </w:rPr>
        <w:t xml:space="preserve">. Brahimi </w:t>
      </w:r>
      <w:r w:rsidR="00B36A3E">
        <w:rPr>
          <w:lang w:val="en-CA"/>
        </w:rPr>
        <w:t xml:space="preserve">called a </w:t>
      </w:r>
      <w:r w:rsidRPr="006B2147">
        <w:rPr>
          <w:lang w:val="en-CA"/>
        </w:rPr>
        <w:t>journalist</w:t>
      </w:r>
      <w:r w:rsidR="00B36A3E">
        <w:rPr>
          <w:lang w:val="en-CA"/>
        </w:rPr>
        <w:t xml:space="preserve">, Mr. </w:t>
      </w:r>
      <w:r w:rsidRPr="006B2147">
        <w:rPr>
          <w:lang w:val="en-CA"/>
        </w:rPr>
        <w:t>Muçaj</w:t>
      </w:r>
      <w:r w:rsidR="00B36A3E">
        <w:rPr>
          <w:lang w:val="en-CA"/>
        </w:rPr>
        <w:t>, as a witness</w:t>
      </w:r>
      <w:r w:rsidRPr="006B2147">
        <w:rPr>
          <w:lang w:val="en-CA"/>
        </w:rPr>
        <w:t>.</w:t>
      </w:r>
    </w:p>
    <w:p w14:paraId="4A90BDF4" w14:textId="255EEEF1" w:rsidR="00E07451" w:rsidRPr="006B2147" w:rsidRDefault="00B37A58" w:rsidP="00BD758E">
      <w:pPr>
        <w:pStyle w:val="Paragraphe"/>
        <w:spacing w:line="280" w:lineRule="exact"/>
        <w:rPr>
          <w:lang w:val="en-CA"/>
        </w:rPr>
      </w:pPr>
      <w:r>
        <w:rPr>
          <w:lang w:val="en-CA"/>
        </w:rPr>
        <w:t>The judge began by analyzing</w:t>
      </w:r>
      <w:r w:rsidR="005873F4">
        <w:rPr>
          <w:lang w:val="en-CA"/>
        </w:rPr>
        <w:t xml:space="preserve"> the evidence </w:t>
      </w:r>
      <w:r w:rsidR="00BF326A">
        <w:rPr>
          <w:lang w:val="en-CA"/>
        </w:rPr>
        <w:t>set out</w:t>
      </w:r>
      <w:r w:rsidR="005873F4">
        <w:rPr>
          <w:lang w:val="en-CA"/>
        </w:rPr>
        <w:t xml:space="preserve"> in the ROC,</w:t>
      </w:r>
      <w:r>
        <w:rPr>
          <w:rStyle w:val="Appelnotedebasdep"/>
          <w:lang w:val="en-CA"/>
        </w:rPr>
        <w:footnoteReference w:id="19"/>
      </w:r>
      <w:r w:rsidR="005873F4">
        <w:rPr>
          <w:lang w:val="en-CA"/>
        </w:rPr>
        <w:t xml:space="preserve"> </w:t>
      </w:r>
      <w:r>
        <w:rPr>
          <w:lang w:val="en-CA"/>
        </w:rPr>
        <w:t xml:space="preserve">and </w:t>
      </w:r>
      <w:r w:rsidR="003F423A">
        <w:rPr>
          <w:lang w:val="en-CA"/>
        </w:rPr>
        <w:t>points to</w:t>
      </w:r>
      <w:r>
        <w:rPr>
          <w:lang w:val="en-CA"/>
        </w:rPr>
        <w:t xml:space="preserve"> a number of contradictions and inconsistencies. He then reviewed </w:t>
      </w:r>
      <w:r w:rsidR="005873F4">
        <w:rPr>
          <w:lang w:val="en-CA"/>
        </w:rPr>
        <w:t xml:space="preserve">the additional evidence </w:t>
      </w:r>
      <w:r>
        <w:rPr>
          <w:lang w:val="en-CA"/>
        </w:rPr>
        <w:t>contained</w:t>
      </w:r>
      <w:r w:rsidR="005873F4">
        <w:rPr>
          <w:lang w:val="en-CA"/>
        </w:rPr>
        <w:t xml:space="preserve"> in the SROC</w:t>
      </w:r>
      <w:r>
        <w:rPr>
          <w:rStyle w:val="Appelnotedebasdep"/>
        </w:rPr>
        <w:footnoteReference w:id="20"/>
      </w:r>
      <w:r w:rsidR="005873F4">
        <w:rPr>
          <w:lang w:val="en-CA"/>
        </w:rPr>
        <w:t xml:space="preserve"> </w:t>
      </w:r>
      <w:r w:rsidR="003F423A">
        <w:rPr>
          <w:lang w:val="en-CA"/>
        </w:rPr>
        <w:t xml:space="preserve">and </w:t>
      </w:r>
      <w:r>
        <w:rPr>
          <w:lang w:val="en-CA"/>
        </w:rPr>
        <w:t xml:space="preserve">was of the view that it </w:t>
      </w:r>
      <w:r w:rsidR="005873F4">
        <w:rPr>
          <w:lang w:val="en-CA"/>
        </w:rPr>
        <w:t>failed to clarify the identification evidence linking</w:t>
      </w:r>
      <w:r w:rsidRPr="006B2147">
        <w:rPr>
          <w:lang w:val="en-CA"/>
        </w:rPr>
        <w:t xml:space="preserve"> </w:t>
      </w:r>
      <w:r w:rsidR="005873F4">
        <w:rPr>
          <w:lang w:val="en-CA"/>
        </w:rPr>
        <w:t>Mr.</w:t>
      </w:r>
      <w:r w:rsidRPr="006B2147">
        <w:rPr>
          <w:lang w:val="en-CA" w:eastAsia="fr-CA"/>
        </w:rPr>
        <w:t xml:space="preserve"> Brahimi</w:t>
      </w:r>
      <w:r w:rsidRPr="006B2147">
        <w:rPr>
          <w:lang w:val="en-CA"/>
        </w:rPr>
        <w:t xml:space="preserve"> </w:t>
      </w:r>
      <w:r w:rsidR="005873F4">
        <w:rPr>
          <w:lang w:val="en-CA"/>
        </w:rPr>
        <w:t>to the</w:t>
      </w:r>
      <w:r w:rsidRPr="006B2147">
        <w:rPr>
          <w:lang w:val="en-CA"/>
        </w:rPr>
        <w:t xml:space="preserve"> crimes</w:t>
      </w:r>
      <w:r>
        <w:rPr>
          <w:lang w:val="en-CA"/>
        </w:rPr>
        <w:t>, but raise</w:t>
      </w:r>
      <w:r w:rsidR="003F423A">
        <w:rPr>
          <w:lang w:val="en-CA"/>
        </w:rPr>
        <w:t>d</w:t>
      </w:r>
      <w:r>
        <w:rPr>
          <w:lang w:val="en-CA"/>
        </w:rPr>
        <w:t xml:space="preserve"> even more questions</w:t>
      </w:r>
      <w:r w:rsidRPr="006B2147">
        <w:rPr>
          <w:lang w:val="en-CA"/>
        </w:rPr>
        <w:t xml:space="preserve">. </w:t>
      </w:r>
      <w:r w:rsidR="00667DFF">
        <w:rPr>
          <w:lang w:val="en-CA"/>
        </w:rPr>
        <w:t>To be sure,</w:t>
      </w:r>
      <w:r w:rsidR="005873F4">
        <w:rPr>
          <w:lang w:val="en-CA"/>
        </w:rPr>
        <w:t xml:space="preserve"> prosecutor</w:t>
      </w:r>
      <w:r w:rsidRPr="006B2147">
        <w:rPr>
          <w:lang w:val="en-CA"/>
        </w:rPr>
        <w:t xml:space="preserve"> Hyka </w:t>
      </w:r>
      <w:r w:rsidR="005873F4">
        <w:rPr>
          <w:lang w:val="en-CA"/>
        </w:rPr>
        <w:t>sought to explain</w:t>
      </w:r>
      <w:r>
        <w:rPr>
          <w:lang w:val="en-CA"/>
        </w:rPr>
        <w:t xml:space="preserve"> therein</w:t>
      </w:r>
      <w:r w:rsidR="005873F4">
        <w:rPr>
          <w:lang w:val="en-CA"/>
        </w:rPr>
        <w:t xml:space="preserve"> the </w:t>
      </w:r>
      <w:r w:rsidR="003F423A">
        <w:rPr>
          <w:lang w:val="en-CA"/>
        </w:rPr>
        <w:t>contradiction</w:t>
      </w:r>
      <w:r w:rsidR="005873F4">
        <w:rPr>
          <w:lang w:val="en-CA"/>
        </w:rPr>
        <w:t xml:space="preserve"> between</w:t>
      </w:r>
      <w:r w:rsidRPr="006B2147">
        <w:rPr>
          <w:lang w:val="en-CA"/>
        </w:rPr>
        <w:t xml:space="preserve"> </w:t>
      </w:r>
      <w:r w:rsidR="00F87806">
        <w:rPr>
          <w:lang w:val="en-CA"/>
        </w:rPr>
        <w:t>Mrs. Brace</w:t>
      </w:r>
      <w:r w:rsidR="005873F4">
        <w:rPr>
          <w:lang w:val="en-CA"/>
        </w:rPr>
        <w:t xml:space="preserve">’s statement at the photo lineup and that made in her testimony at trial, </w:t>
      </w:r>
      <w:r w:rsidR="00667DFF">
        <w:rPr>
          <w:lang w:val="en-CA"/>
        </w:rPr>
        <w:t>suggesting</w:t>
      </w:r>
      <w:r w:rsidR="005873F4">
        <w:rPr>
          <w:lang w:val="en-CA"/>
        </w:rPr>
        <w:t xml:space="preserve"> that </w:t>
      </w:r>
      <w:r w:rsidR="00F87806">
        <w:rPr>
          <w:lang w:val="en-CA"/>
        </w:rPr>
        <w:t>Mrs.</w:t>
      </w:r>
      <w:r w:rsidR="00BD758E">
        <w:rPr>
          <w:lang w:val="en-CA"/>
        </w:rPr>
        <w:t> </w:t>
      </w:r>
      <w:r w:rsidR="00F87806">
        <w:rPr>
          <w:lang w:val="en-CA"/>
        </w:rPr>
        <w:t>Brace</w:t>
      </w:r>
      <w:r w:rsidR="005873F4">
        <w:rPr>
          <w:lang w:val="en-CA"/>
        </w:rPr>
        <w:t xml:space="preserve"> had misspoken when she mentioned the photograph number or, alternatively</w:t>
      </w:r>
      <w:r w:rsidR="00BF326A">
        <w:rPr>
          <w:lang w:val="en-CA"/>
        </w:rPr>
        <w:t>,</w:t>
      </w:r>
      <w:r w:rsidR="005873F4">
        <w:rPr>
          <w:lang w:val="en-CA"/>
        </w:rPr>
        <w:t xml:space="preserve"> that there had been an error</w:t>
      </w:r>
      <w:r w:rsidR="00BF326A">
        <w:rPr>
          <w:lang w:val="en-CA"/>
        </w:rPr>
        <w:t xml:space="preserve"> in the </w:t>
      </w:r>
      <w:r w:rsidR="005873F4">
        <w:rPr>
          <w:lang w:val="en-CA"/>
        </w:rPr>
        <w:t>transcription of her testimony at trial</w:t>
      </w:r>
      <w:r w:rsidR="00BF326A">
        <w:rPr>
          <w:lang w:val="en-CA"/>
        </w:rPr>
        <w:t>, but</w:t>
      </w:r>
      <w:r w:rsidR="00667DFF">
        <w:rPr>
          <w:lang w:val="en-CA"/>
        </w:rPr>
        <w:t>, in the</w:t>
      </w:r>
      <w:r w:rsidR="00BF326A">
        <w:rPr>
          <w:lang w:val="en-CA"/>
        </w:rPr>
        <w:t xml:space="preserve"> judge</w:t>
      </w:r>
      <w:r w:rsidR="00667DFF">
        <w:rPr>
          <w:lang w:val="en-CA"/>
        </w:rPr>
        <w:t>’s view,</w:t>
      </w:r>
      <w:r w:rsidR="00BF326A">
        <w:rPr>
          <w:lang w:val="en-CA"/>
        </w:rPr>
        <w:t xml:space="preserve"> </w:t>
      </w:r>
      <w:r w:rsidR="00BF326A" w:rsidRPr="00BF326A">
        <w:rPr>
          <w:lang w:val="en-CA"/>
        </w:rPr>
        <w:t>no evidence in the record supported</w:t>
      </w:r>
      <w:r w:rsidR="00BF326A">
        <w:rPr>
          <w:lang w:val="en-CA"/>
        </w:rPr>
        <w:t xml:space="preserve"> the</w:t>
      </w:r>
      <w:r w:rsidR="00667DFF">
        <w:rPr>
          <w:lang w:val="en-CA"/>
        </w:rPr>
        <w:t xml:space="preserve"> suggestion that </w:t>
      </w:r>
      <w:r w:rsidR="00F87806">
        <w:rPr>
          <w:lang w:val="en-CA"/>
        </w:rPr>
        <w:t>Mrs. Brace</w:t>
      </w:r>
      <w:r w:rsidR="00667DFF">
        <w:rPr>
          <w:lang w:val="en-CA"/>
        </w:rPr>
        <w:t xml:space="preserve"> had</w:t>
      </w:r>
      <w:r w:rsidR="00BF326A">
        <w:rPr>
          <w:lang w:val="en-CA"/>
        </w:rPr>
        <w:t xml:space="preserve"> misspoke</w:t>
      </w:r>
      <w:r w:rsidR="00667DFF">
        <w:rPr>
          <w:lang w:val="en-CA"/>
        </w:rPr>
        <w:t>n</w:t>
      </w:r>
      <w:r w:rsidR="00BF326A">
        <w:rPr>
          <w:lang w:val="en-CA"/>
        </w:rPr>
        <w:t xml:space="preserve"> or that the court reporter</w:t>
      </w:r>
      <w:r w:rsidR="00667DFF">
        <w:rPr>
          <w:lang w:val="en-CA"/>
        </w:rPr>
        <w:t xml:space="preserve"> had made a mistake</w:t>
      </w:r>
      <w:r w:rsidR="00BF326A">
        <w:rPr>
          <w:lang w:val="en-CA"/>
        </w:rPr>
        <w:t>.</w:t>
      </w:r>
      <w:r>
        <w:rPr>
          <w:rStyle w:val="Appelnotedebasdep"/>
          <w:lang w:val="en-CA"/>
        </w:rPr>
        <w:footnoteReference w:id="21"/>
      </w:r>
    </w:p>
    <w:p w14:paraId="431984FC" w14:textId="2848DB78" w:rsidR="00015B49" w:rsidRPr="006B2147" w:rsidRDefault="00B37A58" w:rsidP="00441741">
      <w:pPr>
        <w:pStyle w:val="Paragraphe"/>
        <w:spacing w:line="280" w:lineRule="exact"/>
        <w:rPr>
          <w:lang w:val="en-CA"/>
        </w:rPr>
      </w:pPr>
      <w:r>
        <w:rPr>
          <w:lang w:val="en-CA"/>
        </w:rPr>
        <w:t xml:space="preserve">The judge then </w:t>
      </w:r>
      <w:r w:rsidR="00816211">
        <w:rPr>
          <w:lang w:val="en-CA"/>
        </w:rPr>
        <w:t>rejected journalist</w:t>
      </w:r>
      <w:r w:rsidR="00E07451" w:rsidRPr="006B2147">
        <w:rPr>
          <w:lang w:val="en-CA"/>
        </w:rPr>
        <w:t xml:space="preserve"> Muçaj</w:t>
      </w:r>
      <w:r w:rsidR="00816211">
        <w:rPr>
          <w:lang w:val="en-CA"/>
        </w:rPr>
        <w:t>’s testimony</w:t>
      </w:r>
      <w:r w:rsidR="00E07451" w:rsidRPr="006B2147">
        <w:rPr>
          <w:lang w:val="en-CA"/>
        </w:rPr>
        <w:t xml:space="preserve">, </w:t>
      </w:r>
      <w:r w:rsidR="00816211">
        <w:rPr>
          <w:lang w:val="en-CA"/>
        </w:rPr>
        <w:t xml:space="preserve">holding that </w:t>
      </w:r>
      <w:r w:rsidR="00FE2336">
        <w:rPr>
          <w:lang w:val="en-CA"/>
        </w:rPr>
        <w:t>alt</w:t>
      </w:r>
      <w:r w:rsidR="00816211">
        <w:rPr>
          <w:lang w:val="en-CA"/>
        </w:rPr>
        <w:t xml:space="preserve">hough </w:t>
      </w:r>
      <w:r w:rsidR="00FE2336">
        <w:rPr>
          <w:lang w:val="en-CA"/>
        </w:rPr>
        <w:t>that evidence</w:t>
      </w:r>
      <w:r w:rsidR="00816211">
        <w:rPr>
          <w:lang w:val="en-CA"/>
        </w:rPr>
        <w:t xml:space="preserve"> was ruled to be admissible under s. </w:t>
      </w:r>
      <w:r w:rsidR="00E07451" w:rsidRPr="006B2147">
        <w:rPr>
          <w:rFonts w:cs="Arial"/>
          <w:szCs w:val="24"/>
          <w:lang w:val="en-CA"/>
        </w:rPr>
        <w:t>32(1)</w:t>
      </w:r>
      <w:r w:rsidR="00816211">
        <w:rPr>
          <w:rFonts w:cs="Arial"/>
          <w:szCs w:val="24"/>
          <w:lang w:val="en-CA"/>
        </w:rPr>
        <w:t>(</w:t>
      </w:r>
      <w:r w:rsidR="00E07451" w:rsidRPr="006B2147">
        <w:rPr>
          <w:rFonts w:cs="Arial"/>
          <w:szCs w:val="24"/>
          <w:lang w:val="en-CA"/>
        </w:rPr>
        <w:t xml:space="preserve">c) </w:t>
      </w:r>
      <w:r w:rsidR="00816211">
        <w:rPr>
          <w:rFonts w:cs="Arial"/>
          <w:szCs w:val="24"/>
          <w:lang w:val="en-CA"/>
        </w:rPr>
        <w:t>of the Act</w:t>
      </w:r>
      <w:r w:rsidR="00E07451" w:rsidRPr="006B2147">
        <w:rPr>
          <w:lang w:val="en-CA"/>
        </w:rPr>
        <w:t xml:space="preserve">, </w:t>
      </w:r>
      <w:r w:rsidR="0096719F">
        <w:rPr>
          <w:lang w:val="en-CA"/>
        </w:rPr>
        <w:t>his</w:t>
      </w:r>
      <w:r w:rsidR="00816211">
        <w:rPr>
          <w:lang w:val="en-CA"/>
        </w:rPr>
        <w:t xml:space="preserve"> testimony </w:t>
      </w:r>
      <w:r w:rsidR="0096719F">
        <w:rPr>
          <w:lang w:val="en-CA"/>
        </w:rPr>
        <w:t>was of</w:t>
      </w:r>
      <w:r w:rsidR="00FE2336">
        <w:rPr>
          <w:lang w:val="en-CA"/>
        </w:rPr>
        <w:t xml:space="preserve"> no probative value.</w:t>
      </w:r>
      <w:r>
        <w:rPr>
          <w:rStyle w:val="Appelnotedebasdep"/>
          <w:lang w:val="en-CA"/>
        </w:rPr>
        <w:footnoteReference w:id="22"/>
      </w:r>
    </w:p>
    <w:p w14:paraId="60CA8645" w14:textId="7DB787E3" w:rsidR="00015B49" w:rsidRPr="006B2147" w:rsidRDefault="00B37A58" w:rsidP="00441741">
      <w:pPr>
        <w:pStyle w:val="Paragraphe"/>
        <w:spacing w:line="280" w:lineRule="exact"/>
        <w:rPr>
          <w:lang w:val="en-CA"/>
        </w:rPr>
      </w:pPr>
      <w:r w:rsidRPr="006B2147">
        <w:rPr>
          <w:lang w:val="en-CA"/>
        </w:rPr>
        <w:t>M</w:t>
      </w:r>
      <w:r w:rsidR="00FE2336">
        <w:rPr>
          <w:lang w:val="en-CA"/>
        </w:rPr>
        <w:t>r</w:t>
      </w:r>
      <w:r w:rsidRPr="006B2147">
        <w:rPr>
          <w:lang w:val="en-CA"/>
        </w:rPr>
        <w:t xml:space="preserve">. Muçaj </w:t>
      </w:r>
      <w:r w:rsidR="00FE2336">
        <w:rPr>
          <w:lang w:val="en-CA"/>
        </w:rPr>
        <w:t xml:space="preserve">is a journalist who had </w:t>
      </w:r>
      <w:r w:rsidR="003F1108">
        <w:rPr>
          <w:lang w:val="en-CA"/>
        </w:rPr>
        <w:t>conducted</w:t>
      </w:r>
      <w:r w:rsidR="00FE2336">
        <w:rPr>
          <w:lang w:val="en-CA"/>
        </w:rPr>
        <w:t xml:space="preserve"> a number of inquiries into the murder.</w:t>
      </w:r>
      <w:r>
        <w:rPr>
          <w:rStyle w:val="Appelnotedebasdep"/>
          <w:lang w:val="en-CA"/>
        </w:rPr>
        <w:footnoteReference w:id="23"/>
      </w:r>
      <w:r w:rsidRPr="006B2147">
        <w:rPr>
          <w:lang w:val="en-CA"/>
        </w:rPr>
        <w:t xml:space="preserve"> </w:t>
      </w:r>
      <w:r w:rsidR="00FE2336">
        <w:rPr>
          <w:lang w:val="en-CA"/>
        </w:rPr>
        <w:t xml:space="preserve">His testimony was aimed at </w:t>
      </w:r>
      <w:r w:rsidR="003F1108">
        <w:rPr>
          <w:lang w:val="en-CA"/>
        </w:rPr>
        <w:t>raising the fact that</w:t>
      </w:r>
      <w:r w:rsidRPr="006B2147">
        <w:rPr>
          <w:lang w:val="en-CA"/>
        </w:rPr>
        <w:t xml:space="preserve"> M</w:t>
      </w:r>
      <w:r w:rsidR="003F1108">
        <w:rPr>
          <w:lang w:val="en-CA"/>
        </w:rPr>
        <w:t>rs.</w:t>
      </w:r>
      <w:r w:rsidRPr="006B2147">
        <w:rPr>
          <w:lang w:val="en-CA"/>
        </w:rPr>
        <w:t xml:space="preserve"> Brace </w:t>
      </w:r>
      <w:r w:rsidR="003F1108">
        <w:rPr>
          <w:lang w:val="en-CA"/>
        </w:rPr>
        <w:t>had purportedly claimed</w:t>
      </w:r>
      <w:r w:rsidRPr="006B2147">
        <w:rPr>
          <w:lang w:val="en-CA"/>
        </w:rPr>
        <w:t xml:space="preserve">, </w:t>
      </w:r>
      <w:r w:rsidR="003F1108">
        <w:rPr>
          <w:lang w:val="en-CA"/>
        </w:rPr>
        <w:t>in a interview given on local television a few days after the shooting, that all of the perpetrators were masked.</w:t>
      </w:r>
      <w:r>
        <w:rPr>
          <w:rStyle w:val="Appelnotedebasdep"/>
          <w:lang w:val="en-CA"/>
        </w:rPr>
        <w:footnoteReference w:id="24"/>
      </w:r>
    </w:p>
    <w:p w14:paraId="2DD417E7" w14:textId="68D44402" w:rsidR="00E07451" w:rsidRPr="006B2147" w:rsidRDefault="00B37A58" w:rsidP="00441741">
      <w:pPr>
        <w:pStyle w:val="Paragraphe"/>
        <w:spacing w:line="280" w:lineRule="exact"/>
        <w:rPr>
          <w:lang w:val="en-CA"/>
        </w:rPr>
      </w:pPr>
      <w:r>
        <w:rPr>
          <w:lang w:val="en-CA"/>
        </w:rPr>
        <w:t xml:space="preserve">The judge held that </w:t>
      </w:r>
      <w:r w:rsidR="00015B49" w:rsidRPr="006B2147">
        <w:rPr>
          <w:lang w:val="en-CA"/>
        </w:rPr>
        <w:t>M</w:t>
      </w:r>
      <w:r>
        <w:rPr>
          <w:lang w:val="en-CA"/>
        </w:rPr>
        <w:t>r</w:t>
      </w:r>
      <w:r w:rsidR="00015B49" w:rsidRPr="006B2147">
        <w:rPr>
          <w:lang w:val="en-CA"/>
        </w:rPr>
        <w:t>.</w:t>
      </w:r>
      <w:r w:rsidRPr="006B2147">
        <w:rPr>
          <w:lang w:val="en-CA"/>
        </w:rPr>
        <w:t xml:space="preserve"> </w:t>
      </w:r>
      <w:r w:rsidR="00015B49" w:rsidRPr="006B2147">
        <w:rPr>
          <w:lang w:val="en-CA"/>
        </w:rPr>
        <w:t>Muçaj</w:t>
      </w:r>
      <w:r>
        <w:rPr>
          <w:lang w:val="en-CA"/>
        </w:rPr>
        <w:t>’s testimony was of limited use, since he had no personal knowledge of the facts</w:t>
      </w:r>
      <w:r w:rsidR="00015B49" w:rsidRPr="006B2147">
        <w:rPr>
          <w:lang w:val="en-CA"/>
        </w:rPr>
        <w:t xml:space="preserve"> </w:t>
      </w:r>
      <w:r>
        <w:rPr>
          <w:lang w:val="en-CA"/>
        </w:rPr>
        <w:t xml:space="preserve">and was merely </w:t>
      </w:r>
      <w:r w:rsidRPr="003F1108">
        <w:rPr>
          <w:lang w:val="en-CA"/>
        </w:rPr>
        <w:t>report</w:t>
      </w:r>
      <w:r>
        <w:rPr>
          <w:lang w:val="en-CA"/>
        </w:rPr>
        <w:t>ing</w:t>
      </w:r>
      <w:r w:rsidRPr="003F1108">
        <w:rPr>
          <w:lang w:val="en-CA"/>
        </w:rPr>
        <w:t xml:space="preserve"> statements made by third parties</w:t>
      </w:r>
      <w:r>
        <w:rPr>
          <w:lang w:val="en-CA"/>
        </w:rPr>
        <w:t>, i.e.</w:t>
      </w:r>
      <w:r w:rsidR="0096719F">
        <w:rPr>
          <w:lang w:val="en-CA"/>
        </w:rPr>
        <w:t>,</w:t>
      </w:r>
      <w:r w:rsidRPr="003F1108">
        <w:rPr>
          <w:lang w:val="en-CA"/>
        </w:rPr>
        <w:t xml:space="preserve"> </w:t>
      </w:r>
      <w:r w:rsidR="0096719F">
        <w:rPr>
          <w:lang w:val="en-CA"/>
        </w:rPr>
        <w:t xml:space="preserve">those of </w:t>
      </w:r>
      <w:r>
        <w:rPr>
          <w:lang w:val="en-CA"/>
        </w:rPr>
        <w:t>t</w:t>
      </w:r>
      <w:r w:rsidRPr="003F1108">
        <w:rPr>
          <w:lang w:val="en-CA"/>
        </w:rPr>
        <w:t>he police and</w:t>
      </w:r>
      <w:r w:rsidR="0096719F">
        <w:rPr>
          <w:lang w:val="en-CA"/>
        </w:rPr>
        <w:t xml:space="preserve"> </w:t>
      </w:r>
      <w:r>
        <w:rPr>
          <w:lang w:val="en-CA"/>
        </w:rPr>
        <w:t xml:space="preserve">Mrs. </w:t>
      </w:r>
      <w:r w:rsidRPr="006B2147">
        <w:rPr>
          <w:lang w:val="en-CA"/>
        </w:rPr>
        <w:t>Brace.</w:t>
      </w:r>
    </w:p>
    <w:p w14:paraId="3DB90EFF" w14:textId="6832F851" w:rsidR="00E07451" w:rsidRPr="006B2147" w:rsidRDefault="00B37A58" w:rsidP="00441741">
      <w:pPr>
        <w:pStyle w:val="Paragraphe"/>
        <w:spacing w:line="280" w:lineRule="exact"/>
        <w:rPr>
          <w:lang w:val="en-CA"/>
        </w:rPr>
      </w:pPr>
      <w:r>
        <w:rPr>
          <w:lang w:val="en-CA"/>
        </w:rPr>
        <w:t xml:space="preserve">After considering </w:t>
      </w:r>
      <w:r w:rsidR="00F60AF8">
        <w:rPr>
          <w:lang w:val="en-CA"/>
        </w:rPr>
        <w:t xml:space="preserve">all of </w:t>
      </w:r>
      <w:r>
        <w:rPr>
          <w:lang w:val="en-CA"/>
        </w:rPr>
        <w:t xml:space="preserve">the </w:t>
      </w:r>
      <w:r w:rsidR="003F1108">
        <w:rPr>
          <w:lang w:val="en-CA"/>
        </w:rPr>
        <w:t>evidence set out in the</w:t>
      </w:r>
      <w:r w:rsidRPr="006B2147">
        <w:rPr>
          <w:lang w:val="en-CA"/>
        </w:rPr>
        <w:t xml:space="preserve"> </w:t>
      </w:r>
      <w:r w:rsidR="003F1108">
        <w:rPr>
          <w:lang w:val="en-CA"/>
        </w:rPr>
        <w:t>ROC</w:t>
      </w:r>
      <w:r w:rsidRPr="006B2147">
        <w:rPr>
          <w:lang w:val="en-CA"/>
        </w:rPr>
        <w:t xml:space="preserve"> </w:t>
      </w:r>
      <w:r w:rsidR="003F1108">
        <w:rPr>
          <w:lang w:val="en-CA"/>
        </w:rPr>
        <w:t>and the</w:t>
      </w:r>
      <w:r w:rsidRPr="006B2147">
        <w:rPr>
          <w:lang w:val="en-CA"/>
        </w:rPr>
        <w:t xml:space="preserve"> </w:t>
      </w:r>
      <w:r w:rsidR="003F1108">
        <w:rPr>
          <w:lang w:val="en-CA"/>
        </w:rPr>
        <w:t>SROC</w:t>
      </w:r>
      <w:r w:rsidRPr="006B2147">
        <w:rPr>
          <w:lang w:val="en-CA"/>
        </w:rPr>
        <w:t xml:space="preserve">, </w:t>
      </w:r>
      <w:r w:rsidR="003F1108">
        <w:rPr>
          <w:lang w:val="en-CA"/>
        </w:rPr>
        <w:t xml:space="preserve">the judge concluded that the identification evidence could </w:t>
      </w:r>
      <w:r w:rsidR="00C2402D">
        <w:rPr>
          <w:lang w:val="en-CA"/>
        </w:rPr>
        <w:t>not reasonably support a guilty verdict</w:t>
      </w:r>
      <w:r w:rsidRPr="006B2147">
        <w:rPr>
          <w:lang w:val="en-CA"/>
        </w:rPr>
        <w:t xml:space="preserve">. </w:t>
      </w:r>
      <w:r w:rsidR="00A37830">
        <w:rPr>
          <w:lang w:val="en-CA"/>
        </w:rPr>
        <w:t>In the</w:t>
      </w:r>
      <w:r w:rsidR="00C2402D">
        <w:rPr>
          <w:lang w:val="en-CA"/>
        </w:rPr>
        <w:t xml:space="preserve"> judge</w:t>
      </w:r>
      <w:r w:rsidR="00A37830">
        <w:rPr>
          <w:lang w:val="en-CA"/>
        </w:rPr>
        <w:t xml:space="preserve">’s </w:t>
      </w:r>
      <w:r w:rsidR="00C2402D">
        <w:rPr>
          <w:lang w:val="en-CA"/>
        </w:rPr>
        <w:t>view</w:t>
      </w:r>
      <w:r w:rsidR="00A37830">
        <w:rPr>
          <w:lang w:val="en-CA"/>
        </w:rPr>
        <w:t>,</w:t>
      </w:r>
      <w:r w:rsidR="00C2402D">
        <w:rPr>
          <w:lang w:val="en-CA"/>
        </w:rPr>
        <w:t xml:space="preserve"> the suffi</w:t>
      </w:r>
      <w:r w:rsidR="00A37830">
        <w:rPr>
          <w:lang w:val="en-CA"/>
        </w:rPr>
        <w:t>ci</w:t>
      </w:r>
      <w:r w:rsidR="00C2402D">
        <w:rPr>
          <w:lang w:val="en-CA"/>
        </w:rPr>
        <w:t>ency of the evidence</w:t>
      </w:r>
      <w:r w:rsidR="00E52A7D">
        <w:rPr>
          <w:lang w:val="en-CA"/>
        </w:rPr>
        <w:t xml:space="preserve"> in the record</w:t>
      </w:r>
      <w:r w:rsidR="00F60AF8">
        <w:rPr>
          <w:lang w:val="en-CA"/>
        </w:rPr>
        <w:t xml:space="preserve"> of the case</w:t>
      </w:r>
      <w:r w:rsidR="00E52A7D">
        <w:rPr>
          <w:lang w:val="en-CA"/>
        </w:rPr>
        <w:t xml:space="preserve"> should be considered in light of the </w:t>
      </w:r>
      <w:r w:rsidR="00A37830">
        <w:rPr>
          <w:lang w:val="en-CA"/>
        </w:rPr>
        <w:t xml:space="preserve">significant </w:t>
      </w:r>
      <w:r w:rsidR="00177736">
        <w:rPr>
          <w:lang w:val="en-CA"/>
        </w:rPr>
        <w:t>contradictions</w:t>
      </w:r>
      <w:r w:rsidR="00E52A7D">
        <w:rPr>
          <w:lang w:val="en-CA"/>
        </w:rPr>
        <w:t xml:space="preserve"> between </w:t>
      </w:r>
      <w:r w:rsidR="00015B49" w:rsidRPr="006B2147">
        <w:rPr>
          <w:lang w:val="en-CA"/>
        </w:rPr>
        <w:t>M</w:t>
      </w:r>
      <w:r w:rsidR="00E52A7D">
        <w:rPr>
          <w:lang w:val="en-CA"/>
        </w:rPr>
        <w:t>rs.</w:t>
      </w:r>
      <w:r w:rsidR="00015B49" w:rsidRPr="006B2147">
        <w:rPr>
          <w:lang w:val="en-CA"/>
        </w:rPr>
        <w:t xml:space="preserve"> Brace</w:t>
      </w:r>
      <w:r w:rsidR="00E52A7D">
        <w:rPr>
          <w:lang w:val="en-CA"/>
        </w:rPr>
        <w:t xml:space="preserve">’s </w:t>
      </w:r>
      <w:r w:rsidR="00177736">
        <w:rPr>
          <w:lang w:val="en-CA"/>
        </w:rPr>
        <w:t>identification of Mr. Brahimi during the photo lineup and her testimony</w:t>
      </w:r>
      <w:r w:rsidR="00E52A7D">
        <w:rPr>
          <w:lang w:val="en-CA"/>
        </w:rPr>
        <w:t xml:space="preserve"> at trial</w:t>
      </w:r>
      <w:r w:rsidR="0096719F">
        <w:rPr>
          <w:lang w:val="en-CA"/>
        </w:rPr>
        <w:t>.</w:t>
      </w:r>
      <w:r>
        <w:rPr>
          <w:rStyle w:val="Appelnotedebasdep"/>
          <w:lang w:val="en-CA"/>
        </w:rPr>
        <w:footnoteReference w:id="25"/>
      </w:r>
      <w:r w:rsidR="00015B49" w:rsidRPr="006B2147">
        <w:rPr>
          <w:lang w:val="en-CA"/>
        </w:rPr>
        <w:t xml:space="preserve"> </w:t>
      </w:r>
      <w:r w:rsidR="00E52A7D">
        <w:rPr>
          <w:lang w:val="en-CA"/>
        </w:rPr>
        <w:t>Mrs. Brace</w:t>
      </w:r>
      <w:r w:rsidR="00A37830">
        <w:rPr>
          <w:lang w:val="en-CA"/>
        </w:rPr>
        <w:t>,</w:t>
      </w:r>
      <w:r w:rsidR="00E52A7D">
        <w:rPr>
          <w:lang w:val="en-CA"/>
        </w:rPr>
        <w:t xml:space="preserve"> </w:t>
      </w:r>
      <w:r w:rsidR="0096719F">
        <w:rPr>
          <w:lang w:val="en-CA"/>
        </w:rPr>
        <w:t xml:space="preserve">who was </w:t>
      </w:r>
      <w:r w:rsidR="00E52A7D">
        <w:rPr>
          <w:lang w:val="en-CA"/>
        </w:rPr>
        <w:t xml:space="preserve">the </w:t>
      </w:r>
      <w:r w:rsidR="00A37830">
        <w:rPr>
          <w:lang w:val="en-CA"/>
        </w:rPr>
        <w:t>main</w:t>
      </w:r>
      <w:r w:rsidR="00E52A7D">
        <w:rPr>
          <w:lang w:val="en-CA"/>
        </w:rPr>
        <w:t xml:space="preserve"> eyewitness, contradicted herself at the trial regarding the phot</w:t>
      </w:r>
      <w:r w:rsidR="00A37830">
        <w:rPr>
          <w:lang w:val="en-CA"/>
        </w:rPr>
        <w:t>o</w:t>
      </w:r>
      <w:r w:rsidR="00E52A7D">
        <w:rPr>
          <w:lang w:val="en-CA"/>
        </w:rPr>
        <w:t xml:space="preserve"> that she had picked during the photo lineup</w:t>
      </w:r>
      <w:r w:rsidR="007E2E9B" w:rsidRPr="006B2147">
        <w:rPr>
          <w:lang w:val="en-CA"/>
        </w:rPr>
        <w:t xml:space="preserve">. </w:t>
      </w:r>
      <w:r w:rsidR="00E52A7D">
        <w:rPr>
          <w:lang w:val="en-CA"/>
        </w:rPr>
        <w:t xml:space="preserve">The judge was of the view that the evidence submitted in the SROC did not </w:t>
      </w:r>
      <w:r w:rsidR="00565216">
        <w:rPr>
          <w:lang w:val="en-CA"/>
        </w:rPr>
        <w:t xml:space="preserve">dispel that confusion, quite the </w:t>
      </w:r>
      <w:r w:rsidR="00A37830">
        <w:rPr>
          <w:lang w:val="en-CA"/>
        </w:rPr>
        <w:t>contrary</w:t>
      </w:r>
      <w:r w:rsidR="00565216">
        <w:rPr>
          <w:lang w:val="en-CA"/>
        </w:rPr>
        <w:t xml:space="preserve">, since the SROC </w:t>
      </w:r>
      <w:r w:rsidR="0096719F">
        <w:rPr>
          <w:lang w:val="en-CA"/>
        </w:rPr>
        <w:t xml:space="preserve">further </w:t>
      </w:r>
      <w:r w:rsidR="00565216">
        <w:rPr>
          <w:lang w:val="en-CA"/>
        </w:rPr>
        <w:t xml:space="preserve">highlighted the </w:t>
      </w:r>
      <w:r w:rsidR="00A37830">
        <w:rPr>
          <w:lang w:val="en-CA"/>
        </w:rPr>
        <w:t>inconsistencies</w:t>
      </w:r>
      <w:r w:rsidR="00565216">
        <w:rPr>
          <w:lang w:val="en-CA"/>
        </w:rPr>
        <w:t xml:space="preserve"> between the photos in evidence and Mrs. Brace’s description of </w:t>
      </w:r>
      <w:r w:rsidR="000F523A">
        <w:rPr>
          <w:lang w:val="en-CA"/>
        </w:rPr>
        <w:t>those</w:t>
      </w:r>
      <w:r w:rsidR="00565216">
        <w:rPr>
          <w:lang w:val="en-CA"/>
        </w:rPr>
        <w:t xml:space="preserve"> </w:t>
      </w:r>
      <w:r w:rsidR="000F523A">
        <w:rPr>
          <w:lang w:val="en-CA"/>
        </w:rPr>
        <w:t>that</w:t>
      </w:r>
      <w:r w:rsidR="00565216">
        <w:rPr>
          <w:lang w:val="en-CA"/>
        </w:rPr>
        <w:t xml:space="preserve"> were presented to her during the photo lineup.</w:t>
      </w:r>
      <w:r>
        <w:rPr>
          <w:rStyle w:val="Appelnotedebasdep"/>
          <w:lang w:val="en-CA"/>
        </w:rPr>
        <w:footnoteReference w:id="26"/>
      </w:r>
    </w:p>
    <w:p w14:paraId="7F8130F6" w14:textId="5D166112" w:rsidR="00E07451" w:rsidRPr="006B2147" w:rsidRDefault="00B37A58" w:rsidP="00441741">
      <w:pPr>
        <w:pStyle w:val="Paragraphe"/>
        <w:spacing w:line="280" w:lineRule="exact"/>
        <w:rPr>
          <w:lang w:val="en-CA"/>
        </w:rPr>
      </w:pPr>
      <w:r>
        <w:rPr>
          <w:lang w:val="en-CA"/>
        </w:rPr>
        <w:t>Moreover, he noted</w:t>
      </w:r>
      <w:r w:rsidR="00786C12">
        <w:rPr>
          <w:lang w:val="en-CA"/>
        </w:rPr>
        <w:t>,</w:t>
      </w:r>
      <w:r>
        <w:rPr>
          <w:lang w:val="en-CA"/>
        </w:rPr>
        <w:t xml:space="preserve"> the additional evidence </w:t>
      </w:r>
      <w:r w:rsidR="004D7680">
        <w:rPr>
          <w:lang w:val="en-CA"/>
        </w:rPr>
        <w:t>presented</w:t>
      </w:r>
      <w:r>
        <w:rPr>
          <w:lang w:val="en-CA"/>
        </w:rPr>
        <w:t xml:space="preserve"> in the SROC </w:t>
      </w:r>
      <w:r w:rsidR="004D7680">
        <w:rPr>
          <w:lang w:val="en-CA"/>
        </w:rPr>
        <w:t>showed that the photos submitted</w:t>
      </w:r>
      <w:r w:rsidR="00015B49" w:rsidRPr="006B2147">
        <w:rPr>
          <w:lang w:val="en-CA"/>
        </w:rPr>
        <w:t xml:space="preserve"> </w:t>
      </w:r>
      <w:r w:rsidR="004D7680">
        <w:rPr>
          <w:lang w:val="en-CA"/>
        </w:rPr>
        <w:t xml:space="preserve">during that photo lineup were grossly inadequate, because </w:t>
      </w:r>
      <w:r w:rsidRPr="006B2147">
        <w:rPr>
          <w:lang w:val="en-CA" w:eastAsia="fr-CA"/>
        </w:rPr>
        <w:t>M</w:t>
      </w:r>
      <w:r w:rsidR="004D7680">
        <w:rPr>
          <w:lang w:val="en-CA" w:eastAsia="fr-CA"/>
        </w:rPr>
        <w:t>r</w:t>
      </w:r>
      <w:r w:rsidRPr="006B2147">
        <w:rPr>
          <w:lang w:val="en-CA" w:eastAsia="fr-CA"/>
        </w:rPr>
        <w:t>.</w:t>
      </w:r>
      <w:r w:rsidR="00BD758E">
        <w:rPr>
          <w:lang w:val="en-CA" w:eastAsia="fr-CA"/>
        </w:rPr>
        <w:t> </w:t>
      </w:r>
      <w:r w:rsidRPr="006B2147">
        <w:rPr>
          <w:lang w:val="en-CA" w:eastAsia="fr-CA"/>
        </w:rPr>
        <w:t>Brahimi</w:t>
      </w:r>
      <w:r w:rsidR="004D7680">
        <w:rPr>
          <w:lang w:val="en-CA" w:eastAsia="fr-CA"/>
        </w:rPr>
        <w:t xml:space="preserve">’s photo strongly contrasted with </w:t>
      </w:r>
      <w:r w:rsidR="004D7680">
        <w:rPr>
          <w:lang w:val="en-CA"/>
        </w:rPr>
        <w:t xml:space="preserve">the </w:t>
      </w:r>
      <w:r w:rsidR="00015B49" w:rsidRPr="006B2147">
        <w:rPr>
          <w:lang w:val="en-CA"/>
        </w:rPr>
        <w:t xml:space="preserve">photos </w:t>
      </w:r>
      <w:r w:rsidR="004D7680">
        <w:rPr>
          <w:lang w:val="en-CA"/>
        </w:rPr>
        <w:t xml:space="preserve">of the three other persons </w:t>
      </w:r>
      <w:r w:rsidR="00786C12">
        <w:rPr>
          <w:lang w:val="en-CA"/>
        </w:rPr>
        <w:t xml:space="preserve">appearing </w:t>
      </w:r>
      <w:r w:rsidR="004D7680">
        <w:rPr>
          <w:lang w:val="en-CA"/>
        </w:rPr>
        <w:t>in the lineup</w:t>
      </w:r>
      <w:r w:rsidR="00015B49" w:rsidRPr="006B2147">
        <w:rPr>
          <w:lang w:val="en-CA"/>
        </w:rPr>
        <w:t xml:space="preserve">, </w:t>
      </w:r>
      <w:r w:rsidR="004D7680">
        <w:rPr>
          <w:lang w:val="en-CA"/>
        </w:rPr>
        <w:t xml:space="preserve">which greatly </w:t>
      </w:r>
      <w:r w:rsidR="00177736">
        <w:rPr>
          <w:lang w:val="en-CA"/>
        </w:rPr>
        <w:t>compromised</w:t>
      </w:r>
      <w:r w:rsidR="004D7680">
        <w:rPr>
          <w:lang w:val="en-CA"/>
        </w:rPr>
        <w:t xml:space="preserve"> the reliability of the identification procedure.</w:t>
      </w:r>
      <w:r>
        <w:rPr>
          <w:rStyle w:val="Appelnotedebasdep"/>
          <w:lang w:val="en-CA"/>
        </w:rPr>
        <w:footnoteReference w:id="27"/>
      </w:r>
      <w:r w:rsidR="004D7680">
        <w:rPr>
          <w:lang w:val="en-CA"/>
        </w:rPr>
        <w:t xml:space="preserve"> The judge noted that although the photos that had been shown to Ms. </w:t>
      </w:r>
      <w:r w:rsidR="00194B9B">
        <w:rPr>
          <w:lang w:val="en-CA"/>
        </w:rPr>
        <w:t>A</w:t>
      </w:r>
      <w:r w:rsidR="004D7680">
        <w:rPr>
          <w:lang w:val="en-CA"/>
        </w:rPr>
        <w:t xml:space="preserve"> during the photo lineup were not </w:t>
      </w:r>
      <w:r w:rsidR="00786C12">
        <w:rPr>
          <w:lang w:val="en-CA"/>
        </w:rPr>
        <w:t>adduced into</w:t>
      </w:r>
      <w:r w:rsidR="004D7680">
        <w:rPr>
          <w:lang w:val="en-CA"/>
        </w:rPr>
        <w:t xml:space="preserve"> evidence, it was</w:t>
      </w:r>
      <w:r w:rsidR="004D7680" w:rsidRPr="004D7680">
        <w:rPr>
          <w:lang w:val="en-CA"/>
        </w:rPr>
        <w:t xml:space="preserve"> reasonable to assume that </w:t>
      </w:r>
      <w:r w:rsidR="004D7680">
        <w:rPr>
          <w:lang w:val="en-CA"/>
        </w:rPr>
        <w:t>they were</w:t>
      </w:r>
      <w:r w:rsidR="004D7680" w:rsidRPr="004D7680">
        <w:rPr>
          <w:lang w:val="en-CA"/>
        </w:rPr>
        <w:t xml:space="preserve"> similar </w:t>
      </w:r>
      <w:r w:rsidR="004D7680">
        <w:rPr>
          <w:lang w:val="en-CA"/>
        </w:rPr>
        <w:t xml:space="preserve">to those submitted </w:t>
      </w:r>
      <w:r w:rsidR="00177736">
        <w:rPr>
          <w:lang w:val="en-CA"/>
        </w:rPr>
        <w:t xml:space="preserve">to </w:t>
      </w:r>
      <w:r w:rsidR="00F87806">
        <w:rPr>
          <w:lang w:val="en-CA"/>
        </w:rPr>
        <w:t>Mrs. Brace</w:t>
      </w:r>
      <w:r w:rsidR="00177736">
        <w:rPr>
          <w:lang w:val="en-CA"/>
        </w:rPr>
        <w:t xml:space="preserve"> </w:t>
      </w:r>
      <w:r w:rsidR="004D7680">
        <w:rPr>
          <w:lang w:val="en-CA"/>
        </w:rPr>
        <w:t>the previous day, at the same location.</w:t>
      </w:r>
      <w:r>
        <w:rPr>
          <w:rStyle w:val="Appelnotedebasdep"/>
          <w:lang w:val="en-CA"/>
        </w:rPr>
        <w:footnoteReference w:id="28"/>
      </w:r>
    </w:p>
    <w:p w14:paraId="312BBD82" w14:textId="70FB1610" w:rsidR="00E07451" w:rsidRPr="006B2147" w:rsidRDefault="00B37A58" w:rsidP="00441741">
      <w:pPr>
        <w:pStyle w:val="Paragraphe"/>
        <w:spacing w:line="280" w:lineRule="exact"/>
        <w:rPr>
          <w:lang w:val="en-CA"/>
        </w:rPr>
      </w:pPr>
      <w:r>
        <w:rPr>
          <w:lang w:val="en-CA"/>
        </w:rPr>
        <w:t>The judge then stated the there was no evidence supporting the allegations that</w:t>
      </w:r>
      <w:r w:rsidRPr="006B2147">
        <w:rPr>
          <w:lang w:val="en-CA"/>
        </w:rPr>
        <w:t xml:space="preserve"> </w:t>
      </w:r>
      <w:r w:rsidRPr="006B2147">
        <w:rPr>
          <w:lang w:val="en-CA" w:eastAsia="fr-CA"/>
        </w:rPr>
        <w:t>M</w:t>
      </w:r>
      <w:r>
        <w:rPr>
          <w:lang w:val="en-CA" w:eastAsia="fr-CA"/>
        </w:rPr>
        <w:t>r</w:t>
      </w:r>
      <w:r w:rsidRPr="006B2147">
        <w:rPr>
          <w:lang w:val="en-CA" w:eastAsia="fr-CA"/>
        </w:rPr>
        <w:t>. Brahimi</w:t>
      </w:r>
      <w:r w:rsidRPr="006B2147">
        <w:rPr>
          <w:lang w:val="en-CA"/>
        </w:rPr>
        <w:t xml:space="preserve"> </w:t>
      </w:r>
      <w:r w:rsidR="003A718C">
        <w:rPr>
          <w:lang w:val="en-CA"/>
        </w:rPr>
        <w:t xml:space="preserve">had </w:t>
      </w:r>
      <w:r>
        <w:rPr>
          <w:lang w:val="en-CA"/>
        </w:rPr>
        <w:t>sought to avenge the death of his brother</w:t>
      </w:r>
      <w:r w:rsidR="003A718C">
        <w:rPr>
          <w:lang w:val="en-CA"/>
        </w:rPr>
        <w:t>.</w:t>
      </w:r>
      <w:r>
        <w:rPr>
          <w:rStyle w:val="Appelnotedebasdep"/>
          <w:lang w:val="en-CA"/>
        </w:rPr>
        <w:footnoteReference w:id="29"/>
      </w:r>
      <w:r w:rsidR="00FF50C9" w:rsidRPr="006B2147">
        <w:rPr>
          <w:lang w:val="en-CA"/>
        </w:rPr>
        <w:t xml:space="preserve"> </w:t>
      </w:r>
      <w:r w:rsidR="003A718C">
        <w:rPr>
          <w:lang w:val="en-CA"/>
        </w:rPr>
        <w:t>He concluded that this case</w:t>
      </w:r>
      <w:r w:rsidR="003A718C" w:rsidRPr="003A718C">
        <w:rPr>
          <w:lang w:val="en-CA"/>
        </w:rPr>
        <w:t xml:space="preserve"> turns on eyewitness identification</w:t>
      </w:r>
      <w:r w:rsidR="00177736">
        <w:rPr>
          <w:lang w:val="en-CA"/>
        </w:rPr>
        <w:t xml:space="preserve"> evidence</w:t>
      </w:r>
      <w:r w:rsidR="003A718C" w:rsidRPr="003A718C">
        <w:rPr>
          <w:lang w:val="en-CA"/>
        </w:rPr>
        <w:t xml:space="preserve">, a type of evidence known to present high risks of error, </w:t>
      </w:r>
      <w:r w:rsidR="003A718C">
        <w:rPr>
          <w:lang w:val="en-CA"/>
        </w:rPr>
        <w:t xml:space="preserve">especially in a context </w:t>
      </w:r>
      <w:r w:rsidR="003A718C" w:rsidRPr="003A718C">
        <w:rPr>
          <w:lang w:val="en-CA"/>
        </w:rPr>
        <w:t>where prosecutor</w:t>
      </w:r>
      <w:r w:rsidR="003A718C">
        <w:rPr>
          <w:lang w:val="en-CA"/>
        </w:rPr>
        <w:t xml:space="preserve"> Hyka</w:t>
      </w:r>
      <w:r w:rsidR="003A718C" w:rsidRPr="003A718C">
        <w:rPr>
          <w:lang w:val="en-CA"/>
        </w:rPr>
        <w:t xml:space="preserve"> is relying on 23-year-old documentary evidence, with no indication that the witnesses </w:t>
      </w:r>
      <w:r w:rsidR="00D36892">
        <w:rPr>
          <w:lang w:val="en-CA"/>
        </w:rPr>
        <w:t>will be</w:t>
      </w:r>
      <w:r w:rsidR="003A718C" w:rsidRPr="003A718C">
        <w:rPr>
          <w:lang w:val="en-CA"/>
        </w:rPr>
        <w:t xml:space="preserve"> available for trial</w:t>
      </w:r>
      <w:r w:rsidR="003A718C">
        <w:rPr>
          <w:lang w:val="en-CA"/>
        </w:rPr>
        <w:t>.</w:t>
      </w:r>
      <w:r>
        <w:rPr>
          <w:rStyle w:val="Appelnotedebasdep"/>
          <w:lang w:val="en-CA"/>
        </w:rPr>
        <w:footnoteReference w:id="30"/>
      </w:r>
    </w:p>
    <w:p w14:paraId="7611E81C" w14:textId="6B8A6729" w:rsidR="00E07451" w:rsidRPr="006B2147" w:rsidRDefault="00B37A58" w:rsidP="00441741">
      <w:pPr>
        <w:pStyle w:val="Paragraphe"/>
        <w:spacing w:line="280" w:lineRule="exact"/>
        <w:rPr>
          <w:lang w:val="en-CA"/>
        </w:rPr>
      </w:pPr>
      <w:r>
        <w:rPr>
          <w:lang w:val="en-CA"/>
        </w:rPr>
        <w:t>Finally, he added that even if the evidence had satisfied the applicable test, he would nevertheless have refused to grant the application for committal, pursuant to his residual discr</w:t>
      </w:r>
      <w:r w:rsidR="00AA22BB">
        <w:rPr>
          <w:lang w:val="en-CA"/>
        </w:rPr>
        <w:t xml:space="preserve">etionary power as an extradition judge to reject evidence that </w:t>
      </w:r>
      <w:r w:rsidR="00AA22BB" w:rsidRPr="00AA22BB">
        <w:rPr>
          <w:lang w:val="en-CA"/>
        </w:rPr>
        <w:t>is so defective or appears so unreliable</w:t>
      </w:r>
      <w:r w:rsidR="00AA22BB">
        <w:rPr>
          <w:lang w:val="en-CA"/>
        </w:rPr>
        <w:t xml:space="preserve"> that</w:t>
      </w:r>
      <w:r w:rsidRPr="006B2147">
        <w:rPr>
          <w:color w:val="000000"/>
          <w:lang w:val="en-CA"/>
        </w:rPr>
        <w:t xml:space="preserve"> </w:t>
      </w:r>
      <w:r w:rsidRPr="003A718C">
        <w:rPr>
          <w:color w:val="000000"/>
          <w:lang w:val="en-CA"/>
        </w:rPr>
        <w:t>it would be unsafe or dangerous to act on it</w:t>
      </w:r>
      <w:r w:rsidR="00177736">
        <w:rPr>
          <w:color w:val="000000"/>
          <w:lang w:val="en-CA"/>
        </w:rPr>
        <w:t xml:space="preserve"> in ordering the committal of Mr. Brahimi, in accordance with the Supreme Court’s teaching in </w:t>
      </w:r>
      <w:r w:rsidR="00177736" w:rsidRPr="00177736">
        <w:rPr>
          <w:i/>
          <w:iCs/>
          <w:color w:val="000000"/>
          <w:lang w:val="en-CA"/>
        </w:rPr>
        <w:t>United States of America</w:t>
      </w:r>
      <w:r w:rsidR="00177736">
        <w:rPr>
          <w:color w:val="000000"/>
          <w:lang w:val="en-CA"/>
        </w:rPr>
        <w:t xml:space="preserve"> v. </w:t>
      </w:r>
      <w:r w:rsidR="00177736" w:rsidRPr="00177736">
        <w:rPr>
          <w:i/>
          <w:iCs/>
          <w:color w:val="000000"/>
          <w:lang w:val="en-CA"/>
        </w:rPr>
        <w:t>Ferras</w:t>
      </w:r>
      <w:r w:rsidR="00177736">
        <w:rPr>
          <w:color w:val="000000"/>
          <w:lang w:val="en-CA"/>
        </w:rPr>
        <w:t xml:space="preserve"> and </w:t>
      </w:r>
      <w:r w:rsidR="00177736" w:rsidRPr="00177736">
        <w:rPr>
          <w:i/>
          <w:iCs/>
          <w:color w:val="000000"/>
          <w:lang w:val="en-CA"/>
        </w:rPr>
        <w:t>M.M. v. United States of Amer</w:t>
      </w:r>
      <w:r w:rsidR="00D36892">
        <w:rPr>
          <w:i/>
          <w:iCs/>
          <w:color w:val="000000"/>
          <w:lang w:val="en-CA"/>
        </w:rPr>
        <w:t>i</w:t>
      </w:r>
      <w:r w:rsidR="00177736" w:rsidRPr="00177736">
        <w:rPr>
          <w:i/>
          <w:iCs/>
          <w:color w:val="000000"/>
          <w:lang w:val="en-CA"/>
        </w:rPr>
        <w:t>ca</w:t>
      </w:r>
      <w:r>
        <w:rPr>
          <w:color w:val="000000"/>
          <w:lang w:val="en-CA"/>
        </w:rPr>
        <w:t>.</w:t>
      </w:r>
      <w:bookmarkStart w:id="19" w:name="_Ref215475399"/>
      <w:r>
        <w:rPr>
          <w:rStyle w:val="Appelnotedebasdep"/>
          <w:color w:val="000000"/>
          <w:lang w:val="en-CA"/>
        </w:rPr>
        <w:footnoteReference w:id="31"/>
      </w:r>
      <w:bookmarkEnd w:id="19"/>
    </w:p>
    <w:p w14:paraId="49B44390" w14:textId="65A52B53" w:rsidR="0025323F" w:rsidRPr="006B2147" w:rsidRDefault="00B37A58" w:rsidP="00441741">
      <w:pPr>
        <w:pStyle w:val="Titre1"/>
        <w:spacing w:line="280" w:lineRule="exact"/>
        <w:rPr>
          <w:lang w:val="en-CA"/>
        </w:rPr>
      </w:pPr>
      <w:r w:rsidRPr="006B2147">
        <w:rPr>
          <w:lang w:val="en-CA"/>
        </w:rPr>
        <w:t xml:space="preserve">IV. </w:t>
      </w:r>
      <w:r w:rsidR="00C27AC3" w:rsidRPr="006B2147">
        <w:rPr>
          <w:lang w:val="en-CA"/>
        </w:rPr>
        <w:tab/>
      </w:r>
      <w:r w:rsidR="00AA22BB">
        <w:rPr>
          <w:lang w:val="en-CA"/>
        </w:rPr>
        <w:t>GROUNDS OF APPEAL</w:t>
      </w:r>
    </w:p>
    <w:p w14:paraId="77A94B66" w14:textId="16A3E47B" w:rsidR="001E1728" w:rsidRPr="006B2147" w:rsidRDefault="00B37A58" w:rsidP="00441741">
      <w:pPr>
        <w:pStyle w:val="Paragraphe"/>
        <w:spacing w:line="280" w:lineRule="exact"/>
        <w:rPr>
          <w:lang w:val="en-CA"/>
        </w:rPr>
      </w:pPr>
      <w:r>
        <w:rPr>
          <w:lang w:val="en-CA"/>
        </w:rPr>
        <w:t xml:space="preserve">The appellant submits that the </w:t>
      </w:r>
      <w:r w:rsidRPr="005E47D5">
        <w:rPr>
          <w:lang w:val="en-CA"/>
        </w:rPr>
        <w:t xml:space="preserve">extradition judge’s decision discharging </w:t>
      </w:r>
      <w:r>
        <w:rPr>
          <w:lang w:val="en-CA"/>
        </w:rPr>
        <w:t>Mr. Brahimi</w:t>
      </w:r>
      <w:r w:rsidRPr="005E47D5">
        <w:rPr>
          <w:lang w:val="en-CA"/>
        </w:rPr>
        <w:t xml:space="preserve"> is unreasonable or unsupported by the evidence</w:t>
      </w:r>
      <w:r>
        <w:rPr>
          <w:lang w:val="en-CA"/>
        </w:rPr>
        <w:t xml:space="preserve"> </w:t>
      </w:r>
      <w:r w:rsidRPr="005E47D5">
        <w:rPr>
          <w:lang w:val="en-CA"/>
        </w:rPr>
        <w:t>for the following reasons</w:t>
      </w:r>
      <w:r w:rsidR="00E507AC" w:rsidRPr="006B2147">
        <w:rPr>
          <w:lang w:val="en-CA"/>
        </w:rPr>
        <w:t>:</w:t>
      </w:r>
    </w:p>
    <w:p w14:paraId="3BD1AE2C" w14:textId="21675E18" w:rsidR="00B3281E" w:rsidRPr="006B2147" w:rsidRDefault="00B37A58" w:rsidP="00441741">
      <w:pPr>
        <w:pStyle w:val="Citationenretrait"/>
        <w:ind w:right="6"/>
        <w:rPr>
          <w:sz w:val="24"/>
          <w:szCs w:val="24"/>
          <w:lang w:val="en-CA"/>
        </w:rPr>
      </w:pPr>
      <w:r w:rsidRPr="006B2147">
        <w:rPr>
          <w:sz w:val="24"/>
          <w:szCs w:val="24"/>
          <w:lang w:val="en-CA"/>
        </w:rPr>
        <w:t>a</w:t>
      </w:r>
      <w:r w:rsidR="00290E95" w:rsidRPr="006B2147">
        <w:rPr>
          <w:sz w:val="24"/>
          <w:szCs w:val="24"/>
          <w:lang w:val="en-CA"/>
        </w:rPr>
        <w:t>)</w:t>
      </w:r>
      <w:r w:rsidR="00E07451" w:rsidRPr="006B2147">
        <w:rPr>
          <w:sz w:val="24"/>
          <w:szCs w:val="24"/>
          <w:lang w:val="en-CA"/>
        </w:rPr>
        <w:tab/>
      </w:r>
      <w:r w:rsidR="00D0655F">
        <w:rPr>
          <w:sz w:val="24"/>
          <w:szCs w:val="24"/>
          <w:lang w:val="en-CA"/>
        </w:rPr>
        <w:t>the judge</w:t>
      </w:r>
      <w:r w:rsidR="005E47D5">
        <w:rPr>
          <w:sz w:val="24"/>
          <w:szCs w:val="24"/>
          <w:lang w:val="en-CA"/>
        </w:rPr>
        <w:t xml:space="preserve"> e</w:t>
      </w:r>
      <w:r w:rsidR="005E47D5" w:rsidRPr="005E47D5">
        <w:rPr>
          <w:sz w:val="24"/>
          <w:szCs w:val="24"/>
          <w:lang w:val="en-CA"/>
        </w:rPr>
        <w:t xml:space="preserve">xceeded his </w:t>
      </w:r>
      <w:r w:rsidR="00234592">
        <w:rPr>
          <w:sz w:val="24"/>
          <w:szCs w:val="24"/>
          <w:lang w:val="en-CA"/>
        </w:rPr>
        <w:t>role in</w:t>
      </w:r>
      <w:r w:rsidR="005E47D5" w:rsidRPr="005E47D5">
        <w:rPr>
          <w:sz w:val="24"/>
          <w:szCs w:val="24"/>
          <w:lang w:val="en-CA"/>
        </w:rPr>
        <w:t xml:space="preserve"> assessing the ultimate reliability of the witness evidence, in a manner that was also not supported by the evidence</w:t>
      </w:r>
      <w:r w:rsidRPr="006B2147">
        <w:rPr>
          <w:sz w:val="24"/>
          <w:szCs w:val="24"/>
          <w:lang w:val="en-CA"/>
        </w:rPr>
        <w:t>;</w:t>
      </w:r>
    </w:p>
    <w:p w14:paraId="761396F6" w14:textId="639A4816" w:rsidR="00B3281E" w:rsidRPr="006B2147" w:rsidRDefault="00B37A58" w:rsidP="00441741">
      <w:pPr>
        <w:pStyle w:val="Citationenretrait"/>
        <w:ind w:right="6"/>
        <w:rPr>
          <w:sz w:val="24"/>
          <w:szCs w:val="24"/>
          <w:lang w:val="en-CA"/>
        </w:rPr>
      </w:pPr>
      <w:r w:rsidRPr="006B2147">
        <w:rPr>
          <w:sz w:val="24"/>
          <w:szCs w:val="24"/>
          <w:lang w:val="en-CA"/>
        </w:rPr>
        <w:t>b</w:t>
      </w:r>
      <w:r w:rsidR="00290E95" w:rsidRPr="006B2147">
        <w:rPr>
          <w:sz w:val="24"/>
          <w:szCs w:val="24"/>
          <w:lang w:val="en-CA"/>
        </w:rPr>
        <w:t>)</w:t>
      </w:r>
      <w:r w:rsidR="00E07451" w:rsidRPr="006B2147">
        <w:rPr>
          <w:sz w:val="24"/>
          <w:szCs w:val="24"/>
          <w:lang w:val="en-CA"/>
        </w:rPr>
        <w:tab/>
      </w:r>
      <w:r w:rsidR="00D0655F">
        <w:rPr>
          <w:sz w:val="24"/>
          <w:szCs w:val="24"/>
          <w:lang w:val="en-CA"/>
        </w:rPr>
        <w:t>the judge</w:t>
      </w:r>
      <w:r w:rsidR="005E47D5">
        <w:rPr>
          <w:sz w:val="24"/>
          <w:szCs w:val="24"/>
          <w:lang w:val="en-CA"/>
        </w:rPr>
        <w:t xml:space="preserve"> a</w:t>
      </w:r>
      <w:r w:rsidR="005E47D5" w:rsidRPr="005E47D5">
        <w:rPr>
          <w:sz w:val="24"/>
          <w:szCs w:val="24"/>
          <w:lang w:val="en-CA"/>
        </w:rPr>
        <w:t xml:space="preserve">pplied Canadian evidentiary standards to </w:t>
      </w:r>
      <w:r w:rsidR="005E47D5">
        <w:rPr>
          <w:sz w:val="24"/>
          <w:szCs w:val="24"/>
          <w:lang w:val="en-CA"/>
        </w:rPr>
        <w:t>Albanian</w:t>
      </w:r>
      <w:r w:rsidR="005E47D5" w:rsidRPr="005E47D5">
        <w:rPr>
          <w:sz w:val="24"/>
          <w:szCs w:val="24"/>
          <w:lang w:val="en-CA"/>
        </w:rPr>
        <w:t>-gathered evidence</w:t>
      </w:r>
      <w:r w:rsidRPr="006B2147">
        <w:rPr>
          <w:sz w:val="24"/>
          <w:szCs w:val="24"/>
          <w:lang w:val="en-CA"/>
        </w:rPr>
        <w:t>;</w:t>
      </w:r>
    </w:p>
    <w:p w14:paraId="02593CF8" w14:textId="1F9C059D" w:rsidR="00DB1764" w:rsidRPr="006B2147" w:rsidRDefault="00B37A58" w:rsidP="00441741">
      <w:pPr>
        <w:pStyle w:val="Citationenretrait"/>
        <w:ind w:right="6"/>
        <w:rPr>
          <w:sz w:val="24"/>
          <w:szCs w:val="24"/>
          <w:lang w:val="en-CA"/>
        </w:rPr>
      </w:pPr>
      <w:r w:rsidRPr="006B2147">
        <w:rPr>
          <w:sz w:val="24"/>
          <w:szCs w:val="24"/>
          <w:lang w:val="en-CA"/>
        </w:rPr>
        <w:t>c</w:t>
      </w:r>
      <w:r w:rsidR="00B3281E" w:rsidRPr="006B2147">
        <w:rPr>
          <w:sz w:val="24"/>
          <w:szCs w:val="24"/>
          <w:lang w:val="en-CA"/>
        </w:rPr>
        <w:t>)</w:t>
      </w:r>
      <w:r w:rsidR="00E07451" w:rsidRPr="006B2147">
        <w:rPr>
          <w:sz w:val="24"/>
          <w:szCs w:val="24"/>
          <w:lang w:val="en-CA"/>
        </w:rPr>
        <w:tab/>
      </w:r>
      <w:r w:rsidR="00D0655F">
        <w:rPr>
          <w:sz w:val="24"/>
          <w:szCs w:val="24"/>
          <w:lang w:val="en-CA"/>
        </w:rPr>
        <w:t>the judge</w:t>
      </w:r>
      <w:r w:rsidR="005B210C">
        <w:rPr>
          <w:sz w:val="24"/>
          <w:szCs w:val="24"/>
          <w:lang w:val="en-CA"/>
        </w:rPr>
        <w:t xml:space="preserve"> erred in finding that</w:t>
      </w:r>
      <w:r w:rsidR="00440682" w:rsidRPr="006B2147">
        <w:rPr>
          <w:sz w:val="24"/>
          <w:szCs w:val="24"/>
          <w:lang w:val="en-CA"/>
        </w:rPr>
        <w:t xml:space="preserve"> </w:t>
      </w:r>
      <w:r w:rsidR="005B210C" w:rsidRPr="005B210C">
        <w:rPr>
          <w:sz w:val="24"/>
          <w:szCs w:val="24"/>
          <w:lang w:val="en-CA"/>
        </w:rPr>
        <w:t>there was insufficient available evidence upon which a reasonable jury, properly instructed, could convict</w:t>
      </w:r>
      <w:r w:rsidR="00B3281E" w:rsidRPr="006B2147">
        <w:rPr>
          <w:sz w:val="24"/>
          <w:szCs w:val="24"/>
          <w:lang w:val="en-CA"/>
        </w:rPr>
        <w:t>.</w:t>
      </w:r>
    </w:p>
    <w:p w14:paraId="5AD590EB" w14:textId="0C9D3792" w:rsidR="00FA2918" w:rsidRPr="006B2147" w:rsidRDefault="00B37A58" w:rsidP="00441741">
      <w:pPr>
        <w:pStyle w:val="Paragraphe"/>
        <w:spacing w:line="280" w:lineRule="exact"/>
        <w:rPr>
          <w:lang w:val="en-CA"/>
        </w:rPr>
      </w:pPr>
      <w:r>
        <w:rPr>
          <w:lang w:val="en-CA"/>
        </w:rPr>
        <w:t xml:space="preserve">The </w:t>
      </w:r>
      <w:r w:rsidR="005E14A0">
        <w:rPr>
          <w:lang w:val="en-CA"/>
        </w:rPr>
        <w:t xml:space="preserve">ruling </w:t>
      </w:r>
      <w:r w:rsidR="00DD0B08">
        <w:rPr>
          <w:lang w:val="en-CA"/>
        </w:rPr>
        <w:t>that found</w:t>
      </w:r>
      <w:r>
        <w:rPr>
          <w:lang w:val="en-CA"/>
        </w:rPr>
        <w:t xml:space="preserve"> Mr. Muçaj’s testimony </w:t>
      </w:r>
      <w:r w:rsidR="005E14A0">
        <w:rPr>
          <w:lang w:val="en-CA"/>
        </w:rPr>
        <w:t xml:space="preserve">to be admissible </w:t>
      </w:r>
      <w:r>
        <w:rPr>
          <w:lang w:val="en-CA"/>
        </w:rPr>
        <w:t>is not contested on appeal, the extradi</w:t>
      </w:r>
      <w:r w:rsidR="005E14A0">
        <w:rPr>
          <w:lang w:val="en-CA"/>
        </w:rPr>
        <w:t>ti</w:t>
      </w:r>
      <w:r>
        <w:rPr>
          <w:lang w:val="en-CA"/>
        </w:rPr>
        <w:t xml:space="preserve">on judge having </w:t>
      </w:r>
      <w:r w:rsidR="005E14A0">
        <w:rPr>
          <w:lang w:val="en-CA"/>
        </w:rPr>
        <w:t>concluded</w:t>
      </w:r>
      <w:r>
        <w:rPr>
          <w:lang w:val="en-CA"/>
        </w:rPr>
        <w:t xml:space="preserve"> that that testimony was o</w:t>
      </w:r>
      <w:r w:rsidR="005E14A0">
        <w:rPr>
          <w:lang w:val="en-CA"/>
        </w:rPr>
        <w:t>f</w:t>
      </w:r>
      <w:r>
        <w:rPr>
          <w:lang w:val="en-CA"/>
        </w:rPr>
        <w:t xml:space="preserve"> no probative value and having </w:t>
      </w:r>
      <w:r w:rsidR="005E14A0">
        <w:rPr>
          <w:lang w:val="en-CA"/>
        </w:rPr>
        <w:t>completely disregarded it</w:t>
      </w:r>
      <w:r>
        <w:rPr>
          <w:lang w:val="en-CA"/>
        </w:rPr>
        <w:t>.</w:t>
      </w:r>
      <w:r>
        <w:rPr>
          <w:rStyle w:val="Appelnotedebasdep"/>
          <w:lang w:val="en-CA"/>
        </w:rPr>
        <w:footnoteReference w:id="32"/>
      </w:r>
      <w:r w:rsidR="00440682" w:rsidRPr="006B2147">
        <w:rPr>
          <w:lang w:val="en-CA"/>
        </w:rPr>
        <w:t xml:space="preserve"> </w:t>
      </w:r>
      <w:r>
        <w:rPr>
          <w:lang w:val="en-CA"/>
        </w:rPr>
        <w:t>This issue will therefore not be addressed in the analysis of the grounds of appeal</w:t>
      </w:r>
      <w:r w:rsidR="004A6DC8" w:rsidRPr="006B2147">
        <w:rPr>
          <w:lang w:val="en-CA"/>
        </w:rPr>
        <w:t>.</w:t>
      </w:r>
    </w:p>
    <w:p w14:paraId="4D522FDB" w14:textId="1159E1DE" w:rsidR="004A6DC8" w:rsidRPr="006B2147" w:rsidRDefault="00B37A58" w:rsidP="00441741">
      <w:pPr>
        <w:pStyle w:val="Titre1"/>
        <w:spacing w:line="280" w:lineRule="exact"/>
        <w:rPr>
          <w:lang w:val="en-CA"/>
        </w:rPr>
      </w:pPr>
      <w:r w:rsidRPr="006B2147">
        <w:rPr>
          <w:lang w:val="en-CA"/>
        </w:rPr>
        <w:t xml:space="preserve">V. </w:t>
      </w:r>
      <w:r w:rsidR="00C27AC3" w:rsidRPr="006B2147">
        <w:rPr>
          <w:lang w:val="en-CA"/>
        </w:rPr>
        <w:tab/>
      </w:r>
      <w:r w:rsidR="00DD0B08">
        <w:rPr>
          <w:lang w:val="en-CA"/>
        </w:rPr>
        <w:t>APPLICABLE PRINCIPLES</w:t>
      </w:r>
    </w:p>
    <w:p w14:paraId="3551039C" w14:textId="76C1C83C" w:rsidR="00A90775" w:rsidRPr="006B2147" w:rsidRDefault="00B37A58" w:rsidP="00441741">
      <w:pPr>
        <w:pStyle w:val="Paragraphe"/>
        <w:spacing w:line="280" w:lineRule="exact"/>
        <w:rPr>
          <w:lang w:val="en-CA"/>
        </w:rPr>
      </w:pPr>
      <w:r>
        <w:rPr>
          <w:lang w:val="en-CA"/>
        </w:rPr>
        <w:t xml:space="preserve"> Extradition is a two-</w:t>
      </w:r>
      <w:r w:rsidR="00361982">
        <w:rPr>
          <w:lang w:val="en-CA"/>
        </w:rPr>
        <w:t>phase</w:t>
      </w:r>
      <w:r>
        <w:rPr>
          <w:lang w:val="en-CA"/>
        </w:rPr>
        <w:t xml:space="preserve"> process</w:t>
      </w:r>
      <w:r w:rsidRPr="006B2147">
        <w:rPr>
          <w:lang w:val="en-CA"/>
        </w:rPr>
        <w:t xml:space="preserve">: </w:t>
      </w:r>
      <w:r w:rsidR="000900C6">
        <w:rPr>
          <w:lang w:val="en-CA"/>
        </w:rPr>
        <w:t>one being</w:t>
      </w:r>
      <w:r>
        <w:rPr>
          <w:lang w:val="en-CA"/>
        </w:rPr>
        <w:t xml:space="preserve"> judicial and</w:t>
      </w:r>
      <w:r w:rsidR="000900C6">
        <w:rPr>
          <w:lang w:val="en-CA"/>
        </w:rPr>
        <w:t xml:space="preserve"> the other, </w:t>
      </w:r>
      <w:r>
        <w:rPr>
          <w:lang w:val="en-CA"/>
        </w:rPr>
        <w:t>ministerial</w:t>
      </w:r>
      <w:r w:rsidRPr="006B2147">
        <w:rPr>
          <w:lang w:val="en-CA"/>
        </w:rPr>
        <w:t xml:space="preserve">. </w:t>
      </w:r>
      <w:r>
        <w:rPr>
          <w:lang w:val="en-CA"/>
        </w:rPr>
        <w:t>In the first</w:t>
      </w:r>
      <w:r w:rsidR="00DE7D03" w:rsidRPr="006B2147">
        <w:rPr>
          <w:lang w:val="en-CA"/>
        </w:rPr>
        <w:t xml:space="preserve">, </w:t>
      </w:r>
      <w:r>
        <w:rPr>
          <w:lang w:val="en-CA"/>
        </w:rPr>
        <w:t xml:space="preserve">the extradition judge decides whether the evidence submitted is sufficient to justify the committal of the </w:t>
      </w:r>
      <w:r w:rsidR="00132099">
        <w:rPr>
          <w:lang w:val="en-CA"/>
        </w:rPr>
        <w:t>person sought until their surrender to the requesting state</w:t>
      </w:r>
      <w:r w:rsidRPr="006B2147">
        <w:rPr>
          <w:lang w:val="en-CA"/>
        </w:rPr>
        <w:t xml:space="preserve">. </w:t>
      </w:r>
      <w:r w:rsidR="00132099">
        <w:rPr>
          <w:lang w:val="en-CA"/>
        </w:rPr>
        <w:t xml:space="preserve">If that is the case, </w:t>
      </w:r>
      <w:r w:rsidR="000900C6">
        <w:rPr>
          <w:lang w:val="en-CA"/>
        </w:rPr>
        <w:t xml:space="preserve">the process proceeds to the second </w:t>
      </w:r>
      <w:r w:rsidR="00361982">
        <w:rPr>
          <w:lang w:val="en-CA"/>
        </w:rPr>
        <w:t>phase</w:t>
      </w:r>
      <w:r w:rsidR="000900C6">
        <w:rPr>
          <w:lang w:val="en-CA"/>
        </w:rPr>
        <w:t xml:space="preserve">, where </w:t>
      </w:r>
      <w:r w:rsidR="00132099">
        <w:rPr>
          <w:lang w:val="en-CA"/>
        </w:rPr>
        <w:t>the Minister of Justice, exercising their discretion, decides whether the person should be extradited to that state</w:t>
      </w:r>
      <w:r w:rsidR="00DE7D03" w:rsidRPr="006B2147">
        <w:rPr>
          <w:lang w:val="en-CA"/>
        </w:rPr>
        <w:t>.</w:t>
      </w:r>
    </w:p>
    <w:p w14:paraId="08D9F68D" w14:textId="3D69AB11" w:rsidR="000900C6" w:rsidRDefault="00B37A58" w:rsidP="00441741">
      <w:pPr>
        <w:pStyle w:val="Paragraphe"/>
        <w:spacing w:line="280" w:lineRule="exact"/>
        <w:rPr>
          <w:lang w:val="en-CA"/>
        </w:rPr>
      </w:pPr>
      <w:r>
        <w:rPr>
          <w:lang w:val="en-CA"/>
        </w:rPr>
        <w:t xml:space="preserve">At the judicial </w:t>
      </w:r>
      <w:r w:rsidR="00361982">
        <w:rPr>
          <w:lang w:val="en-CA"/>
        </w:rPr>
        <w:t>phase</w:t>
      </w:r>
      <w:r>
        <w:rPr>
          <w:lang w:val="en-CA"/>
        </w:rPr>
        <w:t>, the applicable test is set out in s.</w:t>
      </w:r>
      <w:r w:rsidR="00BC2E37" w:rsidRPr="006B2147">
        <w:rPr>
          <w:lang w:val="en-CA"/>
        </w:rPr>
        <w:t xml:space="preserve"> 29 </w:t>
      </w:r>
      <w:r>
        <w:rPr>
          <w:lang w:val="en-CA"/>
        </w:rPr>
        <w:t>of the Act:</w:t>
      </w:r>
      <w:r w:rsidR="00933EAD" w:rsidRPr="006B2147">
        <w:rPr>
          <w:lang w:val="en-CA"/>
        </w:rPr>
        <w:t xml:space="preserve"> </w:t>
      </w:r>
    </w:p>
    <w:tbl>
      <w:tblPr>
        <w:tblW w:w="9362" w:type="dxa"/>
        <w:tblInd w:w="70" w:type="dxa"/>
        <w:tblCellMar>
          <w:left w:w="70" w:type="dxa"/>
          <w:right w:w="70" w:type="dxa"/>
        </w:tblCellMar>
        <w:tblLook w:val="0000" w:firstRow="0" w:lastRow="0" w:firstColumn="0" w:lastColumn="0" w:noHBand="0" w:noVBand="0"/>
      </w:tblPr>
      <w:tblGrid>
        <w:gridCol w:w="4681"/>
        <w:gridCol w:w="4681"/>
      </w:tblGrid>
      <w:tr w:rsidR="00DD5A27" w14:paraId="7BAA6194" w14:textId="77777777" w:rsidTr="00D035EF">
        <w:trPr>
          <w:trHeight w:val="578"/>
        </w:trPr>
        <w:tc>
          <w:tcPr>
            <w:tcW w:w="4681" w:type="dxa"/>
          </w:tcPr>
          <w:p w14:paraId="0E898846" w14:textId="77777777" w:rsidR="000900C6" w:rsidRPr="00F66712" w:rsidRDefault="00B37A58" w:rsidP="00D035EF">
            <w:pPr>
              <w:spacing w:before="120"/>
              <w:ind w:left="144" w:right="720"/>
              <w:jc w:val="both"/>
              <w:rPr>
                <w:b/>
                <w:bCs/>
                <w:sz w:val="22"/>
                <w:lang w:val="en-CA"/>
              </w:rPr>
            </w:pPr>
            <w:r w:rsidRPr="00F66712">
              <w:rPr>
                <w:b/>
                <w:bCs/>
                <w:sz w:val="22"/>
                <w:lang w:val="en-CA"/>
              </w:rPr>
              <w:t>Order of committal</w:t>
            </w:r>
          </w:p>
          <w:p w14:paraId="4D3DA3B2" w14:textId="77777777" w:rsidR="000900C6" w:rsidRPr="00F66712" w:rsidRDefault="000900C6" w:rsidP="00D035EF">
            <w:pPr>
              <w:ind w:left="144" w:right="720"/>
              <w:jc w:val="both"/>
              <w:rPr>
                <w:sz w:val="22"/>
                <w:lang w:val="en-CA"/>
              </w:rPr>
            </w:pPr>
          </w:p>
          <w:p w14:paraId="50BDBB54" w14:textId="77777777" w:rsidR="000900C6" w:rsidRPr="00F66712" w:rsidRDefault="00B37A58" w:rsidP="00D035EF">
            <w:pPr>
              <w:ind w:left="144" w:right="720"/>
              <w:jc w:val="both"/>
              <w:rPr>
                <w:sz w:val="22"/>
                <w:lang w:val="en-CA"/>
              </w:rPr>
            </w:pPr>
            <w:r w:rsidRPr="00F66712">
              <w:rPr>
                <w:b/>
                <w:bCs/>
                <w:sz w:val="22"/>
                <w:lang w:val="en-CA"/>
              </w:rPr>
              <w:t>29 (1)</w:t>
            </w:r>
            <w:r w:rsidRPr="00F66712">
              <w:rPr>
                <w:sz w:val="22"/>
                <w:lang w:val="en-CA"/>
              </w:rPr>
              <w:t> A judge shall order the committal of the person into custody to await surrender if</w:t>
            </w:r>
          </w:p>
          <w:p w14:paraId="19C8734A" w14:textId="77777777" w:rsidR="000900C6" w:rsidRPr="00F66712" w:rsidRDefault="000900C6" w:rsidP="00D035EF">
            <w:pPr>
              <w:ind w:left="144" w:right="720"/>
              <w:jc w:val="both"/>
              <w:rPr>
                <w:sz w:val="22"/>
                <w:lang w:val="en-CA"/>
              </w:rPr>
            </w:pPr>
          </w:p>
          <w:p w14:paraId="39FB9555" w14:textId="77777777" w:rsidR="000900C6" w:rsidRPr="00F66712" w:rsidRDefault="00B37A58" w:rsidP="00D035EF">
            <w:pPr>
              <w:ind w:left="144" w:right="720"/>
              <w:jc w:val="both"/>
              <w:rPr>
                <w:sz w:val="22"/>
                <w:lang w:val="en-CA"/>
              </w:rPr>
            </w:pPr>
            <w:r w:rsidRPr="00F66712">
              <w:rPr>
                <w:b/>
                <w:bCs/>
                <w:sz w:val="22"/>
                <w:lang w:val="en-CA"/>
              </w:rPr>
              <w:t>a)</w:t>
            </w:r>
            <w:r w:rsidRPr="00F66712">
              <w:rPr>
                <w:sz w:val="22"/>
                <w:lang w:val="en-CA"/>
              </w:rPr>
              <w:t xml:space="preserve"> in the case of a person sought for prosecution, there is evidence admissible under this Act of conduct that, had it occurred in Canada, would justify committal for trial in Canada on the offence set out in the authority to proceed and the judge is satisfied that the person is the person sought by the extradition partner; and</w:t>
            </w:r>
          </w:p>
          <w:p w14:paraId="039CA13E" w14:textId="77777777" w:rsidR="000900C6" w:rsidRPr="00F66712" w:rsidRDefault="000900C6" w:rsidP="00D035EF">
            <w:pPr>
              <w:ind w:left="144" w:right="720"/>
              <w:jc w:val="both"/>
              <w:rPr>
                <w:sz w:val="22"/>
                <w:lang w:val="en-CA"/>
              </w:rPr>
            </w:pPr>
          </w:p>
          <w:p w14:paraId="2AE28651" w14:textId="77777777" w:rsidR="000900C6" w:rsidRPr="00F66712" w:rsidRDefault="000900C6" w:rsidP="00D035EF">
            <w:pPr>
              <w:ind w:left="144" w:right="720"/>
              <w:jc w:val="both"/>
              <w:rPr>
                <w:sz w:val="22"/>
                <w:lang w:val="en-CA"/>
              </w:rPr>
            </w:pPr>
          </w:p>
          <w:p w14:paraId="4F478D25" w14:textId="77777777" w:rsidR="000900C6" w:rsidRPr="00F66712" w:rsidRDefault="000900C6" w:rsidP="00D035EF">
            <w:pPr>
              <w:ind w:left="144" w:right="720"/>
              <w:jc w:val="both"/>
              <w:rPr>
                <w:sz w:val="22"/>
                <w:lang w:val="en-CA"/>
              </w:rPr>
            </w:pPr>
          </w:p>
          <w:p w14:paraId="06FE955E" w14:textId="77777777" w:rsidR="000900C6" w:rsidRPr="00F66712" w:rsidRDefault="00B37A58" w:rsidP="00D035EF">
            <w:pPr>
              <w:ind w:left="144" w:right="720"/>
              <w:jc w:val="both"/>
              <w:rPr>
                <w:sz w:val="22"/>
                <w:lang w:val="en-CA"/>
              </w:rPr>
            </w:pPr>
            <w:r w:rsidRPr="00F66712">
              <w:rPr>
                <w:b/>
                <w:bCs/>
                <w:sz w:val="22"/>
                <w:lang w:val="en-CA"/>
              </w:rPr>
              <w:t>b)</w:t>
            </w:r>
            <w:r w:rsidRPr="00F66712">
              <w:rPr>
                <w:sz w:val="22"/>
                <w:lang w:val="en-CA"/>
              </w:rPr>
              <w:t xml:space="preserve"> in the case of a person sought for the imposition or enforcement of a sentence, the judge is satisfied that the conviction was in respect of conduct that corresponds to the offence set out in the authority to proceed and that the person is the person who was convicted.</w:t>
            </w:r>
          </w:p>
          <w:p w14:paraId="6FB4F137" w14:textId="77777777" w:rsidR="000900C6" w:rsidRPr="00F66712" w:rsidRDefault="000900C6" w:rsidP="00D035EF">
            <w:pPr>
              <w:ind w:left="144" w:right="720"/>
              <w:jc w:val="both"/>
              <w:rPr>
                <w:sz w:val="22"/>
                <w:lang w:val="en-CA"/>
              </w:rPr>
            </w:pPr>
          </w:p>
          <w:p w14:paraId="0B96C26B" w14:textId="77777777" w:rsidR="000900C6" w:rsidRPr="00F66712" w:rsidRDefault="00B37A58" w:rsidP="00D035EF">
            <w:pPr>
              <w:ind w:left="144" w:right="720"/>
              <w:jc w:val="both"/>
              <w:rPr>
                <w:b/>
                <w:bCs/>
                <w:sz w:val="22"/>
                <w:lang w:val="en-CA"/>
              </w:rPr>
            </w:pPr>
            <w:r w:rsidRPr="00F66712">
              <w:rPr>
                <w:b/>
                <w:bCs/>
                <w:sz w:val="22"/>
                <w:lang w:val="en-CA"/>
              </w:rPr>
              <w:t>Order of committal</w:t>
            </w:r>
          </w:p>
          <w:p w14:paraId="31AD4B07" w14:textId="77777777" w:rsidR="000900C6" w:rsidRPr="00F66712" w:rsidRDefault="000900C6" w:rsidP="00D035EF">
            <w:pPr>
              <w:ind w:left="144" w:right="720"/>
              <w:jc w:val="both"/>
              <w:rPr>
                <w:sz w:val="22"/>
                <w:lang w:val="en-CA"/>
              </w:rPr>
            </w:pPr>
          </w:p>
          <w:p w14:paraId="6024224F" w14:textId="77777777" w:rsidR="000900C6" w:rsidRPr="00F66712" w:rsidRDefault="000900C6" w:rsidP="00D035EF">
            <w:pPr>
              <w:ind w:left="144" w:right="720"/>
              <w:jc w:val="both"/>
              <w:rPr>
                <w:sz w:val="22"/>
                <w:lang w:val="en-CA"/>
              </w:rPr>
            </w:pPr>
          </w:p>
          <w:p w14:paraId="65451793" w14:textId="77777777" w:rsidR="000900C6" w:rsidRPr="00F66712" w:rsidRDefault="00B37A58" w:rsidP="00D035EF">
            <w:pPr>
              <w:ind w:left="144" w:right="720"/>
              <w:jc w:val="both"/>
              <w:rPr>
                <w:sz w:val="22"/>
                <w:lang w:val="en-CA"/>
              </w:rPr>
            </w:pPr>
            <w:r w:rsidRPr="00F66712">
              <w:rPr>
                <w:b/>
                <w:bCs/>
                <w:sz w:val="22"/>
                <w:lang w:val="en-CA"/>
              </w:rPr>
              <w:t>(2)</w:t>
            </w:r>
            <w:r w:rsidRPr="00F66712">
              <w:rPr>
                <w:sz w:val="22"/>
                <w:lang w:val="en-CA"/>
              </w:rPr>
              <w:t xml:space="preserve"> The order of committal must contain</w:t>
            </w:r>
          </w:p>
          <w:p w14:paraId="26A64B4E" w14:textId="77777777" w:rsidR="000900C6" w:rsidRPr="00F66712" w:rsidRDefault="00B37A58" w:rsidP="00D035EF">
            <w:pPr>
              <w:ind w:left="144" w:right="720"/>
              <w:jc w:val="both"/>
              <w:rPr>
                <w:sz w:val="22"/>
                <w:lang w:val="en-CA"/>
              </w:rPr>
            </w:pPr>
            <w:r w:rsidRPr="00F66712">
              <w:rPr>
                <w:b/>
                <w:bCs/>
                <w:sz w:val="22"/>
                <w:lang w:val="en-CA"/>
              </w:rPr>
              <w:t>(a)</w:t>
            </w:r>
            <w:r w:rsidRPr="00F66712">
              <w:rPr>
                <w:sz w:val="22"/>
                <w:lang w:val="en-CA"/>
              </w:rPr>
              <w:t xml:space="preserve"> the name of the person;</w:t>
            </w:r>
          </w:p>
          <w:p w14:paraId="54A3AE33" w14:textId="77777777" w:rsidR="000900C6" w:rsidRPr="00F66712" w:rsidRDefault="00B37A58" w:rsidP="00D035EF">
            <w:pPr>
              <w:ind w:left="144" w:right="720"/>
              <w:jc w:val="both"/>
              <w:rPr>
                <w:sz w:val="22"/>
                <w:lang w:val="en-CA"/>
              </w:rPr>
            </w:pPr>
            <w:r w:rsidRPr="00F66712">
              <w:rPr>
                <w:b/>
                <w:bCs/>
                <w:sz w:val="22"/>
                <w:lang w:val="en-CA"/>
              </w:rPr>
              <w:t>(b)</w:t>
            </w:r>
            <w:r w:rsidRPr="00F66712">
              <w:rPr>
                <w:sz w:val="22"/>
                <w:lang w:val="en-CA"/>
              </w:rPr>
              <w:t xml:space="preserve"> the offence set out in the authority to proceed for which the committal is ordered;</w:t>
            </w:r>
          </w:p>
          <w:p w14:paraId="265EC394" w14:textId="77777777" w:rsidR="000900C6" w:rsidRPr="00F66712" w:rsidRDefault="00B37A58" w:rsidP="00D035EF">
            <w:pPr>
              <w:ind w:left="144" w:right="720"/>
              <w:jc w:val="both"/>
              <w:rPr>
                <w:sz w:val="22"/>
                <w:lang w:val="en-CA"/>
              </w:rPr>
            </w:pPr>
            <w:r w:rsidRPr="00F66712">
              <w:rPr>
                <w:b/>
                <w:bCs/>
                <w:sz w:val="22"/>
                <w:lang w:val="en-CA"/>
              </w:rPr>
              <w:t>(c)</w:t>
            </w:r>
            <w:r w:rsidRPr="00F66712">
              <w:rPr>
                <w:sz w:val="22"/>
                <w:lang w:val="en-CA"/>
              </w:rPr>
              <w:t xml:space="preserve"> the place at which the person is to be held in custody; and</w:t>
            </w:r>
          </w:p>
          <w:p w14:paraId="1C81D192" w14:textId="77777777" w:rsidR="000900C6" w:rsidRPr="00F66712" w:rsidRDefault="00B37A58" w:rsidP="00D035EF">
            <w:pPr>
              <w:ind w:left="144" w:right="720"/>
              <w:jc w:val="both"/>
              <w:rPr>
                <w:sz w:val="22"/>
                <w:lang w:val="en-CA"/>
              </w:rPr>
            </w:pPr>
            <w:r w:rsidRPr="00F66712">
              <w:rPr>
                <w:b/>
                <w:bCs/>
                <w:sz w:val="22"/>
                <w:lang w:val="en-CA"/>
              </w:rPr>
              <w:t>(d)</w:t>
            </w:r>
            <w:r w:rsidRPr="00F66712">
              <w:rPr>
                <w:sz w:val="22"/>
                <w:lang w:val="en-CA"/>
              </w:rPr>
              <w:t xml:space="preserve"> the name of the extradition partner.</w:t>
            </w:r>
          </w:p>
          <w:p w14:paraId="3B51887C" w14:textId="77777777" w:rsidR="000900C6" w:rsidRPr="00F66712" w:rsidRDefault="000900C6" w:rsidP="00D035EF">
            <w:pPr>
              <w:ind w:left="144" w:right="720"/>
              <w:jc w:val="both"/>
              <w:rPr>
                <w:sz w:val="22"/>
                <w:lang w:val="en-CA"/>
              </w:rPr>
            </w:pPr>
          </w:p>
          <w:p w14:paraId="41EDCA99" w14:textId="77777777" w:rsidR="000900C6" w:rsidRPr="00F66712" w:rsidRDefault="00B37A58" w:rsidP="00D035EF">
            <w:pPr>
              <w:ind w:left="144" w:right="720"/>
              <w:jc w:val="both"/>
              <w:rPr>
                <w:b/>
                <w:bCs/>
                <w:sz w:val="22"/>
                <w:lang w:val="en-CA"/>
              </w:rPr>
            </w:pPr>
            <w:r w:rsidRPr="00F66712">
              <w:rPr>
                <w:b/>
                <w:bCs/>
                <w:sz w:val="22"/>
                <w:lang w:val="en-CA"/>
              </w:rPr>
              <w:t>Discharge of person</w:t>
            </w:r>
          </w:p>
          <w:p w14:paraId="5A822958" w14:textId="77777777" w:rsidR="000900C6" w:rsidRPr="00F66712" w:rsidRDefault="000900C6" w:rsidP="00D035EF">
            <w:pPr>
              <w:ind w:left="144" w:right="720"/>
              <w:jc w:val="both"/>
              <w:rPr>
                <w:sz w:val="22"/>
                <w:lang w:val="en-CA"/>
              </w:rPr>
            </w:pPr>
          </w:p>
          <w:p w14:paraId="4E790609" w14:textId="77777777" w:rsidR="000900C6" w:rsidRPr="00F66712" w:rsidRDefault="00B37A58" w:rsidP="00D035EF">
            <w:pPr>
              <w:ind w:left="144" w:right="720"/>
              <w:jc w:val="both"/>
              <w:rPr>
                <w:sz w:val="22"/>
                <w:lang w:val="en-CA"/>
              </w:rPr>
            </w:pPr>
            <w:r w:rsidRPr="00F66712">
              <w:rPr>
                <w:b/>
                <w:bCs/>
                <w:sz w:val="22"/>
                <w:lang w:val="en-CA"/>
              </w:rPr>
              <w:t>(3)</w:t>
            </w:r>
            <w:r w:rsidRPr="00F66712">
              <w:rPr>
                <w:sz w:val="22"/>
                <w:lang w:val="en-CA"/>
              </w:rPr>
              <w:t> A judge shall order the person discharged if the judge does not order their committal under subsection (1).</w:t>
            </w:r>
          </w:p>
          <w:p w14:paraId="13E964C8" w14:textId="77777777" w:rsidR="000900C6" w:rsidRPr="00F66712" w:rsidRDefault="000900C6" w:rsidP="00D035EF">
            <w:pPr>
              <w:ind w:left="144" w:right="720"/>
              <w:jc w:val="both"/>
              <w:rPr>
                <w:b/>
                <w:bCs/>
                <w:sz w:val="22"/>
                <w:lang w:val="en-CA"/>
              </w:rPr>
            </w:pPr>
          </w:p>
          <w:p w14:paraId="7BCC1A81" w14:textId="77777777" w:rsidR="000900C6" w:rsidRPr="00F66712" w:rsidRDefault="00B37A58" w:rsidP="00D035EF">
            <w:pPr>
              <w:ind w:left="144" w:right="720"/>
              <w:jc w:val="both"/>
              <w:rPr>
                <w:b/>
                <w:bCs/>
                <w:sz w:val="22"/>
                <w:lang w:val="en-CA"/>
              </w:rPr>
            </w:pPr>
            <w:r w:rsidRPr="00F66712">
              <w:rPr>
                <w:b/>
                <w:bCs/>
                <w:sz w:val="22"/>
                <w:lang w:val="en-CA"/>
              </w:rPr>
              <w:t>Relevant date</w:t>
            </w:r>
          </w:p>
          <w:p w14:paraId="6021BC80" w14:textId="77777777" w:rsidR="000900C6" w:rsidRPr="00F66712" w:rsidRDefault="000900C6" w:rsidP="00D035EF">
            <w:pPr>
              <w:ind w:left="144" w:right="720"/>
              <w:jc w:val="both"/>
              <w:rPr>
                <w:b/>
                <w:bCs/>
                <w:sz w:val="22"/>
                <w:lang w:val="en-CA"/>
              </w:rPr>
            </w:pPr>
          </w:p>
          <w:p w14:paraId="09495B3C" w14:textId="77777777" w:rsidR="000900C6" w:rsidRPr="00F66712" w:rsidRDefault="00B37A58" w:rsidP="00D035EF">
            <w:pPr>
              <w:ind w:left="144" w:right="720"/>
              <w:jc w:val="both"/>
              <w:rPr>
                <w:sz w:val="22"/>
                <w:lang w:val="en-CA"/>
              </w:rPr>
            </w:pPr>
            <w:r w:rsidRPr="00F66712">
              <w:rPr>
                <w:b/>
                <w:bCs/>
                <w:sz w:val="22"/>
                <w:lang w:val="en-CA"/>
              </w:rPr>
              <w:t>(4)</w:t>
            </w:r>
            <w:r w:rsidRPr="00F66712">
              <w:rPr>
                <w:sz w:val="22"/>
                <w:lang w:val="en-CA"/>
              </w:rPr>
              <w:t> The date of the authority to proceed is the relevant date for the purposes of subsection (1).</w:t>
            </w:r>
          </w:p>
          <w:p w14:paraId="5E3DD361" w14:textId="77777777" w:rsidR="000900C6" w:rsidRPr="00F66712" w:rsidRDefault="000900C6" w:rsidP="00D035EF">
            <w:pPr>
              <w:ind w:left="144" w:right="720"/>
              <w:jc w:val="both"/>
              <w:rPr>
                <w:sz w:val="22"/>
                <w:lang w:val="en-CA"/>
              </w:rPr>
            </w:pPr>
          </w:p>
          <w:p w14:paraId="04E30E21" w14:textId="77777777" w:rsidR="000900C6" w:rsidRPr="00F66712" w:rsidRDefault="000900C6" w:rsidP="00D035EF">
            <w:pPr>
              <w:ind w:left="144" w:right="720"/>
              <w:jc w:val="both"/>
              <w:rPr>
                <w:sz w:val="22"/>
                <w:lang w:val="en-CA"/>
              </w:rPr>
            </w:pPr>
          </w:p>
          <w:p w14:paraId="15A1ABF5" w14:textId="77777777" w:rsidR="000900C6" w:rsidRPr="00F66712" w:rsidRDefault="00B37A58" w:rsidP="00D035EF">
            <w:pPr>
              <w:ind w:left="144" w:right="720"/>
              <w:jc w:val="both"/>
              <w:rPr>
                <w:b/>
                <w:bCs/>
                <w:sz w:val="22"/>
                <w:lang w:val="en-CA"/>
              </w:rPr>
            </w:pPr>
            <w:r w:rsidRPr="00F66712">
              <w:rPr>
                <w:b/>
                <w:bCs/>
                <w:sz w:val="22"/>
                <w:lang w:val="en-CA"/>
              </w:rPr>
              <w:t>Extradition when person not present at conviction</w:t>
            </w:r>
          </w:p>
          <w:p w14:paraId="764E90AB" w14:textId="77777777" w:rsidR="000900C6" w:rsidRPr="00F66712" w:rsidRDefault="000900C6" w:rsidP="00D035EF">
            <w:pPr>
              <w:ind w:left="144" w:right="720"/>
              <w:jc w:val="both"/>
              <w:rPr>
                <w:b/>
                <w:bCs/>
                <w:sz w:val="22"/>
                <w:lang w:val="en-CA"/>
              </w:rPr>
            </w:pPr>
          </w:p>
          <w:p w14:paraId="3F10F8F1" w14:textId="77777777" w:rsidR="000900C6" w:rsidRPr="006B2147" w:rsidRDefault="00B37A58" w:rsidP="00D035EF">
            <w:pPr>
              <w:ind w:left="144" w:right="720"/>
              <w:jc w:val="both"/>
              <w:rPr>
                <w:rFonts w:cs="Arial"/>
                <w:lang w:val="en-CA"/>
              </w:rPr>
            </w:pPr>
            <w:r w:rsidRPr="00F66712">
              <w:rPr>
                <w:b/>
                <w:bCs/>
                <w:lang w:val="en-CA"/>
              </w:rPr>
              <w:t>(5)</w:t>
            </w:r>
            <w:r w:rsidRPr="00F66712">
              <w:rPr>
                <w:lang w:val="en-CA"/>
              </w:rPr>
              <w:t> Subject to a relevant extradition agreement, if a person has been tried and convicted without the person being present, the judge shall apply paragraph (1)(a</w:t>
            </w:r>
            <w:r>
              <w:rPr>
                <w:lang w:val="en-CA"/>
              </w:rPr>
              <w:t>)</w:t>
            </w:r>
            <w:r w:rsidRPr="006B2147">
              <w:rPr>
                <w:rFonts w:cs="Arial"/>
                <w:lang w:val="en-CA"/>
              </w:rPr>
              <w:t xml:space="preserve">. </w:t>
            </w:r>
          </w:p>
        </w:tc>
        <w:tc>
          <w:tcPr>
            <w:tcW w:w="4681" w:type="dxa"/>
          </w:tcPr>
          <w:p w14:paraId="092B031B" w14:textId="77777777" w:rsidR="000900C6" w:rsidRPr="00442105" w:rsidRDefault="00B37A58" w:rsidP="00D035EF">
            <w:pPr>
              <w:spacing w:before="120"/>
              <w:ind w:left="720" w:right="144"/>
              <w:jc w:val="both"/>
              <w:rPr>
                <w:rFonts w:cs="Arial"/>
                <w:b/>
                <w:bCs/>
                <w:sz w:val="22"/>
              </w:rPr>
            </w:pPr>
            <w:r w:rsidRPr="00442105">
              <w:rPr>
                <w:rFonts w:cs="Arial"/>
                <w:b/>
                <w:bCs/>
                <w:sz w:val="22"/>
              </w:rPr>
              <w:t>Ordonnance d’incarcération</w:t>
            </w:r>
          </w:p>
          <w:p w14:paraId="5222D635" w14:textId="77777777" w:rsidR="000900C6" w:rsidRPr="00442105" w:rsidRDefault="000900C6" w:rsidP="00D035EF">
            <w:pPr>
              <w:ind w:left="720" w:right="144"/>
              <w:jc w:val="both"/>
              <w:rPr>
                <w:rFonts w:cs="Arial"/>
                <w:sz w:val="22"/>
              </w:rPr>
            </w:pPr>
          </w:p>
          <w:p w14:paraId="1D80A053" w14:textId="77777777" w:rsidR="000900C6" w:rsidRPr="00C35B84" w:rsidRDefault="00B37A58" w:rsidP="00D035EF">
            <w:pPr>
              <w:ind w:left="720" w:right="144"/>
              <w:jc w:val="both"/>
              <w:rPr>
                <w:rFonts w:cs="Arial"/>
                <w:sz w:val="22"/>
              </w:rPr>
            </w:pPr>
            <w:r w:rsidRPr="00C35B84">
              <w:rPr>
                <w:rFonts w:cs="Arial"/>
                <w:b/>
                <w:bCs/>
                <w:sz w:val="22"/>
              </w:rPr>
              <w:t>29 (1)</w:t>
            </w:r>
            <w:r w:rsidRPr="00C35B84">
              <w:rPr>
                <w:rFonts w:cs="Arial"/>
                <w:sz w:val="22"/>
              </w:rPr>
              <w:t> Le juge ordonne dans les cas suivants l’incarcération de l’intéressé jusqu’à sa remise :</w:t>
            </w:r>
          </w:p>
          <w:p w14:paraId="6A93474C" w14:textId="77777777" w:rsidR="000900C6" w:rsidRPr="00C35B84" w:rsidRDefault="000900C6" w:rsidP="00D035EF">
            <w:pPr>
              <w:ind w:left="720" w:right="144"/>
              <w:jc w:val="both"/>
              <w:rPr>
                <w:rFonts w:cs="Arial"/>
                <w:sz w:val="22"/>
              </w:rPr>
            </w:pPr>
          </w:p>
          <w:p w14:paraId="2F2322D3" w14:textId="77777777" w:rsidR="000900C6" w:rsidRPr="00C35B84" w:rsidRDefault="00B37A58" w:rsidP="00D035EF">
            <w:pPr>
              <w:ind w:left="720" w:right="144"/>
              <w:jc w:val="both"/>
              <w:rPr>
                <w:rFonts w:cs="Arial"/>
                <w:sz w:val="22"/>
              </w:rPr>
            </w:pPr>
            <w:r w:rsidRPr="00C35B84">
              <w:rPr>
                <w:rFonts w:cs="Arial"/>
                <w:b/>
                <w:bCs/>
                <w:sz w:val="22"/>
              </w:rPr>
              <w:t>a)</w:t>
            </w:r>
            <w:r w:rsidRPr="00C35B84">
              <w:rPr>
                <w:rFonts w:cs="Arial"/>
                <w:sz w:val="22"/>
              </w:rPr>
              <w:t> si la personne est recherchée pour subir son procès, la preuve — admissible en vertu de la présente loi — des actes justifierait, s’ils avaient été commis au Canada, son renvoi à procès au Canada relativement à l’infraction mentionnée dans l’arrêté introductif d’instance et le juge est convaincu que la personne qui comparaît est celle qui est recherchée par le partenaire;</w:t>
            </w:r>
          </w:p>
          <w:p w14:paraId="71FBC7EC" w14:textId="77777777" w:rsidR="000900C6" w:rsidRPr="00C35B84" w:rsidRDefault="000900C6" w:rsidP="00D035EF">
            <w:pPr>
              <w:ind w:left="720" w:right="144"/>
              <w:jc w:val="both"/>
              <w:rPr>
                <w:rFonts w:cs="Arial"/>
                <w:sz w:val="22"/>
              </w:rPr>
            </w:pPr>
          </w:p>
          <w:p w14:paraId="6331AFAE" w14:textId="77777777" w:rsidR="000900C6" w:rsidRPr="00C35B84" w:rsidRDefault="00B37A58" w:rsidP="00D035EF">
            <w:pPr>
              <w:ind w:left="720" w:right="144"/>
              <w:jc w:val="both"/>
              <w:rPr>
                <w:rFonts w:cs="Arial"/>
                <w:sz w:val="22"/>
              </w:rPr>
            </w:pPr>
            <w:r w:rsidRPr="00C35B84">
              <w:rPr>
                <w:rFonts w:cs="Arial"/>
                <w:b/>
                <w:bCs/>
                <w:sz w:val="22"/>
              </w:rPr>
              <w:t>b)</w:t>
            </w:r>
            <w:r w:rsidRPr="00C35B84">
              <w:rPr>
                <w:rFonts w:cs="Arial"/>
                <w:sz w:val="22"/>
              </w:rPr>
              <w:t xml:space="preserve"> si la personne est recherchée pour se faire infliger une peine ou pour la purger, le juge est convaincu qu’elle est celle qui a été déclarée coupable des actes et que ceux-ci correspondent à l’infraction mentionnée dans l’arrêté.</w:t>
            </w:r>
          </w:p>
          <w:p w14:paraId="042D854D" w14:textId="77777777" w:rsidR="000900C6" w:rsidRPr="00C35B84" w:rsidRDefault="000900C6" w:rsidP="00D035EF">
            <w:pPr>
              <w:ind w:left="720" w:right="144"/>
              <w:jc w:val="both"/>
              <w:rPr>
                <w:rFonts w:cs="Arial"/>
                <w:sz w:val="22"/>
              </w:rPr>
            </w:pPr>
          </w:p>
          <w:p w14:paraId="270BA46E" w14:textId="77777777" w:rsidR="000900C6" w:rsidRPr="00C35B84" w:rsidRDefault="00B37A58" w:rsidP="00D035EF">
            <w:pPr>
              <w:ind w:left="720" w:right="144"/>
              <w:jc w:val="both"/>
              <w:rPr>
                <w:rFonts w:ascii="Noto Sans" w:hAnsi="Noto Sans" w:cs="Noto Sans"/>
                <w:b/>
                <w:bCs/>
                <w:color w:val="333333"/>
                <w:sz w:val="22"/>
                <w:szCs w:val="22"/>
                <w:shd w:val="clear" w:color="auto" w:fill="FFFFFF"/>
              </w:rPr>
            </w:pPr>
            <w:r w:rsidRPr="00C35B84">
              <w:rPr>
                <w:rFonts w:ascii="Noto Sans" w:hAnsi="Noto Sans" w:cs="Noto Sans"/>
                <w:b/>
                <w:bCs/>
                <w:color w:val="333333"/>
                <w:sz w:val="22"/>
                <w:szCs w:val="22"/>
                <w:shd w:val="clear" w:color="auto" w:fill="FFFFFF"/>
              </w:rPr>
              <w:t>Teneur de l’ordonnance d’incarcération</w:t>
            </w:r>
          </w:p>
          <w:p w14:paraId="04AFD20D" w14:textId="77777777" w:rsidR="000900C6" w:rsidRPr="00C35B84" w:rsidRDefault="000900C6" w:rsidP="00D035EF">
            <w:pPr>
              <w:ind w:left="720" w:right="144"/>
              <w:jc w:val="both"/>
              <w:rPr>
                <w:rFonts w:cs="Arial"/>
                <w:sz w:val="22"/>
              </w:rPr>
            </w:pPr>
          </w:p>
          <w:p w14:paraId="6819F824" w14:textId="77777777" w:rsidR="000900C6" w:rsidRPr="00C35B84" w:rsidRDefault="00B37A58" w:rsidP="00D035EF">
            <w:pPr>
              <w:ind w:left="720" w:right="144"/>
              <w:jc w:val="both"/>
              <w:rPr>
                <w:rFonts w:cs="Arial"/>
                <w:sz w:val="22"/>
              </w:rPr>
            </w:pPr>
            <w:r w:rsidRPr="00C35B84">
              <w:rPr>
                <w:rFonts w:cs="Arial"/>
                <w:b/>
                <w:bCs/>
                <w:sz w:val="22"/>
              </w:rPr>
              <w:t>(2)</w:t>
            </w:r>
            <w:r w:rsidRPr="00C35B84">
              <w:rPr>
                <w:rFonts w:cs="Arial"/>
                <w:sz w:val="22"/>
              </w:rPr>
              <w:t xml:space="preserve"> L’ordonnance d’incarcération indique le nom de l’intéressé, le lieu où il sera détenu, le nom du partenaire et l’infraction — énoncée dans l’arrêté introductif d’instance — pour laquelle il sera incarcéré.</w:t>
            </w:r>
          </w:p>
          <w:p w14:paraId="4751587E" w14:textId="77777777" w:rsidR="000900C6" w:rsidRPr="00C35B84" w:rsidRDefault="000900C6" w:rsidP="00D035EF">
            <w:pPr>
              <w:ind w:left="720" w:right="144"/>
              <w:jc w:val="both"/>
              <w:rPr>
                <w:rFonts w:cs="Arial"/>
                <w:b/>
                <w:bCs/>
                <w:sz w:val="22"/>
              </w:rPr>
            </w:pPr>
          </w:p>
          <w:p w14:paraId="16BCA454" w14:textId="77777777" w:rsidR="000900C6" w:rsidRPr="00C35B84" w:rsidRDefault="000900C6" w:rsidP="00D035EF">
            <w:pPr>
              <w:ind w:left="720" w:right="144"/>
              <w:jc w:val="both"/>
              <w:rPr>
                <w:rFonts w:cs="Arial"/>
                <w:b/>
                <w:bCs/>
                <w:sz w:val="22"/>
              </w:rPr>
            </w:pPr>
          </w:p>
          <w:p w14:paraId="5DF8FA17" w14:textId="77777777" w:rsidR="000900C6" w:rsidRPr="00C35B84" w:rsidRDefault="000900C6" w:rsidP="00D035EF">
            <w:pPr>
              <w:ind w:left="720" w:right="144"/>
              <w:jc w:val="both"/>
              <w:rPr>
                <w:rFonts w:cs="Arial"/>
                <w:b/>
                <w:bCs/>
                <w:sz w:val="22"/>
              </w:rPr>
            </w:pPr>
          </w:p>
          <w:p w14:paraId="79C67C4D" w14:textId="77777777" w:rsidR="000900C6" w:rsidRPr="00C35B84" w:rsidRDefault="000900C6" w:rsidP="00D035EF">
            <w:pPr>
              <w:ind w:left="720" w:right="144"/>
              <w:jc w:val="both"/>
              <w:rPr>
                <w:rFonts w:cs="Arial"/>
                <w:b/>
                <w:bCs/>
                <w:sz w:val="22"/>
              </w:rPr>
            </w:pPr>
          </w:p>
          <w:p w14:paraId="4E9B7D99" w14:textId="77777777" w:rsidR="000900C6" w:rsidRPr="00442105" w:rsidRDefault="00B37A58" w:rsidP="00D035EF">
            <w:pPr>
              <w:ind w:left="720" w:right="144"/>
              <w:jc w:val="both"/>
              <w:rPr>
                <w:rFonts w:cs="Arial"/>
                <w:b/>
                <w:bCs/>
                <w:sz w:val="22"/>
              </w:rPr>
            </w:pPr>
            <w:r w:rsidRPr="00442105">
              <w:rPr>
                <w:rFonts w:cs="Arial"/>
                <w:b/>
                <w:bCs/>
                <w:sz w:val="22"/>
              </w:rPr>
              <w:t xml:space="preserve">Libération </w:t>
            </w:r>
          </w:p>
          <w:p w14:paraId="3E2E3884" w14:textId="77777777" w:rsidR="000900C6" w:rsidRPr="00442105" w:rsidRDefault="000900C6" w:rsidP="00D035EF">
            <w:pPr>
              <w:ind w:left="720" w:right="144"/>
              <w:jc w:val="both"/>
              <w:rPr>
                <w:rFonts w:cs="Arial"/>
                <w:sz w:val="22"/>
              </w:rPr>
            </w:pPr>
          </w:p>
          <w:p w14:paraId="0E3AE2F1" w14:textId="77777777" w:rsidR="000900C6" w:rsidRPr="00C35B84" w:rsidRDefault="00B37A58" w:rsidP="00D035EF">
            <w:pPr>
              <w:ind w:left="720" w:right="144"/>
              <w:jc w:val="both"/>
              <w:rPr>
                <w:rFonts w:cs="Arial"/>
                <w:sz w:val="22"/>
              </w:rPr>
            </w:pPr>
            <w:r w:rsidRPr="00C35B84">
              <w:rPr>
                <w:rFonts w:cs="Arial"/>
                <w:b/>
                <w:bCs/>
                <w:sz w:val="22"/>
              </w:rPr>
              <w:t>(3)</w:t>
            </w:r>
            <w:r w:rsidRPr="00C35B84">
              <w:rPr>
                <w:rFonts w:cs="Arial"/>
                <w:sz w:val="22"/>
              </w:rPr>
              <w:t> S’il n’ordonne pas son incarcération, le juge doit libérer l’intéressé.</w:t>
            </w:r>
          </w:p>
          <w:p w14:paraId="0420F9DE" w14:textId="77777777" w:rsidR="000900C6" w:rsidRPr="00C35B84" w:rsidRDefault="000900C6" w:rsidP="00D035EF">
            <w:pPr>
              <w:ind w:left="720" w:right="144"/>
              <w:jc w:val="both"/>
              <w:rPr>
                <w:rFonts w:cs="Arial"/>
                <w:sz w:val="22"/>
              </w:rPr>
            </w:pPr>
          </w:p>
          <w:p w14:paraId="001E639D" w14:textId="77777777" w:rsidR="000900C6" w:rsidRPr="00C35B84" w:rsidRDefault="00B37A58" w:rsidP="00D035EF">
            <w:pPr>
              <w:ind w:left="720" w:right="144"/>
              <w:jc w:val="both"/>
              <w:rPr>
                <w:rFonts w:cs="Arial"/>
                <w:b/>
                <w:bCs/>
                <w:sz w:val="22"/>
              </w:rPr>
            </w:pPr>
            <w:r w:rsidRPr="00C35B84">
              <w:rPr>
                <w:rFonts w:cs="Arial"/>
                <w:b/>
                <w:bCs/>
                <w:sz w:val="22"/>
              </w:rPr>
              <w:t>Date critique</w:t>
            </w:r>
          </w:p>
          <w:p w14:paraId="28E026B9" w14:textId="77777777" w:rsidR="000900C6" w:rsidRPr="00C35B84" w:rsidRDefault="000900C6" w:rsidP="00D035EF">
            <w:pPr>
              <w:ind w:left="720" w:right="144"/>
              <w:jc w:val="both"/>
              <w:rPr>
                <w:rFonts w:cs="Arial"/>
                <w:sz w:val="22"/>
              </w:rPr>
            </w:pPr>
          </w:p>
          <w:p w14:paraId="3A3A52E3" w14:textId="77777777" w:rsidR="000900C6" w:rsidRPr="00C35B84" w:rsidRDefault="00B37A58" w:rsidP="00D035EF">
            <w:pPr>
              <w:ind w:left="720" w:right="144"/>
              <w:jc w:val="both"/>
              <w:rPr>
                <w:rFonts w:cs="Arial"/>
                <w:sz w:val="22"/>
              </w:rPr>
            </w:pPr>
            <w:r w:rsidRPr="00C35B84">
              <w:rPr>
                <w:rFonts w:cs="Arial"/>
                <w:b/>
                <w:bCs/>
                <w:sz w:val="22"/>
              </w:rPr>
              <w:t>(4)</w:t>
            </w:r>
            <w:r w:rsidRPr="00C35B84">
              <w:rPr>
                <w:rFonts w:cs="Arial"/>
                <w:sz w:val="22"/>
              </w:rPr>
              <w:t> La date à prendre en compte pour l’application du paragraphe 29(1) est la date de l’arrêté introductif d’instance.</w:t>
            </w:r>
          </w:p>
          <w:p w14:paraId="6A8AA1DC" w14:textId="77777777" w:rsidR="000900C6" w:rsidRPr="00C35B84" w:rsidRDefault="000900C6" w:rsidP="00D035EF">
            <w:pPr>
              <w:ind w:left="720" w:right="144"/>
              <w:jc w:val="both"/>
              <w:rPr>
                <w:rFonts w:cs="Arial"/>
                <w:sz w:val="22"/>
              </w:rPr>
            </w:pPr>
          </w:p>
          <w:p w14:paraId="63705521" w14:textId="77777777" w:rsidR="000900C6" w:rsidRPr="00C35B84" w:rsidRDefault="00B37A58" w:rsidP="00D035EF">
            <w:pPr>
              <w:ind w:left="720" w:right="144"/>
              <w:jc w:val="both"/>
              <w:rPr>
                <w:rFonts w:cs="Arial"/>
                <w:b/>
                <w:bCs/>
                <w:sz w:val="22"/>
              </w:rPr>
            </w:pPr>
            <w:r w:rsidRPr="00C35B84">
              <w:rPr>
                <w:rFonts w:cs="Arial"/>
                <w:b/>
                <w:bCs/>
                <w:sz w:val="22"/>
              </w:rPr>
              <w:t>Absence de la personne</w:t>
            </w:r>
          </w:p>
          <w:p w14:paraId="677EB584" w14:textId="77777777" w:rsidR="000900C6" w:rsidRPr="00C35B84" w:rsidRDefault="000900C6" w:rsidP="00D035EF">
            <w:pPr>
              <w:ind w:left="720" w:right="144"/>
              <w:jc w:val="both"/>
              <w:rPr>
                <w:rFonts w:cs="Arial"/>
                <w:b/>
                <w:bCs/>
                <w:sz w:val="22"/>
              </w:rPr>
            </w:pPr>
          </w:p>
          <w:p w14:paraId="030683B1" w14:textId="77777777" w:rsidR="000900C6" w:rsidRPr="00C35B84" w:rsidRDefault="000900C6" w:rsidP="00D035EF">
            <w:pPr>
              <w:ind w:left="720" w:right="144"/>
              <w:jc w:val="both"/>
              <w:rPr>
                <w:rFonts w:cs="Arial"/>
                <w:b/>
                <w:bCs/>
                <w:sz w:val="22"/>
              </w:rPr>
            </w:pPr>
          </w:p>
          <w:p w14:paraId="33FC9344" w14:textId="1CF13B2B" w:rsidR="000900C6" w:rsidRPr="00C35B84" w:rsidRDefault="00B37A58" w:rsidP="00441741">
            <w:pPr>
              <w:spacing w:after="120"/>
              <w:ind w:left="720" w:right="144"/>
              <w:jc w:val="both"/>
            </w:pPr>
            <w:r w:rsidRPr="00C35B84">
              <w:rPr>
                <w:rFonts w:cs="Arial"/>
                <w:b/>
                <w:bCs/>
              </w:rPr>
              <w:t>(5)</w:t>
            </w:r>
            <w:r w:rsidRPr="00C35B84">
              <w:rPr>
                <w:rFonts w:cs="Arial"/>
              </w:rPr>
              <w:t> Sous réserve de l’accord applicable, l’alinéa (1)a) s’applique aussi lorsqu’il y a eu procès et condamnation en l’absence de l’intéressé.</w:t>
            </w:r>
          </w:p>
        </w:tc>
      </w:tr>
    </w:tbl>
    <w:p w14:paraId="0A818D2E" w14:textId="2053CAED" w:rsidR="000900C6" w:rsidRDefault="00B37A58" w:rsidP="00441741">
      <w:pPr>
        <w:pStyle w:val="Paragraphe"/>
        <w:spacing w:line="280" w:lineRule="exact"/>
        <w:rPr>
          <w:lang w:val="en-CA"/>
        </w:rPr>
      </w:pPr>
      <w:r w:rsidRPr="000900C6">
        <w:rPr>
          <w:lang w:val="en-CA"/>
        </w:rPr>
        <w:t>This test varies depending on whether extradition is sought for the purposes of prosecution and trial (s. 29(1)(a)), or for the imposition or enforcement of a sentence (s.</w:t>
      </w:r>
      <w:r w:rsidR="00441741">
        <w:rPr>
          <w:lang w:val="en-CA"/>
        </w:rPr>
        <w:t> </w:t>
      </w:r>
      <w:r w:rsidRPr="000900C6">
        <w:rPr>
          <w:lang w:val="en-CA"/>
        </w:rPr>
        <w:t>29(1)(b) of the Act</w:t>
      </w:r>
      <w:r>
        <w:rPr>
          <w:lang w:val="en-CA"/>
        </w:rPr>
        <w:t xml:space="preserve">. </w:t>
      </w:r>
    </w:p>
    <w:p w14:paraId="00FC1747" w14:textId="597106B5" w:rsidR="005672DD" w:rsidRPr="006B2147" w:rsidRDefault="00B37A58" w:rsidP="00441741">
      <w:pPr>
        <w:pStyle w:val="Paragraphe"/>
        <w:spacing w:line="280" w:lineRule="exact"/>
        <w:rPr>
          <w:lang w:val="en-CA"/>
        </w:rPr>
      </w:pPr>
      <w:r w:rsidRPr="00361982">
        <w:rPr>
          <w:lang w:val="en-CA"/>
        </w:rPr>
        <w:t>In th</w:t>
      </w:r>
      <w:r>
        <w:rPr>
          <w:lang w:val="en-CA"/>
        </w:rPr>
        <w:t>e c</w:t>
      </w:r>
      <w:r w:rsidRPr="00361982">
        <w:rPr>
          <w:lang w:val="en-CA"/>
        </w:rPr>
        <w:t>ase</w:t>
      </w:r>
      <w:r>
        <w:rPr>
          <w:lang w:val="en-CA"/>
        </w:rPr>
        <w:t xml:space="preserve"> at bar</w:t>
      </w:r>
      <w:r w:rsidRPr="00361982">
        <w:rPr>
          <w:lang w:val="en-CA"/>
        </w:rPr>
        <w:t xml:space="preserve">, Mr. Brahimi was found guilty and convicted </w:t>
      </w:r>
      <w:r w:rsidRPr="00A5356F">
        <w:rPr>
          <w:i/>
          <w:iCs/>
          <w:lang w:val="en-CA"/>
        </w:rPr>
        <w:t>in absentia</w:t>
      </w:r>
      <w:r w:rsidRPr="00361982">
        <w:rPr>
          <w:lang w:val="en-CA"/>
        </w:rPr>
        <w:t>. In such a case, s. 29(5) of the Act provides that s. 29(1)(a) applies</w:t>
      </w:r>
      <w:r w:rsidR="00A5356F">
        <w:rPr>
          <w:lang w:val="en-CA"/>
        </w:rPr>
        <w:t>.</w:t>
      </w:r>
      <w:r w:rsidRPr="00361982">
        <w:rPr>
          <w:lang w:val="en-CA"/>
        </w:rPr>
        <w:t xml:space="preserve"> </w:t>
      </w:r>
      <w:r w:rsidR="00A5356F">
        <w:rPr>
          <w:lang w:val="en-CA"/>
        </w:rPr>
        <w:t>Th</w:t>
      </w:r>
      <w:r w:rsidR="000900C6">
        <w:rPr>
          <w:lang w:val="en-CA"/>
        </w:rPr>
        <w:t xml:space="preserve">is provision </w:t>
      </w:r>
      <w:r w:rsidR="00A5356F">
        <w:rPr>
          <w:lang w:val="en-CA"/>
        </w:rPr>
        <w:t xml:space="preserve">contemplates </w:t>
      </w:r>
      <w:r w:rsidR="002548C7">
        <w:rPr>
          <w:lang w:val="en-CA"/>
        </w:rPr>
        <w:t>a</w:t>
      </w:r>
      <w:r w:rsidR="000900C6">
        <w:rPr>
          <w:lang w:val="en-CA"/>
        </w:rPr>
        <w:t xml:space="preserve"> </w:t>
      </w:r>
      <w:r w:rsidR="00CD7AE6">
        <w:rPr>
          <w:lang w:val="en-CA"/>
        </w:rPr>
        <w:t>two-pronged</w:t>
      </w:r>
      <w:r w:rsidR="002548C7">
        <w:rPr>
          <w:lang w:val="en-CA"/>
        </w:rPr>
        <w:t xml:space="preserve"> test</w:t>
      </w:r>
      <w:r w:rsidR="00DE7D03" w:rsidRPr="006B2147">
        <w:rPr>
          <w:lang w:val="en-CA"/>
        </w:rPr>
        <w:t xml:space="preserve">. </w:t>
      </w:r>
      <w:r w:rsidR="00CD7AE6">
        <w:rPr>
          <w:lang w:val="en-CA"/>
        </w:rPr>
        <w:t xml:space="preserve">The first </w:t>
      </w:r>
      <w:r w:rsidR="002548C7">
        <w:rPr>
          <w:lang w:val="en-CA"/>
        </w:rPr>
        <w:t xml:space="preserve">prong </w:t>
      </w:r>
      <w:r w:rsidR="00CD7AE6">
        <w:rPr>
          <w:lang w:val="en-CA"/>
        </w:rPr>
        <w:t xml:space="preserve">consists in determining whether there is </w:t>
      </w:r>
      <w:r w:rsidR="002548C7">
        <w:rPr>
          <w:lang w:val="en-CA"/>
        </w:rPr>
        <w:t>evidence</w:t>
      </w:r>
      <w:r w:rsidR="00A5356F">
        <w:rPr>
          <w:lang w:val="en-CA"/>
        </w:rPr>
        <w:t>,</w:t>
      </w:r>
      <w:r w:rsidR="002548C7">
        <w:rPr>
          <w:lang w:val="en-CA"/>
        </w:rPr>
        <w:t xml:space="preserve"> </w:t>
      </w:r>
      <w:r w:rsidR="00CD7AE6">
        <w:rPr>
          <w:lang w:val="en-CA"/>
        </w:rPr>
        <w:t xml:space="preserve">admissible </w:t>
      </w:r>
      <w:r w:rsidR="002548C7">
        <w:rPr>
          <w:lang w:val="en-CA"/>
        </w:rPr>
        <w:t>under the Act, of conduct that would</w:t>
      </w:r>
      <w:r w:rsidR="00CD7AE6">
        <w:rPr>
          <w:lang w:val="en-CA"/>
        </w:rPr>
        <w:t xml:space="preserve"> justify committal for trial in Canada if </w:t>
      </w:r>
      <w:r w:rsidR="002548C7">
        <w:rPr>
          <w:lang w:val="en-CA"/>
        </w:rPr>
        <w:t>it</w:t>
      </w:r>
      <w:r w:rsidR="00CD7AE6">
        <w:rPr>
          <w:lang w:val="en-CA"/>
        </w:rPr>
        <w:t xml:space="preserve"> had occurred in Canada</w:t>
      </w:r>
      <w:r w:rsidR="00DE7D03" w:rsidRPr="006B2147">
        <w:rPr>
          <w:lang w:val="en-CA"/>
        </w:rPr>
        <w:t xml:space="preserve">. </w:t>
      </w:r>
      <w:r w:rsidR="00CD7AE6">
        <w:rPr>
          <w:lang w:val="en-CA"/>
        </w:rPr>
        <w:t>As for the second</w:t>
      </w:r>
      <w:r w:rsidR="00DE7D03" w:rsidRPr="006B2147">
        <w:rPr>
          <w:lang w:val="en-CA"/>
        </w:rPr>
        <w:t xml:space="preserve">, </w:t>
      </w:r>
      <w:r w:rsidR="00CD7AE6">
        <w:rPr>
          <w:lang w:val="en-CA"/>
        </w:rPr>
        <w:t xml:space="preserve">it requires </w:t>
      </w:r>
      <w:r w:rsidR="00A020BE">
        <w:rPr>
          <w:lang w:val="en-CA"/>
        </w:rPr>
        <w:t xml:space="preserve">ensuring </w:t>
      </w:r>
      <w:r w:rsidR="00CD7AE6">
        <w:rPr>
          <w:lang w:val="en-CA"/>
        </w:rPr>
        <w:t xml:space="preserve">that the person </w:t>
      </w:r>
      <w:r w:rsidR="000B36BD">
        <w:rPr>
          <w:lang w:val="en-CA"/>
        </w:rPr>
        <w:t xml:space="preserve">appearing before the court </w:t>
      </w:r>
      <w:r w:rsidR="00CD7AE6">
        <w:rPr>
          <w:lang w:val="en-CA"/>
        </w:rPr>
        <w:t>is indeed the person named in the record</w:t>
      </w:r>
      <w:r w:rsidR="00A020BE">
        <w:rPr>
          <w:lang w:val="en-CA"/>
        </w:rPr>
        <w:t xml:space="preserve"> of the case</w:t>
      </w:r>
      <w:r w:rsidR="00CD7AE6">
        <w:rPr>
          <w:lang w:val="en-CA"/>
        </w:rPr>
        <w:t xml:space="preserve"> and sought by the extradition partner</w:t>
      </w:r>
      <w:r w:rsidR="00DE7D03" w:rsidRPr="006B2147">
        <w:rPr>
          <w:lang w:val="en-CA"/>
        </w:rPr>
        <w:t>.</w:t>
      </w:r>
    </w:p>
    <w:p w14:paraId="6C9BF13D" w14:textId="7150ACEC" w:rsidR="004A6A8E" w:rsidRPr="006B2147" w:rsidRDefault="00B37A58" w:rsidP="00441741">
      <w:pPr>
        <w:pStyle w:val="Paragraphe"/>
        <w:spacing w:line="280" w:lineRule="exact"/>
        <w:rPr>
          <w:lang w:val="en-CA"/>
        </w:rPr>
      </w:pPr>
      <w:r>
        <w:rPr>
          <w:lang w:val="en-CA"/>
        </w:rPr>
        <w:t xml:space="preserve">The second prong </w:t>
      </w:r>
      <w:r w:rsidR="004D4F86">
        <w:rPr>
          <w:lang w:val="en-CA"/>
        </w:rPr>
        <w:t>of</w:t>
      </w:r>
      <w:r>
        <w:rPr>
          <w:lang w:val="en-CA"/>
        </w:rPr>
        <w:t xml:space="preserve"> s. </w:t>
      </w:r>
      <w:r w:rsidR="005672DD" w:rsidRPr="006B2147">
        <w:rPr>
          <w:lang w:val="en-CA"/>
        </w:rPr>
        <w:t>29(1)</w:t>
      </w:r>
      <w:r>
        <w:rPr>
          <w:lang w:val="en-CA"/>
        </w:rPr>
        <w:t>(</w:t>
      </w:r>
      <w:r w:rsidR="005672DD" w:rsidRPr="006B2147">
        <w:rPr>
          <w:lang w:val="en-CA"/>
        </w:rPr>
        <w:t>a)</w:t>
      </w:r>
      <w:r w:rsidR="00DE7D03" w:rsidRPr="006B2147">
        <w:rPr>
          <w:lang w:val="en-CA"/>
        </w:rPr>
        <w:t xml:space="preserve"> </w:t>
      </w:r>
      <w:r>
        <w:rPr>
          <w:lang w:val="en-CA"/>
        </w:rPr>
        <w:t>of the Act</w:t>
      </w:r>
      <w:r w:rsidR="00DE7D03" w:rsidRPr="006B2147">
        <w:rPr>
          <w:lang w:val="en-CA"/>
        </w:rPr>
        <w:t xml:space="preserve">, </w:t>
      </w:r>
      <w:bookmarkStart w:id="21" w:name="_Ref210296383"/>
      <w:r>
        <w:rPr>
          <w:lang w:val="en-CA"/>
        </w:rPr>
        <w:t>which must be established on a balance of probabilities,</w:t>
      </w:r>
      <w:r>
        <w:rPr>
          <w:rStyle w:val="Appelnotedebasdep"/>
          <w:lang w:val="en-CA"/>
        </w:rPr>
        <w:footnoteReference w:id="33"/>
      </w:r>
      <w:bookmarkEnd w:id="21"/>
      <w:r>
        <w:rPr>
          <w:lang w:val="en-CA"/>
        </w:rPr>
        <w:t xml:space="preserve"> is not </w:t>
      </w:r>
      <w:r w:rsidR="004D4F86">
        <w:rPr>
          <w:lang w:val="en-CA"/>
        </w:rPr>
        <w:t>in</w:t>
      </w:r>
      <w:r>
        <w:rPr>
          <w:lang w:val="en-CA"/>
        </w:rPr>
        <w:t xml:space="preserve"> issue </w:t>
      </w:r>
      <w:r w:rsidR="004D4F86">
        <w:rPr>
          <w:lang w:val="en-CA"/>
        </w:rPr>
        <w:t>here</w:t>
      </w:r>
      <w:r>
        <w:rPr>
          <w:lang w:val="en-CA"/>
        </w:rPr>
        <w:t>,</w:t>
      </w:r>
      <w:r w:rsidR="00DE7D03" w:rsidRPr="006B2147">
        <w:rPr>
          <w:lang w:val="en-CA"/>
        </w:rPr>
        <w:t xml:space="preserve"> </w:t>
      </w:r>
      <w:r>
        <w:rPr>
          <w:lang w:val="en-CA"/>
        </w:rPr>
        <w:t>since</w:t>
      </w:r>
      <w:r w:rsidR="00DE7D03" w:rsidRPr="006B2147">
        <w:rPr>
          <w:lang w:val="en-CA"/>
        </w:rPr>
        <w:t xml:space="preserve"> </w:t>
      </w:r>
      <w:r w:rsidR="005672DD" w:rsidRPr="006B2147">
        <w:rPr>
          <w:lang w:val="en-CA"/>
        </w:rPr>
        <w:t>M</w:t>
      </w:r>
      <w:r>
        <w:rPr>
          <w:lang w:val="en-CA"/>
        </w:rPr>
        <w:t>r</w:t>
      </w:r>
      <w:r w:rsidR="005672DD" w:rsidRPr="006B2147">
        <w:rPr>
          <w:lang w:val="en-CA"/>
        </w:rPr>
        <w:t xml:space="preserve">. Brahimi </w:t>
      </w:r>
      <w:r>
        <w:rPr>
          <w:lang w:val="en-CA"/>
        </w:rPr>
        <w:t>is the person named in the record of the case and sought by Albania</w:t>
      </w:r>
      <w:r w:rsidR="005672DD" w:rsidRPr="006B2147">
        <w:rPr>
          <w:lang w:val="en-CA"/>
        </w:rPr>
        <w:t>.</w:t>
      </w:r>
    </w:p>
    <w:p w14:paraId="7DD62E3D" w14:textId="3F93D3C4" w:rsidR="000F0576" w:rsidRPr="006B2147" w:rsidRDefault="00B37A58" w:rsidP="00441741">
      <w:pPr>
        <w:pStyle w:val="Paragraphe"/>
        <w:spacing w:line="280" w:lineRule="exact"/>
        <w:rPr>
          <w:lang w:val="en-CA"/>
        </w:rPr>
      </w:pPr>
      <w:r>
        <w:rPr>
          <w:lang w:val="en-CA"/>
        </w:rPr>
        <w:t xml:space="preserve">It is </w:t>
      </w:r>
      <w:r w:rsidR="002548C7">
        <w:rPr>
          <w:lang w:val="en-CA"/>
        </w:rPr>
        <w:t xml:space="preserve">therefore </w:t>
      </w:r>
      <w:r>
        <w:rPr>
          <w:lang w:val="en-CA"/>
        </w:rPr>
        <w:t xml:space="preserve">the first prong of s. </w:t>
      </w:r>
      <w:r w:rsidR="00475795" w:rsidRPr="006B2147">
        <w:rPr>
          <w:lang w:val="en-CA"/>
        </w:rPr>
        <w:t>29(1)</w:t>
      </w:r>
      <w:r>
        <w:rPr>
          <w:lang w:val="en-CA"/>
        </w:rPr>
        <w:t>(</w:t>
      </w:r>
      <w:r w:rsidR="00475795" w:rsidRPr="006B2147">
        <w:rPr>
          <w:lang w:val="en-CA"/>
        </w:rPr>
        <w:t>a)</w:t>
      </w:r>
      <w:r w:rsidR="00CE33A8" w:rsidRPr="006B2147">
        <w:rPr>
          <w:lang w:val="en-CA"/>
        </w:rPr>
        <w:t xml:space="preserve"> </w:t>
      </w:r>
      <w:r>
        <w:rPr>
          <w:lang w:val="en-CA"/>
        </w:rPr>
        <w:t>that is in issue here</w:t>
      </w:r>
      <w:r w:rsidRPr="006B2147">
        <w:rPr>
          <w:rStyle w:val="cf01"/>
          <w:lang w:val="en-CA"/>
        </w:rPr>
        <w:t xml:space="preserve">. </w:t>
      </w:r>
      <w:r>
        <w:rPr>
          <w:lang w:val="en-CA"/>
        </w:rPr>
        <w:t>Counsel for the appellant and the respondent acknowledged this, in fact, noting that because</w:t>
      </w:r>
      <w:r w:rsidRPr="006B2147">
        <w:rPr>
          <w:lang w:val="en-CA"/>
        </w:rPr>
        <w:t xml:space="preserve"> </w:t>
      </w:r>
      <w:r w:rsidRPr="006B2147">
        <w:rPr>
          <w:rStyle w:val="cf01"/>
          <w:rFonts w:ascii="Arial" w:hAnsi="Arial" w:cs="Arial"/>
          <w:sz w:val="24"/>
          <w:szCs w:val="24"/>
          <w:lang w:val="en-CA"/>
        </w:rPr>
        <w:t>M</w:t>
      </w:r>
      <w:r>
        <w:rPr>
          <w:rStyle w:val="cf01"/>
          <w:rFonts w:ascii="Arial" w:hAnsi="Arial" w:cs="Arial"/>
          <w:sz w:val="24"/>
          <w:szCs w:val="24"/>
          <w:lang w:val="en-CA"/>
        </w:rPr>
        <w:t>r</w:t>
      </w:r>
      <w:r w:rsidRPr="006B2147">
        <w:rPr>
          <w:rStyle w:val="cf01"/>
          <w:rFonts w:ascii="Arial" w:hAnsi="Arial" w:cs="Arial"/>
          <w:sz w:val="24"/>
          <w:szCs w:val="24"/>
          <w:lang w:val="en-CA"/>
        </w:rPr>
        <w:t xml:space="preserve">. Brahimi </w:t>
      </w:r>
      <w:r>
        <w:rPr>
          <w:rStyle w:val="cf01"/>
          <w:rFonts w:ascii="Arial" w:hAnsi="Arial" w:cs="Arial"/>
          <w:sz w:val="24"/>
          <w:szCs w:val="24"/>
          <w:lang w:val="en-CA"/>
        </w:rPr>
        <w:t xml:space="preserve">was tried </w:t>
      </w:r>
      <w:r w:rsidRPr="009A6779">
        <w:rPr>
          <w:rStyle w:val="cf01"/>
          <w:rFonts w:ascii="Arial" w:hAnsi="Arial" w:cs="Arial"/>
          <w:i/>
          <w:iCs/>
          <w:sz w:val="24"/>
          <w:szCs w:val="24"/>
          <w:lang w:val="en-CA"/>
        </w:rPr>
        <w:t>in absentia</w:t>
      </w:r>
      <w:r w:rsidRPr="006B2147">
        <w:rPr>
          <w:rStyle w:val="cf01"/>
          <w:rFonts w:ascii="Arial" w:hAnsi="Arial" w:cs="Arial"/>
          <w:sz w:val="24"/>
          <w:szCs w:val="24"/>
          <w:lang w:val="en-CA"/>
        </w:rPr>
        <w:t xml:space="preserve">, </w:t>
      </w:r>
      <w:bookmarkStart w:id="22" w:name="_Ref213402951"/>
      <w:r>
        <w:rPr>
          <w:rStyle w:val="cf01"/>
          <w:rFonts w:ascii="Arial" w:hAnsi="Arial" w:cs="Arial"/>
          <w:sz w:val="24"/>
          <w:szCs w:val="24"/>
          <w:lang w:val="en-CA"/>
        </w:rPr>
        <w:t>he could request a retrial</w:t>
      </w:r>
      <w:r w:rsidR="009A6779">
        <w:rPr>
          <w:rStyle w:val="cf01"/>
          <w:rFonts w:ascii="Arial" w:hAnsi="Arial" w:cs="Arial"/>
          <w:sz w:val="24"/>
          <w:szCs w:val="24"/>
          <w:lang w:val="en-CA"/>
        </w:rPr>
        <w:t xml:space="preserve"> if he is extradited.</w:t>
      </w:r>
      <w:r>
        <w:rPr>
          <w:rStyle w:val="Appelnotedebasdep"/>
          <w:rFonts w:cs="Arial"/>
          <w:szCs w:val="24"/>
          <w:lang w:val="en-CA"/>
        </w:rPr>
        <w:footnoteReference w:id="34"/>
      </w:r>
      <w:bookmarkEnd w:id="22"/>
      <w:r w:rsidRPr="006B2147">
        <w:rPr>
          <w:lang w:val="en-CA"/>
        </w:rPr>
        <w:t xml:space="preserve"> </w:t>
      </w:r>
    </w:p>
    <w:p w14:paraId="09CFE393" w14:textId="3793649A" w:rsidR="00182914" w:rsidRPr="006B2147" w:rsidRDefault="00B37A58" w:rsidP="00441741">
      <w:pPr>
        <w:pStyle w:val="Paragraphe"/>
        <w:spacing w:line="280" w:lineRule="exact"/>
        <w:rPr>
          <w:lang w:val="en-CA"/>
        </w:rPr>
      </w:pPr>
      <w:r>
        <w:rPr>
          <w:lang w:val="en-CA"/>
        </w:rPr>
        <w:t>Under the</w:t>
      </w:r>
      <w:r w:rsidR="00D96470">
        <w:rPr>
          <w:lang w:val="en-CA"/>
        </w:rPr>
        <w:t xml:space="preserve"> first prong of s.</w:t>
      </w:r>
      <w:r w:rsidR="000F0576" w:rsidRPr="006B2147">
        <w:rPr>
          <w:lang w:val="en-CA"/>
        </w:rPr>
        <w:t xml:space="preserve"> 29(1)</w:t>
      </w:r>
      <w:r w:rsidR="00D96470">
        <w:rPr>
          <w:lang w:val="en-CA"/>
        </w:rPr>
        <w:t>(</w:t>
      </w:r>
      <w:r w:rsidR="000F0576" w:rsidRPr="006B2147">
        <w:rPr>
          <w:lang w:val="en-CA"/>
        </w:rPr>
        <w:t>a)</w:t>
      </w:r>
      <w:r w:rsidR="00A24BC8" w:rsidRPr="006B2147">
        <w:rPr>
          <w:lang w:val="en-CA"/>
        </w:rPr>
        <w:t xml:space="preserve">, </w:t>
      </w:r>
      <w:r w:rsidR="00D96470">
        <w:rPr>
          <w:lang w:val="en-CA"/>
        </w:rPr>
        <w:t>as we have just seen</w:t>
      </w:r>
      <w:r w:rsidR="00A24BC8" w:rsidRPr="006B2147">
        <w:rPr>
          <w:lang w:val="en-CA"/>
        </w:rPr>
        <w:t>,</w:t>
      </w:r>
      <w:r w:rsidR="00745A9F" w:rsidRPr="006B2147">
        <w:rPr>
          <w:lang w:val="en-CA"/>
        </w:rPr>
        <w:t xml:space="preserve"> </w:t>
      </w:r>
      <w:r w:rsidR="00D96470">
        <w:rPr>
          <w:lang w:val="en-CA"/>
        </w:rPr>
        <w:t xml:space="preserve">the extradition judge must determine </w:t>
      </w:r>
      <w:r>
        <w:rPr>
          <w:lang w:val="en-CA"/>
        </w:rPr>
        <w:t xml:space="preserve">whether </w:t>
      </w:r>
      <w:r w:rsidR="00D96470">
        <w:rPr>
          <w:lang w:val="en-CA"/>
        </w:rPr>
        <w:t>the admissible evidence of the conduct</w:t>
      </w:r>
      <w:r>
        <w:rPr>
          <w:lang w:val="en-CA"/>
        </w:rPr>
        <w:t xml:space="preserve">, had it occurred in Canada, </w:t>
      </w:r>
      <w:r w:rsidR="00D96470">
        <w:rPr>
          <w:lang w:val="en-CA"/>
        </w:rPr>
        <w:t xml:space="preserve">would </w:t>
      </w:r>
      <w:r w:rsidR="00F0621F">
        <w:rPr>
          <w:lang w:val="en-CA"/>
        </w:rPr>
        <w:t>justify</w:t>
      </w:r>
      <w:r>
        <w:rPr>
          <w:lang w:val="en-CA"/>
        </w:rPr>
        <w:t xml:space="preserve"> </w:t>
      </w:r>
      <w:r w:rsidR="00D96470">
        <w:rPr>
          <w:lang w:val="en-CA"/>
        </w:rPr>
        <w:t>the committal of the person for trial in Canada</w:t>
      </w:r>
      <w:r w:rsidR="005672DD" w:rsidRPr="006B2147">
        <w:rPr>
          <w:lang w:val="en-CA"/>
        </w:rPr>
        <w:t>.</w:t>
      </w:r>
      <w:r w:rsidR="00537BE4" w:rsidRPr="006B2147">
        <w:rPr>
          <w:lang w:val="en-CA"/>
        </w:rPr>
        <w:t xml:space="preserve"> </w:t>
      </w:r>
      <w:bookmarkStart w:id="23" w:name="_Hlk210207115"/>
      <w:r w:rsidR="00D96470">
        <w:rPr>
          <w:lang w:val="en-CA"/>
        </w:rPr>
        <w:t>Although circumscribed</w:t>
      </w:r>
      <w:r w:rsidR="00B90CEF" w:rsidRPr="006B2147">
        <w:rPr>
          <w:lang w:val="en-CA"/>
        </w:rPr>
        <w:t xml:space="preserve">, </w:t>
      </w:r>
      <w:r w:rsidR="00D96470">
        <w:rPr>
          <w:lang w:val="en-CA"/>
        </w:rPr>
        <w:t>that role is nevertheless essential to the</w:t>
      </w:r>
      <w:r w:rsidR="00001DD9">
        <w:rPr>
          <w:lang w:val="en-CA"/>
        </w:rPr>
        <w:t xml:space="preserve"> protection of the</w:t>
      </w:r>
      <w:r w:rsidR="00D96470">
        <w:rPr>
          <w:lang w:val="en-CA"/>
        </w:rPr>
        <w:t xml:space="preserve"> </w:t>
      </w:r>
      <w:r w:rsidR="001D3DB0">
        <w:rPr>
          <w:lang w:val="en-CA"/>
        </w:rPr>
        <w:t>freedom</w:t>
      </w:r>
      <w:r w:rsidR="00D96470">
        <w:rPr>
          <w:lang w:val="en-CA"/>
        </w:rPr>
        <w:t xml:space="preserve"> of the person whose extradition is sought</w:t>
      </w:r>
      <w:r w:rsidR="00D74C1A" w:rsidRPr="006B2147">
        <w:rPr>
          <w:lang w:val="en-CA"/>
        </w:rPr>
        <w:t>,</w:t>
      </w:r>
      <w:r w:rsidR="00B90CEF" w:rsidRPr="006B2147">
        <w:rPr>
          <w:lang w:val="en-CA"/>
        </w:rPr>
        <w:t xml:space="preserve"> </w:t>
      </w:r>
      <w:r w:rsidR="00D96470">
        <w:rPr>
          <w:lang w:val="en-CA"/>
        </w:rPr>
        <w:t>because</w:t>
      </w:r>
      <w:r w:rsidR="00B90CEF" w:rsidRPr="006B2147">
        <w:rPr>
          <w:lang w:val="en-CA"/>
        </w:rPr>
        <w:t xml:space="preserve"> </w:t>
      </w:r>
      <w:r w:rsidR="00D96470" w:rsidRPr="00D96470">
        <w:rPr>
          <w:lang w:val="en-CA"/>
        </w:rPr>
        <w:t xml:space="preserve">a person is not to be extradited without </w:t>
      </w:r>
      <w:r w:rsidR="00001DD9">
        <w:rPr>
          <w:lang w:val="en-CA"/>
        </w:rPr>
        <w:t xml:space="preserve">the benefit of </w:t>
      </w:r>
      <w:r w:rsidR="00F561B4">
        <w:rPr>
          <w:lang w:val="en-CA"/>
        </w:rPr>
        <w:t xml:space="preserve">a </w:t>
      </w:r>
      <w:r w:rsidR="00D96470" w:rsidRPr="00D96470">
        <w:rPr>
          <w:lang w:val="en-CA"/>
        </w:rPr>
        <w:t>fair process</w:t>
      </w:r>
      <w:r w:rsidR="00BC4824" w:rsidRPr="006B2147">
        <w:rPr>
          <w:szCs w:val="24"/>
          <w:lang w:val="en-CA"/>
        </w:rPr>
        <w:t xml:space="preserve">, </w:t>
      </w:r>
      <w:r>
        <w:rPr>
          <w:szCs w:val="24"/>
          <w:lang w:val="en-CA"/>
        </w:rPr>
        <w:t>merely on</w:t>
      </w:r>
      <w:r w:rsidR="00BC4824" w:rsidRPr="006B2147">
        <w:rPr>
          <w:szCs w:val="24"/>
          <w:lang w:val="en-CA"/>
        </w:rPr>
        <w:t xml:space="preserve"> demand</w:t>
      </w:r>
      <w:bookmarkStart w:id="24" w:name="_Ref210048765"/>
      <w:r w:rsidR="001D3DB0">
        <w:rPr>
          <w:szCs w:val="24"/>
          <w:lang w:val="en-CA"/>
        </w:rPr>
        <w:t xml:space="preserve"> </w:t>
      </w:r>
      <w:r w:rsidR="00D96470">
        <w:rPr>
          <w:szCs w:val="24"/>
          <w:lang w:val="en-CA"/>
        </w:rPr>
        <w:t>or surmise.</w:t>
      </w:r>
      <w:r>
        <w:rPr>
          <w:rStyle w:val="Appelnotedebasdep"/>
          <w:szCs w:val="24"/>
          <w:lang w:val="en-CA"/>
        </w:rPr>
        <w:footnoteReference w:id="35"/>
      </w:r>
      <w:bookmarkStart w:id="27" w:name="_Hlk205909622"/>
      <w:bookmarkEnd w:id="24"/>
    </w:p>
    <w:bookmarkEnd w:id="23"/>
    <w:p w14:paraId="0832201C" w14:textId="658B7FD5" w:rsidR="00935CFB" w:rsidRPr="006B2147" w:rsidRDefault="00B37A58" w:rsidP="00441741">
      <w:pPr>
        <w:pStyle w:val="Paragraphe"/>
        <w:spacing w:line="280" w:lineRule="exact"/>
        <w:rPr>
          <w:lang w:val="en-CA"/>
        </w:rPr>
      </w:pPr>
      <w:r>
        <w:rPr>
          <w:lang w:val="en-CA"/>
        </w:rPr>
        <w:t>In</w:t>
      </w:r>
      <w:r w:rsidR="00A90775" w:rsidRPr="006B2147">
        <w:rPr>
          <w:lang w:val="en-CA"/>
        </w:rPr>
        <w:t xml:space="preserve"> </w:t>
      </w:r>
      <w:r>
        <w:rPr>
          <w:i/>
          <w:iCs/>
          <w:lang w:val="en-CA"/>
        </w:rPr>
        <w:t>United States of America</w:t>
      </w:r>
      <w:r w:rsidR="00A90775" w:rsidRPr="006B2147">
        <w:rPr>
          <w:i/>
          <w:iCs/>
          <w:lang w:val="en-CA"/>
        </w:rPr>
        <w:t xml:space="preserve"> </w:t>
      </w:r>
      <w:r>
        <w:rPr>
          <w:i/>
          <w:iCs/>
          <w:lang w:val="en-CA"/>
        </w:rPr>
        <w:t>v</w:t>
      </w:r>
      <w:r w:rsidR="00A90775" w:rsidRPr="006B2147">
        <w:rPr>
          <w:i/>
          <w:iCs/>
          <w:lang w:val="en-CA"/>
        </w:rPr>
        <w:t>. Ferras</w:t>
      </w:r>
      <w:r w:rsidRPr="001D3DB0">
        <w:rPr>
          <w:lang w:val="en-CA"/>
        </w:rPr>
        <w:t>,</w:t>
      </w:r>
      <w:r>
        <w:rPr>
          <w:rStyle w:val="Appelnotedebasdep"/>
          <w:lang w:val="en-CA"/>
        </w:rPr>
        <w:footnoteReference w:id="36"/>
      </w:r>
      <w:r>
        <w:rPr>
          <w:lang w:val="en-CA"/>
        </w:rPr>
        <w:t xml:space="preserve"> </w:t>
      </w:r>
      <w:r w:rsidR="00A90775" w:rsidRPr="006B2147">
        <w:rPr>
          <w:lang w:val="en-CA"/>
        </w:rPr>
        <w:t>McLachlin</w:t>
      </w:r>
      <w:r w:rsidR="003016BD">
        <w:rPr>
          <w:lang w:val="en-CA"/>
        </w:rPr>
        <w:t xml:space="preserve"> </w:t>
      </w:r>
      <w:r>
        <w:rPr>
          <w:lang w:val="en-CA"/>
        </w:rPr>
        <w:t>C.J.</w:t>
      </w:r>
      <w:r w:rsidR="00A90775" w:rsidRPr="006B2147">
        <w:rPr>
          <w:lang w:val="en-CA"/>
        </w:rPr>
        <w:t xml:space="preserve"> </w:t>
      </w:r>
      <w:r w:rsidR="003016BD">
        <w:rPr>
          <w:lang w:val="en-CA"/>
        </w:rPr>
        <w:t>discuss</w:t>
      </w:r>
      <w:r>
        <w:rPr>
          <w:lang w:val="en-CA"/>
        </w:rPr>
        <w:t>ed at</w:t>
      </w:r>
      <w:r w:rsidR="00FF08C0">
        <w:rPr>
          <w:lang w:val="en-CA"/>
        </w:rPr>
        <w:t xml:space="preserve"> </w:t>
      </w:r>
      <w:r>
        <w:rPr>
          <w:lang w:val="en-CA"/>
        </w:rPr>
        <w:t xml:space="preserve">length the extradition judge’s role during </w:t>
      </w:r>
      <w:r w:rsidR="00FF08C0">
        <w:rPr>
          <w:lang w:val="en-CA"/>
        </w:rPr>
        <w:t>an</w:t>
      </w:r>
      <w:r>
        <w:rPr>
          <w:lang w:val="en-CA"/>
        </w:rPr>
        <w:t xml:space="preserve"> extradition hearin</w:t>
      </w:r>
      <w:r w:rsidR="00FF08C0">
        <w:rPr>
          <w:lang w:val="en-CA"/>
        </w:rPr>
        <w:t>g</w:t>
      </w:r>
      <w:r w:rsidR="00A90775" w:rsidRPr="006B2147">
        <w:rPr>
          <w:lang w:val="en-CA"/>
        </w:rPr>
        <w:t xml:space="preserve">. </w:t>
      </w:r>
      <w:r w:rsidR="00FF08C0">
        <w:rPr>
          <w:lang w:val="en-CA"/>
        </w:rPr>
        <w:t>In paragraph</w:t>
      </w:r>
      <w:r w:rsidR="00A90775" w:rsidRPr="006B2147">
        <w:rPr>
          <w:lang w:val="en-CA"/>
        </w:rPr>
        <w:t xml:space="preserve"> 21 </w:t>
      </w:r>
      <w:r w:rsidR="00FF08C0">
        <w:rPr>
          <w:lang w:val="en-CA"/>
        </w:rPr>
        <w:t>of her reasons</w:t>
      </w:r>
      <w:r w:rsidR="00A90775" w:rsidRPr="006B2147">
        <w:rPr>
          <w:lang w:val="en-CA"/>
        </w:rPr>
        <w:t xml:space="preserve">, </w:t>
      </w:r>
      <w:r w:rsidR="00FF08C0">
        <w:rPr>
          <w:lang w:val="en-CA"/>
        </w:rPr>
        <w:t>she noted that extradition proceedings serve two purposes</w:t>
      </w:r>
      <w:r w:rsidR="00CE33A8" w:rsidRPr="006B2147">
        <w:rPr>
          <w:lang w:val="en-CA"/>
        </w:rPr>
        <w:t xml:space="preserve">. </w:t>
      </w:r>
      <w:r w:rsidR="00FF08C0">
        <w:rPr>
          <w:lang w:val="en-CA"/>
        </w:rPr>
        <w:t>The first is to</w:t>
      </w:r>
      <w:r w:rsidR="00A90775" w:rsidRPr="006B2147">
        <w:rPr>
          <w:lang w:val="en-CA"/>
        </w:rPr>
        <w:t xml:space="preserve"> </w:t>
      </w:r>
      <w:r w:rsidR="00FF08C0" w:rsidRPr="00FF08C0">
        <w:rPr>
          <w:lang w:val="en-CA"/>
        </w:rPr>
        <w:t xml:space="preserve">foster efficient extradition where </w:t>
      </w:r>
      <w:r w:rsidR="00FF08C0">
        <w:rPr>
          <w:lang w:val="en-CA"/>
        </w:rPr>
        <w:t>the required</w:t>
      </w:r>
      <w:r w:rsidR="00FF08C0" w:rsidRPr="00FF08C0">
        <w:rPr>
          <w:lang w:val="en-CA"/>
        </w:rPr>
        <w:t xml:space="preserve"> case is made out, </w:t>
      </w:r>
      <w:r w:rsidR="00FF08C0">
        <w:rPr>
          <w:lang w:val="en-CA"/>
        </w:rPr>
        <w:t>which</w:t>
      </w:r>
      <w:r w:rsidR="00FF08C0" w:rsidRPr="00FF08C0">
        <w:rPr>
          <w:lang w:val="en-CA"/>
        </w:rPr>
        <w:t xml:space="preserve"> requires a flexible, non-technical approach</w:t>
      </w:r>
      <w:r w:rsidR="00CE33A8" w:rsidRPr="006B2147">
        <w:rPr>
          <w:lang w:val="en-CA"/>
        </w:rPr>
        <w:t xml:space="preserve">. </w:t>
      </w:r>
      <w:r w:rsidR="00FF08C0">
        <w:rPr>
          <w:lang w:val="en-CA"/>
        </w:rPr>
        <w:t>The second purpose is to</w:t>
      </w:r>
      <w:r w:rsidR="00CE33A8" w:rsidRPr="006B2147">
        <w:rPr>
          <w:lang w:val="en-CA"/>
        </w:rPr>
        <w:t xml:space="preserve"> </w:t>
      </w:r>
      <w:r w:rsidR="00FF08C0" w:rsidRPr="00FF08C0">
        <w:rPr>
          <w:lang w:val="en-CA"/>
        </w:rPr>
        <w:t>protect an individual in Canada from deportation</w:t>
      </w:r>
      <w:r w:rsidR="00FF08C0">
        <w:rPr>
          <w:lang w:val="en-CA"/>
        </w:rPr>
        <w:t>, unless the requesting state</w:t>
      </w:r>
      <w:r w:rsidR="00FF08C0" w:rsidRPr="00FF08C0">
        <w:rPr>
          <w:lang w:val="en-CA"/>
        </w:rPr>
        <w:t xml:space="preserve"> </w:t>
      </w:r>
      <w:r w:rsidR="00FF08C0">
        <w:rPr>
          <w:lang w:val="en-CA"/>
        </w:rPr>
        <w:t>has established</w:t>
      </w:r>
      <w:r w:rsidR="00FF08C0" w:rsidRPr="00FF08C0">
        <w:rPr>
          <w:lang w:val="en-CA"/>
        </w:rPr>
        <w:t xml:space="preserve"> at least a </w:t>
      </w:r>
      <w:r w:rsidR="00FF08C0" w:rsidRPr="00FF08C0">
        <w:rPr>
          <w:i/>
          <w:iCs/>
          <w:lang w:val="en-CA"/>
        </w:rPr>
        <w:t>prima facie</w:t>
      </w:r>
      <w:r w:rsidR="00FF08C0" w:rsidRPr="00FF08C0">
        <w:rPr>
          <w:lang w:val="en-CA"/>
        </w:rPr>
        <w:t xml:space="preserve"> case that </w:t>
      </w:r>
      <w:r w:rsidR="00735447">
        <w:rPr>
          <w:lang w:val="en-CA"/>
        </w:rPr>
        <w:t>the person whose extradition is sought</w:t>
      </w:r>
      <w:r w:rsidR="00FF08C0" w:rsidRPr="00FF08C0">
        <w:rPr>
          <w:lang w:val="en-CA"/>
        </w:rPr>
        <w:t xml:space="preserve"> committed the offence alleged</w:t>
      </w:r>
      <w:r w:rsidR="00A90775" w:rsidRPr="006B2147">
        <w:rPr>
          <w:lang w:val="en-CA"/>
        </w:rPr>
        <w:t>.</w:t>
      </w:r>
      <w:bookmarkEnd w:id="27"/>
      <w:r w:rsidR="00A90775" w:rsidRPr="006B2147">
        <w:rPr>
          <w:lang w:val="en-CA"/>
        </w:rPr>
        <w:t xml:space="preserve"> </w:t>
      </w:r>
    </w:p>
    <w:p w14:paraId="2B51F044" w14:textId="160BCFA2" w:rsidR="00182914" w:rsidRPr="006B2147" w:rsidRDefault="00B37A58" w:rsidP="00441741">
      <w:pPr>
        <w:pStyle w:val="Paragraphe"/>
        <w:spacing w:line="280" w:lineRule="exact"/>
        <w:rPr>
          <w:lang w:val="en-CA"/>
        </w:rPr>
      </w:pPr>
      <w:r>
        <w:rPr>
          <w:lang w:val="en-CA"/>
        </w:rPr>
        <w:t xml:space="preserve">Acting on behalf of the requesting state, the Attorney General of Canada must therefore demonstrate the existence of </w:t>
      </w:r>
      <w:r w:rsidRPr="00735447">
        <w:rPr>
          <w:lang w:val="en-CA"/>
        </w:rPr>
        <w:t xml:space="preserve">evidence upon which a reasonable jury, properly instructed, could </w:t>
      </w:r>
      <w:r w:rsidR="008E3089">
        <w:rPr>
          <w:lang w:val="en-CA"/>
        </w:rPr>
        <w:t>find the person sought guilty</w:t>
      </w:r>
      <w:r w:rsidR="00C350A8">
        <w:rPr>
          <w:lang w:val="en-CA"/>
        </w:rPr>
        <w:t xml:space="preserve"> beyond a reasonable doubt</w:t>
      </w:r>
      <w:r w:rsidRPr="006B2147">
        <w:rPr>
          <w:lang w:val="en-CA"/>
        </w:rPr>
        <w:t>.</w:t>
      </w:r>
    </w:p>
    <w:p w14:paraId="3D2A9F07" w14:textId="560F2221" w:rsidR="00182914" w:rsidRPr="006B2147" w:rsidRDefault="00B37A58" w:rsidP="00441741">
      <w:pPr>
        <w:pStyle w:val="Paragraphe"/>
        <w:spacing w:line="280" w:lineRule="exact"/>
        <w:rPr>
          <w:lang w:val="en-CA"/>
        </w:rPr>
      </w:pPr>
      <w:r>
        <w:rPr>
          <w:lang w:val="en-CA"/>
        </w:rPr>
        <w:t xml:space="preserve">Although the ROC’s certification </w:t>
      </w:r>
      <w:r w:rsidR="00001DD9">
        <w:rPr>
          <w:lang w:val="en-CA"/>
        </w:rPr>
        <w:t>pursuant to</w:t>
      </w:r>
      <w:r>
        <w:rPr>
          <w:lang w:val="en-CA"/>
        </w:rPr>
        <w:t xml:space="preserve"> s.</w:t>
      </w:r>
      <w:r w:rsidRPr="006B2147">
        <w:rPr>
          <w:lang w:val="en-CA"/>
        </w:rPr>
        <w:t xml:space="preserve"> 33(3)</w:t>
      </w:r>
      <w:r>
        <w:rPr>
          <w:lang w:val="en-CA"/>
        </w:rPr>
        <w:t>(</w:t>
      </w:r>
      <w:r w:rsidRPr="006B2147">
        <w:rPr>
          <w:lang w:val="en-CA"/>
        </w:rPr>
        <w:t xml:space="preserve">a) </w:t>
      </w:r>
      <w:r>
        <w:rPr>
          <w:lang w:val="en-CA"/>
        </w:rPr>
        <w:t>of the Act</w:t>
      </w:r>
      <w:r w:rsidRPr="006B2147">
        <w:rPr>
          <w:lang w:val="en-CA"/>
        </w:rPr>
        <w:t xml:space="preserve"> </w:t>
      </w:r>
      <w:r>
        <w:rPr>
          <w:lang w:val="en-CA"/>
        </w:rPr>
        <w:t>creates a presumption of reliability</w:t>
      </w:r>
      <w:r w:rsidRPr="006B2147">
        <w:rPr>
          <w:lang w:val="en-CA"/>
        </w:rPr>
        <w:t xml:space="preserve">, </w:t>
      </w:r>
      <w:r>
        <w:rPr>
          <w:lang w:val="en-CA"/>
        </w:rPr>
        <w:t>the person sought</w:t>
      </w:r>
      <w:r w:rsidR="00957DE6">
        <w:rPr>
          <w:lang w:val="en-CA"/>
        </w:rPr>
        <w:t xml:space="preserve"> can nevertheless contest the sufficiency or reliability of the evidence</w:t>
      </w:r>
      <w:r w:rsidRPr="006B2147">
        <w:rPr>
          <w:lang w:val="en-CA"/>
        </w:rPr>
        <w:t xml:space="preserve">. </w:t>
      </w:r>
      <w:r w:rsidR="00DB2870">
        <w:rPr>
          <w:lang w:val="en-CA"/>
        </w:rPr>
        <w:t>The</w:t>
      </w:r>
      <w:r w:rsidR="008E3089">
        <w:rPr>
          <w:lang w:val="en-CA"/>
        </w:rPr>
        <w:t>y</w:t>
      </w:r>
      <w:r w:rsidR="00DB2870">
        <w:rPr>
          <w:lang w:val="en-CA"/>
        </w:rPr>
        <w:t xml:space="preserve"> </w:t>
      </w:r>
      <w:r w:rsidR="00957DE6">
        <w:rPr>
          <w:lang w:val="en-CA"/>
        </w:rPr>
        <w:t>can rebut the presumption that the evidence contained in the ROC is reliable by demonstrating that it contains an obvious defect</w:t>
      </w:r>
      <w:r w:rsidRPr="006B2147">
        <w:rPr>
          <w:lang w:val="en-CA"/>
        </w:rPr>
        <w:t xml:space="preserve"> (</w:t>
      </w:r>
      <w:r w:rsidR="00957DE6">
        <w:rPr>
          <w:lang w:val="en-CA"/>
        </w:rPr>
        <w:t>an</w:t>
      </w:r>
      <w:r w:rsidRPr="006B2147">
        <w:rPr>
          <w:lang w:val="en-CA"/>
        </w:rPr>
        <w:t xml:space="preserve"> omission </w:t>
      </w:r>
      <w:r w:rsidR="00957DE6">
        <w:rPr>
          <w:lang w:val="en-CA"/>
        </w:rPr>
        <w:t>or an</w:t>
      </w:r>
      <w:r w:rsidRPr="006B2147">
        <w:rPr>
          <w:lang w:val="en-CA"/>
        </w:rPr>
        <w:t xml:space="preserve"> </w:t>
      </w:r>
      <w:r w:rsidR="00957DE6">
        <w:rPr>
          <w:lang w:val="en-CA"/>
        </w:rPr>
        <w:t>inconsistenc</w:t>
      </w:r>
      <w:r w:rsidR="00DB2870">
        <w:rPr>
          <w:lang w:val="en-CA"/>
        </w:rPr>
        <w:t>y</w:t>
      </w:r>
      <w:r w:rsidRPr="006B2147">
        <w:rPr>
          <w:lang w:val="en-CA"/>
        </w:rPr>
        <w:t xml:space="preserve">), </w:t>
      </w:r>
      <w:r w:rsidR="00957DE6">
        <w:rPr>
          <w:lang w:val="en-CA"/>
        </w:rPr>
        <w:t>or by submitting evidence</w:t>
      </w:r>
      <w:r w:rsidR="00001DD9">
        <w:rPr>
          <w:lang w:val="en-CA"/>
        </w:rPr>
        <w:t xml:space="preserve"> or submissions</w:t>
      </w:r>
      <w:r w:rsidR="00957DE6">
        <w:rPr>
          <w:lang w:val="en-CA"/>
        </w:rPr>
        <w:t xml:space="preserve"> </w:t>
      </w:r>
      <w:r w:rsidR="00DB2870">
        <w:rPr>
          <w:lang w:val="en-CA"/>
        </w:rPr>
        <w:t>that call int</w:t>
      </w:r>
      <w:r w:rsidR="00001DD9">
        <w:rPr>
          <w:lang w:val="en-CA"/>
        </w:rPr>
        <w:t>o</w:t>
      </w:r>
      <w:r w:rsidR="00DB2870">
        <w:rPr>
          <w:lang w:val="en-CA"/>
        </w:rPr>
        <w:t xml:space="preserve"> question</w:t>
      </w:r>
      <w:r w:rsidR="00957DE6">
        <w:rPr>
          <w:lang w:val="en-CA"/>
        </w:rPr>
        <w:t xml:space="preserve"> the reliability or availability of the evidence</w:t>
      </w:r>
      <w:r w:rsidR="00001DD9">
        <w:rPr>
          <w:lang w:val="en-CA"/>
        </w:rPr>
        <w:t xml:space="preserve"> contained</w:t>
      </w:r>
      <w:r w:rsidR="00957DE6">
        <w:rPr>
          <w:lang w:val="en-CA"/>
        </w:rPr>
        <w:t xml:space="preserve"> in the</w:t>
      </w:r>
      <w:r w:rsidRPr="006B2147">
        <w:rPr>
          <w:lang w:val="en-CA"/>
        </w:rPr>
        <w:t xml:space="preserve"> </w:t>
      </w:r>
      <w:r w:rsidR="00957DE6">
        <w:rPr>
          <w:lang w:val="en-CA"/>
        </w:rPr>
        <w:t>ROC</w:t>
      </w:r>
      <w:r w:rsidRPr="006B2147">
        <w:rPr>
          <w:lang w:val="en-CA"/>
        </w:rPr>
        <w:t xml:space="preserve">. </w:t>
      </w:r>
    </w:p>
    <w:p w14:paraId="30DAF9A2" w14:textId="2C873772" w:rsidR="0055085E" w:rsidRPr="006B2147" w:rsidRDefault="00B37A58" w:rsidP="00441741">
      <w:pPr>
        <w:pStyle w:val="Paragraphe"/>
        <w:spacing w:line="280" w:lineRule="exact"/>
        <w:rPr>
          <w:lang w:val="en-CA"/>
        </w:rPr>
      </w:pPr>
      <w:r>
        <w:rPr>
          <w:lang w:val="en-CA"/>
        </w:rPr>
        <w:t xml:space="preserve">To </w:t>
      </w:r>
      <w:r w:rsidR="00001DD9">
        <w:rPr>
          <w:lang w:val="en-CA"/>
        </w:rPr>
        <w:t>determine</w:t>
      </w:r>
      <w:r>
        <w:rPr>
          <w:lang w:val="en-CA"/>
        </w:rPr>
        <w:t xml:space="preserve"> whether </w:t>
      </w:r>
      <w:r w:rsidR="001E13E4" w:rsidRPr="001E13E4">
        <w:rPr>
          <w:lang w:val="en-CA"/>
        </w:rPr>
        <w:t xml:space="preserve">the evidence establishes a sufficient case to commit </w:t>
      </w:r>
      <w:r>
        <w:rPr>
          <w:lang w:val="en-CA"/>
        </w:rPr>
        <w:t>t</w:t>
      </w:r>
      <w:r w:rsidR="001E13E4">
        <w:rPr>
          <w:lang w:val="en-CA"/>
        </w:rPr>
        <w:t>he person sought</w:t>
      </w:r>
      <w:r>
        <w:rPr>
          <w:lang w:val="en-CA"/>
        </w:rPr>
        <w:t>, the extradition judge must engage in a limited weighing of that evidence</w:t>
      </w:r>
      <w:r w:rsidR="00935CFB" w:rsidRPr="006B2147">
        <w:rPr>
          <w:lang w:val="en-CA"/>
        </w:rPr>
        <w:t xml:space="preserve">. </w:t>
      </w:r>
      <w:r>
        <w:rPr>
          <w:lang w:val="en-CA"/>
        </w:rPr>
        <w:t>This step offers protection agains</w:t>
      </w:r>
      <w:r w:rsidR="00F0621F">
        <w:rPr>
          <w:lang w:val="en-CA"/>
        </w:rPr>
        <w:t>t</w:t>
      </w:r>
      <w:r>
        <w:rPr>
          <w:lang w:val="en-CA"/>
        </w:rPr>
        <w:t xml:space="preserve"> extradition in cases where the evidence is </w:t>
      </w:r>
      <w:r w:rsidR="001E13E4">
        <w:rPr>
          <w:lang w:val="en-CA"/>
        </w:rPr>
        <w:t>manifestly</w:t>
      </w:r>
      <w:r>
        <w:rPr>
          <w:lang w:val="en-CA"/>
        </w:rPr>
        <w:t xml:space="preserve"> unreliable</w:t>
      </w:r>
      <w:r w:rsidR="00935CFB" w:rsidRPr="006B2147">
        <w:rPr>
          <w:lang w:val="en-CA"/>
        </w:rPr>
        <w:t xml:space="preserve">. </w:t>
      </w:r>
      <w:r w:rsidR="001E13E4">
        <w:rPr>
          <w:lang w:val="en-CA"/>
        </w:rPr>
        <w:t>In</w:t>
      </w:r>
      <w:r w:rsidR="00857A4E" w:rsidRPr="006B2147">
        <w:rPr>
          <w:lang w:val="en-CA"/>
        </w:rPr>
        <w:t xml:space="preserve"> </w:t>
      </w:r>
      <w:r w:rsidR="001E13E4" w:rsidRPr="001E13E4">
        <w:rPr>
          <w:i/>
          <w:iCs/>
          <w:lang w:val="en-CA"/>
        </w:rPr>
        <w:t xml:space="preserve">United States of America </w:t>
      </w:r>
      <w:r w:rsidR="001E13E4">
        <w:rPr>
          <w:i/>
          <w:iCs/>
          <w:lang w:val="en-CA"/>
        </w:rPr>
        <w:t>v</w:t>
      </w:r>
      <w:r w:rsidR="006F6C2D" w:rsidRPr="006B2147">
        <w:rPr>
          <w:i/>
          <w:iCs/>
          <w:lang w:val="en-CA"/>
        </w:rPr>
        <w:t xml:space="preserve">. </w:t>
      </w:r>
      <w:r w:rsidR="00857A4E" w:rsidRPr="006B2147">
        <w:rPr>
          <w:i/>
          <w:iCs/>
          <w:lang w:val="en-CA"/>
        </w:rPr>
        <w:t>Ferras</w:t>
      </w:r>
      <w:r w:rsidR="00857A4E" w:rsidRPr="006B2147">
        <w:rPr>
          <w:lang w:val="en-CA"/>
        </w:rPr>
        <w:t xml:space="preserve">, </w:t>
      </w:r>
      <w:r w:rsidR="001E13E4">
        <w:rPr>
          <w:lang w:val="en-CA"/>
        </w:rPr>
        <w:t>the Supreme Court summarized as follows the applicable test, while emphasizing that an extradition hearing is not a trial</w:t>
      </w:r>
      <w:r w:rsidRPr="006B2147">
        <w:rPr>
          <w:lang w:val="en-CA"/>
        </w:rPr>
        <w:t>:</w:t>
      </w:r>
    </w:p>
    <w:p w14:paraId="6C541710" w14:textId="5DFE9041" w:rsidR="0014494A" w:rsidRPr="00442105" w:rsidRDefault="00B37A58" w:rsidP="00442105">
      <w:pPr>
        <w:pStyle w:val="Citationenretrait"/>
        <w:rPr>
          <w:u w:val="single"/>
          <w:lang w:val="en-CA"/>
        </w:rPr>
      </w:pPr>
      <w:r w:rsidRPr="006B2147">
        <w:rPr>
          <w:lang w:val="en-CA"/>
        </w:rPr>
        <w:t>[54]</w:t>
      </w:r>
      <w:r w:rsidR="00346B93" w:rsidRPr="006B2147">
        <w:rPr>
          <w:lang w:val="en-CA"/>
        </w:rPr>
        <w:tab/>
      </w:r>
      <w:r w:rsidR="00F50DAE" w:rsidRPr="00F50DAE">
        <w:rPr>
          <w:lang w:val="en-CA"/>
        </w:rPr>
        <w:t xml:space="preserve">Challenging the justification for committal may involve adducing evidence or making arguments on whether the evidence could be believed by a reasonable jury.  Where such evidence is adduced or such arguments are raised, </w:t>
      </w:r>
      <w:r w:rsidR="00F50DAE" w:rsidRPr="00F50DAE">
        <w:rPr>
          <w:u w:val="single"/>
          <w:lang w:val="en-CA"/>
        </w:rPr>
        <w:t>an extradition judge may engage in a limited weighing of evidence to determine whether there is a plausible case</w:t>
      </w:r>
      <w:r w:rsidR="00F50DAE" w:rsidRPr="00F50DAE">
        <w:rPr>
          <w:lang w:val="en-CA"/>
        </w:rPr>
        <w:t xml:space="preserve">. The ultimate assessment of reliability is still left for the trial where guilt and innocence are at issue. However, the extradition judge looks at the whole of the evidence presented at the extradition hearing and determines whether it discloses a case on which a jury could convict.  </w:t>
      </w:r>
      <w:r w:rsidR="00F50DAE" w:rsidRPr="00F50DAE">
        <w:rPr>
          <w:u w:val="single"/>
          <w:lang w:val="en-CA"/>
        </w:rPr>
        <w:t>If the evidence is so defective or appears so unreliable that the judge concludes it would be dangerous or unsafe to convict, then the case should not go to a jury and is therefore not sufficient to meet the test for committal</w:t>
      </w:r>
      <w:r w:rsidR="00955C51">
        <w:rPr>
          <w:lang w:val="en-CA"/>
        </w:rPr>
        <w:t>.</w:t>
      </w:r>
      <w:r>
        <w:rPr>
          <w:rStyle w:val="Appelnotedebasdep"/>
          <w:lang w:val="en-CA"/>
        </w:rPr>
        <w:footnoteReference w:id="37"/>
      </w:r>
    </w:p>
    <w:p w14:paraId="233BF72C" w14:textId="70D5787E" w:rsidR="00FA6285" w:rsidRPr="006B2147" w:rsidRDefault="00B37A58" w:rsidP="00FA6285">
      <w:pPr>
        <w:pStyle w:val="Citationenretrait"/>
        <w:jc w:val="right"/>
        <w:rPr>
          <w:lang w:val="en-CA"/>
        </w:rPr>
      </w:pPr>
      <w:r w:rsidRPr="006B2147">
        <w:rPr>
          <w:lang w:val="en-CA"/>
        </w:rPr>
        <w:t>[</w:t>
      </w:r>
      <w:r w:rsidR="00955C51">
        <w:rPr>
          <w:lang w:val="en-CA"/>
        </w:rPr>
        <w:t>Emphasis added</w:t>
      </w:r>
      <w:r w:rsidRPr="006B2147">
        <w:rPr>
          <w:lang w:val="en-CA"/>
        </w:rPr>
        <w:t>]</w:t>
      </w:r>
    </w:p>
    <w:p w14:paraId="4DF9F9B5" w14:textId="1D0DA266" w:rsidR="00857A4E" w:rsidRPr="006B2147" w:rsidRDefault="00B37A58" w:rsidP="00441741">
      <w:pPr>
        <w:pStyle w:val="Paragraphe"/>
        <w:spacing w:line="280" w:lineRule="exact"/>
        <w:rPr>
          <w:lang w:val="en-CA"/>
        </w:rPr>
      </w:pPr>
      <w:r>
        <w:rPr>
          <w:lang w:val="en-CA"/>
        </w:rPr>
        <w:t>In</w:t>
      </w:r>
      <w:r w:rsidRPr="006B2147">
        <w:rPr>
          <w:lang w:val="en-CA"/>
        </w:rPr>
        <w:t xml:space="preserve"> </w:t>
      </w:r>
      <w:r w:rsidR="0098113E" w:rsidRPr="006B2147">
        <w:rPr>
          <w:i/>
          <w:iCs/>
          <w:lang w:val="en-CA"/>
        </w:rPr>
        <w:t xml:space="preserve">Canada (Justice) </w:t>
      </w:r>
      <w:r>
        <w:rPr>
          <w:i/>
          <w:iCs/>
          <w:lang w:val="en-CA"/>
        </w:rPr>
        <w:t>v.</w:t>
      </w:r>
      <w:r w:rsidR="0098113E" w:rsidRPr="006B2147">
        <w:rPr>
          <w:i/>
          <w:iCs/>
          <w:lang w:val="en-CA"/>
        </w:rPr>
        <w:t xml:space="preserve"> Fischbacher</w:t>
      </w:r>
      <w:r w:rsidRPr="006B2147">
        <w:rPr>
          <w:lang w:val="en-CA"/>
        </w:rPr>
        <w:t>, Charron</w:t>
      </w:r>
      <w:r w:rsidR="003016BD">
        <w:rPr>
          <w:lang w:val="en-CA"/>
        </w:rPr>
        <w:t xml:space="preserve"> </w:t>
      </w:r>
      <w:r>
        <w:rPr>
          <w:lang w:val="en-CA"/>
        </w:rPr>
        <w:t>J.</w:t>
      </w:r>
      <w:r w:rsidRPr="006B2147">
        <w:rPr>
          <w:lang w:val="en-CA"/>
        </w:rPr>
        <w:t xml:space="preserve"> </w:t>
      </w:r>
      <w:bookmarkStart w:id="28" w:name="_Ref210909464"/>
      <w:r>
        <w:rPr>
          <w:lang w:val="en-CA"/>
        </w:rPr>
        <w:t xml:space="preserve">explained that the </w:t>
      </w:r>
      <w:r w:rsidR="00001DD9">
        <w:rPr>
          <w:lang w:val="en-CA"/>
        </w:rPr>
        <w:t xml:space="preserve">extradition </w:t>
      </w:r>
      <w:r>
        <w:rPr>
          <w:lang w:val="en-CA"/>
        </w:rPr>
        <w:t xml:space="preserve">judge’s screening role is to consider the evidence in light of Canadian law </w:t>
      </w:r>
      <w:r w:rsidRPr="00F4569B">
        <w:rPr>
          <w:lang w:val="en-CA"/>
        </w:rPr>
        <w:t>and determine whether it reveals conduct that would justify committal for the crime</w:t>
      </w:r>
      <w:r>
        <w:rPr>
          <w:lang w:val="en-CA"/>
        </w:rPr>
        <w:t xml:space="preserve"> </w:t>
      </w:r>
      <w:r w:rsidRPr="00F4569B">
        <w:rPr>
          <w:lang w:val="en-CA"/>
        </w:rPr>
        <w:t xml:space="preserve">listed in the </w:t>
      </w:r>
      <w:r>
        <w:rPr>
          <w:lang w:val="en-CA"/>
        </w:rPr>
        <w:t>authority to proceed</w:t>
      </w:r>
      <w:r w:rsidRPr="00F4569B">
        <w:rPr>
          <w:lang w:val="en-CA"/>
        </w:rPr>
        <w:t xml:space="preserve"> if it had occurred in Canada</w:t>
      </w:r>
      <w:r w:rsidR="003016BD">
        <w:rPr>
          <w:lang w:val="en-CA"/>
        </w:rPr>
        <w:t>.</w:t>
      </w:r>
      <w:r>
        <w:rPr>
          <w:rStyle w:val="Appelnotedebasdep"/>
          <w:rFonts w:cs="Arial"/>
          <w:lang w:val="en-CA"/>
        </w:rPr>
        <w:footnoteReference w:id="38"/>
      </w:r>
      <w:bookmarkEnd w:id="28"/>
      <w:r w:rsidRPr="006B2147">
        <w:rPr>
          <w:lang w:val="en-CA"/>
        </w:rPr>
        <w:t xml:space="preserve"> </w:t>
      </w:r>
    </w:p>
    <w:p w14:paraId="108A860E" w14:textId="0B474187" w:rsidR="00FA6285" w:rsidRPr="006B2147" w:rsidRDefault="00B37A58" w:rsidP="00441741">
      <w:pPr>
        <w:pStyle w:val="Paragraphe"/>
        <w:spacing w:line="280" w:lineRule="exact"/>
        <w:rPr>
          <w:lang w:val="en-CA"/>
        </w:rPr>
      </w:pPr>
      <w:r>
        <w:rPr>
          <w:lang w:val="en-CA"/>
        </w:rPr>
        <w:t>That same test was reiterated a few years later in</w:t>
      </w:r>
      <w:r w:rsidRPr="006B2147">
        <w:rPr>
          <w:lang w:val="en-CA"/>
        </w:rPr>
        <w:t xml:space="preserve"> </w:t>
      </w:r>
      <w:r w:rsidRPr="006B2147">
        <w:rPr>
          <w:i/>
          <w:iCs/>
          <w:lang w:val="en-CA"/>
        </w:rPr>
        <w:t xml:space="preserve">M.M. </w:t>
      </w:r>
      <w:r>
        <w:rPr>
          <w:i/>
          <w:iCs/>
          <w:lang w:val="en-CA"/>
        </w:rPr>
        <w:t>v</w:t>
      </w:r>
      <w:r w:rsidRPr="006B2147">
        <w:rPr>
          <w:i/>
          <w:iCs/>
          <w:lang w:val="en-CA"/>
        </w:rPr>
        <w:t xml:space="preserve">. </w:t>
      </w:r>
      <w:r>
        <w:rPr>
          <w:i/>
          <w:iCs/>
          <w:lang w:val="en-CA"/>
        </w:rPr>
        <w:t>United States of America</w:t>
      </w:r>
      <w:r w:rsidRPr="006B2147">
        <w:rPr>
          <w:lang w:val="en-CA"/>
        </w:rPr>
        <w:t xml:space="preserve">, </w:t>
      </w:r>
      <w:r w:rsidRPr="00081248">
        <w:rPr>
          <w:i/>
          <w:iCs/>
          <w:lang w:val="en-CA"/>
        </w:rPr>
        <w:t>per</w:t>
      </w:r>
      <w:r w:rsidRPr="006B2147">
        <w:rPr>
          <w:lang w:val="en-CA"/>
        </w:rPr>
        <w:t xml:space="preserve"> Cromwell</w:t>
      </w:r>
      <w:r w:rsidR="003016BD">
        <w:rPr>
          <w:lang w:val="en-CA"/>
        </w:rPr>
        <w:t xml:space="preserve"> </w:t>
      </w:r>
      <w:r>
        <w:rPr>
          <w:lang w:val="en-CA"/>
        </w:rPr>
        <w:t>J. writing for the Court:</w:t>
      </w:r>
      <w:r>
        <w:rPr>
          <w:rStyle w:val="Appelnotedebasdep"/>
          <w:lang w:val="en-CA"/>
        </w:rPr>
        <w:footnoteReference w:id="39"/>
      </w:r>
      <w:r w:rsidR="00AD0B64" w:rsidRPr="006B2147">
        <w:rPr>
          <w:lang w:val="en-CA"/>
        </w:rPr>
        <w:t> </w:t>
      </w:r>
    </w:p>
    <w:p w14:paraId="2D458BA6" w14:textId="41CC04F5" w:rsidR="00FA6285" w:rsidRPr="006B2147" w:rsidRDefault="00B37A58" w:rsidP="00AD0B64">
      <w:pPr>
        <w:pStyle w:val="Citationenretrait"/>
        <w:rPr>
          <w:lang w:val="en-CA"/>
        </w:rPr>
      </w:pPr>
      <w:r w:rsidRPr="006B2147">
        <w:rPr>
          <w:lang w:val="en-CA"/>
        </w:rPr>
        <w:t>[62]</w:t>
      </w:r>
      <w:r w:rsidRPr="006B2147">
        <w:rPr>
          <w:lang w:val="en-CA"/>
        </w:rPr>
        <w:tab/>
      </w:r>
      <w:r w:rsidR="00955C51" w:rsidRPr="00955C51">
        <w:rPr>
          <w:i/>
          <w:iCs/>
          <w:lang w:val="en-CA"/>
        </w:rPr>
        <w:t>Ferras</w:t>
      </w:r>
      <w:r w:rsidR="00955C51" w:rsidRPr="00955C51">
        <w:rPr>
          <w:lang w:val="en-CA"/>
        </w:rPr>
        <w:t xml:space="preserve"> did not envisage any change in the test for committal; there was no challenge to that statutory test in s. 29 of the </w:t>
      </w:r>
      <w:r w:rsidR="00955C51" w:rsidRPr="00955C51">
        <w:rPr>
          <w:i/>
          <w:iCs/>
          <w:lang w:val="en-CA"/>
        </w:rPr>
        <w:t>Extradition Act</w:t>
      </w:r>
      <w:r w:rsidR="00955C51" w:rsidRPr="00955C51">
        <w:rPr>
          <w:lang w:val="en-CA"/>
        </w:rPr>
        <w:t xml:space="preserve"> which links committal for extradition to the test for committal for trial. Nor did Ferras envisage any fundamental change in the nature of the committal process. </w:t>
      </w:r>
      <w:r w:rsidR="00955C51" w:rsidRPr="00955C51">
        <w:rPr>
          <w:u w:val="single"/>
          <w:lang w:val="en-CA"/>
        </w:rPr>
        <w:t>The Court noted that the extradition judge’s role is not to determine guilt or innocence or to engage in the ultimate assessment of reliability: paras. 46 and 54.  The evidence in the ROC is presumed to be reliable and “[u]nless rebutted, this presumption of reliability will stand and the case will be deemed sufficient to commit for extradition”: para. 66.</w:t>
      </w:r>
      <w:r w:rsidR="00955C51" w:rsidRPr="00955C51">
        <w:rPr>
          <w:lang w:val="en-CA"/>
        </w:rPr>
        <w:t xml:space="preserve"> In </w:t>
      </w:r>
      <w:r w:rsidR="00955C51" w:rsidRPr="00955C51">
        <w:rPr>
          <w:i/>
          <w:iCs/>
          <w:lang w:val="en-CA"/>
        </w:rPr>
        <w:t>Ferras</w:t>
      </w:r>
      <w:r w:rsidR="00955C51" w:rsidRPr="00955C51">
        <w:rPr>
          <w:lang w:val="en-CA"/>
        </w:rPr>
        <w:t>, the fact that some</w:t>
      </w:r>
      <w:r w:rsidR="00F0621F">
        <w:rPr>
          <w:lang w:val="en-CA"/>
        </w:rPr>
        <w:t xml:space="preserve"> </w:t>
      </w:r>
      <w:r w:rsidR="00955C51" w:rsidRPr="00955C51">
        <w:rPr>
          <w:lang w:val="en-CA"/>
        </w:rPr>
        <w:t xml:space="preserve">of the evidence was hearsay and came from unsavoury witnesses did not rebut this presumption. The Court underlined the point that “the issue is not whether the information in the record is actually true”: para. 68. </w:t>
      </w:r>
      <w:r w:rsidR="00955C51" w:rsidRPr="00955C51">
        <w:rPr>
          <w:u w:val="single"/>
          <w:lang w:val="en-CA"/>
        </w:rPr>
        <w:t>The extradition judge’s limited weighing goes only to whether there is “a plausible case”: para. 54</w:t>
      </w:r>
      <w:r w:rsidR="00AD0B64" w:rsidRPr="006B2147">
        <w:rPr>
          <w:u w:val="single"/>
          <w:lang w:val="en-CA"/>
        </w:rPr>
        <w:t>.</w:t>
      </w:r>
      <w:r>
        <w:rPr>
          <w:vertAlign w:val="superscript"/>
          <w:lang w:val="en-CA"/>
        </w:rPr>
        <w:footnoteReference w:id="40"/>
      </w:r>
    </w:p>
    <w:p w14:paraId="600B1A7F" w14:textId="77777777" w:rsidR="00FA6285" w:rsidRDefault="00B37A58" w:rsidP="00FA6285">
      <w:pPr>
        <w:pStyle w:val="Citationenretrait"/>
        <w:rPr>
          <w:lang w:val="en-CA"/>
        </w:rPr>
      </w:pPr>
      <w:r w:rsidRPr="006B2147">
        <w:rPr>
          <w:lang w:val="en-CA"/>
        </w:rPr>
        <w:t>[…]</w:t>
      </w:r>
    </w:p>
    <w:p w14:paraId="7AD4F455" w14:textId="4C8AD508" w:rsidR="00442105" w:rsidRDefault="00B37A58" w:rsidP="00FA6285">
      <w:pPr>
        <w:pStyle w:val="Citationenretrait"/>
        <w:rPr>
          <w:lang w:val="en-CA"/>
        </w:rPr>
      </w:pPr>
      <w:r w:rsidRPr="006B2147">
        <w:rPr>
          <w:lang w:val="en-CA"/>
        </w:rPr>
        <w:t>[64]</w:t>
      </w:r>
      <w:r w:rsidRPr="006B2147">
        <w:rPr>
          <w:lang w:val="en-CA"/>
        </w:rPr>
        <w:tab/>
      </w:r>
      <w:r w:rsidRPr="00955C51">
        <w:rPr>
          <w:lang w:val="en-CA"/>
        </w:rPr>
        <w:t xml:space="preserve">While the role of the extradition judge in scrutinizing evidence has been somewhat enhanced to ensure </w:t>
      </w:r>
      <w:r w:rsidRPr="00955C51">
        <w:rPr>
          <w:i/>
          <w:iCs/>
          <w:lang w:val="en-CA"/>
        </w:rPr>
        <w:t>Charter</w:t>
      </w:r>
      <w:r w:rsidRPr="00955C51">
        <w:rPr>
          <w:lang w:val="en-CA"/>
        </w:rPr>
        <w:t xml:space="preserve"> compliance, </w:t>
      </w:r>
      <w:r w:rsidRPr="00955C51">
        <w:rPr>
          <w:u w:val="single"/>
          <w:lang w:val="en-CA"/>
        </w:rPr>
        <w:t xml:space="preserve">it remains the case that an extradition hearing is not a trial and it should never be permitted to become one: </w:t>
      </w:r>
      <w:r w:rsidRPr="00955C51">
        <w:rPr>
          <w:i/>
          <w:iCs/>
          <w:u w:val="single"/>
          <w:lang w:val="en-CA"/>
        </w:rPr>
        <w:t>Schmidt</w:t>
      </w:r>
      <w:r w:rsidRPr="00955C51">
        <w:rPr>
          <w:u w:val="single"/>
          <w:lang w:val="en-CA"/>
        </w:rPr>
        <w:t>, at p. 515</w:t>
      </w:r>
      <w:r w:rsidRPr="00955C51">
        <w:rPr>
          <w:lang w:val="en-CA"/>
        </w:rPr>
        <w:t xml:space="preserve">. The process is intended to be expeditious and efficient so as to “ensure prompt compliance with Canada’s international obligations”: </w:t>
      </w:r>
      <w:r w:rsidRPr="00955C51">
        <w:rPr>
          <w:i/>
          <w:iCs/>
          <w:lang w:val="en-CA"/>
        </w:rPr>
        <w:t>Dynar</w:t>
      </w:r>
      <w:r w:rsidRPr="00955C51">
        <w:rPr>
          <w:lang w:val="en-CA"/>
        </w:rPr>
        <w:t>, at para. 122</w:t>
      </w:r>
      <w:r>
        <w:rPr>
          <w:lang w:val="en-CA"/>
        </w:rPr>
        <w:t>.</w:t>
      </w:r>
    </w:p>
    <w:p w14:paraId="07DB0F3C" w14:textId="42C720B6" w:rsidR="00442105" w:rsidRPr="006B2147" w:rsidRDefault="00B37A58" w:rsidP="00FA6285">
      <w:pPr>
        <w:pStyle w:val="Citationenretrait"/>
        <w:rPr>
          <w:lang w:val="en-CA"/>
        </w:rPr>
      </w:pPr>
      <w:r>
        <w:rPr>
          <w:lang w:val="en-CA"/>
        </w:rPr>
        <w:t>[…]</w:t>
      </w:r>
    </w:p>
    <w:p w14:paraId="25046702" w14:textId="00B7D933" w:rsidR="00FA6285" w:rsidRPr="006B2147" w:rsidRDefault="00B37A58" w:rsidP="00FA6285">
      <w:pPr>
        <w:pStyle w:val="Citationenretrait"/>
        <w:rPr>
          <w:szCs w:val="22"/>
          <w:u w:val="single"/>
          <w:lang w:val="en-CA"/>
        </w:rPr>
      </w:pPr>
      <w:r w:rsidRPr="006B2147">
        <w:rPr>
          <w:szCs w:val="22"/>
          <w:lang w:val="en-CA"/>
        </w:rPr>
        <w:t>[71]</w:t>
      </w:r>
      <w:r w:rsidRPr="006B2147">
        <w:rPr>
          <w:szCs w:val="22"/>
          <w:lang w:val="en-CA"/>
        </w:rPr>
        <w:tab/>
      </w:r>
      <w:r w:rsidR="00955C51" w:rsidRPr="00955C51">
        <w:rPr>
          <w:szCs w:val="22"/>
          <w:lang w:val="en-CA"/>
        </w:rPr>
        <w:t xml:space="preserve">In particular, I largely agree with the interpretation of </w:t>
      </w:r>
      <w:r w:rsidR="00955C51" w:rsidRPr="00955C51">
        <w:rPr>
          <w:i/>
          <w:iCs/>
          <w:szCs w:val="22"/>
          <w:lang w:val="en-CA"/>
        </w:rPr>
        <w:t>Ferras</w:t>
      </w:r>
      <w:r w:rsidR="00955C51" w:rsidRPr="00955C51">
        <w:rPr>
          <w:szCs w:val="22"/>
          <w:lang w:val="en-CA"/>
        </w:rPr>
        <w:t xml:space="preserve"> given by Doherty J.A. writing for the court in </w:t>
      </w:r>
      <w:r w:rsidR="00955C51" w:rsidRPr="00955C51">
        <w:rPr>
          <w:i/>
          <w:iCs/>
          <w:szCs w:val="22"/>
          <w:lang w:val="en-CA"/>
        </w:rPr>
        <w:t>United States of America v. Anderson</w:t>
      </w:r>
      <w:r w:rsidR="00955C51" w:rsidRPr="00955C51">
        <w:rPr>
          <w:szCs w:val="22"/>
          <w:lang w:val="en-CA"/>
        </w:rPr>
        <w:t xml:space="preserve">, 2007 ONCA 84, 85 O.R. (3d) 380, at paras. 28-31. </w:t>
      </w:r>
      <w:r w:rsidR="00955C51" w:rsidRPr="00955C51">
        <w:rPr>
          <w:i/>
          <w:iCs/>
          <w:szCs w:val="22"/>
          <w:lang w:val="en-CA"/>
        </w:rPr>
        <w:t>Ferras</w:t>
      </w:r>
      <w:r w:rsidR="00955C51" w:rsidRPr="00955C51">
        <w:rPr>
          <w:szCs w:val="22"/>
          <w:lang w:val="en-CA"/>
        </w:rPr>
        <w:t xml:space="preserve"> </w:t>
      </w:r>
      <w:r w:rsidR="00955C51" w:rsidRPr="00955C51">
        <w:rPr>
          <w:szCs w:val="22"/>
          <w:u w:val="single"/>
          <w:lang w:val="en-CA"/>
        </w:rPr>
        <w:t xml:space="preserve">“does not envision weighing competing inferences that may arise from the evidence”, other than in the limited sense noted in </w:t>
      </w:r>
      <w:r w:rsidR="00955C51" w:rsidRPr="00955C51">
        <w:rPr>
          <w:i/>
          <w:iCs/>
          <w:szCs w:val="22"/>
          <w:u w:val="single"/>
          <w:lang w:val="en-CA"/>
        </w:rPr>
        <w:t>Arcuri</w:t>
      </w:r>
      <w:r w:rsidR="00955C51" w:rsidRPr="00955C51">
        <w:rPr>
          <w:szCs w:val="22"/>
          <w:u w:val="single"/>
          <w:lang w:val="en-CA"/>
        </w:rPr>
        <w:t xml:space="preserve"> of considering that the inferences sought to be drawn from circumstantial evidence are reasonable: </w:t>
      </w:r>
      <w:r w:rsidR="00955C51" w:rsidRPr="00955C51">
        <w:rPr>
          <w:i/>
          <w:iCs/>
          <w:szCs w:val="22"/>
          <w:u w:val="single"/>
          <w:lang w:val="en-CA"/>
        </w:rPr>
        <w:t>Anderson</w:t>
      </w:r>
      <w:r w:rsidR="00955C51" w:rsidRPr="00955C51">
        <w:rPr>
          <w:szCs w:val="22"/>
          <w:u w:val="single"/>
          <w:lang w:val="en-CA"/>
        </w:rPr>
        <w:t xml:space="preserve">, at para. 28. </w:t>
      </w:r>
      <w:r w:rsidR="00955C51" w:rsidRPr="00955C51">
        <w:rPr>
          <w:i/>
          <w:iCs/>
          <w:szCs w:val="22"/>
          <w:u w:val="single"/>
          <w:lang w:val="en-CA"/>
        </w:rPr>
        <w:t>Ferras</w:t>
      </w:r>
      <w:r w:rsidR="00955C51" w:rsidRPr="00955C51">
        <w:rPr>
          <w:szCs w:val="22"/>
          <w:u w:val="single"/>
          <w:lang w:val="en-CA"/>
        </w:rPr>
        <w:t xml:space="preserve"> does not contemplate that the extradition judge will decide whether a witness is credible or his or her evidence is reliable beyond determining that the evidence is not “so defective” or “so unreliable” that it should not be given any weight: </w:t>
      </w:r>
      <w:r w:rsidR="00955C51" w:rsidRPr="00955C51">
        <w:rPr>
          <w:i/>
          <w:iCs/>
          <w:szCs w:val="22"/>
          <w:u w:val="single"/>
          <w:lang w:val="en-CA"/>
        </w:rPr>
        <w:t>Anderson</w:t>
      </w:r>
      <w:r w:rsidR="00955C51" w:rsidRPr="00955C51">
        <w:rPr>
          <w:szCs w:val="22"/>
          <w:u w:val="single"/>
          <w:lang w:val="en-CA"/>
        </w:rPr>
        <w:t xml:space="preserve">, at para. 30. </w:t>
      </w:r>
      <w:r w:rsidR="00955C51" w:rsidRPr="00955C51">
        <w:rPr>
          <w:i/>
          <w:iCs/>
          <w:szCs w:val="22"/>
          <w:u w:val="single"/>
          <w:lang w:val="en-CA"/>
        </w:rPr>
        <w:t>Ferras</w:t>
      </w:r>
      <w:r w:rsidR="00955C51" w:rsidRPr="00955C51">
        <w:rPr>
          <w:szCs w:val="22"/>
          <w:u w:val="single"/>
          <w:lang w:val="en-CA"/>
        </w:rPr>
        <w:t xml:space="preserve"> does not call upon the extradition judge to evaluate the relative strength of the case put forward by the requesting state.</w:t>
      </w:r>
      <w:r w:rsidR="00955C51" w:rsidRPr="00955C51">
        <w:rPr>
          <w:szCs w:val="22"/>
          <w:lang w:val="en-CA"/>
        </w:rPr>
        <w:t xml:space="preserve"> There is no power to deny extradition simply because the case appears to the extradition judge to be weak or unlikely to succeed at trial. </w:t>
      </w:r>
      <w:r w:rsidR="00955C51" w:rsidRPr="00955C51">
        <w:rPr>
          <w:i/>
          <w:iCs/>
          <w:szCs w:val="22"/>
          <w:lang w:val="en-CA"/>
        </w:rPr>
        <w:t>Ferras</w:t>
      </w:r>
      <w:r w:rsidR="00955C51" w:rsidRPr="00955C51">
        <w:rPr>
          <w:szCs w:val="22"/>
          <w:lang w:val="en-CA"/>
        </w:rPr>
        <w:t xml:space="preserve"> requires the extradition judge, however, to remove evidence from consideration that appears to the judge to be “so defective” or “so unreliable” that it should be disregarded. </w:t>
      </w:r>
      <w:r w:rsidR="00955C51" w:rsidRPr="00955C51">
        <w:rPr>
          <w:szCs w:val="22"/>
          <w:u w:val="single"/>
          <w:lang w:val="en-CA"/>
        </w:rPr>
        <w:t>This may be the result of problems inherent in the evidence itself, problems that undermine the credibility or reliability of the source of the evidence, or a combination of those two factors</w:t>
      </w:r>
      <w:r w:rsidRPr="006B2147">
        <w:rPr>
          <w:szCs w:val="22"/>
          <w:u w:val="single"/>
          <w:lang w:val="en-CA"/>
        </w:rPr>
        <w:t>.</w:t>
      </w:r>
    </w:p>
    <w:p w14:paraId="34F08EA5" w14:textId="034CF321" w:rsidR="00FA6285" w:rsidRPr="006B2147" w:rsidRDefault="00B37A58" w:rsidP="00214F00">
      <w:pPr>
        <w:pStyle w:val="Citationenretrait"/>
        <w:keepNext/>
        <w:rPr>
          <w:szCs w:val="22"/>
          <w:lang w:val="en-CA"/>
        </w:rPr>
      </w:pPr>
      <w:r w:rsidRPr="006B2147">
        <w:rPr>
          <w:szCs w:val="22"/>
          <w:lang w:val="en-CA"/>
        </w:rPr>
        <w:t>[72]</w:t>
      </w:r>
      <w:r w:rsidRPr="006B2147">
        <w:rPr>
          <w:szCs w:val="22"/>
          <w:lang w:val="en-CA"/>
        </w:rPr>
        <w:tab/>
      </w:r>
      <w:r w:rsidR="00955C51" w:rsidRPr="00955C51">
        <w:rPr>
          <w:szCs w:val="22"/>
          <w:lang w:val="en-CA"/>
        </w:rPr>
        <w:t>I also agree with Doherty J.A. that “</w:t>
      </w:r>
      <w:r w:rsidR="00955C51" w:rsidRPr="00955C51">
        <w:rPr>
          <w:szCs w:val="22"/>
          <w:u w:val="single"/>
          <w:lang w:val="en-CA"/>
        </w:rPr>
        <w:t>it is only where the concerns with respect to the reliability of the evidence, whatever the source or sources, are sufficiently powerful to justify the complete rejection of the evidence, that these concerns become germane to the s. 29(1)(a) inquiry</w:t>
      </w:r>
      <w:r w:rsidR="00955C51" w:rsidRPr="00955C51">
        <w:rPr>
          <w:szCs w:val="22"/>
          <w:lang w:val="en-CA"/>
        </w:rPr>
        <w:t xml:space="preserve">”: </w:t>
      </w:r>
      <w:r w:rsidR="00955C51" w:rsidRPr="00955C51">
        <w:rPr>
          <w:i/>
          <w:iCs/>
          <w:szCs w:val="22"/>
          <w:lang w:val="en-CA"/>
        </w:rPr>
        <w:t>Anderson</w:t>
      </w:r>
      <w:r w:rsidR="00955C51" w:rsidRPr="00955C51">
        <w:rPr>
          <w:szCs w:val="22"/>
          <w:lang w:val="en-CA"/>
        </w:rPr>
        <w:t xml:space="preserve">, at para. 30. The extradition judge’s starting point is that the certified evidence is presumptively reliable: see </w:t>
      </w:r>
      <w:r w:rsidR="00955C51" w:rsidRPr="00955C51">
        <w:rPr>
          <w:i/>
          <w:iCs/>
          <w:szCs w:val="22"/>
          <w:lang w:val="en-CA"/>
        </w:rPr>
        <w:t>Ferras</w:t>
      </w:r>
      <w:r w:rsidR="00955C51" w:rsidRPr="00955C51">
        <w:rPr>
          <w:szCs w:val="22"/>
          <w:lang w:val="en-CA"/>
        </w:rPr>
        <w:t xml:space="preserve">, at paras. 52-56. This presumption may only be rebutted by evidence showing “fundamental inadequacies or frailties in the material relied on by the requesting state”: </w:t>
      </w:r>
      <w:r w:rsidR="00955C51" w:rsidRPr="00955C51">
        <w:rPr>
          <w:i/>
          <w:iCs/>
          <w:szCs w:val="22"/>
          <w:lang w:val="en-CA"/>
        </w:rPr>
        <w:t>Anderson</w:t>
      </w:r>
      <w:r w:rsidR="00955C51" w:rsidRPr="00955C51">
        <w:rPr>
          <w:szCs w:val="22"/>
          <w:lang w:val="en-CA"/>
        </w:rPr>
        <w:t>, at para. 31</w:t>
      </w:r>
      <w:r w:rsidRPr="006B2147">
        <w:rPr>
          <w:szCs w:val="22"/>
          <w:lang w:val="en-CA"/>
        </w:rPr>
        <w:t>.</w:t>
      </w:r>
    </w:p>
    <w:p w14:paraId="169C9846" w14:textId="3027816A" w:rsidR="00FA6285" w:rsidRPr="006B2147" w:rsidRDefault="00B37A58" w:rsidP="00214F00">
      <w:pPr>
        <w:pStyle w:val="Citationenretrait"/>
        <w:jc w:val="right"/>
        <w:rPr>
          <w:rFonts w:cs="Arial"/>
          <w:lang w:val="en-CA"/>
        </w:rPr>
      </w:pPr>
      <w:r w:rsidRPr="006B2147">
        <w:rPr>
          <w:lang w:val="en-CA"/>
        </w:rPr>
        <w:t>[</w:t>
      </w:r>
      <w:r w:rsidR="00955C51">
        <w:rPr>
          <w:lang w:val="en-CA"/>
        </w:rPr>
        <w:t>Emphasis added</w:t>
      </w:r>
      <w:r w:rsidRPr="006B2147">
        <w:rPr>
          <w:lang w:val="en-CA"/>
        </w:rPr>
        <w:t xml:space="preserve">] </w:t>
      </w:r>
    </w:p>
    <w:p w14:paraId="7F1694BD" w14:textId="1C19AFFC" w:rsidR="00C22733" w:rsidRPr="006B2147" w:rsidRDefault="00B37A58" w:rsidP="00441741">
      <w:pPr>
        <w:pStyle w:val="Paragraphe"/>
        <w:spacing w:line="280" w:lineRule="exact"/>
        <w:rPr>
          <w:lang w:val="en-CA"/>
        </w:rPr>
      </w:pPr>
      <w:r>
        <w:rPr>
          <w:lang w:val="en-CA"/>
        </w:rPr>
        <w:t>In</w:t>
      </w:r>
      <w:r w:rsidR="008D53F9" w:rsidRPr="006B2147">
        <w:rPr>
          <w:lang w:val="en-CA"/>
        </w:rPr>
        <w:t xml:space="preserve"> </w:t>
      </w:r>
      <w:r>
        <w:rPr>
          <w:i/>
          <w:iCs/>
          <w:lang w:val="en-CA"/>
        </w:rPr>
        <w:t>United States of America</w:t>
      </w:r>
      <w:r w:rsidR="00F04DD8" w:rsidRPr="006B2147">
        <w:rPr>
          <w:i/>
          <w:iCs/>
          <w:lang w:val="en-CA"/>
        </w:rPr>
        <w:t xml:space="preserve"> </w:t>
      </w:r>
      <w:r>
        <w:rPr>
          <w:i/>
          <w:iCs/>
          <w:lang w:val="en-CA"/>
        </w:rPr>
        <w:t>v</w:t>
      </w:r>
      <w:r w:rsidR="00F04DD8" w:rsidRPr="006B2147">
        <w:rPr>
          <w:i/>
          <w:iCs/>
          <w:lang w:val="en-CA"/>
        </w:rPr>
        <w:t>. Ferras</w:t>
      </w:r>
      <w:r w:rsidRPr="00081248">
        <w:rPr>
          <w:lang w:val="en-CA"/>
        </w:rPr>
        <w:t>,</w:t>
      </w:r>
      <w:r>
        <w:rPr>
          <w:rStyle w:val="Appelnotedebasdep"/>
          <w:lang w:val="en-CA"/>
        </w:rPr>
        <w:footnoteReference w:id="41"/>
      </w:r>
      <w:r w:rsidR="00F04DD8" w:rsidRPr="006B2147">
        <w:rPr>
          <w:lang w:val="en-CA"/>
        </w:rPr>
        <w:t xml:space="preserve"> </w:t>
      </w:r>
      <w:r w:rsidR="00E07591">
        <w:rPr>
          <w:lang w:val="en-CA"/>
        </w:rPr>
        <w:t>the Supreme Court stated that the extradition judge ha</w:t>
      </w:r>
      <w:r w:rsidR="003016BD">
        <w:rPr>
          <w:lang w:val="en-CA"/>
        </w:rPr>
        <w:t>s</w:t>
      </w:r>
      <w:r w:rsidR="000B36BD">
        <w:rPr>
          <w:lang w:val="en-CA"/>
        </w:rPr>
        <w:t xml:space="preserve"> the</w:t>
      </w:r>
      <w:r w:rsidR="00E07591">
        <w:rPr>
          <w:lang w:val="en-CA"/>
        </w:rPr>
        <w:t xml:space="preserve"> discretion to refuse </w:t>
      </w:r>
      <w:r w:rsidR="00001DD9">
        <w:rPr>
          <w:lang w:val="en-CA"/>
        </w:rPr>
        <w:t xml:space="preserve">to order the </w:t>
      </w:r>
      <w:r w:rsidR="00E07591">
        <w:rPr>
          <w:lang w:val="en-CA"/>
        </w:rPr>
        <w:t xml:space="preserve">committal where the evidence is </w:t>
      </w:r>
      <w:r>
        <w:rPr>
          <w:lang w:val="en-CA"/>
        </w:rPr>
        <w:t>manifestly unreliable</w:t>
      </w:r>
      <w:r w:rsidR="002E128F" w:rsidRPr="006B2147">
        <w:rPr>
          <w:lang w:val="en-CA"/>
        </w:rPr>
        <w:t>.</w:t>
      </w:r>
      <w:r w:rsidR="00042218" w:rsidRPr="006B2147">
        <w:rPr>
          <w:lang w:val="en-CA"/>
        </w:rPr>
        <w:t xml:space="preserve"> </w:t>
      </w:r>
    </w:p>
    <w:p w14:paraId="309CB50D" w14:textId="7F1DD411" w:rsidR="00923434" w:rsidRPr="006B2147" w:rsidRDefault="00B37A58" w:rsidP="00441741">
      <w:pPr>
        <w:pStyle w:val="Paragraphe"/>
        <w:spacing w:line="280" w:lineRule="exact"/>
        <w:rPr>
          <w:lang w:val="en-CA"/>
        </w:rPr>
      </w:pPr>
      <w:r>
        <w:rPr>
          <w:lang w:val="en-CA"/>
        </w:rPr>
        <w:t xml:space="preserve">Identification evidence </w:t>
      </w:r>
      <w:r w:rsidR="005B176D">
        <w:rPr>
          <w:lang w:val="en-CA"/>
        </w:rPr>
        <w:t>is no exception to</w:t>
      </w:r>
      <w:r>
        <w:rPr>
          <w:lang w:val="en-CA"/>
        </w:rPr>
        <w:t xml:space="preserve"> those principles</w:t>
      </w:r>
      <w:r w:rsidR="000B36BD">
        <w:rPr>
          <w:lang w:val="en-CA"/>
        </w:rPr>
        <w:t>.</w:t>
      </w:r>
      <w:r>
        <w:rPr>
          <w:vertAlign w:val="superscript"/>
          <w:lang w:val="en-CA"/>
        </w:rPr>
        <w:footnoteReference w:id="42"/>
      </w:r>
      <w:r w:rsidR="005E0DD0" w:rsidRPr="006B2147">
        <w:rPr>
          <w:lang w:val="en-CA"/>
        </w:rPr>
        <w:t xml:space="preserve"> </w:t>
      </w:r>
      <w:r>
        <w:rPr>
          <w:lang w:val="en-CA"/>
        </w:rPr>
        <w:t xml:space="preserve">The judge must consider whether there exists </w:t>
      </w:r>
      <w:r w:rsidRPr="00E07591">
        <w:rPr>
          <w:i/>
          <w:iCs/>
          <w:lang w:val="en-CA"/>
        </w:rPr>
        <w:t>prima facie</w:t>
      </w:r>
      <w:r>
        <w:rPr>
          <w:lang w:val="en-CA"/>
        </w:rPr>
        <w:t xml:space="preserve"> evidence that the person</w:t>
      </w:r>
      <w:r w:rsidR="000B36BD">
        <w:rPr>
          <w:lang w:val="en-CA"/>
        </w:rPr>
        <w:t xml:space="preserve"> appearing before them</w:t>
      </w:r>
      <w:r>
        <w:rPr>
          <w:lang w:val="en-CA"/>
        </w:rPr>
        <w:t xml:space="preserve"> is indeed the person </w:t>
      </w:r>
      <w:r w:rsidR="005B176D">
        <w:rPr>
          <w:lang w:val="en-CA"/>
        </w:rPr>
        <w:t>whose conduct</w:t>
      </w:r>
      <w:r w:rsidR="005B176D" w:rsidRPr="005B176D">
        <w:rPr>
          <w:lang w:val="en-CA"/>
        </w:rPr>
        <w:t xml:space="preserve"> gave rise to the extradition request</w:t>
      </w:r>
      <w:r w:rsidRPr="006B2147">
        <w:rPr>
          <w:lang w:val="en-CA"/>
        </w:rPr>
        <w:t>.</w:t>
      </w:r>
    </w:p>
    <w:p w14:paraId="24850C47" w14:textId="2DD0BCA1" w:rsidR="00935CFB" w:rsidRPr="006B2147" w:rsidRDefault="00B37A58" w:rsidP="00441741">
      <w:pPr>
        <w:pStyle w:val="Paragraphe"/>
        <w:spacing w:line="280" w:lineRule="exact"/>
        <w:rPr>
          <w:lang w:val="en-CA"/>
        </w:rPr>
      </w:pPr>
      <w:r>
        <w:rPr>
          <w:lang w:val="en-CA"/>
        </w:rPr>
        <w:t>The judge in first instance</w:t>
      </w:r>
      <w:r w:rsidR="00023267">
        <w:rPr>
          <w:lang w:val="en-CA"/>
        </w:rPr>
        <w:t xml:space="preserve"> did in fact engage in such an exercise, as is discussed below</w:t>
      </w:r>
      <w:r w:rsidR="00475795" w:rsidRPr="006B2147">
        <w:rPr>
          <w:lang w:val="en-CA"/>
        </w:rPr>
        <w:t>.</w:t>
      </w:r>
    </w:p>
    <w:p w14:paraId="4F114612" w14:textId="6FC9E25F" w:rsidR="004A6DC8" w:rsidRPr="006B2147" w:rsidRDefault="00B37A58" w:rsidP="00441741">
      <w:pPr>
        <w:pStyle w:val="Titre1"/>
        <w:spacing w:line="280" w:lineRule="exact"/>
        <w:rPr>
          <w:lang w:val="en-CA"/>
        </w:rPr>
      </w:pPr>
      <w:r w:rsidRPr="006B2147">
        <w:rPr>
          <w:lang w:val="en-CA"/>
        </w:rPr>
        <w:t>VI.</w:t>
      </w:r>
      <w:r w:rsidR="00C27AC3" w:rsidRPr="006B2147">
        <w:rPr>
          <w:lang w:val="en-CA"/>
        </w:rPr>
        <w:tab/>
      </w:r>
      <w:r w:rsidRPr="006B2147">
        <w:rPr>
          <w:lang w:val="en-CA"/>
        </w:rPr>
        <w:t>ANALYS</w:t>
      </w:r>
      <w:r w:rsidR="005B176D">
        <w:rPr>
          <w:lang w:val="en-CA"/>
        </w:rPr>
        <w:t>IS</w:t>
      </w:r>
    </w:p>
    <w:p w14:paraId="64A05451" w14:textId="398DEA55" w:rsidR="00A53504" w:rsidRPr="006B2147" w:rsidRDefault="00B37A58" w:rsidP="00441741">
      <w:pPr>
        <w:pStyle w:val="Titre2"/>
        <w:numPr>
          <w:ilvl w:val="0"/>
          <w:numId w:val="54"/>
        </w:numPr>
        <w:spacing w:line="280" w:lineRule="exact"/>
        <w:rPr>
          <w:lang w:val="en-CA"/>
        </w:rPr>
      </w:pPr>
      <w:r>
        <w:rPr>
          <w:lang w:val="en-CA"/>
        </w:rPr>
        <w:t>Did the extradition</w:t>
      </w:r>
      <w:r w:rsidR="00C3526C">
        <w:rPr>
          <w:lang w:val="en-CA"/>
        </w:rPr>
        <w:t xml:space="preserve"> </w:t>
      </w:r>
      <w:r>
        <w:rPr>
          <w:lang w:val="en-CA"/>
        </w:rPr>
        <w:t>judge</w:t>
      </w:r>
      <w:r w:rsidR="008A41D5" w:rsidRPr="006B2147">
        <w:rPr>
          <w:lang w:val="en-CA"/>
        </w:rPr>
        <w:t xml:space="preserve"> </w:t>
      </w:r>
      <w:r w:rsidRPr="00234592">
        <w:rPr>
          <w:lang w:val="en-CA"/>
        </w:rPr>
        <w:t>excee</w:t>
      </w:r>
      <w:r>
        <w:rPr>
          <w:lang w:val="en-CA"/>
        </w:rPr>
        <w:t xml:space="preserve">d </w:t>
      </w:r>
      <w:r w:rsidRPr="00234592">
        <w:rPr>
          <w:lang w:val="en-CA"/>
        </w:rPr>
        <w:t>his role in assessing the ultimate reliability of the witness evidence</w:t>
      </w:r>
      <w:r w:rsidR="008A41D5" w:rsidRPr="006B2147">
        <w:rPr>
          <w:lang w:val="en-CA"/>
        </w:rPr>
        <w:t>?</w:t>
      </w:r>
    </w:p>
    <w:p w14:paraId="070D4FE9" w14:textId="5D626281" w:rsidR="0027220D" w:rsidRPr="006B2147" w:rsidRDefault="00B37A58" w:rsidP="00441741">
      <w:pPr>
        <w:pStyle w:val="Paragraphe"/>
        <w:spacing w:line="280" w:lineRule="exact"/>
        <w:rPr>
          <w:rFonts w:eastAsiaTheme="minorHAnsi"/>
          <w:lang w:val="en-CA" w:eastAsia="en-US"/>
        </w:rPr>
      </w:pPr>
      <w:r>
        <w:rPr>
          <w:rFonts w:eastAsiaTheme="minorHAnsi"/>
          <w:lang w:val="en-CA" w:eastAsia="en-US"/>
        </w:rPr>
        <w:t>The appellant</w:t>
      </w:r>
      <w:r w:rsidR="00F42A53">
        <w:rPr>
          <w:rFonts w:eastAsiaTheme="minorHAnsi"/>
          <w:lang w:val="en-CA" w:eastAsia="en-US"/>
        </w:rPr>
        <w:t>’s position is</w:t>
      </w:r>
      <w:r>
        <w:rPr>
          <w:rFonts w:eastAsiaTheme="minorHAnsi"/>
          <w:lang w:val="en-CA" w:eastAsia="en-US"/>
        </w:rPr>
        <w:t xml:space="preserve"> that the judge erred </w:t>
      </w:r>
      <w:r w:rsidR="00F42A53">
        <w:rPr>
          <w:rFonts w:eastAsiaTheme="minorHAnsi"/>
          <w:lang w:val="en-CA" w:eastAsia="en-US"/>
        </w:rPr>
        <w:t>because</w:t>
      </w:r>
      <w:r>
        <w:rPr>
          <w:rFonts w:eastAsiaTheme="minorHAnsi"/>
          <w:lang w:val="en-CA" w:eastAsia="en-US"/>
        </w:rPr>
        <w:t xml:space="preserve"> his role, at this stage, was limited to the issue of whether there </w:t>
      </w:r>
      <w:r w:rsidR="00A04345">
        <w:rPr>
          <w:rFonts w:eastAsiaTheme="minorHAnsi"/>
          <w:lang w:val="en-CA" w:eastAsia="en-US"/>
        </w:rPr>
        <w:t>existed a case</w:t>
      </w:r>
      <w:r>
        <w:rPr>
          <w:rFonts w:eastAsiaTheme="minorHAnsi"/>
          <w:lang w:val="en-CA" w:eastAsia="en-US"/>
        </w:rPr>
        <w:t xml:space="preserve"> </w:t>
      </w:r>
      <w:r w:rsidR="00A04345">
        <w:rPr>
          <w:rFonts w:eastAsiaTheme="minorHAnsi"/>
          <w:lang w:val="en-CA" w:eastAsia="en-US"/>
        </w:rPr>
        <w:t>on which</w:t>
      </w:r>
      <w:r>
        <w:rPr>
          <w:rFonts w:eastAsiaTheme="minorHAnsi"/>
          <w:lang w:val="en-CA" w:eastAsia="en-US"/>
        </w:rPr>
        <w:t xml:space="preserve"> respondent</w:t>
      </w:r>
      <w:r w:rsidR="00A04345">
        <w:rPr>
          <w:rFonts w:eastAsiaTheme="minorHAnsi"/>
          <w:lang w:val="en-CA" w:eastAsia="en-US"/>
        </w:rPr>
        <w:t xml:space="preserve"> could</w:t>
      </w:r>
      <w:r>
        <w:rPr>
          <w:rFonts w:eastAsiaTheme="minorHAnsi"/>
          <w:lang w:val="en-CA" w:eastAsia="en-US"/>
        </w:rPr>
        <w:t xml:space="preserve"> </w:t>
      </w:r>
      <w:r w:rsidR="00F42A53">
        <w:rPr>
          <w:rFonts w:eastAsiaTheme="minorHAnsi"/>
          <w:lang w:val="en-CA" w:eastAsia="en-US"/>
        </w:rPr>
        <w:t>be committed to trial in Canada</w:t>
      </w:r>
      <w:r w:rsidR="00C651FC" w:rsidRPr="006B2147">
        <w:rPr>
          <w:rFonts w:eastAsiaTheme="minorHAnsi"/>
          <w:lang w:val="en-CA" w:eastAsia="en-US"/>
        </w:rPr>
        <w:t xml:space="preserve">. </w:t>
      </w:r>
      <w:r>
        <w:rPr>
          <w:rFonts w:eastAsiaTheme="minorHAnsi"/>
          <w:lang w:val="en-CA" w:eastAsia="en-US"/>
        </w:rPr>
        <w:t>Due to the principle of comity</w:t>
      </w:r>
      <w:r w:rsidR="00C651FC" w:rsidRPr="006B2147">
        <w:rPr>
          <w:rFonts w:eastAsiaTheme="minorHAnsi"/>
          <w:lang w:val="en-CA" w:eastAsia="en-US"/>
        </w:rPr>
        <w:t xml:space="preserve">, </w:t>
      </w:r>
      <w:r w:rsidR="00F42A53" w:rsidRPr="00F42A53">
        <w:rPr>
          <w:rFonts w:eastAsiaTheme="minorHAnsi"/>
          <w:lang w:val="en-CA" w:eastAsia="en-US"/>
        </w:rPr>
        <w:t xml:space="preserve">certification </w:t>
      </w:r>
      <w:r w:rsidR="00F42A53">
        <w:rPr>
          <w:rFonts w:eastAsiaTheme="minorHAnsi"/>
          <w:lang w:val="en-CA" w:eastAsia="en-US"/>
        </w:rPr>
        <w:t>of</w:t>
      </w:r>
      <w:r w:rsidR="00F42A53" w:rsidRPr="00F42A53">
        <w:rPr>
          <w:rFonts w:eastAsiaTheme="minorHAnsi"/>
          <w:lang w:val="en-CA" w:eastAsia="en-US"/>
        </w:rPr>
        <w:t xml:space="preserve"> the record of the case</w:t>
      </w:r>
      <w:r w:rsidR="00F42A53">
        <w:rPr>
          <w:rFonts w:eastAsiaTheme="minorHAnsi"/>
          <w:lang w:val="en-CA" w:eastAsia="en-US"/>
        </w:rPr>
        <w:t xml:space="preserve"> </w:t>
      </w:r>
      <w:r w:rsidR="00F42A53" w:rsidRPr="00F42A53">
        <w:rPr>
          <w:rFonts w:eastAsiaTheme="minorHAnsi"/>
          <w:lang w:val="en-CA" w:eastAsia="en-US"/>
        </w:rPr>
        <w:t>raise</w:t>
      </w:r>
      <w:r w:rsidR="00F42A53">
        <w:rPr>
          <w:rFonts w:eastAsiaTheme="minorHAnsi"/>
          <w:lang w:val="en-CA" w:eastAsia="en-US"/>
        </w:rPr>
        <w:t>d</w:t>
      </w:r>
      <w:r w:rsidR="00F42A53" w:rsidRPr="00F42A53">
        <w:rPr>
          <w:rFonts w:eastAsiaTheme="minorHAnsi"/>
          <w:lang w:val="en-CA" w:eastAsia="en-US"/>
        </w:rPr>
        <w:t xml:space="preserve"> a presumption that the evidence is reliable and available for trial</w:t>
      </w:r>
      <w:r w:rsidR="00C651FC" w:rsidRPr="006B2147">
        <w:rPr>
          <w:rFonts w:eastAsiaTheme="minorHAnsi"/>
          <w:lang w:val="en-CA" w:eastAsia="en-US"/>
        </w:rPr>
        <w:t xml:space="preserve">. </w:t>
      </w:r>
    </w:p>
    <w:p w14:paraId="34BBDE68" w14:textId="46C3DC7B" w:rsidR="00C57038" w:rsidRPr="006B2147" w:rsidRDefault="00B37A58" w:rsidP="00441741">
      <w:pPr>
        <w:pStyle w:val="Paragraphe"/>
        <w:spacing w:line="280" w:lineRule="exact"/>
        <w:rPr>
          <w:szCs w:val="22"/>
          <w:lang w:val="en-CA"/>
        </w:rPr>
      </w:pPr>
      <w:r>
        <w:rPr>
          <w:lang w:val="en-CA"/>
        </w:rPr>
        <w:t xml:space="preserve">The appellant argues that the judge exceeded his role which was to engage in a </w:t>
      </w:r>
      <w:r w:rsidRPr="00A04345">
        <w:rPr>
          <w:lang w:val="en-CA"/>
        </w:rPr>
        <w:t xml:space="preserve">limited weighing of </w:t>
      </w:r>
      <w:r w:rsidR="00C3526C">
        <w:rPr>
          <w:lang w:val="en-CA"/>
        </w:rPr>
        <w:t xml:space="preserve">the </w:t>
      </w:r>
      <w:r w:rsidRPr="00A04345">
        <w:rPr>
          <w:lang w:val="en-CA"/>
        </w:rPr>
        <w:t>evidence to determine whether a reasonable jury</w:t>
      </w:r>
      <w:r w:rsidR="00001DD9">
        <w:rPr>
          <w:lang w:val="en-CA"/>
        </w:rPr>
        <w:t xml:space="preserve">, having been </w:t>
      </w:r>
      <w:r w:rsidR="00C3526C">
        <w:rPr>
          <w:lang w:val="en-CA"/>
        </w:rPr>
        <w:t>properly</w:t>
      </w:r>
      <w:r w:rsidR="00001DD9">
        <w:rPr>
          <w:lang w:val="en-CA"/>
        </w:rPr>
        <w:t xml:space="preserve"> instructed, could find Mr. Brahimi guilty beyond a reasonable doubt</w:t>
      </w:r>
      <w:r w:rsidR="00C51BD6" w:rsidRPr="006B2147">
        <w:rPr>
          <w:lang w:val="en-CA"/>
        </w:rPr>
        <w:t xml:space="preserve">. </w:t>
      </w:r>
    </w:p>
    <w:p w14:paraId="6C089550" w14:textId="2269DBBC" w:rsidR="00C57038" w:rsidRPr="006B2147" w:rsidRDefault="00B37A58" w:rsidP="00441741">
      <w:pPr>
        <w:pStyle w:val="Paragraphe"/>
        <w:spacing w:line="280" w:lineRule="exact"/>
        <w:rPr>
          <w:lang w:val="en-CA"/>
        </w:rPr>
      </w:pPr>
      <w:r>
        <w:rPr>
          <w:rFonts w:eastAsiaTheme="minorHAnsi"/>
          <w:lang w:val="en-CA" w:eastAsia="en-US"/>
        </w:rPr>
        <w:t>While acknowledging that the extradition judge may, in rare cases, disregard the evidence</w:t>
      </w:r>
      <w:r w:rsidRPr="006B2147">
        <w:rPr>
          <w:rFonts w:eastAsiaTheme="minorHAnsi"/>
          <w:lang w:val="en-CA" w:eastAsia="en-US"/>
        </w:rPr>
        <w:t xml:space="preserve"> </w:t>
      </w:r>
      <w:r>
        <w:rPr>
          <w:rFonts w:eastAsiaTheme="minorHAnsi"/>
          <w:lang w:val="en-CA" w:eastAsia="en-US"/>
        </w:rPr>
        <w:t xml:space="preserve">where it is “so manifestly unreliable” that it would be “dangerous or unsafe” to act on it, the appellant argues that the extradition judge cannot however assess </w:t>
      </w:r>
      <w:r w:rsidR="00BA7857">
        <w:rPr>
          <w:rFonts w:eastAsiaTheme="minorHAnsi"/>
          <w:lang w:val="en-CA" w:eastAsia="en-US"/>
        </w:rPr>
        <w:t>the relative value of the evidence nor rule on the ultimate issue of reliability of the evidence</w:t>
      </w:r>
      <w:r w:rsidRPr="006B2147">
        <w:rPr>
          <w:rFonts w:eastAsiaTheme="minorHAnsi"/>
          <w:lang w:val="en-CA" w:eastAsia="en-US"/>
        </w:rPr>
        <w:t xml:space="preserve">. </w:t>
      </w:r>
      <w:r w:rsidR="00C3526C">
        <w:rPr>
          <w:rFonts w:eastAsiaTheme="minorHAnsi"/>
          <w:lang w:val="en-CA" w:eastAsia="en-US"/>
        </w:rPr>
        <w:t>The appellant</w:t>
      </w:r>
      <w:r w:rsidR="00BA7857">
        <w:rPr>
          <w:rFonts w:eastAsiaTheme="minorHAnsi"/>
          <w:lang w:val="en-CA" w:eastAsia="en-US"/>
        </w:rPr>
        <w:t xml:space="preserve"> clai</w:t>
      </w:r>
      <w:r w:rsidR="00C3526C">
        <w:rPr>
          <w:rFonts w:eastAsiaTheme="minorHAnsi"/>
          <w:lang w:val="en-CA" w:eastAsia="en-US"/>
        </w:rPr>
        <w:t>m</w:t>
      </w:r>
      <w:r w:rsidR="00BA7857">
        <w:rPr>
          <w:rFonts w:eastAsiaTheme="minorHAnsi"/>
          <w:lang w:val="en-CA" w:eastAsia="en-US"/>
        </w:rPr>
        <w:t xml:space="preserve">s that by focussing on the </w:t>
      </w:r>
      <w:r w:rsidR="00C3526C">
        <w:rPr>
          <w:rFonts w:eastAsiaTheme="minorHAnsi"/>
          <w:lang w:val="en-CA" w:eastAsia="en-US"/>
        </w:rPr>
        <w:t>contradictions</w:t>
      </w:r>
      <w:r w:rsidR="00BA7857">
        <w:rPr>
          <w:rFonts w:eastAsiaTheme="minorHAnsi"/>
          <w:lang w:val="en-CA" w:eastAsia="en-US"/>
        </w:rPr>
        <w:t xml:space="preserve"> between the versions provided by </w:t>
      </w:r>
      <w:r w:rsidR="00F87806">
        <w:rPr>
          <w:rFonts w:eastAsiaTheme="minorHAnsi"/>
          <w:lang w:val="en-CA" w:eastAsia="en-US"/>
        </w:rPr>
        <w:t>Mrs. Brace</w:t>
      </w:r>
      <w:r w:rsidR="00447CEB">
        <w:rPr>
          <w:rFonts w:eastAsiaTheme="minorHAnsi"/>
          <w:lang w:val="en-CA" w:eastAsia="en-US"/>
        </w:rPr>
        <w:t>, he s</w:t>
      </w:r>
      <w:r w:rsidR="00447CEB" w:rsidRPr="00447CEB">
        <w:rPr>
          <w:rFonts w:eastAsiaTheme="minorHAnsi"/>
          <w:lang w:val="en-CA" w:eastAsia="en-US"/>
        </w:rPr>
        <w:t>tray</w:t>
      </w:r>
      <w:r w:rsidR="00447CEB">
        <w:rPr>
          <w:rFonts w:eastAsiaTheme="minorHAnsi"/>
          <w:lang w:val="en-CA" w:eastAsia="en-US"/>
        </w:rPr>
        <w:t>ed</w:t>
      </w:r>
      <w:r w:rsidR="00447CEB" w:rsidRPr="00447CEB">
        <w:rPr>
          <w:rFonts w:eastAsiaTheme="minorHAnsi"/>
          <w:lang w:val="en-CA" w:eastAsia="en-US"/>
        </w:rPr>
        <w:t xml:space="preserve"> into the territory </w:t>
      </w:r>
      <w:r w:rsidR="00447CEB">
        <w:rPr>
          <w:rFonts w:eastAsiaTheme="minorHAnsi"/>
          <w:lang w:val="en-CA" w:eastAsia="en-US"/>
        </w:rPr>
        <w:t>of the</w:t>
      </w:r>
      <w:r w:rsidRPr="006B2147">
        <w:rPr>
          <w:rFonts w:eastAsiaTheme="minorHAnsi"/>
          <w:lang w:val="en-CA" w:eastAsia="en-US"/>
        </w:rPr>
        <w:t xml:space="preserve"> </w:t>
      </w:r>
      <w:r w:rsidR="00BA7857">
        <w:rPr>
          <w:rFonts w:eastAsiaTheme="minorHAnsi"/>
          <w:lang w:val="en-CA" w:eastAsia="en-US"/>
        </w:rPr>
        <w:t>assessment of the witnesses’ credibility</w:t>
      </w:r>
      <w:r w:rsidRPr="006B2147">
        <w:rPr>
          <w:rFonts w:eastAsiaTheme="minorHAnsi"/>
          <w:lang w:val="en-CA" w:eastAsia="en-US"/>
        </w:rPr>
        <w:t xml:space="preserve">, </w:t>
      </w:r>
      <w:r w:rsidR="00BA7857">
        <w:rPr>
          <w:rFonts w:eastAsiaTheme="minorHAnsi"/>
          <w:lang w:val="en-CA" w:eastAsia="en-US"/>
        </w:rPr>
        <w:t>an issue reserved for the trial judge</w:t>
      </w:r>
      <w:r w:rsidRPr="006B2147">
        <w:rPr>
          <w:rFonts w:eastAsiaTheme="minorHAnsi"/>
          <w:lang w:val="en-CA" w:eastAsia="en-US"/>
        </w:rPr>
        <w:t xml:space="preserve">. </w:t>
      </w:r>
      <w:r w:rsidR="00C3526C">
        <w:rPr>
          <w:rFonts w:eastAsiaTheme="minorHAnsi"/>
          <w:lang w:val="en-CA" w:eastAsia="en-US"/>
        </w:rPr>
        <w:t>The appellant</w:t>
      </w:r>
      <w:r w:rsidR="00447CEB">
        <w:rPr>
          <w:rFonts w:eastAsiaTheme="minorHAnsi"/>
          <w:lang w:val="en-CA" w:eastAsia="en-US"/>
        </w:rPr>
        <w:t xml:space="preserve"> </w:t>
      </w:r>
      <w:r w:rsidR="00602447">
        <w:rPr>
          <w:rFonts w:eastAsiaTheme="minorHAnsi"/>
          <w:lang w:val="en-CA" w:eastAsia="en-US"/>
        </w:rPr>
        <w:t>elaborated in these terms</w:t>
      </w:r>
      <w:r w:rsidRPr="006B2147">
        <w:rPr>
          <w:rFonts w:eastAsiaTheme="minorHAnsi"/>
          <w:lang w:val="en-CA" w:eastAsia="en-US"/>
        </w:rPr>
        <w:t>:</w:t>
      </w:r>
    </w:p>
    <w:p w14:paraId="20550098" w14:textId="26AA0E05" w:rsidR="00C57038" w:rsidRPr="006B2147" w:rsidRDefault="00B37A58" w:rsidP="00C57038">
      <w:pPr>
        <w:pStyle w:val="Citationenretrait"/>
        <w:rPr>
          <w:lang w:val="en-CA"/>
        </w:rPr>
      </w:pPr>
      <w:r w:rsidRPr="006B2147">
        <w:rPr>
          <w:lang w:val="en-CA"/>
        </w:rPr>
        <w:t>37.</w:t>
      </w:r>
      <w:r w:rsidRPr="006B2147">
        <w:rPr>
          <w:lang w:val="en-CA"/>
        </w:rPr>
        <w:tab/>
        <w:t xml:space="preserve">It is not open to the extradition judge to assess the credibility of witnesses or to evaluate the strength of the case. If there is some evidence of each of the essential </w:t>
      </w:r>
      <w:r w:rsidRPr="006B2147">
        <w:rPr>
          <w:rFonts w:eastAsia="Courier New" w:hAnsi="Courier New" w:cs="Courier New"/>
          <w:w w:val="105"/>
          <w:lang w:val="en-CA" w:eastAsia="en-US"/>
        </w:rPr>
        <w:t>elements</w:t>
      </w:r>
      <w:r w:rsidRPr="006B2147">
        <w:rPr>
          <w:rFonts w:eastAsia="Courier New" w:hAnsi="Courier New" w:cs="Courier New"/>
          <w:spacing w:val="78"/>
          <w:w w:val="105"/>
          <w:lang w:val="en-CA" w:eastAsia="en-US"/>
        </w:rPr>
        <w:t xml:space="preserve"> </w:t>
      </w:r>
      <w:r w:rsidRPr="006B2147">
        <w:rPr>
          <w:rFonts w:eastAsia="Courier New" w:hAnsi="Courier New" w:cs="Courier New"/>
          <w:w w:val="105"/>
          <w:lang w:val="en-CA" w:eastAsia="en-US"/>
        </w:rPr>
        <w:t>of</w:t>
      </w:r>
      <w:r w:rsidRPr="006B2147">
        <w:rPr>
          <w:rFonts w:eastAsia="Courier New" w:hAnsi="Courier New" w:cs="Courier New"/>
          <w:spacing w:val="73"/>
          <w:w w:val="105"/>
          <w:lang w:val="en-CA" w:eastAsia="en-US"/>
        </w:rPr>
        <w:t xml:space="preserve"> </w:t>
      </w:r>
      <w:r w:rsidRPr="006B2147">
        <w:rPr>
          <w:rFonts w:eastAsia="Courier New" w:hAnsi="Courier New" w:cs="Courier New"/>
          <w:w w:val="105"/>
          <w:lang w:val="en-CA" w:eastAsia="en-US"/>
        </w:rPr>
        <w:t>the</w:t>
      </w:r>
      <w:r w:rsidRPr="006B2147">
        <w:rPr>
          <w:rFonts w:eastAsia="Courier New" w:hAnsi="Courier New" w:cs="Courier New"/>
          <w:spacing w:val="79"/>
          <w:w w:val="105"/>
          <w:lang w:val="en-CA" w:eastAsia="en-US"/>
        </w:rPr>
        <w:t xml:space="preserve"> </w:t>
      </w:r>
      <w:r w:rsidRPr="006B2147">
        <w:rPr>
          <w:rFonts w:eastAsia="Courier New" w:hAnsi="Courier New" w:cs="Courier New"/>
          <w:w w:val="105"/>
          <w:lang w:val="en-CA" w:eastAsia="en-US"/>
        </w:rPr>
        <w:t>offence(s)</w:t>
      </w:r>
      <w:r w:rsidRPr="006B2147">
        <w:rPr>
          <w:rFonts w:eastAsia="Courier New" w:hAnsi="Courier New" w:cs="Courier New"/>
          <w:spacing w:val="80"/>
          <w:w w:val="105"/>
          <w:lang w:val="en-CA" w:eastAsia="en-US"/>
        </w:rPr>
        <w:t xml:space="preserve"> </w:t>
      </w:r>
      <w:r w:rsidRPr="006B2147">
        <w:rPr>
          <w:rFonts w:eastAsia="Courier New" w:hAnsi="Courier New" w:cs="Courier New"/>
          <w:w w:val="105"/>
          <w:lang w:val="en-CA" w:eastAsia="en-US"/>
        </w:rPr>
        <w:t>and</w:t>
      </w:r>
      <w:r w:rsidRPr="006B2147">
        <w:rPr>
          <w:rFonts w:eastAsia="Courier New" w:hAnsi="Courier New" w:cs="Courier New"/>
          <w:spacing w:val="79"/>
          <w:w w:val="105"/>
          <w:lang w:val="en-CA" w:eastAsia="en-US"/>
        </w:rPr>
        <w:t xml:space="preserve"> </w:t>
      </w:r>
      <w:r w:rsidRPr="006B2147">
        <w:rPr>
          <w:rFonts w:eastAsia="Courier New" w:hAnsi="Courier New" w:cs="Courier New"/>
          <w:w w:val="105"/>
          <w:lang w:val="en-CA" w:eastAsia="en-US"/>
        </w:rPr>
        <w:t>the</w:t>
      </w:r>
      <w:r w:rsidRPr="006B2147">
        <w:rPr>
          <w:rFonts w:eastAsia="Courier New" w:hAnsi="Courier New" w:cs="Courier New"/>
          <w:spacing w:val="79"/>
          <w:w w:val="105"/>
          <w:lang w:val="en-CA" w:eastAsia="en-US"/>
        </w:rPr>
        <w:t xml:space="preserve"> </w:t>
      </w:r>
      <w:r w:rsidRPr="006B2147">
        <w:rPr>
          <w:rFonts w:eastAsia="Courier New" w:hAnsi="Courier New" w:cs="Courier New"/>
          <w:w w:val="105"/>
          <w:lang w:val="en-CA" w:eastAsia="en-US"/>
        </w:rPr>
        <w:t>identity</w:t>
      </w:r>
      <w:r w:rsidRPr="006B2147">
        <w:rPr>
          <w:rFonts w:eastAsia="Courier New" w:hAnsi="Courier New" w:cs="Courier New"/>
          <w:spacing w:val="78"/>
          <w:w w:val="105"/>
          <w:lang w:val="en-CA" w:eastAsia="en-US"/>
        </w:rPr>
        <w:t xml:space="preserve"> </w:t>
      </w:r>
      <w:r w:rsidRPr="006B2147">
        <w:rPr>
          <w:rFonts w:eastAsia="Courier New" w:hAnsi="Courier New" w:cs="Courier New"/>
          <w:w w:val="105"/>
          <w:lang w:val="en-CA" w:eastAsia="en-US"/>
        </w:rPr>
        <w:t>of</w:t>
      </w:r>
      <w:r w:rsidRPr="006B2147">
        <w:rPr>
          <w:rFonts w:eastAsia="Courier New" w:hAnsi="Courier New" w:cs="Courier New"/>
          <w:spacing w:val="73"/>
          <w:w w:val="105"/>
          <w:lang w:val="en-CA" w:eastAsia="en-US"/>
        </w:rPr>
        <w:t xml:space="preserve"> </w:t>
      </w:r>
      <w:r w:rsidRPr="006B2147">
        <w:rPr>
          <w:rFonts w:eastAsia="Courier New" w:hAnsi="Courier New" w:cs="Courier New"/>
          <w:w w:val="105"/>
          <w:lang w:val="en-CA" w:eastAsia="en-US"/>
        </w:rPr>
        <w:t>the</w:t>
      </w:r>
      <w:r w:rsidRPr="006B2147">
        <w:rPr>
          <w:rFonts w:eastAsia="Courier New" w:hAnsi="Courier New" w:cs="Courier New"/>
          <w:spacing w:val="80"/>
          <w:w w:val="105"/>
          <w:lang w:val="en-CA" w:eastAsia="en-US"/>
        </w:rPr>
        <w:t xml:space="preserve"> </w:t>
      </w:r>
      <w:r w:rsidRPr="006B2147">
        <w:rPr>
          <w:rFonts w:eastAsia="Courier New" w:hAnsi="Courier New" w:cs="Courier New"/>
          <w:w w:val="105"/>
          <w:lang w:val="en-CA" w:eastAsia="en-US"/>
        </w:rPr>
        <w:t>person</w:t>
      </w:r>
      <w:r w:rsidRPr="006B2147">
        <w:rPr>
          <w:rFonts w:eastAsia="Courier New" w:hAnsi="Courier New" w:cs="Courier New"/>
          <w:spacing w:val="72"/>
          <w:w w:val="105"/>
          <w:lang w:val="en-CA" w:eastAsia="en-US"/>
        </w:rPr>
        <w:t xml:space="preserve"> </w:t>
      </w:r>
      <w:r w:rsidRPr="006B2147">
        <w:rPr>
          <w:rFonts w:eastAsia="Courier New" w:hAnsi="Courier New" w:cs="Courier New"/>
          <w:w w:val="105"/>
          <w:lang w:val="en-CA" w:eastAsia="en-US"/>
        </w:rPr>
        <w:t>sought</w:t>
      </w:r>
      <w:r w:rsidRPr="006B2147">
        <w:rPr>
          <w:rFonts w:eastAsia="Courier New" w:hAnsi="Courier New" w:cs="Courier New"/>
          <w:spacing w:val="80"/>
          <w:w w:val="105"/>
          <w:lang w:val="en-CA" w:eastAsia="en-US"/>
        </w:rPr>
        <w:t xml:space="preserve"> </w:t>
      </w:r>
      <w:r w:rsidRPr="006B2147">
        <w:rPr>
          <w:rFonts w:eastAsia="Courier New" w:hAnsi="Courier New" w:cs="Courier New"/>
          <w:w w:val="105"/>
          <w:lang w:val="en-CA" w:eastAsia="en-US"/>
        </w:rPr>
        <w:t>has</w:t>
      </w:r>
      <w:r w:rsidRPr="006B2147">
        <w:rPr>
          <w:rFonts w:eastAsia="Courier New" w:hAnsi="Courier New" w:cs="Courier New"/>
          <w:spacing w:val="80"/>
          <w:w w:val="105"/>
          <w:lang w:val="en-CA" w:eastAsia="en-US"/>
        </w:rPr>
        <w:t xml:space="preserve"> </w:t>
      </w:r>
      <w:r w:rsidRPr="006B2147">
        <w:rPr>
          <w:rFonts w:eastAsia="Courier New" w:hAnsi="Courier New" w:cs="Courier New"/>
          <w:w w:val="105"/>
          <w:lang w:val="en-CA" w:eastAsia="en-US"/>
        </w:rPr>
        <w:t xml:space="preserve">been established, the test under section 29(1) of the </w:t>
      </w:r>
      <w:r w:rsidRPr="006B2147">
        <w:rPr>
          <w:rFonts w:eastAsia="Courier New" w:hAnsi="Courier New" w:cs="Courier New"/>
          <w:i/>
          <w:w w:val="105"/>
          <w:lang w:val="en-CA" w:eastAsia="en-US"/>
        </w:rPr>
        <w:t xml:space="preserve">Act </w:t>
      </w:r>
      <w:r w:rsidRPr="006B2147">
        <w:rPr>
          <w:rFonts w:eastAsia="Courier New" w:hAnsi="Courier New" w:cs="Courier New"/>
          <w:w w:val="105"/>
          <w:lang w:val="en-CA" w:eastAsia="en-US"/>
        </w:rPr>
        <w:t>has been met</w:t>
      </w:r>
      <w:bookmarkStart w:id="30" w:name="_Ref210910520"/>
      <w:r w:rsidR="00447CEB">
        <w:rPr>
          <w:rFonts w:eastAsia="Courier New" w:hAnsi="Courier New" w:cs="Courier New"/>
          <w:w w:val="105"/>
          <w:lang w:val="en-CA" w:eastAsia="en-US"/>
        </w:rPr>
        <w:t>.</w:t>
      </w:r>
      <w:r>
        <w:rPr>
          <w:rStyle w:val="Appelnotedebasdep"/>
          <w:rFonts w:eastAsia="Courier New" w:hAnsi="Courier New" w:cs="Courier New"/>
          <w:w w:val="105"/>
          <w:lang w:val="en-CA" w:eastAsia="en-US"/>
        </w:rPr>
        <w:footnoteReference w:id="43"/>
      </w:r>
      <w:bookmarkEnd w:id="30"/>
      <w:r w:rsidRPr="006B2147">
        <w:rPr>
          <w:lang w:val="en-CA"/>
        </w:rPr>
        <w:t xml:space="preserve"> </w:t>
      </w:r>
    </w:p>
    <w:p w14:paraId="78049BA9" w14:textId="0FD16D99" w:rsidR="00C57038" w:rsidRPr="006B2147" w:rsidRDefault="00B37A58" w:rsidP="00441741">
      <w:pPr>
        <w:pStyle w:val="Paragraphe"/>
        <w:spacing w:line="280" w:lineRule="exact"/>
        <w:rPr>
          <w:rFonts w:eastAsiaTheme="minorHAnsi"/>
          <w:kern w:val="2"/>
          <w:lang w:val="en-CA" w:eastAsia="en-US"/>
          <w14:ligatures w14:val="standardContextual"/>
        </w:rPr>
      </w:pPr>
      <w:r>
        <w:rPr>
          <w:rFonts w:eastAsiaTheme="minorHAnsi"/>
          <w:kern w:val="2"/>
          <w:lang w:val="en-CA" w:eastAsia="en-US"/>
          <w14:ligatures w14:val="standardContextual"/>
        </w:rPr>
        <w:t xml:space="preserve">Although the appellant correctly </w:t>
      </w:r>
      <w:r w:rsidR="00602447">
        <w:rPr>
          <w:rFonts w:eastAsiaTheme="minorHAnsi"/>
          <w:kern w:val="2"/>
          <w:lang w:val="en-CA" w:eastAsia="en-US"/>
          <w14:ligatures w14:val="standardContextual"/>
        </w:rPr>
        <w:t>frames</w:t>
      </w:r>
      <w:r>
        <w:rPr>
          <w:rFonts w:eastAsiaTheme="minorHAnsi"/>
          <w:kern w:val="2"/>
          <w:lang w:val="en-CA" w:eastAsia="en-US"/>
          <w14:ligatures w14:val="standardContextual"/>
        </w:rPr>
        <w:t xml:space="preserve"> the applicable test at the extradition hearing on a number of occasions</w:t>
      </w:r>
      <w:r w:rsidR="00A61FFE">
        <w:rPr>
          <w:rFonts w:eastAsiaTheme="minorHAnsi"/>
          <w:kern w:val="2"/>
          <w:lang w:val="en-CA" w:eastAsia="en-US"/>
          <w14:ligatures w14:val="standardContextual"/>
        </w:rPr>
        <w:t>,</w:t>
      </w:r>
      <w:r>
        <w:rPr>
          <w:rStyle w:val="Appelnotedebasdep"/>
          <w:rFonts w:cs="Arial"/>
          <w:szCs w:val="24"/>
          <w:lang w:val="en-CA"/>
        </w:rPr>
        <w:footnoteReference w:id="44"/>
      </w:r>
      <w:r>
        <w:rPr>
          <w:lang w:val="en-CA"/>
        </w:rPr>
        <w:t xml:space="preserve"> </w:t>
      </w:r>
      <w:r w:rsidR="00602447">
        <w:rPr>
          <w:lang w:val="en-CA"/>
        </w:rPr>
        <w:t xml:space="preserve">they </w:t>
      </w:r>
      <w:r w:rsidR="00A61FFE">
        <w:rPr>
          <w:lang w:val="en-CA"/>
        </w:rPr>
        <w:t xml:space="preserve">also refer to </w:t>
      </w:r>
      <w:r w:rsidR="00482855">
        <w:rPr>
          <w:lang w:val="en-CA"/>
        </w:rPr>
        <w:t>a</w:t>
      </w:r>
      <w:r w:rsidR="00A61FFE">
        <w:rPr>
          <w:lang w:val="en-CA"/>
        </w:rPr>
        <w:t xml:space="preserve"> less onerous test for the requesting state, </w:t>
      </w:r>
      <w:r w:rsidR="0067307A">
        <w:rPr>
          <w:lang w:val="en-CA"/>
        </w:rPr>
        <w:t xml:space="preserve">i.e., </w:t>
      </w:r>
      <w:r w:rsidR="00602447">
        <w:rPr>
          <w:lang w:val="en-CA"/>
        </w:rPr>
        <w:t xml:space="preserve">one </w:t>
      </w:r>
      <w:r w:rsidR="0067307A">
        <w:rPr>
          <w:lang w:val="en-CA"/>
        </w:rPr>
        <w:t xml:space="preserve">under which </w:t>
      </w:r>
      <w:r w:rsidR="00A61FFE">
        <w:rPr>
          <w:lang w:val="en-CA"/>
        </w:rPr>
        <w:t xml:space="preserve">the extradition judge </w:t>
      </w:r>
      <w:r w:rsidR="0067307A">
        <w:rPr>
          <w:lang w:val="en-CA"/>
        </w:rPr>
        <w:t xml:space="preserve">has but </w:t>
      </w:r>
      <w:r w:rsidR="00A61FFE">
        <w:rPr>
          <w:lang w:val="en-CA"/>
        </w:rPr>
        <w:t xml:space="preserve">to </w:t>
      </w:r>
      <w:r w:rsidR="0067307A">
        <w:rPr>
          <w:lang w:val="en-CA"/>
        </w:rPr>
        <w:t>f</w:t>
      </w:r>
      <w:r w:rsidR="00A61FFE">
        <w:rPr>
          <w:lang w:val="en-CA"/>
        </w:rPr>
        <w:t xml:space="preserve">ind that there </w:t>
      </w:r>
      <w:r w:rsidR="0067307A">
        <w:rPr>
          <w:lang w:val="en-CA"/>
        </w:rPr>
        <w:t>is</w:t>
      </w:r>
      <w:r w:rsidR="00A61FFE">
        <w:rPr>
          <w:lang w:val="en-CA"/>
        </w:rPr>
        <w:t xml:space="preserve"> evidence available regarding each of the essential elements of the offence</w:t>
      </w:r>
      <w:r w:rsidR="0067307A">
        <w:rPr>
          <w:lang w:val="en-CA"/>
        </w:rPr>
        <w:t xml:space="preserve"> </w:t>
      </w:r>
      <w:r w:rsidR="00A61FFE">
        <w:rPr>
          <w:lang w:val="en-CA"/>
        </w:rPr>
        <w:t>a</w:t>
      </w:r>
      <w:r w:rsidR="0067307A">
        <w:rPr>
          <w:lang w:val="en-CA"/>
        </w:rPr>
        <w:t>s</w:t>
      </w:r>
      <w:r w:rsidR="00A61FFE">
        <w:rPr>
          <w:lang w:val="en-CA"/>
        </w:rPr>
        <w:t xml:space="preserve"> well a</w:t>
      </w:r>
      <w:r w:rsidR="0067307A">
        <w:rPr>
          <w:lang w:val="en-CA"/>
        </w:rPr>
        <w:t>s</w:t>
      </w:r>
      <w:r w:rsidR="00A61FFE">
        <w:rPr>
          <w:lang w:val="en-CA"/>
        </w:rPr>
        <w:t xml:space="preserve"> </w:t>
      </w:r>
      <w:r w:rsidR="0067307A">
        <w:rPr>
          <w:lang w:val="en-CA"/>
        </w:rPr>
        <w:t>the</w:t>
      </w:r>
      <w:r w:rsidR="00A61FFE">
        <w:rPr>
          <w:lang w:val="en-CA"/>
        </w:rPr>
        <w:t xml:space="preserve"> identity of the person sought. Indeed, the test for committal advanced by the appellant is that </w:t>
      </w:r>
      <w:r w:rsidR="00C764CD">
        <w:rPr>
          <w:lang w:val="en-CA"/>
        </w:rPr>
        <w:t>set forth</w:t>
      </w:r>
      <w:r w:rsidR="00A61FFE">
        <w:rPr>
          <w:lang w:val="en-CA"/>
        </w:rPr>
        <w:t xml:space="preserve"> in</w:t>
      </w:r>
      <w:r w:rsidRPr="006B2147">
        <w:rPr>
          <w:lang w:val="en-CA"/>
        </w:rPr>
        <w:t xml:space="preserve"> </w:t>
      </w:r>
      <w:r w:rsidRPr="006B2147">
        <w:rPr>
          <w:i/>
          <w:iCs/>
          <w:lang w:val="en-CA"/>
        </w:rPr>
        <w:t>Shephard</w:t>
      </w:r>
      <w:bookmarkStart w:id="31" w:name="_Ref213403567"/>
      <w:r w:rsidR="00A61FFE" w:rsidRPr="00A61FFE">
        <w:rPr>
          <w:lang w:val="en-CA"/>
        </w:rPr>
        <w:t>,</w:t>
      </w:r>
      <w:r>
        <w:rPr>
          <w:rStyle w:val="Appelnotedebasdep"/>
          <w:lang w:val="en-CA"/>
        </w:rPr>
        <w:footnoteReference w:id="45"/>
      </w:r>
      <w:bookmarkEnd w:id="31"/>
      <w:r w:rsidRPr="006B2147">
        <w:rPr>
          <w:lang w:val="en-CA"/>
        </w:rPr>
        <w:t xml:space="preserve"> </w:t>
      </w:r>
      <w:r w:rsidR="00C764CD">
        <w:rPr>
          <w:lang w:val="en-CA"/>
        </w:rPr>
        <w:t>rendered prior to the coming into force of</w:t>
      </w:r>
      <w:r w:rsidR="00A61FFE">
        <w:rPr>
          <w:lang w:val="en-CA"/>
        </w:rPr>
        <w:t xml:space="preserve"> the</w:t>
      </w:r>
      <w:r w:rsidRPr="006B2147">
        <w:rPr>
          <w:lang w:val="en-CA"/>
        </w:rPr>
        <w:t xml:space="preserve"> </w:t>
      </w:r>
      <w:r w:rsidR="00A61FFE">
        <w:rPr>
          <w:i/>
          <w:iCs/>
          <w:lang w:val="en-CA"/>
        </w:rPr>
        <w:t>Canadian Charter of Rights and Freedoms.</w:t>
      </w:r>
      <w:r>
        <w:rPr>
          <w:rStyle w:val="Appelnotedebasdep"/>
          <w:lang w:val="en-CA"/>
        </w:rPr>
        <w:footnoteReference w:id="46"/>
      </w:r>
      <w:r w:rsidRPr="006B2147">
        <w:rPr>
          <w:i/>
          <w:iCs/>
          <w:lang w:val="en-CA"/>
        </w:rPr>
        <w:t xml:space="preserve"> </w:t>
      </w:r>
      <w:r w:rsidR="00A61FFE">
        <w:rPr>
          <w:lang w:val="en-CA"/>
        </w:rPr>
        <w:t xml:space="preserve">In </w:t>
      </w:r>
      <w:r w:rsidR="00A61FFE" w:rsidRPr="00A61FFE">
        <w:rPr>
          <w:i/>
          <w:iCs/>
          <w:lang w:val="en-CA"/>
        </w:rPr>
        <w:t>United States of America</w:t>
      </w:r>
      <w:r w:rsidRPr="006B2147">
        <w:rPr>
          <w:i/>
          <w:iCs/>
          <w:color w:val="000000"/>
          <w:lang w:val="en-CA"/>
        </w:rPr>
        <w:t xml:space="preserve"> </w:t>
      </w:r>
      <w:r w:rsidR="00A61FFE">
        <w:rPr>
          <w:i/>
          <w:iCs/>
          <w:color w:val="000000"/>
          <w:lang w:val="en-CA"/>
        </w:rPr>
        <w:t>v</w:t>
      </w:r>
      <w:r w:rsidRPr="006B2147">
        <w:rPr>
          <w:i/>
          <w:iCs/>
          <w:color w:val="000000"/>
          <w:lang w:val="en-CA"/>
        </w:rPr>
        <w:t>. Ferras</w:t>
      </w:r>
      <w:r w:rsidR="00A61FFE" w:rsidRPr="00A61FFE">
        <w:rPr>
          <w:color w:val="000000"/>
          <w:lang w:val="en-CA"/>
        </w:rPr>
        <w:t>,</w:t>
      </w:r>
      <w:r>
        <w:rPr>
          <w:rStyle w:val="Appelnotedebasdep"/>
          <w:lang w:val="en-CA"/>
        </w:rPr>
        <w:footnoteReference w:id="47"/>
      </w:r>
      <w:r w:rsidR="00A61FFE">
        <w:rPr>
          <w:lang w:val="en-CA"/>
        </w:rPr>
        <w:t xml:space="preserve"> the Supreme Court stated that that test was not</w:t>
      </w:r>
      <w:r w:rsidRPr="006B2147">
        <w:rPr>
          <w:lang w:val="en-CA"/>
        </w:rPr>
        <w:t xml:space="preserve"> </w:t>
      </w:r>
      <w:r w:rsidRPr="006B2147">
        <w:rPr>
          <w:i/>
          <w:iCs/>
          <w:lang w:val="en-CA"/>
        </w:rPr>
        <w:t>Charte</w:t>
      </w:r>
      <w:r w:rsidR="00A61FFE">
        <w:rPr>
          <w:i/>
          <w:iCs/>
          <w:lang w:val="en-CA"/>
        </w:rPr>
        <w:t>r</w:t>
      </w:r>
      <w:r w:rsidR="00A61FFE">
        <w:rPr>
          <w:lang w:val="en-CA"/>
        </w:rPr>
        <w:t>-compliant</w:t>
      </w:r>
      <w:r w:rsidRPr="006B2147">
        <w:rPr>
          <w:lang w:val="en-CA"/>
        </w:rPr>
        <w:t xml:space="preserve"> </w:t>
      </w:r>
      <w:r w:rsidR="00A61FFE">
        <w:rPr>
          <w:lang w:val="en-CA"/>
        </w:rPr>
        <w:t>and t</w:t>
      </w:r>
      <w:r w:rsidR="007F0003">
        <w:rPr>
          <w:lang w:val="en-CA"/>
        </w:rPr>
        <w:t xml:space="preserve">hat </w:t>
      </w:r>
      <w:r w:rsidR="0067307A">
        <w:rPr>
          <w:lang w:val="en-CA"/>
        </w:rPr>
        <w:t>some weighing of the evidence</w:t>
      </w:r>
      <w:r w:rsidR="007F0003">
        <w:rPr>
          <w:lang w:val="en-CA"/>
        </w:rPr>
        <w:t xml:space="preserve"> was now required to enable the extradition judge to evaluate </w:t>
      </w:r>
      <w:r w:rsidR="007F0003" w:rsidRPr="007F0003">
        <w:rPr>
          <w:i/>
          <w:iCs/>
          <w:lang w:val="en-CA"/>
        </w:rPr>
        <w:t>prima facie</w:t>
      </w:r>
      <w:r w:rsidR="007F0003" w:rsidRPr="007F0003">
        <w:rPr>
          <w:lang w:val="en-CA"/>
        </w:rPr>
        <w:t xml:space="preserve"> evidence, including its reliability, </w:t>
      </w:r>
      <w:r w:rsidR="00C764CD">
        <w:rPr>
          <w:lang w:val="en-CA"/>
        </w:rPr>
        <w:t xml:space="preserve">and </w:t>
      </w:r>
      <w:r w:rsidR="007F0003" w:rsidRPr="007F0003">
        <w:rPr>
          <w:lang w:val="en-CA"/>
        </w:rPr>
        <w:t>to determine whether the evidence establishes a sufficient case to commit</w:t>
      </w:r>
      <w:r w:rsidR="007F0003">
        <w:rPr>
          <w:rStyle w:val="Appelnotedebasdep"/>
          <w:vertAlign w:val="baseline"/>
          <w:lang w:val="en-CA"/>
        </w:rPr>
        <w:t xml:space="preserve"> for extradition.</w:t>
      </w:r>
      <w:r>
        <w:rPr>
          <w:rStyle w:val="Appelnotedebasdep"/>
          <w:rFonts w:cs="Arial"/>
          <w:szCs w:val="24"/>
          <w:lang w:val="en-CA"/>
        </w:rPr>
        <w:footnoteReference w:id="48"/>
      </w:r>
      <w:r w:rsidRPr="006B2147">
        <w:rPr>
          <w:lang w:val="en-CA"/>
        </w:rPr>
        <w:t xml:space="preserve"> </w:t>
      </w:r>
      <w:r w:rsidR="007F0003">
        <w:rPr>
          <w:lang w:val="en-CA"/>
        </w:rPr>
        <w:t xml:space="preserve">Were it otherwise, </w:t>
      </w:r>
      <w:r w:rsidR="0067307A">
        <w:rPr>
          <w:lang w:val="en-CA"/>
        </w:rPr>
        <w:t>the judge</w:t>
      </w:r>
      <w:r w:rsidR="007F0003">
        <w:rPr>
          <w:lang w:val="en-CA"/>
        </w:rPr>
        <w:t xml:space="preserve"> would be merely rubber stamping the </w:t>
      </w:r>
      <w:r w:rsidR="007F0003" w:rsidRPr="007F0003">
        <w:rPr>
          <w:lang w:val="en-CA"/>
        </w:rPr>
        <w:t>extradition request</w:t>
      </w:r>
      <w:r w:rsidR="007F0003">
        <w:rPr>
          <w:lang w:val="en-CA"/>
        </w:rPr>
        <w:t xml:space="preserve">, which would be contrary to the principles of fundamental justice and the </w:t>
      </w:r>
      <w:r w:rsidR="007F0003" w:rsidRPr="007F0003">
        <w:rPr>
          <w:i/>
          <w:iCs/>
          <w:lang w:val="en-CA"/>
        </w:rPr>
        <w:t>Charter</w:t>
      </w:r>
      <w:r w:rsidR="007F0003" w:rsidRPr="007F0003">
        <w:rPr>
          <w:lang w:val="en-CA"/>
        </w:rPr>
        <w:t>,</w:t>
      </w:r>
      <w:r>
        <w:rPr>
          <w:rStyle w:val="Appelnotedebasdep"/>
          <w:rFonts w:cs="Arial"/>
          <w:szCs w:val="24"/>
          <w:lang w:val="en-CA"/>
        </w:rPr>
        <w:footnoteReference w:id="49"/>
      </w:r>
      <w:r w:rsidR="007F0003">
        <w:rPr>
          <w:lang w:val="en-CA"/>
        </w:rPr>
        <w:t xml:space="preserve"> as</w:t>
      </w:r>
      <w:r w:rsidRPr="006B2147">
        <w:rPr>
          <w:lang w:val="en-CA"/>
        </w:rPr>
        <w:t xml:space="preserve"> McLachlin</w:t>
      </w:r>
      <w:bookmarkStart w:id="33" w:name="_Ref210305500"/>
      <w:r w:rsidR="007F0003">
        <w:rPr>
          <w:lang w:val="en-CA"/>
        </w:rPr>
        <w:t xml:space="preserve"> C.J.</w:t>
      </w:r>
      <w:r w:rsidR="00A15E27">
        <w:rPr>
          <w:lang w:val="en-CA"/>
        </w:rPr>
        <w:t xml:space="preserve"> explained:</w:t>
      </w:r>
      <w:r>
        <w:rPr>
          <w:rStyle w:val="Appelnotedebasdep"/>
          <w:rFonts w:cs="Arial"/>
          <w:szCs w:val="24"/>
          <w:lang w:val="en-CA"/>
        </w:rPr>
        <w:footnoteReference w:id="50"/>
      </w:r>
      <w:bookmarkEnd w:id="33"/>
    </w:p>
    <w:p w14:paraId="63D4976E" w14:textId="79EC3AF4" w:rsidR="00C57038" w:rsidRPr="006B2147" w:rsidRDefault="00B37A58" w:rsidP="00C57038">
      <w:pPr>
        <w:pStyle w:val="Citationenretrait"/>
        <w:rPr>
          <w:rFonts w:cs="Arial"/>
          <w:szCs w:val="22"/>
          <w:lang w:val="en-CA"/>
        </w:rPr>
      </w:pPr>
      <w:bookmarkStart w:id="34" w:name="par46"/>
      <w:r w:rsidRPr="006B2147">
        <w:rPr>
          <w:rFonts w:cs="Arial"/>
          <w:szCs w:val="22"/>
          <w:lang w:val="en-CA"/>
        </w:rPr>
        <w:t>[46</w:t>
      </w:r>
      <w:bookmarkEnd w:id="34"/>
      <w:r w:rsidRPr="006B2147">
        <w:rPr>
          <w:rFonts w:cs="Arial"/>
          <w:szCs w:val="22"/>
          <w:lang w:val="en-CA"/>
        </w:rPr>
        <w:t xml:space="preserve">] </w:t>
      </w:r>
      <w:r w:rsidRPr="006B2147">
        <w:rPr>
          <w:rFonts w:cs="Arial"/>
          <w:szCs w:val="22"/>
          <w:lang w:val="en-CA"/>
        </w:rPr>
        <w:tab/>
      </w:r>
      <w:r w:rsidR="007723C8" w:rsidRPr="007723C8">
        <w:rPr>
          <w:rFonts w:cs="Arial"/>
          <w:szCs w:val="22"/>
          <w:lang w:val="en-CA"/>
        </w:rPr>
        <w:t xml:space="preserve">Section 29(1)’s direction to an extradition judge to determine whether there is admissible evidence that would “justify committal” requires a judge to assess whether admissible evidence </w:t>
      </w:r>
      <w:r w:rsidR="007723C8" w:rsidRPr="007723C8">
        <w:rPr>
          <w:rFonts w:cs="Arial"/>
          <w:i/>
          <w:iCs/>
          <w:szCs w:val="22"/>
          <w:lang w:val="en-CA"/>
        </w:rPr>
        <w:t>shows the justice or rightness</w:t>
      </w:r>
      <w:r w:rsidR="007723C8" w:rsidRPr="007723C8">
        <w:rPr>
          <w:rFonts w:cs="Arial"/>
          <w:szCs w:val="22"/>
          <w:lang w:val="en-CA"/>
        </w:rPr>
        <w:t xml:space="preserve"> in committing a person for extradition. </w:t>
      </w:r>
      <w:r w:rsidR="007723C8" w:rsidRPr="007723C8">
        <w:rPr>
          <w:rFonts w:cs="Arial"/>
          <w:szCs w:val="22"/>
          <w:u w:val="single"/>
          <w:lang w:val="en-CA"/>
        </w:rPr>
        <w:t xml:space="preserve">It is not enough for evidence to merely exist on each element of the crime. The evidence must be demonstrably able to be used </w:t>
      </w:r>
      <w:bookmarkStart w:id="35" w:name="_Hlk214956616"/>
      <w:r w:rsidR="007723C8" w:rsidRPr="007723C8">
        <w:rPr>
          <w:rFonts w:cs="Arial"/>
          <w:szCs w:val="22"/>
          <w:u w:val="single"/>
          <w:lang w:val="en-CA"/>
        </w:rPr>
        <w:t>by a reasonable, properly instructed jury to reach a verdict of guilty</w:t>
      </w:r>
      <w:bookmarkEnd w:id="35"/>
      <w:r w:rsidR="007723C8" w:rsidRPr="007723C8">
        <w:rPr>
          <w:rFonts w:cs="Arial"/>
          <w:szCs w:val="22"/>
          <w:u w:val="single"/>
          <w:lang w:val="en-CA"/>
        </w:rPr>
        <w:t>.</w:t>
      </w:r>
      <w:r w:rsidR="007723C8" w:rsidRPr="007723C8">
        <w:rPr>
          <w:rFonts w:cs="Arial"/>
          <w:szCs w:val="22"/>
          <w:lang w:val="en-CA"/>
        </w:rPr>
        <w:t xml:space="preserve"> If the evidence is incapable of demonstrating this sufficiency for committal, then it cannot “justify committal”. The evidence need not convince an extradition judge that a person sought is guilty of the alleged crimes. That assessment remains for the trial court in the foreign state. </w:t>
      </w:r>
      <w:r w:rsidR="007723C8" w:rsidRPr="007723C8">
        <w:rPr>
          <w:rFonts w:cs="Arial"/>
          <w:szCs w:val="22"/>
          <w:u w:val="single"/>
          <w:lang w:val="en-CA"/>
        </w:rPr>
        <w:t xml:space="preserve">However, it must establish a case that </w:t>
      </w:r>
      <w:r w:rsidR="007723C8" w:rsidRPr="007723C8">
        <w:rPr>
          <w:rFonts w:cs="Arial"/>
          <w:i/>
          <w:iCs/>
          <w:szCs w:val="22"/>
          <w:u w:val="single"/>
          <w:lang w:val="en-CA"/>
        </w:rPr>
        <w:t>could go to trial</w:t>
      </w:r>
      <w:r w:rsidR="007723C8" w:rsidRPr="007723C8">
        <w:rPr>
          <w:rFonts w:cs="Arial"/>
          <w:szCs w:val="22"/>
          <w:u w:val="single"/>
          <w:lang w:val="en-CA"/>
        </w:rPr>
        <w:t xml:space="preserve"> in Canada.</w:t>
      </w:r>
      <w:r w:rsidR="007723C8" w:rsidRPr="007723C8">
        <w:rPr>
          <w:rFonts w:cs="Arial"/>
          <w:szCs w:val="22"/>
          <w:lang w:val="en-CA"/>
        </w:rPr>
        <w:t xml:space="preserve"> This may require the extradition judge to engage in limited weighing of the evidence to determine, </w:t>
      </w:r>
      <w:r w:rsidR="007723C8" w:rsidRPr="007723C8">
        <w:rPr>
          <w:rFonts w:cs="Arial"/>
          <w:szCs w:val="22"/>
          <w:u w:val="single"/>
          <w:lang w:val="en-CA"/>
        </w:rPr>
        <w:t>not ultimate guilt, but sufficiency of evidence for committal to trial</w:t>
      </w:r>
      <w:r w:rsidRPr="006B2147">
        <w:rPr>
          <w:rFonts w:cs="Arial"/>
          <w:szCs w:val="22"/>
          <w:lang w:val="en-CA"/>
        </w:rPr>
        <w:t>.</w:t>
      </w:r>
    </w:p>
    <w:p w14:paraId="03111720" w14:textId="5C03F9E4" w:rsidR="002E128F" w:rsidRPr="006B2147" w:rsidRDefault="00B37A58" w:rsidP="00C57038">
      <w:pPr>
        <w:pStyle w:val="Citationenretrait"/>
        <w:rPr>
          <w:rFonts w:cs="Arial"/>
          <w:szCs w:val="22"/>
          <w:lang w:val="en-CA"/>
        </w:rPr>
      </w:pPr>
      <w:r w:rsidRPr="006B2147">
        <w:rPr>
          <w:rFonts w:cs="Arial"/>
          <w:szCs w:val="22"/>
          <w:lang w:val="en-CA"/>
        </w:rPr>
        <w:t>[…]</w:t>
      </w:r>
    </w:p>
    <w:p w14:paraId="6A1FAE4B" w14:textId="3C6A465B" w:rsidR="002E128F" w:rsidRPr="006B2147" w:rsidRDefault="00B37A58" w:rsidP="00C57038">
      <w:pPr>
        <w:pStyle w:val="Citationenretrait"/>
        <w:rPr>
          <w:rFonts w:cs="Arial"/>
          <w:szCs w:val="22"/>
          <w:lang w:val="en-CA"/>
        </w:rPr>
      </w:pPr>
      <w:r w:rsidRPr="006B2147">
        <w:rPr>
          <w:rFonts w:cs="Arial"/>
          <w:szCs w:val="22"/>
          <w:lang w:val="en-CA"/>
        </w:rPr>
        <w:t>[49]</w:t>
      </w:r>
      <w:r w:rsidR="00C74956" w:rsidRPr="006B2147">
        <w:rPr>
          <w:rFonts w:cs="Arial"/>
          <w:szCs w:val="22"/>
          <w:lang w:val="en-CA"/>
        </w:rPr>
        <w:tab/>
      </w:r>
      <w:r w:rsidR="007723C8" w:rsidRPr="007723C8">
        <w:rPr>
          <w:rFonts w:cs="Arial"/>
          <w:szCs w:val="22"/>
          <w:lang w:val="en-CA"/>
        </w:rPr>
        <w:t>I conclude that to deny an extradition judge’s discretion to refuse committal for reasons of insufficient evidence would violate a person’s right to a judicial hearing by an independent and impartial magistrate — a right implicit in s. 7</w:t>
      </w:r>
      <w:r w:rsidR="007723C8">
        <w:rPr>
          <w:rFonts w:cs="Arial"/>
          <w:szCs w:val="22"/>
          <w:lang w:val="en-CA"/>
        </w:rPr>
        <w:t xml:space="preserve"> </w:t>
      </w:r>
      <w:r w:rsidR="007723C8" w:rsidRPr="007723C8">
        <w:rPr>
          <w:rFonts w:cs="Arial"/>
          <w:szCs w:val="22"/>
          <w:lang w:val="en-CA"/>
        </w:rPr>
        <w:t xml:space="preserve">of the </w:t>
      </w:r>
      <w:r w:rsidR="007723C8" w:rsidRPr="007723C8">
        <w:rPr>
          <w:rFonts w:cs="Arial"/>
          <w:i/>
          <w:iCs/>
          <w:szCs w:val="22"/>
          <w:lang w:val="en-CA"/>
        </w:rPr>
        <w:t>Charter</w:t>
      </w:r>
      <w:r w:rsidR="007723C8">
        <w:rPr>
          <w:rFonts w:cs="Arial"/>
          <w:szCs w:val="22"/>
          <w:lang w:val="en-CA"/>
        </w:rPr>
        <w:t xml:space="preserve"> </w:t>
      </w:r>
      <w:r w:rsidR="007723C8" w:rsidRPr="007723C8">
        <w:rPr>
          <w:rFonts w:cs="Arial"/>
          <w:szCs w:val="22"/>
          <w:lang w:val="en-CA"/>
        </w:rPr>
        <w:t xml:space="preserve">where liberty is at stake.  It would deprive the judge of the power to conduct an independent and impartial judicial review of the facts in relation to the law, destroy the judicial nature of the hearing, and turn the extradition judge into an administrative arm of the executive. The process of assessing whether all the boxes are ticked and then ordering committal is not an adjudication, but merely a formal validation. In so far as the majority view in the pre-Charter case of </w:t>
      </w:r>
      <w:r w:rsidR="007723C8" w:rsidRPr="007723C8">
        <w:rPr>
          <w:rFonts w:cs="Arial"/>
          <w:i/>
          <w:iCs/>
          <w:szCs w:val="22"/>
          <w:lang w:val="en-CA"/>
        </w:rPr>
        <w:t>Shephard</w:t>
      </w:r>
      <w:r w:rsidR="007723C8" w:rsidRPr="007723C8">
        <w:rPr>
          <w:rFonts w:cs="Arial"/>
          <w:szCs w:val="22"/>
          <w:lang w:val="en-CA"/>
        </w:rPr>
        <w:t xml:space="preserve"> suggests a contrary view, it should be modified to conform to the requirements of the </w:t>
      </w:r>
      <w:r w:rsidR="007723C8" w:rsidRPr="007723C8">
        <w:rPr>
          <w:rFonts w:cs="Arial"/>
          <w:i/>
          <w:iCs/>
          <w:szCs w:val="22"/>
          <w:lang w:val="en-CA"/>
        </w:rPr>
        <w:t>Charter</w:t>
      </w:r>
      <w:r w:rsidRPr="006B2147">
        <w:rPr>
          <w:rFonts w:cs="Arial"/>
          <w:szCs w:val="22"/>
          <w:lang w:val="en-CA"/>
        </w:rPr>
        <w:t>.</w:t>
      </w:r>
    </w:p>
    <w:p w14:paraId="1A2E18E6" w14:textId="3CBF7FC2" w:rsidR="00C57038" w:rsidRPr="006B2147" w:rsidRDefault="00B37A58" w:rsidP="00C57038">
      <w:pPr>
        <w:pStyle w:val="Citationenretrait"/>
        <w:ind w:left="0"/>
        <w:jc w:val="right"/>
        <w:rPr>
          <w:rFonts w:cs="Arial"/>
          <w:szCs w:val="22"/>
          <w:lang w:val="en-CA"/>
        </w:rPr>
      </w:pPr>
      <w:r w:rsidRPr="006B2147">
        <w:rPr>
          <w:rFonts w:cs="Arial"/>
          <w:szCs w:val="22"/>
          <w:lang w:val="en-CA"/>
        </w:rPr>
        <w:t>[</w:t>
      </w:r>
      <w:r w:rsidR="007723C8">
        <w:rPr>
          <w:rFonts w:cs="Arial"/>
          <w:szCs w:val="22"/>
          <w:lang w:val="en-CA"/>
        </w:rPr>
        <w:t>Emphasis added</w:t>
      </w:r>
      <w:r w:rsidRPr="006B2147">
        <w:rPr>
          <w:rFonts w:cs="Arial"/>
          <w:szCs w:val="22"/>
          <w:lang w:val="en-CA"/>
        </w:rPr>
        <w:t>]</w:t>
      </w:r>
    </w:p>
    <w:p w14:paraId="12D13B08" w14:textId="43E07C43" w:rsidR="00A209B7" w:rsidRPr="006B2147" w:rsidRDefault="00B37A58" w:rsidP="00441741">
      <w:pPr>
        <w:pStyle w:val="Paragraphe"/>
        <w:spacing w:line="280" w:lineRule="exact"/>
        <w:rPr>
          <w:lang w:val="en-CA"/>
        </w:rPr>
      </w:pPr>
      <w:r>
        <w:rPr>
          <w:lang w:val="en-CA"/>
        </w:rPr>
        <w:t xml:space="preserve">The judge was of the </w:t>
      </w:r>
      <w:r w:rsidR="007A0B5C">
        <w:rPr>
          <w:lang w:val="en-CA"/>
        </w:rPr>
        <w:t>view that the photo</w:t>
      </w:r>
      <w:r w:rsidR="00C764CD">
        <w:rPr>
          <w:lang w:val="en-CA"/>
        </w:rPr>
        <w:t>graphic</w:t>
      </w:r>
      <w:r w:rsidR="007A0B5C">
        <w:rPr>
          <w:lang w:val="en-CA"/>
        </w:rPr>
        <w:t xml:space="preserve"> identification process considerably tainted the reliability of the evidence presented, </w:t>
      </w:r>
      <w:r w:rsidR="005F7421">
        <w:rPr>
          <w:lang w:val="en-CA"/>
        </w:rPr>
        <w:t>in tha</w:t>
      </w:r>
      <w:r w:rsidR="007A0B5C">
        <w:rPr>
          <w:lang w:val="en-CA"/>
        </w:rPr>
        <w:t>t Mr. Brahimi’s photo was very different from the three others</w:t>
      </w:r>
      <w:r w:rsidR="000752E7">
        <w:rPr>
          <w:lang w:val="en-CA"/>
        </w:rPr>
        <w:t>,</w:t>
      </w:r>
      <w:r w:rsidR="007A0B5C">
        <w:rPr>
          <w:lang w:val="en-CA"/>
        </w:rPr>
        <w:t xml:space="preserve"> which</w:t>
      </w:r>
      <w:r w:rsidR="005F7421">
        <w:rPr>
          <w:lang w:val="en-CA"/>
        </w:rPr>
        <w:t>,</w:t>
      </w:r>
      <w:r w:rsidR="007A0B5C">
        <w:rPr>
          <w:lang w:val="en-CA"/>
        </w:rPr>
        <w:t xml:space="preserve"> </w:t>
      </w:r>
      <w:r w:rsidR="005F7421">
        <w:rPr>
          <w:lang w:val="en-CA"/>
        </w:rPr>
        <w:t>in the judge’s words, were all mugshots</w:t>
      </w:r>
      <w:r>
        <w:rPr>
          <w:rStyle w:val="Appelnotedebasdep"/>
          <w:lang w:val="en-CA"/>
        </w:rPr>
        <w:footnoteReference w:id="51"/>
      </w:r>
      <w:r w:rsidR="005F7421">
        <w:rPr>
          <w:lang w:val="en-CA"/>
        </w:rPr>
        <w:t xml:space="preserve"> that</w:t>
      </w:r>
      <w:r w:rsidR="00C764CD">
        <w:rPr>
          <w:lang w:val="en-CA"/>
        </w:rPr>
        <w:t xml:space="preserve"> </w:t>
      </w:r>
      <w:r w:rsidR="007A0B5C" w:rsidRPr="007A0B5C">
        <w:rPr>
          <w:lang w:val="en-CA"/>
        </w:rPr>
        <w:t>strongly</w:t>
      </w:r>
      <w:r w:rsidR="000752E7">
        <w:rPr>
          <w:lang w:val="en-CA"/>
        </w:rPr>
        <w:t xml:space="preserve"> contrast</w:t>
      </w:r>
      <w:r w:rsidR="00C764CD">
        <w:rPr>
          <w:lang w:val="en-CA"/>
        </w:rPr>
        <w:t>ed</w:t>
      </w:r>
      <w:r w:rsidR="007A0B5C" w:rsidRPr="007A0B5C">
        <w:rPr>
          <w:lang w:val="en-CA"/>
        </w:rPr>
        <w:t xml:space="preserve"> with the respondent’s photo</w:t>
      </w:r>
      <w:r w:rsidRPr="006B2147">
        <w:rPr>
          <w:lang w:val="en-CA"/>
        </w:rPr>
        <w:t>:</w:t>
      </w:r>
    </w:p>
    <w:p w14:paraId="7FD26D21" w14:textId="77777777" w:rsidR="00A209B7" w:rsidRPr="006B2147" w:rsidRDefault="00B37A58" w:rsidP="00A209B7">
      <w:pPr>
        <w:pStyle w:val="Citationenretrait"/>
        <w:rPr>
          <w:lang w:val="en-CA"/>
        </w:rPr>
      </w:pPr>
      <w:r w:rsidRPr="006B2147">
        <w:rPr>
          <w:lang w:val="en-CA"/>
        </w:rPr>
        <w:t>[70]</w:t>
      </w:r>
      <w:r w:rsidRPr="006B2147">
        <w:rPr>
          <w:lang w:val="en-CA"/>
        </w:rPr>
        <w:tab/>
        <w:t>To recap, this case turns on eyewitness identification, a type of evidence known to present high risks of error, where the prosecutor is relying on 23</w:t>
      </w:r>
      <w:r w:rsidRPr="006B2147">
        <w:rPr>
          <w:lang w:val="en-CA"/>
        </w:rPr>
        <w:noBreakHyphen/>
        <w:t>year</w:t>
      </w:r>
      <w:r w:rsidRPr="006B2147">
        <w:rPr>
          <w:lang w:val="en-CA"/>
        </w:rPr>
        <w:noBreakHyphen/>
        <w:t xml:space="preserve">old documentary evidence, with no indication that the witnesses are available for trial. </w:t>
      </w:r>
    </w:p>
    <w:p w14:paraId="46B19947" w14:textId="77777777" w:rsidR="00A209B7" w:rsidRPr="006B2147" w:rsidRDefault="00B37A58" w:rsidP="00A209B7">
      <w:pPr>
        <w:pStyle w:val="Citationenretrait"/>
        <w:rPr>
          <w:lang w:val="en-CA"/>
        </w:rPr>
      </w:pPr>
      <w:r w:rsidRPr="006B2147">
        <w:rPr>
          <w:lang w:val="en-CA"/>
        </w:rPr>
        <w:t>[71]</w:t>
      </w:r>
      <w:r w:rsidRPr="006B2147">
        <w:rPr>
          <w:lang w:val="en-CA"/>
        </w:rPr>
        <w:tab/>
        <w:t xml:space="preserve">The eyewitnesses made their observations under highly traumatic circumstances. They were being shot at, and family members were wounded and killed. The eyewitnesses took part in an identification procedure a long time after the events had taken place, 6 months later. In this context, there are serious questions about the ability of witnesses to perceive and remember the events. </w:t>
      </w:r>
    </w:p>
    <w:p w14:paraId="2652103C" w14:textId="77777777" w:rsidR="00A209B7" w:rsidRPr="006B2147" w:rsidRDefault="00B37A58" w:rsidP="00A209B7">
      <w:pPr>
        <w:pStyle w:val="Citationenretrait"/>
        <w:rPr>
          <w:lang w:val="en-CA"/>
        </w:rPr>
      </w:pPr>
      <w:r w:rsidRPr="006B2147">
        <w:rPr>
          <w:lang w:val="en-CA"/>
        </w:rPr>
        <w:t>[72]</w:t>
      </w:r>
      <w:r w:rsidRPr="006B2147">
        <w:rPr>
          <w:lang w:val="en-CA"/>
        </w:rPr>
        <w:tab/>
        <w:t xml:space="preserve">Moreover, at trial, the main eyewitness contradicted her prior identification with respect to the photo that she had picked. The witness did not adopt her prior identification when testifying. Rather, she testified that she had signed a document she had been asked to sign and that she could not remember. Again, this is not to apply our law of evidence to the foreign case. It is simply that there is no reason for this Court, in its proper role under the Extradition Act, to disregard the testimony at trial and instead consider the prior out-of-court identification to be true. The contradiction remains. </w:t>
      </w:r>
    </w:p>
    <w:p w14:paraId="3545A6AA" w14:textId="77777777" w:rsidR="00A209B7" w:rsidRPr="006B2147" w:rsidRDefault="00B37A58" w:rsidP="00A209B7">
      <w:pPr>
        <w:pStyle w:val="Citationenretrait"/>
        <w:rPr>
          <w:lang w:val="en-CA"/>
        </w:rPr>
      </w:pPr>
      <w:r w:rsidRPr="006B2147">
        <w:rPr>
          <w:lang w:val="en-CA"/>
        </w:rPr>
        <w:t>[73]</w:t>
      </w:r>
      <w:r w:rsidRPr="006B2147">
        <w:rPr>
          <w:lang w:val="en-CA"/>
        </w:rPr>
        <w:tab/>
        <w:t>Additional evidence made things worse by revealing more contradictions about the arrangement, format, and size of the photo lineup. Simply put, the lineup provided does not match the lineup described by the witness in her testimony.</w:t>
      </w:r>
    </w:p>
    <w:p w14:paraId="4C178B91" w14:textId="77777777" w:rsidR="00A209B7" w:rsidRPr="006B2147" w:rsidRDefault="00B37A58" w:rsidP="00A209B7">
      <w:pPr>
        <w:pStyle w:val="Citationenretrait"/>
        <w:rPr>
          <w:lang w:val="en-CA"/>
        </w:rPr>
      </w:pPr>
      <w:r w:rsidRPr="006B2147">
        <w:rPr>
          <w:lang w:val="en-CA"/>
        </w:rPr>
        <w:t>[74]</w:t>
      </w:r>
      <w:r w:rsidRPr="006B2147">
        <w:rPr>
          <w:lang w:val="en-CA"/>
        </w:rPr>
        <w:tab/>
        <w:t xml:space="preserve">That is not all. The additional evidence also established that the photo lineup was grossly inadequate. It contained only 4 photos, with the photo of the suspect standing out from the others. This is not to impose Canadian standards on a foreign state. It is obvious that the identification procedure was unfair and unreliable because the witnesses could be drawn to the photo that contrasted with the other photos. </w:t>
      </w:r>
    </w:p>
    <w:p w14:paraId="3E522247" w14:textId="77777777" w:rsidR="00A209B7" w:rsidRPr="006B2147" w:rsidRDefault="00B37A58" w:rsidP="00A209B7">
      <w:pPr>
        <w:pStyle w:val="Citationenretrait"/>
        <w:rPr>
          <w:lang w:val="en-CA"/>
        </w:rPr>
      </w:pPr>
      <w:r w:rsidRPr="006B2147">
        <w:rPr>
          <w:lang w:val="en-CA"/>
        </w:rPr>
        <w:t>[75]</w:t>
      </w:r>
      <w:r w:rsidRPr="006B2147">
        <w:rPr>
          <w:lang w:val="en-CA"/>
        </w:rPr>
        <w:tab/>
        <w:t>There was another eyewitness, the 14-year-old niece, but the lineup she was shown was not provided. It is reasonable to assume that it was similar and had the same problems.</w:t>
      </w:r>
    </w:p>
    <w:p w14:paraId="6FF9C725" w14:textId="77777777" w:rsidR="00A209B7" w:rsidRPr="006B2147" w:rsidRDefault="00B37A58" w:rsidP="00A209B7">
      <w:pPr>
        <w:pStyle w:val="Citationenretrait"/>
        <w:rPr>
          <w:lang w:val="en-CA"/>
        </w:rPr>
      </w:pPr>
      <w:r w:rsidRPr="006B2147">
        <w:rPr>
          <w:lang w:val="en-CA"/>
        </w:rPr>
        <w:t>[76]</w:t>
      </w:r>
      <w:r w:rsidRPr="006B2147">
        <w:rPr>
          <w:lang w:val="en-CA"/>
        </w:rPr>
        <w:tab/>
        <w:t>Again, the claims that Mr. Brahimi acted out of revenge and that he had previously attacked the victim are not supported by any evidence.</w:t>
      </w:r>
    </w:p>
    <w:p w14:paraId="74F5774F" w14:textId="1E7E206B" w:rsidR="00A209B7" w:rsidRPr="006B2147" w:rsidRDefault="00B37A58" w:rsidP="00A209B7">
      <w:pPr>
        <w:pStyle w:val="Citationenretrait"/>
        <w:rPr>
          <w:lang w:val="en-CA"/>
        </w:rPr>
      </w:pPr>
      <w:r w:rsidRPr="006B2147">
        <w:rPr>
          <w:lang w:val="en-CA"/>
        </w:rPr>
        <w:t>[77]</w:t>
      </w:r>
      <w:r w:rsidRPr="006B2147">
        <w:rPr>
          <w:lang w:val="en-CA"/>
        </w:rPr>
        <w:tab/>
        <w:t>The eyewitness identification evidence would necessarily leave reasonable doubt in the mind of a reasonable juror. The evidence is so defective and unreliable that extradition would be a miscarriage of justice.</w:t>
      </w:r>
    </w:p>
    <w:p w14:paraId="42976E32" w14:textId="6FD8287A" w:rsidR="001C241E" w:rsidRPr="006B2147" w:rsidRDefault="00B37A58" w:rsidP="00441741">
      <w:pPr>
        <w:pStyle w:val="Paragraphe"/>
        <w:spacing w:line="280" w:lineRule="exact"/>
        <w:rPr>
          <w:lang w:val="en-CA"/>
        </w:rPr>
      </w:pPr>
      <w:r>
        <w:rPr>
          <w:lang w:val="en-CA"/>
        </w:rPr>
        <w:t>Given the</w:t>
      </w:r>
      <w:r w:rsidR="000C20E0">
        <w:rPr>
          <w:lang w:val="en-CA"/>
        </w:rPr>
        <w:t xml:space="preserve"> inherent weaknesses of that photo lineup</w:t>
      </w:r>
      <w:r>
        <w:rPr>
          <w:lang w:val="en-CA"/>
        </w:rPr>
        <w:t>,</w:t>
      </w:r>
      <w:r w:rsidR="000C20E0">
        <w:rPr>
          <w:lang w:val="en-CA"/>
        </w:rPr>
        <w:t xml:space="preserve"> </w:t>
      </w:r>
      <w:r>
        <w:rPr>
          <w:lang w:val="en-CA"/>
        </w:rPr>
        <w:t xml:space="preserve">the judge was </w:t>
      </w:r>
      <w:r w:rsidR="000C20E0">
        <w:rPr>
          <w:lang w:val="en-CA"/>
        </w:rPr>
        <w:t xml:space="preserve">justified </w:t>
      </w:r>
      <w:r>
        <w:rPr>
          <w:lang w:val="en-CA"/>
        </w:rPr>
        <w:t>in</w:t>
      </w:r>
      <w:r w:rsidR="000C20E0">
        <w:rPr>
          <w:lang w:val="en-CA"/>
        </w:rPr>
        <w:t xml:space="preserve"> finding that it was insufficient, given the Supreme Court’s ruling in </w:t>
      </w:r>
      <w:r w:rsidR="0058374E" w:rsidRPr="006B2147">
        <w:rPr>
          <w:i/>
          <w:iCs/>
          <w:lang w:val="en-CA"/>
        </w:rPr>
        <w:t>Ferras</w:t>
      </w:r>
      <w:r w:rsidR="000C20E0">
        <w:rPr>
          <w:lang w:val="en-CA"/>
        </w:rPr>
        <w:t xml:space="preserve"> that</w:t>
      </w:r>
      <w:r w:rsidR="0058374E" w:rsidRPr="006B2147">
        <w:rPr>
          <w:lang w:val="en-CA"/>
        </w:rPr>
        <w:t xml:space="preserve"> </w:t>
      </w:r>
      <w:r w:rsidR="000C20E0">
        <w:rPr>
          <w:lang w:val="en-CA"/>
        </w:rPr>
        <w:t>“[i]</w:t>
      </w:r>
      <w:r w:rsidR="000C20E0" w:rsidRPr="000C20E0">
        <w:rPr>
          <w:lang w:val="en-CA"/>
        </w:rPr>
        <w:t>f the evidence is so defective or appears so unreliable that the judge concludes it would be dangerous or unsafe to convict, then the case should not go to a jury and is therefore not sufficient to meet the test for committal</w:t>
      </w:r>
      <w:r w:rsidR="000C20E0">
        <w:rPr>
          <w:lang w:val="en-CA"/>
        </w:rPr>
        <w:t>.”</w:t>
      </w:r>
      <w:r>
        <w:rPr>
          <w:rStyle w:val="Appelnotedebasdep"/>
          <w:lang w:val="en-CA"/>
        </w:rPr>
        <w:footnoteReference w:id="52"/>
      </w:r>
      <w:r w:rsidR="00A209B7" w:rsidRPr="006B2147">
        <w:rPr>
          <w:lang w:val="en-CA"/>
        </w:rPr>
        <w:t xml:space="preserve"> </w:t>
      </w:r>
    </w:p>
    <w:p w14:paraId="662A8A1B" w14:textId="28CEFB7D" w:rsidR="006F6C2D" w:rsidRPr="006B2147" w:rsidRDefault="00B37A58" w:rsidP="00441741">
      <w:pPr>
        <w:pStyle w:val="Paragraphe"/>
        <w:spacing w:line="280" w:lineRule="exact"/>
        <w:rPr>
          <w:szCs w:val="22"/>
          <w:lang w:val="en-CA"/>
        </w:rPr>
      </w:pPr>
      <w:r>
        <w:rPr>
          <w:lang w:val="en-CA"/>
        </w:rPr>
        <w:t xml:space="preserve">The appellant claims that the judge </w:t>
      </w:r>
      <w:r w:rsidR="00B96FA9">
        <w:rPr>
          <w:lang w:val="en-CA"/>
        </w:rPr>
        <w:t>engaged in weighing the</w:t>
      </w:r>
      <w:r>
        <w:rPr>
          <w:lang w:val="en-CA"/>
        </w:rPr>
        <w:t xml:space="preserve"> witnesses’ credibility</w:t>
      </w:r>
      <w:r w:rsidRPr="006B2147">
        <w:rPr>
          <w:lang w:val="en-CA"/>
        </w:rPr>
        <w:t xml:space="preserve">. </w:t>
      </w:r>
      <w:r>
        <w:rPr>
          <w:lang w:val="en-CA"/>
        </w:rPr>
        <w:t xml:space="preserve">In that regard, </w:t>
      </w:r>
      <w:r w:rsidR="00B96FA9">
        <w:rPr>
          <w:lang w:val="en-CA"/>
        </w:rPr>
        <w:t>the appellant</w:t>
      </w:r>
      <w:r>
        <w:rPr>
          <w:lang w:val="en-CA"/>
        </w:rPr>
        <w:t xml:space="preserve"> focussed on the following paragraphs of the judgment</w:t>
      </w:r>
      <w:r w:rsidRPr="006B2147">
        <w:rPr>
          <w:lang w:val="en-CA"/>
        </w:rPr>
        <w:t>:</w:t>
      </w:r>
    </w:p>
    <w:p w14:paraId="53019DC9" w14:textId="77777777" w:rsidR="00A209B7" w:rsidRPr="006B2147" w:rsidRDefault="00B37A58" w:rsidP="00A209B7">
      <w:pPr>
        <w:pStyle w:val="Citationenretrait"/>
        <w:rPr>
          <w:lang w:val="en-CA"/>
        </w:rPr>
      </w:pPr>
      <w:r w:rsidRPr="006B2147">
        <w:rPr>
          <w:lang w:val="en-CA"/>
        </w:rPr>
        <w:t>[49]</w:t>
      </w:r>
      <w:r w:rsidRPr="006B2147">
        <w:rPr>
          <w:lang w:val="en-CA"/>
        </w:rPr>
        <w:tab/>
        <w:t xml:space="preserve">Concerning the identification by Mrs. Brace, the prosecutor merely reiterated that the record of the forensic expert who administrated the photo lineup indicated that she identified Mr. Brahimi in photo number 3, and the trial Court found that it was photo number 3. </w:t>
      </w:r>
    </w:p>
    <w:p w14:paraId="000EFB1F" w14:textId="77777777" w:rsidR="00A209B7" w:rsidRPr="006B2147" w:rsidRDefault="00B37A58" w:rsidP="00A209B7">
      <w:pPr>
        <w:pStyle w:val="Citationenretrait"/>
        <w:rPr>
          <w:lang w:val="en-CA"/>
        </w:rPr>
      </w:pPr>
      <w:r w:rsidRPr="006B2147">
        <w:rPr>
          <w:lang w:val="en-CA"/>
        </w:rPr>
        <w:t>[50]</w:t>
      </w:r>
      <w:r w:rsidRPr="006B2147">
        <w:rPr>
          <w:lang w:val="en-CA"/>
        </w:rPr>
        <w:tab/>
        <w:t xml:space="preserve">The prosecutor suggested that either the witness misspoke when she mentioned photograph number 2 or there was a typographical error in the written minutes of the trial. This attempt at an explanation is not supported by any evidence. There is no indication that the witness misspoke. There is no evidence of an error by the Court reporter. </w:t>
      </w:r>
    </w:p>
    <w:p w14:paraId="59C4723B" w14:textId="77777777" w:rsidR="00A209B7" w:rsidRPr="006B2147" w:rsidRDefault="00B37A58" w:rsidP="00A209B7">
      <w:pPr>
        <w:pStyle w:val="Citationenretrait"/>
        <w:rPr>
          <w:lang w:val="en-CA"/>
        </w:rPr>
      </w:pPr>
      <w:r w:rsidRPr="006B2147">
        <w:rPr>
          <w:lang w:val="en-CA"/>
        </w:rPr>
        <w:t>[51]</w:t>
      </w:r>
      <w:r w:rsidRPr="006B2147">
        <w:rPr>
          <w:lang w:val="en-CA"/>
        </w:rPr>
        <w:tab/>
        <w:t>The prosecutor also submitted that the witness could not remember the identification document because she was in emotional shock at the time of her testimony. Moreover, the prosecutor downplayed the statement by the witness that she signed the document because she was told to sign it as something normal in everyday prosecution work. The prosecutor insisted that Mrs. Brace identified Mr. Brahimi and that the written record of identification signed by her is valuable identification evidence. On these points, the prosecutor submitted arguments rather than evidence.</w:t>
      </w:r>
    </w:p>
    <w:p w14:paraId="605F3473" w14:textId="77777777" w:rsidR="00A209B7" w:rsidRPr="006B2147" w:rsidRDefault="00B37A58" w:rsidP="00A209B7">
      <w:pPr>
        <w:pStyle w:val="Citationenretrait"/>
        <w:rPr>
          <w:lang w:val="en-CA"/>
        </w:rPr>
      </w:pPr>
      <w:r w:rsidRPr="006B2147">
        <w:rPr>
          <w:lang w:val="en-CA"/>
        </w:rPr>
        <w:t>[52]</w:t>
      </w:r>
      <w:r w:rsidRPr="006B2147">
        <w:rPr>
          <w:lang w:val="en-CA"/>
        </w:rPr>
        <w:tab/>
        <w:t xml:space="preserve">Additional evidence was submitted in the supplemental record of the case with respect to the lineup photo identification by Mrs. Brace. However, this evidence only added to the confusion. </w:t>
      </w:r>
    </w:p>
    <w:p w14:paraId="3F6C0049" w14:textId="77777777" w:rsidR="00A209B7" w:rsidRPr="006B2147" w:rsidRDefault="00B37A58" w:rsidP="00A209B7">
      <w:pPr>
        <w:pStyle w:val="Citationenretrait"/>
        <w:rPr>
          <w:lang w:val="en-CA"/>
        </w:rPr>
      </w:pPr>
      <w:r w:rsidRPr="006B2147">
        <w:rPr>
          <w:lang w:val="en-CA"/>
        </w:rPr>
        <w:t>[53]</w:t>
      </w:r>
      <w:r w:rsidRPr="006B2147">
        <w:rPr>
          <w:lang w:val="en-CA"/>
        </w:rPr>
        <w:tab/>
        <w:t xml:space="preserve">The supplemental record of the case included three black and white photos, assembled on a white sheet, with typed inscriptions, allegedly taken during the identification procedure in January 2001. The first photo showed who would be Mrs. Brace, standing in a living room, pointing to something on a letter-size sheet of paper placed on a coffee table. The second photo is a closeup showing her finger pointing to a specific picture. The sheet of paper contains four pictures in a single row. The third picture is another closeup. The finger masked the number 3 but pointed to the picture allegedly showing Mr. Brahimi. That same picture was previously attached to the record of the case. The typed inscriptions were translated as “Overview of this investigative action”; “View where Lindita Brace points to the photograph labeled with no. 3 belonging to the citizen E. Brahimi”; “Close-up of the person known by the acquaintance.” </w:t>
      </w:r>
    </w:p>
    <w:p w14:paraId="2D53C890" w14:textId="77777777" w:rsidR="00A209B7" w:rsidRPr="006B2147" w:rsidRDefault="00B37A58" w:rsidP="00A209B7">
      <w:pPr>
        <w:pStyle w:val="Citationenretrait"/>
        <w:rPr>
          <w:lang w:val="en-CA"/>
        </w:rPr>
      </w:pPr>
      <w:r w:rsidRPr="006B2147">
        <w:rPr>
          <w:lang w:val="en-CA"/>
        </w:rPr>
        <w:t>[54]</w:t>
      </w:r>
      <w:r w:rsidRPr="006B2147">
        <w:rPr>
          <w:lang w:val="en-CA"/>
        </w:rPr>
        <w:tab/>
        <w:t xml:space="preserve">The new evidence contradicted the evidence at trial on several points. It will be recalled that Mrs. Brace testified at trial that she pointed at photo number 2, that the photos were arranged in two rows, two up and two down, on a 50 x 30 cm board, placed on a stand, and that she had never seen the shooter before the attack. </w:t>
      </w:r>
    </w:p>
    <w:p w14:paraId="02420034" w14:textId="77777777" w:rsidR="00A209B7" w:rsidRPr="006B2147" w:rsidRDefault="00B37A58" w:rsidP="00A209B7">
      <w:pPr>
        <w:pStyle w:val="Citationenretrait"/>
        <w:rPr>
          <w:lang w:val="en-CA"/>
        </w:rPr>
      </w:pPr>
      <w:r w:rsidRPr="006B2147">
        <w:rPr>
          <w:lang w:val="en-CA"/>
        </w:rPr>
        <w:t>[55]</w:t>
      </w:r>
      <w:r w:rsidRPr="006B2147">
        <w:rPr>
          <w:lang w:val="en-CA"/>
        </w:rPr>
        <w:tab/>
        <w:t xml:space="preserve">Something else must be said about the photo array shown in the supplemental record of the case. Photo number 3, said to be the photo of Mr. Brahimi, stands out from the other three photos because of the position of the man in it and the general look of the picture. In the photo purported to show Mr. Brahimi, the man's head is bent and turned towards the camera lens, and he smiles slightly as if he had been photographed in a real-life situation. Also, the background is dark. The head may have been framed from a wider shot. The other three photos appear to be police mugshots. They are front-view portraits taken from the shoulders up. The men display neutral expressions. The backgrounds are white. </w:t>
      </w:r>
    </w:p>
    <w:p w14:paraId="390E6DBC" w14:textId="0C58603C" w:rsidR="00A209B7" w:rsidRPr="006B2147" w:rsidRDefault="00B37A58" w:rsidP="00A209B7">
      <w:pPr>
        <w:pStyle w:val="Citationenretrait"/>
        <w:rPr>
          <w:lang w:val="en-CA"/>
        </w:rPr>
      </w:pPr>
      <w:r w:rsidRPr="006B2147">
        <w:rPr>
          <w:lang w:val="en-CA"/>
        </w:rPr>
        <w:t>[56]</w:t>
      </w:r>
      <w:r w:rsidRPr="006B2147">
        <w:rPr>
          <w:lang w:val="en-CA"/>
        </w:rPr>
        <w:tab/>
        <w:t>This is worrying, because “structural bias results when one person in the line-up is visually distinct from the others in some way. This bias can cause misidentifications because the person who stands out is more likely to be picked by the identifying witness” (</w:t>
      </w:r>
      <w:r w:rsidRPr="006B2147">
        <w:rPr>
          <w:i/>
          <w:iCs/>
          <w:lang w:val="en-CA"/>
        </w:rPr>
        <w:t>R. v. Hanemaayer</w:t>
      </w:r>
      <w:r w:rsidRPr="006B2147">
        <w:rPr>
          <w:lang w:val="en-CA"/>
        </w:rPr>
        <w:t>, 2008 ONCA 580, para. 24)</w:t>
      </w:r>
      <w:r w:rsidR="007A6F53">
        <w:rPr>
          <w:lang w:val="en-CA"/>
        </w:rPr>
        <w:t>.</w:t>
      </w:r>
      <w:r>
        <w:rPr>
          <w:rStyle w:val="Appelnotedebasdep"/>
          <w:rFonts w:cs="Arial"/>
          <w:sz w:val="24"/>
          <w:szCs w:val="24"/>
          <w:lang w:val="en-CA"/>
        </w:rPr>
        <w:footnoteReference w:id="53"/>
      </w:r>
    </w:p>
    <w:p w14:paraId="79948A88" w14:textId="0777800B" w:rsidR="00A209B7" w:rsidRPr="006B2147" w:rsidRDefault="00B37A58" w:rsidP="00441741">
      <w:pPr>
        <w:pStyle w:val="Paragraphe"/>
        <w:spacing w:line="280" w:lineRule="exact"/>
        <w:rPr>
          <w:rFonts w:eastAsiaTheme="minorHAnsi"/>
          <w:lang w:val="en-CA" w:eastAsia="en-US"/>
        </w:rPr>
      </w:pPr>
      <w:r>
        <w:rPr>
          <w:rFonts w:eastAsiaTheme="minorHAnsi"/>
          <w:lang w:val="en-CA" w:eastAsia="en-US"/>
        </w:rPr>
        <w:t xml:space="preserve">While it is true that </w:t>
      </w:r>
      <w:r w:rsidR="007B4EF7">
        <w:rPr>
          <w:rFonts w:eastAsiaTheme="minorHAnsi"/>
          <w:lang w:val="en-CA" w:eastAsia="en-US"/>
        </w:rPr>
        <w:t>conflicts</w:t>
      </w:r>
      <w:r>
        <w:rPr>
          <w:rFonts w:eastAsiaTheme="minorHAnsi"/>
          <w:lang w:val="en-CA" w:eastAsia="en-US"/>
        </w:rPr>
        <w:t xml:space="preserve"> in t</w:t>
      </w:r>
      <w:r w:rsidR="007B4EF7">
        <w:rPr>
          <w:rFonts w:eastAsiaTheme="minorHAnsi"/>
          <w:lang w:val="en-CA" w:eastAsia="en-US"/>
        </w:rPr>
        <w:t>he tes</w:t>
      </w:r>
      <w:r>
        <w:rPr>
          <w:rFonts w:eastAsiaTheme="minorHAnsi"/>
          <w:lang w:val="en-CA" w:eastAsia="en-US"/>
        </w:rPr>
        <w:t>timon</w:t>
      </w:r>
      <w:r w:rsidR="007B4EF7">
        <w:rPr>
          <w:rFonts w:eastAsiaTheme="minorHAnsi"/>
          <w:lang w:val="en-CA" w:eastAsia="en-US"/>
        </w:rPr>
        <w:t>ial evidence</w:t>
      </w:r>
      <w:r>
        <w:rPr>
          <w:rFonts w:eastAsiaTheme="minorHAnsi"/>
          <w:lang w:val="en-CA" w:eastAsia="en-US"/>
        </w:rPr>
        <w:t xml:space="preserve"> will usually be addressed by the trial judge, the extradition judge nevertheless has the </w:t>
      </w:r>
      <w:r w:rsidR="007B4EF7">
        <w:rPr>
          <w:rFonts w:eastAsiaTheme="minorHAnsi"/>
          <w:lang w:val="en-CA" w:eastAsia="en-US"/>
        </w:rPr>
        <w:t xml:space="preserve">power </w:t>
      </w:r>
      <w:r>
        <w:rPr>
          <w:rFonts w:eastAsiaTheme="minorHAnsi"/>
          <w:lang w:val="en-CA" w:eastAsia="en-US"/>
        </w:rPr>
        <w:t xml:space="preserve">to ensure </w:t>
      </w:r>
      <w:r w:rsidR="007B4EF7">
        <w:rPr>
          <w:rFonts w:eastAsiaTheme="minorHAnsi"/>
          <w:lang w:val="en-CA" w:eastAsia="en-US"/>
        </w:rPr>
        <w:t>its</w:t>
      </w:r>
      <w:r w:rsidR="00D218CF">
        <w:rPr>
          <w:rFonts w:eastAsiaTheme="minorHAnsi"/>
          <w:lang w:val="en-CA" w:eastAsia="en-US"/>
        </w:rPr>
        <w:t xml:space="preserve"> minimal</w:t>
      </w:r>
      <w:r>
        <w:rPr>
          <w:rFonts w:eastAsiaTheme="minorHAnsi"/>
          <w:lang w:val="en-CA" w:eastAsia="en-US"/>
        </w:rPr>
        <w:t xml:space="preserve"> reliability</w:t>
      </w:r>
      <w:r w:rsidRPr="006B2147">
        <w:rPr>
          <w:rFonts w:eastAsiaTheme="minorHAnsi"/>
          <w:lang w:val="en-CA" w:eastAsia="en-US"/>
        </w:rPr>
        <w:t xml:space="preserve">. </w:t>
      </w:r>
      <w:r>
        <w:rPr>
          <w:rFonts w:eastAsiaTheme="minorHAnsi"/>
          <w:lang w:val="en-CA" w:eastAsia="en-US"/>
        </w:rPr>
        <w:t xml:space="preserve">That is what the judge did here, in examining a significant </w:t>
      </w:r>
      <w:r w:rsidR="00F87806">
        <w:rPr>
          <w:rFonts w:eastAsiaTheme="minorHAnsi"/>
          <w:lang w:val="en-CA" w:eastAsia="en-US"/>
        </w:rPr>
        <w:t>contradiction</w:t>
      </w:r>
      <w:r>
        <w:rPr>
          <w:rFonts w:eastAsiaTheme="minorHAnsi"/>
          <w:lang w:val="en-CA" w:eastAsia="en-US"/>
        </w:rPr>
        <w:t xml:space="preserve"> </w:t>
      </w:r>
      <w:r w:rsidR="007B4EF7">
        <w:rPr>
          <w:rFonts w:eastAsiaTheme="minorHAnsi"/>
          <w:lang w:val="en-CA" w:eastAsia="en-US"/>
        </w:rPr>
        <w:t>regarding</w:t>
      </w:r>
      <w:r>
        <w:rPr>
          <w:rFonts w:eastAsiaTheme="minorHAnsi"/>
          <w:lang w:val="en-CA" w:eastAsia="en-US"/>
        </w:rPr>
        <w:t xml:space="preserve"> the identification procedure</w:t>
      </w:r>
      <w:r w:rsidR="00284FEE">
        <w:rPr>
          <w:rFonts w:eastAsiaTheme="minorHAnsi"/>
          <w:lang w:val="en-CA" w:eastAsia="en-US"/>
        </w:rPr>
        <w:t xml:space="preserve"> re</w:t>
      </w:r>
      <w:r w:rsidR="00F87806">
        <w:rPr>
          <w:rFonts w:eastAsiaTheme="minorHAnsi"/>
          <w:lang w:val="en-CA" w:eastAsia="en-US"/>
        </w:rPr>
        <w:t>counted</w:t>
      </w:r>
      <w:r w:rsidR="00284FEE">
        <w:rPr>
          <w:rFonts w:eastAsiaTheme="minorHAnsi"/>
          <w:lang w:val="en-CA" w:eastAsia="en-US"/>
        </w:rPr>
        <w:t xml:space="preserve"> by M</w:t>
      </w:r>
      <w:r w:rsidR="00F87806">
        <w:rPr>
          <w:rFonts w:eastAsiaTheme="minorHAnsi"/>
          <w:lang w:val="en-CA" w:eastAsia="en-US"/>
        </w:rPr>
        <w:t>r</w:t>
      </w:r>
      <w:r w:rsidR="00284FEE">
        <w:rPr>
          <w:rFonts w:eastAsiaTheme="minorHAnsi"/>
          <w:lang w:val="en-CA" w:eastAsia="en-US"/>
        </w:rPr>
        <w:t>s.</w:t>
      </w:r>
      <w:r w:rsidRPr="006B2147">
        <w:rPr>
          <w:rFonts w:eastAsiaTheme="minorHAnsi"/>
          <w:lang w:val="en-CA" w:eastAsia="en-US"/>
        </w:rPr>
        <w:t xml:space="preserve"> Brace. </w:t>
      </w:r>
      <w:r w:rsidR="00284FEE">
        <w:rPr>
          <w:lang w:val="en-CA"/>
        </w:rPr>
        <w:t xml:space="preserve">In doing so, he was not deciding the issue of which version of the testimony must prevail, he simply </w:t>
      </w:r>
      <w:r w:rsidR="004311E8">
        <w:rPr>
          <w:lang w:val="en-CA"/>
        </w:rPr>
        <w:t>noted</w:t>
      </w:r>
      <w:r w:rsidR="00284FEE">
        <w:rPr>
          <w:lang w:val="en-CA"/>
        </w:rPr>
        <w:t xml:space="preserve"> the </w:t>
      </w:r>
      <w:r w:rsidR="00F87806">
        <w:rPr>
          <w:lang w:val="en-CA"/>
        </w:rPr>
        <w:t>contradiction</w:t>
      </w:r>
      <w:r w:rsidR="00284FEE">
        <w:rPr>
          <w:lang w:val="en-CA"/>
        </w:rPr>
        <w:t xml:space="preserve"> and considered it in light of the rest of the evidence, to determine </w:t>
      </w:r>
      <w:r w:rsidR="00F87806">
        <w:rPr>
          <w:lang w:val="en-CA"/>
        </w:rPr>
        <w:t xml:space="preserve">whether </w:t>
      </w:r>
      <w:r w:rsidR="004311E8">
        <w:rPr>
          <w:lang w:val="en-CA"/>
        </w:rPr>
        <w:t>that evidence was</w:t>
      </w:r>
      <w:r w:rsidR="00284FEE">
        <w:rPr>
          <w:lang w:val="en-CA"/>
        </w:rPr>
        <w:t xml:space="preserve"> sufficiently reliable.</w:t>
      </w:r>
      <w:r>
        <w:rPr>
          <w:rStyle w:val="Appelnotedebasdep"/>
          <w:rFonts w:cs="Arial"/>
          <w:szCs w:val="24"/>
          <w:lang w:val="en-CA"/>
        </w:rPr>
        <w:footnoteReference w:id="54"/>
      </w:r>
    </w:p>
    <w:p w14:paraId="52936DF4" w14:textId="35AA6108" w:rsidR="00A209B7" w:rsidRPr="006B2147" w:rsidRDefault="00B37A58" w:rsidP="00441741">
      <w:pPr>
        <w:pStyle w:val="Paragraphedeliste"/>
        <w:numPr>
          <w:ilvl w:val="0"/>
          <w:numId w:val="18"/>
        </w:numPr>
        <w:tabs>
          <w:tab w:val="clear" w:pos="720"/>
          <w:tab w:val="num" w:pos="360"/>
        </w:tabs>
        <w:spacing w:before="120" w:after="120" w:line="280" w:lineRule="exact"/>
        <w:contextualSpacing w:val="0"/>
        <w:jc w:val="both"/>
        <w:rPr>
          <w:rFonts w:ascii="Arial" w:hAnsi="Arial" w:cs="Arial"/>
          <w:sz w:val="24"/>
          <w:szCs w:val="24"/>
          <w:lang w:val="en-CA"/>
        </w:rPr>
      </w:pPr>
      <w:r>
        <w:rPr>
          <w:rFonts w:ascii="Arial" w:hAnsi="Arial" w:cs="Arial"/>
          <w:sz w:val="24"/>
          <w:szCs w:val="24"/>
          <w:lang w:val="en-CA"/>
        </w:rPr>
        <w:t>The judge also noted that, in her testimony at trial</w:t>
      </w:r>
      <w:r w:rsidRPr="006B2147">
        <w:rPr>
          <w:rFonts w:ascii="Arial" w:hAnsi="Arial" w:cs="Arial"/>
          <w:sz w:val="24"/>
          <w:szCs w:val="24"/>
          <w:lang w:val="en-CA"/>
        </w:rPr>
        <w:t>, M</w:t>
      </w:r>
      <w:r>
        <w:rPr>
          <w:rFonts w:ascii="Arial" w:hAnsi="Arial" w:cs="Arial"/>
          <w:sz w:val="24"/>
          <w:szCs w:val="24"/>
          <w:lang w:val="en-CA"/>
        </w:rPr>
        <w:t>rs.</w:t>
      </w:r>
      <w:r w:rsidRPr="006B2147">
        <w:rPr>
          <w:rFonts w:ascii="Arial" w:hAnsi="Arial" w:cs="Arial"/>
          <w:sz w:val="24"/>
          <w:szCs w:val="24"/>
          <w:lang w:val="en-CA"/>
        </w:rPr>
        <w:t xml:space="preserve"> Brace </w:t>
      </w:r>
      <w:r>
        <w:rPr>
          <w:rFonts w:ascii="Arial" w:hAnsi="Arial" w:cs="Arial"/>
          <w:sz w:val="24"/>
          <w:szCs w:val="24"/>
          <w:lang w:val="en-CA"/>
        </w:rPr>
        <w:t>described an array of four photographs arranged in two rows in which she</w:t>
      </w:r>
      <w:r w:rsidR="00F87806">
        <w:rPr>
          <w:rFonts w:ascii="Arial" w:hAnsi="Arial" w:cs="Arial"/>
          <w:sz w:val="24"/>
          <w:szCs w:val="24"/>
          <w:lang w:val="en-CA"/>
        </w:rPr>
        <w:t xml:space="preserve"> purportedly</w:t>
      </w:r>
      <w:r>
        <w:rPr>
          <w:rFonts w:ascii="Arial" w:hAnsi="Arial" w:cs="Arial"/>
          <w:sz w:val="24"/>
          <w:szCs w:val="24"/>
          <w:lang w:val="en-CA"/>
        </w:rPr>
        <w:t xml:space="preserve"> pointed </w:t>
      </w:r>
      <w:r w:rsidR="00F87806">
        <w:rPr>
          <w:rFonts w:ascii="Arial" w:hAnsi="Arial" w:cs="Arial"/>
          <w:sz w:val="24"/>
          <w:szCs w:val="24"/>
          <w:lang w:val="en-CA"/>
        </w:rPr>
        <w:t xml:space="preserve">to </w:t>
      </w:r>
      <w:r>
        <w:rPr>
          <w:rFonts w:ascii="Arial" w:hAnsi="Arial" w:cs="Arial"/>
          <w:sz w:val="24"/>
          <w:szCs w:val="24"/>
          <w:lang w:val="en-CA"/>
        </w:rPr>
        <w:t>the second photograph.</w:t>
      </w:r>
      <w:r>
        <w:rPr>
          <w:rStyle w:val="Appelnotedebasdep"/>
          <w:rFonts w:ascii="Arial" w:hAnsi="Arial" w:cs="Arial"/>
          <w:sz w:val="24"/>
          <w:szCs w:val="24"/>
          <w:lang w:val="en-CA"/>
        </w:rPr>
        <w:footnoteReference w:id="55"/>
      </w:r>
      <w:r w:rsidRPr="006B2147">
        <w:rPr>
          <w:rFonts w:ascii="Arial" w:hAnsi="Arial" w:cs="Arial"/>
          <w:sz w:val="24"/>
          <w:szCs w:val="24"/>
          <w:lang w:val="en-CA"/>
        </w:rPr>
        <w:t xml:space="preserve"> </w:t>
      </w:r>
      <w:r>
        <w:rPr>
          <w:rFonts w:ascii="Arial" w:hAnsi="Arial" w:cs="Arial"/>
          <w:sz w:val="24"/>
          <w:szCs w:val="24"/>
          <w:lang w:val="en-CA"/>
        </w:rPr>
        <w:t>However, the additional evidence filed in the SROC contains a photo showing</w:t>
      </w:r>
      <w:r w:rsidR="00AC580C">
        <w:rPr>
          <w:rFonts w:ascii="Arial" w:hAnsi="Arial" w:cs="Arial"/>
          <w:sz w:val="24"/>
          <w:szCs w:val="24"/>
          <w:lang w:val="en-CA"/>
        </w:rPr>
        <w:t xml:space="preserve"> instead</w:t>
      </w:r>
      <w:r>
        <w:rPr>
          <w:rFonts w:ascii="Arial" w:hAnsi="Arial" w:cs="Arial"/>
          <w:sz w:val="24"/>
          <w:szCs w:val="24"/>
          <w:lang w:val="en-CA"/>
        </w:rPr>
        <w:t xml:space="preserve"> Mrs. Brace pointing </w:t>
      </w:r>
      <w:r w:rsidR="00F87806">
        <w:rPr>
          <w:rFonts w:ascii="Arial" w:hAnsi="Arial" w:cs="Arial"/>
          <w:sz w:val="24"/>
          <w:szCs w:val="24"/>
          <w:lang w:val="en-CA"/>
        </w:rPr>
        <w:t xml:space="preserve">to </w:t>
      </w:r>
      <w:r>
        <w:rPr>
          <w:rFonts w:ascii="Arial" w:hAnsi="Arial" w:cs="Arial"/>
          <w:sz w:val="24"/>
          <w:szCs w:val="24"/>
          <w:lang w:val="en-CA"/>
        </w:rPr>
        <w:t>photograph number 3 on a white sheet of paper showing four photographs arran</w:t>
      </w:r>
      <w:r w:rsidR="00F87806">
        <w:rPr>
          <w:rFonts w:ascii="Arial" w:hAnsi="Arial" w:cs="Arial"/>
          <w:sz w:val="24"/>
          <w:szCs w:val="24"/>
          <w:lang w:val="en-CA"/>
        </w:rPr>
        <w:t>ged</w:t>
      </w:r>
      <w:r>
        <w:rPr>
          <w:rFonts w:ascii="Arial" w:hAnsi="Arial" w:cs="Arial"/>
          <w:sz w:val="24"/>
          <w:szCs w:val="24"/>
          <w:lang w:val="en-CA"/>
        </w:rPr>
        <w:t xml:space="preserve"> in a single row.</w:t>
      </w:r>
      <w:r>
        <w:rPr>
          <w:rStyle w:val="Appelnotedebasdep"/>
          <w:rFonts w:ascii="Arial" w:hAnsi="Arial" w:cs="Arial"/>
          <w:sz w:val="24"/>
          <w:szCs w:val="24"/>
          <w:lang w:val="en-CA"/>
        </w:rPr>
        <w:footnoteReference w:id="56"/>
      </w:r>
      <w:r w:rsidRPr="006B2147">
        <w:rPr>
          <w:rFonts w:ascii="Arial" w:hAnsi="Arial" w:cs="Arial"/>
          <w:sz w:val="24"/>
          <w:szCs w:val="24"/>
          <w:lang w:val="en-CA"/>
        </w:rPr>
        <w:t xml:space="preserve"> </w:t>
      </w:r>
    </w:p>
    <w:p w14:paraId="7CEE0EDE" w14:textId="36283BFC" w:rsidR="00A209B7" w:rsidRPr="006B2147" w:rsidRDefault="00B37A58" w:rsidP="00441741">
      <w:pPr>
        <w:pStyle w:val="Paragraphe"/>
        <w:spacing w:line="280" w:lineRule="exact"/>
        <w:rPr>
          <w:szCs w:val="22"/>
          <w:lang w:val="en-CA"/>
        </w:rPr>
      </w:pPr>
      <w:r>
        <w:rPr>
          <w:lang w:val="en-CA"/>
        </w:rPr>
        <w:t>These</w:t>
      </w:r>
      <w:r w:rsidRPr="006B2147">
        <w:rPr>
          <w:lang w:val="en-CA"/>
        </w:rPr>
        <w:t xml:space="preserve"> passage</w:t>
      </w:r>
      <w:r>
        <w:rPr>
          <w:lang w:val="en-CA"/>
        </w:rPr>
        <w:t>s formed part of the judge’s analysis aimed at determining whether there exist</w:t>
      </w:r>
      <w:r w:rsidR="00F87806">
        <w:rPr>
          <w:lang w:val="en-CA"/>
        </w:rPr>
        <w:t>s</w:t>
      </w:r>
      <w:r>
        <w:rPr>
          <w:lang w:val="en-CA"/>
        </w:rPr>
        <w:t xml:space="preserve"> reliable and sufficient evidence</w:t>
      </w:r>
      <w:r w:rsidR="00527602">
        <w:rPr>
          <w:lang w:val="en-CA"/>
        </w:rPr>
        <w:t>,</w:t>
      </w:r>
      <w:r w:rsidRPr="006B2147">
        <w:rPr>
          <w:lang w:val="en-CA"/>
        </w:rPr>
        <w:t xml:space="preserve"> </w:t>
      </w:r>
      <w:r w:rsidR="00527602" w:rsidRPr="00527602">
        <w:rPr>
          <w:lang w:val="en-CA"/>
        </w:rPr>
        <w:t xml:space="preserve">in </w:t>
      </w:r>
      <w:r w:rsidR="00527602">
        <w:rPr>
          <w:lang w:val="en-CA"/>
        </w:rPr>
        <w:t>reference to</w:t>
      </w:r>
      <w:r w:rsidR="00527602" w:rsidRPr="00527602">
        <w:rPr>
          <w:lang w:val="en-CA"/>
        </w:rPr>
        <w:t xml:space="preserve"> the </w:t>
      </w:r>
      <w:r w:rsidR="00527602">
        <w:rPr>
          <w:lang w:val="en-CA"/>
        </w:rPr>
        <w:t>totality of</w:t>
      </w:r>
      <w:r w:rsidR="00527602" w:rsidRPr="00527602">
        <w:rPr>
          <w:lang w:val="en-CA"/>
        </w:rPr>
        <w:t xml:space="preserve"> evidence</w:t>
      </w:r>
      <w:r w:rsidR="00527602">
        <w:rPr>
          <w:lang w:val="en-CA"/>
        </w:rPr>
        <w:t>,</w:t>
      </w:r>
      <w:r w:rsidRPr="00AC580C">
        <w:rPr>
          <w:lang w:val="en-CA"/>
        </w:rPr>
        <w:t xml:space="preserve"> </w:t>
      </w:r>
      <w:r w:rsidR="00527602">
        <w:rPr>
          <w:lang w:val="en-CA"/>
        </w:rPr>
        <w:t>upon wh</w:t>
      </w:r>
      <w:r w:rsidR="00F87806">
        <w:rPr>
          <w:lang w:val="en-CA"/>
        </w:rPr>
        <w:t>ich</w:t>
      </w:r>
      <w:r w:rsidR="00527602">
        <w:rPr>
          <w:lang w:val="en-CA"/>
        </w:rPr>
        <w:t xml:space="preserve"> </w:t>
      </w:r>
      <w:r w:rsidRPr="00AC580C">
        <w:rPr>
          <w:lang w:val="en-CA"/>
        </w:rPr>
        <w:t xml:space="preserve">a reasonable, properly instructed jury </w:t>
      </w:r>
      <w:r w:rsidR="00527602">
        <w:rPr>
          <w:lang w:val="en-CA"/>
        </w:rPr>
        <w:t>could</w:t>
      </w:r>
      <w:r w:rsidRPr="00AC580C">
        <w:rPr>
          <w:lang w:val="en-CA"/>
        </w:rPr>
        <w:t xml:space="preserve"> </w:t>
      </w:r>
      <w:r>
        <w:rPr>
          <w:lang w:val="en-CA"/>
        </w:rPr>
        <w:t>find the accused</w:t>
      </w:r>
      <w:r w:rsidRPr="00AC580C">
        <w:rPr>
          <w:lang w:val="en-CA"/>
        </w:rPr>
        <w:t xml:space="preserve"> guilty</w:t>
      </w:r>
      <w:r>
        <w:rPr>
          <w:lang w:val="en-CA"/>
        </w:rPr>
        <w:t>,</w:t>
      </w:r>
      <w:r>
        <w:rPr>
          <w:rStyle w:val="Appelnotedebasdep"/>
          <w:rFonts w:cs="Arial"/>
          <w:szCs w:val="24"/>
          <w:lang w:val="en-CA"/>
        </w:rPr>
        <w:footnoteReference w:id="57"/>
      </w:r>
      <w:r w:rsidR="00F87806">
        <w:rPr>
          <w:lang w:val="en-CA"/>
        </w:rPr>
        <w:t xml:space="preserve"> </w:t>
      </w:r>
      <w:r>
        <w:rPr>
          <w:lang w:val="en-CA"/>
        </w:rPr>
        <w:t>which the case law allows him to do.</w:t>
      </w:r>
      <w:r>
        <w:rPr>
          <w:rStyle w:val="Appelnotedebasdep"/>
          <w:rFonts w:cs="Arial"/>
          <w:szCs w:val="24"/>
          <w:lang w:val="en-CA"/>
        </w:rPr>
        <w:footnoteReference w:id="58"/>
      </w:r>
      <w:r w:rsidRPr="006B2147">
        <w:rPr>
          <w:lang w:val="en-CA"/>
        </w:rPr>
        <w:t xml:space="preserve"> </w:t>
      </w:r>
    </w:p>
    <w:p w14:paraId="6D6A68FE" w14:textId="2AD5DAB6" w:rsidR="00A209B7" w:rsidRPr="006B2147" w:rsidRDefault="00B37A58" w:rsidP="00441741">
      <w:pPr>
        <w:pStyle w:val="Paragraphe"/>
        <w:spacing w:line="280" w:lineRule="exact"/>
        <w:rPr>
          <w:lang w:val="en-CA"/>
        </w:rPr>
      </w:pPr>
      <w:r>
        <w:rPr>
          <w:lang w:val="en-CA"/>
        </w:rPr>
        <w:t>Although</w:t>
      </w:r>
      <w:r w:rsidR="00C11AEF">
        <w:rPr>
          <w:lang w:val="en-CA"/>
        </w:rPr>
        <w:t xml:space="preserve"> the judge commented on Mrs. B</w:t>
      </w:r>
      <w:r w:rsidRPr="006B2147">
        <w:rPr>
          <w:lang w:val="en-CA"/>
        </w:rPr>
        <w:t>race</w:t>
      </w:r>
      <w:r w:rsidR="00C11AEF">
        <w:rPr>
          <w:lang w:val="en-CA"/>
        </w:rPr>
        <w:t>’s</w:t>
      </w:r>
      <w:r w:rsidRPr="006B2147">
        <w:rPr>
          <w:lang w:val="en-CA"/>
        </w:rPr>
        <w:t xml:space="preserve"> </w:t>
      </w:r>
      <w:r w:rsidR="00C11AEF">
        <w:rPr>
          <w:lang w:val="en-CA"/>
        </w:rPr>
        <w:t xml:space="preserve">capacity to recall the events, I am of the view that, in the context of a highly </w:t>
      </w:r>
      <w:r w:rsidR="001F3EA2">
        <w:rPr>
          <w:lang w:val="en-CA"/>
        </w:rPr>
        <w:t>traumatic</w:t>
      </w:r>
      <w:r w:rsidR="00C11AEF">
        <w:rPr>
          <w:lang w:val="en-CA"/>
        </w:rPr>
        <w:t xml:space="preserve"> event and a </w:t>
      </w:r>
      <w:r w:rsidR="001F210A">
        <w:rPr>
          <w:lang w:val="en-CA"/>
        </w:rPr>
        <w:t>flawed</w:t>
      </w:r>
      <w:r w:rsidR="00993C15">
        <w:rPr>
          <w:lang w:val="en-CA"/>
        </w:rPr>
        <w:t xml:space="preserve"> </w:t>
      </w:r>
      <w:r w:rsidR="00C11AEF">
        <w:rPr>
          <w:lang w:val="en-CA"/>
        </w:rPr>
        <w:t xml:space="preserve">photo lineup that followed six months later, the judge </w:t>
      </w:r>
      <w:r w:rsidR="00A92032">
        <w:rPr>
          <w:lang w:val="en-CA"/>
        </w:rPr>
        <w:t>was</w:t>
      </w:r>
      <w:r w:rsidR="00C11AEF">
        <w:rPr>
          <w:lang w:val="en-CA"/>
        </w:rPr>
        <w:t xml:space="preserve"> </w:t>
      </w:r>
      <w:r w:rsidR="00993C15">
        <w:rPr>
          <w:lang w:val="en-CA"/>
        </w:rPr>
        <w:t xml:space="preserve">properly </w:t>
      </w:r>
      <w:r w:rsidR="00C11AEF">
        <w:rPr>
          <w:lang w:val="en-CA"/>
        </w:rPr>
        <w:t>addressing here the reliability of the eyewitness evidence.</w:t>
      </w:r>
      <w:r>
        <w:rPr>
          <w:rStyle w:val="Appelnotedebasdep"/>
          <w:rFonts w:cs="Arial"/>
          <w:szCs w:val="24"/>
          <w:lang w:val="en-CA"/>
        </w:rPr>
        <w:footnoteReference w:id="59"/>
      </w:r>
      <w:r w:rsidRPr="006B2147">
        <w:rPr>
          <w:lang w:val="en-CA"/>
        </w:rPr>
        <w:t xml:space="preserve"> </w:t>
      </w:r>
    </w:p>
    <w:p w14:paraId="3AD3A25D" w14:textId="2175B488" w:rsidR="00A21FFE" w:rsidRPr="006B2147" w:rsidRDefault="00B37A58" w:rsidP="00441741">
      <w:pPr>
        <w:pStyle w:val="Paragraphe"/>
        <w:spacing w:line="280" w:lineRule="exact"/>
        <w:rPr>
          <w:lang w:val="en-CA"/>
        </w:rPr>
      </w:pPr>
      <w:r>
        <w:rPr>
          <w:lang w:val="en-CA"/>
        </w:rPr>
        <w:t>Indeed, I am of the view that the judge was fully aware of the low threshold for ordering committal and of his limited role.</w:t>
      </w:r>
      <w:r>
        <w:rPr>
          <w:rStyle w:val="Appelnotedebasdep"/>
          <w:rFonts w:cs="Arial"/>
          <w:color w:val="000000"/>
          <w:szCs w:val="24"/>
          <w:lang w:val="en-CA"/>
        </w:rPr>
        <w:footnoteReference w:id="60"/>
      </w:r>
      <w:r>
        <w:rPr>
          <w:lang w:val="en-CA"/>
        </w:rPr>
        <w:t xml:space="preserve"> He was also aware that determining the weight to be given to the identification evidence</w:t>
      </w:r>
      <w:r w:rsidR="002C4674">
        <w:rPr>
          <w:lang w:val="en-CA"/>
        </w:rPr>
        <w:t xml:space="preserve"> rests with the</w:t>
      </w:r>
      <w:r>
        <w:rPr>
          <w:lang w:val="en-CA"/>
        </w:rPr>
        <w:t xml:space="preserve"> trier of fact,</w:t>
      </w:r>
      <w:r>
        <w:rPr>
          <w:rStyle w:val="Appelnotedebasdep"/>
          <w:rFonts w:cs="Arial"/>
          <w:color w:val="000000"/>
          <w:szCs w:val="24"/>
          <w:lang w:val="en-CA"/>
        </w:rPr>
        <w:footnoteReference w:id="61"/>
      </w:r>
      <w:r>
        <w:rPr>
          <w:lang w:val="en-CA"/>
        </w:rPr>
        <w:t xml:space="preserve"> i.e., the Albanian judge in this case</w:t>
      </w:r>
      <w:r w:rsidR="009469CF" w:rsidRPr="006B2147">
        <w:rPr>
          <w:lang w:val="en-CA"/>
        </w:rPr>
        <w:t>.</w:t>
      </w:r>
    </w:p>
    <w:p w14:paraId="2C92E021" w14:textId="2790061B" w:rsidR="00AD27C2" w:rsidRPr="006B2147" w:rsidRDefault="00B37A58" w:rsidP="00441741">
      <w:pPr>
        <w:pStyle w:val="Paragraphe"/>
        <w:spacing w:line="280" w:lineRule="exact"/>
        <w:rPr>
          <w:lang w:val="en-CA"/>
        </w:rPr>
      </w:pPr>
      <w:bookmarkStart w:id="36" w:name="_Hlk213400598"/>
      <w:r>
        <w:rPr>
          <w:lang w:val="en-CA"/>
        </w:rPr>
        <w:t xml:space="preserve">Even assuming that a jury, if it believed the witnesses, could </w:t>
      </w:r>
      <w:r w:rsidR="00D33ED5">
        <w:rPr>
          <w:lang w:val="en-CA"/>
        </w:rPr>
        <w:t>convict, the judge in first instance was right to consider, again under the rules of Canadian law, that the evidence thus submitted was so manifestly fragile that it would be dangerous or unsafe to proceed with committal</w:t>
      </w:r>
      <w:r w:rsidRPr="006B2147">
        <w:rPr>
          <w:lang w:val="en-CA"/>
        </w:rPr>
        <w:t>.</w:t>
      </w:r>
      <w:bookmarkEnd w:id="36"/>
    </w:p>
    <w:p w14:paraId="1399BB5B" w14:textId="37FF28B0" w:rsidR="00173C28" w:rsidRPr="006B2147" w:rsidRDefault="00B37A58" w:rsidP="00441741">
      <w:pPr>
        <w:pStyle w:val="Paragraphe"/>
        <w:spacing w:line="280" w:lineRule="exact"/>
        <w:rPr>
          <w:rFonts w:eastAsiaTheme="minorHAnsi"/>
          <w:kern w:val="2"/>
          <w:lang w:val="en-CA" w:eastAsia="en-US"/>
          <w14:ligatures w14:val="standardContextual"/>
        </w:rPr>
      </w:pPr>
      <w:r>
        <w:rPr>
          <w:lang w:val="en-CA"/>
        </w:rPr>
        <w:t>In fact, during the hearing</w:t>
      </w:r>
      <w:r w:rsidR="009469CF" w:rsidRPr="006B2147">
        <w:rPr>
          <w:lang w:val="en-CA"/>
        </w:rPr>
        <w:t xml:space="preserve">, </w:t>
      </w:r>
      <w:r>
        <w:rPr>
          <w:lang w:val="en-CA"/>
        </w:rPr>
        <w:t>the judge discussed the fact that the eviden</w:t>
      </w:r>
      <w:r w:rsidR="00EB2553">
        <w:rPr>
          <w:lang w:val="en-CA"/>
        </w:rPr>
        <w:t>ce in the</w:t>
      </w:r>
      <w:r>
        <w:rPr>
          <w:lang w:val="en-CA"/>
        </w:rPr>
        <w:t xml:space="preserve"> </w:t>
      </w:r>
      <w:r w:rsidR="00EB2553">
        <w:rPr>
          <w:lang w:val="en-CA"/>
        </w:rPr>
        <w:t>record appeared weak to him and that he remained fully aware of his limited role and</w:t>
      </w:r>
      <w:r w:rsidR="002E0285">
        <w:rPr>
          <w:lang w:val="en-CA"/>
        </w:rPr>
        <w:t xml:space="preserve"> </w:t>
      </w:r>
      <w:r w:rsidR="00EB2553">
        <w:rPr>
          <w:lang w:val="en-CA"/>
        </w:rPr>
        <w:t xml:space="preserve">that the requesting state’s </w:t>
      </w:r>
      <w:bookmarkStart w:id="37" w:name="_Ref210312716"/>
      <w:r w:rsidR="00EB2553">
        <w:rPr>
          <w:lang w:val="en-CA"/>
        </w:rPr>
        <w:t>burden was low.</w:t>
      </w:r>
      <w:r>
        <w:rPr>
          <w:rStyle w:val="Appelnotedebasdep"/>
          <w:rFonts w:cs="Arial"/>
          <w:szCs w:val="24"/>
          <w:lang w:val="en-CA"/>
        </w:rPr>
        <w:footnoteReference w:id="62"/>
      </w:r>
      <w:bookmarkEnd w:id="37"/>
    </w:p>
    <w:p w14:paraId="5F201684" w14:textId="57C01C21" w:rsidR="009469CF" w:rsidRPr="006B2147" w:rsidRDefault="00B37A58" w:rsidP="00441741">
      <w:pPr>
        <w:pStyle w:val="Paragraphedeliste"/>
        <w:numPr>
          <w:ilvl w:val="0"/>
          <w:numId w:val="18"/>
        </w:numPr>
        <w:tabs>
          <w:tab w:val="clear" w:pos="720"/>
          <w:tab w:val="num" w:pos="360"/>
        </w:tabs>
        <w:spacing w:before="120" w:after="120" w:line="280" w:lineRule="exact"/>
        <w:contextualSpacing w:val="0"/>
        <w:jc w:val="both"/>
        <w:rPr>
          <w:rFonts w:ascii="Arial" w:hAnsi="Arial" w:cs="Arial"/>
          <w:sz w:val="24"/>
          <w:szCs w:val="24"/>
          <w:lang w:val="en-CA"/>
        </w:rPr>
      </w:pPr>
      <w:r>
        <w:rPr>
          <w:rFonts w:ascii="Arial" w:hAnsi="Arial" w:cs="Arial"/>
          <w:sz w:val="24"/>
          <w:szCs w:val="24"/>
          <w:lang w:val="en-CA"/>
        </w:rPr>
        <w:t>In reply</w:t>
      </w:r>
      <w:r w:rsidRPr="006B2147">
        <w:rPr>
          <w:rFonts w:ascii="Arial" w:hAnsi="Arial" w:cs="Arial"/>
          <w:sz w:val="24"/>
          <w:szCs w:val="24"/>
          <w:lang w:val="en-CA"/>
        </w:rPr>
        <w:t xml:space="preserve">, </w:t>
      </w:r>
      <w:r>
        <w:rPr>
          <w:rFonts w:ascii="Arial" w:hAnsi="Arial" w:cs="Arial"/>
          <w:sz w:val="24"/>
          <w:szCs w:val="24"/>
          <w:lang w:val="en-CA"/>
        </w:rPr>
        <w:t>counsel for the appellant appeared to acknowledge that a Canadian prosecutor would not file charges</w:t>
      </w:r>
      <w:r w:rsidRPr="006B2147">
        <w:rPr>
          <w:rFonts w:ascii="Arial" w:hAnsi="Arial" w:cs="Arial"/>
          <w:sz w:val="24"/>
          <w:szCs w:val="24"/>
          <w:lang w:val="en-CA"/>
        </w:rPr>
        <w:t xml:space="preserve"> </w:t>
      </w:r>
      <w:r>
        <w:rPr>
          <w:rFonts w:ascii="Arial" w:hAnsi="Arial" w:cs="Arial"/>
          <w:sz w:val="24"/>
          <w:szCs w:val="24"/>
          <w:lang w:val="en-CA"/>
        </w:rPr>
        <w:t>in a case such as this one:</w:t>
      </w:r>
      <w:r>
        <w:rPr>
          <w:rStyle w:val="Appelnotedebasdep"/>
          <w:rFonts w:ascii="Arial" w:hAnsi="Arial" w:cs="Arial"/>
          <w:sz w:val="24"/>
          <w:szCs w:val="24"/>
          <w:lang w:val="en-CA"/>
        </w:rPr>
        <w:footnoteReference w:id="63"/>
      </w:r>
      <w:r w:rsidRPr="006B2147">
        <w:rPr>
          <w:rFonts w:ascii="Arial" w:hAnsi="Arial" w:cs="Arial"/>
          <w:sz w:val="24"/>
          <w:szCs w:val="24"/>
          <w:lang w:val="en-CA"/>
        </w:rPr>
        <w:t> </w:t>
      </w:r>
    </w:p>
    <w:p w14:paraId="6D0CA842" w14:textId="77777777" w:rsidR="009469CF" w:rsidRPr="006B2147" w:rsidRDefault="00B37A58" w:rsidP="009469CF">
      <w:pPr>
        <w:pStyle w:val="Citationenretrait"/>
        <w:rPr>
          <w:rFonts w:cs="Arial"/>
          <w:szCs w:val="22"/>
          <w:lang w:val="en-CA" w:eastAsia="fr-CA"/>
        </w:rPr>
      </w:pPr>
      <w:r w:rsidRPr="006B2147">
        <w:rPr>
          <w:rFonts w:cs="Arial"/>
          <w:szCs w:val="22"/>
          <w:lang w:val="en-CA" w:eastAsia="fr-CA"/>
        </w:rPr>
        <w:t xml:space="preserve">I think what’s important to remember just is that there’s never an assessment of is this a weak case, is this a strong case, like you’ve said, you know. </w:t>
      </w:r>
      <w:r w:rsidRPr="006B2147">
        <w:rPr>
          <w:rFonts w:cs="Arial"/>
          <w:szCs w:val="22"/>
          <w:u w:val="single"/>
          <w:lang w:val="en-CA" w:eastAsia="fr-CA"/>
        </w:rPr>
        <w:t>By Canadian standard, a Canadian prosecutor wouldn’t likely proceed on this case</w:t>
      </w:r>
      <w:r w:rsidRPr="006B2147">
        <w:rPr>
          <w:rFonts w:cs="Arial"/>
          <w:szCs w:val="22"/>
          <w:lang w:val="en-CA" w:eastAsia="fr-CA"/>
        </w:rPr>
        <w:t>, but the question isn’t, you know, is the case weak, is the case strong? Is it likely to lead to a conviction, is it likely to lead to an acquittal? The test is just, if the evidence in the ROC - which is presumed reliable - is believed, if it’s taken to be true, if a reasonable jury were to believe that evidence, could they? Could they, not would they, but could they render a verdict.</w:t>
      </w:r>
    </w:p>
    <w:p w14:paraId="199FD1CF" w14:textId="3B03E470" w:rsidR="009469CF" w:rsidRPr="006B2147" w:rsidRDefault="00B37A58" w:rsidP="007734BA">
      <w:pPr>
        <w:pStyle w:val="Citationenretrait"/>
        <w:jc w:val="right"/>
        <w:rPr>
          <w:lang w:val="en-CA" w:eastAsia="fr-CA"/>
        </w:rPr>
      </w:pPr>
      <w:r w:rsidRPr="006B2147">
        <w:rPr>
          <w:lang w:val="en-CA" w:eastAsia="fr-CA"/>
        </w:rPr>
        <w:t>[</w:t>
      </w:r>
      <w:r w:rsidR="00E73A03">
        <w:rPr>
          <w:lang w:val="en-CA"/>
        </w:rPr>
        <w:t>Emphasis added</w:t>
      </w:r>
      <w:r w:rsidRPr="006B2147">
        <w:rPr>
          <w:lang w:val="en-CA" w:eastAsia="fr-CA"/>
        </w:rPr>
        <w:t>]</w:t>
      </w:r>
    </w:p>
    <w:p w14:paraId="382EFD68" w14:textId="4963B579" w:rsidR="00AD27C2" w:rsidRPr="006B2147" w:rsidRDefault="00B37A58" w:rsidP="00441741">
      <w:pPr>
        <w:pStyle w:val="Paragraphedeliste"/>
        <w:numPr>
          <w:ilvl w:val="0"/>
          <w:numId w:val="18"/>
        </w:numPr>
        <w:tabs>
          <w:tab w:val="clear" w:pos="720"/>
          <w:tab w:val="num" w:pos="360"/>
        </w:tabs>
        <w:spacing w:before="120" w:after="120" w:line="280" w:lineRule="exact"/>
        <w:contextualSpacing w:val="0"/>
        <w:jc w:val="both"/>
        <w:rPr>
          <w:rFonts w:ascii="Arial" w:hAnsi="Arial" w:cs="Arial"/>
          <w:sz w:val="24"/>
          <w:szCs w:val="24"/>
          <w:lang w:val="en-CA"/>
        </w:rPr>
      </w:pPr>
      <w:r>
        <w:rPr>
          <w:rFonts w:ascii="Arial" w:hAnsi="Arial" w:cs="Arial"/>
          <w:sz w:val="24"/>
          <w:szCs w:val="24"/>
          <w:lang w:val="en-CA"/>
        </w:rPr>
        <w:t>To be sure, this is not an admission, which could not in any event</w:t>
      </w:r>
      <w:r w:rsidR="00173C28" w:rsidRPr="006B2147">
        <w:rPr>
          <w:rFonts w:ascii="Arial" w:hAnsi="Arial" w:cs="Arial"/>
          <w:sz w:val="24"/>
          <w:szCs w:val="24"/>
          <w:lang w:val="en-CA"/>
        </w:rPr>
        <w:t xml:space="preserve">, </w:t>
      </w:r>
      <w:r w:rsidR="00DA339C">
        <w:rPr>
          <w:rFonts w:ascii="Arial" w:hAnsi="Arial" w:cs="Arial"/>
          <w:sz w:val="24"/>
          <w:szCs w:val="24"/>
          <w:lang w:val="en-CA"/>
        </w:rPr>
        <w:t xml:space="preserve">relate to the </w:t>
      </w:r>
      <w:r>
        <w:rPr>
          <w:rFonts w:ascii="Arial" w:hAnsi="Arial" w:cs="Arial"/>
          <w:sz w:val="24"/>
          <w:szCs w:val="24"/>
          <w:lang w:val="en-CA"/>
        </w:rPr>
        <w:t xml:space="preserve">law, but it </w:t>
      </w:r>
      <w:r w:rsidR="00DA339C">
        <w:rPr>
          <w:rFonts w:ascii="Arial" w:hAnsi="Arial" w:cs="Arial"/>
          <w:sz w:val="24"/>
          <w:szCs w:val="24"/>
          <w:lang w:val="en-CA"/>
        </w:rPr>
        <w:t>should be noted</w:t>
      </w:r>
      <w:r>
        <w:rPr>
          <w:rFonts w:ascii="Arial" w:hAnsi="Arial" w:cs="Arial"/>
          <w:sz w:val="24"/>
          <w:szCs w:val="24"/>
          <w:lang w:val="en-CA"/>
        </w:rPr>
        <w:t xml:space="preserve"> that the applicable test, at the extradition hearing stage, is specifically </w:t>
      </w:r>
      <w:r w:rsidR="003A1749">
        <w:rPr>
          <w:rFonts w:ascii="Arial" w:hAnsi="Arial" w:cs="Arial"/>
          <w:sz w:val="24"/>
          <w:szCs w:val="24"/>
          <w:lang w:val="en-CA"/>
        </w:rPr>
        <w:t>designed to ensure</w:t>
      </w:r>
      <w:r>
        <w:rPr>
          <w:rFonts w:ascii="Arial" w:hAnsi="Arial" w:cs="Arial"/>
          <w:sz w:val="24"/>
          <w:szCs w:val="24"/>
          <w:lang w:val="en-CA"/>
        </w:rPr>
        <w:t xml:space="preserve"> that the evidence presented</w:t>
      </w:r>
      <w:r w:rsidR="009469CF" w:rsidRPr="006B2147">
        <w:rPr>
          <w:rFonts w:ascii="Arial" w:hAnsi="Arial" w:cs="Arial"/>
          <w:sz w:val="24"/>
          <w:szCs w:val="24"/>
          <w:lang w:val="en-CA"/>
        </w:rPr>
        <w:t>,</w:t>
      </w:r>
      <w:r w:rsidR="00173C28" w:rsidRPr="006B2147">
        <w:rPr>
          <w:rFonts w:ascii="Arial" w:hAnsi="Arial" w:cs="Arial"/>
          <w:sz w:val="24"/>
          <w:szCs w:val="24"/>
          <w:lang w:val="en-CA"/>
        </w:rPr>
        <w:t xml:space="preserve"> </w:t>
      </w:r>
      <w:r>
        <w:rPr>
          <w:rFonts w:ascii="Arial" w:hAnsi="Arial" w:cs="Arial"/>
          <w:sz w:val="24"/>
          <w:szCs w:val="24"/>
          <w:lang w:val="en-CA"/>
        </w:rPr>
        <w:t>“</w:t>
      </w:r>
      <w:r w:rsidR="003A1749">
        <w:rPr>
          <w:rFonts w:ascii="Arial" w:hAnsi="Arial" w:cs="Arial"/>
          <w:sz w:val="24"/>
          <w:szCs w:val="24"/>
          <w:lang w:val="en-CA"/>
        </w:rPr>
        <w:t>[is]</w:t>
      </w:r>
      <w:r w:rsidRPr="00685428">
        <w:rPr>
          <w:rFonts w:ascii="Arial" w:hAnsi="Arial" w:cs="Arial"/>
          <w:sz w:val="24"/>
          <w:szCs w:val="24"/>
          <w:lang w:val="en-CA"/>
        </w:rPr>
        <w:t xml:space="preserve"> demonstrably able to be used by a reasonable, properly instructed jury to reach a verdict of guilty.</w:t>
      </w:r>
      <w:r>
        <w:rPr>
          <w:rFonts w:ascii="Arial" w:hAnsi="Arial" w:cs="Arial"/>
          <w:sz w:val="24"/>
          <w:szCs w:val="24"/>
          <w:lang w:val="en-CA"/>
        </w:rPr>
        <w:t xml:space="preserve"> </w:t>
      </w:r>
      <w:r w:rsidRPr="00685428">
        <w:rPr>
          <w:rFonts w:ascii="Arial" w:hAnsi="Arial" w:cs="Arial"/>
          <w:sz w:val="24"/>
          <w:szCs w:val="24"/>
          <w:lang w:val="en-CA"/>
        </w:rPr>
        <w:t xml:space="preserve">If the evidence is incapable of demonstrating this sufficiency for committal, then it cannot </w:t>
      </w:r>
      <w:r>
        <w:rPr>
          <w:rFonts w:ascii="Arial" w:hAnsi="Arial" w:cs="Arial"/>
          <w:sz w:val="24"/>
          <w:szCs w:val="24"/>
          <w:lang w:val="en-CA"/>
        </w:rPr>
        <w:t>‘</w:t>
      </w:r>
      <w:r w:rsidRPr="00685428">
        <w:rPr>
          <w:rFonts w:ascii="Arial" w:hAnsi="Arial" w:cs="Arial"/>
          <w:sz w:val="24"/>
          <w:szCs w:val="24"/>
          <w:lang w:val="en-CA"/>
        </w:rPr>
        <w:t>justify committal</w:t>
      </w:r>
      <w:r>
        <w:rPr>
          <w:rFonts w:ascii="Arial" w:hAnsi="Arial" w:cs="Arial"/>
          <w:sz w:val="24"/>
          <w:szCs w:val="24"/>
          <w:lang w:val="en-CA"/>
        </w:rPr>
        <w:t>’</w:t>
      </w:r>
      <w:r w:rsidR="00DA339C">
        <w:rPr>
          <w:rFonts w:ascii="Arial" w:hAnsi="Arial" w:cs="Arial"/>
          <w:sz w:val="24"/>
          <w:szCs w:val="24"/>
          <w:lang w:val="en-CA"/>
        </w:rPr>
        <w:t>.</w:t>
      </w:r>
      <w:r w:rsidRPr="00685428">
        <w:rPr>
          <w:rFonts w:ascii="Arial" w:hAnsi="Arial" w:cs="Arial"/>
          <w:sz w:val="24"/>
          <w:szCs w:val="24"/>
          <w:lang w:val="en-CA"/>
        </w:rPr>
        <w:t>”</w:t>
      </w:r>
      <w:r>
        <w:rPr>
          <w:rStyle w:val="Appelnotedebasdep"/>
          <w:rFonts w:ascii="Arial" w:hAnsi="Arial" w:cs="Arial"/>
          <w:color w:val="000000"/>
          <w:sz w:val="24"/>
          <w:szCs w:val="24"/>
          <w:lang w:val="en-CA"/>
        </w:rPr>
        <w:footnoteReference w:id="64"/>
      </w:r>
      <w:r w:rsidR="009469CF" w:rsidRPr="006B2147">
        <w:rPr>
          <w:rFonts w:ascii="Arial" w:hAnsi="Arial" w:cs="Arial"/>
          <w:color w:val="000000"/>
          <w:sz w:val="24"/>
          <w:szCs w:val="24"/>
          <w:lang w:val="en-CA"/>
        </w:rPr>
        <w:t xml:space="preserve"> </w:t>
      </w:r>
    </w:p>
    <w:p w14:paraId="5E6CB0C9" w14:textId="1CFFE792" w:rsidR="00647045" w:rsidRPr="006B2147" w:rsidRDefault="00B37A58" w:rsidP="00441741">
      <w:pPr>
        <w:pStyle w:val="Paragraphedeliste"/>
        <w:numPr>
          <w:ilvl w:val="0"/>
          <w:numId w:val="18"/>
        </w:numPr>
        <w:tabs>
          <w:tab w:val="clear" w:pos="720"/>
          <w:tab w:val="num" w:pos="360"/>
        </w:tabs>
        <w:spacing w:before="120" w:after="120" w:line="280" w:lineRule="exact"/>
        <w:contextualSpacing w:val="0"/>
        <w:jc w:val="both"/>
        <w:rPr>
          <w:rFonts w:ascii="Arial" w:hAnsi="Arial" w:cs="Arial"/>
          <w:sz w:val="24"/>
          <w:szCs w:val="24"/>
          <w:lang w:val="en-CA"/>
        </w:rPr>
      </w:pPr>
      <w:r>
        <w:rPr>
          <w:rFonts w:ascii="Arial" w:hAnsi="Arial" w:cs="Arial"/>
          <w:color w:val="000000"/>
          <w:sz w:val="24"/>
          <w:szCs w:val="24"/>
          <w:lang w:val="en-CA"/>
        </w:rPr>
        <w:t xml:space="preserve">It is difficult to see how </w:t>
      </w:r>
      <w:r w:rsidR="009316AF">
        <w:rPr>
          <w:rFonts w:ascii="Arial" w:hAnsi="Arial" w:cs="Arial"/>
          <w:color w:val="000000"/>
          <w:sz w:val="24"/>
          <w:szCs w:val="24"/>
          <w:lang w:val="en-CA"/>
        </w:rPr>
        <w:t>it</w:t>
      </w:r>
      <w:r w:rsidR="00914D11">
        <w:rPr>
          <w:rFonts w:ascii="Arial" w:hAnsi="Arial" w:cs="Arial"/>
          <w:color w:val="000000"/>
          <w:sz w:val="24"/>
          <w:szCs w:val="24"/>
          <w:lang w:val="en-CA"/>
        </w:rPr>
        <w:t xml:space="preserve"> </w:t>
      </w:r>
      <w:r w:rsidR="009316AF">
        <w:rPr>
          <w:rFonts w:ascii="Arial" w:hAnsi="Arial" w:cs="Arial"/>
          <w:color w:val="000000"/>
          <w:sz w:val="24"/>
          <w:szCs w:val="24"/>
          <w:lang w:val="en-CA"/>
        </w:rPr>
        <w:t>possible to</w:t>
      </w:r>
      <w:r>
        <w:rPr>
          <w:rFonts w:ascii="Arial" w:hAnsi="Arial" w:cs="Arial"/>
          <w:color w:val="000000"/>
          <w:sz w:val="24"/>
          <w:szCs w:val="24"/>
          <w:lang w:val="en-CA"/>
        </w:rPr>
        <w:t xml:space="preserve"> </w:t>
      </w:r>
      <w:r w:rsidR="009316AF">
        <w:rPr>
          <w:rFonts w:ascii="Arial" w:hAnsi="Arial" w:cs="Arial"/>
          <w:color w:val="000000"/>
          <w:sz w:val="24"/>
          <w:szCs w:val="24"/>
          <w:lang w:val="en-CA"/>
        </w:rPr>
        <w:t xml:space="preserve">simultaneously </w:t>
      </w:r>
      <w:r w:rsidR="00914D11">
        <w:rPr>
          <w:rFonts w:ascii="Arial" w:hAnsi="Arial" w:cs="Arial"/>
          <w:color w:val="000000"/>
          <w:sz w:val="24"/>
          <w:szCs w:val="24"/>
          <w:lang w:val="en-CA"/>
        </w:rPr>
        <w:t>argue</w:t>
      </w:r>
      <w:r>
        <w:rPr>
          <w:rFonts w:ascii="Arial" w:hAnsi="Arial" w:cs="Arial"/>
          <w:color w:val="000000"/>
          <w:sz w:val="24"/>
          <w:szCs w:val="24"/>
          <w:lang w:val="en-CA"/>
        </w:rPr>
        <w:t xml:space="preserve"> that the evidence is </w:t>
      </w:r>
      <w:r w:rsidR="00914D11">
        <w:rPr>
          <w:rFonts w:ascii="Arial" w:hAnsi="Arial" w:cs="Arial"/>
          <w:color w:val="000000"/>
          <w:sz w:val="24"/>
          <w:szCs w:val="24"/>
          <w:lang w:val="en-CA"/>
        </w:rPr>
        <w:t>cap</w:t>
      </w:r>
      <w:r>
        <w:rPr>
          <w:rFonts w:ascii="Arial" w:hAnsi="Arial" w:cs="Arial"/>
          <w:color w:val="000000"/>
          <w:sz w:val="24"/>
          <w:szCs w:val="24"/>
          <w:lang w:val="en-CA"/>
        </w:rPr>
        <w:t xml:space="preserve">able </w:t>
      </w:r>
      <w:r w:rsidR="00914D11">
        <w:rPr>
          <w:rFonts w:ascii="Arial" w:hAnsi="Arial" w:cs="Arial"/>
          <w:color w:val="000000"/>
          <w:sz w:val="24"/>
          <w:szCs w:val="24"/>
          <w:lang w:val="en-CA"/>
        </w:rPr>
        <w:t>of</w:t>
      </w:r>
      <w:r>
        <w:rPr>
          <w:rFonts w:ascii="Arial" w:hAnsi="Arial" w:cs="Arial"/>
          <w:color w:val="000000"/>
          <w:sz w:val="24"/>
          <w:szCs w:val="24"/>
          <w:lang w:val="en-CA"/>
        </w:rPr>
        <w:t xml:space="preserve"> satisfy</w:t>
      </w:r>
      <w:r w:rsidR="00914D11">
        <w:rPr>
          <w:rFonts w:ascii="Arial" w:hAnsi="Arial" w:cs="Arial"/>
          <w:color w:val="000000"/>
          <w:sz w:val="24"/>
          <w:szCs w:val="24"/>
          <w:lang w:val="en-CA"/>
        </w:rPr>
        <w:t>ing</w:t>
      </w:r>
      <w:r>
        <w:rPr>
          <w:rFonts w:ascii="Arial" w:hAnsi="Arial" w:cs="Arial"/>
          <w:color w:val="000000"/>
          <w:sz w:val="24"/>
          <w:szCs w:val="24"/>
          <w:lang w:val="en-CA"/>
        </w:rPr>
        <w:t xml:space="preserve"> that test </w:t>
      </w:r>
      <w:r w:rsidR="009316AF">
        <w:rPr>
          <w:rFonts w:ascii="Arial" w:hAnsi="Arial" w:cs="Arial"/>
          <w:color w:val="000000"/>
          <w:sz w:val="24"/>
          <w:szCs w:val="24"/>
          <w:lang w:val="en-CA"/>
        </w:rPr>
        <w:t>while stating</w:t>
      </w:r>
      <w:r>
        <w:rPr>
          <w:rFonts w:ascii="Arial" w:hAnsi="Arial" w:cs="Arial"/>
          <w:color w:val="000000"/>
          <w:sz w:val="24"/>
          <w:szCs w:val="24"/>
          <w:lang w:val="en-CA"/>
        </w:rPr>
        <w:t xml:space="preserve"> that a Canadian prosecutor would likely not </w:t>
      </w:r>
      <w:r w:rsidR="0061568A">
        <w:rPr>
          <w:rFonts w:ascii="Arial" w:hAnsi="Arial" w:cs="Arial"/>
          <w:color w:val="000000"/>
          <w:sz w:val="24"/>
          <w:szCs w:val="24"/>
          <w:lang w:val="en-CA"/>
        </w:rPr>
        <w:t>lay</w:t>
      </w:r>
      <w:r>
        <w:rPr>
          <w:rFonts w:ascii="Arial" w:hAnsi="Arial" w:cs="Arial"/>
          <w:color w:val="000000"/>
          <w:sz w:val="24"/>
          <w:szCs w:val="24"/>
          <w:lang w:val="en-CA"/>
        </w:rPr>
        <w:t xml:space="preserve"> any charges in the case, being of the view that no jury, under the rules of Canadian law, could </w:t>
      </w:r>
      <w:r w:rsidRPr="00914D11">
        <w:rPr>
          <w:rFonts w:ascii="Arial" w:hAnsi="Arial" w:cs="Arial"/>
          <w:i/>
          <w:iCs/>
          <w:color w:val="000000"/>
          <w:sz w:val="24"/>
          <w:szCs w:val="24"/>
          <w:lang w:val="en-CA"/>
        </w:rPr>
        <w:t>reasonably</w:t>
      </w:r>
      <w:r>
        <w:rPr>
          <w:rFonts w:ascii="Arial" w:hAnsi="Arial" w:cs="Arial"/>
          <w:color w:val="000000"/>
          <w:sz w:val="24"/>
          <w:szCs w:val="24"/>
          <w:lang w:val="en-CA"/>
        </w:rPr>
        <w:t xml:space="preserve"> believe such evidence and </w:t>
      </w:r>
      <w:r w:rsidR="00914D11" w:rsidRPr="00914D11">
        <w:rPr>
          <w:rFonts w:ascii="Arial" w:hAnsi="Arial" w:cs="Arial"/>
          <w:color w:val="000000"/>
          <w:sz w:val="24"/>
          <w:szCs w:val="24"/>
          <w:lang w:val="en-CA"/>
        </w:rPr>
        <w:t>conclude guilt beyond a reasonable doubt</w:t>
      </w:r>
      <w:r w:rsidRPr="006B2147">
        <w:rPr>
          <w:rFonts w:ascii="Arial" w:hAnsi="Arial" w:cs="Arial"/>
          <w:sz w:val="24"/>
          <w:szCs w:val="24"/>
          <w:lang w:val="en-CA"/>
        </w:rPr>
        <w:t>.</w:t>
      </w:r>
    </w:p>
    <w:p w14:paraId="2E55CF29" w14:textId="6463FD34" w:rsidR="00750D72" w:rsidRPr="006B2147" w:rsidRDefault="00B37A58" w:rsidP="00441741">
      <w:pPr>
        <w:pStyle w:val="Paragraphe"/>
        <w:spacing w:line="280" w:lineRule="exact"/>
        <w:rPr>
          <w:lang w:val="en-CA"/>
        </w:rPr>
      </w:pPr>
      <w:r>
        <w:rPr>
          <w:lang w:val="en-CA"/>
        </w:rPr>
        <w:t xml:space="preserve">However, in this case, even assuming that the evidence submitted by the partner state and </w:t>
      </w:r>
      <w:r w:rsidR="009316AF">
        <w:rPr>
          <w:lang w:val="en-CA"/>
        </w:rPr>
        <w:t xml:space="preserve">attested </w:t>
      </w:r>
      <w:r>
        <w:rPr>
          <w:lang w:val="en-CA"/>
        </w:rPr>
        <w:t xml:space="preserve">to </w:t>
      </w:r>
      <w:r w:rsidR="009316AF">
        <w:rPr>
          <w:lang w:val="en-CA"/>
        </w:rPr>
        <w:t>in</w:t>
      </w:r>
      <w:r>
        <w:rPr>
          <w:lang w:val="en-CA"/>
        </w:rPr>
        <w:t xml:space="preserve"> the ROC and</w:t>
      </w:r>
      <w:r w:rsidR="009316AF">
        <w:rPr>
          <w:lang w:val="en-CA"/>
        </w:rPr>
        <w:t xml:space="preserve"> the</w:t>
      </w:r>
      <w:r>
        <w:rPr>
          <w:lang w:val="en-CA"/>
        </w:rPr>
        <w:t xml:space="preserve"> SROC </w:t>
      </w:r>
      <w:r w:rsidR="00D87DD6">
        <w:rPr>
          <w:lang w:val="en-CA"/>
        </w:rPr>
        <w:t>i</w:t>
      </w:r>
      <w:r>
        <w:rPr>
          <w:lang w:val="en-CA"/>
        </w:rPr>
        <w:t>s sufficient, under the rules of Canadian law, to commit the respondent to trial</w:t>
      </w:r>
      <w:r w:rsidR="00647045" w:rsidRPr="006B2147">
        <w:rPr>
          <w:lang w:val="en-CA"/>
        </w:rPr>
        <w:t>,</w:t>
      </w:r>
      <w:r>
        <w:rPr>
          <w:rStyle w:val="Appelnotedebasdep"/>
          <w:lang w:val="en-CA"/>
        </w:rPr>
        <w:footnoteReference w:id="65"/>
      </w:r>
      <w:r>
        <w:rPr>
          <w:lang w:val="en-CA"/>
        </w:rPr>
        <w:t xml:space="preserve"> the judge, at the final </w:t>
      </w:r>
      <w:r w:rsidR="009316AF">
        <w:rPr>
          <w:lang w:val="en-CA"/>
        </w:rPr>
        <w:t>stage</w:t>
      </w:r>
      <w:r>
        <w:rPr>
          <w:lang w:val="en-CA"/>
        </w:rPr>
        <w:t xml:space="preserve"> of the process, as described in</w:t>
      </w:r>
      <w:r w:rsidR="008D53F9" w:rsidRPr="006B2147">
        <w:rPr>
          <w:lang w:val="en-CA"/>
        </w:rPr>
        <w:t xml:space="preserve"> </w:t>
      </w:r>
      <w:r>
        <w:rPr>
          <w:i/>
          <w:iCs/>
          <w:lang w:val="en-CA"/>
        </w:rPr>
        <w:t>United States</w:t>
      </w:r>
      <w:r w:rsidR="00D87DD6">
        <w:rPr>
          <w:i/>
          <w:iCs/>
          <w:lang w:val="en-CA"/>
        </w:rPr>
        <w:t xml:space="preserve"> of America</w:t>
      </w:r>
      <w:r w:rsidR="006F6C2D" w:rsidRPr="006B2147">
        <w:rPr>
          <w:i/>
          <w:iCs/>
          <w:lang w:val="en-CA"/>
        </w:rPr>
        <w:t xml:space="preserve"> </w:t>
      </w:r>
      <w:r>
        <w:rPr>
          <w:i/>
          <w:iCs/>
          <w:lang w:val="en-CA"/>
        </w:rPr>
        <w:t>v</w:t>
      </w:r>
      <w:r w:rsidR="006F6C2D" w:rsidRPr="006B2147">
        <w:rPr>
          <w:i/>
          <w:iCs/>
          <w:lang w:val="en-CA"/>
        </w:rPr>
        <w:t>.</w:t>
      </w:r>
      <w:r w:rsidR="006F6C2D" w:rsidRPr="006B2147">
        <w:rPr>
          <w:lang w:val="en-CA"/>
        </w:rPr>
        <w:t xml:space="preserve"> </w:t>
      </w:r>
      <w:r w:rsidR="008D53F9" w:rsidRPr="006B2147">
        <w:rPr>
          <w:i/>
          <w:iCs/>
          <w:lang w:val="en-CA"/>
        </w:rPr>
        <w:t>Ferras</w:t>
      </w:r>
      <w:r w:rsidR="008D53F9" w:rsidRPr="006B2147">
        <w:rPr>
          <w:lang w:val="en-CA"/>
        </w:rPr>
        <w:t xml:space="preserve"> </w:t>
      </w:r>
      <w:r w:rsidR="00D87DD6" w:rsidRPr="00D87DD6">
        <w:rPr>
          <w:lang w:val="en-CA"/>
        </w:rPr>
        <w:t xml:space="preserve">and </w:t>
      </w:r>
      <w:r w:rsidR="00413DFF">
        <w:rPr>
          <w:lang w:val="en-CA"/>
        </w:rPr>
        <w:t>echoed</w:t>
      </w:r>
      <w:r w:rsidR="00D87DD6" w:rsidRPr="00D87DD6">
        <w:rPr>
          <w:lang w:val="en-CA"/>
        </w:rPr>
        <w:t xml:space="preserve"> in a narrower </w:t>
      </w:r>
      <w:r w:rsidR="009316AF">
        <w:rPr>
          <w:lang w:val="en-CA"/>
        </w:rPr>
        <w:t>iteration</w:t>
      </w:r>
      <w:r w:rsidR="00D87DD6" w:rsidRPr="00D87DD6">
        <w:rPr>
          <w:lang w:val="en-CA"/>
        </w:rPr>
        <w:t xml:space="preserve"> </w:t>
      </w:r>
      <w:r w:rsidR="00D87DD6">
        <w:rPr>
          <w:lang w:val="en-CA"/>
        </w:rPr>
        <w:t>in</w:t>
      </w:r>
      <w:r w:rsidR="008D53F9" w:rsidRPr="006B2147">
        <w:rPr>
          <w:lang w:val="en-CA"/>
        </w:rPr>
        <w:t xml:space="preserve"> </w:t>
      </w:r>
      <w:r w:rsidR="008D53F9" w:rsidRPr="006B2147">
        <w:rPr>
          <w:i/>
          <w:iCs/>
          <w:lang w:val="en-CA"/>
        </w:rPr>
        <w:t>M.M.</w:t>
      </w:r>
      <w:r w:rsidR="00D87DD6">
        <w:rPr>
          <w:i/>
          <w:iCs/>
          <w:lang w:val="en-CA"/>
        </w:rPr>
        <w:t xml:space="preserve"> v. United States of America</w:t>
      </w:r>
      <w:r w:rsidR="00AD27C2" w:rsidRPr="006B2147">
        <w:rPr>
          <w:lang w:val="en-CA"/>
        </w:rPr>
        <w:t xml:space="preserve">, </w:t>
      </w:r>
      <w:r w:rsidR="00D87DD6">
        <w:rPr>
          <w:rFonts w:cs="Arial"/>
          <w:szCs w:val="24"/>
          <w:lang w:val="en-CA"/>
        </w:rPr>
        <w:t>could rely on</w:t>
      </w:r>
      <w:r w:rsidR="00647045" w:rsidRPr="006B2147">
        <w:rPr>
          <w:rFonts w:cs="Arial"/>
          <w:szCs w:val="24"/>
          <w:lang w:val="en-CA"/>
        </w:rPr>
        <w:t xml:space="preserve"> </w:t>
      </w:r>
      <w:r w:rsidR="00D87DD6">
        <w:rPr>
          <w:rFonts w:cs="Arial"/>
          <w:szCs w:val="24"/>
          <w:lang w:val="en-CA"/>
        </w:rPr>
        <w:t>“</w:t>
      </w:r>
      <w:r w:rsidR="00D87DD6" w:rsidRPr="00D87DD6">
        <w:rPr>
          <w:rFonts w:cs="Arial"/>
          <w:szCs w:val="24"/>
          <w:lang w:val="en-CA"/>
        </w:rPr>
        <w:t>concerns with respect to the reliability of the evidence</w:t>
      </w:r>
      <w:r w:rsidR="00D87DD6">
        <w:rPr>
          <w:rFonts w:cs="Arial"/>
          <w:szCs w:val="24"/>
          <w:lang w:val="en-CA"/>
        </w:rPr>
        <w:t>”</w:t>
      </w:r>
      <w:r w:rsidR="00A376F4" w:rsidRPr="006B2147">
        <w:rPr>
          <w:rFonts w:cs="Arial"/>
          <w:szCs w:val="24"/>
          <w:lang w:val="en-CA"/>
        </w:rPr>
        <w:t xml:space="preserve">, </w:t>
      </w:r>
      <w:r w:rsidR="00D87DD6">
        <w:rPr>
          <w:rFonts w:cs="Arial"/>
          <w:szCs w:val="24"/>
          <w:lang w:val="en-CA"/>
        </w:rPr>
        <w:t>which</w:t>
      </w:r>
      <w:r w:rsidR="00647045" w:rsidRPr="006B2147">
        <w:rPr>
          <w:rFonts w:cs="Arial"/>
          <w:szCs w:val="24"/>
          <w:lang w:val="en-CA"/>
        </w:rPr>
        <w:t xml:space="preserve"> </w:t>
      </w:r>
      <w:r w:rsidR="00D87DD6">
        <w:rPr>
          <w:rFonts w:cs="Arial"/>
          <w:szCs w:val="24"/>
          <w:lang w:val="en-CA"/>
        </w:rPr>
        <w:t>“</w:t>
      </w:r>
      <w:r w:rsidR="00D87DD6" w:rsidRPr="00D87DD6">
        <w:rPr>
          <w:rFonts w:cs="Arial"/>
          <w:color w:val="000000"/>
          <w:szCs w:val="24"/>
          <w:lang w:val="en-CA"/>
        </w:rPr>
        <w:t>are sufficiently powerful to justify the complete rejection of the evidence</w:t>
      </w:r>
      <w:r w:rsidR="00D87DD6">
        <w:rPr>
          <w:rFonts w:cs="Arial"/>
          <w:color w:val="000000"/>
          <w:szCs w:val="24"/>
          <w:lang w:val="en-CA"/>
        </w:rPr>
        <w:t>.”</w:t>
      </w:r>
      <w:r>
        <w:rPr>
          <w:rStyle w:val="Appelnotedebasdep"/>
          <w:rFonts w:cs="Arial"/>
          <w:color w:val="000000"/>
          <w:szCs w:val="24"/>
          <w:lang w:val="en-CA"/>
        </w:rPr>
        <w:footnoteReference w:id="66"/>
      </w:r>
      <w:r w:rsidR="00647045" w:rsidRPr="006B2147">
        <w:rPr>
          <w:rFonts w:cs="Arial"/>
          <w:szCs w:val="24"/>
          <w:lang w:val="en-CA"/>
        </w:rPr>
        <w:t xml:space="preserve"> </w:t>
      </w:r>
      <w:r w:rsidR="00D87DD6">
        <w:rPr>
          <w:rFonts w:cs="Arial"/>
          <w:szCs w:val="24"/>
          <w:lang w:val="en-CA"/>
        </w:rPr>
        <w:t>This discretionary power allows the judge to conclude as to the insufficiency of the evidence, notably because the reliability of the</w:t>
      </w:r>
      <w:r w:rsidR="009316AF">
        <w:rPr>
          <w:rFonts w:cs="Arial"/>
          <w:szCs w:val="24"/>
          <w:lang w:val="en-CA"/>
        </w:rPr>
        <w:t xml:space="preserve"> eyewitnesses’ testimony </w:t>
      </w:r>
      <w:r w:rsidR="00D87DD6">
        <w:rPr>
          <w:rFonts w:cs="Arial"/>
          <w:szCs w:val="24"/>
          <w:lang w:val="en-CA"/>
        </w:rPr>
        <w:t xml:space="preserve">is, </w:t>
      </w:r>
      <w:r w:rsidR="00D87DD6" w:rsidRPr="00F236A9">
        <w:rPr>
          <w:rFonts w:cs="Arial"/>
          <w:i/>
          <w:iCs/>
          <w:szCs w:val="24"/>
          <w:lang w:val="en-CA"/>
        </w:rPr>
        <w:t>prima facie</w:t>
      </w:r>
      <w:r w:rsidR="00D87DD6">
        <w:rPr>
          <w:rFonts w:cs="Arial"/>
          <w:szCs w:val="24"/>
          <w:lang w:val="en-CA"/>
        </w:rPr>
        <w:t xml:space="preserve">, undermined by the circumstances </w:t>
      </w:r>
      <w:r w:rsidR="009316AF">
        <w:rPr>
          <w:rFonts w:cs="Arial"/>
          <w:szCs w:val="24"/>
          <w:lang w:val="en-CA"/>
        </w:rPr>
        <w:t>described</w:t>
      </w:r>
      <w:r w:rsidR="00D87DD6">
        <w:rPr>
          <w:rFonts w:cs="Arial"/>
          <w:szCs w:val="24"/>
          <w:lang w:val="en-CA"/>
        </w:rPr>
        <w:t xml:space="preserve"> in the ROC</w:t>
      </w:r>
      <w:r w:rsidR="00647045" w:rsidRPr="006B2147">
        <w:rPr>
          <w:lang w:val="en-CA"/>
        </w:rPr>
        <w:t xml:space="preserve">. </w:t>
      </w:r>
    </w:p>
    <w:p w14:paraId="6185878B" w14:textId="2E39A588" w:rsidR="00452FAA" w:rsidRPr="006B2147" w:rsidRDefault="00B37A58" w:rsidP="00441741">
      <w:pPr>
        <w:pStyle w:val="Paragraphe"/>
        <w:spacing w:line="280" w:lineRule="exact"/>
        <w:rPr>
          <w:lang w:val="en-CA"/>
        </w:rPr>
      </w:pPr>
      <w:r>
        <w:rPr>
          <w:rFonts w:cs="Arial"/>
          <w:color w:val="000000"/>
          <w:szCs w:val="24"/>
          <w:lang w:val="en-CA"/>
        </w:rPr>
        <w:t>Indeed, f</w:t>
      </w:r>
      <w:r w:rsidRPr="003A736B">
        <w:rPr>
          <w:rFonts w:cs="Arial"/>
          <w:color w:val="000000"/>
          <w:szCs w:val="24"/>
          <w:lang w:val="en-CA"/>
        </w:rPr>
        <w:t>ollowing an exhaustive review of the evidence</w:t>
      </w:r>
      <w:r w:rsidR="004024E3">
        <w:rPr>
          <w:rFonts w:cs="Arial"/>
          <w:color w:val="000000"/>
          <w:szCs w:val="24"/>
          <w:lang w:val="en-CA"/>
        </w:rPr>
        <w:t>, the judge in first instance</w:t>
      </w:r>
      <w:r>
        <w:rPr>
          <w:rFonts w:cs="Arial"/>
          <w:color w:val="000000"/>
          <w:szCs w:val="24"/>
          <w:lang w:val="en-CA"/>
        </w:rPr>
        <w:t xml:space="preserve"> explained</w:t>
      </w:r>
      <w:r w:rsidR="009469CF" w:rsidRPr="006B2147">
        <w:rPr>
          <w:rFonts w:cs="Arial"/>
          <w:color w:val="000000"/>
          <w:szCs w:val="24"/>
          <w:lang w:val="en-CA"/>
        </w:rPr>
        <w:t xml:space="preserve"> </w:t>
      </w:r>
      <w:r>
        <w:rPr>
          <w:rFonts w:cs="Arial"/>
          <w:color w:val="000000"/>
          <w:szCs w:val="24"/>
          <w:lang w:val="en-CA"/>
        </w:rPr>
        <w:t xml:space="preserve">that he was aware the </w:t>
      </w:r>
      <w:r w:rsidRPr="003A736B">
        <w:rPr>
          <w:rFonts w:cs="Arial"/>
          <w:i/>
          <w:iCs/>
          <w:color w:val="000000"/>
          <w:szCs w:val="24"/>
          <w:lang w:val="en-CA"/>
        </w:rPr>
        <w:t>prima facie</w:t>
      </w:r>
      <w:r w:rsidRPr="003A736B">
        <w:rPr>
          <w:rFonts w:cs="Arial"/>
          <w:color w:val="000000"/>
          <w:szCs w:val="24"/>
          <w:lang w:val="en-CA"/>
        </w:rPr>
        <w:t xml:space="preserve"> case standard is a low threshold, but</w:t>
      </w:r>
      <w:r w:rsidR="00413DFF">
        <w:rPr>
          <w:rFonts w:cs="Arial"/>
          <w:color w:val="000000"/>
          <w:szCs w:val="24"/>
          <w:lang w:val="en-CA"/>
        </w:rPr>
        <w:t xml:space="preserve"> that</w:t>
      </w:r>
      <w:r w:rsidRPr="003A736B">
        <w:rPr>
          <w:rFonts w:cs="Arial"/>
          <w:color w:val="000000"/>
          <w:szCs w:val="24"/>
          <w:lang w:val="en-CA"/>
        </w:rPr>
        <w:t xml:space="preserve"> this threshold is not met here</w:t>
      </w:r>
      <w:r w:rsidR="00AD27C2" w:rsidRPr="006B2147">
        <w:rPr>
          <w:lang w:val="en-CA"/>
        </w:rPr>
        <w:t>, cit</w:t>
      </w:r>
      <w:r>
        <w:rPr>
          <w:lang w:val="en-CA"/>
        </w:rPr>
        <w:t>ing</w:t>
      </w:r>
      <w:r w:rsidR="00AD27C2" w:rsidRPr="006B2147">
        <w:rPr>
          <w:lang w:val="en-CA"/>
        </w:rPr>
        <w:t xml:space="preserve"> </w:t>
      </w:r>
      <w:r w:rsidR="00AD27C2" w:rsidRPr="006B2147">
        <w:rPr>
          <w:i/>
          <w:iCs/>
          <w:lang w:val="en-CA"/>
        </w:rPr>
        <w:t xml:space="preserve">R. </w:t>
      </w:r>
      <w:r>
        <w:rPr>
          <w:i/>
          <w:iCs/>
          <w:lang w:val="en-CA"/>
        </w:rPr>
        <w:t>v</w:t>
      </w:r>
      <w:r w:rsidR="00AD27C2" w:rsidRPr="006B2147">
        <w:rPr>
          <w:i/>
          <w:iCs/>
          <w:lang w:val="en-CA"/>
        </w:rPr>
        <w:t>. Hay</w:t>
      </w:r>
      <w:r w:rsidR="00AD27C2" w:rsidRPr="006B2147">
        <w:rPr>
          <w:lang w:val="en-CA"/>
        </w:rPr>
        <w:t xml:space="preserve">, </w:t>
      </w:r>
      <w:r>
        <w:rPr>
          <w:lang w:val="en-CA"/>
        </w:rPr>
        <w:t>where the Supreme Court held that</w:t>
      </w:r>
      <w:r w:rsidR="00AD27C2" w:rsidRPr="006B2147">
        <w:rPr>
          <w:lang w:val="en-CA"/>
        </w:rPr>
        <w:t xml:space="preserve"> </w:t>
      </w:r>
      <w:bookmarkStart w:id="38" w:name="_Ref196860015"/>
      <w:r>
        <w:rPr>
          <w:lang w:val="en-CA"/>
        </w:rPr>
        <w:t>a</w:t>
      </w:r>
      <w:r w:rsidRPr="003A736B">
        <w:rPr>
          <w:lang w:val="en-CA"/>
        </w:rPr>
        <w:t xml:space="preserve"> judge should not submit a case to the jury when the eyewitness evidence is so weak that it could not justify a guilty verdict beyond a reasonable doubt.</w:t>
      </w:r>
      <w:r>
        <w:rPr>
          <w:rStyle w:val="Appelnotedebasdep"/>
          <w:lang w:val="en-CA"/>
        </w:rPr>
        <w:footnoteReference w:id="67"/>
      </w:r>
      <w:bookmarkEnd w:id="38"/>
      <w:r w:rsidR="00AD27C2" w:rsidRPr="006B2147">
        <w:rPr>
          <w:lang w:val="en-CA"/>
        </w:rPr>
        <w:t xml:space="preserve"> </w:t>
      </w:r>
    </w:p>
    <w:p w14:paraId="38BB15C0" w14:textId="790BE70C" w:rsidR="00C22733" w:rsidRPr="006B2147" w:rsidRDefault="00B37A58" w:rsidP="00441741">
      <w:pPr>
        <w:pStyle w:val="Paragraphe"/>
        <w:spacing w:line="280" w:lineRule="exact"/>
        <w:rPr>
          <w:lang w:val="en-CA"/>
        </w:rPr>
      </w:pPr>
      <w:r>
        <w:rPr>
          <w:lang w:val="en-CA"/>
        </w:rPr>
        <w:t>The judge noted that t</w:t>
      </w:r>
      <w:r w:rsidRPr="00E169DA">
        <w:rPr>
          <w:lang w:val="en-CA"/>
        </w:rPr>
        <w:t>his principle is intended to prevent wrongful conviction</w:t>
      </w:r>
      <w:r>
        <w:rPr>
          <w:lang w:val="en-CA"/>
        </w:rPr>
        <w:t xml:space="preserve"> and that in the present case</w:t>
      </w:r>
      <w:r w:rsidRPr="00E169DA">
        <w:rPr>
          <w:lang w:val="en-CA"/>
        </w:rPr>
        <w:t>, the identification evidence in support of the extradition request, even if accepted, could not reasonably support a finding of guilt beyond a reasonable doubt</w:t>
      </w:r>
      <w:r>
        <w:rPr>
          <w:lang w:val="en-CA"/>
        </w:rPr>
        <w:t>.</w:t>
      </w:r>
      <w:r>
        <w:rPr>
          <w:rStyle w:val="Appelnotedebasdep"/>
          <w:lang w:val="en-CA"/>
        </w:rPr>
        <w:footnoteReference w:id="68"/>
      </w:r>
      <w:r w:rsidR="00452FAA" w:rsidRPr="006B2147">
        <w:rPr>
          <w:lang w:val="en-CA"/>
        </w:rPr>
        <w:t xml:space="preserve"> </w:t>
      </w:r>
      <w:r w:rsidR="001F3EA2">
        <w:rPr>
          <w:lang w:val="en-CA"/>
        </w:rPr>
        <w:t>He based his decision on the traumatic circumstances in</w:t>
      </w:r>
      <w:r w:rsidR="00D22CE4">
        <w:rPr>
          <w:lang w:val="en-CA"/>
        </w:rPr>
        <w:t xml:space="preserve"> which</w:t>
      </w:r>
      <w:r w:rsidR="001F3EA2">
        <w:rPr>
          <w:lang w:val="en-CA"/>
        </w:rPr>
        <w:t xml:space="preserve"> the witnesses were able </w:t>
      </w:r>
      <w:r w:rsidR="00D22CE4">
        <w:rPr>
          <w:lang w:val="en-CA"/>
        </w:rPr>
        <w:t xml:space="preserve">to </w:t>
      </w:r>
      <w:r w:rsidR="001F3EA2">
        <w:rPr>
          <w:lang w:val="en-CA"/>
        </w:rPr>
        <w:t>observe the shooters,</w:t>
      </w:r>
      <w:r>
        <w:rPr>
          <w:rStyle w:val="Appelnotedebasdep"/>
          <w:rFonts w:cs="Arial"/>
          <w:color w:val="000000"/>
          <w:szCs w:val="24"/>
          <w:lang w:val="en-CA"/>
        </w:rPr>
        <w:footnoteReference w:id="69"/>
      </w:r>
      <w:bookmarkStart w:id="39" w:name="_Hlk213400759"/>
      <w:r w:rsidR="001F3EA2">
        <w:rPr>
          <w:rFonts w:cs="Arial"/>
          <w:color w:val="000000"/>
          <w:szCs w:val="24"/>
          <w:lang w:val="en-CA"/>
        </w:rPr>
        <w:t xml:space="preserve"> the manifest unreliability of the photo lineup and the contradictions as to how it unfolded as far as </w:t>
      </w:r>
      <w:r w:rsidR="00F87806">
        <w:rPr>
          <w:rFonts w:cs="Arial"/>
          <w:color w:val="000000"/>
          <w:szCs w:val="24"/>
          <w:lang w:val="en-CA"/>
        </w:rPr>
        <w:t>Mrs. Brace</w:t>
      </w:r>
      <w:r w:rsidR="001F3EA2">
        <w:rPr>
          <w:rFonts w:cs="Arial"/>
          <w:color w:val="000000"/>
          <w:szCs w:val="24"/>
          <w:lang w:val="en-CA"/>
        </w:rPr>
        <w:t xml:space="preserve"> was concerned,</w:t>
      </w:r>
      <w:r>
        <w:rPr>
          <w:rStyle w:val="Appelnotedebasdep"/>
          <w:rFonts w:cs="Arial"/>
          <w:color w:val="000000"/>
          <w:szCs w:val="24"/>
          <w:lang w:val="en-CA"/>
        </w:rPr>
        <w:footnoteReference w:id="70"/>
      </w:r>
      <w:r w:rsidR="001F3EA2">
        <w:rPr>
          <w:rFonts w:cs="Arial"/>
          <w:color w:val="000000"/>
          <w:szCs w:val="24"/>
          <w:lang w:val="en-CA"/>
        </w:rPr>
        <w:t xml:space="preserve"> the time separat</w:t>
      </w:r>
      <w:r w:rsidR="008C2C71">
        <w:rPr>
          <w:rFonts w:cs="Arial"/>
          <w:color w:val="000000"/>
          <w:szCs w:val="24"/>
          <w:lang w:val="en-CA"/>
        </w:rPr>
        <w:t>ing the event and those lineups</w:t>
      </w:r>
      <w:r>
        <w:rPr>
          <w:rStyle w:val="Appelnotedebasdep"/>
          <w:rFonts w:cs="Arial"/>
          <w:color w:val="000000"/>
          <w:szCs w:val="24"/>
          <w:lang w:val="en-CA"/>
        </w:rPr>
        <w:footnoteReference w:id="71"/>
      </w:r>
      <w:r w:rsidR="009469CF" w:rsidRPr="006B2147">
        <w:rPr>
          <w:rFonts w:cs="Arial"/>
          <w:color w:val="000000"/>
          <w:szCs w:val="24"/>
          <w:lang w:val="en-CA"/>
        </w:rPr>
        <w:t xml:space="preserve"> </w:t>
      </w:r>
      <w:bookmarkEnd w:id="39"/>
      <w:r w:rsidR="008C2C71">
        <w:rPr>
          <w:rFonts w:cs="Arial"/>
          <w:color w:val="000000"/>
          <w:szCs w:val="24"/>
          <w:lang w:val="en-CA"/>
        </w:rPr>
        <w:t>and the fact that none of the witnesses had seen the responded previously.</w:t>
      </w:r>
      <w:r>
        <w:rPr>
          <w:rStyle w:val="Appelnotedebasdep"/>
          <w:rFonts w:cs="Arial"/>
          <w:color w:val="000000"/>
          <w:szCs w:val="24"/>
          <w:lang w:val="en-CA"/>
        </w:rPr>
        <w:footnoteReference w:id="72"/>
      </w:r>
      <w:r w:rsidR="008C2C71">
        <w:rPr>
          <w:rFonts w:cs="Arial"/>
          <w:color w:val="000000"/>
          <w:szCs w:val="24"/>
          <w:lang w:val="en-CA"/>
        </w:rPr>
        <w:t xml:space="preserve"> He noted that</w:t>
      </w:r>
      <w:r w:rsidR="009469CF" w:rsidRPr="006B2147">
        <w:rPr>
          <w:rFonts w:cs="Arial"/>
          <w:color w:val="000000"/>
          <w:szCs w:val="24"/>
          <w:lang w:val="en-CA"/>
        </w:rPr>
        <w:t xml:space="preserve"> M</w:t>
      </w:r>
      <w:r w:rsidR="008C2C71">
        <w:rPr>
          <w:rFonts w:cs="Arial"/>
          <w:color w:val="000000"/>
          <w:szCs w:val="24"/>
          <w:lang w:val="en-CA"/>
        </w:rPr>
        <w:t>rs.</w:t>
      </w:r>
      <w:r w:rsidR="00E92C95" w:rsidRPr="006B2147">
        <w:rPr>
          <w:rFonts w:cs="Arial"/>
          <w:color w:val="000000"/>
          <w:szCs w:val="24"/>
          <w:lang w:val="en-CA"/>
        </w:rPr>
        <w:t xml:space="preserve"> </w:t>
      </w:r>
      <w:r w:rsidR="009469CF" w:rsidRPr="006B2147">
        <w:rPr>
          <w:rFonts w:cs="Arial"/>
          <w:color w:val="000000"/>
          <w:szCs w:val="24"/>
          <w:lang w:val="en-CA"/>
        </w:rPr>
        <w:t xml:space="preserve">Brace </w:t>
      </w:r>
      <w:r w:rsidR="008C2C71">
        <w:rPr>
          <w:rFonts w:cs="Arial"/>
          <w:color w:val="000000"/>
          <w:szCs w:val="24"/>
          <w:lang w:val="en-CA"/>
        </w:rPr>
        <w:t>claimed to have signed a document that had been submitted to her during that photo line</w:t>
      </w:r>
      <w:r w:rsidR="00D22CE4">
        <w:rPr>
          <w:rFonts w:cs="Arial"/>
          <w:color w:val="000000"/>
          <w:szCs w:val="24"/>
          <w:lang w:val="en-CA"/>
        </w:rPr>
        <w:t>up</w:t>
      </w:r>
      <w:r w:rsidR="008C2C71">
        <w:rPr>
          <w:rFonts w:cs="Arial"/>
          <w:color w:val="000000"/>
          <w:szCs w:val="24"/>
          <w:lang w:val="en-CA"/>
        </w:rPr>
        <w:t>, and that she could not recall what was written on it, because she was in a state of shock.</w:t>
      </w:r>
      <w:r>
        <w:rPr>
          <w:rStyle w:val="Appelnotedebasdep"/>
          <w:rFonts w:cs="Arial"/>
          <w:color w:val="000000"/>
          <w:szCs w:val="24"/>
          <w:lang w:val="en-CA"/>
        </w:rPr>
        <w:footnoteReference w:id="73"/>
      </w:r>
    </w:p>
    <w:p w14:paraId="2889985A" w14:textId="5419DE02" w:rsidR="008939D6" w:rsidRPr="006B2147" w:rsidRDefault="00B37A58" w:rsidP="00441741">
      <w:pPr>
        <w:pStyle w:val="Paragraphe"/>
        <w:spacing w:line="280" w:lineRule="exact"/>
        <w:rPr>
          <w:lang w:val="en-CA"/>
        </w:rPr>
      </w:pPr>
      <w:r>
        <w:rPr>
          <w:rFonts w:cs="Arial"/>
          <w:szCs w:val="24"/>
          <w:lang w:val="en-CA"/>
        </w:rPr>
        <w:t>In</w:t>
      </w:r>
      <w:r w:rsidRPr="006B2147">
        <w:rPr>
          <w:lang w:val="en-CA"/>
        </w:rPr>
        <w:t xml:space="preserve"> </w:t>
      </w:r>
      <w:r w:rsidRPr="006B2147">
        <w:rPr>
          <w:i/>
          <w:iCs/>
          <w:lang w:val="en-CA"/>
        </w:rPr>
        <w:t xml:space="preserve">R. </w:t>
      </w:r>
      <w:r>
        <w:rPr>
          <w:i/>
          <w:iCs/>
          <w:lang w:val="en-CA"/>
        </w:rPr>
        <w:t>v</w:t>
      </w:r>
      <w:r w:rsidRPr="006B2147">
        <w:rPr>
          <w:i/>
          <w:iCs/>
          <w:lang w:val="en-CA"/>
        </w:rPr>
        <w:t>. Hay</w:t>
      </w:r>
      <w:r w:rsidRPr="006B2147">
        <w:rPr>
          <w:lang w:val="en-CA"/>
        </w:rPr>
        <w:t xml:space="preserve">, </w:t>
      </w:r>
      <w:r>
        <w:rPr>
          <w:lang w:val="en-CA"/>
        </w:rPr>
        <w:t xml:space="preserve">the Supreme Court </w:t>
      </w:r>
      <w:r w:rsidR="004C4606">
        <w:rPr>
          <w:lang w:val="en-CA"/>
        </w:rPr>
        <w:t>instructs</w:t>
      </w:r>
      <w:r>
        <w:rPr>
          <w:lang w:val="en-CA"/>
        </w:rPr>
        <w:t xml:space="preserve"> that where the testimony of an eyewitness</w:t>
      </w:r>
      <w:r w:rsidRPr="006B2147">
        <w:rPr>
          <w:lang w:val="en-CA"/>
        </w:rPr>
        <w:t xml:space="preserve"> </w:t>
      </w:r>
      <w:r w:rsidR="004C4606">
        <w:rPr>
          <w:lang w:val="en-CA"/>
        </w:rPr>
        <w:t xml:space="preserve">would </w:t>
      </w:r>
      <w:r w:rsidRPr="00D22CE4">
        <w:rPr>
          <w:lang w:val="en-CA"/>
        </w:rPr>
        <w:t xml:space="preserve">necessarily leave reasonable doubt in the mind of a </w:t>
      </w:r>
      <w:r>
        <w:rPr>
          <w:lang w:val="en-CA"/>
        </w:rPr>
        <w:t>properly instructed</w:t>
      </w:r>
      <w:r w:rsidRPr="00D22CE4">
        <w:rPr>
          <w:lang w:val="en-CA"/>
        </w:rPr>
        <w:t xml:space="preserve"> jur</w:t>
      </w:r>
      <w:r>
        <w:rPr>
          <w:lang w:val="en-CA"/>
        </w:rPr>
        <w:t>y</w:t>
      </w:r>
      <w:r w:rsidRPr="006B2147">
        <w:rPr>
          <w:lang w:val="en-CA"/>
        </w:rPr>
        <w:t xml:space="preserve">, </w:t>
      </w:r>
      <w:bookmarkStart w:id="40" w:name="_Ref210305907"/>
      <w:r>
        <w:rPr>
          <w:lang w:val="en-CA"/>
        </w:rPr>
        <w:t>and that testimony is the only evidence</w:t>
      </w:r>
      <w:r w:rsidR="004C4606">
        <w:rPr>
          <w:lang w:val="en-CA"/>
        </w:rPr>
        <w:t xml:space="preserve"> in the Crown’s case,</w:t>
      </w:r>
      <w:r>
        <w:rPr>
          <w:lang w:val="en-CA"/>
        </w:rPr>
        <w:t xml:space="preserve"> the case</w:t>
      </w:r>
      <w:r w:rsidR="004C4606">
        <w:rPr>
          <w:lang w:val="en-CA"/>
        </w:rPr>
        <w:t xml:space="preserve"> </w:t>
      </w:r>
      <w:r>
        <w:rPr>
          <w:lang w:val="en-CA"/>
        </w:rPr>
        <w:t>should not be s</w:t>
      </w:r>
      <w:r w:rsidR="004C4606">
        <w:rPr>
          <w:lang w:val="en-CA"/>
        </w:rPr>
        <w:t>ubmitted to it:</w:t>
      </w:r>
      <w:r>
        <w:rPr>
          <w:rStyle w:val="Appelnotedebasdep"/>
          <w:lang w:val="en-CA"/>
        </w:rPr>
        <w:footnoteReference w:id="74"/>
      </w:r>
      <w:bookmarkEnd w:id="40"/>
    </w:p>
    <w:p w14:paraId="41A66E8A" w14:textId="6E9D6371" w:rsidR="008939D6" w:rsidRPr="006B2147" w:rsidRDefault="00B37A58" w:rsidP="008939D6">
      <w:pPr>
        <w:pStyle w:val="Citationenretrait"/>
        <w:rPr>
          <w:lang w:val="en-CA"/>
        </w:rPr>
      </w:pPr>
      <w:r w:rsidRPr="006B2147">
        <w:rPr>
          <w:lang w:val="en-CA"/>
        </w:rPr>
        <w:t xml:space="preserve">[41] </w:t>
      </w:r>
      <w:r w:rsidRPr="006B2147">
        <w:rPr>
          <w:lang w:val="en-CA"/>
        </w:rPr>
        <w:tab/>
      </w:r>
      <w:r w:rsidR="007723C8" w:rsidRPr="007723C8">
        <w:rPr>
          <w:lang w:val="en-CA"/>
        </w:rPr>
        <w:t xml:space="preserve">Although the duty to assess the credibility and weight of an eyewitness’ evidence sits with the jury and, in some circumstances, the testimony of one eyewitness will support a conviction, </w:t>
      </w:r>
      <w:r w:rsidR="007723C8" w:rsidRPr="007723C8">
        <w:rPr>
          <w:u w:val="single"/>
          <w:lang w:val="en-CA"/>
        </w:rPr>
        <w:t>the jury should not be permitted to convict on the basis of eyewitness testimony that could not support an inference of guilt beyond a reasonable doubt.</w:t>
      </w:r>
      <w:r w:rsidR="007723C8" w:rsidRPr="007723C8">
        <w:rPr>
          <w:lang w:val="en-CA"/>
        </w:rPr>
        <w:t xml:space="preserve">  In other words, </w:t>
      </w:r>
      <w:r w:rsidR="007723C8" w:rsidRPr="007723C8">
        <w:rPr>
          <w:u w:val="single"/>
          <w:lang w:val="en-CA"/>
        </w:rPr>
        <w:t>a jury should not be instructed that it may convict based on eyewitness testimony alone where that testimony, even if believed, would necessarily leave reasonable doubt in the mind of a reasonable juror</w:t>
      </w:r>
      <w:r w:rsidR="007723C8">
        <w:rPr>
          <w:lang w:val="en-CA"/>
        </w:rPr>
        <w:t xml:space="preserve"> […]</w:t>
      </w:r>
      <w:r w:rsidR="007723C8" w:rsidRPr="007723C8">
        <w:rPr>
          <w:lang w:val="en-CA"/>
        </w:rPr>
        <w:t xml:space="preserve">.  Indeed, where the Crown’s case consists solely of eyewitness testimony that would necessarily leave reasonable doubt in the mind of a reasonable juror, the trial judge must direct an acquittal upon a motion for directed verdict </w:t>
      </w:r>
      <w:r w:rsidR="007723C8">
        <w:rPr>
          <w:lang w:val="en-CA"/>
        </w:rPr>
        <w:t>[…]</w:t>
      </w:r>
      <w:r w:rsidRPr="006B2147">
        <w:rPr>
          <w:lang w:val="en-CA"/>
        </w:rPr>
        <w:t>.</w:t>
      </w:r>
    </w:p>
    <w:p w14:paraId="28EB86AA" w14:textId="67FA0C6F" w:rsidR="008939D6" w:rsidRPr="006B2147" w:rsidRDefault="00B37A58" w:rsidP="008939D6">
      <w:pPr>
        <w:pStyle w:val="Citationenretrait"/>
        <w:jc w:val="right"/>
        <w:rPr>
          <w:lang w:val="en-CA"/>
        </w:rPr>
      </w:pPr>
      <w:r w:rsidRPr="006B2147">
        <w:rPr>
          <w:lang w:val="en-CA"/>
        </w:rPr>
        <w:t>[</w:t>
      </w:r>
      <w:r w:rsidR="007723C8">
        <w:rPr>
          <w:lang w:val="en-CA"/>
        </w:rPr>
        <w:t>Emphasis added.</w:t>
      </w:r>
      <w:r w:rsidRPr="006B2147">
        <w:rPr>
          <w:lang w:val="en-CA"/>
        </w:rPr>
        <w:t>]</w:t>
      </w:r>
    </w:p>
    <w:p w14:paraId="6E99FC20" w14:textId="4BE97BDC" w:rsidR="008939D6" w:rsidRPr="006B2147" w:rsidRDefault="00B37A58" w:rsidP="00441741">
      <w:pPr>
        <w:pStyle w:val="Paragraphe"/>
        <w:spacing w:line="280" w:lineRule="exact"/>
        <w:rPr>
          <w:lang w:val="en-CA"/>
        </w:rPr>
      </w:pPr>
      <w:r>
        <w:rPr>
          <w:lang w:val="en-CA"/>
        </w:rPr>
        <w:t>In a relatively recent judgment</w:t>
      </w:r>
      <w:r w:rsidRPr="006B2147">
        <w:rPr>
          <w:lang w:val="en-CA"/>
        </w:rPr>
        <w:t xml:space="preserve">, </w:t>
      </w:r>
      <w:bookmarkStart w:id="41" w:name="_Ref210305988"/>
      <w:r>
        <w:rPr>
          <w:lang w:val="en-CA"/>
        </w:rPr>
        <w:t>our Court highlighted the factors for weighing the reliability of identification evidence:</w:t>
      </w:r>
      <w:r>
        <w:rPr>
          <w:rStyle w:val="Appelnotedebasdep"/>
          <w:lang w:val="en-CA"/>
        </w:rPr>
        <w:footnoteReference w:id="75"/>
      </w:r>
      <w:bookmarkEnd w:id="41"/>
      <w:r w:rsidRPr="006B2147">
        <w:rPr>
          <w:lang w:val="en-CA"/>
        </w:rPr>
        <w:t> </w:t>
      </w:r>
    </w:p>
    <w:p w14:paraId="246A45B2" w14:textId="77777777" w:rsidR="008939D6" w:rsidRPr="00C35B84" w:rsidRDefault="00B37A58" w:rsidP="008939D6">
      <w:pPr>
        <w:pStyle w:val="Citationenretrait"/>
      </w:pPr>
      <w:r w:rsidRPr="00C35B84">
        <w:t>[</w:t>
      </w:r>
      <w:bookmarkStart w:id="42" w:name="par28"/>
      <w:r w:rsidRPr="00C35B84">
        <w:t>28</w:t>
      </w:r>
      <w:bookmarkEnd w:id="42"/>
      <w:r w:rsidRPr="00C35B84">
        <w:t>]</w:t>
      </w:r>
      <w:r w:rsidRPr="00C35B84">
        <w:rPr>
          <w:sz w:val="14"/>
          <w:szCs w:val="14"/>
        </w:rPr>
        <w:tab/>
      </w:r>
      <w:r w:rsidRPr="00C35B84">
        <w:t>Le juge seul doit ainsi se mettre en garde contre la fragilité d’une preuve d’identification par témoin oculaire considérant les dangers qu’elle implique. Dans l’arrêt </w:t>
      </w:r>
      <w:r w:rsidRPr="00C35B84">
        <w:rPr>
          <w:i/>
          <w:iCs/>
        </w:rPr>
        <w:t>Hibbert</w:t>
      </w:r>
      <w:r w:rsidRPr="00C35B84">
        <w:t>, la Cour suprême explique que l’un de ces dangers est que cette preuve donne l’illusion d’être crédible, parce qu’elle est honnête et sincère</w:t>
      </w:r>
      <w:bookmarkStart w:id="43" w:name="_Ref112836871"/>
      <w:bookmarkEnd w:id="43"/>
      <w:r w:rsidRPr="00C35B84">
        <w:t>. Or, les témoins oculaires peuvent commettre des erreurs lors de l’identification d’un suspect malgré toute leur bonne volonté</w:t>
      </w:r>
      <w:bookmarkStart w:id="44" w:name="_Ref112680531"/>
      <w:bookmarkEnd w:id="44"/>
      <w:r w:rsidRPr="00C35B84">
        <w:t xml:space="preserve">. Pour évaluer la </w:t>
      </w:r>
      <w:r w:rsidRPr="00C35B84">
        <w:rPr>
          <w:u w:val="single"/>
        </w:rPr>
        <w:t>fiabilité de l’identification de l’accusé</w:t>
      </w:r>
      <w:r w:rsidRPr="00C35B84">
        <w:t xml:space="preserve">, le juge ne doit pas se limiter à la crédibilité du témoin, mais doit considérer d’autres critères, dont notamment </w:t>
      </w:r>
      <w:r w:rsidRPr="00C35B84">
        <w:rPr>
          <w:u w:val="single"/>
        </w:rPr>
        <w:t>la durée de l’observation, la distance, l’éclairage, les obstacles à la vue, le fait de reconnaître quelqu’un, le temps écoulé entre la première observation et la description donnée ultérieurement aux policiers</w:t>
      </w:r>
      <w:bookmarkStart w:id="45" w:name="_Ref112680519"/>
      <w:bookmarkEnd w:id="45"/>
      <w:r w:rsidRPr="00C35B84">
        <w:t xml:space="preserve">. De même, </w:t>
      </w:r>
      <w:r w:rsidRPr="00C35B84">
        <w:rPr>
          <w:u w:val="single"/>
        </w:rPr>
        <w:t>la familiarité entre le témoin et l’accusé peut évidemment être un facteur qui rehausse la fiabilité de l’identification</w:t>
      </w:r>
      <w:r w:rsidRPr="00C35B84">
        <w:t>.</w:t>
      </w:r>
    </w:p>
    <w:p w14:paraId="1C009110" w14:textId="3216DB6A" w:rsidR="008939D6" w:rsidRPr="006B2147" w:rsidRDefault="00B37A58" w:rsidP="008939D6">
      <w:pPr>
        <w:pStyle w:val="Citationenretrait"/>
        <w:jc w:val="right"/>
        <w:rPr>
          <w:lang w:val="en-CA"/>
        </w:rPr>
      </w:pPr>
      <w:r w:rsidRPr="006B2147">
        <w:rPr>
          <w:lang w:val="en-CA"/>
        </w:rPr>
        <w:t>[</w:t>
      </w:r>
      <w:r w:rsidR="00DA3758">
        <w:rPr>
          <w:lang w:val="en-CA"/>
        </w:rPr>
        <w:t>Emphasis added</w:t>
      </w:r>
      <w:r w:rsidRPr="006B2147">
        <w:rPr>
          <w:lang w:val="en-CA"/>
        </w:rPr>
        <w:t>]</w:t>
      </w:r>
    </w:p>
    <w:p w14:paraId="5CC9CCA8" w14:textId="32B0514B" w:rsidR="008939D6" w:rsidRPr="006B2147" w:rsidRDefault="00B37A58" w:rsidP="00441741">
      <w:pPr>
        <w:pStyle w:val="Paragraphe"/>
        <w:spacing w:line="280" w:lineRule="exact"/>
        <w:rPr>
          <w:lang w:val="en-CA"/>
        </w:rPr>
      </w:pPr>
      <w:r>
        <w:rPr>
          <w:lang w:val="en-CA"/>
        </w:rPr>
        <w:t>These concerns relating to eyewitness identification evidence are well known</w:t>
      </w:r>
      <w:r w:rsidRPr="006B2147">
        <w:rPr>
          <w:lang w:val="en-CA"/>
        </w:rPr>
        <w:t xml:space="preserve">, </w:t>
      </w:r>
      <w:r>
        <w:rPr>
          <w:lang w:val="en-CA"/>
        </w:rPr>
        <w:t xml:space="preserve">that type of evidence being </w:t>
      </w:r>
      <w:r w:rsidR="001F210A">
        <w:rPr>
          <w:lang w:val="en-CA"/>
        </w:rPr>
        <w:t xml:space="preserve">the </w:t>
      </w:r>
      <w:r w:rsidR="001F210A" w:rsidRPr="001F210A">
        <w:rPr>
          <w:lang w:val="en-CA"/>
        </w:rPr>
        <w:t>most likely to lead to lead to a miscarriage of justice</w:t>
      </w:r>
      <w:r>
        <w:rPr>
          <w:rFonts w:cs="Arial"/>
          <w:lang w:val="en-CA"/>
        </w:rPr>
        <w:t>.</w:t>
      </w:r>
      <w:r>
        <w:rPr>
          <w:rStyle w:val="Appelnotedebasdep"/>
          <w:rFonts w:cs="Arial"/>
          <w:lang w:val="en-CA"/>
        </w:rPr>
        <w:footnoteReference w:id="76"/>
      </w:r>
      <w:r>
        <w:rPr>
          <w:rFonts w:cs="Arial"/>
          <w:lang w:val="en-CA"/>
        </w:rPr>
        <w:t xml:space="preserve"> Indeed, the ris</w:t>
      </w:r>
      <w:r w:rsidR="00D2398E">
        <w:rPr>
          <w:rFonts w:cs="Arial"/>
          <w:lang w:val="en-CA"/>
        </w:rPr>
        <w:t>k</w:t>
      </w:r>
      <w:r>
        <w:rPr>
          <w:rFonts w:cs="Arial"/>
          <w:lang w:val="en-CA"/>
        </w:rPr>
        <w:t xml:space="preserve"> of wrongful conviction </w:t>
      </w:r>
      <w:r w:rsidR="00D2398E">
        <w:rPr>
          <w:rFonts w:cs="Arial"/>
          <w:lang w:val="en-CA"/>
        </w:rPr>
        <w:t xml:space="preserve">caused by </w:t>
      </w:r>
      <w:bookmarkStart w:id="46" w:name="_Ref210909802"/>
      <w:r w:rsidR="00D2398E">
        <w:rPr>
          <w:lang w:val="en-CA"/>
        </w:rPr>
        <w:t>mistaken, but apparently convincing, eyewitness identification, is well documented,</w:t>
      </w:r>
      <w:r>
        <w:rPr>
          <w:rStyle w:val="Appelnotedebasdep"/>
          <w:lang w:val="en-CA"/>
        </w:rPr>
        <w:footnoteReference w:id="77"/>
      </w:r>
      <w:bookmarkEnd w:id="46"/>
      <w:r w:rsidR="00D2398E">
        <w:rPr>
          <w:lang w:val="en-CA"/>
        </w:rPr>
        <w:t xml:space="preserve"> as noted by Donald J.A. of the Court of Appeal </w:t>
      </w:r>
      <w:r w:rsidR="0033602D">
        <w:rPr>
          <w:lang w:val="en-CA"/>
        </w:rPr>
        <w:t>for</w:t>
      </w:r>
      <w:r w:rsidR="00D2398E">
        <w:rPr>
          <w:lang w:val="en-CA"/>
        </w:rPr>
        <w:t xml:space="preserve"> British Columbia</w:t>
      </w:r>
      <w:r w:rsidR="00BD0D49">
        <w:rPr>
          <w:lang w:val="en-CA"/>
        </w:rPr>
        <w:t xml:space="preserve">, in </w:t>
      </w:r>
      <w:r w:rsidR="00BD0D49" w:rsidRPr="00BD0D49">
        <w:rPr>
          <w:i/>
          <w:iCs/>
          <w:lang w:val="en-CA"/>
        </w:rPr>
        <w:t>United States v. Walker</w:t>
      </w:r>
      <w:r w:rsidRPr="006B2147">
        <w:rPr>
          <w:lang w:val="en-CA"/>
        </w:rPr>
        <w:t>:</w:t>
      </w:r>
    </w:p>
    <w:p w14:paraId="44BD2B90" w14:textId="5273857D" w:rsidR="008939D6" w:rsidRPr="006B2147" w:rsidRDefault="00B37A58" w:rsidP="008939D6">
      <w:pPr>
        <w:pStyle w:val="Citationenretrait"/>
        <w:rPr>
          <w:lang w:val="en-CA"/>
        </w:rPr>
      </w:pPr>
      <w:r w:rsidRPr="006B2147">
        <w:rPr>
          <w:lang w:val="en-CA"/>
        </w:rPr>
        <w:t xml:space="preserve">Canadian Standards for eyewitness identification were shaped not only by the painful experience of wrongful convictions like the </w:t>
      </w:r>
      <w:r w:rsidRPr="006B2147">
        <w:rPr>
          <w:i/>
          <w:iCs/>
          <w:lang w:val="en-CA"/>
        </w:rPr>
        <w:t xml:space="preserve">Sophonow </w:t>
      </w:r>
      <w:r w:rsidRPr="006B2147">
        <w:rPr>
          <w:lang w:val="en-CA"/>
        </w:rPr>
        <w:t>case [</w:t>
      </w:r>
      <w:r w:rsidRPr="006B2147">
        <w:rPr>
          <w:i/>
          <w:iCs/>
          <w:lang w:val="en-CA"/>
        </w:rPr>
        <w:t>R v. Sophonow</w:t>
      </w:r>
      <w:r w:rsidRPr="006B2147">
        <w:rPr>
          <w:lang w:val="en-CA"/>
        </w:rPr>
        <w:t xml:space="preserve">, [1984] 2 RCS 524], but also a history of judicial recognition of the inherent dangers in eyewitness identification. For example, showing a single picture to a witness was found to be improper and damaged the value of identification in </w:t>
      </w:r>
      <w:r w:rsidRPr="006B2147">
        <w:rPr>
          <w:i/>
          <w:iCs/>
          <w:lang w:val="en-CA"/>
        </w:rPr>
        <w:t>R. v. Bagley</w:t>
      </w:r>
      <w:r w:rsidRPr="006B2147">
        <w:rPr>
          <w:lang w:val="en-CA"/>
        </w:rPr>
        <w:t xml:space="preserve">, [1926] 3 D.L.R. 717, [1926] 2 W.W.R. 513 (B.C.C.A.), and </w:t>
      </w:r>
      <w:r w:rsidRPr="006B2147">
        <w:rPr>
          <w:i/>
          <w:iCs/>
          <w:lang w:val="en-CA"/>
        </w:rPr>
        <w:t>R. v. Smierciak</w:t>
      </w:r>
      <w:r w:rsidRPr="006B2147">
        <w:rPr>
          <w:lang w:val="en-CA"/>
        </w:rPr>
        <w:t xml:space="preserve"> (1946), [1947] 2 D.L.R. 156, 87 C.C.C. 175 (Ont. C.A.). Caution in the use of photographic evidence was urged by Robertson C.J.O. in </w:t>
      </w:r>
      <w:r w:rsidRPr="006B2147">
        <w:rPr>
          <w:i/>
          <w:iCs/>
          <w:lang w:val="en-CA"/>
        </w:rPr>
        <w:t>R. v. Watson</w:t>
      </w:r>
      <w:r w:rsidRPr="006B2147">
        <w:rPr>
          <w:lang w:val="en-CA"/>
        </w:rPr>
        <w:t>, [1944] 2 D.L.R. 801 at 803, 81 C.C.C. 212 (Ont. C.A.):</w:t>
      </w:r>
    </w:p>
    <w:p w14:paraId="283D07AF" w14:textId="77777777" w:rsidR="008939D6" w:rsidRPr="006B2147" w:rsidRDefault="00B37A58" w:rsidP="008939D6">
      <w:pPr>
        <w:pStyle w:val="Citationenretrait"/>
        <w:ind w:left="1440"/>
        <w:rPr>
          <w:sz w:val="20"/>
          <w:lang w:val="en-CA"/>
        </w:rPr>
      </w:pPr>
      <w:r w:rsidRPr="006B2147">
        <w:rPr>
          <w:sz w:val="20"/>
          <w:lang w:val="en-CA"/>
        </w:rPr>
        <w:t>It requires constant watchfulness on the part of trial Judges and Magistrates, and of Crown counsel as well, to see that nothing unfair to an accused person is done, or is stated in evidence, in connection with the use of photographs for purposes of identification. Within proper limits, the use of photographs is not only helpful to the administration of justice, but is often indispensable…</w:t>
      </w:r>
    </w:p>
    <w:p w14:paraId="485C8C48" w14:textId="439DAAC5" w:rsidR="008939D6" w:rsidRPr="006B2147" w:rsidRDefault="00B37A58" w:rsidP="008939D6">
      <w:pPr>
        <w:pStyle w:val="Citationenretrait"/>
        <w:rPr>
          <w:lang w:val="en-CA"/>
        </w:rPr>
      </w:pPr>
      <w:r w:rsidRPr="006B2147">
        <w:rPr>
          <w:lang w:val="en-CA"/>
        </w:rPr>
        <w:t>In my opinion, the review of evidence of eyewitness identification tendered in an extradition request requires a similar degree of watchfulness. I would not generalize this to all forms of evidence in the reviewing process. My focus is on eyewitness identification as an extraordinarily problematic category.</w:t>
      </w:r>
    </w:p>
    <w:p w14:paraId="217E797B" w14:textId="77777777" w:rsidR="008939D6" w:rsidRPr="006B2147" w:rsidRDefault="00B37A58" w:rsidP="008939D6">
      <w:pPr>
        <w:pStyle w:val="Citationenretrait"/>
        <w:rPr>
          <w:lang w:val="en-CA"/>
        </w:rPr>
      </w:pPr>
      <w:r w:rsidRPr="006B2147">
        <w:rPr>
          <w:lang w:val="en-CA"/>
        </w:rPr>
        <w:t xml:space="preserve">The judge in this case expressed the view that the appellant asked him to “to speculate as to the frailties of the Government’s case” (para. 25). With respect, I do not think that speculation is involved in evaluating this evidence. When it cannot be determined whether the eyewitness identification is dangerous or unsafe – because the summary is incomplete – then the requesting state has not met its burden. It would be speculation to assume the evidence is free of any defect that would render it insufficient for committal. Perhaps the judge, at paragraph 25 of his reasons, meant that whether the evidence is good or bad is a matter best left for trial in Washington. If so, that comes very close to the rubber stamping that prevailed under the </w:t>
      </w:r>
      <w:r w:rsidRPr="006B2147">
        <w:rPr>
          <w:i/>
          <w:iCs/>
          <w:lang w:val="en-CA"/>
        </w:rPr>
        <w:t>Sheppard</w:t>
      </w:r>
      <w:r w:rsidRPr="006B2147">
        <w:rPr>
          <w:lang w:val="en-CA"/>
        </w:rPr>
        <w:t xml:space="preserve"> model </w:t>
      </w:r>
      <w:r w:rsidRPr="006B2147">
        <w:rPr>
          <w:rFonts w:cs="Arial"/>
          <w:lang w:val="en-CA"/>
        </w:rPr>
        <w:t>[</w:t>
      </w:r>
      <w:r w:rsidRPr="006B2147">
        <w:rPr>
          <w:lang w:val="en-CA"/>
        </w:rPr>
        <w:t xml:space="preserve">based on </w:t>
      </w:r>
      <w:r w:rsidRPr="006B2147">
        <w:rPr>
          <w:i/>
          <w:iCs/>
          <w:lang w:val="en-CA"/>
        </w:rPr>
        <w:t>Unites States of America v Sheppard</w:t>
      </w:r>
      <w:r w:rsidRPr="006B2147">
        <w:rPr>
          <w:lang w:val="en-CA"/>
        </w:rPr>
        <w:t xml:space="preserve">, </w:t>
      </w:r>
      <w:r w:rsidRPr="006B2147">
        <w:rPr>
          <w:rFonts w:cs="Arial"/>
          <w:lang w:val="en-CA"/>
        </w:rPr>
        <w:t>[</w:t>
      </w:r>
      <w:r w:rsidRPr="006B2147">
        <w:rPr>
          <w:lang w:val="en-CA"/>
        </w:rPr>
        <w:t>1977</w:t>
      </w:r>
      <w:r w:rsidRPr="006B2147">
        <w:rPr>
          <w:rFonts w:cs="Arial"/>
          <w:lang w:val="en-CA"/>
        </w:rPr>
        <w:t>]</w:t>
      </w:r>
      <w:r w:rsidRPr="006B2147">
        <w:rPr>
          <w:lang w:val="en-CA"/>
        </w:rPr>
        <w:t xml:space="preserve"> 2 SCR 1067</w:t>
      </w:r>
      <w:r w:rsidRPr="006B2147">
        <w:rPr>
          <w:rFonts w:cs="Arial"/>
          <w:lang w:val="en-CA"/>
        </w:rPr>
        <w:t>]</w:t>
      </w:r>
      <w:r w:rsidRPr="006B2147">
        <w:rPr>
          <w:lang w:val="en-CA"/>
        </w:rPr>
        <w:t xml:space="preserve">. A </w:t>
      </w:r>
      <w:r w:rsidRPr="006B2147">
        <w:rPr>
          <w:i/>
          <w:iCs/>
          <w:lang w:val="en-CA"/>
        </w:rPr>
        <w:t>Ferras</w:t>
      </w:r>
      <w:r w:rsidRPr="006B2147">
        <w:rPr>
          <w:lang w:val="en-CA"/>
        </w:rPr>
        <w:t xml:space="preserve"> assessment demands more than that.</w:t>
      </w:r>
    </w:p>
    <w:p w14:paraId="0C071690" w14:textId="15DC107C" w:rsidR="008939D6" w:rsidRPr="006B2147" w:rsidRDefault="00B37A58" w:rsidP="008939D6">
      <w:pPr>
        <w:pStyle w:val="Citationenretrait"/>
        <w:rPr>
          <w:lang w:val="en-CA"/>
        </w:rPr>
      </w:pPr>
      <w:r w:rsidRPr="006B2147">
        <w:rPr>
          <w:lang w:val="en-CA"/>
        </w:rPr>
        <w:t xml:space="preserve">Furthermore, while many of the authorities on this topic deal with jury warnings, this does not suggest that every case of dubious eyewitness identification should go to a jury. </w:t>
      </w:r>
      <w:r w:rsidRPr="006B2147">
        <w:rPr>
          <w:u w:val="single"/>
          <w:lang w:val="en-CA"/>
        </w:rPr>
        <w:t>If the evidence is so weak that a guilty verdict would be unreasonable, a judge should direct a verdict to avoid an injustice. Likewise, the extradition judge should discharge on such evidence</w:t>
      </w:r>
      <w:r w:rsidR="00E74166">
        <w:rPr>
          <w:u w:val="single"/>
          <w:lang w:val="en-CA"/>
        </w:rPr>
        <w:t>.</w:t>
      </w:r>
      <w:r>
        <w:rPr>
          <w:rStyle w:val="Appelnotedebasdep"/>
          <w:lang w:val="en-CA"/>
        </w:rPr>
        <w:footnoteReference w:id="78"/>
      </w:r>
    </w:p>
    <w:p w14:paraId="06F9529B" w14:textId="41B55377" w:rsidR="008939D6" w:rsidRPr="006B2147" w:rsidRDefault="00B37A58" w:rsidP="008939D6">
      <w:pPr>
        <w:pStyle w:val="Citationenretrait"/>
        <w:jc w:val="right"/>
        <w:rPr>
          <w:lang w:val="en-CA"/>
        </w:rPr>
      </w:pPr>
      <w:r w:rsidRPr="006B2147">
        <w:rPr>
          <w:lang w:val="en-CA"/>
        </w:rPr>
        <w:t>[</w:t>
      </w:r>
      <w:r w:rsidR="00E74166">
        <w:rPr>
          <w:lang w:val="en-CA"/>
        </w:rPr>
        <w:t>Emphasis added</w:t>
      </w:r>
      <w:r w:rsidRPr="006B2147">
        <w:rPr>
          <w:lang w:val="en-CA"/>
        </w:rPr>
        <w:t>]</w:t>
      </w:r>
    </w:p>
    <w:p w14:paraId="25E2B1F1" w14:textId="2103C4D7" w:rsidR="008939D6" w:rsidRPr="006B2147" w:rsidRDefault="00B37A58" w:rsidP="00441741">
      <w:pPr>
        <w:pStyle w:val="Paragraphe"/>
        <w:spacing w:line="280" w:lineRule="exact"/>
        <w:rPr>
          <w:lang w:val="en-CA"/>
        </w:rPr>
      </w:pPr>
      <w:r w:rsidRPr="00C35B84">
        <w:t xml:space="preserve">It is well established that </w:t>
      </w:r>
      <w:r w:rsidRPr="00C35B84">
        <w:rPr>
          <w:rFonts w:cs="Arial"/>
        </w:rPr>
        <w:t>“</w:t>
      </w:r>
      <w:r w:rsidRPr="00C35B84">
        <w:t>[l]orsque la seule preuve d’identification de l’accusé repose sur la déposition d’un témoin oculaire qui ne connaît pas l’accusé, le danger d’une identification erronée est reel.”</w:t>
      </w:r>
      <w:bookmarkStart w:id="47" w:name="_Ref210909677"/>
      <w:r>
        <w:rPr>
          <w:rStyle w:val="Appelnotedebasdep"/>
          <w:rFonts w:cs="Arial"/>
          <w:szCs w:val="24"/>
          <w:lang w:val="en-CA"/>
        </w:rPr>
        <w:footnoteReference w:id="79"/>
      </w:r>
      <w:bookmarkEnd w:id="47"/>
      <w:r w:rsidRPr="00C35B84">
        <w:t xml:space="preserve"> </w:t>
      </w:r>
      <w:r w:rsidRPr="00C35B84">
        <w:rPr>
          <w:rFonts w:ascii="Segoe UI" w:hAnsi="Segoe UI" w:cs="Segoe UI"/>
          <w:kern w:val="0"/>
          <w:sz w:val="18"/>
          <w:szCs w:val="18"/>
        </w:rPr>
        <w:t xml:space="preserve"> </w:t>
      </w:r>
      <w:r>
        <w:rPr>
          <w:lang w:val="en-CA"/>
        </w:rPr>
        <w:t>In such cases, albeit rare</w:t>
      </w:r>
      <w:r w:rsidRPr="006B2147">
        <w:rPr>
          <w:lang w:val="en-CA"/>
        </w:rPr>
        <w:t xml:space="preserve">, </w:t>
      </w:r>
      <w:r>
        <w:rPr>
          <w:lang w:val="en-CA"/>
        </w:rPr>
        <w:t>the extradition judge may</w:t>
      </w:r>
      <w:r w:rsidRPr="006B2147">
        <w:rPr>
          <w:lang w:val="en-CA"/>
        </w:rPr>
        <w:t xml:space="preserve"> </w:t>
      </w:r>
      <w:r w:rsidR="00105908">
        <w:rPr>
          <w:lang w:val="en-CA"/>
        </w:rPr>
        <w:t>dismiss the application for committal on the ground that the</w:t>
      </w:r>
      <w:r w:rsidRPr="006B2147">
        <w:rPr>
          <w:lang w:val="en-CA"/>
        </w:rPr>
        <w:t xml:space="preserve"> </w:t>
      </w:r>
      <w:r w:rsidR="00105908">
        <w:rPr>
          <w:lang w:val="en-CA"/>
        </w:rPr>
        <w:t>identification evidence is manifestly unreliable or defective.</w:t>
      </w:r>
      <w:r>
        <w:rPr>
          <w:rStyle w:val="Appelnotedebasdep"/>
          <w:rFonts w:cs="Arial"/>
          <w:color w:val="000000"/>
          <w:szCs w:val="24"/>
          <w:lang w:val="en-CA"/>
        </w:rPr>
        <w:footnoteReference w:id="80"/>
      </w:r>
    </w:p>
    <w:p w14:paraId="40242F48" w14:textId="2A2C85FD" w:rsidR="00022ADE" w:rsidRPr="006B2147" w:rsidRDefault="00B37A58" w:rsidP="00441741">
      <w:pPr>
        <w:pStyle w:val="Paragraphe"/>
        <w:spacing w:line="280" w:lineRule="exact"/>
        <w:rPr>
          <w:lang w:val="en-CA"/>
        </w:rPr>
      </w:pPr>
      <w:r w:rsidRPr="006B2147">
        <w:rPr>
          <w:i/>
          <w:iCs/>
          <w:lang w:val="en-CA"/>
        </w:rPr>
        <w:t>United States of America v.</w:t>
      </w:r>
      <w:r w:rsidRPr="006B2147">
        <w:rPr>
          <w:lang w:val="en-CA"/>
        </w:rPr>
        <w:t xml:space="preserve"> </w:t>
      </w:r>
      <w:r w:rsidRPr="006B2147">
        <w:rPr>
          <w:i/>
          <w:iCs/>
          <w:lang w:val="en-CA"/>
        </w:rPr>
        <w:t>Walker</w:t>
      </w:r>
      <w:bookmarkStart w:id="48" w:name="_Ref210306593"/>
      <w:r>
        <w:rPr>
          <w:rStyle w:val="Appelnotedebasdep"/>
          <w:lang w:val="en-CA"/>
        </w:rPr>
        <w:footnoteReference w:id="81"/>
      </w:r>
      <w:bookmarkEnd w:id="48"/>
      <w:r w:rsidRPr="006B2147">
        <w:rPr>
          <w:i/>
          <w:iCs/>
          <w:lang w:val="en-CA"/>
        </w:rPr>
        <w:t xml:space="preserve"> </w:t>
      </w:r>
      <w:r w:rsidR="00442105">
        <w:rPr>
          <w:lang w:val="en-CA"/>
        </w:rPr>
        <w:t>(</w:t>
      </w:r>
      <w:r w:rsidR="00442105" w:rsidRPr="00442105">
        <w:rPr>
          <w:i/>
          <w:iCs/>
          <w:lang w:val="en-CA"/>
        </w:rPr>
        <w:t>Walker 1</w:t>
      </w:r>
      <w:r w:rsidR="00442105">
        <w:rPr>
          <w:lang w:val="en-CA"/>
        </w:rPr>
        <w:t xml:space="preserve">) </w:t>
      </w:r>
      <w:r w:rsidR="0033602D">
        <w:rPr>
          <w:lang w:val="en-CA"/>
        </w:rPr>
        <w:t>provides one such example</w:t>
      </w:r>
      <w:r w:rsidRPr="006B2147">
        <w:rPr>
          <w:lang w:val="en-CA"/>
        </w:rPr>
        <w:t xml:space="preserve">. </w:t>
      </w:r>
      <w:r w:rsidR="00105908">
        <w:rPr>
          <w:lang w:val="en-CA"/>
        </w:rPr>
        <w:t>In that case, the requesting state had requested</w:t>
      </w:r>
      <w:r w:rsidRPr="006B2147">
        <w:rPr>
          <w:lang w:val="en-CA"/>
        </w:rPr>
        <w:t xml:space="preserve"> Walker</w:t>
      </w:r>
      <w:r w:rsidR="00105908">
        <w:rPr>
          <w:lang w:val="en-CA"/>
        </w:rPr>
        <w:t>’s extradition to stand trial for murder</w:t>
      </w:r>
      <w:r w:rsidRPr="006B2147">
        <w:rPr>
          <w:lang w:val="en-CA"/>
        </w:rPr>
        <w:t xml:space="preserve">. </w:t>
      </w:r>
      <w:r w:rsidR="0033602D">
        <w:rPr>
          <w:lang w:val="en-CA"/>
        </w:rPr>
        <w:t>The case rested mainly on Wal</w:t>
      </w:r>
      <w:r w:rsidRPr="006B2147">
        <w:rPr>
          <w:lang w:val="en-CA"/>
        </w:rPr>
        <w:t>ker</w:t>
      </w:r>
      <w:r w:rsidR="0033602D">
        <w:rPr>
          <w:lang w:val="en-CA"/>
        </w:rPr>
        <w:t xml:space="preserve">’s identification by an eyewitness who did not know him and </w:t>
      </w:r>
      <w:r w:rsidR="007F17D6">
        <w:rPr>
          <w:lang w:val="en-CA"/>
        </w:rPr>
        <w:t>who</w:t>
      </w:r>
      <w:r w:rsidR="0033602D">
        <w:rPr>
          <w:lang w:val="en-CA"/>
        </w:rPr>
        <w:t xml:space="preserve"> had identified him from a photograph</w:t>
      </w:r>
      <w:r w:rsidRPr="006B2147">
        <w:rPr>
          <w:lang w:val="en-CA"/>
        </w:rPr>
        <w:t xml:space="preserve">. Walker </w:t>
      </w:r>
      <w:r w:rsidR="0033602D">
        <w:rPr>
          <w:lang w:val="en-CA"/>
        </w:rPr>
        <w:t>was committed for extradition</w:t>
      </w:r>
      <w:r w:rsidRPr="006B2147">
        <w:rPr>
          <w:lang w:val="en-CA"/>
        </w:rPr>
        <w:t xml:space="preserve">, </w:t>
      </w:r>
      <w:r w:rsidR="0033602D">
        <w:rPr>
          <w:lang w:val="en-CA"/>
        </w:rPr>
        <w:t>but the order of committal was set aside by the Court of Appeal for British Columbia</w:t>
      </w:r>
      <w:r w:rsidRPr="006B2147">
        <w:rPr>
          <w:lang w:val="en-CA"/>
        </w:rPr>
        <w:t xml:space="preserve">, </w:t>
      </w:r>
      <w:r w:rsidR="0033602D">
        <w:rPr>
          <w:lang w:val="en-CA"/>
        </w:rPr>
        <w:t>the latter being of the view that identification by a single person, based on a single photograph</w:t>
      </w:r>
      <w:r w:rsidRPr="006B2147">
        <w:rPr>
          <w:lang w:val="en-CA"/>
        </w:rPr>
        <w:t xml:space="preserve">, </w:t>
      </w:r>
      <w:r w:rsidR="0033602D">
        <w:rPr>
          <w:lang w:val="en-CA"/>
        </w:rPr>
        <w:t>and without evidence of the basis of that identification</w:t>
      </w:r>
      <w:r w:rsidRPr="006B2147">
        <w:rPr>
          <w:lang w:val="en-CA"/>
        </w:rPr>
        <w:t xml:space="preserve">, </w:t>
      </w:r>
      <w:r w:rsidR="0033602D">
        <w:rPr>
          <w:lang w:val="en-CA"/>
        </w:rPr>
        <w:t xml:space="preserve">was insufficient to establish </w:t>
      </w:r>
      <w:r w:rsidR="0033602D" w:rsidRPr="0033602D">
        <w:rPr>
          <w:i/>
          <w:iCs/>
          <w:lang w:val="en-CA"/>
        </w:rPr>
        <w:t>prima facie</w:t>
      </w:r>
      <w:r w:rsidR="0033602D">
        <w:rPr>
          <w:lang w:val="en-CA"/>
        </w:rPr>
        <w:t xml:space="preserve"> identification evidence</w:t>
      </w:r>
      <w:r w:rsidRPr="006B2147">
        <w:rPr>
          <w:lang w:val="en-CA"/>
        </w:rPr>
        <w:t xml:space="preserve">. </w:t>
      </w:r>
    </w:p>
    <w:p w14:paraId="04D135C8" w14:textId="1F5EA819" w:rsidR="008939D6" w:rsidRPr="006B2147" w:rsidRDefault="00B37A58" w:rsidP="00441741">
      <w:pPr>
        <w:pStyle w:val="Paragraphe"/>
        <w:spacing w:line="280" w:lineRule="exact"/>
        <w:rPr>
          <w:lang w:val="en-CA"/>
        </w:rPr>
      </w:pPr>
      <w:r>
        <w:rPr>
          <w:lang w:val="en-CA"/>
        </w:rPr>
        <w:t xml:space="preserve">The Court of Appeal for British Columbia, </w:t>
      </w:r>
      <w:r w:rsidRPr="007F17D6">
        <w:rPr>
          <w:i/>
          <w:iCs/>
          <w:lang w:val="en-CA"/>
        </w:rPr>
        <w:t>per</w:t>
      </w:r>
      <w:r>
        <w:rPr>
          <w:lang w:val="en-CA"/>
        </w:rPr>
        <w:t xml:space="preserve"> Donald J.A.</w:t>
      </w:r>
      <w:r w:rsidR="006F6C2D" w:rsidRPr="006B2147">
        <w:rPr>
          <w:lang w:val="en-CA"/>
        </w:rPr>
        <w:t xml:space="preserve"> </w:t>
      </w:r>
      <w:r>
        <w:rPr>
          <w:lang w:val="en-CA"/>
        </w:rPr>
        <w:t>recalled the inherent dangers of eyewitness identification evidence</w:t>
      </w:r>
      <w:r w:rsidR="00537919">
        <w:rPr>
          <w:lang w:val="en-CA"/>
        </w:rPr>
        <w:t xml:space="preserve"> </w:t>
      </w:r>
      <w:r>
        <w:rPr>
          <w:lang w:val="en-CA"/>
        </w:rPr>
        <w:t xml:space="preserve">and noted that extradition judges should not casually </w:t>
      </w:r>
      <w:r w:rsidR="0077561A">
        <w:rPr>
          <w:lang w:val="en-CA"/>
        </w:rPr>
        <w:t>accept</w:t>
      </w:r>
      <w:r>
        <w:rPr>
          <w:lang w:val="en-CA"/>
        </w:rPr>
        <w:t xml:space="preserve"> such identification evidence without reviewing</w:t>
      </w:r>
      <w:r w:rsidRPr="006B2147">
        <w:rPr>
          <w:lang w:val="en-CA"/>
        </w:rPr>
        <w:t xml:space="preserve">, </w:t>
      </w:r>
      <w:r w:rsidRPr="006B2147">
        <w:rPr>
          <w:i/>
          <w:iCs/>
          <w:lang w:val="en-CA"/>
        </w:rPr>
        <w:t>prima facie</w:t>
      </w:r>
      <w:r w:rsidRPr="006B2147">
        <w:rPr>
          <w:lang w:val="en-CA"/>
        </w:rPr>
        <w:t xml:space="preserve">, </w:t>
      </w:r>
      <w:r>
        <w:rPr>
          <w:lang w:val="en-CA"/>
        </w:rPr>
        <w:t>its reliability</w:t>
      </w:r>
      <w:r w:rsidRPr="006B2147">
        <w:rPr>
          <w:lang w:val="en-CA"/>
        </w:rPr>
        <w:t>.</w:t>
      </w:r>
      <w:r>
        <w:rPr>
          <w:lang w:val="en-CA"/>
        </w:rPr>
        <w:t xml:space="preserve"> She added that when the ROC is incomplete</w:t>
      </w:r>
      <w:r w:rsidRPr="006B2147">
        <w:rPr>
          <w:lang w:val="en-CA"/>
        </w:rPr>
        <w:t xml:space="preserve"> </w:t>
      </w:r>
      <w:r w:rsidR="00633315">
        <w:rPr>
          <w:lang w:val="en-CA"/>
        </w:rPr>
        <w:t>and the extradition judge cannot determine</w:t>
      </w:r>
      <w:r w:rsidR="00633315" w:rsidRPr="00633315">
        <w:rPr>
          <w:lang w:val="en-CA"/>
        </w:rPr>
        <w:t xml:space="preserve"> whether the eyewitness identification is </w:t>
      </w:r>
      <w:r w:rsidR="00633315">
        <w:rPr>
          <w:lang w:val="en-CA"/>
        </w:rPr>
        <w:t>reliable or not</w:t>
      </w:r>
      <w:r w:rsidRPr="006B2147">
        <w:rPr>
          <w:lang w:val="en-CA"/>
        </w:rPr>
        <w:t xml:space="preserve">, </w:t>
      </w:r>
      <w:r w:rsidR="00633315">
        <w:rPr>
          <w:lang w:val="en-CA"/>
        </w:rPr>
        <w:t>this means that the state has not met its evidentiary burden</w:t>
      </w:r>
      <w:r w:rsidRPr="006B2147">
        <w:rPr>
          <w:lang w:val="en-CA"/>
        </w:rPr>
        <w:t>:</w:t>
      </w:r>
    </w:p>
    <w:p w14:paraId="6908FB37" w14:textId="77777777" w:rsidR="008939D6" w:rsidRPr="006B2147" w:rsidRDefault="00B37A58" w:rsidP="008939D6">
      <w:pPr>
        <w:pStyle w:val="Citationenretrait"/>
        <w:rPr>
          <w:lang w:val="en-CA"/>
        </w:rPr>
      </w:pPr>
      <w:r w:rsidRPr="006B2147">
        <w:rPr>
          <w:lang w:val="en-CA"/>
        </w:rPr>
        <w:t>[25]</w:t>
      </w:r>
      <w:r w:rsidRPr="006B2147">
        <w:rPr>
          <w:lang w:val="en-CA"/>
        </w:rPr>
        <w:tab/>
        <w:t xml:space="preserve">Remembering that the </w:t>
      </w:r>
      <w:r w:rsidRPr="006B2147">
        <w:rPr>
          <w:i/>
          <w:iCs/>
          <w:lang w:val="en-CA"/>
        </w:rPr>
        <w:t>Ferras</w:t>
      </w:r>
      <w:r w:rsidRPr="006B2147">
        <w:rPr>
          <w:lang w:val="en-CA"/>
        </w:rPr>
        <w:t xml:space="preserve"> assessment is to screen evidence so as to avoid dangerous or unsafe verdicts, extradition judges should give high risk eyewitness identification a very hard look. </w:t>
      </w:r>
    </w:p>
    <w:p w14:paraId="189A6AB6" w14:textId="77777777" w:rsidR="008939D6" w:rsidRPr="006B2147" w:rsidRDefault="00B37A58" w:rsidP="00DC5360">
      <w:pPr>
        <w:pStyle w:val="Citationenretrait"/>
        <w:keepNext/>
        <w:keepLines/>
        <w:rPr>
          <w:lang w:val="en-CA"/>
        </w:rPr>
      </w:pPr>
      <w:r w:rsidRPr="006B2147">
        <w:rPr>
          <w:lang w:val="en-CA"/>
        </w:rPr>
        <w:t>[26]</w:t>
      </w:r>
      <w:r w:rsidRPr="006B2147">
        <w:rPr>
          <w:lang w:val="en-CA"/>
        </w:rPr>
        <w:tab/>
        <w:t xml:space="preserve">Turning to the evidence in the ROC, I note the following deficiencies in the evidence: </w:t>
      </w:r>
    </w:p>
    <w:p w14:paraId="76FC9A03" w14:textId="77777777" w:rsidR="008939D6" w:rsidRPr="006B2147" w:rsidRDefault="00B37A58" w:rsidP="008939D6">
      <w:pPr>
        <w:pStyle w:val="Citationenretrait"/>
        <w:ind w:left="2160" w:hanging="720"/>
        <w:rPr>
          <w:lang w:val="en-CA"/>
        </w:rPr>
      </w:pPr>
      <w:r w:rsidRPr="006B2147">
        <w:rPr>
          <w:lang w:val="en-CA"/>
        </w:rPr>
        <w:t xml:space="preserve">1. </w:t>
      </w:r>
      <w:r w:rsidRPr="006B2147">
        <w:rPr>
          <w:lang w:val="en-CA"/>
        </w:rPr>
        <w:tab/>
        <w:t xml:space="preserve">While the single photo is appended to the ROC, the photo montage is not. Is the montage fair or does the appellant stand out as distinctly different from the other five subjects? </w:t>
      </w:r>
    </w:p>
    <w:p w14:paraId="53AD5362" w14:textId="77777777" w:rsidR="008939D6" w:rsidRPr="006B2147" w:rsidRDefault="00B37A58" w:rsidP="008939D6">
      <w:pPr>
        <w:pStyle w:val="Citationenretrait"/>
        <w:ind w:left="2160" w:hanging="720"/>
        <w:rPr>
          <w:lang w:val="en-CA"/>
        </w:rPr>
      </w:pPr>
      <w:r w:rsidRPr="006B2147">
        <w:rPr>
          <w:lang w:val="en-CA"/>
        </w:rPr>
        <w:t xml:space="preserve">2. </w:t>
      </w:r>
      <w:r w:rsidRPr="006B2147">
        <w:rPr>
          <w:lang w:val="en-CA"/>
        </w:rPr>
        <w:tab/>
        <w:t xml:space="preserve">The order in which the witness was shown the single photo and the montage is not disclosed. If he was shown the single photo first, then the witness may have recognized the appellant's picture in the montage not from the crime scene but from the prior viewing of the single photo. </w:t>
      </w:r>
    </w:p>
    <w:p w14:paraId="3B64BED4" w14:textId="77777777" w:rsidR="008939D6" w:rsidRPr="006B2147" w:rsidRDefault="00B37A58" w:rsidP="008939D6">
      <w:pPr>
        <w:pStyle w:val="Citationenretrait"/>
        <w:ind w:left="2160" w:hanging="720"/>
        <w:rPr>
          <w:lang w:val="en-CA"/>
        </w:rPr>
      </w:pPr>
      <w:r w:rsidRPr="006B2147">
        <w:rPr>
          <w:lang w:val="en-CA"/>
        </w:rPr>
        <w:t>3.</w:t>
      </w:r>
      <w:r w:rsidRPr="006B2147">
        <w:rPr>
          <w:lang w:val="en-CA"/>
        </w:rPr>
        <w:tab/>
        <w:t xml:space="preserve"> It is not said whether the montage used the same or a different photo, and if not the same photo, whether it is a good likeness. 4. The time of day, lighting conditions, and the duration of the encounter are not disclosed.</w:t>
      </w:r>
    </w:p>
    <w:p w14:paraId="22F997E5" w14:textId="77777777" w:rsidR="008939D6" w:rsidRPr="006B2147" w:rsidRDefault="00B37A58" w:rsidP="008939D6">
      <w:pPr>
        <w:pStyle w:val="Citationenretrait"/>
        <w:rPr>
          <w:lang w:val="en-CA"/>
        </w:rPr>
      </w:pPr>
      <w:r w:rsidRPr="006B2147">
        <w:rPr>
          <w:lang w:val="en-CA"/>
        </w:rPr>
        <w:t>[27]</w:t>
      </w:r>
      <w:r w:rsidRPr="006B2147">
        <w:rPr>
          <w:lang w:val="en-CA"/>
        </w:rPr>
        <w:tab/>
        <w:t xml:space="preserve">It would have been easy for the respondent to address these matters in the ROC. The respondent cannot expect the extradition judge to assume favourable answers to the questions left unanswered because of the paucity of the evidence. If it was dark in the alley, the observation by the witness lasted only a few seconds, the police showed a single photo first, and/or the police created an unfair montage, then the sufficiency of the case is highly doubtful. </w:t>
      </w:r>
    </w:p>
    <w:p w14:paraId="5C44ED9A" w14:textId="36096550" w:rsidR="008939D6" w:rsidRPr="006B2147" w:rsidRDefault="00B37A58" w:rsidP="008939D6">
      <w:pPr>
        <w:pStyle w:val="Citationenretrait"/>
        <w:rPr>
          <w:lang w:val="en-CA"/>
        </w:rPr>
      </w:pPr>
      <w:r w:rsidRPr="006B2147">
        <w:rPr>
          <w:lang w:val="en-CA"/>
        </w:rPr>
        <w:t>[28]</w:t>
      </w:r>
      <w:r w:rsidRPr="006B2147">
        <w:rPr>
          <w:lang w:val="en-CA"/>
        </w:rPr>
        <w:tab/>
        <w:t xml:space="preserve">Canadian standards for eyewitness identification were shaped not only by the painful experience of wrongful convictions like the </w:t>
      </w:r>
      <w:r w:rsidRPr="006B2147">
        <w:rPr>
          <w:i/>
          <w:iCs/>
          <w:lang w:val="en-CA"/>
        </w:rPr>
        <w:t>Sophonow</w:t>
      </w:r>
      <w:r w:rsidRPr="006B2147">
        <w:rPr>
          <w:lang w:val="en-CA"/>
        </w:rPr>
        <w:t xml:space="preserve"> case, but also a history of judicial recognition of the inherent dangers in eyewitness identification. For example, showing a single picture to a witness was found to be improper and damaged the value of identification in </w:t>
      </w:r>
      <w:r w:rsidRPr="006B2147">
        <w:rPr>
          <w:i/>
          <w:iCs/>
          <w:lang w:val="en-CA"/>
        </w:rPr>
        <w:t>R. v. Bagley</w:t>
      </w:r>
      <w:r w:rsidRPr="006B2147">
        <w:rPr>
          <w:lang w:val="en-CA"/>
        </w:rPr>
        <w:t>, [1926] 3 D.L.R. 717, [1926]</w:t>
      </w:r>
      <w:r w:rsidR="00E8784A" w:rsidRPr="006B2147">
        <w:rPr>
          <w:lang w:val="en-CA"/>
        </w:rPr>
        <w:t> </w:t>
      </w:r>
      <w:r w:rsidRPr="006B2147">
        <w:rPr>
          <w:lang w:val="en-CA"/>
        </w:rPr>
        <w:t>2</w:t>
      </w:r>
      <w:r w:rsidR="00E8784A" w:rsidRPr="006B2147">
        <w:rPr>
          <w:lang w:val="en-CA"/>
        </w:rPr>
        <w:t> </w:t>
      </w:r>
      <w:r w:rsidRPr="006B2147">
        <w:rPr>
          <w:lang w:val="en-CA"/>
        </w:rPr>
        <w:t>W.W.R.</w:t>
      </w:r>
      <w:r w:rsidR="00E8784A" w:rsidRPr="006B2147">
        <w:rPr>
          <w:lang w:val="en-CA"/>
        </w:rPr>
        <w:t> </w:t>
      </w:r>
      <w:r w:rsidRPr="006B2147">
        <w:rPr>
          <w:lang w:val="en-CA"/>
        </w:rPr>
        <w:t xml:space="preserve">513 (B.C.C.A.), and </w:t>
      </w:r>
      <w:r w:rsidRPr="006B2147">
        <w:rPr>
          <w:i/>
          <w:iCs/>
          <w:lang w:val="en-CA"/>
        </w:rPr>
        <w:t>R. v. Smierciak</w:t>
      </w:r>
      <w:r w:rsidRPr="006B2147">
        <w:rPr>
          <w:lang w:val="en-CA"/>
        </w:rPr>
        <w:t xml:space="preserve"> (1946), [1947] 2 D.L.R. 156, 87 C.C.C. 175 (Ont. C.A.). Caution in the use of photographic evidence was urged by Robertson C.J.O. in </w:t>
      </w:r>
      <w:r w:rsidRPr="006B2147">
        <w:rPr>
          <w:i/>
          <w:iCs/>
          <w:lang w:val="en-CA"/>
        </w:rPr>
        <w:t>R. v. Watson</w:t>
      </w:r>
      <w:r w:rsidRPr="006B2147">
        <w:rPr>
          <w:lang w:val="en-CA"/>
        </w:rPr>
        <w:t xml:space="preserve">, [1944] 2 D.L.R. 801 at 803, 81 C.C.C. 212 (Ont. C.A.): It requires constant watchfulness on the part of trial Judges and Magistrates, and of Crown counsel as well, to see that nothing unfair to an accused person is done, or is stated in evidence, in connection with the use of photographs for purposes of identification. Within proper limits, the use of photographs is not only helpful to the administration of justice, but is often indispensable. See also, to the same effect, </w:t>
      </w:r>
      <w:r w:rsidRPr="006B2147">
        <w:rPr>
          <w:i/>
          <w:iCs/>
          <w:lang w:val="en-CA"/>
        </w:rPr>
        <w:t>R. v. Goldhar</w:t>
      </w:r>
      <w:r w:rsidRPr="006B2147">
        <w:rPr>
          <w:lang w:val="en-CA"/>
        </w:rPr>
        <w:t>, [1941] 2 D.L.R. 480, 76 C.C.C. 270 (Ont. C.A.).</w:t>
      </w:r>
    </w:p>
    <w:p w14:paraId="5B5C1CBD" w14:textId="77777777" w:rsidR="008939D6" w:rsidRPr="006B2147" w:rsidRDefault="00B37A58" w:rsidP="008939D6">
      <w:pPr>
        <w:pStyle w:val="Citationenretrait"/>
        <w:rPr>
          <w:lang w:val="en-CA"/>
        </w:rPr>
      </w:pPr>
      <w:r w:rsidRPr="006B2147">
        <w:rPr>
          <w:lang w:val="en-CA"/>
        </w:rPr>
        <w:t>[29]</w:t>
      </w:r>
      <w:r w:rsidRPr="006B2147">
        <w:rPr>
          <w:lang w:val="en-CA"/>
        </w:rPr>
        <w:tab/>
        <w:t>In my opinion, the review of evidence of eyewitness identification tendered in an extradition request requires a similar degree of watchfulness. I would not generalize this to all forms of evidence in the reviewing process. My focus is on eyewitness identification as an extraordinarily problematic category.</w:t>
      </w:r>
    </w:p>
    <w:p w14:paraId="77C758CC" w14:textId="77777777" w:rsidR="008939D6" w:rsidRPr="006B2147" w:rsidRDefault="00B37A58" w:rsidP="008939D6">
      <w:pPr>
        <w:pStyle w:val="Citationenretrait"/>
        <w:rPr>
          <w:lang w:val="en-CA"/>
        </w:rPr>
      </w:pPr>
      <w:r w:rsidRPr="006B2147">
        <w:rPr>
          <w:lang w:val="en-CA"/>
        </w:rPr>
        <w:t>[30]</w:t>
      </w:r>
      <w:r w:rsidRPr="006B2147">
        <w:rPr>
          <w:lang w:val="en-CA"/>
        </w:rPr>
        <w:tab/>
        <w:t xml:space="preserve">The judge in this case expressed the view that the appellant asked him "to speculate as to the frailties of the Government's case" (para. 25). With respect, I do not think that speculation is involved in evaluating this evidence. When it cannot be determined whether the eyewitness identification is dangerous or unsafe – because the summary is incomplete – then the requesting state has not met its burden. It would be speculation to assume the worst about the evidence; but by the same token, it would be speculation to assume the evidence is free of any defect that would render it insufficient for committal. Perhaps the judge, at paragraph 25 of his reasons, meant that whether the evidence is good or bad is a matter best left for trial in Washington. If so, that comes very close to the rubber stamping that prevailed under the </w:t>
      </w:r>
      <w:r w:rsidRPr="006B2147">
        <w:rPr>
          <w:i/>
          <w:iCs/>
          <w:lang w:val="en-CA"/>
        </w:rPr>
        <w:t xml:space="preserve">Shephard </w:t>
      </w:r>
      <w:r w:rsidRPr="006B2147">
        <w:rPr>
          <w:lang w:val="en-CA"/>
        </w:rPr>
        <w:t xml:space="preserve">model. A </w:t>
      </w:r>
      <w:r w:rsidRPr="006B2147">
        <w:rPr>
          <w:i/>
          <w:iCs/>
          <w:lang w:val="en-CA"/>
        </w:rPr>
        <w:t>Ferras</w:t>
      </w:r>
      <w:r w:rsidRPr="006B2147">
        <w:rPr>
          <w:lang w:val="en-CA"/>
        </w:rPr>
        <w:t xml:space="preserve"> assessment demands more than that. </w:t>
      </w:r>
    </w:p>
    <w:p w14:paraId="35A677A8" w14:textId="77777777" w:rsidR="008939D6" w:rsidRPr="006B2147" w:rsidRDefault="00B37A58" w:rsidP="008939D6">
      <w:pPr>
        <w:pStyle w:val="Citationenretrait"/>
        <w:rPr>
          <w:lang w:val="en-CA"/>
        </w:rPr>
      </w:pPr>
      <w:r w:rsidRPr="006B2147">
        <w:rPr>
          <w:lang w:val="en-CA"/>
        </w:rPr>
        <w:t>[31]</w:t>
      </w:r>
      <w:r w:rsidRPr="006B2147">
        <w:rPr>
          <w:lang w:val="en-CA"/>
        </w:rPr>
        <w:tab/>
        <w:t>Furthermore, while many of the authorities on this topic deal with jury warnings, this does not suggest that every case of dubious eyewitness identification should go to a jury. If the evidence is so weak that a guilty verdict would be unreasonable, a judge should direct a verdict to avoid an injustice. Likewise, the extradition judge should discharge on such evidence.</w:t>
      </w:r>
    </w:p>
    <w:p w14:paraId="68ECF6A6" w14:textId="1E24C04F" w:rsidR="008939D6" w:rsidRPr="006B2147" w:rsidRDefault="00B37A58" w:rsidP="00441741">
      <w:pPr>
        <w:pStyle w:val="Paragraphe"/>
        <w:spacing w:line="280" w:lineRule="exact"/>
        <w:rPr>
          <w:lang w:val="en-CA"/>
        </w:rPr>
      </w:pPr>
      <w:r>
        <w:rPr>
          <w:lang w:val="en-CA"/>
        </w:rPr>
        <w:t>Following that case</w:t>
      </w:r>
      <w:r w:rsidRPr="006B2147">
        <w:rPr>
          <w:lang w:val="en-CA"/>
        </w:rPr>
        <w:t xml:space="preserve"> –</w:t>
      </w:r>
      <w:r>
        <w:rPr>
          <w:lang w:val="en-CA"/>
        </w:rPr>
        <w:t xml:space="preserve"> </w:t>
      </w:r>
      <w:r w:rsidRPr="006B2147">
        <w:rPr>
          <w:i/>
          <w:iCs/>
          <w:lang w:val="en-CA"/>
        </w:rPr>
        <w:t>Walker 1</w:t>
      </w:r>
      <w:r w:rsidRPr="006B2147">
        <w:rPr>
          <w:lang w:val="en-CA"/>
        </w:rPr>
        <w:t xml:space="preserve"> </w:t>
      </w:r>
      <w:r w:rsidRPr="006B2147">
        <w:rPr>
          <w:rFonts w:cs="Arial"/>
          <w:lang w:val="en-CA"/>
        </w:rPr>
        <w:t>–</w:t>
      </w:r>
      <w:r w:rsidR="00A376F4" w:rsidRPr="006B2147">
        <w:rPr>
          <w:lang w:val="en-CA"/>
        </w:rPr>
        <w:t xml:space="preserve"> </w:t>
      </w:r>
      <w:r>
        <w:rPr>
          <w:lang w:val="en-CA"/>
        </w:rPr>
        <w:t>the requesting state filed a new ROC and a supplemental ROC</w:t>
      </w:r>
      <w:r w:rsidRPr="006B2147">
        <w:rPr>
          <w:lang w:val="en-CA"/>
        </w:rPr>
        <w:t xml:space="preserve"> </w:t>
      </w:r>
      <w:r>
        <w:rPr>
          <w:lang w:val="en-CA"/>
        </w:rPr>
        <w:t>in support of a second extradition request for</w:t>
      </w:r>
      <w:r w:rsidRPr="006B2147">
        <w:rPr>
          <w:lang w:val="en-CA"/>
        </w:rPr>
        <w:t xml:space="preserve"> M</w:t>
      </w:r>
      <w:r>
        <w:rPr>
          <w:lang w:val="en-CA"/>
        </w:rPr>
        <w:t>r</w:t>
      </w:r>
      <w:r w:rsidRPr="006B2147">
        <w:rPr>
          <w:lang w:val="en-CA"/>
        </w:rPr>
        <w:t>.</w:t>
      </w:r>
      <w:r w:rsidR="00E92C95" w:rsidRPr="006B2147">
        <w:rPr>
          <w:lang w:val="en-CA"/>
        </w:rPr>
        <w:t xml:space="preserve"> </w:t>
      </w:r>
      <w:r w:rsidRPr="006B2147">
        <w:rPr>
          <w:lang w:val="en-CA"/>
        </w:rPr>
        <w:t>Walker (</w:t>
      </w:r>
      <w:r>
        <w:rPr>
          <w:lang w:val="en-CA"/>
        </w:rPr>
        <w:t>“</w:t>
      </w:r>
      <w:r w:rsidRPr="006B2147">
        <w:rPr>
          <w:i/>
          <w:iCs/>
          <w:lang w:val="en-CA"/>
        </w:rPr>
        <w:t>Walker 2</w:t>
      </w:r>
      <w:r>
        <w:rPr>
          <w:i/>
          <w:iCs/>
          <w:lang w:val="en-CA"/>
        </w:rPr>
        <w:t>”</w:t>
      </w:r>
      <w:r w:rsidRPr="006B2147">
        <w:rPr>
          <w:lang w:val="en-CA"/>
        </w:rPr>
        <w:t xml:space="preserve">). </w:t>
      </w:r>
      <w:r>
        <w:rPr>
          <w:lang w:val="en-CA"/>
        </w:rPr>
        <w:t>According to the judge seized of the second extradition request,</w:t>
      </w:r>
      <w:r>
        <w:rPr>
          <w:rStyle w:val="Appelnotedebasdep"/>
          <w:lang w:val="en-CA"/>
        </w:rPr>
        <w:footnoteReference w:id="82"/>
      </w:r>
      <w:r>
        <w:rPr>
          <w:lang w:val="en-CA"/>
        </w:rPr>
        <w:t xml:space="preserve"> </w:t>
      </w:r>
      <w:r w:rsidR="004A6510">
        <w:rPr>
          <w:lang w:val="en-CA"/>
        </w:rPr>
        <w:t xml:space="preserve">the newly submitted evidence indicated, </w:t>
      </w:r>
      <w:r w:rsidR="004A6510" w:rsidRPr="004A6510">
        <w:rPr>
          <w:i/>
          <w:iCs/>
          <w:lang w:val="en-CA"/>
        </w:rPr>
        <w:t>inter alia</w:t>
      </w:r>
      <w:r w:rsidR="004A6510">
        <w:rPr>
          <w:lang w:val="en-CA"/>
        </w:rPr>
        <w:t xml:space="preserve">, that the photographic lineup to which the eyewitness </w:t>
      </w:r>
      <w:r w:rsidR="00B747F6">
        <w:rPr>
          <w:lang w:val="en-CA"/>
        </w:rPr>
        <w:t>had been</w:t>
      </w:r>
      <w:r w:rsidR="004A6510">
        <w:rPr>
          <w:lang w:val="en-CA"/>
        </w:rPr>
        <w:t xml:space="preserve"> submitted had taken place on the very same day the crime was committed</w:t>
      </w:r>
      <w:r w:rsidRPr="006B2147">
        <w:rPr>
          <w:lang w:val="en-CA"/>
        </w:rPr>
        <w:t xml:space="preserve">. </w:t>
      </w:r>
      <w:r w:rsidR="004A6510">
        <w:rPr>
          <w:lang w:val="en-CA"/>
        </w:rPr>
        <w:t>Th</w:t>
      </w:r>
      <w:r w:rsidR="00B747F6">
        <w:rPr>
          <w:lang w:val="en-CA"/>
        </w:rPr>
        <w:t>is time, th</w:t>
      </w:r>
      <w:r w:rsidR="004A6510">
        <w:rPr>
          <w:lang w:val="en-CA"/>
        </w:rPr>
        <w:t xml:space="preserve">e photographic montage used </w:t>
      </w:r>
      <w:r w:rsidR="00B747F6">
        <w:rPr>
          <w:lang w:val="en-CA"/>
        </w:rPr>
        <w:t>was</w:t>
      </w:r>
      <w:r w:rsidR="004A6510">
        <w:rPr>
          <w:lang w:val="en-CA"/>
        </w:rPr>
        <w:t xml:space="preserve"> provided, and </w:t>
      </w:r>
      <w:r w:rsidR="0077561A">
        <w:rPr>
          <w:lang w:val="en-CA"/>
        </w:rPr>
        <w:t xml:space="preserve">it </w:t>
      </w:r>
      <w:r w:rsidR="004A6510">
        <w:rPr>
          <w:lang w:val="en-CA"/>
        </w:rPr>
        <w:t xml:space="preserve">showed that the six photographs used </w:t>
      </w:r>
      <w:r w:rsidR="00B747F6">
        <w:rPr>
          <w:lang w:val="en-CA"/>
        </w:rPr>
        <w:t>were of</w:t>
      </w:r>
      <w:r w:rsidR="004A6510">
        <w:rPr>
          <w:lang w:val="en-CA"/>
        </w:rPr>
        <w:t xml:space="preserve"> </w:t>
      </w:r>
      <w:r w:rsidR="00537919">
        <w:rPr>
          <w:lang w:val="en-CA"/>
        </w:rPr>
        <w:t>A</w:t>
      </w:r>
      <w:r w:rsidR="004A6510">
        <w:rPr>
          <w:lang w:val="en-CA"/>
        </w:rPr>
        <w:t xml:space="preserve">boriginal </w:t>
      </w:r>
      <w:r w:rsidR="00537919">
        <w:rPr>
          <w:lang w:val="en-CA"/>
        </w:rPr>
        <w:t>men</w:t>
      </w:r>
      <w:r w:rsidR="004A6510">
        <w:rPr>
          <w:lang w:val="en-CA"/>
        </w:rPr>
        <w:t xml:space="preserve"> like Mr. W</w:t>
      </w:r>
      <w:r w:rsidRPr="006B2147">
        <w:rPr>
          <w:lang w:val="en-CA"/>
        </w:rPr>
        <w:t xml:space="preserve">alker. </w:t>
      </w:r>
      <w:r w:rsidR="004A6510">
        <w:rPr>
          <w:lang w:val="en-CA"/>
        </w:rPr>
        <w:t>The instructions given to the witness during that lineup also appeared in the ROC</w:t>
      </w:r>
      <w:r w:rsidRPr="006B2147">
        <w:rPr>
          <w:lang w:val="en-CA"/>
        </w:rPr>
        <w:t xml:space="preserve">. </w:t>
      </w:r>
      <w:r w:rsidR="004A6510">
        <w:rPr>
          <w:lang w:val="en-CA"/>
        </w:rPr>
        <w:t xml:space="preserve">The witness had also </w:t>
      </w:r>
      <w:r w:rsidR="00B747F6">
        <w:rPr>
          <w:lang w:val="en-CA"/>
        </w:rPr>
        <w:t xml:space="preserve">correctly identified the person accompanying </w:t>
      </w:r>
      <w:r w:rsidRPr="006B2147">
        <w:rPr>
          <w:lang w:val="en-CA"/>
        </w:rPr>
        <w:t>M</w:t>
      </w:r>
      <w:r w:rsidR="0077561A">
        <w:rPr>
          <w:lang w:val="en-CA"/>
        </w:rPr>
        <w:t>r</w:t>
      </w:r>
      <w:r w:rsidRPr="006B2147">
        <w:rPr>
          <w:lang w:val="en-CA"/>
        </w:rPr>
        <w:t>. Walker</w:t>
      </w:r>
      <w:r w:rsidR="00B747F6">
        <w:rPr>
          <w:lang w:val="en-CA"/>
        </w:rPr>
        <w:t xml:space="preserve"> as </w:t>
      </w:r>
      <w:r w:rsidRPr="006B2147">
        <w:rPr>
          <w:lang w:val="en-CA"/>
        </w:rPr>
        <w:t>M</w:t>
      </w:r>
      <w:r w:rsidR="00B747F6">
        <w:rPr>
          <w:lang w:val="en-CA"/>
        </w:rPr>
        <w:t>r</w:t>
      </w:r>
      <w:r w:rsidRPr="006B2147">
        <w:rPr>
          <w:lang w:val="en-CA"/>
        </w:rPr>
        <w:t>.</w:t>
      </w:r>
      <w:r w:rsidR="00E92C95" w:rsidRPr="006B2147">
        <w:rPr>
          <w:lang w:val="en-CA"/>
        </w:rPr>
        <w:t xml:space="preserve"> </w:t>
      </w:r>
      <w:r w:rsidRPr="006B2147">
        <w:rPr>
          <w:lang w:val="en-CA"/>
        </w:rPr>
        <w:t xml:space="preserve">Wako. </w:t>
      </w:r>
    </w:p>
    <w:p w14:paraId="65BF4074" w14:textId="0DCE0592" w:rsidR="008939D6" w:rsidRPr="006B2147" w:rsidRDefault="00B37A58" w:rsidP="00441741">
      <w:pPr>
        <w:pStyle w:val="Paragraphe"/>
        <w:spacing w:line="280" w:lineRule="exact"/>
        <w:rPr>
          <w:lang w:val="en-CA"/>
        </w:rPr>
      </w:pPr>
      <w:r>
        <w:rPr>
          <w:lang w:val="en-CA"/>
        </w:rPr>
        <w:t>Moreover, it was noted that five days after the event, another person had identified</w:t>
      </w:r>
      <w:r w:rsidRPr="006B2147">
        <w:rPr>
          <w:lang w:val="en-CA"/>
        </w:rPr>
        <w:t xml:space="preserve"> M</w:t>
      </w:r>
      <w:r>
        <w:rPr>
          <w:lang w:val="en-CA"/>
        </w:rPr>
        <w:t>r</w:t>
      </w:r>
      <w:r w:rsidRPr="006B2147">
        <w:rPr>
          <w:lang w:val="en-CA"/>
        </w:rPr>
        <w:t xml:space="preserve">. Walker </w:t>
      </w:r>
      <w:r>
        <w:rPr>
          <w:lang w:val="en-CA"/>
        </w:rPr>
        <w:t>from the same photo lineup shown to the first witness</w:t>
      </w:r>
      <w:r w:rsidRPr="006B2147">
        <w:rPr>
          <w:lang w:val="en-CA"/>
        </w:rPr>
        <w:t xml:space="preserve">. </w:t>
      </w:r>
      <w:r>
        <w:rPr>
          <w:lang w:val="en-CA"/>
        </w:rPr>
        <w:t xml:space="preserve">The photo montage consisting of six photographs included </w:t>
      </w:r>
      <w:r w:rsidR="00B470BE">
        <w:rPr>
          <w:lang w:val="en-CA"/>
        </w:rPr>
        <w:t xml:space="preserve">Mr. </w:t>
      </w:r>
      <w:r w:rsidR="00B470BE" w:rsidRPr="006B2147">
        <w:rPr>
          <w:lang w:val="en-CA"/>
        </w:rPr>
        <w:t>Walker</w:t>
      </w:r>
      <w:r w:rsidR="00B470BE">
        <w:rPr>
          <w:lang w:val="en-CA"/>
        </w:rPr>
        <w:t>’s</w:t>
      </w:r>
      <w:r w:rsidR="00B470BE" w:rsidRPr="006B2147">
        <w:rPr>
          <w:lang w:val="en-CA"/>
        </w:rPr>
        <w:t xml:space="preserve"> </w:t>
      </w:r>
      <w:r>
        <w:rPr>
          <w:lang w:val="en-CA"/>
        </w:rPr>
        <w:t>photo that had been submitted in the ROC in</w:t>
      </w:r>
      <w:r w:rsidRPr="006B2147">
        <w:rPr>
          <w:lang w:val="en-CA"/>
        </w:rPr>
        <w:t xml:space="preserve"> </w:t>
      </w:r>
      <w:r w:rsidRPr="006B2147">
        <w:rPr>
          <w:i/>
          <w:iCs/>
          <w:lang w:val="en-CA"/>
        </w:rPr>
        <w:t>Walker 1</w:t>
      </w:r>
      <w:r w:rsidRPr="006B2147">
        <w:rPr>
          <w:lang w:val="en-CA"/>
        </w:rPr>
        <w:t xml:space="preserve">, </w:t>
      </w:r>
      <w:r>
        <w:rPr>
          <w:lang w:val="en-CA"/>
        </w:rPr>
        <w:t>which had never been shown to the witnesses in isolation</w:t>
      </w:r>
      <w:r w:rsidRPr="006B2147">
        <w:rPr>
          <w:lang w:val="en-CA"/>
        </w:rPr>
        <w:t xml:space="preserve">. </w:t>
      </w:r>
      <w:r w:rsidR="00AC6F34">
        <w:rPr>
          <w:lang w:val="en-CA"/>
        </w:rPr>
        <w:t xml:space="preserve">Several other persons also allegedly identified </w:t>
      </w:r>
      <w:r w:rsidRPr="006B2147">
        <w:rPr>
          <w:lang w:val="en-CA"/>
        </w:rPr>
        <w:t>M</w:t>
      </w:r>
      <w:r w:rsidR="00AC6F34">
        <w:rPr>
          <w:lang w:val="en-CA"/>
        </w:rPr>
        <w:t>r</w:t>
      </w:r>
      <w:r w:rsidRPr="006B2147">
        <w:rPr>
          <w:lang w:val="en-CA"/>
        </w:rPr>
        <w:t xml:space="preserve">. Walker </w:t>
      </w:r>
      <w:r w:rsidR="00AC6F34">
        <w:rPr>
          <w:lang w:val="en-CA"/>
        </w:rPr>
        <w:t>from that</w:t>
      </w:r>
      <w:r w:rsidRPr="006B2147">
        <w:rPr>
          <w:lang w:val="en-CA"/>
        </w:rPr>
        <w:t xml:space="preserve"> montage, </w:t>
      </w:r>
      <w:r w:rsidR="00AC6F34">
        <w:rPr>
          <w:lang w:val="en-CA"/>
        </w:rPr>
        <w:t>but the ROC did not specify their identities</w:t>
      </w:r>
      <w:r w:rsidRPr="006B2147">
        <w:rPr>
          <w:lang w:val="en-CA"/>
        </w:rPr>
        <w:t>.</w:t>
      </w:r>
    </w:p>
    <w:p w14:paraId="75188F88" w14:textId="6DE41BC0" w:rsidR="008939D6" w:rsidRPr="006B2147" w:rsidRDefault="00B37A58" w:rsidP="00441741">
      <w:pPr>
        <w:pStyle w:val="Paragraphe"/>
        <w:spacing w:line="280" w:lineRule="exact"/>
        <w:rPr>
          <w:lang w:val="en-CA"/>
        </w:rPr>
      </w:pPr>
      <w:r>
        <w:rPr>
          <w:lang w:val="en-CA"/>
        </w:rPr>
        <w:t xml:space="preserve">Another important piece of evidence had been added to the record of the case, </w:t>
      </w:r>
      <w:r w:rsidRPr="0077561A">
        <w:rPr>
          <w:lang w:val="en-CA"/>
        </w:rPr>
        <w:t>i.e.</w:t>
      </w:r>
      <w:r>
        <w:rPr>
          <w:lang w:val="en-CA"/>
        </w:rPr>
        <w:t>,</w:t>
      </w:r>
      <w:r w:rsidRPr="006B2147">
        <w:rPr>
          <w:lang w:val="en-CA"/>
        </w:rPr>
        <w:t xml:space="preserve"> </w:t>
      </w:r>
      <w:r>
        <w:rPr>
          <w:lang w:val="en-CA"/>
        </w:rPr>
        <w:t xml:space="preserve">the testimony of </w:t>
      </w:r>
      <w:r w:rsidRPr="006B2147">
        <w:rPr>
          <w:lang w:val="en-CA"/>
        </w:rPr>
        <w:t>M</w:t>
      </w:r>
      <w:r>
        <w:rPr>
          <w:lang w:val="en-CA"/>
        </w:rPr>
        <w:t>r</w:t>
      </w:r>
      <w:r w:rsidRPr="006B2147">
        <w:rPr>
          <w:lang w:val="en-CA"/>
        </w:rPr>
        <w:t xml:space="preserve">. Wako, </w:t>
      </w:r>
      <w:r>
        <w:rPr>
          <w:lang w:val="en-CA"/>
        </w:rPr>
        <w:t>a friend of</w:t>
      </w:r>
      <w:r w:rsidRPr="006B2147">
        <w:rPr>
          <w:lang w:val="en-CA"/>
        </w:rPr>
        <w:t xml:space="preserve"> M</w:t>
      </w:r>
      <w:r>
        <w:rPr>
          <w:lang w:val="en-CA"/>
        </w:rPr>
        <w:t>r</w:t>
      </w:r>
      <w:r w:rsidRPr="006B2147">
        <w:rPr>
          <w:lang w:val="en-CA"/>
        </w:rPr>
        <w:t xml:space="preserve">. Walker </w:t>
      </w:r>
      <w:r>
        <w:rPr>
          <w:lang w:val="en-CA"/>
        </w:rPr>
        <w:t>who had witnessed the crime</w:t>
      </w:r>
      <w:r w:rsidRPr="006B2147">
        <w:rPr>
          <w:lang w:val="en-CA"/>
        </w:rPr>
        <w:t xml:space="preserve">. </w:t>
      </w:r>
      <w:r>
        <w:rPr>
          <w:lang w:val="en-CA"/>
        </w:rPr>
        <w:t>He had known Mr</w:t>
      </w:r>
      <w:r w:rsidRPr="006B2147">
        <w:rPr>
          <w:lang w:val="en-CA"/>
        </w:rPr>
        <w:t xml:space="preserve">. Walker </w:t>
      </w:r>
      <w:r w:rsidR="00063049">
        <w:rPr>
          <w:lang w:val="en-CA"/>
        </w:rPr>
        <w:t>for at least two years and was in his company when the argument took place. According to his testimony, he had seen M. Walker shoot the victim and had seen the latter go down to the ground</w:t>
      </w:r>
      <w:r w:rsidRPr="006B2147">
        <w:rPr>
          <w:lang w:val="en-CA"/>
        </w:rPr>
        <w:t>.</w:t>
      </w:r>
    </w:p>
    <w:p w14:paraId="4A475C1A" w14:textId="75006CC9" w:rsidR="008939D6" w:rsidRPr="006B2147" w:rsidRDefault="00B37A58" w:rsidP="00441741">
      <w:pPr>
        <w:pStyle w:val="Paragraphe"/>
        <w:spacing w:line="280" w:lineRule="exact"/>
        <w:rPr>
          <w:szCs w:val="22"/>
          <w:lang w:val="en-CA"/>
        </w:rPr>
      </w:pPr>
      <w:r>
        <w:rPr>
          <w:lang w:val="en-CA"/>
        </w:rPr>
        <w:t>In this second case</w:t>
      </w:r>
      <w:r w:rsidRPr="006B2147">
        <w:rPr>
          <w:lang w:val="en-CA"/>
        </w:rPr>
        <w:t xml:space="preserve">, </w:t>
      </w:r>
      <w:r>
        <w:rPr>
          <w:lang w:val="en-CA"/>
        </w:rPr>
        <w:t>the judge in first</w:t>
      </w:r>
      <w:r w:rsidRPr="006B2147">
        <w:rPr>
          <w:lang w:val="en-CA"/>
        </w:rPr>
        <w:t xml:space="preserve"> instance </w:t>
      </w:r>
      <w:r>
        <w:rPr>
          <w:lang w:val="en-CA"/>
        </w:rPr>
        <w:t>ordered Mr. Walker’s committal</w:t>
      </w:r>
      <w:r w:rsidRPr="006B2147">
        <w:rPr>
          <w:lang w:val="en-CA"/>
        </w:rPr>
        <w:t xml:space="preserve">, </w:t>
      </w:r>
      <w:r>
        <w:rPr>
          <w:lang w:val="en-CA"/>
        </w:rPr>
        <w:t>which was confirmed on appeal</w:t>
      </w:r>
      <w:r w:rsidRPr="006B2147">
        <w:rPr>
          <w:lang w:val="en-CA"/>
        </w:rPr>
        <w:t xml:space="preserve">. </w:t>
      </w:r>
      <w:r>
        <w:rPr>
          <w:lang w:val="en-CA"/>
        </w:rPr>
        <w:t>The Cour</w:t>
      </w:r>
      <w:r w:rsidR="0077561A">
        <w:rPr>
          <w:lang w:val="en-CA"/>
        </w:rPr>
        <w:t>t</w:t>
      </w:r>
      <w:r>
        <w:rPr>
          <w:lang w:val="en-CA"/>
        </w:rPr>
        <w:t xml:space="preserve"> of Appeal noted that the extradition judge</w:t>
      </w:r>
      <w:r w:rsidRPr="006B2147">
        <w:rPr>
          <w:szCs w:val="22"/>
          <w:lang w:val="en-CA"/>
        </w:rPr>
        <w:t xml:space="preserve"> </w:t>
      </w:r>
      <w:r>
        <w:rPr>
          <w:szCs w:val="22"/>
          <w:lang w:val="en-CA"/>
        </w:rPr>
        <w:t xml:space="preserve">had </w:t>
      </w:r>
      <w:r w:rsidR="00DA3E82">
        <w:rPr>
          <w:szCs w:val="22"/>
          <w:lang w:val="en-CA"/>
        </w:rPr>
        <w:t>properly</w:t>
      </w:r>
      <w:r>
        <w:rPr>
          <w:szCs w:val="22"/>
          <w:lang w:val="en-CA"/>
        </w:rPr>
        <w:t xml:space="preserve"> found that on the sole basis of the identification evidence of Mr. Wako, who knew the appellant for two years and who had also witnessed the shooting, the sufficiency of the evidence had been established for the committal to trial</w:t>
      </w:r>
      <w:bookmarkStart w:id="49" w:name="_Ref210312924"/>
      <w:r>
        <w:rPr>
          <w:szCs w:val="22"/>
          <w:lang w:val="en-CA"/>
        </w:rPr>
        <w:t>:</w:t>
      </w:r>
      <w:r>
        <w:rPr>
          <w:rStyle w:val="Appelnotedebasdep"/>
          <w:szCs w:val="22"/>
          <w:lang w:val="en-CA"/>
        </w:rPr>
        <w:footnoteReference w:id="83"/>
      </w:r>
      <w:bookmarkEnd w:id="49"/>
      <w:r w:rsidRPr="006B2147">
        <w:rPr>
          <w:szCs w:val="22"/>
          <w:lang w:val="en-CA"/>
        </w:rPr>
        <w:t> </w:t>
      </w:r>
    </w:p>
    <w:p w14:paraId="2EA5297D" w14:textId="77777777" w:rsidR="008939D6" w:rsidRPr="006B2147" w:rsidRDefault="00B37A58" w:rsidP="008939D6">
      <w:pPr>
        <w:pStyle w:val="Citationenretrait"/>
        <w:rPr>
          <w:sz w:val="24"/>
          <w:lang w:val="en-CA" w:eastAsia="fr-CA"/>
        </w:rPr>
      </w:pPr>
      <w:r w:rsidRPr="006B2147">
        <w:rPr>
          <w:lang w:val="en-CA"/>
        </w:rPr>
        <w:t>[</w:t>
      </w:r>
      <w:bookmarkStart w:id="50" w:name="par11"/>
      <w:r w:rsidRPr="006B2147">
        <w:rPr>
          <w:lang w:val="en-CA"/>
        </w:rPr>
        <w:t>11</w:t>
      </w:r>
      <w:bookmarkEnd w:id="50"/>
      <w:r w:rsidRPr="006B2147">
        <w:rPr>
          <w:lang w:val="en-CA"/>
        </w:rPr>
        <w:t>]</w:t>
      </w:r>
      <w:r w:rsidRPr="006B2147">
        <w:rPr>
          <w:lang w:val="en-CA"/>
        </w:rPr>
        <w:tab/>
        <w:t xml:space="preserve">Ultimately, the case against the appellant will depend on the evidence of Mr. Wako and Mr. Cummings. The fresh evidence challenges their credibility as well as that of other witnesses. Whether this evidence undermines the testimony of Mr. Wako and Mr. Cummings is a question for the trier of fact in King County, not for an extradition judge in British Columbia. </w:t>
      </w:r>
      <w:r w:rsidRPr="006B2147">
        <w:rPr>
          <w:u w:val="single"/>
          <w:lang w:val="en-CA"/>
        </w:rPr>
        <w:t>The evidence of these witnesses, if believed, establishes a plausible</w:t>
      </w:r>
      <w:r w:rsidRPr="006B2147">
        <w:rPr>
          <w:i/>
          <w:iCs/>
          <w:u w:val="single"/>
          <w:lang w:val="en-CA"/>
        </w:rPr>
        <w:t> </w:t>
      </w:r>
      <w:r w:rsidRPr="006B2147">
        <w:rPr>
          <w:u w:val="single"/>
          <w:lang w:val="en-CA"/>
        </w:rPr>
        <w:t>case sufficient for committal.</w:t>
      </w:r>
      <w:r w:rsidRPr="006B2147">
        <w:rPr>
          <w:lang w:val="en-CA"/>
        </w:rPr>
        <w:t xml:space="preserve"> Any further weighing of the evidence by the extradition judge would go beyond the scope of this duty as described in </w:t>
      </w:r>
      <w:r w:rsidRPr="006B2147">
        <w:rPr>
          <w:i/>
          <w:iCs/>
          <w:lang w:val="en-CA"/>
        </w:rPr>
        <w:t>Ferras</w:t>
      </w:r>
      <w:r w:rsidRPr="006B2147">
        <w:rPr>
          <w:lang w:val="en-CA"/>
        </w:rPr>
        <w:t>.</w:t>
      </w:r>
    </w:p>
    <w:p w14:paraId="1135644C" w14:textId="77777777" w:rsidR="008939D6" w:rsidRPr="006B2147" w:rsidRDefault="00B37A58" w:rsidP="008939D6">
      <w:pPr>
        <w:pStyle w:val="Citationenretrait"/>
        <w:rPr>
          <w:lang w:val="en-CA"/>
        </w:rPr>
      </w:pPr>
      <w:r w:rsidRPr="006B2147">
        <w:rPr>
          <w:lang w:val="en-CA"/>
        </w:rPr>
        <w:t>[</w:t>
      </w:r>
      <w:bookmarkStart w:id="51" w:name="par12"/>
      <w:r w:rsidRPr="006B2147">
        <w:rPr>
          <w:lang w:val="en-CA"/>
        </w:rPr>
        <w:t>12</w:t>
      </w:r>
      <w:bookmarkEnd w:id="51"/>
      <w:r w:rsidRPr="006B2147">
        <w:rPr>
          <w:lang w:val="en-CA"/>
        </w:rPr>
        <w:t>]</w:t>
      </w:r>
      <w:r w:rsidRPr="006B2147">
        <w:rPr>
          <w:lang w:val="en-CA"/>
        </w:rPr>
        <w:tab/>
      </w:r>
      <w:r w:rsidRPr="006B2147">
        <w:rPr>
          <w:u w:val="single"/>
          <w:lang w:val="en-CA"/>
        </w:rPr>
        <w:t>This case could go to trial in Canada based on Mr. Wako’s anticipated evidence that he saw his friend, Maurice Walker, shoot the victim on the morning of 25 June 2003.</w:t>
      </w:r>
      <w:r w:rsidRPr="006B2147">
        <w:rPr>
          <w:lang w:val="en-CA"/>
        </w:rPr>
        <w:t xml:space="preserve"> Nothing in Mr. Trieweiler’s affidavit challenges that evidence. Rather, the appellant makes two points.</w:t>
      </w:r>
    </w:p>
    <w:p w14:paraId="485580D0" w14:textId="77777777" w:rsidR="008939D6" w:rsidRPr="006B2147" w:rsidRDefault="00B37A58" w:rsidP="008939D6">
      <w:pPr>
        <w:pStyle w:val="Citationenretrait"/>
        <w:rPr>
          <w:u w:val="single"/>
          <w:lang w:val="en-CA"/>
        </w:rPr>
      </w:pPr>
      <w:r w:rsidRPr="006B2147">
        <w:rPr>
          <w:lang w:val="en-CA"/>
        </w:rPr>
        <w:t>[</w:t>
      </w:r>
      <w:bookmarkStart w:id="52" w:name="par13"/>
      <w:r w:rsidRPr="006B2147">
        <w:rPr>
          <w:lang w:val="en-CA"/>
        </w:rPr>
        <w:t>13</w:t>
      </w:r>
      <w:bookmarkEnd w:id="52"/>
      <w:r w:rsidRPr="006B2147">
        <w:rPr>
          <w:lang w:val="en-CA"/>
        </w:rPr>
        <w:t>]</w:t>
      </w:r>
      <w:r w:rsidRPr="006B2147">
        <w:rPr>
          <w:sz w:val="14"/>
          <w:szCs w:val="14"/>
          <w:lang w:val="en-CA"/>
        </w:rPr>
        <w:tab/>
      </w:r>
      <w:r w:rsidRPr="006B2147">
        <w:rPr>
          <w:lang w:val="en-CA"/>
        </w:rPr>
        <w:t xml:space="preserve">The appellant’s first point is that the summarized evidence is nothing more than a bald conclusory statement of identification, without any underlying facts, information or context on which the extradition judge could judicially assess its probative value as opinion evidence. I do not agree. </w:t>
      </w:r>
      <w:r w:rsidRPr="006B2147">
        <w:rPr>
          <w:u w:val="single"/>
          <w:lang w:val="en-CA"/>
        </w:rPr>
        <w:t>If a person who says he has been a friend of A for two years, testifies he was with A earlier on the day of the incident and then says he saw A shoot the victim, and he is believed, that is some reliable evidence that A shot the victim who died as a result of wounds suffered from that shooting.</w:t>
      </w:r>
      <w:r w:rsidRPr="006B2147">
        <w:rPr>
          <w:lang w:val="en-CA"/>
        </w:rPr>
        <w:t xml:space="preserve"> When the shooting involves several shots fired directly at the victim, intention can be inferred. </w:t>
      </w:r>
      <w:r w:rsidRPr="006B2147">
        <w:rPr>
          <w:u w:val="single"/>
          <w:lang w:val="en-CA"/>
        </w:rPr>
        <w:t xml:space="preserve">A </w:t>
      </w:r>
      <w:r w:rsidRPr="006B2147">
        <w:rPr>
          <w:i/>
          <w:iCs/>
          <w:u w:val="single"/>
          <w:lang w:val="en-CA"/>
        </w:rPr>
        <w:t>prima facie</w:t>
      </w:r>
      <w:r w:rsidRPr="006B2147">
        <w:rPr>
          <w:u w:val="single"/>
          <w:lang w:val="en-CA"/>
        </w:rPr>
        <w:t xml:space="preserve"> case is established.</w:t>
      </w:r>
    </w:p>
    <w:p w14:paraId="133B972A" w14:textId="77777777" w:rsidR="008939D6" w:rsidRPr="006B2147" w:rsidRDefault="00B37A58" w:rsidP="008939D6">
      <w:pPr>
        <w:pStyle w:val="Citationenretrait"/>
        <w:rPr>
          <w:lang w:val="en-CA"/>
        </w:rPr>
      </w:pPr>
      <w:r w:rsidRPr="006B2147">
        <w:rPr>
          <w:lang w:val="en-CA"/>
        </w:rPr>
        <w:t>[…]</w:t>
      </w:r>
    </w:p>
    <w:p w14:paraId="7022D370" w14:textId="5C304AFA" w:rsidR="008939D6" w:rsidRPr="006B2147" w:rsidRDefault="00B37A58" w:rsidP="008939D6">
      <w:pPr>
        <w:pStyle w:val="Citationenretrait"/>
        <w:rPr>
          <w:lang w:val="en-CA"/>
        </w:rPr>
      </w:pPr>
      <w:r w:rsidRPr="006B2147">
        <w:rPr>
          <w:lang w:val="en-CA"/>
        </w:rPr>
        <w:t xml:space="preserve">[16] </w:t>
      </w:r>
      <w:r w:rsidR="003C5D6E" w:rsidRPr="006B2147">
        <w:rPr>
          <w:lang w:val="en-CA"/>
        </w:rPr>
        <w:tab/>
      </w:r>
      <w:r w:rsidRPr="006B2147">
        <w:rPr>
          <w:lang w:val="en-CA"/>
        </w:rPr>
        <w:t xml:space="preserve">It is implicit in my conclusion regarding the first issue that I would reject the appellant’s submission founded on the fact the eyewitness identification procedures used by the King County investigators do not meet the standards suggested for such procedures by the Sophonow Inquiry. Even were the Sophonow Inquiry standards accepted as the general rule in Canada, this Court should not superimpose standards of reliability and admissibility of evidence in Canadian criminal cases on a foreign state at an extradition hearing. Dissimilarity in a foreign state’s evidentiary rules from Canadian standards does not necessitate a conclusion that the evidence is so manifestly unreliable as to require a remedy for a violation of the accused’s right not to be deprived of his liberty other than in accordance with principles of fundamental justice: </w:t>
      </w:r>
      <w:r w:rsidRPr="006B2147">
        <w:rPr>
          <w:i/>
          <w:iCs/>
          <w:lang w:val="en-CA"/>
        </w:rPr>
        <w:t>R. v. Harrer</w:t>
      </w:r>
      <w:r w:rsidRPr="006B2147">
        <w:rPr>
          <w:lang w:val="en-CA"/>
        </w:rPr>
        <w:t xml:space="preserve">, 1995 CanLII 70 (SCC), [1995] 3 S.C.R. 562 at paras. 13-18 and 23; </w:t>
      </w:r>
      <w:r w:rsidRPr="006B2147">
        <w:rPr>
          <w:i/>
          <w:iCs/>
          <w:lang w:val="en-CA"/>
        </w:rPr>
        <w:t>Ferras</w:t>
      </w:r>
      <w:r w:rsidRPr="006B2147">
        <w:rPr>
          <w:lang w:val="en-CA"/>
        </w:rPr>
        <w:t>, at para. 28.</w:t>
      </w:r>
    </w:p>
    <w:p w14:paraId="03165DD6" w14:textId="19CE2D3E" w:rsidR="008939D6" w:rsidRPr="006B2147" w:rsidRDefault="00B37A58" w:rsidP="00214F00">
      <w:pPr>
        <w:pStyle w:val="Citationenretrait"/>
        <w:jc w:val="right"/>
        <w:rPr>
          <w:lang w:val="en-CA"/>
        </w:rPr>
      </w:pPr>
      <w:r w:rsidRPr="006B2147">
        <w:rPr>
          <w:lang w:val="en-CA"/>
        </w:rPr>
        <w:t>[</w:t>
      </w:r>
      <w:r w:rsidR="005D2EE3">
        <w:rPr>
          <w:lang w:val="en-CA"/>
        </w:rPr>
        <w:t>Emphasis added</w:t>
      </w:r>
      <w:r w:rsidRPr="006B2147">
        <w:rPr>
          <w:lang w:val="en-CA"/>
        </w:rPr>
        <w:t>]</w:t>
      </w:r>
    </w:p>
    <w:p w14:paraId="17A8F4F7" w14:textId="2F8BF4E1" w:rsidR="008939D6" w:rsidRPr="006B2147" w:rsidRDefault="00B37A58" w:rsidP="00441741">
      <w:pPr>
        <w:pStyle w:val="Paragraphe"/>
        <w:keepNext/>
        <w:spacing w:line="280" w:lineRule="exact"/>
        <w:rPr>
          <w:szCs w:val="22"/>
          <w:lang w:val="en-CA"/>
        </w:rPr>
      </w:pPr>
      <w:r>
        <w:rPr>
          <w:lang w:val="en-CA"/>
        </w:rPr>
        <w:t>In</w:t>
      </w:r>
      <w:r w:rsidRPr="006B2147">
        <w:rPr>
          <w:i/>
          <w:iCs/>
          <w:kern w:val="0"/>
          <w:lang w:val="en-CA"/>
        </w:rPr>
        <w:t xml:space="preserve"> </w:t>
      </w:r>
      <w:r w:rsidRPr="006B2147">
        <w:rPr>
          <w:i/>
          <w:iCs/>
          <w:lang w:val="en-CA"/>
        </w:rPr>
        <w:t>United States v. Bennett</w:t>
      </w:r>
      <w:r w:rsidRPr="006B2147">
        <w:rPr>
          <w:lang w:val="en-CA"/>
        </w:rPr>
        <w:t xml:space="preserve">, </w:t>
      </w:r>
      <w:r>
        <w:rPr>
          <w:lang w:val="en-CA"/>
        </w:rPr>
        <w:t xml:space="preserve">the Court of Appeal of </w:t>
      </w:r>
      <w:r w:rsidRPr="006B2147">
        <w:rPr>
          <w:lang w:val="en-CA"/>
        </w:rPr>
        <w:t xml:space="preserve">Alberta, </w:t>
      </w:r>
      <w:r w:rsidRPr="00DA3E82">
        <w:rPr>
          <w:i/>
          <w:iCs/>
          <w:lang w:val="en-CA"/>
        </w:rPr>
        <w:t>per</w:t>
      </w:r>
      <w:r>
        <w:rPr>
          <w:lang w:val="en-CA"/>
        </w:rPr>
        <w:t xml:space="preserve"> </w:t>
      </w:r>
      <w:r w:rsidRPr="006B2147">
        <w:rPr>
          <w:rFonts w:cs="Arial"/>
          <w:color w:val="000000"/>
          <w:lang w:val="en-CA"/>
        </w:rPr>
        <w:t>Neilson</w:t>
      </w:r>
      <w:r>
        <w:rPr>
          <w:lang w:val="en-CA"/>
        </w:rPr>
        <w:t xml:space="preserve"> J.A.,</w:t>
      </w:r>
      <w:r w:rsidRPr="006B2147">
        <w:rPr>
          <w:lang w:val="en-CA"/>
        </w:rPr>
        <w:t xml:space="preserve"> </w:t>
      </w:r>
      <w:r>
        <w:rPr>
          <w:lang w:val="en-CA"/>
        </w:rPr>
        <w:t xml:space="preserve">noted </w:t>
      </w:r>
      <w:r w:rsidR="00662536">
        <w:rPr>
          <w:lang w:val="en-CA"/>
        </w:rPr>
        <w:t xml:space="preserve">that </w:t>
      </w:r>
      <w:r>
        <w:rPr>
          <w:lang w:val="en-CA"/>
        </w:rPr>
        <w:t>the analysis undertaken in</w:t>
      </w:r>
      <w:r w:rsidRPr="006B2147">
        <w:rPr>
          <w:lang w:val="en-CA"/>
        </w:rPr>
        <w:t xml:space="preserve"> </w:t>
      </w:r>
      <w:r w:rsidRPr="006B2147">
        <w:rPr>
          <w:i/>
          <w:iCs/>
          <w:lang w:val="en-CA"/>
        </w:rPr>
        <w:t>Walker 1</w:t>
      </w:r>
      <w:r w:rsidR="00662536">
        <w:rPr>
          <w:i/>
          <w:iCs/>
          <w:lang w:val="en-CA"/>
        </w:rPr>
        <w:t xml:space="preserve"> </w:t>
      </w:r>
      <w:r w:rsidR="00662536" w:rsidRPr="00662536">
        <w:rPr>
          <w:lang w:val="en-CA"/>
        </w:rPr>
        <w:t>was correct</w:t>
      </w:r>
      <w:r w:rsidRPr="006B2147">
        <w:rPr>
          <w:lang w:val="en-CA"/>
        </w:rPr>
        <w:t>:</w:t>
      </w:r>
    </w:p>
    <w:p w14:paraId="47CA60C0" w14:textId="2A7D5B73" w:rsidR="008939D6" w:rsidRPr="006B2147" w:rsidRDefault="00B37A58" w:rsidP="008939D6">
      <w:pPr>
        <w:pStyle w:val="Citationenretrait"/>
        <w:keepNext/>
        <w:rPr>
          <w:lang w:val="en-CA"/>
        </w:rPr>
      </w:pPr>
      <w:r>
        <w:rPr>
          <w:rFonts w:cs="Arial"/>
          <w:lang w:val="en-CA"/>
        </w:rPr>
        <w:t>[</w:t>
      </w:r>
      <w:r>
        <w:rPr>
          <w:lang w:val="en-CA"/>
        </w:rPr>
        <w:t>26</w:t>
      </w:r>
      <w:r>
        <w:rPr>
          <w:rFonts w:cs="Arial"/>
          <w:lang w:val="en-CA"/>
        </w:rPr>
        <w:t>]</w:t>
      </w:r>
      <w:r>
        <w:rPr>
          <w:lang w:val="en-CA"/>
        </w:rPr>
        <w:tab/>
      </w:r>
      <w:r w:rsidRPr="006B2147">
        <w:rPr>
          <w:lang w:val="en-CA"/>
        </w:rPr>
        <w:t xml:space="preserve">While it is difficult to provide a comprehensive list of what will constitute unreliable evidence, I disagree with Mr. Bennett that the authorities provide no guidance. Such evidence may include a retraction by a material witness, a bare assertion without content, or information indicating the evidence is unavailable or, generally, “so defective or… unreliable that... it would be dangerous or unsafe to convict”: </w:t>
      </w:r>
      <w:r w:rsidRPr="006B2147">
        <w:rPr>
          <w:i/>
          <w:iCs/>
          <w:lang w:val="en-CA"/>
        </w:rPr>
        <w:t>Ferras</w:t>
      </w:r>
      <w:r w:rsidRPr="006B2147">
        <w:rPr>
          <w:lang w:val="en-CA"/>
        </w:rPr>
        <w:t xml:space="preserve"> at paras. 54, 58. As well, unreliable evidence will exhibit “fundamental inadequacies or frailties” (</w:t>
      </w:r>
      <w:r w:rsidRPr="006B2147">
        <w:rPr>
          <w:i/>
          <w:iCs/>
          <w:lang w:val="en-CA"/>
        </w:rPr>
        <w:t>Powar</w:t>
      </w:r>
      <w:r w:rsidRPr="006B2147">
        <w:rPr>
          <w:lang w:val="en-CA"/>
        </w:rPr>
        <w:t xml:space="preserve"> at para. 13), or may arise from “serious deficiencies in a body of circumstantial evidence or from the opportunity for a witness to know or observe factual matters”: </w:t>
      </w:r>
      <w:r w:rsidRPr="006B2147">
        <w:rPr>
          <w:i/>
          <w:iCs/>
          <w:lang w:val="en-CA"/>
        </w:rPr>
        <w:t xml:space="preserve">Graham </w:t>
      </w:r>
      <w:r w:rsidRPr="006B2147">
        <w:rPr>
          <w:lang w:val="en-CA"/>
        </w:rPr>
        <w:t xml:space="preserve">at para. 41. Dubious and incomplete evidence of eyewitness identification may be unreliable: </w:t>
      </w:r>
      <w:r w:rsidRPr="006B2147">
        <w:rPr>
          <w:i/>
          <w:iCs/>
          <w:lang w:val="en-CA"/>
        </w:rPr>
        <w:t>United States of America v. Walker</w:t>
      </w:r>
      <w:r w:rsidRPr="006B2147">
        <w:rPr>
          <w:lang w:val="en-CA"/>
        </w:rPr>
        <w:t xml:space="preserve">, 2008 BCCA 55. As well, information that directly impeaches evidence in the ROC because it demonstrates the latter is selective and has omitted material information will be unreliable: </w:t>
      </w:r>
      <w:r w:rsidRPr="006B2147">
        <w:rPr>
          <w:i/>
          <w:iCs/>
          <w:lang w:val="en-CA"/>
        </w:rPr>
        <w:t>United States v. Wilson</w:t>
      </w:r>
      <w:r w:rsidRPr="006B2147">
        <w:rPr>
          <w:lang w:val="en-CA"/>
        </w:rPr>
        <w:t>, 2011</w:t>
      </w:r>
      <w:r w:rsidR="00E8784A" w:rsidRPr="006B2147">
        <w:rPr>
          <w:lang w:val="en-CA"/>
        </w:rPr>
        <w:t> </w:t>
      </w:r>
      <w:r w:rsidRPr="006B2147">
        <w:rPr>
          <w:lang w:val="en-CA"/>
        </w:rPr>
        <w:t>BCCA</w:t>
      </w:r>
      <w:r w:rsidR="00E8784A" w:rsidRPr="006B2147">
        <w:rPr>
          <w:lang w:val="en-CA"/>
        </w:rPr>
        <w:t> </w:t>
      </w:r>
      <w:r w:rsidRPr="006B2147">
        <w:rPr>
          <w:lang w:val="en-CA"/>
        </w:rPr>
        <w:t>514 at para. 50.</w:t>
      </w:r>
      <w:r>
        <w:rPr>
          <w:rStyle w:val="Appelnotedebasdep"/>
        </w:rPr>
        <w:footnoteReference w:id="84"/>
      </w:r>
    </w:p>
    <w:p w14:paraId="39EE885B" w14:textId="018EDDED" w:rsidR="008939D6" w:rsidRPr="006B2147" w:rsidRDefault="00B37A58" w:rsidP="00441741">
      <w:pPr>
        <w:pStyle w:val="Paragraphe"/>
        <w:spacing w:line="280" w:lineRule="exact"/>
        <w:rPr>
          <w:rFonts w:cs="Arial"/>
          <w:szCs w:val="24"/>
          <w:lang w:val="en-CA"/>
        </w:rPr>
      </w:pPr>
      <w:r>
        <w:rPr>
          <w:lang w:val="en-CA"/>
        </w:rPr>
        <w:t xml:space="preserve">Asserting that </w:t>
      </w:r>
      <w:r w:rsidRPr="00E06618">
        <w:rPr>
          <w:lang w:val="en-CA"/>
        </w:rPr>
        <w:t>each case must be assessed on its own facts</w:t>
      </w:r>
      <w:r w:rsidR="007C1470">
        <w:rPr>
          <w:lang w:val="en-CA"/>
        </w:rPr>
        <w:t xml:space="preserve"> is a truism</w:t>
      </w:r>
      <w:r w:rsidRPr="006B2147">
        <w:rPr>
          <w:lang w:val="en-CA"/>
        </w:rPr>
        <w:t xml:space="preserve">. </w:t>
      </w:r>
      <w:r>
        <w:rPr>
          <w:lang w:val="en-CA"/>
        </w:rPr>
        <w:t xml:space="preserve">The case law is replete </w:t>
      </w:r>
      <w:r w:rsidR="009710AF">
        <w:rPr>
          <w:lang w:val="en-CA"/>
        </w:rPr>
        <w:t>with</w:t>
      </w:r>
      <w:r>
        <w:rPr>
          <w:lang w:val="en-CA"/>
        </w:rPr>
        <w:t xml:space="preserve"> examples of court</w:t>
      </w:r>
      <w:r w:rsidR="009710AF">
        <w:rPr>
          <w:lang w:val="en-CA"/>
        </w:rPr>
        <w:t>s</w:t>
      </w:r>
      <w:r>
        <w:rPr>
          <w:lang w:val="en-CA"/>
        </w:rPr>
        <w:t xml:space="preserve"> order</w:t>
      </w:r>
      <w:r w:rsidR="009710AF">
        <w:rPr>
          <w:lang w:val="en-CA"/>
        </w:rPr>
        <w:t>ing</w:t>
      </w:r>
      <w:r>
        <w:rPr>
          <w:lang w:val="en-CA"/>
        </w:rPr>
        <w:t xml:space="preserve"> committal despite</w:t>
      </w:r>
      <w:r w:rsidR="00662536">
        <w:rPr>
          <w:lang w:val="en-CA"/>
        </w:rPr>
        <w:t xml:space="preserve"> </w:t>
      </w:r>
      <w:r>
        <w:rPr>
          <w:lang w:val="en-CA"/>
        </w:rPr>
        <w:t>identification evidence</w:t>
      </w:r>
      <w:r w:rsidR="00662536">
        <w:rPr>
          <w:lang w:val="en-CA"/>
        </w:rPr>
        <w:t xml:space="preserve"> being significantly challenged</w:t>
      </w:r>
      <w:r w:rsidRPr="006B2147">
        <w:rPr>
          <w:lang w:val="en-CA"/>
        </w:rPr>
        <w:t xml:space="preserve">. </w:t>
      </w:r>
      <w:r w:rsidR="009710AF">
        <w:rPr>
          <w:lang w:val="en-CA"/>
        </w:rPr>
        <w:t xml:space="preserve">However, in most of these cases, </w:t>
      </w:r>
      <w:r w:rsidR="005D34EF">
        <w:rPr>
          <w:lang w:val="en-CA"/>
        </w:rPr>
        <w:t xml:space="preserve">either </w:t>
      </w:r>
      <w:r w:rsidR="009710AF">
        <w:rPr>
          <w:lang w:val="en-CA"/>
        </w:rPr>
        <w:t>the eyewitnesses knew the accused before the events</w:t>
      </w:r>
      <w:r w:rsidRPr="006B2147">
        <w:rPr>
          <w:lang w:val="en-CA"/>
        </w:rPr>
        <w:t>,</w:t>
      </w:r>
      <w:r>
        <w:rPr>
          <w:rStyle w:val="Appelnotedebasdep"/>
          <w:lang w:val="en-CA"/>
        </w:rPr>
        <w:footnoteReference w:id="85"/>
      </w:r>
      <w:r w:rsidR="009710AF">
        <w:rPr>
          <w:lang w:val="en-CA"/>
        </w:rPr>
        <w:t xml:space="preserve"> the identification evidence</w:t>
      </w:r>
      <w:r w:rsidRPr="006B2147">
        <w:rPr>
          <w:lang w:val="en-CA"/>
        </w:rPr>
        <w:t xml:space="preserve"> </w:t>
      </w:r>
      <w:r w:rsidR="009710AF">
        <w:rPr>
          <w:lang w:val="en-CA"/>
        </w:rPr>
        <w:t xml:space="preserve">rested on other </w:t>
      </w:r>
      <w:r w:rsidR="00662536">
        <w:rPr>
          <w:lang w:val="en-CA"/>
        </w:rPr>
        <w:t>evidence</w:t>
      </w:r>
      <w:r w:rsidR="009710AF">
        <w:rPr>
          <w:lang w:val="en-CA"/>
        </w:rPr>
        <w:t>,</w:t>
      </w:r>
      <w:r>
        <w:rPr>
          <w:rStyle w:val="Appelnotedebasdep"/>
          <w:lang w:val="en-CA"/>
        </w:rPr>
        <w:footnoteReference w:id="86"/>
      </w:r>
      <w:r w:rsidR="009710AF">
        <w:rPr>
          <w:lang w:val="en-CA"/>
        </w:rPr>
        <w:t xml:space="preserve"> </w:t>
      </w:r>
      <w:r w:rsidR="00662536">
        <w:rPr>
          <w:lang w:val="en-CA"/>
        </w:rPr>
        <w:t>or</w:t>
      </w:r>
      <w:r w:rsidR="009710AF">
        <w:rPr>
          <w:lang w:val="en-CA"/>
        </w:rPr>
        <w:t xml:space="preserve"> both.</w:t>
      </w:r>
      <w:r>
        <w:rPr>
          <w:rStyle w:val="Appelnotedebasdep"/>
          <w:lang w:val="en-CA"/>
        </w:rPr>
        <w:footnoteReference w:id="87"/>
      </w:r>
      <w:r w:rsidR="009710AF">
        <w:rPr>
          <w:lang w:val="en-CA"/>
        </w:rPr>
        <w:t xml:space="preserve"> </w:t>
      </w:r>
      <w:r w:rsidR="005D34EF">
        <w:rPr>
          <w:lang w:val="en-CA"/>
        </w:rPr>
        <w:t>Indeed, e</w:t>
      </w:r>
      <w:r w:rsidR="009710AF">
        <w:rPr>
          <w:lang w:val="en-CA"/>
        </w:rPr>
        <w:t>xtradition judges are careful to distinguish</w:t>
      </w:r>
      <w:r w:rsidRPr="006B2147">
        <w:rPr>
          <w:lang w:val="en-CA"/>
        </w:rPr>
        <w:t xml:space="preserve"> </w:t>
      </w:r>
      <w:r w:rsidRPr="006B2147">
        <w:rPr>
          <w:i/>
          <w:iCs/>
          <w:lang w:val="en-CA"/>
        </w:rPr>
        <w:t>Walker 1</w:t>
      </w:r>
      <w:r w:rsidRPr="006B2147">
        <w:rPr>
          <w:lang w:val="en-CA"/>
        </w:rPr>
        <w:t xml:space="preserve"> </w:t>
      </w:r>
      <w:r w:rsidR="009710AF">
        <w:rPr>
          <w:lang w:val="en-CA"/>
        </w:rPr>
        <w:t>for these reasons</w:t>
      </w:r>
      <w:r w:rsidRPr="006B2147">
        <w:rPr>
          <w:rStyle w:val="Appelnotedebasdep"/>
          <w:rFonts w:cs="Arial"/>
          <w:color w:val="000000"/>
          <w:vertAlign w:val="baseline"/>
          <w:lang w:val="en-CA"/>
        </w:rPr>
        <w:t>.</w:t>
      </w:r>
    </w:p>
    <w:p w14:paraId="719AA61A" w14:textId="3D5BB602" w:rsidR="008939D6" w:rsidRPr="006B2147" w:rsidRDefault="00B37A58" w:rsidP="00441741">
      <w:pPr>
        <w:pStyle w:val="Paragraphe"/>
        <w:spacing w:line="280" w:lineRule="exact"/>
        <w:rPr>
          <w:lang w:val="en-CA"/>
        </w:rPr>
      </w:pPr>
      <w:r>
        <w:rPr>
          <w:lang w:val="en-CA"/>
        </w:rPr>
        <w:t>In this case</w:t>
      </w:r>
      <w:r w:rsidRPr="006B2147">
        <w:rPr>
          <w:lang w:val="en-CA"/>
        </w:rPr>
        <w:t xml:space="preserve">, </w:t>
      </w:r>
      <w:r w:rsidR="006D02F3">
        <w:rPr>
          <w:lang w:val="en-CA"/>
        </w:rPr>
        <w:t xml:space="preserve">the </w:t>
      </w:r>
      <w:r>
        <w:rPr>
          <w:lang w:val="en-CA"/>
        </w:rPr>
        <w:t xml:space="preserve">issues of reliability of the identification evidence are </w:t>
      </w:r>
      <w:r w:rsidR="005D34EF">
        <w:rPr>
          <w:lang w:val="en-CA"/>
        </w:rPr>
        <w:t>more akin</w:t>
      </w:r>
      <w:r>
        <w:rPr>
          <w:lang w:val="en-CA"/>
        </w:rPr>
        <w:t xml:space="preserve"> to those</w:t>
      </w:r>
      <w:r w:rsidR="006D02F3">
        <w:rPr>
          <w:lang w:val="en-CA"/>
        </w:rPr>
        <w:t xml:space="preserve"> that existed</w:t>
      </w:r>
      <w:r>
        <w:rPr>
          <w:lang w:val="en-CA"/>
        </w:rPr>
        <w:t xml:space="preserve"> in</w:t>
      </w:r>
      <w:r w:rsidR="009268CE" w:rsidRPr="006B2147">
        <w:rPr>
          <w:lang w:val="en-CA"/>
        </w:rPr>
        <w:t xml:space="preserve"> </w:t>
      </w:r>
      <w:r w:rsidRPr="006B2147">
        <w:rPr>
          <w:i/>
          <w:iCs/>
          <w:lang w:val="en-CA"/>
        </w:rPr>
        <w:t>Walker 1</w:t>
      </w:r>
      <w:r w:rsidRPr="006B2147">
        <w:rPr>
          <w:lang w:val="en-CA"/>
        </w:rPr>
        <w:t xml:space="preserve">, </w:t>
      </w:r>
      <w:r>
        <w:rPr>
          <w:lang w:val="en-CA"/>
        </w:rPr>
        <w:t>where the witness and the accused did not know each other previously, and where their encounter was brief and at a</w:t>
      </w:r>
      <w:r w:rsidR="009268CE" w:rsidRPr="006B2147">
        <w:rPr>
          <w:lang w:val="en-CA"/>
        </w:rPr>
        <w:t xml:space="preserve"> distance,</w:t>
      </w:r>
      <w:r w:rsidR="006F093F" w:rsidRPr="006B2147">
        <w:rPr>
          <w:lang w:val="en-CA"/>
        </w:rPr>
        <w:t xml:space="preserve"> </w:t>
      </w:r>
      <w:r>
        <w:rPr>
          <w:lang w:val="en-CA"/>
        </w:rPr>
        <w:t>besides having occurred in traumatic circumstances for the two witnesses</w:t>
      </w:r>
      <w:r w:rsidR="009268CE" w:rsidRPr="006B2147">
        <w:rPr>
          <w:lang w:val="en-CA"/>
        </w:rPr>
        <w:t xml:space="preserve"> (M</w:t>
      </w:r>
      <w:r>
        <w:rPr>
          <w:lang w:val="en-CA"/>
        </w:rPr>
        <w:t>rs.</w:t>
      </w:r>
      <w:r w:rsidR="009268CE" w:rsidRPr="006B2147">
        <w:rPr>
          <w:lang w:val="en-CA"/>
        </w:rPr>
        <w:t xml:space="preserve"> Brace, </w:t>
      </w:r>
      <w:r>
        <w:rPr>
          <w:lang w:val="en-CA"/>
        </w:rPr>
        <w:t>the wife of one of the victims</w:t>
      </w:r>
      <w:r w:rsidR="009268CE" w:rsidRPr="006B2147">
        <w:rPr>
          <w:lang w:val="en-CA"/>
        </w:rPr>
        <w:t xml:space="preserve">, </w:t>
      </w:r>
      <w:r>
        <w:rPr>
          <w:lang w:val="en-CA"/>
        </w:rPr>
        <w:t>and Ms.</w:t>
      </w:r>
      <w:r w:rsidR="006B370B" w:rsidRPr="006B2147">
        <w:rPr>
          <w:lang w:val="en-CA"/>
        </w:rPr>
        <w:t xml:space="preserve"> </w:t>
      </w:r>
      <w:r w:rsidR="00194B9B">
        <w:rPr>
          <w:lang w:val="en-CA"/>
        </w:rPr>
        <w:t>A</w:t>
      </w:r>
      <w:r w:rsidR="009268CE" w:rsidRPr="006B2147">
        <w:rPr>
          <w:lang w:val="en-CA"/>
        </w:rPr>
        <w:t xml:space="preserve">, </w:t>
      </w:r>
      <w:r>
        <w:rPr>
          <w:lang w:val="en-CA"/>
        </w:rPr>
        <w:t>aged fourteen at the time</w:t>
      </w:r>
      <w:r w:rsidR="009268CE" w:rsidRPr="006B2147">
        <w:rPr>
          <w:lang w:val="en-CA"/>
        </w:rPr>
        <w:t>)</w:t>
      </w:r>
      <w:r w:rsidR="006D02F3">
        <w:rPr>
          <w:lang w:val="en-CA"/>
        </w:rPr>
        <w:t>.</w:t>
      </w:r>
      <w:r>
        <w:rPr>
          <w:rStyle w:val="Appelnotedebasdep"/>
          <w:rFonts w:cs="Arial"/>
          <w:color w:val="000000"/>
          <w:lang w:val="en-CA"/>
        </w:rPr>
        <w:footnoteReference w:id="88"/>
      </w:r>
    </w:p>
    <w:p w14:paraId="591CC0A4" w14:textId="726605A0" w:rsidR="00452FAA" w:rsidRPr="006B2147" w:rsidRDefault="00B37A58" w:rsidP="00441741">
      <w:pPr>
        <w:pStyle w:val="Paragraphe"/>
        <w:spacing w:line="280" w:lineRule="exact"/>
        <w:rPr>
          <w:lang w:val="en-CA"/>
        </w:rPr>
      </w:pPr>
      <w:r>
        <w:rPr>
          <w:lang w:val="en-CA"/>
        </w:rPr>
        <w:t>Here, finding the identification evidence to be manifestly unreliable</w:t>
      </w:r>
      <w:r w:rsidR="008939D6" w:rsidRPr="006B2147">
        <w:rPr>
          <w:lang w:val="en-CA"/>
        </w:rPr>
        <w:t xml:space="preserve">, </w:t>
      </w:r>
      <w:r>
        <w:rPr>
          <w:lang w:val="en-CA"/>
        </w:rPr>
        <w:t xml:space="preserve">the judge in first instance concluded that even if the evidence had been sufficient under the </w:t>
      </w:r>
      <w:r w:rsidRPr="006D02F3">
        <w:rPr>
          <w:i/>
          <w:iCs/>
          <w:lang w:val="en-CA"/>
        </w:rPr>
        <w:t>prima facie</w:t>
      </w:r>
      <w:r>
        <w:rPr>
          <w:lang w:val="en-CA"/>
        </w:rPr>
        <w:t xml:space="preserve"> </w:t>
      </w:r>
      <w:r w:rsidR="00EE3B1D">
        <w:rPr>
          <w:lang w:val="en-CA"/>
        </w:rPr>
        <w:t>case s</w:t>
      </w:r>
      <w:r>
        <w:rPr>
          <w:lang w:val="en-CA"/>
        </w:rPr>
        <w:t>tandard, he would nevertheless have refused committal pursuant to the extradition judge’s discretion</w:t>
      </w:r>
      <w:r w:rsidR="005D34EF">
        <w:rPr>
          <w:lang w:val="en-CA"/>
        </w:rPr>
        <w:t xml:space="preserve"> </w:t>
      </w:r>
      <w:r>
        <w:rPr>
          <w:lang w:val="en-CA"/>
        </w:rPr>
        <w:t>recognized in</w:t>
      </w:r>
      <w:r w:rsidR="008939D6" w:rsidRPr="006B2147">
        <w:rPr>
          <w:lang w:val="en-CA"/>
        </w:rPr>
        <w:t xml:space="preserve"> </w:t>
      </w:r>
      <w:r>
        <w:rPr>
          <w:i/>
          <w:iCs/>
          <w:lang w:val="en-CA"/>
        </w:rPr>
        <w:t>United States of America</w:t>
      </w:r>
      <w:r w:rsidR="008939D6" w:rsidRPr="006B2147">
        <w:rPr>
          <w:i/>
          <w:iCs/>
          <w:lang w:val="en-CA"/>
        </w:rPr>
        <w:t xml:space="preserve"> </w:t>
      </w:r>
      <w:r>
        <w:rPr>
          <w:i/>
          <w:iCs/>
          <w:lang w:val="en-CA"/>
        </w:rPr>
        <w:t>v</w:t>
      </w:r>
      <w:r w:rsidR="008939D6" w:rsidRPr="006B2147">
        <w:rPr>
          <w:i/>
          <w:iCs/>
          <w:lang w:val="en-CA"/>
        </w:rPr>
        <w:t>. Ferras</w:t>
      </w:r>
      <w:r w:rsidR="008939D6" w:rsidRPr="006B2147">
        <w:rPr>
          <w:lang w:val="en-CA"/>
        </w:rPr>
        <w:t xml:space="preserve"> </w:t>
      </w:r>
      <w:r>
        <w:rPr>
          <w:lang w:val="en-CA"/>
        </w:rPr>
        <w:t>and</w:t>
      </w:r>
      <w:r w:rsidR="008939D6" w:rsidRPr="006B2147">
        <w:rPr>
          <w:lang w:val="en-CA"/>
        </w:rPr>
        <w:t xml:space="preserve"> </w:t>
      </w:r>
      <w:r w:rsidR="008939D6" w:rsidRPr="006B2147">
        <w:rPr>
          <w:i/>
          <w:iCs/>
          <w:lang w:val="en-CA"/>
        </w:rPr>
        <w:t xml:space="preserve">M.M. </w:t>
      </w:r>
      <w:r>
        <w:rPr>
          <w:i/>
          <w:iCs/>
          <w:lang w:val="en-CA"/>
        </w:rPr>
        <w:t>v</w:t>
      </w:r>
      <w:r w:rsidR="008939D6" w:rsidRPr="006B2147">
        <w:rPr>
          <w:i/>
          <w:iCs/>
          <w:lang w:val="en-CA"/>
        </w:rPr>
        <w:t xml:space="preserve">. </w:t>
      </w:r>
      <w:r>
        <w:rPr>
          <w:i/>
          <w:iCs/>
          <w:lang w:val="en-CA"/>
        </w:rPr>
        <w:t>United States of America.</w:t>
      </w:r>
      <w:r>
        <w:rPr>
          <w:rStyle w:val="Appelnotedebasdep"/>
          <w:lang w:val="en-CA"/>
        </w:rPr>
        <w:footnoteReference w:id="89"/>
      </w:r>
      <w:r>
        <w:rPr>
          <w:lang w:val="en-CA"/>
        </w:rPr>
        <w:t xml:space="preserve"> </w:t>
      </w:r>
      <w:r w:rsidR="005D34EF">
        <w:rPr>
          <w:lang w:val="en-CA"/>
        </w:rPr>
        <w:t>Noting</w:t>
      </w:r>
      <w:r>
        <w:rPr>
          <w:lang w:val="en-CA"/>
        </w:rPr>
        <w:t xml:space="preserve"> that he was aware of the limited scope of </w:t>
      </w:r>
      <w:r w:rsidR="00EE3B1D">
        <w:rPr>
          <w:lang w:val="en-CA"/>
        </w:rPr>
        <w:t xml:space="preserve">that </w:t>
      </w:r>
      <w:r w:rsidR="005D34EF">
        <w:rPr>
          <w:lang w:val="en-CA"/>
        </w:rPr>
        <w:t>discretion</w:t>
      </w:r>
      <w:r>
        <w:rPr>
          <w:lang w:val="en-CA"/>
        </w:rPr>
        <w:t xml:space="preserve">, he held that this one of those rare cases where the court must intervene to prevent extradition </w:t>
      </w:r>
      <w:r w:rsidR="00EE3B1D">
        <w:rPr>
          <w:lang w:val="en-CA"/>
        </w:rPr>
        <w:t>based on</w:t>
      </w:r>
      <w:r>
        <w:rPr>
          <w:lang w:val="en-CA"/>
        </w:rPr>
        <w:t xml:space="preserve"> evidence so manifestly unreliable that it would be dangerous to act on it</w:t>
      </w:r>
      <w:r w:rsidR="00EE3B1D">
        <w:rPr>
          <w:lang w:val="en-CA"/>
        </w:rPr>
        <w:t>.</w:t>
      </w:r>
      <w:r>
        <w:rPr>
          <w:rStyle w:val="Appelnotedebasdep"/>
          <w:lang w:val="en-CA"/>
        </w:rPr>
        <w:footnoteReference w:id="90"/>
      </w:r>
      <w:r w:rsidR="00022ADE" w:rsidRPr="006B2147">
        <w:rPr>
          <w:lang w:val="en-CA"/>
        </w:rPr>
        <w:t xml:space="preserve"> </w:t>
      </w:r>
    </w:p>
    <w:p w14:paraId="701F10AA" w14:textId="37282D3F" w:rsidR="009469CF" w:rsidRPr="006B2147" w:rsidRDefault="00B37A58" w:rsidP="00441741">
      <w:pPr>
        <w:pStyle w:val="Paragraphedeliste"/>
        <w:numPr>
          <w:ilvl w:val="0"/>
          <w:numId w:val="18"/>
        </w:numPr>
        <w:tabs>
          <w:tab w:val="clear" w:pos="720"/>
          <w:tab w:val="num" w:pos="360"/>
        </w:tabs>
        <w:spacing w:before="120" w:after="120" w:line="280" w:lineRule="exact"/>
        <w:contextualSpacing w:val="0"/>
        <w:jc w:val="both"/>
        <w:rPr>
          <w:rFonts w:ascii="Arial" w:hAnsi="Arial" w:cs="Arial"/>
          <w:sz w:val="24"/>
          <w:szCs w:val="24"/>
          <w:lang w:val="en-CA"/>
        </w:rPr>
      </w:pPr>
      <w:r>
        <w:rPr>
          <w:rFonts w:ascii="Arial" w:hAnsi="Arial" w:cs="Arial"/>
          <w:sz w:val="24"/>
          <w:szCs w:val="24"/>
          <w:lang w:val="en-CA"/>
        </w:rPr>
        <w:t>Evidence of a conflict between the respondent and the victim, which rests solely on Mrs.</w:t>
      </w:r>
      <w:r w:rsidR="00626E88" w:rsidRPr="006B2147">
        <w:rPr>
          <w:rFonts w:ascii="Arial" w:hAnsi="Arial" w:cs="Arial"/>
          <w:sz w:val="24"/>
          <w:szCs w:val="24"/>
          <w:lang w:val="en-CA"/>
        </w:rPr>
        <w:t xml:space="preserve"> Brace</w:t>
      </w:r>
      <w:r w:rsidR="00A70C17">
        <w:rPr>
          <w:rFonts w:ascii="Arial" w:hAnsi="Arial" w:cs="Arial"/>
          <w:sz w:val="24"/>
          <w:szCs w:val="24"/>
          <w:lang w:val="en-CA"/>
        </w:rPr>
        <w:t>’s short testimony</w:t>
      </w:r>
      <w:r w:rsidR="00452FAA" w:rsidRPr="006B2147">
        <w:rPr>
          <w:rFonts w:ascii="Arial" w:hAnsi="Arial" w:cs="Arial"/>
          <w:sz w:val="24"/>
          <w:szCs w:val="24"/>
          <w:lang w:val="en-CA"/>
        </w:rPr>
        <w:t xml:space="preserve"> </w:t>
      </w:r>
      <w:r>
        <w:rPr>
          <w:rFonts w:ascii="Arial" w:hAnsi="Arial" w:cs="Arial"/>
          <w:sz w:val="24"/>
          <w:szCs w:val="24"/>
          <w:lang w:val="en-CA"/>
        </w:rPr>
        <w:t>at trial</w:t>
      </w:r>
      <w:r w:rsidR="00A70C17">
        <w:rPr>
          <w:rFonts w:ascii="Arial" w:hAnsi="Arial" w:cs="Arial"/>
          <w:sz w:val="24"/>
          <w:szCs w:val="24"/>
          <w:lang w:val="en-CA"/>
        </w:rPr>
        <w:t>,</w:t>
      </w:r>
      <w:r>
        <w:rPr>
          <w:rStyle w:val="Appelnotedebasdep"/>
          <w:rFonts w:ascii="Arial" w:hAnsi="Arial" w:cs="Arial"/>
          <w:sz w:val="24"/>
          <w:szCs w:val="24"/>
          <w:lang w:val="en-CA"/>
        </w:rPr>
        <w:footnoteReference w:id="91"/>
      </w:r>
      <w:r w:rsidR="00A70C17">
        <w:rPr>
          <w:rFonts w:ascii="Arial" w:hAnsi="Arial" w:cs="Arial"/>
          <w:sz w:val="24"/>
          <w:szCs w:val="24"/>
          <w:lang w:val="en-CA"/>
        </w:rPr>
        <w:t xml:space="preserve"> as well as the evidence that</w:t>
      </w:r>
      <w:r w:rsidR="00CA042D" w:rsidRPr="006B2147">
        <w:rPr>
          <w:rFonts w:ascii="Arial" w:hAnsi="Arial" w:cs="Arial"/>
          <w:sz w:val="24"/>
          <w:szCs w:val="24"/>
          <w:lang w:val="en-CA"/>
        </w:rPr>
        <w:t xml:space="preserve"> </w:t>
      </w:r>
      <w:r w:rsidR="00A70C17">
        <w:rPr>
          <w:rFonts w:ascii="Arial" w:hAnsi="Arial" w:cs="Arial"/>
          <w:sz w:val="24"/>
          <w:szCs w:val="24"/>
          <w:lang w:val="en-CA"/>
        </w:rPr>
        <w:t>Mr</w:t>
      </w:r>
      <w:r w:rsidR="00CA042D" w:rsidRPr="006B2147">
        <w:rPr>
          <w:rFonts w:ascii="Arial" w:hAnsi="Arial" w:cs="Arial"/>
          <w:sz w:val="24"/>
          <w:szCs w:val="24"/>
          <w:lang w:val="en-CA"/>
        </w:rPr>
        <w:t>.</w:t>
      </w:r>
      <w:r w:rsidR="00E92C95" w:rsidRPr="006B2147">
        <w:rPr>
          <w:rFonts w:ascii="Arial" w:hAnsi="Arial" w:cs="Arial"/>
          <w:sz w:val="24"/>
          <w:szCs w:val="24"/>
          <w:lang w:val="en-CA"/>
        </w:rPr>
        <w:t xml:space="preserve"> </w:t>
      </w:r>
      <w:r w:rsidR="00CA042D" w:rsidRPr="006B2147">
        <w:rPr>
          <w:rFonts w:ascii="Arial" w:hAnsi="Arial" w:cs="Arial"/>
          <w:sz w:val="24"/>
          <w:szCs w:val="24"/>
          <w:lang w:val="en-CA"/>
        </w:rPr>
        <w:t xml:space="preserve">Brahimi </w:t>
      </w:r>
      <w:r w:rsidR="00A70C17">
        <w:rPr>
          <w:rFonts w:ascii="Arial" w:hAnsi="Arial" w:cs="Arial"/>
          <w:sz w:val="24"/>
          <w:szCs w:val="24"/>
          <w:lang w:val="en-CA"/>
        </w:rPr>
        <w:t>fled Albania, established by the judgment rendered in Greece convict</w:t>
      </w:r>
      <w:r w:rsidR="00984B30">
        <w:rPr>
          <w:rFonts w:ascii="Arial" w:hAnsi="Arial" w:cs="Arial"/>
          <w:sz w:val="24"/>
          <w:szCs w:val="24"/>
          <w:lang w:val="en-CA"/>
        </w:rPr>
        <w:t xml:space="preserve">ing </w:t>
      </w:r>
      <w:r w:rsidR="00A70C17">
        <w:rPr>
          <w:rFonts w:ascii="Arial" w:hAnsi="Arial" w:cs="Arial"/>
          <w:sz w:val="24"/>
          <w:szCs w:val="24"/>
          <w:lang w:val="en-CA"/>
        </w:rPr>
        <w:t>him of possession and use of fals</w:t>
      </w:r>
      <w:r w:rsidR="00984B30">
        <w:rPr>
          <w:rFonts w:ascii="Arial" w:hAnsi="Arial" w:cs="Arial"/>
          <w:sz w:val="24"/>
          <w:szCs w:val="24"/>
          <w:lang w:val="en-CA"/>
        </w:rPr>
        <w:t>e</w:t>
      </w:r>
      <w:r w:rsidR="00A70C17">
        <w:rPr>
          <w:rFonts w:ascii="Arial" w:hAnsi="Arial" w:cs="Arial"/>
          <w:sz w:val="24"/>
          <w:szCs w:val="24"/>
          <w:lang w:val="en-CA"/>
        </w:rPr>
        <w:t xml:space="preserve"> passports several months after the events, cannot </w:t>
      </w:r>
      <w:r w:rsidR="00984B30">
        <w:rPr>
          <w:rFonts w:ascii="Arial" w:hAnsi="Arial" w:cs="Arial"/>
          <w:sz w:val="24"/>
          <w:szCs w:val="24"/>
          <w:lang w:val="en-CA"/>
        </w:rPr>
        <w:t>negate</w:t>
      </w:r>
      <w:r w:rsidR="00A70C17">
        <w:rPr>
          <w:rFonts w:ascii="Arial" w:hAnsi="Arial" w:cs="Arial"/>
          <w:sz w:val="24"/>
          <w:szCs w:val="24"/>
          <w:lang w:val="en-CA"/>
        </w:rPr>
        <w:t xml:space="preserve"> the judge’s conclusion as to the suffi</w:t>
      </w:r>
      <w:r w:rsidR="00984B30">
        <w:rPr>
          <w:rFonts w:ascii="Arial" w:hAnsi="Arial" w:cs="Arial"/>
          <w:sz w:val="24"/>
          <w:szCs w:val="24"/>
          <w:lang w:val="en-CA"/>
        </w:rPr>
        <w:t>ci</w:t>
      </w:r>
      <w:r w:rsidR="00A70C17">
        <w:rPr>
          <w:rFonts w:ascii="Arial" w:hAnsi="Arial" w:cs="Arial"/>
          <w:sz w:val="24"/>
          <w:szCs w:val="24"/>
          <w:lang w:val="en-CA"/>
        </w:rPr>
        <w:t>ency and reliability of the evidence.</w:t>
      </w:r>
      <w:r>
        <w:rPr>
          <w:rStyle w:val="Appelnotedebasdep"/>
          <w:rFonts w:ascii="Arial" w:hAnsi="Arial" w:cs="Arial"/>
          <w:sz w:val="24"/>
          <w:szCs w:val="24"/>
          <w:lang w:val="en-CA"/>
        </w:rPr>
        <w:footnoteReference w:id="92"/>
      </w:r>
      <w:r w:rsidR="00CA042D" w:rsidRPr="006B2147">
        <w:rPr>
          <w:rFonts w:ascii="Arial" w:hAnsi="Arial" w:cs="Arial"/>
          <w:sz w:val="24"/>
          <w:szCs w:val="24"/>
          <w:lang w:val="en-CA"/>
        </w:rPr>
        <w:t xml:space="preserve"> </w:t>
      </w:r>
      <w:r w:rsidR="00A70C17">
        <w:rPr>
          <w:rFonts w:ascii="Arial" w:hAnsi="Arial" w:cs="Arial"/>
          <w:sz w:val="24"/>
          <w:szCs w:val="24"/>
          <w:lang w:val="en-CA"/>
        </w:rPr>
        <w:t>As for the evidence that the respondent fled</w:t>
      </w:r>
      <w:r w:rsidR="00022ADE" w:rsidRPr="006B2147">
        <w:rPr>
          <w:rFonts w:ascii="Arial" w:hAnsi="Arial" w:cs="Arial"/>
          <w:sz w:val="24"/>
          <w:szCs w:val="24"/>
          <w:lang w:val="en-CA"/>
        </w:rPr>
        <w:t xml:space="preserve">, </w:t>
      </w:r>
      <w:r w:rsidR="00A70C17">
        <w:rPr>
          <w:rFonts w:ascii="Arial" w:hAnsi="Arial" w:cs="Arial"/>
          <w:sz w:val="24"/>
          <w:szCs w:val="24"/>
          <w:lang w:val="en-CA"/>
        </w:rPr>
        <w:t>the teachings of the</w:t>
      </w:r>
      <w:r w:rsidR="003C6135" w:rsidRPr="006B2147">
        <w:rPr>
          <w:rFonts w:ascii="Arial" w:hAnsi="Arial" w:cs="Arial"/>
          <w:sz w:val="24"/>
          <w:szCs w:val="24"/>
          <w:lang w:val="en-CA"/>
        </w:rPr>
        <w:t xml:space="preserve"> </w:t>
      </w:r>
      <w:r w:rsidR="00A70C17">
        <w:rPr>
          <w:rFonts w:ascii="Arial" w:hAnsi="Arial" w:cs="Arial"/>
          <w:sz w:val="24"/>
          <w:szCs w:val="24"/>
          <w:lang w:val="en-CA"/>
        </w:rPr>
        <w:t>Supreme Court in</w:t>
      </w:r>
      <w:r w:rsidR="003C6135" w:rsidRPr="006B2147">
        <w:rPr>
          <w:rFonts w:ascii="Arial" w:hAnsi="Arial" w:cs="Arial"/>
          <w:sz w:val="24"/>
          <w:szCs w:val="24"/>
          <w:lang w:val="en-CA"/>
        </w:rPr>
        <w:t xml:space="preserve"> </w:t>
      </w:r>
      <w:r w:rsidR="00DD4FA2" w:rsidRPr="006B2147">
        <w:rPr>
          <w:rFonts w:ascii="Arial" w:hAnsi="Arial" w:cs="Arial"/>
          <w:i/>
          <w:iCs/>
          <w:sz w:val="24"/>
          <w:szCs w:val="24"/>
          <w:lang w:val="en-CA"/>
        </w:rPr>
        <w:t xml:space="preserve">R. </w:t>
      </w:r>
      <w:r w:rsidR="00A70C17">
        <w:rPr>
          <w:rFonts w:ascii="Arial" w:hAnsi="Arial" w:cs="Arial"/>
          <w:i/>
          <w:iCs/>
          <w:sz w:val="24"/>
          <w:szCs w:val="24"/>
          <w:lang w:val="en-CA"/>
        </w:rPr>
        <w:t>v</w:t>
      </w:r>
      <w:r w:rsidR="00DD4FA2" w:rsidRPr="006B2147">
        <w:rPr>
          <w:rFonts w:ascii="Arial" w:hAnsi="Arial" w:cs="Arial"/>
          <w:i/>
          <w:iCs/>
          <w:sz w:val="24"/>
          <w:szCs w:val="24"/>
          <w:lang w:val="en-CA"/>
        </w:rPr>
        <w:t>. White</w:t>
      </w:r>
      <w:r>
        <w:rPr>
          <w:rStyle w:val="Appelnotedebasdep"/>
          <w:rFonts w:ascii="Arial" w:hAnsi="Arial" w:cs="Arial"/>
          <w:sz w:val="24"/>
          <w:szCs w:val="24"/>
          <w:lang w:val="en-CA"/>
        </w:rPr>
        <w:footnoteReference w:id="93"/>
      </w:r>
      <w:r w:rsidR="00022ADE" w:rsidRPr="006B2147">
        <w:rPr>
          <w:rFonts w:ascii="Arial" w:hAnsi="Arial" w:cs="Arial"/>
          <w:sz w:val="24"/>
          <w:szCs w:val="24"/>
          <w:lang w:val="en-CA"/>
        </w:rPr>
        <w:t xml:space="preserve"> </w:t>
      </w:r>
      <w:r w:rsidR="00A70C17">
        <w:rPr>
          <w:rFonts w:ascii="Arial" w:hAnsi="Arial" w:cs="Arial"/>
          <w:sz w:val="24"/>
          <w:szCs w:val="24"/>
          <w:lang w:val="en-CA"/>
        </w:rPr>
        <w:t>are relevant</w:t>
      </w:r>
      <w:r w:rsidR="00654D6F" w:rsidRPr="006B2147">
        <w:rPr>
          <w:rFonts w:ascii="Arial" w:hAnsi="Arial" w:cs="Arial"/>
          <w:sz w:val="24"/>
          <w:szCs w:val="24"/>
          <w:lang w:val="en-CA"/>
        </w:rPr>
        <w:t>:</w:t>
      </w:r>
    </w:p>
    <w:p w14:paraId="633BA2FD" w14:textId="678DA259" w:rsidR="00DD4FA2" w:rsidRPr="006B2147" w:rsidRDefault="00B37A58" w:rsidP="00DD4FA2">
      <w:pPr>
        <w:pStyle w:val="Citationenretrait"/>
        <w:rPr>
          <w:rFonts w:ascii="Times New Roman" w:hAnsi="Times New Roman"/>
          <w:sz w:val="24"/>
          <w:lang w:val="en-CA" w:eastAsia="fr-CA"/>
        </w:rPr>
      </w:pPr>
      <w:r w:rsidRPr="006B2147">
        <w:rPr>
          <w:lang w:val="en-CA"/>
        </w:rPr>
        <w:t>[</w:t>
      </w:r>
      <w:bookmarkStart w:id="53" w:name="par22"/>
      <w:r w:rsidRPr="006B2147">
        <w:rPr>
          <w:lang w:val="en-CA"/>
        </w:rPr>
        <w:t>22</w:t>
      </w:r>
      <w:bookmarkEnd w:id="53"/>
      <w:r w:rsidRPr="006B2147">
        <w:rPr>
          <w:lang w:val="en-CA"/>
        </w:rPr>
        <w:t>]</w:t>
      </w:r>
      <w:r w:rsidR="00DF0AE2" w:rsidRPr="006B2147">
        <w:rPr>
          <w:lang w:val="en-CA"/>
        </w:rPr>
        <w:tab/>
      </w:r>
      <w:r w:rsidR="00B362F4" w:rsidRPr="00B362F4">
        <w:rPr>
          <w:lang w:val="en-CA"/>
        </w:rPr>
        <w:t>The principle that after-the-fact conduct may constitute circumstantial evidence of guilt remains good law. At its heart, the question of whether such evidence is admissible is simply a matter of relevance (</w:t>
      </w:r>
      <w:r w:rsidR="00B362F4" w:rsidRPr="00B362F4">
        <w:rPr>
          <w:i/>
          <w:iCs/>
          <w:lang w:val="en-CA"/>
        </w:rPr>
        <w:t>White</w:t>
      </w:r>
      <w:r w:rsidR="00B362F4" w:rsidRPr="00B362F4">
        <w:rPr>
          <w:lang w:val="en-CA"/>
        </w:rPr>
        <w:t xml:space="preserve"> (1998), at para. 23). As Major J. noted in </w:t>
      </w:r>
      <w:r w:rsidR="00B362F4" w:rsidRPr="00B362F4">
        <w:rPr>
          <w:i/>
          <w:iCs/>
          <w:lang w:val="en-CA"/>
        </w:rPr>
        <w:t>White</w:t>
      </w:r>
      <w:r w:rsidR="00B362F4" w:rsidRPr="00B362F4">
        <w:rPr>
          <w:lang w:val="en-CA"/>
        </w:rPr>
        <w:t xml:space="preserve"> (1998), “[e]vidence of post-offence conduct is not fundamentally different from other kinds of circumstantial evidence. In some cases it may be highly incriminating, while in others it might play only a minor corroborative role” (para. 21). As with all other evidence, the relevance and probative value of post-offence conduct must be assessed on a case-by-case basis (para. 26). Consequently, the formulation of limiting instructions with respect to the broad category of post-offence conduct is governed by the same principles as for all other circumstantial evidence. Thus, while the term “consciousness of guilt” may have fallen out of use, it is still permissible for the prosecution to introduce evidence of after-the-fact conduct in support of an inference that the accused had behaved as a person who is guilty of the offence alleged — provided that, as with all circumstantial evidence, its relevance to that inference can be demonstrated</w:t>
      </w:r>
      <w:r w:rsidRPr="006B2147">
        <w:rPr>
          <w:lang w:val="en-CA"/>
        </w:rPr>
        <w:t>.</w:t>
      </w:r>
    </w:p>
    <w:p w14:paraId="01E89EE1" w14:textId="64682925" w:rsidR="00DD4FA2" w:rsidRPr="006B2147" w:rsidRDefault="00B37A58" w:rsidP="00DD4FA2">
      <w:pPr>
        <w:pStyle w:val="Citationenretrait"/>
        <w:rPr>
          <w:lang w:val="en-CA"/>
        </w:rPr>
      </w:pPr>
      <w:r w:rsidRPr="006B2147">
        <w:rPr>
          <w:lang w:val="en-CA"/>
        </w:rPr>
        <w:t>[</w:t>
      </w:r>
      <w:bookmarkStart w:id="54" w:name="par23"/>
      <w:r w:rsidRPr="006B2147">
        <w:rPr>
          <w:lang w:val="en-CA"/>
        </w:rPr>
        <w:t>23</w:t>
      </w:r>
      <w:bookmarkEnd w:id="54"/>
      <w:r w:rsidRPr="006B2147">
        <w:rPr>
          <w:lang w:val="en-CA"/>
        </w:rPr>
        <w:t>]</w:t>
      </w:r>
      <w:r w:rsidR="00DF0AE2" w:rsidRPr="006B2147">
        <w:rPr>
          <w:lang w:val="en-CA"/>
        </w:rPr>
        <w:tab/>
      </w:r>
      <w:r w:rsidR="00B362F4" w:rsidRPr="00B362F4">
        <w:rPr>
          <w:lang w:val="en-CA"/>
        </w:rPr>
        <w:t xml:space="preserve">That being said, </w:t>
      </w:r>
      <w:r w:rsidR="00B362F4" w:rsidRPr="00B362F4">
        <w:rPr>
          <w:u w:val="single"/>
          <w:lang w:val="en-CA"/>
        </w:rPr>
        <w:t>though the use of such evidence has an extensive history in our criminal jurisprudence, it has also long been recognized that the introduction of post-offence conduct for the purpose of establishing the accused’s “consciousness of guilt” carries with it a substantial risk of jury error</w:t>
      </w:r>
      <w:r w:rsidR="00B362F4" w:rsidRPr="00B362F4">
        <w:rPr>
          <w:lang w:val="en-CA"/>
        </w:rPr>
        <w:t xml:space="preserve"> (</w:t>
      </w:r>
      <w:r w:rsidR="00B362F4" w:rsidRPr="00B362F4">
        <w:rPr>
          <w:i/>
          <w:iCs/>
          <w:lang w:val="en-CA"/>
        </w:rPr>
        <w:t>Gudmondson v. The King</w:t>
      </w:r>
      <w:r w:rsidR="00B362F4" w:rsidRPr="00B362F4">
        <w:rPr>
          <w:lang w:val="en-CA"/>
        </w:rPr>
        <w:t xml:space="preserve"> (1933), 60 C.C.C. 332 (S.C.C.)). Jurors may be tempted to “jump too quickly from evidence of post-offence conduct to an inference of guilt” (</w:t>
      </w:r>
      <w:r w:rsidR="00B362F4" w:rsidRPr="00B362F4">
        <w:rPr>
          <w:i/>
          <w:iCs/>
          <w:lang w:val="en-CA"/>
        </w:rPr>
        <w:t>White</w:t>
      </w:r>
      <w:r w:rsidR="00B362F4" w:rsidRPr="00B362F4">
        <w:rPr>
          <w:lang w:val="en-CA"/>
        </w:rPr>
        <w:t xml:space="preserve"> (1998), at para. 57) without giving proper consideration to alternate explanations for the conduct in question</w:t>
      </w:r>
      <w:r w:rsidRPr="006B2147">
        <w:rPr>
          <w:lang w:val="en-CA"/>
        </w:rPr>
        <w:t>.</w:t>
      </w:r>
    </w:p>
    <w:p w14:paraId="5423BE7B" w14:textId="0641EE13" w:rsidR="00DD4FA2" w:rsidRPr="006B2147" w:rsidRDefault="00B37A58" w:rsidP="00DD4FA2">
      <w:pPr>
        <w:pStyle w:val="Citationenretrait"/>
        <w:rPr>
          <w:lang w:val="en-CA"/>
        </w:rPr>
      </w:pPr>
      <w:r w:rsidRPr="006B2147">
        <w:rPr>
          <w:lang w:val="en-CA"/>
        </w:rPr>
        <w:t>[</w:t>
      </w:r>
      <w:bookmarkStart w:id="55" w:name="par24"/>
      <w:r w:rsidRPr="006B2147">
        <w:rPr>
          <w:lang w:val="en-CA"/>
        </w:rPr>
        <w:t>24</w:t>
      </w:r>
      <w:bookmarkEnd w:id="55"/>
      <w:r w:rsidRPr="006B2147">
        <w:rPr>
          <w:lang w:val="en-CA"/>
        </w:rPr>
        <w:t>]</w:t>
      </w:r>
      <w:r w:rsidR="00DF0AE2" w:rsidRPr="006B2147">
        <w:rPr>
          <w:lang w:val="en-CA"/>
        </w:rPr>
        <w:tab/>
      </w:r>
      <w:r w:rsidR="00B362F4">
        <w:rPr>
          <w:lang w:val="en-CA"/>
        </w:rPr>
        <w:t>In most cases</w:t>
      </w:r>
      <w:r w:rsidRPr="006B2147">
        <w:rPr>
          <w:lang w:val="en-CA"/>
        </w:rPr>
        <w:t>,</w:t>
      </w:r>
    </w:p>
    <w:p w14:paraId="42722F60" w14:textId="0AFF5E84" w:rsidR="00C22733" w:rsidRPr="006B2147" w:rsidRDefault="00B37A58" w:rsidP="00C22733">
      <w:pPr>
        <w:pStyle w:val="Citationenretrait"/>
        <w:ind w:left="1440"/>
        <w:rPr>
          <w:sz w:val="20"/>
          <w:lang w:val="en-CA"/>
        </w:rPr>
      </w:pPr>
      <w:r w:rsidRPr="00B362F4">
        <w:rPr>
          <w:sz w:val="20"/>
          <w:lang w:val="en-CA"/>
        </w:rPr>
        <w:t xml:space="preserve">the best way for a trial judge to address that danger is simply to make sure that the jury are aware of any other explanations for the accused’s actions, and that they know they should reserve their final judgment about the meaning of the accused’s conduct until all the evidence has been considered in the normal course of their deliberations. Beyond such a </w:t>
      </w:r>
      <w:r w:rsidRPr="00B362F4">
        <w:rPr>
          <w:sz w:val="20"/>
          <w:u w:val="single"/>
          <w:lang w:val="en-CA"/>
        </w:rPr>
        <w:t>cautionary instruction</w:t>
      </w:r>
      <w:r w:rsidRPr="00B362F4">
        <w:rPr>
          <w:sz w:val="20"/>
          <w:lang w:val="en-CA"/>
        </w:rPr>
        <w:t xml:space="preserve">, the members of jury should be left to draw whatever inferences they choose from the evidence at the end of the day. [Emphasis added; </w:t>
      </w:r>
      <w:r w:rsidRPr="00B362F4">
        <w:rPr>
          <w:i/>
          <w:iCs/>
          <w:sz w:val="20"/>
          <w:lang w:val="en-CA"/>
        </w:rPr>
        <w:t>White</w:t>
      </w:r>
      <w:r w:rsidRPr="00B362F4">
        <w:rPr>
          <w:sz w:val="20"/>
          <w:lang w:val="en-CA"/>
        </w:rPr>
        <w:t xml:space="preserve"> (1998), at para. 57.]</w:t>
      </w:r>
    </w:p>
    <w:p w14:paraId="267FD301" w14:textId="65679339" w:rsidR="00F15E20" w:rsidRPr="006B2147" w:rsidRDefault="00B37A58" w:rsidP="00214F00">
      <w:pPr>
        <w:pStyle w:val="Citationenretrait"/>
        <w:jc w:val="right"/>
        <w:rPr>
          <w:sz w:val="20"/>
          <w:lang w:val="en-CA"/>
        </w:rPr>
      </w:pPr>
      <w:r w:rsidRPr="006B2147">
        <w:rPr>
          <w:sz w:val="20"/>
          <w:lang w:val="en-CA"/>
        </w:rPr>
        <w:t>[</w:t>
      </w:r>
      <w:r w:rsidR="00B362F4">
        <w:rPr>
          <w:sz w:val="20"/>
          <w:lang w:val="en-CA"/>
        </w:rPr>
        <w:t>Emphasis added</w:t>
      </w:r>
      <w:r w:rsidRPr="006B2147">
        <w:rPr>
          <w:sz w:val="20"/>
          <w:lang w:val="en-CA"/>
        </w:rPr>
        <w:t>]</w:t>
      </w:r>
    </w:p>
    <w:p w14:paraId="73C1628C" w14:textId="24E92874" w:rsidR="00CE3A3D" w:rsidRPr="006B2147" w:rsidRDefault="00B37A58" w:rsidP="00441741">
      <w:pPr>
        <w:pStyle w:val="Paragraphe"/>
        <w:spacing w:line="280" w:lineRule="exact"/>
        <w:rPr>
          <w:lang w:val="en-CA"/>
        </w:rPr>
      </w:pPr>
      <w:r>
        <w:rPr>
          <w:lang w:val="en-CA"/>
        </w:rPr>
        <w:t>Based on the above guidance</w:t>
      </w:r>
      <w:r w:rsidRPr="006B2147">
        <w:rPr>
          <w:lang w:val="en-CA"/>
        </w:rPr>
        <w:t>,</w:t>
      </w:r>
      <w:r w:rsidR="000A5FAA" w:rsidRPr="006B2147">
        <w:rPr>
          <w:lang w:val="en-CA"/>
        </w:rPr>
        <w:t xml:space="preserve"> </w:t>
      </w:r>
      <w:r>
        <w:rPr>
          <w:lang w:val="en-CA"/>
        </w:rPr>
        <w:t>it appears that equivocal flight behaviour</w:t>
      </w:r>
      <w:r w:rsidR="00D45B56">
        <w:rPr>
          <w:lang w:val="en-CA"/>
        </w:rPr>
        <w:t>,</w:t>
      </w:r>
      <w:r>
        <w:rPr>
          <w:lang w:val="en-CA"/>
        </w:rPr>
        <w:t xml:space="preserve"> such as </w:t>
      </w:r>
      <w:r w:rsidR="00AC0B3B" w:rsidRPr="006B2147">
        <w:rPr>
          <w:rFonts w:cs="Arial"/>
          <w:szCs w:val="24"/>
          <w:lang w:val="en-CA"/>
        </w:rPr>
        <w:t>M</w:t>
      </w:r>
      <w:r>
        <w:rPr>
          <w:rFonts w:cs="Arial"/>
          <w:szCs w:val="24"/>
          <w:lang w:val="en-CA"/>
        </w:rPr>
        <w:t>r</w:t>
      </w:r>
      <w:r w:rsidR="00AC0B3B" w:rsidRPr="006B2147">
        <w:rPr>
          <w:rFonts w:cs="Arial"/>
          <w:szCs w:val="24"/>
          <w:lang w:val="en-CA"/>
        </w:rPr>
        <w:t>. Brahimi</w:t>
      </w:r>
      <w:r>
        <w:rPr>
          <w:rFonts w:cs="Arial"/>
          <w:szCs w:val="24"/>
          <w:lang w:val="en-CA"/>
        </w:rPr>
        <w:t>’s in this case</w:t>
      </w:r>
      <w:r w:rsidRPr="006B2147">
        <w:rPr>
          <w:rFonts w:cs="Arial"/>
          <w:szCs w:val="24"/>
          <w:lang w:val="en-CA"/>
        </w:rPr>
        <w:t xml:space="preserve">, </w:t>
      </w:r>
      <w:r>
        <w:rPr>
          <w:rFonts w:cs="Arial"/>
          <w:szCs w:val="24"/>
          <w:lang w:val="en-CA"/>
        </w:rPr>
        <w:t>can be just as consistent with evidence that the crime was committed as with something else, such as the will to avoid being mistakenly accused thereof</w:t>
      </w:r>
      <w:r w:rsidR="00AC0B3B" w:rsidRPr="006B2147">
        <w:rPr>
          <w:rFonts w:cs="Arial"/>
          <w:szCs w:val="24"/>
          <w:lang w:val="en-CA"/>
        </w:rPr>
        <w:t xml:space="preserve">. </w:t>
      </w:r>
      <w:r>
        <w:rPr>
          <w:rFonts w:cs="Arial"/>
          <w:szCs w:val="24"/>
          <w:lang w:val="en-CA"/>
        </w:rPr>
        <w:t xml:space="preserve">Its probative force </w:t>
      </w:r>
      <w:r w:rsidR="001D199D">
        <w:rPr>
          <w:rFonts w:cs="Arial"/>
          <w:szCs w:val="24"/>
          <w:lang w:val="en-CA"/>
        </w:rPr>
        <w:t>is cons</w:t>
      </w:r>
      <w:r w:rsidR="00537919">
        <w:rPr>
          <w:rFonts w:cs="Arial"/>
          <w:szCs w:val="24"/>
          <w:lang w:val="en-CA"/>
        </w:rPr>
        <w:t>e</w:t>
      </w:r>
      <w:r w:rsidR="001D199D">
        <w:rPr>
          <w:rFonts w:cs="Arial"/>
          <w:szCs w:val="24"/>
          <w:lang w:val="en-CA"/>
        </w:rPr>
        <w:t>quently</w:t>
      </w:r>
      <w:r>
        <w:rPr>
          <w:rFonts w:cs="Arial"/>
          <w:szCs w:val="24"/>
          <w:lang w:val="en-CA"/>
        </w:rPr>
        <w:t xml:space="preserve"> reduced</w:t>
      </w:r>
      <w:r w:rsidR="001D199D">
        <w:rPr>
          <w:rFonts w:cs="Arial"/>
          <w:szCs w:val="24"/>
          <w:lang w:val="en-CA"/>
        </w:rPr>
        <w:t xml:space="preserve"> on that account</w:t>
      </w:r>
      <w:r w:rsidR="00AC0B3B" w:rsidRPr="006B2147">
        <w:rPr>
          <w:rFonts w:cs="Arial"/>
          <w:szCs w:val="24"/>
          <w:lang w:val="en-CA"/>
        </w:rPr>
        <w:t>.</w:t>
      </w:r>
    </w:p>
    <w:p w14:paraId="4AE1BEA6" w14:textId="53F4D5C1" w:rsidR="000A5FAA" w:rsidRPr="006B2147" w:rsidRDefault="00B37A58" w:rsidP="00441741">
      <w:pPr>
        <w:pStyle w:val="Paragraphe"/>
        <w:spacing w:line="280" w:lineRule="exact"/>
        <w:rPr>
          <w:lang w:val="en-CA"/>
        </w:rPr>
      </w:pPr>
      <w:r>
        <w:rPr>
          <w:rFonts w:cs="Arial"/>
          <w:szCs w:val="24"/>
          <w:lang w:val="en-CA"/>
        </w:rPr>
        <w:t>I would dismiss th</w:t>
      </w:r>
      <w:r w:rsidR="00D45B56">
        <w:rPr>
          <w:rFonts w:cs="Arial"/>
          <w:szCs w:val="24"/>
          <w:lang w:val="en-CA"/>
        </w:rPr>
        <w:t>is</w:t>
      </w:r>
      <w:r>
        <w:rPr>
          <w:rFonts w:cs="Arial"/>
          <w:szCs w:val="24"/>
          <w:lang w:val="en-CA"/>
        </w:rPr>
        <w:t xml:space="preserve"> ground of appeal</w:t>
      </w:r>
      <w:r w:rsidRPr="006B2147">
        <w:rPr>
          <w:rFonts w:cs="Arial"/>
          <w:szCs w:val="24"/>
          <w:lang w:val="en-CA"/>
        </w:rPr>
        <w:t>.</w:t>
      </w:r>
    </w:p>
    <w:p w14:paraId="0FC153C6" w14:textId="22C31028" w:rsidR="0025323F" w:rsidRPr="006B2147" w:rsidRDefault="00B37A58" w:rsidP="00441741">
      <w:pPr>
        <w:pStyle w:val="Titre2"/>
        <w:spacing w:line="280" w:lineRule="exact"/>
        <w:rPr>
          <w:lang w:val="en-CA"/>
        </w:rPr>
      </w:pPr>
      <w:r>
        <w:rPr>
          <w:lang w:val="en-CA"/>
        </w:rPr>
        <w:t>Did the judge apply Canadian evidentiary standards to the evidence gathered in</w:t>
      </w:r>
      <w:r w:rsidR="008A41D5" w:rsidRPr="006B2147">
        <w:rPr>
          <w:lang w:val="en-CA"/>
        </w:rPr>
        <w:t xml:space="preserve"> Albani</w:t>
      </w:r>
      <w:r>
        <w:rPr>
          <w:lang w:val="en-CA"/>
        </w:rPr>
        <w:t>a</w:t>
      </w:r>
      <w:r w:rsidR="008A41D5" w:rsidRPr="006B2147">
        <w:rPr>
          <w:lang w:val="en-CA"/>
        </w:rPr>
        <w:t>?</w:t>
      </w:r>
    </w:p>
    <w:p w14:paraId="3A2CFECA" w14:textId="3C77CA91" w:rsidR="00302B76" w:rsidRPr="006B2147" w:rsidRDefault="00B37A58" w:rsidP="00441741">
      <w:pPr>
        <w:pStyle w:val="Paragraphe"/>
        <w:spacing w:line="280" w:lineRule="exact"/>
        <w:rPr>
          <w:lang w:val="en-CA"/>
        </w:rPr>
      </w:pPr>
      <w:r>
        <w:rPr>
          <w:lang w:val="en-CA"/>
        </w:rPr>
        <w:t xml:space="preserve">The appellant submits that the judge applied Canadian evidentiary standards to evidence relating to the photo lineup </w:t>
      </w:r>
      <w:r w:rsidR="00D45B56">
        <w:rPr>
          <w:lang w:val="en-CA"/>
        </w:rPr>
        <w:t>that took place</w:t>
      </w:r>
      <w:r>
        <w:rPr>
          <w:lang w:val="en-CA"/>
        </w:rPr>
        <w:t xml:space="preserve"> in Albania, which renders his decision unreasonable. These objections are aimed at the following passages of the judgment:</w:t>
      </w:r>
      <w:r>
        <w:rPr>
          <w:rStyle w:val="Appelnotedebasdep"/>
          <w:lang w:val="en-CA"/>
        </w:rPr>
        <w:footnoteReference w:id="94"/>
      </w:r>
    </w:p>
    <w:p w14:paraId="6B374F1E" w14:textId="23B16573" w:rsidR="00302B76" w:rsidRPr="006B2147" w:rsidRDefault="00B37A58" w:rsidP="00302B76">
      <w:pPr>
        <w:pStyle w:val="Citationenretrait"/>
        <w:rPr>
          <w:u w:val="single"/>
          <w:lang w:val="en-CA"/>
        </w:rPr>
      </w:pPr>
      <w:r w:rsidRPr="006B2147">
        <w:rPr>
          <w:lang w:val="en-CA"/>
        </w:rPr>
        <w:t>[</w:t>
      </w:r>
      <w:bookmarkStart w:id="56" w:name="par43"/>
      <w:r w:rsidRPr="006B2147">
        <w:rPr>
          <w:lang w:val="en-CA"/>
        </w:rPr>
        <w:t>43</w:t>
      </w:r>
      <w:bookmarkEnd w:id="56"/>
      <w:r w:rsidRPr="006B2147">
        <w:rPr>
          <w:lang w:val="en-CA"/>
        </w:rPr>
        <w:t>]</w:t>
      </w:r>
      <w:r w:rsidR="006564C1" w:rsidRPr="006B2147">
        <w:rPr>
          <w:lang w:val="en-CA"/>
        </w:rPr>
        <w:tab/>
      </w:r>
      <w:r w:rsidRPr="006B2147">
        <w:rPr>
          <w:lang w:val="en-CA"/>
        </w:rPr>
        <w:t>Here, the Court is presented with two contradictory pieces of evidence: the prior out-of-court identification, as mentioned by the prosecutor, and the testimony at trial. This Court does not have to adopt the foreign Court's conclusion in rejecting the trial testimony in favour of the prior identification. Interestingly, the prior out</w:t>
      </w:r>
      <w:r w:rsidR="00214F00">
        <w:rPr>
          <w:lang w:val="en-CA"/>
        </w:rPr>
        <w:noBreakHyphen/>
      </w:r>
      <w:r w:rsidRPr="006B2147">
        <w:rPr>
          <w:lang w:val="en-CA"/>
        </w:rPr>
        <w:t>of</w:t>
      </w:r>
      <w:r w:rsidR="00214F00">
        <w:rPr>
          <w:lang w:val="en-CA"/>
        </w:rPr>
        <w:noBreakHyphen/>
      </w:r>
      <w:r w:rsidRPr="006B2147">
        <w:rPr>
          <w:lang w:val="en-CA"/>
        </w:rPr>
        <w:t>court identification would be inadmissible hearsay under Canadian law of evidence. The prior identification exception described in</w:t>
      </w:r>
      <w:r w:rsidR="006564C1" w:rsidRPr="006B2147">
        <w:rPr>
          <w:lang w:val="en-CA"/>
        </w:rPr>
        <w:t xml:space="preserve"> </w:t>
      </w:r>
      <w:r w:rsidRPr="006B2147">
        <w:rPr>
          <w:i/>
          <w:iCs/>
          <w:lang w:val="en-CA"/>
        </w:rPr>
        <w:t>R. v. Starr</w:t>
      </w:r>
      <w:r w:rsidRPr="006B2147">
        <w:rPr>
          <w:lang w:val="en-CA"/>
        </w:rPr>
        <w:t>,</w:t>
      </w:r>
      <w:r w:rsidR="006564C1" w:rsidRPr="006B2147">
        <w:rPr>
          <w:lang w:val="en-CA"/>
        </w:rPr>
        <w:t xml:space="preserve"> </w:t>
      </w:r>
      <w:r w:rsidRPr="006B2147">
        <w:rPr>
          <w:rFonts w:cs="Arial"/>
          <w:lang w:val="en-CA"/>
        </w:rPr>
        <w:t>2000 SCC 40</w:t>
      </w:r>
      <w:r w:rsidRPr="006B2147">
        <w:rPr>
          <w:lang w:val="en-CA"/>
        </w:rPr>
        <w:t>, para.</w:t>
      </w:r>
      <w:r w:rsidR="006564C1" w:rsidRPr="006B2147">
        <w:rPr>
          <w:lang w:val="en-CA"/>
        </w:rPr>
        <w:t xml:space="preserve"> </w:t>
      </w:r>
      <w:r w:rsidRPr="006B2147">
        <w:rPr>
          <w:rFonts w:cs="Arial"/>
          <w:lang w:val="en-CA"/>
        </w:rPr>
        <w:t>221</w:t>
      </w:r>
      <w:r w:rsidRPr="006B2147">
        <w:rPr>
          <w:lang w:val="en-CA"/>
        </w:rPr>
        <w:t xml:space="preserve">, would not apply because the witness did not identify the accused at trial, nor did she testify that her previous identification was accurate. </w:t>
      </w:r>
      <w:r w:rsidRPr="006B2147">
        <w:rPr>
          <w:u w:val="single"/>
          <w:lang w:val="en-CA"/>
        </w:rPr>
        <w:t>This Court understands, however, that the Canadian law of evidence does not apply in extradition proceedings. Instead, all the evidence filed is accepted and considered under </w:t>
      </w:r>
      <w:r w:rsidRPr="006B2147">
        <w:rPr>
          <w:rFonts w:cs="Arial"/>
          <w:u w:val="single"/>
          <w:lang w:val="en-CA"/>
        </w:rPr>
        <w:t>s. 32</w:t>
      </w:r>
      <w:r w:rsidR="006564C1" w:rsidRPr="006B2147">
        <w:rPr>
          <w:u w:val="single"/>
          <w:lang w:val="en-CA"/>
        </w:rPr>
        <w:t xml:space="preserve"> </w:t>
      </w:r>
      <w:r w:rsidRPr="006B2147">
        <w:rPr>
          <w:u w:val="single"/>
          <w:lang w:val="en-CA"/>
        </w:rPr>
        <w:t>of the</w:t>
      </w:r>
      <w:r w:rsidR="006564C1" w:rsidRPr="006B2147">
        <w:rPr>
          <w:u w:val="single"/>
          <w:lang w:val="en-CA"/>
        </w:rPr>
        <w:t xml:space="preserve"> </w:t>
      </w:r>
      <w:r w:rsidRPr="006B2147">
        <w:rPr>
          <w:rFonts w:cs="Arial"/>
          <w:i/>
          <w:iCs/>
          <w:u w:val="single"/>
          <w:lang w:val="en-CA"/>
        </w:rPr>
        <w:t>Extradition Act</w:t>
      </w:r>
      <w:r w:rsidRPr="006B2147">
        <w:rPr>
          <w:u w:val="single"/>
          <w:lang w:val="en-CA"/>
        </w:rPr>
        <w:t>, with the contradictions it entails. The Court must consider all the evidence and cannot ignore the testimony at trial. The question to be resolved remains whether the evidence, as submitted, satisfies the</w:t>
      </w:r>
      <w:r w:rsidR="006564C1" w:rsidRPr="006B2147">
        <w:rPr>
          <w:u w:val="single"/>
          <w:lang w:val="en-CA"/>
        </w:rPr>
        <w:t xml:space="preserve"> </w:t>
      </w:r>
      <w:r w:rsidRPr="006B2147">
        <w:rPr>
          <w:i/>
          <w:iCs/>
          <w:u w:val="single"/>
          <w:lang w:val="en-CA"/>
        </w:rPr>
        <w:t>prima facie</w:t>
      </w:r>
      <w:r w:rsidR="006564C1" w:rsidRPr="006B2147">
        <w:rPr>
          <w:u w:val="single"/>
          <w:lang w:val="en-CA"/>
        </w:rPr>
        <w:t xml:space="preserve"> </w:t>
      </w:r>
      <w:r w:rsidRPr="006B2147">
        <w:rPr>
          <w:u w:val="single"/>
          <w:lang w:val="en-CA"/>
        </w:rPr>
        <w:t>case standard, subject to the discretionary power to refuse committal where the evidence is so manifestly unreliable that it would be unsafe to act on it or where it is not realistically available for trial.</w:t>
      </w:r>
    </w:p>
    <w:p w14:paraId="43E31388" w14:textId="77777777" w:rsidR="00302B76" w:rsidRPr="006B2147" w:rsidRDefault="00B37A58" w:rsidP="00302B76">
      <w:pPr>
        <w:pStyle w:val="Citationenretrait"/>
        <w:rPr>
          <w:lang w:val="en-CA"/>
        </w:rPr>
      </w:pPr>
      <w:r w:rsidRPr="006B2147">
        <w:rPr>
          <w:lang w:val="en-CA"/>
        </w:rPr>
        <w:t>[…]</w:t>
      </w:r>
    </w:p>
    <w:p w14:paraId="797115F4" w14:textId="0250C4AF" w:rsidR="00302B76" w:rsidRPr="006B2147" w:rsidRDefault="00B37A58" w:rsidP="00302B76">
      <w:pPr>
        <w:pStyle w:val="Citationenretrait"/>
        <w:rPr>
          <w:lang w:val="en-CA"/>
        </w:rPr>
      </w:pPr>
      <w:r w:rsidRPr="006B2147">
        <w:rPr>
          <w:lang w:val="en-CA"/>
        </w:rPr>
        <w:t>[74]</w:t>
      </w:r>
      <w:r w:rsidR="006564C1" w:rsidRPr="006B2147">
        <w:rPr>
          <w:lang w:val="en-CA"/>
        </w:rPr>
        <w:tab/>
      </w:r>
      <w:r w:rsidRPr="006B2147">
        <w:rPr>
          <w:lang w:val="en-CA"/>
        </w:rPr>
        <w:t xml:space="preserve">That is not all. </w:t>
      </w:r>
      <w:r w:rsidRPr="006B2147">
        <w:rPr>
          <w:u w:val="single"/>
          <w:lang w:val="en-CA"/>
        </w:rPr>
        <w:t>The additional evidence also established that the photo lineup was grossly inadequate.</w:t>
      </w:r>
      <w:r w:rsidRPr="006B2147">
        <w:rPr>
          <w:lang w:val="en-CA"/>
        </w:rPr>
        <w:t xml:space="preserve"> It contained only 4 photos, with the photo of the suspect standing out from the others. </w:t>
      </w:r>
      <w:r w:rsidRPr="006B2147">
        <w:rPr>
          <w:b/>
          <w:bCs/>
          <w:u w:val="single"/>
          <w:lang w:val="en-CA"/>
        </w:rPr>
        <w:t>This is not to impose Canadian standards on a foreign state</w:t>
      </w:r>
      <w:r w:rsidRPr="006B2147">
        <w:rPr>
          <w:lang w:val="en-CA"/>
        </w:rPr>
        <w:t>. It is obvious that the identification procedure was unfair and unreliable because the witnesses could be drawn to the photo that contrasted with the other photos.</w:t>
      </w:r>
    </w:p>
    <w:p w14:paraId="45D892B2" w14:textId="090B5A51" w:rsidR="00875ED0" w:rsidRPr="006B2147" w:rsidRDefault="00B37A58" w:rsidP="00214F00">
      <w:pPr>
        <w:pStyle w:val="Citationenretrait"/>
        <w:jc w:val="right"/>
        <w:rPr>
          <w:lang w:val="en-CA"/>
        </w:rPr>
      </w:pPr>
      <w:r w:rsidRPr="006B2147">
        <w:rPr>
          <w:lang w:val="en-CA"/>
        </w:rPr>
        <w:t>[</w:t>
      </w:r>
      <w:r w:rsidR="001D199D">
        <w:rPr>
          <w:lang w:val="en-CA"/>
        </w:rPr>
        <w:t>Emphasis added</w:t>
      </w:r>
      <w:r w:rsidRPr="006B2147">
        <w:rPr>
          <w:lang w:val="en-CA"/>
        </w:rPr>
        <w:t>]</w:t>
      </w:r>
    </w:p>
    <w:p w14:paraId="50CB8487" w14:textId="6B7F98F1" w:rsidR="00573CE1" w:rsidRPr="006B2147" w:rsidRDefault="00B37A58" w:rsidP="00441741">
      <w:pPr>
        <w:pStyle w:val="Paragraphe"/>
        <w:spacing w:line="280" w:lineRule="exact"/>
        <w:rPr>
          <w:lang w:val="en-CA"/>
        </w:rPr>
      </w:pPr>
      <w:r>
        <w:rPr>
          <w:lang w:val="en-CA"/>
        </w:rPr>
        <w:t>The extradition judge’s role is to determine whether th</w:t>
      </w:r>
      <w:r w:rsidR="00D45B56">
        <w:rPr>
          <w:lang w:val="en-CA"/>
        </w:rPr>
        <w:t>e</w:t>
      </w:r>
      <w:r>
        <w:rPr>
          <w:lang w:val="en-CA"/>
        </w:rPr>
        <w:t xml:space="preserve"> applicable test is met under Canadian law</w:t>
      </w:r>
      <w:r w:rsidRPr="006B2147">
        <w:rPr>
          <w:lang w:val="en-CA"/>
        </w:rPr>
        <w:t xml:space="preserve">. </w:t>
      </w:r>
      <w:r>
        <w:rPr>
          <w:lang w:val="en-CA"/>
        </w:rPr>
        <w:t>In other words</w:t>
      </w:r>
      <w:r w:rsidRPr="006B2147">
        <w:rPr>
          <w:lang w:val="en-CA"/>
        </w:rPr>
        <w:t xml:space="preserve">, </w:t>
      </w:r>
      <w:r>
        <w:rPr>
          <w:lang w:val="en-CA"/>
        </w:rPr>
        <w:t>the judge</w:t>
      </w:r>
      <w:r w:rsidRPr="006B2147">
        <w:rPr>
          <w:lang w:val="en-CA"/>
        </w:rPr>
        <w:t xml:space="preserve"> </w:t>
      </w:r>
      <w:r>
        <w:rPr>
          <w:lang w:val="en-CA"/>
        </w:rPr>
        <w:t>“</w:t>
      </w:r>
      <w:r w:rsidR="00A5488C" w:rsidRPr="00A5488C">
        <w:rPr>
          <w:lang w:val="en-CA"/>
        </w:rPr>
        <w:t xml:space="preserve">must consider the evidence in light of Canadian law and determine whether it reveals conduct that would justify committal for the crime listed in the </w:t>
      </w:r>
      <w:r w:rsidR="00A5488C">
        <w:rPr>
          <w:lang w:val="en-CA"/>
        </w:rPr>
        <w:t>[</w:t>
      </w:r>
      <w:r w:rsidR="00A5488C" w:rsidRPr="00A5488C">
        <w:rPr>
          <w:lang w:val="en-CA"/>
        </w:rPr>
        <w:t>Authority to Proceed</w:t>
      </w:r>
      <w:r w:rsidR="00A5488C">
        <w:rPr>
          <w:lang w:val="en-CA"/>
        </w:rPr>
        <w:t>]</w:t>
      </w:r>
      <w:r w:rsidR="00A5488C" w:rsidRPr="00A5488C">
        <w:rPr>
          <w:lang w:val="en-CA"/>
        </w:rPr>
        <w:t xml:space="preserve"> if it had occurred in Canada</w:t>
      </w:r>
      <w:r>
        <w:rPr>
          <w:lang w:val="en-CA"/>
        </w:rPr>
        <w:t>.”</w:t>
      </w:r>
      <w:bookmarkStart w:id="57" w:name="_Ref196860634"/>
      <w:r>
        <w:rPr>
          <w:vertAlign w:val="superscript"/>
          <w:lang w:val="en-CA"/>
        </w:rPr>
        <w:footnoteReference w:id="95"/>
      </w:r>
      <w:bookmarkEnd w:id="57"/>
      <w:r>
        <w:rPr>
          <w:lang w:val="en-CA"/>
        </w:rPr>
        <w:t xml:space="preserve"> Thus, in extradition matters</w:t>
      </w:r>
      <w:r w:rsidRPr="006B2147">
        <w:rPr>
          <w:lang w:val="en-CA"/>
        </w:rPr>
        <w:t xml:space="preserve">, </w:t>
      </w:r>
      <w:r>
        <w:rPr>
          <w:lang w:val="en-CA"/>
        </w:rPr>
        <w:t>“</w:t>
      </w:r>
      <w:r w:rsidRPr="006B2147">
        <w:rPr>
          <w:lang w:val="en-CA"/>
        </w:rPr>
        <w:t>[</w:t>
      </w:r>
      <w:r w:rsidR="00A5488C">
        <w:rPr>
          <w:lang w:val="en-CA"/>
        </w:rPr>
        <w:t>t]</w:t>
      </w:r>
      <w:r w:rsidR="00A5488C" w:rsidRPr="00A5488C">
        <w:rPr>
          <w:lang w:val="en-CA"/>
        </w:rPr>
        <w:t>he courts of both countries deal with the offence under their own law, the law in which they are versed</w:t>
      </w:r>
      <w:r>
        <w:rPr>
          <w:lang w:val="en-CA"/>
        </w:rPr>
        <w:t>.”</w:t>
      </w:r>
      <w:r>
        <w:rPr>
          <w:vertAlign w:val="superscript"/>
          <w:lang w:val="en-CA"/>
        </w:rPr>
        <w:footnoteReference w:id="96"/>
      </w:r>
      <w:r>
        <w:rPr>
          <w:lang w:val="en-CA"/>
        </w:rPr>
        <w:t xml:space="preserve"> so that</w:t>
      </w:r>
      <w:r w:rsidRPr="006B2147">
        <w:rPr>
          <w:lang w:val="en-CA"/>
        </w:rPr>
        <w:t xml:space="preserve"> </w:t>
      </w:r>
      <w:r>
        <w:rPr>
          <w:lang w:val="en-CA"/>
        </w:rPr>
        <w:t>“</w:t>
      </w:r>
      <w:r w:rsidR="00A5488C" w:rsidRPr="00A5488C">
        <w:rPr>
          <w:lang w:val="en-CA"/>
        </w:rPr>
        <w:t>the role of the extradition judge does not include any review of the foreign law</w:t>
      </w:r>
      <w:r>
        <w:rPr>
          <w:lang w:val="en-CA"/>
        </w:rPr>
        <w:t>.”</w:t>
      </w:r>
      <w:r>
        <w:rPr>
          <w:vertAlign w:val="superscript"/>
          <w:lang w:val="en-CA"/>
        </w:rPr>
        <w:footnoteReference w:id="97"/>
      </w:r>
    </w:p>
    <w:p w14:paraId="2AA80690" w14:textId="261596A3" w:rsidR="00573CE1" w:rsidRPr="006B2147" w:rsidRDefault="00B37A58" w:rsidP="00441741">
      <w:pPr>
        <w:pStyle w:val="Paragraphe"/>
        <w:spacing w:line="280" w:lineRule="exact"/>
        <w:rPr>
          <w:lang w:val="en-CA"/>
        </w:rPr>
      </w:pPr>
      <w:r>
        <w:rPr>
          <w:lang w:val="en-CA"/>
        </w:rPr>
        <w:t>It is true that unlike evidence admissible at a preliminary inquiry, that which is presented at</w:t>
      </w:r>
      <w:r w:rsidR="00EB7445" w:rsidRPr="006B2147">
        <w:rPr>
          <w:lang w:val="en-CA"/>
        </w:rPr>
        <w:t xml:space="preserve"> </w:t>
      </w:r>
      <w:r w:rsidR="00A5488C" w:rsidRPr="00A5488C">
        <w:rPr>
          <w:lang w:val="en-CA"/>
        </w:rPr>
        <w:t xml:space="preserve">an extradition hearing, </w:t>
      </w:r>
      <w:r w:rsidR="00A5488C">
        <w:rPr>
          <w:lang w:val="en-CA"/>
        </w:rPr>
        <w:t>“</w:t>
      </w:r>
      <w:r w:rsidR="00A5488C" w:rsidRPr="00A5488C">
        <w:rPr>
          <w:lang w:val="en-CA"/>
        </w:rPr>
        <w:t xml:space="preserve">by virtue of the expanded rules of admissibility </w:t>
      </w:r>
      <w:r>
        <w:rPr>
          <w:lang w:val="en-CA"/>
        </w:rPr>
        <w:t xml:space="preserve">[provided in the Act] </w:t>
      </w:r>
      <w:r w:rsidR="00FD5A02">
        <w:rPr>
          <w:lang w:val="en-CA"/>
        </w:rPr>
        <w:t>[…]</w:t>
      </w:r>
      <w:r w:rsidR="00A5488C" w:rsidRPr="00A5488C">
        <w:rPr>
          <w:lang w:val="en-CA"/>
        </w:rPr>
        <w:t>,</w:t>
      </w:r>
      <w:r>
        <w:rPr>
          <w:lang w:val="en-CA"/>
        </w:rPr>
        <w:t xml:space="preserve"> </w:t>
      </w:r>
      <w:r w:rsidR="00FD5A02">
        <w:rPr>
          <w:lang w:val="en-CA"/>
        </w:rPr>
        <w:t>‘</w:t>
      </w:r>
      <w:r w:rsidR="00A5488C" w:rsidRPr="00A5488C">
        <w:rPr>
          <w:lang w:val="en-CA"/>
        </w:rPr>
        <w:t>may lack the threshold guarantees of reliability afforded by Canadian rules of evidence</w:t>
      </w:r>
      <w:r w:rsidR="00FD5A02">
        <w:rPr>
          <w:lang w:val="en-CA"/>
        </w:rPr>
        <w:t>’</w:t>
      </w:r>
      <w:r>
        <w:rPr>
          <w:lang w:val="en-CA"/>
        </w:rPr>
        <w:t>.</w:t>
      </w:r>
      <w:r w:rsidR="00FD5A02">
        <w:rPr>
          <w:lang w:val="en-CA"/>
        </w:rPr>
        <w:t>”</w:t>
      </w:r>
      <w:r>
        <w:rPr>
          <w:color w:val="000000"/>
          <w:vertAlign w:val="superscript"/>
          <w:lang w:val="en-CA"/>
        </w:rPr>
        <w:footnoteReference w:id="98"/>
      </w:r>
      <w:r>
        <w:rPr>
          <w:color w:val="000000"/>
          <w:lang w:val="en-CA"/>
        </w:rPr>
        <w:t xml:space="preserve"> </w:t>
      </w:r>
      <w:r w:rsidR="0058300B">
        <w:rPr>
          <w:lang w:val="en-CA"/>
        </w:rPr>
        <w:t xml:space="preserve">Indeed, </w:t>
      </w:r>
      <w:r w:rsidR="00D45B56">
        <w:rPr>
          <w:lang w:val="en-CA"/>
        </w:rPr>
        <w:t>compliance with</w:t>
      </w:r>
      <w:r w:rsidR="0058300B" w:rsidRPr="0058300B">
        <w:rPr>
          <w:lang w:val="en-CA"/>
        </w:rPr>
        <w:t xml:space="preserve"> the principle of</w:t>
      </w:r>
      <w:r w:rsidR="0058300B">
        <w:rPr>
          <w:lang w:val="en-CA"/>
        </w:rPr>
        <w:t xml:space="preserve"> international comity</w:t>
      </w:r>
      <w:r w:rsidR="00D45B56">
        <w:rPr>
          <w:lang w:val="en-CA"/>
        </w:rPr>
        <w:t xml:space="preserve"> depends on this</w:t>
      </w:r>
      <w:r w:rsidRPr="006B2147">
        <w:rPr>
          <w:rFonts w:cs="Arial"/>
          <w:szCs w:val="24"/>
          <w:lang w:val="en-CA"/>
        </w:rPr>
        <w:t xml:space="preserve">, </w:t>
      </w:r>
      <w:r>
        <w:rPr>
          <w:rFonts w:cs="Arial"/>
          <w:szCs w:val="24"/>
          <w:lang w:val="en-CA"/>
        </w:rPr>
        <w:t>as the Supreme Court noted:</w:t>
      </w:r>
      <w:r>
        <w:rPr>
          <w:rFonts w:cs="Arial"/>
          <w:szCs w:val="24"/>
          <w:vertAlign w:val="superscript"/>
          <w:lang w:val="en-CA"/>
        </w:rPr>
        <w:footnoteReference w:id="99"/>
      </w:r>
    </w:p>
    <w:p w14:paraId="0B107BC9" w14:textId="7E50FDCC" w:rsidR="00573CE1" w:rsidRPr="006B2147" w:rsidRDefault="00B37A58" w:rsidP="006564C1">
      <w:pPr>
        <w:pStyle w:val="Citationenretrait"/>
        <w:rPr>
          <w:lang w:val="en-CA"/>
        </w:rPr>
      </w:pPr>
      <w:r w:rsidRPr="00FD5A02">
        <w:rPr>
          <w:lang w:val="en-CA"/>
        </w:rPr>
        <w:t>Extradition procedure, unlike the criminal procedure, is founded on the concepts of reciprocity, comity and respect for differences in other jurisdictions</w:t>
      </w:r>
      <w:r w:rsidRPr="006B2147">
        <w:rPr>
          <w:lang w:val="en-CA"/>
        </w:rPr>
        <w:t xml:space="preserve">. […] </w:t>
      </w:r>
      <w:r w:rsidRPr="00FD5A02">
        <w:rPr>
          <w:lang w:val="en-CA"/>
        </w:rPr>
        <w:t>The simple fact is that if we were to insist on strict conformity with our own system, there would be virtually no state in the world with which we could reciprocate</w:t>
      </w:r>
      <w:r w:rsidRPr="006B2147">
        <w:rPr>
          <w:lang w:val="en-CA"/>
        </w:rPr>
        <w:t>.</w:t>
      </w:r>
    </w:p>
    <w:p w14:paraId="1F386B35" w14:textId="66DBA739" w:rsidR="00802A2D" w:rsidRPr="006B2147" w:rsidRDefault="00B37A58" w:rsidP="00441741">
      <w:pPr>
        <w:pStyle w:val="Paragraphe"/>
        <w:spacing w:line="280" w:lineRule="exact"/>
        <w:rPr>
          <w:lang w:val="en-CA"/>
        </w:rPr>
      </w:pPr>
      <w:bookmarkStart w:id="59" w:name="_Hlk189517081"/>
      <w:r w:rsidRPr="00C35B84">
        <w:t>However, it is well established that</w:t>
      </w:r>
      <w:r w:rsidR="002F1E27" w:rsidRPr="00C35B84">
        <w:t xml:space="preserve"> </w:t>
      </w:r>
      <w:r w:rsidR="00FC2FC6" w:rsidRPr="00C35B84">
        <w:t>“</w:t>
      </w:r>
      <w:r w:rsidR="002F1E27" w:rsidRPr="00C35B84">
        <w:t>[l’</w:t>
      </w:r>
      <w:r w:rsidR="00D8762A" w:rsidRPr="00C35B84">
        <w:t>]</w:t>
      </w:r>
      <w:r w:rsidR="002F1E27" w:rsidRPr="00C35B84">
        <w:t>évaluation des éléments de preuve se fait selon les normes canadiennes et que, par conséquent, la preuve d’identification figurant au dossier du partenaire doit répondre aux</w:t>
      </w:r>
      <w:r w:rsidR="002F1E27" w:rsidRPr="00C35B84">
        <w:rPr>
          <w:rFonts w:ascii="Times New Roman" w:hAnsi="Times New Roman"/>
          <w:sz w:val="20"/>
        </w:rPr>
        <w:t xml:space="preserve"> </w:t>
      </w:r>
      <w:r w:rsidR="002F1E27" w:rsidRPr="00C35B84">
        <w:t>préoccupations soulevées par les tribunaux canadiens</w:t>
      </w:r>
      <w:r w:rsidR="00FC2FC6" w:rsidRPr="00C35B84">
        <w:t>.”</w:t>
      </w:r>
      <w:r>
        <w:rPr>
          <w:vertAlign w:val="superscript"/>
          <w:lang w:val="en-CA"/>
        </w:rPr>
        <w:footnoteReference w:id="100"/>
      </w:r>
      <w:r w:rsidR="00212614" w:rsidRPr="00C35B84">
        <w:t xml:space="preserve"> </w:t>
      </w:r>
      <w:r w:rsidR="00FC2FC6">
        <w:rPr>
          <w:lang w:val="en-CA"/>
        </w:rPr>
        <w:t>Indeed, the principles of fundamental justice require that the person sought have the benefit of “</w:t>
      </w:r>
      <w:r w:rsidR="00FD5A02" w:rsidRPr="00FD5A02">
        <w:rPr>
          <w:kern w:val="0"/>
          <w:lang w:val="en-CA"/>
        </w:rPr>
        <w:t>an independent judicial phase, an independent and impartial judge and a judicial decision based on an assessment of the evidence and the law</w:t>
      </w:r>
      <w:r w:rsidR="00FC2FC6">
        <w:rPr>
          <w:kern w:val="0"/>
          <w:lang w:val="en-CA"/>
        </w:rPr>
        <w:t>.”</w:t>
      </w:r>
      <w:r>
        <w:rPr>
          <w:rStyle w:val="Appelnotedebasdep"/>
          <w:kern w:val="0"/>
          <w:lang w:val="en-CA"/>
        </w:rPr>
        <w:footnoteReference w:id="101"/>
      </w:r>
    </w:p>
    <w:bookmarkEnd w:id="59"/>
    <w:p w14:paraId="3692D25E" w14:textId="742E377F" w:rsidR="00C64C43" w:rsidRPr="006B2147" w:rsidRDefault="00B37A58" w:rsidP="00441741">
      <w:pPr>
        <w:pStyle w:val="Paragraphe"/>
        <w:spacing w:line="280" w:lineRule="exact"/>
        <w:rPr>
          <w:lang w:val="en-CA"/>
        </w:rPr>
      </w:pPr>
      <w:r>
        <w:rPr>
          <w:lang w:val="en-CA"/>
        </w:rPr>
        <w:t xml:space="preserve">I am of the view that the judge in first instance </w:t>
      </w:r>
      <w:r w:rsidR="003B172B">
        <w:rPr>
          <w:lang w:val="en-CA"/>
        </w:rPr>
        <w:t>respected</w:t>
      </w:r>
      <w:r>
        <w:rPr>
          <w:lang w:val="en-CA"/>
        </w:rPr>
        <w:t xml:space="preserve"> that rule</w:t>
      </w:r>
      <w:r w:rsidR="00EB7445" w:rsidRPr="006B2147">
        <w:rPr>
          <w:lang w:val="en-CA"/>
        </w:rPr>
        <w:t xml:space="preserve">. </w:t>
      </w:r>
      <w:r>
        <w:rPr>
          <w:lang w:val="en-CA"/>
        </w:rPr>
        <w:t>Explaining</w:t>
      </w:r>
      <w:r w:rsidR="003B172B">
        <w:rPr>
          <w:lang w:val="en-CA"/>
        </w:rPr>
        <w:t xml:space="preserve"> that</w:t>
      </w:r>
      <w:r>
        <w:rPr>
          <w:lang w:val="en-CA"/>
        </w:rPr>
        <w:t xml:space="preserve"> the Mr. Brahimi’s out</w:t>
      </w:r>
      <w:r w:rsidR="003B172B">
        <w:rPr>
          <w:lang w:val="en-CA"/>
        </w:rPr>
        <w:t xml:space="preserve"> </w:t>
      </w:r>
      <w:r>
        <w:rPr>
          <w:lang w:val="en-CA"/>
        </w:rPr>
        <w:t>of</w:t>
      </w:r>
      <w:r w:rsidR="003B172B">
        <w:rPr>
          <w:lang w:val="en-CA"/>
        </w:rPr>
        <w:t xml:space="preserve"> </w:t>
      </w:r>
      <w:r>
        <w:rPr>
          <w:lang w:val="en-CA"/>
        </w:rPr>
        <w:t>court identification based on a photo lineup would be inadmissible hearsay under Canadian law of evidence,</w:t>
      </w:r>
      <w:r>
        <w:rPr>
          <w:vertAlign w:val="superscript"/>
          <w:lang w:val="en-CA"/>
        </w:rPr>
        <w:footnoteReference w:id="102"/>
      </w:r>
      <w:r>
        <w:rPr>
          <w:lang w:val="en-CA"/>
        </w:rPr>
        <w:t xml:space="preserve"> the judge </w:t>
      </w:r>
      <w:r w:rsidR="003B172B">
        <w:rPr>
          <w:lang w:val="en-CA"/>
        </w:rPr>
        <w:t>immediately went on to specify that Canadian law of evidence does not apply in extraditions proceedings</w:t>
      </w:r>
      <w:r w:rsidR="00A278A3" w:rsidRPr="006B2147">
        <w:rPr>
          <w:lang w:val="en-CA"/>
        </w:rPr>
        <w:t>:</w:t>
      </w:r>
    </w:p>
    <w:p w14:paraId="2C23FB33" w14:textId="5430D1FF" w:rsidR="00A278A3" w:rsidRPr="006B2147" w:rsidRDefault="00B37A58" w:rsidP="0003455C">
      <w:pPr>
        <w:pStyle w:val="Citationenretrait"/>
        <w:keepNext/>
        <w:rPr>
          <w:lang w:val="en-CA"/>
        </w:rPr>
      </w:pPr>
      <w:r w:rsidRPr="006B2147">
        <w:rPr>
          <w:lang w:val="en-CA"/>
        </w:rPr>
        <w:t>[43]</w:t>
      </w:r>
      <w:r w:rsidRPr="006B2147">
        <w:rPr>
          <w:lang w:val="en-CA"/>
        </w:rPr>
        <w:tab/>
        <w:t xml:space="preserve">Here, the Court is presented with two contradictory pieces of evidence: the prior out-of-court identification, as mentioned by the prosecutor, and the testimony at trial. This Court does not have to adopt the foreign Court's conclusion in rejecting the trial testimony in favour of the prior identification. Interestingly, the prior out of court identification would be inadmissible hearsay under Canadian law of evidence. The prior identification exception described in </w:t>
      </w:r>
      <w:r w:rsidRPr="006B2147">
        <w:rPr>
          <w:i/>
          <w:iCs/>
          <w:lang w:val="en-CA"/>
        </w:rPr>
        <w:t>R. v. Starr</w:t>
      </w:r>
      <w:r w:rsidRPr="006B2147">
        <w:rPr>
          <w:lang w:val="en-CA"/>
        </w:rPr>
        <w:t xml:space="preserve">, 2000 SCC 40, para. 221, would not apply because the witness did not identify the accused at trial, nor did she testify that her previous identification was accurate. </w:t>
      </w:r>
      <w:r w:rsidRPr="006B2147">
        <w:rPr>
          <w:u w:val="single"/>
          <w:lang w:val="en-CA"/>
        </w:rPr>
        <w:t>This Court understands, however, that the Canadian law of evidence does not apply in extradition proceedings.</w:t>
      </w:r>
      <w:r w:rsidRPr="006B2147">
        <w:rPr>
          <w:lang w:val="en-CA"/>
        </w:rPr>
        <w:t xml:space="preserve"> Instead, all the evidence filed is accepted and considered under s. 32 of the Extradition Act, with the contradictions it entails. The Court must consider all the evidence and cannot ignore the testimony at trial. The question to be resolved remains whether the evidence, as submitted, satisfies the </w:t>
      </w:r>
      <w:r w:rsidRPr="006B2147">
        <w:rPr>
          <w:i/>
          <w:iCs/>
          <w:lang w:val="en-CA"/>
        </w:rPr>
        <w:t>prima facie</w:t>
      </w:r>
      <w:r w:rsidRPr="006B2147">
        <w:rPr>
          <w:lang w:val="en-CA"/>
        </w:rPr>
        <w:t xml:space="preserve"> case standard, subject to the discretionary power to refuse committal where the evidence is so manifestly unreliable that it would be unsafe to act on it or where it is not realistically available for trial.</w:t>
      </w:r>
    </w:p>
    <w:p w14:paraId="61649ACB" w14:textId="40D7D643" w:rsidR="00A278A3" w:rsidRPr="006B2147" w:rsidRDefault="00B37A58" w:rsidP="00346B93">
      <w:pPr>
        <w:pStyle w:val="Citationenretrait"/>
        <w:jc w:val="right"/>
        <w:rPr>
          <w:lang w:val="en-CA"/>
        </w:rPr>
      </w:pPr>
      <w:r w:rsidRPr="006B2147">
        <w:rPr>
          <w:lang w:val="en-CA"/>
        </w:rPr>
        <w:t>[</w:t>
      </w:r>
      <w:r w:rsidR="003B172B">
        <w:rPr>
          <w:lang w:val="en-CA"/>
        </w:rPr>
        <w:t>Emphasis added</w:t>
      </w:r>
      <w:r w:rsidRPr="006B2147">
        <w:rPr>
          <w:lang w:val="en-CA"/>
        </w:rPr>
        <w:t>]</w:t>
      </w:r>
    </w:p>
    <w:p w14:paraId="12698DB6" w14:textId="41835928" w:rsidR="00573CE1" w:rsidRPr="006B2147" w:rsidRDefault="00B37A58" w:rsidP="00441741">
      <w:pPr>
        <w:numPr>
          <w:ilvl w:val="0"/>
          <w:numId w:val="18"/>
        </w:numPr>
        <w:spacing w:before="120" w:after="120"/>
        <w:jc w:val="both"/>
        <w:rPr>
          <w:rFonts w:cs="Arial"/>
          <w:szCs w:val="24"/>
          <w:lang w:val="en-CA"/>
        </w:rPr>
      </w:pPr>
      <w:r>
        <w:rPr>
          <w:rFonts w:cs="Arial"/>
          <w:szCs w:val="24"/>
          <w:lang w:val="en-CA"/>
        </w:rPr>
        <w:t>At the conclusion of his analysis</w:t>
      </w:r>
      <w:r w:rsidR="002F1E27" w:rsidRPr="006B2147">
        <w:rPr>
          <w:rFonts w:cs="Arial"/>
          <w:szCs w:val="24"/>
          <w:lang w:val="en-CA"/>
        </w:rPr>
        <w:t xml:space="preserve">, </w:t>
      </w:r>
      <w:r>
        <w:rPr>
          <w:rFonts w:cs="Arial"/>
          <w:szCs w:val="24"/>
          <w:lang w:val="en-CA"/>
        </w:rPr>
        <w:t>he nevertheless hel</w:t>
      </w:r>
      <w:r w:rsidR="00AC6B94">
        <w:rPr>
          <w:rFonts w:cs="Arial"/>
          <w:szCs w:val="24"/>
          <w:lang w:val="en-CA"/>
        </w:rPr>
        <w:t>d</w:t>
      </w:r>
      <w:r>
        <w:rPr>
          <w:rFonts w:cs="Arial"/>
          <w:szCs w:val="24"/>
          <w:lang w:val="en-CA"/>
        </w:rPr>
        <w:t xml:space="preserve"> that the photo array </w:t>
      </w:r>
      <w:r w:rsidR="00AC6B94">
        <w:rPr>
          <w:rFonts w:cs="Arial"/>
          <w:szCs w:val="24"/>
          <w:lang w:val="en-CA"/>
        </w:rPr>
        <w:t>presented</w:t>
      </w:r>
      <w:r>
        <w:rPr>
          <w:rFonts w:cs="Arial"/>
          <w:szCs w:val="24"/>
          <w:lang w:val="en-CA"/>
        </w:rPr>
        <w:t xml:space="preserve"> to the two eyewitnesses to identify</w:t>
      </w:r>
      <w:r w:rsidRPr="006B2147">
        <w:rPr>
          <w:rFonts w:cs="Arial"/>
          <w:szCs w:val="24"/>
          <w:lang w:val="en-CA"/>
        </w:rPr>
        <w:t xml:space="preserve"> </w:t>
      </w:r>
      <w:r w:rsidR="008E5307" w:rsidRPr="006B2147">
        <w:rPr>
          <w:rFonts w:cs="Arial"/>
          <w:szCs w:val="24"/>
          <w:lang w:val="en-CA"/>
        </w:rPr>
        <w:t>M</w:t>
      </w:r>
      <w:r>
        <w:rPr>
          <w:rFonts w:cs="Arial"/>
          <w:szCs w:val="24"/>
          <w:lang w:val="en-CA"/>
        </w:rPr>
        <w:t>r</w:t>
      </w:r>
      <w:r w:rsidR="008E5307" w:rsidRPr="006B2147">
        <w:rPr>
          <w:rFonts w:cs="Arial"/>
          <w:szCs w:val="24"/>
          <w:lang w:val="en-CA"/>
        </w:rPr>
        <w:t>. Brahimi</w:t>
      </w:r>
      <w:r w:rsidRPr="006B2147">
        <w:rPr>
          <w:rFonts w:cs="Arial"/>
          <w:szCs w:val="24"/>
          <w:lang w:val="en-CA"/>
        </w:rPr>
        <w:t xml:space="preserve"> </w:t>
      </w:r>
      <w:r>
        <w:rPr>
          <w:rFonts w:cs="Arial"/>
          <w:szCs w:val="24"/>
          <w:lang w:val="en-CA"/>
        </w:rPr>
        <w:t xml:space="preserve">was </w:t>
      </w:r>
      <w:r w:rsidR="00AC6B94">
        <w:rPr>
          <w:rFonts w:cs="Arial"/>
          <w:szCs w:val="24"/>
          <w:lang w:val="en-CA"/>
        </w:rPr>
        <w:t>grossly</w:t>
      </w:r>
      <w:r>
        <w:rPr>
          <w:rFonts w:cs="Arial"/>
          <w:szCs w:val="24"/>
          <w:lang w:val="en-CA"/>
        </w:rPr>
        <w:t xml:space="preserve"> inadequate because it included only four photos, including </w:t>
      </w:r>
      <w:r w:rsidR="00AC6B94">
        <w:rPr>
          <w:rFonts w:cs="Arial"/>
          <w:szCs w:val="24"/>
          <w:lang w:val="en-CA"/>
        </w:rPr>
        <w:t>Mr. Brahimi’s</w:t>
      </w:r>
      <w:r>
        <w:rPr>
          <w:rFonts w:cs="Arial"/>
          <w:szCs w:val="24"/>
          <w:lang w:val="en-CA"/>
        </w:rPr>
        <w:t>, which clearly stood out from the others:</w:t>
      </w:r>
      <w:r>
        <w:rPr>
          <w:rFonts w:cs="Arial"/>
          <w:szCs w:val="24"/>
          <w:vertAlign w:val="superscript"/>
          <w:lang w:val="en-CA"/>
        </w:rPr>
        <w:footnoteReference w:id="103"/>
      </w:r>
    </w:p>
    <w:p w14:paraId="2F763D04" w14:textId="4C27DB39" w:rsidR="006B5DD9" w:rsidRPr="006B2147" w:rsidRDefault="00B37A58" w:rsidP="00573CE1">
      <w:pPr>
        <w:spacing w:before="120" w:after="120" w:line="240" w:lineRule="auto"/>
        <w:ind w:left="720" w:right="720"/>
        <w:jc w:val="both"/>
        <w:rPr>
          <w:rFonts w:cs="Arial"/>
          <w:sz w:val="22"/>
          <w:szCs w:val="22"/>
          <w:shd w:val="clear" w:color="auto" w:fill="FFFFFF"/>
          <w:lang w:val="en-CA"/>
        </w:rPr>
      </w:pPr>
      <w:r w:rsidRPr="006B2147">
        <w:rPr>
          <w:rFonts w:cs="Arial"/>
          <w:sz w:val="22"/>
          <w:szCs w:val="22"/>
          <w:shd w:val="clear" w:color="auto" w:fill="FFFFFF"/>
          <w:lang w:val="en-CA"/>
        </w:rPr>
        <w:t>[55]</w:t>
      </w:r>
      <w:r w:rsidR="00E92C95" w:rsidRPr="006B2147">
        <w:rPr>
          <w:rFonts w:cs="Arial"/>
          <w:sz w:val="22"/>
          <w:szCs w:val="22"/>
          <w:shd w:val="clear" w:color="auto" w:fill="FFFFFF"/>
          <w:lang w:val="en-CA"/>
        </w:rPr>
        <w:tab/>
      </w:r>
      <w:r w:rsidRPr="006B2147">
        <w:rPr>
          <w:rFonts w:cs="Arial"/>
          <w:sz w:val="22"/>
          <w:szCs w:val="22"/>
          <w:shd w:val="clear" w:color="auto" w:fill="FFFFFF"/>
          <w:lang w:val="en-CA"/>
        </w:rPr>
        <w:t>Something else must be said about the photo array shown in the</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supplemental record of the case.</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Photo number 3, said to be the photo of Mr. Brahimi, stands out from the other three photos because of the position of the man in it</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and</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the</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general</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look</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of</w:t>
      </w:r>
      <w:r w:rsidR="00AC6B94">
        <w:rPr>
          <w:rFonts w:cs="Arial"/>
          <w:sz w:val="22"/>
          <w:szCs w:val="22"/>
          <w:shd w:val="clear" w:color="auto" w:fill="FFFFFF"/>
          <w:lang w:val="en-CA"/>
        </w:rPr>
        <w:t xml:space="preserve"> </w:t>
      </w:r>
      <w:r w:rsidRPr="006B2147">
        <w:rPr>
          <w:rFonts w:cs="Arial"/>
          <w:sz w:val="22"/>
          <w:szCs w:val="22"/>
          <w:shd w:val="clear" w:color="auto" w:fill="FFFFFF"/>
          <w:lang w:val="en-CA"/>
        </w:rPr>
        <w:t>the</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picture. In the</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photo</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purported to show Mr.</w:t>
      </w:r>
      <w:r w:rsidR="000B14DC" w:rsidRPr="006B2147">
        <w:rPr>
          <w:rFonts w:cs="Arial"/>
          <w:sz w:val="22"/>
          <w:szCs w:val="22"/>
          <w:shd w:val="clear" w:color="auto" w:fill="FFFFFF"/>
          <w:lang w:val="en-CA"/>
        </w:rPr>
        <w:t> </w:t>
      </w:r>
      <w:r w:rsidRPr="006B2147">
        <w:rPr>
          <w:rFonts w:cs="Arial"/>
          <w:sz w:val="22"/>
          <w:szCs w:val="22"/>
          <w:shd w:val="clear" w:color="auto" w:fill="FFFFFF"/>
          <w:lang w:val="en-CA"/>
        </w:rPr>
        <w:t>Brahimi, the man's head is bent and turned towards the camera lens, and he smiles slightly as if he had</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been</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photographed</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in</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a real-life situation.</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Also, the background is dark.</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The head may have been framed from a wider shot.</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The other three photos appear to be</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police mugshots. They are</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front-view</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portraits taken from</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the</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shoulders up.</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The men display neutral expressions.</w:t>
      </w:r>
      <w:r w:rsidR="00FF1397">
        <w:rPr>
          <w:rFonts w:cs="Arial"/>
          <w:sz w:val="22"/>
          <w:szCs w:val="22"/>
          <w:shd w:val="clear" w:color="auto" w:fill="FFFFFF"/>
          <w:lang w:val="en-CA"/>
        </w:rPr>
        <w:t xml:space="preserve"> </w:t>
      </w:r>
      <w:r w:rsidRPr="006B2147">
        <w:rPr>
          <w:rFonts w:cs="Arial"/>
          <w:sz w:val="22"/>
          <w:szCs w:val="22"/>
          <w:shd w:val="clear" w:color="auto" w:fill="FFFFFF"/>
          <w:lang w:val="en-CA"/>
        </w:rPr>
        <w:t>The backgrounds are white.</w:t>
      </w:r>
    </w:p>
    <w:p w14:paraId="6245096E" w14:textId="75BE6A78" w:rsidR="006B5DD9" w:rsidRPr="006B2147" w:rsidRDefault="00B37A58" w:rsidP="00573CE1">
      <w:pPr>
        <w:spacing w:before="120" w:after="120" w:line="240" w:lineRule="auto"/>
        <w:ind w:left="720" w:right="720"/>
        <w:jc w:val="both"/>
        <w:rPr>
          <w:rFonts w:cs="Arial"/>
          <w:kern w:val="24"/>
          <w:sz w:val="22"/>
          <w:szCs w:val="22"/>
          <w:lang w:val="en-CA"/>
        </w:rPr>
      </w:pPr>
      <w:r w:rsidRPr="006B2147">
        <w:rPr>
          <w:rFonts w:cs="Arial"/>
          <w:sz w:val="22"/>
          <w:szCs w:val="22"/>
          <w:shd w:val="clear" w:color="auto" w:fill="FFFFFF"/>
          <w:lang w:val="en-CA"/>
        </w:rPr>
        <w:t>[…]</w:t>
      </w:r>
    </w:p>
    <w:p w14:paraId="68AC0C21" w14:textId="66D5B464" w:rsidR="00573CE1" w:rsidRPr="006B2147" w:rsidRDefault="00B37A58" w:rsidP="00573CE1">
      <w:pPr>
        <w:spacing w:before="120" w:after="120" w:line="240" w:lineRule="auto"/>
        <w:ind w:left="720" w:right="720"/>
        <w:jc w:val="both"/>
        <w:rPr>
          <w:kern w:val="24"/>
          <w:sz w:val="22"/>
          <w:u w:val="single"/>
          <w:lang w:val="en-CA"/>
        </w:rPr>
      </w:pPr>
      <w:r w:rsidRPr="006B2147">
        <w:rPr>
          <w:kern w:val="24"/>
          <w:sz w:val="22"/>
          <w:lang w:val="en-CA"/>
        </w:rPr>
        <w:t>[</w:t>
      </w:r>
      <w:bookmarkStart w:id="60" w:name="par74"/>
      <w:r w:rsidRPr="006B2147">
        <w:rPr>
          <w:kern w:val="24"/>
          <w:sz w:val="22"/>
          <w:lang w:val="en-CA"/>
        </w:rPr>
        <w:t>74</w:t>
      </w:r>
      <w:bookmarkEnd w:id="60"/>
      <w:r w:rsidRPr="006B2147">
        <w:rPr>
          <w:kern w:val="24"/>
          <w:sz w:val="22"/>
          <w:lang w:val="en-CA"/>
        </w:rPr>
        <w:t>]</w:t>
      </w:r>
      <w:r w:rsidRPr="006B2147">
        <w:rPr>
          <w:kern w:val="24"/>
          <w:sz w:val="22"/>
          <w:lang w:val="en-CA"/>
        </w:rPr>
        <w:tab/>
        <w:t xml:space="preserve">That is not all. The additional evidence also established that the photo lineup was grossly inadequate. It contained only 4 photos, with the photo of the suspect standing out from the others. </w:t>
      </w:r>
      <w:r w:rsidRPr="006B2147">
        <w:rPr>
          <w:b/>
          <w:bCs/>
          <w:kern w:val="24"/>
          <w:sz w:val="22"/>
          <w:u w:val="single"/>
          <w:lang w:val="en-CA"/>
        </w:rPr>
        <w:t>This is not to impose Canadian standards on a foreign state</w:t>
      </w:r>
      <w:r w:rsidRPr="006B2147">
        <w:rPr>
          <w:kern w:val="24"/>
          <w:sz w:val="22"/>
          <w:u w:val="single"/>
          <w:lang w:val="en-CA"/>
        </w:rPr>
        <w:t>. It is obvious that the identification procedure was unfair and unreliable because the witnesses could be drawn to the photo that contrasted with the other photos</w:t>
      </w:r>
      <w:r w:rsidRPr="006B2147">
        <w:rPr>
          <w:kern w:val="24"/>
          <w:sz w:val="22"/>
          <w:lang w:val="en-CA"/>
        </w:rPr>
        <w:t>.</w:t>
      </w:r>
    </w:p>
    <w:p w14:paraId="2B5A419B" w14:textId="00C1E026" w:rsidR="00573CE1" w:rsidRPr="006B2147" w:rsidRDefault="00B37A58" w:rsidP="00C64C43">
      <w:pPr>
        <w:spacing w:before="120" w:after="120" w:line="360" w:lineRule="auto"/>
        <w:ind w:left="720" w:right="720"/>
        <w:jc w:val="right"/>
        <w:rPr>
          <w:kern w:val="24"/>
          <w:sz w:val="22"/>
          <w:lang w:val="en-CA"/>
        </w:rPr>
      </w:pPr>
      <w:r w:rsidRPr="006B2147">
        <w:rPr>
          <w:kern w:val="24"/>
          <w:sz w:val="22"/>
          <w:lang w:val="en-CA"/>
        </w:rPr>
        <w:t>[</w:t>
      </w:r>
      <w:r w:rsidR="00AC6B94">
        <w:rPr>
          <w:kern w:val="24"/>
          <w:sz w:val="22"/>
          <w:lang w:val="en-CA"/>
        </w:rPr>
        <w:t>Emphasis added</w:t>
      </w:r>
      <w:r w:rsidRPr="006B2147">
        <w:rPr>
          <w:kern w:val="24"/>
          <w:sz w:val="22"/>
          <w:lang w:val="en-CA"/>
        </w:rPr>
        <w:t>]</w:t>
      </w:r>
    </w:p>
    <w:p w14:paraId="04930D04" w14:textId="33D7F48B" w:rsidR="00A85A41" w:rsidRPr="006B2147" w:rsidRDefault="00B37A58" w:rsidP="00441741">
      <w:pPr>
        <w:pStyle w:val="Paragraphe"/>
        <w:spacing w:line="280" w:lineRule="exact"/>
        <w:rPr>
          <w:lang w:val="en-CA"/>
        </w:rPr>
      </w:pPr>
      <w:r w:rsidRPr="001F210A">
        <w:rPr>
          <w:lang w:val="en-CA"/>
        </w:rPr>
        <w:t xml:space="preserve">Indeed, </w:t>
      </w:r>
      <w:r w:rsidR="001F210A" w:rsidRPr="001F210A">
        <w:rPr>
          <w:lang w:val="en-CA"/>
        </w:rPr>
        <w:t>the evidence in the record of the case shows that Mr. Brahimi’s photograph appears to have been framed from a wider shot</w:t>
      </w:r>
      <w:r w:rsidRPr="001F210A">
        <w:rPr>
          <w:lang w:val="en-CA"/>
        </w:rPr>
        <w:t>, on a dark background</w:t>
      </w:r>
      <w:r w:rsidR="00286C8B" w:rsidRPr="001F210A">
        <w:rPr>
          <w:lang w:val="en-CA"/>
        </w:rPr>
        <w:t xml:space="preserve">, </w:t>
      </w:r>
      <w:r w:rsidRPr="001F210A">
        <w:rPr>
          <w:lang w:val="en-CA"/>
        </w:rPr>
        <w:t xml:space="preserve">whereas the photos of the </w:t>
      </w:r>
      <w:r w:rsidR="00714F00" w:rsidRPr="001F210A">
        <w:rPr>
          <w:lang w:val="en-CA"/>
        </w:rPr>
        <w:t xml:space="preserve">other </w:t>
      </w:r>
      <w:r w:rsidRPr="001F210A">
        <w:rPr>
          <w:lang w:val="en-CA"/>
        </w:rPr>
        <w:t xml:space="preserve">three individuals </w:t>
      </w:r>
      <w:r w:rsidR="00714F00" w:rsidRPr="001F210A">
        <w:rPr>
          <w:lang w:val="en-CA"/>
        </w:rPr>
        <w:t>are front-view shots</w:t>
      </w:r>
      <w:r w:rsidRPr="001F210A">
        <w:rPr>
          <w:lang w:val="en-CA"/>
        </w:rPr>
        <w:t xml:space="preserve">, </w:t>
      </w:r>
      <w:r w:rsidR="00714F00" w:rsidRPr="001F210A">
        <w:rPr>
          <w:lang w:val="en-CA"/>
        </w:rPr>
        <w:t xml:space="preserve">taken from </w:t>
      </w:r>
      <w:r w:rsidR="00352975" w:rsidRPr="001F210A">
        <w:rPr>
          <w:lang w:val="en-CA"/>
        </w:rPr>
        <w:t>the shoulders up</w:t>
      </w:r>
      <w:r w:rsidR="00714F00" w:rsidRPr="001F210A">
        <w:rPr>
          <w:lang w:val="en-CA"/>
        </w:rPr>
        <w:t xml:space="preserve">, and </w:t>
      </w:r>
      <w:r w:rsidRPr="001F210A">
        <w:rPr>
          <w:lang w:val="en-CA"/>
        </w:rPr>
        <w:t>on a white background</w:t>
      </w:r>
      <w:r w:rsidR="00286C8B" w:rsidRPr="006B2147">
        <w:rPr>
          <w:lang w:val="en-CA"/>
        </w:rPr>
        <w:t xml:space="preserve">. </w:t>
      </w:r>
    </w:p>
    <w:p w14:paraId="32C2C1A3" w14:textId="0815390E" w:rsidR="008E5307" w:rsidRPr="006B2147" w:rsidRDefault="00B37A58" w:rsidP="00441741">
      <w:pPr>
        <w:pStyle w:val="Paragraphe"/>
        <w:spacing w:line="280" w:lineRule="exact"/>
        <w:rPr>
          <w:lang w:val="en-CA"/>
        </w:rPr>
      </w:pPr>
      <w:r>
        <w:rPr>
          <w:lang w:val="en-CA"/>
        </w:rPr>
        <w:t>In these circumstances</w:t>
      </w:r>
      <w:r w:rsidR="00A85A41" w:rsidRPr="006B2147">
        <w:rPr>
          <w:lang w:val="en-CA"/>
        </w:rPr>
        <w:t xml:space="preserve">, </w:t>
      </w:r>
      <w:r>
        <w:rPr>
          <w:lang w:val="en-CA"/>
        </w:rPr>
        <w:t xml:space="preserve">I am of the view that the judge did not err </w:t>
      </w:r>
      <w:r w:rsidR="00FC1013">
        <w:rPr>
          <w:lang w:val="en-CA"/>
        </w:rPr>
        <w:t>by</w:t>
      </w:r>
      <w:r>
        <w:rPr>
          <w:lang w:val="en-CA"/>
        </w:rPr>
        <w:t xml:space="preserve"> applying Canadian standards of evidence to the photo array used in</w:t>
      </w:r>
      <w:r w:rsidR="00A85A41" w:rsidRPr="006B2147">
        <w:rPr>
          <w:lang w:val="en-CA"/>
        </w:rPr>
        <w:t xml:space="preserve"> Albani</w:t>
      </w:r>
      <w:r>
        <w:rPr>
          <w:lang w:val="en-CA"/>
        </w:rPr>
        <w:t>a</w:t>
      </w:r>
      <w:r w:rsidR="00A85A41" w:rsidRPr="006B2147">
        <w:rPr>
          <w:lang w:val="en-CA"/>
        </w:rPr>
        <w:t>.</w:t>
      </w:r>
      <w:r w:rsidRPr="006B2147">
        <w:rPr>
          <w:lang w:val="en-CA"/>
        </w:rPr>
        <w:t xml:space="preserve"> </w:t>
      </w:r>
      <w:r>
        <w:rPr>
          <w:lang w:val="en-CA"/>
        </w:rPr>
        <w:t>Applying the</w:t>
      </w:r>
      <w:r w:rsidRPr="006B2147">
        <w:rPr>
          <w:lang w:val="en-CA"/>
        </w:rPr>
        <w:t xml:space="preserve"> </w:t>
      </w:r>
      <w:r w:rsidRPr="006B2147">
        <w:rPr>
          <w:i/>
          <w:iCs/>
          <w:lang w:val="en-CA"/>
        </w:rPr>
        <w:t>prima facie</w:t>
      </w:r>
      <w:r>
        <w:rPr>
          <w:lang w:val="en-CA"/>
        </w:rPr>
        <w:t xml:space="preserve"> case standard, he assessed the sufficiency and reliability of the certified evidence submitted in support of the</w:t>
      </w:r>
      <w:r w:rsidRPr="006B2147">
        <w:rPr>
          <w:lang w:val="en-CA"/>
        </w:rPr>
        <w:t xml:space="preserve"> </w:t>
      </w:r>
      <w:r>
        <w:rPr>
          <w:lang w:val="en-CA"/>
        </w:rPr>
        <w:t>extradition request</w:t>
      </w:r>
      <w:r w:rsidRPr="006B2147">
        <w:rPr>
          <w:lang w:val="en-CA"/>
        </w:rPr>
        <w:t xml:space="preserve">. </w:t>
      </w:r>
      <w:r>
        <w:rPr>
          <w:lang w:val="en-CA"/>
        </w:rPr>
        <w:t xml:space="preserve">He held that that evidence was defective on its face and that there existed a </w:t>
      </w:r>
      <w:r w:rsidR="00A252E6" w:rsidRPr="00A252E6">
        <w:rPr>
          <w:lang w:val="en-CA"/>
        </w:rPr>
        <w:t xml:space="preserve">real risk that the evidence </w:t>
      </w:r>
      <w:r w:rsidR="00A252E6">
        <w:rPr>
          <w:lang w:val="en-CA"/>
        </w:rPr>
        <w:t>was</w:t>
      </w:r>
      <w:r w:rsidR="00A252E6" w:rsidRPr="00A252E6">
        <w:rPr>
          <w:lang w:val="en-CA"/>
        </w:rPr>
        <w:t xml:space="preserve"> fundamentally flawed</w:t>
      </w:r>
      <w:r w:rsidRPr="006B2147">
        <w:rPr>
          <w:lang w:val="en-CA"/>
        </w:rPr>
        <w:t xml:space="preserve">. </w:t>
      </w:r>
      <w:r w:rsidR="00A252E6" w:rsidRPr="00A252E6">
        <w:rPr>
          <w:lang w:val="en-CA"/>
        </w:rPr>
        <w:t>The discretionary power of the extradition judge is</w:t>
      </w:r>
      <w:r w:rsidR="00A252E6">
        <w:rPr>
          <w:lang w:val="en-CA"/>
        </w:rPr>
        <w:t xml:space="preserve"> in fact</w:t>
      </w:r>
      <w:r w:rsidR="00A252E6" w:rsidRPr="00A252E6">
        <w:rPr>
          <w:lang w:val="en-CA"/>
        </w:rPr>
        <w:t xml:space="preserve"> designed to prevent </w:t>
      </w:r>
      <w:r w:rsidR="00A252E6">
        <w:rPr>
          <w:lang w:val="en-CA"/>
        </w:rPr>
        <w:t>that type</w:t>
      </w:r>
      <w:r w:rsidR="00A252E6" w:rsidRPr="00A252E6">
        <w:rPr>
          <w:lang w:val="en-CA"/>
        </w:rPr>
        <w:t xml:space="preserve"> risk</w:t>
      </w:r>
      <w:r w:rsidR="00A252E6">
        <w:rPr>
          <w:lang w:val="en-CA"/>
        </w:rPr>
        <w:t xml:space="preserve"> to ensure compliance with the principles of fundamental justice</w:t>
      </w:r>
      <w:r w:rsidRPr="006B2147">
        <w:rPr>
          <w:lang w:val="en-CA"/>
        </w:rPr>
        <w:t xml:space="preserve">. </w:t>
      </w:r>
    </w:p>
    <w:p w14:paraId="79DBAF92" w14:textId="271E71D2" w:rsidR="005423FE" w:rsidRPr="006B2147" w:rsidRDefault="00B37A58" w:rsidP="00441741">
      <w:pPr>
        <w:pStyle w:val="Paragraphe"/>
        <w:spacing w:line="280" w:lineRule="exact"/>
        <w:rPr>
          <w:lang w:val="en-CA"/>
        </w:rPr>
      </w:pPr>
      <w:r>
        <w:rPr>
          <w:lang w:val="en-CA"/>
        </w:rPr>
        <w:t>Indeed, he cautioned himself against applying Canadian evidentiary standards to the photographic identification evidence used by the Albanian authorities</w:t>
      </w:r>
      <w:r w:rsidR="00A278A3" w:rsidRPr="006B2147">
        <w:rPr>
          <w:lang w:val="en-CA"/>
        </w:rPr>
        <w:t xml:space="preserve">. </w:t>
      </w:r>
      <w:r>
        <w:rPr>
          <w:lang w:val="en-CA"/>
        </w:rPr>
        <w:t xml:space="preserve">Moreover, </w:t>
      </w:r>
      <w:r w:rsidR="008562BE">
        <w:rPr>
          <w:lang w:val="en-CA"/>
        </w:rPr>
        <w:t>contrary to</w:t>
      </w:r>
      <w:r>
        <w:rPr>
          <w:lang w:val="en-CA"/>
        </w:rPr>
        <w:t xml:space="preserve"> the judge in first instance in</w:t>
      </w:r>
      <w:r w:rsidR="00C64C43" w:rsidRPr="006B2147">
        <w:rPr>
          <w:lang w:val="en-CA"/>
        </w:rPr>
        <w:t xml:space="preserve"> </w:t>
      </w:r>
      <w:r w:rsidR="00573CE1" w:rsidRPr="006B2147">
        <w:rPr>
          <w:i/>
          <w:iCs/>
          <w:lang w:val="en-CA"/>
        </w:rPr>
        <w:t>Walker</w:t>
      </w:r>
      <w:r w:rsidR="00573CE1" w:rsidRPr="006B2147">
        <w:rPr>
          <w:lang w:val="en-CA"/>
        </w:rPr>
        <w:t xml:space="preserve">, </w:t>
      </w:r>
      <w:r>
        <w:rPr>
          <w:rStyle w:val="cf01"/>
          <w:rFonts w:ascii="Arial" w:hAnsi="Arial" w:cs="Arial"/>
          <w:sz w:val="24"/>
          <w:szCs w:val="24"/>
          <w:lang w:val="en-CA"/>
        </w:rPr>
        <w:t>he did not compare the array with the recommendations</w:t>
      </w:r>
      <w:r w:rsidR="008562BE">
        <w:rPr>
          <w:rStyle w:val="cf01"/>
          <w:rFonts w:ascii="Arial" w:hAnsi="Arial" w:cs="Arial"/>
          <w:sz w:val="24"/>
          <w:szCs w:val="24"/>
          <w:lang w:val="en-CA"/>
        </w:rPr>
        <w:t xml:space="preserve"> of the</w:t>
      </w:r>
      <w:r w:rsidR="00C64C43" w:rsidRPr="006B2147">
        <w:rPr>
          <w:rStyle w:val="cf01"/>
          <w:rFonts w:ascii="Arial" w:hAnsi="Arial" w:cs="Arial"/>
          <w:sz w:val="24"/>
          <w:szCs w:val="24"/>
          <w:lang w:val="en-CA"/>
        </w:rPr>
        <w:t xml:space="preserve"> </w:t>
      </w:r>
      <w:r w:rsidR="00C64C43" w:rsidRPr="006B2147">
        <w:rPr>
          <w:i/>
          <w:iCs/>
          <w:lang w:val="en-CA"/>
        </w:rPr>
        <w:t>Sophonow</w:t>
      </w:r>
      <w:r>
        <w:rPr>
          <w:i/>
          <w:iCs/>
          <w:lang w:val="en-CA"/>
        </w:rPr>
        <w:t xml:space="preserve"> </w:t>
      </w:r>
      <w:r w:rsidR="008562BE">
        <w:rPr>
          <w:lang w:val="en-CA"/>
        </w:rPr>
        <w:t>I</w:t>
      </w:r>
      <w:r w:rsidRPr="00A252E6">
        <w:rPr>
          <w:lang w:val="en-CA"/>
        </w:rPr>
        <w:t>nquir</w:t>
      </w:r>
      <w:r>
        <w:rPr>
          <w:lang w:val="en-CA"/>
        </w:rPr>
        <w:t>y.</w:t>
      </w:r>
      <w:r>
        <w:rPr>
          <w:rStyle w:val="Appelnotedebasdep"/>
          <w:rFonts w:cs="Arial"/>
          <w:szCs w:val="24"/>
          <w:lang w:val="en-CA"/>
        </w:rPr>
        <w:footnoteReference w:id="104"/>
      </w:r>
    </w:p>
    <w:p w14:paraId="6848542A" w14:textId="166188F0" w:rsidR="0025323F" w:rsidRPr="006B2147" w:rsidRDefault="00B37A58" w:rsidP="00171CE9">
      <w:pPr>
        <w:pStyle w:val="Titre2"/>
        <w:keepNext/>
        <w:keepLines/>
        <w:spacing w:line="280" w:lineRule="exact"/>
        <w:ind w:left="714" w:hanging="357"/>
        <w:rPr>
          <w:lang w:val="en-CA"/>
        </w:rPr>
      </w:pPr>
      <w:r>
        <w:rPr>
          <w:lang w:val="en-CA"/>
        </w:rPr>
        <w:t xml:space="preserve">Did the judge err </w:t>
      </w:r>
      <w:r w:rsidR="00FE3BE0" w:rsidRPr="00FE3BE0">
        <w:rPr>
          <w:lang w:val="en-CA"/>
        </w:rPr>
        <w:t>in finding that there was insufficient available evidence upon which a reasonable jury could convict</w:t>
      </w:r>
    </w:p>
    <w:p w14:paraId="37006B3F" w14:textId="55283F8A" w:rsidR="00085F43" w:rsidRPr="006B2147" w:rsidRDefault="00B37A58" w:rsidP="00441741">
      <w:pPr>
        <w:pStyle w:val="Paragraphe"/>
        <w:tabs>
          <w:tab w:val="clear" w:pos="720"/>
          <w:tab w:val="num" w:pos="360"/>
        </w:tabs>
        <w:spacing w:line="280" w:lineRule="exact"/>
        <w:rPr>
          <w:lang w:val="en-CA"/>
        </w:rPr>
      </w:pPr>
      <w:r>
        <w:rPr>
          <w:lang w:val="en-CA"/>
        </w:rPr>
        <w:t>Under this ground of appeal, the appellant claims that the judge erred in three respects</w:t>
      </w:r>
      <w:r w:rsidRPr="006B2147">
        <w:rPr>
          <w:lang w:val="en-CA"/>
        </w:rPr>
        <w:t xml:space="preserve">. </w:t>
      </w:r>
    </w:p>
    <w:p w14:paraId="261F1679" w14:textId="0FFB7432" w:rsidR="00085F43" w:rsidRPr="006B2147" w:rsidRDefault="00B37A58" w:rsidP="00441741">
      <w:pPr>
        <w:pStyle w:val="Paragraphe"/>
        <w:tabs>
          <w:tab w:val="clear" w:pos="720"/>
          <w:tab w:val="num" w:pos="360"/>
        </w:tabs>
        <w:spacing w:line="280" w:lineRule="exact"/>
        <w:rPr>
          <w:lang w:val="en-CA"/>
        </w:rPr>
      </w:pPr>
      <w:r>
        <w:rPr>
          <w:lang w:val="en-CA"/>
        </w:rPr>
        <w:t>The appellant</w:t>
      </w:r>
      <w:r w:rsidR="008562BE">
        <w:rPr>
          <w:lang w:val="en-CA"/>
        </w:rPr>
        <w:t xml:space="preserve"> </w:t>
      </w:r>
      <w:r w:rsidR="005D0B7F">
        <w:rPr>
          <w:lang w:val="en-CA"/>
        </w:rPr>
        <w:t xml:space="preserve">first submits that, even if the identification made by </w:t>
      </w:r>
      <w:r w:rsidRPr="006B2147">
        <w:rPr>
          <w:lang w:val="en-CA"/>
        </w:rPr>
        <w:t>M</w:t>
      </w:r>
      <w:r w:rsidR="005D0B7F">
        <w:rPr>
          <w:lang w:val="en-CA"/>
        </w:rPr>
        <w:t>rs.</w:t>
      </w:r>
      <w:r w:rsidRPr="006B2147">
        <w:rPr>
          <w:lang w:val="en-CA"/>
        </w:rPr>
        <w:t xml:space="preserve"> Brace</w:t>
      </w:r>
      <w:r w:rsidR="005D0B7F">
        <w:rPr>
          <w:lang w:val="en-CA"/>
        </w:rPr>
        <w:t xml:space="preserve"> were to be discarded</w:t>
      </w:r>
      <w:r w:rsidRPr="006B2147">
        <w:rPr>
          <w:lang w:val="en-CA"/>
        </w:rPr>
        <w:t xml:space="preserve">, </w:t>
      </w:r>
      <w:r w:rsidR="005D0B7F">
        <w:rPr>
          <w:lang w:val="en-CA"/>
        </w:rPr>
        <w:t>Ms.</w:t>
      </w:r>
      <w:r w:rsidRPr="006B2147">
        <w:rPr>
          <w:lang w:val="en-CA"/>
        </w:rPr>
        <w:t xml:space="preserve"> </w:t>
      </w:r>
      <w:r w:rsidR="00194B9B">
        <w:rPr>
          <w:lang w:val="en-CA"/>
        </w:rPr>
        <w:t>A</w:t>
      </w:r>
      <w:r w:rsidR="005D0B7F">
        <w:rPr>
          <w:lang w:val="en-CA"/>
        </w:rPr>
        <w:t>’s</w:t>
      </w:r>
      <w:r w:rsidRPr="006B2147">
        <w:rPr>
          <w:lang w:val="en-CA"/>
        </w:rPr>
        <w:t xml:space="preserve"> </w:t>
      </w:r>
      <w:r w:rsidR="005D0B7F">
        <w:rPr>
          <w:lang w:val="en-CA"/>
        </w:rPr>
        <w:t>was sufficient in satisfying the applicable evidentiary standard to order the respondent’s committal</w:t>
      </w:r>
      <w:r w:rsidRPr="006B2147">
        <w:rPr>
          <w:lang w:val="en-CA"/>
        </w:rPr>
        <w:t xml:space="preserve">. </w:t>
      </w:r>
    </w:p>
    <w:p w14:paraId="11ADD77B" w14:textId="3AD374AE" w:rsidR="00085F43" w:rsidRPr="006B2147" w:rsidRDefault="00B37A58" w:rsidP="00441741">
      <w:pPr>
        <w:pStyle w:val="Paragraphe"/>
        <w:tabs>
          <w:tab w:val="clear" w:pos="720"/>
          <w:tab w:val="num" w:pos="360"/>
        </w:tabs>
        <w:spacing w:line="280" w:lineRule="exact"/>
        <w:rPr>
          <w:lang w:val="en-CA"/>
        </w:rPr>
      </w:pPr>
      <w:r>
        <w:rPr>
          <w:lang w:val="en-CA"/>
        </w:rPr>
        <w:t>The appellant</w:t>
      </w:r>
      <w:r w:rsidR="005D0B7F">
        <w:rPr>
          <w:lang w:val="en-CA"/>
        </w:rPr>
        <w:t xml:space="preserve"> adds that the judge incorrectly </w:t>
      </w:r>
      <w:r w:rsidR="00756EBC">
        <w:rPr>
          <w:lang w:val="en-CA"/>
        </w:rPr>
        <w:t>speculated as to</w:t>
      </w:r>
      <w:r w:rsidR="005D0B7F">
        <w:rPr>
          <w:lang w:val="en-CA"/>
        </w:rPr>
        <w:t xml:space="preserve"> the availability of the evidence for a trial in Albania, </w:t>
      </w:r>
      <w:r w:rsidR="00756EBC">
        <w:rPr>
          <w:lang w:val="en-CA"/>
        </w:rPr>
        <w:t>whereas the certification of the record of the case allows this to be presumed, the respondent having failed to rebut the presumption</w:t>
      </w:r>
      <w:r w:rsidRPr="006B2147">
        <w:rPr>
          <w:lang w:val="en-CA"/>
        </w:rPr>
        <w:t xml:space="preserve">. </w:t>
      </w:r>
    </w:p>
    <w:p w14:paraId="55305403" w14:textId="5ADFE0B1" w:rsidR="00085F43" w:rsidRPr="006B2147" w:rsidRDefault="00B37A58" w:rsidP="00441741">
      <w:pPr>
        <w:pStyle w:val="Paragraphe"/>
        <w:tabs>
          <w:tab w:val="clear" w:pos="720"/>
          <w:tab w:val="num" w:pos="360"/>
        </w:tabs>
        <w:spacing w:line="280" w:lineRule="exact"/>
        <w:rPr>
          <w:lang w:val="en-CA"/>
        </w:rPr>
      </w:pPr>
      <w:r>
        <w:rPr>
          <w:lang w:val="en-CA"/>
        </w:rPr>
        <w:t xml:space="preserve">Finally, the appellant complains that the judge was more demanding in his analysis of the sufficiency of the evidence </w:t>
      </w:r>
      <w:r w:rsidR="007E79A7">
        <w:rPr>
          <w:lang w:val="en-CA"/>
        </w:rPr>
        <w:t>out of</w:t>
      </w:r>
      <w:r>
        <w:rPr>
          <w:lang w:val="en-CA"/>
        </w:rPr>
        <w:t xml:space="preserve"> fear that a second trial would</w:t>
      </w:r>
      <w:r w:rsidR="008E581D">
        <w:rPr>
          <w:lang w:val="en-CA"/>
        </w:rPr>
        <w:t xml:space="preserve"> not</w:t>
      </w:r>
      <w:r>
        <w:rPr>
          <w:lang w:val="en-CA"/>
        </w:rPr>
        <w:t xml:space="preserve"> be held in Albania</w:t>
      </w:r>
      <w:r w:rsidRPr="006B2147">
        <w:rPr>
          <w:lang w:val="en-CA"/>
        </w:rPr>
        <w:t>.</w:t>
      </w:r>
    </w:p>
    <w:p w14:paraId="2656FFB8" w14:textId="58924CED" w:rsidR="00085F43" w:rsidRPr="006B2147" w:rsidRDefault="00B37A58" w:rsidP="00441741">
      <w:pPr>
        <w:pStyle w:val="Paragraphe"/>
        <w:spacing w:line="280" w:lineRule="exact"/>
        <w:rPr>
          <w:lang w:val="en-CA"/>
        </w:rPr>
      </w:pPr>
      <w:r>
        <w:rPr>
          <w:lang w:val="en-CA"/>
        </w:rPr>
        <w:t>In my view, these arguments are ill founded</w:t>
      </w:r>
      <w:r w:rsidRPr="006B2147">
        <w:rPr>
          <w:lang w:val="en-CA"/>
        </w:rPr>
        <w:t>.</w:t>
      </w:r>
      <w:r w:rsidR="008E5307" w:rsidRPr="006B2147">
        <w:rPr>
          <w:lang w:val="en-CA"/>
        </w:rPr>
        <w:t xml:space="preserve"> </w:t>
      </w:r>
      <w:r>
        <w:rPr>
          <w:lang w:val="en-CA"/>
        </w:rPr>
        <w:t>This finding obviously</w:t>
      </w:r>
      <w:r w:rsidR="002978F4">
        <w:rPr>
          <w:lang w:val="en-CA"/>
        </w:rPr>
        <w:t xml:space="preserve"> flows</w:t>
      </w:r>
      <w:r>
        <w:rPr>
          <w:lang w:val="en-CA"/>
        </w:rPr>
        <w:t xml:space="preserve"> from my conclusion that the judge held</w:t>
      </w:r>
      <w:r w:rsidR="002978F4">
        <w:rPr>
          <w:lang w:val="en-CA"/>
        </w:rPr>
        <w:t>,</w:t>
      </w:r>
      <w:r>
        <w:rPr>
          <w:lang w:val="en-CA"/>
        </w:rPr>
        <w:t xml:space="preserve"> </w:t>
      </w:r>
      <w:r w:rsidR="002978F4">
        <w:rPr>
          <w:lang w:val="en-CA"/>
        </w:rPr>
        <w:t xml:space="preserve">correctly, </w:t>
      </w:r>
      <w:r>
        <w:rPr>
          <w:lang w:val="en-CA"/>
        </w:rPr>
        <w:t xml:space="preserve">that the evidence as </w:t>
      </w:r>
      <w:r w:rsidR="002978F4">
        <w:rPr>
          <w:lang w:val="en-CA"/>
        </w:rPr>
        <w:t>a</w:t>
      </w:r>
      <w:r>
        <w:rPr>
          <w:lang w:val="en-CA"/>
        </w:rPr>
        <w:t xml:space="preserve"> </w:t>
      </w:r>
      <w:r w:rsidR="002978F4">
        <w:rPr>
          <w:lang w:val="en-CA"/>
        </w:rPr>
        <w:t>w</w:t>
      </w:r>
      <w:r>
        <w:rPr>
          <w:lang w:val="en-CA"/>
        </w:rPr>
        <w:t>hole was not sufficient to order</w:t>
      </w:r>
      <w:r w:rsidRPr="006B2147">
        <w:rPr>
          <w:lang w:val="en-CA"/>
        </w:rPr>
        <w:t xml:space="preserve"> M</w:t>
      </w:r>
      <w:r>
        <w:rPr>
          <w:lang w:val="en-CA"/>
        </w:rPr>
        <w:t>r</w:t>
      </w:r>
      <w:r w:rsidRPr="006B2147">
        <w:rPr>
          <w:lang w:val="en-CA"/>
        </w:rPr>
        <w:t>. Brahimi</w:t>
      </w:r>
      <w:r>
        <w:rPr>
          <w:lang w:val="en-CA"/>
        </w:rPr>
        <w:t>’s committal</w:t>
      </w:r>
      <w:r w:rsidRPr="006B2147">
        <w:rPr>
          <w:lang w:val="en-CA"/>
        </w:rPr>
        <w:t xml:space="preserve">. </w:t>
      </w:r>
    </w:p>
    <w:p w14:paraId="64A2666D" w14:textId="7C3B78E1" w:rsidR="00085F43" w:rsidRPr="006B2147" w:rsidRDefault="00B37A58" w:rsidP="00441741">
      <w:pPr>
        <w:pStyle w:val="Paragraphe"/>
        <w:spacing w:line="280" w:lineRule="exact"/>
        <w:rPr>
          <w:lang w:val="en-CA"/>
        </w:rPr>
      </w:pPr>
      <w:r>
        <w:rPr>
          <w:lang w:val="en-CA"/>
        </w:rPr>
        <w:t xml:space="preserve">A number of observations dealing more specifically with the identification evidence provided by Ms. </w:t>
      </w:r>
      <w:r w:rsidR="00194B9B">
        <w:rPr>
          <w:lang w:val="en-CA"/>
        </w:rPr>
        <w:t>A</w:t>
      </w:r>
      <w:r>
        <w:rPr>
          <w:lang w:val="en-CA"/>
        </w:rPr>
        <w:t xml:space="preserve"> must be made nevertheless</w:t>
      </w:r>
      <w:r w:rsidR="00623F20" w:rsidRPr="006B2147">
        <w:rPr>
          <w:lang w:val="en-CA"/>
        </w:rPr>
        <w:t>.</w:t>
      </w:r>
      <w:r w:rsidR="008E5307" w:rsidRPr="006B2147">
        <w:rPr>
          <w:lang w:val="en-CA"/>
        </w:rPr>
        <w:t xml:space="preserve"> </w:t>
      </w:r>
      <w:r>
        <w:rPr>
          <w:lang w:val="en-CA"/>
        </w:rPr>
        <w:t>In that regard</w:t>
      </w:r>
      <w:r w:rsidR="008E5307" w:rsidRPr="006B2147">
        <w:rPr>
          <w:lang w:val="en-CA"/>
        </w:rPr>
        <w:t xml:space="preserve">, </w:t>
      </w:r>
      <w:r>
        <w:rPr>
          <w:lang w:val="en-CA"/>
        </w:rPr>
        <w:t xml:space="preserve">the judge noted </w:t>
      </w:r>
      <w:r w:rsidRPr="00D707DF">
        <w:rPr>
          <w:lang w:val="en-CA"/>
        </w:rPr>
        <w:t xml:space="preserve">“[t]here </w:t>
      </w:r>
      <w:r w:rsidRPr="00D707DF">
        <w:rPr>
          <w:rFonts w:cs="Arial"/>
          <w:color w:val="000000"/>
          <w:lang w:val="en-CA"/>
        </w:rPr>
        <w:t>was another eyewitness, the 14-year-old niece, but the lineup she was shown was not provided. It is reasonable to assume that it was similar and had the same problems</w:t>
      </w:r>
      <w:r>
        <w:rPr>
          <w:rFonts w:cs="Arial"/>
          <w:i/>
          <w:iCs/>
          <w:color w:val="000000"/>
          <w:lang w:val="en-CA"/>
        </w:rPr>
        <w:t>.”</w:t>
      </w:r>
      <w:r>
        <w:rPr>
          <w:rStyle w:val="Appelnotedebasdep"/>
          <w:rFonts w:cs="Arial"/>
          <w:color w:val="000000"/>
          <w:lang w:val="en-CA"/>
        </w:rPr>
        <w:footnoteReference w:id="105"/>
      </w:r>
      <w:r w:rsidR="008E5307" w:rsidRPr="006B2147">
        <w:rPr>
          <w:lang w:val="en-CA"/>
        </w:rPr>
        <w:t xml:space="preserve"> </w:t>
      </w:r>
      <w:bookmarkStart w:id="61" w:name="_Ref210311695"/>
      <w:r>
        <w:rPr>
          <w:lang w:val="en-CA"/>
        </w:rPr>
        <w:t>Although the ROC is not required to present all of the evidence available to the requesting state</w:t>
      </w:r>
      <w:r w:rsidR="00EF6264">
        <w:rPr>
          <w:lang w:val="en-CA"/>
        </w:rPr>
        <w:t>,</w:t>
      </w:r>
      <w:r>
        <w:rPr>
          <w:rStyle w:val="Appelnotedebasdep"/>
          <w:lang w:val="en-CA"/>
        </w:rPr>
        <w:footnoteReference w:id="106"/>
      </w:r>
      <w:bookmarkEnd w:id="61"/>
      <w:r w:rsidR="00EF6264">
        <w:rPr>
          <w:lang w:val="en-CA"/>
        </w:rPr>
        <w:t xml:space="preserve"> the identification evidence provided by Ms. </w:t>
      </w:r>
      <w:r w:rsidR="00194B9B">
        <w:rPr>
          <w:lang w:val="en-CA"/>
        </w:rPr>
        <w:t>A</w:t>
      </w:r>
      <w:r w:rsidRPr="006B2147">
        <w:rPr>
          <w:lang w:val="en-CA"/>
        </w:rPr>
        <w:t xml:space="preserve"> </w:t>
      </w:r>
      <w:r w:rsidR="00EF6264">
        <w:rPr>
          <w:lang w:val="en-CA"/>
        </w:rPr>
        <w:t>is weak, to say the least</w:t>
      </w:r>
      <w:r w:rsidRPr="006B2147">
        <w:rPr>
          <w:lang w:val="en-CA"/>
        </w:rPr>
        <w:t xml:space="preserve">. </w:t>
      </w:r>
      <w:r w:rsidR="00EF6264">
        <w:rPr>
          <w:lang w:val="en-CA"/>
        </w:rPr>
        <w:t>She describes the person sought and the identification procedure as follows:</w:t>
      </w:r>
      <w:r>
        <w:rPr>
          <w:rStyle w:val="Appelnotedebasdep"/>
          <w:lang w:val="en-CA"/>
        </w:rPr>
        <w:footnoteReference w:id="107"/>
      </w:r>
    </w:p>
    <w:p w14:paraId="4540405C" w14:textId="77777777" w:rsidR="00085F43" w:rsidRPr="006B2147" w:rsidRDefault="00B37A58" w:rsidP="00085F43">
      <w:pPr>
        <w:pStyle w:val="Citationenretrait"/>
        <w:rPr>
          <w:lang w:val="en-CA"/>
        </w:rPr>
      </w:pPr>
      <w:r w:rsidRPr="006B2147">
        <w:rPr>
          <w:lang w:val="en-CA"/>
        </w:rPr>
        <w:t>This person was tall, slender with a medium body, with black hair, with a long face, which I fixed as a face. I looked at him and I remembered. And when he was presented to me in the photographs I put my finger on him. The procedure of recognizing through the photographs was made at the home of my aunt. The photos were listed on a white paper and below them were numbers. I recognized the number 2 to which the person I saw at the car with the automatic corresponded. When I put my finger on the photo, the prosecutor’s investigator photographed me. I do not know who he was.</w:t>
      </w:r>
    </w:p>
    <w:p w14:paraId="63D3ECE0" w14:textId="73BE1EBE" w:rsidR="009E561D" w:rsidRPr="006B2147" w:rsidRDefault="00B37A58" w:rsidP="00441741">
      <w:pPr>
        <w:pStyle w:val="Paragraphe"/>
        <w:spacing w:line="280" w:lineRule="exact"/>
        <w:rPr>
          <w:lang w:val="en-CA"/>
        </w:rPr>
      </w:pPr>
      <w:r>
        <w:rPr>
          <w:lang w:val="en-CA"/>
        </w:rPr>
        <w:t>There is no need to</w:t>
      </w:r>
      <w:r w:rsidR="00085F43" w:rsidRPr="006B2147">
        <w:rPr>
          <w:lang w:val="en-CA"/>
        </w:rPr>
        <w:t xml:space="preserve"> </w:t>
      </w:r>
      <w:r w:rsidR="006F5586" w:rsidRPr="006F5586">
        <w:rPr>
          <w:lang w:val="en-CA"/>
        </w:rPr>
        <w:t xml:space="preserve">set out </w:t>
      </w:r>
      <w:r w:rsidR="007E79A7">
        <w:rPr>
          <w:lang w:val="en-CA"/>
        </w:rPr>
        <w:t>yet</w:t>
      </w:r>
      <w:r w:rsidR="006F5586" w:rsidRPr="006F5586">
        <w:rPr>
          <w:lang w:val="en-CA"/>
        </w:rPr>
        <w:t xml:space="preserve"> again</w:t>
      </w:r>
      <w:r w:rsidR="00CD4379">
        <w:rPr>
          <w:lang w:val="en-CA"/>
        </w:rPr>
        <w:t xml:space="preserve"> the known issues regarding</w:t>
      </w:r>
      <w:r w:rsidR="006F5586">
        <w:rPr>
          <w:lang w:val="en-CA"/>
        </w:rPr>
        <w:t xml:space="preserve"> the</w:t>
      </w:r>
      <w:r w:rsidR="00CD4379">
        <w:rPr>
          <w:lang w:val="en-CA"/>
        </w:rPr>
        <w:t xml:space="preserve"> eyewitness identification evidence. </w:t>
      </w:r>
      <w:r w:rsidR="006F5586">
        <w:rPr>
          <w:lang w:val="en-CA"/>
        </w:rPr>
        <w:t>S</w:t>
      </w:r>
      <w:r w:rsidR="00CD4379">
        <w:rPr>
          <w:lang w:val="en-CA"/>
        </w:rPr>
        <w:t>uffice</w:t>
      </w:r>
      <w:r w:rsidR="006F5586">
        <w:rPr>
          <w:lang w:val="en-CA"/>
        </w:rPr>
        <w:t xml:space="preserve"> it</w:t>
      </w:r>
      <w:r w:rsidR="00CD4379">
        <w:rPr>
          <w:lang w:val="en-CA"/>
        </w:rPr>
        <w:t xml:space="preserve"> to </w:t>
      </w:r>
      <w:r w:rsidR="006F5586">
        <w:rPr>
          <w:lang w:val="en-CA"/>
        </w:rPr>
        <w:t>mention</w:t>
      </w:r>
      <w:r w:rsidR="00CD4379">
        <w:rPr>
          <w:lang w:val="en-CA"/>
        </w:rPr>
        <w:t xml:space="preserve"> that Ms. </w:t>
      </w:r>
      <w:r w:rsidR="00194B9B">
        <w:rPr>
          <w:lang w:val="en-CA"/>
        </w:rPr>
        <w:t>A</w:t>
      </w:r>
      <w:r w:rsidR="00CD4379">
        <w:rPr>
          <w:lang w:val="en-CA"/>
        </w:rPr>
        <w:t xml:space="preserve"> was fourteen years old at the time of the crime, that she had to </w:t>
      </w:r>
      <w:r w:rsidR="00A767EF">
        <w:rPr>
          <w:lang w:val="en-CA"/>
        </w:rPr>
        <w:t>avoid being hit by</w:t>
      </w:r>
      <w:r w:rsidR="00CD4379">
        <w:rPr>
          <w:lang w:val="en-CA"/>
        </w:rPr>
        <w:t xml:space="preserve"> gunfire and that she saw a member of her family lose his life</w:t>
      </w:r>
      <w:r w:rsidR="00A767EF">
        <w:rPr>
          <w:lang w:val="en-CA"/>
        </w:rPr>
        <w:t xml:space="preserve"> just next to her</w:t>
      </w:r>
      <w:r w:rsidR="00085F43" w:rsidRPr="006B2147">
        <w:rPr>
          <w:lang w:val="en-CA"/>
        </w:rPr>
        <w:t xml:space="preserve">. </w:t>
      </w:r>
      <w:r w:rsidR="00A767EF">
        <w:rPr>
          <w:lang w:val="en-CA"/>
        </w:rPr>
        <w:t xml:space="preserve">The shooter got out of a car at a distance of 20 to </w:t>
      </w:r>
      <w:r w:rsidR="00085F43" w:rsidRPr="006B2147">
        <w:rPr>
          <w:lang w:val="en-CA"/>
        </w:rPr>
        <w:t xml:space="preserve">30 </w:t>
      </w:r>
      <w:r w:rsidR="00A767EF">
        <w:rPr>
          <w:lang w:val="en-CA"/>
        </w:rPr>
        <w:t>metres</w:t>
      </w:r>
      <w:r w:rsidR="00085F43" w:rsidRPr="006B2147">
        <w:rPr>
          <w:lang w:val="en-CA"/>
        </w:rPr>
        <w:t xml:space="preserve"> </w:t>
      </w:r>
      <w:r w:rsidR="00A767EF">
        <w:rPr>
          <w:lang w:val="en-CA"/>
        </w:rPr>
        <w:t>from her and advanced toward the car she was in</w:t>
      </w:r>
      <w:r w:rsidR="00085F43" w:rsidRPr="006B2147">
        <w:rPr>
          <w:lang w:val="en-CA"/>
        </w:rPr>
        <w:t xml:space="preserve">. </w:t>
      </w:r>
      <w:r w:rsidR="006F5586">
        <w:rPr>
          <w:lang w:val="en-CA"/>
        </w:rPr>
        <w:t>Sh</w:t>
      </w:r>
      <w:r w:rsidR="00A767EF">
        <w:rPr>
          <w:lang w:val="en-CA"/>
        </w:rPr>
        <w:t>e had never seen the shooter before identifying him during a photo lineup that took place almost six months after the events</w:t>
      </w:r>
      <w:r w:rsidR="00085F43" w:rsidRPr="006B2147">
        <w:rPr>
          <w:lang w:val="en-CA"/>
        </w:rPr>
        <w:t xml:space="preserve">. </w:t>
      </w:r>
      <w:r w:rsidR="00A767EF">
        <w:rPr>
          <w:lang w:val="en-CA"/>
        </w:rPr>
        <w:t xml:space="preserve">Finally, the photo array that was shown to Ms. </w:t>
      </w:r>
      <w:r w:rsidR="00194B9B">
        <w:rPr>
          <w:lang w:val="en-CA"/>
        </w:rPr>
        <w:t>A</w:t>
      </w:r>
      <w:r w:rsidR="00A767EF">
        <w:rPr>
          <w:lang w:val="en-CA"/>
        </w:rPr>
        <w:t xml:space="preserve"> is not provided in the ROC nor in the SROC.</w:t>
      </w:r>
      <w:r>
        <w:rPr>
          <w:rStyle w:val="Appelnotedebasdep"/>
          <w:lang w:val="en-CA"/>
        </w:rPr>
        <w:footnoteReference w:id="108"/>
      </w:r>
      <w:r w:rsidRPr="006B2147">
        <w:rPr>
          <w:lang w:val="en-CA"/>
        </w:rPr>
        <w:t xml:space="preserve"> </w:t>
      </w:r>
    </w:p>
    <w:p w14:paraId="445E26B2" w14:textId="3ED2EDE4" w:rsidR="00085F43" w:rsidRPr="006B2147" w:rsidRDefault="00B37A58" w:rsidP="00441741">
      <w:pPr>
        <w:pStyle w:val="Paragraphe"/>
        <w:spacing w:line="280" w:lineRule="exact"/>
        <w:rPr>
          <w:lang w:val="en-CA"/>
        </w:rPr>
      </w:pPr>
      <w:r>
        <w:rPr>
          <w:lang w:val="en-CA"/>
        </w:rPr>
        <w:t>In light of these facts that the judge considered,</w:t>
      </w:r>
      <w:r>
        <w:rPr>
          <w:rStyle w:val="Appelnotedebasdep"/>
          <w:lang w:val="en-CA"/>
        </w:rPr>
        <w:footnoteReference w:id="109"/>
      </w:r>
      <w:r>
        <w:rPr>
          <w:lang w:val="en-CA"/>
        </w:rPr>
        <w:t xml:space="preserve"> I am of the view that he did not err in not ordering Mr. Brahimi’s committal, on the basis of </w:t>
      </w:r>
      <w:r w:rsidR="00A82516">
        <w:rPr>
          <w:lang w:val="en-CA"/>
        </w:rPr>
        <w:t>the</w:t>
      </w:r>
      <w:r>
        <w:rPr>
          <w:lang w:val="en-CA"/>
        </w:rPr>
        <w:t xml:space="preserve"> identification </w:t>
      </w:r>
      <w:r w:rsidR="00A82516">
        <w:rPr>
          <w:lang w:val="en-CA"/>
        </w:rPr>
        <w:t xml:space="preserve">made </w:t>
      </w:r>
      <w:r>
        <w:rPr>
          <w:lang w:val="en-CA"/>
        </w:rPr>
        <w:t xml:space="preserve">by </w:t>
      </w:r>
      <w:proofErr w:type="spellStart"/>
      <w:r>
        <w:rPr>
          <w:lang w:val="en-CA"/>
        </w:rPr>
        <w:t>Ms</w:t>
      </w:r>
      <w:proofErr w:type="spellEnd"/>
      <w:r w:rsidR="00171CE9">
        <w:rPr>
          <w:lang w:val="en-CA"/>
        </w:rPr>
        <w:t> </w:t>
      </w:r>
      <w:r w:rsidR="00194B9B">
        <w:rPr>
          <w:lang w:val="en-CA"/>
        </w:rPr>
        <w:t>A</w:t>
      </w:r>
      <w:r w:rsidR="00A82516">
        <w:rPr>
          <w:lang w:val="en-CA"/>
        </w:rPr>
        <w:t xml:space="preserve"> alone</w:t>
      </w:r>
      <w:r w:rsidRPr="006B2147">
        <w:rPr>
          <w:lang w:val="en-CA"/>
        </w:rPr>
        <w:t xml:space="preserve">. </w:t>
      </w:r>
    </w:p>
    <w:p w14:paraId="60AA26EA" w14:textId="21FA3E99" w:rsidR="00085F43" w:rsidRPr="006B2147" w:rsidRDefault="00B37A58" w:rsidP="00441741">
      <w:pPr>
        <w:pStyle w:val="Paragraphe"/>
        <w:spacing w:line="280" w:lineRule="exact"/>
        <w:rPr>
          <w:lang w:val="en-CA"/>
        </w:rPr>
      </w:pPr>
      <w:r>
        <w:rPr>
          <w:lang w:val="en-CA"/>
        </w:rPr>
        <w:t>I</w:t>
      </w:r>
      <w:r w:rsidR="00A82516">
        <w:rPr>
          <w:lang w:val="en-CA"/>
        </w:rPr>
        <w:t xml:space="preserve">n </w:t>
      </w:r>
      <w:r w:rsidR="00EA2BCD">
        <w:rPr>
          <w:lang w:val="en-CA"/>
        </w:rPr>
        <w:t>this respect</w:t>
      </w:r>
      <w:r w:rsidR="00044E58" w:rsidRPr="006B2147">
        <w:rPr>
          <w:lang w:val="en-CA"/>
        </w:rPr>
        <w:t xml:space="preserve">, </w:t>
      </w:r>
      <w:r w:rsidR="00A82516">
        <w:rPr>
          <w:lang w:val="en-CA"/>
        </w:rPr>
        <w:t>moreover</w:t>
      </w:r>
      <w:r w:rsidR="00044E58" w:rsidRPr="006B2147">
        <w:rPr>
          <w:lang w:val="en-CA"/>
        </w:rPr>
        <w:t xml:space="preserve">, </w:t>
      </w:r>
      <w:r w:rsidR="00A82516">
        <w:rPr>
          <w:lang w:val="en-CA"/>
        </w:rPr>
        <w:t>the parallel that the judge dr</w:t>
      </w:r>
      <w:r w:rsidR="005548AF">
        <w:rPr>
          <w:lang w:val="en-CA"/>
        </w:rPr>
        <w:t>ew</w:t>
      </w:r>
      <w:r w:rsidR="00A82516">
        <w:rPr>
          <w:lang w:val="en-CA"/>
        </w:rPr>
        <w:t xml:space="preserve"> between the photo array provided to Ms. </w:t>
      </w:r>
      <w:r w:rsidR="00194B9B">
        <w:rPr>
          <w:lang w:val="en-CA"/>
        </w:rPr>
        <w:t>A</w:t>
      </w:r>
      <w:r w:rsidR="00A82516">
        <w:rPr>
          <w:lang w:val="en-CA"/>
        </w:rPr>
        <w:t xml:space="preserve"> and that used by </w:t>
      </w:r>
      <w:r w:rsidR="00F87806">
        <w:rPr>
          <w:lang w:val="en-CA"/>
        </w:rPr>
        <w:t>Mrs. Brace</w:t>
      </w:r>
      <w:r w:rsidR="00A82516">
        <w:rPr>
          <w:lang w:val="en-CA"/>
        </w:rPr>
        <w:t xml:space="preserve"> is supported by the evidence</w:t>
      </w:r>
      <w:r w:rsidRPr="006B2147">
        <w:rPr>
          <w:lang w:val="en-CA"/>
        </w:rPr>
        <w:t xml:space="preserve">. </w:t>
      </w:r>
      <w:r w:rsidR="00A82516">
        <w:rPr>
          <w:lang w:val="en-CA"/>
        </w:rPr>
        <w:t xml:space="preserve">Indeed, both </w:t>
      </w:r>
      <w:r w:rsidR="00F87806">
        <w:rPr>
          <w:lang w:val="en-CA"/>
        </w:rPr>
        <w:t>Mrs. Brace</w:t>
      </w:r>
      <w:r w:rsidRPr="006B2147">
        <w:rPr>
          <w:lang w:val="en-CA"/>
        </w:rPr>
        <w:t xml:space="preserve"> </w:t>
      </w:r>
      <w:r w:rsidR="00A82516">
        <w:rPr>
          <w:lang w:val="en-CA"/>
        </w:rPr>
        <w:t>and Ms.</w:t>
      </w:r>
      <w:r w:rsidR="00E92C95" w:rsidRPr="006B2147">
        <w:rPr>
          <w:lang w:val="en-CA"/>
        </w:rPr>
        <w:t xml:space="preserve"> </w:t>
      </w:r>
      <w:r w:rsidR="00194B9B">
        <w:rPr>
          <w:lang w:val="en-CA"/>
        </w:rPr>
        <w:t>A</w:t>
      </w:r>
      <w:r w:rsidRPr="006B2147">
        <w:rPr>
          <w:lang w:val="en-CA"/>
        </w:rPr>
        <w:t xml:space="preserve"> </w:t>
      </w:r>
      <w:r w:rsidR="00A82516">
        <w:rPr>
          <w:lang w:val="en-CA"/>
        </w:rPr>
        <w:t>described a white sheet of paper</w:t>
      </w:r>
      <w:r w:rsidRPr="006B2147">
        <w:rPr>
          <w:lang w:val="en-CA"/>
        </w:rPr>
        <w:t xml:space="preserve"> </w:t>
      </w:r>
      <w:r w:rsidR="005548AF">
        <w:rPr>
          <w:lang w:val="en-CA"/>
        </w:rPr>
        <w:t>that included photographs and numbers,</w:t>
      </w:r>
      <w:r>
        <w:rPr>
          <w:rStyle w:val="Appelnotedebasdep"/>
          <w:lang w:val="en-CA"/>
        </w:rPr>
        <w:footnoteReference w:id="110"/>
      </w:r>
      <w:r w:rsidR="005548AF">
        <w:rPr>
          <w:lang w:val="en-CA"/>
        </w:rPr>
        <w:t xml:space="preserve"> and both mentioned having made the identification at </w:t>
      </w:r>
      <w:r w:rsidR="00F87806">
        <w:rPr>
          <w:lang w:val="en-CA"/>
        </w:rPr>
        <w:t>Mrs. Brace</w:t>
      </w:r>
      <w:r w:rsidR="005548AF">
        <w:rPr>
          <w:lang w:val="en-CA"/>
        </w:rPr>
        <w:t>’s home and having then been photographed by an investigator.</w:t>
      </w:r>
      <w:r>
        <w:rPr>
          <w:rStyle w:val="Appelnotedebasdep"/>
          <w:lang w:val="en-CA"/>
        </w:rPr>
        <w:footnoteReference w:id="111"/>
      </w:r>
      <w:r w:rsidRPr="006B2147">
        <w:rPr>
          <w:lang w:val="en-CA"/>
        </w:rPr>
        <w:t xml:space="preserve"> </w:t>
      </w:r>
      <w:r w:rsidR="005548AF">
        <w:rPr>
          <w:lang w:val="en-CA"/>
        </w:rPr>
        <w:t xml:space="preserve">On that subject, I believe that </w:t>
      </w:r>
      <w:r w:rsidRPr="006B2147">
        <w:rPr>
          <w:lang w:val="en-CA"/>
        </w:rPr>
        <w:t>Donald</w:t>
      </w:r>
      <w:r w:rsidR="005548AF">
        <w:rPr>
          <w:lang w:val="en-CA"/>
        </w:rPr>
        <w:t xml:space="preserve"> J.A.’s comments</w:t>
      </w:r>
      <w:r w:rsidRPr="006B2147">
        <w:rPr>
          <w:lang w:val="en-CA"/>
        </w:rPr>
        <w:t xml:space="preserve"> </w:t>
      </w:r>
      <w:r w:rsidR="005548AF">
        <w:rPr>
          <w:lang w:val="en-CA"/>
        </w:rPr>
        <w:t>in</w:t>
      </w:r>
      <w:r w:rsidRPr="006B2147">
        <w:rPr>
          <w:lang w:val="en-CA"/>
        </w:rPr>
        <w:t xml:space="preserve"> </w:t>
      </w:r>
      <w:r w:rsidRPr="006B2147">
        <w:rPr>
          <w:i/>
          <w:iCs/>
          <w:lang w:val="en-CA"/>
        </w:rPr>
        <w:t>Walker 1</w:t>
      </w:r>
      <w:r w:rsidRPr="006B2147">
        <w:rPr>
          <w:lang w:val="en-CA"/>
        </w:rPr>
        <w:t xml:space="preserve"> </w:t>
      </w:r>
      <w:r w:rsidR="005548AF">
        <w:rPr>
          <w:lang w:val="en-CA"/>
        </w:rPr>
        <w:t>are relevant</w:t>
      </w:r>
      <w:r w:rsidRPr="006B2147">
        <w:rPr>
          <w:lang w:val="en-CA"/>
        </w:rPr>
        <w:t xml:space="preserve">, </w:t>
      </w:r>
      <w:r w:rsidR="005548AF">
        <w:rPr>
          <w:lang w:val="en-CA"/>
        </w:rPr>
        <w:t xml:space="preserve">in that they describe a situation where, as </w:t>
      </w:r>
      <w:r w:rsidR="00EA2BCD">
        <w:rPr>
          <w:lang w:val="en-CA"/>
        </w:rPr>
        <w:t>here, the evidence provided very few indications on the identification process itself:</w:t>
      </w:r>
      <w:r>
        <w:rPr>
          <w:rStyle w:val="Appelnotedebasdep"/>
          <w:lang w:val="en-CA"/>
        </w:rPr>
        <w:footnoteReference w:id="112"/>
      </w:r>
    </w:p>
    <w:p w14:paraId="7AA3B83F" w14:textId="0C96FE07" w:rsidR="00085F43" w:rsidRPr="006B2147" w:rsidRDefault="00B37A58" w:rsidP="00171CE9">
      <w:pPr>
        <w:pStyle w:val="Citationenretrait"/>
        <w:keepNext/>
        <w:rPr>
          <w:lang w:val="en-CA"/>
        </w:rPr>
      </w:pPr>
      <w:r w:rsidRPr="006B2147">
        <w:rPr>
          <w:lang w:val="en-CA"/>
        </w:rPr>
        <w:t>[</w:t>
      </w:r>
      <w:bookmarkStart w:id="62" w:name="par30"/>
      <w:r w:rsidRPr="006B2147">
        <w:rPr>
          <w:lang w:val="en-CA"/>
        </w:rPr>
        <w:t>30</w:t>
      </w:r>
      <w:bookmarkEnd w:id="62"/>
      <w:r w:rsidRPr="006B2147">
        <w:rPr>
          <w:lang w:val="en-CA"/>
        </w:rPr>
        <w:t>]</w:t>
      </w:r>
      <w:r w:rsidR="002A3C83" w:rsidRPr="006B2147">
        <w:rPr>
          <w:lang w:val="en-CA"/>
        </w:rPr>
        <w:tab/>
      </w:r>
      <w:r w:rsidRPr="006B2147">
        <w:rPr>
          <w:lang w:val="en-CA"/>
        </w:rPr>
        <w:t>The judge in this case expressed the view that the appellant asked him "to speculate as to the frailties of the Government's case" (para. 25).</w:t>
      </w:r>
      <w:r w:rsidR="002A3C83" w:rsidRPr="006B2147">
        <w:rPr>
          <w:lang w:val="en-CA"/>
        </w:rPr>
        <w:t xml:space="preserve"> </w:t>
      </w:r>
      <w:r w:rsidRPr="006B2147">
        <w:rPr>
          <w:lang w:val="en-CA"/>
        </w:rPr>
        <w:t xml:space="preserve">With respect, I do not think that speculation is involved in evaluating this evidence. </w:t>
      </w:r>
      <w:r w:rsidRPr="006B2147">
        <w:rPr>
          <w:u w:val="single"/>
          <w:lang w:val="en-CA"/>
        </w:rPr>
        <w:t>When it cannot be determined whether the eyewitness identification is dangerous or unsafe – because the summary is incomplete – then the requesting state has not met its burden. It would be speculation to assume the worst about the evidence; but by the same token, it would be speculation to assume the evidence is free of any defect that would render it insufficient for committal.</w:t>
      </w:r>
      <w:r w:rsidRPr="006B2147">
        <w:rPr>
          <w:lang w:val="en-CA"/>
        </w:rPr>
        <w:t xml:space="preserve"> Perhaps the judge, at paragraph 25 of his reasons, meant that whether the evidence is good or bad is a matter best left for trial in Washington. If so, that comes very close to the rubber stamping that prevailed under the</w:t>
      </w:r>
      <w:r w:rsidR="002A3C83" w:rsidRPr="006B2147">
        <w:rPr>
          <w:lang w:val="en-CA"/>
        </w:rPr>
        <w:t xml:space="preserve"> </w:t>
      </w:r>
      <w:r w:rsidRPr="006B2147">
        <w:rPr>
          <w:b/>
          <w:bCs/>
          <w:i/>
          <w:iCs/>
          <w:lang w:val="en-CA"/>
        </w:rPr>
        <w:t>Shephard</w:t>
      </w:r>
      <w:r w:rsidR="002A3C83" w:rsidRPr="006B2147">
        <w:rPr>
          <w:b/>
          <w:bCs/>
          <w:i/>
          <w:iCs/>
          <w:lang w:val="en-CA"/>
        </w:rPr>
        <w:t xml:space="preserve"> </w:t>
      </w:r>
      <w:r w:rsidRPr="006B2147">
        <w:rPr>
          <w:lang w:val="en-CA"/>
        </w:rPr>
        <w:t>model.</w:t>
      </w:r>
      <w:r w:rsidR="002A3C83" w:rsidRPr="006B2147">
        <w:rPr>
          <w:lang w:val="en-CA"/>
        </w:rPr>
        <w:t xml:space="preserve"> </w:t>
      </w:r>
      <w:r w:rsidRPr="006B2147">
        <w:rPr>
          <w:lang w:val="en-CA"/>
        </w:rPr>
        <w:t>A</w:t>
      </w:r>
      <w:r w:rsidR="002A3C83" w:rsidRPr="006B2147">
        <w:rPr>
          <w:lang w:val="en-CA"/>
        </w:rPr>
        <w:t xml:space="preserve"> </w:t>
      </w:r>
      <w:r w:rsidRPr="006B2147">
        <w:rPr>
          <w:b/>
          <w:bCs/>
          <w:i/>
          <w:iCs/>
          <w:lang w:val="en-CA"/>
        </w:rPr>
        <w:t>Ferras</w:t>
      </w:r>
      <w:r w:rsidR="002A3C83" w:rsidRPr="006B2147">
        <w:rPr>
          <w:b/>
          <w:bCs/>
          <w:i/>
          <w:iCs/>
          <w:lang w:val="en-CA"/>
        </w:rPr>
        <w:t xml:space="preserve"> </w:t>
      </w:r>
      <w:r w:rsidRPr="006B2147">
        <w:rPr>
          <w:lang w:val="en-CA"/>
        </w:rPr>
        <w:t>assessment demands more than that.</w:t>
      </w:r>
    </w:p>
    <w:p w14:paraId="75E02F89" w14:textId="39D23C3B" w:rsidR="00085F43" w:rsidRPr="006B2147" w:rsidRDefault="00B37A58" w:rsidP="00171CE9">
      <w:pPr>
        <w:pStyle w:val="Citationenretrait"/>
        <w:keepNext/>
        <w:jc w:val="right"/>
        <w:rPr>
          <w:lang w:val="en-CA"/>
        </w:rPr>
      </w:pPr>
      <w:r w:rsidRPr="006B2147">
        <w:rPr>
          <w:lang w:val="en-CA"/>
        </w:rPr>
        <w:t>[</w:t>
      </w:r>
      <w:r w:rsidR="00EA2BCD">
        <w:rPr>
          <w:lang w:val="en-CA"/>
        </w:rPr>
        <w:t>Emphasis added</w:t>
      </w:r>
      <w:r w:rsidRPr="006B2147">
        <w:rPr>
          <w:lang w:val="en-CA"/>
        </w:rPr>
        <w:t xml:space="preserve">; </w:t>
      </w:r>
      <w:r w:rsidR="00EA2BCD">
        <w:rPr>
          <w:lang w:val="en-CA"/>
        </w:rPr>
        <w:t xml:space="preserve">bold in the </w:t>
      </w:r>
      <w:r w:rsidRPr="006B2147">
        <w:rPr>
          <w:lang w:val="en-CA"/>
        </w:rPr>
        <w:t>original]</w:t>
      </w:r>
    </w:p>
    <w:p w14:paraId="10479E09" w14:textId="2D5A3169" w:rsidR="00085F43" w:rsidRPr="006B2147" w:rsidRDefault="00B37A58" w:rsidP="00441741">
      <w:pPr>
        <w:pStyle w:val="Paragraphe"/>
        <w:spacing w:line="280" w:lineRule="exact"/>
        <w:rPr>
          <w:lang w:val="en-CA"/>
        </w:rPr>
      </w:pPr>
      <w:r>
        <w:rPr>
          <w:lang w:val="en-CA"/>
        </w:rPr>
        <w:t>Finally, the appellant is of the view that the judge erred in writing that there was no indication that the witnesses would be available for a trial.</w:t>
      </w:r>
      <w:r>
        <w:rPr>
          <w:rStyle w:val="Appelnotedebasdep"/>
          <w:lang w:val="en-CA"/>
        </w:rPr>
        <w:footnoteReference w:id="113"/>
      </w:r>
      <w:r w:rsidR="009E561D" w:rsidRPr="006B2147">
        <w:rPr>
          <w:lang w:val="en-CA"/>
        </w:rPr>
        <w:t xml:space="preserve"> </w:t>
      </w:r>
      <w:r w:rsidR="009D3FDD">
        <w:rPr>
          <w:lang w:val="en-CA"/>
        </w:rPr>
        <w:t>The appellant</w:t>
      </w:r>
      <w:r>
        <w:rPr>
          <w:lang w:val="en-CA"/>
        </w:rPr>
        <w:t xml:space="preserve"> takes issue with the following paragraphs in particular</w:t>
      </w:r>
      <w:r w:rsidR="009E561D" w:rsidRPr="006B2147">
        <w:rPr>
          <w:lang w:val="en-CA"/>
        </w:rPr>
        <w:t>:</w:t>
      </w:r>
    </w:p>
    <w:p w14:paraId="10D864F2" w14:textId="77777777" w:rsidR="00085F43" w:rsidRPr="006B2147" w:rsidRDefault="00B37A58" w:rsidP="002A3C83">
      <w:pPr>
        <w:pStyle w:val="Citationenretrait"/>
        <w:rPr>
          <w:lang w:val="en-CA"/>
        </w:rPr>
      </w:pPr>
      <w:r w:rsidRPr="006B2147">
        <w:rPr>
          <w:lang w:val="en-CA"/>
        </w:rPr>
        <w:t>[27]</w:t>
      </w:r>
      <w:r w:rsidRPr="006B2147">
        <w:rPr>
          <w:lang w:val="en-CA"/>
        </w:rPr>
        <w:tab/>
        <w:t>The summary of the evidence contained in the record of the case is based on the case file and the trial record dating back to the time of the facts and proceedings in 2000 and 2001. The evidence is alleged to be lawful under Albanian law and that it would be available at trial. However, there is no indication of more recent meetings with witnesses and their availability to testify at trial, and, as mentioned, it is stated that extradition is requested for the execution of the sentence.</w:t>
      </w:r>
    </w:p>
    <w:p w14:paraId="58A56324" w14:textId="77777777" w:rsidR="00085F43" w:rsidRPr="006B2147" w:rsidRDefault="00B37A58" w:rsidP="002A3C83">
      <w:pPr>
        <w:pStyle w:val="Citationenretrait"/>
        <w:rPr>
          <w:lang w:val="en-CA"/>
        </w:rPr>
      </w:pPr>
      <w:r w:rsidRPr="006B2147">
        <w:rPr>
          <w:lang w:val="en-CA"/>
        </w:rPr>
        <w:t>[…]</w:t>
      </w:r>
    </w:p>
    <w:p w14:paraId="3912B1BB" w14:textId="2E561D4C" w:rsidR="00085F43" w:rsidRPr="006B2147" w:rsidRDefault="00B37A58" w:rsidP="002A3C83">
      <w:pPr>
        <w:pStyle w:val="Citationenretrait"/>
        <w:rPr>
          <w:lang w:val="en-CA"/>
        </w:rPr>
      </w:pPr>
      <w:r w:rsidRPr="006B2147">
        <w:rPr>
          <w:lang w:val="en-CA"/>
        </w:rPr>
        <w:t>[70]</w:t>
      </w:r>
      <w:r w:rsidRPr="006B2147">
        <w:rPr>
          <w:lang w:val="en-CA"/>
        </w:rPr>
        <w:tab/>
        <w:t>To recap, this case turns on eyewitness identification, a type of evidence known to present high risks of error, where the prosecutor is relying on 23</w:t>
      </w:r>
      <w:r w:rsidR="000B14DC" w:rsidRPr="006B2147">
        <w:rPr>
          <w:lang w:val="en-CA"/>
        </w:rPr>
        <w:noBreakHyphen/>
      </w:r>
      <w:r w:rsidRPr="006B2147">
        <w:rPr>
          <w:lang w:val="en-CA"/>
        </w:rPr>
        <w:t>year</w:t>
      </w:r>
      <w:r w:rsidR="000B14DC" w:rsidRPr="006B2147">
        <w:rPr>
          <w:lang w:val="en-CA"/>
        </w:rPr>
        <w:noBreakHyphen/>
      </w:r>
      <w:r w:rsidRPr="006B2147">
        <w:rPr>
          <w:lang w:val="en-CA"/>
        </w:rPr>
        <w:t>old documentary evidence, with no indication that the witnesses are available for trial.</w:t>
      </w:r>
    </w:p>
    <w:p w14:paraId="3446C750" w14:textId="72D85ED3" w:rsidR="00085F43" w:rsidRPr="006B2147" w:rsidRDefault="00B37A58" w:rsidP="00441741">
      <w:pPr>
        <w:pStyle w:val="Paragraphe"/>
        <w:spacing w:line="280" w:lineRule="exact"/>
        <w:rPr>
          <w:lang w:val="en-CA"/>
        </w:rPr>
      </w:pPr>
      <w:r>
        <w:rPr>
          <w:lang w:val="en-CA"/>
        </w:rPr>
        <w:t>I agree with the appellant that there was nothing in the record to support the proposition that the evidence</w:t>
      </w:r>
      <w:r w:rsidR="005F70C8" w:rsidRPr="006B2147">
        <w:rPr>
          <w:lang w:val="en-CA"/>
        </w:rPr>
        <w:t xml:space="preserve"> </w:t>
      </w:r>
      <w:r>
        <w:rPr>
          <w:lang w:val="en-CA"/>
        </w:rPr>
        <w:t xml:space="preserve">will not be available for trial, it being well established that the certification inherent to the ROC and SROC </w:t>
      </w:r>
      <w:bookmarkStart w:id="63" w:name="_Ref210312383"/>
      <w:r>
        <w:rPr>
          <w:lang w:val="en-CA"/>
        </w:rPr>
        <w:t>creates a presumption of the availability of that evidence for trial,</w:t>
      </w:r>
      <w:r>
        <w:rPr>
          <w:rStyle w:val="Appelnotedebasdep"/>
          <w:lang w:val="en-CA"/>
        </w:rPr>
        <w:footnoteReference w:id="114"/>
      </w:r>
      <w:bookmarkEnd w:id="63"/>
      <w:r>
        <w:rPr>
          <w:lang w:val="en-CA"/>
        </w:rPr>
        <w:t xml:space="preserve"> </w:t>
      </w:r>
      <w:bookmarkStart w:id="64" w:name="_Ref210312442"/>
      <w:r>
        <w:rPr>
          <w:lang w:val="en-CA"/>
        </w:rPr>
        <w:t xml:space="preserve">and that the </w:t>
      </w:r>
      <w:r w:rsidR="005E428C">
        <w:rPr>
          <w:lang w:val="en-CA"/>
        </w:rPr>
        <w:t xml:space="preserve">mere </w:t>
      </w:r>
      <w:r>
        <w:rPr>
          <w:lang w:val="en-CA"/>
        </w:rPr>
        <w:t xml:space="preserve">passage of time cannot </w:t>
      </w:r>
      <w:r w:rsidR="005E428C">
        <w:rPr>
          <w:lang w:val="en-CA"/>
        </w:rPr>
        <w:t>rebut</w:t>
      </w:r>
      <w:r>
        <w:rPr>
          <w:lang w:val="en-CA"/>
        </w:rPr>
        <w:t xml:space="preserve"> that presumption.</w:t>
      </w:r>
      <w:r>
        <w:rPr>
          <w:rStyle w:val="Appelnotedebasdep"/>
          <w:lang w:val="en-CA"/>
        </w:rPr>
        <w:footnoteReference w:id="115"/>
      </w:r>
      <w:bookmarkEnd w:id="64"/>
    </w:p>
    <w:p w14:paraId="1A5909ED" w14:textId="74CCCD8C" w:rsidR="00085F43" w:rsidRPr="006B2147" w:rsidRDefault="00B37A58" w:rsidP="00441741">
      <w:pPr>
        <w:pStyle w:val="Paragraphe"/>
        <w:spacing w:line="280" w:lineRule="exact"/>
        <w:rPr>
          <w:lang w:val="en-CA"/>
        </w:rPr>
      </w:pPr>
      <w:r>
        <w:rPr>
          <w:lang w:val="en-CA"/>
        </w:rPr>
        <w:t xml:space="preserve">However, as the appellant </w:t>
      </w:r>
      <w:r w:rsidR="00EB7E64">
        <w:rPr>
          <w:lang w:val="en-CA"/>
        </w:rPr>
        <w:t>them</w:t>
      </w:r>
      <w:r>
        <w:rPr>
          <w:lang w:val="en-CA"/>
        </w:rPr>
        <w:t>self acknowledges, the judge did not find that that presumption was rebutted.</w:t>
      </w:r>
      <w:r>
        <w:rPr>
          <w:rStyle w:val="Appelnotedebasdep"/>
          <w:lang w:val="en-CA"/>
        </w:rPr>
        <w:footnoteReference w:id="116"/>
      </w:r>
      <w:r>
        <w:rPr>
          <w:lang w:val="en-CA"/>
        </w:rPr>
        <w:t xml:space="preserve"> In fact, his refusal to order committal was not based on the unavailability of the evidence at trial</w:t>
      </w:r>
      <w:r w:rsidRPr="006B2147">
        <w:rPr>
          <w:lang w:val="en-CA"/>
        </w:rPr>
        <w:t xml:space="preserve">. </w:t>
      </w:r>
      <w:r>
        <w:rPr>
          <w:lang w:val="en-CA"/>
        </w:rPr>
        <w:t>He relied rather on the fact that the evidence was insufficient</w:t>
      </w:r>
      <w:r>
        <w:rPr>
          <w:rStyle w:val="Appelnotedebasdep"/>
          <w:lang w:val="en-CA"/>
        </w:rPr>
        <w:footnoteReference w:id="117"/>
      </w:r>
      <w:r w:rsidR="00763736" w:rsidRPr="006B2147">
        <w:rPr>
          <w:lang w:val="en-CA"/>
        </w:rPr>
        <w:t xml:space="preserve"> </w:t>
      </w:r>
      <w:r w:rsidR="009B0CCA">
        <w:rPr>
          <w:lang w:val="en-CA"/>
        </w:rPr>
        <w:t>and manifestly unreliable.</w:t>
      </w:r>
      <w:r>
        <w:rPr>
          <w:rStyle w:val="Appelnotedebasdep"/>
          <w:lang w:val="en-CA"/>
        </w:rPr>
        <w:footnoteReference w:id="118"/>
      </w:r>
      <w:r w:rsidR="009B0CCA">
        <w:rPr>
          <w:lang w:val="en-CA"/>
        </w:rPr>
        <w:t xml:space="preserve"> In this context</w:t>
      </w:r>
      <w:r w:rsidRPr="006B2147">
        <w:rPr>
          <w:lang w:val="en-CA"/>
        </w:rPr>
        <w:t xml:space="preserve">, </w:t>
      </w:r>
      <w:r w:rsidR="009B0CCA">
        <w:rPr>
          <w:lang w:val="en-CA"/>
        </w:rPr>
        <w:t>even if there was indeed an error</w:t>
      </w:r>
      <w:r w:rsidR="00044E58" w:rsidRPr="006B2147">
        <w:rPr>
          <w:lang w:val="en-CA"/>
        </w:rPr>
        <w:t xml:space="preserve">, </w:t>
      </w:r>
      <w:r w:rsidR="009B0CCA">
        <w:rPr>
          <w:lang w:val="en-CA"/>
        </w:rPr>
        <w:t>it would not be overriding</w:t>
      </w:r>
      <w:r w:rsidR="00763736" w:rsidRPr="006B2147">
        <w:rPr>
          <w:lang w:val="en-CA"/>
        </w:rPr>
        <w:t>.</w:t>
      </w:r>
    </w:p>
    <w:p w14:paraId="64DE95F9" w14:textId="521D92BA" w:rsidR="00085F43" w:rsidRPr="006B2147" w:rsidRDefault="00B37A58" w:rsidP="00441741">
      <w:pPr>
        <w:pStyle w:val="Paragraphe"/>
        <w:spacing w:line="280" w:lineRule="exact"/>
        <w:rPr>
          <w:lang w:val="en-CA"/>
        </w:rPr>
      </w:pPr>
      <w:r>
        <w:rPr>
          <w:lang w:val="en-CA"/>
        </w:rPr>
        <w:t>The appellant submit</w:t>
      </w:r>
      <w:r w:rsidR="00FE208B">
        <w:rPr>
          <w:lang w:val="en-CA"/>
        </w:rPr>
        <w:t>s</w:t>
      </w:r>
      <w:r>
        <w:rPr>
          <w:lang w:val="en-CA"/>
        </w:rPr>
        <w:t xml:space="preserve"> a similar argument with respect to the judge’s following comments as to the fact that extradition is requested for the execution of a sentence:</w:t>
      </w:r>
      <w:r>
        <w:rPr>
          <w:rStyle w:val="Appelnotedebasdep"/>
          <w:lang w:val="en-CA"/>
        </w:rPr>
        <w:footnoteReference w:id="119"/>
      </w:r>
      <w:r w:rsidRPr="006B2147">
        <w:rPr>
          <w:lang w:val="en-CA"/>
        </w:rPr>
        <w:t> </w:t>
      </w:r>
    </w:p>
    <w:p w14:paraId="4A2C593B" w14:textId="472229E2" w:rsidR="00085F43" w:rsidRPr="006B2147" w:rsidRDefault="00B37A58" w:rsidP="00085F43">
      <w:pPr>
        <w:pStyle w:val="Citationenretrait"/>
        <w:rPr>
          <w:rFonts w:ascii="Calibri" w:hAnsi="Calibri" w:cs="Calibri"/>
          <w:szCs w:val="22"/>
          <w:lang w:val="en-CA" w:eastAsia="fr-CA"/>
        </w:rPr>
      </w:pPr>
      <w:r w:rsidRPr="006B2147">
        <w:rPr>
          <w:lang w:val="en-CA" w:eastAsia="fr-CA"/>
        </w:rPr>
        <w:t>[</w:t>
      </w:r>
      <w:bookmarkStart w:id="65" w:name="par26"/>
      <w:r w:rsidRPr="006B2147">
        <w:rPr>
          <w:lang w:val="en-CA" w:eastAsia="fr-CA"/>
        </w:rPr>
        <w:t>26</w:t>
      </w:r>
      <w:bookmarkEnd w:id="65"/>
      <w:r w:rsidRPr="006B2147">
        <w:rPr>
          <w:lang w:val="en-CA" w:eastAsia="fr-CA"/>
        </w:rPr>
        <w:t>]</w:t>
      </w:r>
      <w:r w:rsidR="002A23A1" w:rsidRPr="006B2147">
        <w:rPr>
          <w:lang w:val="en-CA" w:eastAsia="fr-CA"/>
        </w:rPr>
        <w:tab/>
      </w:r>
      <w:r w:rsidRPr="006B2147">
        <w:rPr>
          <w:lang w:val="en-CA" w:eastAsia="fr-CA"/>
        </w:rPr>
        <w:t>It is stated in the record of the case that Albania requests Mr. Brahimi for the execution of a sentence following a guilty verdict rendered </w:t>
      </w:r>
      <w:r w:rsidRPr="006B2147">
        <w:rPr>
          <w:i/>
          <w:iCs/>
          <w:lang w:val="en-CA" w:eastAsia="fr-CA"/>
        </w:rPr>
        <w:t>in absentia</w:t>
      </w:r>
      <w:r w:rsidR="002A23A1" w:rsidRPr="006B2147">
        <w:rPr>
          <w:i/>
          <w:iCs/>
          <w:lang w:val="en-CA" w:eastAsia="fr-CA"/>
        </w:rPr>
        <w:t xml:space="preserve"> </w:t>
      </w:r>
      <w:r w:rsidRPr="006B2147">
        <w:rPr>
          <w:lang w:val="en-CA" w:eastAsia="fr-CA"/>
        </w:rPr>
        <w:t xml:space="preserve">by an Albanian Court on May 21, 2001. </w:t>
      </w:r>
      <w:r w:rsidRPr="006B2147">
        <w:rPr>
          <w:u w:val="single"/>
          <w:lang w:val="en-CA" w:eastAsia="fr-CA"/>
        </w:rPr>
        <w:t>However, at the extradition hearing, this Court was advised that Mr. Brahimi would be entitled to a new trial in Albania if extradited. To be clear, this is not a matter for the Court. The role of the Court is limited to determining whether sufficient evidence has been presented in support of the extradition request.</w:t>
      </w:r>
    </w:p>
    <w:p w14:paraId="22681C3B" w14:textId="08FD7B6F" w:rsidR="00085F43" w:rsidRPr="006B2147" w:rsidRDefault="00B37A58" w:rsidP="00085F43">
      <w:pPr>
        <w:pStyle w:val="Citationenretrait"/>
        <w:rPr>
          <w:rFonts w:ascii="Calibri" w:hAnsi="Calibri" w:cs="Calibri"/>
          <w:szCs w:val="22"/>
          <w:lang w:val="en-CA" w:eastAsia="fr-CA"/>
        </w:rPr>
      </w:pPr>
      <w:r w:rsidRPr="006B2147">
        <w:rPr>
          <w:lang w:val="en-CA" w:eastAsia="fr-CA"/>
        </w:rPr>
        <w:t>[</w:t>
      </w:r>
      <w:bookmarkStart w:id="66" w:name="par27"/>
      <w:r w:rsidRPr="006B2147">
        <w:rPr>
          <w:lang w:val="en-CA" w:eastAsia="fr-CA"/>
        </w:rPr>
        <w:t>27</w:t>
      </w:r>
      <w:bookmarkEnd w:id="66"/>
      <w:r w:rsidRPr="006B2147">
        <w:rPr>
          <w:lang w:val="en-CA" w:eastAsia="fr-CA"/>
        </w:rPr>
        <w:t>]</w:t>
      </w:r>
      <w:r w:rsidR="002A23A1" w:rsidRPr="006B2147">
        <w:rPr>
          <w:rFonts w:ascii="Times New Roman" w:hAnsi="Times New Roman"/>
          <w:sz w:val="14"/>
          <w:szCs w:val="14"/>
          <w:lang w:val="en-CA" w:eastAsia="fr-CA"/>
        </w:rPr>
        <w:tab/>
      </w:r>
      <w:r w:rsidRPr="006B2147">
        <w:rPr>
          <w:lang w:val="en-CA" w:eastAsia="fr-CA"/>
        </w:rPr>
        <w:t xml:space="preserve">The summary of the evidence contained in the record of the case is based on the case file and the trial record dating back to the time of the facts and proceedings in 2000 and 2001. The evidence is alleged to be lawful under Albanian law and that it would be available at trial. However, there is no indication of more recent meetings with witnesses and their availability to testify at trial, and, </w:t>
      </w:r>
      <w:r w:rsidRPr="006B2147">
        <w:rPr>
          <w:u w:val="single"/>
          <w:lang w:val="en-CA" w:eastAsia="fr-CA"/>
        </w:rPr>
        <w:t>as mentioned, it is stated that extradition is requested for the execution of the sentence</w:t>
      </w:r>
      <w:r w:rsidRPr="006B2147">
        <w:rPr>
          <w:lang w:val="en-CA" w:eastAsia="fr-CA"/>
        </w:rPr>
        <w:t>.</w:t>
      </w:r>
    </w:p>
    <w:p w14:paraId="0F0FB736" w14:textId="77777777" w:rsidR="00085F43" w:rsidRPr="006B2147" w:rsidRDefault="00B37A58" w:rsidP="00085F43">
      <w:pPr>
        <w:pStyle w:val="Citationenretrait"/>
        <w:rPr>
          <w:lang w:val="en-CA"/>
        </w:rPr>
      </w:pPr>
      <w:r w:rsidRPr="006B2147">
        <w:rPr>
          <w:lang w:val="en-CA"/>
        </w:rPr>
        <w:t>[…]</w:t>
      </w:r>
    </w:p>
    <w:p w14:paraId="68F459CC" w14:textId="21869BB2" w:rsidR="00085F43" w:rsidRPr="006B2147" w:rsidRDefault="00B37A58" w:rsidP="00085F43">
      <w:pPr>
        <w:pStyle w:val="Citationenretrait"/>
        <w:rPr>
          <w:lang w:val="en-CA"/>
        </w:rPr>
      </w:pPr>
      <w:r w:rsidRPr="006B2147">
        <w:rPr>
          <w:lang w:val="en-CA"/>
        </w:rPr>
        <w:t>[</w:t>
      </w:r>
      <w:bookmarkStart w:id="67" w:name="par48"/>
      <w:r w:rsidRPr="006B2147">
        <w:rPr>
          <w:lang w:val="en-CA"/>
        </w:rPr>
        <w:t>48</w:t>
      </w:r>
      <w:bookmarkEnd w:id="67"/>
      <w:r w:rsidRPr="006B2147">
        <w:rPr>
          <w:lang w:val="en-CA"/>
        </w:rPr>
        <w:t>]</w:t>
      </w:r>
      <w:r w:rsidR="002A23A1" w:rsidRPr="006B2147">
        <w:rPr>
          <w:lang w:val="en-CA"/>
        </w:rPr>
        <w:tab/>
      </w:r>
      <w:r w:rsidRPr="006B2147">
        <w:rPr>
          <w:lang w:val="en-CA"/>
        </w:rPr>
        <w:t>It is worth noting, in passing, that the document reiterated that the extradition is requested for the enforcement of a sentence following a conviction </w:t>
      </w:r>
      <w:r w:rsidRPr="006B2147">
        <w:rPr>
          <w:i/>
          <w:iCs/>
          <w:lang w:val="en-CA"/>
        </w:rPr>
        <w:t>in absentia</w:t>
      </w:r>
      <w:r w:rsidRPr="006B2147">
        <w:rPr>
          <w:lang w:val="en-CA"/>
        </w:rPr>
        <w:t xml:space="preserve">. But, again, </w:t>
      </w:r>
      <w:r w:rsidRPr="006B2147">
        <w:rPr>
          <w:u w:val="single"/>
          <w:lang w:val="en-CA"/>
        </w:rPr>
        <w:t>this is not a matter for the Court</w:t>
      </w:r>
      <w:r w:rsidRPr="006B2147">
        <w:rPr>
          <w:lang w:val="en-CA"/>
        </w:rPr>
        <w:t>.</w:t>
      </w:r>
    </w:p>
    <w:p w14:paraId="0125D662" w14:textId="05576E78" w:rsidR="00085F43" w:rsidRPr="006B2147" w:rsidRDefault="00B37A58" w:rsidP="00085F43">
      <w:pPr>
        <w:pStyle w:val="Citationenretrait"/>
        <w:jc w:val="right"/>
        <w:rPr>
          <w:lang w:val="en-CA"/>
        </w:rPr>
      </w:pPr>
      <w:r w:rsidRPr="006B2147">
        <w:rPr>
          <w:lang w:val="en-CA"/>
        </w:rPr>
        <w:t>[</w:t>
      </w:r>
      <w:r w:rsidR="00A12E3A">
        <w:rPr>
          <w:lang w:val="en-CA"/>
        </w:rPr>
        <w:t>Emphasis added</w:t>
      </w:r>
      <w:r w:rsidRPr="006B2147">
        <w:rPr>
          <w:lang w:val="en-CA"/>
        </w:rPr>
        <w:t xml:space="preserve">; </w:t>
      </w:r>
      <w:r w:rsidR="00A12E3A">
        <w:rPr>
          <w:lang w:val="en-CA"/>
        </w:rPr>
        <w:t>italics in original</w:t>
      </w:r>
      <w:r w:rsidRPr="006B2147">
        <w:rPr>
          <w:lang w:val="en-CA"/>
        </w:rPr>
        <w:t>]</w:t>
      </w:r>
    </w:p>
    <w:p w14:paraId="02E3BF67" w14:textId="5A5DCAAE" w:rsidR="00085F43" w:rsidRPr="006B2147" w:rsidRDefault="00B37A58" w:rsidP="00441741">
      <w:pPr>
        <w:pStyle w:val="Paragraphe"/>
        <w:spacing w:line="280" w:lineRule="exact"/>
        <w:rPr>
          <w:lang w:val="en-CA"/>
        </w:rPr>
      </w:pPr>
      <w:r w:rsidRPr="001440FC">
        <w:rPr>
          <w:lang w:val="en-CA"/>
        </w:rPr>
        <w:t xml:space="preserve">I am not persuaded by </w:t>
      </w:r>
      <w:r>
        <w:rPr>
          <w:lang w:val="en-CA"/>
        </w:rPr>
        <w:t>the appellant’</w:t>
      </w:r>
      <w:r w:rsidR="00FE208B">
        <w:rPr>
          <w:lang w:val="en-CA"/>
        </w:rPr>
        <w:t>s</w:t>
      </w:r>
      <w:r w:rsidRPr="001440FC">
        <w:rPr>
          <w:lang w:val="en-CA"/>
        </w:rPr>
        <w:t xml:space="preserve"> argument</w:t>
      </w:r>
      <w:r w:rsidRPr="006B2147">
        <w:rPr>
          <w:lang w:val="en-CA"/>
        </w:rPr>
        <w:t xml:space="preserve">. </w:t>
      </w:r>
      <w:r>
        <w:rPr>
          <w:lang w:val="en-CA"/>
        </w:rPr>
        <w:t xml:space="preserve">The judge does not draw any inference from the fact that the extradition was requested for the </w:t>
      </w:r>
      <w:r w:rsidR="00FE208B">
        <w:rPr>
          <w:lang w:val="en-CA"/>
        </w:rPr>
        <w:t>execution</w:t>
      </w:r>
      <w:r>
        <w:rPr>
          <w:lang w:val="en-CA"/>
        </w:rPr>
        <w:t xml:space="preserve"> of a sentence</w:t>
      </w:r>
      <w:r w:rsidRPr="006B2147">
        <w:rPr>
          <w:lang w:val="en-CA"/>
        </w:rPr>
        <w:t xml:space="preserve">. </w:t>
      </w:r>
      <w:r>
        <w:rPr>
          <w:lang w:val="en-CA"/>
        </w:rPr>
        <w:t>He indeed mentioned that fact, but his reasons show that he considered the issue of whether the evidence offered is sufficient to justify committal for trial</w:t>
      </w:r>
      <w:r w:rsidRPr="006B2147">
        <w:rPr>
          <w:rFonts w:cs="Arial"/>
          <w:szCs w:val="24"/>
          <w:lang w:val="en-CA"/>
        </w:rPr>
        <w:t xml:space="preserve">, </w:t>
      </w:r>
      <w:r>
        <w:rPr>
          <w:rFonts w:cs="Arial"/>
          <w:szCs w:val="24"/>
          <w:lang w:val="en-CA"/>
        </w:rPr>
        <w:t>as provided under s.</w:t>
      </w:r>
      <w:r w:rsidR="002065CB" w:rsidRPr="006B2147">
        <w:rPr>
          <w:rFonts w:cs="Arial"/>
          <w:szCs w:val="24"/>
          <w:lang w:val="en-CA"/>
        </w:rPr>
        <w:t xml:space="preserve"> 29(1)</w:t>
      </w:r>
      <w:r>
        <w:rPr>
          <w:rFonts w:cs="Arial"/>
          <w:szCs w:val="24"/>
          <w:lang w:val="en-CA"/>
        </w:rPr>
        <w:t>(</w:t>
      </w:r>
      <w:r w:rsidR="002065CB" w:rsidRPr="006B2147">
        <w:rPr>
          <w:rFonts w:cs="Arial"/>
          <w:szCs w:val="24"/>
          <w:lang w:val="en-CA"/>
        </w:rPr>
        <w:t xml:space="preserve">a) </w:t>
      </w:r>
      <w:r>
        <w:rPr>
          <w:rFonts w:cs="Arial"/>
          <w:szCs w:val="24"/>
          <w:lang w:val="en-CA"/>
        </w:rPr>
        <w:t>of the Act</w:t>
      </w:r>
      <w:r w:rsidR="006B5DD9" w:rsidRPr="006B2147">
        <w:rPr>
          <w:rFonts w:cs="Arial"/>
          <w:szCs w:val="24"/>
          <w:lang w:val="en-CA"/>
        </w:rPr>
        <w:t xml:space="preserve">, </w:t>
      </w:r>
      <w:r>
        <w:rPr>
          <w:rStyle w:val="cf01"/>
          <w:rFonts w:ascii="Arial" w:hAnsi="Arial" w:cs="Arial"/>
          <w:sz w:val="24"/>
          <w:szCs w:val="24"/>
          <w:lang w:val="en-CA"/>
        </w:rPr>
        <w:t xml:space="preserve">which also applies where the person sought was tried </w:t>
      </w:r>
      <w:r w:rsidRPr="001440FC">
        <w:rPr>
          <w:rStyle w:val="cf01"/>
          <w:rFonts w:ascii="Arial" w:hAnsi="Arial" w:cs="Arial"/>
          <w:i/>
          <w:iCs/>
          <w:sz w:val="24"/>
          <w:szCs w:val="24"/>
          <w:lang w:val="en-CA"/>
        </w:rPr>
        <w:t>in absentia</w:t>
      </w:r>
      <w:r w:rsidR="006B5DD9" w:rsidRPr="006B2147">
        <w:rPr>
          <w:rStyle w:val="cf01"/>
          <w:rFonts w:ascii="Arial" w:hAnsi="Arial" w:cs="Arial"/>
          <w:sz w:val="24"/>
          <w:szCs w:val="24"/>
          <w:lang w:val="en-CA"/>
        </w:rPr>
        <w:t xml:space="preserve">, </w:t>
      </w:r>
      <w:r>
        <w:rPr>
          <w:rStyle w:val="cf01"/>
          <w:rFonts w:ascii="Arial" w:hAnsi="Arial" w:cs="Arial"/>
          <w:sz w:val="24"/>
          <w:szCs w:val="24"/>
          <w:lang w:val="en-CA"/>
        </w:rPr>
        <w:t xml:space="preserve">pursuant to s. </w:t>
      </w:r>
      <w:r w:rsidR="006B5DD9" w:rsidRPr="006B2147">
        <w:rPr>
          <w:rStyle w:val="cf01"/>
          <w:rFonts w:ascii="Arial" w:hAnsi="Arial" w:cs="Arial"/>
          <w:sz w:val="24"/>
          <w:szCs w:val="24"/>
          <w:lang w:val="en-CA"/>
        </w:rPr>
        <w:t xml:space="preserve">29(5) </w:t>
      </w:r>
      <w:r>
        <w:rPr>
          <w:rStyle w:val="cf01"/>
          <w:rFonts w:ascii="Arial" w:hAnsi="Arial" w:cs="Arial"/>
          <w:sz w:val="24"/>
          <w:szCs w:val="24"/>
          <w:lang w:val="en-CA"/>
        </w:rPr>
        <w:t>of the Act.</w:t>
      </w:r>
      <w:r>
        <w:rPr>
          <w:rStyle w:val="Appelnotedebasdep"/>
          <w:lang w:val="en-CA"/>
        </w:rPr>
        <w:footnoteReference w:id="120"/>
      </w:r>
      <w:r>
        <w:rPr>
          <w:lang w:val="en-CA"/>
        </w:rPr>
        <w:t xml:space="preserve"> As the appellant acknowledges,</w:t>
      </w:r>
      <w:r>
        <w:rPr>
          <w:rStyle w:val="Appelnotedebasdep"/>
          <w:lang w:val="en-CA"/>
        </w:rPr>
        <w:footnoteReference w:id="121"/>
      </w:r>
      <w:r>
        <w:rPr>
          <w:lang w:val="en-CA"/>
        </w:rPr>
        <w:t xml:space="preserve"> </w:t>
      </w:r>
      <w:r w:rsidR="00FE208B">
        <w:rPr>
          <w:lang w:val="en-CA"/>
        </w:rPr>
        <w:t xml:space="preserve">that </w:t>
      </w:r>
      <w:r w:rsidR="00FD534E">
        <w:rPr>
          <w:lang w:val="en-CA"/>
        </w:rPr>
        <w:t>issue was in fact discussed at the hearing and all agreed that the applicable test was that provided in</w:t>
      </w:r>
      <w:r w:rsidRPr="006B2147">
        <w:rPr>
          <w:lang w:val="en-CA"/>
        </w:rPr>
        <w:t xml:space="preserve"> </w:t>
      </w:r>
      <w:r w:rsidR="00FD534E">
        <w:rPr>
          <w:lang w:val="en-CA"/>
        </w:rPr>
        <w:t>s.</w:t>
      </w:r>
      <w:r w:rsidR="00171CE9">
        <w:rPr>
          <w:lang w:val="en-CA"/>
        </w:rPr>
        <w:t> </w:t>
      </w:r>
      <w:r w:rsidR="00CF557B" w:rsidRPr="006B2147">
        <w:rPr>
          <w:rFonts w:cs="Arial"/>
          <w:szCs w:val="24"/>
          <w:lang w:val="en-CA"/>
        </w:rPr>
        <w:t>29(1)</w:t>
      </w:r>
      <w:r w:rsidR="00FD534E">
        <w:rPr>
          <w:rFonts w:cs="Arial"/>
          <w:szCs w:val="24"/>
          <w:lang w:val="en-CA"/>
        </w:rPr>
        <w:t>(</w:t>
      </w:r>
      <w:r w:rsidR="00CF557B" w:rsidRPr="006B2147">
        <w:rPr>
          <w:rFonts w:cs="Arial"/>
          <w:szCs w:val="24"/>
          <w:lang w:val="en-CA"/>
        </w:rPr>
        <w:t xml:space="preserve">a) </w:t>
      </w:r>
      <w:r w:rsidR="00FD534E">
        <w:rPr>
          <w:rFonts w:cs="Arial"/>
          <w:szCs w:val="24"/>
          <w:lang w:val="en-CA"/>
        </w:rPr>
        <w:t>of the Act.</w:t>
      </w:r>
      <w:r>
        <w:rPr>
          <w:rStyle w:val="Appelnotedebasdep"/>
          <w:lang w:val="en-CA"/>
        </w:rPr>
        <w:footnoteReference w:id="122"/>
      </w:r>
    </w:p>
    <w:p w14:paraId="7A5D949E" w14:textId="74BFCC31" w:rsidR="006377DD" w:rsidRPr="006B2147" w:rsidRDefault="00B37A58" w:rsidP="00171CE9">
      <w:pPr>
        <w:pStyle w:val="Paragraphe"/>
        <w:pageBreakBefore/>
        <w:spacing w:line="280" w:lineRule="exact"/>
        <w:rPr>
          <w:lang w:val="en-CA"/>
        </w:rPr>
      </w:pPr>
      <w:r w:rsidRPr="00FD534E">
        <w:rPr>
          <w:lang w:val="en-CA"/>
        </w:rPr>
        <w:t>This ground must accordingly fail</w:t>
      </w:r>
      <w:r w:rsidR="00085F43" w:rsidRPr="006B2147">
        <w:rPr>
          <w:lang w:val="en-CA"/>
        </w:rPr>
        <w:t>.</w:t>
      </w:r>
    </w:p>
    <w:p w14:paraId="7A59BD8B" w14:textId="07AC071F" w:rsidR="00C51BD6" w:rsidRPr="006B2147" w:rsidRDefault="00B37A58" w:rsidP="00441741">
      <w:pPr>
        <w:pStyle w:val="Paragraphe"/>
        <w:spacing w:line="280" w:lineRule="exact"/>
        <w:rPr>
          <w:lang w:val="en-CA"/>
        </w:rPr>
      </w:pPr>
      <w:r>
        <w:rPr>
          <w:lang w:val="en-CA"/>
        </w:rPr>
        <w:t>For these reasons, I suggest that the Court dismiss the appeal</w:t>
      </w:r>
      <w:r w:rsidR="00216EA5" w:rsidRPr="006B2147">
        <w:rPr>
          <w:lang w:val="en-CA"/>
        </w:rPr>
        <w:t>.</w:t>
      </w:r>
      <w:r w:rsidR="00D80079" w:rsidRPr="006B2147">
        <w:rPr>
          <w:lang w:val="en-CA"/>
        </w:rPr>
        <w:t xml:space="preserve"> </w:t>
      </w:r>
    </w:p>
    <w:bookmarkEnd w:id="7"/>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4682"/>
        <w:gridCol w:w="4680"/>
      </w:tblGrid>
      <w:tr w:rsidR="00DD5A27" w14:paraId="17A579C9" w14:textId="77777777" w:rsidTr="009C1C7E">
        <w:trPr>
          <w:trHeight w:val="283"/>
        </w:trPr>
        <w:tc>
          <w:tcPr>
            <w:tcW w:w="4682" w:type="dxa"/>
            <w:tcBorders>
              <w:top w:val="nil"/>
            </w:tcBorders>
          </w:tcPr>
          <w:p w14:paraId="1243CB13" w14:textId="77777777" w:rsidR="00441741" w:rsidRPr="009E5E71" w:rsidRDefault="00441741" w:rsidP="009C1C7E">
            <w:pPr>
              <w:keepNext/>
              <w:rPr>
                <w:lang w:val="en-CA"/>
              </w:rPr>
            </w:pPr>
          </w:p>
        </w:tc>
        <w:tc>
          <w:tcPr>
            <w:tcW w:w="4680" w:type="dxa"/>
            <w:tcBorders>
              <w:top w:val="nil"/>
            </w:tcBorders>
          </w:tcPr>
          <w:p w14:paraId="4DD24B74" w14:textId="77777777" w:rsidR="00441741" w:rsidRPr="009E5E71" w:rsidRDefault="00441741" w:rsidP="009C1C7E">
            <w:pPr>
              <w:keepNext/>
              <w:rPr>
                <w:lang w:val="en-CA"/>
              </w:rPr>
            </w:pPr>
          </w:p>
        </w:tc>
      </w:tr>
      <w:tr w:rsidR="00DD5A27" w14:paraId="3A16E52B" w14:textId="77777777" w:rsidTr="009C1C7E">
        <w:trPr>
          <w:trHeight w:val="283"/>
        </w:trPr>
        <w:tc>
          <w:tcPr>
            <w:tcW w:w="4682" w:type="dxa"/>
            <w:tcBorders>
              <w:top w:val="nil"/>
            </w:tcBorders>
          </w:tcPr>
          <w:p w14:paraId="1C3392D4" w14:textId="77777777" w:rsidR="00171CE9" w:rsidRPr="009E5E71" w:rsidRDefault="00171CE9" w:rsidP="009C1C7E">
            <w:pPr>
              <w:keepNext/>
              <w:rPr>
                <w:lang w:val="en-CA"/>
              </w:rPr>
            </w:pPr>
          </w:p>
        </w:tc>
        <w:tc>
          <w:tcPr>
            <w:tcW w:w="4680" w:type="dxa"/>
            <w:tcBorders>
              <w:top w:val="nil"/>
            </w:tcBorders>
          </w:tcPr>
          <w:p w14:paraId="0194874A" w14:textId="77777777" w:rsidR="00171CE9" w:rsidRPr="009E5E71" w:rsidRDefault="00171CE9" w:rsidP="009C1C7E">
            <w:pPr>
              <w:keepNext/>
              <w:rPr>
                <w:lang w:val="en-CA"/>
              </w:rPr>
            </w:pPr>
          </w:p>
        </w:tc>
      </w:tr>
      <w:tr w:rsidR="00DD5A27" w14:paraId="0098B743" w14:textId="77777777" w:rsidTr="009C1C7E">
        <w:trPr>
          <w:trHeight w:val="283"/>
        </w:trPr>
        <w:tc>
          <w:tcPr>
            <w:tcW w:w="4682" w:type="dxa"/>
            <w:tcBorders>
              <w:top w:val="nil"/>
              <w:bottom w:val="nil"/>
            </w:tcBorders>
          </w:tcPr>
          <w:p w14:paraId="423DC2ED" w14:textId="77777777" w:rsidR="00441741" w:rsidRPr="009E5E71" w:rsidRDefault="00441741" w:rsidP="009C1C7E">
            <w:pPr>
              <w:keepNext/>
              <w:rPr>
                <w:lang w:val="en-CA"/>
              </w:rPr>
            </w:pPr>
          </w:p>
        </w:tc>
        <w:tc>
          <w:tcPr>
            <w:tcW w:w="4680" w:type="dxa"/>
            <w:tcBorders>
              <w:top w:val="nil"/>
              <w:bottom w:val="single" w:sz="8" w:space="0" w:color="auto"/>
            </w:tcBorders>
          </w:tcPr>
          <w:p w14:paraId="566BCCB2" w14:textId="77777777" w:rsidR="00441741" w:rsidRPr="009E5E71" w:rsidRDefault="00441741" w:rsidP="009C1C7E">
            <w:pPr>
              <w:keepNext/>
              <w:rPr>
                <w:lang w:val="en-CA"/>
              </w:rPr>
            </w:pPr>
          </w:p>
        </w:tc>
      </w:tr>
      <w:tr w:rsidR="00DD5A27" w14:paraId="260303D4" w14:textId="77777777" w:rsidTr="009C1C7E">
        <w:trPr>
          <w:trHeight w:val="283"/>
        </w:trPr>
        <w:tc>
          <w:tcPr>
            <w:tcW w:w="4682" w:type="dxa"/>
            <w:tcBorders>
              <w:top w:val="nil"/>
            </w:tcBorders>
          </w:tcPr>
          <w:p w14:paraId="7DBB3CB5" w14:textId="77777777" w:rsidR="00441741" w:rsidRPr="009E5E71" w:rsidRDefault="00441741" w:rsidP="009C1C7E">
            <w:pPr>
              <w:keepNext/>
              <w:rPr>
                <w:lang w:val="en-CA"/>
              </w:rPr>
            </w:pPr>
          </w:p>
        </w:tc>
        <w:tc>
          <w:tcPr>
            <w:tcW w:w="4680" w:type="dxa"/>
            <w:tcBorders>
              <w:top w:val="single" w:sz="8" w:space="0" w:color="auto"/>
            </w:tcBorders>
          </w:tcPr>
          <w:p w14:paraId="1314F4E0" w14:textId="77777777" w:rsidR="00441741" w:rsidRPr="009E5E71" w:rsidRDefault="00B37A58" w:rsidP="009C1C7E">
            <w:pPr>
              <w:keepNext/>
              <w:rPr>
                <w:lang w:val="en-CA"/>
              </w:rPr>
            </w:pPr>
            <w:r>
              <w:rPr>
                <w:lang w:val="en-CA"/>
              </w:rPr>
              <w:t>SOPHIE LAVALLÉE, J.A.</w:t>
            </w:r>
          </w:p>
        </w:tc>
      </w:tr>
    </w:tbl>
    <w:p w14:paraId="27D8E2FF" w14:textId="05EB7B4B" w:rsidR="00740A17" w:rsidRPr="006B2147" w:rsidRDefault="00740A17" w:rsidP="008E677D">
      <w:pPr>
        <w:rPr>
          <w:lang w:val="en-CA"/>
        </w:rPr>
      </w:pPr>
    </w:p>
    <w:sectPr w:rsidR="00740A17" w:rsidRPr="006B2147" w:rsidSect="00C8758C">
      <w:headerReference w:type="default" r:id="rId10"/>
      <w:pgSz w:w="12242" w:h="15842" w:code="1"/>
      <w:pgMar w:top="1440" w:right="1008" w:bottom="1440" w:left="1872" w:header="1440" w:footer="79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337A" w14:textId="77777777" w:rsidR="00B37A58" w:rsidRDefault="00B37A58">
      <w:pPr>
        <w:spacing w:line="240" w:lineRule="auto"/>
      </w:pPr>
      <w:r>
        <w:separator/>
      </w:r>
    </w:p>
  </w:endnote>
  <w:endnote w:type="continuationSeparator" w:id="0">
    <w:p w14:paraId="78F3D112" w14:textId="77777777" w:rsidR="00B37A58" w:rsidRDefault="00B37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978F" w14:textId="7F4BC269" w:rsidR="00C35B84" w:rsidRPr="00C35B84" w:rsidRDefault="00B37A58" w:rsidP="00C35B84">
    <w:pPr>
      <w:pStyle w:val="Pieddepage"/>
      <w:jc w:val="right"/>
      <w:rPr>
        <w:b/>
        <w:bCs/>
        <w:lang w:val="en-CA"/>
      </w:rPr>
    </w:pPr>
    <w:r w:rsidRPr="00C35B84">
      <w:rPr>
        <w:b/>
        <w:bCs/>
        <w:lang w:val="en-CA"/>
      </w:rPr>
      <w:t xml:space="preserve">English translation of the judgment of the Court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F10E" w14:textId="77777777" w:rsidR="00BE0B07" w:rsidRDefault="00B37A58">
      <w:r>
        <w:separator/>
      </w:r>
    </w:p>
  </w:footnote>
  <w:footnote w:type="continuationSeparator" w:id="0">
    <w:p w14:paraId="1D03A59C" w14:textId="77777777" w:rsidR="00BE0B07" w:rsidRDefault="00B37A58">
      <w:r>
        <w:continuationSeparator/>
      </w:r>
    </w:p>
  </w:footnote>
  <w:footnote w:id="1">
    <w:p w14:paraId="67A6F57C" w14:textId="1DABF9C2" w:rsidR="008A3CCD" w:rsidRPr="00627A11" w:rsidRDefault="00B37A58" w:rsidP="008A3CCD">
      <w:pPr>
        <w:pStyle w:val="Notedebasdepage"/>
        <w:rPr>
          <w:lang w:val="en-CA"/>
        </w:rPr>
      </w:pPr>
      <w:r>
        <w:rPr>
          <w:rStyle w:val="Appelnotedebasdep"/>
        </w:rPr>
        <w:footnoteRef/>
      </w:r>
      <w:r w:rsidRPr="008D7B05">
        <w:rPr>
          <w:lang w:val="en-CA"/>
        </w:rPr>
        <w:t xml:space="preserve"> </w:t>
      </w:r>
      <w:r w:rsidR="00346B93">
        <w:rPr>
          <w:lang w:val="en-CA"/>
        </w:rPr>
        <w:tab/>
      </w:r>
      <w:r w:rsidRPr="00627A11">
        <w:rPr>
          <w:i/>
          <w:iCs/>
          <w:lang w:val="en-CA"/>
        </w:rPr>
        <w:t>Attorney General of Canada (Republic of Albania) c. Brahimi</w:t>
      </w:r>
      <w:r w:rsidRPr="00627A11">
        <w:rPr>
          <w:lang w:val="en-CA"/>
        </w:rPr>
        <w:t>, 2023 QCCS 4392 [</w:t>
      </w:r>
      <w:r w:rsidR="007D4B80" w:rsidRPr="00627A11">
        <w:rPr>
          <w:lang w:val="en-CA"/>
        </w:rPr>
        <w:t>Judgment under appeal</w:t>
      </w:r>
      <w:r w:rsidRPr="00627A11">
        <w:rPr>
          <w:lang w:val="en-CA"/>
        </w:rPr>
        <w:t>].</w:t>
      </w:r>
    </w:p>
  </w:footnote>
  <w:footnote w:id="2">
    <w:p w14:paraId="46CA5A41" w14:textId="6BBB9C01" w:rsidR="00F4485B" w:rsidRPr="00627A11" w:rsidRDefault="00B37A58" w:rsidP="00F4485B">
      <w:pPr>
        <w:pStyle w:val="Notedebasdepage"/>
        <w:rPr>
          <w:lang w:val="en-CA"/>
        </w:rPr>
      </w:pPr>
      <w:r w:rsidRPr="00627A11">
        <w:rPr>
          <w:rStyle w:val="Appelnotedebasdep"/>
          <w:lang w:val="en-CA"/>
        </w:rPr>
        <w:footnoteRef/>
      </w:r>
      <w:r w:rsidRPr="00627A11">
        <w:rPr>
          <w:lang w:val="en-CA"/>
        </w:rPr>
        <w:t xml:space="preserve"> </w:t>
      </w:r>
      <w:r w:rsidR="00346B93" w:rsidRPr="00627A11">
        <w:rPr>
          <w:lang w:val="en-CA"/>
        </w:rPr>
        <w:tab/>
      </w:r>
      <w:r w:rsidR="007D4B80" w:rsidRPr="00627A11">
        <w:rPr>
          <w:i/>
          <w:iCs/>
          <w:lang w:val="en-CA"/>
        </w:rPr>
        <w:t>Extradition Act</w:t>
      </w:r>
      <w:r w:rsidRPr="00627A11">
        <w:rPr>
          <w:lang w:val="en-CA"/>
        </w:rPr>
        <w:t xml:space="preserve">, </w:t>
      </w:r>
      <w:r w:rsidR="007D4B80" w:rsidRPr="00627A11">
        <w:rPr>
          <w:lang w:val="en-CA"/>
        </w:rPr>
        <w:t>S</w:t>
      </w:r>
      <w:r w:rsidRPr="00627A11">
        <w:rPr>
          <w:lang w:val="en-CA"/>
        </w:rPr>
        <w:t>.C. 1999, c. 18.</w:t>
      </w:r>
    </w:p>
  </w:footnote>
  <w:footnote w:id="3">
    <w:p w14:paraId="7523B7E9" w14:textId="2D945267" w:rsidR="00E07D83" w:rsidRPr="002375FD" w:rsidRDefault="00B37A58" w:rsidP="00E07D83">
      <w:pPr>
        <w:pStyle w:val="Notedebasdepage"/>
        <w:rPr>
          <w:lang w:val="en-CA"/>
        </w:rPr>
      </w:pPr>
      <w:r>
        <w:rPr>
          <w:rStyle w:val="Appelnotedebasdep"/>
        </w:rPr>
        <w:footnoteRef/>
      </w:r>
      <w:r w:rsidRPr="002375FD">
        <w:rPr>
          <w:lang w:val="en-CA"/>
        </w:rPr>
        <w:t xml:space="preserve"> </w:t>
      </w:r>
      <w:r w:rsidRPr="002375FD">
        <w:rPr>
          <w:lang w:val="en-CA"/>
        </w:rPr>
        <w:tab/>
      </w:r>
      <w:r w:rsidR="007D4B80" w:rsidRPr="00627A11">
        <w:rPr>
          <w:lang w:val="en-CA"/>
        </w:rPr>
        <w:t>Judgment under appe</w:t>
      </w:r>
      <w:r w:rsidR="000E1307" w:rsidRPr="00627A11">
        <w:rPr>
          <w:lang w:val="en-CA"/>
        </w:rPr>
        <w:t>a</w:t>
      </w:r>
      <w:r w:rsidR="007D4B80" w:rsidRPr="00627A11">
        <w:rPr>
          <w:lang w:val="en-CA"/>
        </w:rPr>
        <w:t>l</w:t>
      </w:r>
      <w:r w:rsidRPr="00627A11">
        <w:rPr>
          <w:lang w:val="en-CA"/>
        </w:rPr>
        <w:t>, para. 77.</w:t>
      </w:r>
    </w:p>
  </w:footnote>
  <w:footnote w:id="4">
    <w:p w14:paraId="76F49294" w14:textId="5C909472" w:rsidR="00083731" w:rsidRPr="00627A11" w:rsidRDefault="00B37A58" w:rsidP="00083731">
      <w:pPr>
        <w:pStyle w:val="Notedebasdepage"/>
        <w:rPr>
          <w:lang w:val="en-CA"/>
        </w:rPr>
      </w:pPr>
      <w:r>
        <w:rPr>
          <w:rStyle w:val="Appelnotedebasdep"/>
        </w:rPr>
        <w:footnoteRef/>
      </w:r>
      <w:r w:rsidRPr="00C35B84">
        <w:rPr>
          <w:lang w:val="en-CA"/>
        </w:rPr>
        <w:t xml:space="preserve"> </w:t>
      </w:r>
      <w:r w:rsidRPr="00C35B84">
        <w:rPr>
          <w:lang w:val="en-CA"/>
        </w:rPr>
        <w:tab/>
      </w:r>
      <w:r w:rsidR="009D3FDD" w:rsidRPr="00627A11">
        <w:rPr>
          <w:lang w:val="en-CA"/>
        </w:rPr>
        <w:t xml:space="preserve">Record of Case </w:t>
      </w:r>
      <w:bookmarkStart w:id="14" w:name="_Hlk215237520"/>
      <w:r w:rsidR="009D3FDD" w:rsidRPr="00627A11">
        <w:rPr>
          <w:lang w:val="en-CA"/>
        </w:rPr>
        <w:t>–</w:t>
      </w:r>
      <w:bookmarkEnd w:id="14"/>
      <w:r w:rsidR="009D3FDD" w:rsidRPr="00627A11">
        <w:rPr>
          <w:lang w:val="en-CA"/>
        </w:rPr>
        <w:t xml:space="preserve"> Dossier certifié d’extradition</w:t>
      </w:r>
      <w:r w:rsidR="001C7A70" w:rsidRPr="00627A11">
        <w:rPr>
          <w:lang w:val="en-CA"/>
        </w:rPr>
        <w:t xml:space="preserve">, </w:t>
      </w:r>
      <w:r w:rsidR="004B22DC" w:rsidRPr="00627A11">
        <w:rPr>
          <w:lang w:val="en-CA"/>
        </w:rPr>
        <w:t xml:space="preserve">dated June 27, </w:t>
      </w:r>
      <w:r w:rsidR="00A65188" w:rsidRPr="00627A11">
        <w:rPr>
          <w:lang w:val="en-CA"/>
        </w:rPr>
        <w:t xml:space="preserve">2022, </w:t>
      </w:r>
      <w:r w:rsidR="009D6455" w:rsidRPr="00627A11">
        <w:rPr>
          <w:lang w:val="en-CA"/>
        </w:rPr>
        <w:t>p</w:t>
      </w:r>
      <w:r w:rsidR="004B22DC" w:rsidRPr="00627A11">
        <w:rPr>
          <w:lang w:val="en-CA"/>
        </w:rPr>
        <w:t>p</w:t>
      </w:r>
      <w:r w:rsidR="009D6455" w:rsidRPr="00627A11">
        <w:rPr>
          <w:lang w:val="en-CA"/>
        </w:rPr>
        <w:t>. 66-67</w:t>
      </w:r>
      <w:r w:rsidR="007E058B" w:rsidRPr="00627A11">
        <w:rPr>
          <w:lang w:val="en-CA"/>
        </w:rPr>
        <w:t>;</w:t>
      </w:r>
      <w:r w:rsidR="002C53EF" w:rsidRPr="00627A11">
        <w:rPr>
          <w:lang w:val="en-CA"/>
        </w:rPr>
        <w:t xml:space="preserve"> </w:t>
      </w:r>
      <w:r w:rsidR="004B22DC" w:rsidRPr="00627A11">
        <w:rPr>
          <w:lang w:val="en-CA"/>
        </w:rPr>
        <w:t>Judgment under appeal</w:t>
      </w:r>
      <w:r w:rsidRPr="00627A11">
        <w:rPr>
          <w:lang w:val="en-CA"/>
        </w:rPr>
        <w:t>, para</w:t>
      </w:r>
      <w:r w:rsidR="004B22DC" w:rsidRPr="00627A11">
        <w:rPr>
          <w:lang w:val="en-CA"/>
        </w:rPr>
        <w:t>s</w:t>
      </w:r>
      <w:r w:rsidRPr="00627A11">
        <w:rPr>
          <w:lang w:val="en-CA"/>
        </w:rPr>
        <w:t xml:space="preserve">. 2 </w:t>
      </w:r>
      <w:r w:rsidR="004B22DC" w:rsidRPr="00627A11">
        <w:rPr>
          <w:lang w:val="en-CA"/>
        </w:rPr>
        <w:t>and</w:t>
      </w:r>
      <w:r w:rsidRPr="00627A11">
        <w:rPr>
          <w:lang w:val="en-CA"/>
        </w:rPr>
        <w:t xml:space="preserve"> 28.</w:t>
      </w:r>
    </w:p>
  </w:footnote>
  <w:footnote w:id="5">
    <w:p w14:paraId="723CE2D2" w14:textId="04D3767E" w:rsidR="00517AC0" w:rsidRPr="005A7047" w:rsidRDefault="00B37A58" w:rsidP="00517AC0">
      <w:pPr>
        <w:pStyle w:val="Notedebasdepage"/>
        <w:rPr>
          <w:lang w:val="en-CA"/>
        </w:rPr>
      </w:pPr>
      <w:r w:rsidRPr="00627A11">
        <w:rPr>
          <w:rStyle w:val="Appelnotedebasdep"/>
          <w:lang w:val="en-CA"/>
        </w:rPr>
        <w:footnoteRef/>
      </w:r>
      <w:r w:rsidRPr="00627A11">
        <w:rPr>
          <w:lang w:val="en-CA"/>
        </w:rPr>
        <w:t xml:space="preserve"> </w:t>
      </w:r>
      <w:r w:rsidRPr="00627A11">
        <w:rPr>
          <w:lang w:val="en-CA"/>
        </w:rPr>
        <w:tab/>
      </w:r>
      <w:r w:rsidR="00EB7E64" w:rsidRPr="00627A11">
        <w:rPr>
          <w:lang w:val="en-CA"/>
        </w:rPr>
        <w:t>Supplemental Record of Case – Dossier supplémentaire</w:t>
      </w:r>
      <w:r w:rsidR="001C7A70" w:rsidRPr="00627A11">
        <w:rPr>
          <w:lang w:val="en-CA"/>
        </w:rPr>
        <w:t>,</w:t>
      </w:r>
      <w:r w:rsidR="00EA5E01" w:rsidRPr="00627A11">
        <w:rPr>
          <w:lang w:val="en-CA"/>
        </w:rPr>
        <w:t xml:space="preserve"> </w:t>
      </w:r>
      <w:r w:rsidR="004B22DC" w:rsidRPr="00627A11">
        <w:rPr>
          <w:lang w:val="en-CA"/>
        </w:rPr>
        <w:t>dated June 5,</w:t>
      </w:r>
      <w:r w:rsidR="00EA5E01" w:rsidRPr="00627A11">
        <w:rPr>
          <w:lang w:val="en-CA"/>
        </w:rPr>
        <w:t xml:space="preserve"> 2023</w:t>
      </w:r>
      <w:r w:rsidR="00926579" w:rsidRPr="00627A11">
        <w:rPr>
          <w:lang w:val="en-CA"/>
        </w:rPr>
        <w:t>.</w:t>
      </w:r>
    </w:p>
  </w:footnote>
  <w:footnote w:id="6">
    <w:p w14:paraId="14D3C71F" w14:textId="6C59B391" w:rsidR="00083731" w:rsidRPr="00627A11" w:rsidRDefault="00B37A58" w:rsidP="00083731">
      <w:pPr>
        <w:pStyle w:val="Notedebasdepage"/>
        <w:rPr>
          <w:lang w:val="en-CA"/>
        </w:rPr>
      </w:pPr>
      <w:r>
        <w:rPr>
          <w:rStyle w:val="Appelnotedebasdep"/>
        </w:rPr>
        <w:footnoteRef/>
      </w:r>
      <w:r w:rsidRPr="00C35B84">
        <w:rPr>
          <w:lang w:val="en-CA"/>
        </w:rPr>
        <w:t xml:space="preserve"> </w:t>
      </w:r>
      <w:r w:rsidRPr="00C35B84">
        <w:rPr>
          <w:lang w:val="en-CA"/>
        </w:rPr>
        <w:tab/>
      </w:r>
      <w:r w:rsidR="009D3FDD" w:rsidRPr="00627A11">
        <w:rPr>
          <w:lang w:val="en-CA"/>
        </w:rPr>
        <w:t>Record of Case – Dossier certifié d’extradition</w:t>
      </w:r>
      <w:r w:rsidRPr="00627A11">
        <w:rPr>
          <w:lang w:val="en-CA"/>
        </w:rPr>
        <w:t xml:space="preserve">, </w:t>
      </w:r>
      <w:r w:rsidR="009F6E75" w:rsidRPr="00627A11">
        <w:rPr>
          <w:i/>
          <w:iCs/>
          <w:lang w:val="en-CA"/>
        </w:rPr>
        <w:t>supra</w:t>
      </w:r>
      <w:r w:rsidRPr="00627A11">
        <w:rPr>
          <w:lang w:val="en-CA"/>
        </w:rPr>
        <w:t>,</w:t>
      </w:r>
      <w:r w:rsidR="009F6E75" w:rsidRPr="00627A11">
        <w:rPr>
          <w:lang w:val="en-CA"/>
        </w:rPr>
        <w:t xml:space="preserve"> note </w:t>
      </w:r>
      <w:r>
        <w:t>4</w:t>
      </w:r>
      <w:r w:rsidR="00BA51A5" w:rsidRPr="00627A11">
        <w:rPr>
          <w:lang w:val="en-CA"/>
        </w:rPr>
        <w:t>,</w:t>
      </w:r>
      <w:r w:rsidRPr="00627A11">
        <w:rPr>
          <w:lang w:val="en-CA"/>
        </w:rPr>
        <w:t xml:space="preserve"> </w:t>
      </w:r>
      <w:r w:rsidR="009D6455" w:rsidRPr="00627A11">
        <w:rPr>
          <w:lang w:val="en-CA"/>
        </w:rPr>
        <w:t>p</w:t>
      </w:r>
      <w:r w:rsidR="009006FC" w:rsidRPr="00627A11">
        <w:rPr>
          <w:lang w:val="en-CA"/>
        </w:rPr>
        <w:t>p</w:t>
      </w:r>
      <w:r w:rsidR="009D6455" w:rsidRPr="00627A11">
        <w:rPr>
          <w:lang w:val="en-CA"/>
        </w:rPr>
        <w:t xml:space="preserve">. </w:t>
      </w:r>
      <w:r w:rsidRPr="00627A11">
        <w:rPr>
          <w:lang w:val="en-CA"/>
        </w:rPr>
        <w:t xml:space="preserve">65 </w:t>
      </w:r>
      <w:r w:rsidR="003B65B8" w:rsidRPr="00627A11">
        <w:rPr>
          <w:lang w:val="en-CA"/>
        </w:rPr>
        <w:t>to</w:t>
      </w:r>
      <w:r w:rsidRPr="00627A11">
        <w:rPr>
          <w:lang w:val="en-CA"/>
        </w:rPr>
        <w:t xml:space="preserve"> 69; </w:t>
      </w:r>
      <w:r w:rsidR="009006FC" w:rsidRPr="00627A11">
        <w:rPr>
          <w:lang w:val="en-CA"/>
        </w:rPr>
        <w:t>Judgment under appeal</w:t>
      </w:r>
      <w:r w:rsidRPr="00627A11">
        <w:rPr>
          <w:lang w:val="en-CA"/>
        </w:rPr>
        <w:t>, para</w:t>
      </w:r>
      <w:r w:rsidR="009006FC" w:rsidRPr="00627A11">
        <w:rPr>
          <w:lang w:val="en-CA"/>
        </w:rPr>
        <w:t>s</w:t>
      </w:r>
      <w:r w:rsidRPr="00627A11">
        <w:rPr>
          <w:lang w:val="en-CA"/>
        </w:rPr>
        <w:t>.</w:t>
      </w:r>
      <w:r w:rsidR="009D6455" w:rsidRPr="00627A11">
        <w:rPr>
          <w:lang w:val="en-CA"/>
        </w:rPr>
        <w:t> </w:t>
      </w:r>
      <w:r w:rsidRPr="00627A11">
        <w:rPr>
          <w:lang w:val="en-CA"/>
        </w:rPr>
        <w:t xml:space="preserve">29-30. </w:t>
      </w:r>
      <w:r w:rsidR="00341735" w:rsidRPr="00627A11">
        <w:rPr>
          <w:lang w:val="en-CA"/>
        </w:rPr>
        <w:t>Many of these events were accepted by the trial judge in Albania</w:t>
      </w:r>
      <w:r w:rsidRPr="00627A11">
        <w:rPr>
          <w:lang w:val="en-CA"/>
        </w:rPr>
        <w:t xml:space="preserve">: </w:t>
      </w:r>
      <w:r w:rsidR="009D3FDD" w:rsidRPr="00627A11">
        <w:rPr>
          <w:lang w:val="en-CA"/>
        </w:rPr>
        <w:t>Record of Case – Dossier certifié d’extradition</w:t>
      </w:r>
      <w:r w:rsidR="00341735" w:rsidRPr="00627A11">
        <w:rPr>
          <w:lang w:val="en-CA"/>
        </w:rPr>
        <w:t>,</w:t>
      </w:r>
      <w:r w:rsidRPr="00627A11">
        <w:rPr>
          <w:lang w:val="en-CA"/>
        </w:rPr>
        <w:t xml:space="preserve"> </w:t>
      </w:r>
      <w:r w:rsidR="000A6789" w:rsidRPr="00627A11">
        <w:rPr>
          <w:i/>
          <w:iCs/>
          <w:lang w:val="en-CA"/>
        </w:rPr>
        <w:t>supra</w:t>
      </w:r>
      <w:r w:rsidRPr="00627A11">
        <w:rPr>
          <w:lang w:val="en-CA"/>
        </w:rPr>
        <w:t>,</w:t>
      </w:r>
      <w:r w:rsidR="000A6789" w:rsidRPr="00627A11">
        <w:rPr>
          <w:lang w:val="en-CA"/>
        </w:rPr>
        <w:t xml:space="preserve"> note </w:t>
      </w:r>
      <w:r>
        <w:t>4</w:t>
      </w:r>
      <w:r w:rsidR="000A6789" w:rsidRPr="00627A11">
        <w:rPr>
          <w:lang w:val="en-CA"/>
        </w:rPr>
        <w:t>, p</w:t>
      </w:r>
      <w:r w:rsidR="00341735" w:rsidRPr="00627A11">
        <w:rPr>
          <w:lang w:val="en-CA"/>
        </w:rPr>
        <w:t>p</w:t>
      </w:r>
      <w:r w:rsidR="000A6789" w:rsidRPr="00627A11">
        <w:rPr>
          <w:lang w:val="en-CA"/>
        </w:rPr>
        <w:t xml:space="preserve">. 77 </w:t>
      </w:r>
      <w:r w:rsidR="00341735" w:rsidRPr="00627A11">
        <w:rPr>
          <w:lang w:val="en-CA"/>
        </w:rPr>
        <w:t>and</w:t>
      </w:r>
      <w:r w:rsidR="000A6789" w:rsidRPr="00627A11">
        <w:rPr>
          <w:lang w:val="en-CA"/>
        </w:rPr>
        <w:t xml:space="preserve"> 70.</w:t>
      </w:r>
    </w:p>
  </w:footnote>
  <w:footnote w:id="7">
    <w:p w14:paraId="4D59DE9C" w14:textId="648F7E55" w:rsidR="00AF0931" w:rsidRPr="00627A11" w:rsidRDefault="00B37A58" w:rsidP="00AF0931">
      <w:pPr>
        <w:pStyle w:val="Notedebasdepage"/>
        <w:rPr>
          <w:lang w:val="en-CA"/>
        </w:rPr>
      </w:pPr>
      <w:r w:rsidRPr="00627A11">
        <w:rPr>
          <w:rStyle w:val="Appelnotedebasdep"/>
          <w:lang w:val="en-CA"/>
        </w:rPr>
        <w:footnoteRef/>
      </w:r>
      <w:r w:rsidRPr="00627A11">
        <w:rPr>
          <w:lang w:val="en-CA"/>
        </w:rPr>
        <w:t xml:space="preserve"> </w:t>
      </w:r>
      <w:r w:rsidRPr="00627A11">
        <w:rPr>
          <w:lang w:val="en-CA"/>
        </w:rPr>
        <w:tab/>
      </w:r>
      <w:r w:rsidR="009D3FDD" w:rsidRPr="00627A11">
        <w:rPr>
          <w:lang w:val="en-CA"/>
        </w:rPr>
        <w:t>Record of Case – Dossier certifié d’extradition</w:t>
      </w:r>
      <w:r w:rsidR="00C25974" w:rsidRPr="00627A11">
        <w:rPr>
          <w:lang w:val="en-CA"/>
        </w:rPr>
        <w:t xml:space="preserve">, </w:t>
      </w:r>
      <w:r w:rsidR="00C25974" w:rsidRPr="00627A11">
        <w:rPr>
          <w:i/>
          <w:iCs/>
          <w:lang w:val="en-CA"/>
        </w:rPr>
        <w:t>supra</w:t>
      </w:r>
      <w:r w:rsidR="00C25974" w:rsidRPr="00627A11">
        <w:rPr>
          <w:lang w:val="en-CA"/>
        </w:rPr>
        <w:t xml:space="preserve">, note </w:t>
      </w:r>
      <w:r>
        <w:t>4</w:t>
      </w:r>
      <w:r w:rsidR="00C25974" w:rsidRPr="00627A11">
        <w:rPr>
          <w:lang w:val="en-CA"/>
        </w:rPr>
        <w:t xml:space="preserve">, p. 67; </w:t>
      </w:r>
      <w:r w:rsidR="00341735" w:rsidRPr="00627A11">
        <w:rPr>
          <w:lang w:val="en-CA"/>
        </w:rPr>
        <w:t>Judgment under appeal</w:t>
      </w:r>
      <w:r w:rsidR="00C25974" w:rsidRPr="00627A11">
        <w:rPr>
          <w:lang w:val="en-CA"/>
        </w:rPr>
        <w:t>, para. 27.</w:t>
      </w:r>
      <w:r w:rsidR="00831FB0" w:rsidRPr="00627A11">
        <w:rPr>
          <w:lang w:val="en-CA"/>
        </w:rPr>
        <w:t xml:space="preserve"> </w:t>
      </w:r>
      <w:r w:rsidR="00341735" w:rsidRPr="00627A11">
        <w:rPr>
          <w:lang w:val="en-CA"/>
        </w:rPr>
        <w:t>The</w:t>
      </w:r>
      <w:r w:rsidRPr="00627A11">
        <w:rPr>
          <w:lang w:val="en-CA"/>
        </w:rPr>
        <w:t xml:space="preserve"> Record of Case</w:t>
      </w:r>
      <w:r w:rsidR="00341735" w:rsidRPr="00627A11">
        <w:rPr>
          <w:lang w:val="en-CA"/>
        </w:rPr>
        <w:t xml:space="preserve"> dated June</w:t>
      </w:r>
      <w:r w:rsidRPr="00627A11">
        <w:rPr>
          <w:lang w:val="en-CA"/>
        </w:rPr>
        <w:t xml:space="preserve"> </w:t>
      </w:r>
      <w:r w:rsidR="00341735" w:rsidRPr="00627A11">
        <w:rPr>
          <w:lang w:val="en-CA"/>
        </w:rPr>
        <w:t>27,</w:t>
      </w:r>
      <w:r w:rsidRPr="00627A11">
        <w:rPr>
          <w:lang w:val="en-CA"/>
        </w:rPr>
        <w:t xml:space="preserve"> 2022 mention</w:t>
      </w:r>
      <w:r w:rsidR="00341735" w:rsidRPr="00627A11">
        <w:rPr>
          <w:lang w:val="en-CA"/>
        </w:rPr>
        <w:t>s</w:t>
      </w:r>
      <w:r w:rsidRPr="00627A11">
        <w:rPr>
          <w:lang w:val="en-CA"/>
        </w:rPr>
        <w:t xml:space="preserve"> </w:t>
      </w:r>
      <w:r w:rsidR="00341735" w:rsidRPr="00627A11">
        <w:rPr>
          <w:lang w:val="en-CA"/>
        </w:rPr>
        <w:t>the year</w:t>
      </w:r>
      <w:r w:rsidRPr="00627A11">
        <w:rPr>
          <w:lang w:val="en-CA"/>
        </w:rPr>
        <w:t xml:space="preserve"> 2000, </w:t>
      </w:r>
      <w:r w:rsidR="00341735" w:rsidRPr="00627A11">
        <w:rPr>
          <w:lang w:val="en-CA"/>
        </w:rPr>
        <w:t>but this error was subsequently corrected</w:t>
      </w:r>
      <w:r w:rsidRPr="00627A11">
        <w:rPr>
          <w:lang w:val="en-CA"/>
        </w:rPr>
        <w:t xml:space="preserve">: </w:t>
      </w:r>
      <w:r w:rsidR="00EB7E64" w:rsidRPr="00627A11">
        <w:rPr>
          <w:lang w:val="en-CA"/>
        </w:rPr>
        <w:t>Supplemental Record of Case – Dossier supplémentaire</w:t>
      </w:r>
      <w:r w:rsidR="00341735" w:rsidRPr="00627A11">
        <w:rPr>
          <w:lang w:val="en-CA"/>
        </w:rPr>
        <w:t xml:space="preserve">, </w:t>
      </w:r>
      <w:r w:rsidR="00EA5E01" w:rsidRPr="00627A11">
        <w:rPr>
          <w:i/>
          <w:iCs/>
          <w:lang w:val="en-CA"/>
        </w:rPr>
        <w:t>supra</w:t>
      </w:r>
      <w:r w:rsidRPr="00627A11">
        <w:rPr>
          <w:lang w:val="en-CA"/>
        </w:rPr>
        <w:t>,</w:t>
      </w:r>
      <w:r w:rsidR="00EA5E01" w:rsidRPr="00627A11">
        <w:rPr>
          <w:lang w:val="en-CA"/>
        </w:rPr>
        <w:t xml:space="preserve"> note</w:t>
      </w:r>
      <w:r w:rsidR="00BD4313">
        <w:rPr>
          <w:lang w:val="en-CA"/>
        </w:rPr>
        <w:t xml:space="preserve"> </w:t>
      </w:r>
      <w:r>
        <w:t>5</w:t>
      </w:r>
      <w:r w:rsidRPr="00627A11">
        <w:rPr>
          <w:lang w:val="en-CA"/>
        </w:rPr>
        <w:t xml:space="preserve">; </w:t>
      </w:r>
      <w:r w:rsidR="00341735" w:rsidRPr="00627A11">
        <w:rPr>
          <w:lang w:val="en-CA"/>
        </w:rPr>
        <w:t>Judgment under appeal</w:t>
      </w:r>
      <w:r w:rsidRPr="00627A11">
        <w:rPr>
          <w:lang w:val="en-CA"/>
        </w:rPr>
        <w:t>, para.</w:t>
      </w:r>
      <w:r w:rsidR="00E92C95" w:rsidRPr="00627A11">
        <w:rPr>
          <w:lang w:val="en-CA"/>
        </w:rPr>
        <w:t xml:space="preserve"> </w:t>
      </w:r>
      <w:r w:rsidRPr="00627A11">
        <w:rPr>
          <w:lang w:val="en-CA"/>
        </w:rPr>
        <w:t>33.</w:t>
      </w:r>
    </w:p>
  </w:footnote>
  <w:footnote w:id="8">
    <w:p w14:paraId="46E44104" w14:textId="2A6FC217" w:rsidR="007C02B9" w:rsidRPr="00627A11" w:rsidRDefault="00B37A58" w:rsidP="007C02B9">
      <w:pPr>
        <w:pStyle w:val="Notedebasdepage"/>
        <w:rPr>
          <w:lang w:val="en-CA"/>
        </w:rPr>
      </w:pPr>
      <w:r w:rsidRPr="00627A11">
        <w:rPr>
          <w:rStyle w:val="Appelnotedebasdep"/>
          <w:lang w:val="en-CA"/>
        </w:rPr>
        <w:footnoteRef/>
      </w:r>
      <w:r w:rsidRPr="00627A11">
        <w:rPr>
          <w:lang w:val="en-CA"/>
        </w:rPr>
        <w:t xml:space="preserve"> </w:t>
      </w:r>
      <w:r w:rsidRPr="00627A11">
        <w:rPr>
          <w:lang w:val="en-CA"/>
        </w:rPr>
        <w:tab/>
      </w:r>
      <w:r w:rsidR="009D3FDD" w:rsidRPr="00627A11">
        <w:rPr>
          <w:lang w:val="en-CA"/>
        </w:rPr>
        <w:t>Record of Case – Dossier certifié d’extradition</w:t>
      </w:r>
      <w:r w:rsidR="00341735" w:rsidRPr="00627A11">
        <w:rPr>
          <w:lang w:val="en-CA"/>
        </w:rPr>
        <w:t xml:space="preserve">, </w:t>
      </w:r>
      <w:r w:rsidRPr="00627A11">
        <w:rPr>
          <w:i/>
          <w:iCs/>
          <w:lang w:val="en-CA"/>
        </w:rPr>
        <w:t>supra</w:t>
      </w:r>
      <w:r w:rsidRPr="00627A11">
        <w:rPr>
          <w:lang w:val="en-CA"/>
        </w:rPr>
        <w:t xml:space="preserve">, note </w:t>
      </w:r>
      <w:r>
        <w:t>4</w:t>
      </w:r>
      <w:r w:rsidRPr="00627A11">
        <w:rPr>
          <w:lang w:val="en-CA"/>
        </w:rPr>
        <w:t xml:space="preserve">, p. 67, </w:t>
      </w:r>
      <w:r w:rsidR="00341735" w:rsidRPr="00627A11">
        <w:rPr>
          <w:lang w:val="en-CA"/>
        </w:rPr>
        <w:t>footnote</w:t>
      </w:r>
      <w:r w:rsidRPr="00627A11">
        <w:rPr>
          <w:lang w:val="en-CA"/>
        </w:rPr>
        <w:t xml:space="preserve"> 2; </w:t>
      </w:r>
      <w:r w:rsidR="00341735" w:rsidRPr="00627A11">
        <w:rPr>
          <w:lang w:val="en-CA"/>
        </w:rPr>
        <w:t>Judgment under appeal</w:t>
      </w:r>
      <w:r w:rsidRPr="00627A11">
        <w:rPr>
          <w:lang w:val="en-CA"/>
        </w:rPr>
        <w:t>, para. 46</w:t>
      </w:r>
    </w:p>
  </w:footnote>
  <w:footnote w:id="9">
    <w:p w14:paraId="3D9F0654" w14:textId="5BB948E7" w:rsidR="007C02B9" w:rsidRPr="00627A11" w:rsidRDefault="00B37A58" w:rsidP="007C02B9">
      <w:pPr>
        <w:pStyle w:val="Notedebasdepage"/>
        <w:rPr>
          <w:lang w:val="en-CA"/>
        </w:rPr>
      </w:pPr>
      <w:r w:rsidRPr="00627A11">
        <w:rPr>
          <w:rStyle w:val="Appelnotedebasdep"/>
          <w:lang w:val="en-CA"/>
        </w:rPr>
        <w:footnoteRef/>
      </w:r>
      <w:r w:rsidRPr="00627A11">
        <w:rPr>
          <w:lang w:val="en-CA"/>
        </w:rPr>
        <w:t xml:space="preserve"> </w:t>
      </w:r>
      <w:r w:rsidRPr="00627A11">
        <w:rPr>
          <w:lang w:val="en-CA"/>
        </w:rPr>
        <w:tab/>
      </w:r>
      <w:r w:rsidR="00341735" w:rsidRPr="00627A11">
        <w:rPr>
          <w:lang w:val="en-CA"/>
        </w:rPr>
        <w:t>Judgment under appeal</w:t>
      </w:r>
      <w:r w:rsidRPr="00627A11">
        <w:rPr>
          <w:lang w:val="en-CA"/>
        </w:rPr>
        <w:t>, para. 41.</w:t>
      </w:r>
    </w:p>
  </w:footnote>
  <w:footnote w:id="10">
    <w:p w14:paraId="18C2901F" w14:textId="69F423DB" w:rsidR="007C02B9" w:rsidRPr="00F0621F" w:rsidRDefault="00B37A58" w:rsidP="007C02B9">
      <w:pPr>
        <w:pStyle w:val="Notedebasdepage"/>
        <w:rPr>
          <w:lang w:val="en-CA"/>
        </w:rPr>
      </w:pPr>
      <w:r>
        <w:rPr>
          <w:rStyle w:val="Appelnotedebasdep"/>
        </w:rPr>
        <w:footnoteRef/>
      </w:r>
      <w:r w:rsidRPr="00C35B84">
        <w:rPr>
          <w:lang w:val="en-CA"/>
        </w:rPr>
        <w:t xml:space="preserve"> </w:t>
      </w:r>
      <w:r w:rsidRPr="00C35B84">
        <w:rPr>
          <w:lang w:val="en-CA"/>
        </w:rPr>
        <w:tab/>
      </w:r>
      <w:r w:rsidR="00EB7E64" w:rsidRPr="00F0621F">
        <w:rPr>
          <w:lang w:val="en-CA"/>
        </w:rPr>
        <w:t>Supplemental Record of Case – Dossier supplémentaire</w:t>
      </w:r>
      <w:r w:rsidR="00780D6D" w:rsidRPr="00F0621F">
        <w:rPr>
          <w:lang w:val="en-CA"/>
        </w:rPr>
        <w:t xml:space="preserve">, </w:t>
      </w:r>
      <w:r w:rsidRPr="00F0621F">
        <w:rPr>
          <w:i/>
          <w:iCs/>
          <w:lang w:val="en-CA"/>
        </w:rPr>
        <w:t>supra</w:t>
      </w:r>
      <w:r w:rsidRPr="00F0621F">
        <w:rPr>
          <w:lang w:val="en-CA"/>
        </w:rPr>
        <w:t xml:space="preserve">, note </w:t>
      </w:r>
      <w:r>
        <w:t>5</w:t>
      </w:r>
      <w:r w:rsidRPr="00F0621F">
        <w:rPr>
          <w:lang w:val="en-CA"/>
        </w:rPr>
        <w:t>.</w:t>
      </w:r>
    </w:p>
  </w:footnote>
  <w:footnote w:id="11">
    <w:p w14:paraId="7B1FB34D" w14:textId="50E30EF6" w:rsidR="007C02B9" w:rsidRPr="00F0621F" w:rsidRDefault="00B37A58" w:rsidP="007C02B9">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EB7E64" w:rsidRPr="00F0621F">
        <w:rPr>
          <w:lang w:val="en-CA"/>
        </w:rPr>
        <w:t>Record of Case – Dossier certifié d’extradition</w:t>
      </w:r>
      <w:r w:rsidR="00780D6D" w:rsidRPr="00F0621F">
        <w:rPr>
          <w:lang w:val="en-CA"/>
        </w:rPr>
        <w:t>,</w:t>
      </w:r>
      <w:r w:rsidRPr="00F0621F">
        <w:rPr>
          <w:lang w:val="en-CA"/>
        </w:rPr>
        <w:t xml:space="preserve"> </w:t>
      </w:r>
      <w:r w:rsidRPr="00F0621F">
        <w:rPr>
          <w:i/>
          <w:iCs/>
          <w:lang w:val="en-CA"/>
        </w:rPr>
        <w:t>supra</w:t>
      </w:r>
      <w:r w:rsidRPr="00F0621F">
        <w:rPr>
          <w:lang w:val="en-CA"/>
        </w:rPr>
        <w:t xml:space="preserve">, note </w:t>
      </w:r>
      <w:r>
        <w:t>4</w:t>
      </w:r>
      <w:r w:rsidRPr="00F0621F">
        <w:rPr>
          <w:lang w:val="en-CA"/>
        </w:rPr>
        <w:t>, p</w:t>
      </w:r>
      <w:r w:rsidR="00780D6D" w:rsidRPr="00F0621F">
        <w:rPr>
          <w:lang w:val="en-CA"/>
        </w:rPr>
        <w:t>p</w:t>
      </w:r>
      <w:r w:rsidRPr="00F0621F">
        <w:rPr>
          <w:lang w:val="en-CA"/>
        </w:rPr>
        <w:t xml:space="preserve">. 67 </w:t>
      </w:r>
      <w:r w:rsidR="00780D6D" w:rsidRPr="00F0621F">
        <w:rPr>
          <w:lang w:val="en-CA"/>
        </w:rPr>
        <w:t>and</w:t>
      </w:r>
      <w:r w:rsidRPr="00F0621F">
        <w:rPr>
          <w:lang w:val="en-CA"/>
        </w:rPr>
        <w:t xml:space="preserve"> 83; </w:t>
      </w:r>
      <w:r w:rsidR="00780D6D" w:rsidRPr="00F0621F">
        <w:rPr>
          <w:lang w:val="en-CA"/>
        </w:rPr>
        <w:t>Judgment under appeal</w:t>
      </w:r>
      <w:r w:rsidRPr="00F0621F">
        <w:rPr>
          <w:lang w:val="en-CA"/>
        </w:rPr>
        <w:t>, para. 46.</w:t>
      </w:r>
    </w:p>
  </w:footnote>
  <w:footnote w:id="12">
    <w:p w14:paraId="014857DB" w14:textId="767C52CC" w:rsidR="00EB77E3" w:rsidRPr="00F0621F" w:rsidRDefault="00B37A58" w:rsidP="00EB77E3">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EB7E64" w:rsidRPr="00F0621F">
        <w:rPr>
          <w:lang w:val="en-CA"/>
        </w:rPr>
        <w:t>Record of Case – Dossier certifié d’extradition</w:t>
      </w:r>
      <w:r w:rsidR="00780D6D" w:rsidRPr="00F0621F">
        <w:rPr>
          <w:lang w:val="en-CA"/>
        </w:rPr>
        <w:t>,</w:t>
      </w:r>
      <w:r w:rsidRPr="00F0621F">
        <w:rPr>
          <w:lang w:val="en-CA"/>
        </w:rPr>
        <w:t xml:space="preserve"> </w:t>
      </w:r>
      <w:r w:rsidRPr="00F0621F">
        <w:rPr>
          <w:i/>
          <w:iCs/>
          <w:lang w:val="en-CA"/>
        </w:rPr>
        <w:t>supra</w:t>
      </w:r>
      <w:r w:rsidRPr="00F0621F">
        <w:rPr>
          <w:lang w:val="en-CA"/>
        </w:rPr>
        <w:t xml:space="preserve">, note </w:t>
      </w:r>
      <w:r>
        <w:t>4</w:t>
      </w:r>
      <w:r w:rsidRPr="00F0621F">
        <w:rPr>
          <w:lang w:val="en-CA"/>
        </w:rPr>
        <w:t>, p</w:t>
      </w:r>
      <w:r w:rsidR="00780D6D" w:rsidRPr="00F0621F">
        <w:rPr>
          <w:lang w:val="en-CA"/>
        </w:rPr>
        <w:t>p</w:t>
      </w:r>
      <w:r w:rsidRPr="00F0621F">
        <w:rPr>
          <w:lang w:val="en-CA"/>
        </w:rPr>
        <w:t xml:space="preserve">. 73-74 </w:t>
      </w:r>
      <w:r w:rsidR="00780D6D" w:rsidRPr="00F0621F">
        <w:rPr>
          <w:lang w:val="en-CA"/>
        </w:rPr>
        <w:t>and</w:t>
      </w:r>
      <w:r w:rsidRPr="00F0621F">
        <w:rPr>
          <w:lang w:val="en-CA"/>
        </w:rPr>
        <w:t xml:space="preserve"> 85-95; </w:t>
      </w:r>
      <w:r w:rsidR="00780D6D" w:rsidRPr="00F0621F">
        <w:rPr>
          <w:lang w:val="en-CA"/>
        </w:rPr>
        <w:t>Judgment under appeal</w:t>
      </w:r>
      <w:r w:rsidRPr="00F0621F">
        <w:rPr>
          <w:lang w:val="en-CA"/>
        </w:rPr>
        <w:t>, para. 31.</w:t>
      </w:r>
    </w:p>
  </w:footnote>
  <w:footnote w:id="13">
    <w:p w14:paraId="4F5F0DFA" w14:textId="77777777" w:rsidR="00EB77E3" w:rsidRPr="00F0621F" w:rsidRDefault="00B37A58" w:rsidP="00EB77E3">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Pr="00F0621F">
        <w:rPr>
          <w:i/>
          <w:iCs/>
          <w:lang w:val="en-CA"/>
        </w:rPr>
        <w:t>Ibid.</w:t>
      </w:r>
    </w:p>
  </w:footnote>
  <w:footnote w:id="14">
    <w:p w14:paraId="7A58EC6C" w14:textId="6EC24630" w:rsidR="007C02B9" w:rsidRPr="00F0621F" w:rsidRDefault="00B37A58" w:rsidP="007C02B9">
      <w:pPr>
        <w:pStyle w:val="Notedebasdepage"/>
        <w:rPr>
          <w:lang w:val="en-CA"/>
        </w:rPr>
      </w:pPr>
      <w:r>
        <w:rPr>
          <w:rStyle w:val="Appelnotedebasdep"/>
        </w:rPr>
        <w:footnoteRef/>
      </w:r>
      <w:r w:rsidRPr="00C35B84">
        <w:rPr>
          <w:lang w:val="en-CA"/>
        </w:rPr>
        <w:t xml:space="preserve"> </w:t>
      </w:r>
      <w:r w:rsidRPr="00C35B84">
        <w:rPr>
          <w:lang w:val="en-CA"/>
        </w:rPr>
        <w:tab/>
      </w:r>
      <w:r w:rsidR="00EB7E64" w:rsidRPr="00F0621F">
        <w:rPr>
          <w:lang w:val="en-CA"/>
        </w:rPr>
        <w:t>Record of Case – Dossier certifié d’extradition</w:t>
      </w:r>
      <w:r w:rsidR="000D7BC3" w:rsidRPr="00F0621F">
        <w:rPr>
          <w:lang w:val="en-CA"/>
        </w:rPr>
        <w:t>,</w:t>
      </w:r>
      <w:r w:rsidRPr="00F0621F">
        <w:rPr>
          <w:lang w:val="en-CA"/>
        </w:rPr>
        <w:t xml:space="preserve"> </w:t>
      </w:r>
      <w:r w:rsidRPr="00F0621F">
        <w:rPr>
          <w:i/>
          <w:iCs/>
          <w:lang w:val="en-CA"/>
        </w:rPr>
        <w:t>supra</w:t>
      </w:r>
      <w:r w:rsidRPr="00F0621F">
        <w:rPr>
          <w:lang w:val="en-CA"/>
        </w:rPr>
        <w:t xml:space="preserve">, note </w:t>
      </w:r>
      <w:r>
        <w:t>4</w:t>
      </w:r>
      <w:r w:rsidRPr="00F0621F">
        <w:rPr>
          <w:lang w:val="en-CA"/>
        </w:rPr>
        <w:t>, p. 78.</w:t>
      </w:r>
    </w:p>
  </w:footnote>
  <w:footnote w:id="15">
    <w:p w14:paraId="37DE3053" w14:textId="5A2E61B2" w:rsidR="00083731" w:rsidRPr="00F0621F" w:rsidRDefault="00B37A58" w:rsidP="00083731">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0D7BC3" w:rsidRPr="00F0621F">
        <w:rPr>
          <w:lang w:val="en-CA"/>
        </w:rPr>
        <w:t>T</w:t>
      </w:r>
      <w:r w:rsidR="00627235" w:rsidRPr="00F0621F">
        <w:rPr>
          <w:lang w:val="en-CA"/>
        </w:rPr>
        <w:t>he Brace couple’s nephew</w:t>
      </w:r>
      <w:r w:rsidR="00926579" w:rsidRPr="00F0621F">
        <w:rPr>
          <w:lang w:val="en-CA"/>
        </w:rPr>
        <w:t xml:space="preserve">, </w:t>
      </w:r>
      <w:r w:rsidR="00A83BA2" w:rsidRPr="00F0621F">
        <w:rPr>
          <w:lang w:val="en-CA"/>
        </w:rPr>
        <w:t>M</w:t>
      </w:r>
      <w:r w:rsidR="00627235" w:rsidRPr="00F0621F">
        <w:rPr>
          <w:lang w:val="en-CA"/>
        </w:rPr>
        <w:t>r</w:t>
      </w:r>
      <w:r w:rsidR="00A83BA2" w:rsidRPr="00F0621F">
        <w:rPr>
          <w:lang w:val="en-CA"/>
        </w:rPr>
        <w:t xml:space="preserve">. </w:t>
      </w:r>
      <w:r w:rsidR="00194B9B">
        <w:rPr>
          <w:lang w:val="en-CA"/>
        </w:rPr>
        <w:t>Y</w:t>
      </w:r>
      <w:r w:rsidR="00926579" w:rsidRPr="00F0621F">
        <w:rPr>
          <w:lang w:val="en-CA"/>
        </w:rPr>
        <w:t>,</w:t>
      </w:r>
      <w:r w:rsidR="00A83BA2" w:rsidRPr="00F0621F">
        <w:rPr>
          <w:lang w:val="en-CA"/>
        </w:rPr>
        <w:t xml:space="preserve"> </w:t>
      </w:r>
      <w:r w:rsidR="00627235" w:rsidRPr="00F0621F">
        <w:rPr>
          <w:lang w:val="en-CA"/>
        </w:rPr>
        <w:t>also briefly confirmed the sequence of events and a team of forensic experts produced a report</w:t>
      </w:r>
      <w:r w:rsidRPr="00F0621F">
        <w:rPr>
          <w:lang w:val="en-CA"/>
        </w:rPr>
        <w:t xml:space="preserve">: </w:t>
      </w:r>
      <w:r w:rsidR="00EB7E64" w:rsidRPr="00F0621F">
        <w:rPr>
          <w:lang w:val="en-CA"/>
        </w:rPr>
        <w:t>Record of Case – Dossier certifié d’extradition</w:t>
      </w:r>
      <w:r w:rsidR="00627235" w:rsidRPr="00F0621F">
        <w:rPr>
          <w:lang w:val="en-CA"/>
        </w:rPr>
        <w:t xml:space="preserve">, </w:t>
      </w:r>
      <w:r w:rsidR="000A6789" w:rsidRPr="00F0621F">
        <w:rPr>
          <w:i/>
          <w:iCs/>
          <w:lang w:val="en-CA"/>
        </w:rPr>
        <w:t>supra</w:t>
      </w:r>
      <w:r w:rsidR="000A6789" w:rsidRPr="00F0621F">
        <w:rPr>
          <w:lang w:val="en-CA"/>
        </w:rPr>
        <w:t>, note</w:t>
      </w:r>
      <w:r w:rsidR="00BD4313">
        <w:rPr>
          <w:lang w:val="en-CA"/>
        </w:rPr>
        <w:t> </w:t>
      </w:r>
      <w:r>
        <w:t>4</w:t>
      </w:r>
      <w:r w:rsidR="003C5D6E" w:rsidRPr="00F0621F">
        <w:rPr>
          <w:lang w:val="en-CA"/>
        </w:rPr>
        <w:t xml:space="preserve">, </w:t>
      </w:r>
      <w:r w:rsidR="000A6789" w:rsidRPr="00F0621F">
        <w:rPr>
          <w:lang w:val="en-CA"/>
        </w:rPr>
        <w:t>p</w:t>
      </w:r>
      <w:r w:rsidR="00627235" w:rsidRPr="00F0621F">
        <w:rPr>
          <w:lang w:val="en-CA"/>
        </w:rPr>
        <w:t>p</w:t>
      </w:r>
      <w:r w:rsidR="000A6789" w:rsidRPr="00F0621F">
        <w:rPr>
          <w:lang w:val="en-CA"/>
        </w:rPr>
        <w:t>. 71-73.</w:t>
      </w:r>
    </w:p>
  </w:footnote>
  <w:footnote w:id="16">
    <w:p w14:paraId="048BA45E" w14:textId="754FD673" w:rsidR="006F5C86" w:rsidRPr="00F0621F" w:rsidRDefault="00B37A58" w:rsidP="006F5C86">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EB7E64" w:rsidRPr="00F0621F">
        <w:rPr>
          <w:lang w:val="en-CA"/>
        </w:rPr>
        <w:t>Record of Case – Dossier certifié d’extradition</w:t>
      </w:r>
      <w:r w:rsidR="00627235" w:rsidRPr="00F0621F">
        <w:rPr>
          <w:lang w:val="en-CA"/>
        </w:rPr>
        <w:t xml:space="preserve">, </w:t>
      </w:r>
      <w:r w:rsidRPr="00F0621F">
        <w:rPr>
          <w:i/>
          <w:iCs/>
          <w:lang w:val="en-CA"/>
        </w:rPr>
        <w:t>supra</w:t>
      </w:r>
      <w:r w:rsidRPr="00F0621F">
        <w:rPr>
          <w:lang w:val="en-CA"/>
        </w:rPr>
        <w:t xml:space="preserve">, note </w:t>
      </w:r>
      <w:r>
        <w:t>4</w:t>
      </w:r>
      <w:r w:rsidRPr="00F0621F">
        <w:rPr>
          <w:lang w:val="en-CA"/>
        </w:rPr>
        <w:t>, p</w:t>
      </w:r>
      <w:r w:rsidR="00627235" w:rsidRPr="00F0621F">
        <w:rPr>
          <w:lang w:val="en-CA"/>
        </w:rPr>
        <w:t>p</w:t>
      </w:r>
      <w:r w:rsidRPr="00F0621F">
        <w:rPr>
          <w:lang w:val="en-CA"/>
        </w:rPr>
        <w:t xml:space="preserve">. 70-71; </w:t>
      </w:r>
      <w:r w:rsidR="00627235" w:rsidRPr="00F0621F">
        <w:rPr>
          <w:lang w:val="en-CA"/>
        </w:rPr>
        <w:t>Judgment under appeal</w:t>
      </w:r>
      <w:r w:rsidRPr="00F0621F">
        <w:rPr>
          <w:lang w:val="en-CA"/>
        </w:rPr>
        <w:t>, para.</w:t>
      </w:r>
      <w:r w:rsidR="00BD4313">
        <w:rPr>
          <w:lang w:val="en-CA"/>
        </w:rPr>
        <w:t> </w:t>
      </w:r>
      <w:r w:rsidRPr="00F0621F">
        <w:rPr>
          <w:lang w:val="en-CA"/>
        </w:rPr>
        <w:t>45.</w:t>
      </w:r>
    </w:p>
  </w:footnote>
  <w:footnote w:id="17">
    <w:p w14:paraId="280269BE" w14:textId="3D1A3396" w:rsidR="00E07451" w:rsidRPr="005A7047" w:rsidRDefault="00B37A58" w:rsidP="00E07451">
      <w:pPr>
        <w:pStyle w:val="Notedebasdepage"/>
        <w:rPr>
          <w:lang w:val="en-CA"/>
        </w:rPr>
      </w:pPr>
      <w:r>
        <w:rPr>
          <w:rStyle w:val="Appelnotedebasdep"/>
        </w:rPr>
        <w:footnoteRef/>
      </w:r>
      <w:r w:rsidRPr="00C35B84">
        <w:rPr>
          <w:lang w:val="en-CA"/>
        </w:rPr>
        <w:t xml:space="preserve"> </w:t>
      </w:r>
      <w:r w:rsidRPr="00C35B84">
        <w:rPr>
          <w:lang w:val="en-CA"/>
        </w:rPr>
        <w:tab/>
      </w:r>
      <w:r w:rsidR="005873F4" w:rsidRPr="00C35B84">
        <w:rPr>
          <w:lang w:val="en-CA"/>
        </w:rPr>
        <w:t>Judgment under appeal</w:t>
      </w:r>
      <w:r w:rsidRPr="00C35B84">
        <w:rPr>
          <w:lang w:val="en-CA"/>
        </w:rPr>
        <w:t xml:space="preserve">, para. </w:t>
      </w:r>
      <w:r w:rsidRPr="005A7047">
        <w:rPr>
          <w:lang w:val="en-CA"/>
        </w:rPr>
        <w:t>7</w:t>
      </w:r>
      <w:r w:rsidR="00BD4313">
        <w:rPr>
          <w:lang w:val="en-CA"/>
        </w:rPr>
        <w:t>-8 and 24</w:t>
      </w:r>
      <w:r w:rsidRPr="005A7047">
        <w:rPr>
          <w:lang w:val="en-CA"/>
        </w:rPr>
        <w:t>.</w:t>
      </w:r>
    </w:p>
  </w:footnote>
  <w:footnote w:id="18">
    <w:p w14:paraId="75AB4CC5" w14:textId="24FC6DA1" w:rsidR="007C02B9" w:rsidRPr="00C35B84" w:rsidRDefault="00B37A58" w:rsidP="007C02B9">
      <w:pPr>
        <w:pStyle w:val="Notedebasdepage"/>
        <w:rPr>
          <w:lang w:val="en-CA"/>
        </w:rPr>
      </w:pPr>
      <w:r>
        <w:rPr>
          <w:rStyle w:val="Appelnotedebasdep"/>
        </w:rPr>
        <w:footnoteRef/>
      </w:r>
      <w:r w:rsidRPr="00C35B84">
        <w:rPr>
          <w:lang w:val="en-CA"/>
        </w:rPr>
        <w:t xml:space="preserve"> </w:t>
      </w:r>
      <w:r w:rsidRPr="00C35B84">
        <w:rPr>
          <w:lang w:val="en-CA"/>
        </w:rPr>
        <w:tab/>
      </w:r>
      <w:r w:rsidR="00F66712" w:rsidRPr="00C35B84">
        <w:rPr>
          <w:i/>
          <w:iCs/>
          <w:lang w:val="en-CA"/>
        </w:rPr>
        <w:t>Extradition Act</w:t>
      </w:r>
      <w:r w:rsidRPr="00C35B84">
        <w:rPr>
          <w:lang w:val="en-CA"/>
        </w:rPr>
        <w:t xml:space="preserve">, </w:t>
      </w:r>
      <w:r w:rsidRPr="00C35B84">
        <w:rPr>
          <w:i/>
          <w:iCs/>
          <w:lang w:val="en-CA"/>
        </w:rPr>
        <w:t>supra</w:t>
      </w:r>
      <w:r w:rsidRPr="00C35B84">
        <w:rPr>
          <w:lang w:val="en-CA"/>
        </w:rPr>
        <w:t xml:space="preserve">, note </w:t>
      </w:r>
      <w:r>
        <w:t>2</w:t>
      </w:r>
      <w:r w:rsidRPr="00C35B84">
        <w:rPr>
          <w:lang w:val="en-CA"/>
        </w:rPr>
        <w:t xml:space="preserve">, </w:t>
      </w:r>
      <w:r w:rsidR="00F66712" w:rsidRPr="00C35B84">
        <w:rPr>
          <w:lang w:val="en-CA"/>
        </w:rPr>
        <w:t>ss</w:t>
      </w:r>
      <w:r w:rsidRPr="00C35B84">
        <w:rPr>
          <w:lang w:val="en-CA"/>
        </w:rPr>
        <w:t xml:space="preserve">. 32 </w:t>
      </w:r>
      <w:r w:rsidR="00F66712" w:rsidRPr="00C35B84">
        <w:rPr>
          <w:lang w:val="en-CA"/>
        </w:rPr>
        <w:t>and</w:t>
      </w:r>
      <w:r w:rsidRPr="00C35B84">
        <w:rPr>
          <w:lang w:val="en-CA"/>
        </w:rPr>
        <w:t xml:space="preserve"> 33(3)</w:t>
      </w:r>
      <w:r w:rsidR="00F66712" w:rsidRPr="00C35B84">
        <w:rPr>
          <w:lang w:val="en-CA"/>
        </w:rPr>
        <w:t>(</w:t>
      </w:r>
      <w:r w:rsidRPr="00C35B84">
        <w:rPr>
          <w:lang w:val="en-CA"/>
        </w:rPr>
        <w:t>a).</w:t>
      </w:r>
    </w:p>
  </w:footnote>
  <w:footnote w:id="19">
    <w:p w14:paraId="7F9F6354" w14:textId="7655D6B6" w:rsidR="00E07451" w:rsidRPr="00C35B84" w:rsidRDefault="00B37A58" w:rsidP="00E07451">
      <w:pPr>
        <w:pStyle w:val="Notedebasdepage"/>
        <w:rPr>
          <w:lang w:val="en-CA"/>
        </w:rPr>
      </w:pPr>
      <w:r w:rsidRPr="00E754FC">
        <w:rPr>
          <w:rStyle w:val="Appelnotedebasdep"/>
        </w:rPr>
        <w:footnoteRef/>
      </w:r>
      <w:r w:rsidRPr="00C35B84">
        <w:rPr>
          <w:lang w:val="en-CA"/>
        </w:rPr>
        <w:t xml:space="preserve"> </w:t>
      </w:r>
      <w:r w:rsidRPr="00C35B84">
        <w:rPr>
          <w:lang w:val="en-CA"/>
        </w:rPr>
        <w:tab/>
      </w:r>
      <w:r w:rsidR="005873F4" w:rsidRPr="00C35B84">
        <w:rPr>
          <w:lang w:val="en-CA"/>
        </w:rPr>
        <w:t>Judgment under appeal</w:t>
      </w:r>
      <w:r w:rsidRPr="00C35B84">
        <w:rPr>
          <w:lang w:val="en-CA"/>
        </w:rPr>
        <w:t>, para</w:t>
      </w:r>
      <w:r w:rsidR="005873F4" w:rsidRPr="00C35B84">
        <w:rPr>
          <w:lang w:val="en-CA"/>
        </w:rPr>
        <w:t>s</w:t>
      </w:r>
      <w:r w:rsidRPr="00C35B84">
        <w:rPr>
          <w:lang w:val="en-CA"/>
        </w:rPr>
        <w:t>. 24-46.</w:t>
      </w:r>
    </w:p>
  </w:footnote>
  <w:footnote w:id="20">
    <w:p w14:paraId="53F49287" w14:textId="33DCD9C1" w:rsidR="000A2065" w:rsidRPr="00C35B84" w:rsidRDefault="00B37A58">
      <w:pPr>
        <w:pStyle w:val="Notedebasdepage"/>
        <w:rPr>
          <w:lang w:val="en-CA"/>
        </w:rPr>
      </w:pPr>
      <w:r>
        <w:rPr>
          <w:rStyle w:val="Appelnotedebasdep"/>
        </w:rPr>
        <w:footnoteRef/>
      </w:r>
      <w:r w:rsidRPr="00C35B84">
        <w:rPr>
          <w:lang w:val="en-CA"/>
        </w:rPr>
        <w:t xml:space="preserve"> </w:t>
      </w:r>
      <w:r w:rsidRPr="00C35B84">
        <w:rPr>
          <w:lang w:val="en-CA"/>
        </w:rPr>
        <w:tab/>
        <w:t>Id., paras. 47-58.</w:t>
      </w:r>
    </w:p>
  </w:footnote>
  <w:footnote w:id="21">
    <w:p w14:paraId="20B28E65" w14:textId="3D43C538" w:rsidR="00E07451" w:rsidRPr="00C35B84" w:rsidRDefault="00B37A58" w:rsidP="00E07451">
      <w:pPr>
        <w:pStyle w:val="Notedebasdepage"/>
        <w:rPr>
          <w:highlight w:val="yellow"/>
          <w:lang w:val="en-CA"/>
        </w:rPr>
      </w:pPr>
      <w:r w:rsidRPr="00E754FC">
        <w:rPr>
          <w:rStyle w:val="Appelnotedebasdep"/>
        </w:rPr>
        <w:footnoteRef/>
      </w:r>
      <w:r w:rsidRPr="00C35B84">
        <w:rPr>
          <w:lang w:val="en-CA"/>
        </w:rPr>
        <w:t xml:space="preserve"> </w:t>
      </w:r>
      <w:r w:rsidRPr="00C35B84">
        <w:rPr>
          <w:lang w:val="en-CA"/>
        </w:rPr>
        <w:tab/>
      </w:r>
      <w:r w:rsidRPr="00C35B84">
        <w:rPr>
          <w:i/>
          <w:iCs/>
          <w:lang w:val="en-CA"/>
        </w:rPr>
        <w:t>Id.</w:t>
      </w:r>
      <w:r w:rsidRPr="00C35B84">
        <w:rPr>
          <w:lang w:val="en-CA"/>
        </w:rPr>
        <w:t>, para</w:t>
      </w:r>
      <w:r w:rsidR="00FE2336" w:rsidRPr="00C35B84">
        <w:rPr>
          <w:lang w:val="en-CA"/>
        </w:rPr>
        <w:t>s</w:t>
      </w:r>
      <w:r w:rsidRPr="00C35B84">
        <w:rPr>
          <w:lang w:val="en-CA"/>
        </w:rPr>
        <w:t>. 49-50.</w:t>
      </w:r>
    </w:p>
  </w:footnote>
  <w:footnote w:id="22">
    <w:p w14:paraId="7D0D7C59" w14:textId="1237B54E" w:rsidR="00E07451" w:rsidRPr="00C35B84" w:rsidRDefault="00B37A58" w:rsidP="00E07451">
      <w:pPr>
        <w:pStyle w:val="Notedebasdepage"/>
        <w:rPr>
          <w:lang w:val="en-CA"/>
        </w:rPr>
      </w:pPr>
      <w:r>
        <w:rPr>
          <w:rStyle w:val="Appelnotedebasdep"/>
        </w:rPr>
        <w:footnoteRef/>
      </w:r>
      <w:r w:rsidRPr="00C35B84">
        <w:rPr>
          <w:lang w:val="en-CA"/>
        </w:rPr>
        <w:t xml:space="preserve"> </w:t>
      </w:r>
      <w:r w:rsidRPr="00C35B84">
        <w:rPr>
          <w:lang w:val="en-CA"/>
        </w:rPr>
        <w:tab/>
      </w:r>
      <w:r w:rsidR="00FE2336" w:rsidRPr="00C35B84">
        <w:rPr>
          <w:lang w:val="en-CA"/>
        </w:rPr>
        <w:t>Ruling</w:t>
      </w:r>
      <w:r w:rsidRPr="00C35B84">
        <w:rPr>
          <w:lang w:val="en-CA"/>
        </w:rPr>
        <w:t xml:space="preserve">, </w:t>
      </w:r>
      <w:r w:rsidR="00FE2336" w:rsidRPr="00C35B84">
        <w:rPr>
          <w:lang w:val="en-CA"/>
        </w:rPr>
        <w:t>October 10,</w:t>
      </w:r>
      <w:r w:rsidRPr="00C35B84">
        <w:rPr>
          <w:lang w:val="en-CA"/>
        </w:rPr>
        <w:t xml:space="preserve"> 2023. </w:t>
      </w:r>
      <w:r w:rsidR="00FE2336" w:rsidRPr="00C35B84">
        <w:rPr>
          <w:lang w:val="en-CA"/>
        </w:rPr>
        <w:t>See also Judgment under appeal</w:t>
      </w:r>
      <w:r w:rsidRPr="00C35B84">
        <w:rPr>
          <w:lang w:val="en-CA"/>
        </w:rPr>
        <w:t>, para</w:t>
      </w:r>
      <w:r w:rsidR="00FE2336" w:rsidRPr="00C35B84">
        <w:rPr>
          <w:lang w:val="en-CA"/>
        </w:rPr>
        <w:t>s</w:t>
      </w:r>
      <w:r w:rsidRPr="00C35B84">
        <w:rPr>
          <w:lang w:val="en-CA"/>
        </w:rPr>
        <w:t>. 59</w:t>
      </w:r>
      <w:r w:rsidRPr="00C35B84">
        <w:rPr>
          <w:lang w:val="en-CA"/>
        </w:rPr>
        <w:noBreakHyphen/>
        <w:t>64.</w:t>
      </w:r>
    </w:p>
  </w:footnote>
  <w:footnote w:id="23">
    <w:p w14:paraId="0968635D" w14:textId="7806A2CB" w:rsidR="00E07451" w:rsidRPr="00C35B84" w:rsidRDefault="00B37A58" w:rsidP="00E07451">
      <w:pPr>
        <w:pStyle w:val="Notedebasdepage"/>
        <w:rPr>
          <w:lang w:val="en-CA"/>
        </w:rPr>
      </w:pPr>
      <w:r>
        <w:rPr>
          <w:rStyle w:val="Appelnotedebasdep"/>
        </w:rPr>
        <w:footnoteRef/>
      </w:r>
      <w:r w:rsidRPr="00C35B84">
        <w:rPr>
          <w:lang w:val="en-CA"/>
        </w:rPr>
        <w:t xml:space="preserve"> </w:t>
      </w:r>
      <w:r w:rsidRPr="00C35B84">
        <w:rPr>
          <w:lang w:val="en-CA"/>
        </w:rPr>
        <w:tab/>
      </w:r>
      <w:r w:rsidR="00FE2336" w:rsidRPr="00C35B84">
        <w:rPr>
          <w:lang w:val="en-CA"/>
        </w:rPr>
        <w:t>Testimony of</w:t>
      </w:r>
      <w:r w:rsidRPr="00C35B84">
        <w:rPr>
          <w:lang w:val="en-CA"/>
        </w:rPr>
        <w:t xml:space="preserve"> Vladimir Muçaj, </w:t>
      </w:r>
      <w:r w:rsidR="00FE2336" w:rsidRPr="00C35B84">
        <w:rPr>
          <w:lang w:val="en-CA"/>
        </w:rPr>
        <w:t>October 10,</w:t>
      </w:r>
      <w:r w:rsidRPr="00C35B84">
        <w:rPr>
          <w:lang w:val="en-CA"/>
        </w:rPr>
        <w:t xml:space="preserve"> 2023</w:t>
      </w:r>
      <w:r w:rsidR="000E7705" w:rsidRPr="00C35B84">
        <w:rPr>
          <w:lang w:val="en-CA"/>
        </w:rPr>
        <w:t>.</w:t>
      </w:r>
    </w:p>
  </w:footnote>
  <w:footnote w:id="24">
    <w:p w14:paraId="04B8922C" w14:textId="7541BE60" w:rsidR="00E07451" w:rsidRPr="00C35B84" w:rsidRDefault="00B37A58" w:rsidP="00E07451">
      <w:pPr>
        <w:pStyle w:val="Notedebasdepage"/>
        <w:rPr>
          <w:lang w:val="en-CA"/>
        </w:rPr>
      </w:pPr>
      <w:r>
        <w:rPr>
          <w:rStyle w:val="Appelnotedebasdep"/>
        </w:rPr>
        <w:footnoteRef/>
      </w:r>
      <w:r w:rsidRPr="00C35B84">
        <w:rPr>
          <w:lang w:val="en-CA"/>
        </w:rPr>
        <w:t xml:space="preserve"> </w:t>
      </w:r>
      <w:r w:rsidRPr="00C35B84">
        <w:rPr>
          <w:lang w:val="en-CA"/>
        </w:rPr>
        <w:tab/>
      </w:r>
      <w:r w:rsidRPr="00C35B84">
        <w:rPr>
          <w:i/>
          <w:iCs/>
          <w:lang w:val="en-CA"/>
        </w:rPr>
        <w:t>I</w:t>
      </w:r>
      <w:r w:rsidR="00BD4313">
        <w:rPr>
          <w:i/>
          <w:iCs/>
          <w:lang w:val="en-CA"/>
        </w:rPr>
        <w:t>bi</w:t>
      </w:r>
      <w:r w:rsidRPr="00C35B84">
        <w:rPr>
          <w:i/>
          <w:iCs/>
          <w:lang w:val="en-CA"/>
        </w:rPr>
        <w:t>d</w:t>
      </w:r>
      <w:r w:rsidRPr="00C35B84">
        <w:rPr>
          <w:lang w:val="en-CA"/>
        </w:rPr>
        <w:t>.</w:t>
      </w:r>
    </w:p>
  </w:footnote>
  <w:footnote w:id="25">
    <w:p w14:paraId="20630BB2" w14:textId="57EDAF8C" w:rsidR="00015B49" w:rsidRPr="00C35B84" w:rsidRDefault="00B37A58" w:rsidP="00015B49">
      <w:pPr>
        <w:pStyle w:val="Notedebasdepage"/>
        <w:rPr>
          <w:lang w:val="en-CA"/>
        </w:rPr>
      </w:pPr>
      <w:r w:rsidRPr="0082392D">
        <w:rPr>
          <w:rStyle w:val="Appelnotedebasdep"/>
        </w:rPr>
        <w:footnoteRef/>
      </w:r>
      <w:r w:rsidRPr="00C35B84">
        <w:rPr>
          <w:lang w:val="en-CA"/>
        </w:rPr>
        <w:t xml:space="preserve"> </w:t>
      </w:r>
      <w:r w:rsidRPr="00C35B84">
        <w:rPr>
          <w:lang w:val="en-CA"/>
        </w:rPr>
        <w:tab/>
      </w:r>
      <w:r w:rsidR="00FE2336" w:rsidRPr="00C35B84">
        <w:rPr>
          <w:lang w:val="en-CA"/>
        </w:rPr>
        <w:t>Judgment under appeal</w:t>
      </w:r>
      <w:r w:rsidRPr="00C35B84">
        <w:rPr>
          <w:lang w:val="en-CA"/>
        </w:rPr>
        <w:t>, para</w:t>
      </w:r>
      <w:r w:rsidR="00FE2336" w:rsidRPr="00C35B84">
        <w:rPr>
          <w:lang w:val="en-CA"/>
        </w:rPr>
        <w:t>s</w:t>
      </w:r>
      <w:r w:rsidRPr="00C35B84">
        <w:rPr>
          <w:lang w:val="en-CA"/>
        </w:rPr>
        <w:t>. 71-72.</w:t>
      </w:r>
    </w:p>
  </w:footnote>
  <w:footnote w:id="26">
    <w:p w14:paraId="35F1764A" w14:textId="797B5184" w:rsidR="00E07451" w:rsidRPr="00E21FAE" w:rsidRDefault="00B37A58" w:rsidP="00E07451">
      <w:pPr>
        <w:pStyle w:val="Notedebasdepage"/>
        <w:rPr>
          <w:lang w:val="en-CA"/>
        </w:rPr>
      </w:pPr>
      <w:r w:rsidRPr="0082392D">
        <w:rPr>
          <w:rStyle w:val="Appelnotedebasdep"/>
        </w:rPr>
        <w:footnoteRef/>
      </w:r>
      <w:r w:rsidRPr="00C35B84">
        <w:rPr>
          <w:lang w:val="en-CA"/>
        </w:rPr>
        <w:t xml:space="preserve"> </w:t>
      </w:r>
      <w:r w:rsidRPr="00C35B84">
        <w:rPr>
          <w:lang w:val="en-CA"/>
        </w:rPr>
        <w:tab/>
      </w:r>
      <w:bookmarkStart w:id="18" w:name="_Hlk209451471"/>
      <w:r w:rsidRPr="00C35B84">
        <w:rPr>
          <w:i/>
          <w:iCs/>
          <w:lang w:val="en-CA"/>
        </w:rPr>
        <w:t>Id.</w:t>
      </w:r>
      <w:bookmarkEnd w:id="18"/>
      <w:r w:rsidRPr="00C35B84">
        <w:rPr>
          <w:lang w:val="en-CA"/>
        </w:rPr>
        <w:t xml:space="preserve">, para. </w:t>
      </w:r>
      <w:r w:rsidRPr="00E21FAE">
        <w:rPr>
          <w:lang w:val="en-CA"/>
        </w:rPr>
        <w:t>73.</w:t>
      </w:r>
    </w:p>
  </w:footnote>
  <w:footnote w:id="27">
    <w:p w14:paraId="0B53C103" w14:textId="2E95F95A" w:rsidR="00E07451" w:rsidRPr="00E21FAE" w:rsidRDefault="00B37A58" w:rsidP="00E07451">
      <w:pPr>
        <w:pStyle w:val="Notedebasdepage"/>
        <w:rPr>
          <w:lang w:val="en-CA"/>
        </w:rPr>
      </w:pPr>
      <w:r>
        <w:rPr>
          <w:rStyle w:val="Appelnotedebasdep"/>
        </w:rPr>
        <w:footnoteRef/>
      </w:r>
      <w:r w:rsidRPr="00E21FAE">
        <w:rPr>
          <w:lang w:val="en-CA"/>
        </w:rPr>
        <w:t xml:space="preserve"> </w:t>
      </w:r>
      <w:r w:rsidRPr="00E21FAE">
        <w:rPr>
          <w:lang w:val="en-CA"/>
        </w:rPr>
        <w:tab/>
      </w:r>
      <w:r w:rsidRPr="00E21FAE">
        <w:rPr>
          <w:i/>
          <w:iCs/>
          <w:lang w:val="en-CA"/>
        </w:rPr>
        <w:t>Id.</w:t>
      </w:r>
      <w:r w:rsidRPr="00E21FAE">
        <w:rPr>
          <w:lang w:val="en-CA"/>
        </w:rPr>
        <w:t>, para. 74.</w:t>
      </w:r>
    </w:p>
  </w:footnote>
  <w:footnote w:id="28">
    <w:p w14:paraId="2720588C" w14:textId="6EA4C89B" w:rsidR="00E07451" w:rsidRPr="006B370B" w:rsidRDefault="00B37A58" w:rsidP="00E07451">
      <w:pPr>
        <w:pStyle w:val="Notedebasdepage"/>
        <w:rPr>
          <w:lang w:val="en-CA"/>
        </w:rPr>
      </w:pPr>
      <w:r>
        <w:rPr>
          <w:rStyle w:val="Appelnotedebasdep"/>
        </w:rPr>
        <w:footnoteRef/>
      </w:r>
      <w:r w:rsidRPr="00E21FAE">
        <w:rPr>
          <w:lang w:val="en-CA"/>
        </w:rPr>
        <w:t xml:space="preserve"> </w:t>
      </w:r>
      <w:r w:rsidRPr="00E21FAE">
        <w:rPr>
          <w:lang w:val="en-CA"/>
        </w:rPr>
        <w:tab/>
      </w:r>
      <w:r w:rsidRPr="00E21FAE">
        <w:rPr>
          <w:i/>
          <w:iCs/>
          <w:lang w:val="en-CA"/>
        </w:rPr>
        <w:t>Id.</w:t>
      </w:r>
      <w:r w:rsidRPr="00E21FAE">
        <w:rPr>
          <w:lang w:val="en-CA"/>
        </w:rPr>
        <w:t xml:space="preserve">, para. </w:t>
      </w:r>
      <w:r w:rsidRPr="006B370B">
        <w:rPr>
          <w:lang w:val="en-CA"/>
        </w:rPr>
        <w:t>75.</w:t>
      </w:r>
    </w:p>
  </w:footnote>
  <w:footnote w:id="29">
    <w:p w14:paraId="1EF1BF24" w14:textId="76BBD804" w:rsidR="00E07451" w:rsidRPr="00C35B84" w:rsidRDefault="00B37A58" w:rsidP="00E07451">
      <w:pPr>
        <w:pStyle w:val="Notedebasdepage"/>
        <w:rPr>
          <w:lang w:val="en-CA"/>
        </w:rPr>
      </w:pPr>
      <w:r>
        <w:rPr>
          <w:rStyle w:val="Appelnotedebasdep"/>
        </w:rPr>
        <w:footnoteRef/>
      </w:r>
      <w:r w:rsidRPr="006B370B">
        <w:rPr>
          <w:lang w:val="en-CA"/>
        </w:rPr>
        <w:t xml:space="preserve"> </w:t>
      </w:r>
      <w:r w:rsidRPr="006B370B">
        <w:rPr>
          <w:lang w:val="en-CA"/>
        </w:rPr>
        <w:tab/>
      </w:r>
      <w:r w:rsidRPr="006B370B">
        <w:rPr>
          <w:i/>
          <w:iCs/>
          <w:lang w:val="en-CA"/>
        </w:rPr>
        <w:t>Id.</w:t>
      </w:r>
      <w:r w:rsidRPr="006B370B">
        <w:rPr>
          <w:lang w:val="en-CA"/>
        </w:rPr>
        <w:t xml:space="preserve">, para. </w:t>
      </w:r>
      <w:r w:rsidRPr="00C35B84">
        <w:rPr>
          <w:lang w:val="en-CA"/>
        </w:rPr>
        <w:t xml:space="preserve">76. </w:t>
      </w:r>
      <w:r w:rsidR="005E47D5" w:rsidRPr="00C35B84">
        <w:rPr>
          <w:lang w:val="en-CA"/>
        </w:rPr>
        <w:t>See also paras</w:t>
      </w:r>
      <w:r w:rsidRPr="00C35B84">
        <w:rPr>
          <w:lang w:val="en-CA"/>
        </w:rPr>
        <w:t>. 29-30.</w:t>
      </w:r>
    </w:p>
  </w:footnote>
  <w:footnote w:id="30">
    <w:p w14:paraId="3B3E781C" w14:textId="004BD39D" w:rsidR="00E07451" w:rsidRPr="00C35B84" w:rsidRDefault="00B37A58" w:rsidP="00E07451">
      <w:pPr>
        <w:pStyle w:val="Notedebasdepage"/>
        <w:rPr>
          <w:lang w:val="en-CA"/>
        </w:rPr>
      </w:pPr>
      <w:r w:rsidRPr="0082392D">
        <w:rPr>
          <w:rStyle w:val="Appelnotedebasdep"/>
        </w:rPr>
        <w:footnoteRef/>
      </w:r>
      <w:r w:rsidRPr="00C35B84">
        <w:rPr>
          <w:lang w:val="en-CA"/>
        </w:rPr>
        <w:t xml:space="preserve"> </w:t>
      </w:r>
      <w:r w:rsidRPr="00C35B84">
        <w:rPr>
          <w:lang w:val="en-CA"/>
        </w:rPr>
        <w:tab/>
      </w:r>
      <w:r w:rsidRPr="00C35B84">
        <w:rPr>
          <w:i/>
          <w:iCs/>
          <w:lang w:val="en-CA"/>
        </w:rPr>
        <w:t>Id.</w:t>
      </w:r>
      <w:r w:rsidRPr="00C35B84">
        <w:rPr>
          <w:lang w:val="en-CA"/>
        </w:rPr>
        <w:t>, para. 70.</w:t>
      </w:r>
    </w:p>
  </w:footnote>
  <w:footnote w:id="31">
    <w:p w14:paraId="66928E34" w14:textId="40DA42F9" w:rsidR="00E07451" w:rsidRPr="00F0621F" w:rsidRDefault="00B37A58" w:rsidP="00E07451">
      <w:pPr>
        <w:pStyle w:val="Notedebasdepage"/>
        <w:rPr>
          <w:lang w:val="en-CA"/>
        </w:rPr>
      </w:pPr>
      <w:r>
        <w:rPr>
          <w:rStyle w:val="Appelnotedebasdep"/>
        </w:rPr>
        <w:footnoteRef/>
      </w:r>
      <w:r w:rsidRPr="00C35B84">
        <w:rPr>
          <w:lang w:val="en-CA"/>
        </w:rPr>
        <w:t xml:space="preserve"> </w:t>
      </w:r>
      <w:r w:rsidRPr="00C35B84">
        <w:rPr>
          <w:lang w:val="en-CA"/>
        </w:rPr>
        <w:tab/>
      </w:r>
      <w:r w:rsidRPr="00F0621F">
        <w:rPr>
          <w:i/>
          <w:iCs/>
          <w:lang w:val="en-CA"/>
        </w:rPr>
        <w:t>Id.</w:t>
      </w:r>
      <w:r w:rsidRPr="00F0621F">
        <w:rPr>
          <w:lang w:val="en-CA"/>
        </w:rPr>
        <w:t>, para</w:t>
      </w:r>
      <w:r w:rsidR="005E47D5" w:rsidRPr="00F0621F">
        <w:rPr>
          <w:lang w:val="en-CA"/>
        </w:rPr>
        <w:t>s</w:t>
      </w:r>
      <w:r w:rsidRPr="00F0621F">
        <w:rPr>
          <w:lang w:val="en-CA"/>
        </w:rPr>
        <w:t>. 67-68</w:t>
      </w:r>
      <w:r w:rsidR="00D0655F" w:rsidRPr="00F0621F">
        <w:rPr>
          <w:lang w:val="en-CA"/>
        </w:rPr>
        <w:t>,</w:t>
      </w:r>
      <w:r w:rsidRPr="00F0621F">
        <w:rPr>
          <w:lang w:val="en-CA"/>
        </w:rPr>
        <w:t xml:space="preserve"> </w:t>
      </w:r>
      <w:r w:rsidR="00D0655F" w:rsidRPr="00F0621F">
        <w:rPr>
          <w:lang w:val="en-CA"/>
        </w:rPr>
        <w:t xml:space="preserve">citing </w:t>
      </w:r>
      <w:bookmarkStart w:id="20" w:name="_Hlk215217486"/>
      <w:r w:rsidR="00D0655F" w:rsidRPr="00F0621F">
        <w:rPr>
          <w:i/>
          <w:iCs/>
          <w:lang w:val="en-CA"/>
        </w:rPr>
        <w:t xml:space="preserve">United States of America </w:t>
      </w:r>
      <w:bookmarkEnd w:id="20"/>
      <w:r w:rsidR="00D0655F" w:rsidRPr="00F0621F">
        <w:rPr>
          <w:i/>
          <w:iCs/>
          <w:lang w:val="en-CA"/>
        </w:rPr>
        <w:t>v. Ferras</w:t>
      </w:r>
      <w:r w:rsidR="00D0655F" w:rsidRPr="00F0621F">
        <w:rPr>
          <w:lang w:val="en-CA"/>
        </w:rPr>
        <w:t xml:space="preserve">; </w:t>
      </w:r>
      <w:r w:rsidR="00D0655F" w:rsidRPr="00F0621F">
        <w:rPr>
          <w:i/>
          <w:iCs/>
          <w:lang w:val="en-CA"/>
        </w:rPr>
        <w:t>United States of America v. Latty</w:t>
      </w:r>
      <w:r w:rsidR="00D0655F" w:rsidRPr="00F0621F">
        <w:rPr>
          <w:lang w:val="en-CA"/>
        </w:rPr>
        <w:t>, 2006</w:t>
      </w:r>
      <w:r w:rsidR="00BD4313">
        <w:rPr>
          <w:lang w:val="en-CA"/>
        </w:rPr>
        <w:t> </w:t>
      </w:r>
      <w:r w:rsidR="00D0655F" w:rsidRPr="00F0621F">
        <w:rPr>
          <w:lang w:val="en-CA"/>
        </w:rPr>
        <w:t>SCC</w:t>
      </w:r>
      <w:r w:rsidR="00BD4313">
        <w:rPr>
          <w:lang w:val="en-CA"/>
        </w:rPr>
        <w:t> </w:t>
      </w:r>
      <w:r w:rsidR="00F561B4" w:rsidRPr="00F0621F">
        <w:rPr>
          <w:lang w:val="en-CA"/>
        </w:rPr>
        <w:t>33</w:t>
      </w:r>
      <w:r w:rsidR="00D0655F" w:rsidRPr="00F0621F">
        <w:rPr>
          <w:lang w:val="en-CA"/>
        </w:rPr>
        <w:t xml:space="preserve">; </w:t>
      </w:r>
      <w:r w:rsidR="00D0655F" w:rsidRPr="00F0621F">
        <w:rPr>
          <w:i/>
          <w:iCs/>
          <w:lang w:val="en-CA"/>
        </w:rPr>
        <w:t>M.M. v. United States of America</w:t>
      </w:r>
      <w:r w:rsidR="00D0655F" w:rsidRPr="00F0621F">
        <w:rPr>
          <w:lang w:val="en-CA"/>
        </w:rPr>
        <w:t>, 2015 SCC 62, para. 36</w:t>
      </w:r>
      <w:r w:rsidRPr="00F0621F">
        <w:rPr>
          <w:lang w:val="en-CA"/>
        </w:rPr>
        <w:t>.</w:t>
      </w:r>
    </w:p>
  </w:footnote>
  <w:footnote w:id="32">
    <w:p w14:paraId="47DB3143" w14:textId="28EDB1D5" w:rsidR="00290E95" w:rsidRPr="00F0621F" w:rsidRDefault="00B37A58" w:rsidP="00537BE4">
      <w:pPr>
        <w:pStyle w:val="Notedebasdepage"/>
        <w:ind w:left="357" w:hanging="357"/>
        <w:rPr>
          <w:lang w:val="en-CA"/>
        </w:rPr>
      </w:pPr>
      <w:r w:rsidRPr="00F0621F">
        <w:rPr>
          <w:rStyle w:val="Appelnotedebasdep"/>
          <w:lang w:val="en-CA"/>
        </w:rPr>
        <w:footnoteRef/>
      </w:r>
      <w:r w:rsidRPr="00F0621F">
        <w:rPr>
          <w:lang w:val="en-CA"/>
        </w:rPr>
        <w:t xml:space="preserve"> </w:t>
      </w:r>
      <w:r w:rsidRPr="00F0621F">
        <w:rPr>
          <w:lang w:val="en-CA"/>
        </w:rPr>
        <w:tab/>
      </w:r>
      <w:r w:rsidR="00BD4313" w:rsidRPr="00C35B84">
        <w:rPr>
          <w:lang w:val="en-CA"/>
        </w:rPr>
        <w:t>Judgment under appeal</w:t>
      </w:r>
      <w:r w:rsidRPr="00F0621F">
        <w:rPr>
          <w:lang w:val="en-CA"/>
        </w:rPr>
        <w:t>, para. 69.</w:t>
      </w:r>
    </w:p>
  </w:footnote>
  <w:footnote w:id="33">
    <w:p w14:paraId="772769A2" w14:textId="6B819606" w:rsidR="005672DD" w:rsidRPr="00F0621F" w:rsidRDefault="00B37A58" w:rsidP="00537BE4">
      <w:pPr>
        <w:pStyle w:val="Paragraphe"/>
        <w:numPr>
          <w:ilvl w:val="0"/>
          <w:numId w:val="0"/>
        </w:numPr>
        <w:spacing w:before="0" w:after="0" w:line="240" w:lineRule="auto"/>
        <w:ind w:left="357" w:hanging="357"/>
        <w:rPr>
          <w:sz w:val="20"/>
          <w:lang w:val="en-CA"/>
        </w:rPr>
      </w:pPr>
      <w:r w:rsidRPr="00537BE4">
        <w:rPr>
          <w:rStyle w:val="Appelnotedebasdep"/>
          <w:sz w:val="20"/>
        </w:rPr>
        <w:footnoteRef/>
      </w:r>
      <w:r w:rsidRPr="00D84B7E">
        <w:rPr>
          <w:sz w:val="20"/>
          <w:lang w:val="en-CA"/>
        </w:rPr>
        <w:t xml:space="preserve"> </w:t>
      </w:r>
      <w:r w:rsidR="00537BE4" w:rsidRPr="00D84B7E">
        <w:rPr>
          <w:sz w:val="20"/>
          <w:lang w:val="en-CA"/>
        </w:rPr>
        <w:tab/>
      </w:r>
      <w:r w:rsidRPr="00F0621F">
        <w:rPr>
          <w:i/>
          <w:iCs/>
          <w:sz w:val="20"/>
          <w:lang w:val="en-CA"/>
        </w:rPr>
        <w:t xml:space="preserve">Danielson </w:t>
      </w:r>
      <w:r w:rsidR="00A65188" w:rsidRPr="00F0621F">
        <w:rPr>
          <w:i/>
          <w:iCs/>
          <w:sz w:val="20"/>
          <w:lang w:val="en-CA"/>
        </w:rPr>
        <w:t>v. Unit</w:t>
      </w:r>
      <w:r w:rsidR="004D4F86" w:rsidRPr="00F0621F">
        <w:rPr>
          <w:i/>
          <w:iCs/>
          <w:sz w:val="20"/>
          <w:lang w:val="en-CA"/>
        </w:rPr>
        <w:t>e</w:t>
      </w:r>
      <w:r w:rsidR="00A65188" w:rsidRPr="00F0621F">
        <w:rPr>
          <w:i/>
          <w:iCs/>
          <w:sz w:val="20"/>
          <w:lang w:val="en-CA"/>
        </w:rPr>
        <w:t>d States of America</w:t>
      </w:r>
      <w:r w:rsidRPr="00F0621F">
        <w:rPr>
          <w:sz w:val="20"/>
          <w:lang w:val="en-CA"/>
        </w:rPr>
        <w:t xml:space="preserve">, </w:t>
      </w:r>
      <w:r w:rsidR="002548C7" w:rsidRPr="00F0621F">
        <w:rPr>
          <w:sz w:val="20"/>
          <w:lang w:val="en-CA"/>
        </w:rPr>
        <w:t>2008 BCCA</w:t>
      </w:r>
      <w:r w:rsidR="00A5356F" w:rsidRPr="00F0621F">
        <w:rPr>
          <w:sz w:val="20"/>
          <w:lang w:val="en-CA"/>
        </w:rPr>
        <w:t xml:space="preserve"> 519</w:t>
      </w:r>
      <w:r w:rsidR="002548C7" w:rsidRPr="00F0621F">
        <w:rPr>
          <w:sz w:val="20"/>
          <w:lang w:val="en-CA"/>
        </w:rPr>
        <w:t xml:space="preserve">, </w:t>
      </w:r>
      <w:r w:rsidRPr="00F0621F">
        <w:rPr>
          <w:sz w:val="20"/>
          <w:lang w:val="en-CA"/>
        </w:rPr>
        <w:t>par</w:t>
      </w:r>
      <w:r w:rsidR="00537BE4" w:rsidRPr="00F0621F">
        <w:rPr>
          <w:sz w:val="20"/>
          <w:lang w:val="en-CA"/>
        </w:rPr>
        <w:t>a</w:t>
      </w:r>
      <w:r w:rsidRPr="00F0621F">
        <w:rPr>
          <w:sz w:val="20"/>
          <w:lang w:val="en-CA"/>
        </w:rPr>
        <w:t>. 22.</w:t>
      </w:r>
    </w:p>
  </w:footnote>
  <w:footnote w:id="34">
    <w:p w14:paraId="60862B42" w14:textId="52673273" w:rsidR="0030294D" w:rsidRPr="00F0621F" w:rsidRDefault="00B37A58">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Pr="00F0621F">
        <w:rPr>
          <w:i/>
          <w:iCs/>
          <w:lang w:val="en-CA"/>
        </w:rPr>
        <w:t>Preliminaries</w:t>
      </w:r>
      <w:r w:rsidRPr="00F0621F">
        <w:rPr>
          <w:lang w:val="en-CA"/>
        </w:rPr>
        <w:t xml:space="preserve">, </w:t>
      </w:r>
      <w:r w:rsidR="004D4F86" w:rsidRPr="00F0621F">
        <w:rPr>
          <w:lang w:val="en-CA"/>
        </w:rPr>
        <w:t>October 10,</w:t>
      </w:r>
      <w:r w:rsidRPr="00F0621F">
        <w:rPr>
          <w:lang w:val="en-CA"/>
        </w:rPr>
        <w:t xml:space="preserve"> 2023, p</w:t>
      </w:r>
      <w:r w:rsidR="004D4F86" w:rsidRPr="00F0621F">
        <w:rPr>
          <w:lang w:val="en-CA"/>
        </w:rPr>
        <w:t>p</w:t>
      </w:r>
      <w:r w:rsidRPr="00F0621F">
        <w:rPr>
          <w:lang w:val="en-CA"/>
        </w:rPr>
        <w:t>. 10-13.</w:t>
      </w:r>
    </w:p>
  </w:footnote>
  <w:footnote w:id="35">
    <w:p w14:paraId="5CDDEFCA" w14:textId="564700D4" w:rsidR="00BC4824" w:rsidRPr="00F0621F" w:rsidRDefault="00B37A58" w:rsidP="00BC4824">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bookmarkStart w:id="25" w:name="_Hlk214619362"/>
      <w:bookmarkStart w:id="26" w:name="_Hlk205802278"/>
      <w:r w:rsidR="00DB2870" w:rsidRPr="00F0621F">
        <w:rPr>
          <w:i/>
          <w:iCs/>
          <w:lang w:val="en-CA"/>
        </w:rPr>
        <w:t>United States of America</w:t>
      </w:r>
      <w:r w:rsidR="00537BE4" w:rsidRPr="00F0621F">
        <w:rPr>
          <w:i/>
          <w:iCs/>
          <w:lang w:val="en-CA"/>
        </w:rPr>
        <w:t xml:space="preserve"> </w:t>
      </w:r>
      <w:bookmarkEnd w:id="25"/>
      <w:r w:rsidR="00DB2870" w:rsidRPr="00F0621F">
        <w:rPr>
          <w:i/>
          <w:iCs/>
          <w:lang w:val="en-CA"/>
        </w:rPr>
        <w:t>v</w:t>
      </w:r>
      <w:r w:rsidR="00537BE4" w:rsidRPr="00F0621F">
        <w:rPr>
          <w:i/>
          <w:iCs/>
          <w:lang w:val="en-CA"/>
        </w:rPr>
        <w:t xml:space="preserve">. Ferras; </w:t>
      </w:r>
      <w:r w:rsidR="00DB2870" w:rsidRPr="00F0621F">
        <w:rPr>
          <w:i/>
          <w:iCs/>
          <w:lang w:val="en-CA"/>
        </w:rPr>
        <w:t>United States of America v</w:t>
      </w:r>
      <w:r w:rsidR="00537BE4" w:rsidRPr="00F0621F">
        <w:rPr>
          <w:i/>
          <w:iCs/>
          <w:lang w:val="en-CA"/>
        </w:rPr>
        <w:t>. Latty</w:t>
      </w:r>
      <w:r w:rsidR="00537BE4" w:rsidRPr="00F0621F">
        <w:rPr>
          <w:lang w:val="en-CA"/>
        </w:rPr>
        <w:t xml:space="preserve">, </w:t>
      </w:r>
      <w:r w:rsidR="00001DD9" w:rsidRPr="00F0621F">
        <w:rPr>
          <w:lang w:val="en-CA"/>
        </w:rPr>
        <w:t xml:space="preserve">supra, note </w:t>
      </w:r>
      <w:r>
        <w:t>31</w:t>
      </w:r>
      <w:r w:rsidR="00537BE4" w:rsidRPr="00F0621F">
        <w:rPr>
          <w:lang w:val="en-CA"/>
        </w:rPr>
        <w:t>, para. 19</w:t>
      </w:r>
      <w:bookmarkEnd w:id="26"/>
      <w:r w:rsidRPr="00F0621F">
        <w:rPr>
          <w:lang w:val="en-CA"/>
        </w:rPr>
        <w:t>, cit</w:t>
      </w:r>
      <w:r w:rsidR="00DB2870" w:rsidRPr="00F0621F">
        <w:rPr>
          <w:lang w:val="en-CA"/>
        </w:rPr>
        <w:t>ing</w:t>
      </w:r>
      <w:r w:rsidRPr="00F0621F">
        <w:rPr>
          <w:lang w:val="en-CA"/>
        </w:rPr>
        <w:t xml:space="preserve"> </w:t>
      </w:r>
      <w:r w:rsidRPr="00F0621F">
        <w:rPr>
          <w:i/>
          <w:iCs/>
          <w:lang w:val="en-CA"/>
        </w:rPr>
        <w:t xml:space="preserve">Glucksman </w:t>
      </w:r>
      <w:r w:rsidR="00DB2870" w:rsidRPr="00F0621F">
        <w:rPr>
          <w:i/>
          <w:iCs/>
          <w:lang w:val="en-CA"/>
        </w:rPr>
        <w:t>v</w:t>
      </w:r>
      <w:r w:rsidRPr="00F0621F">
        <w:rPr>
          <w:i/>
          <w:iCs/>
          <w:lang w:val="en-CA"/>
        </w:rPr>
        <w:t>. Henkel</w:t>
      </w:r>
      <w:r w:rsidR="00E659AA" w:rsidRPr="00F0621F">
        <w:rPr>
          <w:lang w:val="en-CA"/>
        </w:rPr>
        <w:t xml:space="preserve"> </w:t>
      </w:r>
      <w:r w:rsidR="00C56D59" w:rsidRPr="00F0621F">
        <w:rPr>
          <w:lang w:val="en-CA"/>
        </w:rPr>
        <w:t>(1911)</w:t>
      </w:r>
      <w:r w:rsidR="00E659AA" w:rsidRPr="00F0621F">
        <w:rPr>
          <w:lang w:val="en-CA"/>
        </w:rPr>
        <w:t>,</w:t>
      </w:r>
      <w:r w:rsidR="00C56D59" w:rsidRPr="00F0621F">
        <w:rPr>
          <w:lang w:val="en-CA"/>
        </w:rPr>
        <w:t xml:space="preserve"> </w:t>
      </w:r>
      <w:r w:rsidRPr="00F0621F">
        <w:rPr>
          <w:lang w:val="en-CA"/>
        </w:rPr>
        <w:t>221</w:t>
      </w:r>
      <w:r w:rsidR="00DC30B9" w:rsidRPr="00F0621F">
        <w:rPr>
          <w:lang w:val="en-CA"/>
        </w:rPr>
        <w:t xml:space="preserve"> </w:t>
      </w:r>
      <w:r w:rsidRPr="00F0621F">
        <w:rPr>
          <w:lang w:val="en-CA"/>
        </w:rPr>
        <w:t>U.S.</w:t>
      </w:r>
      <w:r w:rsidR="00DC30B9" w:rsidRPr="00F0621F">
        <w:rPr>
          <w:lang w:val="en-CA"/>
        </w:rPr>
        <w:t xml:space="preserve"> </w:t>
      </w:r>
      <w:r w:rsidRPr="00F0621F">
        <w:rPr>
          <w:lang w:val="en-CA"/>
        </w:rPr>
        <w:t>508, p.</w:t>
      </w:r>
      <w:r w:rsidR="00DC30B9" w:rsidRPr="00F0621F">
        <w:rPr>
          <w:lang w:val="en-CA"/>
        </w:rPr>
        <w:t xml:space="preserve"> </w:t>
      </w:r>
      <w:r w:rsidRPr="00F0621F">
        <w:rPr>
          <w:lang w:val="en-CA"/>
        </w:rPr>
        <w:t xml:space="preserve">512. </w:t>
      </w:r>
      <w:r w:rsidR="00DB2870" w:rsidRPr="00F0621F">
        <w:rPr>
          <w:lang w:val="en-CA"/>
        </w:rPr>
        <w:t>See also</w:t>
      </w:r>
      <w:r w:rsidRPr="00F0621F">
        <w:rPr>
          <w:lang w:val="en-CA"/>
        </w:rPr>
        <w:t xml:space="preserve"> </w:t>
      </w:r>
      <w:r w:rsidR="00DB3289" w:rsidRPr="00F0621F">
        <w:rPr>
          <w:i/>
          <w:iCs/>
          <w:lang w:val="en-CA"/>
        </w:rPr>
        <w:t xml:space="preserve">M.M. </w:t>
      </w:r>
      <w:r w:rsidR="00DB2870" w:rsidRPr="00F0621F">
        <w:rPr>
          <w:i/>
          <w:iCs/>
          <w:lang w:val="en-CA"/>
        </w:rPr>
        <w:t>v</w:t>
      </w:r>
      <w:r w:rsidR="00DB3289" w:rsidRPr="00F0621F">
        <w:rPr>
          <w:i/>
          <w:iCs/>
          <w:lang w:val="en-CA"/>
        </w:rPr>
        <w:t xml:space="preserve">. </w:t>
      </w:r>
      <w:r w:rsidR="00DB2870" w:rsidRPr="00F0621F">
        <w:rPr>
          <w:i/>
          <w:iCs/>
          <w:lang w:val="en-CA"/>
        </w:rPr>
        <w:t>United States of America</w:t>
      </w:r>
      <w:r w:rsidR="00DB3289" w:rsidRPr="00F0621F">
        <w:rPr>
          <w:lang w:val="en-CA"/>
        </w:rPr>
        <w:t xml:space="preserve">, </w:t>
      </w:r>
      <w:r w:rsidR="00001DD9" w:rsidRPr="00F0621F">
        <w:rPr>
          <w:lang w:val="en-CA"/>
        </w:rPr>
        <w:t xml:space="preserve">supra, note </w:t>
      </w:r>
      <w:r>
        <w:t>31</w:t>
      </w:r>
      <w:r w:rsidR="00DB3289" w:rsidRPr="00F0621F">
        <w:rPr>
          <w:lang w:val="en-CA"/>
        </w:rPr>
        <w:t xml:space="preserve">, </w:t>
      </w:r>
      <w:r w:rsidRPr="00F0621F">
        <w:rPr>
          <w:lang w:val="en-CA"/>
        </w:rPr>
        <w:t>para. 36.</w:t>
      </w:r>
    </w:p>
  </w:footnote>
  <w:footnote w:id="36">
    <w:p w14:paraId="722BDCD2" w14:textId="45E60314" w:rsidR="00A90775" w:rsidRPr="00F0621F" w:rsidRDefault="00B37A58">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DB2870" w:rsidRPr="00F0621F">
        <w:rPr>
          <w:i/>
          <w:iCs/>
          <w:lang w:val="en-CA"/>
        </w:rPr>
        <w:t>United States of America v</w:t>
      </w:r>
      <w:r w:rsidRPr="00F0621F">
        <w:rPr>
          <w:i/>
          <w:iCs/>
          <w:lang w:val="en-CA"/>
        </w:rPr>
        <w:t xml:space="preserve">. Ferras; </w:t>
      </w:r>
      <w:r w:rsidR="00DB2870" w:rsidRPr="00F0621F">
        <w:rPr>
          <w:i/>
          <w:iCs/>
          <w:lang w:val="en-CA"/>
        </w:rPr>
        <w:t>United States of America v</w:t>
      </w:r>
      <w:r w:rsidRPr="00F0621F">
        <w:rPr>
          <w:i/>
          <w:iCs/>
          <w:lang w:val="en-CA"/>
        </w:rPr>
        <w:t>. Latty</w:t>
      </w:r>
      <w:r w:rsidRPr="00F0621F">
        <w:rPr>
          <w:lang w:val="en-CA"/>
        </w:rPr>
        <w:t xml:space="preserve">, </w:t>
      </w:r>
      <w:r w:rsidR="00042109" w:rsidRPr="00F0621F">
        <w:rPr>
          <w:i/>
          <w:iCs/>
          <w:lang w:val="en-CA"/>
        </w:rPr>
        <w:t>supra</w:t>
      </w:r>
      <w:r w:rsidR="00042109" w:rsidRPr="00F0621F">
        <w:rPr>
          <w:lang w:val="en-CA"/>
        </w:rPr>
        <w:t xml:space="preserve">, note </w:t>
      </w:r>
      <w:r>
        <w:t>31</w:t>
      </w:r>
      <w:r w:rsidR="00042109" w:rsidRPr="00F0621F">
        <w:rPr>
          <w:lang w:val="en-CA"/>
        </w:rPr>
        <w:t>.</w:t>
      </w:r>
    </w:p>
  </w:footnote>
  <w:footnote w:id="37">
    <w:p w14:paraId="5EC6D41C" w14:textId="5B0120C2" w:rsidR="00042109" w:rsidRPr="00F0621F" w:rsidRDefault="00B37A58">
      <w:pPr>
        <w:pStyle w:val="Notedebasdepage"/>
        <w:rPr>
          <w:lang w:val="en-CA"/>
        </w:rPr>
      </w:pPr>
      <w:r>
        <w:rPr>
          <w:rStyle w:val="Appelnotedebasdep"/>
        </w:rPr>
        <w:footnoteRef/>
      </w:r>
      <w:r w:rsidRPr="00C35B84">
        <w:rPr>
          <w:lang w:val="en-CA"/>
        </w:rPr>
        <w:t xml:space="preserve"> </w:t>
      </w:r>
      <w:r w:rsidRPr="00C35B84">
        <w:rPr>
          <w:lang w:val="en-CA"/>
        </w:rPr>
        <w:tab/>
      </w:r>
      <w:r w:rsidR="005E5B62" w:rsidRPr="00F0621F">
        <w:rPr>
          <w:i/>
          <w:iCs/>
          <w:lang w:val="en-CA"/>
        </w:rPr>
        <w:t>Id.</w:t>
      </w:r>
      <w:r w:rsidR="005E5B62" w:rsidRPr="00F0621F">
        <w:rPr>
          <w:lang w:val="en-CA"/>
        </w:rPr>
        <w:t>, para</w:t>
      </w:r>
      <w:r w:rsidR="00F4569B" w:rsidRPr="00F0621F">
        <w:rPr>
          <w:lang w:val="en-CA"/>
        </w:rPr>
        <w:t>s</w:t>
      </w:r>
      <w:r w:rsidR="005E5B62" w:rsidRPr="00F0621F">
        <w:rPr>
          <w:lang w:val="en-CA"/>
        </w:rPr>
        <w:t xml:space="preserve">. </w:t>
      </w:r>
      <w:r w:rsidRPr="00F0621F">
        <w:rPr>
          <w:lang w:val="en-CA"/>
        </w:rPr>
        <w:t>54</w:t>
      </w:r>
      <w:r w:rsidR="00442105">
        <w:rPr>
          <w:lang w:val="en-CA"/>
        </w:rPr>
        <w:t>.</w:t>
      </w:r>
    </w:p>
  </w:footnote>
  <w:footnote w:id="38">
    <w:p w14:paraId="09ED866C" w14:textId="17EBEC4C" w:rsidR="00857A4E" w:rsidRPr="00F0621F" w:rsidRDefault="00B37A58" w:rsidP="00857A4E">
      <w:pPr>
        <w:pStyle w:val="Notedebasdepage"/>
        <w:rPr>
          <w:lang w:val="en-CA"/>
        </w:rPr>
      </w:pPr>
      <w:r>
        <w:rPr>
          <w:rStyle w:val="Appelnotedebasdep"/>
        </w:rPr>
        <w:footnoteRef/>
      </w:r>
      <w:r w:rsidRPr="00C35B84">
        <w:rPr>
          <w:lang w:val="en-CA"/>
        </w:rPr>
        <w:t xml:space="preserve"> </w:t>
      </w:r>
      <w:r w:rsidRPr="00C35B84">
        <w:rPr>
          <w:lang w:val="en-CA"/>
        </w:rPr>
        <w:tab/>
      </w:r>
      <w:r w:rsidRPr="00F0621F">
        <w:rPr>
          <w:i/>
          <w:iCs/>
          <w:lang w:val="en-CA"/>
        </w:rPr>
        <w:t xml:space="preserve">Canada (Justice) </w:t>
      </w:r>
      <w:r w:rsidR="00F4569B" w:rsidRPr="00F0621F">
        <w:rPr>
          <w:i/>
          <w:iCs/>
          <w:lang w:val="en-CA"/>
        </w:rPr>
        <w:t>v</w:t>
      </w:r>
      <w:r w:rsidRPr="00F0621F">
        <w:rPr>
          <w:i/>
          <w:iCs/>
          <w:lang w:val="en-CA"/>
        </w:rPr>
        <w:t>. Fischbacher</w:t>
      </w:r>
      <w:r w:rsidRPr="00F0621F">
        <w:rPr>
          <w:lang w:val="en-CA"/>
        </w:rPr>
        <w:t xml:space="preserve">, 2009 </w:t>
      </w:r>
      <w:r w:rsidR="00F4569B" w:rsidRPr="00F0621F">
        <w:rPr>
          <w:lang w:val="en-CA"/>
        </w:rPr>
        <w:t>SCC</w:t>
      </w:r>
      <w:r w:rsidRPr="00F0621F">
        <w:rPr>
          <w:lang w:val="en-CA"/>
        </w:rPr>
        <w:t xml:space="preserve"> 46</w:t>
      </w:r>
      <w:r w:rsidR="00C56D59" w:rsidRPr="00F0621F">
        <w:rPr>
          <w:lang w:val="en-CA"/>
        </w:rPr>
        <w:t>,</w:t>
      </w:r>
      <w:r w:rsidRPr="00F0621F">
        <w:rPr>
          <w:lang w:val="en-CA"/>
        </w:rPr>
        <w:t xml:space="preserve"> para. 35.</w:t>
      </w:r>
    </w:p>
  </w:footnote>
  <w:footnote w:id="39">
    <w:p w14:paraId="25A3C2FD" w14:textId="3A92B991" w:rsidR="00FA6285" w:rsidRPr="00F0621F" w:rsidRDefault="00B37A58" w:rsidP="00FA6285">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Pr="00F0621F">
        <w:rPr>
          <w:i/>
          <w:iCs/>
          <w:lang w:val="en-CA"/>
        </w:rPr>
        <w:t xml:space="preserve">M.M. </w:t>
      </w:r>
      <w:r w:rsidR="00081248" w:rsidRPr="00F0621F">
        <w:rPr>
          <w:i/>
          <w:iCs/>
          <w:lang w:val="en-CA"/>
        </w:rPr>
        <w:t>v</w:t>
      </w:r>
      <w:r w:rsidRPr="00F0621F">
        <w:rPr>
          <w:i/>
          <w:iCs/>
          <w:lang w:val="en-CA"/>
        </w:rPr>
        <w:t xml:space="preserve">. </w:t>
      </w:r>
      <w:r w:rsidR="00081248" w:rsidRPr="00F0621F">
        <w:rPr>
          <w:i/>
          <w:iCs/>
          <w:lang w:val="en-CA"/>
        </w:rPr>
        <w:t>United States of America</w:t>
      </w:r>
      <w:r w:rsidRPr="00F0621F">
        <w:rPr>
          <w:lang w:val="en-CA"/>
        </w:rPr>
        <w:t xml:space="preserve">, </w:t>
      </w:r>
      <w:r w:rsidRPr="00F0621F">
        <w:rPr>
          <w:i/>
          <w:iCs/>
          <w:lang w:val="en-CA"/>
        </w:rPr>
        <w:t>supra</w:t>
      </w:r>
      <w:r w:rsidRPr="00F0621F">
        <w:rPr>
          <w:lang w:val="en-CA"/>
        </w:rPr>
        <w:t xml:space="preserve">, note </w:t>
      </w:r>
      <w:r>
        <w:t>31</w:t>
      </w:r>
      <w:r w:rsidRPr="00F0621F">
        <w:rPr>
          <w:lang w:val="en-CA"/>
        </w:rPr>
        <w:t>, para</w:t>
      </w:r>
      <w:r w:rsidR="00081248" w:rsidRPr="00F0621F">
        <w:rPr>
          <w:lang w:val="en-CA"/>
        </w:rPr>
        <w:t>s</w:t>
      </w:r>
      <w:r w:rsidRPr="00F0621F">
        <w:rPr>
          <w:lang w:val="en-CA"/>
        </w:rPr>
        <w:t xml:space="preserve">. 20 </w:t>
      </w:r>
      <w:r w:rsidR="00081248" w:rsidRPr="00F0621F">
        <w:rPr>
          <w:lang w:val="en-CA"/>
        </w:rPr>
        <w:t>and</w:t>
      </w:r>
      <w:r w:rsidRPr="00F0621F">
        <w:rPr>
          <w:lang w:val="en-CA"/>
        </w:rPr>
        <w:t xml:space="preserve"> 23.</w:t>
      </w:r>
    </w:p>
  </w:footnote>
  <w:footnote w:id="40">
    <w:p w14:paraId="167C2387" w14:textId="6C40435A" w:rsidR="00FA6285" w:rsidRPr="00F0621F" w:rsidRDefault="00B37A58" w:rsidP="00FA6285">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5E5B62" w:rsidRPr="00F0621F">
        <w:rPr>
          <w:i/>
          <w:iCs/>
          <w:lang w:val="en-CA"/>
        </w:rPr>
        <w:t>Id.</w:t>
      </w:r>
      <w:r w:rsidRPr="00F0621F">
        <w:rPr>
          <w:lang w:val="en-CA"/>
        </w:rPr>
        <w:t>,</w:t>
      </w:r>
      <w:r w:rsidRPr="00F0621F">
        <w:rPr>
          <w:i/>
          <w:iCs/>
          <w:lang w:val="en-CA"/>
        </w:rPr>
        <w:t xml:space="preserve"> </w:t>
      </w:r>
      <w:r w:rsidRPr="00F0621F">
        <w:rPr>
          <w:lang w:val="en-CA"/>
        </w:rPr>
        <w:t>para</w:t>
      </w:r>
      <w:r w:rsidR="00081248" w:rsidRPr="00F0621F">
        <w:rPr>
          <w:lang w:val="en-CA"/>
        </w:rPr>
        <w:t>s</w:t>
      </w:r>
      <w:r w:rsidRPr="00F0621F">
        <w:rPr>
          <w:lang w:val="en-CA"/>
        </w:rPr>
        <w:t>. 54, 61-62,</w:t>
      </w:r>
      <w:r w:rsidR="00442105">
        <w:rPr>
          <w:lang w:val="en-CA"/>
        </w:rPr>
        <w:t xml:space="preserve"> 64</w:t>
      </w:r>
      <w:r w:rsidRPr="00F0621F">
        <w:rPr>
          <w:lang w:val="en-CA"/>
        </w:rPr>
        <w:t xml:space="preserve"> ci</w:t>
      </w:r>
      <w:r w:rsidR="00081248" w:rsidRPr="00F0621F">
        <w:rPr>
          <w:lang w:val="en-CA"/>
        </w:rPr>
        <w:t>ting</w:t>
      </w:r>
      <w:r w:rsidRPr="00F0621F">
        <w:rPr>
          <w:lang w:val="en-CA"/>
        </w:rPr>
        <w:t xml:space="preserve"> </w:t>
      </w:r>
      <w:r w:rsidR="00081248" w:rsidRPr="00F0621F">
        <w:rPr>
          <w:i/>
          <w:iCs/>
          <w:color w:val="000000"/>
          <w:lang w:val="en-CA"/>
        </w:rPr>
        <w:t>United States of America</w:t>
      </w:r>
      <w:r w:rsidRPr="00F0621F">
        <w:rPr>
          <w:i/>
          <w:iCs/>
          <w:color w:val="000000"/>
          <w:lang w:val="en-CA"/>
        </w:rPr>
        <w:t xml:space="preserve"> </w:t>
      </w:r>
      <w:r w:rsidR="00081248" w:rsidRPr="00F0621F">
        <w:rPr>
          <w:i/>
          <w:iCs/>
          <w:color w:val="000000"/>
          <w:lang w:val="en-CA"/>
        </w:rPr>
        <w:t>v</w:t>
      </w:r>
      <w:r w:rsidRPr="00F0621F">
        <w:rPr>
          <w:i/>
          <w:iCs/>
          <w:color w:val="000000"/>
          <w:lang w:val="en-CA"/>
        </w:rPr>
        <w:t xml:space="preserve">. Ferras; </w:t>
      </w:r>
      <w:r w:rsidR="00081248" w:rsidRPr="00F0621F">
        <w:rPr>
          <w:i/>
          <w:iCs/>
          <w:color w:val="000000"/>
          <w:lang w:val="en-CA"/>
        </w:rPr>
        <w:t>United States of America</w:t>
      </w:r>
      <w:r w:rsidRPr="00F0621F">
        <w:rPr>
          <w:i/>
          <w:iCs/>
          <w:color w:val="000000"/>
          <w:lang w:val="en-CA"/>
        </w:rPr>
        <w:t xml:space="preserve"> </w:t>
      </w:r>
      <w:r w:rsidR="00081248" w:rsidRPr="00F0621F">
        <w:rPr>
          <w:i/>
          <w:iCs/>
          <w:color w:val="000000"/>
          <w:lang w:val="en-CA"/>
        </w:rPr>
        <w:t>v</w:t>
      </w:r>
      <w:r w:rsidRPr="00F0621F">
        <w:rPr>
          <w:i/>
          <w:iCs/>
          <w:color w:val="000000"/>
          <w:lang w:val="en-CA"/>
        </w:rPr>
        <w:t>. Latty</w:t>
      </w:r>
      <w:r w:rsidRPr="00F0621F">
        <w:rPr>
          <w:color w:val="000000"/>
          <w:lang w:val="en-CA"/>
        </w:rPr>
        <w:t>,</w:t>
      </w:r>
      <w:r w:rsidRPr="00F0621F">
        <w:rPr>
          <w:i/>
          <w:iCs/>
          <w:color w:val="000000"/>
          <w:lang w:val="en-CA"/>
        </w:rPr>
        <w:t xml:space="preserve"> supra</w:t>
      </w:r>
      <w:r w:rsidRPr="00F0621F">
        <w:rPr>
          <w:color w:val="000000"/>
          <w:lang w:val="en-CA"/>
        </w:rPr>
        <w:t>, note</w:t>
      </w:r>
      <w:r w:rsidR="00042109" w:rsidRPr="00F0621F">
        <w:rPr>
          <w:color w:val="000000"/>
          <w:lang w:val="en-CA"/>
        </w:rPr>
        <w:t xml:space="preserve"> </w:t>
      </w:r>
      <w:r>
        <w:t>31</w:t>
      </w:r>
      <w:r w:rsidR="005A7047" w:rsidRPr="00F0621F">
        <w:rPr>
          <w:lang w:val="en-CA"/>
        </w:rPr>
        <w:t xml:space="preserve">, </w:t>
      </w:r>
      <w:r w:rsidR="00081248" w:rsidRPr="00F0621F">
        <w:rPr>
          <w:lang w:val="en-CA"/>
        </w:rPr>
        <w:t>paras</w:t>
      </w:r>
      <w:r w:rsidRPr="00F0621F">
        <w:rPr>
          <w:lang w:val="en-CA"/>
        </w:rPr>
        <w:t xml:space="preserve">. 40, 46, 54, 66 </w:t>
      </w:r>
      <w:r w:rsidR="00081248" w:rsidRPr="00F0621F">
        <w:rPr>
          <w:lang w:val="en-CA"/>
        </w:rPr>
        <w:t>and</w:t>
      </w:r>
      <w:r w:rsidRPr="00F0621F">
        <w:rPr>
          <w:lang w:val="en-CA"/>
        </w:rPr>
        <w:t xml:space="preserve"> 68.</w:t>
      </w:r>
    </w:p>
  </w:footnote>
  <w:footnote w:id="41">
    <w:p w14:paraId="537431B2" w14:textId="4C3C51AB" w:rsidR="00F04DD8" w:rsidRPr="00F0621F" w:rsidRDefault="00B37A58">
      <w:pPr>
        <w:pStyle w:val="Notedebasdepage"/>
        <w:rPr>
          <w:lang w:val="en-CA"/>
        </w:rPr>
      </w:pPr>
      <w:r>
        <w:rPr>
          <w:rStyle w:val="Appelnotedebasdep"/>
        </w:rPr>
        <w:footnoteRef/>
      </w:r>
      <w:r w:rsidRPr="00C35B84">
        <w:rPr>
          <w:lang w:val="en-CA"/>
        </w:rPr>
        <w:t xml:space="preserve"> </w:t>
      </w:r>
      <w:r w:rsidR="00346B93" w:rsidRPr="00C35B84">
        <w:rPr>
          <w:lang w:val="en-CA"/>
        </w:rPr>
        <w:tab/>
      </w:r>
      <w:r w:rsidR="00A04345" w:rsidRPr="00F0621F">
        <w:rPr>
          <w:i/>
          <w:iCs/>
          <w:lang w:val="en-CA"/>
        </w:rPr>
        <w:t>United States of America v</w:t>
      </w:r>
      <w:r w:rsidR="00C651FC" w:rsidRPr="00F0621F">
        <w:rPr>
          <w:i/>
          <w:iCs/>
          <w:lang w:val="en-CA"/>
        </w:rPr>
        <w:t xml:space="preserve">. Ferras; </w:t>
      </w:r>
      <w:r w:rsidR="00A04345" w:rsidRPr="00F0621F">
        <w:rPr>
          <w:i/>
          <w:iCs/>
          <w:lang w:val="en-CA"/>
        </w:rPr>
        <w:t>United States of America v</w:t>
      </w:r>
      <w:r w:rsidR="00C651FC" w:rsidRPr="00F0621F">
        <w:rPr>
          <w:i/>
          <w:iCs/>
          <w:lang w:val="en-CA"/>
        </w:rPr>
        <w:t>. Latty</w:t>
      </w:r>
      <w:r w:rsidR="00C651FC" w:rsidRPr="00F0621F">
        <w:rPr>
          <w:lang w:val="en-CA"/>
        </w:rPr>
        <w:t>,</w:t>
      </w:r>
      <w:r w:rsidR="00C651FC" w:rsidRPr="00F0621F">
        <w:rPr>
          <w:i/>
          <w:iCs/>
          <w:lang w:val="en-CA"/>
        </w:rPr>
        <w:t xml:space="preserve"> supra</w:t>
      </w:r>
      <w:r w:rsidR="00C651FC" w:rsidRPr="00F0621F">
        <w:rPr>
          <w:lang w:val="en-CA"/>
        </w:rPr>
        <w:t>, note</w:t>
      </w:r>
      <w:r w:rsidR="00042109" w:rsidRPr="00F0621F">
        <w:rPr>
          <w:lang w:val="en-CA"/>
        </w:rPr>
        <w:t xml:space="preserve"> </w:t>
      </w:r>
      <w:r>
        <w:t>31</w:t>
      </w:r>
      <w:r w:rsidR="005A7047" w:rsidRPr="00F0621F">
        <w:rPr>
          <w:lang w:val="en-CA"/>
        </w:rPr>
        <w:t>,</w:t>
      </w:r>
      <w:r w:rsidR="00C651FC" w:rsidRPr="00F0621F">
        <w:rPr>
          <w:lang w:val="en-CA"/>
        </w:rPr>
        <w:t xml:space="preserve"> p</w:t>
      </w:r>
      <w:r w:rsidRPr="00F0621F">
        <w:rPr>
          <w:lang w:val="en-CA"/>
        </w:rPr>
        <w:t>ara</w:t>
      </w:r>
      <w:r w:rsidR="00A04345" w:rsidRPr="00F0621F">
        <w:rPr>
          <w:lang w:val="en-CA"/>
        </w:rPr>
        <w:t>s</w:t>
      </w:r>
      <w:r w:rsidRPr="00F0621F">
        <w:rPr>
          <w:lang w:val="en-CA"/>
        </w:rPr>
        <w:t xml:space="preserve">. 39 </w:t>
      </w:r>
      <w:r w:rsidR="00A04345" w:rsidRPr="00F0621F">
        <w:rPr>
          <w:lang w:val="en-CA"/>
        </w:rPr>
        <w:t>and</w:t>
      </w:r>
      <w:r w:rsidRPr="00F0621F">
        <w:rPr>
          <w:lang w:val="en-CA"/>
        </w:rPr>
        <w:t xml:space="preserve"> 50.</w:t>
      </w:r>
    </w:p>
  </w:footnote>
  <w:footnote w:id="42">
    <w:p w14:paraId="03EF5883" w14:textId="199AFC33" w:rsidR="005E0DD0" w:rsidRPr="00F0621F" w:rsidRDefault="00B37A58" w:rsidP="005E0DD0">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Pr="00F0621F">
        <w:rPr>
          <w:i/>
          <w:iCs/>
          <w:lang w:val="en-CA"/>
        </w:rPr>
        <w:t xml:space="preserve">Danielson v. </w:t>
      </w:r>
      <w:bookmarkStart w:id="29" w:name="_Hlk214869698"/>
      <w:r w:rsidR="00A65188" w:rsidRPr="00F0621F">
        <w:rPr>
          <w:i/>
          <w:iCs/>
          <w:lang w:val="en-CA"/>
        </w:rPr>
        <w:t>United States of America</w:t>
      </w:r>
      <w:bookmarkEnd w:id="29"/>
      <w:r w:rsidRPr="00F0621F">
        <w:rPr>
          <w:lang w:val="en-CA"/>
        </w:rPr>
        <w:t xml:space="preserve">, </w:t>
      </w:r>
      <w:r w:rsidR="00DC30B9" w:rsidRPr="00F0621F">
        <w:rPr>
          <w:i/>
          <w:iCs/>
          <w:lang w:val="en-CA"/>
        </w:rPr>
        <w:t>supra</w:t>
      </w:r>
      <w:r w:rsidRPr="00F0621F">
        <w:rPr>
          <w:lang w:val="en-CA"/>
        </w:rPr>
        <w:t xml:space="preserve">, </w:t>
      </w:r>
      <w:r w:rsidR="00DC30B9" w:rsidRPr="00F0621F">
        <w:rPr>
          <w:lang w:val="en-CA"/>
        </w:rPr>
        <w:t>note</w:t>
      </w:r>
      <w:r w:rsidR="00042109" w:rsidRPr="00F0621F">
        <w:rPr>
          <w:lang w:val="en-CA"/>
        </w:rPr>
        <w:t xml:space="preserve"> </w:t>
      </w:r>
      <w:r w:rsidR="00C3526C" w:rsidRPr="00F0621F">
        <w:rPr>
          <w:lang w:val="en-CA"/>
        </w:rPr>
        <w:t>33</w:t>
      </w:r>
      <w:r w:rsidR="00DC30B9" w:rsidRPr="00F0621F">
        <w:rPr>
          <w:lang w:val="en-CA"/>
        </w:rPr>
        <w:t xml:space="preserve">, </w:t>
      </w:r>
      <w:r w:rsidRPr="00F0621F">
        <w:rPr>
          <w:lang w:val="en-CA"/>
        </w:rPr>
        <w:t xml:space="preserve">para. 24. </w:t>
      </w:r>
      <w:r w:rsidR="00A04345" w:rsidRPr="00F0621F">
        <w:rPr>
          <w:lang w:val="en-CA"/>
        </w:rPr>
        <w:t>Se</w:t>
      </w:r>
      <w:r w:rsidR="00C3526C" w:rsidRPr="00F0621F">
        <w:rPr>
          <w:lang w:val="en-CA"/>
        </w:rPr>
        <w:t>e</w:t>
      </w:r>
      <w:r w:rsidR="00A04345" w:rsidRPr="00F0621F">
        <w:rPr>
          <w:lang w:val="en-CA"/>
        </w:rPr>
        <w:t xml:space="preserve"> also</w:t>
      </w:r>
      <w:r w:rsidRPr="00F0621F">
        <w:rPr>
          <w:lang w:val="en-CA"/>
        </w:rPr>
        <w:t xml:space="preserve"> </w:t>
      </w:r>
      <w:r w:rsidRPr="00F0621F">
        <w:rPr>
          <w:i/>
          <w:iCs/>
          <w:lang w:val="en-CA"/>
        </w:rPr>
        <w:t>United States of America</w:t>
      </w:r>
      <w:r w:rsidR="00C90C04" w:rsidRPr="00F0621F">
        <w:rPr>
          <w:i/>
          <w:iCs/>
          <w:lang w:val="en-CA"/>
        </w:rPr>
        <w:t xml:space="preserve"> </w:t>
      </w:r>
      <w:r w:rsidRPr="00F0621F">
        <w:rPr>
          <w:i/>
          <w:iCs/>
          <w:lang w:val="en-CA"/>
        </w:rPr>
        <w:t>v. Fraser</w:t>
      </w:r>
      <w:r w:rsidRPr="00F0621F">
        <w:rPr>
          <w:lang w:val="en-CA"/>
        </w:rPr>
        <w:t xml:space="preserve">, 2017 BCCA 136, para. 73, </w:t>
      </w:r>
      <w:r w:rsidR="00A04345" w:rsidRPr="00F0621F">
        <w:rPr>
          <w:lang w:val="en-CA"/>
        </w:rPr>
        <w:t>application for leave to appeal to the Supreme Court dismissed</w:t>
      </w:r>
      <w:r w:rsidRPr="00F0621F">
        <w:rPr>
          <w:lang w:val="en-CA"/>
        </w:rPr>
        <w:t xml:space="preserve">, </w:t>
      </w:r>
      <w:r w:rsidR="00A04345" w:rsidRPr="00F0621F">
        <w:rPr>
          <w:lang w:val="en-CA"/>
        </w:rPr>
        <w:t>September 21</w:t>
      </w:r>
      <w:r w:rsidR="00C3526C" w:rsidRPr="00F0621F">
        <w:rPr>
          <w:lang w:val="en-CA"/>
        </w:rPr>
        <w:t>,</w:t>
      </w:r>
      <w:r w:rsidR="00BD4313">
        <w:rPr>
          <w:lang w:val="en-CA"/>
        </w:rPr>
        <w:t xml:space="preserve"> </w:t>
      </w:r>
      <w:r w:rsidRPr="00F0621F">
        <w:rPr>
          <w:lang w:val="en-CA"/>
        </w:rPr>
        <w:t xml:space="preserve">2017, </w:t>
      </w:r>
      <w:r w:rsidR="00C3526C" w:rsidRPr="00F0621F">
        <w:rPr>
          <w:lang w:val="en-CA"/>
        </w:rPr>
        <w:t>N</w:t>
      </w:r>
      <w:r w:rsidR="00A04345" w:rsidRPr="00F0621F">
        <w:rPr>
          <w:lang w:val="en-CA"/>
        </w:rPr>
        <w:t>o.</w:t>
      </w:r>
      <w:r w:rsidRPr="00F0621F">
        <w:rPr>
          <w:lang w:val="en-CA"/>
        </w:rPr>
        <w:t xml:space="preserve"> 37588.</w:t>
      </w:r>
    </w:p>
  </w:footnote>
  <w:footnote w:id="43">
    <w:p w14:paraId="52044A09" w14:textId="6501A887" w:rsidR="00C57038" w:rsidRPr="00C35B84" w:rsidRDefault="00B37A58" w:rsidP="00C57038">
      <w:pPr>
        <w:pStyle w:val="Notedebasdepage"/>
      </w:pPr>
      <w:r>
        <w:rPr>
          <w:rStyle w:val="Appelnotedebasdep"/>
        </w:rPr>
        <w:footnoteRef/>
      </w:r>
      <w:r>
        <w:t xml:space="preserve"> </w:t>
      </w:r>
      <w:r>
        <w:tab/>
      </w:r>
      <w:r w:rsidR="00EB71C8" w:rsidRPr="00C35B84">
        <w:t>Appellant’s Argument</w:t>
      </w:r>
      <w:r w:rsidRPr="00C35B84">
        <w:t>, para. 37.</w:t>
      </w:r>
    </w:p>
  </w:footnote>
  <w:footnote w:id="44">
    <w:p w14:paraId="09991650" w14:textId="75E86FA2" w:rsidR="00C57038" w:rsidRPr="00F0621F" w:rsidRDefault="00B37A58" w:rsidP="00C57038">
      <w:pPr>
        <w:pStyle w:val="Notedebasdepage"/>
        <w:rPr>
          <w:highlight w:val="green"/>
          <w:lang w:val="en-CA"/>
        </w:rPr>
      </w:pPr>
      <w:r w:rsidRPr="00F0621F">
        <w:rPr>
          <w:rStyle w:val="Appelnotedebasdep"/>
          <w:lang w:val="en-CA"/>
        </w:rPr>
        <w:footnoteRef/>
      </w:r>
      <w:r w:rsidRPr="00C35B84">
        <w:t xml:space="preserve"> </w:t>
      </w:r>
      <w:r w:rsidRPr="00C35B84">
        <w:tab/>
      </w:r>
      <w:r w:rsidR="00461A3E" w:rsidRPr="00C35B84">
        <w:rPr>
          <w:i/>
          <w:iCs/>
        </w:rPr>
        <w:t>Id.</w:t>
      </w:r>
      <w:r w:rsidRPr="00C35B84">
        <w:t>, para</w:t>
      </w:r>
      <w:r w:rsidR="00EB71C8" w:rsidRPr="00C35B84">
        <w:t>s</w:t>
      </w:r>
      <w:r w:rsidRPr="00C35B84">
        <w:t xml:space="preserve">. </w:t>
      </w:r>
      <w:r w:rsidRPr="00F0621F">
        <w:rPr>
          <w:lang w:val="en-CA"/>
        </w:rPr>
        <w:t xml:space="preserve">40, 50 </w:t>
      </w:r>
      <w:r w:rsidR="00EB71C8" w:rsidRPr="00F0621F">
        <w:rPr>
          <w:lang w:val="en-CA"/>
        </w:rPr>
        <w:t>and</w:t>
      </w:r>
      <w:r w:rsidRPr="00F0621F">
        <w:rPr>
          <w:lang w:val="en-CA"/>
        </w:rPr>
        <w:t xml:space="preserve"> 55-56.</w:t>
      </w:r>
    </w:p>
  </w:footnote>
  <w:footnote w:id="45">
    <w:p w14:paraId="13E66A1D" w14:textId="45781FC9" w:rsidR="00C57038" w:rsidRPr="00F0621F" w:rsidRDefault="00B37A58" w:rsidP="00C57038">
      <w:pPr>
        <w:spacing w:before="2"/>
        <w:ind w:left="357" w:hanging="357"/>
        <w:rPr>
          <w:sz w:val="20"/>
          <w:lang w:val="en-CA"/>
        </w:rPr>
      </w:pPr>
      <w:r w:rsidRPr="00F0621F">
        <w:rPr>
          <w:rStyle w:val="Appelnotedebasdep"/>
          <w:sz w:val="20"/>
          <w:lang w:val="en-CA"/>
        </w:rPr>
        <w:footnoteRef/>
      </w:r>
      <w:r w:rsidRPr="00F0621F">
        <w:rPr>
          <w:sz w:val="20"/>
          <w:lang w:val="en-CA"/>
        </w:rPr>
        <w:t xml:space="preserve"> </w:t>
      </w:r>
      <w:r w:rsidRPr="00F0621F">
        <w:rPr>
          <w:sz w:val="20"/>
          <w:lang w:val="en-CA"/>
        </w:rPr>
        <w:tab/>
      </w:r>
      <w:r w:rsidR="00EB71C8" w:rsidRPr="00F0621F">
        <w:rPr>
          <w:i/>
          <w:iCs/>
          <w:spacing w:val="-6"/>
          <w:sz w:val="20"/>
          <w:lang w:val="en-CA"/>
        </w:rPr>
        <w:t>United States of America</w:t>
      </w:r>
      <w:r w:rsidRPr="00F0621F">
        <w:rPr>
          <w:i/>
          <w:iCs/>
          <w:spacing w:val="-6"/>
          <w:sz w:val="20"/>
          <w:lang w:val="en-CA"/>
        </w:rPr>
        <w:t xml:space="preserve"> </w:t>
      </w:r>
      <w:r w:rsidR="00EB71C8" w:rsidRPr="00F0621F">
        <w:rPr>
          <w:i/>
          <w:iCs/>
          <w:spacing w:val="-6"/>
          <w:sz w:val="20"/>
          <w:lang w:val="en-CA"/>
        </w:rPr>
        <w:t>v</w:t>
      </w:r>
      <w:r w:rsidRPr="00F0621F">
        <w:rPr>
          <w:i/>
          <w:iCs/>
          <w:spacing w:val="-6"/>
          <w:sz w:val="20"/>
          <w:lang w:val="en-CA"/>
        </w:rPr>
        <w:t>. Shephard</w:t>
      </w:r>
      <w:r w:rsidRPr="00F0621F">
        <w:rPr>
          <w:spacing w:val="-6"/>
          <w:sz w:val="20"/>
          <w:lang w:val="en-CA"/>
        </w:rPr>
        <w:t xml:space="preserve">, </w:t>
      </w:r>
      <w:r w:rsidR="002C7586" w:rsidRPr="00F0621F">
        <w:rPr>
          <w:color w:val="000000"/>
          <w:sz w:val="20"/>
          <w:lang w:val="en-CA"/>
        </w:rPr>
        <w:t>[1977]</w:t>
      </w:r>
      <w:r w:rsidR="00C74956" w:rsidRPr="00F0621F">
        <w:rPr>
          <w:color w:val="000000"/>
          <w:sz w:val="20"/>
          <w:lang w:val="en-CA"/>
        </w:rPr>
        <w:t xml:space="preserve"> </w:t>
      </w:r>
      <w:r w:rsidR="002C7586" w:rsidRPr="00F0621F">
        <w:rPr>
          <w:color w:val="000000"/>
          <w:sz w:val="20"/>
          <w:lang w:val="en-CA"/>
        </w:rPr>
        <w:t>2</w:t>
      </w:r>
      <w:r w:rsidR="00C74956" w:rsidRPr="00F0621F">
        <w:rPr>
          <w:color w:val="000000"/>
          <w:sz w:val="20"/>
          <w:lang w:val="en-CA"/>
        </w:rPr>
        <w:t xml:space="preserve"> </w:t>
      </w:r>
      <w:r w:rsidR="00EB71C8" w:rsidRPr="00F0621F">
        <w:rPr>
          <w:color w:val="000000"/>
          <w:sz w:val="20"/>
          <w:lang w:val="en-CA"/>
        </w:rPr>
        <w:t>S.C.R</w:t>
      </w:r>
      <w:r w:rsidR="002C7586" w:rsidRPr="00F0621F">
        <w:rPr>
          <w:color w:val="000000"/>
          <w:sz w:val="20"/>
          <w:lang w:val="en-CA"/>
        </w:rPr>
        <w:t>.</w:t>
      </w:r>
      <w:r w:rsidR="00C74956" w:rsidRPr="00F0621F">
        <w:rPr>
          <w:color w:val="000000"/>
          <w:sz w:val="20"/>
          <w:lang w:val="en-CA"/>
        </w:rPr>
        <w:t xml:space="preserve"> </w:t>
      </w:r>
      <w:r w:rsidR="002C7586" w:rsidRPr="00F0621F">
        <w:rPr>
          <w:color w:val="000000"/>
          <w:sz w:val="20"/>
          <w:lang w:val="en-CA"/>
        </w:rPr>
        <w:t>1067.</w:t>
      </w:r>
    </w:p>
  </w:footnote>
  <w:footnote w:id="46">
    <w:p w14:paraId="09818865" w14:textId="1C0894BE" w:rsidR="00C57038" w:rsidRPr="00F0621F" w:rsidRDefault="00B37A58" w:rsidP="00C57038">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EB71C8" w:rsidRPr="00F0621F">
        <w:rPr>
          <w:lang w:val="en-CA"/>
        </w:rPr>
        <w:t>Schedule</w:t>
      </w:r>
      <w:r w:rsidRPr="00F0621F">
        <w:rPr>
          <w:lang w:val="en-CA"/>
        </w:rPr>
        <w:t xml:space="preserve"> B </w:t>
      </w:r>
      <w:r w:rsidR="00EB71C8" w:rsidRPr="00F0621F">
        <w:rPr>
          <w:lang w:val="en-CA"/>
        </w:rPr>
        <w:t xml:space="preserve">of the </w:t>
      </w:r>
      <w:r w:rsidRPr="00F0621F">
        <w:rPr>
          <w:i/>
          <w:iCs/>
          <w:lang w:val="en-CA"/>
        </w:rPr>
        <w:t>Canada</w:t>
      </w:r>
      <w:r w:rsidR="00EB71C8" w:rsidRPr="00F0621F">
        <w:rPr>
          <w:i/>
          <w:iCs/>
          <w:lang w:val="en-CA"/>
        </w:rPr>
        <w:t xml:space="preserve"> Act 1982</w:t>
      </w:r>
      <w:r w:rsidRPr="00F0621F">
        <w:rPr>
          <w:lang w:val="en-CA"/>
        </w:rPr>
        <w:t xml:space="preserve">, </w:t>
      </w:r>
      <w:r w:rsidR="00EB71C8" w:rsidRPr="00F0621F">
        <w:rPr>
          <w:lang w:val="en-CA"/>
        </w:rPr>
        <w:t>(U.K.)</w:t>
      </w:r>
      <w:r w:rsidRPr="00F0621F">
        <w:rPr>
          <w:lang w:val="en-CA"/>
        </w:rPr>
        <w:t xml:space="preserve">1982, c. 11, </w:t>
      </w:r>
      <w:r w:rsidR="00EB71C8" w:rsidRPr="00F0621F">
        <w:rPr>
          <w:lang w:val="en-CA"/>
        </w:rPr>
        <w:t>coming into force on April 17</w:t>
      </w:r>
      <w:r w:rsidR="00BD758E">
        <w:rPr>
          <w:lang w:val="en-CA"/>
        </w:rPr>
        <w:t>,</w:t>
      </w:r>
      <w:r w:rsidR="00EB71C8" w:rsidRPr="00F0621F">
        <w:rPr>
          <w:lang w:val="en-CA"/>
        </w:rPr>
        <w:t xml:space="preserve"> 1982</w:t>
      </w:r>
      <w:r w:rsidRPr="00F0621F">
        <w:rPr>
          <w:lang w:val="en-CA"/>
        </w:rPr>
        <w:t>.</w:t>
      </w:r>
    </w:p>
  </w:footnote>
  <w:footnote w:id="47">
    <w:p w14:paraId="495A4476" w14:textId="7FA38489" w:rsidR="00C57038" w:rsidRPr="00F0621F" w:rsidRDefault="00B37A58" w:rsidP="00C57038">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bookmarkStart w:id="32" w:name="_Hlk213256879"/>
      <w:r w:rsidR="00EB71C8" w:rsidRPr="00F0621F">
        <w:rPr>
          <w:i/>
          <w:iCs/>
          <w:lang w:val="en-CA"/>
        </w:rPr>
        <w:t>United States of America</w:t>
      </w:r>
      <w:r w:rsidR="005E5B62" w:rsidRPr="00F0621F">
        <w:rPr>
          <w:i/>
          <w:iCs/>
          <w:lang w:val="en-CA"/>
        </w:rPr>
        <w:t xml:space="preserve"> </w:t>
      </w:r>
      <w:r w:rsidR="00EB71C8" w:rsidRPr="00F0621F">
        <w:rPr>
          <w:i/>
          <w:iCs/>
          <w:lang w:val="en-CA"/>
        </w:rPr>
        <w:t>v</w:t>
      </w:r>
      <w:r w:rsidRPr="00F0621F">
        <w:rPr>
          <w:i/>
          <w:iCs/>
          <w:lang w:val="en-CA"/>
        </w:rPr>
        <w:t>.</w:t>
      </w:r>
      <w:r w:rsidR="005E5B62" w:rsidRPr="00F0621F">
        <w:rPr>
          <w:i/>
          <w:iCs/>
          <w:lang w:val="en-CA"/>
        </w:rPr>
        <w:t xml:space="preserve"> </w:t>
      </w:r>
      <w:r w:rsidRPr="00F0621F">
        <w:rPr>
          <w:i/>
          <w:iCs/>
          <w:lang w:val="en-CA"/>
        </w:rPr>
        <w:t xml:space="preserve">Ferras; </w:t>
      </w:r>
      <w:r w:rsidR="00EB71C8" w:rsidRPr="00F0621F">
        <w:rPr>
          <w:i/>
          <w:iCs/>
          <w:lang w:val="en-CA"/>
        </w:rPr>
        <w:t>United States of America</w:t>
      </w:r>
      <w:r w:rsidR="005E5B62" w:rsidRPr="00F0621F">
        <w:rPr>
          <w:i/>
          <w:iCs/>
          <w:lang w:val="en-CA"/>
        </w:rPr>
        <w:t xml:space="preserve"> </w:t>
      </w:r>
      <w:r w:rsidR="00EB71C8" w:rsidRPr="00F0621F">
        <w:rPr>
          <w:i/>
          <w:iCs/>
          <w:lang w:val="en-CA"/>
        </w:rPr>
        <w:t>v</w:t>
      </w:r>
      <w:r w:rsidRPr="00F0621F">
        <w:rPr>
          <w:i/>
          <w:iCs/>
          <w:lang w:val="en-CA"/>
        </w:rPr>
        <w:t>.</w:t>
      </w:r>
      <w:r w:rsidR="005E5B62" w:rsidRPr="00F0621F">
        <w:rPr>
          <w:i/>
          <w:iCs/>
          <w:lang w:val="en-CA"/>
        </w:rPr>
        <w:t xml:space="preserve"> </w:t>
      </w:r>
      <w:r w:rsidRPr="00F0621F">
        <w:rPr>
          <w:i/>
          <w:iCs/>
          <w:lang w:val="en-CA"/>
        </w:rPr>
        <w:t>Latty</w:t>
      </w:r>
      <w:r w:rsidRPr="00F0621F">
        <w:rPr>
          <w:lang w:val="en-CA"/>
        </w:rPr>
        <w:t xml:space="preserve">, </w:t>
      </w:r>
      <w:r w:rsidRPr="00F0621F">
        <w:rPr>
          <w:i/>
          <w:iCs/>
          <w:lang w:val="en-CA"/>
        </w:rPr>
        <w:t>supra</w:t>
      </w:r>
      <w:r w:rsidRPr="00F0621F">
        <w:rPr>
          <w:lang w:val="en-CA"/>
        </w:rPr>
        <w:t>, note</w:t>
      </w:r>
      <w:r w:rsidR="002C7586" w:rsidRPr="00F0621F">
        <w:rPr>
          <w:lang w:val="en-CA"/>
        </w:rPr>
        <w:t xml:space="preserve"> </w:t>
      </w:r>
      <w:r>
        <w:t>31</w:t>
      </w:r>
      <w:r w:rsidR="005A7047" w:rsidRPr="00F0621F">
        <w:rPr>
          <w:lang w:val="en-CA"/>
        </w:rPr>
        <w:t>,</w:t>
      </w:r>
      <w:r w:rsidRPr="00F0621F">
        <w:rPr>
          <w:lang w:val="en-CA"/>
        </w:rPr>
        <w:t xml:space="preserve"> para</w:t>
      </w:r>
      <w:r w:rsidR="00EB71C8" w:rsidRPr="00F0621F">
        <w:rPr>
          <w:lang w:val="en-CA"/>
        </w:rPr>
        <w:t>s</w:t>
      </w:r>
      <w:r w:rsidRPr="00F0621F">
        <w:rPr>
          <w:lang w:val="en-CA"/>
        </w:rPr>
        <w:t xml:space="preserve">. </w:t>
      </w:r>
      <w:bookmarkEnd w:id="32"/>
      <w:r w:rsidRPr="00F0621F">
        <w:rPr>
          <w:lang w:val="en-CA"/>
        </w:rPr>
        <w:t>38-46.</w:t>
      </w:r>
    </w:p>
  </w:footnote>
  <w:footnote w:id="48">
    <w:p w14:paraId="27013E6E" w14:textId="329FA516" w:rsidR="00C57038" w:rsidRPr="00F0621F" w:rsidRDefault="00B37A58" w:rsidP="00C57038">
      <w:pPr>
        <w:pStyle w:val="Notedebasdepage"/>
        <w:rPr>
          <w:lang w:val="en-CA"/>
        </w:rPr>
      </w:pPr>
      <w:r>
        <w:rPr>
          <w:rStyle w:val="Appelnotedebasdep"/>
        </w:rPr>
        <w:footnoteRef/>
      </w:r>
      <w:r w:rsidRPr="005A7047">
        <w:rPr>
          <w:lang w:val="en-CA"/>
        </w:rPr>
        <w:t xml:space="preserve"> </w:t>
      </w:r>
      <w:r w:rsidRPr="005A7047">
        <w:rPr>
          <w:lang w:val="en-CA"/>
        </w:rPr>
        <w:tab/>
      </w:r>
      <w:r w:rsidRPr="00F0621F">
        <w:rPr>
          <w:i/>
          <w:iCs/>
          <w:color w:val="000000"/>
          <w:lang w:val="en-CA"/>
        </w:rPr>
        <w:t>Id.</w:t>
      </w:r>
      <w:r w:rsidRPr="00F0621F">
        <w:rPr>
          <w:color w:val="000000"/>
          <w:lang w:val="en-CA"/>
        </w:rPr>
        <w:t xml:space="preserve">, </w:t>
      </w:r>
      <w:r w:rsidRPr="00F0621F">
        <w:rPr>
          <w:lang w:val="en-CA"/>
        </w:rPr>
        <w:t>para. 41.</w:t>
      </w:r>
    </w:p>
  </w:footnote>
  <w:footnote w:id="49">
    <w:p w14:paraId="75C4DA73" w14:textId="77777777" w:rsidR="00C57038" w:rsidRPr="00F0621F" w:rsidRDefault="00B37A58" w:rsidP="00C57038">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Pr="00F0621F">
        <w:rPr>
          <w:i/>
          <w:iCs/>
          <w:color w:val="000000"/>
          <w:lang w:val="en-CA"/>
        </w:rPr>
        <w:t>Ibid</w:t>
      </w:r>
      <w:r w:rsidRPr="00F0621F">
        <w:rPr>
          <w:lang w:val="en-CA"/>
        </w:rPr>
        <w:t>.</w:t>
      </w:r>
    </w:p>
  </w:footnote>
  <w:footnote w:id="50">
    <w:p w14:paraId="1BFD5B7A" w14:textId="5D82C2B8" w:rsidR="00C57038" w:rsidRPr="00F0621F" w:rsidRDefault="00B37A58" w:rsidP="00C57038">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Pr="00F0621F">
        <w:rPr>
          <w:i/>
          <w:iCs/>
          <w:color w:val="000000"/>
          <w:lang w:val="en-CA"/>
        </w:rPr>
        <w:t>Id.</w:t>
      </w:r>
      <w:r w:rsidRPr="00F0621F">
        <w:rPr>
          <w:lang w:val="en-CA"/>
        </w:rPr>
        <w:t xml:space="preserve">, para. 46. </w:t>
      </w:r>
      <w:r w:rsidR="000752E7" w:rsidRPr="00F0621F">
        <w:rPr>
          <w:lang w:val="en-CA"/>
        </w:rPr>
        <w:t>The test in question</w:t>
      </w:r>
      <w:r w:rsidRPr="00F0621F">
        <w:rPr>
          <w:lang w:val="en-CA"/>
        </w:rPr>
        <w:t xml:space="preserve">, </w:t>
      </w:r>
      <w:r w:rsidR="000752E7" w:rsidRPr="00F0621F">
        <w:rPr>
          <w:lang w:val="en-CA"/>
        </w:rPr>
        <w:t>which is the same as that specific to a committal to trial or a verdict of acquittal, has not changed</w:t>
      </w:r>
      <w:r w:rsidRPr="00F0621F">
        <w:rPr>
          <w:lang w:val="en-CA"/>
        </w:rPr>
        <w:t xml:space="preserve">: </w:t>
      </w:r>
      <w:r w:rsidRPr="00F0621F">
        <w:rPr>
          <w:i/>
          <w:iCs/>
          <w:lang w:val="en-CA"/>
        </w:rPr>
        <w:t xml:space="preserve">M.M. </w:t>
      </w:r>
      <w:r w:rsidR="000752E7" w:rsidRPr="00F0621F">
        <w:rPr>
          <w:i/>
          <w:iCs/>
          <w:lang w:val="en-CA"/>
        </w:rPr>
        <w:t>v</w:t>
      </w:r>
      <w:r w:rsidRPr="00F0621F">
        <w:rPr>
          <w:i/>
          <w:iCs/>
          <w:lang w:val="en-CA"/>
        </w:rPr>
        <w:t xml:space="preserve">. </w:t>
      </w:r>
      <w:r w:rsidR="000752E7" w:rsidRPr="00F0621F">
        <w:rPr>
          <w:i/>
          <w:iCs/>
          <w:lang w:val="en-CA"/>
        </w:rPr>
        <w:t>United States of America</w:t>
      </w:r>
      <w:r w:rsidRPr="00F0621F">
        <w:rPr>
          <w:lang w:val="en-CA"/>
        </w:rPr>
        <w:t xml:space="preserve">, </w:t>
      </w:r>
      <w:r w:rsidRPr="00F0621F">
        <w:rPr>
          <w:i/>
          <w:iCs/>
          <w:lang w:val="en-CA"/>
        </w:rPr>
        <w:t>supra</w:t>
      </w:r>
      <w:r w:rsidRPr="00F0621F">
        <w:rPr>
          <w:lang w:val="en-CA"/>
        </w:rPr>
        <w:t>, note</w:t>
      </w:r>
      <w:r w:rsidR="005F7421" w:rsidRPr="00F0621F">
        <w:rPr>
          <w:lang w:val="en-CA"/>
        </w:rPr>
        <w:t xml:space="preserve"> </w:t>
      </w:r>
      <w:r>
        <w:t>31</w:t>
      </w:r>
      <w:r w:rsidR="005A7047" w:rsidRPr="00F0621F">
        <w:rPr>
          <w:lang w:val="en-CA"/>
        </w:rPr>
        <w:t xml:space="preserve">, </w:t>
      </w:r>
      <w:r w:rsidRPr="00F0621F">
        <w:rPr>
          <w:lang w:val="en-CA"/>
        </w:rPr>
        <w:t>para</w:t>
      </w:r>
      <w:r w:rsidR="000752E7" w:rsidRPr="00F0621F">
        <w:rPr>
          <w:lang w:val="en-CA"/>
        </w:rPr>
        <w:t>s</w:t>
      </w:r>
      <w:r w:rsidRPr="00F0621F">
        <w:rPr>
          <w:lang w:val="en-CA"/>
        </w:rPr>
        <w:t xml:space="preserve">. 37-39 </w:t>
      </w:r>
      <w:r w:rsidR="000752E7" w:rsidRPr="00F0621F">
        <w:rPr>
          <w:lang w:val="en-CA"/>
        </w:rPr>
        <w:t>and</w:t>
      </w:r>
      <w:r w:rsidRPr="00F0621F">
        <w:rPr>
          <w:lang w:val="en-CA"/>
        </w:rPr>
        <w:t xml:space="preserve"> 57</w:t>
      </w:r>
      <w:r w:rsidRPr="00F0621F">
        <w:rPr>
          <w:lang w:val="en-CA"/>
        </w:rPr>
        <w:noBreakHyphen/>
        <w:t xml:space="preserve">62. </w:t>
      </w:r>
      <w:r w:rsidR="000752E7" w:rsidRPr="00F0621F">
        <w:rPr>
          <w:lang w:val="en-CA"/>
        </w:rPr>
        <w:t>See also</w:t>
      </w:r>
      <w:r w:rsidRPr="00F0621F">
        <w:rPr>
          <w:lang w:val="en-CA"/>
        </w:rPr>
        <w:t xml:space="preserve"> </w:t>
      </w:r>
      <w:r w:rsidRPr="00F0621F">
        <w:rPr>
          <w:i/>
          <w:iCs/>
          <w:lang w:val="en-CA"/>
        </w:rPr>
        <w:t>Um c. Procureur général du Canada</w:t>
      </w:r>
      <w:r w:rsidRPr="00F0621F">
        <w:rPr>
          <w:lang w:val="en-CA"/>
        </w:rPr>
        <w:t xml:space="preserve">, 2022 QCCA 529, para. 12; Seth Weinstein </w:t>
      </w:r>
      <w:r w:rsidR="000752E7" w:rsidRPr="00F0621F">
        <w:rPr>
          <w:lang w:val="en-CA"/>
        </w:rPr>
        <w:t>and</w:t>
      </w:r>
      <w:r w:rsidRPr="00F0621F">
        <w:rPr>
          <w:lang w:val="en-CA"/>
        </w:rPr>
        <w:t xml:space="preserve"> Nancy L. Dennison, </w:t>
      </w:r>
      <w:r w:rsidRPr="00F0621F">
        <w:rPr>
          <w:i/>
          <w:iCs/>
          <w:lang w:val="en-CA"/>
        </w:rPr>
        <w:t>Prosecuting and Defending Extradition Cases: A Practitioner's Handbook</w:t>
      </w:r>
      <w:r w:rsidRPr="00F0621F">
        <w:rPr>
          <w:lang w:val="en-CA"/>
        </w:rPr>
        <w:t xml:space="preserve">, Criminal Law Series, vol. 3, Toronto, Emond Montgomery, 2017, p. 218. </w:t>
      </w:r>
    </w:p>
  </w:footnote>
  <w:footnote w:id="51">
    <w:p w14:paraId="057A55A4" w14:textId="21CBFFD0" w:rsidR="00625FAC" w:rsidRPr="005A7047" w:rsidRDefault="00B37A58">
      <w:pPr>
        <w:pStyle w:val="Notedebasdepage"/>
        <w:rPr>
          <w:lang w:val="en-CA"/>
        </w:rPr>
      </w:pPr>
      <w:r>
        <w:rPr>
          <w:rStyle w:val="Appelnotedebasdep"/>
        </w:rPr>
        <w:footnoteRef/>
      </w:r>
      <w:r w:rsidRPr="005A7047">
        <w:rPr>
          <w:lang w:val="en-CA"/>
        </w:rPr>
        <w:t xml:space="preserve"> </w:t>
      </w:r>
      <w:r w:rsidR="00B56285" w:rsidRPr="005A7047">
        <w:rPr>
          <w:lang w:val="en-CA"/>
        </w:rPr>
        <w:tab/>
      </w:r>
      <w:r w:rsidR="000C20E0" w:rsidRPr="00F0621F">
        <w:rPr>
          <w:lang w:val="en-CA"/>
        </w:rPr>
        <w:t>Judgment under appeal</w:t>
      </w:r>
      <w:r w:rsidRPr="00F0621F">
        <w:rPr>
          <w:lang w:val="en-CA"/>
        </w:rPr>
        <w:t>, para. 55.</w:t>
      </w:r>
    </w:p>
  </w:footnote>
  <w:footnote w:id="52">
    <w:p w14:paraId="13F21B88" w14:textId="2C8EB011" w:rsidR="00042109" w:rsidRPr="00F0621F" w:rsidRDefault="00B37A58">
      <w:pPr>
        <w:pStyle w:val="Notedebasdepage"/>
        <w:rPr>
          <w:lang w:val="en-CA"/>
        </w:rPr>
      </w:pPr>
      <w:r w:rsidRPr="001C241E">
        <w:rPr>
          <w:rStyle w:val="Appelnotedebasdep"/>
        </w:rPr>
        <w:footnoteRef/>
      </w:r>
      <w:r w:rsidRPr="00C35B84">
        <w:rPr>
          <w:lang w:val="en-CA"/>
        </w:rPr>
        <w:t xml:space="preserve"> </w:t>
      </w:r>
      <w:r w:rsidR="00E92C95" w:rsidRPr="00C35B84">
        <w:rPr>
          <w:lang w:val="en-CA"/>
        </w:rPr>
        <w:tab/>
      </w:r>
      <w:r w:rsidR="007A6F53" w:rsidRPr="00F0621F">
        <w:rPr>
          <w:i/>
          <w:iCs/>
          <w:lang w:val="en-CA"/>
        </w:rPr>
        <w:t>United States of America</w:t>
      </w:r>
      <w:r w:rsidR="001C241E" w:rsidRPr="00F0621F">
        <w:rPr>
          <w:i/>
          <w:iCs/>
          <w:lang w:val="en-CA"/>
        </w:rPr>
        <w:t xml:space="preserve"> </w:t>
      </w:r>
      <w:r w:rsidR="007A6F53" w:rsidRPr="00F0621F">
        <w:rPr>
          <w:i/>
          <w:iCs/>
          <w:lang w:val="en-CA"/>
        </w:rPr>
        <w:t>v</w:t>
      </w:r>
      <w:r w:rsidR="001C241E" w:rsidRPr="00F0621F">
        <w:rPr>
          <w:i/>
          <w:iCs/>
          <w:lang w:val="en-CA"/>
        </w:rPr>
        <w:t xml:space="preserve">. Ferras; </w:t>
      </w:r>
      <w:r w:rsidR="007A6F53" w:rsidRPr="00F0621F">
        <w:rPr>
          <w:i/>
          <w:iCs/>
          <w:lang w:val="en-CA"/>
        </w:rPr>
        <w:t>United States of America</w:t>
      </w:r>
      <w:r w:rsidR="001C241E" w:rsidRPr="00F0621F">
        <w:rPr>
          <w:i/>
          <w:iCs/>
          <w:lang w:val="en-CA"/>
        </w:rPr>
        <w:t xml:space="preserve"> </w:t>
      </w:r>
      <w:r w:rsidR="007A6F53" w:rsidRPr="00F0621F">
        <w:rPr>
          <w:i/>
          <w:iCs/>
          <w:lang w:val="en-CA"/>
        </w:rPr>
        <w:t>v</w:t>
      </w:r>
      <w:r w:rsidR="001C241E" w:rsidRPr="00F0621F">
        <w:rPr>
          <w:i/>
          <w:iCs/>
          <w:lang w:val="en-CA"/>
        </w:rPr>
        <w:t>. Latty</w:t>
      </w:r>
      <w:r w:rsidR="001C241E" w:rsidRPr="00F0621F">
        <w:rPr>
          <w:lang w:val="en-CA"/>
        </w:rPr>
        <w:t xml:space="preserve">, </w:t>
      </w:r>
      <w:r w:rsidR="001C241E" w:rsidRPr="00F0621F">
        <w:rPr>
          <w:i/>
          <w:iCs/>
          <w:lang w:val="en-CA"/>
        </w:rPr>
        <w:t>supra</w:t>
      </w:r>
      <w:r w:rsidR="001C241E" w:rsidRPr="00F0621F">
        <w:rPr>
          <w:lang w:val="en-CA"/>
        </w:rPr>
        <w:t xml:space="preserve">, note </w:t>
      </w:r>
      <w:r>
        <w:t>31</w:t>
      </w:r>
      <w:r w:rsidR="005A7047" w:rsidRPr="00F0621F">
        <w:rPr>
          <w:lang w:val="en-CA"/>
        </w:rPr>
        <w:t xml:space="preserve">, </w:t>
      </w:r>
      <w:r w:rsidR="001C241E" w:rsidRPr="00F0621F">
        <w:rPr>
          <w:lang w:val="en-CA"/>
        </w:rPr>
        <w:t xml:space="preserve">para. </w:t>
      </w:r>
      <w:r w:rsidRPr="00F0621F">
        <w:rPr>
          <w:lang w:val="en-CA"/>
        </w:rPr>
        <w:t>54.</w:t>
      </w:r>
    </w:p>
  </w:footnote>
  <w:footnote w:id="53">
    <w:p w14:paraId="36601579" w14:textId="28AE58FE" w:rsidR="00A209B7" w:rsidRPr="00F0621F" w:rsidRDefault="00B37A58" w:rsidP="00A209B7">
      <w:pPr>
        <w:pStyle w:val="Notedebasdepage"/>
        <w:rPr>
          <w:lang w:val="en-CA"/>
        </w:rPr>
      </w:pPr>
      <w:r>
        <w:rPr>
          <w:rStyle w:val="Appelnotedebasdep"/>
        </w:rPr>
        <w:footnoteRef/>
      </w:r>
      <w:r w:rsidRPr="005A7047">
        <w:rPr>
          <w:lang w:val="en-CA"/>
        </w:rPr>
        <w:t xml:space="preserve"> </w:t>
      </w:r>
      <w:r w:rsidRPr="005A7047">
        <w:rPr>
          <w:lang w:val="en-CA"/>
        </w:rPr>
        <w:tab/>
      </w:r>
      <w:r w:rsidR="007A6F53" w:rsidRPr="00F0621F">
        <w:rPr>
          <w:lang w:val="en-CA"/>
        </w:rPr>
        <w:t>Judgment under appeal</w:t>
      </w:r>
      <w:r w:rsidRPr="00F0621F">
        <w:rPr>
          <w:lang w:val="en-CA"/>
        </w:rPr>
        <w:t>, para</w:t>
      </w:r>
      <w:r w:rsidR="007A6F53" w:rsidRPr="00F0621F">
        <w:rPr>
          <w:lang w:val="en-CA"/>
        </w:rPr>
        <w:t>s</w:t>
      </w:r>
      <w:r w:rsidRPr="00F0621F">
        <w:rPr>
          <w:lang w:val="en-CA"/>
        </w:rPr>
        <w:t>. 49-56.</w:t>
      </w:r>
    </w:p>
  </w:footnote>
  <w:footnote w:id="54">
    <w:p w14:paraId="1F249DB3" w14:textId="010ECE1C" w:rsidR="00A209B7" w:rsidRPr="00C11AEF" w:rsidRDefault="00B37A58" w:rsidP="00A209B7">
      <w:pPr>
        <w:pStyle w:val="Notedebasdepage"/>
        <w:rPr>
          <w:lang w:val="en-CA"/>
        </w:rPr>
      </w:pPr>
      <w:r>
        <w:rPr>
          <w:rStyle w:val="Appelnotedebasdep"/>
        </w:rPr>
        <w:footnoteRef/>
      </w:r>
      <w:r w:rsidRPr="00C35B84">
        <w:rPr>
          <w:lang w:val="en-CA"/>
        </w:rPr>
        <w:t xml:space="preserve"> </w:t>
      </w:r>
      <w:r w:rsidRPr="00C35B84">
        <w:rPr>
          <w:lang w:val="en-CA"/>
        </w:rPr>
        <w:tab/>
      </w:r>
      <w:r w:rsidR="00284FEE" w:rsidRPr="00C11AEF">
        <w:rPr>
          <w:lang w:val="en-CA"/>
        </w:rPr>
        <w:t>That is also what he wrote in his review of the evidence</w:t>
      </w:r>
      <w:r w:rsidRPr="00C11AEF">
        <w:rPr>
          <w:lang w:val="en-CA"/>
        </w:rPr>
        <w:t xml:space="preserve">: </w:t>
      </w:r>
      <w:r w:rsidR="00284FEE" w:rsidRPr="00C11AEF">
        <w:rPr>
          <w:lang w:val="en-CA"/>
        </w:rPr>
        <w:t>“</w:t>
      </w:r>
      <w:r w:rsidRPr="00C11AEF">
        <w:rPr>
          <w:rFonts w:cs="Arial"/>
          <w:i/>
          <w:iCs/>
          <w:color w:val="000000"/>
          <w:lang w:val="en-CA"/>
        </w:rPr>
        <w:t>Instead, all the evidence filed is accepted and considered under </w:t>
      </w:r>
      <w:r w:rsidRPr="00C11AEF">
        <w:rPr>
          <w:rFonts w:cs="Arial"/>
          <w:i/>
          <w:iCs/>
          <w:lang w:val="en-CA"/>
        </w:rPr>
        <w:t>s. 32</w:t>
      </w:r>
      <w:r w:rsidRPr="00C11AEF">
        <w:rPr>
          <w:rFonts w:cs="Arial"/>
          <w:i/>
          <w:iCs/>
          <w:color w:val="000000"/>
          <w:lang w:val="en-CA"/>
        </w:rPr>
        <w:t> of the </w:t>
      </w:r>
      <w:r w:rsidRPr="00C11AEF">
        <w:rPr>
          <w:rFonts w:cs="Arial"/>
          <w:i/>
          <w:iCs/>
          <w:lang w:val="en-CA"/>
        </w:rPr>
        <w:t>Extradition Act</w:t>
      </w:r>
      <w:r w:rsidRPr="00C11AEF">
        <w:rPr>
          <w:rFonts w:cs="Arial"/>
          <w:i/>
          <w:iCs/>
          <w:color w:val="000000"/>
          <w:lang w:val="en-CA"/>
        </w:rPr>
        <w:t>, with the contradictions it entails. The Court must consider all the evidence and cannot ignore the testimony at trial</w:t>
      </w:r>
      <w:r w:rsidR="00284FEE" w:rsidRPr="00C11AEF">
        <w:rPr>
          <w:rFonts w:cs="Arial"/>
          <w:i/>
          <w:iCs/>
          <w:color w:val="000000"/>
          <w:lang w:val="en-CA"/>
        </w:rPr>
        <w:t>”</w:t>
      </w:r>
      <w:r w:rsidRPr="00C11AEF">
        <w:rPr>
          <w:rFonts w:cs="Arial"/>
          <w:color w:val="000000"/>
          <w:lang w:val="en-CA"/>
        </w:rPr>
        <w:t xml:space="preserve">: </w:t>
      </w:r>
      <w:r w:rsidR="00284FEE" w:rsidRPr="00C11AEF">
        <w:rPr>
          <w:rFonts w:cs="Arial"/>
          <w:color w:val="000000"/>
          <w:lang w:val="en-CA"/>
        </w:rPr>
        <w:t>Judgment under appeal</w:t>
      </w:r>
      <w:r w:rsidRPr="00C11AEF">
        <w:rPr>
          <w:rFonts w:cs="Arial"/>
          <w:color w:val="000000"/>
          <w:lang w:val="en-CA"/>
        </w:rPr>
        <w:t>, para.</w:t>
      </w:r>
      <w:r w:rsidR="00BD4313">
        <w:rPr>
          <w:rFonts w:cs="Arial"/>
          <w:color w:val="000000"/>
          <w:lang w:val="en-CA"/>
        </w:rPr>
        <w:t xml:space="preserve"> </w:t>
      </w:r>
      <w:r w:rsidRPr="00C11AEF">
        <w:rPr>
          <w:rFonts w:cs="Arial"/>
          <w:color w:val="000000"/>
          <w:lang w:val="en-CA"/>
        </w:rPr>
        <w:t>43.</w:t>
      </w:r>
    </w:p>
  </w:footnote>
  <w:footnote w:id="55">
    <w:p w14:paraId="5AC28E3A" w14:textId="1107ACDD" w:rsidR="00A209B7" w:rsidRPr="00C11AEF" w:rsidRDefault="00B37A58" w:rsidP="00A209B7">
      <w:pPr>
        <w:pStyle w:val="Notedebasdepage"/>
        <w:rPr>
          <w:lang w:val="en-CA"/>
        </w:rPr>
      </w:pPr>
      <w:r w:rsidRPr="00C11AEF">
        <w:rPr>
          <w:rStyle w:val="Appelnotedebasdep"/>
          <w:lang w:val="en-CA"/>
        </w:rPr>
        <w:footnoteRef/>
      </w:r>
      <w:r w:rsidRPr="00C11AEF">
        <w:rPr>
          <w:lang w:val="en-CA"/>
        </w:rPr>
        <w:t xml:space="preserve"> </w:t>
      </w:r>
      <w:r w:rsidRPr="00C11AEF">
        <w:rPr>
          <w:lang w:val="en-CA"/>
        </w:rPr>
        <w:tab/>
      </w:r>
      <w:r w:rsidR="004311E8" w:rsidRPr="00C11AEF">
        <w:rPr>
          <w:lang w:val="en-CA"/>
        </w:rPr>
        <w:t>Judgment under appeal</w:t>
      </w:r>
      <w:r w:rsidRPr="00C11AEF">
        <w:rPr>
          <w:lang w:val="en-CA"/>
        </w:rPr>
        <w:t>, para</w:t>
      </w:r>
      <w:r w:rsidR="004311E8" w:rsidRPr="00C11AEF">
        <w:rPr>
          <w:lang w:val="en-CA"/>
        </w:rPr>
        <w:t>s</w:t>
      </w:r>
      <w:r w:rsidRPr="00C11AEF">
        <w:rPr>
          <w:lang w:val="en-CA"/>
        </w:rPr>
        <w:t xml:space="preserve">. 35-43, 52-54 </w:t>
      </w:r>
      <w:r w:rsidR="004311E8" w:rsidRPr="00C11AEF">
        <w:rPr>
          <w:lang w:val="en-CA"/>
        </w:rPr>
        <w:t>and</w:t>
      </w:r>
      <w:r w:rsidRPr="00C11AEF">
        <w:rPr>
          <w:lang w:val="en-CA"/>
        </w:rPr>
        <w:t xml:space="preserve"> 71-73.</w:t>
      </w:r>
    </w:p>
  </w:footnote>
  <w:footnote w:id="56">
    <w:p w14:paraId="74D73BBB" w14:textId="4098E794" w:rsidR="00A209B7" w:rsidRPr="00C11AEF" w:rsidRDefault="00B37A58" w:rsidP="00A209B7">
      <w:pPr>
        <w:pStyle w:val="Notedebasdepage"/>
        <w:rPr>
          <w:lang w:val="en-CA"/>
        </w:rPr>
      </w:pPr>
      <w:r w:rsidRPr="00C11AEF">
        <w:rPr>
          <w:rStyle w:val="Appelnotedebasdep"/>
          <w:lang w:val="en-CA"/>
        </w:rPr>
        <w:footnoteRef/>
      </w:r>
      <w:r w:rsidRPr="00C11AEF">
        <w:rPr>
          <w:lang w:val="en-CA"/>
        </w:rPr>
        <w:t xml:space="preserve"> </w:t>
      </w:r>
      <w:r w:rsidRPr="00C11AEF">
        <w:rPr>
          <w:lang w:val="en-CA"/>
        </w:rPr>
        <w:tab/>
      </w:r>
      <w:r w:rsidR="00EB7E64">
        <w:rPr>
          <w:lang w:val="en-CA"/>
        </w:rPr>
        <w:t>Record of Case – Dossier certifié d’extradition</w:t>
      </w:r>
      <w:r w:rsidRPr="00C11AEF">
        <w:rPr>
          <w:lang w:val="en-CA"/>
        </w:rPr>
        <w:t xml:space="preserve">, </w:t>
      </w:r>
      <w:r w:rsidRPr="00C11AEF">
        <w:rPr>
          <w:i/>
          <w:iCs/>
          <w:lang w:val="en-CA"/>
        </w:rPr>
        <w:t>supra</w:t>
      </w:r>
      <w:r w:rsidRPr="00C11AEF">
        <w:rPr>
          <w:lang w:val="en-CA"/>
        </w:rPr>
        <w:t xml:space="preserve">, note </w:t>
      </w:r>
      <w:r>
        <w:t>4</w:t>
      </w:r>
      <w:r w:rsidRPr="00C11AEF">
        <w:rPr>
          <w:lang w:val="en-CA"/>
        </w:rPr>
        <w:t>, p</w:t>
      </w:r>
      <w:r w:rsidR="00AC580C" w:rsidRPr="00C11AEF">
        <w:rPr>
          <w:lang w:val="en-CA"/>
        </w:rPr>
        <w:t>p</w:t>
      </w:r>
      <w:r w:rsidRPr="00C11AEF">
        <w:rPr>
          <w:lang w:val="en-CA"/>
        </w:rPr>
        <w:t xml:space="preserve">. 69-70; </w:t>
      </w:r>
      <w:r w:rsidR="00EB7E64">
        <w:rPr>
          <w:lang w:val="en-CA"/>
        </w:rPr>
        <w:t xml:space="preserve">Supplemental Record of Case </w:t>
      </w:r>
      <w:r w:rsidR="00EB7E64" w:rsidRPr="00EB7E64">
        <w:rPr>
          <w:lang w:val="en-CA"/>
        </w:rPr>
        <w:t>–</w:t>
      </w:r>
      <w:r w:rsidR="00EB7E64">
        <w:rPr>
          <w:lang w:val="en-CA"/>
        </w:rPr>
        <w:t xml:space="preserve"> Dossier supplémentaire</w:t>
      </w:r>
      <w:r w:rsidRPr="00C11AEF">
        <w:rPr>
          <w:lang w:val="en-CA"/>
        </w:rPr>
        <w:t xml:space="preserve">, </w:t>
      </w:r>
      <w:r w:rsidRPr="00C11AEF">
        <w:rPr>
          <w:i/>
          <w:iCs/>
          <w:lang w:val="en-CA"/>
        </w:rPr>
        <w:t>supra</w:t>
      </w:r>
      <w:r w:rsidRPr="00C11AEF">
        <w:rPr>
          <w:lang w:val="en-CA"/>
        </w:rPr>
        <w:t xml:space="preserve">, note </w:t>
      </w:r>
      <w:r>
        <w:t>5</w:t>
      </w:r>
      <w:r w:rsidRPr="00C11AEF">
        <w:rPr>
          <w:lang w:val="en-CA"/>
        </w:rPr>
        <w:t xml:space="preserve">, </w:t>
      </w:r>
      <w:r w:rsidR="00AC580C" w:rsidRPr="00C11AEF">
        <w:rPr>
          <w:lang w:val="en-CA"/>
        </w:rPr>
        <w:t>p</w:t>
      </w:r>
      <w:r w:rsidRPr="00C11AEF">
        <w:rPr>
          <w:lang w:val="en-CA"/>
        </w:rPr>
        <w:t>p. 103-105.</w:t>
      </w:r>
    </w:p>
  </w:footnote>
  <w:footnote w:id="57">
    <w:p w14:paraId="001B6E06" w14:textId="37140E52" w:rsidR="00A209B7" w:rsidRPr="00C11AEF" w:rsidRDefault="00B37A58" w:rsidP="00A209B7">
      <w:pPr>
        <w:pStyle w:val="Notedebasdepage"/>
        <w:rPr>
          <w:lang w:val="en-CA"/>
        </w:rPr>
      </w:pPr>
      <w:r w:rsidRPr="00C11AEF">
        <w:rPr>
          <w:rStyle w:val="Appelnotedebasdep"/>
          <w:lang w:val="en-CA"/>
        </w:rPr>
        <w:footnoteRef/>
      </w:r>
      <w:r w:rsidRPr="00C11AEF">
        <w:rPr>
          <w:lang w:val="en-CA"/>
        </w:rPr>
        <w:t xml:space="preserve"> </w:t>
      </w:r>
      <w:r w:rsidRPr="00C11AEF">
        <w:rPr>
          <w:lang w:val="en-CA"/>
        </w:rPr>
        <w:tab/>
      </w:r>
      <w:r w:rsidR="00527602" w:rsidRPr="00C11AEF">
        <w:rPr>
          <w:lang w:val="en-CA"/>
        </w:rPr>
        <w:t>Judgment under appeal</w:t>
      </w:r>
      <w:r w:rsidRPr="00C11AEF">
        <w:rPr>
          <w:lang w:val="en-CA"/>
        </w:rPr>
        <w:t>, para</w:t>
      </w:r>
      <w:r w:rsidR="00527602" w:rsidRPr="00C11AEF">
        <w:rPr>
          <w:lang w:val="en-CA"/>
        </w:rPr>
        <w:t>s</w:t>
      </w:r>
      <w:r w:rsidRPr="00C11AEF">
        <w:rPr>
          <w:lang w:val="en-CA"/>
        </w:rPr>
        <w:t xml:space="preserve">. 25-58 </w:t>
      </w:r>
      <w:r w:rsidR="00527602" w:rsidRPr="00C11AEF">
        <w:rPr>
          <w:lang w:val="en-CA"/>
        </w:rPr>
        <w:t>and</w:t>
      </w:r>
      <w:r w:rsidRPr="00C11AEF">
        <w:rPr>
          <w:lang w:val="en-CA"/>
        </w:rPr>
        <w:t xml:space="preserve"> 70-76.</w:t>
      </w:r>
    </w:p>
  </w:footnote>
  <w:footnote w:id="58">
    <w:p w14:paraId="37587DAC" w14:textId="1AF65336" w:rsidR="00A209B7" w:rsidRPr="00C11AEF" w:rsidRDefault="00B37A58" w:rsidP="00A209B7">
      <w:pPr>
        <w:pStyle w:val="Notedebasdepage"/>
        <w:rPr>
          <w:lang w:val="en-CA"/>
        </w:rPr>
      </w:pPr>
      <w:r w:rsidRPr="00C11AEF">
        <w:rPr>
          <w:rStyle w:val="Appelnotedebasdep"/>
          <w:lang w:val="en-CA"/>
        </w:rPr>
        <w:footnoteRef/>
      </w:r>
      <w:r w:rsidRPr="00C11AEF">
        <w:rPr>
          <w:lang w:val="en-CA"/>
        </w:rPr>
        <w:t xml:space="preserve"> </w:t>
      </w:r>
      <w:r w:rsidRPr="00C11AEF">
        <w:rPr>
          <w:lang w:val="en-CA"/>
        </w:rPr>
        <w:tab/>
      </w:r>
      <w:r w:rsidRPr="00C11AEF">
        <w:rPr>
          <w:i/>
          <w:iCs/>
          <w:lang w:val="en-CA"/>
        </w:rPr>
        <w:t xml:space="preserve">M.M. </w:t>
      </w:r>
      <w:r w:rsidR="00527602" w:rsidRPr="00C11AEF">
        <w:rPr>
          <w:i/>
          <w:iCs/>
          <w:lang w:val="en-CA"/>
        </w:rPr>
        <w:t>v</w:t>
      </w:r>
      <w:r w:rsidRPr="00C11AEF">
        <w:rPr>
          <w:i/>
          <w:iCs/>
          <w:lang w:val="en-CA"/>
        </w:rPr>
        <w:t xml:space="preserve">. </w:t>
      </w:r>
      <w:r w:rsidR="00527602" w:rsidRPr="00C11AEF">
        <w:rPr>
          <w:i/>
          <w:iCs/>
          <w:lang w:val="en-CA"/>
        </w:rPr>
        <w:t>United States of America</w:t>
      </w:r>
      <w:r w:rsidRPr="00C11AEF">
        <w:rPr>
          <w:lang w:val="en-CA"/>
        </w:rPr>
        <w:t xml:space="preserve">, </w:t>
      </w:r>
      <w:r w:rsidRPr="00C11AEF">
        <w:rPr>
          <w:i/>
          <w:iCs/>
          <w:lang w:val="en-CA"/>
        </w:rPr>
        <w:t>supra</w:t>
      </w:r>
      <w:r w:rsidRPr="00C11AEF">
        <w:rPr>
          <w:lang w:val="en-CA"/>
        </w:rPr>
        <w:t>, note</w:t>
      </w:r>
      <w:r w:rsidR="00F02D40" w:rsidRPr="00C11AEF">
        <w:rPr>
          <w:lang w:val="en-CA"/>
        </w:rPr>
        <w:t xml:space="preserve"> </w:t>
      </w:r>
      <w:r>
        <w:t>31</w:t>
      </w:r>
      <w:r w:rsidR="005A7047" w:rsidRPr="00F0621F">
        <w:rPr>
          <w:lang w:val="en-CA"/>
        </w:rPr>
        <w:t xml:space="preserve">, </w:t>
      </w:r>
      <w:r w:rsidRPr="00C11AEF">
        <w:rPr>
          <w:lang w:val="en-CA"/>
        </w:rPr>
        <w:t>para</w:t>
      </w:r>
      <w:r w:rsidR="00527602" w:rsidRPr="00C11AEF">
        <w:rPr>
          <w:lang w:val="en-CA"/>
        </w:rPr>
        <w:t>s</w:t>
      </w:r>
      <w:r w:rsidRPr="00C11AEF">
        <w:rPr>
          <w:lang w:val="en-CA"/>
        </w:rPr>
        <w:t xml:space="preserve">. 38 </w:t>
      </w:r>
      <w:r w:rsidR="002C4674">
        <w:rPr>
          <w:lang w:val="en-CA"/>
        </w:rPr>
        <w:t>and</w:t>
      </w:r>
      <w:r w:rsidRPr="00C11AEF">
        <w:rPr>
          <w:lang w:val="en-CA"/>
        </w:rPr>
        <w:t xml:space="preserve"> 100; </w:t>
      </w:r>
      <w:r w:rsidR="00527602" w:rsidRPr="00C11AEF">
        <w:rPr>
          <w:i/>
          <w:iCs/>
          <w:color w:val="000000"/>
          <w:lang w:val="en-CA"/>
        </w:rPr>
        <w:t>United States of America</w:t>
      </w:r>
      <w:r w:rsidRPr="00C11AEF">
        <w:rPr>
          <w:i/>
          <w:iCs/>
          <w:color w:val="000000"/>
          <w:lang w:val="en-CA"/>
        </w:rPr>
        <w:t xml:space="preserve"> </w:t>
      </w:r>
      <w:r w:rsidR="00527602" w:rsidRPr="00C11AEF">
        <w:rPr>
          <w:i/>
          <w:iCs/>
          <w:color w:val="000000"/>
          <w:lang w:val="en-CA"/>
        </w:rPr>
        <w:t>v</w:t>
      </w:r>
      <w:r w:rsidRPr="00C11AEF">
        <w:rPr>
          <w:i/>
          <w:iCs/>
          <w:color w:val="000000"/>
          <w:lang w:val="en-CA"/>
        </w:rPr>
        <w:t xml:space="preserve">. Ferras; </w:t>
      </w:r>
      <w:r w:rsidR="00527602" w:rsidRPr="00C11AEF">
        <w:rPr>
          <w:i/>
          <w:iCs/>
          <w:color w:val="000000"/>
          <w:lang w:val="en-CA"/>
        </w:rPr>
        <w:t>United States of America</w:t>
      </w:r>
      <w:r w:rsidRPr="00C11AEF">
        <w:rPr>
          <w:i/>
          <w:iCs/>
          <w:color w:val="000000"/>
          <w:lang w:val="en-CA"/>
        </w:rPr>
        <w:t xml:space="preserve"> </w:t>
      </w:r>
      <w:r w:rsidR="00527602" w:rsidRPr="00C11AEF">
        <w:rPr>
          <w:i/>
          <w:iCs/>
          <w:color w:val="000000"/>
          <w:lang w:val="en-CA"/>
        </w:rPr>
        <w:t>v</w:t>
      </w:r>
      <w:r w:rsidRPr="00C11AEF">
        <w:rPr>
          <w:i/>
          <w:iCs/>
          <w:color w:val="000000"/>
          <w:lang w:val="en-CA"/>
        </w:rPr>
        <w:t>. Latty</w:t>
      </w:r>
      <w:r w:rsidRPr="00C11AEF">
        <w:rPr>
          <w:color w:val="000000"/>
          <w:lang w:val="en-CA"/>
        </w:rPr>
        <w:t xml:space="preserve">, </w:t>
      </w:r>
      <w:r w:rsidRPr="00C11AEF">
        <w:rPr>
          <w:i/>
          <w:iCs/>
          <w:color w:val="000000"/>
          <w:lang w:val="en-CA"/>
        </w:rPr>
        <w:t>supra</w:t>
      </w:r>
      <w:r w:rsidRPr="00C11AEF">
        <w:rPr>
          <w:color w:val="000000"/>
          <w:lang w:val="en-CA"/>
        </w:rPr>
        <w:t>, note</w:t>
      </w:r>
      <w:r w:rsidR="00F02D40" w:rsidRPr="00C11AEF">
        <w:rPr>
          <w:color w:val="000000"/>
          <w:lang w:val="en-CA"/>
        </w:rPr>
        <w:t xml:space="preserve"> </w:t>
      </w:r>
      <w:r w:rsidR="00BD4313">
        <w:rPr>
          <w:color w:val="000000"/>
          <w:lang w:val="en-CA"/>
        </w:rPr>
        <w:t>31</w:t>
      </w:r>
      <w:r w:rsidRPr="00C11AEF">
        <w:rPr>
          <w:lang w:val="en-CA"/>
        </w:rPr>
        <w:t>, para. 54.</w:t>
      </w:r>
    </w:p>
  </w:footnote>
  <w:footnote w:id="59">
    <w:p w14:paraId="58DA10BE" w14:textId="5B971969" w:rsidR="00A209B7" w:rsidRPr="00C11AEF" w:rsidRDefault="00B37A58" w:rsidP="00A209B7">
      <w:pPr>
        <w:pStyle w:val="Notedebasdepage"/>
        <w:rPr>
          <w:lang w:val="en-CA"/>
        </w:rPr>
      </w:pPr>
      <w:r w:rsidRPr="00C11AEF">
        <w:rPr>
          <w:rStyle w:val="Appelnotedebasdep"/>
          <w:lang w:val="en-CA"/>
        </w:rPr>
        <w:footnoteRef/>
      </w:r>
      <w:r w:rsidRPr="00C11AEF">
        <w:rPr>
          <w:lang w:val="en-CA"/>
        </w:rPr>
        <w:t xml:space="preserve"> </w:t>
      </w:r>
      <w:r w:rsidRPr="00C11AEF">
        <w:rPr>
          <w:lang w:val="en-CA"/>
        </w:rPr>
        <w:tab/>
      </w:r>
      <w:r w:rsidR="00C11AEF" w:rsidRPr="00C11AEF">
        <w:rPr>
          <w:lang w:val="en-CA"/>
        </w:rPr>
        <w:t>For example</w:t>
      </w:r>
      <w:r w:rsidRPr="00C11AEF">
        <w:rPr>
          <w:lang w:val="en-CA"/>
        </w:rPr>
        <w:t xml:space="preserve">, </w:t>
      </w:r>
      <w:r w:rsidR="00C11AEF" w:rsidRPr="00C11AEF">
        <w:rPr>
          <w:lang w:val="en-CA"/>
        </w:rPr>
        <w:t>see</w:t>
      </w:r>
      <w:r w:rsidRPr="00C11AEF">
        <w:rPr>
          <w:lang w:val="en-CA"/>
        </w:rPr>
        <w:t xml:space="preserve"> </w:t>
      </w:r>
      <w:r w:rsidRPr="00C11AEF">
        <w:rPr>
          <w:i/>
          <w:iCs/>
          <w:lang w:val="en-CA"/>
        </w:rPr>
        <w:t>R. v. Reitsma</w:t>
      </w:r>
      <w:r w:rsidRPr="00C11AEF">
        <w:rPr>
          <w:lang w:val="en-CA"/>
        </w:rPr>
        <w:t>, 36 WCB (2d) 197, 1997 CanLII 3607, para. 40 (</w:t>
      </w:r>
      <w:r w:rsidR="002E0285">
        <w:rPr>
          <w:lang w:val="en-CA"/>
        </w:rPr>
        <w:t>BCCA</w:t>
      </w:r>
      <w:r w:rsidRPr="00C11AEF">
        <w:rPr>
          <w:lang w:val="en-CA"/>
        </w:rPr>
        <w:t xml:space="preserve">), </w:t>
      </w:r>
      <w:r w:rsidR="00C11AEF" w:rsidRPr="00C11AEF">
        <w:rPr>
          <w:lang w:val="en-CA"/>
        </w:rPr>
        <w:t xml:space="preserve">summarily </w:t>
      </w:r>
      <w:r w:rsidRPr="00C11AEF">
        <w:rPr>
          <w:lang w:val="en-CA"/>
        </w:rPr>
        <w:t>confirm</w:t>
      </w:r>
      <w:r w:rsidR="00C11AEF" w:rsidRPr="00C11AEF">
        <w:rPr>
          <w:lang w:val="en-CA"/>
        </w:rPr>
        <w:t>ed</w:t>
      </w:r>
      <w:r w:rsidRPr="00C11AEF">
        <w:rPr>
          <w:lang w:val="en-CA"/>
        </w:rPr>
        <w:t xml:space="preserve"> </w:t>
      </w:r>
      <w:r w:rsidR="00C11AEF" w:rsidRPr="00C11AEF">
        <w:rPr>
          <w:lang w:val="en-CA"/>
        </w:rPr>
        <w:t>by</w:t>
      </w:r>
      <w:r w:rsidRPr="00C11AEF">
        <w:rPr>
          <w:lang w:val="en-CA"/>
        </w:rPr>
        <w:t xml:space="preserve"> </w:t>
      </w:r>
      <w:r w:rsidRPr="00C11AEF">
        <w:rPr>
          <w:i/>
          <w:iCs/>
          <w:lang w:val="en-CA"/>
        </w:rPr>
        <w:t xml:space="preserve">R. </w:t>
      </w:r>
      <w:r w:rsidR="00C11AEF" w:rsidRPr="00C11AEF">
        <w:rPr>
          <w:i/>
          <w:iCs/>
          <w:lang w:val="en-CA"/>
        </w:rPr>
        <w:t>v</w:t>
      </w:r>
      <w:r w:rsidRPr="00C11AEF">
        <w:rPr>
          <w:i/>
          <w:iCs/>
          <w:lang w:val="en-CA"/>
        </w:rPr>
        <w:t>. Reitsma</w:t>
      </w:r>
      <w:r w:rsidRPr="00C11AEF">
        <w:rPr>
          <w:lang w:val="en-CA"/>
        </w:rPr>
        <w:t xml:space="preserve">, [1998] 1 </w:t>
      </w:r>
      <w:r w:rsidR="00C11AEF" w:rsidRPr="00C11AEF">
        <w:rPr>
          <w:lang w:val="en-CA"/>
        </w:rPr>
        <w:t>S.C.R</w:t>
      </w:r>
      <w:r w:rsidRPr="00C11AEF">
        <w:rPr>
          <w:lang w:val="en-CA"/>
        </w:rPr>
        <w:t xml:space="preserve">. 769. </w:t>
      </w:r>
      <w:r w:rsidR="00C11AEF" w:rsidRPr="00C11AEF">
        <w:rPr>
          <w:lang w:val="en-CA"/>
        </w:rPr>
        <w:t xml:space="preserve">See also, generally, the comments of </w:t>
      </w:r>
      <w:r w:rsidRPr="00C11AEF">
        <w:rPr>
          <w:lang w:val="en-CA"/>
        </w:rPr>
        <w:t>Doherty</w:t>
      </w:r>
      <w:r w:rsidR="00C11AEF">
        <w:rPr>
          <w:lang w:val="en-CA"/>
        </w:rPr>
        <w:t xml:space="preserve"> </w:t>
      </w:r>
      <w:r w:rsidR="00C11AEF" w:rsidRPr="00C11AEF">
        <w:rPr>
          <w:lang w:val="en-CA"/>
        </w:rPr>
        <w:t>J.</w:t>
      </w:r>
      <w:r w:rsidR="00C11AEF">
        <w:rPr>
          <w:lang w:val="en-CA"/>
        </w:rPr>
        <w:t>A.</w:t>
      </w:r>
      <w:r w:rsidRPr="00C11AEF">
        <w:rPr>
          <w:lang w:val="en-CA"/>
        </w:rPr>
        <w:t xml:space="preserve"> </w:t>
      </w:r>
      <w:r w:rsidR="00C11AEF" w:rsidRPr="00C11AEF">
        <w:rPr>
          <w:lang w:val="en-CA"/>
        </w:rPr>
        <w:t>in</w:t>
      </w:r>
      <w:r w:rsidRPr="00C11AEF">
        <w:rPr>
          <w:lang w:val="en-CA"/>
        </w:rPr>
        <w:t xml:space="preserve"> </w:t>
      </w:r>
      <w:r w:rsidRPr="00C11AEF">
        <w:rPr>
          <w:i/>
          <w:iCs/>
          <w:lang w:val="en-CA"/>
        </w:rPr>
        <w:t>Morrissey</w:t>
      </w:r>
      <w:r w:rsidRPr="00C11AEF">
        <w:rPr>
          <w:lang w:val="en-CA"/>
        </w:rPr>
        <w:t xml:space="preserve"> : </w:t>
      </w:r>
      <w:r w:rsidR="00C11AEF">
        <w:rPr>
          <w:lang w:val="en-CA"/>
        </w:rPr>
        <w:t>“</w:t>
      </w:r>
      <w:r w:rsidRPr="00C11AEF">
        <w:rPr>
          <w:lang w:val="en-CA"/>
        </w:rPr>
        <w:t xml:space="preserve">[…] </w:t>
      </w:r>
      <w:r w:rsidRPr="00C11AEF">
        <w:rPr>
          <w:i/>
          <w:iCs/>
          <w:lang w:val="en-CA"/>
        </w:rPr>
        <w:t>The accuracy of a witness’s testimony involves considerations of the witness’s ability to accurately observe, recall and recount the events in issue. When one is concerned with a witness’s veracity, one speaks of the witness’s credibility. When one is concerned with the accuracy of a witness’s testimony, one speaks of the reliability of that testimony</w:t>
      </w:r>
      <w:r w:rsidR="00C11AEF">
        <w:rPr>
          <w:i/>
          <w:iCs/>
          <w:lang w:val="en-CA"/>
        </w:rPr>
        <w:t>”</w:t>
      </w:r>
      <w:r w:rsidRPr="00C11AEF">
        <w:rPr>
          <w:lang w:val="en-CA"/>
        </w:rPr>
        <w:t xml:space="preserve">: </w:t>
      </w:r>
      <w:r w:rsidRPr="00C11AEF">
        <w:rPr>
          <w:i/>
          <w:iCs/>
          <w:lang w:val="en-CA"/>
        </w:rPr>
        <w:t>R. v. Morrissey</w:t>
      </w:r>
      <w:r w:rsidRPr="00C11AEF">
        <w:rPr>
          <w:lang w:val="en-CA"/>
        </w:rPr>
        <w:t xml:space="preserve"> (1995), 22 OR (3d) 514, p.</w:t>
      </w:r>
      <w:r w:rsidR="00BD758E">
        <w:rPr>
          <w:lang w:val="en-CA"/>
        </w:rPr>
        <w:t> </w:t>
      </w:r>
      <w:r w:rsidRPr="00C11AEF">
        <w:rPr>
          <w:lang w:val="en-CA"/>
        </w:rPr>
        <w:t>526, 1995 CanLII 3498 (</w:t>
      </w:r>
      <w:r w:rsidR="009E332B">
        <w:rPr>
          <w:lang w:val="en-CA"/>
        </w:rPr>
        <w:t>ONCA</w:t>
      </w:r>
      <w:r w:rsidRPr="00C11AEF">
        <w:rPr>
          <w:lang w:val="en-CA"/>
        </w:rPr>
        <w:t>).</w:t>
      </w:r>
    </w:p>
  </w:footnote>
  <w:footnote w:id="60">
    <w:p w14:paraId="67C083A9" w14:textId="383E0806" w:rsidR="009469CF" w:rsidRPr="00F0621F" w:rsidRDefault="00B37A58" w:rsidP="009469CF">
      <w:pPr>
        <w:pStyle w:val="Notedebasdepage"/>
        <w:rPr>
          <w:lang w:val="en-CA"/>
        </w:rPr>
      </w:pPr>
      <w:r w:rsidRPr="00C11AEF">
        <w:rPr>
          <w:rStyle w:val="Appelnotedebasdep"/>
          <w:lang w:val="en-CA"/>
        </w:rPr>
        <w:footnoteRef/>
      </w:r>
      <w:r w:rsidRPr="00C11AEF">
        <w:rPr>
          <w:lang w:val="en-CA"/>
        </w:rPr>
        <w:t xml:space="preserve"> </w:t>
      </w:r>
      <w:r w:rsidRPr="00C11AEF">
        <w:rPr>
          <w:lang w:val="en-CA"/>
        </w:rPr>
        <w:tab/>
      </w:r>
      <w:r w:rsidR="002C4674" w:rsidRPr="00F0621F">
        <w:rPr>
          <w:lang w:val="en-CA"/>
        </w:rPr>
        <w:t>Indeed, the judge reiterates this several times</w:t>
      </w:r>
      <w:r w:rsidRPr="00F0621F">
        <w:rPr>
          <w:lang w:val="en-CA"/>
        </w:rPr>
        <w:t xml:space="preserve">: </w:t>
      </w:r>
      <w:r w:rsidR="002C4674" w:rsidRPr="00F0621F">
        <w:rPr>
          <w:lang w:val="en-CA"/>
        </w:rPr>
        <w:t>judgment under appeal</w:t>
      </w:r>
      <w:r w:rsidRPr="00F0621F">
        <w:rPr>
          <w:lang w:val="en-CA"/>
        </w:rPr>
        <w:t>, para</w:t>
      </w:r>
      <w:r w:rsidR="002C4674" w:rsidRPr="00F0621F">
        <w:rPr>
          <w:lang w:val="en-CA"/>
        </w:rPr>
        <w:t>s</w:t>
      </w:r>
      <w:r w:rsidRPr="00F0621F">
        <w:rPr>
          <w:lang w:val="en-CA"/>
        </w:rPr>
        <w:t>. 9, 11-14, 18-19, 44, 67</w:t>
      </w:r>
      <w:r w:rsidR="00BD4313">
        <w:rPr>
          <w:lang w:val="en-CA"/>
        </w:rPr>
        <w:noBreakHyphen/>
      </w:r>
      <w:r w:rsidRPr="00F0621F">
        <w:rPr>
          <w:lang w:val="en-CA"/>
        </w:rPr>
        <w:t>68.</w:t>
      </w:r>
    </w:p>
  </w:footnote>
  <w:footnote w:id="61">
    <w:p w14:paraId="5F87C907" w14:textId="5C70ECD9" w:rsidR="009469CF" w:rsidRPr="00F0621F" w:rsidRDefault="00B37A58" w:rsidP="009469CF">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E73A03" w:rsidRPr="00F0621F">
        <w:rPr>
          <w:lang w:val="en-CA"/>
        </w:rPr>
        <w:t>Judgment under appeal</w:t>
      </w:r>
      <w:r w:rsidRPr="00F0621F">
        <w:rPr>
          <w:lang w:val="en-CA"/>
        </w:rPr>
        <w:t>, para. 14.</w:t>
      </w:r>
    </w:p>
  </w:footnote>
  <w:footnote w:id="62">
    <w:p w14:paraId="7737FB30" w14:textId="32AB4551" w:rsidR="009469CF" w:rsidRPr="00F0621F" w:rsidRDefault="00B37A58" w:rsidP="009469CF">
      <w:pPr>
        <w:pStyle w:val="Notedebasdepage"/>
        <w:rPr>
          <w:lang w:val="en-CA"/>
        </w:rPr>
      </w:pPr>
      <w:r w:rsidRPr="00F0621F">
        <w:rPr>
          <w:rStyle w:val="Appelnotedebasdep"/>
          <w:lang w:val="en-CA"/>
        </w:rPr>
        <w:footnoteRef/>
      </w:r>
      <w:r w:rsidRPr="00F0621F">
        <w:rPr>
          <w:lang w:val="en-CA"/>
        </w:rPr>
        <w:t xml:space="preserve"> </w:t>
      </w:r>
      <w:r w:rsidRPr="00F0621F">
        <w:rPr>
          <w:lang w:val="en-CA"/>
        </w:rPr>
        <w:tab/>
        <w:t>Pleading of M</w:t>
      </w:r>
      <w:r w:rsidRPr="00F0621F">
        <w:rPr>
          <w:vertAlign w:val="superscript"/>
          <w:lang w:val="en-CA"/>
        </w:rPr>
        <w:t>e</w:t>
      </w:r>
      <w:r w:rsidRPr="00F0621F">
        <w:rPr>
          <w:lang w:val="en-CA"/>
        </w:rPr>
        <w:t xml:space="preserve"> Morgan, </w:t>
      </w:r>
      <w:r w:rsidR="00E73A03" w:rsidRPr="00F0621F">
        <w:rPr>
          <w:lang w:val="en-CA"/>
        </w:rPr>
        <w:t>October 11,</w:t>
      </w:r>
      <w:r w:rsidRPr="00F0621F">
        <w:rPr>
          <w:lang w:val="en-CA"/>
        </w:rPr>
        <w:t xml:space="preserve"> 2023</w:t>
      </w:r>
      <w:r w:rsidR="00F02D40" w:rsidRPr="00F0621F">
        <w:rPr>
          <w:lang w:val="en-CA"/>
        </w:rPr>
        <w:t>.</w:t>
      </w:r>
    </w:p>
  </w:footnote>
  <w:footnote w:id="63">
    <w:p w14:paraId="39AC64FD" w14:textId="46629808" w:rsidR="009469CF" w:rsidRPr="00F0621F" w:rsidRDefault="00B37A58" w:rsidP="009469CF">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2C531F" w:rsidRPr="00F0621F">
        <w:rPr>
          <w:i/>
          <w:iCs/>
          <w:lang w:val="en-CA"/>
        </w:rPr>
        <w:t>Id.</w:t>
      </w:r>
      <w:r w:rsidRPr="00F0621F">
        <w:rPr>
          <w:lang w:val="en-CA"/>
        </w:rPr>
        <w:t>, p. 284.</w:t>
      </w:r>
    </w:p>
  </w:footnote>
  <w:footnote w:id="64">
    <w:p w14:paraId="25AAFDD3" w14:textId="60171176" w:rsidR="009469CF" w:rsidRPr="00F0621F" w:rsidRDefault="00B37A58" w:rsidP="009469CF">
      <w:pPr>
        <w:pStyle w:val="Notedebasdepage"/>
        <w:rPr>
          <w:lang w:val="en-CA"/>
        </w:rPr>
      </w:pPr>
      <w:r>
        <w:rPr>
          <w:rStyle w:val="Appelnotedebasdep"/>
        </w:rPr>
        <w:footnoteRef/>
      </w:r>
      <w:r w:rsidRPr="00C35B84">
        <w:rPr>
          <w:lang w:val="en-CA"/>
        </w:rPr>
        <w:t xml:space="preserve"> </w:t>
      </w:r>
      <w:r w:rsidRPr="00C35B84">
        <w:rPr>
          <w:lang w:val="en-CA"/>
        </w:rPr>
        <w:tab/>
      </w:r>
      <w:r w:rsidR="00F236A9" w:rsidRPr="00F0621F">
        <w:rPr>
          <w:i/>
          <w:iCs/>
          <w:color w:val="000000"/>
          <w:lang w:val="en-CA"/>
        </w:rPr>
        <w:t>United States of America</w:t>
      </w:r>
      <w:r w:rsidRPr="00F0621F">
        <w:rPr>
          <w:i/>
          <w:iCs/>
          <w:color w:val="000000"/>
          <w:lang w:val="en-CA"/>
        </w:rPr>
        <w:t xml:space="preserve"> </w:t>
      </w:r>
      <w:r w:rsidR="00F236A9" w:rsidRPr="00F0621F">
        <w:rPr>
          <w:i/>
          <w:iCs/>
          <w:color w:val="000000"/>
          <w:lang w:val="en-CA"/>
        </w:rPr>
        <w:t>v</w:t>
      </w:r>
      <w:r w:rsidRPr="00F0621F">
        <w:rPr>
          <w:i/>
          <w:iCs/>
          <w:color w:val="000000"/>
          <w:lang w:val="en-CA"/>
        </w:rPr>
        <w:t xml:space="preserve">. Ferras; </w:t>
      </w:r>
      <w:r w:rsidR="00F236A9" w:rsidRPr="00F0621F">
        <w:rPr>
          <w:i/>
          <w:iCs/>
          <w:color w:val="000000"/>
          <w:lang w:val="en-CA"/>
        </w:rPr>
        <w:t>United States of America v</w:t>
      </w:r>
      <w:r w:rsidRPr="00F0621F">
        <w:rPr>
          <w:i/>
          <w:iCs/>
          <w:color w:val="000000"/>
          <w:lang w:val="en-CA"/>
        </w:rPr>
        <w:t>. Latty</w:t>
      </w:r>
      <w:r w:rsidRPr="00F0621F">
        <w:rPr>
          <w:color w:val="000000"/>
          <w:lang w:val="en-CA"/>
        </w:rPr>
        <w:t xml:space="preserve">, </w:t>
      </w:r>
      <w:r w:rsidR="002C531F" w:rsidRPr="00F0621F">
        <w:rPr>
          <w:i/>
          <w:iCs/>
          <w:color w:val="000000"/>
          <w:lang w:val="en-CA"/>
        </w:rPr>
        <w:t>supra</w:t>
      </w:r>
      <w:r w:rsidR="002C531F" w:rsidRPr="00F0621F">
        <w:rPr>
          <w:color w:val="000000"/>
          <w:lang w:val="en-CA"/>
        </w:rPr>
        <w:t>, note</w:t>
      </w:r>
      <w:r w:rsidR="00413DFF" w:rsidRPr="00F0621F">
        <w:rPr>
          <w:color w:val="000000"/>
          <w:lang w:val="en-CA"/>
        </w:rPr>
        <w:t xml:space="preserve"> </w:t>
      </w:r>
      <w:r>
        <w:t>31</w:t>
      </w:r>
      <w:r w:rsidR="005A7047" w:rsidRPr="00F0621F">
        <w:rPr>
          <w:lang w:val="en-CA"/>
        </w:rPr>
        <w:t xml:space="preserve">, </w:t>
      </w:r>
      <w:r w:rsidRPr="00F0621F">
        <w:rPr>
          <w:lang w:val="en-CA"/>
        </w:rPr>
        <w:t xml:space="preserve">para. 46. </w:t>
      </w:r>
      <w:r w:rsidR="00F236A9" w:rsidRPr="00F0621F">
        <w:rPr>
          <w:lang w:val="en-CA"/>
        </w:rPr>
        <w:t>See also</w:t>
      </w:r>
      <w:r w:rsidR="00701B7C" w:rsidRPr="00F0621F">
        <w:rPr>
          <w:lang w:val="en-CA"/>
        </w:rPr>
        <w:t xml:space="preserve"> </w:t>
      </w:r>
      <w:r w:rsidRPr="00F0621F">
        <w:rPr>
          <w:i/>
          <w:iCs/>
          <w:lang w:val="en-CA"/>
        </w:rPr>
        <w:t>United States of America v. Ferguson</w:t>
      </w:r>
      <w:r w:rsidRPr="00F0621F">
        <w:rPr>
          <w:lang w:val="en-CA"/>
        </w:rPr>
        <w:t xml:space="preserve">, 2023 BCCA 186, para. 45, </w:t>
      </w:r>
      <w:r w:rsidR="00F236A9" w:rsidRPr="00F0621F">
        <w:rPr>
          <w:lang w:val="en-CA"/>
        </w:rPr>
        <w:t>application for leave to appeal to the Supreme Court dismissed</w:t>
      </w:r>
      <w:r w:rsidRPr="00F0621F">
        <w:rPr>
          <w:lang w:val="en-CA"/>
        </w:rPr>
        <w:t xml:space="preserve">, </w:t>
      </w:r>
      <w:r w:rsidR="00F236A9" w:rsidRPr="00F0621F">
        <w:rPr>
          <w:lang w:val="en-CA"/>
        </w:rPr>
        <w:t>November 2,</w:t>
      </w:r>
      <w:r w:rsidRPr="00F0621F">
        <w:rPr>
          <w:lang w:val="en-CA"/>
        </w:rPr>
        <w:t xml:space="preserve"> 2023, </w:t>
      </w:r>
      <w:r w:rsidR="00413DFF" w:rsidRPr="00F0621F">
        <w:rPr>
          <w:lang w:val="en-CA"/>
        </w:rPr>
        <w:t>N</w:t>
      </w:r>
      <w:r w:rsidR="00F236A9" w:rsidRPr="00F0621F">
        <w:rPr>
          <w:lang w:val="en-CA"/>
        </w:rPr>
        <w:t>os.</w:t>
      </w:r>
      <w:r w:rsidRPr="00F0621F">
        <w:rPr>
          <w:lang w:val="en-CA"/>
        </w:rPr>
        <w:t xml:space="preserve"> 40706 </w:t>
      </w:r>
      <w:r w:rsidR="00F236A9" w:rsidRPr="00F0621F">
        <w:rPr>
          <w:lang w:val="en-CA"/>
        </w:rPr>
        <w:t>and</w:t>
      </w:r>
      <w:r w:rsidRPr="00F0621F">
        <w:rPr>
          <w:lang w:val="en-CA"/>
        </w:rPr>
        <w:t xml:space="preserve"> 40707; </w:t>
      </w:r>
      <w:r w:rsidRPr="00F0621F">
        <w:rPr>
          <w:i/>
          <w:iCs/>
          <w:lang w:val="en-CA"/>
        </w:rPr>
        <w:t>Um c. Procureur général du Canada</w:t>
      </w:r>
      <w:r w:rsidRPr="00F0621F">
        <w:rPr>
          <w:lang w:val="en-CA"/>
        </w:rPr>
        <w:t xml:space="preserve">, </w:t>
      </w:r>
      <w:r w:rsidR="00625D8E" w:rsidRPr="00F0621F">
        <w:rPr>
          <w:i/>
          <w:iCs/>
          <w:lang w:val="en-CA"/>
        </w:rPr>
        <w:t>supra</w:t>
      </w:r>
      <w:r w:rsidRPr="00F0621F">
        <w:rPr>
          <w:lang w:val="en-CA"/>
        </w:rPr>
        <w:t>,</w:t>
      </w:r>
      <w:r w:rsidR="00625D8E" w:rsidRPr="00F0621F">
        <w:rPr>
          <w:lang w:val="en-CA"/>
        </w:rPr>
        <w:t xml:space="preserve"> note</w:t>
      </w:r>
      <w:r w:rsidR="00AE1001" w:rsidRPr="00F0621F">
        <w:rPr>
          <w:lang w:val="en-CA"/>
        </w:rPr>
        <w:t xml:space="preserve"> </w:t>
      </w:r>
      <w:r>
        <w:t>50</w:t>
      </w:r>
      <w:r w:rsidR="00625D8E" w:rsidRPr="00F0621F">
        <w:rPr>
          <w:lang w:val="en-CA"/>
        </w:rPr>
        <w:t xml:space="preserve">, </w:t>
      </w:r>
      <w:r w:rsidRPr="00F0621F">
        <w:rPr>
          <w:lang w:val="en-CA"/>
        </w:rPr>
        <w:t xml:space="preserve">para. 12; Seth Weinstein </w:t>
      </w:r>
      <w:r w:rsidR="00F236A9" w:rsidRPr="00F0621F">
        <w:rPr>
          <w:lang w:val="en-CA"/>
        </w:rPr>
        <w:t>and</w:t>
      </w:r>
      <w:r w:rsidRPr="00F0621F">
        <w:rPr>
          <w:lang w:val="en-CA"/>
        </w:rPr>
        <w:t xml:space="preserve"> Nancy L. Dennison, </w:t>
      </w:r>
      <w:r w:rsidRPr="00F0621F">
        <w:rPr>
          <w:i/>
          <w:iCs/>
          <w:lang w:val="en-CA"/>
        </w:rPr>
        <w:t>Prosecuting and Defending Extradition Cases: A Practitioner's Handbook</w:t>
      </w:r>
      <w:r w:rsidRPr="00F0621F">
        <w:rPr>
          <w:lang w:val="en-CA"/>
        </w:rPr>
        <w:t xml:space="preserve">, </w:t>
      </w:r>
      <w:r w:rsidR="002C531F" w:rsidRPr="00F0621F">
        <w:rPr>
          <w:i/>
          <w:iCs/>
          <w:lang w:val="en-CA"/>
        </w:rPr>
        <w:t>supra</w:t>
      </w:r>
      <w:r w:rsidR="002C531F" w:rsidRPr="00F0621F">
        <w:rPr>
          <w:lang w:val="en-CA"/>
        </w:rPr>
        <w:t>, note</w:t>
      </w:r>
      <w:r w:rsidR="00AE1001" w:rsidRPr="00F0621F">
        <w:rPr>
          <w:lang w:val="en-CA"/>
        </w:rPr>
        <w:t xml:space="preserve"> </w:t>
      </w:r>
      <w:r w:rsidR="00413DFF" w:rsidRPr="00F0621F">
        <w:rPr>
          <w:lang w:val="en-CA"/>
        </w:rPr>
        <w:t>50</w:t>
      </w:r>
      <w:r w:rsidRPr="00F0621F">
        <w:rPr>
          <w:lang w:val="en-CA"/>
        </w:rPr>
        <w:t xml:space="preserve">, p. 218. </w:t>
      </w:r>
    </w:p>
  </w:footnote>
  <w:footnote w:id="65">
    <w:p w14:paraId="3DEF7BA2" w14:textId="26C24ACC" w:rsidR="00C06151" w:rsidRPr="00F0621F" w:rsidRDefault="00B37A58">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Pr="00F0621F">
        <w:rPr>
          <w:i/>
          <w:iCs/>
          <w:lang w:val="en-CA"/>
        </w:rPr>
        <w:t>M.M.</w:t>
      </w:r>
      <w:r w:rsidRPr="00F0621F">
        <w:rPr>
          <w:lang w:val="en-CA"/>
        </w:rPr>
        <w:t xml:space="preserve"> </w:t>
      </w:r>
      <w:r w:rsidR="00F236A9" w:rsidRPr="00F0621F">
        <w:rPr>
          <w:i/>
          <w:iCs/>
          <w:lang w:val="en-CA"/>
        </w:rPr>
        <w:t>v</w:t>
      </w:r>
      <w:r w:rsidRPr="00F0621F">
        <w:rPr>
          <w:i/>
          <w:iCs/>
          <w:lang w:val="en-CA"/>
        </w:rPr>
        <w:t xml:space="preserve">. </w:t>
      </w:r>
      <w:r w:rsidR="00F236A9" w:rsidRPr="00F0621F">
        <w:rPr>
          <w:i/>
          <w:iCs/>
          <w:lang w:val="en-CA"/>
        </w:rPr>
        <w:t>United States of America</w:t>
      </w:r>
      <w:r w:rsidRPr="00F0621F">
        <w:rPr>
          <w:lang w:val="en-CA"/>
        </w:rPr>
        <w:t xml:space="preserve">, </w:t>
      </w:r>
      <w:r w:rsidRPr="00F0621F">
        <w:rPr>
          <w:i/>
          <w:iCs/>
          <w:lang w:val="en-CA"/>
        </w:rPr>
        <w:t>supra</w:t>
      </w:r>
      <w:r w:rsidRPr="00F0621F">
        <w:rPr>
          <w:lang w:val="en-CA"/>
        </w:rPr>
        <w:t xml:space="preserve">, note </w:t>
      </w:r>
      <w:r>
        <w:t>31</w:t>
      </w:r>
      <w:r w:rsidR="005A7047" w:rsidRPr="00F0621F">
        <w:rPr>
          <w:lang w:val="en-CA"/>
        </w:rPr>
        <w:t xml:space="preserve">, </w:t>
      </w:r>
      <w:r w:rsidRPr="00F0621F">
        <w:rPr>
          <w:lang w:val="en-CA"/>
        </w:rPr>
        <w:t>para</w:t>
      </w:r>
      <w:r w:rsidR="00F236A9" w:rsidRPr="00F0621F">
        <w:rPr>
          <w:lang w:val="en-CA"/>
        </w:rPr>
        <w:t>s</w:t>
      </w:r>
      <w:r w:rsidRPr="00F0621F">
        <w:rPr>
          <w:lang w:val="en-CA"/>
        </w:rPr>
        <w:t>. 51, 53.</w:t>
      </w:r>
    </w:p>
  </w:footnote>
  <w:footnote w:id="66">
    <w:p w14:paraId="6AF769E0" w14:textId="5684051B" w:rsidR="00647045" w:rsidRPr="00F0621F" w:rsidRDefault="00B37A58" w:rsidP="00647045">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137E71" w:rsidRPr="00F0621F">
        <w:rPr>
          <w:i/>
          <w:iCs/>
          <w:lang w:val="en-CA"/>
        </w:rPr>
        <w:t>Id.</w:t>
      </w:r>
      <w:r w:rsidRPr="00F0621F">
        <w:rPr>
          <w:lang w:val="en-CA"/>
        </w:rPr>
        <w:t>, para. 72</w:t>
      </w:r>
      <w:r w:rsidR="00C06151" w:rsidRPr="00F0621F">
        <w:rPr>
          <w:lang w:val="en-CA"/>
        </w:rPr>
        <w:t xml:space="preserve">, </w:t>
      </w:r>
      <w:r w:rsidRPr="00F0621F">
        <w:rPr>
          <w:lang w:val="en-CA"/>
        </w:rPr>
        <w:t>cit</w:t>
      </w:r>
      <w:r w:rsidR="00F236A9" w:rsidRPr="00F0621F">
        <w:rPr>
          <w:lang w:val="en-CA"/>
        </w:rPr>
        <w:t>ing</w:t>
      </w:r>
      <w:r w:rsidRPr="00F0621F">
        <w:rPr>
          <w:lang w:val="en-CA"/>
        </w:rPr>
        <w:t xml:space="preserve"> </w:t>
      </w:r>
      <w:r w:rsidRPr="00F0621F">
        <w:rPr>
          <w:i/>
          <w:iCs/>
          <w:lang w:val="en-CA"/>
        </w:rPr>
        <w:t>United States of America v. Anderson</w:t>
      </w:r>
      <w:r w:rsidRPr="00F0621F">
        <w:rPr>
          <w:lang w:val="en-CA"/>
        </w:rPr>
        <w:t xml:space="preserve">, 2007 ONCA 84, para. 30, </w:t>
      </w:r>
      <w:r w:rsidR="00F236A9" w:rsidRPr="00F0621F">
        <w:rPr>
          <w:lang w:val="en-CA"/>
        </w:rPr>
        <w:t>application for leave to appeal to the Supreme Court dismissed</w:t>
      </w:r>
      <w:r w:rsidRPr="00F0621F">
        <w:rPr>
          <w:lang w:val="en-CA"/>
        </w:rPr>
        <w:t xml:space="preserve">, </w:t>
      </w:r>
      <w:r w:rsidR="00F236A9" w:rsidRPr="00F0621F">
        <w:rPr>
          <w:lang w:val="en-CA"/>
        </w:rPr>
        <w:t>August 30,</w:t>
      </w:r>
      <w:r w:rsidRPr="00F0621F">
        <w:rPr>
          <w:lang w:val="en-CA"/>
        </w:rPr>
        <w:t xml:space="preserve"> 2007, </w:t>
      </w:r>
      <w:r w:rsidR="00413DFF" w:rsidRPr="00F0621F">
        <w:rPr>
          <w:lang w:val="en-CA"/>
        </w:rPr>
        <w:t>N</w:t>
      </w:r>
      <w:r w:rsidR="00F236A9" w:rsidRPr="00F0621F">
        <w:rPr>
          <w:lang w:val="en-CA"/>
        </w:rPr>
        <w:t>o.</w:t>
      </w:r>
      <w:r w:rsidRPr="00F0621F">
        <w:rPr>
          <w:lang w:val="en-CA"/>
        </w:rPr>
        <w:t> 31932.</w:t>
      </w:r>
      <w:r w:rsidR="00C06151" w:rsidRPr="00F0621F">
        <w:rPr>
          <w:sz w:val="24"/>
          <w:lang w:val="en-CA"/>
        </w:rPr>
        <w:t xml:space="preserve"> </w:t>
      </w:r>
    </w:p>
  </w:footnote>
  <w:footnote w:id="67">
    <w:p w14:paraId="25A35378" w14:textId="0049243C" w:rsidR="00AD27C2" w:rsidRPr="00C35B84" w:rsidRDefault="00B37A58" w:rsidP="00AD27C2">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413DFF" w:rsidRPr="00F0621F">
        <w:rPr>
          <w:lang w:val="en-CA"/>
        </w:rPr>
        <w:t>Judgment under appeal</w:t>
      </w:r>
      <w:r w:rsidRPr="00F0621F">
        <w:rPr>
          <w:lang w:val="en-CA"/>
        </w:rPr>
        <w:t>, para. 67, cit</w:t>
      </w:r>
      <w:r w:rsidR="00F236A9" w:rsidRPr="00F0621F">
        <w:rPr>
          <w:lang w:val="en-CA"/>
        </w:rPr>
        <w:t>ing</w:t>
      </w:r>
      <w:r w:rsidRPr="00F0621F">
        <w:rPr>
          <w:lang w:val="en-CA"/>
        </w:rPr>
        <w:t xml:space="preserve"> </w:t>
      </w:r>
      <w:r w:rsidRPr="00F0621F">
        <w:rPr>
          <w:i/>
          <w:iCs/>
          <w:lang w:val="en-CA"/>
        </w:rPr>
        <w:t xml:space="preserve">R. </w:t>
      </w:r>
      <w:r w:rsidR="00F236A9" w:rsidRPr="00F0621F">
        <w:rPr>
          <w:i/>
          <w:iCs/>
          <w:lang w:val="en-CA"/>
        </w:rPr>
        <w:t>v</w:t>
      </w:r>
      <w:r w:rsidRPr="00F0621F">
        <w:rPr>
          <w:i/>
          <w:iCs/>
          <w:lang w:val="en-CA"/>
        </w:rPr>
        <w:t>. Hay</w:t>
      </w:r>
      <w:r w:rsidRPr="00F0621F">
        <w:rPr>
          <w:lang w:val="en-CA"/>
        </w:rPr>
        <w:t xml:space="preserve">, </w:t>
      </w:r>
      <w:r w:rsidR="005529C3" w:rsidRPr="00F0621F">
        <w:rPr>
          <w:lang w:val="en-CA"/>
        </w:rPr>
        <w:t xml:space="preserve">2013 </w:t>
      </w:r>
      <w:r w:rsidR="00F236A9" w:rsidRPr="00F0621F">
        <w:rPr>
          <w:lang w:val="en-CA"/>
        </w:rPr>
        <w:t>SCC</w:t>
      </w:r>
      <w:r w:rsidR="005529C3" w:rsidRPr="00F0621F">
        <w:rPr>
          <w:lang w:val="en-CA"/>
        </w:rPr>
        <w:t xml:space="preserve"> 61</w:t>
      </w:r>
      <w:r w:rsidRPr="00F0621F">
        <w:rPr>
          <w:lang w:val="en-CA"/>
        </w:rPr>
        <w:t>, para. 41.</w:t>
      </w:r>
    </w:p>
  </w:footnote>
  <w:footnote w:id="68">
    <w:p w14:paraId="05C5EF66" w14:textId="2D4B110A" w:rsidR="00AD27C2" w:rsidRPr="00F0621F" w:rsidRDefault="00B37A58" w:rsidP="00AD27C2">
      <w:pPr>
        <w:pStyle w:val="Notedebasdepage"/>
        <w:rPr>
          <w:lang w:val="en-CA"/>
        </w:rPr>
      </w:pPr>
      <w:r w:rsidRPr="000A2F17">
        <w:rPr>
          <w:rStyle w:val="Appelnotedebasdep"/>
        </w:rPr>
        <w:footnoteRef/>
      </w:r>
      <w:r w:rsidRPr="00C35B84">
        <w:rPr>
          <w:lang w:val="en-CA"/>
        </w:rPr>
        <w:t xml:space="preserve"> </w:t>
      </w:r>
      <w:r w:rsidRPr="00C35B84">
        <w:rPr>
          <w:lang w:val="en-CA"/>
        </w:rPr>
        <w:tab/>
      </w:r>
      <w:r w:rsidR="004C4606" w:rsidRPr="00F0621F">
        <w:rPr>
          <w:lang w:val="en-CA"/>
        </w:rPr>
        <w:t>Judgment under appeal</w:t>
      </w:r>
      <w:r w:rsidRPr="00F0621F">
        <w:rPr>
          <w:lang w:val="en-CA"/>
        </w:rPr>
        <w:t>, para. 67.</w:t>
      </w:r>
    </w:p>
  </w:footnote>
  <w:footnote w:id="69">
    <w:p w14:paraId="1A2DDCC7" w14:textId="36863640" w:rsidR="009469CF" w:rsidRPr="00F0621F" w:rsidRDefault="00B37A58" w:rsidP="009469CF">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5529C3" w:rsidRPr="00F0621F">
        <w:rPr>
          <w:i/>
          <w:iCs/>
          <w:lang w:val="en-CA"/>
        </w:rPr>
        <w:t>Id.</w:t>
      </w:r>
      <w:r w:rsidRPr="00F0621F">
        <w:rPr>
          <w:lang w:val="en-CA"/>
        </w:rPr>
        <w:t>, para</w:t>
      </w:r>
      <w:r w:rsidR="004C4606" w:rsidRPr="00F0621F">
        <w:rPr>
          <w:lang w:val="en-CA"/>
        </w:rPr>
        <w:t>s</w:t>
      </w:r>
      <w:r w:rsidRPr="00F0621F">
        <w:rPr>
          <w:lang w:val="en-CA"/>
        </w:rPr>
        <w:t xml:space="preserve">. 28, 32, 39 </w:t>
      </w:r>
      <w:r w:rsidR="004C4606" w:rsidRPr="00F0621F">
        <w:rPr>
          <w:lang w:val="en-CA"/>
        </w:rPr>
        <w:t>and</w:t>
      </w:r>
      <w:r w:rsidRPr="00F0621F">
        <w:rPr>
          <w:lang w:val="en-CA"/>
        </w:rPr>
        <w:t xml:space="preserve"> 71.</w:t>
      </w:r>
    </w:p>
  </w:footnote>
  <w:footnote w:id="70">
    <w:p w14:paraId="6C7B8420" w14:textId="4A2699C9" w:rsidR="009469CF" w:rsidRPr="00F0621F" w:rsidRDefault="00B37A58" w:rsidP="009469CF">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701B7C" w:rsidRPr="00F0621F">
        <w:rPr>
          <w:i/>
          <w:iCs/>
          <w:lang w:val="en-CA"/>
        </w:rPr>
        <w:t>Id.</w:t>
      </w:r>
      <w:r w:rsidRPr="00F0621F">
        <w:rPr>
          <w:lang w:val="en-CA"/>
        </w:rPr>
        <w:t>, para</w:t>
      </w:r>
      <w:r w:rsidR="004C4606" w:rsidRPr="00F0621F">
        <w:rPr>
          <w:lang w:val="en-CA"/>
        </w:rPr>
        <w:t>s</w:t>
      </w:r>
      <w:r w:rsidRPr="00F0621F">
        <w:rPr>
          <w:lang w:val="en-CA"/>
        </w:rPr>
        <w:t xml:space="preserve">. 33, 35-37, 40-41, 43, 45, 52-58 </w:t>
      </w:r>
      <w:r w:rsidR="004C4606" w:rsidRPr="00F0621F">
        <w:rPr>
          <w:lang w:val="en-CA"/>
        </w:rPr>
        <w:t>and</w:t>
      </w:r>
      <w:r w:rsidRPr="00F0621F">
        <w:rPr>
          <w:lang w:val="en-CA"/>
        </w:rPr>
        <w:t xml:space="preserve"> 72-74.</w:t>
      </w:r>
    </w:p>
  </w:footnote>
  <w:footnote w:id="71">
    <w:p w14:paraId="5988A48D" w14:textId="2736EE8C" w:rsidR="009469CF" w:rsidRPr="00F0621F" w:rsidRDefault="00B37A58" w:rsidP="009469CF">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701B7C" w:rsidRPr="00F0621F">
        <w:rPr>
          <w:i/>
          <w:iCs/>
          <w:lang w:val="en-CA"/>
        </w:rPr>
        <w:t>Id.</w:t>
      </w:r>
      <w:r w:rsidRPr="00F0621F">
        <w:rPr>
          <w:lang w:val="en-CA"/>
        </w:rPr>
        <w:t>, para</w:t>
      </w:r>
      <w:r w:rsidR="004C4606" w:rsidRPr="00F0621F">
        <w:rPr>
          <w:lang w:val="en-CA"/>
        </w:rPr>
        <w:t>s</w:t>
      </w:r>
      <w:r w:rsidRPr="00F0621F">
        <w:rPr>
          <w:lang w:val="en-CA"/>
        </w:rPr>
        <w:t xml:space="preserve">. 33 </w:t>
      </w:r>
      <w:r w:rsidR="004C4606" w:rsidRPr="00F0621F">
        <w:rPr>
          <w:lang w:val="en-CA"/>
        </w:rPr>
        <w:t>and</w:t>
      </w:r>
      <w:r w:rsidRPr="00F0621F">
        <w:rPr>
          <w:lang w:val="en-CA"/>
        </w:rPr>
        <w:t xml:space="preserve"> 71.</w:t>
      </w:r>
    </w:p>
  </w:footnote>
  <w:footnote w:id="72">
    <w:p w14:paraId="6A1DA8D6" w14:textId="64EEB023" w:rsidR="009469CF" w:rsidRPr="00F0621F" w:rsidRDefault="00B37A58" w:rsidP="009469CF">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701B7C" w:rsidRPr="00F0621F">
        <w:rPr>
          <w:i/>
          <w:iCs/>
          <w:lang w:val="en-CA"/>
        </w:rPr>
        <w:t>Id.</w:t>
      </w:r>
      <w:r w:rsidRPr="00F0621F">
        <w:rPr>
          <w:lang w:val="en-CA"/>
        </w:rPr>
        <w:t xml:space="preserve">, para. 38. </w:t>
      </w:r>
    </w:p>
  </w:footnote>
  <w:footnote w:id="73">
    <w:p w14:paraId="0EE2FE00" w14:textId="46245D0D" w:rsidR="009469CF" w:rsidRPr="00F0621F" w:rsidRDefault="00B37A58" w:rsidP="009469CF">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00701B7C" w:rsidRPr="00F0621F">
        <w:rPr>
          <w:i/>
          <w:iCs/>
          <w:lang w:val="en-CA"/>
        </w:rPr>
        <w:t>Id.</w:t>
      </w:r>
      <w:r w:rsidRPr="00F0621F">
        <w:rPr>
          <w:lang w:val="en-CA"/>
        </w:rPr>
        <w:t>, para</w:t>
      </w:r>
      <w:r w:rsidR="004C4606" w:rsidRPr="00F0621F">
        <w:rPr>
          <w:lang w:val="en-CA"/>
        </w:rPr>
        <w:t>s</w:t>
      </w:r>
      <w:r w:rsidRPr="00F0621F">
        <w:rPr>
          <w:lang w:val="en-CA"/>
        </w:rPr>
        <w:t xml:space="preserve">. 39, 51 </w:t>
      </w:r>
      <w:r w:rsidR="004C4606" w:rsidRPr="00F0621F">
        <w:rPr>
          <w:lang w:val="en-CA"/>
        </w:rPr>
        <w:t>and</w:t>
      </w:r>
      <w:r w:rsidRPr="00F0621F">
        <w:rPr>
          <w:lang w:val="en-CA"/>
        </w:rPr>
        <w:t xml:space="preserve"> 72.</w:t>
      </w:r>
    </w:p>
  </w:footnote>
  <w:footnote w:id="74">
    <w:p w14:paraId="71209AA3" w14:textId="13A3FA80" w:rsidR="008939D6" w:rsidRPr="00C35B84" w:rsidRDefault="00B37A58" w:rsidP="008939D6">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Pr="00F0621F">
        <w:rPr>
          <w:i/>
          <w:iCs/>
          <w:lang w:val="en-CA"/>
        </w:rPr>
        <w:t xml:space="preserve">R. </w:t>
      </w:r>
      <w:r w:rsidR="004C4606" w:rsidRPr="00F0621F">
        <w:rPr>
          <w:i/>
          <w:iCs/>
          <w:lang w:val="en-CA"/>
        </w:rPr>
        <w:t>v</w:t>
      </w:r>
      <w:r w:rsidRPr="00F0621F">
        <w:rPr>
          <w:i/>
          <w:iCs/>
          <w:lang w:val="en-CA"/>
        </w:rPr>
        <w:t xml:space="preserve">. Hay, </w:t>
      </w:r>
      <w:r w:rsidR="00850291" w:rsidRPr="00F0621F">
        <w:rPr>
          <w:i/>
          <w:iCs/>
          <w:lang w:val="en-CA"/>
        </w:rPr>
        <w:t>supra</w:t>
      </w:r>
      <w:r w:rsidRPr="00F0621F">
        <w:rPr>
          <w:lang w:val="en-CA"/>
        </w:rPr>
        <w:t>,</w:t>
      </w:r>
      <w:r w:rsidR="00850291" w:rsidRPr="00F0621F">
        <w:rPr>
          <w:lang w:val="en-CA"/>
        </w:rPr>
        <w:t xml:space="preserve"> note</w:t>
      </w:r>
      <w:r w:rsidR="009E332B" w:rsidRPr="00F0621F">
        <w:rPr>
          <w:lang w:val="en-CA"/>
        </w:rPr>
        <w:t xml:space="preserve"> 67</w:t>
      </w:r>
      <w:r w:rsidR="00850291" w:rsidRPr="00F0621F">
        <w:rPr>
          <w:lang w:val="en-CA"/>
        </w:rPr>
        <w:t xml:space="preserve">, </w:t>
      </w:r>
      <w:r w:rsidRPr="00F0621F">
        <w:rPr>
          <w:lang w:val="en-CA"/>
        </w:rPr>
        <w:t xml:space="preserve">para. 41, </w:t>
      </w:r>
      <w:r w:rsidR="004C4606" w:rsidRPr="00F0621F">
        <w:rPr>
          <w:lang w:val="en-CA"/>
        </w:rPr>
        <w:t xml:space="preserve">citing, </w:t>
      </w:r>
      <w:r w:rsidR="004C4606" w:rsidRPr="00F0621F">
        <w:rPr>
          <w:i/>
          <w:iCs/>
          <w:lang w:val="en-CA"/>
        </w:rPr>
        <w:t>inter alia</w:t>
      </w:r>
      <w:r w:rsidR="004C4606" w:rsidRPr="00F0621F">
        <w:rPr>
          <w:lang w:val="en-CA"/>
        </w:rPr>
        <w:t>,</w:t>
      </w:r>
      <w:r w:rsidRPr="00F0621F">
        <w:rPr>
          <w:lang w:val="en-CA"/>
        </w:rPr>
        <w:t xml:space="preserve"> </w:t>
      </w:r>
      <w:r w:rsidRPr="00F0621F">
        <w:rPr>
          <w:i/>
          <w:iCs/>
          <w:color w:val="000000"/>
          <w:lang w:val="en-CA"/>
        </w:rPr>
        <w:t xml:space="preserve">R. </w:t>
      </w:r>
      <w:r w:rsidR="004C4606" w:rsidRPr="00F0621F">
        <w:rPr>
          <w:i/>
          <w:iCs/>
          <w:color w:val="000000"/>
          <w:lang w:val="en-CA"/>
        </w:rPr>
        <w:t>v</w:t>
      </w:r>
      <w:r w:rsidRPr="00F0621F">
        <w:rPr>
          <w:i/>
          <w:iCs/>
          <w:color w:val="000000"/>
          <w:lang w:val="en-CA"/>
        </w:rPr>
        <w:t>. Arcuri</w:t>
      </w:r>
      <w:r w:rsidRPr="00F0621F">
        <w:rPr>
          <w:color w:val="000000"/>
          <w:lang w:val="en-CA"/>
        </w:rPr>
        <w:t xml:space="preserve">, </w:t>
      </w:r>
      <w:r w:rsidR="000467A3" w:rsidRPr="00F0621F">
        <w:rPr>
          <w:lang w:val="en-CA"/>
        </w:rPr>
        <w:t xml:space="preserve">2001 </w:t>
      </w:r>
      <w:r w:rsidR="004C4606" w:rsidRPr="00F0621F">
        <w:rPr>
          <w:lang w:val="en-CA"/>
        </w:rPr>
        <w:t>SCC</w:t>
      </w:r>
      <w:r w:rsidR="000467A3" w:rsidRPr="00F0621F">
        <w:rPr>
          <w:lang w:val="en-CA"/>
        </w:rPr>
        <w:t xml:space="preserve"> 54</w:t>
      </w:r>
      <w:r w:rsidR="00FC4074" w:rsidRPr="00F0621F">
        <w:rPr>
          <w:lang w:val="en-CA"/>
        </w:rPr>
        <w:t>,</w:t>
      </w:r>
      <w:r w:rsidR="000467A3" w:rsidRPr="00F0621F">
        <w:rPr>
          <w:lang w:val="en-CA"/>
        </w:rPr>
        <w:t xml:space="preserve"> </w:t>
      </w:r>
      <w:r w:rsidRPr="00F0621F">
        <w:rPr>
          <w:color w:val="000000"/>
          <w:lang w:val="en-CA"/>
        </w:rPr>
        <w:t>para</w:t>
      </w:r>
      <w:r w:rsidR="004C4606" w:rsidRPr="00F0621F">
        <w:rPr>
          <w:color w:val="000000"/>
          <w:lang w:val="en-CA"/>
        </w:rPr>
        <w:t>s</w:t>
      </w:r>
      <w:r w:rsidRPr="00F0621F">
        <w:rPr>
          <w:color w:val="000000"/>
          <w:lang w:val="en-CA"/>
        </w:rPr>
        <w:t xml:space="preserve">. </w:t>
      </w:r>
      <w:r w:rsidRPr="00F0621F">
        <w:rPr>
          <w:lang w:val="en-CA"/>
        </w:rPr>
        <w:t>21-25</w:t>
      </w:r>
      <w:r w:rsidRPr="00F0621F">
        <w:rPr>
          <w:color w:val="000000"/>
          <w:lang w:val="en-CA"/>
        </w:rPr>
        <w:t>;</w:t>
      </w:r>
      <w:r w:rsidRPr="00F0621F">
        <w:rPr>
          <w:i/>
          <w:iCs/>
          <w:color w:val="000000"/>
          <w:lang w:val="en-CA"/>
        </w:rPr>
        <w:t xml:space="preserve"> R. </w:t>
      </w:r>
      <w:r w:rsidR="004C4606" w:rsidRPr="00F0621F">
        <w:rPr>
          <w:i/>
          <w:iCs/>
          <w:color w:val="000000"/>
          <w:lang w:val="en-CA"/>
        </w:rPr>
        <w:t>v</w:t>
      </w:r>
      <w:r w:rsidRPr="00F0621F">
        <w:rPr>
          <w:i/>
          <w:iCs/>
          <w:color w:val="000000"/>
          <w:lang w:val="en-CA"/>
        </w:rPr>
        <w:t>. Zurowski</w:t>
      </w:r>
      <w:r w:rsidRPr="00F0621F">
        <w:rPr>
          <w:color w:val="000000"/>
          <w:lang w:val="en-CA"/>
        </w:rPr>
        <w:t xml:space="preserve">, </w:t>
      </w:r>
      <w:r w:rsidRPr="00F0621F">
        <w:rPr>
          <w:lang w:val="en-CA"/>
        </w:rPr>
        <w:t xml:space="preserve">2004 </w:t>
      </w:r>
      <w:r w:rsidR="004C4606" w:rsidRPr="00F0621F">
        <w:rPr>
          <w:lang w:val="en-CA"/>
        </w:rPr>
        <w:t>SCC</w:t>
      </w:r>
      <w:r w:rsidRPr="00F0621F">
        <w:rPr>
          <w:lang w:val="en-CA"/>
        </w:rPr>
        <w:t xml:space="preserve"> 72</w:t>
      </w:r>
      <w:r w:rsidRPr="00F0621F">
        <w:rPr>
          <w:color w:val="000000"/>
          <w:lang w:val="en-CA"/>
        </w:rPr>
        <w:t xml:space="preserve"> </w:t>
      </w:r>
      <w:r w:rsidR="004C4606" w:rsidRPr="00F0621F">
        <w:rPr>
          <w:color w:val="000000"/>
          <w:lang w:val="en-CA"/>
        </w:rPr>
        <w:t>and</w:t>
      </w:r>
      <w:r w:rsidRPr="00F0621F">
        <w:rPr>
          <w:color w:val="000000"/>
          <w:lang w:val="en-CA"/>
        </w:rPr>
        <w:t xml:space="preserve"> </w:t>
      </w:r>
      <w:r w:rsidR="004C4606" w:rsidRPr="00F0621F">
        <w:rPr>
          <w:i/>
          <w:iCs/>
          <w:color w:val="000000"/>
          <w:lang w:val="en-CA"/>
        </w:rPr>
        <w:t>United States of America</w:t>
      </w:r>
      <w:r w:rsidRPr="00F0621F">
        <w:rPr>
          <w:i/>
          <w:iCs/>
          <w:color w:val="000000"/>
          <w:lang w:val="en-CA"/>
        </w:rPr>
        <w:t xml:space="preserve"> </w:t>
      </w:r>
      <w:r w:rsidR="004C4606" w:rsidRPr="00F0621F">
        <w:rPr>
          <w:i/>
          <w:iCs/>
          <w:color w:val="000000"/>
          <w:lang w:val="en-CA"/>
        </w:rPr>
        <w:t>v</w:t>
      </w:r>
      <w:r w:rsidRPr="00F0621F">
        <w:rPr>
          <w:i/>
          <w:iCs/>
          <w:color w:val="000000"/>
          <w:lang w:val="en-CA"/>
        </w:rPr>
        <w:t>. Shephard</w:t>
      </w:r>
      <w:r w:rsidRPr="00F0621F">
        <w:rPr>
          <w:color w:val="000000"/>
          <w:lang w:val="en-CA"/>
        </w:rPr>
        <w:t xml:space="preserve">, </w:t>
      </w:r>
      <w:r w:rsidRPr="00F0621F">
        <w:rPr>
          <w:i/>
          <w:iCs/>
          <w:color w:val="000000"/>
          <w:lang w:val="en-CA"/>
        </w:rPr>
        <w:t>supra</w:t>
      </w:r>
      <w:r w:rsidRPr="00F0621F">
        <w:rPr>
          <w:color w:val="000000"/>
          <w:lang w:val="en-CA"/>
        </w:rPr>
        <w:t>, note</w:t>
      </w:r>
      <w:r w:rsidR="00AE1001" w:rsidRPr="00F0621F">
        <w:rPr>
          <w:color w:val="000000"/>
          <w:lang w:val="en-CA"/>
        </w:rPr>
        <w:t xml:space="preserve"> </w:t>
      </w:r>
      <w:r w:rsidR="009E332B" w:rsidRPr="00F0621F">
        <w:rPr>
          <w:color w:val="000000"/>
          <w:lang w:val="en-CA"/>
        </w:rPr>
        <w:t>45</w:t>
      </w:r>
      <w:r w:rsidRPr="00F0621F">
        <w:rPr>
          <w:color w:val="000000"/>
          <w:lang w:val="en-CA"/>
        </w:rPr>
        <w:t>, p. 1080.</w:t>
      </w:r>
    </w:p>
  </w:footnote>
  <w:footnote w:id="75">
    <w:p w14:paraId="0AD95947" w14:textId="3AA6C3C9" w:rsidR="008939D6" w:rsidRPr="00442105" w:rsidRDefault="00B37A58" w:rsidP="008939D6">
      <w:pPr>
        <w:pStyle w:val="Notedebasdepage"/>
      </w:pPr>
      <w:r w:rsidRPr="008D53F9">
        <w:rPr>
          <w:rStyle w:val="Appelnotedebasdep"/>
        </w:rPr>
        <w:footnoteRef/>
      </w:r>
      <w:r w:rsidRPr="008D53F9">
        <w:t xml:space="preserve"> </w:t>
      </w:r>
      <w:r w:rsidRPr="008D53F9">
        <w:tab/>
      </w:r>
      <w:r w:rsidRPr="00C35B84">
        <w:rPr>
          <w:i/>
          <w:iCs/>
        </w:rPr>
        <w:t xml:space="preserve">Saillant-O'Hare c. R., </w:t>
      </w:r>
      <w:r w:rsidRPr="00C35B84">
        <w:t xml:space="preserve">2022 QCCA 1187, para. </w:t>
      </w:r>
      <w:r w:rsidRPr="00F0621F">
        <w:rPr>
          <w:lang w:val="en-CA"/>
        </w:rPr>
        <w:t>28 cit</w:t>
      </w:r>
      <w:r w:rsidR="00D2398E" w:rsidRPr="00F0621F">
        <w:rPr>
          <w:lang w:val="en-CA"/>
        </w:rPr>
        <w:t xml:space="preserve">ing, </w:t>
      </w:r>
      <w:r w:rsidR="00D2398E" w:rsidRPr="00F0621F">
        <w:rPr>
          <w:i/>
          <w:iCs/>
          <w:lang w:val="en-CA"/>
        </w:rPr>
        <w:t>inter alia</w:t>
      </w:r>
      <w:r w:rsidR="00D2398E" w:rsidRPr="00F0621F">
        <w:rPr>
          <w:lang w:val="en-CA"/>
        </w:rPr>
        <w:t>,</w:t>
      </w:r>
      <w:r w:rsidRPr="00F0621F">
        <w:rPr>
          <w:lang w:val="en-CA"/>
        </w:rPr>
        <w:t xml:space="preserve"> </w:t>
      </w:r>
      <w:r w:rsidRPr="00F0621F">
        <w:rPr>
          <w:i/>
          <w:iCs/>
          <w:lang w:val="en-CA"/>
        </w:rPr>
        <w:t xml:space="preserve">R. </w:t>
      </w:r>
      <w:r w:rsidR="00D2398E" w:rsidRPr="00F0621F">
        <w:rPr>
          <w:i/>
          <w:iCs/>
          <w:lang w:val="en-CA"/>
        </w:rPr>
        <w:t>v</w:t>
      </w:r>
      <w:r w:rsidRPr="00F0621F">
        <w:rPr>
          <w:i/>
          <w:iCs/>
          <w:lang w:val="en-CA"/>
        </w:rPr>
        <w:t>. Campbell</w:t>
      </w:r>
      <w:r w:rsidRPr="00F0621F">
        <w:rPr>
          <w:lang w:val="en-CA"/>
        </w:rPr>
        <w:t xml:space="preserve">, 2017 ONCA 65, para. </w:t>
      </w:r>
      <w:r w:rsidRPr="00442105">
        <w:t>10.</w:t>
      </w:r>
    </w:p>
  </w:footnote>
  <w:footnote w:id="76">
    <w:p w14:paraId="4F42A839" w14:textId="185FBBDC" w:rsidR="008939D6" w:rsidRPr="00C35B84" w:rsidRDefault="00B37A58" w:rsidP="008939D6">
      <w:pPr>
        <w:pStyle w:val="Notedebasdepage"/>
      </w:pPr>
      <w:r w:rsidRPr="00F0621F">
        <w:rPr>
          <w:rStyle w:val="Appelnotedebasdep"/>
          <w:lang w:val="en-CA"/>
        </w:rPr>
        <w:footnoteRef/>
      </w:r>
      <w:r w:rsidRPr="00C35B84">
        <w:t xml:space="preserve"> </w:t>
      </w:r>
      <w:r w:rsidRPr="00C35B84">
        <w:tab/>
      </w:r>
      <w:r w:rsidRPr="00C35B84">
        <w:rPr>
          <w:i/>
          <w:iCs/>
        </w:rPr>
        <w:t>Saillant-O'Hare c. R.</w:t>
      </w:r>
      <w:r w:rsidRPr="00C35B84">
        <w:t xml:space="preserve">, </w:t>
      </w:r>
      <w:r w:rsidRPr="00C35B84">
        <w:rPr>
          <w:i/>
          <w:iCs/>
        </w:rPr>
        <w:t>supra</w:t>
      </w:r>
      <w:r w:rsidRPr="00C35B84">
        <w:t>, note</w:t>
      </w:r>
      <w:r w:rsidR="000467A3" w:rsidRPr="00C35B84">
        <w:t xml:space="preserve"> </w:t>
      </w:r>
      <w:r w:rsidR="00BD0D49" w:rsidRPr="00C35B84">
        <w:t>75</w:t>
      </w:r>
      <w:r w:rsidRPr="00C35B84">
        <w:t>, para. 27, cit</w:t>
      </w:r>
      <w:r w:rsidR="00D2398E" w:rsidRPr="00C35B84">
        <w:t>ing</w:t>
      </w:r>
      <w:r w:rsidRPr="00C35B84">
        <w:t xml:space="preserve"> </w:t>
      </w:r>
      <w:r w:rsidRPr="00C35B84">
        <w:rPr>
          <w:i/>
          <w:iCs/>
        </w:rPr>
        <w:t>Proulx c. R.</w:t>
      </w:r>
      <w:r w:rsidRPr="00C35B84">
        <w:t xml:space="preserve">, [1992] R.J.Q. 2047, 1992 CanLII 3362 (C.A.) </w:t>
      </w:r>
      <w:r w:rsidR="00D2398E" w:rsidRPr="00C35B84">
        <w:t>and</w:t>
      </w:r>
      <w:r w:rsidRPr="00C35B84">
        <w:t xml:space="preserve"> Neil Brooks, </w:t>
      </w:r>
      <w:r w:rsidRPr="00C35B84">
        <w:rPr>
          <w:i/>
          <w:iCs/>
        </w:rPr>
        <w:t>Directives à l’intention de la police : l’identification par témoin oculaire avant le procès : un document d’étude préparé à l’intention de la Commission de réforme du droit du Canada</w:t>
      </w:r>
      <w:r w:rsidRPr="00C35B84">
        <w:t>, Ottawa, Commission de réforme du droit au Canada, 1983, p. 8.</w:t>
      </w:r>
    </w:p>
  </w:footnote>
  <w:footnote w:id="77">
    <w:p w14:paraId="4B3C6BB9" w14:textId="216F2573" w:rsidR="008939D6" w:rsidRPr="00F0621F" w:rsidRDefault="00B37A58" w:rsidP="008939D6">
      <w:pPr>
        <w:pStyle w:val="Notedebasdepage"/>
        <w:rPr>
          <w:lang w:val="en-CA"/>
        </w:rPr>
      </w:pPr>
      <w:r w:rsidRPr="00F0621F">
        <w:rPr>
          <w:rStyle w:val="Appelnotedebasdep"/>
          <w:lang w:val="en-CA"/>
        </w:rPr>
        <w:footnoteRef/>
      </w:r>
      <w:r w:rsidRPr="00F0621F">
        <w:rPr>
          <w:lang w:val="en-CA"/>
        </w:rPr>
        <w:t xml:space="preserve"> </w:t>
      </w:r>
      <w:r w:rsidRPr="00F0621F">
        <w:rPr>
          <w:lang w:val="en-CA"/>
        </w:rPr>
        <w:tab/>
      </w:r>
      <w:r w:rsidRPr="00F0621F">
        <w:rPr>
          <w:i/>
          <w:iCs/>
          <w:lang w:val="en-CA"/>
        </w:rPr>
        <w:t xml:space="preserve">R. </w:t>
      </w:r>
      <w:r w:rsidR="00D2398E" w:rsidRPr="00F0621F">
        <w:rPr>
          <w:i/>
          <w:iCs/>
          <w:lang w:val="en-CA"/>
        </w:rPr>
        <w:t>v</w:t>
      </w:r>
      <w:r w:rsidRPr="00F0621F">
        <w:rPr>
          <w:i/>
          <w:iCs/>
          <w:lang w:val="en-CA"/>
        </w:rPr>
        <w:t>. Hibbert</w:t>
      </w:r>
      <w:r w:rsidRPr="00F0621F">
        <w:rPr>
          <w:lang w:val="en-CA"/>
        </w:rPr>
        <w:t xml:space="preserve">, 2002 </w:t>
      </w:r>
      <w:r w:rsidR="00D2398E" w:rsidRPr="00F0621F">
        <w:rPr>
          <w:lang w:val="en-CA"/>
        </w:rPr>
        <w:t>SCC</w:t>
      </w:r>
      <w:r w:rsidRPr="00F0621F">
        <w:rPr>
          <w:lang w:val="en-CA"/>
        </w:rPr>
        <w:t xml:space="preserve"> 39, para. 51</w:t>
      </w:r>
      <w:r w:rsidR="00FC4074" w:rsidRPr="00F0621F">
        <w:rPr>
          <w:lang w:val="en-CA"/>
        </w:rPr>
        <w:t>,</w:t>
      </w:r>
      <w:r w:rsidRPr="00F0621F">
        <w:rPr>
          <w:lang w:val="en-CA"/>
        </w:rPr>
        <w:t xml:space="preserve"> cit</w:t>
      </w:r>
      <w:r w:rsidR="00D2398E" w:rsidRPr="00F0621F">
        <w:rPr>
          <w:lang w:val="en-CA"/>
        </w:rPr>
        <w:t>ing</w:t>
      </w:r>
      <w:r w:rsidRPr="00F0621F">
        <w:rPr>
          <w:lang w:val="en-CA"/>
        </w:rPr>
        <w:t xml:space="preserve"> </w:t>
      </w:r>
      <w:r w:rsidRPr="00F0621F">
        <w:rPr>
          <w:color w:val="000000"/>
          <w:lang w:val="en-CA"/>
        </w:rPr>
        <w:t xml:space="preserve">Peter deCarteret Cory, </w:t>
      </w:r>
      <w:r w:rsidRPr="00F0621F">
        <w:rPr>
          <w:i/>
          <w:iCs/>
          <w:color w:val="000000"/>
          <w:lang w:val="en-CA"/>
        </w:rPr>
        <w:t>The Inquiry Regarding Thomas Sophonow: The Investigation, Prosecution and Consideration of Entitlement to Compensation</w:t>
      </w:r>
      <w:r w:rsidRPr="00F0621F">
        <w:rPr>
          <w:color w:val="000000"/>
          <w:lang w:val="en-CA"/>
        </w:rPr>
        <w:t>, Winnipeg, 2001</w:t>
      </w:r>
      <w:r w:rsidRPr="00F0621F">
        <w:rPr>
          <w:lang w:val="en-CA"/>
        </w:rPr>
        <w:t>, p</w:t>
      </w:r>
      <w:r w:rsidR="00D2398E" w:rsidRPr="00F0621F">
        <w:rPr>
          <w:lang w:val="en-CA"/>
        </w:rPr>
        <w:t>p</w:t>
      </w:r>
      <w:r w:rsidRPr="00F0621F">
        <w:rPr>
          <w:lang w:val="en-CA"/>
        </w:rPr>
        <w:t>. 31-34 (</w:t>
      </w:r>
      <w:r w:rsidR="00D2398E" w:rsidRPr="00F0621F">
        <w:rPr>
          <w:lang w:val="en-CA"/>
        </w:rPr>
        <w:t>“</w:t>
      </w:r>
      <w:r w:rsidRPr="00F0621F">
        <w:rPr>
          <w:lang w:val="en-CA"/>
        </w:rPr>
        <w:t>Sophonow</w:t>
      </w:r>
      <w:r w:rsidR="00E74166" w:rsidRPr="00F0621F">
        <w:rPr>
          <w:lang w:val="en-CA"/>
        </w:rPr>
        <w:t xml:space="preserve"> Report”</w:t>
      </w:r>
      <w:r w:rsidRPr="00F0621F">
        <w:rPr>
          <w:lang w:val="en-CA"/>
        </w:rPr>
        <w:t>).</w:t>
      </w:r>
    </w:p>
  </w:footnote>
  <w:footnote w:id="78">
    <w:p w14:paraId="67FD69F4" w14:textId="2065BBD3" w:rsidR="008939D6" w:rsidRPr="00537919" w:rsidRDefault="00B37A58" w:rsidP="008939D6">
      <w:pPr>
        <w:pStyle w:val="Notedebasdepage"/>
        <w:rPr>
          <w:lang w:val="en-CA"/>
        </w:rPr>
      </w:pPr>
      <w:r>
        <w:rPr>
          <w:rStyle w:val="Appelnotedebasdep"/>
        </w:rPr>
        <w:footnoteRef/>
      </w:r>
      <w:r w:rsidRPr="00AB6DF0">
        <w:rPr>
          <w:lang w:val="en-CA"/>
        </w:rPr>
        <w:t xml:space="preserve"> </w:t>
      </w:r>
      <w:r w:rsidRPr="00AB6DF0">
        <w:rPr>
          <w:lang w:val="en-CA"/>
        </w:rPr>
        <w:tab/>
      </w:r>
      <w:r w:rsidR="00105908" w:rsidRPr="00537919">
        <w:rPr>
          <w:i/>
          <w:iCs/>
          <w:lang w:val="en-CA"/>
        </w:rPr>
        <w:t>United States of America v. Walker</w:t>
      </w:r>
      <w:r w:rsidR="00105908" w:rsidRPr="00537919">
        <w:rPr>
          <w:lang w:val="en-CA"/>
        </w:rPr>
        <w:t>, 2008 BCCA 55 [</w:t>
      </w:r>
      <w:r w:rsidR="004671DA">
        <w:rPr>
          <w:lang w:val="en-CA"/>
        </w:rPr>
        <w:t>“</w:t>
      </w:r>
      <w:r w:rsidR="00105908" w:rsidRPr="00537919">
        <w:rPr>
          <w:i/>
          <w:iCs/>
          <w:lang w:val="en-CA"/>
        </w:rPr>
        <w:t>Walker</w:t>
      </w:r>
      <w:r w:rsidR="00105908" w:rsidRPr="00537919">
        <w:rPr>
          <w:lang w:val="en-CA"/>
        </w:rPr>
        <w:t xml:space="preserve"> </w:t>
      </w:r>
      <w:r w:rsidR="00105908" w:rsidRPr="00537919">
        <w:rPr>
          <w:i/>
          <w:iCs/>
          <w:lang w:val="en-CA"/>
        </w:rPr>
        <w:t>1</w:t>
      </w:r>
      <w:r w:rsidR="004671DA">
        <w:rPr>
          <w:i/>
          <w:iCs/>
          <w:lang w:val="en-CA"/>
        </w:rPr>
        <w:t>”</w:t>
      </w:r>
      <w:r w:rsidR="00105908" w:rsidRPr="00537919">
        <w:rPr>
          <w:lang w:val="en-CA"/>
        </w:rPr>
        <w:t>]. For a summary of the case, see S</w:t>
      </w:r>
      <w:r w:rsidRPr="00537919">
        <w:rPr>
          <w:lang w:val="en-CA"/>
        </w:rPr>
        <w:t xml:space="preserve">eth Weinstein </w:t>
      </w:r>
      <w:r w:rsidR="00105908" w:rsidRPr="00537919">
        <w:rPr>
          <w:lang w:val="en-CA"/>
        </w:rPr>
        <w:t>and</w:t>
      </w:r>
      <w:r w:rsidRPr="00537919">
        <w:rPr>
          <w:lang w:val="en-CA"/>
        </w:rPr>
        <w:t xml:space="preserve"> Nancy L. Dennison, </w:t>
      </w:r>
      <w:r w:rsidRPr="00537919">
        <w:rPr>
          <w:i/>
          <w:iCs/>
          <w:lang w:val="en-CA"/>
        </w:rPr>
        <w:t>Prosecuting and Defending Extradition Cases: A Practitioner's Handbook</w:t>
      </w:r>
      <w:r w:rsidRPr="00537919">
        <w:rPr>
          <w:lang w:val="en-CA"/>
        </w:rPr>
        <w:t xml:space="preserve">, </w:t>
      </w:r>
      <w:r w:rsidRPr="00537919">
        <w:rPr>
          <w:i/>
          <w:iCs/>
          <w:lang w:val="en-CA"/>
        </w:rPr>
        <w:t>supra</w:t>
      </w:r>
      <w:r w:rsidRPr="00537919">
        <w:rPr>
          <w:lang w:val="en-CA"/>
        </w:rPr>
        <w:t>, note</w:t>
      </w:r>
      <w:r w:rsidR="00AE1001" w:rsidRPr="00537919">
        <w:rPr>
          <w:lang w:val="en-CA"/>
        </w:rPr>
        <w:t xml:space="preserve"> </w:t>
      </w:r>
      <w:r w:rsidR="00BD0D49" w:rsidRPr="00537919">
        <w:rPr>
          <w:lang w:val="en-CA"/>
        </w:rPr>
        <w:t>50</w:t>
      </w:r>
      <w:r w:rsidRPr="00537919">
        <w:rPr>
          <w:lang w:val="en-CA"/>
        </w:rPr>
        <w:t>, p</w:t>
      </w:r>
      <w:r w:rsidR="00105908" w:rsidRPr="00537919">
        <w:rPr>
          <w:lang w:val="en-CA"/>
        </w:rPr>
        <w:t>p</w:t>
      </w:r>
      <w:r w:rsidRPr="00537919">
        <w:rPr>
          <w:lang w:val="en-CA"/>
        </w:rPr>
        <w:t>. 267-268.</w:t>
      </w:r>
    </w:p>
  </w:footnote>
  <w:footnote w:id="79">
    <w:p w14:paraId="7FD695FF" w14:textId="532C39D3" w:rsidR="008939D6" w:rsidRPr="00C35B84" w:rsidRDefault="00B37A58" w:rsidP="008939D6">
      <w:pPr>
        <w:pStyle w:val="Notedebasdepage"/>
      </w:pPr>
      <w:r w:rsidRPr="00537919">
        <w:rPr>
          <w:rStyle w:val="Appelnotedebasdep"/>
          <w:lang w:val="en-CA"/>
        </w:rPr>
        <w:footnoteRef/>
      </w:r>
      <w:r w:rsidRPr="00C35B84">
        <w:t xml:space="preserve"> </w:t>
      </w:r>
      <w:r w:rsidRPr="00C35B84">
        <w:tab/>
        <w:t xml:space="preserve">Martin Vauclair, Tristan Desjardins </w:t>
      </w:r>
      <w:r w:rsidR="00BD0D49" w:rsidRPr="00C35B84">
        <w:t>and</w:t>
      </w:r>
      <w:r w:rsidRPr="00C35B84">
        <w:t xml:space="preserve"> Pauline Lachance, </w:t>
      </w:r>
      <w:r w:rsidRPr="00C35B84">
        <w:rPr>
          <w:i/>
          <w:iCs/>
        </w:rPr>
        <w:t>Traité général de preuve et de procédure pénales</w:t>
      </w:r>
      <w:r w:rsidRPr="00C35B84">
        <w:t>, 31</w:t>
      </w:r>
      <w:r w:rsidR="00105908" w:rsidRPr="00C35B84">
        <w:rPr>
          <w:vertAlign w:val="superscript"/>
        </w:rPr>
        <w:t>st</w:t>
      </w:r>
      <w:r w:rsidRPr="00C35B84">
        <w:t> </w:t>
      </w:r>
      <w:r w:rsidR="00105908" w:rsidRPr="00C35B84">
        <w:t>Ed</w:t>
      </w:r>
      <w:r w:rsidRPr="00C35B84">
        <w:t xml:space="preserve">., Montréal, Yvon Blais, 2024, p. 127, </w:t>
      </w:r>
      <w:r w:rsidR="00BD0D49" w:rsidRPr="00C35B84">
        <w:t>N</w:t>
      </w:r>
      <w:r w:rsidR="00105908" w:rsidRPr="00C35B84">
        <w:t>o.</w:t>
      </w:r>
      <w:r w:rsidRPr="00C35B84">
        <w:t xml:space="preserve"> 42.8.</w:t>
      </w:r>
    </w:p>
  </w:footnote>
  <w:footnote w:id="80">
    <w:p w14:paraId="6645481A" w14:textId="7F078BF7" w:rsidR="008939D6" w:rsidRPr="00537919" w:rsidRDefault="00B37A58" w:rsidP="008939D6">
      <w:pPr>
        <w:pStyle w:val="Notedebasdepage"/>
        <w:rPr>
          <w:lang w:val="en-CA"/>
        </w:rPr>
      </w:pPr>
      <w:r w:rsidRPr="00D47126">
        <w:rPr>
          <w:rStyle w:val="Appelnotedebasdep"/>
        </w:rPr>
        <w:footnoteRef/>
      </w:r>
      <w:r w:rsidRPr="00C35B84">
        <w:rPr>
          <w:lang w:val="en-CA"/>
        </w:rPr>
        <w:t xml:space="preserve"> </w:t>
      </w:r>
      <w:r w:rsidRPr="00C35B84">
        <w:rPr>
          <w:lang w:val="en-CA"/>
        </w:rPr>
        <w:tab/>
      </w:r>
      <w:r w:rsidR="00633315" w:rsidRPr="00537919">
        <w:rPr>
          <w:i/>
          <w:iCs/>
          <w:color w:val="000000"/>
          <w:lang w:val="en-CA"/>
        </w:rPr>
        <w:t>United States of America</w:t>
      </w:r>
      <w:r w:rsidRPr="00537919">
        <w:rPr>
          <w:i/>
          <w:iCs/>
          <w:color w:val="000000"/>
          <w:lang w:val="en-CA"/>
        </w:rPr>
        <w:t xml:space="preserve"> </w:t>
      </w:r>
      <w:r w:rsidR="00633315" w:rsidRPr="00537919">
        <w:rPr>
          <w:i/>
          <w:iCs/>
          <w:color w:val="000000"/>
          <w:lang w:val="en-CA"/>
        </w:rPr>
        <w:t>v</w:t>
      </w:r>
      <w:r w:rsidRPr="00537919">
        <w:rPr>
          <w:i/>
          <w:iCs/>
          <w:color w:val="000000"/>
          <w:lang w:val="en-CA"/>
        </w:rPr>
        <w:t xml:space="preserve">. Ferras; </w:t>
      </w:r>
      <w:r w:rsidR="00633315" w:rsidRPr="00537919">
        <w:rPr>
          <w:i/>
          <w:iCs/>
          <w:color w:val="000000"/>
          <w:lang w:val="en-CA"/>
        </w:rPr>
        <w:t>United States of America v</w:t>
      </w:r>
      <w:r w:rsidRPr="00537919">
        <w:rPr>
          <w:i/>
          <w:iCs/>
          <w:color w:val="000000"/>
          <w:lang w:val="en-CA"/>
        </w:rPr>
        <w:t>. Latty</w:t>
      </w:r>
      <w:r w:rsidRPr="00537919">
        <w:rPr>
          <w:color w:val="000000"/>
          <w:lang w:val="en-CA"/>
        </w:rPr>
        <w:t xml:space="preserve">, </w:t>
      </w:r>
      <w:r w:rsidRPr="00537919">
        <w:rPr>
          <w:i/>
          <w:iCs/>
          <w:color w:val="000000"/>
          <w:lang w:val="en-CA"/>
        </w:rPr>
        <w:t>supra</w:t>
      </w:r>
      <w:r w:rsidRPr="00537919">
        <w:rPr>
          <w:color w:val="000000"/>
          <w:lang w:val="en-CA"/>
        </w:rPr>
        <w:t xml:space="preserve">, note </w:t>
      </w:r>
      <w:r>
        <w:t>31</w:t>
      </w:r>
      <w:r w:rsidRPr="00537919">
        <w:rPr>
          <w:lang w:val="en-CA"/>
        </w:rPr>
        <w:t xml:space="preserve">, </w:t>
      </w:r>
      <w:r w:rsidR="00633315" w:rsidRPr="00537919">
        <w:rPr>
          <w:lang w:val="en-CA"/>
        </w:rPr>
        <w:t>para</w:t>
      </w:r>
      <w:r w:rsidRPr="00537919">
        <w:rPr>
          <w:lang w:val="en-CA"/>
        </w:rPr>
        <w:t xml:space="preserve">. 46. </w:t>
      </w:r>
      <w:r w:rsidR="00633315" w:rsidRPr="00537919">
        <w:rPr>
          <w:lang w:val="en-CA"/>
        </w:rPr>
        <w:t>Se also</w:t>
      </w:r>
      <w:r w:rsidRPr="00537919">
        <w:rPr>
          <w:lang w:val="en-CA"/>
        </w:rPr>
        <w:t xml:space="preserve"> Lisa Dufraimont, </w:t>
      </w:r>
      <w:r w:rsidR="00633315" w:rsidRPr="00537919">
        <w:rPr>
          <w:lang w:val="en-CA"/>
        </w:rPr>
        <w:t>“</w:t>
      </w:r>
      <w:r w:rsidRPr="00537919">
        <w:rPr>
          <w:i/>
          <w:iCs/>
          <w:lang w:val="en-CA"/>
        </w:rPr>
        <w:t>R. v. Hay</w:t>
      </w:r>
      <w:r w:rsidRPr="00537919">
        <w:rPr>
          <w:lang w:val="en-CA"/>
        </w:rPr>
        <w:t>: Enhanced safeguards against wrongful conviction in identification cases</w:t>
      </w:r>
      <w:r w:rsidR="00633315" w:rsidRPr="00537919">
        <w:rPr>
          <w:lang w:val="en-CA"/>
        </w:rPr>
        <w:t>”</w:t>
      </w:r>
      <w:r w:rsidRPr="00537919">
        <w:rPr>
          <w:lang w:val="en-CA"/>
        </w:rPr>
        <w:t xml:space="preserve">, (2014) 6:7 </w:t>
      </w:r>
      <w:r w:rsidRPr="00537919">
        <w:rPr>
          <w:i/>
          <w:iCs/>
          <w:lang w:val="en-CA"/>
        </w:rPr>
        <w:t>C.R.</w:t>
      </w:r>
      <w:r w:rsidRPr="00537919">
        <w:rPr>
          <w:lang w:val="en-CA"/>
        </w:rPr>
        <w:t xml:space="preserve"> 246, p</w:t>
      </w:r>
      <w:r w:rsidR="00633315" w:rsidRPr="00537919">
        <w:rPr>
          <w:lang w:val="en-CA"/>
        </w:rPr>
        <w:t>p</w:t>
      </w:r>
      <w:r w:rsidRPr="00537919">
        <w:rPr>
          <w:lang w:val="en-CA"/>
        </w:rPr>
        <w:t xml:space="preserve">. 246-248; </w:t>
      </w:r>
      <w:r w:rsidRPr="00537919">
        <w:rPr>
          <w:rFonts w:cs="Arial"/>
          <w:color w:val="000000"/>
          <w:lang w:val="en-CA"/>
        </w:rPr>
        <w:t xml:space="preserve">David M. Paciocco, Palma Paciocco </w:t>
      </w:r>
      <w:r w:rsidR="00633315" w:rsidRPr="00537919">
        <w:rPr>
          <w:rFonts w:cs="Arial"/>
          <w:color w:val="000000"/>
          <w:lang w:val="en-CA"/>
        </w:rPr>
        <w:t>and</w:t>
      </w:r>
      <w:r w:rsidRPr="00537919">
        <w:rPr>
          <w:rFonts w:cs="Arial"/>
          <w:color w:val="000000"/>
          <w:lang w:val="en-CA"/>
        </w:rPr>
        <w:t xml:space="preserve"> Lee Stuesser, </w:t>
      </w:r>
      <w:r w:rsidRPr="00537919">
        <w:rPr>
          <w:rFonts w:cs="Arial"/>
          <w:i/>
          <w:iCs/>
          <w:color w:val="000000"/>
          <w:lang w:val="en-CA"/>
        </w:rPr>
        <w:t>The Law of Evidence</w:t>
      </w:r>
      <w:r w:rsidRPr="00537919">
        <w:rPr>
          <w:rFonts w:cs="Arial"/>
          <w:color w:val="000000"/>
          <w:lang w:val="en-CA"/>
        </w:rPr>
        <w:t>, 8</w:t>
      </w:r>
      <w:r w:rsidR="00633315" w:rsidRPr="00537919">
        <w:rPr>
          <w:rFonts w:cs="Arial"/>
          <w:color w:val="000000"/>
          <w:vertAlign w:val="superscript"/>
          <w:lang w:val="en-CA"/>
        </w:rPr>
        <w:t>th</w:t>
      </w:r>
      <w:r w:rsidRPr="00537919">
        <w:rPr>
          <w:rFonts w:cs="Arial"/>
          <w:color w:val="000000"/>
          <w:lang w:val="en-CA"/>
        </w:rPr>
        <w:t> </w:t>
      </w:r>
      <w:r w:rsidR="00633315" w:rsidRPr="00537919">
        <w:rPr>
          <w:rFonts w:cs="Arial"/>
          <w:color w:val="000000"/>
          <w:lang w:val="en-CA"/>
        </w:rPr>
        <w:t>Ed</w:t>
      </w:r>
      <w:r w:rsidRPr="00537919">
        <w:rPr>
          <w:rFonts w:cs="Arial"/>
          <w:color w:val="000000"/>
          <w:lang w:val="en-CA"/>
        </w:rPr>
        <w:t>., Toronto, Irwin Law, 2020</w:t>
      </w:r>
      <w:r w:rsidRPr="00537919">
        <w:rPr>
          <w:lang w:val="en-CA"/>
        </w:rPr>
        <w:t>, p</w:t>
      </w:r>
      <w:r w:rsidR="00633315" w:rsidRPr="00537919">
        <w:rPr>
          <w:lang w:val="en-CA"/>
        </w:rPr>
        <w:t>p</w:t>
      </w:r>
      <w:r w:rsidRPr="00537919">
        <w:rPr>
          <w:lang w:val="en-CA"/>
        </w:rPr>
        <w:t xml:space="preserve">. 700-701. </w:t>
      </w:r>
    </w:p>
  </w:footnote>
  <w:footnote w:id="81">
    <w:p w14:paraId="0AEC0004" w14:textId="7F4A4A77" w:rsidR="008939D6" w:rsidRPr="00537919" w:rsidRDefault="00B37A58" w:rsidP="008939D6">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633315" w:rsidRPr="00537919">
        <w:rPr>
          <w:i/>
          <w:iCs/>
          <w:lang w:val="en-CA"/>
        </w:rPr>
        <w:t>Walker 1</w:t>
      </w:r>
      <w:r w:rsidRPr="00537919">
        <w:rPr>
          <w:lang w:val="en-CA"/>
        </w:rPr>
        <w:t xml:space="preserve">, </w:t>
      </w:r>
      <w:r w:rsidRPr="00537919">
        <w:rPr>
          <w:i/>
          <w:iCs/>
          <w:lang w:val="en-CA"/>
        </w:rPr>
        <w:t>supra</w:t>
      </w:r>
      <w:r w:rsidRPr="00537919">
        <w:rPr>
          <w:lang w:val="en-CA"/>
        </w:rPr>
        <w:t>, note</w:t>
      </w:r>
      <w:r w:rsidR="00AE1001" w:rsidRPr="00537919">
        <w:rPr>
          <w:lang w:val="en-CA"/>
        </w:rPr>
        <w:t xml:space="preserve"> </w:t>
      </w:r>
      <w:r w:rsidR="00633315" w:rsidRPr="00537919">
        <w:rPr>
          <w:lang w:val="en-CA"/>
        </w:rPr>
        <w:t>78</w:t>
      </w:r>
      <w:r w:rsidRPr="00537919">
        <w:rPr>
          <w:lang w:val="en-CA"/>
        </w:rPr>
        <w:t>.</w:t>
      </w:r>
    </w:p>
  </w:footnote>
  <w:footnote w:id="82">
    <w:p w14:paraId="327D5AA0" w14:textId="27968A25" w:rsidR="00C13DF0" w:rsidRPr="00C35B84" w:rsidRDefault="00B37A58">
      <w:pPr>
        <w:pStyle w:val="Notedebasdepage"/>
        <w:rPr>
          <w:lang w:val="en-CA"/>
        </w:rPr>
      </w:pPr>
      <w:r>
        <w:rPr>
          <w:rStyle w:val="Appelnotedebasdep"/>
        </w:rPr>
        <w:footnoteRef/>
      </w:r>
      <w:r w:rsidRPr="00C13DF0">
        <w:rPr>
          <w:lang w:val="en-CA"/>
        </w:rPr>
        <w:t xml:space="preserve"> </w:t>
      </w:r>
      <w:r>
        <w:rPr>
          <w:lang w:val="en-CA"/>
        </w:rPr>
        <w:tab/>
      </w:r>
      <w:r w:rsidRPr="00C35B84">
        <w:rPr>
          <w:i/>
          <w:iCs/>
          <w:lang w:val="en-CA"/>
        </w:rPr>
        <w:t>United States of America v. Walke</w:t>
      </w:r>
      <w:r w:rsidRPr="00C35B84">
        <w:rPr>
          <w:lang w:val="en-CA"/>
        </w:rPr>
        <w:t>r, 2008 BCSC 1811.</w:t>
      </w:r>
    </w:p>
  </w:footnote>
  <w:footnote w:id="83">
    <w:p w14:paraId="36098A1C" w14:textId="2EB5CFAF" w:rsidR="008939D6" w:rsidRPr="00AC0B3B" w:rsidRDefault="00B37A58" w:rsidP="008939D6">
      <w:pPr>
        <w:pStyle w:val="Notedebasdepage"/>
        <w:rPr>
          <w:lang w:val="en-CA"/>
        </w:rPr>
      </w:pPr>
      <w:r w:rsidRPr="00AC0B3B">
        <w:rPr>
          <w:rStyle w:val="Appelnotedebasdep"/>
        </w:rPr>
        <w:footnoteRef/>
      </w:r>
      <w:r w:rsidRPr="00AC0B3B">
        <w:rPr>
          <w:lang w:val="en-CA"/>
        </w:rPr>
        <w:t xml:space="preserve"> </w:t>
      </w:r>
      <w:r w:rsidRPr="00AC0B3B">
        <w:rPr>
          <w:lang w:val="en-CA"/>
        </w:rPr>
        <w:tab/>
      </w:r>
      <w:r w:rsidRPr="00AC0B3B">
        <w:rPr>
          <w:i/>
          <w:iCs/>
          <w:lang w:val="en-CA"/>
        </w:rPr>
        <w:t>United States of America v. Walker</w:t>
      </w:r>
      <w:r w:rsidRPr="00AC0B3B">
        <w:rPr>
          <w:lang w:val="en-CA"/>
        </w:rPr>
        <w:t>, 2011 BCCA 110, para. 16.</w:t>
      </w:r>
    </w:p>
  </w:footnote>
  <w:footnote w:id="84">
    <w:p w14:paraId="72636797" w14:textId="02F24FB9" w:rsidR="00EE3B1D" w:rsidRPr="00537919" w:rsidRDefault="00B37A58">
      <w:pPr>
        <w:pStyle w:val="Notedebasdepage"/>
        <w:rPr>
          <w:lang w:val="en-CA"/>
        </w:rPr>
      </w:pPr>
      <w:r>
        <w:rPr>
          <w:rStyle w:val="Appelnotedebasdep"/>
        </w:rPr>
        <w:footnoteRef/>
      </w:r>
      <w:r w:rsidRPr="00C35B84">
        <w:rPr>
          <w:lang w:val="en-CA"/>
        </w:rPr>
        <w:t xml:space="preserve"> </w:t>
      </w:r>
      <w:r w:rsidR="00537919" w:rsidRPr="00C35B84">
        <w:rPr>
          <w:lang w:val="en-CA"/>
        </w:rPr>
        <w:tab/>
      </w:r>
      <w:r w:rsidRPr="00537919">
        <w:rPr>
          <w:i/>
          <w:iCs/>
          <w:lang w:val="en-CA"/>
        </w:rPr>
        <w:t>United States v. Bennett</w:t>
      </w:r>
      <w:r w:rsidRPr="00537919">
        <w:rPr>
          <w:lang w:val="en-CA"/>
        </w:rPr>
        <w:t>, 2014 BCCA 145.</w:t>
      </w:r>
    </w:p>
  </w:footnote>
  <w:footnote w:id="85">
    <w:p w14:paraId="65F02010" w14:textId="1A45313C" w:rsidR="008939D6" w:rsidRPr="00537919" w:rsidRDefault="00B37A58" w:rsidP="008939D6">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i/>
          <w:iCs/>
          <w:lang w:val="en-CA"/>
        </w:rPr>
        <w:t>United States of America v. Caro-Hernandez</w:t>
      </w:r>
      <w:r w:rsidRPr="00537919">
        <w:rPr>
          <w:lang w:val="en-CA"/>
        </w:rPr>
        <w:t>, 2020</w:t>
      </w:r>
      <w:r w:rsidR="005E5B62" w:rsidRPr="00537919">
        <w:rPr>
          <w:lang w:val="en-CA"/>
        </w:rPr>
        <w:t xml:space="preserve"> </w:t>
      </w:r>
      <w:r w:rsidRPr="00537919">
        <w:rPr>
          <w:lang w:val="en-CA"/>
        </w:rPr>
        <w:t>ABQB</w:t>
      </w:r>
      <w:r w:rsidR="005E5B62" w:rsidRPr="00537919">
        <w:rPr>
          <w:lang w:val="en-CA"/>
        </w:rPr>
        <w:t xml:space="preserve"> </w:t>
      </w:r>
      <w:r w:rsidRPr="00537919">
        <w:rPr>
          <w:lang w:val="en-CA"/>
        </w:rPr>
        <w:t xml:space="preserve">801, para. 71; </w:t>
      </w:r>
      <w:r w:rsidRPr="00537919">
        <w:rPr>
          <w:i/>
          <w:iCs/>
          <w:lang w:val="en-CA"/>
        </w:rPr>
        <w:t>The Attorney General of Canada v. Siyad</w:t>
      </w:r>
      <w:r w:rsidRPr="00537919">
        <w:rPr>
          <w:lang w:val="en-CA"/>
        </w:rPr>
        <w:t>, 2020 ONSC 1266, para.</w:t>
      </w:r>
      <w:r w:rsidR="005E5B62" w:rsidRPr="00537919">
        <w:rPr>
          <w:lang w:val="en-CA"/>
        </w:rPr>
        <w:t xml:space="preserve"> </w:t>
      </w:r>
      <w:r w:rsidRPr="00537919">
        <w:rPr>
          <w:lang w:val="en-CA"/>
        </w:rPr>
        <w:t xml:space="preserve">40; </w:t>
      </w:r>
      <w:r w:rsidRPr="00537919">
        <w:rPr>
          <w:i/>
          <w:iCs/>
          <w:lang w:val="en-CA"/>
        </w:rPr>
        <w:t>United</w:t>
      </w:r>
      <w:r w:rsidR="005E5B62" w:rsidRPr="00537919">
        <w:rPr>
          <w:i/>
          <w:iCs/>
          <w:lang w:val="en-CA"/>
        </w:rPr>
        <w:t xml:space="preserve"> </w:t>
      </w:r>
      <w:r w:rsidRPr="00537919">
        <w:rPr>
          <w:i/>
          <w:iCs/>
          <w:lang w:val="en-CA"/>
        </w:rPr>
        <w:t>States</w:t>
      </w:r>
      <w:r w:rsidR="005E5B62" w:rsidRPr="00537919">
        <w:rPr>
          <w:i/>
          <w:iCs/>
          <w:lang w:val="en-CA"/>
        </w:rPr>
        <w:t xml:space="preserve"> </w:t>
      </w:r>
      <w:r w:rsidRPr="00537919">
        <w:rPr>
          <w:i/>
          <w:iCs/>
          <w:lang w:val="en-CA"/>
        </w:rPr>
        <w:t>v.</w:t>
      </w:r>
      <w:r w:rsidR="005E5B62" w:rsidRPr="00537919">
        <w:rPr>
          <w:i/>
          <w:iCs/>
          <w:lang w:val="en-CA"/>
        </w:rPr>
        <w:t xml:space="preserve"> </w:t>
      </w:r>
      <w:r w:rsidRPr="00537919">
        <w:rPr>
          <w:i/>
          <w:iCs/>
          <w:lang w:val="en-CA"/>
        </w:rPr>
        <w:t>Gallacher</w:t>
      </w:r>
      <w:r w:rsidR="005E5B62" w:rsidRPr="00537919">
        <w:rPr>
          <w:i/>
          <w:iCs/>
          <w:lang w:val="en-CA"/>
        </w:rPr>
        <w:t xml:space="preserve"> </w:t>
      </w:r>
      <w:r w:rsidRPr="00537919">
        <w:rPr>
          <w:i/>
          <w:iCs/>
          <w:lang w:val="en-CA"/>
        </w:rPr>
        <w:t>and</w:t>
      </w:r>
      <w:r w:rsidR="005E5B62" w:rsidRPr="00537919">
        <w:rPr>
          <w:i/>
          <w:iCs/>
          <w:lang w:val="en-CA"/>
        </w:rPr>
        <w:t xml:space="preserve"> </w:t>
      </w:r>
      <w:r w:rsidRPr="00537919">
        <w:rPr>
          <w:i/>
          <w:iCs/>
          <w:lang w:val="en-CA"/>
        </w:rPr>
        <w:t>Brown</w:t>
      </w:r>
      <w:r w:rsidRPr="00537919">
        <w:rPr>
          <w:lang w:val="en-CA"/>
        </w:rPr>
        <w:t>, 2008 BCSC 708, para</w:t>
      </w:r>
      <w:r w:rsidR="00EE3B1D" w:rsidRPr="00537919">
        <w:rPr>
          <w:lang w:val="en-CA"/>
        </w:rPr>
        <w:t>s</w:t>
      </w:r>
      <w:r w:rsidRPr="00537919">
        <w:rPr>
          <w:lang w:val="en-CA"/>
        </w:rPr>
        <w:t xml:space="preserve">. 50-51 </w:t>
      </w:r>
      <w:r w:rsidR="00EE3B1D" w:rsidRPr="00537919">
        <w:rPr>
          <w:lang w:val="en-CA"/>
        </w:rPr>
        <w:t>and</w:t>
      </w:r>
      <w:r w:rsidRPr="00537919">
        <w:rPr>
          <w:lang w:val="en-CA"/>
        </w:rPr>
        <w:t xml:space="preserve"> 58. </w:t>
      </w:r>
    </w:p>
  </w:footnote>
  <w:footnote w:id="86">
    <w:p w14:paraId="480AEEB6" w14:textId="27B059C7" w:rsidR="008939D6" w:rsidRPr="00537919" w:rsidRDefault="00B37A58" w:rsidP="008939D6">
      <w:pPr>
        <w:pStyle w:val="Notedebasdepage"/>
        <w:rPr>
          <w:lang w:val="en-CA"/>
        </w:rPr>
      </w:pPr>
      <w:r w:rsidRPr="00AC0B3B">
        <w:rPr>
          <w:rStyle w:val="Appelnotedebasdep"/>
        </w:rPr>
        <w:footnoteRef/>
      </w:r>
      <w:r w:rsidRPr="00AC0B3B">
        <w:rPr>
          <w:lang w:val="en-CA"/>
        </w:rPr>
        <w:t xml:space="preserve"> </w:t>
      </w:r>
      <w:r w:rsidRPr="00AC0B3B">
        <w:rPr>
          <w:lang w:val="en-CA"/>
        </w:rPr>
        <w:tab/>
      </w:r>
      <w:r w:rsidRPr="00537919">
        <w:rPr>
          <w:i/>
          <w:iCs/>
          <w:lang w:val="en-CA"/>
        </w:rPr>
        <w:t>United States of America v. Baruca</w:t>
      </w:r>
      <w:r w:rsidRPr="00537919">
        <w:rPr>
          <w:lang w:val="en-CA"/>
        </w:rPr>
        <w:t xml:space="preserve">, 2022 BCSC 723, para. 142, </w:t>
      </w:r>
      <w:r w:rsidR="00EE3B1D" w:rsidRPr="00537919">
        <w:rPr>
          <w:lang w:val="en-CA"/>
        </w:rPr>
        <w:t>appeal allowed for other reasons in</w:t>
      </w:r>
      <w:r w:rsidRPr="00537919">
        <w:rPr>
          <w:lang w:val="en-CA"/>
        </w:rPr>
        <w:t xml:space="preserve"> </w:t>
      </w:r>
      <w:r w:rsidRPr="00537919">
        <w:rPr>
          <w:i/>
          <w:iCs/>
          <w:lang w:val="en-CA"/>
        </w:rPr>
        <w:t>United States v. Lim</w:t>
      </w:r>
      <w:r w:rsidRPr="00537919">
        <w:rPr>
          <w:lang w:val="en-CA"/>
        </w:rPr>
        <w:t xml:space="preserve">, 2023 BCCA 304; </w:t>
      </w:r>
      <w:r w:rsidRPr="00537919">
        <w:rPr>
          <w:i/>
          <w:iCs/>
          <w:lang w:val="en-CA"/>
        </w:rPr>
        <w:t>United States of America v. Hall</w:t>
      </w:r>
      <w:r w:rsidRPr="00537919">
        <w:rPr>
          <w:lang w:val="en-CA"/>
        </w:rPr>
        <w:t xml:space="preserve">, 2016 BCSC 1004, para. 44; </w:t>
      </w:r>
      <w:r w:rsidRPr="00537919">
        <w:rPr>
          <w:i/>
          <w:iCs/>
          <w:lang w:val="en-CA"/>
        </w:rPr>
        <w:t>United States v. Haugen</w:t>
      </w:r>
      <w:r w:rsidRPr="00537919">
        <w:rPr>
          <w:lang w:val="en-CA"/>
        </w:rPr>
        <w:t xml:space="preserve">, 2010 BCSC 56, para. 62. </w:t>
      </w:r>
    </w:p>
  </w:footnote>
  <w:footnote w:id="87">
    <w:p w14:paraId="6674A158" w14:textId="2673F5E9" w:rsidR="008939D6" w:rsidRPr="00537919" w:rsidRDefault="00B37A58" w:rsidP="008939D6">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i/>
          <w:lang w:val="en-CA"/>
        </w:rPr>
        <w:t>U</w:t>
      </w:r>
      <w:r w:rsidRPr="00537919">
        <w:rPr>
          <w:i/>
          <w:iCs/>
          <w:lang w:val="en-CA"/>
        </w:rPr>
        <w:t>nited States of America v. Mendoza</w:t>
      </w:r>
      <w:r w:rsidRPr="00537919">
        <w:rPr>
          <w:lang w:val="en-CA"/>
        </w:rPr>
        <w:t xml:space="preserve">, 2016 BCSC 1297, para. 68, </w:t>
      </w:r>
      <w:r w:rsidR="00EE3B1D" w:rsidRPr="00537919">
        <w:rPr>
          <w:lang w:val="en-CA"/>
        </w:rPr>
        <w:t>confirmed by</w:t>
      </w:r>
      <w:r w:rsidRPr="00537919">
        <w:rPr>
          <w:lang w:val="en-CA"/>
        </w:rPr>
        <w:t xml:space="preserve"> </w:t>
      </w:r>
      <w:r w:rsidRPr="00537919">
        <w:rPr>
          <w:i/>
          <w:iCs/>
          <w:lang w:val="en-CA"/>
        </w:rPr>
        <w:t>United States of America v. Mendoza</w:t>
      </w:r>
      <w:r w:rsidRPr="00537919">
        <w:rPr>
          <w:lang w:val="en-CA"/>
        </w:rPr>
        <w:t xml:space="preserve">, 2018 BCCA 55; </w:t>
      </w:r>
      <w:r w:rsidRPr="00537919">
        <w:rPr>
          <w:i/>
          <w:iCs/>
          <w:lang w:val="en-CA"/>
        </w:rPr>
        <w:t>USA v. Johal</w:t>
      </w:r>
      <w:r w:rsidRPr="00537919">
        <w:rPr>
          <w:lang w:val="en-CA"/>
        </w:rPr>
        <w:t>, 2011 BCSC 1068, para</w:t>
      </w:r>
      <w:r w:rsidR="00EE3B1D" w:rsidRPr="00537919">
        <w:rPr>
          <w:lang w:val="en-CA"/>
        </w:rPr>
        <w:t>s</w:t>
      </w:r>
      <w:r w:rsidRPr="00537919">
        <w:rPr>
          <w:lang w:val="en-CA"/>
        </w:rPr>
        <w:t>.</w:t>
      </w:r>
      <w:r w:rsidR="005E5B62" w:rsidRPr="00537919">
        <w:rPr>
          <w:lang w:val="en-CA"/>
        </w:rPr>
        <w:t xml:space="preserve"> </w:t>
      </w:r>
      <w:r w:rsidRPr="00537919">
        <w:rPr>
          <w:lang w:val="en-CA"/>
        </w:rPr>
        <w:t xml:space="preserve">50 </w:t>
      </w:r>
      <w:r w:rsidR="00EE3B1D" w:rsidRPr="00537919">
        <w:rPr>
          <w:lang w:val="en-CA"/>
        </w:rPr>
        <w:t>and</w:t>
      </w:r>
      <w:r w:rsidRPr="00537919">
        <w:rPr>
          <w:lang w:val="en-CA"/>
        </w:rPr>
        <w:t xml:space="preserve"> 52; </w:t>
      </w:r>
      <w:r w:rsidRPr="00537919">
        <w:rPr>
          <w:i/>
          <w:iCs/>
          <w:lang w:val="en-CA"/>
        </w:rPr>
        <w:t>United States of America v. Khuc</w:t>
      </w:r>
      <w:r w:rsidRPr="00537919">
        <w:rPr>
          <w:lang w:val="en-CA"/>
        </w:rPr>
        <w:t>, 2008 BCCA 425, para</w:t>
      </w:r>
      <w:r w:rsidR="00EE3B1D" w:rsidRPr="00537919">
        <w:rPr>
          <w:lang w:val="en-CA"/>
        </w:rPr>
        <w:t>s</w:t>
      </w:r>
      <w:r w:rsidRPr="00537919">
        <w:rPr>
          <w:lang w:val="en-CA"/>
        </w:rPr>
        <w:t xml:space="preserve">. 39-41; </w:t>
      </w:r>
      <w:r w:rsidRPr="00537919">
        <w:rPr>
          <w:rFonts w:cs="Arial"/>
          <w:i/>
          <w:iCs/>
          <w:color w:val="000000"/>
          <w:lang w:val="en-CA"/>
        </w:rPr>
        <w:t>United States v. Costanzo</w:t>
      </w:r>
      <w:r w:rsidRPr="00537919">
        <w:rPr>
          <w:rFonts w:cs="Arial"/>
          <w:color w:val="000000"/>
          <w:lang w:val="en-CA"/>
        </w:rPr>
        <w:t xml:space="preserve">, </w:t>
      </w:r>
      <w:r w:rsidRPr="00537919">
        <w:rPr>
          <w:rFonts w:cs="Arial"/>
          <w:lang w:val="en-CA"/>
        </w:rPr>
        <w:t>2008 BCSC 300, para</w:t>
      </w:r>
      <w:r w:rsidR="00EE3B1D" w:rsidRPr="00537919">
        <w:rPr>
          <w:rFonts w:cs="Arial"/>
          <w:lang w:val="en-CA"/>
        </w:rPr>
        <w:t>s</w:t>
      </w:r>
      <w:r w:rsidRPr="00537919">
        <w:rPr>
          <w:rFonts w:cs="Arial"/>
          <w:lang w:val="en-CA"/>
        </w:rPr>
        <w:t>.</w:t>
      </w:r>
      <w:r w:rsidR="00FF1397">
        <w:rPr>
          <w:rFonts w:cs="Arial"/>
          <w:lang w:val="en-CA"/>
        </w:rPr>
        <w:t> </w:t>
      </w:r>
      <w:r w:rsidRPr="00537919">
        <w:rPr>
          <w:rFonts w:cs="Arial"/>
          <w:lang w:val="en-CA"/>
        </w:rPr>
        <w:t>62</w:t>
      </w:r>
      <w:r w:rsidRPr="00537919">
        <w:rPr>
          <w:rFonts w:cs="Arial"/>
          <w:lang w:val="en-CA"/>
        </w:rPr>
        <w:noBreakHyphen/>
        <w:t>63.</w:t>
      </w:r>
    </w:p>
  </w:footnote>
  <w:footnote w:id="88">
    <w:p w14:paraId="235E9605" w14:textId="4B0DB6C2" w:rsidR="008939D6" w:rsidRPr="00537919" w:rsidRDefault="00B37A58" w:rsidP="008939D6">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rFonts w:cs="Arial"/>
          <w:i/>
          <w:iCs/>
          <w:color w:val="000000"/>
          <w:lang w:val="en-CA"/>
        </w:rPr>
        <w:t>Walker</w:t>
      </w:r>
      <w:r w:rsidR="00FF1397">
        <w:rPr>
          <w:rFonts w:cs="Arial"/>
          <w:i/>
          <w:iCs/>
          <w:color w:val="000000"/>
          <w:lang w:val="en-CA"/>
        </w:rPr>
        <w:t xml:space="preserve"> 1</w:t>
      </w:r>
      <w:r w:rsidRPr="00537919">
        <w:rPr>
          <w:rFonts w:cs="Arial"/>
          <w:color w:val="000000"/>
          <w:lang w:val="en-CA"/>
        </w:rPr>
        <w:t xml:space="preserve">, </w:t>
      </w:r>
      <w:r w:rsidRPr="00537919">
        <w:rPr>
          <w:rFonts w:cs="Arial"/>
          <w:i/>
          <w:iCs/>
          <w:lang w:val="en-CA"/>
        </w:rPr>
        <w:t>supra</w:t>
      </w:r>
      <w:r w:rsidRPr="00537919">
        <w:rPr>
          <w:lang w:val="en-CA"/>
        </w:rPr>
        <w:t xml:space="preserve">, note </w:t>
      </w:r>
      <w:r w:rsidR="004671DA">
        <w:rPr>
          <w:lang w:val="en-CA"/>
        </w:rPr>
        <w:t>78</w:t>
      </w:r>
      <w:r w:rsidRPr="00537919">
        <w:rPr>
          <w:lang w:val="en-CA"/>
        </w:rPr>
        <w:t>, paragr. 20</w:t>
      </w:r>
      <w:r w:rsidR="006F093F" w:rsidRPr="00537919">
        <w:rPr>
          <w:lang w:val="en-CA"/>
        </w:rPr>
        <w:t xml:space="preserve">: </w:t>
      </w:r>
      <w:r w:rsidR="00A70C17" w:rsidRPr="00537919">
        <w:rPr>
          <w:lang w:val="en-CA"/>
        </w:rPr>
        <w:t>“</w:t>
      </w:r>
      <w:r w:rsidR="006F093F" w:rsidRPr="00537919">
        <w:rPr>
          <w:lang w:val="en-CA"/>
        </w:rPr>
        <w:t>[t]he witness and the accused were not previously known to each other, their encounter was brief, and the circumstances were traumatic for the witness</w:t>
      </w:r>
      <w:r w:rsidR="00A70C17" w:rsidRPr="00537919">
        <w:rPr>
          <w:lang w:val="en-CA"/>
        </w:rPr>
        <w:t>”</w:t>
      </w:r>
      <w:r w:rsidR="006F093F" w:rsidRPr="00537919">
        <w:rPr>
          <w:lang w:val="en-CA"/>
        </w:rPr>
        <w:t>.</w:t>
      </w:r>
    </w:p>
  </w:footnote>
  <w:footnote w:id="89">
    <w:p w14:paraId="62F01B01" w14:textId="3E582D6F" w:rsidR="008939D6" w:rsidRPr="00537919" w:rsidRDefault="00B37A58" w:rsidP="008939D6">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i/>
          <w:iCs/>
          <w:lang w:val="en-CA"/>
        </w:rPr>
        <w:t>Id.</w:t>
      </w:r>
      <w:r w:rsidRPr="00537919">
        <w:rPr>
          <w:lang w:val="en-CA"/>
        </w:rPr>
        <w:t>, para. 68.</w:t>
      </w:r>
    </w:p>
  </w:footnote>
  <w:footnote w:id="90">
    <w:p w14:paraId="3048EE73" w14:textId="77777777" w:rsidR="008939D6" w:rsidRPr="00537919" w:rsidRDefault="00B37A58" w:rsidP="008939D6">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i/>
          <w:iCs/>
          <w:lang w:val="en-CA"/>
        </w:rPr>
        <w:t>Ibid.</w:t>
      </w:r>
    </w:p>
  </w:footnote>
  <w:footnote w:id="91">
    <w:p w14:paraId="2A0B42AD" w14:textId="345F9381" w:rsidR="00452FAA" w:rsidRPr="00AC0B3B" w:rsidRDefault="00B37A58">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A70C17" w:rsidRPr="00537919">
        <w:rPr>
          <w:lang w:val="en-CA"/>
        </w:rPr>
        <w:t>The ROC mentions that</w:t>
      </w:r>
      <w:r w:rsidRPr="00537919">
        <w:rPr>
          <w:lang w:val="en-CA"/>
        </w:rPr>
        <w:t xml:space="preserve"> </w:t>
      </w:r>
      <w:r w:rsidR="00A70C17" w:rsidRPr="00537919">
        <w:rPr>
          <w:lang w:val="en-CA"/>
        </w:rPr>
        <w:t>Mrs.</w:t>
      </w:r>
      <w:r w:rsidRPr="00537919">
        <w:rPr>
          <w:lang w:val="en-CA"/>
        </w:rPr>
        <w:t xml:space="preserve"> Brace </w:t>
      </w:r>
      <w:r w:rsidR="00A70C17" w:rsidRPr="00537919">
        <w:rPr>
          <w:lang w:val="en-CA"/>
        </w:rPr>
        <w:t>testified as follows</w:t>
      </w:r>
      <w:r w:rsidRPr="00537919">
        <w:rPr>
          <w:lang w:val="en-CA"/>
        </w:rPr>
        <w:t xml:space="preserve">, </w:t>
      </w:r>
      <w:r w:rsidR="00A70C17" w:rsidRPr="00537919">
        <w:rPr>
          <w:lang w:val="en-CA"/>
        </w:rPr>
        <w:t>in answer to the question of whether her husband had ever had any problems</w:t>
      </w:r>
      <w:r w:rsidRPr="00537919">
        <w:rPr>
          <w:lang w:val="en-CA"/>
        </w:rPr>
        <w:t xml:space="preserve">: </w:t>
      </w:r>
      <w:r w:rsidR="00A70C17" w:rsidRPr="00537919">
        <w:rPr>
          <w:lang w:val="en-CA"/>
        </w:rPr>
        <w:t>“</w:t>
      </w:r>
      <w:r w:rsidRPr="00537919">
        <w:rPr>
          <w:lang w:val="en-CA"/>
        </w:rPr>
        <w:t>In 1999, in May, he was shot once with a machine gun. Astrit had suspicions about Ëngjëll Brahimi, because in 1997 Ëngjëll's brother was killed when he was shot by the police. At this time in the police my brother in law (brother of Astrit) was working as the Head of Fieri Police Agron Grace and Astrit was the chief or crimes</w:t>
      </w:r>
      <w:r w:rsidR="00A70C17" w:rsidRPr="00537919">
        <w:rPr>
          <w:lang w:val="en-CA"/>
        </w:rPr>
        <w:t>.”</w:t>
      </w:r>
    </w:p>
  </w:footnote>
  <w:footnote w:id="92">
    <w:p w14:paraId="618F5E97" w14:textId="6CF9D554" w:rsidR="00CA042D" w:rsidRPr="00537919" w:rsidRDefault="00B37A58" w:rsidP="00CA042D">
      <w:pPr>
        <w:pStyle w:val="Notedebasdepage"/>
        <w:rPr>
          <w:lang w:val="en-CA"/>
        </w:rPr>
      </w:pPr>
      <w:r w:rsidRPr="00AC0B3B">
        <w:rPr>
          <w:rStyle w:val="Appelnotedebasdep"/>
        </w:rPr>
        <w:footnoteRef/>
      </w:r>
      <w:r w:rsidRPr="00C35B84">
        <w:rPr>
          <w:lang w:val="en-CA"/>
        </w:rPr>
        <w:t xml:space="preserve"> </w:t>
      </w:r>
      <w:r w:rsidRPr="00C35B84">
        <w:rPr>
          <w:lang w:val="en-CA"/>
        </w:rPr>
        <w:tab/>
      </w:r>
      <w:r w:rsidR="00EB7E64" w:rsidRPr="00537919">
        <w:rPr>
          <w:lang w:val="en-CA"/>
        </w:rPr>
        <w:t>Record of Case – Dossier certifié d’extradition</w:t>
      </w:r>
      <w:r w:rsidR="005D34EF" w:rsidRPr="00537919">
        <w:rPr>
          <w:lang w:val="en-CA"/>
        </w:rPr>
        <w:t>,</w:t>
      </w:r>
      <w:r w:rsidRPr="00537919">
        <w:rPr>
          <w:lang w:val="en-CA"/>
        </w:rPr>
        <w:t xml:space="preserve"> </w:t>
      </w:r>
      <w:r w:rsidRPr="00537919">
        <w:rPr>
          <w:i/>
          <w:iCs/>
          <w:lang w:val="en-CA"/>
        </w:rPr>
        <w:t>supra</w:t>
      </w:r>
      <w:r w:rsidRPr="00537919">
        <w:rPr>
          <w:lang w:val="en-CA"/>
        </w:rPr>
        <w:t xml:space="preserve">, note </w:t>
      </w:r>
      <w:r>
        <w:t>4</w:t>
      </w:r>
      <w:r w:rsidR="00A65188" w:rsidRPr="00537919">
        <w:rPr>
          <w:lang w:val="en-CA"/>
        </w:rPr>
        <w:t xml:space="preserve">, </w:t>
      </w:r>
      <w:r w:rsidRPr="00537919">
        <w:rPr>
          <w:lang w:val="en-CA"/>
        </w:rPr>
        <w:t>p</w:t>
      </w:r>
      <w:r w:rsidR="00984B30" w:rsidRPr="00537919">
        <w:rPr>
          <w:lang w:val="en-CA"/>
        </w:rPr>
        <w:t>p</w:t>
      </w:r>
      <w:r w:rsidRPr="00537919">
        <w:rPr>
          <w:lang w:val="en-CA"/>
        </w:rPr>
        <w:t xml:space="preserve">. 73-74 </w:t>
      </w:r>
      <w:r w:rsidR="005D34EF" w:rsidRPr="00537919">
        <w:rPr>
          <w:lang w:val="en-CA"/>
        </w:rPr>
        <w:t>and</w:t>
      </w:r>
      <w:r w:rsidRPr="00537919">
        <w:rPr>
          <w:lang w:val="en-CA"/>
        </w:rPr>
        <w:t xml:space="preserve"> 85-95; </w:t>
      </w:r>
      <w:r w:rsidR="00FF1397" w:rsidRPr="00537919">
        <w:rPr>
          <w:lang w:val="en-CA"/>
        </w:rPr>
        <w:t>Judgment</w:t>
      </w:r>
      <w:r w:rsidR="00984B30" w:rsidRPr="00537919">
        <w:rPr>
          <w:lang w:val="en-CA"/>
        </w:rPr>
        <w:t xml:space="preserve"> under appeal</w:t>
      </w:r>
      <w:r w:rsidRPr="00537919">
        <w:rPr>
          <w:lang w:val="en-CA"/>
        </w:rPr>
        <w:t>, para. 31.</w:t>
      </w:r>
    </w:p>
  </w:footnote>
  <w:footnote w:id="93">
    <w:p w14:paraId="59399039" w14:textId="75919895" w:rsidR="00EE1C0B" w:rsidRPr="00537919" w:rsidRDefault="00B37A58" w:rsidP="00F274DD">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i/>
          <w:iCs/>
          <w:lang w:val="en-CA"/>
        </w:rPr>
        <w:t xml:space="preserve">R. </w:t>
      </w:r>
      <w:r w:rsidR="00984B30" w:rsidRPr="00537919">
        <w:rPr>
          <w:i/>
          <w:iCs/>
          <w:lang w:val="en-CA"/>
        </w:rPr>
        <w:t>v</w:t>
      </w:r>
      <w:r w:rsidRPr="00537919">
        <w:rPr>
          <w:i/>
          <w:iCs/>
          <w:lang w:val="en-CA"/>
        </w:rPr>
        <w:t>. White</w:t>
      </w:r>
      <w:r w:rsidRPr="00537919">
        <w:rPr>
          <w:lang w:val="en-CA"/>
        </w:rPr>
        <w:t xml:space="preserve">, 2011 </w:t>
      </w:r>
      <w:r w:rsidR="00984B30" w:rsidRPr="00537919">
        <w:rPr>
          <w:lang w:val="en-CA"/>
        </w:rPr>
        <w:t>SCC</w:t>
      </w:r>
      <w:r w:rsidRPr="00537919">
        <w:rPr>
          <w:lang w:val="en-CA"/>
        </w:rPr>
        <w:t xml:space="preserve"> 13, para</w:t>
      </w:r>
      <w:r w:rsidR="00984B30" w:rsidRPr="00537919">
        <w:rPr>
          <w:lang w:val="en-CA"/>
        </w:rPr>
        <w:t>s</w:t>
      </w:r>
      <w:r w:rsidRPr="00537919">
        <w:rPr>
          <w:lang w:val="en-CA"/>
        </w:rPr>
        <w:t>. 22-23, cit</w:t>
      </w:r>
      <w:r w:rsidR="00984B30" w:rsidRPr="00537919">
        <w:rPr>
          <w:lang w:val="en-CA"/>
        </w:rPr>
        <w:t>ing</w:t>
      </w:r>
      <w:r w:rsidRPr="00537919">
        <w:rPr>
          <w:lang w:val="en-CA"/>
        </w:rPr>
        <w:t xml:space="preserve"> </w:t>
      </w:r>
      <w:r w:rsidRPr="00537919">
        <w:rPr>
          <w:i/>
          <w:iCs/>
          <w:lang w:val="en-CA"/>
        </w:rPr>
        <w:t xml:space="preserve">Gudmondson </w:t>
      </w:r>
      <w:r w:rsidR="00984B30" w:rsidRPr="00537919">
        <w:rPr>
          <w:i/>
          <w:iCs/>
          <w:lang w:val="en-CA"/>
        </w:rPr>
        <w:t>v</w:t>
      </w:r>
      <w:r w:rsidRPr="00537919">
        <w:rPr>
          <w:i/>
          <w:iCs/>
          <w:lang w:val="en-CA"/>
        </w:rPr>
        <w:t>. The King</w:t>
      </w:r>
      <w:r w:rsidRPr="00537919">
        <w:rPr>
          <w:lang w:val="en-CA"/>
        </w:rPr>
        <w:t xml:space="preserve"> (1933), </w:t>
      </w:r>
      <w:r w:rsidR="00F274DD" w:rsidRPr="00537919">
        <w:rPr>
          <w:lang w:val="en-CA"/>
        </w:rPr>
        <w:t xml:space="preserve">60 C.C.C. 332, </w:t>
      </w:r>
      <w:r w:rsidRPr="00537919">
        <w:rPr>
          <w:lang w:val="en-CA"/>
        </w:rPr>
        <w:t>1933</w:t>
      </w:r>
      <w:r w:rsidR="00E659AA" w:rsidRPr="00537919">
        <w:rPr>
          <w:lang w:val="en-CA"/>
        </w:rPr>
        <w:t> </w:t>
      </w:r>
      <w:r w:rsidRPr="00537919">
        <w:rPr>
          <w:lang w:val="en-CA"/>
        </w:rPr>
        <w:t>CanLII</w:t>
      </w:r>
      <w:r w:rsidR="00E659AA" w:rsidRPr="00537919">
        <w:rPr>
          <w:lang w:val="en-CA"/>
        </w:rPr>
        <w:t> </w:t>
      </w:r>
      <w:r w:rsidRPr="00537919">
        <w:rPr>
          <w:lang w:val="en-CA"/>
        </w:rPr>
        <w:t>415 (</w:t>
      </w:r>
      <w:r w:rsidR="00F274DD" w:rsidRPr="00537919">
        <w:rPr>
          <w:lang w:val="en-CA"/>
        </w:rPr>
        <w:t>S.C.</w:t>
      </w:r>
      <w:r w:rsidR="00984B30" w:rsidRPr="00537919">
        <w:rPr>
          <w:lang w:val="en-CA"/>
        </w:rPr>
        <w:t>C.</w:t>
      </w:r>
      <w:r w:rsidR="00F274DD" w:rsidRPr="00537919">
        <w:rPr>
          <w:lang w:val="en-CA"/>
        </w:rPr>
        <w:t xml:space="preserve">); </w:t>
      </w:r>
      <w:r w:rsidRPr="00537919">
        <w:rPr>
          <w:i/>
          <w:iCs/>
          <w:lang w:val="en-CA"/>
        </w:rPr>
        <w:t xml:space="preserve">R. </w:t>
      </w:r>
      <w:r w:rsidR="00984B30" w:rsidRPr="00537919">
        <w:rPr>
          <w:i/>
          <w:iCs/>
          <w:lang w:val="en-CA"/>
        </w:rPr>
        <w:t>v</w:t>
      </w:r>
      <w:r w:rsidRPr="00537919">
        <w:rPr>
          <w:i/>
          <w:iCs/>
          <w:lang w:val="en-CA"/>
        </w:rPr>
        <w:t>. White</w:t>
      </w:r>
      <w:r w:rsidRPr="00537919">
        <w:rPr>
          <w:lang w:val="en-CA"/>
        </w:rPr>
        <w:t xml:space="preserve">, [1998] 2 </w:t>
      </w:r>
      <w:r w:rsidR="00984B30" w:rsidRPr="00537919">
        <w:rPr>
          <w:lang w:val="en-CA"/>
        </w:rPr>
        <w:t>S.C.R.</w:t>
      </w:r>
      <w:r w:rsidRPr="00537919">
        <w:rPr>
          <w:lang w:val="en-CA"/>
        </w:rPr>
        <w:t xml:space="preserve"> 72, </w:t>
      </w:r>
      <w:r w:rsidR="00F274DD" w:rsidRPr="00537919">
        <w:rPr>
          <w:rFonts w:cs="Arial"/>
          <w:lang w:val="en-CA"/>
        </w:rPr>
        <w:t>p</w:t>
      </w:r>
      <w:r w:rsidR="00984B30" w:rsidRPr="00537919">
        <w:rPr>
          <w:rFonts w:cs="Arial"/>
          <w:lang w:val="en-CA"/>
        </w:rPr>
        <w:t>p</w:t>
      </w:r>
      <w:r w:rsidR="00F274DD" w:rsidRPr="00537919">
        <w:rPr>
          <w:rFonts w:cs="Arial"/>
          <w:lang w:val="en-CA"/>
        </w:rPr>
        <w:t>.</w:t>
      </w:r>
      <w:r w:rsidR="005E5B62" w:rsidRPr="00537919">
        <w:rPr>
          <w:rFonts w:cs="Arial"/>
          <w:lang w:val="en-CA"/>
        </w:rPr>
        <w:t xml:space="preserve"> </w:t>
      </w:r>
      <w:r w:rsidR="00F274DD" w:rsidRPr="00537919">
        <w:rPr>
          <w:rFonts w:cs="Arial"/>
          <w:lang w:val="en-CA"/>
        </w:rPr>
        <w:t>106-107.</w:t>
      </w:r>
    </w:p>
  </w:footnote>
  <w:footnote w:id="94">
    <w:p w14:paraId="58D61D6B" w14:textId="381AAB66" w:rsidR="00302B76" w:rsidRPr="00537919" w:rsidRDefault="00B37A58" w:rsidP="00302B76">
      <w:pPr>
        <w:pStyle w:val="Notedebasdepage"/>
        <w:rPr>
          <w:lang w:val="en-CA"/>
        </w:rPr>
      </w:pPr>
      <w:r w:rsidRPr="00AC0B3B">
        <w:rPr>
          <w:rStyle w:val="Appelnotedebasdep"/>
        </w:rPr>
        <w:footnoteRef/>
      </w:r>
      <w:r w:rsidRPr="00C35B84">
        <w:rPr>
          <w:lang w:val="en-CA"/>
        </w:rPr>
        <w:t xml:space="preserve"> </w:t>
      </w:r>
      <w:r w:rsidRPr="00C35B84">
        <w:rPr>
          <w:lang w:val="en-CA"/>
        </w:rPr>
        <w:tab/>
      </w:r>
      <w:r w:rsidR="001D199D" w:rsidRPr="00537919">
        <w:rPr>
          <w:lang w:val="en-CA"/>
        </w:rPr>
        <w:t>Judgment under appeal</w:t>
      </w:r>
      <w:r w:rsidRPr="00537919">
        <w:rPr>
          <w:lang w:val="en-CA"/>
        </w:rPr>
        <w:t>, para</w:t>
      </w:r>
      <w:r w:rsidR="001D199D" w:rsidRPr="00537919">
        <w:rPr>
          <w:lang w:val="en-CA"/>
        </w:rPr>
        <w:t>s</w:t>
      </w:r>
      <w:r w:rsidRPr="00537919">
        <w:rPr>
          <w:lang w:val="en-CA"/>
        </w:rPr>
        <w:t xml:space="preserve">. 43 </w:t>
      </w:r>
      <w:r w:rsidR="001D199D" w:rsidRPr="00537919">
        <w:rPr>
          <w:lang w:val="en-CA"/>
        </w:rPr>
        <w:t>and</w:t>
      </w:r>
      <w:r w:rsidRPr="00537919">
        <w:rPr>
          <w:lang w:val="en-CA"/>
        </w:rPr>
        <w:t xml:space="preserve"> 74.</w:t>
      </w:r>
    </w:p>
  </w:footnote>
  <w:footnote w:id="95">
    <w:p w14:paraId="2D03613C" w14:textId="1A37FE2E" w:rsidR="00573CE1" w:rsidRPr="00537919" w:rsidRDefault="00B37A58" w:rsidP="00E03407">
      <w:pPr>
        <w:pStyle w:val="Notedebasdepage"/>
        <w:rPr>
          <w:lang w:val="en-CA"/>
        </w:rPr>
      </w:pPr>
      <w:r w:rsidRPr="00AC0B3B">
        <w:rPr>
          <w:rStyle w:val="Appelnotedebasdep"/>
        </w:rPr>
        <w:footnoteRef/>
      </w:r>
      <w:r w:rsidRPr="00C35B84">
        <w:rPr>
          <w:lang w:val="en-CA"/>
        </w:rPr>
        <w:t xml:space="preserve"> </w:t>
      </w:r>
      <w:r w:rsidRPr="00C35B84">
        <w:rPr>
          <w:lang w:val="en-CA"/>
        </w:rPr>
        <w:tab/>
      </w:r>
      <w:r w:rsidRPr="00537919">
        <w:rPr>
          <w:i/>
          <w:iCs/>
          <w:lang w:val="en-CA"/>
        </w:rPr>
        <w:t xml:space="preserve">M.M. </w:t>
      </w:r>
      <w:r w:rsidR="0058300B" w:rsidRPr="00537919">
        <w:rPr>
          <w:i/>
          <w:iCs/>
          <w:lang w:val="en-CA"/>
        </w:rPr>
        <w:t>v.</w:t>
      </w:r>
      <w:r w:rsidRPr="00537919">
        <w:rPr>
          <w:i/>
          <w:iCs/>
          <w:lang w:val="en-CA"/>
        </w:rPr>
        <w:t xml:space="preserve"> </w:t>
      </w:r>
      <w:bookmarkStart w:id="58" w:name="_Hlk215067041"/>
      <w:r w:rsidR="0058300B" w:rsidRPr="00537919">
        <w:rPr>
          <w:i/>
          <w:iCs/>
          <w:lang w:val="en-CA"/>
        </w:rPr>
        <w:t>United States of America</w:t>
      </w:r>
      <w:bookmarkEnd w:id="58"/>
      <w:r w:rsidRPr="00537919">
        <w:rPr>
          <w:lang w:val="en-CA"/>
        </w:rPr>
        <w:t xml:space="preserve">, </w:t>
      </w:r>
      <w:r w:rsidRPr="00537919">
        <w:rPr>
          <w:i/>
          <w:iCs/>
          <w:lang w:val="en-CA"/>
        </w:rPr>
        <w:t>supra</w:t>
      </w:r>
      <w:r w:rsidRPr="00537919">
        <w:rPr>
          <w:lang w:val="en-CA"/>
        </w:rPr>
        <w:t xml:space="preserve">, note </w:t>
      </w:r>
      <w:r>
        <w:t>31</w:t>
      </w:r>
      <w:r w:rsidRPr="00537919">
        <w:rPr>
          <w:lang w:val="en-CA"/>
        </w:rPr>
        <w:t>, para. 50 cit</w:t>
      </w:r>
      <w:r w:rsidR="0058300B" w:rsidRPr="00537919">
        <w:rPr>
          <w:lang w:val="en-CA"/>
        </w:rPr>
        <w:t>ing</w:t>
      </w:r>
      <w:r w:rsidRPr="00537919">
        <w:rPr>
          <w:lang w:val="en-CA"/>
        </w:rPr>
        <w:t xml:space="preserve"> </w:t>
      </w:r>
      <w:r w:rsidRPr="00537919">
        <w:rPr>
          <w:i/>
          <w:iCs/>
          <w:lang w:val="en-CA"/>
        </w:rPr>
        <w:t xml:space="preserve">Canada (Justice) </w:t>
      </w:r>
      <w:r w:rsidR="0058300B" w:rsidRPr="00537919">
        <w:rPr>
          <w:i/>
          <w:iCs/>
          <w:lang w:val="en-CA"/>
        </w:rPr>
        <w:t>v</w:t>
      </w:r>
      <w:r w:rsidRPr="00537919">
        <w:rPr>
          <w:i/>
          <w:iCs/>
          <w:lang w:val="en-CA"/>
        </w:rPr>
        <w:t>. Fischbacher</w:t>
      </w:r>
      <w:r w:rsidRPr="00537919">
        <w:rPr>
          <w:lang w:val="en-CA"/>
        </w:rPr>
        <w:t xml:space="preserve">, </w:t>
      </w:r>
      <w:r w:rsidR="0098113E" w:rsidRPr="00537919">
        <w:rPr>
          <w:i/>
          <w:iCs/>
          <w:lang w:val="en-CA"/>
        </w:rPr>
        <w:t>supra</w:t>
      </w:r>
      <w:r w:rsidR="0098113E" w:rsidRPr="00537919">
        <w:rPr>
          <w:lang w:val="en-CA"/>
        </w:rPr>
        <w:t xml:space="preserve">, note </w:t>
      </w:r>
      <w:r w:rsidR="00D45B56" w:rsidRPr="00537919">
        <w:rPr>
          <w:lang w:val="en-CA"/>
        </w:rPr>
        <w:t>38</w:t>
      </w:r>
      <w:r w:rsidRPr="00537919">
        <w:rPr>
          <w:lang w:val="en-CA"/>
        </w:rPr>
        <w:t xml:space="preserve">, para. 35. </w:t>
      </w:r>
      <w:r w:rsidR="0058300B" w:rsidRPr="00537919">
        <w:rPr>
          <w:lang w:val="en-CA"/>
        </w:rPr>
        <w:t>See also</w:t>
      </w:r>
      <w:r w:rsidRPr="00537919">
        <w:rPr>
          <w:lang w:val="en-CA"/>
        </w:rPr>
        <w:t xml:space="preserve"> </w:t>
      </w:r>
      <w:r w:rsidR="0058300B" w:rsidRPr="00537919">
        <w:rPr>
          <w:i/>
          <w:iCs/>
          <w:color w:val="000000"/>
          <w:lang w:val="en-CA"/>
        </w:rPr>
        <w:t>United States of America v</w:t>
      </w:r>
      <w:r w:rsidRPr="00537919">
        <w:rPr>
          <w:i/>
          <w:iCs/>
          <w:color w:val="000000"/>
          <w:lang w:val="en-CA"/>
        </w:rPr>
        <w:t xml:space="preserve">. Ferras; </w:t>
      </w:r>
      <w:r w:rsidR="0058300B" w:rsidRPr="00537919">
        <w:rPr>
          <w:i/>
          <w:iCs/>
          <w:color w:val="000000"/>
          <w:lang w:val="en-CA"/>
        </w:rPr>
        <w:t>United States of America v.</w:t>
      </w:r>
      <w:r w:rsidRPr="00537919">
        <w:rPr>
          <w:i/>
          <w:iCs/>
          <w:color w:val="000000"/>
          <w:lang w:val="en-CA"/>
        </w:rPr>
        <w:t xml:space="preserve"> Latty</w:t>
      </w:r>
      <w:r w:rsidRPr="00537919">
        <w:rPr>
          <w:color w:val="000000"/>
          <w:lang w:val="en-CA"/>
        </w:rPr>
        <w:t xml:space="preserve">, </w:t>
      </w:r>
      <w:r w:rsidRPr="00537919">
        <w:rPr>
          <w:i/>
          <w:iCs/>
          <w:color w:val="000000"/>
          <w:lang w:val="en-CA"/>
        </w:rPr>
        <w:t>supra</w:t>
      </w:r>
      <w:r w:rsidRPr="00537919">
        <w:rPr>
          <w:color w:val="000000"/>
          <w:lang w:val="en-CA"/>
        </w:rPr>
        <w:t>, note</w:t>
      </w:r>
      <w:r w:rsidR="003571E5" w:rsidRPr="00537919">
        <w:rPr>
          <w:color w:val="000000"/>
          <w:lang w:val="en-CA"/>
        </w:rPr>
        <w:t xml:space="preserve"> </w:t>
      </w:r>
      <w:r>
        <w:t>31</w:t>
      </w:r>
      <w:r w:rsidRPr="00537919">
        <w:rPr>
          <w:color w:val="000000"/>
          <w:lang w:val="en-CA"/>
        </w:rPr>
        <w:t>, para.</w:t>
      </w:r>
      <w:r w:rsidR="006564C1" w:rsidRPr="00537919">
        <w:rPr>
          <w:color w:val="000000"/>
          <w:lang w:val="en-CA"/>
        </w:rPr>
        <w:t xml:space="preserve"> </w:t>
      </w:r>
      <w:r w:rsidRPr="00537919">
        <w:rPr>
          <w:lang w:val="en-CA"/>
        </w:rPr>
        <w:t xml:space="preserve">21; </w:t>
      </w:r>
      <w:r w:rsidR="0058300B" w:rsidRPr="00537919">
        <w:rPr>
          <w:i/>
          <w:iCs/>
          <w:color w:val="000000"/>
          <w:lang w:val="en-CA"/>
        </w:rPr>
        <w:t>United States of America v</w:t>
      </w:r>
      <w:r w:rsidRPr="00537919">
        <w:rPr>
          <w:i/>
          <w:iCs/>
          <w:color w:val="000000"/>
          <w:lang w:val="en-CA"/>
        </w:rPr>
        <w:t>. Dynar</w:t>
      </w:r>
      <w:r w:rsidRPr="00537919">
        <w:rPr>
          <w:color w:val="000000"/>
          <w:lang w:val="en-CA"/>
        </w:rPr>
        <w:t xml:space="preserve">, </w:t>
      </w:r>
      <w:r w:rsidR="00E03407" w:rsidRPr="00537919">
        <w:rPr>
          <w:color w:val="000000"/>
          <w:lang w:val="en-CA"/>
        </w:rPr>
        <w:t>[1997]</w:t>
      </w:r>
      <w:r w:rsidR="00E44901" w:rsidRPr="00537919">
        <w:rPr>
          <w:color w:val="000000"/>
          <w:lang w:val="en-CA"/>
        </w:rPr>
        <w:t xml:space="preserve"> </w:t>
      </w:r>
      <w:r w:rsidR="00E03407" w:rsidRPr="00537919">
        <w:rPr>
          <w:color w:val="000000"/>
          <w:lang w:val="en-CA"/>
        </w:rPr>
        <w:t>2</w:t>
      </w:r>
      <w:r w:rsidR="00E44901" w:rsidRPr="00537919">
        <w:rPr>
          <w:color w:val="000000"/>
          <w:lang w:val="en-CA"/>
        </w:rPr>
        <w:t xml:space="preserve"> </w:t>
      </w:r>
      <w:r w:rsidR="0058300B" w:rsidRPr="00537919">
        <w:rPr>
          <w:color w:val="000000"/>
          <w:lang w:val="en-CA"/>
        </w:rPr>
        <w:t>S.C.R.</w:t>
      </w:r>
      <w:r w:rsidR="00E44901" w:rsidRPr="00537919">
        <w:rPr>
          <w:color w:val="000000"/>
          <w:lang w:val="en-CA"/>
        </w:rPr>
        <w:t xml:space="preserve"> </w:t>
      </w:r>
      <w:r w:rsidR="00E03407" w:rsidRPr="00537919">
        <w:rPr>
          <w:color w:val="000000"/>
          <w:lang w:val="en-CA"/>
        </w:rPr>
        <w:t>462, p</w:t>
      </w:r>
      <w:r w:rsidR="0058300B" w:rsidRPr="00537919">
        <w:rPr>
          <w:color w:val="000000"/>
          <w:lang w:val="en-CA"/>
        </w:rPr>
        <w:t>p</w:t>
      </w:r>
      <w:r w:rsidR="00E03407" w:rsidRPr="00537919">
        <w:rPr>
          <w:color w:val="000000"/>
          <w:lang w:val="en-CA"/>
        </w:rPr>
        <w:t>. 513-514</w:t>
      </w:r>
      <w:r w:rsidR="00E03407" w:rsidRPr="00537919">
        <w:rPr>
          <w:lang w:val="en-CA"/>
        </w:rPr>
        <w:t xml:space="preserve">; </w:t>
      </w:r>
      <w:r w:rsidRPr="00537919">
        <w:rPr>
          <w:i/>
          <w:iCs/>
          <w:color w:val="000000"/>
          <w:lang w:val="en-CA"/>
        </w:rPr>
        <w:t>Canada</w:t>
      </w:r>
      <w:r w:rsidR="00111093" w:rsidRPr="00537919">
        <w:rPr>
          <w:i/>
          <w:iCs/>
          <w:color w:val="000000"/>
          <w:lang w:val="en-CA"/>
        </w:rPr>
        <w:t xml:space="preserve"> </w:t>
      </w:r>
      <w:r w:rsidR="0058300B" w:rsidRPr="00537919">
        <w:rPr>
          <w:i/>
          <w:iCs/>
          <w:color w:val="000000"/>
          <w:lang w:val="en-CA"/>
        </w:rPr>
        <w:t>v</w:t>
      </w:r>
      <w:r w:rsidRPr="00537919">
        <w:rPr>
          <w:i/>
          <w:iCs/>
          <w:color w:val="000000"/>
          <w:lang w:val="en-CA"/>
        </w:rPr>
        <w:t>.</w:t>
      </w:r>
      <w:r w:rsidR="00111093" w:rsidRPr="00537919">
        <w:rPr>
          <w:i/>
          <w:iCs/>
          <w:color w:val="000000"/>
          <w:lang w:val="en-CA"/>
        </w:rPr>
        <w:t xml:space="preserve"> </w:t>
      </w:r>
      <w:r w:rsidRPr="00537919">
        <w:rPr>
          <w:i/>
          <w:iCs/>
          <w:color w:val="000000"/>
          <w:lang w:val="en-CA"/>
        </w:rPr>
        <w:t>Schmidt</w:t>
      </w:r>
      <w:r w:rsidRPr="00537919">
        <w:rPr>
          <w:color w:val="000000"/>
          <w:lang w:val="en-CA"/>
        </w:rPr>
        <w:t xml:space="preserve">, </w:t>
      </w:r>
      <w:r w:rsidR="00E34687" w:rsidRPr="00537919">
        <w:rPr>
          <w:color w:val="000000"/>
          <w:lang w:val="en-CA"/>
        </w:rPr>
        <w:t xml:space="preserve">[1987] 1 </w:t>
      </w:r>
      <w:r w:rsidR="0058300B" w:rsidRPr="00537919">
        <w:rPr>
          <w:color w:val="000000"/>
          <w:lang w:val="en-CA"/>
        </w:rPr>
        <w:t>S.C.R.</w:t>
      </w:r>
      <w:r w:rsidR="00E34687" w:rsidRPr="00537919">
        <w:rPr>
          <w:i/>
          <w:iCs/>
          <w:color w:val="000000"/>
          <w:lang w:val="en-CA"/>
        </w:rPr>
        <w:t xml:space="preserve"> </w:t>
      </w:r>
      <w:r w:rsidR="00E34687" w:rsidRPr="00537919">
        <w:rPr>
          <w:iCs/>
          <w:color w:val="000000"/>
          <w:lang w:val="en-CA"/>
        </w:rPr>
        <w:t>500</w:t>
      </w:r>
      <w:r w:rsidR="00E34687" w:rsidRPr="00537919">
        <w:rPr>
          <w:lang w:val="en-CA"/>
        </w:rPr>
        <w:t xml:space="preserve">, </w:t>
      </w:r>
      <w:r w:rsidRPr="00537919">
        <w:rPr>
          <w:lang w:val="en-CA"/>
        </w:rPr>
        <w:t>p. 515.</w:t>
      </w:r>
    </w:p>
  </w:footnote>
  <w:footnote w:id="96">
    <w:p w14:paraId="75B5FB15" w14:textId="6EB1CC00" w:rsidR="00573CE1" w:rsidRPr="00537919" w:rsidRDefault="00B37A58" w:rsidP="00573CE1">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i/>
          <w:iCs/>
          <w:color w:val="000000"/>
          <w:lang w:val="en-CA"/>
        </w:rPr>
        <w:t xml:space="preserve">McVey (Re); McVey </w:t>
      </w:r>
      <w:r w:rsidR="0058300B" w:rsidRPr="00537919">
        <w:rPr>
          <w:i/>
          <w:iCs/>
          <w:color w:val="000000"/>
          <w:lang w:val="en-CA"/>
        </w:rPr>
        <w:t>v.</w:t>
      </w:r>
      <w:r w:rsidR="0058300B" w:rsidRPr="00537919">
        <w:rPr>
          <w:lang w:val="en-CA"/>
        </w:rPr>
        <w:t xml:space="preserve"> </w:t>
      </w:r>
      <w:r w:rsidR="0058300B" w:rsidRPr="00537919">
        <w:rPr>
          <w:i/>
          <w:iCs/>
          <w:color w:val="000000"/>
          <w:lang w:val="en-CA"/>
        </w:rPr>
        <w:t>United States of America</w:t>
      </w:r>
      <w:r w:rsidRPr="00537919">
        <w:rPr>
          <w:color w:val="000000"/>
          <w:lang w:val="en-CA"/>
        </w:rPr>
        <w:t xml:space="preserve">, </w:t>
      </w:r>
      <w:r w:rsidR="002E642D" w:rsidRPr="00537919">
        <w:rPr>
          <w:color w:val="000000"/>
          <w:lang w:val="en-CA"/>
        </w:rPr>
        <w:t xml:space="preserve">[1992] 3 </w:t>
      </w:r>
      <w:r w:rsidR="0058300B" w:rsidRPr="00537919">
        <w:rPr>
          <w:color w:val="000000"/>
          <w:lang w:val="en-CA"/>
        </w:rPr>
        <w:t>S.C.R</w:t>
      </w:r>
      <w:r w:rsidR="002E642D" w:rsidRPr="00537919">
        <w:rPr>
          <w:color w:val="000000"/>
          <w:lang w:val="en-CA"/>
        </w:rPr>
        <w:t xml:space="preserve">. </w:t>
      </w:r>
      <w:r w:rsidR="00925EB1" w:rsidRPr="00537919">
        <w:rPr>
          <w:color w:val="000000"/>
          <w:lang w:val="en-CA"/>
        </w:rPr>
        <w:t>475, p.</w:t>
      </w:r>
      <w:r w:rsidR="002E642D" w:rsidRPr="00537919">
        <w:rPr>
          <w:color w:val="000000"/>
          <w:lang w:val="en-CA"/>
        </w:rPr>
        <w:t> </w:t>
      </w:r>
      <w:r w:rsidRPr="00537919">
        <w:rPr>
          <w:color w:val="000000"/>
          <w:lang w:val="en-CA"/>
        </w:rPr>
        <w:t xml:space="preserve">528. </w:t>
      </w:r>
      <w:r w:rsidR="0058300B" w:rsidRPr="00537919">
        <w:rPr>
          <w:color w:val="000000"/>
          <w:lang w:val="en-CA"/>
        </w:rPr>
        <w:t>See also</w:t>
      </w:r>
      <w:r w:rsidRPr="00537919">
        <w:rPr>
          <w:color w:val="000000"/>
          <w:lang w:val="en-CA"/>
        </w:rPr>
        <w:t xml:space="preserve"> </w:t>
      </w:r>
      <w:r w:rsidRPr="00537919">
        <w:rPr>
          <w:i/>
          <w:iCs/>
          <w:lang w:val="en-CA"/>
        </w:rPr>
        <w:t>Canada (Justice)</w:t>
      </w:r>
      <w:r w:rsidR="00111093" w:rsidRPr="00537919">
        <w:rPr>
          <w:i/>
          <w:iCs/>
          <w:lang w:val="en-CA"/>
        </w:rPr>
        <w:t xml:space="preserve"> </w:t>
      </w:r>
      <w:r w:rsidR="0058300B" w:rsidRPr="00537919">
        <w:rPr>
          <w:i/>
          <w:iCs/>
          <w:lang w:val="en-CA"/>
        </w:rPr>
        <w:t>v</w:t>
      </w:r>
      <w:r w:rsidRPr="00537919">
        <w:rPr>
          <w:i/>
          <w:iCs/>
          <w:lang w:val="en-CA"/>
        </w:rPr>
        <w:t>.</w:t>
      </w:r>
      <w:r w:rsidR="00111093" w:rsidRPr="00537919">
        <w:rPr>
          <w:i/>
          <w:iCs/>
          <w:lang w:val="en-CA"/>
        </w:rPr>
        <w:t xml:space="preserve"> </w:t>
      </w:r>
      <w:r w:rsidRPr="00537919">
        <w:rPr>
          <w:i/>
          <w:iCs/>
          <w:lang w:val="en-CA"/>
        </w:rPr>
        <w:t>Fischbacher</w:t>
      </w:r>
      <w:r w:rsidRPr="00537919">
        <w:rPr>
          <w:lang w:val="en-CA"/>
        </w:rPr>
        <w:t xml:space="preserve">, </w:t>
      </w:r>
      <w:r w:rsidRPr="00537919">
        <w:rPr>
          <w:i/>
          <w:iCs/>
          <w:lang w:val="en-CA"/>
        </w:rPr>
        <w:t>supra</w:t>
      </w:r>
      <w:r w:rsidRPr="00537919">
        <w:rPr>
          <w:lang w:val="en-CA"/>
        </w:rPr>
        <w:t>, note</w:t>
      </w:r>
      <w:r w:rsidR="003571E5" w:rsidRPr="00537919">
        <w:rPr>
          <w:lang w:val="en-CA"/>
        </w:rPr>
        <w:t xml:space="preserve"> </w:t>
      </w:r>
      <w:r w:rsidR="00D45B56" w:rsidRPr="00537919">
        <w:rPr>
          <w:lang w:val="en-CA"/>
        </w:rPr>
        <w:t>38</w:t>
      </w:r>
      <w:r w:rsidRPr="00537919">
        <w:rPr>
          <w:color w:val="000000"/>
          <w:lang w:val="en-CA"/>
        </w:rPr>
        <w:t>, para. 35.</w:t>
      </w:r>
    </w:p>
  </w:footnote>
  <w:footnote w:id="97">
    <w:p w14:paraId="616E4EFC" w14:textId="4A8BEE99" w:rsidR="00573CE1" w:rsidRPr="00537919" w:rsidRDefault="00B37A58" w:rsidP="00573CE1">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i/>
          <w:iCs/>
          <w:lang w:val="en-CA"/>
        </w:rPr>
        <w:t xml:space="preserve">Canada (Justice) </w:t>
      </w:r>
      <w:r w:rsidR="0058300B" w:rsidRPr="00537919">
        <w:rPr>
          <w:i/>
          <w:iCs/>
          <w:lang w:val="en-CA"/>
        </w:rPr>
        <w:t>v</w:t>
      </w:r>
      <w:r w:rsidRPr="00537919">
        <w:rPr>
          <w:i/>
          <w:iCs/>
          <w:lang w:val="en-CA"/>
        </w:rPr>
        <w:t>. Fischbacher</w:t>
      </w:r>
      <w:r w:rsidRPr="00537919">
        <w:rPr>
          <w:lang w:val="en-CA"/>
        </w:rPr>
        <w:t xml:space="preserve">, </w:t>
      </w:r>
      <w:r w:rsidRPr="00537919">
        <w:rPr>
          <w:i/>
          <w:iCs/>
          <w:lang w:val="en-CA"/>
        </w:rPr>
        <w:t>supra</w:t>
      </w:r>
      <w:r w:rsidRPr="00537919">
        <w:rPr>
          <w:lang w:val="en-CA"/>
        </w:rPr>
        <w:t>, note</w:t>
      </w:r>
      <w:r w:rsidR="003571E5" w:rsidRPr="00537919">
        <w:rPr>
          <w:lang w:val="en-CA"/>
        </w:rPr>
        <w:t xml:space="preserve"> </w:t>
      </w:r>
      <w:r w:rsidR="002375FD">
        <w:rPr>
          <w:lang w:val="en-CA"/>
        </w:rPr>
        <w:t>38</w:t>
      </w:r>
      <w:r w:rsidRPr="00537919">
        <w:rPr>
          <w:lang w:val="en-CA"/>
        </w:rPr>
        <w:t>, para. 35.</w:t>
      </w:r>
    </w:p>
  </w:footnote>
  <w:footnote w:id="98">
    <w:p w14:paraId="24900583" w14:textId="73F08B34" w:rsidR="00573CE1" w:rsidRPr="00537919" w:rsidRDefault="00B37A58" w:rsidP="00573CE1">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i/>
          <w:iCs/>
          <w:lang w:val="en-CA"/>
        </w:rPr>
        <w:t xml:space="preserve">M.M. </w:t>
      </w:r>
      <w:r w:rsidR="0058300B" w:rsidRPr="00537919">
        <w:rPr>
          <w:i/>
          <w:iCs/>
          <w:lang w:val="en-CA"/>
        </w:rPr>
        <w:t>v</w:t>
      </w:r>
      <w:r w:rsidRPr="00537919">
        <w:rPr>
          <w:i/>
          <w:iCs/>
          <w:lang w:val="en-CA"/>
        </w:rPr>
        <w:t xml:space="preserve">. </w:t>
      </w:r>
      <w:r w:rsidR="0058300B" w:rsidRPr="00537919">
        <w:rPr>
          <w:i/>
          <w:iCs/>
          <w:lang w:val="en-CA"/>
        </w:rPr>
        <w:t>United States of America</w:t>
      </w:r>
      <w:r w:rsidRPr="00537919">
        <w:rPr>
          <w:lang w:val="en-CA"/>
        </w:rPr>
        <w:t xml:space="preserve">, </w:t>
      </w:r>
      <w:r w:rsidRPr="00537919">
        <w:rPr>
          <w:i/>
          <w:iCs/>
          <w:lang w:val="en-CA"/>
        </w:rPr>
        <w:t>supra</w:t>
      </w:r>
      <w:r w:rsidRPr="00537919">
        <w:rPr>
          <w:lang w:val="en-CA"/>
        </w:rPr>
        <w:t xml:space="preserve">, note </w:t>
      </w:r>
      <w:r>
        <w:t>31</w:t>
      </w:r>
      <w:r w:rsidR="005A7047" w:rsidRPr="00F0621F">
        <w:rPr>
          <w:lang w:val="en-CA"/>
        </w:rPr>
        <w:t>,</w:t>
      </w:r>
      <w:r w:rsidRPr="00537919">
        <w:rPr>
          <w:lang w:val="en-CA"/>
        </w:rPr>
        <w:t xml:space="preserve"> para. 59 cit</w:t>
      </w:r>
      <w:r w:rsidR="0058300B" w:rsidRPr="00537919">
        <w:rPr>
          <w:lang w:val="en-CA"/>
        </w:rPr>
        <w:t>ing</w:t>
      </w:r>
      <w:r w:rsidRPr="00537919">
        <w:rPr>
          <w:lang w:val="en-CA"/>
        </w:rPr>
        <w:t xml:space="preserve"> </w:t>
      </w:r>
      <w:r w:rsidR="0058300B" w:rsidRPr="00537919">
        <w:rPr>
          <w:i/>
          <w:iCs/>
          <w:color w:val="000000"/>
          <w:lang w:val="en-CA"/>
        </w:rPr>
        <w:t>United States of America v</w:t>
      </w:r>
      <w:r w:rsidRPr="00537919">
        <w:rPr>
          <w:i/>
          <w:iCs/>
          <w:color w:val="000000"/>
          <w:lang w:val="en-CA"/>
        </w:rPr>
        <w:t xml:space="preserve">. Ferras; </w:t>
      </w:r>
      <w:r w:rsidR="0058300B" w:rsidRPr="00537919">
        <w:rPr>
          <w:i/>
          <w:iCs/>
          <w:color w:val="000000"/>
          <w:lang w:val="en-CA"/>
        </w:rPr>
        <w:t>United States of America v</w:t>
      </w:r>
      <w:r w:rsidRPr="00537919">
        <w:rPr>
          <w:i/>
          <w:iCs/>
          <w:color w:val="000000"/>
          <w:lang w:val="en-CA"/>
        </w:rPr>
        <w:t>. Latty</w:t>
      </w:r>
      <w:r w:rsidRPr="00537919">
        <w:rPr>
          <w:color w:val="000000"/>
          <w:lang w:val="en-CA"/>
        </w:rPr>
        <w:t xml:space="preserve">, </w:t>
      </w:r>
      <w:r w:rsidRPr="00537919">
        <w:rPr>
          <w:i/>
          <w:iCs/>
          <w:color w:val="000000"/>
          <w:lang w:val="en-CA"/>
        </w:rPr>
        <w:t>supra</w:t>
      </w:r>
      <w:r w:rsidRPr="00537919">
        <w:rPr>
          <w:color w:val="000000"/>
          <w:lang w:val="en-CA"/>
        </w:rPr>
        <w:t>,</w:t>
      </w:r>
      <w:r w:rsidR="005A7047">
        <w:rPr>
          <w:color w:val="000000"/>
          <w:lang w:val="en-CA"/>
        </w:rPr>
        <w:t xml:space="preserve"> note </w:t>
      </w:r>
      <w:r>
        <w:t>31</w:t>
      </w:r>
      <w:r w:rsidR="005A7047" w:rsidRPr="00F0621F">
        <w:rPr>
          <w:lang w:val="en-CA"/>
        </w:rPr>
        <w:t xml:space="preserve">, </w:t>
      </w:r>
      <w:r w:rsidRPr="00537919">
        <w:rPr>
          <w:lang w:val="en-CA"/>
        </w:rPr>
        <w:t>para. 48.</w:t>
      </w:r>
    </w:p>
  </w:footnote>
  <w:footnote w:id="99">
    <w:p w14:paraId="443045D6" w14:textId="5E866C02" w:rsidR="00573CE1" w:rsidRPr="00537919" w:rsidRDefault="00B37A58" w:rsidP="00573CE1">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Pr="00537919">
        <w:rPr>
          <w:i/>
          <w:lang w:val="en-CA"/>
        </w:rPr>
        <w:t xml:space="preserve">Kindler </w:t>
      </w:r>
      <w:r w:rsidR="0058300B" w:rsidRPr="00537919">
        <w:rPr>
          <w:i/>
          <w:lang w:val="en-CA"/>
        </w:rPr>
        <w:t>v</w:t>
      </w:r>
      <w:r w:rsidRPr="00537919">
        <w:rPr>
          <w:i/>
          <w:lang w:val="en-CA"/>
        </w:rPr>
        <w:t>.</w:t>
      </w:r>
      <w:r w:rsidRPr="00537919">
        <w:rPr>
          <w:i/>
          <w:spacing w:val="23"/>
          <w:lang w:val="en-CA"/>
        </w:rPr>
        <w:t xml:space="preserve"> </w:t>
      </w:r>
      <w:r w:rsidRPr="00537919">
        <w:rPr>
          <w:i/>
          <w:lang w:val="en-CA"/>
        </w:rPr>
        <w:t>Canada</w:t>
      </w:r>
      <w:r w:rsidRPr="00537919">
        <w:rPr>
          <w:i/>
          <w:spacing w:val="25"/>
          <w:lang w:val="en-CA"/>
        </w:rPr>
        <w:t xml:space="preserve"> </w:t>
      </w:r>
      <w:r w:rsidRPr="00537919">
        <w:rPr>
          <w:i/>
          <w:lang w:val="en-CA"/>
        </w:rPr>
        <w:t>(Minist</w:t>
      </w:r>
      <w:r w:rsidR="0058300B" w:rsidRPr="00537919">
        <w:rPr>
          <w:i/>
          <w:lang w:val="en-CA"/>
        </w:rPr>
        <w:t>er</w:t>
      </w:r>
      <w:r w:rsidRPr="00537919">
        <w:rPr>
          <w:i/>
          <w:lang w:val="en-CA"/>
        </w:rPr>
        <w:t xml:space="preserve"> </w:t>
      </w:r>
      <w:r w:rsidR="0058300B" w:rsidRPr="00537919">
        <w:rPr>
          <w:i/>
          <w:lang w:val="en-CA"/>
        </w:rPr>
        <w:t>of</w:t>
      </w:r>
      <w:r w:rsidRPr="00537919">
        <w:rPr>
          <w:i/>
          <w:spacing w:val="23"/>
          <w:lang w:val="en-CA"/>
        </w:rPr>
        <w:t xml:space="preserve"> </w:t>
      </w:r>
      <w:r w:rsidRPr="00537919">
        <w:rPr>
          <w:i/>
          <w:lang w:val="en-CA"/>
        </w:rPr>
        <w:t>Justice)</w:t>
      </w:r>
      <w:r w:rsidRPr="00537919">
        <w:rPr>
          <w:lang w:val="en-CA"/>
        </w:rPr>
        <w:t>,</w:t>
      </w:r>
      <w:r w:rsidRPr="00537919">
        <w:rPr>
          <w:spacing w:val="24"/>
          <w:lang w:val="en-CA"/>
        </w:rPr>
        <w:t xml:space="preserve"> </w:t>
      </w:r>
      <w:r w:rsidRPr="00537919">
        <w:rPr>
          <w:lang w:val="en-CA"/>
        </w:rPr>
        <w:t>[1991]</w:t>
      </w:r>
      <w:r w:rsidRPr="00537919">
        <w:rPr>
          <w:spacing w:val="23"/>
          <w:lang w:val="en-CA"/>
        </w:rPr>
        <w:t xml:space="preserve"> </w:t>
      </w:r>
      <w:r w:rsidRPr="00537919">
        <w:rPr>
          <w:lang w:val="en-CA"/>
        </w:rPr>
        <w:t>2</w:t>
      </w:r>
      <w:r w:rsidRPr="00537919">
        <w:rPr>
          <w:spacing w:val="-2"/>
          <w:lang w:val="en-CA"/>
        </w:rPr>
        <w:t xml:space="preserve"> </w:t>
      </w:r>
      <w:r w:rsidR="0058300B" w:rsidRPr="00537919">
        <w:rPr>
          <w:lang w:val="en-CA"/>
        </w:rPr>
        <w:t>S.C.R</w:t>
      </w:r>
      <w:r w:rsidRPr="00537919">
        <w:rPr>
          <w:lang w:val="en-CA"/>
        </w:rPr>
        <w:t>.</w:t>
      </w:r>
      <w:r w:rsidRPr="00537919">
        <w:rPr>
          <w:spacing w:val="-7"/>
          <w:lang w:val="en-CA"/>
        </w:rPr>
        <w:t xml:space="preserve"> </w:t>
      </w:r>
      <w:r w:rsidRPr="00537919">
        <w:rPr>
          <w:lang w:val="en-CA"/>
        </w:rPr>
        <w:t>779, p</w:t>
      </w:r>
      <w:r w:rsidR="0058300B" w:rsidRPr="00537919">
        <w:rPr>
          <w:lang w:val="en-CA"/>
        </w:rPr>
        <w:t>p</w:t>
      </w:r>
      <w:r w:rsidRPr="00537919">
        <w:rPr>
          <w:lang w:val="en-CA"/>
        </w:rPr>
        <w:t>.</w:t>
      </w:r>
      <w:r w:rsidRPr="00537919">
        <w:rPr>
          <w:spacing w:val="-3"/>
          <w:lang w:val="en-CA"/>
        </w:rPr>
        <w:t xml:space="preserve"> </w:t>
      </w:r>
      <w:r w:rsidRPr="00537919">
        <w:rPr>
          <w:lang w:val="en-CA"/>
        </w:rPr>
        <w:t>844-845.</w:t>
      </w:r>
    </w:p>
  </w:footnote>
  <w:footnote w:id="100">
    <w:p w14:paraId="23DC5130" w14:textId="0F463734" w:rsidR="002F1E27" w:rsidRPr="00C35B84" w:rsidRDefault="00B37A58" w:rsidP="002F1E27">
      <w:pPr>
        <w:pStyle w:val="Notedebasdepage"/>
      </w:pPr>
      <w:r w:rsidRPr="00AC0B3B">
        <w:rPr>
          <w:rStyle w:val="Appelnotedebasdep"/>
        </w:rPr>
        <w:footnoteRef/>
      </w:r>
      <w:r w:rsidRPr="00AC0B3B">
        <w:t xml:space="preserve"> </w:t>
      </w:r>
      <w:r w:rsidRPr="00AC0B3B">
        <w:tab/>
      </w:r>
      <w:r w:rsidRPr="00C35B84">
        <w:t>Martin</w:t>
      </w:r>
      <w:r w:rsidR="00111093" w:rsidRPr="00C35B84">
        <w:t xml:space="preserve"> </w:t>
      </w:r>
      <w:r w:rsidRPr="00C35B84">
        <w:t>Vauclair, Tristan</w:t>
      </w:r>
      <w:r w:rsidR="00111093" w:rsidRPr="00C35B84">
        <w:t xml:space="preserve"> </w:t>
      </w:r>
      <w:r w:rsidRPr="00C35B84">
        <w:t xml:space="preserve">Desjardins </w:t>
      </w:r>
      <w:r w:rsidR="00784FCE" w:rsidRPr="00C35B84">
        <w:t>and</w:t>
      </w:r>
      <w:r w:rsidRPr="00C35B84">
        <w:t xml:space="preserve"> Pauline Lachance,</w:t>
      </w:r>
      <w:r w:rsidR="00111093" w:rsidRPr="00C35B84">
        <w:t xml:space="preserve"> </w:t>
      </w:r>
      <w:r w:rsidRPr="00C35B84">
        <w:rPr>
          <w:i/>
          <w:iCs/>
        </w:rPr>
        <w:t>Traité général de preuve et de procédure pénales</w:t>
      </w:r>
      <w:r w:rsidRPr="00C35B84">
        <w:t xml:space="preserve">, </w:t>
      </w:r>
      <w:r w:rsidRPr="00C35B84">
        <w:rPr>
          <w:i/>
          <w:iCs/>
        </w:rPr>
        <w:t>supra</w:t>
      </w:r>
      <w:r w:rsidRPr="00C35B84">
        <w:t>, note</w:t>
      </w:r>
      <w:r w:rsidR="00E03407" w:rsidRPr="00C35B84">
        <w:t xml:space="preserve"> </w:t>
      </w:r>
      <w:r w:rsidR="00FC1013" w:rsidRPr="00C35B84">
        <w:t>79</w:t>
      </w:r>
      <w:r w:rsidR="00383368" w:rsidRPr="00C35B84">
        <w:t>,</w:t>
      </w:r>
      <w:r w:rsidRPr="00C35B84">
        <w:t xml:space="preserve"> p. 127, </w:t>
      </w:r>
      <w:r w:rsidR="00FC1013" w:rsidRPr="00C35B84">
        <w:t>N</w:t>
      </w:r>
      <w:r w:rsidR="00784FCE" w:rsidRPr="00C35B84">
        <w:t>o.</w:t>
      </w:r>
      <w:r w:rsidRPr="00C35B84">
        <w:rPr>
          <w:vertAlign w:val="superscript"/>
        </w:rPr>
        <w:t xml:space="preserve"> </w:t>
      </w:r>
      <w:r w:rsidRPr="00C35B84">
        <w:t>6.48.</w:t>
      </w:r>
    </w:p>
  </w:footnote>
  <w:footnote w:id="101">
    <w:p w14:paraId="4B1A42A4" w14:textId="5A959F81" w:rsidR="00212614" w:rsidRPr="00537919" w:rsidRDefault="00B37A58">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784FCE" w:rsidRPr="00537919">
        <w:rPr>
          <w:i/>
          <w:iCs/>
          <w:color w:val="000000"/>
          <w:lang w:val="en-CA"/>
        </w:rPr>
        <w:t>United States of America</w:t>
      </w:r>
      <w:r w:rsidR="00111093" w:rsidRPr="00537919">
        <w:rPr>
          <w:i/>
          <w:iCs/>
          <w:color w:val="000000"/>
          <w:lang w:val="en-CA"/>
        </w:rPr>
        <w:t xml:space="preserve"> </w:t>
      </w:r>
      <w:r w:rsidR="00784FCE" w:rsidRPr="00537919">
        <w:rPr>
          <w:i/>
          <w:iCs/>
          <w:color w:val="000000"/>
          <w:lang w:val="en-CA"/>
        </w:rPr>
        <w:t>v</w:t>
      </w:r>
      <w:r w:rsidRPr="00537919">
        <w:rPr>
          <w:i/>
          <w:iCs/>
          <w:color w:val="000000"/>
          <w:lang w:val="en-CA"/>
        </w:rPr>
        <w:t>.</w:t>
      </w:r>
      <w:r w:rsidR="00111093" w:rsidRPr="00537919">
        <w:rPr>
          <w:i/>
          <w:iCs/>
          <w:color w:val="000000"/>
          <w:lang w:val="en-CA"/>
        </w:rPr>
        <w:t xml:space="preserve"> </w:t>
      </w:r>
      <w:r w:rsidRPr="00537919">
        <w:rPr>
          <w:i/>
          <w:iCs/>
          <w:color w:val="000000"/>
          <w:lang w:val="en-CA"/>
        </w:rPr>
        <w:t xml:space="preserve">Ferras; </w:t>
      </w:r>
      <w:r w:rsidR="00784FCE" w:rsidRPr="00537919">
        <w:rPr>
          <w:i/>
          <w:iCs/>
          <w:color w:val="000000"/>
          <w:lang w:val="en-CA"/>
        </w:rPr>
        <w:t>United States of America</w:t>
      </w:r>
      <w:r w:rsidR="00111093" w:rsidRPr="00537919">
        <w:rPr>
          <w:i/>
          <w:iCs/>
          <w:color w:val="000000"/>
          <w:lang w:val="en-CA"/>
        </w:rPr>
        <w:t xml:space="preserve"> </w:t>
      </w:r>
      <w:r w:rsidR="00784FCE" w:rsidRPr="00537919">
        <w:rPr>
          <w:i/>
          <w:iCs/>
          <w:color w:val="000000"/>
          <w:lang w:val="en-CA"/>
        </w:rPr>
        <w:t>v</w:t>
      </w:r>
      <w:r w:rsidRPr="00537919">
        <w:rPr>
          <w:i/>
          <w:iCs/>
          <w:color w:val="000000"/>
          <w:lang w:val="en-CA"/>
        </w:rPr>
        <w:t>.</w:t>
      </w:r>
      <w:r w:rsidR="00111093" w:rsidRPr="00537919">
        <w:rPr>
          <w:i/>
          <w:iCs/>
          <w:color w:val="000000"/>
          <w:lang w:val="en-CA"/>
        </w:rPr>
        <w:t xml:space="preserve"> </w:t>
      </w:r>
      <w:r w:rsidRPr="00537919">
        <w:rPr>
          <w:i/>
          <w:iCs/>
          <w:color w:val="000000"/>
          <w:lang w:val="en-CA"/>
        </w:rPr>
        <w:t>Latty</w:t>
      </w:r>
      <w:r w:rsidRPr="00537919">
        <w:rPr>
          <w:color w:val="000000"/>
          <w:lang w:val="en-CA"/>
        </w:rPr>
        <w:t xml:space="preserve">, </w:t>
      </w:r>
      <w:r w:rsidR="00111093" w:rsidRPr="00537919">
        <w:rPr>
          <w:i/>
          <w:iCs/>
          <w:color w:val="000000"/>
          <w:lang w:val="en-CA"/>
        </w:rPr>
        <w:t>supra</w:t>
      </w:r>
      <w:r w:rsidRPr="00537919">
        <w:rPr>
          <w:lang w:val="en-CA"/>
        </w:rPr>
        <w:t>,</w:t>
      </w:r>
      <w:r w:rsidR="00111093" w:rsidRPr="00537919">
        <w:rPr>
          <w:lang w:val="en-CA"/>
        </w:rPr>
        <w:t xml:space="preserve"> note </w:t>
      </w:r>
      <w:r>
        <w:t>31</w:t>
      </w:r>
      <w:r w:rsidR="00111093" w:rsidRPr="00537919">
        <w:rPr>
          <w:lang w:val="en-CA"/>
        </w:rPr>
        <w:t xml:space="preserve">, </w:t>
      </w:r>
      <w:r w:rsidRPr="00537919">
        <w:rPr>
          <w:lang w:val="en-CA"/>
        </w:rPr>
        <w:t>para. 26.</w:t>
      </w:r>
    </w:p>
  </w:footnote>
  <w:footnote w:id="102">
    <w:p w14:paraId="0AF3F504" w14:textId="20AA9875" w:rsidR="00573CE1" w:rsidRPr="00537919" w:rsidRDefault="00B37A58" w:rsidP="00573CE1">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784FCE" w:rsidRPr="00537919">
        <w:rPr>
          <w:lang w:val="en-CA"/>
        </w:rPr>
        <w:t>Judgment under appeal</w:t>
      </w:r>
      <w:r w:rsidRPr="00537919">
        <w:rPr>
          <w:lang w:val="en-CA"/>
        </w:rPr>
        <w:t>, para. 43.</w:t>
      </w:r>
    </w:p>
  </w:footnote>
  <w:footnote w:id="103">
    <w:p w14:paraId="4C0B5EDD" w14:textId="4CDAAA05" w:rsidR="00573CE1" w:rsidRPr="006B370B" w:rsidRDefault="00B37A58" w:rsidP="00573CE1">
      <w:pPr>
        <w:pStyle w:val="Notedebasdepage"/>
        <w:rPr>
          <w:lang w:val="en-CA"/>
        </w:rPr>
      </w:pPr>
      <w:r w:rsidRPr="00AC0B3B">
        <w:rPr>
          <w:rStyle w:val="Appelnotedebasdep"/>
        </w:rPr>
        <w:footnoteRef/>
      </w:r>
      <w:r w:rsidRPr="006B370B">
        <w:rPr>
          <w:lang w:val="en-CA"/>
        </w:rPr>
        <w:t xml:space="preserve"> </w:t>
      </w:r>
      <w:r w:rsidRPr="006B370B">
        <w:rPr>
          <w:lang w:val="en-CA"/>
        </w:rPr>
        <w:tab/>
      </w:r>
      <w:r w:rsidRPr="006B370B">
        <w:rPr>
          <w:i/>
          <w:iCs/>
          <w:lang w:val="en-CA"/>
        </w:rPr>
        <w:t>Id</w:t>
      </w:r>
      <w:r w:rsidRPr="006F6C2D">
        <w:rPr>
          <w:i/>
          <w:iCs/>
          <w:lang w:val="en-CA"/>
        </w:rPr>
        <w:t>.</w:t>
      </w:r>
      <w:r w:rsidRPr="006F6C2D">
        <w:rPr>
          <w:lang w:val="en-CA"/>
        </w:rPr>
        <w:t>, para</w:t>
      </w:r>
      <w:r w:rsidR="00A252E6">
        <w:rPr>
          <w:lang w:val="en-CA"/>
        </w:rPr>
        <w:t>s</w:t>
      </w:r>
      <w:r w:rsidRPr="006F6C2D">
        <w:rPr>
          <w:lang w:val="en-CA"/>
        </w:rPr>
        <w:t xml:space="preserve">. </w:t>
      </w:r>
      <w:r w:rsidR="006B5DD9" w:rsidRPr="006F6C2D">
        <w:rPr>
          <w:lang w:val="en-CA"/>
        </w:rPr>
        <w:t>55</w:t>
      </w:r>
      <w:r w:rsidRPr="006F6C2D">
        <w:rPr>
          <w:lang w:val="en-CA"/>
        </w:rPr>
        <w:t xml:space="preserve"> </w:t>
      </w:r>
      <w:r w:rsidR="00A252E6">
        <w:rPr>
          <w:lang w:val="en-CA"/>
        </w:rPr>
        <w:t>and</w:t>
      </w:r>
      <w:r w:rsidRPr="006F6C2D">
        <w:rPr>
          <w:lang w:val="en-CA"/>
        </w:rPr>
        <w:t xml:space="preserve"> 74.</w:t>
      </w:r>
    </w:p>
  </w:footnote>
  <w:footnote w:id="104">
    <w:p w14:paraId="0B2E5F2B" w14:textId="75B13F3B" w:rsidR="00D26475" w:rsidRPr="00537919" w:rsidRDefault="00B37A58" w:rsidP="00E03407">
      <w:pPr>
        <w:pStyle w:val="Notedebasdepage"/>
        <w:rPr>
          <w:lang w:val="en-CA"/>
        </w:rPr>
      </w:pPr>
      <w:r w:rsidRPr="00AC0B3B">
        <w:rPr>
          <w:rStyle w:val="Appelnotedebasdep"/>
        </w:rPr>
        <w:footnoteRef/>
      </w:r>
      <w:r w:rsidRPr="00E03407">
        <w:rPr>
          <w:lang w:val="en-CA"/>
        </w:rPr>
        <w:t xml:space="preserve"> </w:t>
      </w:r>
      <w:r w:rsidR="00085F43" w:rsidRPr="00E03407">
        <w:rPr>
          <w:lang w:val="en-CA"/>
        </w:rPr>
        <w:tab/>
      </w:r>
      <w:r w:rsidR="00FC4074" w:rsidRPr="00537919">
        <w:rPr>
          <w:lang w:val="en-CA"/>
        </w:rPr>
        <w:t>Sophonow</w:t>
      </w:r>
      <w:r w:rsidR="00D707DF" w:rsidRPr="00537919">
        <w:rPr>
          <w:lang w:val="en-CA"/>
        </w:rPr>
        <w:t xml:space="preserve"> Report,</w:t>
      </w:r>
      <w:r w:rsidR="00FC4074" w:rsidRPr="00537919">
        <w:rPr>
          <w:lang w:val="en-CA"/>
        </w:rPr>
        <w:t xml:space="preserve"> </w:t>
      </w:r>
      <w:r w:rsidR="00FC4074" w:rsidRPr="00537919">
        <w:rPr>
          <w:i/>
          <w:iCs/>
          <w:lang w:val="en-CA"/>
        </w:rPr>
        <w:t>supra</w:t>
      </w:r>
      <w:r w:rsidR="00FC4074" w:rsidRPr="00537919">
        <w:rPr>
          <w:lang w:val="en-CA"/>
        </w:rPr>
        <w:t xml:space="preserve">, note </w:t>
      </w:r>
      <w:r>
        <w:t>77</w:t>
      </w:r>
      <w:r w:rsidR="00E03407" w:rsidRPr="00537919">
        <w:rPr>
          <w:lang w:val="en-CA"/>
        </w:rPr>
        <w:t xml:space="preserve"> p</w:t>
      </w:r>
      <w:r w:rsidR="00D707DF" w:rsidRPr="00537919">
        <w:rPr>
          <w:lang w:val="en-CA"/>
        </w:rPr>
        <w:t>p</w:t>
      </w:r>
      <w:r w:rsidR="00E03407" w:rsidRPr="00537919">
        <w:rPr>
          <w:lang w:val="en-CA"/>
        </w:rPr>
        <w:t>.</w:t>
      </w:r>
      <w:r w:rsidR="00FF1397">
        <w:rPr>
          <w:lang w:val="en-CA"/>
        </w:rPr>
        <w:t xml:space="preserve"> </w:t>
      </w:r>
      <w:r w:rsidR="00E03407" w:rsidRPr="00537919">
        <w:rPr>
          <w:lang w:val="en-CA"/>
        </w:rPr>
        <w:t>31</w:t>
      </w:r>
      <w:r w:rsidR="00E03407" w:rsidRPr="00537919">
        <w:rPr>
          <w:lang w:val="en-CA"/>
        </w:rPr>
        <w:noBreakHyphen/>
        <w:t>34.</w:t>
      </w:r>
    </w:p>
  </w:footnote>
  <w:footnote w:id="105">
    <w:p w14:paraId="479C82DE" w14:textId="39B7D8B5" w:rsidR="00085F43" w:rsidRPr="00537919" w:rsidRDefault="00B37A58" w:rsidP="00085F43">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D707DF" w:rsidRPr="00537919">
        <w:rPr>
          <w:lang w:val="en-CA"/>
        </w:rPr>
        <w:t>Judgment under appeal</w:t>
      </w:r>
      <w:r w:rsidRPr="00537919">
        <w:rPr>
          <w:lang w:val="en-CA"/>
        </w:rPr>
        <w:t>, para. 75.</w:t>
      </w:r>
    </w:p>
  </w:footnote>
  <w:footnote w:id="106">
    <w:p w14:paraId="5A555F6B" w14:textId="4E908092" w:rsidR="00085F43" w:rsidRPr="00537919" w:rsidRDefault="00B37A58" w:rsidP="00085F43">
      <w:pPr>
        <w:pStyle w:val="Notedebasdepage"/>
        <w:rPr>
          <w:lang w:val="en-CA"/>
        </w:rPr>
      </w:pPr>
      <w:r w:rsidRPr="00AC0B3B">
        <w:rPr>
          <w:rStyle w:val="Appelnotedebasdep"/>
        </w:rPr>
        <w:footnoteRef/>
      </w:r>
      <w:r w:rsidRPr="00C35B84">
        <w:rPr>
          <w:lang w:val="en-CA"/>
        </w:rPr>
        <w:t xml:space="preserve"> </w:t>
      </w:r>
      <w:r w:rsidRPr="00C35B84">
        <w:rPr>
          <w:lang w:val="en-CA"/>
        </w:rPr>
        <w:tab/>
      </w:r>
      <w:r w:rsidR="00EA2BCD" w:rsidRPr="00537919">
        <w:rPr>
          <w:i/>
          <w:iCs/>
          <w:lang w:val="en-CA"/>
        </w:rPr>
        <w:t>United States of America</w:t>
      </w:r>
      <w:r w:rsidRPr="00537919">
        <w:rPr>
          <w:i/>
          <w:iCs/>
          <w:lang w:val="en-CA"/>
        </w:rPr>
        <w:t xml:space="preserve"> </w:t>
      </w:r>
      <w:r w:rsidR="00EA2BCD" w:rsidRPr="00537919">
        <w:rPr>
          <w:i/>
          <w:iCs/>
          <w:lang w:val="en-CA"/>
        </w:rPr>
        <w:t>v</w:t>
      </w:r>
      <w:r w:rsidRPr="00537919">
        <w:rPr>
          <w:i/>
          <w:iCs/>
          <w:lang w:val="en-CA"/>
        </w:rPr>
        <w:t>. Dynar</w:t>
      </w:r>
      <w:r w:rsidRPr="00537919">
        <w:rPr>
          <w:lang w:val="en-CA"/>
        </w:rPr>
        <w:t xml:space="preserve">, </w:t>
      </w:r>
      <w:r w:rsidRPr="00537919">
        <w:rPr>
          <w:i/>
          <w:iCs/>
          <w:lang w:val="en-CA"/>
        </w:rPr>
        <w:t>supra</w:t>
      </w:r>
      <w:r w:rsidRPr="00537919">
        <w:rPr>
          <w:lang w:val="en-CA"/>
        </w:rPr>
        <w:t>, note</w:t>
      </w:r>
      <w:r w:rsidR="00E03407" w:rsidRPr="00537919">
        <w:rPr>
          <w:lang w:val="en-CA"/>
        </w:rPr>
        <w:t xml:space="preserve"> </w:t>
      </w:r>
      <w:r>
        <w:t>95</w:t>
      </w:r>
      <w:r w:rsidRPr="00537919">
        <w:rPr>
          <w:lang w:val="en-CA"/>
        </w:rPr>
        <w:t xml:space="preserve">, p. 518; </w:t>
      </w:r>
      <w:r w:rsidRPr="00537919">
        <w:rPr>
          <w:i/>
          <w:iCs/>
          <w:lang w:val="en-CA"/>
        </w:rPr>
        <w:t>United States of America v. Pannell</w:t>
      </w:r>
      <w:r w:rsidRPr="00537919">
        <w:rPr>
          <w:lang w:val="en-CA"/>
        </w:rPr>
        <w:t>, 2007 ONCA</w:t>
      </w:r>
      <w:r w:rsidR="002A3C83" w:rsidRPr="00537919">
        <w:rPr>
          <w:lang w:val="en-CA"/>
        </w:rPr>
        <w:t> </w:t>
      </w:r>
      <w:r w:rsidRPr="00537919">
        <w:rPr>
          <w:lang w:val="en-CA"/>
        </w:rPr>
        <w:t xml:space="preserve">786, para. 23, </w:t>
      </w:r>
      <w:r w:rsidR="0047639B" w:rsidRPr="00537919">
        <w:rPr>
          <w:lang w:val="en-CA"/>
        </w:rPr>
        <w:t>discontinuance of the</w:t>
      </w:r>
      <w:r w:rsidRPr="00537919">
        <w:rPr>
          <w:lang w:val="en-CA"/>
        </w:rPr>
        <w:t xml:space="preserve"> </w:t>
      </w:r>
      <w:r w:rsidR="0047639B" w:rsidRPr="00537919">
        <w:rPr>
          <w:lang w:val="en-CA"/>
        </w:rPr>
        <w:t>application for leave to appeal to the Supreme Court</w:t>
      </w:r>
      <w:r w:rsidRPr="00537919">
        <w:rPr>
          <w:lang w:val="en-CA"/>
        </w:rPr>
        <w:t xml:space="preserve">, </w:t>
      </w:r>
      <w:r w:rsidR="0047639B" w:rsidRPr="00537919">
        <w:rPr>
          <w:lang w:val="en-CA"/>
        </w:rPr>
        <w:t>January 22,</w:t>
      </w:r>
      <w:r w:rsidR="002A3C83" w:rsidRPr="00537919">
        <w:rPr>
          <w:lang w:val="en-CA"/>
        </w:rPr>
        <w:t> </w:t>
      </w:r>
      <w:r w:rsidRPr="00537919">
        <w:rPr>
          <w:lang w:val="en-CA"/>
        </w:rPr>
        <w:t xml:space="preserve">2008, </w:t>
      </w:r>
      <w:r w:rsidR="007E79A7" w:rsidRPr="00537919">
        <w:rPr>
          <w:lang w:val="en-CA"/>
        </w:rPr>
        <w:t>N</w:t>
      </w:r>
      <w:r w:rsidR="0047639B" w:rsidRPr="00537919">
        <w:rPr>
          <w:lang w:val="en-CA"/>
        </w:rPr>
        <w:t>o.</w:t>
      </w:r>
      <w:r w:rsidRPr="00537919">
        <w:rPr>
          <w:lang w:val="en-CA"/>
        </w:rPr>
        <w:t xml:space="preserve"> 32399. </w:t>
      </w:r>
      <w:r w:rsidR="002C0CC4" w:rsidRPr="00537919">
        <w:rPr>
          <w:lang w:val="en-CA"/>
        </w:rPr>
        <w:t>The record of the case must include a summary of the evidence available to it</w:t>
      </w:r>
      <w:r w:rsidRPr="00537919">
        <w:rPr>
          <w:lang w:val="en-CA"/>
        </w:rPr>
        <w:t xml:space="preserve">: </w:t>
      </w:r>
      <w:r w:rsidR="002C0CC4" w:rsidRPr="00537919">
        <w:rPr>
          <w:i/>
          <w:iCs/>
          <w:lang w:val="en-CA"/>
        </w:rPr>
        <w:t>Extradition Act</w:t>
      </w:r>
      <w:r w:rsidRPr="00537919">
        <w:rPr>
          <w:lang w:val="en-CA"/>
        </w:rPr>
        <w:t xml:space="preserve">, </w:t>
      </w:r>
      <w:r w:rsidR="00634929" w:rsidRPr="00537919">
        <w:rPr>
          <w:i/>
          <w:iCs/>
          <w:lang w:val="en-CA"/>
        </w:rPr>
        <w:t>supra</w:t>
      </w:r>
      <w:r w:rsidR="00634929" w:rsidRPr="00537919">
        <w:rPr>
          <w:lang w:val="en-CA"/>
        </w:rPr>
        <w:t xml:space="preserve">, note </w:t>
      </w:r>
      <w:r w:rsidR="002375FD">
        <w:rPr>
          <w:lang w:val="en-CA"/>
        </w:rPr>
        <w:t>2</w:t>
      </w:r>
      <w:r w:rsidR="00634929" w:rsidRPr="00537919">
        <w:rPr>
          <w:lang w:val="en-CA"/>
        </w:rPr>
        <w:t xml:space="preserve">, </w:t>
      </w:r>
      <w:r w:rsidR="002C0CC4" w:rsidRPr="00537919">
        <w:rPr>
          <w:lang w:val="en-CA"/>
        </w:rPr>
        <w:t>s</w:t>
      </w:r>
      <w:r w:rsidR="00630C2A" w:rsidRPr="00537919">
        <w:rPr>
          <w:lang w:val="en-CA"/>
        </w:rPr>
        <w:t>.</w:t>
      </w:r>
      <w:r w:rsidRPr="00537919">
        <w:rPr>
          <w:lang w:val="en-CA"/>
        </w:rPr>
        <w:t xml:space="preserve"> 33(1)</w:t>
      </w:r>
      <w:r w:rsidR="007E79A7" w:rsidRPr="00537919">
        <w:rPr>
          <w:lang w:val="en-CA"/>
        </w:rPr>
        <w:t>(</w:t>
      </w:r>
      <w:r w:rsidR="00630C2A" w:rsidRPr="00537919">
        <w:rPr>
          <w:lang w:val="en-CA"/>
        </w:rPr>
        <w:t>a)</w:t>
      </w:r>
      <w:r w:rsidRPr="00537919">
        <w:rPr>
          <w:lang w:val="en-CA"/>
        </w:rPr>
        <w:t>.</w:t>
      </w:r>
    </w:p>
  </w:footnote>
  <w:footnote w:id="107">
    <w:p w14:paraId="183A6916" w14:textId="7FA115C6" w:rsidR="00085F43" w:rsidRPr="00537919" w:rsidRDefault="00B37A58" w:rsidP="00085F43">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EB7E64" w:rsidRPr="00537919">
        <w:rPr>
          <w:lang w:val="en-CA"/>
        </w:rPr>
        <w:t>Record of Case – Dossier certifié d’extradition</w:t>
      </w:r>
      <w:r w:rsidRPr="00537919">
        <w:rPr>
          <w:lang w:val="en-CA"/>
        </w:rPr>
        <w:t xml:space="preserve">, </w:t>
      </w:r>
      <w:r w:rsidR="002A3C83" w:rsidRPr="00537919">
        <w:rPr>
          <w:i/>
          <w:iCs/>
          <w:lang w:val="en-CA"/>
        </w:rPr>
        <w:t>supra</w:t>
      </w:r>
      <w:r w:rsidRPr="00537919">
        <w:rPr>
          <w:lang w:val="en-CA"/>
        </w:rPr>
        <w:t>,</w:t>
      </w:r>
      <w:r w:rsidR="002A3C83" w:rsidRPr="00537919">
        <w:rPr>
          <w:lang w:val="en-CA"/>
        </w:rPr>
        <w:t xml:space="preserve"> note </w:t>
      </w:r>
      <w:r>
        <w:t>4</w:t>
      </w:r>
      <w:r w:rsidR="002A3C83" w:rsidRPr="00537919">
        <w:rPr>
          <w:lang w:val="en-CA"/>
        </w:rPr>
        <w:t>, p. 71.</w:t>
      </w:r>
    </w:p>
  </w:footnote>
  <w:footnote w:id="108">
    <w:p w14:paraId="4BF063DA" w14:textId="026D17CF" w:rsidR="00085F43" w:rsidRPr="00537919" w:rsidRDefault="00B37A58" w:rsidP="00085F43">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8579DA" w:rsidRPr="00537919">
        <w:rPr>
          <w:i/>
          <w:iCs/>
          <w:lang w:val="en-CA"/>
        </w:rPr>
        <w:t>Id.</w:t>
      </w:r>
      <w:r w:rsidRPr="00537919">
        <w:rPr>
          <w:lang w:val="en-CA"/>
        </w:rPr>
        <w:t>,</w:t>
      </w:r>
      <w:r w:rsidR="002A3C83" w:rsidRPr="00537919">
        <w:rPr>
          <w:lang w:val="en-CA"/>
        </w:rPr>
        <w:t xml:space="preserve"> p</w:t>
      </w:r>
      <w:r w:rsidR="002C0CC4" w:rsidRPr="00537919">
        <w:rPr>
          <w:lang w:val="en-CA"/>
        </w:rPr>
        <w:t>p</w:t>
      </w:r>
      <w:r w:rsidR="002A3C83" w:rsidRPr="00537919">
        <w:rPr>
          <w:lang w:val="en-CA"/>
        </w:rPr>
        <w:t>. 70-71.</w:t>
      </w:r>
    </w:p>
  </w:footnote>
  <w:footnote w:id="109">
    <w:p w14:paraId="60338147" w14:textId="7134A366" w:rsidR="00085F43" w:rsidRPr="00C35B84" w:rsidRDefault="00B37A58" w:rsidP="00085F43">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2C0CC4" w:rsidRPr="00537919">
        <w:rPr>
          <w:lang w:val="en-CA"/>
        </w:rPr>
        <w:t>Judgment under appeal</w:t>
      </w:r>
      <w:r w:rsidRPr="00537919">
        <w:rPr>
          <w:lang w:val="en-CA"/>
        </w:rPr>
        <w:t>, para</w:t>
      </w:r>
      <w:r w:rsidR="002C0CC4" w:rsidRPr="00537919">
        <w:rPr>
          <w:lang w:val="en-CA"/>
        </w:rPr>
        <w:t>s</w:t>
      </w:r>
      <w:r w:rsidRPr="00537919">
        <w:rPr>
          <w:lang w:val="en-CA"/>
        </w:rPr>
        <w:t xml:space="preserve">. 71 </w:t>
      </w:r>
      <w:r w:rsidR="002C0CC4" w:rsidRPr="00537919">
        <w:rPr>
          <w:lang w:val="en-CA"/>
        </w:rPr>
        <w:t>and</w:t>
      </w:r>
      <w:r w:rsidRPr="00537919">
        <w:rPr>
          <w:lang w:val="en-CA"/>
        </w:rPr>
        <w:t xml:space="preserve"> 75.</w:t>
      </w:r>
    </w:p>
  </w:footnote>
  <w:footnote w:id="110">
    <w:p w14:paraId="32F36DE4" w14:textId="1A855501" w:rsidR="00085F43" w:rsidRPr="00537919" w:rsidRDefault="00B37A58" w:rsidP="00085F43">
      <w:pPr>
        <w:pStyle w:val="Notedebasdepage"/>
        <w:rPr>
          <w:lang w:val="en-CA"/>
        </w:rPr>
      </w:pPr>
      <w:r w:rsidRPr="00AC0B3B">
        <w:rPr>
          <w:rStyle w:val="Appelnotedebasdep"/>
        </w:rPr>
        <w:footnoteRef/>
      </w:r>
      <w:r w:rsidRPr="002375FD">
        <w:rPr>
          <w:lang w:val="en-CA"/>
        </w:rPr>
        <w:t xml:space="preserve"> </w:t>
      </w:r>
      <w:r w:rsidRPr="002375FD">
        <w:rPr>
          <w:lang w:val="en-CA"/>
        </w:rPr>
        <w:tab/>
      </w:r>
      <w:r w:rsidRPr="00537919">
        <w:rPr>
          <w:lang w:val="en-CA"/>
        </w:rPr>
        <w:t xml:space="preserve">Record of Case – Dossier certifié d’extradition, </w:t>
      </w:r>
      <w:r w:rsidR="002A3C83" w:rsidRPr="00537919">
        <w:rPr>
          <w:i/>
          <w:iCs/>
          <w:lang w:val="en-CA"/>
        </w:rPr>
        <w:t>supra</w:t>
      </w:r>
      <w:r w:rsidR="002A3C83" w:rsidRPr="00537919">
        <w:rPr>
          <w:lang w:val="en-CA"/>
        </w:rPr>
        <w:t xml:space="preserve">, note </w:t>
      </w:r>
      <w:r>
        <w:t>4</w:t>
      </w:r>
      <w:r w:rsidRPr="00537919">
        <w:rPr>
          <w:lang w:val="en-CA"/>
        </w:rPr>
        <w:t>,</w:t>
      </w:r>
      <w:r w:rsidR="002A3C83" w:rsidRPr="00537919">
        <w:rPr>
          <w:lang w:val="en-CA"/>
        </w:rPr>
        <w:t xml:space="preserve"> p</w:t>
      </w:r>
      <w:r w:rsidR="00E6250C" w:rsidRPr="00537919">
        <w:rPr>
          <w:lang w:val="en-CA"/>
        </w:rPr>
        <w:t>p</w:t>
      </w:r>
      <w:r w:rsidR="002A3C83" w:rsidRPr="00537919">
        <w:rPr>
          <w:lang w:val="en-CA"/>
        </w:rPr>
        <w:t>. 70-71.</w:t>
      </w:r>
    </w:p>
  </w:footnote>
  <w:footnote w:id="111">
    <w:p w14:paraId="3FCB8949" w14:textId="3E663423" w:rsidR="00085F43" w:rsidRPr="00537919" w:rsidRDefault="00B37A58" w:rsidP="00085F43">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2A3C83" w:rsidRPr="00537919">
        <w:rPr>
          <w:i/>
          <w:iCs/>
          <w:lang w:val="en-CA"/>
        </w:rPr>
        <w:t>Ibid.</w:t>
      </w:r>
    </w:p>
  </w:footnote>
  <w:footnote w:id="112">
    <w:p w14:paraId="0EDF14E1" w14:textId="6CA7017C" w:rsidR="00085F43" w:rsidRPr="00537919" w:rsidRDefault="00B37A58" w:rsidP="00085F43">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FC4074" w:rsidRPr="00537919">
        <w:rPr>
          <w:i/>
          <w:iCs/>
          <w:lang w:val="en-CA"/>
        </w:rPr>
        <w:t>Walker 1</w:t>
      </w:r>
      <w:r w:rsidRPr="00537919">
        <w:rPr>
          <w:lang w:val="en-CA"/>
        </w:rPr>
        <w:t xml:space="preserve">, </w:t>
      </w:r>
      <w:r w:rsidR="002A3C83" w:rsidRPr="00537919">
        <w:rPr>
          <w:i/>
          <w:iCs/>
          <w:lang w:val="en-CA"/>
        </w:rPr>
        <w:t>supra</w:t>
      </w:r>
      <w:r w:rsidR="002A3C83" w:rsidRPr="00537919">
        <w:rPr>
          <w:lang w:val="en-CA"/>
        </w:rPr>
        <w:t xml:space="preserve">, note </w:t>
      </w:r>
      <w:r w:rsidR="00FF1397">
        <w:rPr>
          <w:lang w:val="en-CA"/>
        </w:rPr>
        <w:t>7</w:t>
      </w:r>
      <w:r w:rsidR="00EB7E64" w:rsidRPr="00537919">
        <w:rPr>
          <w:lang w:val="en-CA"/>
        </w:rPr>
        <w:t>8</w:t>
      </w:r>
      <w:r w:rsidRPr="00537919">
        <w:rPr>
          <w:lang w:val="en-CA"/>
        </w:rPr>
        <w:t xml:space="preserve">, para. 30. </w:t>
      </w:r>
      <w:r w:rsidR="00E6250C" w:rsidRPr="00537919">
        <w:rPr>
          <w:lang w:val="en-CA"/>
        </w:rPr>
        <w:t xml:space="preserve">That case </w:t>
      </w:r>
      <w:r w:rsidR="00D31875" w:rsidRPr="00537919">
        <w:rPr>
          <w:lang w:val="en-CA"/>
        </w:rPr>
        <w:t xml:space="preserve">under consideration </w:t>
      </w:r>
      <w:r w:rsidR="00E6250C" w:rsidRPr="00537919">
        <w:rPr>
          <w:lang w:val="en-CA"/>
        </w:rPr>
        <w:t>is not however analogous to that where the ROC merely mentions that the police suspect the person sought</w:t>
      </w:r>
      <w:r w:rsidRPr="00537919">
        <w:rPr>
          <w:lang w:val="en-CA"/>
        </w:rPr>
        <w:t xml:space="preserve">: </w:t>
      </w:r>
      <w:r w:rsidR="00E6250C" w:rsidRPr="00537919">
        <w:rPr>
          <w:lang w:val="en-CA"/>
        </w:rPr>
        <w:t>see</w:t>
      </w:r>
      <w:r w:rsidRPr="00537919">
        <w:rPr>
          <w:lang w:val="en-CA"/>
        </w:rPr>
        <w:t xml:space="preserve"> </w:t>
      </w:r>
      <w:r w:rsidRPr="00537919">
        <w:rPr>
          <w:i/>
          <w:iCs/>
          <w:lang w:val="en-CA"/>
        </w:rPr>
        <w:t xml:space="preserve">M.M. </w:t>
      </w:r>
      <w:r w:rsidR="00E6250C" w:rsidRPr="00537919">
        <w:rPr>
          <w:i/>
          <w:iCs/>
          <w:lang w:val="en-CA"/>
        </w:rPr>
        <w:t>v</w:t>
      </w:r>
      <w:r w:rsidRPr="00537919">
        <w:rPr>
          <w:i/>
          <w:iCs/>
          <w:lang w:val="en-CA"/>
        </w:rPr>
        <w:t xml:space="preserve">. </w:t>
      </w:r>
      <w:r w:rsidR="00E6250C" w:rsidRPr="00537919">
        <w:rPr>
          <w:i/>
          <w:iCs/>
          <w:lang w:val="en-CA"/>
        </w:rPr>
        <w:t>United States of America</w:t>
      </w:r>
      <w:r w:rsidRPr="00537919">
        <w:rPr>
          <w:lang w:val="en-CA"/>
        </w:rPr>
        <w:t xml:space="preserve">, </w:t>
      </w:r>
      <w:r w:rsidR="002A3C83" w:rsidRPr="00537919">
        <w:rPr>
          <w:i/>
          <w:iCs/>
          <w:lang w:val="en-CA"/>
        </w:rPr>
        <w:t>supra</w:t>
      </w:r>
      <w:r w:rsidRPr="00537919">
        <w:rPr>
          <w:lang w:val="en-CA"/>
        </w:rPr>
        <w:t>,</w:t>
      </w:r>
      <w:r w:rsidR="002A3C83" w:rsidRPr="00537919">
        <w:rPr>
          <w:lang w:val="en-CA"/>
        </w:rPr>
        <w:t xml:space="preserve"> note </w:t>
      </w:r>
      <w:r>
        <w:t>31</w:t>
      </w:r>
      <w:r w:rsidR="005A7047" w:rsidRPr="00F0621F">
        <w:rPr>
          <w:lang w:val="en-CA"/>
        </w:rPr>
        <w:t xml:space="preserve">, </w:t>
      </w:r>
      <w:r w:rsidRPr="00537919">
        <w:rPr>
          <w:lang w:val="en-CA"/>
        </w:rPr>
        <w:t>para. 51 cit</w:t>
      </w:r>
      <w:r w:rsidR="00E6250C" w:rsidRPr="00537919">
        <w:rPr>
          <w:lang w:val="en-CA"/>
        </w:rPr>
        <w:t>ing</w:t>
      </w:r>
      <w:r w:rsidRPr="00537919">
        <w:rPr>
          <w:lang w:val="en-CA"/>
        </w:rPr>
        <w:t xml:space="preserve"> </w:t>
      </w:r>
      <w:r w:rsidRPr="00537919">
        <w:rPr>
          <w:i/>
          <w:iCs/>
          <w:color w:val="000000"/>
          <w:lang w:val="en-CA"/>
        </w:rPr>
        <w:t>United</w:t>
      </w:r>
      <w:r w:rsidR="002A3C83" w:rsidRPr="00537919">
        <w:rPr>
          <w:color w:val="000000"/>
          <w:lang w:val="en-CA"/>
        </w:rPr>
        <w:t xml:space="preserve"> </w:t>
      </w:r>
      <w:r w:rsidRPr="00537919">
        <w:rPr>
          <w:i/>
          <w:iCs/>
          <w:color w:val="000000"/>
          <w:lang w:val="en-CA"/>
        </w:rPr>
        <w:t xml:space="preserve">States of America </w:t>
      </w:r>
      <w:r w:rsidR="00E6250C" w:rsidRPr="00537919">
        <w:rPr>
          <w:i/>
          <w:iCs/>
          <w:color w:val="000000"/>
          <w:lang w:val="en-CA"/>
        </w:rPr>
        <w:t>v</w:t>
      </w:r>
      <w:r w:rsidRPr="00537919">
        <w:rPr>
          <w:i/>
          <w:iCs/>
          <w:color w:val="000000"/>
          <w:lang w:val="en-CA"/>
        </w:rPr>
        <w:t>. Yang</w:t>
      </w:r>
      <w:r w:rsidR="000838B2" w:rsidRPr="00537919">
        <w:rPr>
          <w:iCs/>
          <w:color w:val="000000"/>
          <w:lang w:val="en-CA"/>
        </w:rPr>
        <w:t xml:space="preserve"> (2001)</w:t>
      </w:r>
      <w:r w:rsidRPr="00537919">
        <w:rPr>
          <w:color w:val="000000"/>
          <w:lang w:val="en-CA"/>
        </w:rPr>
        <w:t xml:space="preserve">, </w:t>
      </w:r>
      <w:r w:rsidR="000838B2" w:rsidRPr="00537919">
        <w:rPr>
          <w:color w:val="000000"/>
          <w:lang w:val="en-CA"/>
        </w:rPr>
        <w:t>56 OR (3d) 52</w:t>
      </w:r>
      <w:r w:rsidRPr="00537919">
        <w:rPr>
          <w:lang w:val="en-CA"/>
        </w:rPr>
        <w:t>2001</w:t>
      </w:r>
      <w:r w:rsidR="000838B2" w:rsidRPr="00537919">
        <w:rPr>
          <w:lang w:val="en-CA"/>
        </w:rPr>
        <w:t>,</w:t>
      </w:r>
      <w:r w:rsidRPr="00537919">
        <w:rPr>
          <w:lang w:val="en-CA"/>
        </w:rPr>
        <w:t xml:space="preserve"> </w:t>
      </w:r>
      <w:r w:rsidR="000838B2" w:rsidRPr="00537919">
        <w:rPr>
          <w:lang w:val="en-CA"/>
        </w:rPr>
        <w:t xml:space="preserve">2001 </w:t>
      </w:r>
      <w:r w:rsidRPr="00537919">
        <w:rPr>
          <w:lang w:val="en-CA"/>
        </w:rPr>
        <w:t>CanLII 20937, para. 63</w:t>
      </w:r>
      <w:r w:rsidRPr="00537919">
        <w:rPr>
          <w:color w:val="000000"/>
          <w:lang w:val="en-CA"/>
        </w:rPr>
        <w:t xml:space="preserve"> (C.A. Ont.)</w:t>
      </w:r>
      <w:r w:rsidRPr="00537919">
        <w:rPr>
          <w:lang w:val="en-CA"/>
        </w:rPr>
        <w:t xml:space="preserve">. </w:t>
      </w:r>
      <w:r w:rsidR="00E6250C" w:rsidRPr="00537919">
        <w:rPr>
          <w:lang w:val="en-CA"/>
        </w:rPr>
        <w:t>See also</w:t>
      </w:r>
      <w:r w:rsidRPr="00537919">
        <w:rPr>
          <w:lang w:val="en-CA"/>
        </w:rPr>
        <w:t xml:space="preserve"> </w:t>
      </w:r>
      <w:r w:rsidR="00E6250C" w:rsidRPr="00537919">
        <w:rPr>
          <w:i/>
          <w:iCs/>
          <w:color w:val="000000"/>
          <w:lang w:val="en-CA"/>
        </w:rPr>
        <w:t>United States of America v</w:t>
      </w:r>
      <w:r w:rsidRPr="00537919">
        <w:rPr>
          <w:i/>
          <w:iCs/>
          <w:color w:val="000000"/>
          <w:lang w:val="en-CA"/>
        </w:rPr>
        <w:t>.</w:t>
      </w:r>
      <w:r w:rsidR="000A4A19" w:rsidRPr="00537919">
        <w:rPr>
          <w:i/>
          <w:iCs/>
          <w:color w:val="000000"/>
          <w:lang w:val="en-CA"/>
        </w:rPr>
        <w:t xml:space="preserve"> </w:t>
      </w:r>
      <w:r w:rsidRPr="00537919">
        <w:rPr>
          <w:i/>
          <w:iCs/>
          <w:color w:val="000000"/>
          <w:lang w:val="en-CA"/>
        </w:rPr>
        <w:t xml:space="preserve">Ferras; </w:t>
      </w:r>
      <w:r w:rsidR="00E6250C" w:rsidRPr="00537919">
        <w:rPr>
          <w:i/>
          <w:iCs/>
          <w:color w:val="000000"/>
          <w:lang w:val="en-CA"/>
        </w:rPr>
        <w:t>United States of America v</w:t>
      </w:r>
      <w:r w:rsidRPr="00537919">
        <w:rPr>
          <w:i/>
          <w:iCs/>
          <w:color w:val="000000"/>
          <w:lang w:val="en-CA"/>
        </w:rPr>
        <w:t>. Latty</w:t>
      </w:r>
      <w:r w:rsidRPr="00537919">
        <w:rPr>
          <w:color w:val="000000"/>
          <w:lang w:val="en-CA"/>
        </w:rPr>
        <w:t xml:space="preserve">, </w:t>
      </w:r>
      <w:r w:rsidR="002A3C83" w:rsidRPr="00537919">
        <w:rPr>
          <w:i/>
          <w:iCs/>
          <w:color w:val="000000"/>
          <w:lang w:val="en-CA"/>
        </w:rPr>
        <w:t>supra</w:t>
      </w:r>
      <w:r w:rsidRPr="00537919">
        <w:rPr>
          <w:lang w:val="en-CA"/>
        </w:rPr>
        <w:t>,</w:t>
      </w:r>
      <w:r w:rsidR="002A3C83" w:rsidRPr="00537919">
        <w:rPr>
          <w:lang w:val="en-CA"/>
        </w:rPr>
        <w:t xml:space="preserve"> note </w:t>
      </w:r>
      <w:r>
        <w:t>31</w:t>
      </w:r>
      <w:r w:rsidR="005A7047" w:rsidRPr="00F0621F">
        <w:rPr>
          <w:lang w:val="en-CA"/>
        </w:rPr>
        <w:t xml:space="preserve">, </w:t>
      </w:r>
      <w:r w:rsidRPr="00537919">
        <w:rPr>
          <w:lang w:val="en-CA"/>
        </w:rPr>
        <w:t xml:space="preserve">para. 58; </w:t>
      </w:r>
      <w:r w:rsidRPr="00537919">
        <w:rPr>
          <w:i/>
          <w:iCs/>
          <w:lang w:val="en-CA"/>
        </w:rPr>
        <w:t xml:space="preserve">Danielson v. </w:t>
      </w:r>
      <w:r w:rsidR="00A65188" w:rsidRPr="00537919">
        <w:rPr>
          <w:i/>
          <w:iCs/>
          <w:lang w:val="en-CA"/>
        </w:rPr>
        <w:t>United States of America</w:t>
      </w:r>
      <w:r w:rsidRPr="00537919">
        <w:rPr>
          <w:lang w:val="en-CA"/>
        </w:rPr>
        <w:t xml:space="preserve">, </w:t>
      </w:r>
      <w:r w:rsidR="002A3C83" w:rsidRPr="00537919">
        <w:rPr>
          <w:i/>
          <w:iCs/>
          <w:lang w:val="en-CA"/>
        </w:rPr>
        <w:t>supra</w:t>
      </w:r>
      <w:r w:rsidRPr="00537919">
        <w:rPr>
          <w:lang w:val="en-CA"/>
        </w:rPr>
        <w:t>,</w:t>
      </w:r>
      <w:r w:rsidR="002A3C83" w:rsidRPr="00537919">
        <w:rPr>
          <w:lang w:val="en-CA"/>
        </w:rPr>
        <w:t xml:space="preserve"> note</w:t>
      </w:r>
      <w:r w:rsidR="00383368" w:rsidRPr="00537919">
        <w:rPr>
          <w:lang w:val="en-CA"/>
        </w:rPr>
        <w:t xml:space="preserve"> </w:t>
      </w:r>
      <w:r w:rsidR="00EB7E64" w:rsidRPr="00537919">
        <w:rPr>
          <w:lang w:val="en-CA"/>
        </w:rPr>
        <w:t>33</w:t>
      </w:r>
      <w:r w:rsidR="002A3C83" w:rsidRPr="00537919">
        <w:rPr>
          <w:lang w:val="en-CA"/>
        </w:rPr>
        <w:t xml:space="preserve">, </w:t>
      </w:r>
      <w:r w:rsidRPr="00537919">
        <w:rPr>
          <w:lang w:val="en-CA"/>
        </w:rPr>
        <w:t>para. 35.</w:t>
      </w:r>
    </w:p>
  </w:footnote>
  <w:footnote w:id="113">
    <w:p w14:paraId="1F30B0DD" w14:textId="40D96140" w:rsidR="00085F43" w:rsidRPr="005A7047" w:rsidRDefault="00B37A58" w:rsidP="00085F43">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E6250C" w:rsidRPr="00537919">
        <w:rPr>
          <w:lang w:val="en-CA"/>
        </w:rPr>
        <w:t>Judgment under appeal</w:t>
      </w:r>
      <w:r w:rsidRPr="00537919">
        <w:rPr>
          <w:lang w:val="en-CA"/>
        </w:rPr>
        <w:t>, para</w:t>
      </w:r>
      <w:r w:rsidR="00E6250C" w:rsidRPr="00537919">
        <w:rPr>
          <w:lang w:val="en-CA"/>
        </w:rPr>
        <w:t>s</w:t>
      </w:r>
      <w:r w:rsidRPr="00537919">
        <w:rPr>
          <w:lang w:val="en-CA"/>
        </w:rPr>
        <w:t xml:space="preserve">. 27 </w:t>
      </w:r>
      <w:r w:rsidR="00E6250C" w:rsidRPr="00537919">
        <w:rPr>
          <w:lang w:val="en-CA"/>
        </w:rPr>
        <w:t>and</w:t>
      </w:r>
      <w:r w:rsidRPr="00537919">
        <w:rPr>
          <w:lang w:val="en-CA"/>
        </w:rPr>
        <w:t xml:space="preserve"> 70.</w:t>
      </w:r>
    </w:p>
  </w:footnote>
  <w:footnote w:id="114">
    <w:p w14:paraId="0B7FD3A8" w14:textId="7C121B08" w:rsidR="00085F43" w:rsidRPr="00442105" w:rsidRDefault="00B37A58" w:rsidP="00085F43">
      <w:pPr>
        <w:pStyle w:val="Notedebasdepage"/>
      </w:pPr>
      <w:r w:rsidRPr="00AC0B3B">
        <w:rPr>
          <w:rStyle w:val="Appelnotedebasdep"/>
        </w:rPr>
        <w:footnoteRef/>
      </w:r>
      <w:r w:rsidRPr="00C35B84">
        <w:rPr>
          <w:lang w:val="en-CA"/>
        </w:rPr>
        <w:t xml:space="preserve"> </w:t>
      </w:r>
      <w:r w:rsidRPr="00C35B84">
        <w:rPr>
          <w:lang w:val="en-CA"/>
        </w:rPr>
        <w:tab/>
      </w:r>
      <w:r w:rsidR="005E428C" w:rsidRPr="00537919">
        <w:rPr>
          <w:i/>
          <w:iCs/>
          <w:lang w:val="en-CA"/>
        </w:rPr>
        <w:t>Extradition Act</w:t>
      </w:r>
      <w:r w:rsidRPr="00537919">
        <w:rPr>
          <w:lang w:val="en-CA"/>
        </w:rPr>
        <w:t>,</w:t>
      </w:r>
      <w:r w:rsidR="005E428C" w:rsidRPr="00537919">
        <w:rPr>
          <w:lang w:val="en-CA"/>
        </w:rPr>
        <w:t xml:space="preserve"> </w:t>
      </w:r>
      <w:r w:rsidR="00FF1397">
        <w:rPr>
          <w:i/>
          <w:iCs/>
          <w:lang w:val="en-CA"/>
        </w:rPr>
        <w:t>supra</w:t>
      </w:r>
      <w:r w:rsidR="00FF1397">
        <w:rPr>
          <w:lang w:val="en-CA"/>
        </w:rPr>
        <w:t xml:space="preserve">, note 2, </w:t>
      </w:r>
      <w:r w:rsidR="005E428C" w:rsidRPr="00537919">
        <w:rPr>
          <w:lang w:val="en-CA"/>
        </w:rPr>
        <w:t>s</w:t>
      </w:r>
      <w:r w:rsidR="00630C2A" w:rsidRPr="00537919">
        <w:rPr>
          <w:lang w:val="en-CA"/>
        </w:rPr>
        <w:t>.</w:t>
      </w:r>
      <w:r w:rsidRPr="00537919">
        <w:rPr>
          <w:lang w:val="en-CA"/>
        </w:rPr>
        <w:t xml:space="preserve"> 33(3)</w:t>
      </w:r>
      <w:r w:rsidR="005E428C" w:rsidRPr="00537919">
        <w:rPr>
          <w:lang w:val="en-CA"/>
        </w:rPr>
        <w:t>(</w:t>
      </w:r>
      <w:r w:rsidR="00630C2A" w:rsidRPr="00537919">
        <w:rPr>
          <w:lang w:val="en-CA"/>
        </w:rPr>
        <w:t>a);</w:t>
      </w:r>
      <w:r w:rsidRPr="00537919">
        <w:rPr>
          <w:lang w:val="en-CA"/>
        </w:rPr>
        <w:t xml:space="preserve"> </w:t>
      </w:r>
      <w:r w:rsidR="005E428C" w:rsidRPr="00537919">
        <w:rPr>
          <w:i/>
          <w:iCs/>
          <w:color w:val="000000"/>
          <w:lang w:val="en-CA"/>
        </w:rPr>
        <w:t>United States of America</w:t>
      </w:r>
      <w:r w:rsidRPr="00537919">
        <w:rPr>
          <w:i/>
          <w:iCs/>
          <w:color w:val="000000"/>
          <w:lang w:val="en-CA"/>
        </w:rPr>
        <w:t xml:space="preserve"> </w:t>
      </w:r>
      <w:r w:rsidR="005E428C" w:rsidRPr="00537919">
        <w:rPr>
          <w:i/>
          <w:iCs/>
          <w:color w:val="000000"/>
          <w:lang w:val="en-CA"/>
        </w:rPr>
        <w:t>v</w:t>
      </w:r>
      <w:r w:rsidRPr="00537919">
        <w:rPr>
          <w:i/>
          <w:iCs/>
          <w:color w:val="000000"/>
          <w:lang w:val="en-CA"/>
        </w:rPr>
        <w:t xml:space="preserve">. Ferras; </w:t>
      </w:r>
      <w:r w:rsidR="005E428C" w:rsidRPr="00537919">
        <w:rPr>
          <w:i/>
          <w:iCs/>
          <w:color w:val="000000"/>
          <w:lang w:val="en-CA"/>
        </w:rPr>
        <w:t>United States of America v</w:t>
      </w:r>
      <w:r w:rsidRPr="00537919">
        <w:rPr>
          <w:i/>
          <w:iCs/>
          <w:color w:val="000000"/>
          <w:lang w:val="en-CA"/>
        </w:rPr>
        <w:t>.</w:t>
      </w:r>
      <w:r w:rsidR="00634929" w:rsidRPr="00537919">
        <w:rPr>
          <w:i/>
          <w:iCs/>
          <w:color w:val="000000"/>
          <w:lang w:val="en-CA"/>
        </w:rPr>
        <w:t xml:space="preserve"> </w:t>
      </w:r>
      <w:r w:rsidRPr="00537919">
        <w:rPr>
          <w:i/>
          <w:iCs/>
          <w:color w:val="000000"/>
          <w:lang w:val="en-CA"/>
        </w:rPr>
        <w:t>Latty</w:t>
      </w:r>
      <w:r w:rsidRPr="00537919">
        <w:rPr>
          <w:color w:val="000000"/>
          <w:lang w:val="en-CA"/>
        </w:rPr>
        <w:t xml:space="preserve">, </w:t>
      </w:r>
      <w:r w:rsidR="002A23A1" w:rsidRPr="00537919">
        <w:rPr>
          <w:i/>
          <w:iCs/>
          <w:color w:val="000000"/>
          <w:lang w:val="en-CA"/>
        </w:rPr>
        <w:t>supra</w:t>
      </w:r>
      <w:r w:rsidRPr="00537919">
        <w:rPr>
          <w:lang w:val="en-CA"/>
        </w:rPr>
        <w:t>,</w:t>
      </w:r>
      <w:r w:rsidR="002A23A1" w:rsidRPr="00537919">
        <w:rPr>
          <w:lang w:val="en-CA"/>
        </w:rPr>
        <w:t xml:space="preserve"> note </w:t>
      </w:r>
      <w:r>
        <w:t>31</w:t>
      </w:r>
      <w:r w:rsidR="005A7047" w:rsidRPr="00F0621F">
        <w:rPr>
          <w:lang w:val="en-CA"/>
        </w:rPr>
        <w:t>,</w:t>
      </w:r>
      <w:r w:rsidR="002A23A1" w:rsidRPr="00537919">
        <w:rPr>
          <w:lang w:val="en-CA"/>
        </w:rPr>
        <w:t xml:space="preserve"> </w:t>
      </w:r>
      <w:r w:rsidRPr="00537919">
        <w:rPr>
          <w:lang w:val="en-CA"/>
        </w:rPr>
        <w:t xml:space="preserve">para. </w:t>
      </w:r>
      <w:r w:rsidRPr="00442105">
        <w:t xml:space="preserve">30; </w:t>
      </w:r>
      <w:r w:rsidRPr="00442105">
        <w:rPr>
          <w:i/>
          <w:iCs/>
        </w:rPr>
        <w:t>Saric c. Canada (Procureur général)</w:t>
      </w:r>
      <w:r w:rsidRPr="00442105">
        <w:t>, 2010</w:t>
      </w:r>
      <w:r w:rsidR="000A4A19" w:rsidRPr="00442105">
        <w:t xml:space="preserve"> </w:t>
      </w:r>
      <w:r w:rsidRPr="00442105">
        <w:t>QCCA</w:t>
      </w:r>
      <w:r w:rsidR="000A4A19" w:rsidRPr="00442105">
        <w:t xml:space="preserve"> </w:t>
      </w:r>
      <w:r w:rsidRPr="00442105">
        <w:t xml:space="preserve">1154, </w:t>
      </w:r>
      <w:r w:rsidR="005E428C" w:rsidRPr="00442105">
        <w:t>para</w:t>
      </w:r>
      <w:r w:rsidRPr="00442105">
        <w:t>.</w:t>
      </w:r>
      <w:r w:rsidR="00FF1397">
        <w:t xml:space="preserve"> </w:t>
      </w:r>
      <w:r w:rsidRPr="00442105">
        <w:t>23.</w:t>
      </w:r>
    </w:p>
  </w:footnote>
  <w:footnote w:id="115">
    <w:p w14:paraId="41E78423" w14:textId="1DF1B653" w:rsidR="00085F43" w:rsidRPr="00C35B84" w:rsidRDefault="00B37A58" w:rsidP="00085F43">
      <w:pPr>
        <w:pStyle w:val="Notedebasdepage"/>
      </w:pPr>
      <w:r w:rsidRPr="00537919">
        <w:rPr>
          <w:rStyle w:val="Appelnotedebasdep"/>
          <w:lang w:val="en-CA"/>
        </w:rPr>
        <w:footnoteRef/>
      </w:r>
      <w:r w:rsidRPr="00C35B84">
        <w:t xml:space="preserve"> </w:t>
      </w:r>
      <w:r w:rsidRPr="00C35B84">
        <w:tab/>
      </w:r>
      <w:r w:rsidRPr="00C35B84">
        <w:rPr>
          <w:i/>
          <w:iCs/>
        </w:rPr>
        <w:t xml:space="preserve">Leventis c. Procureur général du Canada (États-Unis d'Amérique), </w:t>
      </w:r>
      <w:r w:rsidRPr="00C35B84">
        <w:t>2019 QCCA 1960, para. 30</w:t>
      </w:r>
      <w:r w:rsidR="00E03407" w:rsidRPr="00C35B84">
        <w:t xml:space="preserve">, </w:t>
      </w:r>
      <w:r w:rsidRPr="00C35B84">
        <w:t>cit</w:t>
      </w:r>
      <w:r w:rsidR="005E428C" w:rsidRPr="00C35B84">
        <w:t>ing</w:t>
      </w:r>
      <w:r w:rsidRPr="00C35B84">
        <w:t xml:space="preserve"> </w:t>
      </w:r>
      <w:r w:rsidRPr="00C35B84">
        <w:rPr>
          <w:i/>
          <w:iCs/>
        </w:rPr>
        <w:t>Latulippe c. Procureure générale du Canada</w:t>
      </w:r>
      <w:r w:rsidRPr="00C35B84">
        <w:t>,</w:t>
      </w:r>
      <w:r w:rsidR="002A23A1" w:rsidRPr="00C35B84">
        <w:t xml:space="preserve"> </w:t>
      </w:r>
      <w:r w:rsidRPr="00C35B84">
        <w:t xml:space="preserve">2018 QCCA 596, </w:t>
      </w:r>
      <w:r w:rsidR="005E428C" w:rsidRPr="00C35B84">
        <w:t>paras</w:t>
      </w:r>
      <w:r w:rsidRPr="00C35B84">
        <w:t>.</w:t>
      </w:r>
      <w:r w:rsidR="002A23A1" w:rsidRPr="00C35B84">
        <w:t xml:space="preserve"> </w:t>
      </w:r>
      <w:r w:rsidRPr="00C35B84">
        <w:t>27 et 29.</w:t>
      </w:r>
    </w:p>
  </w:footnote>
  <w:footnote w:id="116">
    <w:p w14:paraId="69C4FDB7" w14:textId="53699980" w:rsidR="00085F43" w:rsidRPr="00C35B84" w:rsidRDefault="00B37A58" w:rsidP="00085F43">
      <w:pPr>
        <w:pStyle w:val="Notedebasdepage"/>
      </w:pPr>
      <w:r w:rsidRPr="00537919">
        <w:rPr>
          <w:rStyle w:val="Appelnotedebasdep"/>
          <w:lang w:val="en-CA"/>
        </w:rPr>
        <w:footnoteRef/>
      </w:r>
      <w:r w:rsidRPr="00C35B84">
        <w:t xml:space="preserve"> </w:t>
      </w:r>
      <w:r w:rsidRPr="00C35B84">
        <w:tab/>
      </w:r>
      <w:r w:rsidR="005E428C" w:rsidRPr="00C35B84">
        <w:t>Appellant’s Argument</w:t>
      </w:r>
      <w:r w:rsidRPr="00C35B84">
        <w:t>, para. 72.</w:t>
      </w:r>
    </w:p>
  </w:footnote>
  <w:footnote w:id="117">
    <w:p w14:paraId="45464EDD" w14:textId="04967573" w:rsidR="00085F43" w:rsidRPr="00537919" w:rsidRDefault="00B37A58" w:rsidP="00085F43">
      <w:pPr>
        <w:pStyle w:val="Notedebasdepage"/>
        <w:rPr>
          <w:lang w:val="en-CA"/>
        </w:rPr>
      </w:pPr>
      <w:r w:rsidRPr="00537919">
        <w:rPr>
          <w:rStyle w:val="Appelnotedebasdep"/>
          <w:lang w:val="en-CA"/>
        </w:rPr>
        <w:footnoteRef/>
      </w:r>
      <w:r w:rsidRPr="00C35B84">
        <w:t xml:space="preserve"> </w:t>
      </w:r>
      <w:r w:rsidRPr="00C35B84">
        <w:tab/>
      </w:r>
      <w:r w:rsidR="00A12E3A" w:rsidRPr="00C35B84">
        <w:t>Judgment under appeal</w:t>
      </w:r>
      <w:r w:rsidRPr="00C35B84">
        <w:t>, para</w:t>
      </w:r>
      <w:r w:rsidR="00A12E3A" w:rsidRPr="00C35B84">
        <w:t>s</w:t>
      </w:r>
      <w:r w:rsidRPr="00C35B84">
        <w:t xml:space="preserve">. </w:t>
      </w:r>
      <w:r w:rsidRPr="00537919">
        <w:rPr>
          <w:lang w:val="en-CA"/>
        </w:rPr>
        <w:t xml:space="preserve">67 </w:t>
      </w:r>
      <w:r w:rsidR="00A12E3A" w:rsidRPr="00537919">
        <w:rPr>
          <w:lang w:val="en-CA"/>
        </w:rPr>
        <w:t>and</w:t>
      </w:r>
      <w:r w:rsidRPr="00537919">
        <w:rPr>
          <w:lang w:val="en-CA"/>
        </w:rPr>
        <w:t xml:space="preserve"> 77.</w:t>
      </w:r>
    </w:p>
  </w:footnote>
  <w:footnote w:id="118">
    <w:p w14:paraId="354C5804" w14:textId="71E76F50" w:rsidR="00085F43" w:rsidRPr="00537919" w:rsidRDefault="00B37A58" w:rsidP="00085F43">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2A23A1" w:rsidRPr="00537919">
        <w:rPr>
          <w:i/>
          <w:iCs/>
          <w:lang w:val="en-CA"/>
        </w:rPr>
        <w:t>Id.</w:t>
      </w:r>
      <w:r w:rsidRPr="00537919">
        <w:rPr>
          <w:lang w:val="en-CA"/>
        </w:rPr>
        <w:t>, para</w:t>
      </w:r>
      <w:r w:rsidR="00A12E3A" w:rsidRPr="00537919">
        <w:rPr>
          <w:lang w:val="en-CA"/>
        </w:rPr>
        <w:t>s</w:t>
      </w:r>
      <w:r w:rsidRPr="00537919">
        <w:rPr>
          <w:lang w:val="en-CA"/>
        </w:rPr>
        <w:t xml:space="preserve">. 68 </w:t>
      </w:r>
      <w:r w:rsidR="00A12E3A" w:rsidRPr="00537919">
        <w:rPr>
          <w:lang w:val="en-CA"/>
        </w:rPr>
        <w:t>and</w:t>
      </w:r>
      <w:r w:rsidRPr="00537919">
        <w:rPr>
          <w:lang w:val="en-CA"/>
        </w:rPr>
        <w:t xml:space="preserve"> 77.</w:t>
      </w:r>
    </w:p>
  </w:footnote>
  <w:footnote w:id="119">
    <w:p w14:paraId="4CD9623A" w14:textId="6BE7B538" w:rsidR="00085F43" w:rsidRPr="00537919" w:rsidRDefault="00B37A58" w:rsidP="00085F43">
      <w:pPr>
        <w:pStyle w:val="Notedebasdepage"/>
        <w:rPr>
          <w:lang w:val="en-CA"/>
        </w:rPr>
      </w:pPr>
      <w:r w:rsidRPr="00537919">
        <w:rPr>
          <w:rStyle w:val="Appelnotedebasdep"/>
          <w:lang w:val="en-CA"/>
        </w:rPr>
        <w:footnoteRef/>
      </w:r>
      <w:r w:rsidRPr="00537919">
        <w:rPr>
          <w:lang w:val="en-CA"/>
        </w:rPr>
        <w:t xml:space="preserve"> </w:t>
      </w:r>
      <w:r w:rsidRPr="00537919">
        <w:rPr>
          <w:lang w:val="en-CA"/>
        </w:rPr>
        <w:tab/>
      </w:r>
      <w:r w:rsidR="002A23A1" w:rsidRPr="00537919">
        <w:rPr>
          <w:i/>
          <w:iCs/>
          <w:lang w:val="en-CA"/>
        </w:rPr>
        <w:t>Id.</w:t>
      </w:r>
      <w:r w:rsidRPr="00537919">
        <w:rPr>
          <w:lang w:val="en-CA"/>
        </w:rPr>
        <w:t>, para</w:t>
      </w:r>
      <w:r w:rsidR="00A12E3A" w:rsidRPr="00537919">
        <w:rPr>
          <w:lang w:val="en-CA"/>
        </w:rPr>
        <w:t>s</w:t>
      </w:r>
      <w:r w:rsidRPr="00537919">
        <w:rPr>
          <w:lang w:val="en-CA"/>
        </w:rPr>
        <w:t xml:space="preserve">. 26-27 </w:t>
      </w:r>
      <w:r w:rsidR="00A12E3A" w:rsidRPr="00537919">
        <w:rPr>
          <w:lang w:val="en-CA"/>
        </w:rPr>
        <w:t>and</w:t>
      </w:r>
      <w:r w:rsidRPr="00537919">
        <w:rPr>
          <w:lang w:val="en-CA"/>
        </w:rPr>
        <w:t xml:space="preserve"> 48.</w:t>
      </w:r>
    </w:p>
  </w:footnote>
  <w:footnote w:id="120">
    <w:p w14:paraId="4A9A1D91" w14:textId="0BABD55B" w:rsidR="00085F43" w:rsidRPr="00537919" w:rsidRDefault="00B37A58" w:rsidP="00085F43">
      <w:pPr>
        <w:pStyle w:val="Notedebasdepage"/>
        <w:rPr>
          <w:lang w:val="en-CA"/>
        </w:rPr>
      </w:pPr>
      <w:r w:rsidRPr="00AC0B3B">
        <w:rPr>
          <w:rStyle w:val="Appelnotedebasdep"/>
        </w:rPr>
        <w:footnoteRef/>
      </w:r>
      <w:r w:rsidRPr="00442105">
        <w:rPr>
          <w:lang w:val="en-CA"/>
        </w:rPr>
        <w:t xml:space="preserve"> </w:t>
      </w:r>
      <w:r w:rsidRPr="00442105">
        <w:rPr>
          <w:lang w:val="en-CA"/>
        </w:rPr>
        <w:tab/>
      </w:r>
      <w:r w:rsidR="00FD534E" w:rsidRPr="00537919">
        <w:rPr>
          <w:i/>
          <w:iCs/>
          <w:lang w:val="en-CA"/>
        </w:rPr>
        <w:t>Extradition Act</w:t>
      </w:r>
      <w:r w:rsidRPr="00537919">
        <w:rPr>
          <w:lang w:val="en-CA"/>
        </w:rPr>
        <w:t xml:space="preserve">, </w:t>
      </w:r>
      <w:r w:rsidR="00FF1397" w:rsidRPr="00FF1397">
        <w:rPr>
          <w:i/>
          <w:iCs/>
          <w:lang w:val="en-CA"/>
        </w:rPr>
        <w:t>supra</w:t>
      </w:r>
      <w:r w:rsidR="00FF1397">
        <w:rPr>
          <w:lang w:val="en-CA"/>
        </w:rPr>
        <w:t xml:space="preserve">, note 2, </w:t>
      </w:r>
      <w:r w:rsidR="00FD534E" w:rsidRPr="00FF1397">
        <w:rPr>
          <w:lang w:val="en-CA"/>
        </w:rPr>
        <w:t>s</w:t>
      </w:r>
      <w:r w:rsidR="00FD534E" w:rsidRPr="00537919">
        <w:rPr>
          <w:lang w:val="en-CA"/>
        </w:rPr>
        <w:t>.</w:t>
      </w:r>
      <w:r w:rsidRPr="00537919">
        <w:rPr>
          <w:lang w:val="en-CA"/>
        </w:rPr>
        <w:t xml:space="preserve"> 29(5).</w:t>
      </w:r>
    </w:p>
  </w:footnote>
  <w:footnote w:id="121">
    <w:p w14:paraId="156D1CFE" w14:textId="2F6C2BF6" w:rsidR="00085F43" w:rsidRPr="002375FD" w:rsidRDefault="00B37A58" w:rsidP="00085F43">
      <w:pPr>
        <w:pStyle w:val="Notedebasdepage"/>
      </w:pPr>
      <w:r w:rsidRPr="00537919">
        <w:rPr>
          <w:rStyle w:val="Appelnotedebasdep"/>
          <w:lang w:val="en-CA"/>
        </w:rPr>
        <w:footnoteRef/>
      </w:r>
      <w:r w:rsidRPr="002375FD">
        <w:t xml:space="preserve"> </w:t>
      </w:r>
      <w:r w:rsidRPr="002375FD">
        <w:tab/>
      </w:r>
      <w:r w:rsidR="00FD534E" w:rsidRPr="002375FD">
        <w:t>Appellant’s Argument</w:t>
      </w:r>
      <w:r w:rsidR="00461A3E" w:rsidRPr="002375FD">
        <w:t xml:space="preserve">, </w:t>
      </w:r>
      <w:r w:rsidRPr="002375FD">
        <w:t>para. 77.</w:t>
      </w:r>
    </w:p>
  </w:footnote>
  <w:footnote w:id="122">
    <w:p w14:paraId="15FE0388" w14:textId="7553FC20" w:rsidR="00085F43" w:rsidRPr="00537919" w:rsidRDefault="00B37A58" w:rsidP="00085F43">
      <w:pPr>
        <w:pStyle w:val="Notedebasdepage"/>
        <w:rPr>
          <w:lang w:val="en-CA"/>
        </w:rPr>
      </w:pPr>
      <w:r w:rsidRPr="00537919">
        <w:rPr>
          <w:rStyle w:val="Appelnotedebasdep"/>
          <w:lang w:val="en-CA"/>
        </w:rPr>
        <w:footnoteRef/>
      </w:r>
      <w:r w:rsidRPr="002375FD">
        <w:t xml:space="preserve"> </w:t>
      </w:r>
      <w:r w:rsidRPr="002375FD">
        <w:tab/>
        <w:t xml:space="preserve">Preliminaries, </w:t>
      </w:r>
      <w:r w:rsidR="00A65188" w:rsidRPr="002375FD">
        <w:rPr>
          <w:i/>
          <w:iCs/>
        </w:rPr>
        <w:t>supra</w:t>
      </w:r>
      <w:r w:rsidRPr="002375FD">
        <w:t>,</w:t>
      </w:r>
      <w:r w:rsidR="00A65188" w:rsidRPr="002375FD">
        <w:t xml:space="preserve"> note </w:t>
      </w:r>
      <w:r>
        <w:t>34</w:t>
      </w:r>
      <w:r w:rsidR="00A65188" w:rsidRPr="002375FD">
        <w:t xml:space="preserve">, </w:t>
      </w:r>
      <w:r w:rsidR="00226535" w:rsidRPr="002375FD">
        <w:t>p</w:t>
      </w:r>
      <w:r w:rsidR="00FD534E" w:rsidRPr="002375FD">
        <w:t>p</w:t>
      </w:r>
      <w:r w:rsidR="00226535" w:rsidRPr="002375FD">
        <w:t>. 10-13</w:t>
      </w:r>
      <w:r w:rsidRPr="002375FD">
        <w:t xml:space="preserve">. </w:t>
      </w:r>
      <w:r w:rsidR="00FD534E" w:rsidRPr="00537919">
        <w:rPr>
          <w:lang w:val="en-CA"/>
        </w:rPr>
        <w:t>See, on this subject,</w:t>
      </w:r>
      <w:r w:rsidRPr="00537919">
        <w:rPr>
          <w:lang w:val="en-CA"/>
        </w:rPr>
        <w:t xml:space="preserve"> Seth Weinstein et Nancy L. Dennison, </w:t>
      </w:r>
      <w:r w:rsidRPr="00537919">
        <w:rPr>
          <w:i/>
          <w:iCs/>
          <w:lang w:val="en-CA"/>
        </w:rPr>
        <w:t>Prosecuting and Defending Extradition Cases: A Practitioner's Handbook</w:t>
      </w:r>
      <w:r w:rsidRPr="00537919">
        <w:rPr>
          <w:lang w:val="en-CA"/>
        </w:rPr>
        <w:t xml:space="preserve">, </w:t>
      </w:r>
      <w:r w:rsidR="002A23A1" w:rsidRPr="00537919">
        <w:rPr>
          <w:i/>
          <w:iCs/>
          <w:lang w:val="en-CA"/>
        </w:rPr>
        <w:t>supra</w:t>
      </w:r>
      <w:r w:rsidRPr="00537919">
        <w:rPr>
          <w:lang w:val="en-CA"/>
        </w:rPr>
        <w:t>,</w:t>
      </w:r>
      <w:r w:rsidR="002A23A1" w:rsidRPr="00537919">
        <w:rPr>
          <w:lang w:val="en-CA"/>
        </w:rPr>
        <w:t xml:space="preserve"> note</w:t>
      </w:r>
      <w:r w:rsidR="00AE1001" w:rsidRPr="00537919">
        <w:rPr>
          <w:lang w:val="en-CA"/>
        </w:rPr>
        <w:t xml:space="preserve"> </w:t>
      </w:r>
      <w:r w:rsidR="00FE208B" w:rsidRPr="00537919">
        <w:rPr>
          <w:lang w:val="en-CA"/>
        </w:rPr>
        <w:t>50</w:t>
      </w:r>
      <w:r w:rsidR="002A23A1" w:rsidRPr="00537919">
        <w:rPr>
          <w:lang w:val="en-CA"/>
        </w:rPr>
        <w:t xml:space="preserve">, </w:t>
      </w:r>
      <w:r w:rsidRPr="00537919">
        <w:rPr>
          <w:rFonts w:cs="Arial"/>
          <w:color w:val="000000"/>
          <w:lang w:val="en-CA"/>
        </w:rPr>
        <w:t>p.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9FA4A" w14:textId="77777777" w:rsidR="00C35B84" w:rsidRDefault="00B37A58" w:rsidP="00C8758C">
    <w:pPr>
      <w:tabs>
        <w:tab w:val="center" w:pos="4709"/>
        <w:tab w:val="right" w:pos="9360"/>
      </w:tabs>
      <w:spacing w:after="240" w:line="360" w:lineRule="auto"/>
      <w:ind w:right="524"/>
    </w:pPr>
    <w:r>
      <w:t>500-10-008126-235</w:t>
    </w:r>
    <w:r w:rsidRPr="007462D6">
      <w:t xml:space="preserve"> </w:t>
    </w:r>
    <w:r>
      <w:tab/>
    </w:r>
    <w:r>
      <w:tab/>
      <w:t xml:space="preserve">PAGE : </w:t>
    </w:r>
    <w:r>
      <w:fldChar w:fldCharType="begin"/>
    </w:r>
    <w:r>
      <w:instrText xml:space="preserve"> PAGE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D48A" w14:textId="77777777" w:rsidR="007E33E4" w:rsidRDefault="00B37A58" w:rsidP="008E677D">
    <w:pPr>
      <w:tabs>
        <w:tab w:val="center" w:pos="4709"/>
        <w:tab w:val="right" w:pos="9360"/>
      </w:tabs>
      <w:spacing w:after="240" w:line="360" w:lineRule="auto"/>
      <w:ind w:right="524"/>
    </w:pPr>
    <w:bookmarkStart w:id="68" w:name="EntDossier"/>
    <w:r>
      <w:t>500-10-008126-235</w:t>
    </w:r>
    <w:bookmarkEnd w:id="68"/>
    <w:r w:rsidRPr="007462D6">
      <w:t xml:space="preserve"> </w:t>
    </w:r>
    <w:r>
      <w:tab/>
    </w:r>
    <w:r>
      <w:tab/>
      <w:t xml:space="preserve">PAGE : </w:t>
    </w:r>
    <w:r>
      <w:fldChar w:fldCharType="begin"/>
    </w:r>
    <w:r>
      <w:instrText xml:space="preserve"> PAGE </w:instrText>
    </w:r>
    <w:r>
      <w:fldChar w:fldCharType="separate"/>
    </w:r>
    <w:r>
      <w:t>40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5CDD"/>
    <w:multiLevelType w:val="hybridMultilevel"/>
    <w:tmpl w:val="28C20852"/>
    <w:lvl w:ilvl="0" w:tplc="0092233C">
      <w:start w:val="1"/>
      <w:numFmt w:val="bullet"/>
      <w:lvlText w:val="-"/>
      <w:lvlJc w:val="left"/>
      <w:pPr>
        <w:ind w:left="1800" w:hanging="360"/>
      </w:pPr>
      <w:rPr>
        <w:rFonts w:ascii="Arial" w:eastAsia="Times New Roman" w:hAnsi="Arial" w:cs="Arial" w:hint="default"/>
      </w:rPr>
    </w:lvl>
    <w:lvl w:ilvl="1" w:tplc="1C707A02" w:tentative="1">
      <w:start w:val="1"/>
      <w:numFmt w:val="bullet"/>
      <w:lvlText w:val="o"/>
      <w:lvlJc w:val="left"/>
      <w:pPr>
        <w:ind w:left="2520" w:hanging="360"/>
      </w:pPr>
      <w:rPr>
        <w:rFonts w:ascii="Courier New" w:hAnsi="Courier New" w:cs="Courier New" w:hint="default"/>
      </w:rPr>
    </w:lvl>
    <w:lvl w:ilvl="2" w:tplc="16147CEA" w:tentative="1">
      <w:start w:val="1"/>
      <w:numFmt w:val="bullet"/>
      <w:lvlText w:val=""/>
      <w:lvlJc w:val="left"/>
      <w:pPr>
        <w:ind w:left="3240" w:hanging="360"/>
      </w:pPr>
      <w:rPr>
        <w:rFonts w:ascii="Wingdings" w:hAnsi="Wingdings" w:hint="default"/>
      </w:rPr>
    </w:lvl>
    <w:lvl w:ilvl="3" w:tplc="9474959E" w:tentative="1">
      <w:start w:val="1"/>
      <w:numFmt w:val="bullet"/>
      <w:lvlText w:val=""/>
      <w:lvlJc w:val="left"/>
      <w:pPr>
        <w:ind w:left="3960" w:hanging="360"/>
      </w:pPr>
      <w:rPr>
        <w:rFonts w:ascii="Symbol" w:hAnsi="Symbol" w:hint="default"/>
      </w:rPr>
    </w:lvl>
    <w:lvl w:ilvl="4" w:tplc="6BDC2FC8" w:tentative="1">
      <w:start w:val="1"/>
      <w:numFmt w:val="bullet"/>
      <w:lvlText w:val="o"/>
      <w:lvlJc w:val="left"/>
      <w:pPr>
        <w:ind w:left="4680" w:hanging="360"/>
      </w:pPr>
      <w:rPr>
        <w:rFonts w:ascii="Courier New" w:hAnsi="Courier New" w:cs="Courier New" w:hint="default"/>
      </w:rPr>
    </w:lvl>
    <w:lvl w:ilvl="5" w:tplc="87CABCE4" w:tentative="1">
      <w:start w:val="1"/>
      <w:numFmt w:val="bullet"/>
      <w:lvlText w:val=""/>
      <w:lvlJc w:val="left"/>
      <w:pPr>
        <w:ind w:left="5400" w:hanging="360"/>
      </w:pPr>
      <w:rPr>
        <w:rFonts w:ascii="Wingdings" w:hAnsi="Wingdings" w:hint="default"/>
      </w:rPr>
    </w:lvl>
    <w:lvl w:ilvl="6" w:tplc="11F4378C" w:tentative="1">
      <w:start w:val="1"/>
      <w:numFmt w:val="bullet"/>
      <w:lvlText w:val=""/>
      <w:lvlJc w:val="left"/>
      <w:pPr>
        <w:ind w:left="6120" w:hanging="360"/>
      </w:pPr>
      <w:rPr>
        <w:rFonts w:ascii="Symbol" w:hAnsi="Symbol" w:hint="default"/>
      </w:rPr>
    </w:lvl>
    <w:lvl w:ilvl="7" w:tplc="64E4DEA4" w:tentative="1">
      <w:start w:val="1"/>
      <w:numFmt w:val="bullet"/>
      <w:lvlText w:val="o"/>
      <w:lvlJc w:val="left"/>
      <w:pPr>
        <w:ind w:left="6840" w:hanging="360"/>
      </w:pPr>
      <w:rPr>
        <w:rFonts w:ascii="Courier New" w:hAnsi="Courier New" w:cs="Courier New" w:hint="default"/>
      </w:rPr>
    </w:lvl>
    <w:lvl w:ilvl="8" w:tplc="EA28B4B8" w:tentative="1">
      <w:start w:val="1"/>
      <w:numFmt w:val="bullet"/>
      <w:lvlText w:val=""/>
      <w:lvlJc w:val="left"/>
      <w:pPr>
        <w:ind w:left="7560" w:hanging="360"/>
      </w:pPr>
      <w:rPr>
        <w:rFonts w:ascii="Wingdings" w:hAnsi="Wingdings" w:hint="default"/>
      </w:rPr>
    </w:lvl>
  </w:abstractNum>
  <w:abstractNum w:abstractNumId="11" w15:restartNumberingAfterBreak="0">
    <w:nsid w:val="0AB90415"/>
    <w:multiLevelType w:val="hybridMultilevel"/>
    <w:tmpl w:val="6D3C34B6"/>
    <w:lvl w:ilvl="0" w:tplc="EBC8F4D8">
      <w:start w:val="1"/>
      <w:numFmt w:val="upperLetter"/>
      <w:lvlText w:val="%1."/>
      <w:lvlJc w:val="left"/>
      <w:pPr>
        <w:ind w:left="1020" w:hanging="360"/>
      </w:pPr>
    </w:lvl>
    <w:lvl w:ilvl="1" w:tplc="99388076">
      <w:start w:val="1"/>
      <w:numFmt w:val="upperLetter"/>
      <w:lvlText w:val="%2."/>
      <w:lvlJc w:val="left"/>
      <w:pPr>
        <w:ind w:left="1020" w:hanging="360"/>
      </w:pPr>
    </w:lvl>
    <w:lvl w:ilvl="2" w:tplc="8B86FD7C">
      <w:start w:val="1"/>
      <w:numFmt w:val="upperLetter"/>
      <w:lvlText w:val="%3."/>
      <w:lvlJc w:val="left"/>
      <w:pPr>
        <w:ind w:left="1020" w:hanging="360"/>
      </w:pPr>
    </w:lvl>
    <w:lvl w:ilvl="3" w:tplc="3D4C1A36">
      <w:start w:val="1"/>
      <w:numFmt w:val="upperLetter"/>
      <w:lvlText w:val="%4."/>
      <w:lvlJc w:val="left"/>
      <w:pPr>
        <w:ind w:left="1020" w:hanging="360"/>
      </w:pPr>
    </w:lvl>
    <w:lvl w:ilvl="4" w:tplc="F33E2BD4">
      <w:start w:val="1"/>
      <w:numFmt w:val="upperLetter"/>
      <w:lvlText w:val="%5."/>
      <w:lvlJc w:val="left"/>
      <w:pPr>
        <w:ind w:left="1020" w:hanging="360"/>
      </w:pPr>
    </w:lvl>
    <w:lvl w:ilvl="5" w:tplc="EA4017D0">
      <w:start w:val="1"/>
      <w:numFmt w:val="upperLetter"/>
      <w:lvlText w:val="%6."/>
      <w:lvlJc w:val="left"/>
      <w:pPr>
        <w:ind w:left="1020" w:hanging="360"/>
      </w:pPr>
    </w:lvl>
    <w:lvl w:ilvl="6" w:tplc="F244D154">
      <w:start w:val="1"/>
      <w:numFmt w:val="upperLetter"/>
      <w:lvlText w:val="%7."/>
      <w:lvlJc w:val="left"/>
      <w:pPr>
        <w:ind w:left="1020" w:hanging="360"/>
      </w:pPr>
    </w:lvl>
    <w:lvl w:ilvl="7" w:tplc="398E8046">
      <w:start w:val="1"/>
      <w:numFmt w:val="upperLetter"/>
      <w:lvlText w:val="%8."/>
      <w:lvlJc w:val="left"/>
      <w:pPr>
        <w:ind w:left="1020" w:hanging="360"/>
      </w:pPr>
    </w:lvl>
    <w:lvl w:ilvl="8" w:tplc="A4282FCC">
      <w:start w:val="1"/>
      <w:numFmt w:val="upperLetter"/>
      <w:lvlText w:val="%9."/>
      <w:lvlJc w:val="left"/>
      <w:pPr>
        <w:ind w:left="1020" w:hanging="360"/>
      </w:pPr>
    </w:lvl>
  </w:abstractNum>
  <w:abstractNum w:abstractNumId="12" w15:restartNumberingAfterBreak="0">
    <w:nsid w:val="28BB52DE"/>
    <w:multiLevelType w:val="multilevel"/>
    <w:tmpl w:val="57967538"/>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95B49DD"/>
    <w:multiLevelType w:val="hybridMultilevel"/>
    <w:tmpl w:val="2946AA4E"/>
    <w:lvl w:ilvl="0" w:tplc="86D8924C">
      <w:start w:val="1"/>
      <w:numFmt w:val="decimal"/>
      <w:pStyle w:val="Titre3"/>
      <w:lvlText w:val="%1."/>
      <w:lvlJc w:val="left"/>
      <w:pPr>
        <w:ind w:left="1800" w:hanging="360"/>
      </w:pPr>
      <w:rPr>
        <w:rFonts w:hint="default"/>
      </w:rPr>
    </w:lvl>
    <w:lvl w:ilvl="1" w:tplc="E5188E7E" w:tentative="1">
      <w:start w:val="1"/>
      <w:numFmt w:val="lowerLetter"/>
      <w:lvlText w:val="%2."/>
      <w:lvlJc w:val="left"/>
      <w:pPr>
        <w:ind w:left="2520" w:hanging="360"/>
      </w:pPr>
    </w:lvl>
    <w:lvl w:ilvl="2" w:tplc="E18A1A04" w:tentative="1">
      <w:start w:val="1"/>
      <w:numFmt w:val="lowerRoman"/>
      <w:lvlText w:val="%3."/>
      <w:lvlJc w:val="right"/>
      <w:pPr>
        <w:ind w:left="3240" w:hanging="180"/>
      </w:pPr>
    </w:lvl>
    <w:lvl w:ilvl="3" w:tplc="728E343E" w:tentative="1">
      <w:start w:val="1"/>
      <w:numFmt w:val="decimal"/>
      <w:lvlText w:val="%4."/>
      <w:lvlJc w:val="left"/>
      <w:pPr>
        <w:ind w:left="3960" w:hanging="360"/>
      </w:pPr>
    </w:lvl>
    <w:lvl w:ilvl="4" w:tplc="AD5ADE28" w:tentative="1">
      <w:start w:val="1"/>
      <w:numFmt w:val="lowerLetter"/>
      <w:lvlText w:val="%5."/>
      <w:lvlJc w:val="left"/>
      <w:pPr>
        <w:ind w:left="4680" w:hanging="360"/>
      </w:pPr>
    </w:lvl>
    <w:lvl w:ilvl="5" w:tplc="5E8EF658" w:tentative="1">
      <w:start w:val="1"/>
      <w:numFmt w:val="lowerRoman"/>
      <w:lvlText w:val="%6."/>
      <w:lvlJc w:val="right"/>
      <w:pPr>
        <w:ind w:left="5400" w:hanging="180"/>
      </w:pPr>
    </w:lvl>
    <w:lvl w:ilvl="6" w:tplc="3E92B632" w:tentative="1">
      <w:start w:val="1"/>
      <w:numFmt w:val="decimal"/>
      <w:lvlText w:val="%7."/>
      <w:lvlJc w:val="left"/>
      <w:pPr>
        <w:ind w:left="6120" w:hanging="360"/>
      </w:pPr>
    </w:lvl>
    <w:lvl w:ilvl="7" w:tplc="4A922A34" w:tentative="1">
      <w:start w:val="1"/>
      <w:numFmt w:val="lowerLetter"/>
      <w:lvlText w:val="%8."/>
      <w:lvlJc w:val="left"/>
      <w:pPr>
        <w:ind w:left="6840" w:hanging="360"/>
      </w:pPr>
    </w:lvl>
    <w:lvl w:ilvl="8" w:tplc="6BD2E8F6" w:tentative="1">
      <w:start w:val="1"/>
      <w:numFmt w:val="lowerRoman"/>
      <w:lvlText w:val="%9."/>
      <w:lvlJc w:val="right"/>
      <w:pPr>
        <w:ind w:left="7560" w:hanging="180"/>
      </w:pPr>
    </w:lvl>
  </w:abstractNum>
  <w:abstractNum w:abstractNumId="14" w15:restartNumberingAfterBreak="0">
    <w:nsid w:val="2BAF0FC0"/>
    <w:multiLevelType w:val="hybridMultilevel"/>
    <w:tmpl w:val="AB66FEF6"/>
    <w:lvl w:ilvl="0" w:tplc="A12E04F6">
      <w:start w:val="1"/>
      <w:numFmt w:val="lowerLetter"/>
      <w:lvlText w:val="(%1)"/>
      <w:lvlJc w:val="left"/>
      <w:pPr>
        <w:ind w:left="1080" w:hanging="360"/>
      </w:pPr>
      <w:rPr>
        <w:rFonts w:hint="default"/>
        <w:b/>
      </w:rPr>
    </w:lvl>
    <w:lvl w:ilvl="1" w:tplc="C68693FA" w:tentative="1">
      <w:start w:val="1"/>
      <w:numFmt w:val="lowerLetter"/>
      <w:lvlText w:val="%2."/>
      <w:lvlJc w:val="left"/>
      <w:pPr>
        <w:ind w:left="1800" w:hanging="360"/>
      </w:pPr>
    </w:lvl>
    <w:lvl w:ilvl="2" w:tplc="64B61A66" w:tentative="1">
      <w:start w:val="1"/>
      <w:numFmt w:val="lowerRoman"/>
      <w:lvlText w:val="%3."/>
      <w:lvlJc w:val="right"/>
      <w:pPr>
        <w:ind w:left="2520" w:hanging="180"/>
      </w:pPr>
    </w:lvl>
    <w:lvl w:ilvl="3" w:tplc="2EA6EB64" w:tentative="1">
      <w:start w:val="1"/>
      <w:numFmt w:val="decimal"/>
      <w:lvlText w:val="%4."/>
      <w:lvlJc w:val="left"/>
      <w:pPr>
        <w:ind w:left="3240" w:hanging="360"/>
      </w:pPr>
    </w:lvl>
    <w:lvl w:ilvl="4" w:tplc="1646DDCA" w:tentative="1">
      <w:start w:val="1"/>
      <w:numFmt w:val="lowerLetter"/>
      <w:lvlText w:val="%5."/>
      <w:lvlJc w:val="left"/>
      <w:pPr>
        <w:ind w:left="3960" w:hanging="360"/>
      </w:pPr>
    </w:lvl>
    <w:lvl w:ilvl="5" w:tplc="446EB090" w:tentative="1">
      <w:start w:val="1"/>
      <w:numFmt w:val="lowerRoman"/>
      <w:lvlText w:val="%6."/>
      <w:lvlJc w:val="right"/>
      <w:pPr>
        <w:ind w:left="4680" w:hanging="180"/>
      </w:pPr>
    </w:lvl>
    <w:lvl w:ilvl="6" w:tplc="02500C2A" w:tentative="1">
      <w:start w:val="1"/>
      <w:numFmt w:val="decimal"/>
      <w:lvlText w:val="%7."/>
      <w:lvlJc w:val="left"/>
      <w:pPr>
        <w:ind w:left="5400" w:hanging="360"/>
      </w:pPr>
    </w:lvl>
    <w:lvl w:ilvl="7" w:tplc="137CF6DE" w:tentative="1">
      <w:start w:val="1"/>
      <w:numFmt w:val="lowerLetter"/>
      <w:lvlText w:val="%8."/>
      <w:lvlJc w:val="left"/>
      <w:pPr>
        <w:ind w:left="6120" w:hanging="360"/>
      </w:pPr>
    </w:lvl>
    <w:lvl w:ilvl="8" w:tplc="3BD0037A" w:tentative="1">
      <w:start w:val="1"/>
      <w:numFmt w:val="lowerRoman"/>
      <w:lvlText w:val="%9."/>
      <w:lvlJc w:val="right"/>
      <w:pPr>
        <w:ind w:left="6840" w:hanging="180"/>
      </w:pPr>
    </w:lvl>
  </w:abstractNum>
  <w:abstractNum w:abstractNumId="15" w15:restartNumberingAfterBreak="0">
    <w:nsid w:val="332130B3"/>
    <w:multiLevelType w:val="hybridMultilevel"/>
    <w:tmpl w:val="07F0C12C"/>
    <w:lvl w:ilvl="0" w:tplc="A3F0DD94">
      <w:start w:val="1"/>
      <w:numFmt w:val="upperLetter"/>
      <w:lvlText w:val="%1."/>
      <w:lvlJc w:val="left"/>
      <w:pPr>
        <w:ind w:left="1440" w:hanging="360"/>
      </w:pPr>
      <w:rPr>
        <w:rFonts w:hint="default"/>
      </w:rPr>
    </w:lvl>
    <w:lvl w:ilvl="1" w:tplc="17CAEA10" w:tentative="1">
      <w:start w:val="1"/>
      <w:numFmt w:val="lowerLetter"/>
      <w:lvlText w:val="%2."/>
      <w:lvlJc w:val="left"/>
      <w:pPr>
        <w:ind w:left="2160" w:hanging="360"/>
      </w:pPr>
    </w:lvl>
    <w:lvl w:ilvl="2" w:tplc="0D362E38" w:tentative="1">
      <w:start w:val="1"/>
      <w:numFmt w:val="lowerRoman"/>
      <w:lvlText w:val="%3."/>
      <w:lvlJc w:val="right"/>
      <w:pPr>
        <w:ind w:left="2880" w:hanging="180"/>
      </w:pPr>
    </w:lvl>
    <w:lvl w:ilvl="3" w:tplc="7C2C0034" w:tentative="1">
      <w:start w:val="1"/>
      <w:numFmt w:val="decimal"/>
      <w:lvlText w:val="%4."/>
      <w:lvlJc w:val="left"/>
      <w:pPr>
        <w:ind w:left="3600" w:hanging="360"/>
      </w:pPr>
    </w:lvl>
    <w:lvl w:ilvl="4" w:tplc="262A940E" w:tentative="1">
      <w:start w:val="1"/>
      <w:numFmt w:val="lowerLetter"/>
      <w:lvlText w:val="%5."/>
      <w:lvlJc w:val="left"/>
      <w:pPr>
        <w:ind w:left="4320" w:hanging="360"/>
      </w:pPr>
    </w:lvl>
    <w:lvl w:ilvl="5" w:tplc="45926A04" w:tentative="1">
      <w:start w:val="1"/>
      <w:numFmt w:val="lowerRoman"/>
      <w:lvlText w:val="%6."/>
      <w:lvlJc w:val="right"/>
      <w:pPr>
        <w:ind w:left="5040" w:hanging="180"/>
      </w:pPr>
    </w:lvl>
    <w:lvl w:ilvl="6" w:tplc="A57029F6" w:tentative="1">
      <w:start w:val="1"/>
      <w:numFmt w:val="decimal"/>
      <w:lvlText w:val="%7."/>
      <w:lvlJc w:val="left"/>
      <w:pPr>
        <w:ind w:left="5760" w:hanging="360"/>
      </w:pPr>
    </w:lvl>
    <w:lvl w:ilvl="7" w:tplc="48729450" w:tentative="1">
      <w:start w:val="1"/>
      <w:numFmt w:val="lowerLetter"/>
      <w:lvlText w:val="%8."/>
      <w:lvlJc w:val="left"/>
      <w:pPr>
        <w:ind w:left="6480" w:hanging="360"/>
      </w:pPr>
    </w:lvl>
    <w:lvl w:ilvl="8" w:tplc="5F92CCD4" w:tentative="1">
      <w:start w:val="1"/>
      <w:numFmt w:val="lowerRoman"/>
      <w:lvlText w:val="%9."/>
      <w:lvlJc w:val="right"/>
      <w:pPr>
        <w:ind w:left="7200" w:hanging="180"/>
      </w:pPr>
    </w:lvl>
  </w:abstractNum>
  <w:abstractNum w:abstractNumId="16" w15:restartNumberingAfterBreak="0">
    <w:nsid w:val="3E724AD4"/>
    <w:multiLevelType w:val="hybridMultilevel"/>
    <w:tmpl w:val="DA5A4502"/>
    <w:lvl w:ilvl="0" w:tplc="1A50DAD0">
      <w:start w:val="1"/>
      <w:numFmt w:val="upperRoman"/>
      <w:lvlText w:val="%1."/>
      <w:lvlJc w:val="left"/>
      <w:pPr>
        <w:ind w:left="1080" w:hanging="720"/>
      </w:pPr>
      <w:rPr>
        <w:rFonts w:hint="default"/>
      </w:rPr>
    </w:lvl>
    <w:lvl w:ilvl="1" w:tplc="0A083E0A" w:tentative="1">
      <w:start w:val="1"/>
      <w:numFmt w:val="lowerLetter"/>
      <w:lvlText w:val="%2."/>
      <w:lvlJc w:val="left"/>
      <w:pPr>
        <w:ind w:left="1440" w:hanging="360"/>
      </w:pPr>
    </w:lvl>
    <w:lvl w:ilvl="2" w:tplc="94BA329E" w:tentative="1">
      <w:start w:val="1"/>
      <w:numFmt w:val="lowerRoman"/>
      <w:lvlText w:val="%3."/>
      <w:lvlJc w:val="right"/>
      <w:pPr>
        <w:ind w:left="2160" w:hanging="180"/>
      </w:pPr>
    </w:lvl>
    <w:lvl w:ilvl="3" w:tplc="67964BE4" w:tentative="1">
      <w:start w:val="1"/>
      <w:numFmt w:val="decimal"/>
      <w:lvlText w:val="%4."/>
      <w:lvlJc w:val="left"/>
      <w:pPr>
        <w:ind w:left="2880" w:hanging="360"/>
      </w:pPr>
    </w:lvl>
    <w:lvl w:ilvl="4" w:tplc="FBEE9138" w:tentative="1">
      <w:start w:val="1"/>
      <w:numFmt w:val="lowerLetter"/>
      <w:lvlText w:val="%5."/>
      <w:lvlJc w:val="left"/>
      <w:pPr>
        <w:ind w:left="3600" w:hanging="360"/>
      </w:pPr>
    </w:lvl>
    <w:lvl w:ilvl="5" w:tplc="A75CEABE" w:tentative="1">
      <w:start w:val="1"/>
      <w:numFmt w:val="lowerRoman"/>
      <w:lvlText w:val="%6."/>
      <w:lvlJc w:val="right"/>
      <w:pPr>
        <w:ind w:left="4320" w:hanging="180"/>
      </w:pPr>
    </w:lvl>
    <w:lvl w:ilvl="6" w:tplc="2DB0028C" w:tentative="1">
      <w:start w:val="1"/>
      <w:numFmt w:val="decimal"/>
      <w:lvlText w:val="%7."/>
      <w:lvlJc w:val="left"/>
      <w:pPr>
        <w:ind w:left="5040" w:hanging="360"/>
      </w:pPr>
    </w:lvl>
    <w:lvl w:ilvl="7" w:tplc="F6D8552A" w:tentative="1">
      <w:start w:val="1"/>
      <w:numFmt w:val="lowerLetter"/>
      <w:lvlText w:val="%8."/>
      <w:lvlJc w:val="left"/>
      <w:pPr>
        <w:ind w:left="5760" w:hanging="360"/>
      </w:pPr>
    </w:lvl>
    <w:lvl w:ilvl="8" w:tplc="8B18A86A" w:tentative="1">
      <w:start w:val="1"/>
      <w:numFmt w:val="lowerRoman"/>
      <w:lvlText w:val="%9."/>
      <w:lvlJc w:val="right"/>
      <w:pPr>
        <w:ind w:left="6480" w:hanging="180"/>
      </w:pPr>
    </w:lvl>
  </w:abstractNum>
  <w:abstractNum w:abstractNumId="17" w15:restartNumberingAfterBreak="0">
    <w:nsid w:val="472D46F1"/>
    <w:multiLevelType w:val="multilevel"/>
    <w:tmpl w:val="9F00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4CD70710"/>
    <w:multiLevelType w:val="hybridMultilevel"/>
    <w:tmpl w:val="10A4A32E"/>
    <w:lvl w:ilvl="0" w:tplc="D44E3F12">
      <w:start w:val="1"/>
      <w:numFmt w:val="upperRoman"/>
      <w:lvlText w:val="%1."/>
      <w:lvlJc w:val="right"/>
      <w:pPr>
        <w:ind w:left="-54" w:hanging="360"/>
      </w:pPr>
    </w:lvl>
    <w:lvl w:ilvl="1" w:tplc="E3DC33C4">
      <w:start w:val="1"/>
      <w:numFmt w:val="lowerLetter"/>
      <w:lvlText w:val="%2."/>
      <w:lvlJc w:val="left"/>
      <w:pPr>
        <w:ind w:left="666" w:hanging="360"/>
      </w:pPr>
    </w:lvl>
    <w:lvl w:ilvl="2" w:tplc="64847E6A" w:tentative="1">
      <w:start w:val="1"/>
      <w:numFmt w:val="lowerRoman"/>
      <w:lvlText w:val="%3."/>
      <w:lvlJc w:val="right"/>
      <w:pPr>
        <w:ind w:left="1386" w:hanging="180"/>
      </w:pPr>
    </w:lvl>
    <w:lvl w:ilvl="3" w:tplc="2A92ABCE" w:tentative="1">
      <w:start w:val="1"/>
      <w:numFmt w:val="decimal"/>
      <w:lvlText w:val="%4."/>
      <w:lvlJc w:val="left"/>
      <w:pPr>
        <w:ind w:left="2106" w:hanging="360"/>
      </w:pPr>
    </w:lvl>
    <w:lvl w:ilvl="4" w:tplc="9F646D6C" w:tentative="1">
      <w:start w:val="1"/>
      <w:numFmt w:val="lowerLetter"/>
      <w:lvlText w:val="%5."/>
      <w:lvlJc w:val="left"/>
      <w:pPr>
        <w:ind w:left="2826" w:hanging="360"/>
      </w:pPr>
    </w:lvl>
    <w:lvl w:ilvl="5" w:tplc="3D8C809C" w:tentative="1">
      <w:start w:val="1"/>
      <w:numFmt w:val="lowerRoman"/>
      <w:lvlText w:val="%6."/>
      <w:lvlJc w:val="right"/>
      <w:pPr>
        <w:ind w:left="3546" w:hanging="180"/>
      </w:pPr>
    </w:lvl>
    <w:lvl w:ilvl="6" w:tplc="4DA6361C" w:tentative="1">
      <w:start w:val="1"/>
      <w:numFmt w:val="decimal"/>
      <w:lvlText w:val="%7."/>
      <w:lvlJc w:val="left"/>
      <w:pPr>
        <w:ind w:left="4266" w:hanging="360"/>
      </w:pPr>
    </w:lvl>
    <w:lvl w:ilvl="7" w:tplc="5ABE8802" w:tentative="1">
      <w:start w:val="1"/>
      <w:numFmt w:val="lowerLetter"/>
      <w:lvlText w:val="%8."/>
      <w:lvlJc w:val="left"/>
      <w:pPr>
        <w:ind w:left="4986" w:hanging="360"/>
      </w:pPr>
    </w:lvl>
    <w:lvl w:ilvl="8" w:tplc="266A3C6E" w:tentative="1">
      <w:start w:val="1"/>
      <w:numFmt w:val="lowerRoman"/>
      <w:lvlText w:val="%9."/>
      <w:lvlJc w:val="right"/>
      <w:pPr>
        <w:ind w:left="5706" w:hanging="180"/>
      </w:pPr>
    </w:lvl>
  </w:abstractNum>
  <w:abstractNum w:abstractNumId="20" w15:restartNumberingAfterBreak="0">
    <w:nsid w:val="4F3A1768"/>
    <w:multiLevelType w:val="hybridMultilevel"/>
    <w:tmpl w:val="46325FE2"/>
    <w:lvl w:ilvl="0" w:tplc="DF6496F6">
      <w:start w:val="1"/>
      <w:numFmt w:val="upperLetter"/>
      <w:lvlText w:val="%1."/>
      <w:lvlJc w:val="left"/>
      <w:pPr>
        <w:ind w:left="1020" w:hanging="360"/>
      </w:pPr>
    </w:lvl>
    <w:lvl w:ilvl="1" w:tplc="056EB726">
      <w:start w:val="1"/>
      <w:numFmt w:val="upperLetter"/>
      <w:lvlText w:val="%2."/>
      <w:lvlJc w:val="left"/>
      <w:pPr>
        <w:ind w:left="1020" w:hanging="360"/>
      </w:pPr>
    </w:lvl>
    <w:lvl w:ilvl="2" w:tplc="AF0E20A4">
      <w:start w:val="1"/>
      <w:numFmt w:val="upperLetter"/>
      <w:lvlText w:val="%3."/>
      <w:lvlJc w:val="left"/>
      <w:pPr>
        <w:ind w:left="1020" w:hanging="360"/>
      </w:pPr>
    </w:lvl>
    <w:lvl w:ilvl="3" w:tplc="7E807A38">
      <w:start w:val="1"/>
      <w:numFmt w:val="upperLetter"/>
      <w:lvlText w:val="%4."/>
      <w:lvlJc w:val="left"/>
      <w:pPr>
        <w:ind w:left="1020" w:hanging="360"/>
      </w:pPr>
    </w:lvl>
    <w:lvl w:ilvl="4" w:tplc="4624674A">
      <w:start w:val="1"/>
      <w:numFmt w:val="upperLetter"/>
      <w:lvlText w:val="%5."/>
      <w:lvlJc w:val="left"/>
      <w:pPr>
        <w:ind w:left="1020" w:hanging="360"/>
      </w:pPr>
    </w:lvl>
    <w:lvl w:ilvl="5" w:tplc="1578DFC0">
      <w:start w:val="1"/>
      <w:numFmt w:val="upperLetter"/>
      <w:lvlText w:val="%6."/>
      <w:lvlJc w:val="left"/>
      <w:pPr>
        <w:ind w:left="1020" w:hanging="360"/>
      </w:pPr>
    </w:lvl>
    <w:lvl w:ilvl="6" w:tplc="800CE798">
      <w:start w:val="1"/>
      <w:numFmt w:val="upperLetter"/>
      <w:lvlText w:val="%7."/>
      <w:lvlJc w:val="left"/>
      <w:pPr>
        <w:ind w:left="1020" w:hanging="360"/>
      </w:pPr>
    </w:lvl>
    <w:lvl w:ilvl="7" w:tplc="2F88D0FA">
      <w:start w:val="1"/>
      <w:numFmt w:val="upperLetter"/>
      <w:lvlText w:val="%8."/>
      <w:lvlJc w:val="left"/>
      <w:pPr>
        <w:ind w:left="1020" w:hanging="360"/>
      </w:pPr>
    </w:lvl>
    <w:lvl w:ilvl="8" w:tplc="AA4A76AC">
      <w:start w:val="1"/>
      <w:numFmt w:val="upperLetter"/>
      <w:lvlText w:val="%9."/>
      <w:lvlJc w:val="left"/>
      <w:pPr>
        <w:ind w:left="1020" w:hanging="360"/>
      </w:pPr>
    </w:lvl>
  </w:abstractNum>
  <w:abstractNum w:abstractNumId="21" w15:restartNumberingAfterBreak="0">
    <w:nsid w:val="4F7162DC"/>
    <w:multiLevelType w:val="hybridMultilevel"/>
    <w:tmpl w:val="B246DC5A"/>
    <w:lvl w:ilvl="0" w:tplc="0802ACEC">
      <w:start w:val="1"/>
      <w:numFmt w:val="upperRoman"/>
      <w:lvlText w:val="%1."/>
      <w:lvlJc w:val="left"/>
      <w:pPr>
        <w:ind w:left="1080" w:hanging="720"/>
      </w:pPr>
      <w:rPr>
        <w:rFonts w:hint="default"/>
      </w:rPr>
    </w:lvl>
    <w:lvl w:ilvl="1" w:tplc="66262F80" w:tentative="1">
      <w:start w:val="1"/>
      <w:numFmt w:val="lowerLetter"/>
      <w:lvlText w:val="%2."/>
      <w:lvlJc w:val="left"/>
      <w:pPr>
        <w:ind w:left="1440" w:hanging="360"/>
      </w:pPr>
    </w:lvl>
    <w:lvl w:ilvl="2" w:tplc="CF824BBA" w:tentative="1">
      <w:start w:val="1"/>
      <w:numFmt w:val="lowerRoman"/>
      <w:lvlText w:val="%3."/>
      <w:lvlJc w:val="right"/>
      <w:pPr>
        <w:ind w:left="2160" w:hanging="180"/>
      </w:pPr>
    </w:lvl>
    <w:lvl w:ilvl="3" w:tplc="8F2AD42C" w:tentative="1">
      <w:start w:val="1"/>
      <w:numFmt w:val="decimal"/>
      <w:lvlText w:val="%4."/>
      <w:lvlJc w:val="left"/>
      <w:pPr>
        <w:ind w:left="2880" w:hanging="360"/>
      </w:pPr>
    </w:lvl>
    <w:lvl w:ilvl="4" w:tplc="23107442" w:tentative="1">
      <w:start w:val="1"/>
      <w:numFmt w:val="lowerLetter"/>
      <w:lvlText w:val="%5."/>
      <w:lvlJc w:val="left"/>
      <w:pPr>
        <w:ind w:left="3600" w:hanging="360"/>
      </w:pPr>
    </w:lvl>
    <w:lvl w:ilvl="5" w:tplc="7B2A6558" w:tentative="1">
      <w:start w:val="1"/>
      <w:numFmt w:val="lowerRoman"/>
      <w:lvlText w:val="%6."/>
      <w:lvlJc w:val="right"/>
      <w:pPr>
        <w:ind w:left="4320" w:hanging="180"/>
      </w:pPr>
    </w:lvl>
    <w:lvl w:ilvl="6" w:tplc="3C8C3BD4" w:tentative="1">
      <w:start w:val="1"/>
      <w:numFmt w:val="decimal"/>
      <w:lvlText w:val="%7."/>
      <w:lvlJc w:val="left"/>
      <w:pPr>
        <w:ind w:left="5040" w:hanging="360"/>
      </w:pPr>
    </w:lvl>
    <w:lvl w:ilvl="7" w:tplc="B4D6133A" w:tentative="1">
      <w:start w:val="1"/>
      <w:numFmt w:val="lowerLetter"/>
      <w:lvlText w:val="%8."/>
      <w:lvlJc w:val="left"/>
      <w:pPr>
        <w:ind w:left="5760" w:hanging="360"/>
      </w:pPr>
    </w:lvl>
    <w:lvl w:ilvl="8" w:tplc="1A5828E0" w:tentative="1">
      <w:start w:val="1"/>
      <w:numFmt w:val="lowerRoman"/>
      <w:lvlText w:val="%9."/>
      <w:lvlJc w:val="right"/>
      <w:pPr>
        <w:ind w:left="6480" w:hanging="180"/>
      </w:pPr>
    </w:lvl>
  </w:abstractNum>
  <w:abstractNum w:abstractNumId="22" w15:restartNumberingAfterBreak="0">
    <w:nsid w:val="4F9310AA"/>
    <w:multiLevelType w:val="hybridMultilevel"/>
    <w:tmpl w:val="EF74CF86"/>
    <w:lvl w:ilvl="0" w:tplc="DDF251E2">
      <w:start w:val="3"/>
      <w:numFmt w:val="bullet"/>
      <w:lvlText w:val="-"/>
      <w:lvlJc w:val="left"/>
      <w:pPr>
        <w:ind w:left="1080" w:hanging="360"/>
      </w:pPr>
      <w:rPr>
        <w:rFonts w:ascii="Arial" w:eastAsia="Times New Roman" w:hAnsi="Arial" w:cs="Arial" w:hint="default"/>
      </w:rPr>
    </w:lvl>
    <w:lvl w:ilvl="1" w:tplc="BE3C9704" w:tentative="1">
      <w:start w:val="1"/>
      <w:numFmt w:val="bullet"/>
      <w:lvlText w:val="o"/>
      <w:lvlJc w:val="left"/>
      <w:pPr>
        <w:ind w:left="1800" w:hanging="360"/>
      </w:pPr>
      <w:rPr>
        <w:rFonts w:ascii="Courier New" w:hAnsi="Courier New" w:cs="Courier New" w:hint="default"/>
      </w:rPr>
    </w:lvl>
    <w:lvl w:ilvl="2" w:tplc="E75C5C32" w:tentative="1">
      <w:start w:val="1"/>
      <w:numFmt w:val="bullet"/>
      <w:lvlText w:val=""/>
      <w:lvlJc w:val="left"/>
      <w:pPr>
        <w:ind w:left="2520" w:hanging="360"/>
      </w:pPr>
      <w:rPr>
        <w:rFonts w:ascii="Wingdings" w:hAnsi="Wingdings" w:hint="default"/>
      </w:rPr>
    </w:lvl>
    <w:lvl w:ilvl="3" w:tplc="774618AC" w:tentative="1">
      <w:start w:val="1"/>
      <w:numFmt w:val="bullet"/>
      <w:lvlText w:val=""/>
      <w:lvlJc w:val="left"/>
      <w:pPr>
        <w:ind w:left="3240" w:hanging="360"/>
      </w:pPr>
      <w:rPr>
        <w:rFonts w:ascii="Symbol" w:hAnsi="Symbol" w:hint="default"/>
      </w:rPr>
    </w:lvl>
    <w:lvl w:ilvl="4" w:tplc="C824CBAA" w:tentative="1">
      <w:start w:val="1"/>
      <w:numFmt w:val="bullet"/>
      <w:lvlText w:val="o"/>
      <w:lvlJc w:val="left"/>
      <w:pPr>
        <w:ind w:left="3960" w:hanging="360"/>
      </w:pPr>
      <w:rPr>
        <w:rFonts w:ascii="Courier New" w:hAnsi="Courier New" w:cs="Courier New" w:hint="default"/>
      </w:rPr>
    </w:lvl>
    <w:lvl w:ilvl="5" w:tplc="C542F094" w:tentative="1">
      <w:start w:val="1"/>
      <w:numFmt w:val="bullet"/>
      <w:lvlText w:val=""/>
      <w:lvlJc w:val="left"/>
      <w:pPr>
        <w:ind w:left="4680" w:hanging="360"/>
      </w:pPr>
      <w:rPr>
        <w:rFonts w:ascii="Wingdings" w:hAnsi="Wingdings" w:hint="default"/>
      </w:rPr>
    </w:lvl>
    <w:lvl w:ilvl="6" w:tplc="1B70DFB8" w:tentative="1">
      <w:start w:val="1"/>
      <w:numFmt w:val="bullet"/>
      <w:lvlText w:val=""/>
      <w:lvlJc w:val="left"/>
      <w:pPr>
        <w:ind w:left="5400" w:hanging="360"/>
      </w:pPr>
      <w:rPr>
        <w:rFonts w:ascii="Symbol" w:hAnsi="Symbol" w:hint="default"/>
      </w:rPr>
    </w:lvl>
    <w:lvl w:ilvl="7" w:tplc="2CD69264" w:tentative="1">
      <w:start w:val="1"/>
      <w:numFmt w:val="bullet"/>
      <w:lvlText w:val="o"/>
      <w:lvlJc w:val="left"/>
      <w:pPr>
        <w:ind w:left="6120" w:hanging="360"/>
      </w:pPr>
      <w:rPr>
        <w:rFonts w:ascii="Courier New" w:hAnsi="Courier New" w:cs="Courier New" w:hint="default"/>
      </w:rPr>
    </w:lvl>
    <w:lvl w:ilvl="8" w:tplc="A9E43882" w:tentative="1">
      <w:start w:val="1"/>
      <w:numFmt w:val="bullet"/>
      <w:lvlText w:val=""/>
      <w:lvlJc w:val="left"/>
      <w:pPr>
        <w:ind w:left="6840" w:hanging="360"/>
      </w:pPr>
      <w:rPr>
        <w:rFonts w:ascii="Wingdings" w:hAnsi="Wingdings" w:hint="default"/>
      </w:rPr>
    </w:lvl>
  </w:abstractNum>
  <w:abstractNum w:abstractNumId="23" w15:restartNumberingAfterBreak="0">
    <w:nsid w:val="538A0CD2"/>
    <w:multiLevelType w:val="hybridMultilevel"/>
    <w:tmpl w:val="150E374C"/>
    <w:lvl w:ilvl="0" w:tplc="68D8A0EA">
      <w:start w:val="1"/>
      <w:numFmt w:val="upperLetter"/>
      <w:lvlText w:val="%1."/>
      <w:lvlJc w:val="left"/>
      <w:pPr>
        <w:ind w:left="1080" w:hanging="360"/>
      </w:pPr>
      <w:rPr>
        <w:rFonts w:hint="default"/>
      </w:rPr>
    </w:lvl>
    <w:lvl w:ilvl="1" w:tplc="A274AD60" w:tentative="1">
      <w:start w:val="1"/>
      <w:numFmt w:val="lowerLetter"/>
      <w:lvlText w:val="%2."/>
      <w:lvlJc w:val="left"/>
      <w:pPr>
        <w:ind w:left="1800" w:hanging="360"/>
      </w:pPr>
    </w:lvl>
    <w:lvl w:ilvl="2" w:tplc="AB4AE034" w:tentative="1">
      <w:start w:val="1"/>
      <w:numFmt w:val="lowerRoman"/>
      <w:lvlText w:val="%3."/>
      <w:lvlJc w:val="right"/>
      <w:pPr>
        <w:ind w:left="2520" w:hanging="180"/>
      </w:pPr>
    </w:lvl>
    <w:lvl w:ilvl="3" w:tplc="AB8A5236" w:tentative="1">
      <w:start w:val="1"/>
      <w:numFmt w:val="decimal"/>
      <w:lvlText w:val="%4."/>
      <w:lvlJc w:val="left"/>
      <w:pPr>
        <w:ind w:left="3240" w:hanging="360"/>
      </w:pPr>
    </w:lvl>
    <w:lvl w:ilvl="4" w:tplc="658AF714" w:tentative="1">
      <w:start w:val="1"/>
      <w:numFmt w:val="lowerLetter"/>
      <w:lvlText w:val="%5."/>
      <w:lvlJc w:val="left"/>
      <w:pPr>
        <w:ind w:left="3960" w:hanging="360"/>
      </w:pPr>
    </w:lvl>
    <w:lvl w:ilvl="5" w:tplc="81ECCEAA" w:tentative="1">
      <w:start w:val="1"/>
      <w:numFmt w:val="lowerRoman"/>
      <w:lvlText w:val="%6."/>
      <w:lvlJc w:val="right"/>
      <w:pPr>
        <w:ind w:left="4680" w:hanging="180"/>
      </w:pPr>
    </w:lvl>
    <w:lvl w:ilvl="6" w:tplc="EE10639C" w:tentative="1">
      <w:start w:val="1"/>
      <w:numFmt w:val="decimal"/>
      <w:lvlText w:val="%7."/>
      <w:lvlJc w:val="left"/>
      <w:pPr>
        <w:ind w:left="5400" w:hanging="360"/>
      </w:pPr>
    </w:lvl>
    <w:lvl w:ilvl="7" w:tplc="E0329C80" w:tentative="1">
      <w:start w:val="1"/>
      <w:numFmt w:val="lowerLetter"/>
      <w:lvlText w:val="%8."/>
      <w:lvlJc w:val="left"/>
      <w:pPr>
        <w:ind w:left="6120" w:hanging="360"/>
      </w:pPr>
    </w:lvl>
    <w:lvl w:ilvl="8" w:tplc="8752D0C4" w:tentative="1">
      <w:start w:val="1"/>
      <w:numFmt w:val="lowerRoman"/>
      <w:lvlText w:val="%9."/>
      <w:lvlJc w:val="right"/>
      <w:pPr>
        <w:ind w:left="6840" w:hanging="180"/>
      </w:pPr>
    </w:lvl>
  </w:abstractNum>
  <w:abstractNum w:abstractNumId="24" w15:restartNumberingAfterBreak="0">
    <w:nsid w:val="539A725F"/>
    <w:multiLevelType w:val="hybridMultilevel"/>
    <w:tmpl w:val="B844B6AC"/>
    <w:lvl w:ilvl="0" w:tplc="FF249A1E">
      <w:start w:val="3"/>
      <w:numFmt w:val="upperLetter"/>
      <w:lvlText w:val="%1."/>
      <w:lvlJc w:val="left"/>
      <w:pPr>
        <w:ind w:left="720" w:hanging="360"/>
      </w:pPr>
      <w:rPr>
        <w:rFonts w:hint="default"/>
        <w:b/>
        <w:bCs w:val="0"/>
      </w:rPr>
    </w:lvl>
    <w:lvl w:ilvl="1" w:tplc="FE0CD00A" w:tentative="1">
      <w:start w:val="1"/>
      <w:numFmt w:val="lowerLetter"/>
      <w:lvlText w:val="%2."/>
      <w:lvlJc w:val="left"/>
      <w:pPr>
        <w:ind w:left="1440" w:hanging="360"/>
      </w:pPr>
    </w:lvl>
    <w:lvl w:ilvl="2" w:tplc="9438AF00" w:tentative="1">
      <w:start w:val="1"/>
      <w:numFmt w:val="lowerRoman"/>
      <w:lvlText w:val="%3."/>
      <w:lvlJc w:val="right"/>
      <w:pPr>
        <w:ind w:left="2160" w:hanging="180"/>
      </w:pPr>
    </w:lvl>
    <w:lvl w:ilvl="3" w:tplc="3878D602" w:tentative="1">
      <w:start w:val="1"/>
      <w:numFmt w:val="decimal"/>
      <w:lvlText w:val="%4."/>
      <w:lvlJc w:val="left"/>
      <w:pPr>
        <w:ind w:left="2880" w:hanging="360"/>
      </w:pPr>
    </w:lvl>
    <w:lvl w:ilvl="4" w:tplc="BA42E460" w:tentative="1">
      <w:start w:val="1"/>
      <w:numFmt w:val="lowerLetter"/>
      <w:lvlText w:val="%5."/>
      <w:lvlJc w:val="left"/>
      <w:pPr>
        <w:ind w:left="3600" w:hanging="360"/>
      </w:pPr>
    </w:lvl>
    <w:lvl w:ilvl="5" w:tplc="EF809028" w:tentative="1">
      <w:start w:val="1"/>
      <w:numFmt w:val="lowerRoman"/>
      <w:lvlText w:val="%6."/>
      <w:lvlJc w:val="right"/>
      <w:pPr>
        <w:ind w:left="4320" w:hanging="180"/>
      </w:pPr>
    </w:lvl>
    <w:lvl w:ilvl="6" w:tplc="D49CF388" w:tentative="1">
      <w:start w:val="1"/>
      <w:numFmt w:val="decimal"/>
      <w:lvlText w:val="%7."/>
      <w:lvlJc w:val="left"/>
      <w:pPr>
        <w:ind w:left="5040" w:hanging="360"/>
      </w:pPr>
    </w:lvl>
    <w:lvl w:ilvl="7" w:tplc="596A8F60" w:tentative="1">
      <w:start w:val="1"/>
      <w:numFmt w:val="lowerLetter"/>
      <w:lvlText w:val="%8."/>
      <w:lvlJc w:val="left"/>
      <w:pPr>
        <w:ind w:left="5760" w:hanging="360"/>
      </w:pPr>
    </w:lvl>
    <w:lvl w:ilvl="8" w:tplc="EB800D6C" w:tentative="1">
      <w:start w:val="1"/>
      <w:numFmt w:val="lowerRoman"/>
      <w:lvlText w:val="%9."/>
      <w:lvlJc w:val="right"/>
      <w:pPr>
        <w:ind w:left="6480" w:hanging="180"/>
      </w:pPr>
    </w:lvl>
  </w:abstractNum>
  <w:abstractNum w:abstractNumId="25" w15:restartNumberingAfterBreak="0">
    <w:nsid w:val="594902A8"/>
    <w:multiLevelType w:val="hybridMultilevel"/>
    <w:tmpl w:val="390CDED0"/>
    <w:lvl w:ilvl="0" w:tplc="385695D4">
      <w:start w:val="1"/>
      <w:numFmt w:val="upperLetter"/>
      <w:lvlText w:val="%1."/>
      <w:lvlJc w:val="left"/>
      <w:pPr>
        <w:ind w:left="1020" w:hanging="360"/>
      </w:pPr>
    </w:lvl>
    <w:lvl w:ilvl="1" w:tplc="803E70CE">
      <w:start w:val="1"/>
      <w:numFmt w:val="upperLetter"/>
      <w:lvlText w:val="%2."/>
      <w:lvlJc w:val="left"/>
      <w:pPr>
        <w:ind w:left="1020" w:hanging="360"/>
      </w:pPr>
    </w:lvl>
    <w:lvl w:ilvl="2" w:tplc="06C89B44">
      <w:start w:val="1"/>
      <w:numFmt w:val="upperLetter"/>
      <w:lvlText w:val="%3."/>
      <w:lvlJc w:val="left"/>
      <w:pPr>
        <w:ind w:left="1020" w:hanging="360"/>
      </w:pPr>
    </w:lvl>
    <w:lvl w:ilvl="3" w:tplc="20AE1136">
      <w:start w:val="1"/>
      <w:numFmt w:val="upperLetter"/>
      <w:lvlText w:val="%4."/>
      <w:lvlJc w:val="left"/>
      <w:pPr>
        <w:ind w:left="1020" w:hanging="360"/>
      </w:pPr>
    </w:lvl>
    <w:lvl w:ilvl="4" w:tplc="B24819DE">
      <w:start w:val="1"/>
      <w:numFmt w:val="upperLetter"/>
      <w:lvlText w:val="%5."/>
      <w:lvlJc w:val="left"/>
      <w:pPr>
        <w:ind w:left="1020" w:hanging="360"/>
      </w:pPr>
    </w:lvl>
    <w:lvl w:ilvl="5" w:tplc="9EF8225C">
      <w:start w:val="1"/>
      <w:numFmt w:val="upperLetter"/>
      <w:lvlText w:val="%6."/>
      <w:lvlJc w:val="left"/>
      <w:pPr>
        <w:ind w:left="1020" w:hanging="360"/>
      </w:pPr>
    </w:lvl>
    <w:lvl w:ilvl="6" w:tplc="7A2E97E2">
      <w:start w:val="1"/>
      <w:numFmt w:val="upperLetter"/>
      <w:lvlText w:val="%7."/>
      <w:lvlJc w:val="left"/>
      <w:pPr>
        <w:ind w:left="1020" w:hanging="360"/>
      </w:pPr>
    </w:lvl>
    <w:lvl w:ilvl="7" w:tplc="3110A014">
      <w:start w:val="1"/>
      <w:numFmt w:val="upperLetter"/>
      <w:lvlText w:val="%8."/>
      <w:lvlJc w:val="left"/>
      <w:pPr>
        <w:ind w:left="1020" w:hanging="360"/>
      </w:pPr>
    </w:lvl>
    <w:lvl w:ilvl="8" w:tplc="9710A766">
      <w:start w:val="1"/>
      <w:numFmt w:val="upperLetter"/>
      <w:lvlText w:val="%9."/>
      <w:lvlJc w:val="left"/>
      <w:pPr>
        <w:ind w:left="1020" w:hanging="360"/>
      </w:pPr>
    </w:lvl>
  </w:abstractNum>
  <w:abstractNum w:abstractNumId="26" w15:restartNumberingAfterBreak="0">
    <w:nsid w:val="5B4D5CD9"/>
    <w:multiLevelType w:val="hybridMultilevel"/>
    <w:tmpl w:val="D5886928"/>
    <w:lvl w:ilvl="0" w:tplc="C0C03B12">
      <w:start w:val="4"/>
      <w:numFmt w:val="decimal"/>
      <w:lvlText w:val="(%1)"/>
      <w:lvlJc w:val="left"/>
      <w:pPr>
        <w:ind w:left="504" w:hanging="360"/>
      </w:pPr>
      <w:rPr>
        <w:rFonts w:hint="default"/>
        <w:b/>
      </w:rPr>
    </w:lvl>
    <w:lvl w:ilvl="1" w:tplc="6D68BC5E" w:tentative="1">
      <w:start w:val="1"/>
      <w:numFmt w:val="lowerLetter"/>
      <w:lvlText w:val="%2."/>
      <w:lvlJc w:val="left"/>
      <w:pPr>
        <w:ind w:left="1224" w:hanging="360"/>
      </w:pPr>
    </w:lvl>
    <w:lvl w:ilvl="2" w:tplc="F9D05138" w:tentative="1">
      <w:start w:val="1"/>
      <w:numFmt w:val="lowerRoman"/>
      <w:lvlText w:val="%3."/>
      <w:lvlJc w:val="right"/>
      <w:pPr>
        <w:ind w:left="1944" w:hanging="180"/>
      </w:pPr>
    </w:lvl>
    <w:lvl w:ilvl="3" w:tplc="37808392" w:tentative="1">
      <w:start w:val="1"/>
      <w:numFmt w:val="decimal"/>
      <w:lvlText w:val="%4."/>
      <w:lvlJc w:val="left"/>
      <w:pPr>
        <w:ind w:left="2664" w:hanging="360"/>
      </w:pPr>
    </w:lvl>
    <w:lvl w:ilvl="4" w:tplc="E4563CD6" w:tentative="1">
      <w:start w:val="1"/>
      <w:numFmt w:val="lowerLetter"/>
      <w:lvlText w:val="%5."/>
      <w:lvlJc w:val="left"/>
      <w:pPr>
        <w:ind w:left="3384" w:hanging="360"/>
      </w:pPr>
    </w:lvl>
    <w:lvl w:ilvl="5" w:tplc="54ACCF60" w:tentative="1">
      <w:start w:val="1"/>
      <w:numFmt w:val="lowerRoman"/>
      <w:lvlText w:val="%6."/>
      <w:lvlJc w:val="right"/>
      <w:pPr>
        <w:ind w:left="4104" w:hanging="180"/>
      </w:pPr>
    </w:lvl>
    <w:lvl w:ilvl="6" w:tplc="4172300E" w:tentative="1">
      <w:start w:val="1"/>
      <w:numFmt w:val="decimal"/>
      <w:lvlText w:val="%7."/>
      <w:lvlJc w:val="left"/>
      <w:pPr>
        <w:ind w:left="4824" w:hanging="360"/>
      </w:pPr>
    </w:lvl>
    <w:lvl w:ilvl="7" w:tplc="F3F49C8E" w:tentative="1">
      <w:start w:val="1"/>
      <w:numFmt w:val="lowerLetter"/>
      <w:lvlText w:val="%8."/>
      <w:lvlJc w:val="left"/>
      <w:pPr>
        <w:ind w:left="5544" w:hanging="360"/>
      </w:pPr>
    </w:lvl>
    <w:lvl w:ilvl="8" w:tplc="9EE40C8C" w:tentative="1">
      <w:start w:val="1"/>
      <w:numFmt w:val="lowerRoman"/>
      <w:lvlText w:val="%9."/>
      <w:lvlJc w:val="right"/>
      <w:pPr>
        <w:ind w:left="6264" w:hanging="180"/>
      </w:pPr>
    </w:lvl>
  </w:abstractNum>
  <w:abstractNum w:abstractNumId="27" w15:restartNumberingAfterBreak="0">
    <w:nsid w:val="5BC72792"/>
    <w:multiLevelType w:val="hybridMultilevel"/>
    <w:tmpl w:val="46C2FB72"/>
    <w:lvl w:ilvl="0" w:tplc="73E23D5C">
      <w:start w:val="1"/>
      <w:numFmt w:val="upperLetter"/>
      <w:lvlText w:val="%1."/>
      <w:lvlJc w:val="left"/>
      <w:pPr>
        <w:ind w:left="720" w:hanging="360"/>
      </w:pPr>
      <w:rPr>
        <w:rFonts w:hint="default"/>
      </w:rPr>
    </w:lvl>
    <w:lvl w:ilvl="1" w:tplc="78EEDA48" w:tentative="1">
      <w:start w:val="1"/>
      <w:numFmt w:val="lowerLetter"/>
      <w:lvlText w:val="%2."/>
      <w:lvlJc w:val="left"/>
      <w:pPr>
        <w:ind w:left="1440" w:hanging="360"/>
      </w:pPr>
    </w:lvl>
    <w:lvl w:ilvl="2" w:tplc="A31601FE" w:tentative="1">
      <w:start w:val="1"/>
      <w:numFmt w:val="lowerRoman"/>
      <w:lvlText w:val="%3."/>
      <w:lvlJc w:val="right"/>
      <w:pPr>
        <w:ind w:left="2160" w:hanging="180"/>
      </w:pPr>
    </w:lvl>
    <w:lvl w:ilvl="3" w:tplc="E854651E" w:tentative="1">
      <w:start w:val="1"/>
      <w:numFmt w:val="decimal"/>
      <w:lvlText w:val="%4."/>
      <w:lvlJc w:val="left"/>
      <w:pPr>
        <w:ind w:left="2880" w:hanging="360"/>
      </w:pPr>
    </w:lvl>
    <w:lvl w:ilvl="4" w:tplc="B5F4E418" w:tentative="1">
      <w:start w:val="1"/>
      <w:numFmt w:val="lowerLetter"/>
      <w:lvlText w:val="%5."/>
      <w:lvlJc w:val="left"/>
      <w:pPr>
        <w:ind w:left="3600" w:hanging="360"/>
      </w:pPr>
    </w:lvl>
    <w:lvl w:ilvl="5" w:tplc="EBA26A94" w:tentative="1">
      <w:start w:val="1"/>
      <w:numFmt w:val="lowerRoman"/>
      <w:lvlText w:val="%6."/>
      <w:lvlJc w:val="right"/>
      <w:pPr>
        <w:ind w:left="4320" w:hanging="180"/>
      </w:pPr>
    </w:lvl>
    <w:lvl w:ilvl="6" w:tplc="3C6E9C64" w:tentative="1">
      <w:start w:val="1"/>
      <w:numFmt w:val="decimal"/>
      <w:lvlText w:val="%7."/>
      <w:lvlJc w:val="left"/>
      <w:pPr>
        <w:ind w:left="5040" w:hanging="360"/>
      </w:pPr>
    </w:lvl>
    <w:lvl w:ilvl="7" w:tplc="23AA82FA" w:tentative="1">
      <w:start w:val="1"/>
      <w:numFmt w:val="lowerLetter"/>
      <w:lvlText w:val="%8."/>
      <w:lvlJc w:val="left"/>
      <w:pPr>
        <w:ind w:left="5760" w:hanging="360"/>
      </w:pPr>
    </w:lvl>
    <w:lvl w:ilvl="8" w:tplc="308E1212" w:tentative="1">
      <w:start w:val="1"/>
      <w:numFmt w:val="lowerRoman"/>
      <w:lvlText w:val="%9."/>
      <w:lvlJc w:val="right"/>
      <w:pPr>
        <w:ind w:left="6480" w:hanging="180"/>
      </w:pPr>
    </w:lvl>
  </w:abstractNum>
  <w:abstractNum w:abstractNumId="28"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95B272A"/>
    <w:multiLevelType w:val="hybridMultilevel"/>
    <w:tmpl w:val="981A9D7A"/>
    <w:lvl w:ilvl="0" w:tplc="941EDCB2">
      <w:start w:val="2"/>
      <w:numFmt w:val="upperRoman"/>
      <w:lvlText w:val="%1."/>
      <w:lvlJc w:val="left"/>
      <w:pPr>
        <w:ind w:left="1080" w:hanging="720"/>
      </w:pPr>
      <w:rPr>
        <w:rFonts w:hint="default"/>
      </w:rPr>
    </w:lvl>
    <w:lvl w:ilvl="1" w:tplc="471EDE4C" w:tentative="1">
      <w:start w:val="1"/>
      <w:numFmt w:val="lowerLetter"/>
      <w:lvlText w:val="%2."/>
      <w:lvlJc w:val="left"/>
      <w:pPr>
        <w:ind w:left="1440" w:hanging="360"/>
      </w:pPr>
    </w:lvl>
    <w:lvl w:ilvl="2" w:tplc="856CF242" w:tentative="1">
      <w:start w:val="1"/>
      <w:numFmt w:val="lowerRoman"/>
      <w:lvlText w:val="%3."/>
      <w:lvlJc w:val="right"/>
      <w:pPr>
        <w:ind w:left="2160" w:hanging="180"/>
      </w:pPr>
    </w:lvl>
    <w:lvl w:ilvl="3" w:tplc="6A6E7B1E" w:tentative="1">
      <w:start w:val="1"/>
      <w:numFmt w:val="decimal"/>
      <w:lvlText w:val="%4."/>
      <w:lvlJc w:val="left"/>
      <w:pPr>
        <w:ind w:left="2880" w:hanging="360"/>
      </w:pPr>
    </w:lvl>
    <w:lvl w:ilvl="4" w:tplc="CD82689E" w:tentative="1">
      <w:start w:val="1"/>
      <w:numFmt w:val="lowerLetter"/>
      <w:lvlText w:val="%5."/>
      <w:lvlJc w:val="left"/>
      <w:pPr>
        <w:ind w:left="3600" w:hanging="360"/>
      </w:pPr>
    </w:lvl>
    <w:lvl w:ilvl="5" w:tplc="E68E65BA" w:tentative="1">
      <w:start w:val="1"/>
      <w:numFmt w:val="lowerRoman"/>
      <w:lvlText w:val="%6."/>
      <w:lvlJc w:val="right"/>
      <w:pPr>
        <w:ind w:left="4320" w:hanging="180"/>
      </w:pPr>
    </w:lvl>
    <w:lvl w:ilvl="6" w:tplc="F9968ED2" w:tentative="1">
      <w:start w:val="1"/>
      <w:numFmt w:val="decimal"/>
      <w:lvlText w:val="%7."/>
      <w:lvlJc w:val="left"/>
      <w:pPr>
        <w:ind w:left="5040" w:hanging="360"/>
      </w:pPr>
    </w:lvl>
    <w:lvl w:ilvl="7" w:tplc="B26A0278" w:tentative="1">
      <w:start w:val="1"/>
      <w:numFmt w:val="lowerLetter"/>
      <w:lvlText w:val="%8."/>
      <w:lvlJc w:val="left"/>
      <w:pPr>
        <w:ind w:left="5760" w:hanging="360"/>
      </w:pPr>
    </w:lvl>
    <w:lvl w:ilvl="8" w:tplc="37340F72" w:tentative="1">
      <w:start w:val="1"/>
      <w:numFmt w:val="lowerRoman"/>
      <w:lvlText w:val="%9."/>
      <w:lvlJc w:val="right"/>
      <w:pPr>
        <w:ind w:left="6480" w:hanging="180"/>
      </w:pPr>
    </w:lvl>
  </w:abstractNum>
  <w:abstractNum w:abstractNumId="30" w15:restartNumberingAfterBreak="0">
    <w:nsid w:val="6E366580"/>
    <w:multiLevelType w:val="multilevel"/>
    <w:tmpl w:val="6E4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24726"/>
    <w:multiLevelType w:val="hybridMultilevel"/>
    <w:tmpl w:val="11A425FA"/>
    <w:lvl w:ilvl="0" w:tplc="B7AE33C6">
      <w:start w:val="1"/>
      <w:numFmt w:val="upperLetter"/>
      <w:pStyle w:val="Titre2"/>
      <w:lvlText w:val="%1."/>
      <w:lvlJc w:val="left"/>
      <w:pPr>
        <w:ind w:left="720" w:hanging="360"/>
      </w:pPr>
      <w:rPr>
        <w:rFonts w:hint="default"/>
        <w:i w:val="0"/>
        <w:iCs w:val="0"/>
      </w:rPr>
    </w:lvl>
    <w:lvl w:ilvl="1" w:tplc="A35A5ED6" w:tentative="1">
      <w:start w:val="1"/>
      <w:numFmt w:val="lowerLetter"/>
      <w:lvlText w:val="%2."/>
      <w:lvlJc w:val="left"/>
      <w:pPr>
        <w:ind w:left="1440" w:hanging="360"/>
      </w:pPr>
    </w:lvl>
    <w:lvl w:ilvl="2" w:tplc="BE625844" w:tentative="1">
      <w:start w:val="1"/>
      <w:numFmt w:val="lowerRoman"/>
      <w:lvlText w:val="%3."/>
      <w:lvlJc w:val="right"/>
      <w:pPr>
        <w:ind w:left="2160" w:hanging="180"/>
      </w:pPr>
    </w:lvl>
    <w:lvl w:ilvl="3" w:tplc="BF746EE8" w:tentative="1">
      <w:start w:val="1"/>
      <w:numFmt w:val="decimal"/>
      <w:lvlText w:val="%4."/>
      <w:lvlJc w:val="left"/>
      <w:pPr>
        <w:ind w:left="2880" w:hanging="360"/>
      </w:pPr>
    </w:lvl>
    <w:lvl w:ilvl="4" w:tplc="316C820C" w:tentative="1">
      <w:start w:val="1"/>
      <w:numFmt w:val="lowerLetter"/>
      <w:lvlText w:val="%5."/>
      <w:lvlJc w:val="left"/>
      <w:pPr>
        <w:ind w:left="3600" w:hanging="360"/>
      </w:pPr>
    </w:lvl>
    <w:lvl w:ilvl="5" w:tplc="7894433A" w:tentative="1">
      <w:start w:val="1"/>
      <w:numFmt w:val="lowerRoman"/>
      <w:lvlText w:val="%6."/>
      <w:lvlJc w:val="right"/>
      <w:pPr>
        <w:ind w:left="4320" w:hanging="180"/>
      </w:pPr>
    </w:lvl>
    <w:lvl w:ilvl="6" w:tplc="9272B38C" w:tentative="1">
      <w:start w:val="1"/>
      <w:numFmt w:val="decimal"/>
      <w:lvlText w:val="%7."/>
      <w:lvlJc w:val="left"/>
      <w:pPr>
        <w:ind w:left="5040" w:hanging="360"/>
      </w:pPr>
    </w:lvl>
    <w:lvl w:ilvl="7" w:tplc="AFB675F6" w:tentative="1">
      <w:start w:val="1"/>
      <w:numFmt w:val="lowerLetter"/>
      <w:lvlText w:val="%8."/>
      <w:lvlJc w:val="left"/>
      <w:pPr>
        <w:ind w:left="5760" w:hanging="360"/>
      </w:pPr>
    </w:lvl>
    <w:lvl w:ilvl="8" w:tplc="FD962DF0" w:tentative="1">
      <w:start w:val="1"/>
      <w:numFmt w:val="lowerRoman"/>
      <w:lvlText w:val="%9."/>
      <w:lvlJc w:val="right"/>
      <w:pPr>
        <w:ind w:left="6480" w:hanging="180"/>
      </w:pPr>
    </w:lvl>
  </w:abstractNum>
  <w:abstractNum w:abstractNumId="32" w15:restartNumberingAfterBreak="0">
    <w:nsid w:val="70EF57DA"/>
    <w:multiLevelType w:val="hybridMultilevel"/>
    <w:tmpl w:val="0066B5A6"/>
    <w:lvl w:ilvl="0" w:tplc="BA1C471C">
      <w:start w:val="1"/>
      <w:numFmt w:val="upperLetter"/>
      <w:lvlText w:val="%1."/>
      <w:lvlJc w:val="left"/>
      <w:pPr>
        <w:ind w:left="720" w:hanging="360"/>
      </w:pPr>
      <w:rPr>
        <w:rFonts w:hint="default"/>
      </w:rPr>
    </w:lvl>
    <w:lvl w:ilvl="1" w:tplc="918640F2" w:tentative="1">
      <w:start w:val="1"/>
      <w:numFmt w:val="lowerLetter"/>
      <w:lvlText w:val="%2."/>
      <w:lvlJc w:val="left"/>
      <w:pPr>
        <w:ind w:left="1440" w:hanging="360"/>
      </w:pPr>
    </w:lvl>
    <w:lvl w:ilvl="2" w:tplc="D1C05C84" w:tentative="1">
      <w:start w:val="1"/>
      <w:numFmt w:val="lowerRoman"/>
      <w:lvlText w:val="%3."/>
      <w:lvlJc w:val="right"/>
      <w:pPr>
        <w:ind w:left="2160" w:hanging="180"/>
      </w:pPr>
    </w:lvl>
    <w:lvl w:ilvl="3" w:tplc="B1F20150" w:tentative="1">
      <w:start w:val="1"/>
      <w:numFmt w:val="decimal"/>
      <w:lvlText w:val="%4."/>
      <w:lvlJc w:val="left"/>
      <w:pPr>
        <w:ind w:left="2880" w:hanging="360"/>
      </w:pPr>
    </w:lvl>
    <w:lvl w:ilvl="4" w:tplc="D876CED6" w:tentative="1">
      <w:start w:val="1"/>
      <w:numFmt w:val="lowerLetter"/>
      <w:lvlText w:val="%5."/>
      <w:lvlJc w:val="left"/>
      <w:pPr>
        <w:ind w:left="3600" w:hanging="360"/>
      </w:pPr>
    </w:lvl>
    <w:lvl w:ilvl="5" w:tplc="9F8AF2B0" w:tentative="1">
      <w:start w:val="1"/>
      <w:numFmt w:val="lowerRoman"/>
      <w:lvlText w:val="%6."/>
      <w:lvlJc w:val="right"/>
      <w:pPr>
        <w:ind w:left="4320" w:hanging="180"/>
      </w:pPr>
    </w:lvl>
    <w:lvl w:ilvl="6" w:tplc="D9948A3E" w:tentative="1">
      <w:start w:val="1"/>
      <w:numFmt w:val="decimal"/>
      <w:lvlText w:val="%7."/>
      <w:lvlJc w:val="left"/>
      <w:pPr>
        <w:ind w:left="5040" w:hanging="360"/>
      </w:pPr>
    </w:lvl>
    <w:lvl w:ilvl="7" w:tplc="0E0A16E2" w:tentative="1">
      <w:start w:val="1"/>
      <w:numFmt w:val="lowerLetter"/>
      <w:lvlText w:val="%8."/>
      <w:lvlJc w:val="left"/>
      <w:pPr>
        <w:ind w:left="5760" w:hanging="360"/>
      </w:pPr>
    </w:lvl>
    <w:lvl w:ilvl="8" w:tplc="35B48A98" w:tentative="1">
      <w:start w:val="1"/>
      <w:numFmt w:val="lowerRoman"/>
      <w:lvlText w:val="%9."/>
      <w:lvlJc w:val="right"/>
      <w:pPr>
        <w:ind w:left="6480" w:hanging="180"/>
      </w:pPr>
    </w:lvl>
  </w:abstractNum>
  <w:num w:numId="1" w16cid:durableId="845483497">
    <w:abstractNumId w:val="28"/>
  </w:num>
  <w:num w:numId="2" w16cid:durableId="1875581519">
    <w:abstractNumId w:val="28"/>
  </w:num>
  <w:num w:numId="3" w16cid:durableId="1022392553">
    <w:abstractNumId w:val="28"/>
  </w:num>
  <w:num w:numId="4" w16cid:durableId="1187866686">
    <w:abstractNumId w:val="8"/>
  </w:num>
  <w:num w:numId="5" w16cid:durableId="1075398411">
    <w:abstractNumId w:val="3"/>
  </w:num>
  <w:num w:numId="6" w16cid:durableId="1831824033">
    <w:abstractNumId w:val="2"/>
  </w:num>
  <w:num w:numId="7" w16cid:durableId="1550217095">
    <w:abstractNumId w:val="1"/>
  </w:num>
  <w:num w:numId="8" w16cid:durableId="738939535">
    <w:abstractNumId w:val="0"/>
  </w:num>
  <w:num w:numId="9" w16cid:durableId="1033262194">
    <w:abstractNumId w:val="9"/>
  </w:num>
  <w:num w:numId="10" w16cid:durableId="580480667">
    <w:abstractNumId w:val="7"/>
  </w:num>
  <w:num w:numId="11" w16cid:durableId="328100103">
    <w:abstractNumId w:val="6"/>
  </w:num>
  <w:num w:numId="12" w16cid:durableId="1117874193">
    <w:abstractNumId w:val="5"/>
  </w:num>
  <w:num w:numId="13" w16cid:durableId="695156673">
    <w:abstractNumId w:val="4"/>
  </w:num>
  <w:num w:numId="14" w16cid:durableId="297421009">
    <w:abstractNumId w:val="28"/>
  </w:num>
  <w:num w:numId="15" w16cid:durableId="1494561635">
    <w:abstractNumId w:val="28"/>
  </w:num>
  <w:num w:numId="16" w16cid:durableId="208618288">
    <w:abstractNumId w:val="28"/>
  </w:num>
  <w:num w:numId="17" w16cid:durableId="270403976">
    <w:abstractNumId w:val="18"/>
  </w:num>
  <w:num w:numId="18" w16cid:durableId="1140079693">
    <w:abstractNumId w:val="12"/>
  </w:num>
  <w:num w:numId="19" w16cid:durableId="1429814350">
    <w:abstractNumId w:val="16"/>
  </w:num>
  <w:num w:numId="20" w16cid:durableId="710884077">
    <w:abstractNumId w:val="15"/>
  </w:num>
  <w:num w:numId="21" w16cid:durableId="6802797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5624703">
    <w:abstractNumId w:val="13"/>
  </w:num>
  <w:num w:numId="23" w16cid:durableId="493645458">
    <w:abstractNumId w:val="22"/>
  </w:num>
  <w:num w:numId="24" w16cid:durableId="557715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192474">
    <w:abstractNumId w:val="24"/>
  </w:num>
  <w:num w:numId="26" w16cid:durableId="2118403117">
    <w:abstractNumId w:val="27"/>
  </w:num>
  <w:num w:numId="27" w16cid:durableId="751468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5211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1328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6524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4473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36516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3337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7050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9683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0898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070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4443388">
    <w:abstractNumId w:val="29"/>
  </w:num>
  <w:num w:numId="39" w16cid:durableId="613173467">
    <w:abstractNumId w:val="10"/>
  </w:num>
  <w:num w:numId="40" w16cid:durableId="2063676934">
    <w:abstractNumId w:val="17"/>
  </w:num>
  <w:num w:numId="41" w16cid:durableId="974607825">
    <w:abstractNumId w:val="32"/>
  </w:num>
  <w:num w:numId="42" w16cid:durableId="836530131">
    <w:abstractNumId w:val="30"/>
  </w:num>
  <w:num w:numId="43" w16cid:durableId="126701468">
    <w:abstractNumId w:val="14"/>
  </w:num>
  <w:num w:numId="44" w16cid:durableId="1907689259">
    <w:abstractNumId w:val="19"/>
  </w:num>
  <w:num w:numId="45" w16cid:durableId="1233200380">
    <w:abstractNumId w:val="21"/>
  </w:num>
  <w:num w:numId="46" w16cid:durableId="1806195319">
    <w:abstractNumId w:val="19"/>
  </w:num>
  <w:num w:numId="47" w16cid:durableId="69276225">
    <w:abstractNumId w:val="19"/>
  </w:num>
  <w:num w:numId="48" w16cid:durableId="859775635">
    <w:abstractNumId w:val="23"/>
  </w:num>
  <w:num w:numId="49" w16cid:durableId="1476946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48305192">
    <w:abstractNumId w:val="31"/>
  </w:num>
  <w:num w:numId="51" w16cid:durableId="1751926254">
    <w:abstractNumId w:val="11"/>
  </w:num>
  <w:num w:numId="52" w16cid:durableId="1988312847">
    <w:abstractNumId w:val="25"/>
  </w:num>
  <w:num w:numId="53" w16cid:durableId="1803301104">
    <w:abstractNumId w:val="20"/>
  </w:num>
  <w:num w:numId="54" w16cid:durableId="224921515">
    <w:abstractNumId w:val="31"/>
    <w:lvlOverride w:ilvl="0">
      <w:startOverride w:val="1"/>
    </w:lvlOverride>
  </w:num>
  <w:num w:numId="55" w16cid:durableId="1813715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99026821">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7D"/>
    <w:rsid w:val="000004DF"/>
    <w:rsid w:val="00000C00"/>
    <w:rsid w:val="00001DD9"/>
    <w:rsid w:val="000029C7"/>
    <w:rsid w:val="000131E1"/>
    <w:rsid w:val="00015B49"/>
    <w:rsid w:val="00021546"/>
    <w:rsid w:val="000221F3"/>
    <w:rsid w:val="0002262B"/>
    <w:rsid w:val="00022ADE"/>
    <w:rsid w:val="00023267"/>
    <w:rsid w:val="00023DAA"/>
    <w:rsid w:val="00025ACF"/>
    <w:rsid w:val="000266A4"/>
    <w:rsid w:val="00031F13"/>
    <w:rsid w:val="00032CE8"/>
    <w:rsid w:val="0003455C"/>
    <w:rsid w:val="00035CFF"/>
    <w:rsid w:val="00042109"/>
    <w:rsid w:val="00042206"/>
    <w:rsid w:val="00042218"/>
    <w:rsid w:val="0004394C"/>
    <w:rsid w:val="00044E58"/>
    <w:rsid w:val="00045F29"/>
    <w:rsid w:val="000467A3"/>
    <w:rsid w:val="00053691"/>
    <w:rsid w:val="00053EE3"/>
    <w:rsid w:val="0005616F"/>
    <w:rsid w:val="00061F4E"/>
    <w:rsid w:val="00063049"/>
    <w:rsid w:val="00067F81"/>
    <w:rsid w:val="00070349"/>
    <w:rsid w:val="0007382F"/>
    <w:rsid w:val="000752E7"/>
    <w:rsid w:val="000777C9"/>
    <w:rsid w:val="00080E3F"/>
    <w:rsid w:val="00081248"/>
    <w:rsid w:val="00083731"/>
    <w:rsid w:val="000838B2"/>
    <w:rsid w:val="00083E1B"/>
    <w:rsid w:val="0008599C"/>
    <w:rsid w:val="00085AFA"/>
    <w:rsid w:val="00085F43"/>
    <w:rsid w:val="000867F5"/>
    <w:rsid w:val="00086D0C"/>
    <w:rsid w:val="000900C6"/>
    <w:rsid w:val="000902A9"/>
    <w:rsid w:val="0009297A"/>
    <w:rsid w:val="000950C8"/>
    <w:rsid w:val="0009514E"/>
    <w:rsid w:val="000963FB"/>
    <w:rsid w:val="00096EA9"/>
    <w:rsid w:val="000A2065"/>
    <w:rsid w:val="000A238B"/>
    <w:rsid w:val="000A397A"/>
    <w:rsid w:val="000A49CA"/>
    <w:rsid w:val="000A4A19"/>
    <w:rsid w:val="000A5FAA"/>
    <w:rsid w:val="000A6789"/>
    <w:rsid w:val="000A6D92"/>
    <w:rsid w:val="000A7516"/>
    <w:rsid w:val="000A7544"/>
    <w:rsid w:val="000B14DC"/>
    <w:rsid w:val="000B1AD8"/>
    <w:rsid w:val="000B22B4"/>
    <w:rsid w:val="000B26D2"/>
    <w:rsid w:val="000B2DB8"/>
    <w:rsid w:val="000B36BD"/>
    <w:rsid w:val="000B42AF"/>
    <w:rsid w:val="000C100B"/>
    <w:rsid w:val="000C1C3A"/>
    <w:rsid w:val="000C20E0"/>
    <w:rsid w:val="000C402A"/>
    <w:rsid w:val="000C4F11"/>
    <w:rsid w:val="000D7BC3"/>
    <w:rsid w:val="000D7C82"/>
    <w:rsid w:val="000E1307"/>
    <w:rsid w:val="000E3833"/>
    <w:rsid w:val="000E627B"/>
    <w:rsid w:val="000E74CF"/>
    <w:rsid w:val="000E7705"/>
    <w:rsid w:val="000E7D17"/>
    <w:rsid w:val="000F0576"/>
    <w:rsid w:val="000F2D73"/>
    <w:rsid w:val="000F3D24"/>
    <w:rsid w:val="000F4075"/>
    <w:rsid w:val="000F523A"/>
    <w:rsid w:val="000F70BC"/>
    <w:rsid w:val="000F7749"/>
    <w:rsid w:val="00100051"/>
    <w:rsid w:val="00100F7A"/>
    <w:rsid w:val="00103034"/>
    <w:rsid w:val="0010501F"/>
    <w:rsid w:val="00105908"/>
    <w:rsid w:val="00105D08"/>
    <w:rsid w:val="00110B53"/>
    <w:rsid w:val="00111093"/>
    <w:rsid w:val="00112321"/>
    <w:rsid w:val="00112B30"/>
    <w:rsid w:val="00116214"/>
    <w:rsid w:val="00117914"/>
    <w:rsid w:val="0012142A"/>
    <w:rsid w:val="0012189E"/>
    <w:rsid w:val="00127E36"/>
    <w:rsid w:val="0013028C"/>
    <w:rsid w:val="00130856"/>
    <w:rsid w:val="00132099"/>
    <w:rsid w:val="00133EF2"/>
    <w:rsid w:val="00134AC1"/>
    <w:rsid w:val="00136E8A"/>
    <w:rsid w:val="00137E71"/>
    <w:rsid w:val="00140231"/>
    <w:rsid w:val="00142E47"/>
    <w:rsid w:val="001440FC"/>
    <w:rsid w:val="0014494A"/>
    <w:rsid w:val="00146C7A"/>
    <w:rsid w:val="0014756E"/>
    <w:rsid w:val="00155100"/>
    <w:rsid w:val="00155C2C"/>
    <w:rsid w:val="0015610F"/>
    <w:rsid w:val="00160B31"/>
    <w:rsid w:val="0016139A"/>
    <w:rsid w:val="00163301"/>
    <w:rsid w:val="00166D27"/>
    <w:rsid w:val="00171CE9"/>
    <w:rsid w:val="00173392"/>
    <w:rsid w:val="00173C28"/>
    <w:rsid w:val="00174A76"/>
    <w:rsid w:val="00177736"/>
    <w:rsid w:val="001808B4"/>
    <w:rsid w:val="00180F33"/>
    <w:rsid w:val="00181791"/>
    <w:rsid w:val="00181F56"/>
    <w:rsid w:val="00182498"/>
    <w:rsid w:val="00182914"/>
    <w:rsid w:val="00190FA7"/>
    <w:rsid w:val="00192642"/>
    <w:rsid w:val="00192B5B"/>
    <w:rsid w:val="001940AD"/>
    <w:rsid w:val="00194B9B"/>
    <w:rsid w:val="001972F2"/>
    <w:rsid w:val="00197538"/>
    <w:rsid w:val="001A7768"/>
    <w:rsid w:val="001B56DE"/>
    <w:rsid w:val="001B5E14"/>
    <w:rsid w:val="001B701A"/>
    <w:rsid w:val="001B766D"/>
    <w:rsid w:val="001C241E"/>
    <w:rsid w:val="001C3CEB"/>
    <w:rsid w:val="001C4084"/>
    <w:rsid w:val="001C6259"/>
    <w:rsid w:val="001C6977"/>
    <w:rsid w:val="001C7A70"/>
    <w:rsid w:val="001D0BC8"/>
    <w:rsid w:val="001D16C3"/>
    <w:rsid w:val="001D199D"/>
    <w:rsid w:val="001D263C"/>
    <w:rsid w:val="001D3205"/>
    <w:rsid w:val="001D3DB0"/>
    <w:rsid w:val="001E13E4"/>
    <w:rsid w:val="001E1728"/>
    <w:rsid w:val="001E359F"/>
    <w:rsid w:val="001F1514"/>
    <w:rsid w:val="001F1B9A"/>
    <w:rsid w:val="001F210A"/>
    <w:rsid w:val="001F3EA2"/>
    <w:rsid w:val="001F7E85"/>
    <w:rsid w:val="0020199F"/>
    <w:rsid w:val="00201F33"/>
    <w:rsid w:val="0020431B"/>
    <w:rsid w:val="002053EA"/>
    <w:rsid w:val="00205DC4"/>
    <w:rsid w:val="002065CB"/>
    <w:rsid w:val="002071DE"/>
    <w:rsid w:val="0021239A"/>
    <w:rsid w:val="00212614"/>
    <w:rsid w:val="00214F00"/>
    <w:rsid w:val="0021548E"/>
    <w:rsid w:val="00216EA5"/>
    <w:rsid w:val="0022018A"/>
    <w:rsid w:val="00224477"/>
    <w:rsid w:val="00226535"/>
    <w:rsid w:val="002273F5"/>
    <w:rsid w:val="0023030F"/>
    <w:rsid w:val="00231D75"/>
    <w:rsid w:val="002343D0"/>
    <w:rsid w:val="00234592"/>
    <w:rsid w:val="0023543F"/>
    <w:rsid w:val="00237494"/>
    <w:rsid w:val="002375FD"/>
    <w:rsid w:val="00240B7F"/>
    <w:rsid w:val="002433F4"/>
    <w:rsid w:val="0024377B"/>
    <w:rsid w:val="00246294"/>
    <w:rsid w:val="00247E01"/>
    <w:rsid w:val="002501CB"/>
    <w:rsid w:val="002512EA"/>
    <w:rsid w:val="002519B7"/>
    <w:rsid w:val="0025323F"/>
    <w:rsid w:val="002548C7"/>
    <w:rsid w:val="0026765A"/>
    <w:rsid w:val="0027220D"/>
    <w:rsid w:val="0028356B"/>
    <w:rsid w:val="002838E2"/>
    <w:rsid w:val="00284FEE"/>
    <w:rsid w:val="00286C8B"/>
    <w:rsid w:val="00290E95"/>
    <w:rsid w:val="0029271F"/>
    <w:rsid w:val="002944DF"/>
    <w:rsid w:val="002948AD"/>
    <w:rsid w:val="00296EC0"/>
    <w:rsid w:val="002978F4"/>
    <w:rsid w:val="002A23A1"/>
    <w:rsid w:val="002A33C9"/>
    <w:rsid w:val="002A3C7A"/>
    <w:rsid w:val="002A3C83"/>
    <w:rsid w:val="002A73C9"/>
    <w:rsid w:val="002B4A07"/>
    <w:rsid w:val="002B6D49"/>
    <w:rsid w:val="002C0CC4"/>
    <w:rsid w:val="002C4107"/>
    <w:rsid w:val="002C4674"/>
    <w:rsid w:val="002C531F"/>
    <w:rsid w:val="002C53EF"/>
    <w:rsid w:val="002C7586"/>
    <w:rsid w:val="002D06C2"/>
    <w:rsid w:val="002D6A30"/>
    <w:rsid w:val="002E0285"/>
    <w:rsid w:val="002E128F"/>
    <w:rsid w:val="002E1F0E"/>
    <w:rsid w:val="002E229C"/>
    <w:rsid w:val="002E3F62"/>
    <w:rsid w:val="002E51F1"/>
    <w:rsid w:val="002E642D"/>
    <w:rsid w:val="002F1350"/>
    <w:rsid w:val="002F1E27"/>
    <w:rsid w:val="002F437A"/>
    <w:rsid w:val="002F5A16"/>
    <w:rsid w:val="002F6136"/>
    <w:rsid w:val="002F7FD7"/>
    <w:rsid w:val="00300AD0"/>
    <w:rsid w:val="003016BD"/>
    <w:rsid w:val="0030294D"/>
    <w:rsid w:val="00302B76"/>
    <w:rsid w:val="00315846"/>
    <w:rsid w:val="00317600"/>
    <w:rsid w:val="00322911"/>
    <w:rsid w:val="00322DE0"/>
    <w:rsid w:val="0032363D"/>
    <w:rsid w:val="0032364C"/>
    <w:rsid w:val="0032571C"/>
    <w:rsid w:val="00326FB6"/>
    <w:rsid w:val="00330AAC"/>
    <w:rsid w:val="00330B16"/>
    <w:rsid w:val="0033190E"/>
    <w:rsid w:val="00331C9F"/>
    <w:rsid w:val="00332AF8"/>
    <w:rsid w:val="003337FF"/>
    <w:rsid w:val="0033602D"/>
    <w:rsid w:val="0034006E"/>
    <w:rsid w:val="00341735"/>
    <w:rsid w:val="00342752"/>
    <w:rsid w:val="00343F7C"/>
    <w:rsid w:val="00346B93"/>
    <w:rsid w:val="003515C6"/>
    <w:rsid w:val="00352975"/>
    <w:rsid w:val="00352D50"/>
    <w:rsid w:val="00354688"/>
    <w:rsid w:val="003550AC"/>
    <w:rsid w:val="003571E5"/>
    <w:rsid w:val="00361325"/>
    <w:rsid w:val="00361982"/>
    <w:rsid w:val="00361E7F"/>
    <w:rsid w:val="0036237E"/>
    <w:rsid w:val="003637A4"/>
    <w:rsid w:val="00370844"/>
    <w:rsid w:val="00373D7B"/>
    <w:rsid w:val="00374888"/>
    <w:rsid w:val="00374898"/>
    <w:rsid w:val="00374E40"/>
    <w:rsid w:val="00381F08"/>
    <w:rsid w:val="00382430"/>
    <w:rsid w:val="00383368"/>
    <w:rsid w:val="00386DE6"/>
    <w:rsid w:val="00387864"/>
    <w:rsid w:val="00393DEA"/>
    <w:rsid w:val="00396EF0"/>
    <w:rsid w:val="003A1749"/>
    <w:rsid w:val="003A718C"/>
    <w:rsid w:val="003A736B"/>
    <w:rsid w:val="003A78BB"/>
    <w:rsid w:val="003B0BF6"/>
    <w:rsid w:val="003B172B"/>
    <w:rsid w:val="003B3C5D"/>
    <w:rsid w:val="003B4C19"/>
    <w:rsid w:val="003B65B8"/>
    <w:rsid w:val="003B7A83"/>
    <w:rsid w:val="003C1FD4"/>
    <w:rsid w:val="003C29AE"/>
    <w:rsid w:val="003C2D56"/>
    <w:rsid w:val="003C364D"/>
    <w:rsid w:val="003C5D6E"/>
    <w:rsid w:val="003C6135"/>
    <w:rsid w:val="003D1D66"/>
    <w:rsid w:val="003D487D"/>
    <w:rsid w:val="003D71FA"/>
    <w:rsid w:val="003D73A9"/>
    <w:rsid w:val="003E2781"/>
    <w:rsid w:val="003E3239"/>
    <w:rsid w:val="003E3D28"/>
    <w:rsid w:val="003E3E3C"/>
    <w:rsid w:val="003E631C"/>
    <w:rsid w:val="003E6DDA"/>
    <w:rsid w:val="003F1108"/>
    <w:rsid w:val="003F135B"/>
    <w:rsid w:val="003F2335"/>
    <w:rsid w:val="003F3865"/>
    <w:rsid w:val="003F423A"/>
    <w:rsid w:val="003F4617"/>
    <w:rsid w:val="003F5046"/>
    <w:rsid w:val="004006FE"/>
    <w:rsid w:val="0040234D"/>
    <w:rsid w:val="004024E3"/>
    <w:rsid w:val="00404782"/>
    <w:rsid w:val="00406D2B"/>
    <w:rsid w:val="0041122C"/>
    <w:rsid w:val="004118AC"/>
    <w:rsid w:val="00413910"/>
    <w:rsid w:val="00413DFF"/>
    <w:rsid w:val="00421ADC"/>
    <w:rsid w:val="00423969"/>
    <w:rsid w:val="00423DF1"/>
    <w:rsid w:val="00424D3E"/>
    <w:rsid w:val="00424E0D"/>
    <w:rsid w:val="004262D1"/>
    <w:rsid w:val="004275B8"/>
    <w:rsid w:val="00430C58"/>
    <w:rsid w:val="004311E8"/>
    <w:rsid w:val="00431FAB"/>
    <w:rsid w:val="004331C4"/>
    <w:rsid w:val="00434A24"/>
    <w:rsid w:val="0043564D"/>
    <w:rsid w:val="00440682"/>
    <w:rsid w:val="00441741"/>
    <w:rsid w:val="00441C25"/>
    <w:rsid w:val="00442105"/>
    <w:rsid w:val="0044214D"/>
    <w:rsid w:val="00443770"/>
    <w:rsid w:val="00443EF2"/>
    <w:rsid w:val="004451ED"/>
    <w:rsid w:val="004463AB"/>
    <w:rsid w:val="00446452"/>
    <w:rsid w:val="0044649E"/>
    <w:rsid w:val="00447CEB"/>
    <w:rsid w:val="00452FAA"/>
    <w:rsid w:val="00455525"/>
    <w:rsid w:val="00461A3E"/>
    <w:rsid w:val="00461C84"/>
    <w:rsid w:val="004671DA"/>
    <w:rsid w:val="00467663"/>
    <w:rsid w:val="00470E71"/>
    <w:rsid w:val="00472DC8"/>
    <w:rsid w:val="0047381B"/>
    <w:rsid w:val="00475795"/>
    <w:rsid w:val="0047639B"/>
    <w:rsid w:val="00476C99"/>
    <w:rsid w:val="00477368"/>
    <w:rsid w:val="00477426"/>
    <w:rsid w:val="004802EC"/>
    <w:rsid w:val="00482855"/>
    <w:rsid w:val="00491493"/>
    <w:rsid w:val="0049182F"/>
    <w:rsid w:val="00494288"/>
    <w:rsid w:val="00496AFE"/>
    <w:rsid w:val="004A0ED1"/>
    <w:rsid w:val="004A29F1"/>
    <w:rsid w:val="004A6510"/>
    <w:rsid w:val="004A6641"/>
    <w:rsid w:val="004A6A8E"/>
    <w:rsid w:val="004A6DC8"/>
    <w:rsid w:val="004B1510"/>
    <w:rsid w:val="004B1E94"/>
    <w:rsid w:val="004B22DC"/>
    <w:rsid w:val="004B33FF"/>
    <w:rsid w:val="004B48F3"/>
    <w:rsid w:val="004B4D7A"/>
    <w:rsid w:val="004B5293"/>
    <w:rsid w:val="004C119D"/>
    <w:rsid w:val="004C1300"/>
    <w:rsid w:val="004C230E"/>
    <w:rsid w:val="004C3D3A"/>
    <w:rsid w:val="004C4606"/>
    <w:rsid w:val="004C6DE5"/>
    <w:rsid w:val="004D20A6"/>
    <w:rsid w:val="004D2BA1"/>
    <w:rsid w:val="004D2F69"/>
    <w:rsid w:val="004D4F86"/>
    <w:rsid w:val="004D710F"/>
    <w:rsid w:val="004D7680"/>
    <w:rsid w:val="004E21DA"/>
    <w:rsid w:val="004E3B43"/>
    <w:rsid w:val="004E4FBA"/>
    <w:rsid w:val="004E679E"/>
    <w:rsid w:val="004E6A9F"/>
    <w:rsid w:val="004F0117"/>
    <w:rsid w:val="004F2B8B"/>
    <w:rsid w:val="004F36D2"/>
    <w:rsid w:val="004F3F3B"/>
    <w:rsid w:val="004F7CA4"/>
    <w:rsid w:val="00502ADC"/>
    <w:rsid w:val="0050663B"/>
    <w:rsid w:val="00510B6C"/>
    <w:rsid w:val="005131F1"/>
    <w:rsid w:val="0051484F"/>
    <w:rsid w:val="00516B3E"/>
    <w:rsid w:val="0051761B"/>
    <w:rsid w:val="00517AC0"/>
    <w:rsid w:val="00520FE1"/>
    <w:rsid w:val="005262C9"/>
    <w:rsid w:val="00527602"/>
    <w:rsid w:val="005301C6"/>
    <w:rsid w:val="00530505"/>
    <w:rsid w:val="00531D70"/>
    <w:rsid w:val="00535593"/>
    <w:rsid w:val="00536336"/>
    <w:rsid w:val="005363BC"/>
    <w:rsid w:val="00537919"/>
    <w:rsid w:val="00537BE4"/>
    <w:rsid w:val="005423FE"/>
    <w:rsid w:val="00543368"/>
    <w:rsid w:val="0054407D"/>
    <w:rsid w:val="00546AC1"/>
    <w:rsid w:val="0055085E"/>
    <w:rsid w:val="00550DF7"/>
    <w:rsid w:val="00552618"/>
    <w:rsid w:val="005529C3"/>
    <w:rsid w:val="00553480"/>
    <w:rsid w:val="005548AF"/>
    <w:rsid w:val="0055520A"/>
    <w:rsid w:val="005576E4"/>
    <w:rsid w:val="00565216"/>
    <w:rsid w:val="00566BF6"/>
    <w:rsid w:val="005672DD"/>
    <w:rsid w:val="00570E40"/>
    <w:rsid w:val="00573CE1"/>
    <w:rsid w:val="005742DA"/>
    <w:rsid w:val="00575ABF"/>
    <w:rsid w:val="005808A4"/>
    <w:rsid w:val="00581794"/>
    <w:rsid w:val="0058279C"/>
    <w:rsid w:val="0058300B"/>
    <w:rsid w:val="00583434"/>
    <w:rsid w:val="0058349F"/>
    <w:rsid w:val="0058374E"/>
    <w:rsid w:val="005873F4"/>
    <w:rsid w:val="00587EE1"/>
    <w:rsid w:val="0059197D"/>
    <w:rsid w:val="00591D38"/>
    <w:rsid w:val="00593361"/>
    <w:rsid w:val="005933C0"/>
    <w:rsid w:val="00593EA5"/>
    <w:rsid w:val="00594E42"/>
    <w:rsid w:val="005A2581"/>
    <w:rsid w:val="005A2B7C"/>
    <w:rsid w:val="005A462B"/>
    <w:rsid w:val="005A6233"/>
    <w:rsid w:val="005A7047"/>
    <w:rsid w:val="005A78BF"/>
    <w:rsid w:val="005B176D"/>
    <w:rsid w:val="005B2090"/>
    <w:rsid w:val="005B210C"/>
    <w:rsid w:val="005B24A6"/>
    <w:rsid w:val="005B2F5B"/>
    <w:rsid w:val="005B6B4C"/>
    <w:rsid w:val="005C7516"/>
    <w:rsid w:val="005C75BC"/>
    <w:rsid w:val="005D0B7F"/>
    <w:rsid w:val="005D1522"/>
    <w:rsid w:val="005D1C47"/>
    <w:rsid w:val="005D1D4C"/>
    <w:rsid w:val="005D2EE3"/>
    <w:rsid w:val="005D34EF"/>
    <w:rsid w:val="005D3FD6"/>
    <w:rsid w:val="005D563A"/>
    <w:rsid w:val="005D7E58"/>
    <w:rsid w:val="005E0DD0"/>
    <w:rsid w:val="005E141E"/>
    <w:rsid w:val="005E14A0"/>
    <w:rsid w:val="005E428C"/>
    <w:rsid w:val="005E47D5"/>
    <w:rsid w:val="005E4AF7"/>
    <w:rsid w:val="005E5B62"/>
    <w:rsid w:val="005E695C"/>
    <w:rsid w:val="005E7EAF"/>
    <w:rsid w:val="005F0121"/>
    <w:rsid w:val="005F2C37"/>
    <w:rsid w:val="005F3E9C"/>
    <w:rsid w:val="005F5F5F"/>
    <w:rsid w:val="005F6C42"/>
    <w:rsid w:val="005F70C8"/>
    <w:rsid w:val="005F7421"/>
    <w:rsid w:val="006003D5"/>
    <w:rsid w:val="00602447"/>
    <w:rsid w:val="006031CC"/>
    <w:rsid w:val="006048A1"/>
    <w:rsid w:val="00604B8C"/>
    <w:rsid w:val="0060565D"/>
    <w:rsid w:val="0061142B"/>
    <w:rsid w:val="00611C80"/>
    <w:rsid w:val="00612FF9"/>
    <w:rsid w:val="0061376A"/>
    <w:rsid w:val="006138CD"/>
    <w:rsid w:val="0061568A"/>
    <w:rsid w:val="00623F20"/>
    <w:rsid w:val="00624770"/>
    <w:rsid w:val="00625239"/>
    <w:rsid w:val="00625869"/>
    <w:rsid w:val="00625D8E"/>
    <w:rsid w:val="00625FAC"/>
    <w:rsid w:val="00626E88"/>
    <w:rsid w:val="00627235"/>
    <w:rsid w:val="00627A11"/>
    <w:rsid w:val="006301FB"/>
    <w:rsid w:val="00630A5D"/>
    <w:rsid w:val="00630C2A"/>
    <w:rsid w:val="006326C8"/>
    <w:rsid w:val="00633315"/>
    <w:rsid w:val="00634929"/>
    <w:rsid w:val="006361E4"/>
    <w:rsid w:val="006377DD"/>
    <w:rsid w:val="00637945"/>
    <w:rsid w:val="00637EEB"/>
    <w:rsid w:val="00641727"/>
    <w:rsid w:val="0064250B"/>
    <w:rsid w:val="00643814"/>
    <w:rsid w:val="00645D77"/>
    <w:rsid w:val="00647045"/>
    <w:rsid w:val="00654D6F"/>
    <w:rsid w:val="006564C1"/>
    <w:rsid w:val="00662536"/>
    <w:rsid w:val="00663E26"/>
    <w:rsid w:val="0066491E"/>
    <w:rsid w:val="006673B8"/>
    <w:rsid w:val="00667C7A"/>
    <w:rsid w:val="00667DFF"/>
    <w:rsid w:val="00671AF4"/>
    <w:rsid w:val="0067307A"/>
    <w:rsid w:val="00673A15"/>
    <w:rsid w:val="0067412D"/>
    <w:rsid w:val="0067664A"/>
    <w:rsid w:val="00677F5F"/>
    <w:rsid w:val="006826AA"/>
    <w:rsid w:val="0068356A"/>
    <w:rsid w:val="00685428"/>
    <w:rsid w:val="006863D2"/>
    <w:rsid w:val="0068655D"/>
    <w:rsid w:val="006868A2"/>
    <w:rsid w:val="006871C2"/>
    <w:rsid w:val="00690B13"/>
    <w:rsid w:val="00692596"/>
    <w:rsid w:val="00695DA5"/>
    <w:rsid w:val="00697DCC"/>
    <w:rsid w:val="006A0DB0"/>
    <w:rsid w:val="006A36B8"/>
    <w:rsid w:val="006A57D2"/>
    <w:rsid w:val="006A6629"/>
    <w:rsid w:val="006B1C00"/>
    <w:rsid w:val="006B2147"/>
    <w:rsid w:val="006B370B"/>
    <w:rsid w:val="006B4C20"/>
    <w:rsid w:val="006B5DD9"/>
    <w:rsid w:val="006B6738"/>
    <w:rsid w:val="006B779A"/>
    <w:rsid w:val="006C2900"/>
    <w:rsid w:val="006C6FD7"/>
    <w:rsid w:val="006D02F3"/>
    <w:rsid w:val="006D2158"/>
    <w:rsid w:val="006D2D45"/>
    <w:rsid w:val="006D5AB0"/>
    <w:rsid w:val="006E2C37"/>
    <w:rsid w:val="006E451D"/>
    <w:rsid w:val="006E701D"/>
    <w:rsid w:val="006E7E7F"/>
    <w:rsid w:val="006F002F"/>
    <w:rsid w:val="006F093F"/>
    <w:rsid w:val="006F1E3F"/>
    <w:rsid w:val="006F5586"/>
    <w:rsid w:val="006F5C86"/>
    <w:rsid w:val="006F6C2D"/>
    <w:rsid w:val="007019B3"/>
    <w:rsid w:val="00701B7C"/>
    <w:rsid w:val="00706C67"/>
    <w:rsid w:val="0071089D"/>
    <w:rsid w:val="00712D53"/>
    <w:rsid w:val="00712F4E"/>
    <w:rsid w:val="00714F00"/>
    <w:rsid w:val="00716A8B"/>
    <w:rsid w:val="0072199F"/>
    <w:rsid w:val="00722194"/>
    <w:rsid w:val="00726249"/>
    <w:rsid w:val="00726275"/>
    <w:rsid w:val="007265BF"/>
    <w:rsid w:val="007333A4"/>
    <w:rsid w:val="00733538"/>
    <w:rsid w:val="007341D8"/>
    <w:rsid w:val="007347D3"/>
    <w:rsid w:val="00735447"/>
    <w:rsid w:val="007359D3"/>
    <w:rsid w:val="00740A17"/>
    <w:rsid w:val="00745A9F"/>
    <w:rsid w:val="007462D6"/>
    <w:rsid w:val="0074738B"/>
    <w:rsid w:val="00750D72"/>
    <w:rsid w:val="00753440"/>
    <w:rsid w:val="00756EBC"/>
    <w:rsid w:val="00757F9B"/>
    <w:rsid w:val="0076062E"/>
    <w:rsid w:val="00763736"/>
    <w:rsid w:val="00763C4F"/>
    <w:rsid w:val="007649D2"/>
    <w:rsid w:val="00767463"/>
    <w:rsid w:val="00767603"/>
    <w:rsid w:val="007723C8"/>
    <w:rsid w:val="007729EF"/>
    <w:rsid w:val="007734BA"/>
    <w:rsid w:val="0077561A"/>
    <w:rsid w:val="007762E4"/>
    <w:rsid w:val="00777DFB"/>
    <w:rsid w:val="00780D6D"/>
    <w:rsid w:val="00783B87"/>
    <w:rsid w:val="00784FCE"/>
    <w:rsid w:val="00785AB1"/>
    <w:rsid w:val="00786C12"/>
    <w:rsid w:val="00787EA5"/>
    <w:rsid w:val="00793683"/>
    <w:rsid w:val="007949C0"/>
    <w:rsid w:val="007953F3"/>
    <w:rsid w:val="007A0B5C"/>
    <w:rsid w:val="007A40AB"/>
    <w:rsid w:val="007A6F53"/>
    <w:rsid w:val="007A72A8"/>
    <w:rsid w:val="007A7803"/>
    <w:rsid w:val="007B061E"/>
    <w:rsid w:val="007B3595"/>
    <w:rsid w:val="007B48D5"/>
    <w:rsid w:val="007B4EF7"/>
    <w:rsid w:val="007B6519"/>
    <w:rsid w:val="007C02B9"/>
    <w:rsid w:val="007C1470"/>
    <w:rsid w:val="007C4CD0"/>
    <w:rsid w:val="007C55BC"/>
    <w:rsid w:val="007D087C"/>
    <w:rsid w:val="007D2511"/>
    <w:rsid w:val="007D2F2B"/>
    <w:rsid w:val="007D3255"/>
    <w:rsid w:val="007D4A1A"/>
    <w:rsid w:val="007D4B80"/>
    <w:rsid w:val="007E031A"/>
    <w:rsid w:val="007E058B"/>
    <w:rsid w:val="007E0786"/>
    <w:rsid w:val="007E286D"/>
    <w:rsid w:val="007E2E9B"/>
    <w:rsid w:val="007E33E4"/>
    <w:rsid w:val="007E43F0"/>
    <w:rsid w:val="007E4CC9"/>
    <w:rsid w:val="007E71CE"/>
    <w:rsid w:val="007E79A7"/>
    <w:rsid w:val="007E7EE6"/>
    <w:rsid w:val="007F0003"/>
    <w:rsid w:val="007F01E3"/>
    <w:rsid w:val="007F17D6"/>
    <w:rsid w:val="007F205F"/>
    <w:rsid w:val="007F6DA1"/>
    <w:rsid w:val="00800D23"/>
    <w:rsid w:val="00802A2D"/>
    <w:rsid w:val="0080414F"/>
    <w:rsid w:val="00813516"/>
    <w:rsid w:val="00816211"/>
    <w:rsid w:val="00816273"/>
    <w:rsid w:val="008200EF"/>
    <w:rsid w:val="008210E2"/>
    <w:rsid w:val="008211DA"/>
    <w:rsid w:val="008217F1"/>
    <w:rsid w:val="0082392D"/>
    <w:rsid w:val="00823E3B"/>
    <w:rsid w:val="0082475B"/>
    <w:rsid w:val="0082717B"/>
    <w:rsid w:val="00827B04"/>
    <w:rsid w:val="0083032E"/>
    <w:rsid w:val="00831FB0"/>
    <w:rsid w:val="0083747D"/>
    <w:rsid w:val="00841907"/>
    <w:rsid w:val="008425CC"/>
    <w:rsid w:val="00843E03"/>
    <w:rsid w:val="00850291"/>
    <w:rsid w:val="008529E4"/>
    <w:rsid w:val="008562BE"/>
    <w:rsid w:val="008574F0"/>
    <w:rsid w:val="008579DA"/>
    <w:rsid w:val="00857A4E"/>
    <w:rsid w:val="00857FD1"/>
    <w:rsid w:val="0086036A"/>
    <w:rsid w:val="0086075E"/>
    <w:rsid w:val="008653A3"/>
    <w:rsid w:val="008657A2"/>
    <w:rsid w:val="008661C9"/>
    <w:rsid w:val="00866645"/>
    <w:rsid w:val="00867DD1"/>
    <w:rsid w:val="008743C7"/>
    <w:rsid w:val="0087510C"/>
    <w:rsid w:val="00875ED0"/>
    <w:rsid w:val="008820B6"/>
    <w:rsid w:val="00882210"/>
    <w:rsid w:val="00882C31"/>
    <w:rsid w:val="00882E62"/>
    <w:rsid w:val="008832FE"/>
    <w:rsid w:val="008847A1"/>
    <w:rsid w:val="00891599"/>
    <w:rsid w:val="00892091"/>
    <w:rsid w:val="008939D6"/>
    <w:rsid w:val="00895086"/>
    <w:rsid w:val="00897FF0"/>
    <w:rsid w:val="008A13DB"/>
    <w:rsid w:val="008A356B"/>
    <w:rsid w:val="008A3CCD"/>
    <w:rsid w:val="008A3DD9"/>
    <w:rsid w:val="008A41D5"/>
    <w:rsid w:val="008A5302"/>
    <w:rsid w:val="008A6185"/>
    <w:rsid w:val="008B0E4C"/>
    <w:rsid w:val="008B29D2"/>
    <w:rsid w:val="008B61BA"/>
    <w:rsid w:val="008B64BE"/>
    <w:rsid w:val="008B67F6"/>
    <w:rsid w:val="008C1FE9"/>
    <w:rsid w:val="008C2C71"/>
    <w:rsid w:val="008C5064"/>
    <w:rsid w:val="008C7DCE"/>
    <w:rsid w:val="008D00E6"/>
    <w:rsid w:val="008D0D3D"/>
    <w:rsid w:val="008D18FC"/>
    <w:rsid w:val="008D1B7B"/>
    <w:rsid w:val="008D2F73"/>
    <w:rsid w:val="008D398B"/>
    <w:rsid w:val="008D53F9"/>
    <w:rsid w:val="008D57DD"/>
    <w:rsid w:val="008D5F9B"/>
    <w:rsid w:val="008D7B05"/>
    <w:rsid w:val="008D7E49"/>
    <w:rsid w:val="008E2344"/>
    <w:rsid w:val="008E3089"/>
    <w:rsid w:val="008E3F81"/>
    <w:rsid w:val="008E4C49"/>
    <w:rsid w:val="008E5307"/>
    <w:rsid w:val="008E581D"/>
    <w:rsid w:val="008E677D"/>
    <w:rsid w:val="008E7224"/>
    <w:rsid w:val="008F09FC"/>
    <w:rsid w:val="008F364A"/>
    <w:rsid w:val="008F3F53"/>
    <w:rsid w:val="008F675C"/>
    <w:rsid w:val="009006FC"/>
    <w:rsid w:val="00901249"/>
    <w:rsid w:val="009054A6"/>
    <w:rsid w:val="00906CA7"/>
    <w:rsid w:val="0091322D"/>
    <w:rsid w:val="00913E03"/>
    <w:rsid w:val="009140F8"/>
    <w:rsid w:val="00914211"/>
    <w:rsid w:val="00914D11"/>
    <w:rsid w:val="00917D30"/>
    <w:rsid w:val="009229E9"/>
    <w:rsid w:val="00923434"/>
    <w:rsid w:val="009245D4"/>
    <w:rsid w:val="00925EB1"/>
    <w:rsid w:val="00926579"/>
    <w:rsid w:val="009268CE"/>
    <w:rsid w:val="00926953"/>
    <w:rsid w:val="009302BF"/>
    <w:rsid w:val="009316AF"/>
    <w:rsid w:val="00932703"/>
    <w:rsid w:val="00933EAD"/>
    <w:rsid w:val="00935CFB"/>
    <w:rsid w:val="0093607D"/>
    <w:rsid w:val="009360E3"/>
    <w:rsid w:val="00936469"/>
    <w:rsid w:val="009400B7"/>
    <w:rsid w:val="009400C1"/>
    <w:rsid w:val="00940BF1"/>
    <w:rsid w:val="009427EE"/>
    <w:rsid w:val="00944F48"/>
    <w:rsid w:val="009469CF"/>
    <w:rsid w:val="009549C2"/>
    <w:rsid w:val="00954DC2"/>
    <w:rsid w:val="009555C8"/>
    <w:rsid w:val="00955C51"/>
    <w:rsid w:val="009572EF"/>
    <w:rsid w:val="00957B92"/>
    <w:rsid w:val="00957D9F"/>
    <w:rsid w:val="00957DE6"/>
    <w:rsid w:val="00957F52"/>
    <w:rsid w:val="0096719F"/>
    <w:rsid w:val="009703F6"/>
    <w:rsid w:val="00970966"/>
    <w:rsid w:val="009710AF"/>
    <w:rsid w:val="00974387"/>
    <w:rsid w:val="00974442"/>
    <w:rsid w:val="009768FB"/>
    <w:rsid w:val="0098113E"/>
    <w:rsid w:val="00984B30"/>
    <w:rsid w:val="0098576A"/>
    <w:rsid w:val="00992509"/>
    <w:rsid w:val="00992974"/>
    <w:rsid w:val="00992C03"/>
    <w:rsid w:val="00993C15"/>
    <w:rsid w:val="00993EE7"/>
    <w:rsid w:val="00997D01"/>
    <w:rsid w:val="009A1B57"/>
    <w:rsid w:val="009A3031"/>
    <w:rsid w:val="009A6779"/>
    <w:rsid w:val="009A7245"/>
    <w:rsid w:val="009A7C42"/>
    <w:rsid w:val="009B0CCA"/>
    <w:rsid w:val="009B2ACA"/>
    <w:rsid w:val="009B4A17"/>
    <w:rsid w:val="009B4E08"/>
    <w:rsid w:val="009C1C7E"/>
    <w:rsid w:val="009C234F"/>
    <w:rsid w:val="009C5CAC"/>
    <w:rsid w:val="009C7312"/>
    <w:rsid w:val="009C73AD"/>
    <w:rsid w:val="009D30B8"/>
    <w:rsid w:val="009D3FDD"/>
    <w:rsid w:val="009D6455"/>
    <w:rsid w:val="009D6E56"/>
    <w:rsid w:val="009E0B6A"/>
    <w:rsid w:val="009E14F5"/>
    <w:rsid w:val="009E332B"/>
    <w:rsid w:val="009E5407"/>
    <w:rsid w:val="009E561D"/>
    <w:rsid w:val="009E5E71"/>
    <w:rsid w:val="009F0816"/>
    <w:rsid w:val="009F1F69"/>
    <w:rsid w:val="009F280E"/>
    <w:rsid w:val="009F4CB7"/>
    <w:rsid w:val="009F6E75"/>
    <w:rsid w:val="00A020BE"/>
    <w:rsid w:val="00A025C5"/>
    <w:rsid w:val="00A04345"/>
    <w:rsid w:val="00A05175"/>
    <w:rsid w:val="00A05747"/>
    <w:rsid w:val="00A12E3A"/>
    <w:rsid w:val="00A13539"/>
    <w:rsid w:val="00A15E27"/>
    <w:rsid w:val="00A16302"/>
    <w:rsid w:val="00A209B7"/>
    <w:rsid w:val="00A21FFE"/>
    <w:rsid w:val="00A23BF4"/>
    <w:rsid w:val="00A24BC8"/>
    <w:rsid w:val="00A252E6"/>
    <w:rsid w:val="00A2593B"/>
    <w:rsid w:val="00A25CEE"/>
    <w:rsid w:val="00A25E1D"/>
    <w:rsid w:val="00A26EF4"/>
    <w:rsid w:val="00A278A3"/>
    <w:rsid w:val="00A30668"/>
    <w:rsid w:val="00A308E1"/>
    <w:rsid w:val="00A34E05"/>
    <w:rsid w:val="00A376F4"/>
    <w:rsid w:val="00A37830"/>
    <w:rsid w:val="00A378F6"/>
    <w:rsid w:val="00A4005B"/>
    <w:rsid w:val="00A43D8B"/>
    <w:rsid w:val="00A454F1"/>
    <w:rsid w:val="00A5200E"/>
    <w:rsid w:val="00A53504"/>
    <w:rsid w:val="00A5356F"/>
    <w:rsid w:val="00A543CC"/>
    <w:rsid w:val="00A5488C"/>
    <w:rsid w:val="00A57926"/>
    <w:rsid w:val="00A60FB4"/>
    <w:rsid w:val="00A61FFE"/>
    <w:rsid w:val="00A631B5"/>
    <w:rsid w:val="00A65052"/>
    <w:rsid w:val="00A65188"/>
    <w:rsid w:val="00A67DF8"/>
    <w:rsid w:val="00A70C17"/>
    <w:rsid w:val="00A71338"/>
    <w:rsid w:val="00A74616"/>
    <w:rsid w:val="00A767EF"/>
    <w:rsid w:val="00A77D32"/>
    <w:rsid w:val="00A806E9"/>
    <w:rsid w:val="00A809F6"/>
    <w:rsid w:val="00A82516"/>
    <w:rsid w:val="00A83BA2"/>
    <w:rsid w:val="00A85A41"/>
    <w:rsid w:val="00A86C93"/>
    <w:rsid w:val="00A90775"/>
    <w:rsid w:val="00A92032"/>
    <w:rsid w:val="00A93799"/>
    <w:rsid w:val="00A93CFF"/>
    <w:rsid w:val="00A94620"/>
    <w:rsid w:val="00A959D4"/>
    <w:rsid w:val="00AA1DF0"/>
    <w:rsid w:val="00AA22BB"/>
    <w:rsid w:val="00AA4868"/>
    <w:rsid w:val="00AB1AFB"/>
    <w:rsid w:val="00AB44A1"/>
    <w:rsid w:val="00AB4A9B"/>
    <w:rsid w:val="00AB58A5"/>
    <w:rsid w:val="00AB5DEF"/>
    <w:rsid w:val="00AB6651"/>
    <w:rsid w:val="00AB6DF0"/>
    <w:rsid w:val="00AB7DD2"/>
    <w:rsid w:val="00AC0B3B"/>
    <w:rsid w:val="00AC580C"/>
    <w:rsid w:val="00AC6B94"/>
    <w:rsid w:val="00AC6F34"/>
    <w:rsid w:val="00AD0B64"/>
    <w:rsid w:val="00AD27C2"/>
    <w:rsid w:val="00AD2E59"/>
    <w:rsid w:val="00AD52F9"/>
    <w:rsid w:val="00AD737B"/>
    <w:rsid w:val="00AE1001"/>
    <w:rsid w:val="00AE603E"/>
    <w:rsid w:val="00AF0931"/>
    <w:rsid w:val="00AF0A8C"/>
    <w:rsid w:val="00AF0C7C"/>
    <w:rsid w:val="00AF46E9"/>
    <w:rsid w:val="00AF6053"/>
    <w:rsid w:val="00AF669A"/>
    <w:rsid w:val="00AF7232"/>
    <w:rsid w:val="00B01B82"/>
    <w:rsid w:val="00B01D86"/>
    <w:rsid w:val="00B03F95"/>
    <w:rsid w:val="00B04C4E"/>
    <w:rsid w:val="00B07E4E"/>
    <w:rsid w:val="00B11D4D"/>
    <w:rsid w:val="00B11DEC"/>
    <w:rsid w:val="00B11FD1"/>
    <w:rsid w:val="00B137E9"/>
    <w:rsid w:val="00B149AA"/>
    <w:rsid w:val="00B1611D"/>
    <w:rsid w:val="00B2044F"/>
    <w:rsid w:val="00B20512"/>
    <w:rsid w:val="00B30EA2"/>
    <w:rsid w:val="00B313D1"/>
    <w:rsid w:val="00B31D29"/>
    <w:rsid w:val="00B3281E"/>
    <w:rsid w:val="00B35EA9"/>
    <w:rsid w:val="00B362F4"/>
    <w:rsid w:val="00B36A3E"/>
    <w:rsid w:val="00B36ED3"/>
    <w:rsid w:val="00B37A58"/>
    <w:rsid w:val="00B43323"/>
    <w:rsid w:val="00B4569F"/>
    <w:rsid w:val="00B470BE"/>
    <w:rsid w:val="00B5075D"/>
    <w:rsid w:val="00B513C9"/>
    <w:rsid w:val="00B53984"/>
    <w:rsid w:val="00B54670"/>
    <w:rsid w:val="00B55E11"/>
    <w:rsid w:val="00B56285"/>
    <w:rsid w:val="00B56EF4"/>
    <w:rsid w:val="00B621A2"/>
    <w:rsid w:val="00B65F3B"/>
    <w:rsid w:val="00B67E94"/>
    <w:rsid w:val="00B70485"/>
    <w:rsid w:val="00B705D8"/>
    <w:rsid w:val="00B747F6"/>
    <w:rsid w:val="00B75727"/>
    <w:rsid w:val="00B75D5F"/>
    <w:rsid w:val="00B82A13"/>
    <w:rsid w:val="00B84498"/>
    <w:rsid w:val="00B90CEF"/>
    <w:rsid w:val="00B93FA5"/>
    <w:rsid w:val="00B95311"/>
    <w:rsid w:val="00B96FA9"/>
    <w:rsid w:val="00BA1531"/>
    <w:rsid w:val="00BA20E0"/>
    <w:rsid w:val="00BA33F4"/>
    <w:rsid w:val="00BA3A2E"/>
    <w:rsid w:val="00BA43FA"/>
    <w:rsid w:val="00BA4500"/>
    <w:rsid w:val="00BA51A5"/>
    <w:rsid w:val="00BA5467"/>
    <w:rsid w:val="00BA7857"/>
    <w:rsid w:val="00BB04FC"/>
    <w:rsid w:val="00BB11A7"/>
    <w:rsid w:val="00BB1601"/>
    <w:rsid w:val="00BB2769"/>
    <w:rsid w:val="00BB40AA"/>
    <w:rsid w:val="00BB5025"/>
    <w:rsid w:val="00BB7559"/>
    <w:rsid w:val="00BC2B27"/>
    <w:rsid w:val="00BC2E37"/>
    <w:rsid w:val="00BC4824"/>
    <w:rsid w:val="00BC5DBD"/>
    <w:rsid w:val="00BD03D5"/>
    <w:rsid w:val="00BD07BD"/>
    <w:rsid w:val="00BD0D49"/>
    <w:rsid w:val="00BD155E"/>
    <w:rsid w:val="00BD4313"/>
    <w:rsid w:val="00BD4F18"/>
    <w:rsid w:val="00BD5E05"/>
    <w:rsid w:val="00BD758E"/>
    <w:rsid w:val="00BD7D24"/>
    <w:rsid w:val="00BE0B07"/>
    <w:rsid w:val="00BE2F7D"/>
    <w:rsid w:val="00BE469F"/>
    <w:rsid w:val="00BF1DC3"/>
    <w:rsid w:val="00BF326A"/>
    <w:rsid w:val="00BF5831"/>
    <w:rsid w:val="00BF60B8"/>
    <w:rsid w:val="00C01E41"/>
    <w:rsid w:val="00C02AF8"/>
    <w:rsid w:val="00C02FF8"/>
    <w:rsid w:val="00C06151"/>
    <w:rsid w:val="00C11AEF"/>
    <w:rsid w:val="00C12A96"/>
    <w:rsid w:val="00C13DF0"/>
    <w:rsid w:val="00C15C3E"/>
    <w:rsid w:val="00C17E01"/>
    <w:rsid w:val="00C21FEB"/>
    <w:rsid w:val="00C22733"/>
    <w:rsid w:val="00C2402D"/>
    <w:rsid w:val="00C2505E"/>
    <w:rsid w:val="00C25974"/>
    <w:rsid w:val="00C25E2B"/>
    <w:rsid w:val="00C27AC3"/>
    <w:rsid w:val="00C31933"/>
    <w:rsid w:val="00C31AC4"/>
    <w:rsid w:val="00C3387A"/>
    <w:rsid w:val="00C350A8"/>
    <w:rsid w:val="00C3526C"/>
    <w:rsid w:val="00C35558"/>
    <w:rsid w:val="00C35B84"/>
    <w:rsid w:val="00C409BE"/>
    <w:rsid w:val="00C418A3"/>
    <w:rsid w:val="00C423CA"/>
    <w:rsid w:val="00C438F2"/>
    <w:rsid w:val="00C44A76"/>
    <w:rsid w:val="00C467C1"/>
    <w:rsid w:val="00C4783E"/>
    <w:rsid w:val="00C51BD6"/>
    <w:rsid w:val="00C51CC7"/>
    <w:rsid w:val="00C54545"/>
    <w:rsid w:val="00C56D59"/>
    <w:rsid w:val="00C57038"/>
    <w:rsid w:val="00C61A46"/>
    <w:rsid w:val="00C64C43"/>
    <w:rsid w:val="00C651FC"/>
    <w:rsid w:val="00C652ED"/>
    <w:rsid w:val="00C665EE"/>
    <w:rsid w:val="00C666ED"/>
    <w:rsid w:val="00C67078"/>
    <w:rsid w:val="00C712A4"/>
    <w:rsid w:val="00C72FC9"/>
    <w:rsid w:val="00C74956"/>
    <w:rsid w:val="00C764CD"/>
    <w:rsid w:val="00C7793C"/>
    <w:rsid w:val="00C77AB2"/>
    <w:rsid w:val="00C84710"/>
    <w:rsid w:val="00C8758C"/>
    <w:rsid w:val="00C906BD"/>
    <w:rsid w:val="00C909F0"/>
    <w:rsid w:val="00C90C04"/>
    <w:rsid w:val="00C939A8"/>
    <w:rsid w:val="00C93DC3"/>
    <w:rsid w:val="00C94FA9"/>
    <w:rsid w:val="00C95EE4"/>
    <w:rsid w:val="00C97145"/>
    <w:rsid w:val="00CA042D"/>
    <w:rsid w:val="00CA1C1C"/>
    <w:rsid w:val="00CA1D21"/>
    <w:rsid w:val="00CA2AA0"/>
    <w:rsid w:val="00CA3492"/>
    <w:rsid w:val="00CA3BBB"/>
    <w:rsid w:val="00CA3F65"/>
    <w:rsid w:val="00CA53DC"/>
    <w:rsid w:val="00CA5541"/>
    <w:rsid w:val="00CA6C93"/>
    <w:rsid w:val="00CB0524"/>
    <w:rsid w:val="00CB0C76"/>
    <w:rsid w:val="00CB2005"/>
    <w:rsid w:val="00CB4836"/>
    <w:rsid w:val="00CC1D1D"/>
    <w:rsid w:val="00CC2B73"/>
    <w:rsid w:val="00CC5B66"/>
    <w:rsid w:val="00CC7BF9"/>
    <w:rsid w:val="00CD3C29"/>
    <w:rsid w:val="00CD3EA5"/>
    <w:rsid w:val="00CD4379"/>
    <w:rsid w:val="00CD4E07"/>
    <w:rsid w:val="00CD582E"/>
    <w:rsid w:val="00CD5CD0"/>
    <w:rsid w:val="00CD7AE6"/>
    <w:rsid w:val="00CE10A9"/>
    <w:rsid w:val="00CE1669"/>
    <w:rsid w:val="00CE174C"/>
    <w:rsid w:val="00CE33A8"/>
    <w:rsid w:val="00CE3A3D"/>
    <w:rsid w:val="00CE5439"/>
    <w:rsid w:val="00CF557B"/>
    <w:rsid w:val="00CF5889"/>
    <w:rsid w:val="00CF6B22"/>
    <w:rsid w:val="00CF79A5"/>
    <w:rsid w:val="00D00347"/>
    <w:rsid w:val="00D010FD"/>
    <w:rsid w:val="00D01290"/>
    <w:rsid w:val="00D01CEA"/>
    <w:rsid w:val="00D02289"/>
    <w:rsid w:val="00D02812"/>
    <w:rsid w:val="00D035EF"/>
    <w:rsid w:val="00D03822"/>
    <w:rsid w:val="00D04BBC"/>
    <w:rsid w:val="00D050CA"/>
    <w:rsid w:val="00D0644E"/>
    <w:rsid w:val="00D0655F"/>
    <w:rsid w:val="00D076E5"/>
    <w:rsid w:val="00D120B7"/>
    <w:rsid w:val="00D122B1"/>
    <w:rsid w:val="00D1289D"/>
    <w:rsid w:val="00D129CE"/>
    <w:rsid w:val="00D20056"/>
    <w:rsid w:val="00D211BE"/>
    <w:rsid w:val="00D212E8"/>
    <w:rsid w:val="00D2187E"/>
    <w:rsid w:val="00D218CF"/>
    <w:rsid w:val="00D21A12"/>
    <w:rsid w:val="00D22CE4"/>
    <w:rsid w:val="00D2398E"/>
    <w:rsid w:val="00D26475"/>
    <w:rsid w:val="00D30BC5"/>
    <w:rsid w:val="00D31875"/>
    <w:rsid w:val="00D31EC0"/>
    <w:rsid w:val="00D3300F"/>
    <w:rsid w:val="00D33ED5"/>
    <w:rsid w:val="00D36892"/>
    <w:rsid w:val="00D415EF"/>
    <w:rsid w:val="00D45B56"/>
    <w:rsid w:val="00D476A1"/>
    <w:rsid w:val="00D47808"/>
    <w:rsid w:val="00D50079"/>
    <w:rsid w:val="00D55E32"/>
    <w:rsid w:val="00D614DB"/>
    <w:rsid w:val="00D6199A"/>
    <w:rsid w:val="00D7073C"/>
    <w:rsid w:val="00D707DF"/>
    <w:rsid w:val="00D74625"/>
    <w:rsid w:val="00D74C1A"/>
    <w:rsid w:val="00D80079"/>
    <w:rsid w:val="00D81898"/>
    <w:rsid w:val="00D83ECC"/>
    <w:rsid w:val="00D84B7E"/>
    <w:rsid w:val="00D85179"/>
    <w:rsid w:val="00D85C1F"/>
    <w:rsid w:val="00D8762A"/>
    <w:rsid w:val="00D87CCC"/>
    <w:rsid w:val="00D87DD6"/>
    <w:rsid w:val="00D90AAB"/>
    <w:rsid w:val="00D94089"/>
    <w:rsid w:val="00D96470"/>
    <w:rsid w:val="00DA09BD"/>
    <w:rsid w:val="00DA339C"/>
    <w:rsid w:val="00DA3758"/>
    <w:rsid w:val="00DA3E82"/>
    <w:rsid w:val="00DA4B10"/>
    <w:rsid w:val="00DA5E47"/>
    <w:rsid w:val="00DA6544"/>
    <w:rsid w:val="00DB1764"/>
    <w:rsid w:val="00DB2119"/>
    <w:rsid w:val="00DB22DA"/>
    <w:rsid w:val="00DB2870"/>
    <w:rsid w:val="00DB2FF6"/>
    <w:rsid w:val="00DB3289"/>
    <w:rsid w:val="00DB4859"/>
    <w:rsid w:val="00DB6060"/>
    <w:rsid w:val="00DB7018"/>
    <w:rsid w:val="00DC05BC"/>
    <w:rsid w:val="00DC1B70"/>
    <w:rsid w:val="00DC30B9"/>
    <w:rsid w:val="00DC3593"/>
    <w:rsid w:val="00DC46F5"/>
    <w:rsid w:val="00DC5360"/>
    <w:rsid w:val="00DC63CC"/>
    <w:rsid w:val="00DC64AF"/>
    <w:rsid w:val="00DD0B08"/>
    <w:rsid w:val="00DD1157"/>
    <w:rsid w:val="00DD3A24"/>
    <w:rsid w:val="00DD4FA2"/>
    <w:rsid w:val="00DD5A27"/>
    <w:rsid w:val="00DD5F63"/>
    <w:rsid w:val="00DE7D03"/>
    <w:rsid w:val="00DE7EDF"/>
    <w:rsid w:val="00DF0AE2"/>
    <w:rsid w:val="00DF2F86"/>
    <w:rsid w:val="00DF3516"/>
    <w:rsid w:val="00E03407"/>
    <w:rsid w:val="00E034DF"/>
    <w:rsid w:val="00E03C07"/>
    <w:rsid w:val="00E04731"/>
    <w:rsid w:val="00E05EDF"/>
    <w:rsid w:val="00E06618"/>
    <w:rsid w:val="00E07451"/>
    <w:rsid w:val="00E07591"/>
    <w:rsid w:val="00E07D83"/>
    <w:rsid w:val="00E10FCC"/>
    <w:rsid w:val="00E14094"/>
    <w:rsid w:val="00E15D36"/>
    <w:rsid w:val="00E169DA"/>
    <w:rsid w:val="00E20E3C"/>
    <w:rsid w:val="00E21FAE"/>
    <w:rsid w:val="00E226BD"/>
    <w:rsid w:val="00E23981"/>
    <w:rsid w:val="00E23B37"/>
    <w:rsid w:val="00E23EF4"/>
    <w:rsid w:val="00E31DE5"/>
    <w:rsid w:val="00E34687"/>
    <w:rsid w:val="00E36290"/>
    <w:rsid w:val="00E408BB"/>
    <w:rsid w:val="00E4457D"/>
    <w:rsid w:val="00E44901"/>
    <w:rsid w:val="00E507AC"/>
    <w:rsid w:val="00E512C1"/>
    <w:rsid w:val="00E52A7D"/>
    <w:rsid w:val="00E55B61"/>
    <w:rsid w:val="00E57725"/>
    <w:rsid w:val="00E5778C"/>
    <w:rsid w:val="00E57A95"/>
    <w:rsid w:val="00E57E47"/>
    <w:rsid w:val="00E6198A"/>
    <w:rsid w:val="00E61B60"/>
    <w:rsid w:val="00E6250C"/>
    <w:rsid w:val="00E659AA"/>
    <w:rsid w:val="00E66819"/>
    <w:rsid w:val="00E73A03"/>
    <w:rsid w:val="00E74166"/>
    <w:rsid w:val="00E742C1"/>
    <w:rsid w:val="00E777DE"/>
    <w:rsid w:val="00E81E61"/>
    <w:rsid w:val="00E848B4"/>
    <w:rsid w:val="00E85899"/>
    <w:rsid w:val="00E8784A"/>
    <w:rsid w:val="00E87D15"/>
    <w:rsid w:val="00E91417"/>
    <w:rsid w:val="00E92C95"/>
    <w:rsid w:val="00E93A65"/>
    <w:rsid w:val="00E94329"/>
    <w:rsid w:val="00EA0904"/>
    <w:rsid w:val="00EA15FA"/>
    <w:rsid w:val="00EA1EAC"/>
    <w:rsid w:val="00EA2BCD"/>
    <w:rsid w:val="00EA33BF"/>
    <w:rsid w:val="00EA3C5E"/>
    <w:rsid w:val="00EA3F47"/>
    <w:rsid w:val="00EA5E01"/>
    <w:rsid w:val="00EA66B9"/>
    <w:rsid w:val="00EB0064"/>
    <w:rsid w:val="00EB1377"/>
    <w:rsid w:val="00EB2553"/>
    <w:rsid w:val="00EB314C"/>
    <w:rsid w:val="00EB6345"/>
    <w:rsid w:val="00EB71C8"/>
    <w:rsid w:val="00EB7445"/>
    <w:rsid w:val="00EB77E3"/>
    <w:rsid w:val="00EB7DD1"/>
    <w:rsid w:val="00EB7E64"/>
    <w:rsid w:val="00EC1E33"/>
    <w:rsid w:val="00EC6E93"/>
    <w:rsid w:val="00ED4E1A"/>
    <w:rsid w:val="00ED6B69"/>
    <w:rsid w:val="00ED7BA1"/>
    <w:rsid w:val="00ED7DCA"/>
    <w:rsid w:val="00EE0223"/>
    <w:rsid w:val="00EE08F0"/>
    <w:rsid w:val="00EE1C0B"/>
    <w:rsid w:val="00EE2560"/>
    <w:rsid w:val="00EE3B1D"/>
    <w:rsid w:val="00EF22E6"/>
    <w:rsid w:val="00EF3CD7"/>
    <w:rsid w:val="00EF6264"/>
    <w:rsid w:val="00F02D40"/>
    <w:rsid w:val="00F04DD8"/>
    <w:rsid w:val="00F0621F"/>
    <w:rsid w:val="00F07022"/>
    <w:rsid w:val="00F0722A"/>
    <w:rsid w:val="00F0735F"/>
    <w:rsid w:val="00F1119E"/>
    <w:rsid w:val="00F13DF2"/>
    <w:rsid w:val="00F15E20"/>
    <w:rsid w:val="00F174E4"/>
    <w:rsid w:val="00F224C3"/>
    <w:rsid w:val="00F236A9"/>
    <w:rsid w:val="00F2742F"/>
    <w:rsid w:val="00F274DD"/>
    <w:rsid w:val="00F27F3F"/>
    <w:rsid w:val="00F30848"/>
    <w:rsid w:val="00F30FFF"/>
    <w:rsid w:val="00F316B6"/>
    <w:rsid w:val="00F33E30"/>
    <w:rsid w:val="00F35331"/>
    <w:rsid w:val="00F35A34"/>
    <w:rsid w:val="00F40882"/>
    <w:rsid w:val="00F40E01"/>
    <w:rsid w:val="00F42A53"/>
    <w:rsid w:val="00F42C11"/>
    <w:rsid w:val="00F43559"/>
    <w:rsid w:val="00F4453E"/>
    <w:rsid w:val="00F4485B"/>
    <w:rsid w:val="00F4569B"/>
    <w:rsid w:val="00F45F39"/>
    <w:rsid w:val="00F46A1F"/>
    <w:rsid w:val="00F4750C"/>
    <w:rsid w:val="00F50DAE"/>
    <w:rsid w:val="00F51040"/>
    <w:rsid w:val="00F561B4"/>
    <w:rsid w:val="00F56403"/>
    <w:rsid w:val="00F5789B"/>
    <w:rsid w:val="00F607B4"/>
    <w:rsid w:val="00F60AF8"/>
    <w:rsid w:val="00F63DD4"/>
    <w:rsid w:val="00F64CCA"/>
    <w:rsid w:val="00F64FAC"/>
    <w:rsid w:val="00F651B6"/>
    <w:rsid w:val="00F66712"/>
    <w:rsid w:val="00F73508"/>
    <w:rsid w:val="00F747A0"/>
    <w:rsid w:val="00F75AAB"/>
    <w:rsid w:val="00F75C76"/>
    <w:rsid w:val="00F818F9"/>
    <w:rsid w:val="00F81F3E"/>
    <w:rsid w:val="00F87806"/>
    <w:rsid w:val="00F977E7"/>
    <w:rsid w:val="00FA113A"/>
    <w:rsid w:val="00FA1C82"/>
    <w:rsid w:val="00FA2812"/>
    <w:rsid w:val="00FA2918"/>
    <w:rsid w:val="00FA582A"/>
    <w:rsid w:val="00FA6285"/>
    <w:rsid w:val="00FB0A6C"/>
    <w:rsid w:val="00FB4372"/>
    <w:rsid w:val="00FB634A"/>
    <w:rsid w:val="00FB7A01"/>
    <w:rsid w:val="00FC1013"/>
    <w:rsid w:val="00FC1D2C"/>
    <w:rsid w:val="00FC2193"/>
    <w:rsid w:val="00FC2ADE"/>
    <w:rsid w:val="00FC2FC6"/>
    <w:rsid w:val="00FC4074"/>
    <w:rsid w:val="00FC6DAE"/>
    <w:rsid w:val="00FC720B"/>
    <w:rsid w:val="00FD12BD"/>
    <w:rsid w:val="00FD3152"/>
    <w:rsid w:val="00FD46FE"/>
    <w:rsid w:val="00FD534E"/>
    <w:rsid w:val="00FD5A02"/>
    <w:rsid w:val="00FE208B"/>
    <w:rsid w:val="00FE2336"/>
    <w:rsid w:val="00FE27C2"/>
    <w:rsid w:val="00FE3BE0"/>
    <w:rsid w:val="00FE3FE9"/>
    <w:rsid w:val="00FE4534"/>
    <w:rsid w:val="00FE6A10"/>
    <w:rsid w:val="00FF08C0"/>
    <w:rsid w:val="00FF1397"/>
    <w:rsid w:val="00FF2F9B"/>
    <w:rsid w:val="00FF33FA"/>
    <w:rsid w:val="00FF4D5A"/>
    <w:rsid w:val="00FF50C9"/>
    <w:rsid w:val="00FF6F9D"/>
    <w:rsid w:val="00FF7A89"/>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E18A5"/>
  <w15:chartTrackingRefBased/>
  <w15:docId w15:val="{E7DB3896-6535-4DB8-852F-4356C654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Paragraphe"/>
    <w:next w:val="Normal"/>
    <w:qFormat/>
    <w:rsid w:val="00C27AC3"/>
    <w:pPr>
      <w:numPr>
        <w:numId w:val="0"/>
      </w:numPr>
      <w:tabs>
        <w:tab w:val="left" w:pos="426"/>
      </w:tabs>
      <w:outlineLvl w:val="0"/>
    </w:pPr>
    <w:rPr>
      <w:b/>
      <w:bCs/>
    </w:rPr>
  </w:style>
  <w:style w:type="paragraph" w:styleId="Titre2">
    <w:name w:val="heading 2"/>
    <w:basedOn w:val="Paragraphe"/>
    <w:next w:val="Normal"/>
    <w:qFormat/>
    <w:rsid w:val="00100051"/>
    <w:pPr>
      <w:numPr>
        <w:numId w:val="50"/>
      </w:numPr>
      <w:outlineLvl w:val="1"/>
    </w:pPr>
    <w:rPr>
      <w:b/>
      <w:bCs/>
    </w:rPr>
  </w:style>
  <w:style w:type="paragraph" w:styleId="Titre3">
    <w:name w:val="heading 3"/>
    <w:basedOn w:val="Paragraphe"/>
    <w:next w:val="Normal"/>
    <w:qFormat/>
    <w:rsid w:val="00A308E1"/>
    <w:pPr>
      <w:numPr>
        <w:numId w:val="22"/>
      </w:numPr>
      <w:outlineLvl w:val="2"/>
    </w:pPr>
    <w:rPr>
      <w:b/>
      <w:bCs/>
      <w:i/>
      <w:iCs/>
    </w:rPr>
  </w:style>
  <w:style w:type="paragraph" w:styleId="Titre4">
    <w:name w:val="heading 4"/>
    <w:basedOn w:val="Normal"/>
    <w:next w:val="Normal"/>
    <w:link w:val="Titre4Car"/>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rsid w:val="00E07451"/>
    <w:pPr>
      <w:numPr>
        <w:numId w:val="18"/>
      </w:numPr>
      <w:spacing w:before="120" w:after="120" w:line="360" w:lineRule="auto"/>
      <w:jc w:val="both"/>
    </w:pPr>
    <w:rPr>
      <w:kern w:val="28"/>
    </w:rPr>
  </w:style>
  <w:style w:type="paragraph" w:customStyle="1" w:styleId="Citationenretrait">
    <w:name w:val="Citation en retrait"/>
    <w:basedOn w:val="Normal"/>
    <w:qFormat/>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Char,Char Char,Char Char Char,Char Char Char Char Char,FA Fu,Footnote Text Char Char Char Char,Footnote Text Char Char Char Char Char,Footnote ak,Footnote reference,Footnote text,Footnotes,Nota de rodapé,fn,ft,ft Char Ch,ft2"/>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Char Char6 Char Char Char Char Char Char Char Char Char Char Char Char,Char6 Char Char Char Char Char Char Char Char Char Char Char Char Char,Footnote,Ref,de nota al pie,fr"/>
    <w:uiPriority w:val="99"/>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uiPriority w:val="39"/>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paragraph" w:styleId="Paragraphedeliste">
    <w:name w:val="List Paragraph"/>
    <w:basedOn w:val="Normal"/>
    <w:uiPriority w:val="34"/>
    <w:qFormat/>
    <w:rsid w:val="0025323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NotedebasdepageCar">
    <w:name w:val="Note de bas de page Car"/>
    <w:aliases w:val="Char Car,Char Char Car,Char Char Char Car,Char Char Char Char Char Car,FA Fu Car,Footnote Text Char Char Char Char Car,Footnote Text Char Char Char Char Char Car,Footnote ak Car,Footnote reference Car,Footnote text Car,fn Car"/>
    <w:basedOn w:val="Policepardfaut"/>
    <w:link w:val="Notedebasdepage"/>
    <w:rsid w:val="0025323F"/>
    <w:rPr>
      <w:rFonts w:ascii="Arial" w:hAnsi="Arial"/>
      <w:lang w:eastAsia="fr-FR"/>
    </w:rPr>
  </w:style>
  <w:style w:type="character" w:customStyle="1" w:styleId="ParagrapheCar">
    <w:name w:val="Paragraphe Car"/>
    <w:link w:val="Paragraphe"/>
    <w:qFormat/>
    <w:locked/>
    <w:rsid w:val="00E07451"/>
    <w:rPr>
      <w:rFonts w:ascii="Arial" w:hAnsi="Arial"/>
      <w:kern w:val="28"/>
      <w:sz w:val="24"/>
      <w:lang w:eastAsia="fr-FR"/>
    </w:rPr>
  </w:style>
  <w:style w:type="paragraph" w:styleId="PrformatHTML">
    <w:name w:val="HTML Preformatted"/>
    <w:basedOn w:val="Normal"/>
    <w:link w:val="PrformatHTMLCar"/>
    <w:uiPriority w:val="99"/>
    <w:semiHidden/>
    <w:unhideWhenUsed/>
    <w:rsid w:val="00B3281E"/>
    <w:pPr>
      <w:spacing w:line="240" w:lineRule="auto"/>
    </w:pPr>
    <w:rPr>
      <w:rFonts w:ascii="Consolas" w:hAnsi="Consolas"/>
      <w:sz w:val="20"/>
    </w:rPr>
  </w:style>
  <w:style w:type="character" w:customStyle="1" w:styleId="PrformatHTMLCar">
    <w:name w:val="Préformaté HTML Car"/>
    <w:basedOn w:val="Policepardfaut"/>
    <w:link w:val="PrformatHTML"/>
    <w:uiPriority w:val="99"/>
    <w:semiHidden/>
    <w:rsid w:val="00B3281E"/>
    <w:rPr>
      <w:rFonts w:ascii="Consolas" w:hAnsi="Consolas"/>
      <w:lang w:eastAsia="fr-FR"/>
    </w:rPr>
  </w:style>
  <w:style w:type="character" w:styleId="Hyperlien">
    <w:name w:val="Hyperlink"/>
    <w:basedOn w:val="Policepardfaut"/>
    <w:uiPriority w:val="99"/>
    <w:unhideWhenUsed/>
    <w:rsid w:val="00361E7F"/>
    <w:rPr>
      <w:color w:val="0000FF"/>
      <w:u w:val="single"/>
    </w:rPr>
  </w:style>
  <w:style w:type="character" w:customStyle="1" w:styleId="Titre4Car">
    <w:name w:val="Titre 4 Car"/>
    <w:basedOn w:val="Policepardfaut"/>
    <w:link w:val="Titre4"/>
    <w:rsid w:val="004B48F3"/>
    <w:rPr>
      <w:rFonts w:ascii="Arial" w:hAnsi="Arial"/>
      <w:b/>
      <w:sz w:val="24"/>
      <w:lang w:eastAsia="fr-FR"/>
    </w:rPr>
  </w:style>
  <w:style w:type="paragraph" w:customStyle="1" w:styleId="paranondepar-altn">
    <w:name w:val="paranondepar-altn"/>
    <w:basedOn w:val="Normal"/>
    <w:rsid w:val="003E3D28"/>
    <w:pPr>
      <w:spacing w:before="100" w:beforeAutospacing="1" w:after="100" w:afterAutospacing="1" w:line="240" w:lineRule="auto"/>
    </w:pPr>
    <w:rPr>
      <w:rFonts w:ascii="Times New Roman" w:hAnsi="Times New Roman"/>
      <w:szCs w:val="24"/>
      <w:lang w:eastAsia="fr-CA"/>
    </w:rPr>
  </w:style>
  <w:style w:type="character" w:customStyle="1" w:styleId="decisia-reflex2-icon">
    <w:name w:val="decisia-reflex2-icon"/>
    <w:basedOn w:val="Policepardfaut"/>
    <w:rsid w:val="003E3D28"/>
  </w:style>
  <w:style w:type="paragraph" w:customStyle="1" w:styleId="1">
    <w:name w:val="1"/>
    <w:basedOn w:val="Normal"/>
    <w:rsid w:val="00CA5541"/>
    <w:pPr>
      <w:spacing w:before="100" w:beforeAutospacing="1" w:after="100" w:afterAutospacing="1" w:line="240" w:lineRule="auto"/>
    </w:pPr>
    <w:rPr>
      <w:rFonts w:ascii="Times New Roman" w:hAnsi="Times New Roman"/>
      <w:szCs w:val="24"/>
      <w:lang w:eastAsia="fr-CA"/>
    </w:rPr>
  </w:style>
  <w:style w:type="character" w:customStyle="1" w:styleId="Mentionnonrsolue1">
    <w:name w:val="Mention non résolue1"/>
    <w:basedOn w:val="Policepardfaut"/>
    <w:uiPriority w:val="99"/>
    <w:semiHidden/>
    <w:unhideWhenUsed/>
    <w:rsid w:val="001C4084"/>
    <w:rPr>
      <w:color w:val="605E5C"/>
      <w:shd w:val="clear" w:color="auto" w:fill="E1DFDD"/>
    </w:rPr>
  </w:style>
  <w:style w:type="paragraph" w:styleId="Citation">
    <w:name w:val="Quote"/>
    <w:basedOn w:val="Normal"/>
    <w:next w:val="Normal"/>
    <w:link w:val="CitationCar"/>
    <w:uiPriority w:val="29"/>
    <w:qFormat/>
    <w:rsid w:val="00381F08"/>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81F08"/>
    <w:rPr>
      <w:rFonts w:ascii="Arial" w:hAnsi="Arial"/>
      <w:i/>
      <w:iCs/>
      <w:color w:val="404040" w:themeColor="text1" w:themeTint="BF"/>
      <w:sz w:val="24"/>
      <w:lang w:eastAsia="fr-FR"/>
    </w:rPr>
  </w:style>
  <w:style w:type="character" w:styleId="Marquedecommentaire">
    <w:name w:val="annotation reference"/>
    <w:basedOn w:val="Policepardfaut"/>
    <w:uiPriority w:val="99"/>
    <w:semiHidden/>
    <w:unhideWhenUsed/>
    <w:rsid w:val="00573CE1"/>
    <w:rPr>
      <w:sz w:val="16"/>
      <w:szCs w:val="16"/>
    </w:rPr>
  </w:style>
  <w:style w:type="paragraph" w:styleId="Commentaire">
    <w:name w:val="annotation text"/>
    <w:basedOn w:val="Normal"/>
    <w:link w:val="CommentaireCar"/>
    <w:uiPriority w:val="99"/>
    <w:unhideWhenUsed/>
    <w:rsid w:val="00573CE1"/>
    <w:pPr>
      <w:spacing w:line="240" w:lineRule="auto"/>
    </w:pPr>
    <w:rPr>
      <w:sz w:val="20"/>
    </w:rPr>
  </w:style>
  <w:style w:type="character" w:customStyle="1" w:styleId="CommentaireCar">
    <w:name w:val="Commentaire Car"/>
    <w:basedOn w:val="Policepardfaut"/>
    <w:link w:val="Commentaire"/>
    <w:uiPriority w:val="99"/>
    <w:rsid w:val="00573CE1"/>
    <w:rPr>
      <w:rFonts w:ascii="Arial" w:hAnsi="Arial"/>
      <w:lang w:eastAsia="fr-FR"/>
    </w:rPr>
  </w:style>
  <w:style w:type="paragraph" w:customStyle="1" w:styleId="normalnumber">
    <w:name w:val="normalnumber"/>
    <w:basedOn w:val="Normal"/>
    <w:rsid w:val="004D710F"/>
    <w:pPr>
      <w:spacing w:before="100" w:beforeAutospacing="1" w:after="100" w:afterAutospacing="1" w:line="240" w:lineRule="auto"/>
    </w:pPr>
    <w:rPr>
      <w:rFonts w:ascii="Times New Roman" w:hAnsi="Times New Roman"/>
      <w:szCs w:val="24"/>
      <w:lang w:eastAsia="fr-CA"/>
    </w:rPr>
  </w:style>
  <w:style w:type="paragraph" w:customStyle="1" w:styleId="scjnumber">
    <w:name w:val="scjnumber"/>
    <w:basedOn w:val="Normal"/>
    <w:rsid w:val="00BD07BD"/>
    <w:pPr>
      <w:spacing w:before="100" w:beforeAutospacing="1" w:after="100" w:afterAutospacing="1" w:line="240" w:lineRule="auto"/>
    </w:pPr>
    <w:rPr>
      <w:rFonts w:ascii="Times New Roman" w:hAnsi="Times New Roman"/>
      <w:szCs w:val="24"/>
      <w:lang w:eastAsia="fr-CA"/>
    </w:rPr>
  </w:style>
  <w:style w:type="character" w:customStyle="1" w:styleId="cf01">
    <w:name w:val="cf01"/>
    <w:basedOn w:val="Policepardfaut"/>
    <w:rsid w:val="00C64C43"/>
    <w:rPr>
      <w:rFonts w:ascii="Segoe UI" w:hAnsi="Segoe UI" w:cs="Segoe UI" w:hint="default"/>
      <w:sz w:val="18"/>
      <w:szCs w:val="18"/>
    </w:rPr>
  </w:style>
  <w:style w:type="paragraph" w:customStyle="1" w:styleId="marginalnote">
    <w:name w:val="marginalnote"/>
    <w:basedOn w:val="Normal"/>
    <w:rsid w:val="007C4CD0"/>
    <w:pPr>
      <w:spacing w:before="100" w:beforeAutospacing="1" w:after="100" w:afterAutospacing="1" w:line="240" w:lineRule="auto"/>
    </w:pPr>
    <w:rPr>
      <w:rFonts w:ascii="Times New Roman" w:hAnsi="Times New Roman"/>
      <w:szCs w:val="24"/>
      <w:lang w:eastAsia="fr-CA"/>
    </w:rPr>
  </w:style>
  <w:style w:type="paragraph" w:customStyle="1" w:styleId="subsection">
    <w:name w:val="subsection"/>
    <w:basedOn w:val="Normal"/>
    <w:rsid w:val="007C4CD0"/>
    <w:pPr>
      <w:spacing w:before="100" w:beforeAutospacing="1" w:after="100" w:afterAutospacing="1" w:line="240" w:lineRule="auto"/>
    </w:pPr>
    <w:rPr>
      <w:rFonts w:ascii="Times New Roman" w:hAnsi="Times New Roman"/>
      <w:szCs w:val="24"/>
      <w:lang w:eastAsia="fr-CA"/>
    </w:rPr>
  </w:style>
  <w:style w:type="character" w:customStyle="1" w:styleId="lawlabel">
    <w:name w:val="lawlabel"/>
    <w:basedOn w:val="Policepardfaut"/>
    <w:rsid w:val="007C4CD0"/>
  </w:style>
  <w:style w:type="character" w:customStyle="1" w:styleId="wb-invisible">
    <w:name w:val="wb-invisible"/>
    <w:basedOn w:val="Policepardfaut"/>
    <w:rsid w:val="007C4CD0"/>
  </w:style>
  <w:style w:type="character" w:customStyle="1" w:styleId="y2iqfc">
    <w:name w:val="y2iqfc"/>
    <w:basedOn w:val="Policepardfaut"/>
    <w:rsid w:val="005E0DD0"/>
  </w:style>
  <w:style w:type="paragraph" w:customStyle="1" w:styleId="reasonsnumbering-altn">
    <w:name w:val="reasonsnumbering-altn"/>
    <w:basedOn w:val="Normal"/>
    <w:rsid w:val="00DD4FA2"/>
    <w:pPr>
      <w:spacing w:before="100" w:beforeAutospacing="1" w:after="100" w:afterAutospacing="1" w:line="240" w:lineRule="auto"/>
    </w:pPr>
    <w:rPr>
      <w:rFonts w:ascii="Times New Roman" w:hAnsi="Times New Roman"/>
      <w:szCs w:val="24"/>
      <w:lang w:eastAsia="fr-CA"/>
    </w:rPr>
  </w:style>
  <w:style w:type="paragraph" w:customStyle="1" w:styleId="citation-altc">
    <w:name w:val="citation-altc"/>
    <w:basedOn w:val="Normal"/>
    <w:rsid w:val="00DD4FA2"/>
    <w:pPr>
      <w:spacing w:before="100" w:beforeAutospacing="1" w:after="100" w:afterAutospacing="1" w:line="240" w:lineRule="auto"/>
    </w:pPr>
    <w:rPr>
      <w:rFonts w:ascii="Times New Roman" w:hAnsi="Times New Roman"/>
      <w:szCs w:val="24"/>
      <w:lang w:eastAsia="fr-CA"/>
    </w:rPr>
  </w:style>
  <w:style w:type="paragraph" w:customStyle="1" w:styleId="paragraphe0">
    <w:name w:val="paragraphe"/>
    <w:basedOn w:val="Normal"/>
    <w:rsid w:val="00882C31"/>
    <w:pPr>
      <w:spacing w:before="100" w:beforeAutospacing="1" w:after="100" w:afterAutospacing="1" w:line="240" w:lineRule="auto"/>
    </w:pPr>
    <w:rPr>
      <w:rFonts w:ascii="Times New Roman" w:hAnsi="Times New Roman"/>
      <w:szCs w:val="24"/>
      <w:lang w:eastAsia="fr-CA"/>
    </w:rPr>
  </w:style>
  <w:style w:type="paragraph" w:customStyle="1" w:styleId="jgtcitation">
    <w:name w:val="jgtcitation"/>
    <w:basedOn w:val="Normal"/>
    <w:rsid w:val="00882C31"/>
    <w:pPr>
      <w:spacing w:before="100" w:beforeAutospacing="1" w:after="100" w:afterAutospacing="1" w:line="240" w:lineRule="auto"/>
    </w:pPr>
    <w:rPr>
      <w:rFonts w:ascii="Times New Roman" w:hAnsi="Times New Roman"/>
      <w:szCs w:val="24"/>
      <w:lang w:eastAsia="fr-CA"/>
    </w:rPr>
  </w:style>
  <w:style w:type="paragraph" w:styleId="Objetducommentaire">
    <w:name w:val="annotation subject"/>
    <w:basedOn w:val="Commentaire"/>
    <w:next w:val="Commentaire"/>
    <w:link w:val="ObjetducommentaireCar"/>
    <w:uiPriority w:val="99"/>
    <w:semiHidden/>
    <w:unhideWhenUsed/>
    <w:rsid w:val="00A308E1"/>
    <w:rPr>
      <w:b/>
      <w:bCs/>
    </w:rPr>
  </w:style>
  <w:style w:type="character" w:customStyle="1" w:styleId="ObjetducommentaireCar">
    <w:name w:val="Objet du commentaire Car"/>
    <w:basedOn w:val="CommentaireCar"/>
    <w:link w:val="Objetducommentaire"/>
    <w:uiPriority w:val="99"/>
    <w:semiHidden/>
    <w:rsid w:val="00A308E1"/>
    <w:rPr>
      <w:rFonts w:ascii="Arial" w:hAnsi="Arial"/>
      <w:b/>
      <w:bCs/>
      <w:lang w:eastAsia="fr-FR"/>
    </w:rPr>
  </w:style>
  <w:style w:type="paragraph" w:styleId="Rvision">
    <w:name w:val="Revision"/>
    <w:hidden/>
    <w:uiPriority w:val="99"/>
    <w:semiHidden/>
    <w:rsid w:val="007E058B"/>
    <w:rPr>
      <w:rFonts w:ascii="Arial" w:hAnsi="Arial"/>
      <w:sz w:val="24"/>
      <w:lang w:eastAsia="fr-FR"/>
    </w:rPr>
  </w:style>
  <w:style w:type="paragraph" w:customStyle="1" w:styleId="pf0">
    <w:name w:val="pf0"/>
    <w:basedOn w:val="Normal"/>
    <w:rsid w:val="0058374E"/>
    <w:pPr>
      <w:spacing w:before="100" w:beforeAutospacing="1" w:after="100" w:afterAutospacing="1" w:line="240" w:lineRule="auto"/>
    </w:pPr>
    <w:rPr>
      <w:rFonts w:ascii="Times New Roman" w:hAnsi="Times New Roman"/>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13026</Words>
  <Characters>71646</Characters>
  <Application>Microsoft Office Word</Application>
  <DocSecurity>0</DocSecurity>
  <Lines>597</Lines>
  <Paragraphs>169</Paragraphs>
  <ScaleCrop>false</ScaleCrop>
  <Company/>
  <LinksUpToDate>false</LinksUpToDate>
  <CharactersWithSpaces>84503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Gauthier, François</cp:lastModifiedBy>
  <cp:revision>3</cp:revision>
  <dcterms:created xsi:type="dcterms:W3CDTF">2025-12-08T17:53:00Z</dcterms:created>
  <dcterms:modified xsi:type="dcterms:W3CDTF">2025-12-08T18:12:00Z</dcterms:modified>
</cp:coreProperties>
</file>