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Ind w:w="8" w:type="dxa"/>
        <w:tblLayout w:type="fixed"/>
        <w:tblCellMar>
          <w:left w:w="0" w:type="dxa"/>
          <w:right w:w="0" w:type="dxa"/>
        </w:tblCellMar>
        <w:tblLook w:val="0000" w:firstRow="0" w:lastRow="0" w:firstColumn="0" w:lastColumn="0" w:noHBand="0" w:noVBand="0"/>
      </w:tblPr>
      <w:tblGrid>
        <w:gridCol w:w="1030"/>
        <w:gridCol w:w="50"/>
        <w:gridCol w:w="330"/>
        <w:gridCol w:w="2190"/>
        <w:gridCol w:w="3480"/>
        <w:gridCol w:w="2190"/>
      </w:tblGrid>
      <w:tr w:rsidR="006B3E24" w14:paraId="08C9AEB1" w14:textId="77777777">
        <w:trPr>
          <w:trHeight w:val="284"/>
        </w:trPr>
        <w:tc>
          <w:tcPr>
            <w:tcW w:w="7080" w:type="dxa"/>
            <w:gridSpan w:val="5"/>
          </w:tcPr>
          <w:p w14:paraId="3F197A94" w14:textId="33CE00DD" w:rsidR="006B3E24" w:rsidRPr="005B171F" w:rsidRDefault="005B171F" w:rsidP="005B171F">
            <w:pPr>
              <w:pStyle w:val="zSoquijdatRepertorie"/>
              <w:rPr>
                <w:rFonts w:cs="Arial"/>
                <w:lang w:val="fr-CA"/>
              </w:rPr>
            </w:pPr>
            <w:r>
              <w:rPr>
                <w:rFonts w:cs="Arial"/>
                <w:lang w:val="fr-CA"/>
              </w:rPr>
              <w:t>Al Ballouz (Ballouz) c. R.</w:t>
            </w:r>
          </w:p>
        </w:tc>
        <w:tc>
          <w:tcPr>
            <w:tcW w:w="2190" w:type="dxa"/>
          </w:tcPr>
          <w:p w14:paraId="4F8051A9" w14:textId="01496B8C" w:rsidR="006B3E24" w:rsidRPr="00223501" w:rsidRDefault="00223501" w:rsidP="00223501">
            <w:pPr>
              <w:pStyle w:val="zSoquijdatRefNeutre"/>
              <w:jc w:val="right"/>
              <w:rPr>
                <w:rFonts w:cs="Arial"/>
                <w:lang w:val="fr-CA"/>
              </w:rPr>
            </w:pPr>
            <w:r w:rsidRPr="00223501">
              <w:rPr>
                <w:rFonts w:cs="Arial"/>
                <w:lang w:val="fr-CA"/>
              </w:rPr>
              <w:t>2025 QCCA 1588</w:t>
            </w:r>
          </w:p>
        </w:tc>
      </w:tr>
      <w:tr w:rsidR="006B3E24" w14:paraId="6AD7DE22" w14:textId="77777777">
        <w:trPr>
          <w:trHeight w:val="247"/>
        </w:trPr>
        <w:tc>
          <w:tcPr>
            <w:tcW w:w="9270" w:type="dxa"/>
            <w:gridSpan w:val="6"/>
          </w:tcPr>
          <w:p w14:paraId="3C3F7E2A" w14:textId="77777777" w:rsidR="006B3E24" w:rsidRDefault="008773C4">
            <w:pPr>
              <w:pStyle w:val="zSoquijlblCour"/>
            </w:pPr>
            <w:r>
              <w:t>COURT OF APPEAL</w:t>
            </w:r>
          </w:p>
        </w:tc>
      </w:tr>
      <w:tr w:rsidR="006B3E24" w14:paraId="00FF097F" w14:textId="77777777">
        <w:trPr>
          <w:trHeight w:val="540"/>
        </w:trPr>
        <w:tc>
          <w:tcPr>
            <w:tcW w:w="9270" w:type="dxa"/>
            <w:gridSpan w:val="6"/>
          </w:tcPr>
          <w:p w14:paraId="7671A620" w14:textId="77777777" w:rsidR="006B3E24" w:rsidRDefault="006B3E24">
            <w:pPr>
              <w:pStyle w:val="zSoquijdatDivision"/>
            </w:pPr>
          </w:p>
        </w:tc>
      </w:tr>
      <w:tr w:rsidR="006B3E24" w14:paraId="756A0C08" w14:textId="77777777">
        <w:tc>
          <w:tcPr>
            <w:tcW w:w="9270" w:type="dxa"/>
            <w:gridSpan w:val="6"/>
          </w:tcPr>
          <w:p w14:paraId="531C07F4" w14:textId="77777777" w:rsidR="006B3E24" w:rsidRDefault="008773C4">
            <w:pPr>
              <w:pStyle w:val="zSoquijlblPays"/>
            </w:pPr>
            <w:r>
              <w:t>CANADA</w:t>
            </w:r>
          </w:p>
        </w:tc>
      </w:tr>
      <w:tr w:rsidR="006B3E24" w14:paraId="788966BF" w14:textId="77777777">
        <w:tc>
          <w:tcPr>
            <w:tcW w:w="9270" w:type="dxa"/>
            <w:gridSpan w:val="6"/>
          </w:tcPr>
          <w:p w14:paraId="005C85E6" w14:textId="77777777" w:rsidR="006B3E24" w:rsidRDefault="008773C4">
            <w:pPr>
              <w:pStyle w:val="zSoquijlblProvince"/>
            </w:pPr>
            <w:r>
              <w:t>PROVINCE OF QUEBEC</w:t>
            </w:r>
          </w:p>
        </w:tc>
      </w:tr>
      <w:tr w:rsidR="006B3E24" w14:paraId="78DA4770" w14:textId="77777777" w:rsidTr="002A4822">
        <w:tc>
          <w:tcPr>
            <w:tcW w:w="1410" w:type="dxa"/>
            <w:gridSpan w:val="3"/>
          </w:tcPr>
          <w:p w14:paraId="4A37B54F" w14:textId="57C8D7AB" w:rsidR="00AA28C9" w:rsidRDefault="008C7A1A" w:rsidP="00AA28C9">
            <w:pPr>
              <w:pStyle w:val="zSoquijdatGreffe"/>
            </w:pPr>
            <w:bookmarkStart w:id="0" w:name="NomGreffe"/>
            <w:r>
              <w:t>MONTREAL</w:t>
            </w:r>
            <w:bookmarkEnd w:id="0"/>
          </w:p>
          <w:p w14:paraId="56336C98" w14:textId="77777777" w:rsidR="006B3E24" w:rsidRDefault="006B3E24">
            <w:pPr>
              <w:pStyle w:val="zSoquijlblGreffe"/>
            </w:pPr>
          </w:p>
        </w:tc>
        <w:tc>
          <w:tcPr>
            <w:tcW w:w="7860" w:type="dxa"/>
            <w:gridSpan w:val="3"/>
          </w:tcPr>
          <w:p w14:paraId="0DD9D558" w14:textId="77777777" w:rsidR="006B3E24" w:rsidRDefault="00AA28C9" w:rsidP="00AA28C9">
            <w:pPr>
              <w:pStyle w:val="zSoquijdatGreffe"/>
            </w:pPr>
            <w:r w:rsidRPr="00AA28C9">
              <w:t>SEAT</w:t>
            </w:r>
          </w:p>
        </w:tc>
      </w:tr>
      <w:tr w:rsidR="006B3E24" w14:paraId="7DD1E9AD" w14:textId="77777777">
        <w:tc>
          <w:tcPr>
            <w:tcW w:w="1030" w:type="dxa"/>
          </w:tcPr>
          <w:p w14:paraId="68F395E9" w14:textId="77777777" w:rsidR="006B3E24" w:rsidRDefault="008773C4">
            <w:pPr>
              <w:pStyle w:val="zSoquijlblNoDossier"/>
            </w:pPr>
            <w:r>
              <w:t>No:</w:t>
            </w:r>
          </w:p>
        </w:tc>
        <w:tc>
          <w:tcPr>
            <w:tcW w:w="8240" w:type="dxa"/>
            <w:gridSpan w:val="5"/>
          </w:tcPr>
          <w:p w14:paraId="63CB0028" w14:textId="4BAA063C" w:rsidR="006B3E24" w:rsidRDefault="008C7A1A">
            <w:pPr>
              <w:pStyle w:val="zSoquijdatNoDossier"/>
            </w:pPr>
            <w:bookmarkStart w:id="1" w:name="NoDossier"/>
            <w:r>
              <w:t>500-10-008354-258</w:t>
            </w:r>
            <w:bookmarkEnd w:id="1"/>
          </w:p>
        </w:tc>
      </w:tr>
      <w:tr w:rsidR="008C7A1A" w14:paraId="14B0D6C8" w14:textId="77777777">
        <w:tc>
          <w:tcPr>
            <w:tcW w:w="9270" w:type="dxa"/>
            <w:gridSpan w:val="6"/>
          </w:tcPr>
          <w:p w14:paraId="7102D4F6" w14:textId="5F2C8268" w:rsidR="008C7A1A" w:rsidRDefault="008C7A1A" w:rsidP="008C7A1A">
            <w:pPr>
              <w:pStyle w:val="zSoquijdatNoDossierAnt"/>
            </w:pPr>
            <w:r>
              <w:t>(505-01-181276-227)</w:t>
            </w:r>
          </w:p>
        </w:tc>
      </w:tr>
      <w:tr w:rsidR="006B3E24" w14:paraId="57C01F48" w14:textId="77777777">
        <w:tc>
          <w:tcPr>
            <w:tcW w:w="9270" w:type="dxa"/>
            <w:gridSpan w:val="6"/>
          </w:tcPr>
          <w:p w14:paraId="78FE884E" w14:textId="77777777" w:rsidR="006B3E24" w:rsidRDefault="006B3E24"/>
        </w:tc>
      </w:tr>
      <w:tr w:rsidR="006B3E24" w14:paraId="68F2226F" w14:textId="77777777">
        <w:tc>
          <w:tcPr>
            <w:tcW w:w="1030" w:type="dxa"/>
          </w:tcPr>
          <w:p w14:paraId="007CEC3F" w14:textId="77777777" w:rsidR="006B3E24" w:rsidRDefault="008773C4">
            <w:pPr>
              <w:pStyle w:val="zSoquijlblDateJugement"/>
            </w:pPr>
            <w:r>
              <w:t>DATE:</w:t>
            </w:r>
          </w:p>
        </w:tc>
        <w:tc>
          <w:tcPr>
            <w:tcW w:w="8240" w:type="dxa"/>
            <w:gridSpan w:val="5"/>
          </w:tcPr>
          <w:p w14:paraId="537FCD41" w14:textId="64F6DC3B" w:rsidR="006B3E24" w:rsidRDefault="00D4628C">
            <w:pPr>
              <w:pStyle w:val="zSoquijdatDateJugement"/>
            </w:pPr>
            <w:r>
              <w:t xml:space="preserve"> </w:t>
            </w:r>
            <w:r w:rsidR="00AD0A98">
              <w:t xml:space="preserve">December </w:t>
            </w:r>
            <w:r w:rsidR="009B0908">
              <w:t>8</w:t>
            </w:r>
            <w:r w:rsidR="00AD0A98">
              <w:t>, 2025</w:t>
            </w:r>
          </w:p>
        </w:tc>
      </w:tr>
      <w:tr w:rsidR="006B3E24" w14:paraId="60502DEC" w14:textId="77777777">
        <w:tc>
          <w:tcPr>
            <w:tcW w:w="9270" w:type="dxa"/>
            <w:gridSpan w:val="6"/>
            <w:tcBorders>
              <w:bottom w:val="single" w:sz="8" w:space="0" w:color="auto"/>
            </w:tcBorders>
          </w:tcPr>
          <w:p w14:paraId="2C1FF03D" w14:textId="77777777" w:rsidR="006B3E24" w:rsidRDefault="006B3E24"/>
        </w:tc>
      </w:tr>
      <w:tr w:rsidR="006B3E24" w14:paraId="0A7840FD" w14:textId="77777777">
        <w:tc>
          <w:tcPr>
            <w:tcW w:w="9270" w:type="dxa"/>
            <w:gridSpan w:val="6"/>
            <w:tcBorders>
              <w:top w:val="single" w:sz="8" w:space="0" w:color="auto"/>
            </w:tcBorders>
          </w:tcPr>
          <w:p w14:paraId="7EFEA7CC" w14:textId="77777777" w:rsidR="006B3E24" w:rsidRDefault="006B3E24"/>
        </w:tc>
      </w:tr>
      <w:tr w:rsidR="006B3E24" w:rsidRPr="009B0908" w14:paraId="627B69F3" w14:textId="77777777">
        <w:tc>
          <w:tcPr>
            <w:tcW w:w="1080" w:type="dxa"/>
            <w:gridSpan w:val="2"/>
          </w:tcPr>
          <w:p w14:paraId="4261D166" w14:textId="77777777" w:rsidR="006B3E24" w:rsidRDefault="008773C4">
            <w:pPr>
              <w:pStyle w:val="zSoquijlblJuge"/>
            </w:pPr>
            <w:bookmarkStart w:id="2" w:name="Coram"/>
            <w:r>
              <w:t>CORAM:</w:t>
            </w:r>
            <w:bookmarkEnd w:id="2"/>
          </w:p>
        </w:tc>
        <w:tc>
          <w:tcPr>
            <w:tcW w:w="2520" w:type="dxa"/>
            <w:gridSpan w:val="2"/>
          </w:tcPr>
          <w:p w14:paraId="3DAB0554" w14:textId="77777777" w:rsidR="006B3E24" w:rsidRDefault="008773C4">
            <w:pPr>
              <w:pStyle w:val="zSoquijdatQteJuge"/>
            </w:pPr>
            <w:bookmarkStart w:id="3" w:name="Honorables"/>
            <w:r>
              <w:t>THE HONOURABLE</w:t>
            </w:r>
            <w:bookmarkEnd w:id="3"/>
          </w:p>
        </w:tc>
        <w:tc>
          <w:tcPr>
            <w:tcW w:w="5670" w:type="dxa"/>
            <w:gridSpan w:val="2"/>
          </w:tcPr>
          <w:p w14:paraId="64F84819" w14:textId="6B52CEAB" w:rsidR="006B3E24" w:rsidRDefault="008C7A1A">
            <w:pPr>
              <w:pStyle w:val="zSoquijdatJuge"/>
              <w:rPr>
                <w:lang w:val="fr-FR"/>
              </w:rPr>
            </w:pPr>
            <w:bookmarkStart w:id="4" w:name="NomJuge1"/>
            <w:r w:rsidRPr="008C7A1A">
              <w:rPr>
                <w:lang w:val="fr-CA"/>
              </w:rPr>
              <w:t>MANON SAVARD, C.J.Q.</w:t>
            </w:r>
            <w:bookmarkEnd w:id="4"/>
          </w:p>
          <w:p w14:paraId="23F2C618" w14:textId="4A1555D4" w:rsidR="006B3E24" w:rsidRDefault="008C7A1A">
            <w:pPr>
              <w:pStyle w:val="zSoquijdatJuge"/>
              <w:rPr>
                <w:lang w:val="fr-FR"/>
              </w:rPr>
            </w:pPr>
            <w:bookmarkStart w:id="5" w:name="NomJuge2"/>
            <w:r w:rsidRPr="008C7A1A">
              <w:rPr>
                <w:lang w:val="fr-CA"/>
              </w:rPr>
              <w:t>FRANÇOIS DOYON, J.A.</w:t>
            </w:r>
            <w:bookmarkEnd w:id="5"/>
          </w:p>
          <w:p w14:paraId="7ABDE808" w14:textId="724044BB" w:rsidR="00447B9B" w:rsidRPr="008C7A1A" w:rsidRDefault="008C7A1A" w:rsidP="008C7A1A">
            <w:pPr>
              <w:pStyle w:val="zSoquijdatJuge"/>
              <w:rPr>
                <w:lang w:val="fr-CA"/>
              </w:rPr>
            </w:pPr>
            <w:bookmarkStart w:id="6" w:name="_Hlt520513784"/>
            <w:bookmarkStart w:id="7" w:name="NomJuge3"/>
            <w:bookmarkEnd w:id="6"/>
            <w:r w:rsidRPr="008C7A1A">
              <w:rPr>
                <w:lang w:val="fr-CA"/>
              </w:rPr>
              <w:t>MARTIN VAUCLAIR, J.A.</w:t>
            </w:r>
            <w:bookmarkEnd w:id="7"/>
          </w:p>
        </w:tc>
      </w:tr>
      <w:tr w:rsidR="006B3E24" w:rsidRPr="009B0908" w14:paraId="1398E8A4" w14:textId="77777777">
        <w:tc>
          <w:tcPr>
            <w:tcW w:w="9270" w:type="dxa"/>
            <w:gridSpan w:val="6"/>
            <w:tcBorders>
              <w:bottom w:val="single" w:sz="8" w:space="0" w:color="auto"/>
            </w:tcBorders>
          </w:tcPr>
          <w:p w14:paraId="339C709C" w14:textId="77777777" w:rsidR="006B3E24" w:rsidRDefault="006B3E24">
            <w:pPr>
              <w:rPr>
                <w:lang w:val="de-DE"/>
              </w:rPr>
            </w:pPr>
          </w:p>
        </w:tc>
      </w:tr>
      <w:tr w:rsidR="006B3E24" w:rsidRPr="009B0908" w14:paraId="5FE40D76" w14:textId="77777777">
        <w:tc>
          <w:tcPr>
            <w:tcW w:w="9270" w:type="dxa"/>
            <w:gridSpan w:val="6"/>
          </w:tcPr>
          <w:p w14:paraId="6C21987E" w14:textId="77777777" w:rsidR="006B3E24" w:rsidRDefault="006B3E24">
            <w:pPr>
              <w:pStyle w:val="zSoquijlblTitrePartie"/>
              <w:rPr>
                <w:lang w:val="de-DE"/>
              </w:rPr>
            </w:pPr>
          </w:p>
        </w:tc>
      </w:tr>
      <w:tr w:rsidR="006B3E24" w14:paraId="5AB1706C" w14:textId="77777777">
        <w:tc>
          <w:tcPr>
            <w:tcW w:w="9270" w:type="dxa"/>
            <w:gridSpan w:val="6"/>
          </w:tcPr>
          <w:p w14:paraId="72E7D58D" w14:textId="77777777" w:rsidR="00B24C83" w:rsidRDefault="00B24C83" w:rsidP="00B24C83">
            <w:pPr>
              <w:pStyle w:val="zSoquijdatNomPartieDem"/>
              <w:tabs>
                <w:tab w:val="center" w:pos="2412"/>
              </w:tabs>
            </w:pPr>
            <w:r w:rsidRPr="00CD653B">
              <w:t>MOHAMAD AL BALLOUZ</w:t>
            </w:r>
            <w:r>
              <w:t xml:space="preserve">, </w:t>
            </w:r>
            <w:r w:rsidRPr="00CD653B">
              <w:t>alias</w:t>
            </w:r>
          </w:p>
          <w:p w14:paraId="67EB9645" w14:textId="77777777" w:rsidR="00B24C83" w:rsidRDefault="00B24C83" w:rsidP="00B24C83">
            <w:pPr>
              <w:pStyle w:val="zSoquijdatNomPartieDem"/>
              <w:tabs>
                <w:tab w:val="center" w:pos="2412"/>
              </w:tabs>
            </w:pPr>
            <w:r w:rsidRPr="00CD653B">
              <w:t>MOHAMED AL BALLOUZ</w:t>
            </w:r>
            <w:r>
              <w:t>, alias</w:t>
            </w:r>
          </w:p>
          <w:p w14:paraId="4AE55317" w14:textId="54C5FCB1" w:rsidR="006B3E24" w:rsidRPr="00B24C83" w:rsidRDefault="00B24C83" w:rsidP="00B24C83">
            <w:pPr>
              <w:pStyle w:val="zSoquijdatNomPartieDem"/>
              <w:tabs>
                <w:tab w:val="center" w:pos="2412"/>
              </w:tabs>
            </w:pPr>
            <w:r w:rsidRPr="00CD653B">
              <w:t>LEVANA BALLOUZ</w:t>
            </w:r>
          </w:p>
        </w:tc>
      </w:tr>
      <w:tr w:rsidR="006B3E24" w14:paraId="09549B2E" w14:textId="77777777">
        <w:tc>
          <w:tcPr>
            <w:tcW w:w="9270" w:type="dxa"/>
            <w:gridSpan w:val="6"/>
          </w:tcPr>
          <w:p w14:paraId="6432BB9E" w14:textId="0AE4A17F" w:rsidR="006B3E24" w:rsidRDefault="00B24C83">
            <w:pPr>
              <w:pStyle w:val="zSoquijdatQtePartieDem"/>
              <w:rPr>
                <w:lang w:val="de-DE"/>
              </w:rPr>
            </w:pPr>
            <w:r>
              <w:t xml:space="preserve">APPLICANT – </w:t>
            </w:r>
            <w:r w:rsidR="0042379D">
              <w:t>A</w:t>
            </w:r>
            <w:r>
              <w:t>ccused</w:t>
            </w:r>
          </w:p>
        </w:tc>
      </w:tr>
      <w:tr w:rsidR="006B3E24" w14:paraId="4A8D57DD" w14:textId="77777777">
        <w:tc>
          <w:tcPr>
            <w:tcW w:w="9270" w:type="dxa"/>
            <w:gridSpan w:val="6"/>
          </w:tcPr>
          <w:p w14:paraId="0DD1F414" w14:textId="77777777" w:rsidR="006B3E24" w:rsidRDefault="008773C4">
            <w:pPr>
              <w:pStyle w:val="zSoquijlblLienParties"/>
            </w:pPr>
            <w:r>
              <w:t>v.</w:t>
            </w:r>
          </w:p>
        </w:tc>
      </w:tr>
      <w:tr w:rsidR="006B3E24" w14:paraId="1BBA226A" w14:textId="77777777">
        <w:tc>
          <w:tcPr>
            <w:tcW w:w="9270" w:type="dxa"/>
            <w:gridSpan w:val="6"/>
          </w:tcPr>
          <w:p w14:paraId="2B70A6C2" w14:textId="77777777" w:rsidR="006B3E24" w:rsidRDefault="006B3E24"/>
        </w:tc>
      </w:tr>
      <w:tr w:rsidR="006B3E24" w14:paraId="45CB305A" w14:textId="77777777">
        <w:tc>
          <w:tcPr>
            <w:tcW w:w="9270" w:type="dxa"/>
            <w:gridSpan w:val="6"/>
          </w:tcPr>
          <w:p w14:paraId="4EC7105A" w14:textId="35D3CD6B" w:rsidR="006B3E24" w:rsidRDefault="00B24C83">
            <w:pPr>
              <w:pStyle w:val="zSoquijdatNomPartieDef"/>
            </w:pPr>
            <w:r>
              <w:t>HIS MAJESTY THE KING</w:t>
            </w:r>
          </w:p>
        </w:tc>
      </w:tr>
      <w:tr w:rsidR="006B3E24" w14:paraId="7908231D" w14:textId="77777777">
        <w:tc>
          <w:tcPr>
            <w:tcW w:w="9270" w:type="dxa"/>
            <w:gridSpan w:val="6"/>
          </w:tcPr>
          <w:p w14:paraId="1F0AB681" w14:textId="407728E9" w:rsidR="006B3E24" w:rsidRDefault="00B24C83">
            <w:pPr>
              <w:pStyle w:val="zSoquijdatQtePartieDef"/>
            </w:pPr>
            <w:r>
              <w:t>RESPONDENT – Prosecutor</w:t>
            </w:r>
          </w:p>
        </w:tc>
      </w:tr>
      <w:tr w:rsidR="006B3E24" w14:paraId="299E18F6" w14:textId="77777777">
        <w:tc>
          <w:tcPr>
            <w:tcW w:w="9270" w:type="dxa"/>
            <w:gridSpan w:val="6"/>
          </w:tcPr>
          <w:p w14:paraId="48380ED7" w14:textId="77777777" w:rsidR="006B3E24" w:rsidRDefault="006B3E24"/>
        </w:tc>
      </w:tr>
      <w:tr w:rsidR="006B3E24" w14:paraId="270AD9C0" w14:textId="77777777">
        <w:tc>
          <w:tcPr>
            <w:tcW w:w="9270" w:type="dxa"/>
            <w:gridSpan w:val="6"/>
            <w:tcBorders>
              <w:top w:val="single" w:sz="8" w:space="0" w:color="auto"/>
            </w:tcBorders>
          </w:tcPr>
          <w:p w14:paraId="31305A74" w14:textId="77777777" w:rsidR="006B3E24" w:rsidRDefault="006B3E24">
            <w:bookmarkStart w:id="8" w:name="Arret"/>
          </w:p>
        </w:tc>
      </w:tr>
      <w:tr w:rsidR="006B3E24" w14:paraId="361D0778" w14:textId="77777777">
        <w:tc>
          <w:tcPr>
            <w:tcW w:w="9270" w:type="dxa"/>
            <w:gridSpan w:val="6"/>
          </w:tcPr>
          <w:p w14:paraId="66506AC5" w14:textId="737AF764" w:rsidR="006B3E24" w:rsidRDefault="008C7A1A">
            <w:pPr>
              <w:pStyle w:val="zSoquijlblTypeDocument"/>
            </w:pPr>
            <w:bookmarkStart w:id="9" w:name="TitreDocument"/>
            <w:r>
              <w:t>JUDGMENT</w:t>
            </w:r>
            <w:bookmarkEnd w:id="9"/>
          </w:p>
        </w:tc>
      </w:tr>
      <w:tr w:rsidR="006B3E24" w14:paraId="2D3D6FFD" w14:textId="77777777">
        <w:tc>
          <w:tcPr>
            <w:tcW w:w="9270" w:type="dxa"/>
            <w:gridSpan w:val="6"/>
            <w:tcBorders>
              <w:bottom w:val="single" w:sz="8" w:space="0" w:color="auto"/>
            </w:tcBorders>
          </w:tcPr>
          <w:p w14:paraId="12B462C2" w14:textId="77777777" w:rsidR="006B3E24" w:rsidRDefault="006B3E24"/>
        </w:tc>
      </w:tr>
      <w:tr w:rsidR="006B3E24" w14:paraId="34C48C0E" w14:textId="77777777">
        <w:tc>
          <w:tcPr>
            <w:tcW w:w="9270" w:type="dxa"/>
            <w:gridSpan w:val="6"/>
            <w:tcBorders>
              <w:top w:val="single" w:sz="8" w:space="0" w:color="auto"/>
            </w:tcBorders>
          </w:tcPr>
          <w:p w14:paraId="28FE09A3" w14:textId="77777777" w:rsidR="006B3E24" w:rsidRDefault="006B3E24"/>
        </w:tc>
      </w:tr>
    </w:tbl>
    <w:p w14:paraId="54A81F68" w14:textId="77777777" w:rsidR="002A4822" w:rsidRPr="00FC54E4" w:rsidRDefault="002A4822" w:rsidP="002A4822">
      <w:pPr>
        <w:pStyle w:val="JgtParagraphe"/>
        <w:numPr>
          <w:ilvl w:val="0"/>
          <w:numId w:val="18"/>
        </w:numPr>
        <w:spacing w:line="240" w:lineRule="auto"/>
        <w:rPr>
          <w:color w:val="auto"/>
          <w:lang w:val="en-CA"/>
        </w:rPr>
      </w:pPr>
      <w:r w:rsidRPr="00FC54E4">
        <w:rPr>
          <w:color w:val="auto"/>
          <w:lang w:val="en-CA"/>
        </w:rPr>
        <w:t xml:space="preserve">The applicant seeks an extension of the time limit to appeal the guilty </w:t>
      </w:r>
      <w:r w:rsidRPr="007F04C3">
        <w:rPr>
          <w:color w:val="auto"/>
          <w:lang w:val="en-CA"/>
        </w:rPr>
        <w:t>verdicts rendered on December 16, 2024, by a jury presided over by the</w:t>
      </w:r>
      <w:r w:rsidRPr="00FC54E4">
        <w:rPr>
          <w:color w:val="auto"/>
          <w:lang w:val="en-CA"/>
        </w:rPr>
        <w:t xml:space="preserve"> Honourable Eric Downs of the Superior Court, District of Longueuil. The killing of the applicant’s family resulted in two counts of first degree murder of the children, one count of second degree murder of the mother, and one count of arson with respect to the family condominium.</w:t>
      </w:r>
    </w:p>
    <w:p w14:paraId="50C9CD38" w14:textId="77777777" w:rsidR="002A4822" w:rsidRPr="00FC54E4" w:rsidRDefault="002A4822" w:rsidP="002A4822">
      <w:pPr>
        <w:pStyle w:val="JgtParagraphe"/>
        <w:numPr>
          <w:ilvl w:val="0"/>
          <w:numId w:val="18"/>
        </w:numPr>
        <w:spacing w:line="240" w:lineRule="auto"/>
        <w:rPr>
          <w:color w:val="auto"/>
          <w:lang w:val="en-CA"/>
        </w:rPr>
      </w:pPr>
      <w:r w:rsidRPr="00FC54E4">
        <w:rPr>
          <w:color w:val="auto"/>
          <w:lang w:val="en-CA"/>
        </w:rPr>
        <w:t>The applicant was also authorized by the appeal management judge to present – without having to comply with the usual formalities – an application for leave to submit into the appeal record what the applicant considers to be two new pieces of evidence.</w:t>
      </w:r>
    </w:p>
    <w:p w14:paraId="68D2C185" w14:textId="77777777" w:rsidR="002A4822" w:rsidRPr="00FC54E4" w:rsidRDefault="002A4822" w:rsidP="002A4822">
      <w:pPr>
        <w:pStyle w:val="JgtParagraphe"/>
        <w:tabs>
          <w:tab w:val="clear" w:pos="720"/>
        </w:tabs>
        <w:spacing w:line="240" w:lineRule="auto"/>
        <w:rPr>
          <w:bCs/>
          <w:color w:val="auto"/>
          <w:u w:val="single"/>
          <w:lang w:val="en-CA"/>
        </w:rPr>
      </w:pPr>
      <w:r w:rsidRPr="00FC54E4">
        <w:rPr>
          <w:bCs/>
          <w:color w:val="auto"/>
          <w:u w:val="single"/>
          <w:lang w:val="en-CA"/>
        </w:rPr>
        <w:lastRenderedPageBreak/>
        <w:t>Preliminary matter</w:t>
      </w:r>
    </w:p>
    <w:p w14:paraId="785705E5" w14:textId="77777777" w:rsidR="002A4822" w:rsidRPr="006D2D23" w:rsidRDefault="002A4822" w:rsidP="002A4822">
      <w:pPr>
        <w:pStyle w:val="JgtParagraphe"/>
        <w:numPr>
          <w:ilvl w:val="0"/>
          <w:numId w:val="18"/>
        </w:numPr>
        <w:spacing w:line="240" w:lineRule="auto"/>
        <w:rPr>
          <w:bCs/>
          <w:color w:val="auto"/>
          <w:lang w:val="en-CA"/>
        </w:rPr>
      </w:pPr>
      <w:r w:rsidRPr="00FC54E4">
        <w:rPr>
          <w:bCs/>
          <w:color w:val="auto"/>
          <w:lang w:val="en-CA"/>
        </w:rPr>
        <w:t xml:space="preserve">The applicant filed with the Court a 34-page document entitled “Appeal”. The respondent initially objected to the document being publicly available and asked the Court to seal it because, in January 2025, the Superior </w:t>
      </w:r>
      <w:r w:rsidRPr="007F04C3">
        <w:rPr>
          <w:bCs/>
          <w:color w:val="auto"/>
          <w:lang w:val="en-CA"/>
        </w:rPr>
        <w:t xml:space="preserve">Court, after a full hearing in which the media participated (see </w:t>
      </w:r>
      <w:bookmarkStart w:id="10" w:name="_Hlk215228083"/>
      <w:r w:rsidRPr="007F04C3">
        <w:rPr>
          <w:bCs/>
          <w:i/>
          <w:iCs/>
          <w:color w:val="auto"/>
          <w:lang w:val="en-CA"/>
        </w:rPr>
        <w:t>R. c. Al Ballouz (Ballouz),</w:t>
      </w:r>
      <w:r w:rsidRPr="007F04C3">
        <w:rPr>
          <w:bCs/>
          <w:color w:val="auto"/>
          <w:lang w:val="en-CA"/>
        </w:rPr>
        <w:t xml:space="preserve"> 2025 QCCS 140</w:t>
      </w:r>
      <w:bookmarkEnd w:id="10"/>
      <w:r w:rsidRPr="007F04C3">
        <w:rPr>
          <w:bCs/>
          <w:color w:val="auto"/>
          <w:lang w:val="en-CA"/>
        </w:rPr>
        <w:t>), had ordered a publication ban on similar</w:t>
      </w:r>
      <w:r w:rsidRPr="00AB2A66">
        <w:rPr>
          <w:bCs/>
          <w:color w:val="auto"/>
          <w:lang w:val="en-CA"/>
        </w:rPr>
        <w:t xml:space="preserve"> information in another document, had redacted the information and had sealed that other document in its entirety. The Court agreed to seal the 34-page document entitled “Appeal” until it received submissions from the parties at the hearing.</w:t>
      </w:r>
    </w:p>
    <w:p w14:paraId="3D8A28B0" w14:textId="77777777" w:rsidR="002A4822" w:rsidRPr="007F04C3" w:rsidRDefault="002A4822" w:rsidP="002A4822">
      <w:pPr>
        <w:pStyle w:val="JgtParagraphe"/>
        <w:numPr>
          <w:ilvl w:val="0"/>
          <w:numId w:val="18"/>
        </w:numPr>
        <w:spacing w:line="240" w:lineRule="auto"/>
        <w:rPr>
          <w:bCs/>
          <w:color w:val="auto"/>
          <w:lang w:val="en-CA"/>
        </w:rPr>
      </w:pPr>
      <w:r w:rsidRPr="007F04C3">
        <w:rPr>
          <w:bCs/>
          <w:color w:val="auto"/>
          <w:lang w:val="en-CA"/>
        </w:rPr>
        <w:t xml:space="preserve">The respondent subsequently agreed to unseal the 34-page document entitled “Appeal”, subject to some redaction, in conformity with the judgment of the Superior Court. It sent its proposal to the applicant prior to the hearing. At the hearing, the respondent agreed to lift the proposed redaction of the three lines at the bottom of page 13. The balance of the proposal redacts the applicant’s opinions on various individuals involved in the events. </w:t>
      </w:r>
    </w:p>
    <w:p w14:paraId="7847C392" w14:textId="77777777" w:rsidR="002A4822" w:rsidRPr="007F04C3" w:rsidRDefault="002A4822" w:rsidP="002A4822">
      <w:pPr>
        <w:pStyle w:val="JgtParagraphe"/>
        <w:numPr>
          <w:ilvl w:val="0"/>
          <w:numId w:val="18"/>
        </w:numPr>
        <w:spacing w:line="240" w:lineRule="auto"/>
        <w:rPr>
          <w:bCs/>
          <w:color w:val="auto"/>
          <w:lang w:val="en-CA"/>
        </w:rPr>
      </w:pPr>
      <w:bookmarkStart w:id="11" w:name="_Hlk214361930"/>
      <w:r w:rsidRPr="007F04C3">
        <w:rPr>
          <w:bCs/>
          <w:color w:val="auto"/>
          <w:lang w:val="en-CA"/>
        </w:rPr>
        <w:t>The applicant’s position was received in writing on November 14, 2025. In it, the applicant argues that there is no need for redaction, given the fundamental right of freedom of opinion and expression. In this response, the applicant reiterated several of the statements targeted by the proposed redaction.</w:t>
      </w:r>
    </w:p>
    <w:p w14:paraId="7426BDDC" w14:textId="77777777" w:rsidR="002A4822" w:rsidRDefault="002A4822" w:rsidP="002A4822">
      <w:pPr>
        <w:pStyle w:val="JgtParagraphe"/>
        <w:numPr>
          <w:ilvl w:val="0"/>
          <w:numId w:val="18"/>
        </w:numPr>
        <w:spacing w:line="240" w:lineRule="auto"/>
        <w:rPr>
          <w:bCs/>
          <w:color w:val="auto"/>
          <w:lang w:val="en-CA"/>
        </w:rPr>
      </w:pPr>
      <w:r w:rsidRPr="007F04C3">
        <w:rPr>
          <w:bCs/>
          <w:color w:val="auto"/>
          <w:lang w:val="en-CA"/>
        </w:rPr>
        <w:t>The Court generally agrees with the Superior Court's conclusions. The Court adds that while there is such a fundamental right, the reasons for the redaction must be taken into account. These reasons are</w:t>
      </w:r>
      <w:r w:rsidRPr="007F0F53">
        <w:rPr>
          <w:bCs/>
          <w:color w:val="auto"/>
          <w:lang w:val="en-CA"/>
        </w:rPr>
        <w:t xml:space="preserve"> twofold. First, the Court notes that the redacted passages are expressions of negative and insulting opinions about several people with a close connection to the victims or events. Obviously, this is not evidence and therefore cannot be used for any purpose in an appeal. Second, the redacted passages only serve to disseminate information that may result in an affront to a person’s dignity (see </w:t>
      </w:r>
      <w:r w:rsidRPr="007F0F53">
        <w:rPr>
          <w:bCs/>
          <w:i/>
          <w:iCs/>
          <w:color w:val="auto"/>
          <w:lang w:val="en-CA"/>
        </w:rPr>
        <w:t>Sherman Estate v. Donovan</w:t>
      </w:r>
      <w:r w:rsidRPr="007F0F53">
        <w:rPr>
          <w:bCs/>
          <w:color w:val="auto"/>
          <w:lang w:val="en-CA"/>
        </w:rPr>
        <w:t>, 2021 SCC 25) – the whole for a completely pointless purpose.</w:t>
      </w:r>
    </w:p>
    <w:p w14:paraId="0D4E8AA6" w14:textId="77777777" w:rsidR="002A4822" w:rsidRPr="001178DA" w:rsidRDefault="002A4822" w:rsidP="002A4822">
      <w:pPr>
        <w:pStyle w:val="JgtParagraphe"/>
        <w:numPr>
          <w:ilvl w:val="0"/>
          <w:numId w:val="18"/>
        </w:numPr>
        <w:spacing w:line="240" w:lineRule="auto"/>
        <w:rPr>
          <w:bCs/>
          <w:color w:val="auto"/>
          <w:lang w:val="en-CA"/>
        </w:rPr>
      </w:pPr>
      <w:r w:rsidRPr="001178DA">
        <w:rPr>
          <w:bCs/>
          <w:color w:val="auto"/>
          <w:lang w:val="en-CA"/>
        </w:rPr>
        <w:t>For the same reasons, the applicant's response will be redacted accordingly, as suggested by the respondent.</w:t>
      </w:r>
    </w:p>
    <w:p w14:paraId="1929C12C" w14:textId="77777777" w:rsidR="002A4822" w:rsidRPr="001178DA" w:rsidRDefault="002A4822" w:rsidP="002A4822">
      <w:pPr>
        <w:pStyle w:val="JgtParagraphe"/>
        <w:numPr>
          <w:ilvl w:val="0"/>
          <w:numId w:val="18"/>
        </w:numPr>
        <w:spacing w:line="240" w:lineRule="auto"/>
        <w:rPr>
          <w:bCs/>
          <w:color w:val="auto"/>
          <w:lang w:val="en-CA"/>
        </w:rPr>
      </w:pPr>
      <w:r w:rsidRPr="001178DA">
        <w:rPr>
          <w:bCs/>
          <w:color w:val="auto"/>
          <w:lang w:val="en-CA"/>
        </w:rPr>
        <w:t xml:space="preserve">Therefore, the Court agrees that the document and the response should be redacted as proposed by the respondent, with the exception of the three lines at the bottom of page 13 of the document. </w:t>
      </w:r>
    </w:p>
    <w:bookmarkEnd w:id="11"/>
    <w:p w14:paraId="71E477AB" w14:textId="77777777" w:rsidR="002A4822" w:rsidRPr="007F0F53" w:rsidRDefault="002A4822" w:rsidP="002A4822">
      <w:pPr>
        <w:pStyle w:val="JgtParagraphe"/>
        <w:tabs>
          <w:tab w:val="clear" w:pos="720"/>
        </w:tabs>
        <w:spacing w:line="240" w:lineRule="auto"/>
        <w:rPr>
          <w:bCs/>
          <w:color w:val="auto"/>
          <w:u w:val="single"/>
          <w:lang w:val="en-CA"/>
        </w:rPr>
      </w:pPr>
      <w:r w:rsidRPr="007F0F53">
        <w:rPr>
          <w:bCs/>
          <w:color w:val="auto"/>
          <w:u w:val="single"/>
          <w:lang w:val="en-CA"/>
        </w:rPr>
        <w:t>Appeal management</w:t>
      </w:r>
    </w:p>
    <w:p w14:paraId="64CFCE49" w14:textId="77777777" w:rsidR="002A4822" w:rsidRPr="00FC54E4" w:rsidRDefault="002A4822" w:rsidP="002A4822">
      <w:pPr>
        <w:pStyle w:val="Paragraphe"/>
        <w:tabs>
          <w:tab w:val="clear" w:pos="720"/>
        </w:tabs>
        <w:spacing w:line="240" w:lineRule="auto"/>
        <w:rPr>
          <w:bCs/>
        </w:rPr>
      </w:pPr>
      <w:r w:rsidRPr="00FC54E4">
        <w:rPr>
          <w:bCs/>
        </w:rPr>
        <w:t>At the appeal management conference on September 18, 2025, and again at the hearing, the applicant insisted on proceeding without legal representation.</w:t>
      </w:r>
    </w:p>
    <w:p w14:paraId="1329A768" w14:textId="77777777" w:rsidR="002A4822" w:rsidRPr="00FC54E4" w:rsidRDefault="002A4822" w:rsidP="002A4822">
      <w:pPr>
        <w:pStyle w:val="Paragraphe"/>
        <w:tabs>
          <w:tab w:val="clear" w:pos="720"/>
        </w:tabs>
        <w:spacing w:line="240" w:lineRule="auto"/>
        <w:rPr>
          <w:bCs/>
        </w:rPr>
      </w:pPr>
      <w:r w:rsidRPr="00FC54E4">
        <w:rPr>
          <w:bCs/>
        </w:rPr>
        <w:lastRenderedPageBreak/>
        <w:t xml:space="preserve">During the conference, the appeal management judge had explained the four criteria that must be met to extend the time limit for an appeal: </w:t>
      </w:r>
    </w:p>
    <w:p w14:paraId="4007EEF0" w14:textId="77777777" w:rsidR="002A4822" w:rsidRPr="00FC54E4" w:rsidRDefault="002A4822" w:rsidP="002A4822">
      <w:pPr>
        <w:pStyle w:val="Paragraphedeliste"/>
        <w:numPr>
          <w:ilvl w:val="0"/>
          <w:numId w:val="19"/>
        </w:numPr>
        <w:spacing w:after="0" w:line="240" w:lineRule="auto"/>
        <w:jc w:val="both"/>
        <w:rPr>
          <w:bCs/>
          <w:lang w:val="en-CA"/>
        </w:rPr>
      </w:pPr>
      <w:r w:rsidRPr="00FC54E4">
        <w:rPr>
          <w:bCs/>
          <w:lang w:val="en-CA"/>
        </w:rPr>
        <w:t>the applicant had the intention to appeal within the prescribed time limit (here, 30 days), the respondent was informed of that intention and no prejudice will result from the delay;</w:t>
      </w:r>
    </w:p>
    <w:p w14:paraId="0B6642D6" w14:textId="77777777" w:rsidR="002A4822" w:rsidRPr="00FC54E4" w:rsidRDefault="002A4822" w:rsidP="002A4822">
      <w:pPr>
        <w:pStyle w:val="Paragraphedeliste"/>
        <w:numPr>
          <w:ilvl w:val="0"/>
          <w:numId w:val="19"/>
        </w:numPr>
        <w:spacing w:after="0" w:line="240" w:lineRule="auto"/>
        <w:jc w:val="both"/>
        <w:rPr>
          <w:bCs/>
          <w:lang w:val="en-CA"/>
        </w:rPr>
      </w:pPr>
      <w:r w:rsidRPr="00FC54E4">
        <w:rPr>
          <w:bCs/>
          <w:lang w:val="en-CA"/>
        </w:rPr>
        <w:t>there are valid grounds for an appeal (sustainable, defensible, arguable) under the applicable standard of review on appeal;</w:t>
      </w:r>
    </w:p>
    <w:p w14:paraId="6D1EB074" w14:textId="77777777" w:rsidR="002A4822" w:rsidRPr="00FC54E4" w:rsidRDefault="002A4822" w:rsidP="002A4822">
      <w:pPr>
        <w:pStyle w:val="Paragraphedeliste"/>
        <w:numPr>
          <w:ilvl w:val="0"/>
          <w:numId w:val="19"/>
        </w:numPr>
        <w:spacing w:after="0" w:line="240" w:lineRule="auto"/>
        <w:jc w:val="both"/>
        <w:rPr>
          <w:bCs/>
          <w:lang w:val="en-CA"/>
        </w:rPr>
      </w:pPr>
      <w:r w:rsidRPr="00FC54E4">
        <w:rPr>
          <w:bCs/>
          <w:lang w:val="en-CA"/>
        </w:rPr>
        <w:t>the applicant acted with reasonable diligence in exercising the right of appeal; and</w:t>
      </w:r>
    </w:p>
    <w:p w14:paraId="4D64527E" w14:textId="77777777" w:rsidR="002A4822" w:rsidRDefault="002A4822" w:rsidP="002A4822">
      <w:pPr>
        <w:pStyle w:val="Paragraphedeliste"/>
        <w:numPr>
          <w:ilvl w:val="0"/>
          <w:numId w:val="19"/>
        </w:numPr>
        <w:spacing w:after="0" w:line="240" w:lineRule="auto"/>
        <w:jc w:val="both"/>
        <w:rPr>
          <w:bCs/>
          <w:lang w:val="en-CA"/>
        </w:rPr>
      </w:pPr>
      <w:r w:rsidRPr="00FC54E4">
        <w:rPr>
          <w:bCs/>
          <w:lang w:val="en-CA"/>
        </w:rPr>
        <w:t>the appeal is in the interests of justice.</w:t>
      </w:r>
    </w:p>
    <w:p w14:paraId="1CBD8B76" w14:textId="77777777" w:rsidR="002A4822" w:rsidRPr="00827566" w:rsidRDefault="002A4822" w:rsidP="002A4822">
      <w:pPr>
        <w:pStyle w:val="JgtCit1"/>
        <w:rPr>
          <w:lang w:val="en-CA"/>
        </w:rPr>
      </w:pPr>
      <w:r w:rsidRPr="001178DA">
        <w:rPr>
          <w:lang w:val="en-CA"/>
        </w:rPr>
        <w:t xml:space="preserve">See: </w:t>
      </w:r>
      <w:r w:rsidRPr="001178DA">
        <w:rPr>
          <w:i/>
          <w:iCs/>
          <w:lang w:val="en-CA"/>
        </w:rPr>
        <w:t>R. c. Lamontagne</w:t>
      </w:r>
      <w:r w:rsidRPr="001178DA">
        <w:rPr>
          <w:lang w:val="en-CA"/>
        </w:rPr>
        <w:t xml:space="preserve">, 1994 CanLII 6295 (C.A.Q); </w:t>
      </w:r>
      <w:r w:rsidRPr="001178DA">
        <w:rPr>
          <w:i/>
          <w:iCs/>
          <w:lang w:val="en-CA"/>
        </w:rPr>
        <w:t>R. v. Roberge</w:t>
      </w:r>
      <w:r w:rsidRPr="001178DA">
        <w:rPr>
          <w:lang w:val="en-CA"/>
        </w:rPr>
        <w:t xml:space="preserve">, 2005 SCC 48; </w:t>
      </w:r>
      <w:r w:rsidRPr="001178DA">
        <w:rPr>
          <w:i/>
          <w:iCs/>
          <w:lang w:val="en-CA"/>
        </w:rPr>
        <w:t>R. c. D.N.</w:t>
      </w:r>
      <w:r w:rsidRPr="001178DA">
        <w:rPr>
          <w:lang w:val="en-CA"/>
        </w:rPr>
        <w:t xml:space="preserve">, 2020 QCCA 419, at para. 8-10; </w:t>
      </w:r>
      <w:r w:rsidRPr="001178DA">
        <w:rPr>
          <w:i/>
          <w:iCs/>
          <w:lang w:val="en-CA"/>
        </w:rPr>
        <w:t>R. c. Zamiara</w:t>
      </w:r>
      <w:r w:rsidRPr="001178DA">
        <w:rPr>
          <w:lang w:val="en-CA"/>
        </w:rPr>
        <w:t>, 2020 QCCA 841, at para. 43.</w:t>
      </w:r>
    </w:p>
    <w:p w14:paraId="2E9BDF9F"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 xml:space="preserve">It was further explained to the applicant that the grounds of appeal must, by necessity, be based on the trial and the evidence presented at trial, and nothing else. Barring exceptions, there cannot be new facts on appeal – i.e., facts that were not known by the trial judge or the jury – and it is not possible to testify during an appeal. </w:t>
      </w:r>
    </w:p>
    <w:p w14:paraId="2CDEA19E" w14:textId="77777777" w:rsidR="002A4822" w:rsidRPr="00FC54E4" w:rsidRDefault="002A4822" w:rsidP="002A4822">
      <w:pPr>
        <w:pStyle w:val="JgtParagraphe"/>
        <w:tabs>
          <w:tab w:val="clear" w:pos="720"/>
        </w:tabs>
        <w:spacing w:line="240" w:lineRule="auto"/>
        <w:rPr>
          <w:bCs/>
          <w:color w:val="auto"/>
          <w:u w:val="single"/>
          <w:lang w:val="en-CA"/>
        </w:rPr>
      </w:pPr>
      <w:r w:rsidRPr="00FC54E4">
        <w:rPr>
          <w:bCs/>
          <w:color w:val="auto"/>
          <w:u w:val="single"/>
          <w:lang w:val="en-CA"/>
        </w:rPr>
        <w:t>The application to adduce fresh evidence</w:t>
      </w:r>
    </w:p>
    <w:p w14:paraId="73EAEF7B"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Before dealing with the application for an extension of the time limit to appeal, the Court will consider the two new piece</w:t>
      </w:r>
      <w:r w:rsidRPr="00D241F3">
        <w:rPr>
          <w:bCs/>
          <w:color w:val="auto"/>
          <w:lang w:val="en-CA"/>
        </w:rPr>
        <w:t xml:space="preserve">s of evidence the applicant seeks to file into the appeal record. Fresh evidence </w:t>
      </w:r>
      <w:r w:rsidRPr="00FC54E4">
        <w:rPr>
          <w:bCs/>
          <w:color w:val="auto"/>
          <w:lang w:val="en-CA"/>
        </w:rPr>
        <w:t>is one of the exceptions mentioned above and it is preferable to deal first with the application to adduce this evidence, as it might impact the other application.</w:t>
      </w:r>
    </w:p>
    <w:p w14:paraId="16F22DA8" w14:textId="77777777" w:rsidR="002A4822" w:rsidRPr="00FC54E4" w:rsidRDefault="002A4822" w:rsidP="002A4822">
      <w:pPr>
        <w:pStyle w:val="JgtParagraphe"/>
        <w:numPr>
          <w:ilvl w:val="0"/>
          <w:numId w:val="18"/>
        </w:numPr>
        <w:spacing w:line="240" w:lineRule="auto"/>
        <w:rPr>
          <w:bCs/>
          <w:color w:val="auto"/>
          <w:sz w:val="27"/>
          <w:szCs w:val="27"/>
          <w:lang w:val="en-CA" w:eastAsia="fr-CA"/>
        </w:rPr>
      </w:pPr>
      <w:r w:rsidRPr="00FC54E4">
        <w:rPr>
          <w:bCs/>
          <w:color w:val="auto"/>
          <w:lang w:val="en-CA" w:eastAsia="fr-CA"/>
        </w:rPr>
        <w:t xml:space="preserve">In </w:t>
      </w:r>
      <w:r w:rsidRPr="00FC54E4">
        <w:rPr>
          <w:bCs/>
          <w:i/>
          <w:iCs/>
          <w:color w:val="auto"/>
          <w:lang w:val="en-CA"/>
        </w:rPr>
        <w:t>Palmer v. The Queen</w:t>
      </w:r>
      <w:r w:rsidRPr="00FC54E4">
        <w:rPr>
          <w:bCs/>
          <w:color w:val="auto"/>
          <w:lang w:val="en-CA"/>
        </w:rPr>
        <w:t>, [1980] 1 S.C.R. 759, at page 775, the</w:t>
      </w:r>
      <w:r w:rsidRPr="00FC54E4">
        <w:rPr>
          <w:bCs/>
          <w:color w:val="auto"/>
          <w:lang w:val="en-CA" w:eastAsia="fr-CA"/>
        </w:rPr>
        <w:t xml:space="preserve"> test for deciding an application to adduce fresh evidence on appeal was laid down as follows:</w:t>
      </w:r>
    </w:p>
    <w:p w14:paraId="63CE5621" w14:textId="77777777" w:rsidR="002A4822" w:rsidRPr="00FC54E4" w:rsidRDefault="002A4822" w:rsidP="002A4822">
      <w:pPr>
        <w:pStyle w:val="JgtCit1"/>
        <w:rPr>
          <w:bCs/>
          <w:sz w:val="27"/>
          <w:szCs w:val="27"/>
          <w:lang w:val="en-CA"/>
        </w:rPr>
      </w:pPr>
      <w:r w:rsidRPr="00FC54E4">
        <w:rPr>
          <w:bCs/>
          <w:lang w:val="en-CA"/>
        </w:rPr>
        <w:t>(1)      The evidence should generally not be admitted if, by due diligence, it could have been adduced at trial provided that this general principle will not be applied as strictly in a criminal case as in civil cases […];</w:t>
      </w:r>
    </w:p>
    <w:p w14:paraId="7DCB107E" w14:textId="77777777" w:rsidR="002A4822" w:rsidRPr="00FC54E4" w:rsidRDefault="002A4822" w:rsidP="002A4822">
      <w:pPr>
        <w:pStyle w:val="JgtCit1"/>
        <w:rPr>
          <w:bCs/>
          <w:sz w:val="27"/>
          <w:szCs w:val="27"/>
          <w:lang w:val="en-CA"/>
        </w:rPr>
      </w:pPr>
      <w:r w:rsidRPr="00FC54E4">
        <w:rPr>
          <w:bCs/>
          <w:lang w:val="en-CA"/>
        </w:rPr>
        <w:t>(2)      The evidence must be relevant in the sense that it bears upon a decisive or potentially decisive issue in the trial;</w:t>
      </w:r>
    </w:p>
    <w:p w14:paraId="7244B02D" w14:textId="77777777" w:rsidR="002A4822" w:rsidRPr="00FC54E4" w:rsidRDefault="002A4822" w:rsidP="002A4822">
      <w:pPr>
        <w:pStyle w:val="JgtCit1"/>
        <w:rPr>
          <w:bCs/>
          <w:sz w:val="27"/>
          <w:szCs w:val="27"/>
          <w:lang w:val="en-CA"/>
        </w:rPr>
      </w:pPr>
      <w:r w:rsidRPr="00FC54E4">
        <w:rPr>
          <w:bCs/>
          <w:lang w:val="en-CA"/>
        </w:rPr>
        <w:t>(3)      The evidence must be credible in the sense that it is reasonably capable of belief;</w:t>
      </w:r>
    </w:p>
    <w:p w14:paraId="502798AC" w14:textId="77777777" w:rsidR="002A4822" w:rsidRPr="00FC54E4" w:rsidRDefault="002A4822" w:rsidP="002A4822">
      <w:pPr>
        <w:pStyle w:val="JgtCit1"/>
        <w:rPr>
          <w:bCs/>
          <w:sz w:val="27"/>
          <w:szCs w:val="27"/>
          <w:lang w:val="en-CA"/>
        </w:rPr>
      </w:pPr>
      <w:r w:rsidRPr="00FC54E4">
        <w:rPr>
          <w:bCs/>
          <w:lang w:val="en-CA"/>
        </w:rPr>
        <w:t>(4)      It must be such that if believed it could reasonably, when taken with the other evidence adduced at trial, be expected to have affected the result.</w:t>
      </w:r>
    </w:p>
    <w:p w14:paraId="1A18CEBC"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lastRenderedPageBreak/>
        <w:t>These criteria have not been met here.</w:t>
      </w:r>
    </w:p>
    <w:p w14:paraId="44BFCA61"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The first new item presented as fresh evidence consists of a document containing tables claiming to demonstrate the deceased mother’s Internet searches before the tragic events. That document comprises partial data extracted by the applicant from the electronic evidence gathered by the police —</w:t>
      </w:r>
      <w:r w:rsidRPr="00FC54E4">
        <w:rPr>
          <w:lang w:val="en-CA"/>
        </w:rPr>
        <w:t xml:space="preserve"> </w:t>
      </w:r>
      <w:r w:rsidRPr="00FC54E4">
        <w:rPr>
          <w:bCs/>
          <w:color w:val="auto"/>
          <w:lang w:val="en-CA"/>
        </w:rPr>
        <w:t>during the investigation, Sgt. Yan Massicotte had analyzed the victim’s computer — which evidence was disclosed by the Crown at the trial stage. According to the applicant, this evidence is proof that the mother premeditated the murders of the children. In that regard, it should be noted that the evidence was available at trial and any observations concerning this data could and ought to have been made at trial through a proper witness. Sgt. Massicotte might have been one such competent witness. Although he was subpoenaed by the applicant, he was never put on the stand.</w:t>
      </w:r>
    </w:p>
    <w:p w14:paraId="0CC3BB0A"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 xml:space="preserve">The second item proposed as new evidence </w:t>
      </w:r>
      <w:r>
        <w:rPr>
          <w:bCs/>
          <w:color w:val="auto"/>
          <w:lang w:val="en-CA"/>
        </w:rPr>
        <w:t>are</w:t>
      </w:r>
      <w:r w:rsidRPr="00FC54E4">
        <w:rPr>
          <w:bCs/>
          <w:color w:val="auto"/>
          <w:lang w:val="en-CA"/>
        </w:rPr>
        <w:t xml:space="preserve"> </w:t>
      </w:r>
      <w:r w:rsidRPr="00BA51FB">
        <w:rPr>
          <w:bCs/>
          <w:color w:val="auto"/>
          <w:lang w:val="en-CA"/>
        </w:rPr>
        <w:t>alleged words or</w:t>
      </w:r>
      <w:r>
        <w:rPr>
          <w:bCs/>
          <w:color w:val="auto"/>
          <w:lang w:val="en-CA"/>
        </w:rPr>
        <w:t xml:space="preserve"> </w:t>
      </w:r>
      <w:r w:rsidRPr="00FC54E4">
        <w:rPr>
          <w:bCs/>
          <w:color w:val="auto"/>
          <w:lang w:val="en-CA"/>
        </w:rPr>
        <w:t>screaming overheard by a neighbour, in which the firefighters were implored to help the children or “mes enfants”. The applicant claims that this was the deceased mother’s voice and that it is proof she was still alive when the firefighters arrived on the scene. The Court notes that the neighbour in question had given a written statement to the police and was subpoenaed by the applicant, but did not testify. Furthermore, the firefighters were cross-examined on whether the mother had said or screamed anything about “mes enfants”, but the witnesses all said she had not; on the contrary, they all described the victim’s body as lifeless, and one specifically testified that it was the applicant who was screaming “mon fils”. Finally, the forensic evidence provides indisputable proof that the mother had died before the firefighters arrived.</w:t>
      </w:r>
    </w:p>
    <w:p w14:paraId="4BEB3344" w14:textId="77777777" w:rsidR="002A4822" w:rsidRPr="00FC54E4" w:rsidRDefault="002A4822" w:rsidP="002A4822">
      <w:pPr>
        <w:pStyle w:val="JgtParagraphe"/>
        <w:numPr>
          <w:ilvl w:val="0"/>
          <w:numId w:val="18"/>
        </w:numPr>
        <w:spacing w:line="240" w:lineRule="auto"/>
        <w:rPr>
          <w:bCs/>
          <w:color w:val="auto"/>
          <w:lang w:val="en-CA"/>
        </w:rPr>
      </w:pPr>
      <w:r w:rsidRPr="0098151D">
        <w:rPr>
          <w:bCs/>
          <w:color w:val="auto"/>
          <w:lang w:val="en-CA"/>
        </w:rPr>
        <w:t>The items proposed as fresh evidence were available at trial and the</w:t>
      </w:r>
      <w:r w:rsidRPr="00FC54E4">
        <w:rPr>
          <w:bCs/>
          <w:color w:val="auto"/>
          <w:lang w:val="en-CA"/>
        </w:rPr>
        <w:t xml:space="preserve"> applicant chose not to pursue it. But more importantly, the two items proposed by the applicant cannot have any bearing upon a decisive or potentially decisive issue in the trial. They only serve to perpetuate a delusional opinion that the mother was alive and that it was, in fact, she who murdered the children. This evidence does not meet the </w:t>
      </w:r>
      <w:r w:rsidRPr="00FC54E4">
        <w:rPr>
          <w:bCs/>
          <w:i/>
          <w:iCs/>
          <w:color w:val="auto"/>
          <w:lang w:val="en-CA"/>
        </w:rPr>
        <w:t>Palmer</w:t>
      </w:r>
      <w:r w:rsidRPr="00FC54E4">
        <w:rPr>
          <w:bCs/>
          <w:color w:val="auto"/>
          <w:lang w:val="en-CA"/>
        </w:rPr>
        <w:t xml:space="preserve"> criteria. Consequently, the application to adduce fresh evidence must be dismissed. </w:t>
      </w:r>
    </w:p>
    <w:p w14:paraId="191AA03B" w14:textId="77777777" w:rsidR="002A4822" w:rsidRPr="00FC54E4" w:rsidRDefault="002A4822" w:rsidP="002A4822">
      <w:pPr>
        <w:pStyle w:val="JgtParagraphe"/>
        <w:tabs>
          <w:tab w:val="clear" w:pos="720"/>
        </w:tabs>
        <w:spacing w:line="240" w:lineRule="auto"/>
        <w:rPr>
          <w:bCs/>
          <w:color w:val="auto"/>
          <w:u w:val="single"/>
          <w:lang w:val="en-CA"/>
        </w:rPr>
      </w:pPr>
      <w:r w:rsidRPr="00FC54E4">
        <w:rPr>
          <w:bCs/>
          <w:color w:val="auto"/>
          <w:u w:val="single"/>
          <w:lang w:val="en-CA"/>
        </w:rPr>
        <w:t>The application to extend the time limit to appeal</w:t>
      </w:r>
    </w:p>
    <w:p w14:paraId="2D81B9D2"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Turning now to the application for an extension of the time limit to appeal, the Court notes that the applicant did indeed have the intention to file an appeal within the 30-day period. The Crown is correct not to contest this first criterion.</w:t>
      </w:r>
    </w:p>
    <w:p w14:paraId="64C28494"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That said, however, the proposed appeal is entirely without merit.</w:t>
      </w:r>
    </w:p>
    <w:p w14:paraId="1565130F"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 xml:space="preserve">The applicant argues that the verdicts are unreasonable because no evidence was presented about the applicant’s state of mind with respect to the murders. The argument </w:t>
      </w:r>
      <w:r w:rsidRPr="00FC54E4">
        <w:rPr>
          <w:bCs/>
          <w:color w:val="auto"/>
          <w:lang w:val="en-CA"/>
        </w:rPr>
        <w:lastRenderedPageBreak/>
        <w:t xml:space="preserve">rests on the fact that the applicant did not testify and did not make a statement to the police, and that no psychiatric evidence was filed to prove the applicant’s state of mind. </w:t>
      </w:r>
    </w:p>
    <w:p w14:paraId="6198F280"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State of mind is rarely presented by direct evidence and is usually inferred from circumstantial evidence. The applicant’s argument is without merit – the verdict cannot conceivably be described as unreasonable, which would imply that a properly instructed jury acting judicially could not reasonably have rendered such a verdict (</w:t>
      </w:r>
      <w:r w:rsidRPr="00FC54E4">
        <w:rPr>
          <w:bCs/>
          <w:i/>
          <w:iCs/>
          <w:color w:val="auto"/>
          <w:lang w:val="en-CA"/>
        </w:rPr>
        <w:t>R. v. Yebes</w:t>
      </w:r>
      <w:r w:rsidRPr="00FC54E4">
        <w:rPr>
          <w:bCs/>
          <w:color w:val="auto"/>
          <w:lang w:val="en-CA"/>
        </w:rPr>
        <w:t xml:space="preserve">, [1987] 2 S.C.R. 168). </w:t>
      </w:r>
    </w:p>
    <w:p w14:paraId="439C005A"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Another argument the applicant asserts in the proposed appeal seeks to place responsibility on the deceased mother for the children’s murder. The argument is based on unfounded allegations concerning her bad character and on the “fresh evidence” mentioned above. This argument is frivolous and unfounded.</w:t>
      </w:r>
    </w:p>
    <w:p w14:paraId="52C64D18"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The applicant further seeks to rely on the assumption that only rigor mortis had been used as a factor to establish the time of death. According to the applicant, that factor was said to be controversial. This, however, was a fact for the jury to determine and the judge instructed the jury appropriately in that regard. Be that as it may, and notwithstanding said factor, the record is replete with evidence to establish a reasonable sequence for the time of death. The Court is convinced that this argument has no merit.</w:t>
      </w:r>
    </w:p>
    <w:p w14:paraId="1C8867BD"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 xml:space="preserve">The applicant also disputes the general conclusions of guilt drawn from the evidence presented at trial. In particular, it is argued that the evidence demonstrated a “disconnected” state of mind caused by the consumption of toxic substances. It is also argued that the evidence points equally to the deceased mother’s responsibility for the children’s murder. Even if the inferences proposed by the applicant were reasonable – a conclusion the Court does not share – this was a matter for the jury to decide. That said, the Court notes that the applicant does not contest the evidence that led to the dismissal of the </w:t>
      </w:r>
      <w:r w:rsidRPr="0098151D">
        <w:rPr>
          <w:bCs/>
          <w:color w:val="auto"/>
          <w:lang w:val="en-CA"/>
        </w:rPr>
        <w:t>applicant’s motions</w:t>
      </w:r>
      <w:r w:rsidRPr="00FC54E4">
        <w:rPr>
          <w:bCs/>
          <w:color w:val="auto"/>
          <w:lang w:val="en-CA"/>
        </w:rPr>
        <w:t xml:space="preserve"> for a directed verdict on the murder charges (see 2024 QCCS 4570) nor does the applicant raise any errors of fact in the appeal. The jury accepted this evidence, and the applicant has not demonstrated anything unreasonable in the inferences these facts allowed the jury to draw.</w:t>
      </w:r>
    </w:p>
    <w:p w14:paraId="38008538" w14:textId="77777777" w:rsidR="002A4822" w:rsidRPr="00FC54E4" w:rsidRDefault="002A4822" w:rsidP="002A4822">
      <w:pPr>
        <w:pStyle w:val="JgtParagraphe"/>
        <w:numPr>
          <w:ilvl w:val="0"/>
          <w:numId w:val="18"/>
        </w:numPr>
        <w:spacing w:line="240" w:lineRule="auto"/>
        <w:rPr>
          <w:bCs/>
          <w:color w:val="auto"/>
          <w:lang w:val="en-CA"/>
        </w:rPr>
      </w:pPr>
      <w:r w:rsidRPr="00FC54E4">
        <w:rPr>
          <w:bCs/>
          <w:color w:val="auto"/>
          <w:lang w:val="en-CA"/>
        </w:rPr>
        <w:t>Finally, the applicant challenges the impartiality of the judge's instructions to the jury. The Crown provided a transcript of the instructions, and a reading thereof does not show that they are biased or unbalanced. This ground of appeal is entirely unfounded and frivolous.</w:t>
      </w:r>
    </w:p>
    <w:p w14:paraId="07037ABB" w14:textId="77777777" w:rsidR="002A4822" w:rsidRPr="0098151D" w:rsidRDefault="002A4822" w:rsidP="002A4822">
      <w:pPr>
        <w:pStyle w:val="JgtParagraphe"/>
        <w:numPr>
          <w:ilvl w:val="0"/>
          <w:numId w:val="18"/>
        </w:numPr>
        <w:spacing w:line="240" w:lineRule="auto"/>
        <w:rPr>
          <w:bCs/>
          <w:color w:val="auto"/>
          <w:lang w:val="en-CA"/>
        </w:rPr>
      </w:pPr>
      <w:r w:rsidRPr="00FC54E4">
        <w:rPr>
          <w:bCs/>
          <w:color w:val="auto"/>
          <w:lang w:val="en-CA"/>
        </w:rPr>
        <w:t xml:space="preserve">In sum, the applicant has presented no fresh evidence, and the proposed appeal is destined to fail and is clearly frivolous considering the overwhelming and </w:t>
      </w:r>
      <w:r w:rsidRPr="0098151D">
        <w:rPr>
          <w:bCs/>
          <w:color w:val="auto"/>
          <w:lang w:val="en-CA"/>
        </w:rPr>
        <w:t>uncontested evidence. It would be contrary to the interests of justice to allow the application for an extension of the time limit to appeal and, therefore, the appeal.</w:t>
      </w:r>
    </w:p>
    <w:p w14:paraId="2B88130E" w14:textId="77777777" w:rsidR="002A4822" w:rsidRPr="00FC54E4" w:rsidRDefault="002A4822" w:rsidP="002A4822">
      <w:pPr>
        <w:pStyle w:val="JgtParagraphe"/>
        <w:tabs>
          <w:tab w:val="clear" w:pos="720"/>
        </w:tabs>
        <w:spacing w:line="240" w:lineRule="auto"/>
        <w:rPr>
          <w:b/>
          <w:bCs/>
          <w:color w:val="auto"/>
          <w:lang w:val="en-CA"/>
        </w:rPr>
      </w:pPr>
      <w:r w:rsidRPr="00FC54E4">
        <w:rPr>
          <w:b/>
          <w:bCs/>
          <w:color w:val="auto"/>
          <w:lang w:val="en-CA"/>
        </w:rPr>
        <w:lastRenderedPageBreak/>
        <w:t>FOR THESE REASONS, THE COURT:</w:t>
      </w:r>
    </w:p>
    <w:p w14:paraId="1E4FBFA1" w14:textId="25337710" w:rsidR="002A4822" w:rsidRPr="00296534" w:rsidRDefault="002A4822" w:rsidP="002A4822">
      <w:pPr>
        <w:pStyle w:val="JgtParagraphe"/>
        <w:numPr>
          <w:ilvl w:val="0"/>
          <w:numId w:val="18"/>
        </w:numPr>
        <w:spacing w:line="240" w:lineRule="auto"/>
        <w:rPr>
          <w:color w:val="auto"/>
          <w:lang w:val="en-CA"/>
        </w:rPr>
      </w:pPr>
      <w:r w:rsidRPr="00296534">
        <w:rPr>
          <w:b/>
          <w:bCs/>
          <w:color w:val="auto"/>
          <w:lang w:val="en-CA"/>
        </w:rPr>
        <w:t>REDACTS</w:t>
      </w:r>
      <w:r w:rsidRPr="00296534">
        <w:rPr>
          <w:color w:val="auto"/>
          <w:lang w:val="en-CA"/>
        </w:rPr>
        <w:t xml:space="preserve"> the document entitled “Appeal” according to the respondent’s suggestion, with the exception of the three lines found at the bottom of page 13 and discussed at the hearing, as well as the response received on November 14</w:t>
      </w:r>
      <w:r w:rsidR="0042379D">
        <w:rPr>
          <w:color w:val="auto"/>
          <w:lang w:val="en-CA"/>
        </w:rPr>
        <w:t>,</w:t>
      </w:r>
      <w:r w:rsidRPr="00296534">
        <w:rPr>
          <w:color w:val="auto"/>
          <w:lang w:val="en-CA"/>
        </w:rPr>
        <w:t xml:space="preserve"> 2025, </w:t>
      </w:r>
      <w:r w:rsidRPr="00296534">
        <w:rPr>
          <w:b/>
          <w:bCs/>
          <w:color w:val="auto"/>
          <w:lang w:val="en-CA"/>
        </w:rPr>
        <w:t>SEALS</w:t>
      </w:r>
      <w:r w:rsidRPr="00296534">
        <w:rPr>
          <w:color w:val="auto"/>
          <w:lang w:val="en-CA"/>
        </w:rPr>
        <w:t xml:space="preserve"> the original document and the response, and </w:t>
      </w:r>
      <w:r w:rsidRPr="00296534">
        <w:rPr>
          <w:b/>
          <w:bCs/>
          <w:color w:val="auto"/>
          <w:lang w:val="en-CA"/>
        </w:rPr>
        <w:t>PROHIBITS</w:t>
      </w:r>
      <w:r w:rsidRPr="00296534">
        <w:rPr>
          <w:color w:val="auto"/>
          <w:lang w:val="en-CA"/>
        </w:rPr>
        <w:t xml:space="preserve"> the publication of the redacted portions of the document and the response; </w:t>
      </w:r>
    </w:p>
    <w:p w14:paraId="74773829" w14:textId="77777777" w:rsidR="002A4822" w:rsidRPr="00296534" w:rsidRDefault="002A4822" w:rsidP="002A4822">
      <w:pPr>
        <w:pStyle w:val="JgtParagraphe"/>
        <w:numPr>
          <w:ilvl w:val="0"/>
          <w:numId w:val="18"/>
        </w:numPr>
        <w:spacing w:line="240" w:lineRule="auto"/>
        <w:rPr>
          <w:color w:val="auto"/>
          <w:lang w:val="en-CA"/>
        </w:rPr>
      </w:pPr>
      <w:r w:rsidRPr="00296534">
        <w:rPr>
          <w:b/>
          <w:bCs/>
          <w:color w:val="auto"/>
          <w:lang w:val="en-CA"/>
        </w:rPr>
        <w:t>DISMISSES</w:t>
      </w:r>
      <w:r w:rsidRPr="00296534">
        <w:rPr>
          <w:color w:val="auto"/>
          <w:lang w:val="en-CA"/>
        </w:rPr>
        <w:t xml:space="preserve"> the application to adduce fresh evidence;</w:t>
      </w:r>
    </w:p>
    <w:p w14:paraId="1CB27156" w14:textId="77777777" w:rsidR="002A4822" w:rsidRPr="00296534" w:rsidRDefault="002A4822" w:rsidP="002A4822">
      <w:pPr>
        <w:pStyle w:val="JgtParagraphe"/>
        <w:numPr>
          <w:ilvl w:val="0"/>
          <w:numId w:val="18"/>
        </w:numPr>
        <w:spacing w:line="240" w:lineRule="auto"/>
        <w:rPr>
          <w:color w:val="auto"/>
          <w:lang w:val="en-CA"/>
        </w:rPr>
      </w:pPr>
      <w:r w:rsidRPr="00296534">
        <w:rPr>
          <w:b/>
          <w:bCs/>
          <w:color w:val="auto"/>
          <w:lang w:val="en-CA"/>
        </w:rPr>
        <w:t>DISMISSES</w:t>
      </w:r>
      <w:r w:rsidRPr="00296534">
        <w:rPr>
          <w:color w:val="auto"/>
          <w:lang w:val="en-CA"/>
        </w:rPr>
        <w:t xml:space="preserve"> the application for an extension of the time limit to appeal.</w:t>
      </w:r>
    </w:p>
    <w:tbl>
      <w:tblPr>
        <w:tblW w:w="9368" w:type="dxa"/>
        <w:tblLayout w:type="fixed"/>
        <w:tblCellMar>
          <w:left w:w="0" w:type="dxa"/>
          <w:right w:w="0" w:type="dxa"/>
        </w:tblCellMar>
        <w:tblLook w:val="0000" w:firstRow="0" w:lastRow="0" w:firstColumn="0" w:lastColumn="0" w:noHBand="0" w:noVBand="0"/>
      </w:tblPr>
      <w:tblGrid>
        <w:gridCol w:w="2005"/>
        <w:gridCol w:w="2685"/>
        <w:gridCol w:w="4678"/>
      </w:tblGrid>
      <w:tr w:rsidR="006B3E24" w14:paraId="02F8E7F4" w14:textId="77777777" w:rsidTr="00742AF9">
        <w:trPr>
          <w:trHeight w:val="576"/>
        </w:trPr>
        <w:tc>
          <w:tcPr>
            <w:tcW w:w="9368" w:type="dxa"/>
            <w:gridSpan w:val="3"/>
          </w:tcPr>
          <w:p w14:paraId="23FED9DE" w14:textId="77777777" w:rsidR="006B3E24" w:rsidRPr="002A4822" w:rsidRDefault="006B3E24">
            <w:pPr>
              <w:keepNext/>
            </w:pPr>
          </w:p>
        </w:tc>
      </w:tr>
      <w:tr w:rsidR="006B3E24" w14:paraId="73627CD1" w14:textId="77777777" w:rsidTr="001C0D6C">
        <w:trPr>
          <w:trHeight w:val="283"/>
        </w:trPr>
        <w:tc>
          <w:tcPr>
            <w:tcW w:w="4690" w:type="dxa"/>
            <w:gridSpan w:val="2"/>
          </w:tcPr>
          <w:p w14:paraId="21E72800" w14:textId="77777777" w:rsidR="006B3E24" w:rsidRPr="002A4822" w:rsidRDefault="006B3E24">
            <w:pPr>
              <w:keepNext/>
              <w:rPr>
                <w:rFonts w:cs="Arial"/>
                <w:szCs w:val="24"/>
              </w:rPr>
            </w:pPr>
          </w:p>
        </w:tc>
        <w:tc>
          <w:tcPr>
            <w:tcW w:w="4678" w:type="dxa"/>
            <w:tcBorders>
              <w:bottom w:val="single" w:sz="8" w:space="0" w:color="auto"/>
            </w:tcBorders>
          </w:tcPr>
          <w:p w14:paraId="3BF64FDC" w14:textId="77777777" w:rsidR="006B3E24" w:rsidRPr="002A4822" w:rsidRDefault="006B3E24">
            <w:pPr>
              <w:keepNext/>
              <w:rPr>
                <w:rFonts w:cs="Arial"/>
                <w:szCs w:val="24"/>
              </w:rPr>
            </w:pPr>
          </w:p>
        </w:tc>
      </w:tr>
      <w:tr w:rsidR="006B3E24" w:rsidRPr="009B0908" w14:paraId="41F1F5EA" w14:textId="77777777" w:rsidTr="001C0D6C">
        <w:trPr>
          <w:trHeight w:val="283"/>
        </w:trPr>
        <w:tc>
          <w:tcPr>
            <w:tcW w:w="4690" w:type="dxa"/>
            <w:gridSpan w:val="2"/>
          </w:tcPr>
          <w:p w14:paraId="245B4C39" w14:textId="77777777" w:rsidR="006B3E24" w:rsidRPr="002A4822" w:rsidRDefault="006B3E24">
            <w:pPr>
              <w:keepNext/>
              <w:rPr>
                <w:rFonts w:cs="Arial"/>
                <w:szCs w:val="24"/>
              </w:rPr>
            </w:pPr>
          </w:p>
        </w:tc>
        <w:tc>
          <w:tcPr>
            <w:tcW w:w="4678" w:type="dxa"/>
            <w:tcBorders>
              <w:top w:val="single" w:sz="8" w:space="0" w:color="auto"/>
            </w:tcBorders>
          </w:tcPr>
          <w:p w14:paraId="5D87E891" w14:textId="583D6CE8" w:rsidR="006B3E24" w:rsidRPr="00E36BC8" w:rsidRDefault="00D4628C">
            <w:pPr>
              <w:rPr>
                <w:rFonts w:cs="Arial"/>
                <w:szCs w:val="24"/>
                <w:lang w:val="fr-FR"/>
              </w:rPr>
            </w:pPr>
            <w:r>
              <w:rPr>
                <w:rFonts w:cs="Arial"/>
                <w:szCs w:val="24"/>
              </w:rPr>
              <w:t>MANON SAVARD, C.J.Q.</w:t>
            </w:r>
          </w:p>
        </w:tc>
      </w:tr>
      <w:tr w:rsidR="006B3E24" w:rsidRPr="009B0908" w14:paraId="6307DEEA" w14:textId="77777777" w:rsidTr="003C4610">
        <w:trPr>
          <w:trHeight w:val="283"/>
        </w:trPr>
        <w:tc>
          <w:tcPr>
            <w:tcW w:w="4690" w:type="dxa"/>
            <w:gridSpan w:val="2"/>
          </w:tcPr>
          <w:p w14:paraId="7A73F9C8" w14:textId="77777777" w:rsidR="006B3E24" w:rsidRPr="00E36BC8" w:rsidRDefault="006B3E24">
            <w:pPr>
              <w:keepNext/>
              <w:rPr>
                <w:rFonts w:cs="Arial"/>
                <w:szCs w:val="24"/>
                <w:lang w:val="fr-FR"/>
              </w:rPr>
            </w:pPr>
            <w:bookmarkStart w:id="12" w:name="Signature2"/>
          </w:p>
        </w:tc>
        <w:tc>
          <w:tcPr>
            <w:tcW w:w="4678" w:type="dxa"/>
          </w:tcPr>
          <w:p w14:paraId="4E425D73" w14:textId="77777777" w:rsidR="006B3E24" w:rsidRPr="00E36BC8" w:rsidRDefault="006B3E24">
            <w:pPr>
              <w:keepNext/>
              <w:rPr>
                <w:rFonts w:cs="Arial"/>
                <w:szCs w:val="24"/>
                <w:lang w:val="fr-FR"/>
              </w:rPr>
            </w:pPr>
          </w:p>
        </w:tc>
      </w:tr>
      <w:tr w:rsidR="006B3E24" w:rsidRPr="009B0908" w14:paraId="5CAB457F" w14:textId="77777777" w:rsidTr="001C0D6C">
        <w:trPr>
          <w:trHeight w:val="283"/>
        </w:trPr>
        <w:tc>
          <w:tcPr>
            <w:tcW w:w="4690" w:type="dxa"/>
            <w:gridSpan w:val="2"/>
          </w:tcPr>
          <w:p w14:paraId="3FFFA48E" w14:textId="77777777" w:rsidR="006B3E24" w:rsidRPr="00E36BC8" w:rsidRDefault="006B3E24">
            <w:pPr>
              <w:keepNext/>
              <w:rPr>
                <w:rFonts w:cs="Arial"/>
                <w:szCs w:val="24"/>
                <w:lang w:val="fr-FR"/>
              </w:rPr>
            </w:pPr>
          </w:p>
        </w:tc>
        <w:tc>
          <w:tcPr>
            <w:tcW w:w="4678" w:type="dxa"/>
            <w:tcBorders>
              <w:bottom w:val="single" w:sz="8" w:space="0" w:color="auto"/>
            </w:tcBorders>
          </w:tcPr>
          <w:p w14:paraId="4D58A47E" w14:textId="77777777" w:rsidR="006B3E24" w:rsidRPr="00E36BC8" w:rsidRDefault="006B3E24">
            <w:pPr>
              <w:keepNext/>
              <w:rPr>
                <w:rFonts w:cs="Arial"/>
                <w:szCs w:val="24"/>
                <w:lang w:val="fr-FR"/>
              </w:rPr>
            </w:pPr>
          </w:p>
        </w:tc>
      </w:tr>
      <w:tr w:rsidR="006B3E24" w14:paraId="38E1264B" w14:textId="77777777" w:rsidTr="001C0D6C">
        <w:trPr>
          <w:trHeight w:val="283"/>
        </w:trPr>
        <w:tc>
          <w:tcPr>
            <w:tcW w:w="4690" w:type="dxa"/>
            <w:gridSpan w:val="2"/>
          </w:tcPr>
          <w:p w14:paraId="3195FD2B" w14:textId="77777777" w:rsidR="006B3E24" w:rsidRPr="00E36BC8" w:rsidRDefault="006B3E24">
            <w:pPr>
              <w:keepNext/>
              <w:rPr>
                <w:rFonts w:cs="Arial"/>
                <w:szCs w:val="24"/>
                <w:lang w:val="fr-FR"/>
              </w:rPr>
            </w:pPr>
          </w:p>
        </w:tc>
        <w:tc>
          <w:tcPr>
            <w:tcW w:w="4678" w:type="dxa"/>
            <w:tcBorders>
              <w:top w:val="single" w:sz="8" w:space="0" w:color="auto"/>
            </w:tcBorders>
          </w:tcPr>
          <w:p w14:paraId="621E20E7" w14:textId="4268A1B1" w:rsidR="006B3E24" w:rsidRPr="00E36BC8" w:rsidRDefault="00D4628C">
            <w:pPr>
              <w:keepNext/>
              <w:rPr>
                <w:rFonts w:cs="Arial"/>
                <w:szCs w:val="24"/>
                <w:lang w:val="fr-FR"/>
              </w:rPr>
            </w:pPr>
            <w:r>
              <w:rPr>
                <w:rFonts w:cs="Arial"/>
                <w:szCs w:val="24"/>
              </w:rPr>
              <w:t>FRANÇOIS DOYON, J.A.</w:t>
            </w:r>
          </w:p>
        </w:tc>
      </w:tr>
      <w:tr w:rsidR="006B3E24" w14:paraId="79DD09B9" w14:textId="77777777" w:rsidTr="003C4610">
        <w:trPr>
          <w:trHeight w:val="283"/>
        </w:trPr>
        <w:tc>
          <w:tcPr>
            <w:tcW w:w="4690" w:type="dxa"/>
            <w:gridSpan w:val="2"/>
          </w:tcPr>
          <w:p w14:paraId="3086E60F" w14:textId="77777777" w:rsidR="006B3E24" w:rsidRPr="00E36BC8" w:rsidRDefault="006B3E24">
            <w:pPr>
              <w:keepNext/>
              <w:rPr>
                <w:rFonts w:cs="Arial"/>
                <w:szCs w:val="24"/>
                <w:lang w:val="fr-FR"/>
              </w:rPr>
            </w:pPr>
            <w:bookmarkStart w:id="13" w:name="Signature3"/>
            <w:bookmarkEnd w:id="12"/>
          </w:p>
        </w:tc>
        <w:tc>
          <w:tcPr>
            <w:tcW w:w="4678" w:type="dxa"/>
          </w:tcPr>
          <w:p w14:paraId="4234ACFC" w14:textId="77777777" w:rsidR="006B3E24" w:rsidRPr="00E36BC8" w:rsidRDefault="006B3E24">
            <w:pPr>
              <w:keepNext/>
              <w:rPr>
                <w:rFonts w:cs="Arial"/>
                <w:szCs w:val="24"/>
                <w:lang w:val="fr-FR"/>
              </w:rPr>
            </w:pPr>
          </w:p>
        </w:tc>
      </w:tr>
      <w:tr w:rsidR="006B3E24" w14:paraId="52A27807" w14:textId="77777777" w:rsidTr="001C0D6C">
        <w:trPr>
          <w:trHeight w:val="283"/>
        </w:trPr>
        <w:tc>
          <w:tcPr>
            <w:tcW w:w="4690" w:type="dxa"/>
            <w:gridSpan w:val="2"/>
          </w:tcPr>
          <w:p w14:paraId="2FCAF7AB" w14:textId="77777777" w:rsidR="006B3E24" w:rsidRPr="00E36BC8" w:rsidRDefault="006B3E24">
            <w:pPr>
              <w:keepNext/>
              <w:rPr>
                <w:rFonts w:cs="Arial"/>
                <w:szCs w:val="24"/>
                <w:lang w:val="fr-FR"/>
              </w:rPr>
            </w:pPr>
          </w:p>
        </w:tc>
        <w:tc>
          <w:tcPr>
            <w:tcW w:w="4678" w:type="dxa"/>
            <w:tcBorders>
              <w:bottom w:val="single" w:sz="8" w:space="0" w:color="auto"/>
            </w:tcBorders>
          </w:tcPr>
          <w:p w14:paraId="188C1F89" w14:textId="77777777" w:rsidR="006B3E24" w:rsidRPr="00E36BC8" w:rsidRDefault="006B3E24">
            <w:pPr>
              <w:keepNext/>
              <w:rPr>
                <w:rFonts w:cs="Arial"/>
                <w:szCs w:val="24"/>
                <w:lang w:val="fr-FR"/>
              </w:rPr>
            </w:pPr>
          </w:p>
        </w:tc>
      </w:tr>
      <w:tr w:rsidR="006B3E24" w14:paraId="5629EA00" w14:textId="77777777" w:rsidTr="001C0D6C">
        <w:trPr>
          <w:trHeight w:val="283"/>
        </w:trPr>
        <w:tc>
          <w:tcPr>
            <w:tcW w:w="4690" w:type="dxa"/>
            <w:gridSpan w:val="2"/>
          </w:tcPr>
          <w:p w14:paraId="3DE3734B" w14:textId="77777777" w:rsidR="006B3E24" w:rsidRPr="00E36BC8" w:rsidRDefault="006B3E24">
            <w:pPr>
              <w:keepNext/>
              <w:rPr>
                <w:rFonts w:cs="Arial"/>
                <w:szCs w:val="24"/>
                <w:lang w:val="fr-FR"/>
              </w:rPr>
            </w:pPr>
          </w:p>
        </w:tc>
        <w:tc>
          <w:tcPr>
            <w:tcW w:w="4678" w:type="dxa"/>
            <w:tcBorders>
              <w:top w:val="single" w:sz="8" w:space="0" w:color="auto"/>
            </w:tcBorders>
          </w:tcPr>
          <w:p w14:paraId="59CADA6A" w14:textId="527B418F" w:rsidR="006B3E24" w:rsidRPr="00E36BC8" w:rsidRDefault="00D4628C">
            <w:pPr>
              <w:keepNext/>
              <w:rPr>
                <w:rFonts w:cs="Arial"/>
                <w:szCs w:val="24"/>
                <w:lang w:val="fr-FR"/>
              </w:rPr>
            </w:pPr>
            <w:r>
              <w:rPr>
                <w:rFonts w:cs="Arial"/>
                <w:szCs w:val="24"/>
              </w:rPr>
              <w:t>MARTIN VAUCLAIR, J.A.</w:t>
            </w:r>
          </w:p>
        </w:tc>
      </w:tr>
      <w:bookmarkEnd w:id="13"/>
      <w:tr w:rsidR="00447B9B" w14:paraId="15FA5B03" w14:textId="77777777" w:rsidTr="003C4610">
        <w:tc>
          <w:tcPr>
            <w:tcW w:w="9368" w:type="dxa"/>
            <w:gridSpan w:val="3"/>
          </w:tcPr>
          <w:p w14:paraId="50FD06CA" w14:textId="77777777" w:rsidR="00447B9B" w:rsidRDefault="00447B9B" w:rsidP="00447B9B">
            <w:pPr>
              <w:rPr>
                <w:lang w:val="fr-FR"/>
              </w:rPr>
            </w:pPr>
          </w:p>
        </w:tc>
      </w:tr>
      <w:tr w:rsidR="00447B9B" w14:paraId="5F815F82" w14:textId="77777777" w:rsidTr="003C4610">
        <w:tc>
          <w:tcPr>
            <w:tcW w:w="9368" w:type="dxa"/>
            <w:gridSpan w:val="3"/>
          </w:tcPr>
          <w:p w14:paraId="5280D640" w14:textId="77777777" w:rsidR="003E59F6" w:rsidRDefault="00B24C83" w:rsidP="00B24C83">
            <w:pPr>
              <w:pStyle w:val="zSoquijdatNomPartieDem"/>
              <w:tabs>
                <w:tab w:val="center" w:pos="2412"/>
              </w:tabs>
              <w:rPr>
                <w:b w:val="0"/>
                <w:bCs w:val="0"/>
              </w:rPr>
            </w:pPr>
            <w:r w:rsidRPr="00B24C83">
              <w:rPr>
                <w:b w:val="0"/>
                <w:bCs w:val="0"/>
              </w:rPr>
              <w:t>MOHAMAD AL BALLOUZ</w:t>
            </w:r>
            <w:r w:rsidR="003E59F6">
              <w:rPr>
                <w:b w:val="0"/>
                <w:bCs w:val="0"/>
              </w:rPr>
              <w:t xml:space="preserve">, </w:t>
            </w:r>
            <w:r w:rsidRPr="00B24C83">
              <w:rPr>
                <w:b w:val="0"/>
                <w:bCs w:val="0"/>
              </w:rPr>
              <w:t>alias</w:t>
            </w:r>
          </w:p>
          <w:p w14:paraId="2FFB6535" w14:textId="77777777" w:rsidR="003E59F6" w:rsidRDefault="00B24C83" w:rsidP="003E59F6">
            <w:pPr>
              <w:pStyle w:val="zSoquijdatNomPartieDem"/>
              <w:tabs>
                <w:tab w:val="center" w:pos="2412"/>
              </w:tabs>
              <w:rPr>
                <w:b w:val="0"/>
                <w:bCs w:val="0"/>
              </w:rPr>
            </w:pPr>
            <w:r w:rsidRPr="00B24C83">
              <w:rPr>
                <w:b w:val="0"/>
                <w:bCs w:val="0"/>
              </w:rPr>
              <w:t>MOHAMED AL BALLOUZ</w:t>
            </w:r>
            <w:r w:rsidR="003E59F6">
              <w:rPr>
                <w:b w:val="0"/>
                <w:bCs w:val="0"/>
              </w:rPr>
              <w:t xml:space="preserve">, </w:t>
            </w:r>
            <w:r w:rsidRPr="00B24C83">
              <w:rPr>
                <w:b w:val="0"/>
                <w:bCs w:val="0"/>
              </w:rPr>
              <w:t>alias</w:t>
            </w:r>
          </w:p>
          <w:p w14:paraId="40823D95" w14:textId="5A666C0F" w:rsidR="00447B9B" w:rsidRDefault="00B24C83" w:rsidP="003E59F6">
            <w:pPr>
              <w:pStyle w:val="zSoquijdatNomPartieDem"/>
              <w:tabs>
                <w:tab w:val="center" w:pos="2412"/>
              </w:tabs>
            </w:pPr>
            <w:r w:rsidRPr="00B24C83">
              <w:rPr>
                <w:b w:val="0"/>
                <w:bCs w:val="0"/>
              </w:rPr>
              <w:t>LEVANA BALLOUZ</w:t>
            </w:r>
          </w:p>
        </w:tc>
      </w:tr>
      <w:tr w:rsidR="00447B9B" w14:paraId="318A0ABC" w14:textId="77777777" w:rsidTr="003C4610">
        <w:tc>
          <w:tcPr>
            <w:tcW w:w="9368" w:type="dxa"/>
            <w:gridSpan w:val="3"/>
          </w:tcPr>
          <w:p w14:paraId="06096590" w14:textId="279AEFD1" w:rsidR="00447B9B" w:rsidRDefault="00B24C83" w:rsidP="00447B9B">
            <w:pPr>
              <w:pStyle w:val="zSoquijlblProcureurDem"/>
            </w:pPr>
            <w:r>
              <w:t>Unrepresented</w:t>
            </w:r>
          </w:p>
        </w:tc>
      </w:tr>
      <w:tr w:rsidR="00447B9B" w14:paraId="536C164A" w14:textId="77777777" w:rsidTr="003C4610">
        <w:tc>
          <w:tcPr>
            <w:tcW w:w="9368" w:type="dxa"/>
            <w:gridSpan w:val="3"/>
          </w:tcPr>
          <w:p w14:paraId="17CAA015" w14:textId="77777777" w:rsidR="00447B9B" w:rsidRDefault="00447B9B" w:rsidP="00447B9B"/>
        </w:tc>
      </w:tr>
      <w:tr w:rsidR="00447B9B" w14:paraId="36CB2E73" w14:textId="77777777" w:rsidTr="003C4610">
        <w:tc>
          <w:tcPr>
            <w:tcW w:w="9368" w:type="dxa"/>
            <w:gridSpan w:val="3"/>
          </w:tcPr>
          <w:p w14:paraId="749FF01B" w14:textId="345F4A29" w:rsidR="00447B9B" w:rsidRDefault="00B24C83" w:rsidP="00447B9B">
            <w:pPr>
              <w:pStyle w:val="zSoquijdatNomProcureurDef"/>
            </w:pPr>
            <w:r>
              <w:t>Mtre Frédérique Le Colletter</w:t>
            </w:r>
          </w:p>
        </w:tc>
      </w:tr>
      <w:tr w:rsidR="00447B9B" w14:paraId="442EC3C3" w14:textId="77777777" w:rsidTr="003C4610">
        <w:tc>
          <w:tcPr>
            <w:tcW w:w="9368" w:type="dxa"/>
            <w:gridSpan w:val="3"/>
          </w:tcPr>
          <w:p w14:paraId="2BC1C852" w14:textId="53215E8E" w:rsidR="00447B9B" w:rsidRPr="0042379D" w:rsidRDefault="00B24C83" w:rsidP="00B24C83">
            <w:pPr>
              <w:pStyle w:val="zSoquijdatNomProcureurDef"/>
              <w:rPr>
                <w:caps/>
              </w:rPr>
            </w:pPr>
            <w:r w:rsidRPr="0042379D">
              <w:rPr>
                <w:caps/>
                <w:lang w:val="en" w:eastAsia="fr-CA"/>
              </w:rPr>
              <w:t>Director of Criminal and Penal Prosecutions</w:t>
            </w:r>
          </w:p>
        </w:tc>
      </w:tr>
      <w:tr w:rsidR="00447B9B" w14:paraId="4225DCC4" w14:textId="77777777" w:rsidTr="003C4610">
        <w:tc>
          <w:tcPr>
            <w:tcW w:w="9368" w:type="dxa"/>
            <w:gridSpan w:val="3"/>
          </w:tcPr>
          <w:p w14:paraId="5118DEBD" w14:textId="4B2B7C4D" w:rsidR="00447B9B" w:rsidRDefault="00B24C83" w:rsidP="00447B9B">
            <w:pPr>
              <w:pStyle w:val="zSoquijlblProcureurDef"/>
            </w:pPr>
            <w:r>
              <w:t>For the Respondent</w:t>
            </w:r>
          </w:p>
        </w:tc>
      </w:tr>
      <w:tr w:rsidR="00447B9B" w14:paraId="431DFE65" w14:textId="77777777" w:rsidTr="003C4610">
        <w:tc>
          <w:tcPr>
            <w:tcW w:w="9368" w:type="dxa"/>
            <w:gridSpan w:val="3"/>
          </w:tcPr>
          <w:p w14:paraId="41931874" w14:textId="77777777" w:rsidR="00447B9B" w:rsidRDefault="00447B9B" w:rsidP="00447B9B"/>
        </w:tc>
      </w:tr>
      <w:tr w:rsidR="00447B9B" w14:paraId="32AFA3B0" w14:textId="77777777" w:rsidTr="003C4610">
        <w:tc>
          <w:tcPr>
            <w:tcW w:w="2005" w:type="dxa"/>
          </w:tcPr>
          <w:p w14:paraId="70B543E0" w14:textId="77777777" w:rsidR="00447B9B" w:rsidRDefault="00447B9B" w:rsidP="00447B9B">
            <w:pPr>
              <w:pStyle w:val="zSoquijlblDateAudience"/>
            </w:pPr>
            <w:r>
              <w:t>Date of hearing:</w:t>
            </w:r>
          </w:p>
        </w:tc>
        <w:tc>
          <w:tcPr>
            <w:tcW w:w="7363" w:type="dxa"/>
            <w:gridSpan w:val="2"/>
          </w:tcPr>
          <w:p w14:paraId="74F9EABF" w14:textId="743F2E6E" w:rsidR="00447B9B" w:rsidRDefault="00B24C83" w:rsidP="00447B9B">
            <w:pPr>
              <w:pStyle w:val="zSoquijdatDateAudience"/>
            </w:pPr>
            <w:r>
              <w:t>November 12, 2025</w:t>
            </w:r>
          </w:p>
        </w:tc>
      </w:tr>
      <w:bookmarkEnd w:id="8"/>
    </w:tbl>
    <w:p w14:paraId="08C120E3" w14:textId="77777777" w:rsidR="006B3E24" w:rsidRDefault="006B3E24" w:rsidP="008C7A1A"/>
    <w:sectPr w:rsidR="006B3E24" w:rsidSect="002A4822">
      <w:headerReference w:type="even" r:id="rId8"/>
      <w:headerReference w:type="default" r:id="rId9"/>
      <w:footerReference w:type="even" r:id="rId10"/>
      <w:footerReference w:type="default" r:id="rId11"/>
      <w:headerReference w:type="first" r:id="rId12"/>
      <w:footerReference w:type="first" r:id="rId13"/>
      <w:pgSz w:w="12242" w:h="15842" w:code="1"/>
      <w:pgMar w:top="1440" w:right="1008" w:bottom="1843"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ADF8" w14:textId="77777777" w:rsidR="008C7A1A" w:rsidRDefault="008C7A1A">
      <w:r>
        <w:separator/>
      </w:r>
    </w:p>
  </w:endnote>
  <w:endnote w:type="continuationSeparator" w:id="0">
    <w:p w14:paraId="3F8C5369" w14:textId="77777777" w:rsidR="008C7A1A" w:rsidRDefault="008C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426B" w14:textId="77777777" w:rsidR="00DA6CD9" w:rsidRDefault="00DA6C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8FA1" w14:textId="77777777" w:rsidR="00DA6CD9" w:rsidRDefault="00DA6C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5838" w14:textId="77777777" w:rsidR="00DA6CD9" w:rsidRDefault="00DA6C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6A18" w14:textId="77777777" w:rsidR="008C7A1A" w:rsidRDefault="008C7A1A">
      <w:r>
        <w:separator/>
      </w:r>
    </w:p>
  </w:footnote>
  <w:footnote w:type="continuationSeparator" w:id="0">
    <w:p w14:paraId="22486B62" w14:textId="77777777" w:rsidR="008C7A1A" w:rsidRDefault="008C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C91" w14:textId="77777777" w:rsidR="00DA6CD9" w:rsidRDefault="00DA6C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13D2" w14:textId="1AF3587B" w:rsidR="006B3E24" w:rsidRDefault="008C7A1A" w:rsidP="00DA6CD9">
    <w:pPr>
      <w:tabs>
        <w:tab w:val="center" w:pos="4709"/>
        <w:tab w:val="right" w:pos="9360"/>
      </w:tabs>
      <w:spacing w:line="360" w:lineRule="auto"/>
      <w:ind w:right="524"/>
    </w:pPr>
    <w:bookmarkStart w:id="14" w:name="EntDossier"/>
    <w:r>
      <w:t>500-10-008354-258</w:t>
    </w:r>
    <w:bookmarkEnd w:id="14"/>
    <w:r w:rsidR="008773C4">
      <w:tab/>
    </w:r>
    <w:r w:rsidR="008773C4">
      <w:tab/>
      <w:t xml:space="preserve">PAGE: </w:t>
    </w:r>
    <w:r w:rsidR="008773C4">
      <w:fldChar w:fldCharType="begin"/>
    </w:r>
    <w:r w:rsidR="008773C4">
      <w:instrText xml:space="preserve"> PAGE </w:instrText>
    </w:r>
    <w:r w:rsidR="008773C4">
      <w:fldChar w:fldCharType="separate"/>
    </w:r>
    <w:r w:rsidR="00DA6CD9">
      <w:rPr>
        <w:noProof/>
      </w:rPr>
      <w:t>2</w:t>
    </w:r>
    <w:r w:rsidR="008773C4">
      <w:fldChar w:fldCharType="end"/>
    </w:r>
  </w:p>
  <w:p w14:paraId="5AFE45B7" w14:textId="77777777" w:rsidR="00742AF9" w:rsidRDefault="00742AF9" w:rsidP="00DA6CD9">
    <w:pPr>
      <w:tabs>
        <w:tab w:val="center" w:pos="4709"/>
        <w:tab w:val="right" w:pos="9360"/>
      </w:tabs>
      <w:spacing w:line="360" w:lineRule="auto"/>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866A" w14:textId="77777777" w:rsidR="00DA6CD9" w:rsidRDefault="00DA6C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60A35C7"/>
    <w:multiLevelType w:val="hybridMultilevel"/>
    <w:tmpl w:val="D278D75C"/>
    <w:lvl w:ilvl="0" w:tplc="0FD82CFE">
      <w:start w:val="1"/>
      <w:numFmt w:val="lowerLetter"/>
      <w:lvlText w:val="(%1)"/>
      <w:lvlJc w:val="left"/>
      <w:pPr>
        <w:ind w:left="1770" w:hanging="360"/>
      </w:pPr>
      <w:rPr>
        <w:rFonts w:hint="default"/>
      </w:r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num w:numId="1" w16cid:durableId="344555391">
    <w:abstractNumId w:val="12"/>
  </w:num>
  <w:num w:numId="2" w16cid:durableId="1372457471">
    <w:abstractNumId w:val="12"/>
  </w:num>
  <w:num w:numId="3" w16cid:durableId="1492408907">
    <w:abstractNumId w:val="12"/>
  </w:num>
  <w:num w:numId="4" w16cid:durableId="563837209">
    <w:abstractNumId w:val="8"/>
  </w:num>
  <w:num w:numId="5" w16cid:durableId="1678262984">
    <w:abstractNumId w:val="3"/>
  </w:num>
  <w:num w:numId="6" w16cid:durableId="1845777795">
    <w:abstractNumId w:val="2"/>
  </w:num>
  <w:num w:numId="7" w16cid:durableId="1673071611">
    <w:abstractNumId w:val="1"/>
  </w:num>
  <w:num w:numId="8" w16cid:durableId="1014302952">
    <w:abstractNumId w:val="0"/>
  </w:num>
  <w:num w:numId="9" w16cid:durableId="912013458">
    <w:abstractNumId w:val="9"/>
  </w:num>
  <w:num w:numId="10" w16cid:durableId="92941120">
    <w:abstractNumId w:val="7"/>
  </w:num>
  <w:num w:numId="11" w16cid:durableId="121578984">
    <w:abstractNumId w:val="6"/>
  </w:num>
  <w:num w:numId="12" w16cid:durableId="943224354">
    <w:abstractNumId w:val="5"/>
  </w:num>
  <w:num w:numId="13" w16cid:durableId="1330401679">
    <w:abstractNumId w:val="4"/>
  </w:num>
  <w:num w:numId="14" w16cid:durableId="187333251">
    <w:abstractNumId w:val="12"/>
  </w:num>
  <w:num w:numId="15" w16cid:durableId="1381707792">
    <w:abstractNumId w:val="12"/>
  </w:num>
  <w:num w:numId="16" w16cid:durableId="1365792366">
    <w:abstractNumId w:val="12"/>
  </w:num>
  <w:num w:numId="17" w16cid:durableId="1321344314">
    <w:abstractNumId w:val="11"/>
  </w:num>
  <w:num w:numId="18" w16cid:durableId="515389849">
    <w:abstractNumId w:val="10"/>
  </w:num>
  <w:num w:numId="19" w16cid:durableId="1489326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REASONS OF"/>
    <w:docVar w:name="MotifJuge2" w:val="REASONS OF"/>
    <w:docVar w:name="MotifJuge3" w:val="REASONS OF"/>
    <w:docVar w:name="NomFamJuge1" w:val="SAVARD"/>
    <w:docVar w:name="NomFamJuge2" w:val="DOYON"/>
    <w:docVar w:name="NomFamJuge3" w:val="VAUCLAIR"/>
    <w:docVar w:name="NomFamJuge4" w:val="Nom4"/>
    <w:docVar w:name="NomFamJuge5" w:val="Nom5"/>
    <w:docVar w:name="QteJuge1" w:val=", C.J.Q."/>
    <w:docVar w:name="QteJuge2" w:val=", J.A."/>
    <w:docVar w:name="QteJuge3" w:val=", J.A."/>
    <w:docVar w:name="QteJuge4" w:val=", Qte4"/>
    <w:docVar w:name="QteJuge5" w:val=", Qte5"/>
    <w:docVar w:name="stPremiereFois" w:val="Non"/>
  </w:docVars>
  <w:rsids>
    <w:rsidRoot w:val="008C7A1A"/>
    <w:rsid w:val="000273A8"/>
    <w:rsid w:val="00087567"/>
    <w:rsid w:val="000C3299"/>
    <w:rsid w:val="000E7106"/>
    <w:rsid w:val="0010186A"/>
    <w:rsid w:val="00113ECD"/>
    <w:rsid w:val="001339DC"/>
    <w:rsid w:val="001C0D6C"/>
    <w:rsid w:val="001F0D45"/>
    <w:rsid w:val="002148B9"/>
    <w:rsid w:val="00223501"/>
    <w:rsid w:val="002963D7"/>
    <w:rsid w:val="002A0037"/>
    <w:rsid w:val="002A4822"/>
    <w:rsid w:val="0030580B"/>
    <w:rsid w:val="003279D6"/>
    <w:rsid w:val="003539AE"/>
    <w:rsid w:val="00353E3C"/>
    <w:rsid w:val="003B32C2"/>
    <w:rsid w:val="003C4610"/>
    <w:rsid w:val="003E59F6"/>
    <w:rsid w:val="0042379D"/>
    <w:rsid w:val="00447B9B"/>
    <w:rsid w:val="005B171F"/>
    <w:rsid w:val="005C5C31"/>
    <w:rsid w:val="005E4FBA"/>
    <w:rsid w:val="005F2EC2"/>
    <w:rsid w:val="00604213"/>
    <w:rsid w:val="00655CEE"/>
    <w:rsid w:val="006B3E24"/>
    <w:rsid w:val="006D32CA"/>
    <w:rsid w:val="0071474A"/>
    <w:rsid w:val="00742AF9"/>
    <w:rsid w:val="007A48F9"/>
    <w:rsid w:val="0081733F"/>
    <w:rsid w:val="0086538B"/>
    <w:rsid w:val="008773C4"/>
    <w:rsid w:val="008B6102"/>
    <w:rsid w:val="008C7A1A"/>
    <w:rsid w:val="00910C00"/>
    <w:rsid w:val="009B0908"/>
    <w:rsid w:val="009C490D"/>
    <w:rsid w:val="00A7298F"/>
    <w:rsid w:val="00AA28C9"/>
    <w:rsid w:val="00AD0A98"/>
    <w:rsid w:val="00AE2CF4"/>
    <w:rsid w:val="00AF2A10"/>
    <w:rsid w:val="00B24C83"/>
    <w:rsid w:val="00B574BA"/>
    <w:rsid w:val="00B968EF"/>
    <w:rsid w:val="00BB4D25"/>
    <w:rsid w:val="00BC684D"/>
    <w:rsid w:val="00BC6C19"/>
    <w:rsid w:val="00BD073F"/>
    <w:rsid w:val="00BD6BD5"/>
    <w:rsid w:val="00C8393C"/>
    <w:rsid w:val="00CA5E18"/>
    <w:rsid w:val="00D4628C"/>
    <w:rsid w:val="00D52967"/>
    <w:rsid w:val="00D812B8"/>
    <w:rsid w:val="00DA6CD9"/>
    <w:rsid w:val="00DB3CA2"/>
    <w:rsid w:val="00E31FBC"/>
    <w:rsid w:val="00E36BC8"/>
    <w:rsid w:val="00E82A75"/>
    <w:rsid w:val="00F05D7B"/>
    <w:rsid w:val="00F364F8"/>
    <w:rsid w:val="00F65F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93097"/>
  <w15:chartTrackingRefBased/>
  <w15:docId w15:val="{5EFE604B-7D04-411F-97E5-A3FD8890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val="en-CA"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basedOn w:val="Policepardfaut"/>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Normal"/>
    <w:pPr>
      <w:ind w:left="144" w:right="720"/>
      <w:jc w:val="both"/>
    </w:pPr>
    <w:rPr>
      <w:sz w:val="22"/>
    </w:rPr>
  </w:style>
  <w:style w:type="paragraph" w:customStyle="1" w:styleId="Tableaugauchefranais">
    <w:name w:val="Tableau gauche français"/>
    <w:basedOn w:val="Tableaudroiteanglais"/>
    <w:pPr>
      <w:ind w:left="720" w:right="144"/>
    </w:pPr>
    <w:rPr>
      <w:lang w:val="fr-CA"/>
    </w:rPr>
  </w:style>
  <w:style w:type="character" w:styleId="Appelnotedebasdep">
    <w:name w:val="footnote reference"/>
    <w:basedOn w:val="Policepardfaut"/>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paragraph" w:customStyle="1" w:styleId="StylezSoquijdatRepertorie">
    <w:name w:val="Style zSoquij_datRepertorie"/>
    <w:basedOn w:val="zSoquijlblCour"/>
    <w:pPr>
      <w:jc w:val="left"/>
    </w:pPr>
    <w:rPr>
      <w:sz w:val="22"/>
    </w:rPr>
  </w:style>
  <w:style w:type="paragraph" w:styleId="Textedebulles">
    <w:name w:val="Balloon Text"/>
    <w:basedOn w:val="Normal"/>
    <w:link w:val="TextedebullesCar"/>
    <w:uiPriority w:val="99"/>
    <w:semiHidden/>
    <w:unhideWhenUsed/>
    <w:rsid w:val="001C0D6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0D6C"/>
    <w:rPr>
      <w:rFonts w:ascii="Segoe UI" w:hAnsi="Segoe UI" w:cs="Segoe UI"/>
      <w:sz w:val="18"/>
      <w:szCs w:val="18"/>
      <w:lang w:val="en-CA" w:eastAsia="fr-FR"/>
    </w:rPr>
  </w:style>
  <w:style w:type="paragraph" w:customStyle="1" w:styleId="JgtCit1">
    <w:name w:val="Jgt Cit 1"/>
    <w:basedOn w:val="Normal"/>
    <w:next w:val="Normal"/>
    <w:qFormat/>
    <w:rsid w:val="002A4822"/>
    <w:pPr>
      <w:spacing w:before="120" w:after="120" w:line="240" w:lineRule="auto"/>
      <w:ind w:left="720" w:right="720"/>
      <w:jc w:val="both"/>
    </w:pPr>
    <w:rPr>
      <w:rFonts w:eastAsiaTheme="minorHAnsi" w:cs="Times New Roman (Corps CS)"/>
      <w:kern w:val="2"/>
      <w:sz w:val="22"/>
      <w:szCs w:val="24"/>
      <w:lang w:val="fr-CA"/>
      <w14:ligatures w14:val="standardContextual"/>
    </w:rPr>
  </w:style>
  <w:style w:type="paragraph" w:styleId="Paragraphedeliste">
    <w:name w:val="List Paragraph"/>
    <w:basedOn w:val="Normal"/>
    <w:uiPriority w:val="34"/>
    <w:qFormat/>
    <w:rsid w:val="002A4822"/>
    <w:pPr>
      <w:spacing w:after="160" w:line="259" w:lineRule="auto"/>
      <w:ind w:left="720"/>
      <w:contextualSpacing/>
    </w:pPr>
    <w:rPr>
      <w:rFonts w:eastAsiaTheme="minorHAnsi" w:cs="Calibri"/>
      <w:kern w:val="2"/>
      <w:szCs w:val="22"/>
      <w:lang w:val="fr-CA" w:eastAsia="en-US"/>
      <w14:ligatures w14:val="standardContextual"/>
    </w:rPr>
  </w:style>
  <w:style w:type="paragraph" w:customStyle="1" w:styleId="JgtParagraphe">
    <w:name w:val="Jgt Paragraphe"/>
    <w:basedOn w:val="Normal"/>
    <w:qFormat/>
    <w:rsid w:val="002A4822"/>
    <w:pPr>
      <w:tabs>
        <w:tab w:val="num" w:pos="720"/>
      </w:tabs>
      <w:spacing w:before="120" w:after="120" w:line="500" w:lineRule="exact"/>
      <w:jc w:val="both"/>
    </w:pPr>
    <w:rPr>
      <w:rFonts w:eastAsiaTheme="minorHAnsi" w:cs="Arial"/>
      <w:color w:val="000000"/>
      <w:kern w:val="28"/>
      <w:szCs w:val="24"/>
      <w:lang w:val="fr-CA" w:eastAsia="en-US"/>
      <w14:ligatures w14:val="standardContextual"/>
    </w:rPr>
  </w:style>
  <w:style w:type="character" w:customStyle="1" w:styleId="ParagrapheCar">
    <w:name w:val="Paragraphe Car"/>
    <w:link w:val="Paragraphe"/>
    <w:qFormat/>
    <w:rsid w:val="002A4822"/>
    <w:rPr>
      <w:rFonts w:ascii="Arial" w:hAnsi="Arial"/>
      <w:kern w:val="28"/>
      <w:sz w:val="24"/>
      <w:lang w:val="en-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abarits_SOQUIJ\Gabarits_SOQUIJ%20CA\CAAng2013V2024.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81C3-3ED7-49F8-977C-CD0EA8B2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CAAng2013V2024.dotm</Template>
  <TotalTime>16</TotalTime>
  <Pages>6</Pages>
  <Words>1920</Words>
  <Characters>10566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Nathalie Hevey</dc:creator>
  <cp:keywords/>
  <dc:description/>
  <cp:lastModifiedBy>Gauthier, François</cp:lastModifiedBy>
  <cp:revision>11</cp:revision>
  <cp:lastPrinted>2025-12-05T15:32:00Z</cp:lastPrinted>
  <dcterms:created xsi:type="dcterms:W3CDTF">2025-12-02T17:59:00Z</dcterms:created>
  <dcterms:modified xsi:type="dcterms:W3CDTF">2025-12-09T15:41:00Z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Ang</vt:lpwstr>
  </property>
</Properties>
</file>