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192E1C" w:rsidRPr="00192E1C" w14:paraId="47B2F588" w14:textId="77777777" w:rsidTr="00571634">
        <w:trPr>
          <w:trHeight w:val="1786"/>
        </w:trPr>
        <w:tc>
          <w:tcPr>
            <w:tcW w:w="5000" w:type="pct"/>
            <w:gridSpan w:val="4"/>
          </w:tcPr>
          <w:p w14:paraId="71ABE1AE" w14:textId="77777777" w:rsidR="00192E1C" w:rsidRPr="00192E1C" w:rsidRDefault="00192E1C" w:rsidP="00192E1C">
            <w:pPr>
              <w:jc w:val="center"/>
              <w:rPr>
                <w:b/>
                <w:lang w:val="fr-CA"/>
              </w:rPr>
            </w:pPr>
            <w:r w:rsidRPr="00192E1C">
              <w:rPr>
                <w:b/>
                <w:noProof/>
                <w:lang w:val="fr-CA" w:eastAsia="fr-CA"/>
              </w:rPr>
              <w:drawing>
                <wp:inline distT="0" distB="0" distL="0" distR="0" wp14:anchorId="6F8A172C" wp14:editId="1FA7DAEA">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69FDC672" w14:textId="77777777" w:rsidR="00192E1C" w:rsidRPr="00192E1C" w:rsidRDefault="00192E1C" w:rsidP="00192E1C">
            <w:pPr>
              <w:spacing w:before="120" w:after="100" w:afterAutospacing="1"/>
              <w:jc w:val="center"/>
              <w:rPr>
                <w:lang w:val="fr-CA"/>
              </w:rPr>
            </w:pPr>
            <w:r w:rsidRPr="00192E1C">
              <w:rPr>
                <w:b/>
                <w:lang w:val="fr-CA"/>
              </w:rPr>
              <w:t>COUR SUPRÊME DU CANADA</w:t>
            </w:r>
          </w:p>
        </w:tc>
      </w:tr>
      <w:tr w:rsidR="00192E1C" w:rsidRPr="00192E1C" w14:paraId="106298CE" w14:textId="77777777" w:rsidTr="00571634">
        <w:tblPrEx>
          <w:tblCellMar>
            <w:top w:w="58" w:type="dxa"/>
            <w:left w:w="58" w:type="dxa"/>
            <w:bottom w:w="58" w:type="dxa"/>
            <w:right w:w="58" w:type="dxa"/>
          </w:tblCellMar>
        </w:tblPrEx>
        <w:tc>
          <w:tcPr>
            <w:tcW w:w="2110" w:type="pct"/>
            <w:gridSpan w:val="2"/>
          </w:tcPr>
          <w:p w14:paraId="37822E62" w14:textId="77777777" w:rsidR="00192E1C" w:rsidRPr="00192E1C" w:rsidRDefault="00192E1C" w:rsidP="00192E1C">
            <w:pPr>
              <w:rPr>
                <w:b/>
                <w:smallCaps/>
                <w:lang w:val="fr-CA"/>
              </w:rPr>
            </w:pPr>
          </w:p>
          <w:p w14:paraId="183A467D" w14:textId="77777777" w:rsidR="00192E1C" w:rsidRPr="00192E1C" w:rsidRDefault="00192E1C" w:rsidP="00192E1C">
            <w:pPr>
              <w:rPr>
                <w:b/>
                <w:smallCaps/>
                <w:lang w:val="fr-CA"/>
              </w:rPr>
            </w:pPr>
            <w:r w:rsidRPr="00192E1C">
              <w:rPr>
                <w:b/>
                <w:smallCaps/>
                <w:lang w:val="fr-CA"/>
              </w:rPr>
              <w:t>Référence :</w:t>
            </w:r>
            <w:r w:rsidRPr="00192E1C">
              <w:rPr>
                <w:lang w:val="fr-CA"/>
              </w:rPr>
              <w:t xml:space="preserve"> </w:t>
            </w:r>
            <w:r w:rsidRPr="00192E1C">
              <w:rPr>
                <w:lang w:val="fr-FR"/>
              </w:rPr>
              <w:t xml:space="preserve">R. </w:t>
            </w:r>
            <w:r w:rsidRPr="00192E1C">
              <w:rPr>
                <w:i/>
                <w:lang w:val="fr-FR"/>
              </w:rPr>
              <w:t>c.</w:t>
            </w:r>
            <w:r w:rsidRPr="00192E1C">
              <w:rPr>
                <w:lang w:val="fr-FR"/>
              </w:rPr>
              <w:t xml:space="preserve"> Carignan, 2025 CSC 43</w:t>
            </w:r>
          </w:p>
        </w:tc>
        <w:tc>
          <w:tcPr>
            <w:tcW w:w="780" w:type="pct"/>
          </w:tcPr>
          <w:p w14:paraId="0EAED792" w14:textId="77777777" w:rsidR="00192E1C" w:rsidRPr="00192E1C" w:rsidRDefault="00192E1C" w:rsidP="00192E1C">
            <w:pPr>
              <w:rPr>
                <w:lang w:val="fr-CA"/>
              </w:rPr>
            </w:pPr>
          </w:p>
        </w:tc>
        <w:tc>
          <w:tcPr>
            <w:tcW w:w="2110" w:type="pct"/>
          </w:tcPr>
          <w:p w14:paraId="6490AB51" w14:textId="77777777" w:rsidR="00192E1C" w:rsidRPr="00192E1C" w:rsidRDefault="00192E1C" w:rsidP="00192E1C">
            <w:pPr>
              <w:jc w:val="both"/>
              <w:rPr>
                <w:b/>
                <w:smallCaps/>
                <w:lang w:val="fr-CA"/>
              </w:rPr>
            </w:pPr>
          </w:p>
          <w:p w14:paraId="1D0933DF" w14:textId="77777777" w:rsidR="00192E1C" w:rsidRPr="00192E1C" w:rsidRDefault="00192E1C" w:rsidP="00192E1C">
            <w:pPr>
              <w:jc w:val="both"/>
              <w:rPr>
                <w:lang w:val="fr-CA"/>
              </w:rPr>
            </w:pPr>
            <w:r w:rsidRPr="00192E1C">
              <w:rPr>
                <w:b/>
                <w:smallCaps/>
                <w:lang w:val="fr-CA"/>
              </w:rPr>
              <w:t>Appel entendu :</w:t>
            </w:r>
            <w:r w:rsidRPr="00192E1C">
              <w:rPr>
                <w:lang w:val="fr-CA"/>
              </w:rPr>
              <w:t xml:space="preserve"> 21 mai 2025</w:t>
            </w:r>
          </w:p>
          <w:p w14:paraId="0517A5A4" w14:textId="77777777" w:rsidR="00192E1C" w:rsidRPr="00192E1C" w:rsidRDefault="00192E1C" w:rsidP="00192E1C">
            <w:pPr>
              <w:rPr>
                <w:lang w:val="fr-CA"/>
              </w:rPr>
            </w:pPr>
            <w:r w:rsidRPr="00192E1C">
              <w:rPr>
                <w:b/>
                <w:smallCaps/>
                <w:lang w:val="fr-CA"/>
              </w:rPr>
              <w:t>Jugement rendu :</w:t>
            </w:r>
            <w:r w:rsidRPr="00192E1C">
              <w:rPr>
                <w:lang w:val="fr-CA"/>
              </w:rPr>
              <w:t xml:space="preserve"> 12 décembre 2025</w:t>
            </w:r>
          </w:p>
          <w:p w14:paraId="773A3DD2" w14:textId="77777777" w:rsidR="00192E1C" w:rsidRPr="00192E1C" w:rsidRDefault="00192E1C" w:rsidP="00192E1C">
            <w:r w:rsidRPr="00192E1C">
              <w:rPr>
                <w:b/>
                <w:smallCaps/>
              </w:rPr>
              <w:t>Dossier :</w:t>
            </w:r>
            <w:r w:rsidRPr="00192E1C">
              <w:t xml:space="preserve"> </w:t>
            </w:r>
            <w:r w:rsidRPr="00192E1C">
              <w:rPr>
                <w:lang w:val="fr-CA"/>
              </w:rPr>
              <w:t>41186</w:t>
            </w:r>
          </w:p>
        </w:tc>
      </w:tr>
      <w:tr w:rsidR="00192E1C" w:rsidRPr="00002669" w14:paraId="495C0B2F" w14:textId="77777777" w:rsidTr="00571634">
        <w:tblPrEx>
          <w:tblCellMar>
            <w:top w:w="58" w:type="dxa"/>
            <w:left w:w="58" w:type="dxa"/>
            <w:bottom w:w="58" w:type="dxa"/>
            <w:right w:w="58" w:type="dxa"/>
          </w:tblCellMar>
        </w:tblPrEx>
        <w:tc>
          <w:tcPr>
            <w:tcW w:w="5000" w:type="pct"/>
            <w:gridSpan w:val="4"/>
          </w:tcPr>
          <w:p w14:paraId="318CBF86" w14:textId="77777777" w:rsidR="00192E1C" w:rsidRPr="00192E1C" w:rsidRDefault="00192E1C" w:rsidP="00192E1C">
            <w:pPr>
              <w:rPr>
                <w:lang w:val="fr-CA"/>
              </w:rPr>
            </w:pPr>
          </w:p>
          <w:p w14:paraId="7F9C435B" w14:textId="77777777" w:rsidR="00192E1C" w:rsidRPr="00192E1C" w:rsidRDefault="00192E1C" w:rsidP="00192E1C">
            <w:pPr>
              <w:rPr>
                <w:b/>
                <w:smallCaps/>
                <w:lang w:val="fr-CA"/>
              </w:rPr>
            </w:pPr>
            <w:r w:rsidRPr="00192E1C">
              <w:rPr>
                <w:b/>
                <w:smallCaps/>
                <w:lang w:val="fr-CA"/>
              </w:rPr>
              <w:t>Entre :</w:t>
            </w:r>
          </w:p>
          <w:p w14:paraId="28D0E56F" w14:textId="77777777" w:rsidR="00192E1C" w:rsidRPr="00192E1C" w:rsidRDefault="00192E1C" w:rsidP="00192E1C">
            <w:pPr>
              <w:rPr>
                <w:lang w:val="fr-CA"/>
              </w:rPr>
            </w:pPr>
          </w:p>
          <w:p w14:paraId="70FE9209" w14:textId="77777777" w:rsidR="00192E1C" w:rsidRPr="00192E1C" w:rsidRDefault="00192E1C" w:rsidP="00192E1C">
            <w:pPr>
              <w:jc w:val="center"/>
              <w:rPr>
                <w:b/>
                <w:lang w:val="fr-CA"/>
              </w:rPr>
            </w:pPr>
            <w:r w:rsidRPr="00192E1C">
              <w:rPr>
                <w:b/>
                <w:lang w:val="fr-CA"/>
              </w:rPr>
              <w:t>Sa Majesté le Roi</w:t>
            </w:r>
          </w:p>
          <w:p w14:paraId="713564BE" w14:textId="77777777" w:rsidR="00192E1C" w:rsidRPr="00192E1C" w:rsidRDefault="00192E1C" w:rsidP="00192E1C">
            <w:pPr>
              <w:jc w:val="center"/>
              <w:rPr>
                <w:lang w:val="fr-CA"/>
              </w:rPr>
            </w:pPr>
            <w:r w:rsidRPr="00192E1C">
              <w:rPr>
                <w:lang w:val="fr-CA"/>
              </w:rPr>
              <w:t>Appelant</w:t>
            </w:r>
          </w:p>
          <w:p w14:paraId="2866C86F" w14:textId="77777777" w:rsidR="00192E1C" w:rsidRPr="00192E1C" w:rsidRDefault="00192E1C" w:rsidP="00192E1C">
            <w:pPr>
              <w:rPr>
                <w:lang w:val="fr-CA"/>
              </w:rPr>
            </w:pPr>
          </w:p>
          <w:p w14:paraId="0A240419" w14:textId="77777777" w:rsidR="00192E1C" w:rsidRPr="00192E1C" w:rsidRDefault="00192E1C" w:rsidP="00192E1C">
            <w:pPr>
              <w:jc w:val="center"/>
              <w:rPr>
                <w:lang w:val="fr-CA"/>
              </w:rPr>
            </w:pPr>
            <w:r w:rsidRPr="00192E1C">
              <w:rPr>
                <w:lang w:val="fr-CA"/>
              </w:rPr>
              <w:t>et</w:t>
            </w:r>
          </w:p>
          <w:p w14:paraId="22BDE849" w14:textId="77777777" w:rsidR="00192E1C" w:rsidRPr="00192E1C" w:rsidRDefault="00192E1C" w:rsidP="00192E1C">
            <w:pPr>
              <w:rPr>
                <w:lang w:val="fr-CA"/>
              </w:rPr>
            </w:pPr>
          </w:p>
          <w:p w14:paraId="6A84EAA5" w14:textId="77777777" w:rsidR="00192E1C" w:rsidRPr="00192E1C" w:rsidRDefault="00192E1C" w:rsidP="00192E1C">
            <w:pPr>
              <w:jc w:val="center"/>
              <w:rPr>
                <w:b/>
                <w:lang w:val="fr-CA"/>
              </w:rPr>
            </w:pPr>
            <w:r w:rsidRPr="00192E1C">
              <w:rPr>
                <w:b/>
                <w:lang w:val="fr-CA"/>
              </w:rPr>
              <w:t>David Carignan</w:t>
            </w:r>
          </w:p>
          <w:p w14:paraId="082AA9A4" w14:textId="77777777" w:rsidR="00192E1C" w:rsidRPr="00192E1C" w:rsidRDefault="00192E1C" w:rsidP="00192E1C">
            <w:pPr>
              <w:jc w:val="center"/>
              <w:rPr>
                <w:lang w:val="fr-CA"/>
              </w:rPr>
            </w:pPr>
            <w:r w:rsidRPr="00192E1C">
              <w:rPr>
                <w:lang w:val="fr-CA"/>
              </w:rPr>
              <w:t>Intimé</w:t>
            </w:r>
          </w:p>
          <w:p w14:paraId="67BAA90E" w14:textId="77777777" w:rsidR="00192E1C" w:rsidRPr="00192E1C" w:rsidRDefault="00192E1C" w:rsidP="00192E1C">
            <w:pPr>
              <w:rPr>
                <w:lang w:val="fr-CA"/>
              </w:rPr>
            </w:pPr>
          </w:p>
          <w:p w14:paraId="7EF46BED" w14:textId="77777777" w:rsidR="00192E1C" w:rsidRPr="00192E1C" w:rsidRDefault="00192E1C" w:rsidP="00192E1C">
            <w:pPr>
              <w:jc w:val="center"/>
              <w:rPr>
                <w:lang w:val="fr-CA"/>
              </w:rPr>
            </w:pPr>
            <w:r w:rsidRPr="00192E1C">
              <w:rPr>
                <w:lang w:val="fr-CA"/>
              </w:rPr>
              <w:t>- et -</w:t>
            </w:r>
          </w:p>
          <w:p w14:paraId="01DD6E3E" w14:textId="77777777" w:rsidR="00192E1C" w:rsidRPr="00192E1C" w:rsidRDefault="00192E1C" w:rsidP="00192E1C">
            <w:pPr>
              <w:rPr>
                <w:lang w:val="fr-CA"/>
              </w:rPr>
            </w:pPr>
          </w:p>
          <w:p w14:paraId="26DAFFD7" w14:textId="77777777" w:rsidR="00192E1C" w:rsidRPr="00192E1C" w:rsidRDefault="00192E1C" w:rsidP="00192E1C">
            <w:pPr>
              <w:jc w:val="center"/>
              <w:rPr>
                <w:b/>
                <w:lang w:val="fr-CA"/>
              </w:rPr>
            </w:pPr>
            <w:r w:rsidRPr="00192E1C">
              <w:rPr>
                <w:b/>
                <w:lang w:val="fr-CA"/>
              </w:rPr>
              <w:t>Procureur général de l’Ontario,</w:t>
            </w:r>
          </w:p>
          <w:p w14:paraId="3A95A13E" w14:textId="77777777" w:rsidR="00192E1C" w:rsidRPr="00192E1C" w:rsidRDefault="00192E1C" w:rsidP="00192E1C">
            <w:pPr>
              <w:jc w:val="center"/>
              <w:rPr>
                <w:b/>
                <w:lang w:val="fr-CA"/>
              </w:rPr>
            </w:pPr>
            <w:r w:rsidRPr="00192E1C">
              <w:rPr>
                <w:b/>
                <w:lang w:val="fr-CA"/>
              </w:rPr>
              <w:t>procureur général de l’Alberta et</w:t>
            </w:r>
          </w:p>
          <w:p w14:paraId="1957929B" w14:textId="77777777" w:rsidR="00192E1C" w:rsidRPr="00192E1C" w:rsidRDefault="00192E1C" w:rsidP="00192E1C">
            <w:pPr>
              <w:jc w:val="center"/>
              <w:rPr>
                <w:b/>
                <w:lang w:val="fr-CA"/>
              </w:rPr>
            </w:pPr>
            <w:r w:rsidRPr="00192E1C">
              <w:rPr>
                <w:b/>
                <w:lang w:val="fr-CA"/>
              </w:rPr>
              <w:t>Association canadienne des libertés civiles</w:t>
            </w:r>
          </w:p>
          <w:p w14:paraId="4F9FF7EF" w14:textId="77777777" w:rsidR="00192E1C" w:rsidRPr="00192E1C" w:rsidRDefault="00192E1C" w:rsidP="00192E1C">
            <w:pPr>
              <w:jc w:val="center"/>
              <w:rPr>
                <w:lang w:val="fr-CA"/>
              </w:rPr>
            </w:pPr>
            <w:r w:rsidRPr="00192E1C">
              <w:rPr>
                <w:lang w:val="fr-CA"/>
              </w:rPr>
              <w:t>Intervenants</w:t>
            </w:r>
          </w:p>
          <w:p w14:paraId="46F76B6F" w14:textId="77777777" w:rsidR="00192E1C" w:rsidRPr="00192E1C" w:rsidRDefault="00192E1C" w:rsidP="00192E1C">
            <w:pPr>
              <w:rPr>
                <w:lang w:val="fr-CA"/>
              </w:rPr>
            </w:pPr>
          </w:p>
          <w:p w14:paraId="1CE15279" w14:textId="77777777" w:rsidR="00192E1C" w:rsidRPr="00192E1C" w:rsidRDefault="00192E1C" w:rsidP="00192E1C">
            <w:pPr>
              <w:rPr>
                <w:lang w:val="fr-CA"/>
              </w:rPr>
            </w:pPr>
          </w:p>
          <w:p w14:paraId="0B25BAEF" w14:textId="77777777" w:rsidR="00192E1C" w:rsidRPr="00192E1C" w:rsidRDefault="00192E1C" w:rsidP="00192E1C">
            <w:pPr>
              <w:rPr>
                <w:lang w:val="fr-CA"/>
              </w:rPr>
            </w:pPr>
          </w:p>
          <w:p w14:paraId="41812789" w14:textId="77777777" w:rsidR="00192E1C" w:rsidRPr="00192E1C" w:rsidRDefault="00192E1C" w:rsidP="00192E1C">
            <w:pPr>
              <w:rPr>
                <w:lang w:val="fr-CA"/>
              </w:rPr>
            </w:pPr>
            <w:r w:rsidRPr="00192E1C">
              <w:rPr>
                <w:b/>
                <w:smallCaps/>
                <w:lang w:val="fr-CA"/>
              </w:rPr>
              <w:t>Coram :</w:t>
            </w:r>
            <w:r w:rsidRPr="00192E1C">
              <w:rPr>
                <w:lang w:val="fr-CA"/>
              </w:rPr>
              <w:t xml:space="preserve"> Le juge en chef Wagner et les juges Karakatsanis, Côté, Rowe, Martin, Kasirer, Jamal, O’Bonsawin et Moreau</w:t>
            </w:r>
          </w:p>
          <w:p w14:paraId="12D67BE7" w14:textId="77777777" w:rsidR="00192E1C" w:rsidRPr="00192E1C" w:rsidRDefault="00192E1C" w:rsidP="00192E1C">
            <w:pPr>
              <w:jc w:val="both"/>
              <w:rPr>
                <w:b/>
                <w:smallCaps/>
                <w:lang w:val="fr-CA"/>
              </w:rPr>
            </w:pPr>
          </w:p>
        </w:tc>
      </w:tr>
      <w:tr w:rsidR="00192E1C" w:rsidRPr="00002669" w14:paraId="7A354928" w14:textId="77777777" w:rsidTr="00571634">
        <w:tblPrEx>
          <w:tblCellMar>
            <w:top w:w="58" w:type="dxa"/>
            <w:left w:w="58" w:type="dxa"/>
            <w:bottom w:w="58" w:type="dxa"/>
            <w:right w:w="58" w:type="dxa"/>
          </w:tblCellMar>
        </w:tblPrEx>
        <w:trPr>
          <w:trHeight w:val="944"/>
        </w:trPr>
        <w:tc>
          <w:tcPr>
            <w:tcW w:w="1251" w:type="pct"/>
          </w:tcPr>
          <w:p w14:paraId="6B25E1BD" w14:textId="77777777" w:rsidR="00192E1C" w:rsidRPr="00192E1C" w:rsidRDefault="00192E1C" w:rsidP="00192E1C">
            <w:pPr>
              <w:rPr>
                <w:lang w:val="fr-CA"/>
              </w:rPr>
            </w:pPr>
            <w:r w:rsidRPr="00192E1C">
              <w:rPr>
                <w:b/>
                <w:smallCaps/>
                <w:lang w:val="fr-CA"/>
              </w:rPr>
              <w:t>Motifs de jugement</w:t>
            </w:r>
            <w:r w:rsidRPr="00192E1C">
              <w:rPr>
                <w:b/>
                <w:lang w:val="fr-CA"/>
              </w:rPr>
              <w:t> :</w:t>
            </w:r>
            <w:r w:rsidRPr="00192E1C">
              <w:rPr>
                <w:lang w:val="fr-CA"/>
              </w:rPr>
              <w:t xml:space="preserve"> </w:t>
            </w:r>
          </w:p>
          <w:p w14:paraId="2751FD6F" w14:textId="77777777" w:rsidR="00192E1C" w:rsidRPr="00192E1C" w:rsidRDefault="00192E1C" w:rsidP="00192E1C">
            <w:pPr>
              <w:rPr>
                <w:lang w:val="fr-CA"/>
              </w:rPr>
            </w:pPr>
            <w:r w:rsidRPr="00192E1C">
              <w:rPr>
                <w:lang w:val="fr-CA"/>
              </w:rPr>
              <w:t>(par. 1 à 147)</w:t>
            </w:r>
          </w:p>
        </w:tc>
        <w:tc>
          <w:tcPr>
            <w:tcW w:w="3749" w:type="pct"/>
            <w:gridSpan w:val="3"/>
          </w:tcPr>
          <w:p w14:paraId="0F7442D9" w14:textId="77777777" w:rsidR="00192E1C" w:rsidRPr="00192E1C" w:rsidRDefault="00192E1C" w:rsidP="00192E1C">
            <w:pPr>
              <w:rPr>
                <w:lang w:val="fr-CA"/>
              </w:rPr>
            </w:pPr>
            <w:r w:rsidRPr="00192E1C">
              <w:rPr>
                <w:lang w:val="fr-CA"/>
              </w:rPr>
              <w:t>La juge Côté (avec l’accord du juge en chef Wagner et des juges Karakatsanis, Rowe, Martin, Kasirer, Jamal, O’Bonsawin et Moreau)</w:t>
            </w:r>
          </w:p>
        </w:tc>
      </w:tr>
    </w:tbl>
    <w:p w14:paraId="69448AED" w14:textId="77777777" w:rsidR="00192E1C" w:rsidRPr="00192E1C" w:rsidRDefault="00192E1C" w:rsidP="00192E1C">
      <w:pPr>
        <w:rPr>
          <w:rFonts w:eastAsiaTheme="minorHAnsi" w:cstheme="minorBidi"/>
          <w:szCs w:val="24"/>
          <w:lang w:val="fr-CA" w:eastAsia="en-US"/>
        </w:rPr>
      </w:pPr>
    </w:p>
    <w:p w14:paraId="059288A2" w14:textId="77777777" w:rsidR="00192E1C" w:rsidRPr="00192E1C" w:rsidRDefault="00192E1C" w:rsidP="00192E1C">
      <w:pPr>
        <w:rPr>
          <w:rFonts w:eastAsiaTheme="minorHAnsi" w:cstheme="minorBidi"/>
          <w:szCs w:val="24"/>
          <w:lang w:val="fr-CA" w:eastAsia="en-US"/>
        </w:rPr>
      </w:pPr>
    </w:p>
    <w:p w14:paraId="61905CDB" w14:textId="77777777" w:rsidR="00192E1C" w:rsidRPr="00192E1C" w:rsidRDefault="00192E1C" w:rsidP="00192E1C">
      <w:pPr>
        <w:rPr>
          <w:rFonts w:eastAsiaTheme="minorHAnsi" w:cstheme="minorBidi"/>
          <w:szCs w:val="24"/>
          <w:lang w:val="fr-CA" w:eastAsia="en-US"/>
        </w:rPr>
      </w:pPr>
      <w:r w:rsidRPr="00192E1C">
        <w:rPr>
          <w:rFonts w:eastAsiaTheme="minorHAnsi" w:cstheme="minorBidi"/>
          <w:b/>
          <w:smallCaps/>
          <w:szCs w:val="24"/>
          <w:lang w:val="fr-CA" w:eastAsia="en-US"/>
        </w:rPr>
        <w:t>Note :</w:t>
      </w:r>
      <w:r w:rsidRPr="00192E1C">
        <w:rPr>
          <w:rFonts w:eastAsiaTheme="minorHAnsi" w:cstheme="minorBidi"/>
          <w:b/>
          <w:szCs w:val="24"/>
          <w:lang w:val="fr-CA" w:eastAsia="en-US"/>
        </w:rPr>
        <w:t xml:space="preserve"> </w:t>
      </w:r>
      <w:r w:rsidRPr="00192E1C">
        <w:rPr>
          <w:rFonts w:eastAsiaTheme="minorHAnsi" w:cstheme="minorBidi"/>
          <w:szCs w:val="24"/>
          <w:lang w:val="fr-CA" w:eastAsia="en-US"/>
        </w:rPr>
        <w:t xml:space="preserve">Ce document fera l’objet de retouches de forme avant la parution de sa version définitive dans le </w:t>
      </w:r>
      <w:r w:rsidRPr="00192E1C">
        <w:rPr>
          <w:rFonts w:eastAsiaTheme="minorHAnsi" w:cstheme="minorBidi"/>
          <w:i/>
          <w:szCs w:val="24"/>
          <w:lang w:val="fr-CA" w:eastAsia="en-US"/>
        </w:rPr>
        <w:t>Recueil des arrêts de la Cour suprême du Canada</w:t>
      </w:r>
      <w:r w:rsidRPr="00192E1C">
        <w:rPr>
          <w:rFonts w:eastAsiaTheme="minorHAnsi" w:cstheme="minorBidi"/>
          <w:szCs w:val="24"/>
          <w:lang w:val="fr-CA" w:eastAsia="en-US"/>
        </w:rPr>
        <w: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192E1C" w:rsidRPr="00002669" w14:paraId="4F66F757" w14:textId="77777777" w:rsidTr="00D14144">
        <w:tc>
          <w:tcPr>
            <w:tcW w:w="1500" w:type="pct"/>
            <w:tcMar>
              <w:top w:w="284" w:type="dxa"/>
            </w:tcMar>
          </w:tcPr>
          <w:p w14:paraId="7A472BA0" w14:textId="77777777" w:rsidR="00192E1C" w:rsidRPr="00192E1C" w:rsidRDefault="00192E1C" w:rsidP="00192E1C">
            <w:pPr>
              <w:rPr>
                <w:lang w:val="fr-CA"/>
              </w:rPr>
            </w:pPr>
          </w:p>
        </w:tc>
        <w:tc>
          <w:tcPr>
            <w:tcW w:w="2000" w:type="pct"/>
            <w:tcBorders>
              <w:bottom w:val="single" w:sz="4" w:space="0" w:color="auto"/>
            </w:tcBorders>
            <w:tcMar>
              <w:top w:w="284" w:type="dxa"/>
            </w:tcMar>
          </w:tcPr>
          <w:p w14:paraId="176192D0" w14:textId="77777777" w:rsidR="00192E1C" w:rsidRPr="00192E1C" w:rsidRDefault="00192E1C" w:rsidP="00192E1C">
            <w:pPr>
              <w:rPr>
                <w:lang w:val="fr-CA"/>
              </w:rPr>
            </w:pPr>
          </w:p>
        </w:tc>
        <w:tc>
          <w:tcPr>
            <w:tcW w:w="1500" w:type="pct"/>
            <w:tcMar>
              <w:top w:w="284" w:type="dxa"/>
            </w:tcMar>
          </w:tcPr>
          <w:p w14:paraId="1549E871" w14:textId="77777777" w:rsidR="00192E1C" w:rsidRPr="00192E1C" w:rsidRDefault="00192E1C" w:rsidP="00192E1C">
            <w:pPr>
              <w:rPr>
                <w:lang w:val="fr-CA"/>
              </w:rPr>
            </w:pPr>
          </w:p>
        </w:tc>
      </w:tr>
    </w:tbl>
    <w:p w14:paraId="3C2B989A" w14:textId="77777777" w:rsidR="00192E1C" w:rsidRPr="00192E1C" w:rsidRDefault="00192E1C" w:rsidP="00192E1C">
      <w:pPr>
        <w:tabs>
          <w:tab w:val="left" w:pos="1147"/>
        </w:tabs>
        <w:rPr>
          <w:rFonts w:eastAsiaTheme="minorHAnsi" w:cstheme="minorBidi"/>
          <w:szCs w:val="24"/>
          <w:lang w:val="fr-CA" w:eastAsia="en-US"/>
        </w:rPr>
      </w:pPr>
    </w:p>
    <w:p w14:paraId="6D45F183" w14:textId="77777777" w:rsidR="00192E1C" w:rsidRPr="00192E1C" w:rsidRDefault="00192E1C">
      <w:pPr>
        <w:rPr>
          <w:b/>
          <w:szCs w:val="24"/>
          <w:lang w:val="fr-CA"/>
        </w:rPr>
      </w:pPr>
      <w:r w:rsidRPr="00192E1C">
        <w:rPr>
          <w:szCs w:val="24"/>
          <w:lang w:val="fr-CA"/>
        </w:rPr>
        <w:br w:type="page"/>
      </w:r>
    </w:p>
    <w:p w14:paraId="7CF90775" w14:textId="295998C1" w:rsidR="00CF7BC7" w:rsidRPr="00192E1C" w:rsidRDefault="00CF7BC7" w:rsidP="00CF7BC7">
      <w:pPr>
        <w:pStyle w:val="SCCLsocLastPartyInRole"/>
        <w:rPr>
          <w:szCs w:val="24"/>
          <w:lang w:val="fr-CA"/>
        </w:rPr>
      </w:pPr>
      <w:r w:rsidRPr="00192E1C">
        <w:rPr>
          <w:szCs w:val="24"/>
          <w:lang w:val="fr-CA"/>
        </w:rPr>
        <w:lastRenderedPageBreak/>
        <w:t>Sa Majesté le Roi</w:t>
      </w:r>
      <w:r w:rsidRPr="00192E1C">
        <w:rPr>
          <w:rStyle w:val="SCCLsocPartyRole"/>
          <w:szCs w:val="24"/>
          <w:lang w:val="fr-CA"/>
        </w:rPr>
        <w:tab/>
        <w:t>Appelant</w:t>
      </w:r>
    </w:p>
    <w:p w14:paraId="78A00DB5" w14:textId="77777777" w:rsidR="00CF7BC7" w:rsidRPr="00192E1C" w:rsidRDefault="00CF7BC7" w:rsidP="00CF7BC7">
      <w:pPr>
        <w:pStyle w:val="SCCLsocVersus"/>
        <w:rPr>
          <w:szCs w:val="24"/>
          <w:lang w:val="fr-CA"/>
        </w:rPr>
      </w:pPr>
      <w:r w:rsidRPr="00192E1C">
        <w:rPr>
          <w:szCs w:val="24"/>
          <w:lang w:val="fr-CA"/>
        </w:rPr>
        <w:t>c.</w:t>
      </w:r>
    </w:p>
    <w:p w14:paraId="2F3AE2D9" w14:textId="77777777" w:rsidR="00CF7BC7" w:rsidRPr="00192E1C" w:rsidRDefault="00CF7BC7" w:rsidP="00CF7BC7">
      <w:pPr>
        <w:pStyle w:val="SCCLsocLastPartyInRole"/>
        <w:rPr>
          <w:szCs w:val="24"/>
          <w:lang w:val="fr-CA"/>
        </w:rPr>
      </w:pPr>
      <w:r w:rsidRPr="00192E1C">
        <w:rPr>
          <w:szCs w:val="24"/>
          <w:lang w:val="fr-CA"/>
        </w:rPr>
        <w:t>David Carignan</w:t>
      </w:r>
      <w:r w:rsidRPr="00192E1C">
        <w:rPr>
          <w:rStyle w:val="SCCLsocPartyRole"/>
          <w:szCs w:val="24"/>
          <w:lang w:val="fr-CA"/>
        </w:rPr>
        <w:tab/>
        <w:t>Intimé</w:t>
      </w:r>
    </w:p>
    <w:p w14:paraId="011D6FAF" w14:textId="77777777" w:rsidR="00CF7BC7" w:rsidRPr="00192E1C" w:rsidRDefault="00CF7BC7" w:rsidP="00CF7BC7">
      <w:pPr>
        <w:pStyle w:val="SCCLsocOtherPartySeparator"/>
        <w:rPr>
          <w:szCs w:val="24"/>
          <w:lang w:val="fr-CA"/>
        </w:rPr>
      </w:pPr>
      <w:r w:rsidRPr="00192E1C">
        <w:rPr>
          <w:szCs w:val="24"/>
          <w:lang w:val="fr-CA"/>
        </w:rPr>
        <w:t>et</w:t>
      </w:r>
    </w:p>
    <w:p w14:paraId="61523FAC" w14:textId="77777777" w:rsidR="00CF7BC7" w:rsidRPr="00192E1C" w:rsidRDefault="00CF7BC7" w:rsidP="00CF7BC7">
      <w:pPr>
        <w:pStyle w:val="SCCLsocParty"/>
        <w:rPr>
          <w:szCs w:val="24"/>
          <w:lang w:val="fr-CA"/>
        </w:rPr>
      </w:pPr>
      <w:r w:rsidRPr="00192E1C">
        <w:rPr>
          <w:szCs w:val="24"/>
          <w:lang w:val="fr-CA"/>
        </w:rPr>
        <w:t>Procureur général de l’Ontario,</w:t>
      </w:r>
    </w:p>
    <w:p w14:paraId="2B61A50B" w14:textId="77777777" w:rsidR="00CF7BC7" w:rsidRPr="00192E1C" w:rsidRDefault="00806D93" w:rsidP="00CF7BC7">
      <w:pPr>
        <w:pStyle w:val="SCCLsocParty"/>
        <w:rPr>
          <w:szCs w:val="24"/>
          <w:lang w:val="fr-CA"/>
        </w:rPr>
      </w:pPr>
      <w:r w:rsidRPr="00192E1C">
        <w:rPr>
          <w:szCs w:val="24"/>
          <w:lang w:val="fr-CA"/>
        </w:rPr>
        <w:t>p</w:t>
      </w:r>
      <w:r w:rsidR="00CF7BC7" w:rsidRPr="00192E1C">
        <w:rPr>
          <w:szCs w:val="24"/>
          <w:lang w:val="fr-CA"/>
        </w:rPr>
        <w:t>rocureur général de l’Alberta et</w:t>
      </w:r>
    </w:p>
    <w:p w14:paraId="5C056A17" w14:textId="77777777" w:rsidR="00CF7BC7" w:rsidRPr="00192E1C" w:rsidRDefault="00CF7BC7" w:rsidP="00FC051E">
      <w:pPr>
        <w:pStyle w:val="SCCLsocParty"/>
        <w:spacing w:after="720"/>
        <w:rPr>
          <w:szCs w:val="24"/>
          <w:lang w:val="fr-CA"/>
        </w:rPr>
      </w:pPr>
      <w:r w:rsidRPr="00192E1C">
        <w:rPr>
          <w:szCs w:val="24"/>
          <w:lang w:val="fr-CA"/>
        </w:rPr>
        <w:t>Association canadienne des libertés civiles</w:t>
      </w:r>
      <w:r w:rsidRPr="00192E1C">
        <w:rPr>
          <w:rStyle w:val="SCCLsocPartyRole"/>
          <w:szCs w:val="24"/>
          <w:lang w:val="fr-CA"/>
        </w:rPr>
        <w:tab/>
        <w:t>Intervenants</w:t>
      </w:r>
    </w:p>
    <w:p w14:paraId="325FD033" w14:textId="77777777" w:rsidR="00CF7BC7" w:rsidRPr="00192E1C" w:rsidRDefault="00CF7BC7" w:rsidP="00FC051E">
      <w:pPr>
        <w:spacing w:after="720"/>
        <w:jc w:val="both"/>
        <w:rPr>
          <w:b/>
          <w:szCs w:val="24"/>
          <w:lang w:val="fr-CA"/>
        </w:rPr>
      </w:pPr>
      <w:r w:rsidRPr="00192E1C">
        <w:rPr>
          <w:b/>
          <w:szCs w:val="24"/>
          <w:lang w:val="fr-CA"/>
        </w:rPr>
        <w:t xml:space="preserve">Répertorié : </w:t>
      </w:r>
      <w:r w:rsidRPr="00192E1C">
        <w:rPr>
          <w:rStyle w:val="SCCAppellantForIndexChar"/>
          <w:szCs w:val="24"/>
          <w:lang w:val="fr-CA"/>
        </w:rPr>
        <w:t>R.</w:t>
      </w:r>
      <w:r w:rsidRPr="00192E1C">
        <w:rPr>
          <w:b/>
          <w:szCs w:val="24"/>
          <w:lang w:val="fr-CA"/>
        </w:rPr>
        <w:t xml:space="preserve"> </w:t>
      </w:r>
      <w:r w:rsidRPr="00192E1C">
        <w:rPr>
          <w:b/>
          <w:i/>
          <w:szCs w:val="24"/>
          <w:lang w:val="fr-CA"/>
        </w:rPr>
        <w:t>c.</w:t>
      </w:r>
      <w:r w:rsidRPr="00192E1C">
        <w:rPr>
          <w:b/>
          <w:szCs w:val="24"/>
          <w:lang w:val="fr-CA"/>
        </w:rPr>
        <w:t xml:space="preserve"> </w:t>
      </w:r>
      <w:r w:rsidRPr="00192E1C">
        <w:rPr>
          <w:rStyle w:val="SCCRespondentForIndexChar"/>
          <w:szCs w:val="24"/>
          <w:lang w:val="fr-CA"/>
        </w:rPr>
        <w:t>Carignan</w:t>
      </w:r>
    </w:p>
    <w:p w14:paraId="7868815A" w14:textId="5E88AF0A" w:rsidR="00CF7BC7" w:rsidRPr="00192E1C" w:rsidRDefault="00CF7BC7" w:rsidP="00FC051E">
      <w:pPr>
        <w:pStyle w:val="SCCSystemYear"/>
        <w:spacing w:after="720"/>
        <w:jc w:val="both"/>
        <w:rPr>
          <w:szCs w:val="24"/>
          <w:lang w:val="fr-CA"/>
        </w:rPr>
      </w:pPr>
      <w:r w:rsidRPr="00192E1C">
        <w:rPr>
          <w:szCs w:val="24"/>
          <w:lang w:val="fr-CA"/>
        </w:rPr>
        <w:t>2025 CSC</w:t>
      </w:r>
      <w:r w:rsidR="0062750D" w:rsidRPr="00192E1C">
        <w:rPr>
          <w:szCs w:val="24"/>
          <w:lang w:val="fr-CA"/>
        </w:rPr>
        <w:t xml:space="preserve"> 43</w:t>
      </w:r>
    </w:p>
    <w:p w14:paraId="2881717C" w14:textId="36DA29BC" w:rsidR="00CF7BC7" w:rsidRPr="00192E1C" w:rsidRDefault="00CF7BC7" w:rsidP="00FC051E">
      <w:pPr>
        <w:spacing w:after="720"/>
        <w:jc w:val="both"/>
        <w:rPr>
          <w:szCs w:val="24"/>
          <w:lang w:val="fr-CA"/>
        </w:rPr>
      </w:pPr>
      <w:r w:rsidRPr="00192E1C">
        <w:rPr>
          <w:szCs w:val="24"/>
          <w:lang w:val="fr-CA"/>
        </w:rPr>
        <w:t>N</w:t>
      </w:r>
      <w:r w:rsidRPr="00192E1C">
        <w:rPr>
          <w:szCs w:val="24"/>
          <w:vertAlign w:val="superscript"/>
          <w:lang w:val="fr-CA"/>
        </w:rPr>
        <w:t>o</w:t>
      </w:r>
      <w:r w:rsidRPr="00192E1C">
        <w:rPr>
          <w:szCs w:val="24"/>
          <w:lang w:val="fr-CA"/>
        </w:rPr>
        <w:t xml:space="preserve"> du greffe :</w:t>
      </w:r>
      <w:r w:rsidR="00FC051E" w:rsidRPr="00192E1C">
        <w:rPr>
          <w:szCs w:val="24"/>
          <w:lang w:val="fr-CA"/>
        </w:rPr>
        <w:t xml:space="preserve"> </w:t>
      </w:r>
      <w:r w:rsidRPr="00192E1C">
        <w:rPr>
          <w:szCs w:val="24"/>
          <w:lang w:val="fr-CA"/>
        </w:rPr>
        <w:t>41186.</w:t>
      </w:r>
    </w:p>
    <w:p w14:paraId="22DD5E8E" w14:textId="77777777" w:rsidR="00CF7BC7" w:rsidRPr="00192E1C" w:rsidRDefault="00CF7BC7" w:rsidP="00FC051E">
      <w:pPr>
        <w:spacing w:after="720"/>
        <w:jc w:val="both"/>
        <w:rPr>
          <w:szCs w:val="24"/>
          <w:lang w:val="fr-CA"/>
        </w:rPr>
      </w:pPr>
      <w:r w:rsidRPr="00192E1C">
        <w:rPr>
          <w:szCs w:val="24"/>
          <w:lang w:val="fr-CA"/>
        </w:rPr>
        <w:t>2025 : 21 mai; 2025 : 12 décembre.</w:t>
      </w:r>
    </w:p>
    <w:p w14:paraId="4F83968E" w14:textId="4527F505" w:rsidR="00CF7BC7" w:rsidRPr="00192E1C" w:rsidRDefault="00CF7BC7" w:rsidP="00FC051E">
      <w:pPr>
        <w:spacing w:after="720"/>
        <w:jc w:val="both"/>
        <w:rPr>
          <w:szCs w:val="24"/>
          <w:lang w:val="fr-CA"/>
        </w:rPr>
      </w:pPr>
      <w:r w:rsidRPr="00192E1C">
        <w:rPr>
          <w:szCs w:val="24"/>
          <w:lang w:val="fr-CA"/>
        </w:rPr>
        <w:t>Présents :</w:t>
      </w:r>
      <w:r w:rsidR="00FC051E" w:rsidRPr="00192E1C">
        <w:rPr>
          <w:szCs w:val="24"/>
          <w:lang w:val="fr-CA"/>
        </w:rPr>
        <w:t xml:space="preserve"> </w:t>
      </w:r>
      <w:r w:rsidRPr="00192E1C">
        <w:rPr>
          <w:szCs w:val="24"/>
          <w:lang w:val="fr-CA"/>
        </w:rPr>
        <w:t>Le juge en chef Wagner et les juges Karakatsanis, Côté, Rowe, Martin, Kasirer, Jamal, O’Bonsawin et Moreau.</w:t>
      </w:r>
    </w:p>
    <w:p w14:paraId="65423C59" w14:textId="77777777" w:rsidR="00CF7BC7" w:rsidRPr="00192E1C" w:rsidRDefault="00CF7BC7" w:rsidP="00FC051E">
      <w:pPr>
        <w:spacing w:after="720"/>
        <w:jc w:val="both"/>
        <w:rPr>
          <w:smallCaps/>
          <w:szCs w:val="24"/>
          <w:lang w:val="fr-CA"/>
        </w:rPr>
      </w:pPr>
      <w:r w:rsidRPr="00192E1C">
        <w:rPr>
          <w:smallCaps/>
          <w:szCs w:val="24"/>
          <w:lang w:val="fr-CA"/>
        </w:rPr>
        <w:t>en appel de la cour d’</w:t>
      </w:r>
      <w:r w:rsidR="00D064AF" w:rsidRPr="00192E1C">
        <w:rPr>
          <w:smallCaps/>
          <w:szCs w:val="24"/>
          <w:lang w:val="fr-CA"/>
        </w:rPr>
        <w:t>appel du québec</w:t>
      </w:r>
    </w:p>
    <w:p w14:paraId="02E70B72" w14:textId="77DCA47A" w:rsidR="00CF7BC7" w:rsidRPr="00192E1C" w:rsidRDefault="00CF7BC7" w:rsidP="00900537">
      <w:pPr>
        <w:pStyle w:val="SCCNormalKeyWords"/>
        <w:spacing w:after="480"/>
        <w:rPr>
          <w:szCs w:val="24"/>
        </w:rPr>
      </w:pPr>
      <w:r w:rsidRPr="00192E1C">
        <w:rPr>
          <w:szCs w:val="24"/>
        </w:rPr>
        <w:tab/>
      </w:r>
      <w:r w:rsidR="00770BB3" w:rsidRPr="00192E1C">
        <w:rPr>
          <w:szCs w:val="24"/>
        </w:rPr>
        <w:t xml:space="preserve">Droit criminel — Arrestation — Arrestation sans mandat par un agent de la paix — Contestation par un accusé de son arrestation sans mandat au motif qu’elle </w:t>
      </w:r>
      <w:r w:rsidR="00770BB3" w:rsidRPr="00192E1C">
        <w:rPr>
          <w:szCs w:val="24"/>
        </w:rPr>
        <w:lastRenderedPageBreak/>
        <w:t>était illégale car elle contrevenait à l’art.</w:t>
      </w:r>
      <w:r w:rsidR="00900537" w:rsidRPr="00192E1C">
        <w:rPr>
          <w:szCs w:val="24"/>
        </w:rPr>
        <w:t> </w:t>
      </w:r>
      <w:r w:rsidR="00770BB3" w:rsidRPr="00192E1C">
        <w:rPr>
          <w:szCs w:val="24"/>
        </w:rPr>
        <w:t>495(2) du Code criminel et violait donc son droit constitutionnel à la protection contre la détention arbitraire — Tenue d’un voir-dire sur la légalité de l’arrestation refusée par le juge du procès — Une arrestation qui contrevient au par.</w:t>
      </w:r>
      <w:r w:rsidR="00900537" w:rsidRPr="00192E1C">
        <w:rPr>
          <w:szCs w:val="24"/>
        </w:rPr>
        <w:t> </w:t>
      </w:r>
      <w:r w:rsidR="00770BB3" w:rsidRPr="00192E1C">
        <w:rPr>
          <w:szCs w:val="24"/>
        </w:rPr>
        <w:t>495(2) du Code criminel est-elle une arrestation illégale? — Le par.</w:t>
      </w:r>
      <w:r w:rsidR="00900537" w:rsidRPr="00192E1C">
        <w:rPr>
          <w:szCs w:val="24"/>
        </w:rPr>
        <w:t> </w:t>
      </w:r>
      <w:r w:rsidR="00770BB3" w:rsidRPr="00192E1C">
        <w:rPr>
          <w:szCs w:val="24"/>
        </w:rPr>
        <w:t>495(3) du Code criminel a-t-il pour effet de priver un accusé de la possibilité d’alléguer une violation de son droit à la protection contre la détention arbitraire dans le cadre d’une procédure en matière criminelle portant sur sa propre responsabilité criminelle? — Code criminel, L.R.C. 1985, c. C-46, art.</w:t>
      </w:r>
      <w:r w:rsidR="00900537" w:rsidRPr="00192E1C">
        <w:rPr>
          <w:szCs w:val="24"/>
        </w:rPr>
        <w:t> </w:t>
      </w:r>
      <w:r w:rsidR="00770BB3" w:rsidRPr="00192E1C">
        <w:rPr>
          <w:szCs w:val="24"/>
        </w:rPr>
        <w:t>495(2), (3).</w:t>
      </w:r>
    </w:p>
    <w:p w14:paraId="0B118F74" w14:textId="2873C569" w:rsidR="00770BB3" w:rsidRPr="00192E1C" w:rsidRDefault="00CF7BC7" w:rsidP="00770BB3">
      <w:pPr>
        <w:pStyle w:val="SCCNormalDoubleSpacing"/>
        <w:spacing w:after="480"/>
        <w:rPr>
          <w:lang w:val="fr-CA"/>
        </w:rPr>
      </w:pPr>
      <w:r w:rsidRPr="00192E1C">
        <w:rPr>
          <w:szCs w:val="24"/>
          <w:lang w:val="fr-CA"/>
        </w:rPr>
        <w:tab/>
      </w:r>
      <w:r w:rsidR="00770BB3" w:rsidRPr="00192E1C">
        <w:rPr>
          <w:szCs w:val="24"/>
          <w:lang w:val="fr-CA"/>
        </w:rPr>
        <w:t xml:space="preserve">L’accusé a été arrêté sans mandat 11 jours après avoir commis, selon les allégations contenues à l’acte d’accusation, une agression sexuelle. Au poste de police, il a été soumis à un interrogatoire enregistré sur vidéo au cours duquel il a fait une déclaration incriminante. Avant le début de son procès, l’accusé a déposé une requête demandant au tribunal d’exclure la déclaration incriminante, au motif </w:t>
      </w:r>
      <w:r w:rsidR="00770BB3" w:rsidRPr="00192E1C">
        <w:rPr>
          <w:lang w:val="fr-CA"/>
        </w:rPr>
        <w:t>que son arrestation sans mandat était illégale, et donc arbitraire au sens de l’art.</w:t>
      </w:r>
      <w:r w:rsidR="00900537" w:rsidRPr="00192E1C">
        <w:rPr>
          <w:lang w:val="fr-CA"/>
        </w:rPr>
        <w:t> </w:t>
      </w:r>
      <w:r w:rsidR="00770BB3" w:rsidRPr="00192E1C">
        <w:rPr>
          <w:lang w:val="fr-CA"/>
        </w:rPr>
        <w:t xml:space="preserve">9 de la </w:t>
      </w:r>
      <w:r w:rsidR="00770BB3" w:rsidRPr="00192E1C">
        <w:rPr>
          <w:i/>
          <w:lang w:val="fr-CA"/>
        </w:rPr>
        <w:t>Charte canadienne des droits et libertés</w:t>
      </w:r>
      <w:r w:rsidR="00770BB3" w:rsidRPr="00192E1C">
        <w:rPr>
          <w:lang w:val="fr-CA"/>
        </w:rPr>
        <w:t>. Selon lui, l’arrestation sans mandat contrevenait au par.</w:t>
      </w:r>
      <w:r w:rsidR="00900537" w:rsidRPr="00192E1C">
        <w:rPr>
          <w:lang w:val="fr-CA"/>
        </w:rPr>
        <w:t> </w:t>
      </w:r>
      <w:r w:rsidR="00770BB3" w:rsidRPr="00192E1C">
        <w:rPr>
          <w:lang w:val="fr-CA"/>
        </w:rPr>
        <w:t xml:space="preserve">495(2) du </w:t>
      </w:r>
      <w:r w:rsidR="00770BB3" w:rsidRPr="00192E1C">
        <w:rPr>
          <w:i/>
          <w:lang w:val="fr-CA"/>
        </w:rPr>
        <w:t>Code criminel</w:t>
      </w:r>
      <w:r w:rsidR="00770BB3" w:rsidRPr="00192E1C">
        <w:rPr>
          <w:lang w:val="fr-CA"/>
        </w:rPr>
        <w:t>, puisque les policiers n’avaient pas de motifs raisonnables de croire qu’elle était nécessaire pour préserver l’intérêt public et qu’il n’y avait pas de risque qu’il ne se présente pas lors de sa comparution.</w:t>
      </w:r>
    </w:p>
    <w:p w14:paraId="3BB90CF6" w14:textId="73012FB9" w:rsidR="00770BB3" w:rsidRPr="00192E1C" w:rsidRDefault="00770BB3" w:rsidP="00770BB3">
      <w:pPr>
        <w:pStyle w:val="SCCNormalDoubleSpacing"/>
        <w:spacing w:after="480"/>
        <w:rPr>
          <w:lang w:val="fr-CA"/>
        </w:rPr>
      </w:pPr>
      <w:r w:rsidRPr="00192E1C">
        <w:rPr>
          <w:lang w:val="fr-CA"/>
        </w:rPr>
        <w:tab/>
        <w:t>Le juge du procès a refusé de tenir un voir-dire pour statuer sur la légalité de l’arrestation au regard du par.</w:t>
      </w:r>
      <w:r w:rsidR="00900537" w:rsidRPr="00192E1C">
        <w:rPr>
          <w:lang w:val="fr-CA"/>
        </w:rPr>
        <w:t> </w:t>
      </w:r>
      <w:r w:rsidRPr="00192E1C">
        <w:rPr>
          <w:lang w:val="fr-CA"/>
        </w:rPr>
        <w:t>495(2). Selon lui, une arrestation sans mandat contrevenant au par.</w:t>
      </w:r>
      <w:r w:rsidR="00900537" w:rsidRPr="00192E1C">
        <w:rPr>
          <w:lang w:val="fr-CA"/>
        </w:rPr>
        <w:t> </w:t>
      </w:r>
      <w:r w:rsidRPr="00192E1C">
        <w:rPr>
          <w:lang w:val="fr-CA"/>
        </w:rPr>
        <w:t xml:space="preserve">495(2) est tout de même légale, en vertu de l’application du </w:t>
      </w:r>
      <w:r w:rsidRPr="00192E1C">
        <w:rPr>
          <w:lang w:val="fr-CA"/>
        </w:rPr>
        <w:lastRenderedPageBreak/>
        <w:t>par. 495(3), pourvu que l’agent de la paix agisse conformément à l’al.</w:t>
      </w:r>
      <w:r w:rsidR="00900537" w:rsidRPr="00192E1C">
        <w:rPr>
          <w:lang w:val="fr-CA"/>
        </w:rPr>
        <w:t> </w:t>
      </w:r>
      <w:r w:rsidRPr="00192E1C">
        <w:rPr>
          <w:lang w:val="fr-CA"/>
        </w:rPr>
        <w:t>495(1)a).</w:t>
      </w:r>
      <w:r w:rsidR="00747DC8" w:rsidRPr="00192E1C">
        <w:rPr>
          <w:lang w:val="fr-CA"/>
        </w:rPr>
        <w:t xml:space="preserve"> </w:t>
      </w:r>
      <w:r w:rsidRPr="00192E1C">
        <w:rPr>
          <w:lang w:val="fr-CA"/>
        </w:rPr>
        <w:t>Puisque les agents de la paix avaient des motifs raisonnables de croire qu’une infraction avait été commise au sens de l’al.</w:t>
      </w:r>
      <w:r w:rsidR="00900537" w:rsidRPr="00192E1C">
        <w:rPr>
          <w:lang w:val="fr-CA"/>
        </w:rPr>
        <w:t> </w:t>
      </w:r>
      <w:r w:rsidRPr="00192E1C">
        <w:rPr>
          <w:lang w:val="fr-CA"/>
        </w:rPr>
        <w:t>495(1)(a), le juge était d’avis que la requête de l’accusé</w:t>
      </w:r>
      <w:r w:rsidR="00747DC8" w:rsidRPr="00192E1C">
        <w:rPr>
          <w:lang w:val="fr-CA"/>
        </w:rPr>
        <w:t xml:space="preserve"> </w:t>
      </w:r>
      <w:r w:rsidRPr="00192E1C">
        <w:rPr>
          <w:lang w:val="fr-CA"/>
        </w:rPr>
        <w:t>n’avait aucune chance de succès. La déclaration incriminante n’a pas été exclue et l’accusé a été déclaré coupable. Dans le cadre de l’appel interjeté par l’accusé, la Cour d’appel a conclu que l’interprétation des par.</w:t>
      </w:r>
      <w:r w:rsidR="00900537" w:rsidRPr="00192E1C">
        <w:rPr>
          <w:lang w:val="fr-CA"/>
        </w:rPr>
        <w:t> </w:t>
      </w:r>
      <w:r w:rsidRPr="00192E1C">
        <w:rPr>
          <w:lang w:val="fr-CA"/>
        </w:rPr>
        <w:t xml:space="preserve">495(2) et (3) retenue par le juge du procès </w:t>
      </w:r>
      <w:r w:rsidR="00747DC8" w:rsidRPr="00192E1C">
        <w:rPr>
          <w:lang w:val="fr-CA"/>
        </w:rPr>
        <w:t>é</w:t>
      </w:r>
      <w:r w:rsidRPr="00192E1C">
        <w:rPr>
          <w:lang w:val="fr-CA"/>
        </w:rPr>
        <w:t>tait erronée. Selon elle, la demande de tenir un voir</w:t>
      </w:r>
      <w:r w:rsidR="00900537" w:rsidRPr="00192E1C">
        <w:rPr>
          <w:lang w:val="fr-CA"/>
        </w:rPr>
        <w:noBreakHyphen/>
      </w:r>
      <w:r w:rsidRPr="00192E1C">
        <w:rPr>
          <w:lang w:val="fr-CA"/>
        </w:rPr>
        <w:t>dire reposait sur des motifs valables, car le par.</w:t>
      </w:r>
      <w:r w:rsidR="00900537" w:rsidRPr="00192E1C">
        <w:rPr>
          <w:lang w:val="fr-CA"/>
        </w:rPr>
        <w:t> </w:t>
      </w:r>
      <w:r w:rsidRPr="00192E1C">
        <w:rPr>
          <w:lang w:val="fr-CA"/>
        </w:rPr>
        <w:t>495(3) prévoit la possibilité de contester la légalité d’une arrestation sans mandat et aucun élément apparent ne permettait de conclure que le par.</w:t>
      </w:r>
      <w:r w:rsidR="00900537" w:rsidRPr="00192E1C">
        <w:rPr>
          <w:lang w:val="fr-CA"/>
        </w:rPr>
        <w:t> </w:t>
      </w:r>
      <w:r w:rsidRPr="00192E1C">
        <w:rPr>
          <w:lang w:val="fr-CA"/>
        </w:rPr>
        <w:t xml:space="preserve">495(2) justifiait l’arrestation </w:t>
      </w:r>
      <w:r w:rsidR="005C456B" w:rsidRPr="00192E1C">
        <w:rPr>
          <w:lang w:val="fr-CA"/>
        </w:rPr>
        <w:t xml:space="preserve">de l’accusé. La Cour d’appel a </w:t>
      </w:r>
      <w:r w:rsidRPr="00192E1C">
        <w:rPr>
          <w:lang w:val="fr-CA"/>
        </w:rPr>
        <w:t>ordonné un nouveau procès.</w:t>
      </w:r>
    </w:p>
    <w:p w14:paraId="510A0272" w14:textId="77777777" w:rsidR="00770BB3" w:rsidRPr="00192E1C" w:rsidRDefault="00CF7BC7" w:rsidP="00770BB3">
      <w:pPr>
        <w:pStyle w:val="SCCNormalDoubleSpacing"/>
        <w:spacing w:after="480"/>
        <w:rPr>
          <w:szCs w:val="24"/>
          <w:lang w:val="fr-CA"/>
        </w:rPr>
      </w:pPr>
      <w:r w:rsidRPr="00192E1C">
        <w:rPr>
          <w:szCs w:val="24"/>
          <w:lang w:val="fr-CA"/>
        </w:rPr>
        <w:tab/>
      </w:r>
      <w:r w:rsidR="00770BB3" w:rsidRPr="00192E1C">
        <w:rPr>
          <w:i/>
          <w:szCs w:val="24"/>
          <w:lang w:val="fr-CA"/>
        </w:rPr>
        <w:t>Arrêt</w:t>
      </w:r>
      <w:r w:rsidR="00770BB3" w:rsidRPr="00192E1C">
        <w:rPr>
          <w:szCs w:val="24"/>
          <w:lang w:val="fr-CA"/>
        </w:rPr>
        <w:t> </w:t>
      </w:r>
      <w:r w:rsidR="00770BB3" w:rsidRPr="00192E1C">
        <w:rPr>
          <w:rStyle w:val="CitationCar"/>
          <w:i w:val="0"/>
          <w:color w:val="auto"/>
          <w:szCs w:val="24"/>
          <w:lang w:val="fr-CA"/>
        </w:rPr>
        <w:t>:</w:t>
      </w:r>
      <w:r w:rsidR="00770BB3" w:rsidRPr="00192E1C">
        <w:rPr>
          <w:szCs w:val="24"/>
          <w:lang w:val="fr-CA"/>
        </w:rPr>
        <w:t xml:space="preserve"> Le pourvoi est rejeté.</w:t>
      </w:r>
    </w:p>
    <w:p w14:paraId="78A27BC4" w14:textId="75429F7B" w:rsidR="00770BB3" w:rsidRPr="00192E1C" w:rsidRDefault="00CF7BC7" w:rsidP="00770BB3">
      <w:pPr>
        <w:pStyle w:val="SCCNormalDoubleSpacing"/>
        <w:spacing w:after="480"/>
        <w:rPr>
          <w:i/>
          <w:szCs w:val="24"/>
          <w:lang w:val="fr-CA"/>
        </w:rPr>
      </w:pPr>
      <w:r w:rsidRPr="00192E1C">
        <w:rPr>
          <w:szCs w:val="24"/>
          <w:lang w:val="fr-CA"/>
        </w:rPr>
        <w:tab/>
      </w:r>
      <w:r w:rsidR="00770BB3" w:rsidRPr="00192E1C">
        <w:rPr>
          <w:szCs w:val="24"/>
          <w:lang w:val="fr-CA"/>
        </w:rPr>
        <w:t>Dans le cadre d’une procédure en matière criminelle, un juge peut accueillir une requête fondée sur l’art.</w:t>
      </w:r>
      <w:r w:rsidR="00900537" w:rsidRPr="00192E1C">
        <w:rPr>
          <w:szCs w:val="24"/>
          <w:lang w:val="fr-CA"/>
        </w:rPr>
        <w:t> </w:t>
      </w:r>
      <w:r w:rsidR="00770BB3" w:rsidRPr="00192E1C">
        <w:rPr>
          <w:szCs w:val="24"/>
          <w:lang w:val="fr-CA"/>
        </w:rPr>
        <w:t xml:space="preserve">9 de la </w:t>
      </w:r>
      <w:r w:rsidR="00770BB3" w:rsidRPr="00192E1C">
        <w:rPr>
          <w:i/>
          <w:szCs w:val="24"/>
          <w:lang w:val="fr-CA"/>
        </w:rPr>
        <w:t>Charte</w:t>
      </w:r>
      <w:r w:rsidR="00770BB3" w:rsidRPr="00192E1C">
        <w:rPr>
          <w:szCs w:val="24"/>
          <w:lang w:val="fr-CA"/>
        </w:rPr>
        <w:t xml:space="preserve"> alléguant l’illégalité et le caractère arbitraire d’une arrestation sans mandat qui ne respecte pas les exigences du par. 495(2). Correctement interprétés, le par.</w:t>
      </w:r>
      <w:r w:rsidR="00900537" w:rsidRPr="00192E1C">
        <w:rPr>
          <w:szCs w:val="24"/>
          <w:lang w:val="fr-CA"/>
        </w:rPr>
        <w:t> </w:t>
      </w:r>
      <w:r w:rsidR="00770BB3" w:rsidRPr="00192E1C">
        <w:rPr>
          <w:szCs w:val="24"/>
          <w:lang w:val="fr-CA"/>
        </w:rPr>
        <w:t>495(2) peut avoir pour effet de rendre une arrestation illégale au sens de l’art.</w:t>
      </w:r>
      <w:r w:rsidR="00900537" w:rsidRPr="00192E1C">
        <w:rPr>
          <w:szCs w:val="24"/>
          <w:lang w:val="fr-CA"/>
        </w:rPr>
        <w:t> </w:t>
      </w:r>
      <w:r w:rsidR="00770BB3" w:rsidRPr="00192E1C">
        <w:rPr>
          <w:szCs w:val="24"/>
          <w:lang w:val="fr-CA"/>
        </w:rPr>
        <w:t xml:space="preserve">9 de la </w:t>
      </w:r>
      <w:r w:rsidR="00770BB3" w:rsidRPr="00192E1C">
        <w:rPr>
          <w:i/>
          <w:szCs w:val="24"/>
          <w:lang w:val="fr-CA"/>
        </w:rPr>
        <w:t>Charte</w:t>
      </w:r>
      <w:r w:rsidR="00770BB3" w:rsidRPr="00192E1C">
        <w:rPr>
          <w:szCs w:val="24"/>
          <w:lang w:val="fr-CA"/>
        </w:rPr>
        <w:t xml:space="preserve"> et, le par.</w:t>
      </w:r>
      <w:r w:rsidR="00900537" w:rsidRPr="00192E1C">
        <w:rPr>
          <w:szCs w:val="24"/>
          <w:lang w:val="fr-CA"/>
        </w:rPr>
        <w:t> </w:t>
      </w:r>
      <w:r w:rsidR="00770BB3" w:rsidRPr="00192E1C">
        <w:rPr>
          <w:szCs w:val="24"/>
          <w:lang w:val="fr-CA"/>
        </w:rPr>
        <w:t>495(3) ne fait pas obstacle à ce qu’un accusé invoque une telle violation de l’art.</w:t>
      </w:r>
      <w:r w:rsidR="00900537" w:rsidRPr="00192E1C">
        <w:rPr>
          <w:szCs w:val="24"/>
          <w:lang w:val="fr-CA"/>
        </w:rPr>
        <w:t> </w:t>
      </w:r>
      <w:r w:rsidR="00770BB3" w:rsidRPr="00192E1C">
        <w:rPr>
          <w:szCs w:val="24"/>
          <w:lang w:val="fr-CA"/>
        </w:rPr>
        <w:t xml:space="preserve">9 de la </w:t>
      </w:r>
      <w:r w:rsidR="00770BB3" w:rsidRPr="00192E1C">
        <w:rPr>
          <w:i/>
          <w:szCs w:val="24"/>
          <w:lang w:val="fr-CA"/>
        </w:rPr>
        <w:t xml:space="preserve">Charte </w:t>
      </w:r>
      <w:r w:rsidR="00770BB3" w:rsidRPr="00192E1C">
        <w:rPr>
          <w:szCs w:val="24"/>
          <w:lang w:val="fr-CA"/>
        </w:rPr>
        <w:t>et réclame une réparation en vertu de l’art.</w:t>
      </w:r>
      <w:r w:rsidR="00900537" w:rsidRPr="00192E1C">
        <w:rPr>
          <w:szCs w:val="24"/>
          <w:lang w:val="fr-CA"/>
        </w:rPr>
        <w:t> </w:t>
      </w:r>
      <w:r w:rsidR="00770BB3" w:rsidRPr="00192E1C">
        <w:rPr>
          <w:szCs w:val="24"/>
          <w:lang w:val="fr-CA"/>
        </w:rPr>
        <w:t xml:space="preserve">24 de la </w:t>
      </w:r>
      <w:r w:rsidR="00770BB3" w:rsidRPr="00192E1C">
        <w:rPr>
          <w:i/>
          <w:szCs w:val="24"/>
          <w:lang w:val="fr-CA"/>
        </w:rPr>
        <w:t>Charte</w:t>
      </w:r>
      <w:r w:rsidR="00770BB3" w:rsidRPr="00192E1C">
        <w:rPr>
          <w:szCs w:val="24"/>
          <w:lang w:val="fr-CA"/>
        </w:rPr>
        <w:t xml:space="preserve"> dans le cadre de son propre procès. En l’espèce, le refus de procéder à la tenue d’un voir-dire sur la question de la légalité de l’arrestation de l’accusé constitue une erreur révisable justifiant la tenue d’un nouveau </w:t>
      </w:r>
      <w:r w:rsidR="00770BB3" w:rsidRPr="00192E1C">
        <w:rPr>
          <w:szCs w:val="24"/>
          <w:lang w:val="fr-CA"/>
        </w:rPr>
        <w:lastRenderedPageBreak/>
        <w:t>procès. Aucun des scénarios d’application du par.</w:t>
      </w:r>
      <w:r w:rsidR="00900537" w:rsidRPr="00192E1C">
        <w:rPr>
          <w:szCs w:val="24"/>
          <w:lang w:val="fr-CA"/>
        </w:rPr>
        <w:t> </w:t>
      </w:r>
      <w:r w:rsidR="00770BB3" w:rsidRPr="00192E1C">
        <w:rPr>
          <w:szCs w:val="24"/>
          <w:lang w:val="fr-CA"/>
        </w:rPr>
        <w:t>495(3) n’est présent, et la responsabilité criminelle ou civile de l’agent de la paix ayant procédé à l’arrestation sans mandat de l’accusé n’est pas en cause. La présomption de légalité créée par le par.</w:t>
      </w:r>
      <w:r w:rsidR="00900537" w:rsidRPr="00192E1C">
        <w:rPr>
          <w:szCs w:val="24"/>
          <w:lang w:val="fr-CA"/>
        </w:rPr>
        <w:t> </w:t>
      </w:r>
      <w:r w:rsidR="00770BB3" w:rsidRPr="00192E1C">
        <w:rPr>
          <w:szCs w:val="24"/>
          <w:lang w:val="fr-CA"/>
        </w:rPr>
        <w:t>495(3) ne s’applique pas, et le tribunal devait tenir un voir-dire afin de statuer sur la légalité de l’arrestation.</w:t>
      </w:r>
    </w:p>
    <w:p w14:paraId="0C73056B" w14:textId="60C2DDA7" w:rsidR="00770BB3" w:rsidRPr="00192E1C" w:rsidRDefault="00770BB3" w:rsidP="00770BB3">
      <w:pPr>
        <w:pStyle w:val="SCCNormalDoubleSpacing"/>
        <w:spacing w:after="480"/>
        <w:rPr>
          <w:szCs w:val="24"/>
          <w:lang w:val="fr-CA"/>
        </w:rPr>
      </w:pPr>
      <w:r w:rsidRPr="00192E1C">
        <w:rPr>
          <w:i/>
          <w:szCs w:val="24"/>
          <w:lang w:val="fr-CA"/>
        </w:rPr>
        <w:tab/>
      </w:r>
      <w:r w:rsidRPr="00192E1C">
        <w:rPr>
          <w:szCs w:val="24"/>
          <w:lang w:val="fr-CA"/>
        </w:rPr>
        <w:t>Il est nécessaire d’avoir recours à la méthode moderne d’interprétation statutaire afin de déterminer l’interprétation correcte qu’il convient d’accor</w:t>
      </w:r>
      <w:r w:rsidR="00747DC8" w:rsidRPr="00192E1C">
        <w:rPr>
          <w:szCs w:val="24"/>
          <w:lang w:val="fr-CA"/>
        </w:rPr>
        <w:t>der aux par.</w:t>
      </w:r>
      <w:r w:rsidR="00900537" w:rsidRPr="00192E1C">
        <w:rPr>
          <w:szCs w:val="24"/>
          <w:lang w:val="fr-CA"/>
        </w:rPr>
        <w:t> </w:t>
      </w:r>
      <w:r w:rsidR="00747DC8" w:rsidRPr="00192E1C">
        <w:rPr>
          <w:szCs w:val="24"/>
          <w:lang w:val="fr-CA"/>
        </w:rPr>
        <w:t xml:space="preserve">495(2) et 495(3). </w:t>
      </w:r>
      <w:r w:rsidRPr="00192E1C">
        <w:rPr>
          <w:lang w:val="fr-CA"/>
        </w:rPr>
        <w:t>L’exercice d’interprétation statutaire se concentre</w:t>
      </w:r>
      <w:r w:rsidR="00900537" w:rsidRPr="00192E1C">
        <w:rPr>
          <w:lang w:val="fr-CA"/>
        </w:rPr>
        <w:t xml:space="preserve"> </w:t>
      </w:r>
      <w:r w:rsidRPr="00192E1C">
        <w:rPr>
          <w:lang w:val="fr-CA"/>
        </w:rPr>
        <w:t>sur l’intention qu’avait le législateur au moment de l’édiction de la loi, et les tribunaux sont tenus de donner effet à cette intention.</w:t>
      </w:r>
      <w:r w:rsidRPr="00192E1C">
        <w:rPr>
          <w:szCs w:val="24"/>
          <w:lang w:val="fr-CA"/>
        </w:rPr>
        <w:t xml:space="preserve"> Le texte d’une disposition est le point d’ancrage d</w:t>
      </w:r>
      <w:r w:rsidR="009E5179" w:rsidRPr="00192E1C">
        <w:rPr>
          <w:szCs w:val="24"/>
          <w:lang w:val="fr-CA"/>
        </w:rPr>
        <w:t>e l’opération</w:t>
      </w:r>
      <w:r w:rsidRPr="00192E1C">
        <w:rPr>
          <w:szCs w:val="24"/>
          <w:lang w:val="fr-CA"/>
        </w:rPr>
        <w:t xml:space="preserve"> d’interprétation, et</w:t>
      </w:r>
      <w:r w:rsidR="00747DC8" w:rsidRPr="00192E1C">
        <w:rPr>
          <w:szCs w:val="24"/>
          <w:lang w:val="fr-CA"/>
        </w:rPr>
        <w:t xml:space="preserve"> </w:t>
      </w:r>
      <w:r w:rsidRPr="00192E1C">
        <w:rPr>
          <w:szCs w:val="24"/>
          <w:lang w:val="fr-CA"/>
        </w:rPr>
        <w:t>cette méthode commande de dégager le sens des dispositions à la lumière de leur texte, de leur contexte, et de leur objet.</w:t>
      </w:r>
    </w:p>
    <w:p w14:paraId="33A38D0C" w14:textId="139BE4D2" w:rsidR="00770BB3" w:rsidRPr="00192E1C" w:rsidRDefault="00770BB3" w:rsidP="00770BB3">
      <w:pPr>
        <w:pStyle w:val="SCCNormalDoubleSpacing"/>
        <w:spacing w:after="480"/>
        <w:rPr>
          <w:szCs w:val="24"/>
          <w:lang w:val="fr-CA"/>
        </w:rPr>
      </w:pPr>
      <w:r w:rsidRPr="00192E1C">
        <w:rPr>
          <w:szCs w:val="24"/>
          <w:lang w:val="fr-CA"/>
        </w:rPr>
        <w:tab/>
        <w:t>D’abord, le par.</w:t>
      </w:r>
      <w:r w:rsidR="00900537" w:rsidRPr="00192E1C">
        <w:rPr>
          <w:szCs w:val="24"/>
          <w:lang w:val="fr-CA"/>
        </w:rPr>
        <w:t> </w:t>
      </w:r>
      <w:r w:rsidRPr="00192E1C">
        <w:rPr>
          <w:szCs w:val="24"/>
          <w:lang w:val="fr-CA"/>
        </w:rPr>
        <w:t xml:space="preserve">495(1) du </w:t>
      </w:r>
      <w:r w:rsidRPr="00192E1C">
        <w:rPr>
          <w:i/>
          <w:szCs w:val="24"/>
          <w:lang w:val="fr-CA"/>
        </w:rPr>
        <w:t>Code criminel</w:t>
      </w:r>
      <w:r w:rsidRPr="00192E1C">
        <w:rPr>
          <w:szCs w:val="24"/>
          <w:lang w:val="fr-CA"/>
        </w:rPr>
        <w:t xml:space="preserve"> énonce les motifs requis pour une arrestation sans mandat et demeure le fondement de ce pouvoir discrétionnaire. Il prévoit qu’un agent de la paix « peut arrêter sans mandat </w:t>
      </w:r>
      <w:r w:rsidR="005E15BD" w:rsidRPr="00192E1C">
        <w:rPr>
          <w:szCs w:val="24"/>
          <w:lang w:val="fr-CA"/>
        </w:rPr>
        <w:t>[</w:t>
      </w:r>
      <w:r w:rsidRPr="00192E1C">
        <w:rPr>
          <w:szCs w:val="24"/>
          <w:lang w:val="fr-CA"/>
        </w:rPr>
        <w:t>. . .</w:t>
      </w:r>
      <w:r w:rsidR="005E15BD" w:rsidRPr="00192E1C">
        <w:rPr>
          <w:szCs w:val="24"/>
          <w:lang w:val="fr-CA"/>
        </w:rPr>
        <w:t>]</w:t>
      </w:r>
      <w:r w:rsidRPr="00192E1C">
        <w:rPr>
          <w:szCs w:val="24"/>
          <w:lang w:val="fr-CA"/>
        </w:rPr>
        <w:t xml:space="preserve"> une personne » s’il a des motifs raisonnables de croire qu’un acte criminel a été commis ou est sur le point de l’être, s’il trouve la personne en train de commettre une infraction criminelle ou s’il a des motifs raisonnables de croire qu’il y a un mandat d’arrestation ou de dépôt pour cette personne. L’usage de l’expression « peut arrêter sans mandat » indique que le par.</w:t>
      </w:r>
      <w:r w:rsidR="00900537" w:rsidRPr="00192E1C">
        <w:rPr>
          <w:szCs w:val="24"/>
          <w:lang w:val="fr-CA"/>
        </w:rPr>
        <w:t> </w:t>
      </w:r>
      <w:r w:rsidRPr="00192E1C">
        <w:rPr>
          <w:szCs w:val="24"/>
          <w:lang w:val="fr-CA"/>
        </w:rPr>
        <w:t xml:space="preserve">495(1) est permissif, mais le pouvoir ainsi conféré n’est pas absolu. Ce pouvoir a fait l’objet d’une importante réforme visant à limiter le recours à l’arrestation et à éviter </w:t>
      </w:r>
      <w:r w:rsidRPr="00192E1C">
        <w:rPr>
          <w:szCs w:val="24"/>
          <w:lang w:val="fr-CA"/>
        </w:rPr>
        <w:lastRenderedPageBreak/>
        <w:t>les arrestations et détentions préventives inutiles, lors de laquelle le Parlement a adopté les dispositions constituant aujourd’hui les par.</w:t>
      </w:r>
      <w:r w:rsidR="00900537" w:rsidRPr="00192E1C">
        <w:rPr>
          <w:szCs w:val="24"/>
          <w:lang w:val="fr-CA"/>
        </w:rPr>
        <w:t> </w:t>
      </w:r>
      <w:r w:rsidRPr="00192E1C">
        <w:rPr>
          <w:szCs w:val="24"/>
          <w:lang w:val="fr-CA"/>
        </w:rPr>
        <w:t>495(2) et 495(3). En adoptant ces deux dispositions, le Parlement visait à réduire les arrestations sans mandat non nécessaires et protéger l’agent de la paix ayant procédé à une arrestation sans mandat s’il commettait, de bonne foi, une erreur de jugement. L’intention du Parlement était de mettre en balance différentes considérations, notamment les libertés individuelles, la sécurité publique et l’intérêt du public à ce que les agents de la paix puissent faire leur travail efficacement.</w:t>
      </w:r>
    </w:p>
    <w:p w14:paraId="2466E186" w14:textId="567C04CE" w:rsidR="00770BB3" w:rsidRPr="00192E1C" w:rsidRDefault="00770BB3" w:rsidP="00770BB3">
      <w:pPr>
        <w:pStyle w:val="SCCNormalDoubleSpacing"/>
        <w:spacing w:after="480"/>
        <w:rPr>
          <w:szCs w:val="24"/>
          <w:lang w:val="fr-CA"/>
        </w:rPr>
      </w:pPr>
      <w:r w:rsidRPr="00192E1C">
        <w:rPr>
          <w:szCs w:val="24"/>
          <w:lang w:val="fr-CA"/>
        </w:rPr>
        <w:tab/>
        <w:t>Le paragraphe 495(2) module la règle générale prévue au par.</w:t>
      </w:r>
      <w:r w:rsidR="00900537" w:rsidRPr="00192E1C">
        <w:rPr>
          <w:szCs w:val="24"/>
          <w:lang w:val="fr-CA"/>
        </w:rPr>
        <w:t> </w:t>
      </w:r>
      <w:r w:rsidRPr="00192E1C">
        <w:rPr>
          <w:szCs w:val="24"/>
          <w:lang w:val="fr-CA"/>
        </w:rPr>
        <w:t>495(1) : il impose des normes contraignantes limitant la discrétion, autrefois très large, des agents de la paix de procéder à une arrestation sans mandat lorsque certaines conditions cumulatives sont réunies. La portée du par.</w:t>
      </w:r>
      <w:r w:rsidR="00900537" w:rsidRPr="00192E1C">
        <w:rPr>
          <w:szCs w:val="24"/>
          <w:lang w:val="fr-CA"/>
        </w:rPr>
        <w:t> </w:t>
      </w:r>
      <w:r w:rsidRPr="00192E1C">
        <w:rPr>
          <w:szCs w:val="24"/>
          <w:lang w:val="fr-CA"/>
        </w:rPr>
        <w:t>495(2) est limitée, car il s’applique uniquement aux infractions mixtes ou punissables par procédure sommaire, et aux actes criminels mentionnés à l’art.</w:t>
      </w:r>
      <w:r w:rsidR="00900537" w:rsidRPr="00192E1C">
        <w:rPr>
          <w:szCs w:val="24"/>
          <w:lang w:val="fr-CA"/>
        </w:rPr>
        <w:t> </w:t>
      </w:r>
      <w:r w:rsidRPr="00192E1C">
        <w:rPr>
          <w:szCs w:val="24"/>
          <w:lang w:val="fr-CA"/>
        </w:rPr>
        <w:t xml:space="preserve">553 du </w:t>
      </w:r>
      <w:r w:rsidRPr="00192E1C">
        <w:rPr>
          <w:i/>
          <w:szCs w:val="24"/>
          <w:lang w:val="fr-CA"/>
        </w:rPr>
        <w:t>Code criminel</w:t>
      </w:r>
      <w:r w:rsidRPr="00192E1C">
        <w:rPr>
          <w:szCs w:val="24"/>
          <w:lang w:val="fr-CA"/>
        </w:rPr>
        <w:t xml:space="preserve"> (al.</w:t>
      </w:r>
      <w:r w:rsidR="00900537" w:rsidRPr="00192E1C">
        <w:rPr>
          <w:szCs w:val="24"/>
          <w:lang w:val="fr-CA"/>
        </w:rPr>
        <w:t> </w:t>
      </w:r>
      <w:r w:rsidRPr="00192E1C">
        <w:rPr>
          <w:szCs w:val="24"/>
          <w:lang w:val="fr-CA"/>
        </w:rPr>
        <w:t>495(2)a) à c)). De plus, la restriction prévue au par.</w:t>
      </w:r>
      <w:r w:rsidR="00900537" w:rsidRPr="00192E1C">
        <w:rPr>
          <w:szCs w:val="24"/>
          <w:lang w:val="fr-CA"/>
        </w:rPr>
        <w:t> </w:t>
      </w:r>
      <w:r w:rsidRPr="00192E1C">
        <w:rPr>
          <w:szCs w:val="24"/>
          <w:lang w:val="fr-CA"/>
        </w:rPr>
        <w:t>495(2) trouve application uniquement lorsque deux exigences sont réunies : d’une part, l’agent de la paix doit avoir des motifs raisonnables de croire que l’intérêt public peut être préservé sans qu’il procède à une arrestation sans mandat (al.</w:t>
      </w:r>
      <w:r w:rsidR="00900537" w:rsidRPr="00192E1C">
        <w:rPr>
          <w:szCs w:val="24"/>
          <w:lang w:val="fr-CA"/>
        </w:rPr>
        <w:t> </w:t>
      </w:r>
      <w:r w:rsidRPr="00192E1C">
        <w:rPr>
          <w:szCs w:val="24"/>
          <w:lang w:val="fr-CA"/>
        </w:rPr>
        <w:t>495(2)d)); et d’autre part, l’agent de la paix ne doit avoir aucun motif raisonnable de croire que la personne omettra de se présenter au tribunal s’il ne l’arrête pas sans mandat (al.</w:t>
      </w:r>
      <w:r w:rsidR="00900537" w:rsidRPr="00192E1C">
        <w:rPr>
          <w:szCs w:val="24"/>
          <w:lang w:val="fr-CA"/>
        </w:rPr>
        <w:t> </w:t>
      </w:r>
      <w:r w:rsidRPr="00192E1C">
        <w:rPr>
          <w:szCs w:val="24"/>
          <w:lang w:val="fr-CA"/>
        </w:rPr>
        <w:t>495(2)e)).</w:t>
      </w:r>
    </w:p>
    <w:p w14:paraId="19E69531" w14:textId="436EAF7A" w:rsidR="00770BB3" w:rsidRPr="00192E1C" w:rsidRDefault="00770BB3" w:rsidP="00770BB3">
      <w:pPr>
        <w:pStyle w:val="SCCNormalDoubleSpacing"/>
        <w:spacing w:after="480"/>
        <w:rPr>
          <w:szCs w:val="24"/>
          <w:lang w:val="fr-CA"/>
        </w:rPr>
      </w:pPr>
      <w:r w:rsidRPr="00192E1C">
        <w:rPr>
          <w:szCs w:val="24"/>
          <w:lang w:val="fr-CA"/>
        </w:rPr>
        <w:lastRenderedPageBreak/>
        <w:tab/>
        <w:t>Le texte, le contexte et l’objet du par.</w:t>
      </w:r>
      <w:r w:rsidR="00935EED" w:rsidRPr="00192E1C">
        <w:rPr>
          <w:szCs w:val="24"/>
          <w:lang w:val="fr-CA"/>
        </w:rPr>
        <w:t> </w:t>
      </w:r>
      <w:r w:rsidRPr="00192E1C">
        <w:rPr>
          <w:szCs w:val="24"/>
          <w:lang w:val="fr-CA"/>
        </w:rPr>
        <w:t xml:space="preserve">495(2) du </w:t>
      </w:r>
      <w:r w:rsidRPr="00192E1C">
        <w:rPr>
          <w:i/>
          <w:szCs w:val="24"/>
          <w:lang w:val="fr-CA"/>
        </w:rPr>
        <w:t xml:space="preserve">Code criminel </w:t>
      </w:r>
      <w:r w:rsidRPr="00192E1C">
        <w:rPr>
          <w:szCs w:val="24"/>
          <w:lang w:val="fr-CA"/>
        </w:rPr>
        <w:t xml:space="preserve">mènent à la constatation que les restrictions imposées au pouvoir d’arrestation sans mandat sont de nature impérative : </w:t>
      </w:r>
      <w:r w:rsidRPr="00192E1C">
        <w:rPr>
          <w:lang w:val="fr-CA"/>
        </w:rPr>
        <w:t>l</w:t>
      </w:r>
      <w:r w:rsidRPr="00192E1C">
        <w:rPr>
          <w:szCs w:val="24"/>
          <w:lang w:val="fr-CA"/>
        </w:rPr>
        <w:t>orsque sont réunies les conditions mentionnées à l’al.</w:t>
      </w:r>
      <w:r w:rsidR="00935EED" w:rsidRPr="00192E1C">
        <w:rPr>
          <w:szCs w:val="24"/>
          <w:lang w:val="fr-CA"/>
        </w:rPr>
        <w:t> </w:t>
      </w:r>
      <w:r w:rsidRPr="00192E1C">
        <w:rPr>
          <w:szCs w:val="24"/>
          <w:lang w:val="fr-CA"/>
        </w:rPr>
        <w:t>d), à l’al.</w:t>
      </w:r>
      <w:r w:rsidR="00935EED" w:rsidRPr="00192E1C">
        <w:rPr>
          <w:szCs w:val="24"/>
          <w:lang w:val="fr-CA"/>
        </w:rPr>
        <w:t> </w:t>
      </w:r>
      <w:r w:rsidRPr="00192E1C">
        <w:rPr>
          <w:szCs w:val="24"/>
          <w:lang w:val="fr-CA"/>
        </w:rPr>
        <w:t>e), et à l’un ou l’autre des al.</w:t>
      </w:r>
      <w:r w:rsidR="00935EED" w:rsidRPr="00192E1C">
        <w:rPr>
          <w:szCs w:val="24"/>
          <w:lang w:val="fr-CA"/>
        </w:rPr>
        <w:t> </w:t>
      </w:r>
      <w:r w:rsidRPr="00192E1C">
        <w:rPr>
          <w:szCs w:val="24"/>
          <w:lang w:val="fr-CA"/>
        </w:rPr>
        <w:t xml:space="preserve">a) à c), l’arrestation sans mandat est strictement interdite. </w:t>
      </w:r>
      <w:r w:rsidRPr="00192E1C" w:rsidDel="0013243B">
        <w:rPr>
          <w:szCs w:val="24"/>
          <w:lang w:val="fr-CA"/>
        </w:rPr>
        <w:t>Le paragraphe</w:t>
      </w:r>
      <w:r w:rsidR="00935EED" w:rsidRPr="00192E1C">
        <w:rPr>
          <w:szCs w:val="24"/>
          <w:lang w:val="fr-CA"/>
        </w:rPr>
        <w:t> </w:t>
      </w:r>
      <w:r w:rsidRPr="00192E1C" w:rsidDel="0013243B">
        <w:rPr>
          <w:szCs w:val="24"/>
          <w:lang w:val="fr-CA"/>
        </w:rPr>
        <w:t>495(2) énonce qu’un agent de la paix « ne peut » procéder à une arrestation sans mandat lorsque les exigences mentionnées sont réunies. Selon la règle d’interprétation codifiée à l’art.</w:t>
      </w:r>
      <w:r w:rsidR="00935EED" w:rsidRPr="00192E1C">
        <w:rPr>
          <w:szCs w:val="24"/>
          <w:lang w:val="fr-CA"/>
        </w:rPr>
        <w:t> </w:t>
      </w:r>
      <w:r w:rsidRPr="00192E1C" w:rsidDel="0013243B">
        <w:rPr>
          <w:szCs w:val="24"/>
          <w:lang w:val="fr-CA"/>
        </w:rPr>
        <w:t xml:space="preserve">11 de la </w:t>
      </w:r>
      <w:r w:rsidRPr="00192E1C" w:rsidDel="0013243B">
        <w:rPr>
          <w:i/>
          <w:szCs w:val="24"/>
          <w:lang w:val="fr-CA"/>
        </w:rPr>
        <w:t>Loi d’interprétation</w:t>
      </w:r>
      <w:r w:rsidRPr="00192E1C" w:rsidDel="0013243B">
        <w:rPr>
          <w:szCs w:val="24"/>
          <w:lang w:val="fr-CA"/>
        </w:rPr>
        <w:t>, l</w:t>
      </w:r>
      <w:r w:rsidRPr="00192E1C">
        <w:rPr>
          <w:szCs w:val="24"/>
          <w:lang w:val="fr-CA"/>
        </w:rPr>
        <w:t>’emploi du</w:t>
      </w:r>
      <w:r w:rsidRPr="00192E1C" w:rsidDel="0013243B">
        <w:rPr>
          <w:szCs w:val="24"/>
          <w:lang w:val="fr-CA"/>
        </w:rPr>
        <w:t xml:space="preserve"> présent de l’indicatif </w:t>
      </w:r>
      <w:r w:rsidRPr="00192E1C">
        <w:rPr>
          <w:szCs w:val="24"/>
          <w:lang w:val="fr-CA"/>
        </w:rPr>
        <w:t>dans</w:t>
      </w:r>
      <w:r w:rsidR="00747DC8" w:rsidRPr="00192E1C">
        <w:rPr>
          <w:szCs w:val="24"/>
          <w:lang w:val="fr-CA"/>
        </w:rPr>
        <w:t xml:space="preserve"> </w:t>
      </w:r>
      <w:r w:rsidRPr="00192E1C" w:rsidDel="0013243B">
        <w:rPr>
          <w:szCs w:val="24"/>
          <w:lang w:val="fr-CA"/>
        </w:rPr>
        <w:t xml:space="preserve">l’expression « ne peut » devrait s’interpréter comme exprimant une obligation. </w:t>
      </w:r>
      <w:r w:rsidRPr="00192E1C">
        <w:rPr>
          <w:szCs w:val="24"/>
          <w:lang w:val="fr-CA"/>
        </w:rPr>
        <w:t>Par conséquent, le</w:t>
      </w:r>
      <w:r w:rsidRPr="00192E1C" w:rsidDel="0013243B">
        <w:rPr>
          <w:szCs w:val="24"/>
          <w:lang w:val="fr-CA"/>
        </w:rPr>
        <w:t>s agents de la paix ont l’obligation d’évaluer si une arrestation sans mandat est justifiée dans l’intérêt public et s’il existe un risque que l’accusé ne comparaisse pas.</w:t>
      </w:r>
      <w:r w:rsidRPr="00192E1C" w:rsidDel="0013243B">
        <w:rPr>
          <w:lang w:val="fr-CA"/>
        </w:rPr>
        <w:t xml:space="preserve"> Un agent de la paix contrevient au par.</w:t>
      </w:r>
      <w:r w:rsidR="00935EED" w:rsidRPr="00192E1C">
        <w:rPr>
          <w:lang w:val="fr-CA"/>
        </w:rPr>
        <w:t> </w:t>
      </w:r>
      <w:r w:rsidRPr="00192E1C" w:rsidDel="0013243B">
        <w:rPr>
          <w:lang w:val="fr-CA"/>
        </w:rPr>
        <w:t>495(2) lorsqu’il omet d’évaluer ces critères avant d’agir, ou lorsqu’il procède —</w:t>
      </w:r>
      <w:r w:rsidR="00935EED" w:rsidRPr="00192E1C">
        <w:rPr>
          <w:lang w:val="fr-CA"/>
        </w:rPr>
        <w:t xml:space="preserve"> </w:t>
      </w:r>
      <w:r w:rsidRPr="00192E1C" w:rsidDel="0013243B">
        <w:rPr>
          <w:lang w:val="fr-CA"/>
        </w:rPr>
        <w:t>à tort</w:t>
      </w:r>
      <w:r w:rsidR="00935EED" w:rsidRPr="00192E1C">
        <w:rPr>
          <w:lang w:val="fr-CA"/>
        </w:rPr>
        <w:t xml:space="preserve"> </w:t>
      </w:r>
      <w:r w:rsidRPr="00192E1C" w:rsidDel="0013243B">
        <w:rPr>
          <w:lang w:val="fr-CA"/>
        </w:rPr>
        <w:t>—</w:t>
      </w:r>
      <w:r w:rsidR="00935EED" w:rsidRPr="00192E1C">
        <w:rPr>
          <w:lang w:val="fr-CA"/>
        </w:rPr>
        <w:t xml:space="preserve"> </w:t>
      </w:r>
      <w:r w:rsidRPr="00192E1C" w:rsidDel="0013243B">
        <w:rPr>
          <w:lang w:val="fr-CA"/>
        </w:rPr>
        <w:t>à une arrestation sans mandat alors que les conditions ne lui permettent pas de le faire. Une arrestation contraire au par.</w:t>
      </w:r>
      <w:r w:rsidR="00935EED" w:rsidRPr="00192E1C">
        <w:rPr>
          <w:lang w:val="fr-CA"/>
        </w:rPr>
        <w:t> </w:t>
      </w:r>
      <w:r w:rsidRPr="00192E1C" w:rsidDel="0013243B">
        <w:rPr>
          <w:lang w:val="fr-CA"/>
        </w:rPr>
        <w:t xml:space="preserve">495(2) est une arrestation illégale, ce qui suffit pour </w:t>
      </w:r>
      <w:r w:rsidRPr="00192E1C">
        <w:rPr>
          <w:lang w:val="fr-CA"/>
        </w:rPr>
        <w:t xml:space="preserve">la </w:t>
      </w:r>
      <w:r w:rsidRPr="00192E1C" w:rsidDel="0013243B">
        <w:rPr>
          <w:lang w:val="fr-CA"/>
        </w:rPr>
        <w:t>qualifier d’arbitraire au sens de l’art.</w:t>
      </w:r>
      <w:r w:rsidR="00935EED" w:rsidRPr="00192E1C">
        <w:rPr>
          <w:lang w:val="fr-CA"/>
        </w:rPr>
        <w:t> </w:t>
      </w:r>
      <w:r w:rsidRPr="00192E1C" w:rsidDel="0013243B">
        <w:rPr>
          <w:lang w:val="fr-CA"/>
        </w:rPr>
        <w:t xml:space="preserve">9 de la </w:t>
      </w:r>
      <w:r w:rsidRPr="00192E1C" w:rsidDel="0013243B">
        <w:rPr>
          <w:i/>
          <w:lang w:val="fr-CA"/>
        </w:rPr>
        <w:t>Charte</w:t>
      </w:r>
      <w:r w:rsidRPr="00192E1C" w:rsidDel="0013243B">
        <w:rPr>
          <w:lang w:val="fr-CA"/>
        </w:rPr>
        <w:t>.</w:t>
      </w:r>
      <w:r w:rsidRPr="00192E1C">
        <w:rPr>
          <w:szCs w:val="24"/>
          <w:lang w:val="fr-CA"/>
        </w:rPr>
        <w:t xml:space="preserve"> </w:t>
      </w:r>
    </w:p>
    <w:p w14:paraId="3DF64587" w14:textId="4974CEAE" w:rsidR="00770BB3" w:rsidRPr="00192E1C" w:rsidRDefault="00770BB3" w:rsidP="00770BB3">
      <w:pPr>
        <w:pStyle w:val="SCCNormalDoubleSpacing"/>
        <w:spacing w:after="480"/>
        <w:rPr>
          <w:szCs w:val="24"/>
          <w:lang w:val="fr-CA"/>
        </w:rPr>
      </w:pPr>
      <w:r w:rsidRPr="00192E1C">
        <w:rPr>
          <w:szCs w:val="24"/>
          <w:lang w:val="fr-CA"/>
        </w:rPr>
        <w:tab/>
        <w:t xml:space="preserve">Le paragraphe 495(3) offre une certaine protection </w:t>
      </w:r>
      <w:r w:rsidRPr="00192E1C">
        <w:rPr>
          <w:lang w:val="fr-CA"/>
        </w:rPr>
        <w:t>aux agents de la paix et à toute personne responsable de ces derniers contre des poursuites visant leur responsabilité criminelle ou civile découlant d’une arrestation contraire au par. 495(2)</w:t>
      </w:r>
      <w:r w:rsidRPr="00192E1C">
        <w:rPr>
          <w:szCs w:val="24"/>
          <w:lang w:val="fr-CA"/>
        </w:rPr>
        <w:t>.</w:t>
      </w:r>
      <w:r w:rsidRPr="00192E1C">
        <w:rPr>
          <w:lang w:val="fr-CA"/>
        </w:rPr>
        <w:t xml:space="preserve"> Le paragraphe 495(3) crée une présomption de légalité à l’égard de la conduite d’un agent de la paix qui a procédé à une arrestation sans mandat qui ne respecte pas les exigences du par.</w:t>
      </w:r>
      <w:r w:rsidR="00935EED" w:rsidRPr="00192E1C">
        <w:rPr>
          <w:lang w:val="fr-CA"/>
        </w:rPr>
        <w:t> </w:t>
      </w:r>
      <w:r w:rsidRPr="00192E1C">
        <w:rPr>
          <w:lang w:val="fr-CA"/>
        </w:rPr>
        <w:t>495(2), pourvu qu’il l’ait fait conformément au par.</w:t>
      </w:r>
      <w:r w:rsidR="00935EED" w:rsidRPr="00192E1C">
        <w:rPr>
          <w:lang w:val="fr-CA"/>
        </w:rPr>
        <w:t> </w:t>
      </w:r>
      <w:r w:rsidRPr="00192E1C">
        <w:rPr>
          <w:lang w:val="fr-CA"/>
        </w:rPr>
        <w:t xml:space="preserve">495(1). </w:t>
      </w:r>
      <w:r w:rsidRPr="00192E1C">
        <w:rPr>
          <w:szCs w:val="24"/>
          <w:lang w:val="fr-CA"/>
        </w:rPr>
        <w:t>L’alinéa</w:t>
      </w:r>
      <w:r w:rsidR="00935EED" w:rsidRPr="00192E1C">
        <w:rPr>
          <w:szCs w:val="24"/>
          <w:lang w:val="fr-CA"/>
        </w:rPr>
        <w:t> </w:t>
      </w:r>
      <w:r w:rsidRPr="00192E1C">
        <w:rPr>
          <w:szCs w:val="24"/>
          <w:lang w:val="fr-CA"/>
        </w:rPr>
        <w:t xml:space="preserve">495(3)a) empêche, à titre d’exemple, qu’un agent de la paix soit tenu criminellement responsable d’une infraction prévue au </w:t>
      </w:r>
      <w:r w:rsidRPr="00192E1C">
        <w:rPr>
          <w:i/>
          <w:szCs w:val="24"/>
          <w:lang w:val="fr-CA"/>
        </w:rPr>
        <w:t>Code criminel</w:t>
      </w:r>
      <w:r w:rsidRPr="00192E1C">
        <w:rPr>
          <w:szCs w:val="24"/>
          <w:lang w:val="fr-CA"/>
        </w:rPr>
        <w:t xml:space="preserve"> pour avoir contrevenu aux prescriptions du par.</w:t>
      </w:r>
      <w:r w:rsidR="00935EED" w:rsidRPr="00192E1C">
        <w:rPr>
          <w:szCs w:val="24"/>
          <w:lang w:val="fr-CA"/>
        </w:rPr>
        <w:t> </w:t>
      </w:r>
      <w:r w:rsidRPr="00192E1C">
        <w:rPr>
          <w:szCs w:val="24"/>
          <w:lang w:val="fr-CA"/>
        </w:rPr>
        <w:t>495(2). Cependant, l’al.</w:t>
      </w:r>
      <w:r w:rsidR="00935EED" w:rsidRPr="00192E1C">
        <w:rPr>
          <w:szCs w:val="24"/>
          <w:lang w:val="fr-CA"/>
        </w:rPr>
        <w:t> </w:t>
      </w:r>
      <w:r w:rsidRPr="00192E1C">
        <w:rPr>
          <w:szCs w:val="24"/>
          <w:lang w:val="fr-CA"/>
        </w:rPr>
        <w:t xml:space="preserve">495(3)b) permet à une personne ayant subi une arrestation de réfuter cette présomption dans le cas d’une procédure qui n’est pas engagée en vertu du </w:t>
      </w:r>
      <w:r w:rsidRPr="00192E1C">
        <w:rPr>
          <w:i/>
          <w:szCs w:val="24"/>
          <w:lang w:val="fr-CA"/>
        </w:rPr>
        <w:t>Code criminel</w:t>
      </w:r>
      <w:r w:rsidRPr="00192E1C">
        <w:rPr>
          <w:szCs w:val="24"/>
          <w:lang w:val="fr-CA"/>
        </w:rPr>
        <w:t xml:space="preserve"> ou de toute autre loi fédérale. Le paragraphe 495(3)b) permet donc à une telle personne d’engager une poursuite civile contre l’agent de la paix, ou son employeur, mais la personne qui a été arrêtée sans mandat a le fardeau de prouver que l’agent de la paix avait des motifs raisonnables de croire que l’intérêt public pouvait être sauvegardé sans qu’il l’arrête et qu’il n’y avait aucun risque qu’elle omette de se présenter au tribunal.</w:t>
      </w:r>
    </w:p>
    <w:p w14:paraId="2BD625E2" w14:textId="42CF9603" w:rsidR="00770BB3" w:rsidRPr="00192E1C" w:rsidRDefault="00770BB3" w:rsidP="00770BB3">
      <w:pPr>
        <w:pStyle w:val="SCCNormalDoubleSpacing"/>
        <w:spacing w:after="480"/>
        <w:rPr>
          <w:szCs w:val="24"/>
          <w:lang w:val="fr-CA"/>
        </w:rPr>
      </w:pPr>
      <w:r w:rsidRPr="00192E1C">
        <w:rPr>
          <w:szCs w:val="24"/>
          <w:lang w:val="fr-CA"/>
        </w:rPr>
        <w:tab/>
        <w:t>La présomption de légalité créée par le par.</w:t>
      </w:r>
      <w:r w:rsidR="00935EED" w:rsidRPr="00192E1C">
        <w:rPr>
          <w:szCs w:val="24"/>
          <w:lang w:val="fr-CA"/>
        </w:rPr>
        <w:t> </w:t>
      </w:r>
      <w:r w:rsidRPr="00192E1C">
        <w:rPr>
          <w:szCs w:val="24"/>
          <w:lang w:val="fr-CA"/>
        </w:rPr>
        <w:t xml:space="preserve">495(3) ne s’applique pas lorsque la responsabilité criminelle ou civile de l’agent ou de toute personne responsable de ce dernier n’est pas en cause. Les alinéas 495(3)a) et b) requièrent que les procédures engagées soient dirigées directement contre la conduite de l’agent de la </w:t>
      </w:r>
      <w:r w:rsidRPr="00192E1C">
        <w:rPr>
          <w:szCs w:val="24"/>
          <w:lang w:val="fr-CA"/>
        </w:rPr>
        <w:lastRenderedPageBreak/>
        <w:t>paix qui a procédé à l’arrestation sans mandat contrairement aux exigences du par.</w:t>
      </w:r>
      <w:r w:rsidR="00935EED" w:rsidRPr="00192E1C">
        <w:rPr>
          <w:szCs w:val="24"/>
          <w:lang w:val="fr-CA"/>
        </w:rPr>
        <w:t> </w:t>
      </w:r>
      <w:r w:rsidRPr="00192E1C">
        <w:rPr>
          <w:szCs w:val="24"/>
          <w:lang w:val="fr-CA"/>
        </w:rPr>
        <w:t>495(2). Une interprétation selon laquelle une arrestation contraire au par.</w:t>
      </w:r>
      <w:r w:rsidR="00935EED" w:rsidRPr="00192E1C">
        <w:rPr>
          <w:szCs w:val="24"/>
          <w:lang w:val="fr-CA"/>
        </w:rPr>
        <w:t> </w:t>
      </w:r>
      <w:r w:rsidRPr="00192E1C">
        <w:rPr>
          <w:szCs w:val="24"/>
          <w:lang w:val="fr-CA"/>
        </w:rPr>
        <w:t>495(2) serait tout de même considérée légale dans le cadre du procès criminel de la personne ayant été arrêtée réduirait la portée dissuasive du par.</w:t>
      </w:r>
      <w:r w:rsidR="00935EED" w:rsidRPr="00192E1C">
        <w:rPr>
          <w:szCs w:val="24"/>
          <w:lang w:val="fr-CA"/>
        </w:rPr>
        <w:t> </w:t>
      </w:r>
      <w:r w:rsidRPr="00192E1C">
        <w:rPr>
          <w:szCs w:val="24"/>
          <w:lang w:val="fr-CA"/>
        </w:rPr>
        <w:t>495(2), dont l’un des objectifs est de réduire les arrestations sans mandat.</w:t>
      </w:r>
    </w:p>
    <w:p w14:paraId="43DC6615" w14:textId="7378185F" w:rsidR="00CF7BC7" w:rsidRPr="00192E1C" w:rsidRDefault="00770BB3" w:rsidP="004B1AD0">
      <w:pPr>
        <w:pStyle w:val="SCCNormalDoubleSpacing"/>
        <w:spacing w:after="480"/>
        <w:rPr>
          <w:szCs w:val="24"/>
          <w:lang w:val="fr-CA"/>
        </w:rPr>
      </w:pPr>
      <w:r w:rsidRPr="00192E1C">
        <w:rPr>
          <w:szCs w:val="24"/>
          <w:lang w:val="fr-CA"/>
        </w:rPr>
        <w:tab/>
        <w:t>On ne peut imputer au Parlement, lors de l’adoption de la disposition qui deviendra l’actuel par.</w:t>
      </w:r>
      <w:r w:rsidR="00935EED" w:rsidRPr="00192E1C">
        <w:rPr>
          <w:szCs w:val="24"/>
          <w:lang w:val="fr-CA"/>
        </w:rPr>
        <w:t> </w:t>
      </w:r>
      <w:r w:rsidRPr="00192E1C">
        <w:rPr>
          <w:szCs w:val="24"/>
          <w:lang w:val="fr-CA"/>
        </w:rPr>
        <w:t>495(3), une intention d’immuniser une arrestation non conforme au par.</w:t>
      </w:r>
      <w:r w:rsidR="00935EED" w:rsidRPr="00192E1C">
        <w:rPr>
          <w:szCs w:val="24"/>
          <w:lang w:val="fr-CA"/>
        </w:rPr>
        <w:t> </w:t>
      </w:r>
      <w:r w:rsidRPr="00192E1C">
        <w:rPr>
          <w:szCs w:val="24"/>
          <w:lang w:val="fr-CA"/>
        </w:rPr>
        <w:t xml:space="preserve">495(2). Le libellé des dispositions relatives au pouvoir d’arrestation sans mandat est entré en vigueur près d’une décennie avant l’adoption de la </w:t>
      </w:r>
      <w:r w:rsidRPr="00192E1C">
        <w:rPr>
          <w:i/>
          <w:szCs w:val="24"/>
          <w:lang w:val="fr-CA"/>
        </w:rPr>
        <w:t>Charte.</w:t>
      </w:r>
      <w:r w:rsidRPr="00192E1C">
        <w:rPr>
          <w:szCs w:val="24"/>
          <w:lang w:val="fr-CA"/>
        </w:rPr>
        <w:t xml:space="preserve"> Le Parlement ne pouvait alors concevoir que, des années plus tard, des personnes accusées pourraient, dans le cadre de leur propre procès criminel, contester des violations de leurs droits constitutionnels en invoquant l’illégalité de leur arrestation. La </w:t>
      </w:r>
      <w:r w:rsidRPr="00192E1C">
        <w:rPr>
          <w:i/>
          <w:szCs w:val="24"/>
          <w:lang w:val="fr-CA"/>
        </w:rPr>
        <w:t>Charte</w:t>
      </w:r>
      <w:r w:rsidRPr="00192E1C">
        <w:rPr>
          <w:szCs w:val="24"/>
          <w:lang w:val="fr-CA"/>
        </w:rPr>
        <w:t xml:space="preserve"> n’avait pas encore été adoptée et la Cour n’avait pas reconnu qu’une arrestation illégale pouvait équivaloir à une arrestation arbitraire, et le Parlement ne pouvait non plus anticiper que des personnes accusées puissent solliciter des réparations en vertu de la </w:t>
      </w:r>
      <w:r w:rsidRPr="00192E1C">
        <w:rPr>
          <w:i/>
          <w:szCs w:val="24"/>
          <w:lang w:val="fr-CA"/>
        </w:rPr>
        <w:t>Charte</w:t>
      </w:r>
      <w:r w:rsidRPr="00192E1C">
        <w:rPr>
          <w:szCs w:val="24"/>
          <w:lang w:val="fr-CA"/>
        </w:rPr>
        <w:t>. Le libellé du par.</w:t>
      </w:r>
      <w:r w:rsidR="00935EED" w:rsidRPr="00192E1C">
        <w:rPr>
          <w:szCs w:val="24"/>
          <w:lang w:val="fr-CA"/>
        </w:rPr>
        <w:t> </w:t>
      </w:r>
      <w:r w:rsidRPr="00192E1C">
        <w:rPr>
          <w:szCs w:val="24"/>
          <w:lang w:val="fr-CA"/>
        </w:rPr>
        <w:t>495(3) doit être interprété à la lumière de cette réalité.</w:t>
      </w:r>
    </w:p>
    <w:p w14:paraId="669BC35D" w14:textId="77777777" w:rsidR="00CF7BC7" w:rsidRPr="00192E1C" w:rsidRDefault="00CF7BC7" w:rsidP="00FC051E">
      <w:pPr>
        <w:pStyle w:val="SCCNormalDoubleSpacing"/>
        <w:widowControl w:val="0"/>
        <w:spacing w:after="720" w:line="240" w:lineRule="auto"/>
        <w:rPr>
          <w:b/>
          <w:szCs w:val="24"/>
          <w:lang w:val="fr-CA"/>
        </w:rPr>
      </w:pPr>
      <w:r w:rsidRPr="00192E1C">
        <w:rPr>
          <w:b/>
          <w:szCs w:val="24"/>
          <w:lang w:val="fr-CA"/>
        </w:rPr>
        <w:t>Jurisprudence</w:t>
      </w:r>
    </w:p>
    <w:p w14:paraId="5503EF17" w14:textId="5DDEBC6D" w:rsidR="00300FAF" w:rsidRPr="00192E1C" w:rsidRDefault="00300FAF" w:rsidP="00300FAF">
      <w:pPr>
        <w:pStyle w:val="SCCNormalDoubleSpacing"/>
        <w:widowControl w:val="0"/>
        <w:spacing w:after="480"/>
        <w:rPr>
          <w:lang w:val="fr-CA"/>
        </w:rPr>
      </w:pPr>
      <w:r w:rsidRPr="00192E1C">
        <w:rPr>
          <w:szCs w:val="24"/>
          <w:lang w:val="fr-CA"/>
        </w:rPr>
        <w:tab/>
      </w:r>
      <w:r w:rsidR="00CF7BC7" w:rsidRPr="00192E1C">
        <w:rPr>
          <w:b/>
          <w:szCs w:val="24"/>
          <w:lang w:val="fr-CA"/>
        </w:rPr>
        <w:t xml:space="preserve">Arrêts </w:t>
      </w:r>
      <w:r w:rsidR="0006342A" w:rsidRPr="00192E1C">
        <w:rPr>
          <w:b/>
          <w:szCs w:val="24"/>
          <w:lang w:val="fr-CA"/>
        </w:rPr>
        <w:t xml:space="preserve">rejetés : </w:t>
      </w:r>
      <w:r w:rsidR="0006342A" w:rsidRPr="00192E1C">
        <w:rPr>
          <w:i/>
          <w:lang w:val="fr-CA"/>
        </w:rPr>
        <w:t>R. c. Adams</w:t>
      </w:r>
      <w:r w:rsidR="0006342A" w:rsidRPr="00192E1C">
        <w:rPr>
          <w:lang w:val="fr-CA"/>
        </w:rPr>
        <w:t xml:space="preserve"> (1972), 21 C.R.N.S. 257;</w:t>
      </w:r>
      <w:r w:rsidR="0006342A" w:rsidRPr="00192E1C">
        <w:rPr>
          <w:bCs/>
          <w:i/>
          <w:iCs/>
          <w:lang w:val="fr-CA"/>
        </w:rPr>
        <w:t xml:space="preserve"> R. c. McKibbon </w:t>
      </w:r>
      <w:r w:rsidR="0006342A" w:rsidRPr="00192E1C">
        <w:rPr>
          <w:lang w:val="fr-CA"/>
        </w:rPr>
        <w:t>(1973), 12 C.C.C. (2d) 66;</w:t>
      </w:r>
      <w:r w:rsidR="0006342A" w:rsidRPr="00192E1C">
        <w:rPr>
          <w:bCs/>
          <w:i/>
          <w:iCs/>
          <w:lang w:val="fr-CA"/>
        </w:rPr>
        <w:t xml:space="preserve"> R. c. Fuhr</w:t>
      </w:r>
      <w:r w:rsidR="0006342A" w:rsidRPr="00192E1C">
        <w:rPr>
          <w:lang w:val="fr-CA"/>
        </w:rPr>
        <w:t>, [1975] 4 W.W.R. 403;</w:t>
      </w:r>
      <w:r w:rsidR="0006342A" w:rsidRPr="00192E1C">
        <w:rPr>
          <w:i/>
          <w:lang w:val="fr-CA"/>
        </w:rPr>
        <w:t xml:space="preserve"> R. c. Cayer</w:t>
      </w:r>
      <w:r w:rsidR="0006342A" w:rsidRPr="00192E1C">
        <w:rPr>
          <w:lang w:val="fr-CA"/>
        </w:rPr>
        <w:t xml:space="preserve"> (1988), 28 O.A.C. 105;</w:t>
      </w:r>
      <w:r w:rsidR="0006342A" w:rsidRPr="00192E1C">
        <w:rPr>
          <w:i/>
          <w:lang w:val="fr-CA"/>
        </w:rPr>
        <w:t xml:space="preserve"> R. c. Jowett Work</w:t>
      </w:r>
      <w:r w:rsidR="0006342A" w:rsidRPr="00192E1C">
        <w:rPr>
          <w:szCs w:val="24"/>
          <w:lang w:val="fr-CA"/>
        </w:rPr>
        <w:t>, 2019 BCCA 236, 379 C.C.C. (3d) 187;</w:t>
      </w:r>
      <w:r w:rsidR="0006342A" w:rsidRPr="00192E1C">
        <w:rPr>
          <w:i/>
          <w:lang w:val="fr-CA"/>
        </w:rPr>
        <w:t xml:space="preserve"> R. c. Veen</w:t>
      </w:r>
      <w:r w:rsidR="0006342A" w:rsidRPr="00192E1C">
        <w:rPr>
          <w:lang w:val="fr-CA"/>
        </w:rPr>
        <w:t xml:space="preserve">, 2022 ABCA 350, 51 Alta. L.R. (7th) 417; </w:t>
      </w:r>
      <w:r w:rsidR="0006342A" w:rsidRPr="00192E1C">
        <w:rPr>
          <w:b/>
          <w:szCs w:val="24"/>
          <w:lang w:val="fr-CA"/>
        </w:rPr>
        <w:t xml:space="preserve">arrêts </w:t>
      </w:r>
      <w:r w:rsidR="00CF7BC7" w:rsidRPr="00192E1C">
        <w:rPr>
          <w:b/>
          <w:szCs w:val="24"/>
          <w:lang w:val="fr-CA"/>
        </w:rPr>
        <w:t>mentionnés :</w:t>
      </w:r>
      <w:r w:rsidRPr="00192E1C">
        <w:rPr>
          <w:b/>
          <w:szCs w:val="24"/>
          <w:lang w:val="fr-CA"/>
        </w:rPr>
        <w:t xml:space="preserve"> </w:t>
      </w:r>
      <w:r w:rsidR="00AF358D" w:rsidRPr="00192E1C">
        <w:rPr>
          <w:i/>
          <w:lang w:val="fr-CA"/>
        </w:rPr>
        <w:t>R. c. Wray</w:t>
      </w:r>
      <w:r w:rsidR="00AF358D" w:rsidRPr="00192E1C">
        <w:rPr>
          <w:lang w:val="fr-CA"/>
        </w:rPr>
        <w:t>, [1971] R.C.S. 272;</w:t>
      </w:r>
      <w:r w:rsidR="004669AE" w:rsidRPr="00192E1C">
        <w:rPr>
          <w:i/>
          <w:lang w:val="fr-CA"/>
        </w:rPr>
        <w:t xml:space="preserve"> R. c. Veen</w:t>
      </w:r>
      <w:r w:rsidR="004669AE" w:rsidRPr="00192E1C">
        <w:rPr>
          <w:lang w:val="fr-CA"/>
        </w:rPr>
        <w:t>, 2020 ABQB 99, 10 Alta. L.R. (7th) 192;</w:t>
      </w:r>
      <w:r w:rsidR="004669AE" w:rsidRPr="00192E1C">
        <w:rPr>
          <w:i/>
          <w:iCs/>
          <w:lang w:val="fr-CA"/>
        </w:rPr>
        <w:t xml:space="preserve"> Rizzo &amp; Rizzo Shoes Ltd. (Re)</w:t>
      </w:r>
      <w:r w:rsidR="004669AE" w:rsidRPr="00192E1C">
        <w:rPr>
          <w:lang w:val="fr-CA"/>
        </w:rPr>
        <w:t xml:space="preserve">, [1998] 1 R.C.S. 27; </w:t>
      </w:r>
      <w:r w:rsidR="004669AE" w:rsidRPr="00192E1C">
        <w:rPr>
          <w:i/>
          <w:iCs/>
          <w:lang w:val="fr-CA"/>
        </w:rPr>
        <w:t>R. c. Basque</w:t>
      </w:r>
      <w:r w:rsidR="004669AE" w:rsidRPr="00192E1C">
        <w:rPr>
          <w:lang w:val="fr-CA"/>
        </w:rPr>
        <w:t xml:space="preserve">, 2023 CSC 18; </w:t>
      </w:r>
      <w:r w:rsidR="004669AE" w:rsidRPr="00192E1C">
        <w:rPr>
          <w:i/>
          <w:lang w:val="fr-CA"/>
        </w:rPr>
        <w:t>R. c. Wolfe</w:t>
      </w:r>
      <w:r w:rsidR="004669AE" w:rsidRPr="00192E1C">
        <w:rPr>
          <w:lang w:val="fr-CA"/>
        </w:rPr>
        <w:t>, 2024 CSC 34;</w:t>
      </w:r>
      <w:r w:rsidR="004669AE" w:rsidRPr="00192E1C">
        <w:rPr>
          <w:i/>
          <w:lang w:val="fr-CA"/>
        </w:rPr>
        <w:t xml:space="preserve"> Telus </w:t>
      </w:r>
      <w:r w:rsidR="004669AE" w:rsidRPr="00192E1C">
        <w:rPr>
          <w:i/>
          <w:lang w:val="fr-CA"/>
        </w:rPr>
        <w:lastRenderedPageBreak/>
        <w:t>Communications Inc. c. Fédération canadienne des municipalités</w:t>
      </w:r>
      <w:r w:rsidR="004669AE" w:rsidRPr="00192E1C">
        <w:rPr>
          <w:lang w:val="fr-CA"/>
        </w:rPr>
        <w:t>,</w:t>
      </w:r>
      <w:r w:rsidR="004669AE" w:rsidRPr="00192E1C">
        <w:rPr>
          <w:i/>
          <w:lang w:val="fr-CA"/>
        </w:rPr>
        <w:t xml:space="preserve"> </w:t>
      </w:r>
      <w:r w:rsidR="004669AE" w:rsidRPr="00192E1C">
        <w:rPr>
          <w:lang w:val="fr-CA"/>
        </w:rPr>
        <w:t>2025 CSC 15</w:t>
      </w:r>
      <w:r w:rsidR="008477E9" w:rsidRPr="00192E1C">
        <w:rPr>
          <w:lang w:val="fr-CA"/>
        </w:rPr>
        <w:t xml:space="preserve">; </w:t>
      </w:r>
      <w:r w:rsidR="008477E9" w:rsidRPr="00192E1C">
        <w:rPr>
          <w:rStyle w:val="solexhl"/>
          <w:rFonts w:eastAsiaTheme="majorEastAsia"/>
          <w:i/>
          <w:iCs/>
          <w:color w:val="000000"/>
          <w:lang w:val="fr-CA"/>
        </w:rPr>
        <w:t>Perka c. La Reine</w:t>
      </w:r>
      <w:r w:rsidR="008477E9" w:rsidRPr="00192E1C">
        <w:rPr>
          <w:color w:val="000000"/>
          <w:lang w:val="fr-CA"/>
        </w:rPr>
        <w:t>, [1984] 2 R.C.S. 232;</w:t>
      </w:r>
      <w:r w:rsidR="008477E9" w:rsidRPr="00192E1C">
        <w:rPr>
          <w:i/>
          <w:iCs/>
          <w:color w:val="000000"/>
          <w:lang w:val="fr-CA"/>
        </w:rPr>
        <w:t xml:space="preserve"> R. c. Big M Drug Mart Ltd.</w:t>
      </w:r>
      <w:r w:rsidR="008477E9" w:rsidRPr="00192E1C">
        <w:rPr>
          <w:color w:val="000000"/>
          <w:lang w:val="fr-CA"/>
        </w:rPr>
        <w:t xml:space="preserve">, [1985] 1 R.C.S. 295; </w:t>
      </w:r>
      <w:r w:rsidR="008477E9" w:rsidRPr="00192E1C">
        <w:rPr>
          <w:i/>
          <w:iCs/>
          <w:color w:val="000000"/>
          <w:lang w:val="fr-CA"/>
        </w:rPr>
        <w:t>États-Unis d’Amérique c. Dynar</w:t>
      </w:r>
      <w:r w:rsidR="008477E9" w:rsidRPr="00192E1C">
        <w:rPr>
          <w:color w:val="000000"/>
          <w:lang w:val="fr-CA"/>
        </w:rPr>
        <w:t>, [1997] 2 R.C.S. 462;</w:t>
      </w:r>
      <w:r w:rsidR="008477E9" w:rsidRPr="00192E1C">
        <w:rPr>
          <w:i/>
          <w:lang w:val="fr-CA"/>
        </w:rPr>
        <w:t xml:space="preserve"> Piekut c. Canada (Revenu national)</w:t>
      </w:r>
      <w:r w:rsidR="008477E9" w:rsidRPr="00192E1C">
        <w:rPr>
          <w:lang w:val="fr-CA"/>
        </w:rPr>
        <w:t>, 2025 CSC 13;</w:t>
      </w:r>
      <w:r w:rsidR="008477E9" w:rsidRPr="00192E1C">
        <w:rPr>
          <w:i/>
          <w:iCs/>
          <w:color w:val="000000"/>
          <w:lang w:val="fr-CA"/>
        </w:rPr>
        <w:t xml:space="preserve"> Québec (Commission des droits de la personne et des droits de la jeunesse) c. Directrice de la protection de la jeunesse du CISSS A</w:t>
      </w:r>
      <w:r w:rsidR="008477E9" w:rsidRPr="00192E1C">
        <w:rPr>
          <w:color w:val="000000"/>
          <w:lang w:val="fr-CA"/>
        </w:rPr>
        <w:t>, 2024 CSC 43;</w:t>
      </w:r>
      <w:r w:rsidR="008477E9" w:rsidRPr="00192E1C">
        <w:rPr>
          <w:i/>
          <w:lang w:val="fr-CA"/>
        </w:rPr>
        <w:t xml:space="preserve"> Bessette c. Colombie‑Britannique (Procureur général)</w:t>
      </w:r>
      <w:r w:rsidR="008477E9" w:rsidRPr="00192E1C">
        <w:rPr>
          <w:lang w:val="fr-CA"/>
        </w:rPr>
        <w:t>, 2019 CSC 31, [2019] 2 R.C.S. 535;</w:t>
      </w:r>
      <w:r w:rsidR="008477E9" w:rsidRPr="00192E1C">
        <w:rPr>
          <w:i/>
          <w:lang w:val="fr-CA"/>
        </w:rPr>
        <w:t xml:space="preserve"> R. c. Johnson</w:t>
      </w:r>
      <w:r w:rsidR="008477E9" w:rsidRPr="00192E1C">
        <w:rPr>
          <w:lang w:val="fr-CA"/>
        </w:rPr>
        <w:t xml:space="preserve">, 2003 CSC 46, [2003] 2 R.C.S. 357; </w:t>
      </w:r>
      <w:r w:rsidR="008477E9" w:rsidRPr="00192E1C">
        <w:rPr>
          <w:i/>
          <w:lang w:val="fr-CA"/>
        </w:rPr>
        <w:t>Baron c. Canada</w:t>
      </w:r>
      <w:r w:rsidR="008477E9" w:rsidRPr="00192E1C">
        <w:rPr>
          <w:lang w:val="fr-CA"/>
        </w:rPr>
        <w:t>, [1993] 1 R.C.S. 416;</w:t>
      </w:r>
      <w:r w:rsidR="008477E9" w:rsidRPr="00192E1C">
        <w:rPr>
          <w:i/>
          <w:lang w:val="fr-CA"/>
        </w:rPr>
        <w:t xml:space="preserve"> Canada (Procureur général) c. Mavi</w:t>
      </w:r>
      <w:r w:rsidR="008477E9" w:rsidRPr="00192E1C">
        <w:rPr>
          <w:lang w:val="fr-CA"/>
        </w:rPr>
        <w:t>, 2011 CSC 30, [2011] 2 R.C.S. 504;</w:t>
      </w:r>
      <w:r w:rsidR="000C3856" w:rsidRPr="00192E1C">
        <w:rPr>
          <w:i/>
          <w:lang w:val="fr-CA"/>
        </w:rPr>
        <w:t xml:space="preserve"> Tremblay c. Ottawa (Police Services Board)</w:t>
      </w:r>
      <w:r w:rsidR="000C3856" w:rsidRPr="00192E1C">
        <w:rPr>
          <w:lang w:val="fr-CA"/>
        </w:rPr>
        <w:t>, 2018 ONCA 49</w:t>
      </w:r>
      <w:r w:rsidR="00B40410" w:rsidRPr="00192E1C">
        <w:rPr>
          <w:lang w:val="fr-CA"/>
        </w:rPr>
        <w:t>7</w:t>
      </w:r>
      <w:r w:rsidR="000C3856" w:rsidRPr="00192E1C">
        <w:rPr>
          <w:lang w:val="fr-CA"/>
        </w:rPr>
        <w:t>, 48 C.C.L.T. (4th) 1;</w:t>
      </w:r>
      <w:r w:rsidR="000C3856" w:rsidRPr="00192E1C">
        <w:rPr>
          <w:i/>
          <w:szCs w:val="24"/>
          <w:lang w:val="fr-CA"/>
        </w:rPr>
        <w:t xml:space="preserve"> Smith &amp; Rhuland Ltd. c. The Queen</w:t>
      </w:r>
      <w:r w:rsidR="000C3856" w:rsidRPr="00192E1C">
        <w:rPr>
          <w:szCs w:val="24"/>
          <w:lang w:val="fr-CA"/>
        </w:rPr>
        <w:t>, [1953] 2 R.C.S. 95;</w:t>
      </w:r>
      <w:r w:rsidR="000C3856" w:rsidRPr="00192E1C">
        <w:rPr>
          <w:i/>
          <w:szCs w:val="24"/>
          <w:lang w:val="fr-CA"/>
        </w:rPr>
        <w:t xml:space="preserve"> Dagg c. Canada (Ministre des Finances)</w:t>
      </w:r>
      <w:r w:rsidR="000C3856" w:rsidRPr="00192E1C">
        <w:rPr>
          <w:szCs w:val="24"/>
          <w:lang w:val="fr-CA"/>
        </w:rPr>
        <w:t>, [1997] 2 R.C.S. 403;</w:t>
      </w:r>
      <w:r w:rsidR="00AE24CD" w:rsidRPr="00192E1C">
        <w:rPr>
          <w:i/>
          <w:lang w:val="fr-CA"/>
        </w:rPr>
        <w:t xml:space="preserve"> R. c. Morales</w:t>
      </w:r>
      <w:r w:rsidR="00AE24CD" w:rsidRPr="00192E1C">
        <w:rPr>
          <w:lang w:val="fr-CA"/>
        </w:rPr>
        <w:t>, [1992] 3 R.C.S. 711;</w:t>
      </w:r>
      <w:r w:rsidR="009769DE" w:rsidRPr="00192E1C">
        <w:rPr>
          <w:i/>
          <w:lang w:val="fr-CA"/>
        </w:rPr>
        <w:t xml:space="preserve"> R. c. Grant</w:t>
      </w:r>
      <w:r w:rsidR="009769DE" w:rsidRPr="00192E1C">
        <w:rPr>
          <w:lang w:val="fr-CA"/>
        </w:rPr>
        <w:t>, 2009 CSC 32, [2009] 2 R.C.S. 353;</w:t>
      </w:r>
      <w:r w:rsidR="009769DE" w:rsidRPr="00192E1C">
        <w:rPr>
          <w:i/>
          <w:lang w:val="fr-CA"/>
        </w:rPr>
        <w:t xml:space="preserve"> R. c. Tim</w:t>
      </w:r>
      <w:r w:rsidR="009769DE" w:rsidRPr="00192E1C">
        <w:rPr>
          <w:lang w:val="fr-CA"/>
        </w:rPr>
        <w:t>, 2022 CSC 12, [2022] 1 R.C.S. 234;</w:t>
      </w:r>
      <w:r w:rsidR="009769DE" w:rsidRPr="00192E1C">
        <w:rPr>
          <w:i/>
          <w:lang w:val="fr-CA"/>
        </w:rPr>
        <w:t xml:space="preserve"> R. c. Le</w:t>
      </w:r>
      <w:r w:rsidR="009769DE" w:rsidRPr="00192E1C">
        <w:rPr>
          <w:lang w:val="fr-CA"/>
        </w:rPr>
        <w:t>, 2019 CSC 34, [2019] 2 R.C.S. 692</w:t>
      </w:r>
      <w:r w:rsidR="00FB0079" w:rsidRPr="00192E1C">
        <w:rPr>
          <w:lang w:val="fr-CA"/>
        </w:rPr>
        <w:t xml:space="preserve">; </w:t>
      </w:r>
      <w:r w:rsidR="00FB0079" w:rsidRPr="00192E1C">
        <w:rPr>
          <w:rStyle w:val="solexhl"/>
          <w:rFonts w:eastAsiaTheme="majorEastAsia"/>
          <w:i/>
          <w:iCs/>
          <w:color w:val="000000"/>
          <w:lang w:val="fr-CA"/>
        </w:rPr>
        <w:t>Hudson c. Brantford Police Services</w:t>
      </w:r>
      <w:r w:rsidR="00FB0079" w:rsidRPr="00192E1C">
        <w:rPr>
          <w:i/>
          <w:iCs/>
          <w:color w:val="000000"/>
          <w:lang w:val="fr-CA"/>
        </w:rPr>
        <w:t xml:space="preserve"> Board</w:t>
      </w:r>
      <w:r w:rsidR="00FB0079" w:rsidRPr="00192E1C">
        <w:rPr>
          <w:color w:val="000000"/>
          <w:lang w:val="fr-CA"/>
        </w:rPr>
        <w:t xml:space="preserve"> (2001), 158 C.C.C. (3d) 390; </w:t>
      </w:r>
      <w:r w:rsidR="00FB0079" w:rsidRPr="00192E1C">
        <w:rPr>
          <w:i/>
          <w:lang w:val="fr-CA"/>
        </w:rPr>
        <w:t xml:space="preserve">Collins c. Brantford Police Services Board </w:t>
      </w:r>
      <w:r w:rsidR="00FB0079" w:rsidRPr="00192E1C">
        <w:rPr>
          <w:lang w:val="fr-CA"/>
        </w:rPr>
        <w:t>(2001), 158 C.C.C. (3d) 405;</w:t>
      </w:r>
      <w:r w:rsidR="00DB58F9" w:rsidRPr="00192E1C">
        <w:rPr>
          <w:i/>
          <w:iCs/>
          <w:lang w:val="fr-CA"/>
        </w:rPr>
        <w:t xml:space="preserve"> Bell ExpressVu Limited Partnership c. Rex</w:t>
      </w:r>
      <w:r w:rsidR="00DB58F9" w:rsidRPr="00192E1C">
        <w:rPr>
          <w:lang w:val="fr-CA"/>
        </w:rPr>
        <w:t>, 2002 CSC 42, [2002] 2 R.C.S. 559;</w:t>
      </w:r>
      <w:r w:rsidR="00DB58F9" w:rsidRPr="00192E1C">
        <w:rPr>
          <w:i/>
          <w:lang w:val="fr-CA"/>
        </w:rPr>
        <w:t xml:space="preserve"> La Presse inc. c. Québec</w:t>
      </w:r>
      <w:r w:rsidR="00DB58F9" w:rsidRPr="00192E1C">
        <w:rPr>
          <w:lang w:val="fr-CA"/>
        </w:rPr>
        <w:t>, 2023 CSC 22;</w:t>
      </w:r>
      <w:r w:rsidR="00DB58F9" w:rsidRPr="00192E1C">
        <w:rPr>
          <w:i/>
          <w:lang w:val="fr-CA"/>
        </w:rPr>
        <w:t xml:space="preserve"> R. c. Alex</w:t>
      </w:r>
      <w:r w:rsidR="00DB58F9" w:rsidRPr="00192E1C">
        <w:rPr>
          <w:lang w:val="fr-CA"/>
        </w:rPr>
        <w:t>, 2017 CSC 37, [2017] 1 R.C.S. 967;</w:t>
      </w:r>
      <w:r w:rsidR="00DB58F9" w:rsidRPr="00192E1C">
        <w:rPr>
          <w:i/>
          <w:lang w:val="fr-CA"/>
        </w:rPr>
        <w:t xml:space="preserve"> Chieu c. Canada (Ministre de la Citoyenneté et de l’Immigration)</w:t>
      </w:r>
      <w:r w:rsidR="00DB58F9" w:rsidRPr="00192E1C">
        <w:rPr>
          <w:lang w:val="fr-CA"/>
        </w:rPr>
        <w:t>, 2002 CSC 3, [2002] 1 R.C.S. 84;</w:t>
      </w:r>
      <w:r w:rsidR="00DB58F9" w:rsidRPr="00192E1C">
        <w:rPr>
          <w:i/>
          <w:lang w:val="fr-CA"/>
        </w:rPr>
        <w:t xml:space="preserve"> Németh c. Canada (Justice)</w:t>
      </w:r>
      <w:r w:rsidR="00DB58F9" w:rsidRPr="00192E1C">
        <w:rPr>
          <w:lang w:val="fr-CA"/>
        </w:rPr>
        <w:t>,</w:t>
      </w:r>
      <w:r w:rsidR="00DB58F9" w:rsidRPr="00192E1C">
        <w:rPr>
          <w:i/>
          <w:lang w:val="fr-CA"/>
        </w:rPr>
        <w:t xml:space="preserve"> </w:t>
      </w:r>
      <w:r w:rsidR="00DB58F9" w:rsidRPr="00192E1C">
        <w:rPr>
          <w:lang w:val="fr-CA"/>
        </w:rPr>
        <w:t>2010 CSC 56, [2010] 3 R.C.S. 281;</w:t>
      </w:r>
      <w:r w:rsidR="00DB58F9" w:rsidRPr="00192E1C">
        <w:rPr>
          <w:i/>
          <w:iCs/>
          <w:lang w:val="fr-CA"/>
        </w:rPr>
        <w:t xml:space="preserve"> Renvoi relatif à la Loi sur les armes à feu (Can.)</w:t>
      </w:r>
      <w:r w:rsidR="00DB58F9" w:rsidRPr="00192E1C">
        <w:rPr>
          <w:lang w:val="fr-CA"/>
        </w:rPr>
        <w:t>, 2000 CSC 31, [2000] 1 R.C.S. 783;</w:t>
      </w:r>
      <w:r w:rsidR="00DB58F9" w:rsidRPr="00192E1C">
        <w:rPr>
          <w:i/>
          <w:lang w:val="fr-CA"/>
        </w:rPr>
        <w:t xml:space="preserve"> Renvoi relatif à la Loi sur l’évaluation d’impact</w:t>
      </w:r>
      <w:r w:rsidR="00DB58F9" w:rsidRPr="00192E1C">
        <w:rPr>
          <w:lang w:val="fr-CA"/>
        </w:rPr>
        <w:t>, 2023 CSC 23;</w:t>
      </w:r>
      <w:r w:rsidR="00DB58F9" w:rsidRPr="00192E1C">
        <w:rPr>
          <w:i/>
          <w:lang w:val="fr-CA"/>
        </w:rPr>
        <w:t xml:space="preserve"> R. c. Appulonappa</w:t>
      </w:r>
      <w:r w:rsidR="00DB58F9" w:rsidRPr="00192E1C">
        <w:rPr>
          <w:lang w:val="fr-CA"/>
        </w:rPr>
        <w:t>, 2015 CSC 59, [2015] 3 R.C.S. 754;</w:t>
      </w:r>
      <w:r w:rsidR="00DB58F9" w:rsidRPr="00192E1C">
        <w:rPr>
          <w:i/>
          <w:lang w:val="fr-CA"/>
        </w:rPr>
        <w:t xml:space="preserve"> Demande fondée sur l’art. 83.28 du Code criminel (Re)</w:t>
      </w:r>
      <w:r w:rsidR="00DB58F9" w:rsidRPr="00192E1C">
        <w:rPr>
          <w:lang w:val="fr-CA"/>
        </w:rPr>
        <w:t>, 2004 CSC 42, [2004] 2 R.C.S. 248;</w:t>
      </w:r>
      <w:r w:rsidR="00DB58F9" w:rsidRPr="00192E1C">
        <w:rPr>
          <w:i/>
          <w:lang w:val="fr-CA"/>
        </w:rPr>
        <w:t xml:space="preserve"> R. c. Gladue</w:t>
      </w:r>
      <w:r w:rsidR="00DB58F9" w:rsidRPr="00192E1C">
        <w:rPr>
          <w:lang w:val="fr-CA"/>
        </w:rPr>
        <w:t>, [1999] 1 R.C.S. 688;</w:t>
      </w:r>
      <w:r w:rsidR="00B51769" w:rsidRPr="00192E1C">
        <w:rPr>
          <w:i/>
          <w:lang w:val="fr-CA"/>
        </w:rPr>
        <w:t xml:space="preserve"> R. c. Munson</w:t>
      </w:r>
      <w:r w:rsidR="00B51769" w:rsidRPr="00192E1C">
        <w:rPr>
          <w:lang w:val="fr-CA"/>
        </w:rPr>
        <w:t>, 2003 SKCA 28, 172 C.C.C. (3d) 515;</w:t>
      </w:r>
      <w:r w:rsidR="00B51769" w:rsidRPr="00192E1C">
        <w:rPr>
          <w:i/>
          <w:iCs/>
          <w:lang w:val="fr-CA"/>
        </w:rPr>
        <w:t xml:space="preserve"> R. c. D.L.W.</w:t>
      </w:r>
      <w:r w:rsidR="00B51769" w:rsidRPr="00192E1C">
        <w:rPr>
          <w:lang w:val="fr-CA"/>
        </w:rPr>
        <w:t>, 2016 CSC 22, [2016] 1 R.C.S. 402;</w:t>
      </w:r>
      <w:r w:rsidR="00B51769" w:rsidRPr="00192E1C">
        <w:rPr>
          <w:i/>
          <w:lang w:val="fr-CA"/>
        </w:rPr>
        <w:t xml:space="preserve"> R. c. Kuldip</w:t>
      </w:r>
      <w:r w:rsidR="00B51769" w:rsidRPr="00192E1C">
        <w:rPr>
          <w:lang w:val="fr-CA"/>
        </w:rPr>
        <w:t>, [1990] 3 R.C.S. 618;</w:t>
      </w:r>
      <w:r w:rsidR="00B40410" w:rsidRPr="00192E1C">
        <w:rPr>
          <w:i/>
          <w:lang w:val="fr-CA"/>
        </w:rPr>
        <w:t xml:space="preserve"> </w:t>
      </w:r>
      <w:r w:rsidR="002E2AE2" w:rsidRPr="00192E1C">
        <w:rPr>
          <w:i/>
          <w:lang w:val="fr-CA"/>
        </w:rPr>
        <w:t>R.</w:t>
      </w:r>
      <w:r w:rsidR="00262500" w:rsidRPr="00192E1C">
        <w:rPr>
          <w:i/>
          <w:lang w:val="fr-CA"/>
        </w:rPr>
        <w:t xml:space="preserve"> c. Prince </w:t>
      </w:r>
      <w:r w:rsidR="00262500" w:rsidRPr="00192E1C">
        <w:rPr>
          <w:lang w:val="fr-CA"/>
        </w:rPr>
        <w:t>(1981), 61 C.C.C. (2d) 73;</w:t>
      </w:r>
      <w:r w:rsidR="00262500" w:rsidRPr="00192E1C">
        <w:rPr>
          <w:i/>
          <w:lang w:val="fr-CA"/>
        </w:rPr>
        <w:t xml:space="preserve"> R. c. McIntosh</w:t>
      </w:r>
      <w:r w:rsidR="00262500" w:rsidRPr="00192E1C">
        <w:rPr>
          <w:lang w:val="fr-CA"/>
        </w:rPr>
        <w:t>, [1995] 1 R.C.S. 686;</w:t>
      </w:r>
      <w:r w:rsidR="00262500" w:rsidRPr="00192E1C">
        <w:rPr>
          <w:i/>
          <w:lang w:val="fr-CA"/>
        </w:rPr>
        <w:t xml:space="preserve"> Kosoian c. Société de transport de </w:t>
      </w:r>
      <w:r w:rsidR="00262500" w:rsidRPr="00192E1C">
        <w:rPr>
          <w:i/>
          <w:lang w:val="fr-CA"/>
        </w:rPr>
        <w:lastRenderedPageBreak/>
        <w:t>Montréal</w:t>
      </w:r>
      <w:r w:rsidR="00262500" w:rsidRPr="00192E1C">
        <w:rPr>
          <w:lang w:val="fr-CA"/>
        </w:rPr>
        <w:t>, 2019 CSC 59, [2019] 4 R.C.S. 335;</w:t>
      </w:r>
      <w:r w:rsidR="00262500" w:rsidRPr="00192E1C">
        <w:rPr>
          <w:i/>
          <w:lang w:val="fr-CA"/>
        </w:rPr>
        <w:t xml:space="preserve"> CanadianOxy Chemicals Ltd. c. Canada (Procureur général)</w:t>
      </w:r>
      <w:r w:rsidR="00262500" w:rsidRPr="00192E1C">
        <w:rPr>
          <w:lang w:val="fr-CA"/>
        </w:rPr>
        <w:t>, [1999] 1 R.C.S. 743</w:t>
      </w:r>
      <w:r w:rsidR="00F41D59" w:rsidRPr="00192E1C">
        <w:rPr>
          <w:lang w:val="fr-CA"/>
        </w:rPr>
        <w:t>.</w:t>
      </w:r>
    </w:p>
    <w:p w14:paraId="59291AF7" w14:textId="77777777" w:rsidR="00CF7BC7" w:rsidRPr="00192E1C" w:rsidRDefault="00CF7BC7" w:rsidP="00E22C80">
      <w:pPr>
        <w:pStyle w:val="SCCNormalDoubleSpacing"/>
        <w:spacing w:after="720" w:line="240" w:lineRule="auto"/>
        <w:rPr>
          <w:b/>
          <w:szCs w:val="24"/>
          <w:lang w:val="fr-CA"/>
        </w:rPr>
      </w:pPr>
      <w:r w:rsidRPr="00192E1C">
        <w:rPr>
          <w:b/>
          <w:szCs w:val="24"/>
          <w:lang w:val="fr-CA"/>
        </w:rPr>
        <w:t>Lois et règlements cités</w:t>
      </w:r>
    </w:p>
    <w:p w14:paraId="2403B483" w14:textId="77777777" w:rsidR="00CF7BC7" w:rsidRPr="00192E1C" w:rsidRDefault="00CF7BC7" w:rsidP="00FC051E">
      <w:pPr>
        <w:pStyle w:val="SCCNormalDoubleSpacing"/>
        <w:spacing w:after="240" w:line="240" w:lineRule="auto"/>
        <w:ind w:left="547" w:hanging="547"/>
        <w:rPr>
          <w:szCs w:val="24"/>
          <w:lang w:val="fr-CA"/>
        </w:rPr>
      </w:pPr>
      <w:r w:rsidRPr="00192E1C">
        <w:rPr>
          <w:i/>
          <w:szCs w:val="24"/>
          <w:lang w:val="fr-CA"/>
        </w:rPr>
        <w:t>Charte canadienne des droits et libertés</w:t>
      </w:r>
      <w:r w:rsidRPr="00192E1C">
        <w:rPr>
          <w:szCs w:val="24"/>
          <w:lang w:val="fr-CA"/>
        </w:rPr>
        <w:t>, art. 7, 9, 24.</w:t>
      </w:r>
    </w:p>
    <w:p w14:paraId="1540846C" w14:textId="60702AE4" w:rsidR="00CF7BC7" w:rsidRPr="00192E1C" w:rsidRDefault="00CF7BC7" w:rsidP="00FC051E">
      <w:pPr>
        <w:pStyle w:val="SCCNormalDoubleSpacing"/>
        <w:spacing w:after="240" w:line="240" w:lineRule="auto"/>
        <w:ind w:left="547" w:hanging="547"/>
        <w:rPr>
          <w:szCs w:val="24"/>
          <w:lang w:val="fr-CA"/>
        </w:rPr>
      </w:pPr>
      <w:r w:rsidRPr="00192E1C">
        <w:rPr>
          <w:i/>
          <w:szCs w:val="24"/>
          <w:lang w:val="fr-CA"/>
        </w:rPr>
        <w:t>Code criminel</w:t>
      </w:r>
      <w:r w:rsidRPr="00192E1C">
        <w:rPr>
          <w:szCs w:val="24"/>
          <w:lang w:val="fr-CA"/>
        </w:rPr>
        <w:t>, R.S.C. 1985 c. C</w:t>
      </w:r>
      <w:r w:rsidRPr="00192E1C">
        <w:rPr>
          <w:szCs w:val="24"/>
          <w:lang w:val="fr-CA"/>
        </w:rPr>
        <w:noBreakHyphen/>
        <w:t>46, art. </w:t>
      </w:r>
      <w:r w:rsidR="00E53CB9" w:rsidRPr="00192E1C">
        <w:rPr>
          <w:szCs w:val="24"/>
          <w:lang w:val="fr-CA"/>
        </w:rPr>
        <w:t xml:space="preserve">25, </w:t>
      </w:r>
      <w:r w:rsidR="00782630" w:rsidRPr="00192E1C">
        <w:rPr>
          <w:szCs w:val="24"/>
          <w:lang w:val="fr-CA"/>
        </w:rPr>
        <w:t>129a)</w:t>
      </w:r>
      <w:r w:rsidR="00E53CB9" w:rsidRPr="00192E1C">
        <w:rPr>
          <w:szCs w:val="24"/>
          <w:lang w:val="fr-CA"/>
        </w:rPr>
        <w:t xml:space="preserve">, </w:t>
      </w:r>
      <w:r w:rsidRPr="00192E1C">
        <w:rPr>
          <w:szCs w:val="24"/>
          <w:lang w:val="fr-CA"/>
        </w:rPr>
        <w:t>271a),</w:t>
      </w:r>
      <w:r w:rsidR="00782630" w:rsidRPr="00192E1C">
        <w:rPr>
          <w:szCs w:val="24"/>
          <w:lang w:val="fr-CA"/>
        </w:rPr>
        <w:t xml:space="preserve"> 279(2)</w:t>
      </w:r>
      <w:r w:rsidR="00E53CB9" w:rsidRPr="00192E1C">
        <w:rPr>
          <w:szCs w:val="24"/>
          <w:lang w:val="fr-CA"/>
        </w:rPr>
        <w:t xml:space="preserve">, </w:t>
      </w:r>
      <w:r w:rsidRPr="00192E1C">
        <w:rPr>
          <w:szCs w:val="24"/>
          <w:lang w:val="fr-CA"/>
        </w:rPr>
        <w:t>495</w:t>
      </w:r>
      <w:r w:rsidR="008477E9" w:rsidRPr="00192E1C">
        <w:rPr>
          <w:szCs w:val="24"/>
          <w:lang w:val="fr-CA"/>
        </w:rPr>
        <w:t>, 553</w:t>
      </w:r>
      <w:r w:rsidRPr="00192E1C">
        <w:rPr>
          <w:szCs w:val="24"/>
          <w:lang w:val="fr-CA"/>
        </w:rPr>
        <w:t>.</w:t>
      </w:r>
    </w:p>
    <w:p w14:paraId="0DBD99BB" w14:textId="65972F92" w:rsidR="00C03862" w:rsidRPr="00192E1C" w:rsidRDefault="00C03862" w:rsidP="00FC051E">
      <w:pPr>
        <w:pStyle w:val="SCCNormalDoubleSpacing"/>
        <w:spacing w:after="240" w:line="240" w:lineRule="auto"/>
        <w:ind w:left="547" w:hanging="547"/>
        <w:rPr>
          <w:szCs w:val="24"/>
          <w:lang w:val="fr-CA"/>
        </w:rPr>
      </w:pPr>
      <w:r w:rsidRPr="00192E1C">
        <w:rPr>
          <w:i/>
          <w:szCs w:val="24"/>
          <w:lang w:val="fr-CA"/>
        </w:rPr>
        <w:t>Code criminel</w:t>
      </w:r>
      <w:r w:rsidRPr="00192E1C">
        <w:rPr>
          <w:szCs w:val="24"/>
          <w:lang w:val="fr-CA"/>
        </w:rPr>
        <w:t>, S.R.C. 1970, c.</w:t>
      </w:r>
      <w:r w:rsidR="00FC051E" w:rsidRPr="00192E1C">
        <w:rPr>
          <w:szCs w:val="24"/>
          <w:lang w:val="fr-CA"/>
        </w:rPr>
        <w:t> </w:t>
      </w:r>
      <w:r w:rsidRPr="00192E1C">
        <w:rPr>
          <w:szCs w:val="24"/>
          <w:lang w:val="fr-CA"/>
        </w:rPr>
        <w:t>C‐34, art.</w:t>
      </w:r>
      <w:r w:rsidR="00FC051E" w:rsidRPr="00192E1C">
        <w:rPr>
          <w:szCs w:val="24"/>
          <w:lang w:val="fr-CA"/>
        </w:rPr>
        <w:t> </w:t>
      </w:r>
      <w:r w:rsidR="002201D8" w:rsidRPr="00192E1C">
        <w:rPr>
          <w:szCs w:val="24"/>
          <w:lang w:val="fr-CA"/>
        </w:rPr>
        <w:t>25</w:t>
      </w:r>
      <w:r w:rsidR="00D94D9C" w:rsidRPr="00192E1C">
        <w:rPr>
          <w:szCs w:val="24"/>
          <w:lang w:val="fr-CA"/>
        </w:rPr>
        <w:t xml:space="preserve">, </w:t>
      </w:r>
      <w:r w:rsidR="00C0409E" w:rsidRPr="00192E1C">
        <w:rPr>
          <w:szCs w:val="24"/>
          <w:lang w:val="fr-CA"/>
        </w:rPr>
        <w:t xml:space="preserve">118(2), </w:t>
      </w:r>
      <w:r w:rsidR="00D94D9C" w:rsidRPr="00192E1C">
        <w:rPr>
          <w:szCs w:val="24"/>
          <w:lang w:val="fr-CA"/>
        </w:rPr>
        <w:t>247(2)</w:t>
      </w:r>
      <w:r w:rsidR="002201D8" w:rsidRPr="00192E1C">
        <w:rPr>
          <w:szCs w:val="24"/>
          <w:lang w:val="fr-CA"/>
        </w:rPr>
        <w:t>, 279(</w:t>
      </w:r>
      <w:r w:rsidR="00D72F85" w:rsidRPr="00192E1C">
        <w:rPr>
          <w:szCs w:val="24"/>
          <w:lang w:val="fr-CA"/>
        </w:rPr>
        <w:t xml:space="preserve">2), </w:t>
      </w:r>
      <w:r w:rsidRPr="00192E1C">
        <w:rPr>
          <w:szCs w:val="24"/>
          <w:lang w:val="fr-CA"/>
        </w:rPr>
        <w:t>449, 450.</w:t>
      </w:r>
    </w:p>
    <w:p w14:paraId="6D559927" w14:textId="1ECB08E7" w:rsidR="00782630" w:rsidRPr="00192E1C" w:rsidRDefault="00782630" w:rsidP="00FC051E">
      <w:pPr>
        <w:pStyle w:val="SCCNormalDoubleSpacing"/>
        <w:spacing w:after="240" w:line="240" w:lineRule="auto"/>
        <w:ind w:left="547" w:hanging="547"/>
        <w:rPr>
          <w:szCs w:val="24"/>
          <w:lang w:val="fr-CA"/>
        </w:rPr>
      </w:pPr>
      <w:r w:rsidRPr="00192E1C">
        <w:rPr>
          <w:i/>
          <w:szCs w:val="24"/>
          <w:lang w:val="fr-CA"/>
        </w:rPr>
        <w:t>Loi d’interprétation</w:t>
      </w:r>
      <w:r w:rsidRPr="00192E1C">
        <w:rPr>
          <w:szCs w:val="24"/>
          <w:lang w:val="fr-CA"/>
        </w:rPr>
        <w:t>, L.R.C. 1985, c. I</w:t>
      </w:r>
      <w:r w:rsidR="00FC051E" w:rsidRPr="00192E1C">
        <w:rPr>
          <w:szCs w:val="24"/>
          <w:lang w:val="fr-CA"/>
        </w:rPr>
        <w:noBreakHyphen/>
      </w:r>
      <w:r w:rsidRPr="00192E1C">
        <w:rPr>
          <w:szCs w:val="24"/>
          <w:lang w:val="fr-CA"/>
        </w:rPr>
        <w:t>21, art. 10, 11, 14, 34.</w:t>
      </w:r>
    </w:p>
    <w:p w14:paraId="6C871A31" w14:textId="77777777" w:rsidR="00D438A4" w:rsidRPr="00192E1C" w:rsidRDefault="00D438A4" w:rsidP="00FC051E">
      <w:pPr>
        <w:pStyle w:val="SCCNormalDoubleSpacing"/>
        <w:spacing w:after="240" w:line="240" w:lineRule="auto"/>
        <w:ind w:left="547" w:hanging="547"/>
        <w:rPr>
          <w:lang w:val="fr-CA"/>
        </w:rPr>
      </w:pPr>
      <w:r w:rsidRPr="00192E1C">
        <w:rPr>
          <w:i/>
          <w:lang w:val="fr-CA"/>
        </w:rPr>
        <w:t>Loi réglementant certaines drogues et autres substances</w:t>
      </w:r>
      <w:r w:rsidRPr="00192E1C">
        <w:rPr>
          <w:lang w:val="fr-CA"/>
        </w:rPr>
        <w:t>, L.C. 1996, c. 19.</w:t>
      </w:r>
    </w:p>
    <w:p w14:paraId="02507F38" w14:textId="2D882A68" w:rsidR="00D72F85" w:rsidRPr="00192E1C" w:rsidRDefault="00D72F85" w:rsidP="00E22C80">
      <w:pPr>
        <w:pStyle w:val="SCCNormalDoubleSpacing"/>
        <w:spacing w:after="720" w:line="240" w:lineRule="auto"/>
        <w:ind w:left="547" w:hanging="547"/>
        <w:rPr>
          <w:lang w:val="fr-CA"/>
        </w:rPr>
      </w:pPr>
      <w:r w:rsidRPr="00192E1C">
        <w:rPr>
          <w:i/>
          <w:lang w:val="fr-CA"/>
        </w:rPr>
        <w:t>Loi sur la réforme du cautionnement</w:t>
      </w:r>
      <w:r w:rsidR="00AF358D" w:rsidRPr="00192E1C">
        <w:rPr>
          <w:lang w:val="fr-CA"/>
        </w:rPr>
        <w:t>, L</w:t>
      </w:r>
      <w:r w:rsidRPr="00192E1C">
        <w:rPr>
          <w:lang w:val="fr-CA"/>
        </w:rPr>
        <w:t>.C. 1970‐71</w:t>
      </w:r>
      <w:r w:rsidR="00E22C80" w:rsidRPr="00192E1C">
        <w:rPr>
          <w:lang w:val="fr-CA"/>
        </w:rPr>
        <w:noBreakHyphen/>
      </w:r>
      <w:r w:rsidRPr="00192E1C">
        <w:rPr>
          <w:lang w:val="fr-CA"/>
        </w:rPr>
        <w:t>72, c. </w:t>
      </w:r>
      <w:r w:rsidR="00AF358D" w:rsidRPr="00192E1C">
        <w:rPr>
          <w:lang w:val="fr-CA"/>
        </w:rPr>
        <w:t>37 [reproduite dans S</w:t>
      </w:r>
      <w:r w:rsidRPr="00192E1C">
        <w:rPr>
          <w:lang w:val="fr-CA"/>
        </w:rPr>
        <w:t>.R.C. 1970, c. 2 (2</w:t>
      </w:r>
      <w:r w:rsidRPr="00192E1C">
        <w:rPr>
          <w:vertAlign w:val="superscript"/>
          <w:lang w:val="fr-CA"/>
        </w:rPr>
        <w:t>e</w:t>
      </w:r>
      <w:r w:rsidRPr="00192E1C">
        <w:rPr>
          <w:lang w:val="fr-CA"/>
        </w:rPr>
        <w:t xml:space="preserve"> suppl.)].</w:t>
      </w:r>
    </w:p>
    <w:p w14:paraId="69EFDA3D" w14:textId="77777777" w:rsidR="00CF7BC7" w:rsidRPr="00192E1C" w:rsidRDefault="00CF7BC7" w:rsidP="00E22C80">
      <w:pPr>
        <w:pStyle w:val="SCCNormalDoubleSpacing"/>
        <w:spacing w:after="720" w:line="240" w:lineRule="auto"/>
        <w:rPr>
          <w:b/>
          <w:szCs w:val="24"/>
          <w:lang w:val="fr-CA"/>
        </w:rPr>
      </w:pPr>
      <w:r w:rsidRPr="00192E1C">
        <w:rPr>
          <w:b/>
          <w:szCs w:val="24"/>
          <w:lang w:val="fr-CA"/>
        </w:rPr>
        <w:t>Doctrine et autres documents cités</w:t>
      </w:r>
    </w:p>
    <w:p w14:paraId="35F7F62D" w14:textId="2A731618" w:rsidR="009A7EAE" w:rsidRPr="00192E1C" w:rsidRDefault="009A7EAE" w:rsidP="009A7EAE">
      <w:pPr>
        <w:pStyle w:val="sccnormaldoublespacing0"/>
        <w:spacing w:before="0" w:beforeAutospacing="0" w:after="240" w:afterAutospacing="0"/>
        <w:ind w:left="547" w:hanging="547"/>
        <w:jc w:val="both"/>
        <w:rPr>
          <w:color w:val="000000"/>
        </w:rPr>
      </w:pPr>
      <w:r w:rsidRPr="00192E1C">
        <w:rPr>
          <w:color w:val="000000"/>
        </w:rPr>
        <w:t xml:space="preserve">Canada. Chambre des communes. </w:t>
      </w:r>
      <w:r w:rsidRPr="00192E1C">
        <w:rPr>
          <w:rStyle w:val="solexhl"/>
          <w:rFonts w:eastAsiaTheme="majorEastAsia"/>
          <w:color w:val="000000"/>
        </w:rPr>
        <w:t>Comité permanent de la justice et des questions juridiques</w:t>
      </w:r>
      <w:r w:rsidRPr="00192E1C">
        <w:rPr>
          <w:color w:val="000000"/>
        </w:rPr>
        <w:t xml:space="preserve">. </w:t>
      </w:r>
      <w:r w:rsidRPr="00192E1C">
        <w:rPr>
          <w:rStyle w:val="solexhl"/>
          <w:rFonts w:eastAsiaTheme="majorEastAsia"/>
          <w:i/>
          <w:iCs/>
          <w:color w:val="000000"/>
        </w:rPr>
        <w:t>Procès‐verbaux et témoignages du Comité permanent de la justice et des questions juridiques</w:t>
      </w:r>
      <w:r w:rsidRPr="00192E1C">
        <w:rPr>
          <w:color w:val="000000"/>
        </w:rPr>
        <w:t>, n</w:t>
      </w:r>
      <w:r w:rsidRPr="00192E1C">
        <w:rPr>
          <w:color w:val="000000"/>
          <w:vertAlign w:val="superscript"/>
        </w:rPr>
        <w:t>o</w:t>
      </w:r>
      <w:r w:rsidRPr="00192E1C">
        <w:rPr>
          <w:color w:val="000000"/>
        </w:rPr>
        <w:t> 8, 3</w:t>
      </w:r>
      <w:r w:rsidRPr="00192E1C">
        <w:rPr>
          <w:color w:val="000000"/>
          <w:vertAlign w:val="superscript"/>
        </w:rPr>
        <w:t>e</w:t>
      </w:r>
      <w:r w:rsidRPr="00192E1C">
        <w:rPr>
          <w:color w:val="000000"/>
        </w:rPr>
        <w:t> sess., 28</w:t>
      </w:r>
      <w:r w:rsidRPr="00192E1C">
        <w:rPr>
          <w:color w:val="000000"/>
          <w:vertAlign w:val="superscript"/>
        </w:rPr>
        <w:t>e</w:t>
      </w:r>
      <w:r w:rsidRPr="00192E1C">
        <w:rPr>
          <w:color w:val="000000"/>
        </w:rPr>
        <w:t> lég., 23 février 1971</w:t>
      </w:r>
      <w:r w:rsidR="00302E50" w:rsidRPr="00192E1C">
        <w:rPr>
          <w:color w:val="000000"/>
        </w:rPr>
        <w:t>, p. </w:t>
      </w:r>
      <w:r w:rsidRPr="00192E1C">
        <w:rPr>
          <w:color w:val="000000"/>
        </w:rPr>
        <w:t>7</w:t>
      </w:r>
      <w:r w:rsidRPr="00192E1C">
        <w:rPr>
          <w:color w:val="000000"/>
        </w:rPr>
        <w:noBreakHyphen/>
        <w:t>9.</w:t>
      </w:r>
    </w:p>
    <w:p w14:paraId="797B26E9" w14:textId="179D1EA8" w:rsidR="009A7EAE" w:rsidRPr="00192E1C" w:rsidRDefault="009A7EAE" w:rsidP="009A7EAE">
      <w:pPr>
        <w:pStyle w:val="sccnormaldoublespacing0"/>
        <w:spacing w:before="0" w:beforeAutospacing="0" w:after="240" w:afterAutospacing="0"/>
        <w:ind w:left="547" w:hanging="547"/>
        <w:jc w:val="both"/>
        <w:rPr>
          <w:color w:val="000000"/>
        </w:rPr>
      </w:pPr>
      <w:r w:rsidRPr="00192E1C">
        <w:rPr>
          <w:color w:val="000000"/>
        </w:rPr>
        <w:t xml:space="preserve">Canada. Chambre des communes. </w:t>
      </w:r>
      <w:r w:rsidRPr="00192E1C">
        <w:rPr>
          <w:rStyle w:val="solexhl"/>
          <w:rFonts w:eastAsiaTheme="majorEastAsia"/>
          <w:color w:val="000000"/>
        </w:rPr>
        <w:t>Comité permanent de la justice et des questions juridiques</w:t>
      </w:r>
      <w:r w:rsidRPr="00192E1C">
        <w:rPr>
          <w:color w:val="000000"/>
        </w:rPr>
        <w:t xml:space="preserve">. </w:t>
      </w:r>
      <w:r w:rsidRPr="00192E1C">
        <w:rPr>
          <w:rStyle w:val="solexhl"/>
          <w:rFonts w:eastAsiaTheme="majorEastAsia"/>
          <w:i/>
          <w:iCs/>
          <w:color w:val="000000"/>
        </w:rPr>
        <w:t>Procès‐verbaux et témoignages du Comité permanent de la justice et des questions juridiques</w:t>
      </w:r>
      <w:r w:rsidRPr="00192E1C">
        <w:rPr>
          <w:color w:val="000000"/>
        </w:rPr>
        <w:t>, n</w:t>
      </w:r>
      <w:r w:rsidRPr="00192E1C">
        <w:rPr>
          <w:color w:val="000000"/>
          <w:vertAlign w:val="superscript"/>
        </w:rPr>
        <w:t>o</w:t>
      </w:r>
      <w:r w:rsidRPr="00192E1C">
        <w:rPr>
          <w:color w:val="000000"/>
        </w:rPr>
        <w:t> 11, 3</w:t>
      </w:r>
      <w:r w:rsidRPr="00192E1C">
        <w:rPr>
          <w:color w:val="000000"/>
          <w:vertAlign w:val="superscript"/>
        </w:rPr>
        <w:t>e</w:t>
      </w:r>
      <w:r w:rsidRPr="00192E1C">
        <w:rPr>
          <w:color w:val="000000"/>
        </w:rPr>
        <w:t> sess., 28</w:t>
      </w:r>
      <w:r w:rsidRPr="00192E1C">
        <w:rPr>
          <w:color w:val="000000"/>
          <w:vertAlign w:val="superscript"/>
        </w:rPr>
        <w:t>e</w:t>
      </w:r>
      <w:r w:rsidRPr="00192E1C">
        <w:rPr>
          <w:color w:val="000000"/>
        </w:rPr>
        <w:t> lég., 4 mars 1971</w:t>
      </w:r>
      <w:r w:rsidR="00302E50" w:rsidRPr="00192E1C">
        <w:rPr>
          <w:color w:val="000000"/>
        </w:rPr>
        <w:t>, p. 10</w:t>
      </w:r>
      <w:r w:rsidR="00935EED" w:rsidRPr="00192E1C">
        <w:rPr>
          <w:color w:val="000000"/>
        </w:rPr>
        <w:noBreakHyphen/>
      </w:r>
      <w:r w:rsidRPr="00192E1C">
        <w:rPr>
          <w:color w:val="000000"/>
        </w:rPr>
        <w:t>14.</w:t>
      </w:r>
    </w:p>
    <w:p w14:paraId="0E31693F" w14:textId="61DE6414" w:rsidR="00C30661" w:rsidRPr="00192E1C" w:rsidRDefault="00C30661" w:rsidP="00FC051E">
      <w:pPr>
        <w:pStyle w:val="sccnormaldoublespacing0"/>
        <w:spacing w:before="0" w:beforeAutospacing="0" w:after="240" w:afterAutospacing="0"/>
        <w:ind w:left="547" w:hanging="547"/>
        <w:jc w:val="both"/>
        <w:rPr>
          <w:color w:val="000000"/>
        </w:rPr>
      </w:pPr>
      <w:r w:rsidRPr="00192E1C">
        <w:rPr>
          <w:color w:val="000000"/>
        </w:rPr>
        <w:t xml:space="preserve">Canada. Chambre des communes. </w:t>
      </w:r>
      <w:r w:rsidRPr="00192E1C">
        <w:rPr>
          <w:i/>
          <w:iCs/>
          <w:color w:val="000000"/>
        </w:rPr>
        <w:t>Débats de la Chambre des communes</w:t>
      </w:r>
      <w:r w:rsidRPr="00192E1C">
        <w:rPr>
          <w:color w:val="000000"/>
        </w:rPr>
        <w:t>,</w:t>
      </w:r>
      <w:r w:rsidRPr="00192E1C">
        <w:rPr>
          <w:i/>
          <w:iCs/>
          <w:color w:val="000000"/>
        </w:rPr>
        <w:t xml:space="preserve"> </w:t>
      </w:r>
      <w:r w:rsidRPr="00192E1C">
        <w:rPr>
          <w:color w:val="000000"/>
        </w:rPr>
        <w:t>vol. 3, 3</w:t>
      </w:r>
      <w:r w:rsidRPr="00192E1C">
        <w:rPr>
          <w:color w:val="000000"/>
          <w:vertAlign w:val="superscript"/>
        </w:rPr>
        <w:t>e</w:t>
      </w:r>
      <w:r w:rsidRPr="00192E1C">
        <w:rPr>
          <w:color w:val="000000"/>
        </w:rPr>
        <w:t> sess., 28</w:t>
      </w:r>
      <w:r w:rsidRPr="00192E1C">
        <w:rPr>
          <w:color w:val="000000"/>
          <w:vertAlign w:val="superscript"/>
        </w:rPr>
        <w:t>e</w:t>
      </w:r>
      <w:r w:rsidRPr="00192E1C">
        <w:rPr>
          <w:color w:val="000000"/>
        </w:rPr>
        <w:t> lég., 5</w:t>
      </w:r>
      <w:r w:rsidR="00FC051E" w:rsidRPr="00192E1C">
        <w:rPr>
          <w:color w:val="000000"/>
        </w:rPr>
        <w:t xml:space="preserve"> </w:t>
      </w:r>
      <w:r w:rsidRPr="00192E1C">
        <w:rPr>
          <w:color w:val="000000"/>
        </w:rPr>
        <w:t>février 1971, p.</w:t>
      </w:r>
      <w:r w:rsidR="00FC051E" w:rsidRPr="00192E1C">
        <w:rPr>
          <w:color w:val="000000"/>
        </w:rPr>
        <w:t> </w:t>
      </w:r>
      <w:r w:rsidRPr="00192E1C">
        <w:rPr>
          <w:color w:val="000000"/>
        </w:rPr>
        <w:t>3114</w:t>
      </w:r>
      <w:r w:rsidR="00302E50" w:rsidRPr="00192E1C">
        <w:rPr>
          <w:color w:val="000000"/>
        </w:rPr>
        <w:t>, 3116-3118</w:t>
      </w:r>
      <w:r w:rsidRPr="00192E1C">
        <w:rPr>
          <w:color w:val="000000"/>
        </w:rPr>
        <w:t>.</w:t>
      </w:r>
    </w:p>
    <w:p w14:paraId="189F3EE0" w14:textId="0112461D" w:rsidR="00F0124E" w:rsidRPr="00192E1C" w:rsidRDefault="001E393F" w:rsidP="00FC051E">
      <w:pPr>
        <w:pStyle w:val="sccnormaldoublespacing0"/>
        <w:spacing w:before="0" w:beforeAutospacing="0" w:after="240" w:afterAutospacing="0"/>
        <w:ind w:left="547" w:hanging="547"/>
        <w:jc w:val="both"/>
        <w:rPr>
          <w:color w:val="000000"/>
        </w:rPr>
      </w:pPr>
      <w:r w:rsidRPr="00192E1C">
        <w:rPr>
          <w:color w:val="000000"/>
        </w:rPr>
        <w:t xml:space="preserve">Canada. Comité canadien de la réforme pénale et correctionnelle. </w:t>
      </w:r>
      <w:r w:rsidRPr="00192E1C">
        <w:rPr>
          <w:rStyle w:val="solexhl"/>
          <w:i/>
          <w:iCs/>
          <w:color w:val="000000"/>
        </w:rPr>
        <w:t>Rapport du Comité</w:t>
      </w:r>
      <w:r w:rsidR="00FC051E" w:rsidRPr="00192E1C">
        <w:rPr>
          <w:i/>
          <w:iCs/>
          <w:color w:val="000000"/>
        </w:rPr>
        <w:t xml:space="preserve"> </w:t>
      </w:r>
      <w:r w:rsidRPr="00192E1C">
        <w:rPr>
          <w:i/>
          <w:iCs/>
          <w:color w:val="000000"/>
        </w:rPr>
        <w:t>canadien de la réforme pénale et correctionnelle — Justice pénale et correction : un lien à forger</w:t>
      </w:r>
      <w:r w:rsidRPr="00192E1C">
        <w:rPr>
          <w:color w:val="000000"/>
        </w:rPr>
        <w:t>, Ottawa, Imprimeur de la Reine, 1969.</w:t>
      </w:r>
    </w:p>
    <w:p w14:paraId="303BD890" w14:textId="77777777" w:rsidR="00F0124E" w:rsidRPr="00192E1C" w:rsidRDefault="00F0124E" w:rsidP="00FC051E">
      <w:pPr>
        <w:pStyle w:val="sccnormaldoublespacing0"/>
        <w:spacing w:before="0" w:beforeAutospacing="0" w:after="240" w:afterAutospacing="0"/>
        <w:ind w:left="547" w:hanging="547"/>
        <w:jc w:val="both"/>
        <w:rPr>
          <w:color w:val="000000"/>
        </w:rPr>
      </w:pPr>
      <w:r w:rsidRPr="00192E1C">
        <w:rPr>
          <w:color w:val="000000"/>
        </w:rPr>
        <w:t xml:space="preserve">Côté, Pierre‐André, et Mathieu Devinat. </w:t>
      </w:r>
      <w:r w:rsidRPr="00192E1C">
        <w:rPr>
          <w:i/>
          <w:color w:val="000000"/>
        </w:rPr>
        <w:t>Interprétation des lois</w:t>
      </w:r>
      <w:r w:rsidRPr="00192E1C">
        <w:rPr>
          <w:color w:val="000000"/>
        </w:rPr>
        <w:t>, 5</w:t>
      </w:r>
      <w:r w:rsidRPr="00192E1C">
        <w:rPr>
          <w:color w:val="000000"/>
          <w:vertAlign w:val="superscript"/>
        </w:rPr>
        <w:t>e</w:t>
      </w:r>
      <w:r w:rsidRPr="00192E1C">
        <w:rPr>
          <w:color w:val="000000"/>
        </w:rPr>
        <w:t> éd., Montréal, Thémis, 2021</w:t>
      </w:r>
      <w:r w:rsidR="00C03862" w:rsidRPr="00192E1C">
        <w:rPr>
          <w:color w:val="000000"/>
        </w:rPr>
        <w:t>.</w:t>
      </w:r>
    </w:p>
    <w:p w14:paraId="02EFE734" w14:textId="08132AFF" w:rsidR="00782630" w:rsidRPr="00192E1C" w:rsidRDefault="00C03862" w:rsidP="00FC051E">
      <w:pPr>
        <w:pStyle w:val="sccnormaldoublespacing0"/>
        <w:spacing w:before="0" w:beforeAutospacing="0" w:after="240" w:afterAutospacing="0"/>
        <w:ind w:left="547" w:hanging="547"/>
        <w:jc w:val="both"/>
        <w:rPr>
          <w:color w:val="000000"/>
          <w:lang w:val="en-CA"/>
        </w:rPr>
      </w:pPr>
      <w:r w:rsidRPr="00192E1C">
        <w:rPr>
          <w:color w:val="000000"/>
          <w:lang w:val="en-CA"/>
        </w:rPr>
        <w:t>Coughlan, Steve. « Threading Together Abuse of Process and Exclusion of Evidence : How it Became Possible to Rebuke Mr.</w:t>
      </w:r>
      <w:r w:rsidR="00FC051E" w:rsidRPr="00192E1C">
        <w:rPr>
          <w:color w:val="000000"/>
          <w:lang w:val="en-CA"/>
        </w:rPr>
        <w:t> </w:t>
      </w:r>
      <w:r w:rsidRPr="00192E1C">
        <w:rPr>
          <w:color w:val="000000"/>
          <w:lang w:val="en-CA"/>
        </w:rPr>
        <w:t xml:space="preserve">Big » (2015), 71 </w:t>
      </w:r>
      <w:r w:rsidRPr="00192E1C">
        <w:rPr>
          <w:i/>
          <w:color w:val="000000"/>
          <w:lang w:val="en-CA"/>
        </w:rPr>
        <w:t>S.C.L.R.</w:t>
      </w:r>
      <w:r w:rsidRPr="00192E1C">
        <w:rPr>
          <w:color w:val="000000"/>
          <w:lang w:val="en-CA"/>
        </w:rPr>
        <w:t xml:space="preserve"> (2d) 415.</w:t>
      </w:r>
    </w:p>
    <w:p w14:paraId="48857607" w14:textId="77777777" w:rsidR="00CD6239" w:rsidRPr="00192E1C" w:rsidRDefault="00CD6239" w:rsidP="00FC051E">
      <w:pPr>
        <w:pStyle w:val="sccnormaldoublespacing0"/>
        <w:spacing w:before="0" w:beforeAutospacing="0" w:after="240" w:afterAutospacing="0"/>
        <w:ind w:left="547" w:hanging="547"/>
        <w:jc w:val="both"/>
        <w:rPr>
          <w:color w:val="000000"/>
          <w:lang w:val="en-CA"/>
        </w:rPr>
      </w:pPr>
      <w:r w:rsidRPr="00192E1C">
        <w:rPr>
          <w:i/>
          <w:color w:val="000000"/>
          <w:lang w:val="en-CA"/>
        </w:rPr>
        <w:t>Crankshaw’s Criminal Code of Canada, R.S.C. 1985</w:t>
      </w:r>
      <w:r w:rsidRPr="00192E1C">
        <w:rPr>
          <w:color w:val="000000"/>
          <w:lang w:val="en-CA"/>
        </w:rPr>
        <w:t>, éd. rév., Toronto, Carswell, 1993 (feuilles mobiles mises à jour 2025, envoi n</w:t>
      </w:r>
      <w:r w:rsidRPr="00192E1C">
        <w:rPr>
          <w:color w:val="000000"/>
          <w:vertAlign w:val="superscript"/>
          <w:lang w:val="en-CA"/>
        </w:rPr>
        <w:t>o</w:t>
      </w:r>
      <w:r w:rsidRPr="00192E1C">
        <w:rPr>
          <w:color w:val="000000"/>
          <w:lang w:val="en-CA"/>
        </w:rPr>
        <w:t> 3).</w:t>
      </w:r>
    </w:p>
    <w:p w14:paraId="14F8D5C2" w14:textId="59E1493A" w:rsidR="008477E9" w:rsidRPr="00192E1C" w:rsidRDefault="008477E9" w:rsidP="00FC051E">
      <w:pPr>
        <w:pStyle w:val="sccnormaldoublespacing0"/>
        <w:spacing w:before="0" w:beforeAutospacing="0" w:after="240" w:afterAutospacing="0"/>
        <w:ind w:left="547" w:hanging="547"/>
        <w:jc w:val="both"/>
        <w:rPr>
          <w:color w:val="000000"/>
          <w:lang w:val="en-CA"/>
        </w:rPr>
      </w:pPr>
      <w:r w:rsidRPr="00192E1C">
        <w:rPr>
          <w:color w:val="000000"/>
          <w:lang w:val="en-CA"/>
        </w:rPr>
        <w:lastRenderedPageBreak/>
        <w:t xml:space="preserve">Scollin, John A. </w:t>
      </w:r>
      <w:r w:rsidRPr="00192E1C">
        <w:rPr>
          <w:rStyle w:val="solexhl"/>
          <w:rFonts w:eastAsiaTheme="majorEastAsia"/>
          <w:i/>
          <w:iCs/>
          <w:color w:val="000000"/>
          <w:lang w:val="en-CA"/>
        </w:rPr>
        <w:t>The Bail Reform Act : An Analysis of Amendments to the Criminal Code Related to Bail and Arrest</w:t>
      </w:r>
      <w:r w:rsidRPr="00192E1C">
        <w:rPr>
          <w:color w:val="000000"/>
          <w:lang w:val="en-CA"/>
        </w:rPr>
        <w:t>, Toronto, Carswell, 1972.</w:t>
      </w:r>
    </w:p>
    <w:p w14:paraId="430DD6F7" w14:textId="77777777" w:rsidR="00782630" w:rsidRPr="00192E1C" w:rsidRDefault="00782630" w:rsidP="00FC051E">
      <w:pPr>
        <w:pStyle w:val="sccnormaldoublespacing0"/>
        <w:spacing w:before="0" w:beforeAutospacing="0" w:after="720" w:afterAutospacing="0"/>
        <w:ind w:left="547" w:hanging="547"/>
        <w:jc w:val="both"/>
        <w:rPr>
          <w:color w:val="000000"/>
          <w:lang w:val="en-CA"/>
        </w:rPr>
      </w:pPr>
      <w:r w:rsidRPr="00192E1C">
        <w:rPr>
          <w:rStyle w:val="solexhl"/>
          <w:rFonts w:eastAsiaTheme="majorEastAsia"/>
          <w:color w:val="000000"/>
          <w:lang w:val="en-CA"/>
        </w:rPr>
        <w:t>Sullivan</w:t>
      </w:r>
      <w:r w:rsidRPr="00192E1C">
        <w:rPr>
          <w:color w:val="000000"/>
          <w:lang w:val="en-CA"/>
        </w:rPr>
        <w:t xml:space="preserve">, Ruth. </w:t>
      </w:r>
      <w:r w:rsidRPr="00192E1C">
        <w:rPr>
          <w:i/>
          <w:iCs/>
          <w:color w:val="000000"/>
          <w:lang w:val="en-CA"/>
        </w:rPr>
        <w:t>The Construction of Statutes</w:t>
      </w:r>
      <w:r w:rsidRPr="00192E1C">
        <w:rPr>
          <w:color w:val="000000"/>
          <w:lang w:val="en-CA"/>
        </w:rPr>
        <w:t>, 7</w:t>
      </w:r>
      <w:r w:rsidRPr="00192E1C">
        <w:rPr>
          <w:color w:val="000000"/>
          <w:vertAlign w:val="superscript"/>
          <w:lang w:val="en-CA"/>
        </w:rPr>
        <w:t>e</w:t>
      </w:r>
      <w:r w:rsidRPr="00192E1C">
        <w:rPr>
          <w:color w:val="000000"/>
          <w:lang w:val="en-CA"/>
        </w:rPr>
        <w:t> éd., Toronto, LexisNexis, 2022.</w:t>
      </w:r>
    </w:p>
    <w:p w14:paraId="3629E28B" w14:textId="18A2DAE6" w:rsidR="00CF7BC7" w:rsidRPr="00192E1C" w:rsidRDefault="00CF7BC7" w:rsidP="00FC051E">
      <w:pPr>
        <w:pStyle w:val="SCCNormalDoubleSpacing"/>
        <w:spacing w:after="480"/>
        <w:rPr>
          <w:szCs w:val="24"/>
          <w:lang w:val="fr-CA"/>
        </w:rPr>
      </w:pPr>
      <w:r w:rsidRPr="00192E1C">
        <w:rPr>
          <w:szCs w:val="24"/>
        </w:rPr>
        <w:tab/>
      </w:r>
      <w:r w:rsidRPr="00192E1C">
        <w:rPr>
          <w:szCs w:val="24"/>
          <w:lang w:val="fr-CA"/>
        </w:rPr>
        <w:t>POURVOI contre un arrêt de la Cour d’appel du Québec</w:t>
      </w:r>
      <w:r w:rsidR="00D064AF" w:rsidRPr="00192E1C">
        <w:rPr>
          <w:szCs w:val="24"/>
          <w:lang w:val="fr-CA"/>
        </w:rPr>
        <w:t xml:space="preserve"> (les juges</w:t>
      </w:r>
      <w:r w:rsidR="00C1532B" w:rsidRPr="00192E1C">
        <w:rPr>
          <w:szCs w:val="24"/>
          <w:lang w:val="fr-CA"/>
        </w:rPr>
        <w:t xml:space="preserve"> Schrager, Healy et Bachand), </w:t>
      </w:r>
      <w:hyperlink r:id="rId9" w:history="1">
        <w:r w:rsidR="00C1532B" w:rsidRPr="00192E1C">
          <w:rPr>
            <w:rStyle w:val="Hyperlien"/>
            <w:szCs w:val="24"/>
            <w:lang w:val="fr-CA"/>
          </w:rPr>
          <w:t>2024 QCCA 86</w:t>
        </w:r>
      </w:hyperlink>
      <w:r w:rsidR="000566C0" w:rsidRPr="00192E1C">
        <w:rPr>
          <w:szCs w:val="24"/>
          <w:lang w:val="fr-CA"/>
        </w:rPr>
        <w:t>, [2024] AZ</w:t>
      </w:r>
      <w:r w:rsidR="00FC051E" w:rsidRPr="00192E1C">
        <w:rPr>
          <w:szCs w:val="24"/>
          <w:lang w:val="fr-CA"/>
        </w:rPr>
        <w:noBreakHyphen/>
      </w:r>
      <w:r w:rsidR="000566C0" w:rsidRPr="00192E1C">
        <w:rPr>
          <w:szCs w:val="24"/>
          <w:lang w:val="fr-CA"/>
        </w:rPr>
        <w:t>51999406</w:t>
      </w:r>
      <w:r w:rsidR="00C1532B" w:rsidRPr="00192E1C">
        <w:rPr>
          <w:szCs w:val="24"/>
          <w:lang w:val="fr-CA"/>
        </w:rPr>
        <w:t>, [2024] J.Q. n</w:t>
      </w:r>
      <w:r w:rsidR="00C1532B" w:rsidRPr="00192E1C">
        <w:rPr>
          <w:szCs w:val="24"/>
          <w:vertAlign w:val="superscript"/>
          <w:lang w:val="fr-CA"/>
        </w:rPr>
        <w:t>o</w:t>
      </w:r>
      <w:r w:rsidR="007C773A" w:rsidRPr="00192E1C">
        <w:rPr>
          <w:szCs w:val="24"/>
          <w:lang w:val="fr-CA"/>
        </w:rPr>
        <w:t> </w:t>
      </w:r>
      <w:r w:rsidR="00C1532B" w:rsidRPr="00192E1C">
        <w:rPr>
          <w:szCs w:val="24"/>
          <w:lang w:val="fr-CA"/>
        </w:rPr>
        <w:t>314 (Lexis), 2024 CarswellQue 345 (WL)</w:t>
      </w:r>
      <w:r w:rsidR="00D70E71" w:rsidRPr="00192E1C">
        <w:rPr>
          <w:szCs w:val="24"/>
          <w:lang w:val="fr-CA"/>
        </w:rPr>
        <w:t xml:space="preserve">, </w:t>
      </w:r>
      <w:r w:rsidR="00D70E71" w:rsidRPr="00192E1C">
        <w:rPr>
          <w:szCs w:val="24"/>
          <w:lang w:val="fr-FR"/>
        </w:rPr>
        <w:t>qui a annulé la déclaration de culpabilité pour agression sexuelle prononcée contre l’accusé</w:t>
      </w:r>
      <w:r w:rsidR="00FF2D74" w:rsidRPr="00192E1C">
        <w:rPr>
          <w:szCs w:val="24"/>
          <w:lang w:val="fr-FR"/>
        </w:rPr>
        <w:t xml:space="preserve"> et qui a ordonné un nouveau procès. </w:t>
      </w:r>
      <w:r w:rsidR="00FF2D74" w:rsidRPr="00192E1C">
        <w:rPr>
          <w:szCs w:val="24"/>
          <w:lang w:val="fr-CA"/>
        </w:rPr>
        <w:t xml:space="preserve">Pourvoi </w:t>
      </w:r>
      <w:r w:rsidR="001F1EA7" w:rsidRPr="00192E1C">
        <w:rPr>
          <w:szCs w:val="24"/>
          <w:lang w:val="fr-CA"/>
        </w:rPr>
        <w:t>rejeté</w:t>
      </w:r>
      <w:r w:rsidR="00FF2D74" w:rsidRPr="00192E1C">
        <w:rPr>
          <w:szCs w:val="24"/>
          <w:lang w:val="fr-CA"/>
        </w:rPr>
        <w:t>.</w:t>
      </w:r>
    </w:p>
    <w:p w14:paraId="03A7A24B" w14:textId="77777777" w:rsidR="00CF7BC7" w:rsidRPr="00192E1C" w:rsidRDefault="00CF7BC7" w:rsidP="00FC051E">
      <w:pPr>
        <w:pStyle w:val="SCCNormalDoubleSpacing"/>
        <w:spacing w:after="480"/>
        <w:rPr>
          <w:szCs w:val="24"/>
          <w:lang w:val="fr-CA"/>
        </w:rPr>
      </w:pPr>
      <w:r w:rsidRPr="00192E1C">
        <w:rPr>
          <w:rStyle w:val="SCCCounselNameChar"/>
          <w:szCs w:val="24"/>
          <w:lang w:val="fr-CA"/>
        </w:rPr>
        <w:tab/>
        <w:t xml:space="preserve">Patrick Cardinal </w:t>
      </w:r>
      <w:r w:rsidRPr="00192E1C">
        <w:rPr>
          <w:rStyle w:val="SCCCounselNameChar"/>
          <w:i w:val="0"/>
          <w:szCs w:val="24"/>
          <w:lang w:val="fr-CA"/>
        </w:rPr>
        <w:t xml:space="preserve">et </w:t>
      </w:r>
      <w:r w:rsidRPr="00192E1C">
        <w:rPr>
          <w:rStyle w:val="SCCCounselNameChar"/>
          <w:szCs w:val="24"/>
          <w:lang w:val="fr-CA"/>
        </w:rPr>
        <w:t>Daphné Godin-Garito</w:t>
      </w:r>
      <w:r w:rsidRPr="00192E1C">
        <w:rPr>
          <w:rStyle w:val="SCCCounselPartyRoleChar"/>
          <w:szCs w:val="24"/>
          <w:lang w:val="fr-CA"/>
        </w:rPr>
        <w:t>, pour l’appelant.</w:t>
      </w:r>
    </w:p>
    <w:p w14:paraId="7FE6AA8C" w14:textId="77777777" w:rsidR="00CF7BC7" w:rsidRPr="00192E1C" w:rsidRDefault="00CF7BC7" w:rsidP="00FC051E">
      <w:pPr>
        <w:pStyle w:val="SCCNormalDoubleSpacing"/>
        <w:spacing w:after="480"/>
        <w:rPr>
          <w:szCs w:val="24"/>
          <w:lang w:val="fr-CA"/>
        </w:rPr>
      </w:pPr>
      <w:r w:rsidRPr="00192E1C">
        <w:rPr>
          <w:rStyle w:val="SCCCounselNameChar"/>
          <w:szCs w:val="24"/>
          <w:lang w:val="fr-CA"/>
        </w:rPr>
        <w:tab/>
        <w:t>Ronald Prégent</w:t>
      </w:r>
      <w:r w:rsidRPr="00192E1C">
        <w:rPr>
          <w:rStyle w:val="SCCCounselSeparatorChar"/>
          <w:szCs w:val="24"/>
          <w:lang w:val="fr-CA"/>
        </w:rPr>
        <w:t xml:space="preserve"> et </w:t>
      </w:r>
      <w:r w:rsidRPr="00192E1C">
        <w:rPr>
          <w:rStyle w:val="SCCCounselNameChar"/>
          <w:szCs w:val="24"/>
          <w:lang w:val="fr-CA"/>
        </w:rPr>
        <w:t>Alexandra Boulanger</w:t>
      </w:r>
      <w:r w:rsidRPr="00192E1C">
        <w:rPr>
          <w:rStyle w:val="SCCCounselPartyRoleChar"/>
          <w:szCs w:val="24"/>
          <w:lang w:val="fr-CA"/>
        </w:rPr>
        <w:t>, pour l’intimé.</w:t>
      </w:r>
    </w:p>
    <w:p w14:paraId="0F975CF1" w14:textId="77777777" w:rsidR="00CF7BC7" w:rsidRPr="00192E1C" w:rsidRDefault="00CF7BC7" w:rsidP="00FC051E">
      <w:pPr>
        <w:pStyle w:val="SCCNormalDoubleSpacing"/>
        <w:spacing w:after="480"/>
        <w:rPr>
          <w:rStyle w:val="SCCCounselPartyRoleChar"/>
          <w:szCs w:val="24"/>
          <w:lang w:val="fr-CA"/>
        </w:rPr>
      </w:pPr>
      <w:r w:rsidRPr="00192E1C">
        <w:rPr>
          <w:rStyle w:val="SCCCounselNameChar"/>
          <w:szCs w:val="24"/>
          <w:lang w:val="fr-CA"/>
        </w:rPr>
        <w:tab/>
        <w:t>Jeremy Streeter</w:t>
      </w:r>
      <w:r w:rsidRPr="00192E1C">
        <w:rPr>
          <w:rStyle w:val="SCCCounselSeparatorChar"/>
          <w:szCs w:val="24"/>
          <w:lang w:val="fr-CA"/>
        </w:rPr>
        <w:t xml:space="preserve"> et </w:t>
      </w:r>
      <w:r w:rsidRPr="00192E1C">
        <w:rPr>
          <w:rStyle w:val="SCCCounselNameChar"/>
          <w:szCs w:val="24"/>
          <w:lang w:val="fr-CA"/>
        </w:rPr>
        <w:t>Charmaine Wong</w:t>
      </w:r>
      <w:r w:rsidRPr="00192E1C">
        <w:rPr>
          <w:rStyle w:val="SCCCounselPartyRoleChar"/>
          <w:szCs w:val="24"/>
          <w:lang w:val="fr-CA"/>
        </w:rPr>
        <w:t>, pour l’intervenant le procureur général de l’Ontario.</w:t>
      </w:r>
    </w:p>
    <w:p w14:paraId="5C819C7B" w14:textId="77777777" w:rsidR="00CF7BC7" w:rsidRPr="00192E1C" w:rsidRDefault="00CF7BC7" w:rsidP="00FC051E">
      <w:pPr>
        <w:pStyle w:val="SCCNormalDoubleSpacing"/>
        <w:spacing w:after="480"/>
        <w:rPr>
          <w:szCs w:val="24"/>
          <w:lang w:val="fr-CA"/>
        </w:rPr>
      </w:pPr>
      <w:r w:rsidRPr="00192E1C">
        <w:rPr>
          <w:rStyle w:val="SCCCounselNameChar"/>
          <w:szCs w:val="24"/>
          <w:lang w:val="fr-CA"/>
        </w:rPr>
        <w:tab/>
        <w:t>Andrew Barg</w:t>
      </w:r>
      <w:r w:rsidRPr="00192E1C">
        <w:rPr>
          <w:rStyle w:val="SCCCounselPartyRoleChar"/>
          <w:szCs w:val="24"/>
          <w:lang w:val="fr-CA"/>
        </w:rPr>
        <w:t>, pour l’intervenant le procureur général de l’Alberta.</w:t>
      </w:r>
    </w:p>
    <w:p w14:paraId="5087E591" w14:textId="77777777" w:rsidR="00CF7BC7" w:rsidRPr="00192E1C" w:rsidRDefault="00B31F4E" w:rsidP="00FC051E">
      <w:pPr>
        <w:pStyle w:val="SCCNormalDoubleSpacing"/>
        <w:spacing w:after="480"/>
        <w:rPr>
          <w:szCs w:val="24"/>
          <w:lang w:val="fr-CA"/>
        </w:rPr>
      </w:pPr>
      <w:r w:rsidRPr="00192E1C">
        <w:rPr>
          <w:rStyle w:val="SCCCounselNameChar"/>
          <w:szCs w:val="24"/>
          <w:lang w:val="fr-CA"/>
        </w:rPr>
        <w:tab/>
        <w:t>Matthew</w:t>
      </w:r>
      <w:r w:rsidR="00CF7BC7" w:rsidRPr="00192E1C">
        <w:rPr>
          <w:rStyle w:val="SCCCounselNameChar"/>
          <w:szCs w:val="24"/>
          <w:lang w:val="fr-CA"/>
        </w:rPr>
        <w:t xml:space="preserve"> Gourlay</w:t>
      </w:r>
      <w:r w:rsidR="00CF7BC7" w:rsidRPr="00192E1C">
        <w:rPr>
          <w:rStyle w:val="SCCCounselSeparatorChar"/>
          <w:szCs w:val="24"/>
          <w:lang w:val="fr-CA"/>
        </w:rPr>
        <w:t xml:space="preserve"> et </w:t>
      </w:r>
      <w:r w:rsidR="00CF7BC7" w:rsidRPr="00192E1C">
        <w:rPr>
          <w:rStyle w:val="SCCCounselNameChar"/>
          <w:szCs w:val="24"/>
          <w:lang w:val="fr-CA"/>
        </w:rPr>
        <w:t>Tara Boghosian</w:t>
      </w:r>
      <w:r w:rsidR="00CF7BC7" w:rsidRPr="00192E1C">
        <w:rPr>
          <w:rStyle w:val="SCCCounselPartyRoleChar"/>
          <w:szCs w:val="24"/>
          <w:lang w:val="fr-CA"/>
        </w:rPr>
        <w:t>, pour l’intervenante l’Association canadienne des libertés civiles.</w:t>
      </w:r>
    </w:p>
    <w:p w14:paraId="0896A2FD" w14:textId="77777777" w:rsidR="00192E1C" w:rsidRPr="00192E1C" w:rsidRDefault="00192E1C" w:rsidP="00192E1C">
      <w:pPr>
        <w:tabs>
          <w:tab w:val="left" w:pos="1134"/>
        </w:tabs>
        <w:spacing w:after="480" w:line="480" w:lineRule="auto"/>
        <w:ind w:firstLine="12"/>
        <w:jc w:val="both"/>
        <w:rPr>
          <w:lang w:val="fr-CA"/>
        </w:rPr>
      </w:pPr>
      <w:r w:rsidRPr="00192E1C">
        <w:rPr>
          <w:lang w:val="fr-CA"/>
        </w:rPr>
        <w:tab/>
        <w:t>Le jugement de la Cour a été rendu par</w:t>
      </w:r>
    </w:p>
    <w:p w14:paraId="67438CD7" w14:textId="77777777" w:rsidR="00192E1C" w:rsidRPr="00192E1C" w:rsidRDefault="00192E1C" w:rsidP="00DF3A79">
      <w:pPr>
        <w:pStyle w:val="JudgeJuge"/>
        <w:tabs>
          <w:tab w:val="clear" w:pos="1166"/>
          <w:tab w:val="left" w:pos="1134"/>
        </w:tabs>
      </w:pPr>
      <w:r w:rsidRPr="00192E1C">
        <w:tab/>
        <w:t xml:space="preserve">La juge Côté — </w:t>
      </w:r>
    </w:p>
    <w:tbl>
      <w:tblPr>
        <w:tblStyle w:val="Grilledutableau"/>
        <w:tblW w:w="8366" w:type="dxa"/>
        <w:tblLayout w:type="fixed"/>
        <w:tblLook w:val="04A0" w:firstRow="1" w:lastRow="0" w:firstColumn="1" w:lastColumn="0" w:noHBand="0" w:noVBand="1"/>
      </w:tblPr>
      <w:tblGrid>
        <w:gridCol w:w="7547"/>
        <w:gridCol w:w="819"/>
      </w:tblGrid>
      <w:tr w:rsidR="00192E1C" w:rsidRPr="00192E1C" w14:paraId="138936EC" w14:textId="77777777" w:rsidTr="00D14144">
        <w:tc>
          <w:tcPr>
            <w:tcW w:w="16560" w:type="dxa"/>
            <w:gridSpan w:val="2"/>
            <w:tcBorders>
              <w:top w:val="nil"/>
              <w:left w:val="nil"/>
              <w:bottom w:val="nil"/>
              <w:right w:val="nil"/>
            </w:tcBorders>
            <w:shd w:val="clear" w:color="auto" w:fill="auto"/>
          </w:tcPr>
          <w:p w14:paraId="257EFBA9" w14:textId="77777777" w:rsidR="00192E1C" w:rsidRPr="00192E1C" w:rsidRDefault="00192E1C" w:rsidP="00D14144">
            <w:pPr>
              <w:keepNext/>
              <w:spacing w:before="60" w:after="60"/>
              <w:jc w:val="center"/>
              <w:rPr>
                <w:b/>
                <w:noProof/>
              </w:rPr>
            </w:pPr>
            <w:r w:rsidRPr="00192E1C">
              <w:rPr>
                <w:b/>
                <w:noProof/>
              </w:rPr>
              <w:lastRenderedPageBreak/>
              <w:t>TABLE DES MATIÈRES</w:t>
            </w:r>
          </w:p>
        </w:tc>
      </w:tr>
      <w:tr w:rsidR="00192E1C" w:rsidRPr="00192E1C" w14:paraId="0D904670" w14:textId="77777777" w:rsidTr="00D14144">
        <w:tc>
          <w:tcPr>
            <w:tcW w:w="16560" w:type="dxa"/>
            <w:gridSpan w:val="2"/>
            <w:tcBorders>
              <w:top w:val="nil"/>
              <w:left w:val="nil"/>
              <w:bottom w:val="nil"/>
              <w:right w:val="nil"/>
            </w:tcBorders>
            <w:shd w:val="clear" w:color="auto" w:fill="auto"/>
          </w:tcPr>
          <w:p w14:paraId="120CBBE0" w14:textId="77777777" w:rsidR="00192E1C" w:rsidRPr="00192E1C" w:rsidRDefault="00192E1C" w:rsidP="00D14144">
            <w:pPr>
              <w:keepNext/>
              <w:spacing w:before="60" w:after="60"/>
              <w:jc w:val="right"/>
              <w:rPr>
                <w:noProof/>
              </w:rPr>
            </w:pPr>
            <w:r w:rsidRPr="00192E1C">
              <w:rPr>
                <w:noProof/>
              </w:rPr>
              <w:t>Paragraphe</w:t>
            </w:r>
          </w:p>
        </w:tc>
      </w:tr>
      <w:tr w:rsidR="00192E1C" w:rsidRPr="00192E1C" w14:paraId="691C4137" w14:textId="77777777" w:rsidTr="00D14144">
        <w:tc>
          <w:tcPr>
            <w:tcW w:w="15135" w:type="dxa"/>
            <w:tcBorders>
              <w:top w:val="nil"/>
              <w:left w:val="nil"/>
              <w:bottom w:val="nil"/>
              <w:right w:val="nil"/>
            </w:tcBorders>
            <w:shd w:val="clear" w:color="auto" w:fill="auto"/>
          </w:tcPr>
          <w:p w14:paraId="72EAE3CB" w14:textId="77777777" w:rsidR="00192E1C" w:rsidRPr="00192E1C" w:rsidRDefault="00192E1C" w:rsidP="00DF3A79">
            <w:pPr>
              <w:pStyle w:val="TM1"/>
              <w:rPr>
                <w:rFonts w:eastAsiaTheme="minorEastAsia"/>
                <w:noProof/>
                <w:sz w:val="22"/>
                <w:szCs w:val="22"/>
                <w:lang w:val="en-US" w:eastAsia="en-US"/>
              </w:rPr>
            </w:pPr>
            <w:r w:rsidRPr="00192E1C">
              <w:rPr>
                <w:noProof/>
              </w:rPr>
              <w:t>I.</w:t>
            </w:r>
            <w:r w:rsidRPr="00192E1C">
              <w:rPr>
                <w:rFonts w:eastAsiaTheme="minorEastAsia"/>
                <w:noProof/>
                <w:sz w:val="22"/>
                <w:szCs w:val="22"/>
                <w:lang w:val="en-US" w:eastAsia="en-US"/>
              </w:rPr>
              <w:tab/>
            </w:r>
            <w:r w:rsidRPr="00002669">
              <w:rPr>
                <w:noProof/>
                <w:u w:val="single"/>
              </w:rPr>
              <w:t>Aperçu</w:t>
            </w:r>
          </w:p>
        </w:tc>
        <w:tc>
          <w:tcPr>
            <w:tcW w:w="1425" w:type="dxa"/>
            <w:tcBorders>
              <w:top w:val="nil"/>
              <w:left w:val="nil"/>
              <w:bottom w:val="nil"/>
              <w:right w:val="nil"/>
            </w:tcBorders>
            <w:shd w:val="clear" w:color="auto" w:fill="auto"/>
          </w:tcPr>
          <w:p w14:paraId="3831C9EC" w14:textId="77777777" w:rsidR="00192E1C" w:rsidRPr="00192E1C" w:rsidRDefault="00192E1C" w:rsidP="00DF3A79">
            <w:pPr>
              <w:tabs>
                <w:tab w:val="decimal" w:pos="8208"/>
              </w:tabs>
              <w:spacing w:before="60" w:after="60"/>
              <w:jc w:val="center"/>
              <w:rPr>
                <w:noProof/>
                <w:lang w:val="en-US"/>
              </w:rPr>
            </w:pPr>
            <w:r w:rsidRPr="00192E1C">
              <w:rPr>
                <w:noProof/>
                <w:lang w:val="en-US"/>
              </w:rPr>
              <w:t>[1]</w:t>
            </w:r>
          </w:p>
        </w:tc>
      </w:tr>
      <w:tr w:rsidR="00192E1C" w:rsidRPr="00192E1C" w14:paraId="10B1AF1F" w14:textId="77777777" w:rsidTr="00D14144">
        <w:tc>
          <w:tcPr>
            <w:tcW w:w="15135" w:type="dxa"/>
            <w:tcBorders>
              <w:top w:val="nil"/>
              <w:left w:val="nil"/>
              <w:bottom w:val="nil"/>
              <w:right w:val="nil"/>
            </w:tcBorders>
            <w:shd w:val="clear" w:color="auto" w:fill="auto"/>
          </w:tcPr>
          <w:p w14:paraId="7BFEDD0D" w14:textId="77777777" w:rsidR="00192E1C" w:rsidRPr="00192E1C" w:rsidRDefault="00192E1C" w:rsidP="00DF3A79">
            <w:pPr>
              <w:pStyle w:val="TM1"/>
              <w:rPr>
                <w:rFonts w:eastAsiaTheme="minorEastAsia"/>
                <w:noProof/>
                <w:sz w:val="22"/>
                <w:szCs w:val="22"/>
                <w:lang w:val="en-US" w:eastAsia="en-US"/>
              </w:rPr>
            </w:pPr>
            <w:r w:rsidRPr="00192E1C">
              <w:rPr>
                <w:noProof/>
              </w:rPr>
              <w:t>II.</w:t>
            </w:r>
            <w:r w:rsidRPr="00192E1C">
              <w:rPr>
                <w:rFonts w:eastAsiaTheme="minorEastAsia"/>
                <w:noProof/>
                <w:sz w:val="22"/>
                <w:szCs w:val="22"/>
                <w:lang w:val="en-US" w:eastAsia="en-US"/>
              </w:rPr>
              <w:tab/>
            </w:r>
            <w:r w:rsidRPr="00002669">
              <w:rPr>
                <w:noProof/>
                <w:u w:val="single"/>
              </w:rPr>
              <w:t>Contexte</w:t>
            </w:r>
          </w:p>
        </w:tc>
        <w:tc>
          <w:tcPr>
            <w:tcW w:w="1425" w:type="dxa"/>
            <w:tcBorders>
              <w:top w:val="nil"/>
              <w:left w:val="nil"/>
              <w:bottom w:val="nil"/>
              <w:right w:val="nil"/>
            </w:tcBorders>
            <w:shd w:val="clear" w:color="auto" w:fill="auto"/>
          </w:tcPr>
          <w:p w14:paraId="7B734882" w14:textId="0585F417" w:rsidR="00192E1C" w:rsidRPr="00192E1C" w:rsidRDefault="00192E1C" w:rsidP="00DF3A79">
            <w:pPr>
              <w:tabs>
                <w:tab w:val="decimal" w:pos="8208"/>
              </w:tabs>
              <w:spacing w:before="60" w:after="60"/>
              <w:jc w:val="center"/>
              <w:rPr>
                <w:noProof/>
              </w:rPr>
            </w:pPr>
            <w:r w:rsidRPr="00192E1C">
              <w:rPr>
                <w:noProof/>
              </w:rPr>
              <w:fldChar w:fldCharType="begin"/>
            </w:r>
            <w:r w:rsidRPr="00192E1C">
              <w:rPr>
                <w:noProof/>
              </w:rPr>
              <w:instrText xml:space="preserve"> REF _Ref204344145 \r \h </w:instrText>
            </w:r>
            <w:r>
              <w:rPr>
                <w:noProof/>
              </w:rPr>
              <w:instrText xml:space="preserve"> \* MERGEFORMAT </w:instrText>
            </w:r>
            <w:r w:rsidRPr="00192E1C">
              <w:rPr>
                <w:noProof/>
              </w:rPr>
            </w:r>
            <w:r w:rsidRPr="00192E1C">
              <w:rPr>
                <w:noProof/>
              </w:rPr>
              <w:fldChar w:fldCharType="separate"/>
            </w:r>
            <w:r w:rsidRPr="00192E1C">
              <w:rPr>
                <w:noProof/>
              </w:rPr>
              <w:t>[9]</w:t>
            </w:r>
            <w:r w:rsidRPr="00192E1C">
              <w:rPr>
                <w:noProof/>
              </w:rPr>
              <w:fldChar w:fldCharType="end"/>
            </w:r>
          </w:p>
        </w:tc>
      </w:tr>
      <w:tr w:rsidR="00192E1C" w:rsidRPr="00192E1C" w14:paraId="3DC4A645" w14:textId="77777777" w:rsidTr="00D14144">
        <w:tc>
          <w:tcPr>
            <w:tcW w:w="15135" w:type="dxa"/>
            <w:tcBorders>
              <w:top w:val="nil"/>
              <w:left w:val="nil"/>
              <w:bottom w:val="nil"/>
              <w:right w:val="nil"/>
            </w:tcBorders>
            <w:shd w:val="clear" w:color="auto" w:fill="auto"/>
          </w:tcPr>
          <w:p w14:paraId="0B97F089" w14:textId="77777777" w:rsidR="00192E1C" w:rsidRPr="00192E1C" w:rsidRDefault="00192E1C" w:rsidP="00D14144">
            <w:pPr>
              <w:pStyle w:val="TM2"/>
              <w:tabs>
                <w:tab w:val="decimal" w:pos="8208"/>
              </w:tabs>
              <w:rPr>
                <w:rFonts w:eastAsiaTheme="minorEastAsia"/>
                <w:noProof/>
                <w:sz w:val="22"/>
                <w:szCs w:val="22"/>
                <w:lang w:val="en-US" w:eastAsia="en-US"/>
              </w:rPr>
            </w:pPr>
            <w:r w:rsidRPr="00192E1C">
              <w:rPr>
                <w:noProof/>
              </w:rPr>
              <w:t>A.</w:t>
            </w:r>
            <w:r w:rsidRPr="00192E1C">
              <w:rPr>
                <w:rFonts w:eastAsiaTheme="minorEastAsia"/>
                <w:noProof/>
                <w:sz w:val="22"/>
                <w:szCs w:val="22"/>
                <w:lang w:val="en-US" w:eastAsia="en-US"/>
              </w:rPr>
              <w:tab/>
            </w:r>
            <w:r w:rsidRPr="00192E1C">
              <w:rPr>
                <w:i/>
                <w:noProof/>
              </w:rPr>
              <w:t>Faits</w:t>
            </w:r>
          </w:p>
        </w:tc>
        <w:tc>
          <w:tcPr>
            <w:tcW w:w="1425" w:type="dxa"/>
            <w:tcBorders>
              <w:top w:val="nil"/>
              <w:left w:val="nil"/>
              <w:bottom w:val="nil"/>
              <w:right w:val="nil"/>
            </w:tcBorders>
            <w:shd w:val="clear" w:color="auto" w:fill="auto"/>
          </w:tcPr>
          <w:p w14:paraId="5EF37B0E" w14:textId="7EF1C8DB" w:rsidR="00192E1C" w:rsidRPr="00192E1C" w:rsidRDefault="00192E1C" w:rsidP="00DF3A79">
            <w:pPr>
              <w:tabs>
                <w:tab w:val="decimal" w:pos="8208"/>
              </w:tabs>
              <w:spacing w:before="60" w:after="60"/>
              <w:jc w:val="center"/>
              <w:rPr>
                <w:noProof/>
              </w:rPr>
            </w:pPr>
            <w:r w:rsidRPr="00192E1C">
              <w:rPr>
                <w:noProof/>
              </w:rPr>
              <w:fldChar w:fldCharType="begin"/>
            </w:r>
            <w:r w:rsidRPr="00192E1C">
              <w:rPr>
                <w:noProof/>
              </w:rPr>
              <w:instrText xml:space="preserve"> REF _Ref204344145 \r \h </w:instrText>
            </w:r>
            <w:r>
              <w:rPr>
                <w:noProof/>
              </w:rPr>
              <w:instrText xml:space="preserve"> \* MERGEFORMAT </w:instrText>
            </w:r>
            <w:r w:rsidRPr="00192E1C">
              <w:rPr>
                <w:noProof/>
              </w:rPr>
            </w:r>
            <w:r w:rsidRPr="00192E1C">
              <w:rPr>
                <w:noProof/>
              </w:rPr>
              <w:fldChar w:fldCharType="separate"/>
            </w:r>
            <w:r w:rsidRPr="00192E1C">
              <w:rPr>
                <w:noProof/>
              </w:rPr>
              <w:t>[9]</w:t>
            </w:r>
            <w:r w:rsidRPr="00192E1C">
              <w:rPr>
                <w:noProof/>
              </w:rPr>
              <w:fldChar w:fldCharType="end"/>
            </w:r>
          </w:p>
        </w:tc>
      </w:tr>
      <w:tr w:rsidR="00192E1C" w:rsidRPr="00192E1C" w14:paraId="7B26B8FC" w14:textId="77777777" w:rsidTr="00D14144">
        <w:tc>
          <w:tcPr>
            <w:tcW w:w="15135" w:type="dxa"/>
            <w:tcBorders>
              <w:top w:val="nil"/>
              <w:left w:val="nil"/>
              <w:bottom w:val="nil"/>
              <w:right w:val="nil"/>
            </w:tcBorders>
            <w:shd w:val="clear" w:color="auto" w:fill="auto"/>
          </w:tcPr>
          <w:p w14:paraId="3C2B8B45" w14:textId="77777777" w:rsidR="00192E1C" w:rsidRPr="00192E1C" w:rsidRDefault="00192E1C" w:rsidP="00D14144">
            <w:pPr>
              <w:pStyle w:val="TM2"/>
              <w:tabs>
                <w:tab w:val="decimal" w:pos="8208"/>
              </w:tabs>
              <w:rPr>
                <w:rFonts w:eastAsiaTheme="minorEastAsia"/>
                <w:noProof/>
                <w:sz w:val="22"/>
                <w:szCs w:val="22"/>
                <w:lang w:val="en-US" w:eastAsia="en-US"/>
              </w:rPr>
            </w:pPr>
            <w:r w:rsidRPr="00192E1C">
              <w:rPr>
                <w:noProof/>
              </w:rPr>
              <w:t>B.</w:t>
            </w:r>
            <w:r w:rsidRPr="00192E1C">
              <w:rPr>
                <w:rFonts w:eastAsiaTheme="minorEastAsia"/>
                <w:noProof/>
                <w:sz w:val="22"/>
                <w:szCs w:val="22"/>
                <w:lang w:val="en-US" w:eastAsia="en-US"/>
              </w:rPr>
              <w:tab/>
            </w:r>
            <w:r w:rsidRPr="00192E1C">
              <w:rPr>
                <w:i/>
                <w:noProof/>
              </w:rPr>
              <w:t>Historique judiciaire</w:t>
            </w:r>
          </w:p>
        </w:tc>
        <w:tc>
          <w:tcPr>
            <w:tcW w:w="1425" w:type="dxa"/>
            <w:tcBorders>
              <w:top w:val="nil"/>
              <w:left w:val="nil"/>
              <w:bottom w:val="nil"/>
              <w:right w:val="nil"/>
            </w:tcBorders>
            <w:shd w:val="clear" w:color="auto" w:fill="auto"/>
          </w:tcPr>
          <w:p w14:paraId="6D8AA69D" w14:textId="1CB363BC" w:rsidR="00192E1C" w:rsidRPr="00192E1C" w:rsidRDefault="00192E1C" w:rsidP="00DF3A79">
            <w:pPr>
              <w:tabs>
                <w:tab w:val="decimal" w:pos="8208"/>
              </w:tabs>
              <w:spacing w:before="60" w:after="60"/>
              <w:jc w:val="center"/>
              <w:rPr>
                <w:noProof/>
              </w:rPr>
            </w:pPr>
            <w:r w:rsidRPr="00192E1C">
              <w:rPr>
                <w:noProof/>
              </w:rPr>
              <w:fldChar w:fldCharType="begin"/>
            </w:r>
            <w:r w:rsidRPr="00192E1C">
              <w:rPr>
                <w:noProof/>
              </w:rPr>
              <w:instrText xml:space="preserve"> REF _Ref208320042 \r \h </w:instrText>
            </w:r>
            <w:r>
              <w:rPr>
                <w:noProof/>
              </w:rPr>
              <w:instrText xml:space="preserve"> \* MERGEFORMAT </w:instrText>
            </w:r>
            <w:r w:rsidRPr="00192E1C">
              <w:rPr>
                <w:noProof/>
              </w:rPr>
            </w:r>
            <w:r w:rsidRPr="00192E1C">
              <w:rPr>
                <w:noProof/>
              </w:rPr>
              <w:fldChar w:fldCharType="separate"/>
            </w:r>
            <w:r w:rsidRPr="00192E1C">
              <w:rPr>
                <w:noProof/>
              </w:rPr>
              <w:t>[12]</w:t>
            </w:r>
            <w:r w:rsidRPr="00192E1C">
              <w:rPr>
                <w:noProof/>
              </w:rPr>
              <w:fldChar w:fldCharType="end"/>
            </w:r>
          </w:p>
        </w:tc>
      </w:tr>
      <w:tr w:rsidR="00192E1C" w:rsidRPr="00192E1C" w14:paraId="32FBA500" w14:textId="77777777" w:rsidTr="00D14144">
        <w:tc>
          <w:tcPr>
            <w:tcW w:w="15135" w:type="dxa"/>
            <w:tcBorders>
              <w:top w:val="nil"/>
              <w:left w:val="nil"/>
              <w:bottom w:val="nil"/>
              <w:right w:val="nil"/>
            </w:tcBorders>
            <w:shd w:val="clear" w:color="auto" w:fill="auto"/>
          </w:tcPr>
          <w:p w14:paraId="1793A7BE" w14:textId="77777777" w:rsidR="00192E1C" w:rsidRPr="00192E1C" w:rsidRDefault="00192E1C" w:rsidP="00192E1C">
            <w:pPr>
              <w:pStyle w:val="TM3"/>
              <w:numPr>
                <w:ilvl w:val="0"/>
                <w:numId w:val="30"/>
              </w:numPr>
              <w:ind w:left="1699"/>
              <w:rPr>
                <w:rFonts w:eastAsiaTheme="minorEastAsia"/>
                <w:sz w:val="22"/>
                <w:szCs w:val="22"/>
                <w:u w:val="none"/>
                <w:lang w:eastAsia="en-US"/>
              </w:rPr>
            </w:pPr>
            <w:r w:rsidRPr="00192E1C">
              <w:t>Cour du Québec (le juge Roy)</w:t>
            </w:r>
          </w:p>
        </w:tc>
        <w:tc>
          <w:tcPr>
            <w:tcW w:w="1425" w:type="dxa"/>
            <w:tcBorders>
              <w:top w:val="nil"/>
              <w:left w:val="nil"/>
              <w:bottom w:val="nil"/>
              <w:right w:val="nil"/>
            </w:tcBorders>
            <w:shd w:val="clear" w:color="auto" w:fill="auto"/>
          </w:tcPr>
          <w:p w14:paraId="1696D1CF" w14:textId="2905E59C" w:rsidR="00192E1C" w:rsidRPr="00192E1C" w:rsidRDefault="00192E1C" w:rsidP="00DF3A79">
            <w:pPr>
              <w:tabs>
                <w:tab w:val="decimal" w:pos="8208"/>
              </w:tabs>
              <w:spacing w:before="60" w:after="60"/>
              <w:jc w:val="center"/>
            </w:pPr>
            <w:r w:rsidRPr="00192E1C">
              <w:fldChar w:fldCharType="begin"/>
            </w:r>
            <w:r w:rsidRPr="00192E1C">
              <w:instrText xml:space="preserve"> REF _Ref208320042 \r \h </w:instrText>
            </w:r>
            <w:r>
              <w:instrText xml:space="preserve"> \* MERGEFORMAT </w:instrText>
            </w:r>
            <w:r w:rsidRPr="00192E1C">
              <w:fldChar w:fldCharType="separate"/>
            </w:r>
            <w:r w:rsidRPr="00192E1C">
              <w:t>[12]</w:t>
            </w:r>
            <w:r w:rsidRPr="00192E1C">
              <w:fldChar w:fldCharType="end"/>
            </w:r>
          </w:p>
        </w:tc>
      </w:tr>
      <w:tr w:rsidR="00192E1C" w:rsidRPr="00192E1C" w14:paraId="7A6ECE27" w14:textId="77777777" w:rsidTr="00D14144">
        <w:tc>
          <w:tcPr>
            <w:tcW w:w="15135" w:type="dxa"/>
            <w:tcBorders>
              <w:top w:val="nil"/>
              <w:left w:val="nil"/>
              <w:bottom w:val="nil"/>
              <w:right w:val="nil"/>
            </w:tcBorders>
            <w:shd w:val="clear" w:color="auto" w:fill="auto"/>
          </w:tcPr>
          <w:p w14:paraId="7AF5D0AE" w14:textId="77777777" w:rsidR="00192E1C" w:rsidRPr="00192E1C" w:rsidRDefault="00192E1C" w:rsidP="00192E1C">
            <w:pPr>
              <w:pStyle w:val="TM3"/>
              <w:numPr>
                <w:ilvl w:val="0"/>
                <w:numId w:val="30"/>
              </w:numPr>
              <w:ind w:left="1699"/>
              <w:rPr>
                <w:rFonts w:eastAsiaTheme="minorEastAsia"/>
                <w:sz w:val="22"/>
                <w:szCs w:val="22"/>
                <w:u w:val="none"/>
                <w:lang w:eastAsia="en-US"/>
              </w:rPr>
            </w:pPr>
            <w:r w:rsidRPr="00192E1C">
              <w:t>Cour d’appel du Québec (les juges Schrager, Healy et Bachand)</w:t>
            </w:r>
          </w:p>
        </w:tc>
        <w:tc>
          <w:tcPr>
            <w:tcW w:w="1425" w:type="dxa"/>
            <w:tcBorders>
              <w:top w:val="nil"/>
              <w:left w:val="nil"/>
              <w:bottom w:val="nil"/>
              <w:right w:val="nil"/>
            </w:tcBorders>
            <w:shd w:val="clear" w:color="auto" w:fill="auto"/>
          </w:tcPr>
          <w:p w14:paraId="4353A1B1" w14:textId="624661FE" w:rsidR="00192E1C" w:rsidRPr="00192E1C" w:rsidRDefault="00192E1C" w:rsidP="00DF3A79">
            <w:pPr>
              <w:tabs>
                <w:tab w:val="decimal" w:pos="8208"/>
              </w:tabs>
              <w:spacing w:before="60" w:after="60"/>
              <w:jc w:val="center"/>
            </w:pPr>
            <w:r w:rsidRPr="00192E1C">
              <w:fldChar w:fldCharType="begin"/>
            </w:r>
            <w:r w:rsidRPr="00192E1C">
              <w:instrText xml:space="preserve"> REF _Ref214611538 \r \h </w:instrText>
            </w:r>
            <w:r>
              <w:instrText xml:space="preserve"> \* MERGEFORMAT </w:instrText>
            </w:r>
            <w:r w:rsidRPr="00192E1C">
              <w:fldChar w:fldCharType="separate"/>
            </w:r>
            <w:r w:rsidRPr="00192E1C">
              <w:t>[15]</w:t>
            </w:r>
            <w:r w:rsidRPr="00192E1C">
              <w:fldChar w:fldCharType="end"/>
            </w:r>
          </w:p>
        </w:tc>
      </w:tr>
      <w:tr w:rsidR="00192E1C" w:rsidRPr="00192E1C" w14:paraId="382EC47E" w14:textId="77777777" w:rsidTr="00D14144">
        <w:tc>
          <w:tcPr>
            <w:tcW w:w="15135" w:type="dxa"/>
            <w:tcBorders>
              <w:top w:val="nil"/>
              <w:left w:val="nil"/>
              <w:bottom w:val="nil"/>
              <w:right w:val="nil"/>
            </w:tcBorders>
            <w:shd w:val="clear" w:color="auto" w:fill="auto"/>
          </w:tcPr>
          <w:p w14:paraId="07E7999E" w14:textId="77777777" w:rsidR="00192E1C" w:rsidRPr="00192E1C" w:rsidRDefault="00192E1C" w:rsidP="00DF3A79">
            <w:pPr>
              <w:pStyle w:val="TM1"/>
              <w:rPr>
                <w:rFonts w:eastAsiaTheme="minorEastAsia"/>
                <w:noProof/>
                <w:sz w:val="22"/>
                <w:szCs w:val="22"/>
                <w:lang w:val="en-US" w:eastAsia="en-US"/>
              </w:rPr>
            </w:pPr>
            <w:r w:rsidRPr="00192E1C">
              <w:rPr>
                <w:noProof/>
              </w:rPr>
              <w:t>III.</w:t>
            </w:r>
            <w:r w:rsidRPr="00192E1C">
              <w:rPr>
                <w:rFonts w:eastAsiaTheme="minorEastAsia"/>
                <w:noProof/>
                <w:sz w:val="22"/>
                <w:szCs w:val="22"/>
                <w:lang w:val="en-US" w:eastAsia="en-US"/>
              </w:rPr>
              <w:tab/>
            </w:r>
            <w:r w:rsidRPr="00002669">
              <w:rPr>
                <w:noProof/>
                <w:u w:val="single"/>
              </w:rPr>
              <w:t>Questions en litige</w:t>
            </w:r>
          </w:p>
        </w:tc>
        <w:tc>
          <w:tcPr>
            <w:tcW w:w="1425" w:type="dxa"/>
            <w:tcBorders>
              <w:top w:val="nil"/>
              <w:left w:val="nil"/>
              <w:bottom w:val="nil"/>
              <w:right w:val="nil"/>
            </w:tcBorders>
            <w:shd w:val="clear" w:color="auto" w:fill="auto"/>
          </w:tcPr>
          <w:p w14:paraId="5AFD0828" w14:textId="412A42B0" w:rsidR="00192E1C" w:rsidRPr="00192E1C" w:rsidRDefault="00192E1C" w:rsidP="00DF3A79">
            <w:pPr>
              <w:tabs>
                <w:tab w:val="decimal" w:pos="8208"/>
              </w:tabs>
              <w:spacing w:before="60" w:after="60"/>
              <w:jc w:val="center"/>
              <w:rPr>
                <w:noProof/>
              </w:rPr>
            </w:pPr>
            <w:r w:rsidRPr="00192E1C">
              <w:rPr>
                <w:noProof/>
              </w:rPr>
              <w:fldChar w:fldCharType="begin"/>
            </w:r>
            <w:r w:rsidRPr="00192E1C">
              <w:rPr>
                <w:noProof/>
              </w:rPr>
              <w:instrText xml:space="preserve"> REF _Ref204344201 \r \h </w:instrText>
            </w:r>
            <w:r>
              <w:rPr>
                <w:noProof/>
              </w:rPr>
              <w:instrText xml:space="preserve"> \* MERGEFORMAT </w:instrText>
            </w:r>
            <w:r w:rsidRPr="00192E1C">
              <w:rPr>
                <w:noProof/>
              </w:rPr>
            </w:r>
            <w:r w:rsidRPr="00192E1C">
              <w:rPr>
                <w:noProof/>
              </w:rPr>
              <w:fldChar w:fldCharType="separate"/>
            </w:r>
            <w:r w:rsidRPr="00192E1C">
              <w:rPr>
                <w:noProof/>
              </w:rPr>
              <w:t>[20]</w:t>
            </w:r>
            <w:r w:rsidRPr="00192E1C">
              <w:rPr>
                <w:noProof/>
              </w:rPr>
              <w:fldChar w:fldCharType="end"/>
            </w:r>
          </w:p>
        </w:tc>
      </w:tr>
      <w:tr w:rsidR="00192E1C" w:rsidRPr="00192E1C" w14:paraId="2D13709C" w14:textId="77777777" w:rsidTr="00D14144">
        <w:tc>
          <w:tcPr>
            <w:tcW w:w="15135" w:type="dxa"/>
            <w:tcBorders>
              <w:top w:val="nil"/>
              <w:left w:val="nil"/>
              <w:bottom w:val="nil"/>
              <w:right w:val="nil"/>
            </w:tcBorders>
            <w:shd w:val="clear" w:color="auto" w:fill="auto"/>
          </w:tcPr>
          <w:p w14:paraId="7534E711" w14:textId="77777777" w:rsidR="00192E1C" w:rsidRPr="00192E1C" w:rsidRDefault="00192E1C" w:rsidP="00DF3A79">
            <w:pPr>
              <w:pStyle w:val="TM1"/>
              <w:rPr>
                <w:rFonts w:eastAsiaTheme="minorEastAsia"/>
                <w:noProof/>
                <w:sz w:val="22"/>
                <w:szCs w:val="22"/>
                <w:lang w:val="en-US" w:eastAsia="en-US"/>
              </w:rPr>
            </w:pPr>
            <w:r w:rsidRPr="00192E1C">
              <w:rPr>
                <w:noProof/>
              </w:rPr>
              <w:t>IV.</w:t>
            </w:r>
            <w:r w:rsidRPr="00192E1C">
              <w:rPr>
                <w:rFonts w:eastAsiaTheme="minorEastAsia"/>
                <w:noProof/>
                <w:sz w:val="22"/>
                <w:szCs w:val="22"/>
                <w:lang w:val="en-US" w:eastAsia="en-US"/>
              </w:rPr>
              <w:tab/>
            </w:r>
            <w:r w:rsidRPr="00002669">
              <w:rPr>
                <w:noProof/>
                <w:u w:val="single"/>
              </w:rPr>
              <w:t>Analyse</w:t>
            </w:r>
          </w:p>
        </w:tc>
        <w:tc>
          <w:tcPr>
            <w:tcW w:w="1425" w:type="dxa"/>
            <w:tcBorders>
              <w:top w:val="nil"/>
              <w:left w:val="nil"/>
              <w:bottom w:val="nil"/>
              <w:right w:val="nil"/>
            </w:tcBorders>
            <w:shd w:val="clear" w:color="auto" w:fill="auto"/>
          </w:tcPr>
          <w:p w14:paraId="09917A74" w14:textId="0D4D259E" w:rsidR="00192E1C" w:rsidRPr="00192E1C" w:rsidRDefault="00192E1C" w:rsidP="00DF3A79">
            <w:pPr>
              <w:tabs>
                <w:tab w:val="decimal" w:pos="8208"/>
              </w:tabs>
              <w:spacing w:before="60" w:after="60"/>
              <w:jc w:val="center"/>
              <w:rPr>
                <w:noProof/>
              </w:rPr>
            </w:pPr>
            <w:r w:rsidRPr="00192E1C">
              <w:rPr>
                <w:noProof/>
              </w:rPr>
              <w:fldChar w:fldCharType="begin"/>
            </w:r>
            <w:r w:rsidRPr="00192E1C">
              <w:rPr>
                <w:noProof/>
              </w:rPr>
              <w:instrText xml:space="preserve"> REF _Ref204344218 \r \h </w:instrText>
            </w:r>
            <w:r>
              <w:rPr>
                <w:noProof/>
              </w:rPr>
              <w:instrText xml:space="preserve"> \* MERGEFORMAT </w:instrText>
            </w:r>
            <w:r w:rsidRPr="00192E1C">
              <w:rPr>
                <w:noProof/>
              </w:rPr>
            </w:r>
            <w:r w:rsidRPr="00192E1C">
              <w:rPr>
                <w:noProof/>
              </w:rPr>
              <w:fldChar w:fldCharType="separate"/>
            </w:r>
            <w:r w:rsidRPr="00192E1C">
              <w:rPr>
                <w:noProof/>
              </w:rPr>
              <w:t>[24]</w:t>
            </w:r>
            <w:r w:rsidRPr="00192E1C">
              <w:rPr>
                <w:noProof/>
              </w:rPr>
              <w:fldChar w:fldCharType="end"/>
            </w:r>
          </w:p>
        </w:tc>
      </w:tr>
      <w:tr w:rsidR="00192E1C" w:rsidRPr="00192E1C" w14:paraId="3B814A05" w14:textId="77777777" w:rsidTr="00D14144">
        <w:tc>
          <w:tcPr>
            <w:tcW w:w="15135" w:type="dxa"/>
            <w:tcBorders>
              <w:top w:val="nil"/>
              <w:left w:val="nil"/>
              <w:bottom w:val="nil"/>
              <w:right w:val="nil"/>
            </w:tcBorders>
            <w:shd w:val="clear" w:color="auto" w:fill="auto"/>
          </w:tcPr>
          <w:p w14:paraId="5DD3DA8D" w14:textId="77777777" w:rsidR="00192E1C" w:rsidRPr="00192E1C" w:rsidRDefault="00192E1C" w:rsidP="00D14144">
            <w:pPr>
              <w:pStyle w:val="TM2"/>
              <w:tabs>
                <w:tab w:val="decimal" w:pos="8208"/>
              </w:tabs>
              <w:rPr>
                <w:rFonts w:eastAsiaTheme="minorEastAsia"/>
                <w:noProof/>
                <w:sz w:val="22"/>
                <w:szCs w:val="22"/>
                <w:lang w:eastAsia="en-US"/>
              </w:rPr>
            </w:pPr>
            <w:r w:rsidRPr="00192E1C">
              <w:rPr>
                <w:noProof/>
              </w:rPr>
              <w:t>A.</w:t>
            </w:r>
            <w:r w:rsidRPr="00192E1C">
              <w:rPr>
                <w:rFonts w:eastAsiaTheme="minorEastAsia"/>
                <w:noProof/>
                <w:sz w:val="22"/>
                <w:szCs w:val="22"/>
                <w:lang w:eastAsia="en-US"/>
              </w:rPr>
              <w:tab/>
            </w:r>
            <w:r w:rsidRPr="00192E1C">
              <w:rPr>
                <w:i/>
                <w:noProof/>
              </w:rPr>
              <w:t>Les pouvoirs d’arrestation prévus à l’art. 495 C. cr.</w:t>
            </w:r>
          </w:p>
        </w:tc>
        <w:tc>
          <w:tcPr>
            <w:tcW w:w="1425" w:type="dxa"/>
            <w:tcBorders>
              <w:top w:val="nil"/>
              <w:left w:val="nil"/>
              <w:bottom w:val="nil"/>
              <w:right w:val="nil"/>
            </w:tcBorders>
            <w:shd w:val="clear" w:color="auto" w:fill="auto"/>
          </w:tcPr>
          <w:p w14:paraId="237430CF" w14:textId="63A8E368" w:rsidR="00192E1C" w:rsidRPr="00192E1C" w:rsidRDefault="00192E1C" w:rsidP="00DF3A79">
            <w:pPr>
              <w:tabs>
                <w:tab w:val="decimal" w:pos="8208"/>
              </w:tabs>
              <w:spacing w:before="60" w:after="60"/>
              <w:jc w:val="center"/>
              <w:rPr>
                <w:noProof/>
              </w:rPr>
            </w:pPr>
            <w:r w:rsidRPr="00192E1C">
              <w:rPr>
                <w:noProof/>
              </w:rPr>
              <w:fldChar w:fldCharType="begin"/>
            </w:r>
            <w:r w:rsidRPr="00192E1C">
              <w:rPr>
                <w:noProof/>
              </w:rPr>
              <w:instrText xml:space="preserve"> REF _Ref204344218 \r \h </w:instrText>
            </w:r>
            <w:r>
              <w:rPr>
                <w:noProof/>
              </w:rPr>
              <w:instrText xml:space="preserve"> \* MERGEFORMAT </w:instrText>
            </w:r>
            <w:r w:rsidRPr="00192E1C">
              <w:rPr>
                <w:noProof/>
              </w:rPr>
            </w:r>
            <w:r w:rsidRPr="00192E1C">
              <w:rPr>
                <w:noProof/>
              </w:rPr>
              <w:fldChar w:fldCharType="separate"/>
            </w:r>
            <w:r w:rsidRPr="00192E1C">
              <w:rPr>
                <w:noProof/>
              </w:rPr>
              <w:t>[24]</w:t>
            </w:r>
            <w:r w:rsidRPr="00192E1C">
              <w:rPr>
                <w:noProof/>
              </w:rPr>
              <w:fldChar w:fldCharType="end"/>
            </w:r>
          </w:p>
        </w:tc>
      </w:tr>
      <w:tr w:rsidR="00192E1C" w:rsidRPr="00192E1C" w14:paraId="45B89936" w14:textId="77777777" w:rsidTr="00D14144">
        <w:tc>
          <w:tcPr>
            <w:tcW w:w="15135" w:type="dxa"/>
            <w:tcBorders>
              <w:top w:val="nil"/>
              <w:left w:val="nil"/>
              <w:bottom w:val="nil"/>
              <w:right w:val="nil"/>
            </w:tcBorders>
            <w:shd w:val="clear" w:color="auto" w:fill="auto"/>
          </w:tcPr>
          <w:p w14:paraId="6A016CF8" w14:textId="77777777" w:rsidR="00192E1C" w:rsidRPr="00192E1C" w:rsidRDefault="00192E1C" w:rsidP="00D14144">
            <w:pPr>
              <w:pStyle w:val="TM2"/>
              <w:tabs>
                <w:tab w:val="decimal" w:pos="8208"/>
              </w:tabs>
              <w:rPr>
                <w:rFonts w:eastAsiaTheme="minorEastAsia"/>
                <w:noProof/>
                <w:sz w:val="22"/>
                <w:szCs w:val="22"/>
                <w:lang w:eastAsia="en-US"/>
              </w:rPr>
            </w:pPr>
            <w:r w:rsidRPr="00192E1C">
              <w:rPr>
                <w:noProof/>
              </w:rPr>
              <w:t>B.</w:t>
            </w:r>
            <w:r w:rsidRPr="00192E1C">
              <w:rPr>
                <w:rFonts w:eastAsiaTheme="minorEastAsia"/>
                <w:noProof/>
                <w:sz w:val="22"/>
                <w:szCs w:val="22"/>
                <w:lang w:eastAsia="en-US"/>
              </w:rPr>
              <w:tab/>
            </w:r>
            <w:r w:rsidRPr="00192E1C">
              <w:rPr>
                <w:bCs/>
                <w:i/>
                <w:noProof/>
              </w:rPr>
              <w:t>Historique de l’arrestation sans mandat au Canada</w:t>
            </w:r>
          </w:p>
        </w:tc>
        <w:tc>
          <w:tcPr>
            <w:tcW w:w="1425" w:type="dxa"/>
            <w:tcBorders>
              <w:top w:val="nil"/>
              <w:left w:val="nil"/>
              <w:bottom w:val="nil"/>
              <w:right w:val="nil"/>
            </w:tcBorders>
            <w:shd w:val="clear" w:color="auto" w:fill="auto"/>
          </w:tcPr>
          <w:p w14:paraId="53BE470D" w14:textId="6128F1C8" w:rsidR="00192E1C" w:rsidRPr="00192E1C" w:rsidRDefault="00192E1C" w:rsidP="00DF3A79">
            <w:pPr>
              <w:tabs>
                <w:tab w:val="decimal" w:pos="8208"/>
              </w:tabs>
              <w:spacing w:before="60" w:after="60"/>
              <w:jc w:val="center"/>
              <w:rPr>
                <w:noProof/>
              </w:rPr>
            </w:pPr>
            <w:r w:rsidRPr="00192E1C">
              <w:rPr>
                <w:noProof/>
              </w:rPr>
              <w:fldChar w:fldCharType="begin"/>
            </w:r>
            <w:r w:rsidRPr="00192E1C">
              <w:rPr>
                <w:noProof/>
              </w:rPr>
              <w:instrText xml:space="preserve"> REF _Ref204344231 \r \h </w:instrText>
            </w:r>
            <w:r>
              <w:rPr>
                <w:noProof/>
              </w:rPr>
              <w:instrText xml:space="preserve"> \* MERGEFORMAT </w:instrText>
            </w:r>
            <w:r w:rsidRPr="00192E1C">
              <w:rPr>
                <w:noProof/>
              </w:rPr>
            </w:r>
            <w:r w:rsidRPr="00192E1C">
              <w:rPr>
                <w:noProof/>
              </w:rPr>
              <w:fldChar w:fldCharType="separate"/>
            </w:r>
            <w:r w:rsidRPr="00192E1C">
              <w:rPr>
                <w:noProof/>
              </w:rPr>
              <w:t>[27]</w:t>
            </w:r>
            <w:r w:rsidRPr="00192E1C">
              <w:rPr>
                <w:noProof/>
              </w:rPr>
              <w:fldChar w:fldCharType="end"/>
            </w:r>
          </w:p>
        </w:tc>
      </w:tr>
      <w:tr w:rsidR="00192E1C" w:rsidRPr="00192E1C" w14:paraId="5D6F95DF" w14:textId="77777777" w:rsidTr="00D14144">
        <w:tc>
          <w:tcPr>
            <w:tcW w:w="15135" w:type="dxa"/>
            <w:tcBorders>
              <w:top w:val="nil"/>
              <w:left w:val="nil"/>
              <w:bottom w:val="nil"/>
              <w:right w:val="nil"/>
            </w:tcBorders>
            <w:shd w:val="clear" w:color="auto" w:fill="auto"/>
          </w:tcPr>
          <w:p w14:paraId="55DA7E23" w14:textId="77777777" w:rsidR="00192E1C" w:rsidRPr="00192E1C" w:rsidRDefault="00192E1C" w:rsidP="00D14144">
            <w:pPr>
              <w:pStyle w:val="TM3"/>
              <w:ind w:left="1699"/>
              <w:rPr>
                <w:rFonts w:eastAsiaTheme="minorEastAsia"/>
                <w:sz w:val="22"/>
                <w:szCs w:val="22"/>
                <w:u w:val="none"/>
                <w:lang w:val="en-US" w:eastAsia="en-US"/>
              </w:rPr>
            </w:pPr>
            <w:r w:rsidRPr="00192E1C">
              <w:t>Rapport Ouimet</w:t>
            </w:r>
          </w:p>
        </w:tc>
        <w:tc>
          <w:tcPr>
            <w:tcW w:w="1425" w:type="dxa"/>
            <w:tcBorders>
              <w:top w:val="nil"/>
              <w:left w:val="nil"/>
              <w:bottom w:val="nil"/>
              <w:right w:val="nil"/>
            </w:tcBorders>
            <w:shd w:val="clear" w:color="auto" w:fill="auto"/>
          </w:tcPr>
          <w:p w14:paraId="3A25F688" w14:textId="7AD08029" w:rsidR="00192E1C" w:rsidRPr="00192E1C" w:rsidRDefault="00192E1C" w:rsidP="00DF3A79">
            <w:pPr>
              <w:tabs>
                <w:tab w:val="decimal" w:pos="8208"/>
              </w:tabs>
              <w:spacing w:before="60" w:after="60"/>
              <w:jc w:val="center"/>
            </w:pPr>
            <w:r w:rsidRPr="00192E1C">
              <w:fldChar w:fldCharType="begin"/>
            </w:r>
            <w:r w:rsidRPr="00192E1C">
              <w:instrText xml:space="preserve"> REF _Ref214611572 \r \h </w:instrText>
            </w:r>
            <w:r>
              <w:instrText xml:space="preserve"> \* MERGEFORMAT </w:instrText>
            </w:r>
            <w:r w:rsidRPr="00192E1C">
              <w:fldChar w:fldCharType="separate"/>
            </w:r>
            <w:r w:rsidRPr="00192E1C">
              <w:t>[28]</w:t>
            </w:r>
            <w:r w:rsidRPr="00192E1C">
              <w:fldChar w:fldCharType="end"/>
            </w:r>
          </w:p>
        </w:tc>
      </w:tr>
      <w:tr w:rsidR="00192E1C" w:rsidRPr="00192E1C" w14:paraId="079758B6" w14:textId="77777777" w:rsidTr="00D14144">
        <w:tc>
          <w:tcPr>
            <w:tcW w:w="15135" w:type="dxa"/>
            <w:tcBorders>
              <w:top w:val="nil"/>
              <w:left w:val="nil"/>
              <w:bottom w:val="nil"/>
              <w:right w:val="nil"/>
            </w:tcBorders>
            <w:shd w:val="clear" w:color="auto" w:fill="auto"/>
          </w:tcPr>
          <w:p w14:paraId="1CD57D61" w14:textId="77777777" w:rsidR="00192E1C" w:rsidRPr="00192E1C" w:rsidRDefault="00192E1C" w:rsidP="00D14144">
            <w:pPr>
              <w:pStyle w:val="TM3"/>
              <w:ind w:left="1699"/>
              <w:rPr>
                <w:rFonts w:eastAsiaTheme="minorEastAsia"/>
                <w:sz w:val="22"/>
                <w:szCs w:val="22"/>
                <w:u w:val="none"/>
                <w:lang w:eastAsia="en-US"/>
              </w:rPr>
            </w:pPr>
            <w:r w:rsidRPr="00192E1C">
              <w:t xml:space="preserve">Adoption de la </w:t>
            </w:r>
            <w:r w:rsidRPr="00192E1C">
              <w:rPr>
                <w:i/>
              </w:rPr>
              <w:t>Loi sur la réforme du cautionnement</w:t>
            </w:r>
          </w:p>
        </w:tc>
        <w:tc>
          <w:tcPr>
            <w:tcW w:w="1425" w:type="dxa"/>
            <w:tcBorders>
              <w:top w:val="nil"/>
              <w:left w:val="nil"/>
              <w:bottom w:val="nil"/>
              <w:right w:val="nil"/>
            </w:tcBorders>
            <w:shd w:val="clear" w:color="auto" w:fill="auto"/>
          </w:tcPr>
          <w:p w14:paraId="4537C542" w14:textId="2BD1A46D" w:rsidR="00192E1C" w:rsidRPr="00192E1C" w:rsidRDefault="00192E1C" w:rsidP="00DF3A79">
            <w:pPr>
              <w:tabs>
                <w:tab w:val="decimal" w:pos="8208"/>
              </w:tabs>
              <w:spacing w:before="60" w:after="60"/>
              <w:jc w:val="center"/>
            </w:pPr>
            <w:r w:rsidRPr="00192E1C">
              <w:fldChar w:fldCharType="begin"/>
            </w:r>
            <w:r w:rsidRPr="00192E1C">
              <w:instrText xml:space="preserve"> REF _Ref214611579 \r \h </w:instrText>
            </w:r>
            <w:r>
              <w:instrText xml:space="preserve"> \* MERGEFORMAT </w:instrText>
            </w:r>
            <w:r w:rsidRPr="00192E1C">
              <w:fldChar w:fldCharType="separate"/>
            </w:r>
            <w:r w:rsidRPr="00192E1C">
              <w:t>[31]</w:t>
            </w:r>
            <w:r w:rsidRPr="00192E1C">
              <w:fldChar w:fldCharType="end"/>
            </w:r>
          </w:p>
        </w:tc>
      </w:tr>
      <w:tr w:rsidR="00192E1C" w:rsidRPr="00192E1C" w14:paraId="27516873" w14:textId="77777777" w:rsidTr="00D14144">
        <w:tc>
          <w:tcPr>
            <w:tcW w:w="15135" w:type="dxa"/>
            <w:tcBorders>
              <w:top w:val="nil"/>
              <w:left w:val="nil"/>
              <w:bottom w:val="nil"/>
              <w:right w:val="nil"/>
            </w:tcBorders>
            <w:shd w:val="clear" w:color="auto" w:fill="auto"/>
          </w:tcPr>
          <w:p w14:paraId="5432E887" w14:textId="77777777" w:rsidR="00192E1C" w:rsidRPr="00192E1C" w:rsidRDefault="00192E1C" w:rsidP="00D14144">
            <w:pPr>
              <w:pStyle w:val="TM2"/>
              <w:tabs>
                <w:tab w:val="decimal" w:pos="8208"/>
              </w:tabs>
              <w:rPr>
                <w:rFonts w:eastAsiaTheme="minorEastAsia"/>
                <w:noProof/>
                <w:sz w:val="22"/>
                <w:szCs w:val="22"/>
                <w:lang w:eastAsia="en-US"/>
              </w:rPr>
            </w:pPr>
            <w:r w:rsidRPr="00192E1C">
              <w:rPr>
                <w:noProof/>
              </w:rPr>
              <w:t>C.</w:t>
            </w:r>
            <w:r w:rsidRPr="00192E1C">
              <w:rPr>
                <w:rFonts w:eastAsiaTheme="minorEastAsia"/>
                <w:noProof/>
                <w:sz w:val="22"/>
                <w:szCs w:val="22"/>
                <w:lang w:eastAsia="en-US"/>
              </w:rPr>
              <w:tab/>
            </w:r>
            <w:r w:rsidRPr="00192E1C">
              <w:rPr>
                <w:i/>
                <w:noProof/>
              </w:rPr>
              <w:t>La jurisprudence portant sur l’interprétation des par. 495(2) et (3) C. cr.</w:t>
            </w:r>
          </w:p>
        </w:tc>
        <w:tc>
          <w:tcPr>
            <w:tcW w:w="1425" w:type="dxa"/>
            <w:tcBorders>
              <w:top w:val="nil"/>
              <w:left w:val="nil"/>
              <w:bottom w:val="nil"/>
              <w:right w:val="nil"/>
            </w:tcBorders>
            <w:shd w:val="clear" w:color="auto" w:fill="auto"/>
          </w:tcPr>
          <w:p w14:paraId="400F558A" w14:textId="249DA312" w:rsidR="00192E1C" w:rsidRPr="00192E1C" w:rsidRDefault="00192E1C" w:rsidP="00DF3A79">
            <w:pPr>
              <w:tabs>
                <w:tab w:val="decimal" w:pos="8208"/>
              </w:tabs>
              <w:spacing w:before="60" w:after="60"/>
              <w:jc w:val="center"/>
              <w:rPr>
                <w:noProof/>
              </w:rPr>
            </w:pPr>
            <w:r w:rsidRPr="00192E1C">
              <w:rPr>
                <w:noProof/>
              </w:rPr>
              <w:fldChar w:fldCharType="begin"/>
            </w:r>
            <w:r w:rsidRPr="00192E1C">
              <w:rPr>
                <w:noProof/>
              </w:rPr>
              <w:instrText xml:space="preserve"> REF _Ref204344245 \r \h </w:instrText>
            </w:r>
            <w:r>
              <w:rPr>
                <w:noProof/>
              </w:rPr>
              <w:instrText xml:space="preserve"> \* MERGEFORMAT </w:instrText>
            </w:r>
            <w:r w:rsidRPr="00192E1C">
              <w:rPr>
                <w:noProof/>
              </w:rPr>
            </w:r>
            <w:r w:rsidRPr="00192E1C">
              <w:rPr>
                <w:noProof/>
              </w:rPr>
              <w:fldChar w:fldCharType="separate"/>
            </w:r>
            <w:r w:rsidRPr="00192E1C">
              <w:rPr>
                <w:noProof/>
              </w:rPr>
              <w:t>[40]</w:t>
            </w:r>
            <w:r w:rsidRPr="00192E1C">
              <w:rPr>
                <w:noProof/>
              </w:rPr>
              <w:fldChar w:fldCharType="end"/>
            </w:r>
          </w:p>
        </w:tc>
      </w:tr>
      <w:tr w:rsidR="00192E1C" w:rsidRPr="00192E1C" w14:paraId="4EEB9F31" w14:textId="77777777" w:rsidTr="00D14144">
        <w:tc>
          <w:tcPr>
            <w:tcW w:w="15135" w:type="dxa"/>
            <w:tcBorders>
              <w:top w:val="nil"/>
              <w:left w:val="nil"/>
              <w:bottom w:val="nil"/>
              <w:right w:val="nil"/>
            </w:tcBorders>
            <w:shd w:val="clear" w:color="auto" w:fill="auto"/>
          </w:tcPr>
          <w:p w14:paraId="7920CB08" w14:textId="77777777" w:rsidR="00192E1C" w:rsidRPr="00192E1C" w:rsidRDefault="00192E1C" w:rsidP="00D14144">
            <w:pPr>
              <w:pStyle w:val="TM3"/>
              <w:numPr>
                <w:ilvl w:val="0"/>
                <w:numId w:val="0"/>
              </w:numPr>
              <w:ind w:left="1699" w:hanging="360"/>
              <w:rPr>
                <w:rFonts w:eastAsiaTheme="minorEastAsia"/>
                <w:sz w:val="22"/>
                <w:szCs w:val="22"/>
                <w:u w:val="none"/>
                <w:lang w:eastAsia="en-US"/>
              </w:rPr>
            </w:pPr>
            <w:r w:rsidRPr="00192E1C">
              <w:rPr>
                <w:u w:val="none"/>
              </w:rPr>
              <w:t>(1)</w:t>
            </w:r>
            <w:r w:rsidRPr="00192E1C">
              <w:rPr>
                <w:rFonts w:eastAsiaTheme="minorEastAsia"/>
                <w:sz w:val="22"/>
                <w:szCs w:val="22"/>
                <w:u w:val="none"/>
                <w:lang w:eastAsia="en-US"/>
              </w:rPr>
              <w:tab/>
            </w:r>
            <w:r w:rsidRPr="00192E1C">
              <w:t xml:space="preserve">Arrêts antérieurs à l’adoption de la </w:t>
            </w:r>
            <w:r w:rsidRPr="00192E1C">
              <w:rPr>
                <w:i/>
              </w:rPr>
              <w:t>Charte</w:t>
            </w:r>
          </w:p>
        </w:tc>
        <w:tc>
          <w:tcPr>
            <w:tcW w:w="1425" w:type="dxa"/>
            <w:tcBorders>
              <w:top w:val="nil"/>
              <w:left w:val="nil"/>
              <w:bottom w:val="nil"/>
              <w:right w:val="nil"/>
            </w:tcBorders>
            <w:shd w:val="clear" w:color="auto" w:fill="auto"/>
          </w:tcPr>
          <w:p w14:paraId="7A19E824" w14:textId="4E85A93A" w:rsidR="00192E1C" w:rsidRPr="00192E1C" w:rsidRDefault="00192E1C" w:rsidP="00DF3A79">
            <w:pPr>
              <w:tabs>
                <w:tab w:val="decimal" w:pos="8208"/>
              </w:tabs>
              <w:spacing w:before="60" w:after="60"/>
              <w:jc w:val="center"/>
            </w:pPr>
            <w:r w:rsidRPr="00192E1C">
              <w:fldChar w:fldCharType="begin"/>
            </w:r>
            <w:r w:rsidRPr="00192E1C">
              <w:instrText xml:space="preserve"> REF _Ref214611594 \r \h </w:instrText>
            </w:r>
            <w:r>
              <w:instrText xml:space="preserve"> \* MERGEFORMAT </w:instrText>
            </w:r>
            <w:r w:rsidRPr="00192E1C">
              <w:fldChar w:fldCharType="separate"/>
            </w:r>
            <w:r w:rsidRPr="00192E1C">
              <w:t>[41]</w:t>
            </w:r>
            <w:r w:rsidRPr="00192E1C">
              <w:fldChar w:fldCharType="end"/>
            </w:r>
          </w:p>
        </w:tc>
      </w:tr>
      <w:tr w:rsidR="00192E1C" w:rsidRPr="00192E1C" w14:paraId="34BB61C7" w14:textId="77777777" w:rsidTr="00D14144">
        <w:tc>
          <w:tcPr>
            <w:tcW w:w="15135" w:type="dxa"/>
            <w:tcBorders>
              <w:top w:val="nil"/>
              <w:left w:val="nil"/>
              <w:bottom w:val="nil"/>
              <w:right w:val="nil"/>
            </w:tcBorders>
            <w:shd w:val="clear" w:color="auto" w:fill="auto"/>
          </w:tcPr>
          <w:p w14:paraId="40470D37" w14:textId="77777777" w:rsidR="00192E1C" w:rsidRPr="00192E1C" w:rsidRDefault="00192E1C" w:rsidP="00D14144">
            <w:pPr>
              <w:pStyle w:val="TM3"/>
              <w:numPr>
                <w:ilvl w:val="0"/>
                <w:numId w:val="0"/>
              </w:numPr>
              <w:ind w:left="1699" w:hanging="360"/>
              <w:rPr>
                <w:rFonts w:eastAsiaTheme="minorEastAsia"/>
                <w:sz w:val="22"/>
                <w:szCs w:val="22"/>
                <w:u w:val="none"/>
                <w:lang w:eastAsia="en-US"/>
              </w:rPr>
            </w:pPr>
            <w:r w:rsidRPr="00192E1C">
              <w:rPr>
                <w:u w:val="none"/>
              </w:rPr>
              <w:t>(2)</w:t>
            </w:r>
            <w:r w:rsidRPr="00192E1C">
              <w:rPr>
                <w:rFonts w:eastAsiaTheme="minorEastAsia"/>
                <w:sz w:val="22"/>
                <w:szCs w:val="22"/>
                <w:u w:val="none"/>
                <w:lang w:eastAsia="en-US"/>
              </w:rPr>
              <w:tab/>
            </w:r>
            <w:r w:rsidRPr="00192E1C">
              <w:t xml:space="preserve">Arrêts postérieurs à l’adoption de la </w:t>
            </w:r>
            <w:r w:rsidRPr="00192E1C">
              <w:rPr>
                <w:i/>
              </w:rPr>
              <w:t>Charte</w:t>
            </w:r>
          </w:p>
        </w:tc>
        <w:tc>
          <w:tcPr>
            <w:tcW w:w="1425" w:type="dxa"/>
            <w:tcBorders>
              <w:top w:val="nil"/>
              <w:left w:val="nil"/>
              <w:bottom w:val="nil"/>
              <w:right w:val="nil"/>
            </w:tcBorders>
            <w:shd w:val="clear" w:color="auto" w:fill="auto"/>
          </w:tcPr>
          <w:p w14:paraId="00D2DED6" w14:textId="78B9FF0B" w:rsidR="00192E1C" w:rsidRPr="00192E1C" w:rsidRDefault="00192E1C" w:rsidP="00DF3A79">
            <w:pPr>
              <w:tabs>
                <w:tab w:val="decimal" w:pos="8208"/>
              </w:tabs>
              <w:spacing w:before="60" w:after="60"/>
              <w:jc w:val="center"/>
            </w:pPr>
            <w:r w:rsidRPr="00192E1C">
              <w:fldChar w:fldCharType="begin"/>
            </w:r>
            <w:r w:rsidRPr="00192E1C">
              <w:instrText xml:space="preserve"> REF _Ref214611604 \r \h </w:instrText>
            </w:r>
            <w:r>
              <w:instrText xml:space="preserve"> \* MERGEFORMAT </w:instrText>
            </w:r>
            <w:r w:rsidRPr="00192E1C">
              <w:fldChar w:fldCharType="separate"/>
            </w:r>
            <w:r w:rsidRPr="00192E1C">
              <w:t>[48]</w:t>
            </w:r>
            <w:r w:rsidRPr="00192E1C">
              <w:fldChar w:fldCharType="end"/>
            </w:r>
          </w:p>
        </w:tc>
      </w:tr>
      <w:tr w:rsidR="00192E1C" w:rsidRPr="00192E1C" w14:paraId="2AEBD64C" w14:textId="77777777" w:rsidTr="00D14144">
        <w:tc>
          <w:tcPr>
            <w:tcW w:w="15135" w:type="dxa"/>
            <w:tcBorders>
              <w:top w:val="nil"/>
              <w:left w:val="nil"/>
              <w:bottom w:val="nil"/>
              <w:right w:val="nil"/>
            </w:tcBorders>
            <w:shd w:val="clear" w:color="auto" w:fill="auto"/>
          </w:tcPr>
          <w:p w14:paraId="13A2E551" w14:textId="77777777" w:rsidR="00192E1C" w:rsidRPr="00192E1C" w:rsidRDefault="00192E1C" w:rsidP="00D14144">
            <w:pPr>
              <w:pStyle w:val="TM2"/>
              <w:tabs>
                <w:tab w:val="decimal" w:pos="8208"/>
              </w:tabs>
              <w:rPr>
                <w:rFonts w:eastAsiaTheme="minorEastAsia"/>
                <w:noProof/>
                <w:sz w:val="22"/>
                <w:szCs w:val="22"/>
                <w:lang w:val="en-US" w:eastAsia="en-US"/>
              </w:rPr>
            </w:pPr>
            <w:r w:rsidRPr="00192E1C">
              <w:rPr>
                <w:noProof/>
              </w:rPr>
              <w:t>D.</w:t>
            </w:r>
            <w:r w:rsidRPr="00192E1C">
              <w:rPr>
                <w:rFonts w:eastAsiaTheme="minorEastAsia"/>
                <w:noProof/>
                <w:sz w:val="22"/>
                <w:szCs w:val="22"/>
                <w:lang w:val="en-US" w:eastAsia="en-US"/>
              </w:rPr>
              <w:tab/>
            </w:r>
            <w:r w:rsidRPr="00192E1C">
              <w:rPr>
                <w:i/>
                <w:noProof/>
              </w:rPr>
              <w:t>Principes d’interprétation statutaire</w:t>
            </w:r>
          </w:p>
        </w:tc>
        <w:tc>
          <w:tcPr>
            <w:tcW w:w="1425" w:type="dxa"/>
            <w:tcBorders>
              <w:top w:val="nil"/>
              <w:left w:val="nil"/>
              <w:bottom w:val="nil"/>
              <w:right w:val="nil"/>
            </w:tcBorders>
            <w:shd w:val="clear" w:color="auto" w:fill="auto"/>
          </w:tcPr>
          <w:p w14:paraId="6B44011E" w14:textId="127A3532" w:rsidR="00192E1C" w:rsidRPr="00192E1C" w:rsidRDefault="00192E1C" w:rsidP="00DF3A79">
            <w:pPr>
              <w:tabs>
                <w:tab w:val="decimal" w:pos="8208"/>
              </w:tabs>
              <w:spacing w:before="60" w:after="60"/>
              <w:jc w:val="center"/>
              <w:rPr>
                <w:noProof/>
              </w:rPr>
            </w:pPr>
            <w:r w:rsidRPr="00192E1C">
              <w:rPr>
                <w:noProof/>
              </w:rPr>
              <w:fldChar w:fldCharType="begin"/>
            </w:r>
            <w:r w:rsidRPr="00192E1C">
              <w:rPr>
                <w:noProof/>
              </w:rPr>
              <w:instrText xml:space="preserve"> REF _Ref204344260 \r \h </w:instrText>
            </w:r>
            <w:r>
              <w:rPr>
                <w:noProof/>
              </w:rPr>
              <w:instrText xml:space="preserve"> \* MERGEFORMAT </w:instrText>
            </w:r>
            <w:r w:rsidRPr="00192E1C">
              <w:rPr>
                <w:noProof/>
              </w:rPr>
            </w:r>
            <w:r w:rsidRPr="00192E1C">
              <w:rPr>
                <w:noProof/>
              </w:rPr>
              <w:fldChar w:fldCharType="separate"/>
            </w:r>
            <w:r w:rsidRPr="00192E1C">
              <w:rPr>
                <w:noProof/>
              </w:rPr>
              <w:t>[55]</w:t>
            </w:r>
            <w:r w:rsidRPr="00192E1C">
              <w:rPr>
                <w:noProof/>
              </w:rPr>
              <w:fldChar w:fldCharType="end"/>
            </w:r>
          </w:p>
        </w:tc>
      </w:tr>
      <w:tr w:rsidR="00192E1C" w:rsidRPr="00192E1C" w14:paraId="09B3C558" w14:textId="77777777" w:rsidTr="00D14144">
        <w:tc>
          <w:tcPr>
            <w:tcW w:w="15135" w:type="dxa"/>
            <w:tcBorders>
              <w:top w:val="nil"/>
              <w:left w:val="nil"/>
              <w:bottom w:val="nil"/>
              <w:right w:val="nil"/>
            </w:tcBorders>
            <w:shd w:val="clear" w:color="auto" w:fill="auto"/>
          </w:tcPr>
          <w:p w14:paraId="3488DD2E" w14:textId="77777777" w:rsidR="00192E1C" w:rsidRPr="00192E1C" w:rsidRDefault="00192E1C" w:rsidP="00D14144">
            <w:pPr>
              <w:pStyle w:val="TM2"/>
              <w:tabs>
                <w:tab w:val="decimal" w:pos="8208"/>
              </w:tabs>
              <w:rPr>
                <w:rFonts w:eastAsiaTheme="minorEastAsia"/>
                <w:noProof/>
                <w:sz w:val="22"/>
                <w:szCs w:val="22"/>
                <w:lang w:eastAsia="en-US"/>
              </w:rPr>
            </w:pPr>
            <w:r w:rsidRPr="00192E1C">
              <w:rPr>
                <w:noProof/>
              </w:rPr>
              <w:t>E.</w:t>
            </w:r>
            <w:r w:rsidRPr="00192E1C">
              <w:rPr>
                <w:rFonts w:eastAsiaTheme="minorEastAsia"/>
                <w:noProof/>
                <w:sz w:val="22"/>
                <w:szCs w:val="22"/>
                <w:lang w:eastAsia="en-US"/>
              </w:rPr>
              <w:tab/>
            </w:r>
            <w:r w:rsidRPr="00192E1C">
              <w:rPr>
                <w:i/>
                <w:noProof/>
              </w:rPr>
              <w:t xml:space="preserve">Interprétation du par. 495(2) C. cr. : </w:t>
            </w:r>
            <w:r w:rsidRPr="00192E1C">
              <w:rPr>
                <w:i/>
              </w:rPr>
              <w:t>le non</w:t>
            </w:r>
            <w:r w:rsidRPr="00192E1C">
              <w:rPr>
                <w:i/>
              </w:rPr>
              <w:noBreakHyphen/>
              <w:t xml:space="preserve">respect du par. 495(2) C. cr. </w:t>
            </w:r>
            <w:r w:rsidRPr="00192E1C">
              <w:rPr>
                <w:i/>
                <w:noProof/>
              </w:rPr>
              <w:t>peut</w:t>
            </w:r>
            <w:r w:rsidRPr="00192E1C">
              <w:rPr>
                <w:i/>
                <w:noProof/>
              </w:rPr>
              <w:noBreakHyphen/>
              <w:t>il avoir pour effet de rendre une arrestation sans mandat illégale et donc arbitraire au sens de l’art. 9 de la Charte?</w:t>
            </w:r>
          </w:p>
        </w:tc>
        <w:tc>
          <w:tcPr>
            <w:tcW w:w="1425" w:type="dxa"/>
            <w:tcBorders>
              <w:top w:val="nil"/>
              <w:left w:val="nil"/>
              <w:bottom w:val="nil"/>
              <w:right w:val="nil"/>
            </w:tcBorders>
            <w:shd w:val="clear" w:color="auto" w:fill="auto"/>
          </w:tcPr>
          <w:p w14:paraId="0199F0B3" w14:textId="75577DBA" w:rsidR="00192E1C" w:rsidRPr="00192E1C" w:rsidRDefault="00192E1C" w:rsidP="00DF3A79">
            <w:pPr>
              <w:tabs>
                <w:tab w:val="decimal" w:pos="8208"/>
              </w:tabs>
              <w:spacing w:before="60" w:after="60"/>
              <w:jc w:val="center"/>
              <w:rPr>
                <w:noProof/>
              </w:rPr>
            </w:pPr>
            <w:r w:rsidRPr="00192E1C">
              <w:rPr>
                <w:noProof/>
              </w:rPr>
              <w:fldChar w:fldCharType="begin"/>
            </w:r>
            <w:r w:rsidRPr="00192E1C">
              <w:rPr>
                <w:noProof/>
              </w:rPr>
              <w:instrText xml:space="preserve"> REF _Ref204344270 \r \h </w:instrText>
            </w:r>
            <w:r>
              <w:rPr>
                <w:noProof/>
              </w:rPr>
              <w:instrText xml:space="preserve"> \* MERGEFORMAT </w:instrText>
            </w:r>
            <w:r w:rsidRPr="00192E1C">
              <w:rPr>
                <w:noProof/>
              </w:rPr>
            </w:r>
            <w:r w:rsidRPr="00192E1C">
              <w:rPr>
                <w:noProof/>
              </w:rPr>
              <w:fldChar w:fldCharType="separate"/>
            </w:r>
            <w:r w:rsidRPr="00192E1C">
              <w:rPr>
                <w:noProof/>
              </w:rPr>
              <w:t>[58]</w:t>
            </w:r>
            <w:r w:rsidRPr="00192E1C">
              <w:rPr>
                <w:noProof/>
              </w:rPr>
              <w:fldChar w:fldCharType="end"/>
            </w:r>
          </w:p>
        </w:tc>
      </w:tr>
      <w:tr w:rsidR="00192E1C" w:rsidRPr="00192E1C" w14:paraId="7456D873" w14:textId="77777777" w:rsidTr="00D14144">
        <w:tc>
          <w:tcPr>
            <w:tcW w:w="15135" w:type="dxa"/>
            <w:tcBorders>
              <w:top w:val="nil"/>
              <w:left w:val="nil"/>
              <w:bottom w:val="nil"/>
              <w:right w:val="nil"/>
            </w:tcBorders>
            <w:shd w:val="clear" w:color="auto" w:fill="auto"/>
          </w:tcPr>
          <w:p w14:paraId="50A66AEE" w14:textId="77777777" w:rsidR="00192E1C" w:rsidRPr="00192E1C" w:rsidRDefault="00192E1C" w:rsidP="00D14144">
            <w:pPr>
              <w:pStyle w:val="TM3"/>
              <w:numPr>
                <w:ilvl w:val="0"/>
                <w:numId w:val="0"/>
              </w:numPr>
              <w:ind w:left="1699" w:hanging="360"/>
              <w:rPr>
                <w:rFonts w:eastAsiaTheme="minorEastAsia"/>
                <w:sz w:val="22"/>
                <w:szCs w:val="22"/>
                <w:u w:val="none"/>
                <w:lang w:eastAsia="en-US"/>
              </w:rPr>
            </w:pPr>
            <w:r w:rsidRPr="00192E1C">
              <w:rPr>
                <w:u w:val="none"/>
              </w:rPr>
              <w:t>(1)</w:t>
            </w:r>
            <w:r w:rsidRPr="00192E1C">
              <w:rPr>
                <w:rFonts w:eastAsiaTheme="minorEastAsia"/>
                <w:sz w:val="22"/>
                <w:szCs w:val="22"/>
                <w:u w:val="none"/>
                <w:lang w:eastAsia="en-US"/>
              </w:rPr>
              <w:tab/>
            </w:r>
            <w:r w:rsidRPr="00192E1C">
              <w:t>Le texte du par. 495(2) </w:t>
            </w:r>
            <w:r w:rsidRPr="00192E1C">
              <w:rPr>
                <w:i/>
              </w:rPr>
              <w:t>C. cr.</w:t>
            </w:r>
          </w:p>
        </w:tc>
        <w:tc>
          <w:tcPr>
            <w:tcW w:w="1425" w:type="dxa"/>
            <w:tcBorders>
              <w:top w:val="nil"/>
              <w:left w:val="nil"/>
              <w:bottom w:val="nil"/>
              <w:right w:val="nil"/>
            </w:tcBorders>
            <w:shd w:val="clear" w:color="auto" w:fill="auto"/>
          </w:tcPr>
          <w:p w14:paraId="1B610704" w14:textId="387F3C1C" w:rsidR="00192E1C" w:rsidRPr="00192E1C" w:rsidRDefault="00192E1C" w:rsidP="00DF3A79">
            <w:pPr>
              <w:tabs>
                <w:tab w:val="decimal" w:pos="8208"/>
              </w:tabs>
              <w:spacing w:before="60" w:after="60"/>
              <w:jc w:val="center"/>
            </w:pPr>
            <w:r w:rsidRPr="00192E1C">
              <w:fldChar w:fldCharType="begin"/>
            </w:r>
            <w:r w:rsidRPr="00192E1C">
              <w:instrText xml:space="preserve"> REF _Ref204344270 \r \h </w:instrText>
            </w:r>
            <w:r>
              <w:instrText xml:space="preserve"> \* MERGEFORMAT </w:instrText>
            </w:r>
            <w:r w:rsidRPr="00192E1C">
              <w:fldChar w:fldCharType="separate"/>
            </w:r>
            <w:r w:rsidRPr="00192E1C">
              <w:t>[58]</w:t>
            </w:r>
            <w:r w:rsidRPr="00192E1C">
              <w:fldChar w:fldCharType="end"/>
            </w:r>
          </w:p>
        </w:tc>
      </w:tr>
      <w:tr w:rsidR="00192E1C" w:rsidRPr="00192E1C" w14:paraId="2CD4748A" w14:textId="77777777" w:rsidTr="00D14144">
        <w:tc>
          <w:tcPr>
            <w:tcW w:w="15135" w:type="dxa"/>
            <w:tcBorders>
              <w:top w:val="nil"/>
              <w:left w:val="nil"/>
              <w:bottom w:val="nil"/>
              <w:right w:val="nil"/>
            </w:tcBorders>
            <w:shd w:val="clear" w:color="auto" w:fill="auto"/>
          </w:tcPr>
          <w:p w14:paraId="42BAB63A" w14:textId="77777777" w:rsidR="00192E1C" w:rsidRPr="00192E1C" w:rsidRDefault="00192E1C" w:rsidP="00D14144">
            <w:pPr>
              <w:pStyle w:val="TM3"/>
              <w:numPr>
                <w:ilvl w:val="0"/>
                <w:numId w:val="0"/>
              </w:numPr>
              <w:ind w:left="1699" w:hanging="360"/>
              <w:rPr>
                <w:rFonts w:eastAsiaTheme="minorEastAsia"/>
                <w:sz w:val="22"/>
                <w:szCs w:val="22"/>
                <w:u w:val="none"/>
                <w:lang w:val="en-US" w:eastAsia="en-US"/>
              </w:rPr>
            </w:pPr>
            <w:r w:rsidRPr="00192E1C">
              <w:rPr>
                <w:u w:val="none"/>
              </w:rPr>
              <w:t>(2)</w:t>
            </w:r>
            <w:r w:rsidRPr="00192E1C">
              <w:rPr>
                <w:rFonts w:eastAsiaTheme="minorEastAsia"/>
                <w:sz w:val="22"/>
                <w:szCs w:val="22"/>
                <w:u w:val="none"/>
                <w:lang w:val="en-US" w:eastAsia="en-US"/>
              </w:rPr>
              <w:tab/>
            </w:r>
            <w:r w:rsidRPr="00192E1C">
              <w:t>Le contexte</w:t>
            </w:r>
          </w:p>
        </w:tc>
        <w:tc>
          <w:tcPr>
            <w:tcW w:w="1425" w:type="dxa"/>
            <w:tcBorders>
              <w:top w:val="nil"/>
              <w:left w:val="nil"/>
              <w:bottom w:val="nil"/>
              <w:right w:val="nil"/>
            </w:tcBorders>
            <w:shd w:val="clear" w:color="auto" w:fill="auto"/>
          </w:tcPr>
          <w:p w14:paraId="0FEDB20E" w14:textId="0431DB9D" w:rsidR="00192E1C" w:rsidRPr="00192E1C" w:rsidRDefault="00192E1C" w:rsidP="00DF3A79">
            <w:pPr>
              <w:tabs>
                <w:tab w:val="decimal" w:pos="8208"/>
              </w:tabs>
              <w:spacing w:before="60" w:after="60"/>
              <w:jc w:val="center"/>
            </w:pPr>
            <w:r w:rsidRPr="00192E1C">
              <w:fldChar w:fldCharType="begin"/>
            </w:r>
            <w:r w:rsidRPr="00192E1C">
              <w:instrText xml:space="preserve"> REF _Ref214611635 \r \h </w:instrText>
            </w:r>
            <w:r>
              <w:instrText xml:space="preserve"> \* MERGEFORMAT </w:instrText>
            </w:r>
            <w:r w:rsidRPr="00192E1C">
              <w:fldChar w:fldCharType="separate"/>
            </w:r>
            <w:r w:rsidRPr="00192E1C">
              <w:t>[67]</w:t>
            </w:r>
            <w:r w:rsidRPr="00192E1C">
              <w:fldChar w:fldCharType="end"/>
            </w:r>
          </w:p>
        </w:tc>
      </w:tr>
      <w:tr w:rsidR="00192E1C" w:rsidRPr="00192E1C" w14:paraId="52979716" w14:textId="77777777" w:rsidTr="00D14144">
        <w:tc>
          <w:tcPr>
            <w:tcW w:w="15135" w:type="dxa"/>
            <w:tcBorders>
              <w:top w:val="nil"/>
              <w:left w:val="nil"/>
              <w:bottom w:val="nil"/>
              <w:right w:val="nil"/>
            </w:tcBorders>
            <w:shd w:val="clear" w:color="auto" w:fill="auto"/>
          </w:tcPr>
          <w:p w14:paraId="6D87A779" w14:textId="77777777" w:rsidR="00192E1C" w:rsidRPr="00192E1C" w:rsidRDefault="00192E1C" w:rsidP="00D14144">
            <w:pPr>
              <w:pStyle w:val="TM4"/>
              <w:ind w:left="1699"/>
              <w:rPr>
                <w:rFonts w:eastAsiaTheme="minorEastAsia"/>
                <w:sz w:val="22"/>
                <w:szCs w:val="22"/>
                <w:lang w:eastAsia="en-US"/>
              </w:rPr>
            </w:pPr>
            <w:r w:rsidRPr="00192E1C">
              <w:t>Relation entre le par. 495(1) et le par. 495(2) C. cr.</w:t>
            </w:r>
          </w:p>
        </w:tc>
        <w:tc>
          <w:tcPr>
            <w:tcW w:w="1425" w:type="dxa"/>
            <w:tcBorders>
              <w:top w:val="nil"/>
              <w:left w:val="nil"/>
              <w:bottom w:val="nil"/>
              <w:right w:val="nil"/>
            </w:tcBorders>
            <w:shd w:val="clear" w:color="auto" w:fill="auto"/>
          </w:tcPr>
          <w:p w14:paraId="0830C8E4" w14:textId="07C2B68F" w:rsidR="00192E1C" w:rsidRPr="00192E1C" w:rsidRDefault="00192E1C" w:rsidP="00DF3A79">
            <w:pPr>
              <w:tabs>
                <w:tab w:val="decimal" w:pos="8208"/>
              </w:tabs>
              <w:spacing w:before="60" w:after="60"/>
              <w:jc w:val="center"/>
            </w:pPr>
            <w:r w:rsidRPr="00192E1C">
              <w:fldChar w:fldCharType="begin"/>
            </w:r>
            <w:r w:rsidRPr="00192E1C">
              <w:instrText xml:space="preserve"> REF _Ref214611643 \r \h </w:instrText>
            </w:r>
            <w:r>
              <w:instrText xml:space="preserve"> \* MERGEFORMAT </w:instrText>
            </w:r>
            <w:r w:rsidRPr="00192E1C">
              <w:fldChar w:fldCharType="separate"/>
            </w:r>
            <w:r w:rsidRPr="00192E1C">
              <w:t>[68]</w:t>
            </w:r>
            <w:r w:rsidRPr="00192E1C">
              <w:fldChar w:fldCharType="end"/>
            </w:r>
          </w:p>
        </w:tc>
      </w:tr>
      <w:tr w:rsidR="00192E1C" w:rsidRPr="00192E1C" w14:paraId="111FF88C" w14:textId="77777777" w:rsidTr="00D14144">
        <w:tc>
          <w:tcPr>
            <w:tcW w:w="15135" w:type="dxa"/>
            <w:tcBorders>
              <w:top w:val="nil"/>
              <w:left w:val="nil"/>
              <w:bottom w:val="nil"/>
              <w:right w:val="nil"/>
            </w:tcBorders>
            <w:shd w:val="clear" w:color="auto" w:fill="auto"/>
          </w:tcPr>
          <w:p w14:paraId="1C8C130B" w14:textId="77777777" w:rsidR="00192E1C" w:rsidRPr="00192E1C" w:rsidRDefault="00192E1C" w:rsidP="00D14144">
            <w:pPr>
              <w:pStyle w:val="TM4"/>
              <w:ind w:left="1699"/>
              <w:rPr>
                <w:rFonts w:eastAsiaTheme="minorEastAsia"/>
                <w:sz w:val="22"/>
                <w:szCs w:val="22"/>
                <w:lang w:eastAsia="en-US"/>
              </w:rPr>
            </w:pPr>
            <w:r w:rsidRPr="00192E1C">
              <w:t>Relation entre le par. 495(2) et le par. 495(3) C. cr.</w:t>
            </w:r>
          </w:p>
        </w:tc>
        <w:tc>
          <w:tcPr>
            <w:tcW w:w="1425" w:type="dxa"/>
            <w:tcBorders>
              <w:top w:val="nil"/>
              <w:left w:val="nil"/>
              <w:bottom w:val="nil"/>
              <w:right w:val="nil"/>
            </w:tcBorders>
            <w:shd w:val="clear" w:color="auto" w:fill="auto"/>
          </w:tcPr>
          <w:p w14:paraId="44C33DA0" w14:textId="53E238FB" w:rsidR="00192E1C" w:rsidRPr="00192E1C" w:rsidRDefault="00192E1C" w:rsidP="00DF3A79">
            <w:pPr>
              <w:tabs>
                <w:tab w:val="decimal" w:pos="8208"/>
              </w:tabs>
              <w:spacing w:before="60" w:after="60"/>
              <w:jc w:val="center"/>
            </w:pPr>
            <w:r w:rsidRPr="00192E1C">
              <w:fldChar w:fldCharType="begin"/>
            </w:r>
            <w:r w:rsidRPr="00192E1C">
              <w:instrText xml:space="preserve"> REF _Ref214611681 \r \h </w:instrText>
            </w:r>
            <w:r>
              <w:instrText xml:space="preserve"> \* MERGEFORMAT </w:instrText>
            </w:r>
            <w:r w:rsidRPr="00192E1C">
              <w:fldChar w:fldCharType="separate"/>
            </w:r>
            <w:r w:rsidRPr="00192E1C">
              <w:t>[73]</w:t>
            </w:r>
            <w:r w:rsidRPr="00192E1C">
              <w:fldChar w:fldCharType="end"/>
            </w:r>
          </w:p>
        </w:tc>
      </w:tr>
      <w:tr w:rsidR="00192E1C" w:rsidRPr="00192E1C" w14:paraId="7A6CA875" w14:textId="77777777" w:rsidTr="00D14144">
        <w:tc>
          <w:tcPr>
            <w:tcW w:w="15135" w:type="dxa"/>
            <w:tcBorders>
              <w:top w:val="nil"/>
              <w:left w:val="nil"/>
              <w:bottom w:val="nil"/>
              <w:right w:val="nil"/>
            </w:tcBorders>
            <w:shd w:val="clear" w:color="auto" w:fill="auto"/>
          </w:tcPr>
          <w:p w14:paraId="128EC909" w14:textId="77777777" w:rsidR="00192E1C" w:rsidRPr="00192E1C" w:rsidRDefault="00192E1C" w:rsidP="00D14144">
            <w:pPr>
              <w:pStyle w:val="TM4"/>
              <w:ind w:left="1699"/>
              <w:rPr>
                <w:rFonts w:eastAsiaTheme="minorEastAsia"/>
                <w:sz w:val="22"/>
                <w:szCs w:val="22"/>
                <w:lang w:eastAsia="en-US"/>
              </w:rPr>
            </w:pPr>
            <w:r w:rsidRPr="00192E1C">
              <w:t>Conclusion sur le contexte du par. 495(2) C. cr.</w:t>
            </w:r>
          </w:p>
        </w:tc>
        <w:tc>
          <w:tcPr>
            <w:tcW w:w="1425" w:type="dxa"/>
            <w:tcBorders>
              <w:top w:val="nil"/>
              <w:left w:val="nil"/>
              <w:bottom w:val="nil"/>
              <w:right w:val="nil"/>
            </w:tcBorders>
            <w:shd w:val="clear" w:color="auto" w:fill="auto"/>
          </w:tcPr>
          <w:p w14:paraId="0AC31E43" w14:textId="28B0D565" w:rsidR="00192E1C" w:rsidRPr="00192E1C" w:rsidRDefault="00192E1C" w:rsidP="00DF3A79">
            <w:pPr>
              <w:tabs>
                <w:tab w:val="decimal" w:pos="8208"/>
              </w:tabs>
              <w:spacing w:before="60" w:after="60"/>
              <w:jc w:val="center"/>
            </w:pPr>
            <w:r w:rsidRPr="00192E1C">
              <w:fldChar w:fldCharType="begin"/>
            </w:r>
            <w:r w:rsidRPr="00192E1C">
              <w:instrText xml:space="preserve"> REF _Ref214611693 \r \h </w:instrText>
            </w:r>
            <w:r>
              <w:instrText xml:space="preserve"> \* MERGEFORMAT </w:instrText>
            </w:r>
            <w:r w:rsidRPr="00192E1C">
              <w:fldChar w:fldCharType="separate"/>
            </w:r>
            <w:r w:rsidRPr="00192E1C">
              <w:t>[74]</w:t>
            </w:r>
            <w:r w:rsidRPr="00192E1C">
              <w:fldChar w:fldCharType="end"/>
            </w:r>
          </w:p>
        </w:tc>
      </w:tr>
      <w:tr w:rsidR="00192E1C" w:rsidRPr="00192E1C" w14:paraId="38062341" w14:textId="77777777" w:rsidTr="00D14144">
        <w:tc>
          <w:tcPr>
            <w:tcW w:w="15135" w:type="dxa"/>
            <w:tcBorders>
              <w:top w:val="nil"/>
              <w:left w:val="nil"/>
              <w:bottom w:val="nil"/>
              <w:right w:val="nil"/>
            </w:tcBorders>
            <w:shd w:val="clear" w:color="auto" w:fill="auto"/>
          </w:tcPr>
          <w:p w14:paraId="35879295" w14:textId="77777777" w:rsidR="00192E1C" w:rsidRPr="00192E1C" w:rsidRDefault="00192E1C" w:rsidP="00D14144">
            <w:pPr>
              <w:pStyle w:val="TM3"/>
              <w:ind w:left="1699"/>
              <w:rPr>
                <w:rFonts w:eastAsiaTheme="minorEastAsia"/>
                <w:sz w:val="22"/>
                <w:szCs w:val="22"/>
                <w:u w:val="none"/>
                <w:lang w:eastAsia="en-US"/>
              </w:rPr>
            </w:pPr>
            <w:r w:rsidRPr="00192E1C">
              <w:t>L’objet du par. 495(2) </w:t>
            </w:r>
            <w:r w:rsidRPr="00192E1C">
              <w:rPr>
                <w:i/>
              </w:rPr>
              <w:t>C. cr.</w:t>
            </w:r>
          </w:p>
        </w:tc>
        <w:tc>
          <w:tcPr>
            <w:tcW w:w="1425" w:type="dxa"/>
            <w:tcBorders>
              <w:top w:val="nil"/>
              <w:left w:val="nil"/>
              <w:bottom w:val="nil"/>
              <w:right w:val="nil"/>
            </w:tcBorders>
            <w:shd w:val="clear" w:color="auto" w:fill="auto"/>
          </w:tcPr>
          <w:p w14:paraId="2D0F1E32" w14:textId="22F73FDC" w:rsidR="00192E1C" w:rsidRPr="00192E1C" w:rsidRDefault="00192E1C" w:rsidP="00DF3A79">
            <w:pPr>
              <w:tabs>
                <w:tab w:val="decimal" w:pos="8208"/>
              </w:tabs>
              <w:spacing w:before="60" w:after="60"/>
              <w:jc w:val="center"/>
            </w:pPr>
            <w:r w:rsidRPr="00192E1C">
              <w:fldChar w:fldCharType="begin"/>
            </w:r>
            <w:r w:rsidRPr="00192E1C">
              <w:instrText xml:space="preserve"> REF _Ref214611704 \r \h </w:instrText>
            </w:r>
            <w:r>
              <w:instrText xml:space="preserve"> \* MERGEFORMAT </w:instrText>
            </w:r>
            <w:r w:rsidRPr="00192E1C">
              <w:fldChar w:fldCharType="separate"/>
            </w:r>
            <w:r w:rsidRPr="00192E1C">
              <w:t>[75]</w:t>
            </w:r>
            <w:r w:rsidRPr="00192E1C">
              <w:fldChar w:fldCharType="end"/>
            </w:r>
          </w:p>
        </w:tc>
      </w:tr>
      <w:tr w:rsidR="00192E1C" w:rsidRPr="00192E1C" w14:paraId="5C24613B" w14:textId="77777777" w:rsidTr="00D14144">
        <w:tc>
          <w:tcPr>
            <w:tcW w:w="15135" w:type="dxa"/>
            <w:tcBorders>
              <w:top w:val="nil"/>
              <w:left w:val="nil"/>
              <w:bottom w:val="nil"/>
              <w:right w:val="nil"/>
            </w:tcBorders>
            <w:shd w:val="clear" w:color="auto" w:fill="auto"/>
          </w:tcPr>
          <w:p w14:paraId="5E834C34" w14:textId="77777777" w:rsidR="00192E1C" w:rsidRPr="00192E1C" w:rsidRDefault="00192E1C" w:rsidP="00D14144">
            <w:pPr>
              <w:pStyle w:val="TM3"/>
              <w:ind w:left="1699"/>
              <w:rPr>
                <w:rFonts w:eastAsiaTheme="minorEastAsia"/>
                <w:sz w:val="22"/>
                <w:szCs w:val="22"/>
                <w:u w:val="none"/>
                <w:lang w:eastAsia="en-US"/>
              </w:rPr>
            </w:pPr>
            <w:r w:rsidRPr="00192E1C">
              <w:t>La constitutionnalité du critère de l’intérêt public</w:t>
            </w:r>
          </w:p>
        </w:tc>
        <w:tc>
          <w:tcPr>
            <w:tcW w:w="1425" w:type="dxa"/>
            <w:tcBorders>
              <w:top w:val="nil"/>
              <w:left w:val="nil"/>
              <w:bottom w:val="nil"/>
              <w:right w:val="nil"/>
            </w:tcBorders>
            <w:shd w:val="clear" w:color="auto" w:fill="auto"/>
          </w:tcPr>
          <w:p w14:paraId="6E0F4DB1" w14:textId="0259AF4C" w:rsidR="00192E1C" w:rsidRPr="00192E1C" w:rsidRDefault="00192E1C" w:rsidP="00DF3A79">
            <w:pPr>
              <w:tabs>
                <w:tab w:val="decimal" w:pos="8208"/>
              </w:tabs>
              <w:spacing w:before="60" w:after="60"/>
              <w:jc w:val="center"/>
            </w:pPr>
            <w:r w:rsidRPr="00192E1C">
              <w:fldChar w:fldCharType="begin"/>
            </w:r>
            <w:r w:rsidRPr="00192E1C">
              <w:instrText xml:space="preserve"> REF _Ref214611714 \r \h </w:instrText>
            </w:r>
            <w:r>
              <w:instrText xml:space="preserve"> \* MERGEFORMAT </w:instrText>
            </w:r>
            <w:r w:rsidRPr="00192E1C">
              <w:fldChar w:fldCharType="separate"/>
            </w:r>
            <w:r w:rsidRPr="00192E1C">
              <w:t>[80]</w:t>
            </w:r>
            <w:r w:rsidRPr="00192E1C">
              <w:fldChar w:fldCharType="end"/>
            </w:r>
          </w:p>
        </w:tc>
      </w:tr>
      <w:tr w:rsidR="00192E1C" w:rsidRPr="00192E1C" w14:paraId="03AB593F" w14:textId="77777777" w:rsidTr="00D14144">
        <w:tc>
          <w:tcPr>
            <w:tcW w:w="15135" w:type="dxa"/>
            <w:tcBorders>
              <w:top w:val="nil"/>
              <w:left w:val="nil"/>
              <w:bottom w:val="nil"/>
              <w:right w:val="nil"/>
            </w:tcBorders>
            <w:shd w:val="clear" w:color="auto" w:fill="auto"/>
          </w:tcPr>
          <w:p w14:paraId="7AB2FDDB" w14:textId="77777777" w:rsidR="00192E1C" w:rsidRPr="00192E1C" w:rsidRDefault="00192E1C" w:rsidP="00D14144">
            <w:pPr>
              <w:pStyle w:val="TM3"/>
              <w:ind w:left="1699"/>
              <w:rPr>
                <w:rFonts w:eastAsiaTheme="minorEastAsia"/>
                <w:sz w:val="22"/>
                <w:szCs w:val="22"/>
                <w:u w:val="none"/>
                <w:lang w:eastAsia="en-US"/>
              </w:rPr>
            </w:pPr>
            <w:r w:rsidRPr="00192E1C">
              <w:t>Conclusion sur l’interprétation du par. 495(2) </w:t>
            </w:r>
            <w:r w:rsidRPr="00192E1C">
              <w:rPr>
                <w:i/>
              </w:rPr>
              <w:t>C. cr.</w:t>
            </w:r>
          </w:p>
        </w:tc>
        <w:tc>
          <w:tcPr>
            <w:tcW w:w="1425" w:type="dxa"/>
            <w:tcBorders>
              <w:top w:val="nil"/>
              <w:left w:val="nil"/>
              <w:bottom w:val="nil"/>
              <w:right w:val="nil"/>
            </w:tcBorders>
            <w:shd w:val="clear" w:color="auto" w:fill="auto"/>
          </w:tcPr>
          <w:p w14:paraId="3FC1AA34" w14:textId="45A697F4" w:rsidR="00192E1C" w:rsidRPr="00192E1C" w:rsidRDefault="00192E1C" w:rsidP="00DF3A79">
            <w:pPr>
              <w:tabs>
                <w:tab w:val="decimal" w:pos="8208"/>
              </w:tabs>
              <w:spacing w:before="60" w:after="60"/>
              <w:jc w:val="center"/>
            </w:pPr>
            <w:r w:rsidRPr="00192E1C">
              <w:fldChar w:fldCharType="begin"/>
            </w:r>
            <w:r w:rsidRPr="00192E1C">
              <w:instrText xml:space="preserve"> REF _Ref214611721 \r \h </w:instrText>
            </w:r>
            <w:r>
              <w:instrText xml:space="preserve"> \* MERGEFORMAT </w:instrText>
            </w:r>
            <w:r w:rsidRPr="00192E1C">
              <w:fldChar w:fldCharType="separate"/>
            </w:r>
            <w:r w:rsidRPr="00192E1C">
              <w:t>[82]</w:t>
            </w:r>
            <w:r w:rsidRPr="00192E1C">
              <w:fldChar w:fldCharType="end"/>
            </w:r>
          </w:p>
        </w:tc>
      </w:tr>
      <w:tr w:rsidR="00192E1C" w:rsidRPr="00192E1C" w14:paraId="6F40F0C1" w14:textId="77777777" w:rsidTr="00D14144">
        <w:tc>
          <w:tcPr>
            <w:tcW w:w="15135" w:type="dxa"/>
            <w:tcBorders>
              <w:top w:val="nil"/>
              <w:left w:val="nil"/>
              <w:bottom w:val="nil"/>
              <w:right w:val="nil"/>
            </w:tcBorders>
            <w:shd w:val="clear" w:color="auto" w:fill="auto"/>
          </w:tcPr>
          <w:p w14:paraId="5F8B7CE2" w14:textId="77777777" w:rsidR="00192E1C" w:rsidRPr="00192E1C" w:rsidRDefault="00192E1C" w:rsidP="00D14144">
            <w:pPr>
              <w:pStyle w:val="TM2"/>
              <w:tabs>
                <w:tab w:val="decimal" w:pos="8208"/>
              </w:tabs>
              <w:rPr>
                <w:rFonts w:eastAsiaTheme="minorEastAsia"/>
                <w:noProof/>
                <w:sz w:val="22"/>
                <w:szCs w:val="22"/>
                <w:lang w:eastAsia="en-US"/>
              </w:rPr>
            </w:pPr>
            <w:r w:rsidRPr="00192E1C">
              <w:rPr>
                <w:noProof/>
              </w:rPr>
              <w:t>F.</w:t>
            </w:r>
            <w:r w:rsidRPr="00192E1C">
              <w:rPr>
                <w:rFonts w:eastAsiaTheme="minorEastAsia"/>
                <w:noProof/>
                <w:sz w:val="22"/>
                <w:szCs w:val="22"/>
                <w:lang w:eastAsia="en-US"/>
              </w:rPr>
              <w:tab/>
            </w:r>
            <w:r w:rsidRPr="00192E1C">
              <w:rPr>
                <w:i/>
                <w:noProof/>
              </w:rPr>
              <w:t>Interprétation du par. 495(3) C. cr. : le par. 495(3) C. cr. s’applique</w:t>
            </w:r>
            <w:r w:rsidRPr="00192E1C">
              <w:rPr>
                <w:i/>
                <w:noProof/>
              </w:rPr>
              <w:noBreakHyphen/>
              <w:t>t</w:t>
            </w:r>
            <w:r w:rsidRPr="00192E1C">
              <w:rPr>
                <w:i/>
                <w:noProof/>
              </w:rPr>
              <w:noBreakHyphen/>
              <w:t>il lorsqu’une procédure criminelle ne vise pas l’agent de la paix ayant procédé à l’arrestation?</w:t>
            </w:r>
          </w:p>
        </w:tc>
        <w:tc>
          <w:tcPr>
            <w:tcW w:w="1425" w:type="dxa"/>
            <w:tcBorders>
              <w:top w:val="nil"/>
              <w:left w:val="nil"/>
              <w:bottom w:val="nil"/>
              <w:right w:val="nil"/>
            </w:tcBorders>
            <w:shd w:val="clear" w:color="auto" w:fill="auto"/>
          </w:tcPr>
          <w:p w14:paraId="0542D062" w14:textId="23203EF7" w:rsidR="00192E1C" w:rsidRPr="00192E1C" w:rsidRDefault="00192E1C" w:rsidP="00DF3A79">
            <w:pPr>
              <w:tabs>
                <w:tab w:val="decimal" w:pos="8208"/>
              </w:tabs>
              <w:spacing w:before="60" w:after="60"/>
              <w:jc w:val="center"/>
              <w:rPr>
                <w:noProof/>
              </w:rPr>
            </w:pPr>
            <w:r w:rsidRPr="00192E1C">
              <w:rPr>
                <w:noProof/>
              </w:rPr>
              <w:fldChar w:fldCharType="begin"/>
            </w:r>
            <w:r w:rsidRPr="00192E1C">
              <w:rPr>
                <w:noProof/>
              </w:rPr>
              <w:instrText xml:space="preserve"> REF _Ref204344296 \r \h </w:instrText>
            </w:r>
            <w:r>
              <w:rPr>
                <w:noProof/>
              </w:rPr>
              <w:instrText xml:space="preserve"> \* MERGEFORMAT </w:instrText>
            </w:r>
            <w:r w:rsidRPr="00192E1C">
              <w:rPr>
                <w:noProof/>
              </w:rPr>
            </w:r>
            <w:r w:rsidRPr="00192E1C">
              <w:rPr>
                <w:noProof/>
              </w:rPr>
              <w:fldChar w:fldCharType="separate"/>
            </w:r>
            <w:r w:rsidRPr="00192E1C">
              <w:rPr>
                <w:noProof/>
              </w:rPr>
              <w:t>[85]</w:t>
            </w:r>
            <w:r w:rsidRPr="00192E1C">
              <w:rPr>
                <w:noProof/>
              </w:rPr>
              <w:fldChar w:fldCharType="end"/>
            </w:r>
          </w:p>
        </w:tc>
      </w:tr>
      <w:tr w:rsidR="00192E1C" w:rsidRPr="00192E1C" w14:paraId="239AC494" w14:textId="77777777" w:rsidTr="00D14144">
        <w:tc>
          <w:tcPr>
            <w:tcW w:w="15135" w:type="dxa"/>
            <w:tcBorders>
              <w:top w:val="nil"/>
              <w:left w:val="nil"/>
              <w:bottom w:val="nil"/>
              <w:right w:val="nil"/>
            </w:tcBorders>
            <w:shd w:val="clear" w:color="auto" w:fill="auto"/>
          </w:tcPr>
          <w:p w14:paraId="2960FBF3" w14:textId="77777777" w:rsidR="00192E1C" w:rsidRPr="00192E1C" w:rsidRDefault="00192E1C" w:rsidP="00D14144">
            <w:pPr>
              <w:pStyle w:val="TM3"/>
              <w:numPr>
                <w:ilvl w:val="0"/>
                <w:numId w:val="0"/>
              </w:numPr>
              <w:ind w:left="1699" w:hanging="360"/>
              <w:rPr>
                <w:rFonts w:eastAsiaTheme="minorEastAsia"/>
                <w:sz w:val="22"/>
                <w:szCs w:val="22"/>
                <w:u w:val="none"/>
                <w:lang w:eastAsia="en-US"/>
              </w:rPr>
            </w:pPr>
            <w:r w:rsidRPr="00192E1C">
              <w:rPr>
                <w:u w:val="none"/>
              </w:rPr>
              <w:t>(1)</w:t>
            </w:r>
            <w:r w:rsidRPr="00192E1C">
              <w:rPr>
                <w:rFonts w:eastAsiaTheme="minorEastAsia"/>
                <w:sz w:val="22"/>
                <w:szCs w:val="22"/>
                <w:u w:val="none"/>
                <w:lang w:eastAsia="en-US"/>
              </w:rPr>
              <w:tab/>
            </w:r>
            <w:r w:rsidRPr="00192E1C">
              <w:t>Le texte du par. 495(3) </w:t>
            </w:r>
            <w:r w:rsidRPr="00192E1C">
              <w:rPr>
                <w:i/>
              </w:rPr>
              <w:t>C. cr.</w:t>
            </w:r>
            <w:r w:rsidRPr="00192E1C">
              <w:t xml:space="preserve"> appuie deux interprétations</w:t>
            </w:r>
          </w:p>
        </w:tc>
        <w:tc>
          <w:tcPr>
            <w:tcW w:w="1425" w:type="dxa"/>
            <w:tcBorders>
              <w:top w:val="nil"/>
              <w:left w:val="nil"/>
              <w:bottom w:val="nil"/>
              <w:right w:val="nil"/>
            </w:tcBorders>
            <w:shd w:val="clear" w:color="auto" w:fill="auto"/>
          </w:tcPr>
          <w:p w14:paraId="08AE590C" w14:textId="271C539D" w:rsidR="00192E1C" w:rsidRPr="00192E1C" w:rsidRDefault="00192E1C" w:rsidP="00DF3A79">
            <w:pPr>
              <w:tabs>
                <w:tab w:val="decimal" w:pos="8208"/>
              </w:tabs>
              <w:spacing w:before="60" w:after="60"/>
              <w:jc w:val="center"/>
            </w:pPr>
            <w:r w:rsidRPr="00192E1C">
              <w:fldChar w:fldCharType="begin"/>
            </w:r>
            <w:r w:rsidRPr="00192E1C">
              <w:instrText xml:space="preserve"> REF _Ref214611751 \r \h </w:instrText>
            </w:r>
            <w:r>
              <w:instrText xml:space="preserve"> \* MERGEFORMAT </w:instrText>
            </w:r>
            <w:r w:rsidRPr="00192E1C">
              <w:fldChar w:fldCharType="separate"/>
            </w:r>
            <w:r w:rsidRPr="00192E1C">
              <w:t>[92]</w:t>
            </w:r>
            <w:r w:rsidRPr="00192E1C">
              <w:fldChar w:fldCharType="end"/>
            </w:r>
          </w:p>
        </w:tc>
      </w:tr>
      <w:tr w:rsidR="00192E1C" w:rsidRPr="00192E1C" w14:paraId="272C97C8" w14:textId="77777777" w:rsidTr="00D14144">
        <w:tc>
          <w:tcPr>
            <w:tcW w:w="15135" w:type="dxa"/>
            <w:tcBorders>
              <w:top w:val="nil"/>
              <w:left w:val="nil"/>
              <w:bottom w:val="nil"/>
              <w:right w:val="nil"/>
            </w:tcBorders>
            <w:shd w:val="clear" w:color="auto" w:fill="auto"/>
          </w:tcPr>
          <w:p w14:paraId="0374237B" w14:textId="77777777" w:rsidR="00192E1C" w:rsidRPr="00192E1C" w:rsidRDefault="00192E1C" w:rsidP="00D14144">
            <w:pPr>
              <w:pStyle w:val="TM3"/>
              <w:numPr>
                <w:ilvl w:val="0"/>
                <w:numId w:val="0"/>
              </w:numPr>
              <w:ind w:left="1699" w:hanging="360"/>
              <w:rPr>
                <w:rFonts w:eastAsiaTheme="minorEastAsia"/>
                <w:i/>
                <w:sz w:val="22"/>
                <w:szCs w:val="22"/>
                <w:u w:val="none"/>
                <w:lang w:eastAsia="en-US"/>
              </w:rPr>
            </w:pPr>
            <w:r w:rsidRPr="00192E1C">
              <w:rPr>
                <w:u w:val="none"/>
              </w:rPr>
              <w:t>(2)</w:t>
            </w:r>
            <w:r w:rsidRPr="00192E1C">
              <w:rPr>
                <w:rFonts w:eastAsiaTheme="minorEastAsia"/>
                <w:sz w:val="22"/>
                <w:szCs w:val="22"/>
                <w:u w:val="none"/>
                <w:lang w:eastAsia="en-US"/>
              </w:rPr>
              <w:tab/>
            </w:r>
            <w:r w:rsidRPr="00192E1C">
              <w:t>L’objet du par. 495(3) </w:t>
            </w:r>
            <w:r w:rsidRPr="00192E1C">
              <w:rPr>
                <w:i/>
              </w:rPr>
              <w:t>C. cr.</w:t>
            </w:r>
          </w:p>
        </w:tc>
        <w:tc>
          <w:tcPr>
            <w:tcW w:w="1425" w:type="dxa"/>
            <w:tcBorders>
              <w:top w:val="nil"/>
              <w:left w:val="nil"/>
              <w:bottom w:val="nil"/>
              <w:right w:val="nil"/>
            </w:tcBorders>
            <w:shd w:val="clear" w:color="auto" w:fill="auto"/>
          </w:tcPr>
          <w:p w14:paraId="1981E4A0" w14:textId="04C06543" w:rsidR="00192E1C" w:rsidRPr="00192E1C" w:rsidRDefault="00192E1C" w:rsidP="00DF3A79">
            <w:pPr>
              <w:tabs>
                <w:tab w:val="decimal" w:pos="8208"/>
              </w:tabs>
              <w:spacing w:before="60" w:after="60"/>
              <w:jc w:val="center"/>
            </w:pPr>
            <w:r w:rsidRPr="00192E1C">
              <w:fldChar w:fldCharType="begin"/>
            </w:r>
            <w:r w:rsidRPr="00192E1C">
              <w:instrText xml:space="preserve"> REF _Ref214611762 \r \h </w:instrText>
            </w:r>
            <w:r>
              <w:instrText xml:space="preserve"> \* MERGEFORMAT </w:instrText>
            </w:r>
            <w:r w:rsidRPr="00192E1C">
              <w:fldChar w:fldCharType="separate"/>
            </w:r>
            <w:r w:rsidRPr="00192E1C">
              <w:t>[101]</w:t>
            </w:r>
            <w:r w:rsidRPr="00192E1C">
              <w:fldChar w:fldCharType="end"/>
            </w:r>
          </w:p>
        </w:tc>
      </w:tr>
      <w:tr w:rsidR="00192E1C" w:rsidRPr="00192E1C" w14:paraId="3976CFB4" w14:textId="77777777" w:rsidTr="00D14144">
        <w:tc>
          <w:tcPr>
            <w:tcW w:w="15135" w:type="dxa"/>
            <w:tcBorders>
              <w:top w:val="nil"/>
              <w:left w:val="nil"/>
              <w:bottom w:val="nil"/>
              <w:right w:val="nil"/>
            </w:tcBorders>
            <w:shd w:val="clear" w:color="auto" w:fill="auto"/>
          </w:tcPr>
          <w:p w14:paraId="74C79C55" w14:textId="77777777" w:rsidR="00192E1C" w:rsidRPr="00192E1C" w:rsidRDefault="00192E1C" w:rsidP="00D14144">
            <w:pPr>
              <w:pStyle w:val="TM3"/>
              <w:numPr>
                <w:ilvl w:val="0"/>
                <w:numId w:val="0"/>
              </w:numPr>
              <w:ind w:left="1699" w:hanging="360"/>
              <w:rPr>
                <w:rFonts w:eastAsiaTheme="minorEastAsia"/>
                <w:sz w:val="22"/>
                <w:szCs w:val="22"/>
                <w:u w:val="none"/>
                <w:lang w:eastAsia="en-US"/>
              </w:rPr>
            </w:pPr>
            <w:r w:rsidRPr="00192E1C">
              <w:rPr>
                <w:u w:val="none"/>
              </w:rPr>
              <w:t>(3)</w:t>
            </w:r>
            <w:r w:rsidRPr="00192E1C">
              <w:rPr>
                <w:rFonts w:eastAsiaTheme="minorEastAsia"/>
                <w:sz w:val="22"/>
                <w:szCs w:val="22"/>
                <w:u w:val="none"/>
                <w:lang w:eastAsia="en-US"/>
              </w:rPr>
              <w:tab/>
            </w:r>
            <w:r w:rsidRPr="00192E1C">
              <w:t>Le contexte</w:t>
            </w:r>
          </w:p>
        </w:tc>
        <w:tc>
          <w:tcPr>
            <w:tcW w:w="1425" w:type="dxa"/>
            <w:tcBorders>
              <w:top w:val="nil"/>
              <w:left w:val="nil"/>
              <w:bottom w:val="nil"/>
              <w:right w:val="nil"/>
            </w:tcBorders>
            <w:shd w:val="clear" w:color="auto" w:fill="auto"/>
          </w:tcPr>
          <w:p w14:paraId="28C5706D" w14:textId="63F969CB" w:rsidR="00192E1C" w:rsidRPr="00192E1C" w:rsidRDefault="00192E1C" w:rsidP="00DF3A79">
            <w:pPr>
              <w:tabs>
                <w:tab w:val="decimal" w:pos="8208"/>
              </w:tabs>
              <w:spacing w:before="60" w:after="60"/>
              <w:jc w:val="center"/>
            </w:pPr>
            <w:r w:rsidRPr="00192E1C">
              <w:fldChar w:fldCharType="begin"/>
            </w:r>
            <w:r w:rsidRPr="00192E1C">
              <w:instrText xml:space="preserve"> REF _Ref214611773 \r \h </w:instrText>
            </w:r>
            <w:r>
              <w:instrText xml:space="preserve"> \* MERGEFORMAT </w:instrText>
            </w:r>
            <w:r w:rsidRPr="00192E1C">
              <w:fldChar w:fldCharType="separate"/>
            </w:r>
            <w:r w:rsidRPr="00192E1C">
              <w:t>[117]</w:t>
            </w:r>
            <w:r w:rsidRPr="00192E1C">
              <w:fldChar w:fldCharType="end"/>
            </w:r>
          </w:p>
        </w:tc>
      </w:tr>
      <w:tr w:rsidR="00192E1C" w:rsidRPr="00192E1C" w14:paraId="08C54E36" w14:textId="77777777" w:rsidTr="00D14144">
        <w:tc>
          <w:tcPr>
            <w:tcW w:w="15135" w:type="dxa"/>
            <w:tcBorders>
              <w:top w:val="nil"/>
              <w:left w:val="nil"/>
              <w:bottom w:val="nil"/>
              <w:right w:val="nil"/>
            </w:tcBorders>
            <w:shd w:val="clear" w:color="auto" w:fill="auto"/>
          </w:tcPr>
          <w:p w14:paraId="1E0AF885" w14:textId="77777777" w:rsidR="00192E1C" w:rsidRPr="00192E1C" w:rsidRDefault="00192E1C" w:rsidP="00D14144">
            <w:pPr>
              <w:pStyle w:val="TM4"/>
              <w:numPr>
                <w:ilvl w:val="0"/>
                <w:numId w:val="0"/>
              </w:numPr>
              <w:ind w:left="1699" w:hanging="360"/>
              <w:rPr>
                <w:rFonts w:eastAsiaTheme="minorEastAsia"/>
                <w:sz w:val="22"/>
                <w:szCs w:val="22"/>
                <w:lang w:eastAsia="en-US"/>
              </w:rPr>
            </w:pPr>
            <w:r w:rsidRPr="00192E1C">
              <w:rPr>
                <w:i w:val="0"/>
              </w:rPr>
              <w:t>a)</w:t>
            </w:r>
            <w:r w:rsidRPr="00192E1C">
              <w:rPr>
                <w:rFonts w:eastAsiaTheme="minorEastAsia"/>
                <w:sz w:val="22"/>
                <w:szCs w:val="22"/>
                <w:lang w:eastAsia="en-US"/>
              </w:rPr>
              <w:tab/>
            </w:r>
            <w:r w:rsidRPr="00192E1C">
              <w:t>Le contexte antérieur à la Charte entourant l’adoption du par. 495(3) C. cr.</w:t>
            </w:r>
          </w:p>
        </w:tc>
        <w:tc>
          <w:tcPr>
            <w:tcW w:w="1425" w:type="dxa"/>
            <w:tcBorders>
              <w:top w:val="nil"/>
              <w:left w:val="nil"/>
              <w:bottom w:val="nil"/>
              <w:right w:val="nil"/>
            </w:tcBorders>
            <w:shd w:val="clear" w:color="auto" w:fill="auto"/>
          </w:tcPr>
          <w:p w14:paraId="25ECCEC6" w14:textId="725C8242" w:rsidR="00192E1C" w:rsidRPr="00192E1C" w:rsidRDefault="00192E1C" w:rsidP="00DF3A79">
            <w:pPr>
              <w:tabs>
                <w:tab w:val="decimal" w:pos="8208"/>
              </w:tabs>
              <w:spacing w:before="60" w:after="60"/>
              <w:jc w:val="center"/>
            </w:pPr>
            <w:r w:rsidRPr="00192E1C">
              <w:fldChar w:fldCharType="begin"/>
            </w:r>
            <w:r w:rsidRPr="00192E1C">
              <w:instrText xml:space="preserve"> REF _Ref214611780 \r \h </w:instrText>
            </w:r>
            <w:r>
              <w:instrText xml:space="preserve"> \* MERGEFORMAT </w:instrText>
            </w:r>
            <w:r w:rsidRPr="00192E1C">
              <w:fldChar w:fldCharType="separate"/>
            </w:r>
            <w:r w:rsidRPr="00192E1C">
              <w:t>[118]</w:t>
            </w:r>
            <w:r w:rsidRPr="00192E1C">
              <w:fldChar w:fldCharType="end"/>
            </w:r>
          </w:p>
        </w:tc>
      </w:tr>
      <w:tr w:rsidR="00192E1C" w:rsidRPr="00192E1C" w14:paraId="3C2439BF" w14:textId="77777777" w:rsidTr="00D14144">
        <w:tc>
          <w:tcPr>
            <w:tcW w:w="15135" w:type="dxa"/>
            <w:tcBorders>
              <w:top w:val="nil"/>
              <w:left w:val="nil"/>
              <w:bottom w:val="nil"/>
              <w:right w:val="nil"/>
            </w:tcBorders>
            <w:shd w:val="clear" w:color="auto" w:fill="auto"/>
          </w:tcPr>
          <w:p w14:paraId="14561DA6" w14:textId="77777777" w:rsidR="00192E1C" w:rsidRPr="00192E1C" w:rsidRDefault="00192E1C" w:rsidP="00D14144">
            <w:pPr>
              <w:pStyle w:val="TM4"/>
              <w:numPr>
                <w:ilvl w:val="0"/>
                <w:numId w:val="0"/>
              </w:numPr>
              <w:ind w:left="1699" w:hanging="360"/>
              <w:rPr>
                <w:rFonts w:eastAsiaTheme="minorEastAsia"/>
                <w:sz w:val="22"/>
                <w:szCs w:val="22"/>
                <w:lang w:eastAsia="en-US"/>
              </w:rPr>
            </w:pPr>
            <w:r w:rsidRPr="00192E1C">
              <w:rPr>
                <w:i w:val="0"/>
              </w:rPr>
              <w:t>b)</w:t>
            </w:r>
            <w:r w:rsidRPr="00192E1C">
              <w:rPr>
                <w:rFonts w:eastAsiaTheme="minorEastAsia"/>
                <w:sz w:val="22"/>
                <w:szCs w:val="22"/>
                <w:lang w:eastAsia="en-US"/>
              </w:rPr>
              <w:tab/>
            </w:r>
            <w:r w:rsidRPr="00192E1C">
              <w:t>L’objet du par. 495(2) C. cr. est compatible avec une interprétation du par. 495(3) C. cr. limitée à la responsabilité de l’agent de la paix et celle de toute personne responsable de ce dernier</w:t>
            </w:r>
          </w:p>
        </w:tc>
        <w:tc>
          <w:tcPr>
            <w:tcW w:w="1425" w:type="dxa"/>
            <w:tcBorders>
              <w:top w:val="nil"/>
              <w:left w:val="nil"/>
              <w:bottom w:val="nil"/>
              <w:right w:val="nil"/>
            </w:tcBorders>
            <w:shd w:val="clear" w:color="auto" w:fill="auto"/>
          </w:tcPr>
          <w:p w14:paraId="46BC2D57" w14:textId="61FE254C" w:rsidR="00192E1C" w:rsidRPr="00192E1C" w:rsidRDefault="00192E1C" w:rsidP="00DF3A79">
            <w:pPr>
              <w:tabs>
                <w:tab w:val="decimal" w:pos="8208"/>
              </w:tabs>
              <w:spacing w:before="60" w:after="60"/>
              <w:jc w:val="center"/>
            </w:pPr>
            <w:r w:rsidRPr="00192E1C">
              <w:fldChar w:fldCharType="begin"/>
            </w:r>
            <w:r w:rsidRPr="00192E1C">
              <w:instrText xml:space="preserve"> REF _Ref214611791 \r \h </w:instrText>
            </w:r>
            <w:r>
              <w:instrText xml:space="preserve"> \* MERGEFORMAT </w:instrText>
            </w:r>
            <w:r w:rsidRPr="00192E1C">
              <w:fldChar w:fldCharType="separate"/>
            </w:r>
            <w:r w:rsidRPr="00192E1C">
              <w:t>[127]</w:t>
            </w:r>
            <w:r w:rsidRPr="00192E1C">
              <w:fldChar w:fldCharType="end"/>
            </w:r>
          </w:p>
        </w:tc>
      </w:tr>
      <w:tr w:rsidR="00192E1C" w:rsidRPr="00192E1C" w14:paraId="05563288" w14:textId="77777777" w:rsidTr="00D14144">
        <w:tc>
          <w:tcPr>
            <w:tcW w:w="15135" w:type="dxa"/>
            <w:tcBorders>
              <w:top w:val="nil"/>
              <w:left w:val="nil"/>
              <w:bottom w:val="nil"/>
              <w:right w:val="nil"/>
            </w:tcBorders>
            <w:shd w:val="clear" w:color="auto" w:fill="auto"/>
          </w:tcPr>
          <w:p w14:paraId="54C837BE" w14:textId="77777777" w:rsidR="00192E1C" w:rsidRPr="00192E1C" w:rsidRDefault="00192E1C" w:rsidP="00D14144">
            <w:pPr>
              <w:pStyle w:val="TM3"/>
              <w:numPr>
                <w:ilvl w:val="0"/>
                <w:numId w:val="0"/>
              </w:numPr>
              <w:ind w:left="1699" w:hanging="360"/>
              <w:rPr>
                <w:rFonts w:eastAsiaTheme="minorEastAsia"/>
                <w:sz w:val="22"/>
                <w:szCs w:val="22"/>
                <w:u w:val="none"/>
                <w:lang w:eastAsia="en-US"/>
              </w:rPr>
            </w:pPr>
            <w:r w:rsidRPr="00192E1C">
              <w:rPr>
                <w:u w:val="none"/>
              </w:rPr>
              <w:t>(4)</w:t>
            </w:r>
            <w:r w:rsidRPr="00192E1C">
              <w:rPr>
                <w:rFonts w:eastAsiaTheme="minorEastAsia"/>
                <w:sz w:val="22"/>
                <w:szCs w:val="22"/>
                <w:u w:val="none"/>
                <w:lang w:eastAsia="en-US"/>
              </w:rPr>
              <w:tab/>
            </w:r>
            <w:r w:rsidRPr="00192E1C">
              <w:t>Conclusion sur l’interprétation du par. 495(3) </w:t>
            </w:r>
            <w:r w:rsidRPr="00192E1C">
              <w:rPr>
                <w:i/>
              </w:rPr>
              <w:t>C. cr.</w:t>
            </w:r>
          </w:p>
        </w:tc>
        <w:tc>
          <w:tcPr>
            <w:tcW w:w="1425" w:type="dxa"/>
            <w:tcBorders>
              <w:top w:val="nil"/>
              <w:left w:val="nil"/>
              <w:bottom w:val="nil"/>
              <w:right w:val="nil"/>
            </w:tcBorders>
            <w:shd w:val="clear" w:color="auto" w:fill="auto"/>
          </w:tcPr>
          <w:p w14:paraId="200F4852" w14:textId="6DE9B03F" w:rsidR="00192E1C" w:rsidRPr="00192E1C" w:rsidRDefault="00192E1C" w:rsidP="00DF3A79">
            <w:pPr>
              <w:tabs>
                <w:tab w:val="decimal" w:pos="8208"/>
              </w:tabs>
              <w:spacing w:before="60" w:after="60"/>
              <w:jc w:val="center"/>
            </w:pPr>
            <w:r w:rsidRPr="00192E1C">
              <w:fldChar w:fldCharType="begin"/>
            </w:r>
            <w:r w:rsidRPr="00192E1C">
              <w:instrText xml:space="preserve"> REF _Ref214611800 \r \h </w:instrText>
            </w:r>
            <w:r>
              <w:instrText xml:space="preserve"> \* MERGEFORMAT </w:instrText>
            </w:r>
            <w:r w:rsidRPr="00192E1C">
              <w:fldChar w:fldCharType="separate"/>
            </w:r>
            <w:r w:rsidRPr="00192E1C">
              <w:t>[136]</w:t>
            </w:r>
            <w:r w:rsidRPr="00192E1C">
              <w:fldChar w:fldCharType="end"/>
            </w:r>
          </w:p>
        </w:tc>
      </w:tr>
      <w:tr w:rsidR="00192E1C" w:rsidRPr="00192E1C" w14:paraId="6CC889D1" w14:textId="77777777" w:rsidTr="00D14144">
        <w:tc>
          <w:tcPr>
            <w:tcW w:w="15135" w:type="dxa"/>
            <w:tcBorders>
              <w:top w:val="nil"/>
              <w:left w:val="nil"/>
              <w:bottom w:val="nil"/>
              <w:right w:val="nil"/>
            </w:tcBorders>
            <w:shd w:val="clear" w:color="auto" w:fill="auto"/>
          </w:tcPr>
          <w:p w14:paraId="56DD3C7C" w14:textId="77777777" w:rsidR="00192E1C" w:rsidRPr="00192E1C" w:rsidRDefault="00192E1C" w:rsidP="00D14144">
            <w:pPr>
              <w:pStyle w:val="TM2"/>
              <w:tabs>
                <w:tab w:val="decimal" w:pos="8208"/>
              </w:tabs>
              <w:rPr>
                <w:rFonts w:eastAsiaTheme="minorEastAsia"/>
                <w:noProof/>
                <w:sz w:val="22"/>
                <w:szCs w:val="22"/>
                <w:lang w:val="en-US" w:eastAsia="en-US"/>
              </w:rPr>
            </w:pPr>
            <w:r w:rsidRPr="00192E1C">
              <w:rPr>
                <w:noProof/>
              </w:rPr>
              <w:t>G.</w:t>
            </w:r>
            <w:r w:rsidRPr="00192E1C">
              <w:rPr>
                <w:rFonts w:eastAsiaTheme="minorEastAsia"/>
                <w:noProof/>
                <w:sz w:val="22"/>
                <w:szCs w:val="22"/>
                <w:lang w:val="en-US" w:eastAsia="en-US"/>
              </w:rPr>
              <w:tab/>
            </w:r>
            <w:r w:rsidRPr="00192E1C">
              <w:rPr>
                <w:i/>
                <w:noProof/>
              </w:rPr>
              <w:t>Application aux faits</w:t>
            </w:r>
          </w:p>
        </w:tc>
        <w:tc>
          <w:tcPr>
            <w:tcW w:w="1425" w:type="dxa"/>
            <w:tcBorders>
              <w:top w:val="nil"/>
              <w:left w:val="nil"/>
              <w:bottom w:val="nil"/>
              <w:right w:val="nil"/>
            </w:tcBorders>
            <w:shd w:val="clear" w:color="auto" w:fill="auto"/>
          </w:tcPr>
          <w:p w14:paraId="006639EB" w14:textId="391B4059" w:rsidR="00192E1C" w:rsidRPr="00192E1C" w:rsidRDefault="00192E1C" w:rsidP="00DF3A79">
            <w:pPr>
              <w:tabs>
                <w:tab w:val="decimal" w:pos="8208"/>
              </w:tabs>
              <w:spacing w:before="60" w:after="60"/>
              <w:jc w:val="center"/>
              <w:rPr>
                <w:noProof/>
              </w:rPr>
            </w:pPr>
            <w:r w:rsidRPr="00192E1C">
              <w:rPr>
                <w:noProof/>
              </w:rPr>
              <w:fldChar w:fldCharType="begin"/>
            </w:r>
            <w:r w:rsidRPr="00192E1C">
              <w:rPr>
                <w:noProof/>
              </w:rPr>
              <w:instrText xml:space="preserve"> REF _Ref204344324 \r \h </w:instrText>
            </w:r>
            <w:r>
              <w:rPr>
                <w:noProof/>
              </w:rPr>
              <w:instrText xml:space="preserve"> \* MERGEFORMAT </w:instrText>
            </w:r>
            <w:r w:rsidRPr="00192E1C">
              <w:rPr>
                <w:noProof/>
              </w:rPr>
            </w:r>
            <w:r w:rsidRPr="00192E1C">
              <w:rPr>
                <w:noProof/>
              </w:rPr>
              <w:fldChar w:fldCharType="separate"/>
            </w:r>
            <w:r w:rsidRPr="00192E1C">
              <w:rPr>
                <w:noProof/>
              </w:rPr>
              <w:t>[140]</w:t>
            </w:r>
            <w:r w:rsidRPr="00192E1C">
              <w:rPr>
                <w:noProof/>
              </w:rPr>
              <w:fldChar w:fldCharType="end"/>
            </w:r>
          </w:p>
        </w:tc>
      </w:tr>
      <w:tr w:rsidR="00192E1C" w:rsidRPr="00192E1C" w14:paraId="5758AE65" w14:textId="77777777" w:rsidTr="00D14144">
        <w:tc>
          <w:tcPr>
            <w:tcW w:w="15135" w:type="dxa"/>
            <w:tcBorders>
              <w:top w:val="nil"/>
              <w:left w:val="nil"/>
              <w:bottom w:val="nil"/>
              <w:right w:val="nil"/>
            </w:tcBorders>
            <w:shd w:val="clear" w:color="auto" w:fill="auto"/>
          </w:tcPr>
          <w:p w14:paraId="645BFF86" w14:textId="77777777" w:rsidR="00192E1C" w:rsidRPr="00192E1C" w:rsidRDefault="00192E1C" w:rsidP="00DF3A79">
            <w:pPr>
              <w:pStyle w:val="TM1"/>
              <w:rPr>
                <w:rFonts w:eastAsiaTheme="minorEastAsia"/>
                <w:noProof/>
                <w:sz w:val="22"/>
                <w:szCs w:val="22"/>
                <w:lang w:val="en-US" w:eastAsia="en-US"/>
              </w:rPr>
            </w:pPr>
            <w:r w:rsidRPr="00192E1C">
              <w:rPr>
                <w:noProof/>
              </w:rPr>
              <w:t>V.</w:t>
            </w:r>
            <w:r w:rsidRPr="00192E1C">
              <w:rPr>
                <w:rFonts w:eastAsiaTheme="minorEastAsia"/>
                <w:noProof/>
                <w:sz w:val="22"/>
                <w:szCs w:val="22"/>
                <w:lang w:val="en-US" w:eastAsia="en-US"/>
              </w:rPr>
              <w:tab/>
            </w:r>
            <w:r w:rsidRPr="0033588D">
              <w:rPr>
                <w:noProof/>
                <w:u w:val="single"/>
              </w:rPr>
              <w:t>Conclusion</w:t>
            </w:r>
          </w:p>
        </w:tc>
        <w:tc>
          <w:tcPr>
            <w:tcW w:w="1425" w:type="dxa"/>
            <w:tcBorders>
              <w:top w:val="nil"/>
              <w:left w:val="nil"/>
              <w:bottom w:val="nil"/>
              <w:right w:val="nil"/>
            </w:tcBorders>
            <w:shd w:val="clear" w:color="auto" w:fill="auto"/>
          </w:tcPr>
          <w:p w14:paraId="3866B5C9" w14:textId="658059B1" w:rsidR="00192E1C" w:rsidRPr="00192E1C" w:rsidRDefault="00192E1C" w:rsidP="00DF3A79">
            <w:pPr>
              <w:tabs>
                <w:tab w:val="decimal" w:pos="8208"/>
              </w:tabs>
              <w:spacing w:before="60" w:after="60"/>
              <w:jc w:val="center"/>
              <w:rPr>
                <w:noProof/>
              </w:rPr>
            </w:pPr>
            <w:r w:rsidRPr="00192E1C">
              <w:rPr>
                <w:noProof/>
              </w:rPr>
              <w:fldChar w:fldCharType="begin"/>
            </w:r>
            <w:r w:rsidRPr="00192E1C">
              <w:rPr>
                <w:noProof/>
              </w:rPr>
              <w:instrText xml:space="preserve"> REF _Ref204344335 \r \h </w:instrText>
            </w:r>
            <w:r>
              <w:rPr>
                <w:noProof/>
              </w:rPr>
              <w:instrText xml:space="preserve"> \* MERGEFORMAT </w:instrText>
            </w:r>
            <w:r w:rsidRPr="00192E1C">
              <w:rPr>
                <w:noProof/>
              </w:rPr>
            </w:r>
            <w:r w:rsidRPr="00192E1C">
              <w:rPr>
                <w:noProof/>
              </w:rPr>
              <w:fldChar w:fldCharType="separate"/>
            </w:r>
            <w:r w:rsidRPr="00192E1C">
              <w:rPr>
                <w:noProof/>
              </w:rPr>
              <w:t>[147]</w:t>
            </w:r>
            <w:r w:rsidRPr="00192E1C">
              <w:rPr>
                <w:noProof/>
              </w:rPr>
              <w:fldChar w:fldCharType="end"/>
            </w:r>
          </w:p>
        </w:tc>
      </w:tr>
    </w:tbl>
    <w:p w14:paraId="00273263" w14:textId="77777777" w:rsidR="00192E1C" w:rsidRPr="00192E1C" w:rsidRDefault="00192E1C" w:rsidP="00192E1C">
      <w:pPr>
        <w:pStyle w:val="Title1LevelTitre1Niveau-AltL"/>
        <w:numPr>
          <w:ilvl w:val="0"/>
          <w:numId w:val="2"/>
        </w:numPr>
        <w:rPr>
          <w:rFonts w:cs="Times New Roman"/>
        </w:rPr>
      </w:pPr>
      <w:bookmarkStart w:id="0" w:name="_Toc204271936"/>
      <w:bookmarkStart w:id="1" w:name="_Toc204336559"/>
      <w:bookmarkStart w:id="2" w:name="_Toc204344064"/>
      <w:bookmarkStart w:id="3" w:name="_Toc208319838"/>
      <w:bookmarkStart w:id="4" w:name="_Toc214611140"/>
      <w:bookmarkStart w:id="5" w:name="_Toc215654502"/>
      <w:r w:rsidRPr="00192E1C">
        <w:rPr>
          <w:rFonts w:cs="Times New Roman"/>
        </w:rPr>
        <w:t>Aperçu</w:t>
      </w:r>
      <w:bookmarkEnd w:id="0"/>
      <w:bookmarkEnd w:id="1"/>
      <w:bookmarkEnd w:id="2"/>
      <w:bookmarkEnd w:id="3"/>
      <w:bookmarkEnd w:id="4"/>
      <w:bookmarkEnd w:id="5"/>
    </w:p>
    <w:p w14:paraId="7AC49D55" w14:textId="77777777" w:rsidR="00192E1C" w:rsidRPr="00192E1C" w:rsidRDefault="00192E1C" w:rsidP="00192E1C">
      <w:pPr>
        <w:pStyle w:val="ParaNoNdepar-AltN"/>
        <w:rPr>
          <w:rFonts w:cs="Times New Roman"/>
        </w:rPr>
      </w:pPr>
      <w:r w:rsidRPr="00192E1C">
        <w:rPr>
          <w:rFonts w:cs="Times New Roman"/>
        </w:rPr>
        <w:t xml:space="preserve">Le présent pourvoi porte sur l’interprétation des par. 495(2) et (3) du </w:t>
      </w:r>
      <w:r w:rsidRPr="00192E1C">
        <w:rPr>
          <w:rFonts w:cs="Times New Roman"/>
          <w:i/>
        </w:rPr>
        <w:t>Code criminel</w:t>
      </w:r>
      <w:r w:rsidRPr="00192E1C">
        <w:rPr>
          <w:rFonts w:cs="Times New Roman"/>
        </w:rPr>
        <w:t>, R.S.C. 1985 c. C</w:t>
      </w:r>
      <w:r w:rsidRPr="00192E1C">
        <w:rPr>
          <w:rFonts w:cs="Times New Roman"/>
        </w:rPr>
        <w:noBreakHyphen/>
        <w:t>46 (« </w:t>
      </w:r>
      <w:r w:rsidRPr="00192E1C">
        <w:rPr>
          <w:rFonts w:cs="Times New Roman"/>
          <w:i/>
        </w:rPr>
        <w:t>C. cr.</w:t>
      </w:r>
      <w:r w:rsidRPr="00192E1C">
        <w:rPr>
          <w:rFonts w:cs="Times New Roman"/>
        </w:rPr>
        <w:t> ») qui encadrent le pouvoir d’arrestation sans mandat des agents de la paix prévu au par. 495(1) </w:t>
      </w:r>
      <w:r w:rsidRPr="00192E1C">
        <w:rPr>
          <w:rFonts w:cs="Times New Roman"/>
          <w:i/>
        </w:rPr>
        <w:t>C. cr.</w:t>
      </w:r>
      <w:r w:rsidRPr="00192E1C">
        <w:rPr>
          <w:rFonts w:cs="Times New Roman"/>
        </w:rPr>
        <w:t xml:space="preserve"> La question qui se pose est celle de savoir si, dans le cadre d’une procédure en matière criminelle, un juge peut accueillir une requête fondée sur l’art. 9 de la </w:t>
      </w:r>
      <w:r w:rsidRPr="00192E1C">
        <w:rPr>
          <w:rFonts w:cs="Times New Roman"/>
          <w:i/>
        </w:rPr>
        <w:t>Charte canadienne des droits et libertés</w:t>
      </w:r>
      <w:r w:rsidRPr="00192E1C">
        <w:rPr>
          <w:rFonts w:cs="Times New Roman"/>
        </w:rPr>
        <w:t xml:space="preserve"> alléguant l’illégalité et le caractère arbitraire d’une arrestation sans mandat qui ne respecte pas les exigences du par. 495(2) </w:t>
      </w:r>
      <w:r w:rsidRPr="00192E1C">
        <w:rPr>
          <w:rFonts w:cs="Times New Roman"/>
          <w:i/>
        </w:rPr>
        <w:t>C. cr.</w:t>
      </w:r>
    </w:p>
    <w:p w14:paraId="63D4CDE0" w14:textId="77777777" w:rsidR="00192E1C" w:rsidRPr="00192E1C" w:rsidRDefault="00192E1C" w:rsidP="00192E1C">
      <w:pPr>
        <w:pStyle w:val="ParaNoNdepar-AltN"/>
        <w:rPr>
          <w:rFonts w:cs="Times New Roman"/>
        </w:rPr>
      </w:pPr>
      <w:r w:rsidRPr="00192E1C">
        <w:rPr>
          <w:rFonts w:cs="Times New Roman"/>
        </w:rPr>
        <w:t>Force est d’admettre que la rédaction des par. 495(2) et (3) </w:t>
      </w:r>
      <w:r w:rsidRPr="00192E1C">
        <w:rPr>
          <w:rFonts w:cs="Times New Roman"/>
          <w:i/>
        </w:rPr>
        <w:t>C. cr.</w:t>
      </w:r>
      <w:r w:rsidRPr="00192E1C">
        <w:rPr>
          <w:rFonts w:cs="Times New Roman"/>
        </w:rPr>
        <w:t xml:space="preserve"> n’est pas des plus limpides. Pour preuve, les tribunaux au pays ne s’entendent pas sur l’interprétation qu’il convient de leur donner. Afin de trancher le présent pourvoi, je m’appuie sur la méthode moderne d’interprétation statutaire, laquelle commande de dégager le sens de ces dispositions à la lumière de leur texte, de leur contexte et de leur objet.</w:t>
      </w:r>
    </w:p>
    <w:p w14:paraId="75EAE64F" w14:textId="77777777" w:rsidR="00192E1C" w:rsidRPr="00192E1C" w:rsidRDefault="00192E1C" w:rsidP="00192E1C">
      <w:pPr>
        <w:pStyle w:val="ParaNoNdepar-AltN"/>
        <w:rPr>
          <w:rFonts w:cs="Times New Roman"/>
        </w:rPr>
      </w:pPr>
      <w:r w:rsidRPr="00192E1C">
        <w:rPr>
          <w:rFonts w:cs="Times New Roman"/>
        </w:rPr>
        <w:t>En premier lieu, j’interprète le par. 495(2) </w:t>
      </w:r>
      <w:r w:rsidRPr="00192E1C">
        <w:rPr>
          <w:rFonts w:cs="Times New Roman"/>
          <w:i/>
        </w:rPr>
        <w:t xml:space="preserve">C. cr. </w:t>
      </w:r>
      <w:r w:rsidRPr="00192E1C">
        <w:rPr>
          <w:rFonts w:cs="Times New Roman"/>
        </w:rPr>
        <w:t>afin de déterminer s’il limite de façon contraignante le pouvoir de l’agent de la paix qui arrête une personne sans mandat, ayant comme conséquence de rendre illégale l’arrestation qui ne s’y conforme pas. Mon analyse mène à la conclusion que cette disposition a une force obligatoire et un caractère impératif. En d’autres termes, une arrestation qui contrevient au par. 495(2) </w:t>
      </w:r>
      <w:r w:rsidRPr="00192E1C">
        <w:rPr>
          <w:rFonts w:cs="Times New Roman"/>
          <w:i/>
        </w:rPr>
        <w:t>C. cr.</w:t>
      </w:r>
      <w:r w:rsidRPr="00192E1C">
        <w:rPr>
          <w:rFonts w:cs="Times New Roman"/>
        </w:rPr>
        <w:t xml:space="preserve"> est une arrestation illégale au sens du </w:t>
      </w:r>
      <w:r w:rsidRPr="00192E1C">
        <w:rPr>
          <w:rFonts w:cs="Times New Roman"/>
          <w:i/>
        </w:rPr>
        <w:t>Code criminel</w:t>
      </w:r>
      <w:r w:rsidRPr="00192E1C">
        <w:rPr>
          <w:rFonts w:cs="Times New Roman"/>
        </w:rPr>
        <w:t>. Cette disposition n’est pas qu’une simple ligne directrice, un guide de pratique ou une suggestion de la part du Parlement. Au contraire, elle oblige un agent de la paix à ne pas arrêter une personne sans mandat lorsque toutes les exigences énumérées au par. 495(2) </w:t>
      </w:r>
      <w:r w:rsidRPr="00192E1C">
        <w:rPr>
          <w:rFonts w:cs="Times New Roman"/>
          <w:i/>
        </w:rPr>
        <w:t>C. cr.</w:t>
      </w:r>
      <w:r w:rsidRPr="00192E1C">
        <w:rPr>
          <w:rFonts w:cs="Times New Roman"/>
        </w:rPr>
        <w:t xml:space="preserve"> sont remplies.</w:t>
      </w:r>
    </w:p>
    <w:p w14:paraId="4F926008" w14:textId="77777777" w:rsidR="00192E1C" w:rsidRPr="00192E1C" w:rsidRDefault="00192E1C" w:rsidP="00192E1C">
      <w:pPr>
        <w:pStyle w:val="ParaNoNdepar-AltN"/>
        <w:rPr>
          <w:rFonts w:cs="Times New Roman"/>
        </w:rPr>
      </w:pPr>
      <w:r w:rsidRPr="00192E1C">
        <w:rPr>
          <w:rFonts w:cs="Times New Roman"/>
        </w:rPr>
        <w:t>En second lieu, j’interprète le par. 495(3) </w:t>
      </w:r>
      <w:r w:rsidRPr="00192E1C">
        <w:rPr>
          <w:rFonts w:cs="Times New Roman"/>
          <w:i/>
        </w:rPr>
        <w:t>C. cr.</w:t>
      </w:r>
      <w:r w:rsidRPr="00192E1C">
        <w:rPr>
          <w:rFonts w:cs="Times New Roman"/>
        </w:rPr>
        <w:t xml:space="preserve"> afin de déterminer s’il a pour effet de priver un accusé de la possibilité d’alléguer une violation de l’art. 9 de la </w:t>
      </w:r>
      <w:r w:rsidRPr="00192E1C">
        <w:rPr>
          <w:rFonts w:cs="Times New Roman"/>
          <w:i/>
        </w:rPr>
        <w:t>Charte</w:t>
      </w:r>
      <w:r w:rsidRPr="00192E1C">
        <w:rPr>
          <w:rFonts w:cs="Times New Roman"/>
        </w:rPr>
        <w:t xml:space="preserve"> et d’obtenir une réparation en vertu de l’art. 24 dans le cadre d’une procédure en matière criminelle portant sur sa propre responsabilité criminelle. </w:t>
      </w:r>
      <w:bookmarkStart w:id="6" w:name="_Hlk215647502"/>
      <w:r w:rsidRPr="00192E1C">
        <w:rPr>
          <w:rFonts w:cs="Times New Roman"/>
        </w:rPr>
        <w:t>Mon analyse m’amène à conclure que cette disposition s’applique dans des cas bien précis</w:t>
      </w:r>
      <w:bookmarkEnd w:id="6"/>
      <w:r w:rsidRPr="00192E1C">
        <w:rPr>
          <w:rFonts w:cs="Times New Roman"/>
        </w:rPr>
        <w:t>, soit lorsqu’une procédure vise précisément la responsabilité de l’agent de la paix ayant procédé à une arrestation contraire au par. 495(2) </w:t>
      </w:r>
      <w:r w:rsidRPr="00192E1C">
        <w:rPr>
          <w:rFonts w:cs="Times New Roman"/>
          <w:i/>
        </w:rPr>
        <w:t xml:space="preserve">C. cr. </w:t>
      </w:r>
      <w:r w:rsidRPr="00192E1C">
        <w:rPr>
          <w:rFonts w:cs="Times New Roman"/>
        </w:rPr>
        <w:t>et celle de toute personne responsable de cet agent de la paix. D’une part, l’al. 495(3)a) </w:t>
      </w:r>
      <w:r w:rsidRPr="00192E1C">
        <w:rPr>
          <w:rFonts w:cs="Times New Roman"/>
          <w:i/>
        </w:rPr>
        <w:t>C. cr.</w:t>
      </w:r>
      <w:r w:rsidRPr="00192E1C">
        <w:rPr>
          <w:rFonts w:cs="Times New Roman"/>
        </w:rPr>
        <w:t xml:space="preserve"> trouve application lorsque la procédure est engagée en vertu du </w:t>
      </w:r>
      <w:r w:rsidRPr="00192E1C">
        <w:rPr>
          <w:rFonts w:cs="Times New Roman"/>
          <w:i/>
        </w:rPr>
        <w:t>Code criminel</w:t>
      </w:r>
      <w:r w:rsidRPr="00192E1C">
        <w:rPr>
          <w:rFonts w:cs="Times New Roman"/>
        </w:rPr>
        <w:t xml:space="preserve"> ou de toute autre loi fédérale et concerne la responsabilité criminelle de l’agent de la paix ou celle de personnes responsables de ce dernier. D’autre part, l’al. 495(3)b) </w:t>
      </w:r>
      <w:r w:rsidRPr="00192E1C">
        <w:rPr>
          <w:rFonts w:cs="Times New Roman"/>
          <w:i/>
        </w:rPr>
        <w:t>C. cr.</w:t>
      </w:r>
      <w:r w:rsidRPr="00192E1C">
        <w:rPr>
          <w:rFonts w:cs="Times New Roman"/>
        </w:rPr>
        <w:t xml:space="preserve"> trouve application lorsque la procédure est engagée en vertu d’une loi autre que le </w:t>
      </w:r>
      <w:r w:rsidRPr="00192E1C">
        <w:rPr>
          <w:rFonts w:cs="Times New Roman"/>
          <w:i/>
        </w:rPr>
        <w:t xml:space="preserve">Code criminel </w:t>
      </w:r>
      <w:r w:rsidRPr="00192E1C">
        <w:rPr>
          <w:rFonts w:cs="Times New Roman"/>
        </w:rPr>
        <w:t>et autre que fédérale, notamment dans le cadre d’une procédure en matière civile visant la responsabilité civile de l’agent de la paix ayant procédé à l’arrestation contraire au par. 495(2) </w:t>
      </w:r>
      <w:r w:rsidRPr="00192E1C">
        <w:rPr>
          <w:rFonts w:cs="Times New Roman"/>
          <w:i/>
        </w:rPr>
        <w:t>C. cr.</w:t>
      </w:r>
      <w:r w:rsidRPr="00192E1C">
        <w:rPr>
          <w:rFonts w:cs="Times New Roman"/>
        </w:rPr>
        <w:t xml:space="preserve"> ou celle de personnes responsables de ce dernier.</w:t>
      </w:r>
    </w:p>
    <w:p w14:paraId="3D7AEC25" w14:textId="77777777" w:rsidR="00192E1C" w:rsidRPr="00192E1C" w:rsidRDefault="00192E1C" w:rsidP="00192E1C">
      <w:pPr>
        <w:pStyle w:val="ParaNoNdepar-AltN"/>
        <w:rPr>
          <w:rFonts w:cs="Times New Roman"/>
        </w:rPr>
      </w:pPr>
      <w:r w:rsidRPr="00192E1C">
        <w:rPr>
          <w:rFonts w:cs="Times New Roman"/>
        </w:rPr>
        <w:t xml:space="preserve">En somme, les al. 495(3)a) et b) </w:t>
      </w:r>
      <w:r w:rsidRPr="00192E1C">
        <w:rPr>
          <w:rFonts w:cs="Times New Roman"/>
          <w:i/>
        </w:rPr>
        <w:t>C. cr.</w:t>
      </w:r>
      <w:r w:rsidRPr="00192E1C">
        <w:rPr>
          <w:rFonts w:cs="Times New Roman"/>
        </w:rPr>
        <w:t xml:space="preserve"> ont en commun qu’il doit nécessairement s’agir d’une procédure mettant en jeu la conduite, criminelle ou civile, de l’agent de la paix, dans le cas d’une contravention au par. 495(2) </w:t>
      </w:r>
      <w:r w:rsidRPr="00192E1C">
        <w:rPr>
          <w:rFonts w:cs="Times New Roman"/>
          <w:i/>
        </w:rPr>
        <w:t>C. cr.</w:t>
      </w:r>
      <w:r w:rsidRPr="00192E1C">
        <w:rPr>
          <w:rFonts w:cs="Times New Roman"/>
        </w:rPr>
        <w:t xml:space="preserve"> Cela signifie donc pour les fins du présent pourvoi que le par. 495(3) </w:t>
      </w:r>
      <w:r w:rsidRPr="00192E1C">
        <w:rPr>
          <w:rFonts w:cs="Times New Roman"/>
          <w:i/>
        </w:rPr>
        <w:t>C. cr.</w:t>
      </w:r>
      <w:r w:rsidRPr="00192E1C">
        <w:rPr>
          <w:rFonts w:cs="Times New Roman"/>
        </w:rPr>
        <w:t xml:space="preserve"> ne trouve pas application, le présent appel concernant une procédure en matière criminelle portant sur la responsabilité criminelle de la personne arrêtée sans mandat. L’alinéa 495(3)a) </w:t>
      </w:r>
      <w:r w:rsidRPr="00192E1C">
        <w:rPr>
          <w:rFonts w:cs="Times New Roman"/>
          <w:i/>
        </w:rPr>
        <w:t>C. cr. ne</w:t>
      </w:r>
      <w:r w:rsidRPr="00192E1C">
        <w:rPr>
          <w:rFonts w:cs="Times New Roman"/>
        </w:rPr>
        <w:t xml:space="preserve"> rend donc </w:t>
      </w:r>
      <w:r w:rsidRPr="00192E1C">
        <w:rPr>
          <w:rFonts w:cs="Times New Roman"/>
          <w:i/>
        </w:rPr>
        <w:t>pas</w:t>
      </w:r>
      <w:r w:rsidRPr="00192E1C">
        <w:rPr>
          <w:rFonts w:cs="Times New Roman"/>
        </w:rPr>
        <w:t xml:space="preserve"> nulles </w:t>
      </w:r>
      <w:r w:rsidRPr="00192E1C">
        <w:rPr>
          <w:rFonts w:cs="Times New Roman"/>
          <w:i/>
        </w:rPr>
        <w:t>ab initio</w:t>
      </w:r>
      <w:r w:rsidRPr="00192E1C">
        <w:rPr>
          <w:rFonts w:cs="Times New Roman"/>
        </w:rPr>
        <w:t xml:space="preserve"> les chances de succès d’une personne arrêtée sans mandat qui voudrait contester la légalité de son arrestation au moyen d’un voir</w:t>
      </w:r>
      <w:r w:rsidRPr="00192E1C">
        <w:rPr>
          <w:rFonts w:cs="Times New Roman"/>
        </w:rPr>
        <w:noBreakHyphen/>
        <w:t xml:space="preserve">dire fondé sur l’art. 9 de la </w:t>
      </w:r>
      <w:r w:rsidRPr="00192E1C">
        <w:rPr>
          <w:rFonts w:cs="Times New Roman"/>
          <w:i/>
        </w:rPr>
        <w:t>Charte</w:t>
      </w:r>
      <w:r w:rsidRPr="00192E1C">
        <w:rPr>
          <w:rFonts w:cs="Times New Roman"/>
        </w:rPr>
        <w:t>.</w:t>
      </w:r>
    </w:p>
    <w:p w14:paraId="2FC22E18" w14:textId="77777777" w:rsidR="00192E1C" w:rsidRPr="00192E1C" w:rsidRDefault="00192E1C" w:rsidP="00192E1C">
      <w:pPr>
        <w:pStyle w:val="ParaNoNdepar-AltN"/>
        <w:rPr>
          <w:rFonts w:cs="Times New Roman"/>
        </w:rPr>
      </w:pPr>
      <w:r w:rsidRPr="00192E1C">
        <w:rPr>
          <w:rFonts w:cs="Times New Roman"/>
        </w:rPr>
        <w:t>Le paragraphe 495(2) </w:t>
      </w:r>
      <w:r w:rsidRPr="00192E1C">
        <w:rPr>
          <w:rFonts w:cs="Times New Roman"/>
          <w:i/>
        </w:rPr>
        <w:t xml:space="preserve">C. cr. </w:t>
      </w:r>
      <w:r w:rsidRPr="00192E1C">
        <w:rPr>
          <w:rFonts w:cs="Times New Roman"/>
        </w:rPr>
        <w:t xml:space="preserve">revêt un caractère impératif et permet à un accusé de soulever le caractère illégal et arbitraire d’une arrestation non conforme à cette disposition, et ce, en vertu de l’art. 9 de la </w:t>
      </w:r>
      <w:r w:rsidRPr="00192E1C">
        <w:rPr>
          <w:rFonts w:cs="Times New Roman"/>
          <w:i/>
        </w:rPr>
        <w:t xml:space="preserve">Charte </w:t>
      </w:r>
      <w:r w:rsidRPr="00192E1C">
        <w:rPr>
          <w:rFonts w:cs="Times New Roman"/>
        </w:rPr>
        <w:t>dans le cadre d’un voir</w:t>
      </w:r>
      <w:r w:rsidRPr="00192E1C">
        <w:rPr>
          <w:rFonts w:cs="Times New Roman"/>
        </w:rPr>
        <w:noBreakHyphen/>
        <w:t>dire. Par ailleurs, correctement interprété, le par. 495(3) </w:t>
      </w:r>
      <w:r w:rsidRPr="00192E1C">
        <w:rPr>
          <w:rFonts w:cs="Times New Roman"/>
          <w:i/>
        </w:rPr>
        <w:t>C. cr.</w:t>
      </w:r>
      <w:r w:rsidRPr="00192E1C">
        <w:rPr>
          <w:rFonts w:cs="Times New Roman"/>
        </w:rPr>
        <w:t xml:space="preserve"> ne peut, dans le présent cas, servir à immuniser une arrestation contraire au par. 495(2) </w:t>
      </w:r>
      <w:r w:rsidRPr="00192E1C">
        <w:rPr>
          <w:rFonts w:cs="Times New Roman"/>
          <w:i/>
        </w:rPr>
        <w:t>C. cr.</w:t>
      </w:r>
      <w:r w:rsidRPr="00192E1C">
        <w:rPr>
          <w:rFonts w:cs="Times New Roman"/>
        </w:rPr>
        <w:t>, puisque la procédure ne porte pas sur la responsabilité criminelle d’un agent de la paix ou celle de personnes responsables de ce dernier.</w:t>
      </w:r>
    </w:p>
    <w:p w14:paraId="476F22B7" w14:textId="77777777" w:rsidR="00192E1C" w:rsidRPr="00192E1C" w:rsidRDefault="00192E1C" w:rsidP="00192E1C">
      <w:pPr>
        <w:pStyle w:val="ParaNoNdepar-AltN"/>
        <w:rPr>
          <w:rFonts w:cs="Times New Roman"/>
        </w:rPr>
      </w:pPr>
      <w:r w:rsidRPr="00192E1C">
        <w:rPr>
          <w:rFonts w:cs="Times New Roman"/>
        </w:rPr>
        <w:t>Le juge de première instance devait en l’espèce tenir un voir</w:t>
      </w:r>
      <w:r w:rsidRPr="00192E1C">
        <w:rPr>
          <w:rFonts w:cs="Times New Roman"/>
        </w:rPr>
        <w:noBreakHyphen/>
        <w:t>dire afin de décider de la légalité de l’arrestation sans mandat de l’intimé. La requête de l’intimé n’était pas manifestement frivole, contrairement à ce qui a été décidé. Le défaut d’avoir tenu un voir</w:t>
      </w:r>
      <w:r w:rsidRPr="00192E1C">
        <w:rPr>
          <w:rFonts w:cs="Times New Roman"/>
        </w:rPr>
        <w:noBreakHyphen/>
        <w:t>dire constitue une erreur de droit révisable justifiant la tenue d’un nouveau procès.</w:t>
      </w:r>
    </w:p>
    <w:p w14:paraId="0D9391B6" w14:textId="77777777" w:rsidR="00192E1C" w:rsidRPr="00192E1C" w:rsidRDefault="00192E1C" w:rsidP="00192E1C">
      <w:pPr>
        <w:pStyle w:val="ParaNoNdepar-AltN"/>
        <w:rPr>
          <w:rFonts w:cs="Times New Roman"/>
        </w:rPr>
      </w:pPr>
      <w:r w:rsidRPr="00192E1C">
        <w:rPr>
          <w:rFonts w:cs="Times New Roman"/>
        </w:rPr>
        <w:t>Je suis donc d’avis de rejeter l’appel et de confirmer l’ordonnance de nouveau procès qui a été prononcée par la Cour d’appel du Québec.</w:t>
      </w:r>
    </w:p>
    <w:p w14:paraId="7149B4AD" w14:textId="77777777" w:rsidR="00192E1C" w:rsidRPr="00192E1C" w:rsidRDefault="00192E1C" w:rsidP="00192E1C">
      <w:pPr>
        <w:pStyle w:val="Title1LevelTitre1Niveau-AltL"/>
        <w:numPr>
          <w:ilvl w:val="0"/>
          <w:numId w:val="2"/>
        </w:numPr>
        <w:rPr>
          <w:rFonts w:cs="Times New Roman"/>
          <w:lang w:val="fr-CA"/>
        </w:rPr>
      </w:pPr>
      <w:bookmarkStart w:id="7" w:name="_Toc204271937"/>
      <w:bookmarkStart w:id="8" w:name="_Toc204336560"/>
      <w:bookmarkStart w:id="9" w:name="_Toc204344065"/>
      <w:bookmarkStart w:id="10" w:name="_Toc208319839"/>
      <w:bookmarkStart w:id="11" w:name="_Toc214611141"/>
      <w:bookmarkStart w:id="12" w:name="_Toc215654503"/>
      <w:r w:rsidRPr="00192E1C">
        <w:rPr>
          <w:rFonts w:cs="Times New Roman"/>
          <w:lang w:val="fr-CA"/>
        </w:rPr>
        <w:t>Contexte</w:t>
      </w:r>
      <w:bookmarkEnd w:id="7"/>
      <w:bookmarkEnd w:id="8"/>
      <w:bookmarkEnd w:id="9"/>
      <w:bookmarkEnd w:id="10"/>
      <w:bookmarkEnd w:id="11"/>
      <w:bookmarkEnd w:id="12"/>
    </w:p>
    <w:p w14:paraId="33A54E94" w14:textId="77777777" w:rsidR="00192E1C" w:rsidRPr="00192E1C" w:rsidRDefault="00192E1C" w:rsidP="00192E1C">
      <w:pPr>
        <w:pStyle w:val="Title2LevelTitre2Niveau"/>
        <w:numPr>
          <w:ilvl w:val="1"/>
          <w:numId w:val="2"/>
        </w:numPr>
        <w:rPr>
          <w:rFonts w:cs="Times New Roman"/>
        </w:rPr>
      </w:pPr>
      <w:bookmarkStart w:id="13" w:name="_Toc204271938"/>
      <w:bookmarkStart w:id="14" w:name="_Toc204336561"/>
      <w:bookmarkStart w:id="15" w:name="_Toc204344066"/>
      <w:bookmarkStart w:id="16" w:name="_Toc208319840"/>
      <w:bookmarkStart w:id="17" w:name="_Toc214611142"/>
      <w:bookmarkStart w:id="18" w:name="_Toc215654504"/>
      <w:r w:rsidRPr="00192E1C">
        <w:rPr>
          <w:rFonts w:cs="Times New Roman"/>
        </w:rPr>
        <w:t>Faits</w:t>
      </w:r>
      <w:bookmarkEnd w:id="13"/>
      <w:bookmarkEnd w:id="14"/>
      <w:bookmarkEnd w:id="15"/>
      <w:bookmarkEnd w:id="16"/>
      <w:bookmarkEnd w:id="17"/>
      <w:bookmarkEnd w:id="18"/>
    </w:p>
    <w:p w14:paraId="67C455CF" w14:textId="77777777" w:rsidR="00192E1C" w:rsidRPr="00192E1C" w:rsidRDefault="00192E1C" w:rsidP="00192E1C">
      <w:pPr>
        <w:pStyle w:val="ParaNoNdepar-AltN"/>
        <w:tabs>
          <w:tab w:val="clear" w:pos="1152"/>
          <w:tab w:val="left" w:pos="1166"/>
        </w:tabs>
        <w:rPr>
          <w:rFonts w:cs="Times New Roman"/>
        </w:rPr>
      </w:pPr>
      <w:bookmarkStart w:id="19" w:name="_Ref204344145"/>
      <w:r w:rsidRPr="00192E1C">
        <w:rPr>
          <w:rFonts w:cs="Times New Roman"/>
        </w:rPr>
        <w:t>Le ou vers le 8 mars 2018, l’intimé, M. David Carignan, aurait posé des gestes à caractère sexuel qui, selon les allégations contenues à l’acte d’accusation, satisfont aux éléments constitutifs de l’infraction d’agression sexuelle prévue à l’al. 271a) </w:t>
      </w:r>
      <w:r w:rsidRPr="00192E1C">
        <w:rPr>
          <w:rFonts w:cs="Times New Roman"/>
          <w:i/>
        </w:rPr>
        <w:t>C. cr.</w:t>
      </w:r>
      <w:bookmarkEnd w:id="19"/>
    </w:p>
    <w:p w14:paraId="721CE26D" w14:textId="77777777" w:rsidR="00192E1C" w:rsidRPr="00192E1C" w:rsidRDefault="00192E1C" w:rsidP="00192E1C">
      <w:pPr>
        <w:pStyle w:val="ParaNoNdepar-AltN"/>
        <w:tabs>
          <w:tab w:val="clear" w:pos="1152"/>
          <w:tab w:val="left" w:pos="1166"/>
        </w:tabs>
        <w:rPr>
          <w:rFonts w:cs="Times New Roman"/>
        </w:rPr>
      </w:pPr>
      <w:r w:rsidRPr="00192E1C">
        <w:rPr>
          <w:rFonts w:cs="Times New Roman"/>
        </w:rPr>
        <w:t>Le 20 mars 2018, soit 11 jours plus tard, il est arrêté sans mandat à l’intérieur de l’établissement où il étudie pour les gestes qui lui sont reprochés.</w:t>
      </w:r>
    </w:p>
    <w:p w14:paraId="592775F1" w14:textId="77777777" w:rsidR="00192E1C" w:rsidRPr="00192E1C" w:rsidRDefault="00192E1C" w:rsidP="00192E1C">
      <w:pPr>
        <w:pStyle w:val="ParaNoNdepar-AltN"/>
        <w:tabs>
          <w:tab w:val="clear" w:pos="1152"/>
          <w:tab w:val="left" w:pos="1166"/>
        </w:tabs>
        <w:rPr>
          <w:rFonts w:cs="Times New Roman"/>
        </w:rPr>
      </w:pPr>
      <w:r w:rsidRPr="00192E1C">
        <w:rPr>
          <w:rFonts w:cs="Times New Roman"/>
        </w:rPr>
        <w:t>Après son arrestation, les agents de la paix conduisent l’intimé au poste de police, où il est soumis à un interrogatoire enregistré sur vidéo. Au cours de cet interrogatoire, l’intimé fait une déclaration incriminante.</w:t>
      </w:r>
    </w:p>
    <w:p w14:paraId="59E4929D" w14:textId="77777777" w:rsidR="00192E1C" w:rsidRPr="00192E1C" w:rsidRDefault="00192E1C" w:rsidP="00192E1C">
      <w:pPr>
        <w:pStyle w:val="Title2LevelTitre2Niveau"/>
        <w:numPr>
          <w:ilvl w:val="1"/>
          <w:numId w:val="2"/>
        </w:numPr>
        <w:rPr>
          <w:rFonts w:cs="Times New Roman"/>
        </w:rPr>
      </w:pPr>
      <w:bookmarkStart w:id="20" w:name="_Toc204271939"/>
      <w:bookmarkStart w:id="21" w:name="_Toc204336562"/>
      <w:bookmarkStart w:id="22" w:name="_Toc204344067"/>
      <w:bookmarkStart w:id="23" w:name="_Toc208319841"/>
      <w:bookmarkStart w:id="24" w:name="_Toc214611143"/>
      <w:bookmarkStart w:id="25" w:name="_Toc215654505"/>
      <w:r w:rsidRPr="00192E1C">
        <w:rPr>
          <w:rFonts w:cs="Times New Roman"/>
        </w:rPr>
        <w:t>Historique judiciaire</w:t>
      </w:r>
      <w:bookmarkEnd w:id="20"/>
      <w:bookmarkEnd w:id="21"/>
      <w:bookmarkEnd w:id="22"/>
      <w:bookmarkEnd w:id="23"/>
      <w:bookmarkEnd w:id="24"/>
      <w:bookmarkEnd w:id="25"/>
    </w:p>
    <w:p w14:paraId="30D978BD" w14:textId="77777777" w:rsidR="00192E1C" w:rsidRPr="00192E1C" w:rsidRDefault="00192E1C" w:rsidP="00192E1C">
      <w:pPr>
        <w:pStyle w:val="Title3LevelTitre3Niveau"/>
        <w:numPr>
          <w:ilvl w:val="3"/>
          <w:numId w:val="23"/>
        </w:numPr>
        <w:ind w:left="1152" w:hanging="576"/>
        <w:rPr>
          <w:rFonts w:cs="Times New Roman"/>
          <w:lang w:val="fr-CA"/>
        </w:rPr>
      </w:pPr>
      <w:bookmarkStart w:id="26" w:name="_Toc204271940"/>
      <w:bookmarkStart w:id="27" w:name="_Toc204336563"/>
      <w:bookmarkStart w:id="28" w:name="_Toc204344068"/>
      <w:bookmarkStart w:id="29" w:name="_Toc208319842"/>
      <w:bookmarkStart w:id="30" w:name="_Toc214611144"/>
      <w:bookmarkStart w:id="31" w:name="_Toc215654506"/>
      <w:r w:rsidRPr="00192E1C">
        <w:rPr>
          <w:rFonts w:cs="Times New Roman"/>
          <w:lang w:val="fr-CA"/>
        </w:rPr>
        <w:t>Cour du Québec (le juge Roy)</w:t>
      </w:r>
      <w:bookmarkEnd w:id="26"/>
      <w:bookmarkEnd w:id="27"/>
      <w:bookmarkEnd w:id="28"/>
      <w:bookmarkEnd w:id="29"/>
      <w:bookmarkEnd w:id="30"/>
      <w:bookmarkEnd w:id="31"/>
    </w:p>
    <w:p w14:paraId="21F9AD20" w14:textId="77777777" w:rsidR="00192E1C" w:rsidRPr="00192E1C" w:rsidRDefault="00192E1C" w:rsidP="00192E1C">
      <w:pPr>
        <w:pStyle w:val="ParaNoNdepar-AltN"/>
        <w:rPr>
          <w:rFonts w:cs="Times New Roman"/>
        </w:rPr>
      </w:pPr>
      <w:bookmarkStart w:id="32" w:name="_Ref208320042"/>
      <w:bookmarkStart w:id="33" w:name="_Ref204344162"/>
      <w:r w:rsidRPr="00192E1C">
        <w:rPr>
          <w:rFonts w:cs="Times New Roman"/>
        </w:rPr>
        <w:t xml:space="preserve">En novembre 2018, avant le début de son procès, l’intimé dépose une requête en exclusion de la preuve et en arrêt des procédures fondée sur les art. 7, 9 et 24 de la </w:t>
      </w:r>
      <w:r w:rsidRPr="00192E1C">
        <w:rPr>
          <w:rFonts w:cs="Times New Roman"/>
          <w:i/>
        </w:rPr>
        <w:t>Charte</w:t>
      </w:r>
      <w:r w:rsidRPr="00192E1C">
        <w:rPr>
          <w:rFonts w:cs="Times New Roman"/>
        </w:rPr>
        <w:t xml:space="preserve">. L’intimé demande au tribunal d’exclure la déclaration incriminante enregistrée sur vidéo, au motif que son arrestation du 20 mars 2018 serait illégale, et donc arbitraire au sens de l’art. 9 de la </w:t>
      </w:r>
      <w:r w:rsidRPr="00192E1C">
        <w:rPr>
          <w:rFonts w:cs="Times New Roman"/>
          <w:i/>
        </w:rPr>
        <w:t>Charte</w:t>
      </w:r>
      <w:r w:rsidRPr="00192E1C">
        <w:rPr>
          <w:rFonts w:cs="Times New Roman"/>
        </w:rPr>
        <w:t>. Selon lui, l’arrestation sans mandat contrevenait au par. 495(2) </w:t>
      </w:r>
      <w:r w:rsidRPr="00192E1C">
        <w:rPr>
          <w:rFonts w:cs="Times New Roman"/>
          <w:i/>
        </w:rPr>
        <w:t>C. cr.</w:t>
      </w:r>
      <w:r w:rsidRPr="00192E1C">
        <w:rPr>
          <w:rFonts w:cs="Times New Roman"/>
        </w:rPr>
        <w:t>, puisque les policiers n’avaient pas de motifs raisonnables de croire qu’elle était nécessaire pour préserver l’intérêt public et qu’il n’y avait pas de risque qu’il ne se présente pas au tribunal lors de sa comparution.</w:t>
      </w:r>
      <w:bookmarkEnd w:id="32"/>
    </w:p>
    <w:p w14:paraId="02735C87" w14:textId="77777777" w:rsidR="00192E1C" w:rsidRPr="00192E1C" w:rsidRDefault="00192E1C" w:rsidP="00192E1C">
      <w:pPr>
        <w:pStyle w:val="ParaNoNdepar-AltN"/>
        <w:rPr>
          <w:rFonts w:cs="Times New Roman"/>
        </w:rPr>
      </w:pPr>
      <w:r w:rsidRPr="00192E1C">
        <w:rPr>
          <w:rFonts w:cs="Times New Roman"/>
        </w:rPr>
        <w:t>À l’ouverture du procès, le juge du procès rejette la requête en exclusion de la preuve de l’intimé, refusant ainsi de tenir un voir</w:t>
      </w:r>
      <w:r w:rsidRPr="00192E1C">
        <w:rPr>
          <w:rFonts w:cs="Times New Roman"/>
        </w:rPr>
        <w:noBreakHyphen/>
        <w:t>dire pour statuer sur la légalité de l’arrestation au regard du par. 495(2) </w:t>
      </w:r>
      <w:r w:rsidRPr="00192E1C">
        <w:rPr>
          <w:rFonts w:cs="Times New Roman"/>
          <w:i/>
        </w:rPr>
        <w:t>C. cr.</w:t>
      </w:r>
      <w:r w:rsidRPr="00192E1C">
        <w:rPr>
          <w:rFonts w:cs="Times New Roman"/>
        </w:rPr>
        <w:t xml:space="preserve"> Le juge appuie son raisonnement sur une interprétation selon laquelle une arrestation sans mandat contrevenant au par. 495(2) </w:t>
      </w:r>
      <w:r w:rsidRPr="00192E1C">
        <w:rPr>
          <w:rFonts w:cs="Times New Roman"/>
          <w:i/>
        </w:rPr>
        <w:t>C. cr.</w:t>
      </w:r>
      <w:r w:rsidRPr="00192E1C">
        <w:rPr>
          <w:rFonts w:cs="Times New Roman"/>
        </w:rPr>
        <w:t xml:space="preserve"> est tout de même légale, et ce, en vertu de l’application du par. 495(3) </w:t>
      </w:r>
      <w:r w:rsidRPr="00192E1C">
        <w:rPr>
          <w:rFonts w:cs="Times New Roman"/>
          <w:i/>
        </w:rPr>
        <w:t>C. cr.</w:t>
      </w:r>
      <w:r w:rsidRPr="00192E1C">
        <w:rPr>
          <w:rFonts w:cs="Times New Roman"/>
        </w:rPr>
        <w:t>, pourvu que l’agent de la paix agisse conformément à l’al. 495(1)a) </w:t>
      </w:r>
      <w:r w:rsidRPr="00192E1C">
        <w:rPr>
          <w:rFonts w:cs="Times New Roman"/>
          <w:i/>
        </w:rPr>
        <w:t>C. cr.</w:t>
      </w:r>
      <w:r w:rsidRPr="00192E1C">
        <w:rPr>
          <w:rFonts w:cs="Times New Roman"/>
        </w:rPr>
        <w:t xml:space="preserve"> Puisque les agents de la paix avaient des motifs raisonnables de croire qu’un acte criminel avait été commis au sens de l’al. 495(1)a) </w:t>
      </w:r>
      <w:r w:rsidRPr="00192E1C">
        <w:rPr>
          <w:rFonts w:cs="Times New Roman"/>
          <w:i/>
        </w:rPr>
        <w:t>C. cr.</w:t>
      </w:r>
      <w:r w:rsidRPr="00192E1C">
        <w:rPr>
          <w:rFonts w:cs="Times New Roman"/>
        </w:rPr>
        <w:t>, le juge est d’avis que la requête de l’intimé n’a aucune chance de succès. La déclaration incriminante a dès lors fait partie des éléments de preuve présentés par le ministère public au procès qui a suivi.</w:t>
      </w:r>
      <w:bookmarkEnd w:id="33"/>
    </w:p>
    <w:p w14:paraId="1EB1477D" w14:textId="77777777" w:rsidR="00192E1C" w:rsidRPr="00192E1C" w:rsidRDefault="00192E1C" w:rsidP="00192E1C">
      <w:pPr>
        <w:pStyle w:val="ParaNoNdepar-AltN"/>
        <w:tabs>
          <w:tab w:val="clear" w:pos="1152"/>
          <w:tab w:val="left" w:pos="1166"/>
        </w:tabs>
        <w:rPr>
          <w:rFonts w:cs="Times New Roman"/>
        </w:rPr>
      </w:pPr>
      <w:r w:rsidRPr="00192E1C">
        <w:rPr>
          <w:rFonts w:cs="Times New Roman"/>
        </w:rPr>
        <w:t>Au terme du procès, le juge déclare l’intimé coupable, en s’appuyant notamment sur sa déclaration incriminante. L’intimé est condamné à une peine d’emprisonnement d’une durée de 15 mois, assortie d’une ordonnance de probation d’une durée de 2 ans.</w:t>
      </w:r>
    </w:p>
    <w:p w14:paraId="121052D8" w14:textId="77777777" w:rsidR="00192E1C" w:rsidRPr="00192E1C" w:rsidRDefault="00192E1C" w:rsidP="00192E1C">
      <w:pPr>
        <w:pStyle w:val="Title3LevelTitre3Niveau"/>
        <w:numPr>
          <w:ilvl w:val="3"/>
          <w:numId w:val="23"/>
        </w:numPr>
        <w:ind w:left="1152" w:hanging="576"/>
        <w:rPr>
          <w:rFonts w:cs="Times New Roman"/>
          <w:lang w:val="fr-CA"/>
        </w:rPr>
      </w:pPr>
      <w:bookmarkStart w:id="34" w:name="_Toc204271941"/>
      <w:bookmarkStart w:id="35" w:name="_Toc204336564"/>
      <w:bookmarkStart w:id="36" w:name="_Toc204344069"/>
      <w:bookmarkStart w:id="37" w:name="_Toc208319843"/>
      <w:bookmarkStart w:id="38" w:name="_Toc214611145"/>
      <w:bookmarkStart w:id="39" w:name="_Toc215654507"/>
      <w:r w:rsidRPr="00192E1C">
        <w:rPr>
          <w:rFonts w:cs="Times New Roman"/>
          <w:lang w:val="fr-CA"/>
        </w:rPr>
        <w:t>Cour d’appel du Québec, 2024 QCCA 86 (les juges Schrager, Healy et Bachand)</w:t>
      </w:r>
      <w:bookmarkEnd w:id="34"/>
      <w:bookmarkEnd w:id="35"/>
      <w:bookmarkEnd w:id="36"/>
      <w:bookmarkEnd w:id="37"/>
      <w:bookmarkEnd w:id="38"/>
      <w:bookmarkEnd w:id="39"/>
    </w:p>
    <w:p w14:paraId="1746D714" w14:textId="77777777" w:rsidR="00192E1C" w:rsidRPr="00192E1C" w:rsidRDefault="00192E1C" w:rsidP="00192E1C">
      <w:pPr>
        <w:pStyle w:val="ParaNoNdepar-AltN"/>
        <w:rPr>
          <w:rFonts w:cs="Times New Roman"/>
        </w:rPr>
      </w:pPr>
      <w:bookmarkStart w:id="40" w:name="_Ref214611538"/>
      <w:r w:rsidRPr="00192E1C">
        <w:rPr>
          <w:rFonts w:cs="Times New Roman"/>
        </w:rPr>
        <w:t xml:space="preserve">L’intimé porte sa déclaration de culpabilité en appel en invoquant deux moyens. D’une part, il fait valoir que le juge du procès a erré en droit en refusant la tenue d’un voir-dire sur la question de la légalité de son arrestation. D’autre part, il allègue que le juge du procès a commis une erreur en ce qui concerne l’analyse de la </w:t>
      </w:r>
      <w:r w:rsidRPr="00192E1C">
        <w:rPr>
          <w:rFonts w:cs="Times New Roman"/>
          <w:i/>
        </w:rPr>
        <w:t>mens rea</w:t>
      </w:r>
      <w:r w:rsidRPr="00192E1C">
        <w:rPr>
          <w:rFonts w:cs="Times New Roman"/>
        </w:rPr>
        <w:t xml:space="preserve"> de l’infraction d’agression sexuelle.</w:t>
      </w:r>
      <w:bookmarkEnd w:id="40"/>
    </w:p>
    <w:p w14:paraId="13B5CCFF" w14:textId="77777777" w:rsidR="00192E1C" w:rsidRPr="00192E1C" w:rsidRDefault="00192E1C" w:rsidP="00192E1C">
      <w:pPr>
        <w:pStyle w:val="ParaNoNdepar-AltN"/>
        <w:rPr>
          <w:rFonts w:cs="Times New Roman"/>
        </w:rPr>
      </w:pPr>
      <w:r w:rsidRPr="00192E1C">
        <w:rPr>
          <w:rFonts w:cs="Times New Roman"/>
        </w:rPr>
        <w:t>Sous la plume du juge Healy, la cour conclut que l’interprétation des par. 495(2) et (3) </w:t>
      </w:r>
      <w:r w:rsidRPr="00192E1C">
        <w:rPr>
          <w:rFonts w:cs="Times New Roman"/>
          <w:i/>
        </w:rPr>
        <w:t>C. cr.</w:t>
      </w:r>
      <w:r w:rsidRPr="00192E1C">
        <w:rPr>
          <w:rFonts w:cs="Times New Roman"/>
        </w:rPr>
        <w:t xml:space="preserve"> retenue par le juge du procès est erronée.</w:t>
      </w:r>
    </w:p>
    <w:p w14:paraId="408604FD" w14:textId="77777777" w:rsidR="00192E1C" w:rsidRPr="00192E1C" w:rsidRDefault="00192E1C" w:rsidP="00192E1C">
      <w:pPr>
        <w:pStyle w:val="ParaNoNdepar-AltN"/>
        <w:rPr>
          <w:rFonts w:cs="Times New Roman"/>
        </w:rPr>
      </w:pPr>
      <w:r w:rsidRPr="00192E1C">
        <w:rPr>
          <w:rFonts w:cs="Times New Roman"/>
        </w:rPr>
        <w:t>La cour précise que le par. 495(2) </w:t>
      </w:r>
      <w:r w:rsidRPr="00192E1C">
        <w:rPr>
          <w:rFonts w:cs="Times New Roman"/>
          <w:i/>
        </w:rPr>
        <w:t>C. cr.</w:t>
      </w:r>
      <w:r w:rsidRPr="00192E1C">
        <w:rPr>
          <w:rFonts w:cs="Times New Roman"/>
        </w:rPr>
        <w:t xml:space="preserve"> </w:t>
      </w:r>
      <w:r w:rsidRPr="00192E1C">
        <w:rPr>
          <w:rFonts w:cs="Times New Roman"/>
          <w:smallCaps/>
        </w:rPr>
        <w:t>[traduction]</w:t>
      </w:r>
      <w:r w:rsidRPr="00192E1C">
        <w:rPr>
          <w:rFonts w:cs="Times New Roman"/>
        </w:rPr>
        <w:t xml:space="preserve"> « autorise l’exercice du pouvoir d’arrestation sans mandat qui ne respecterait pas les conditions énoncées au paragraphe 495(1) » (par. 17). Le paragraphe 495(3) </w:t>
      </w:r>
      <w:r w:rsidRPr="00192E1C">
        <w:rPr>
          <w:rFonts w:cs="Times New Roman"/>
          <w:i/>
        </w:rPr>
        <w:t xml:space="preserve">C. cr. </w:t>
      </w:r>
      <w:r w:rsidRPr="00192E1C">
        <w:rPr>
          <w:rFonts w:cs="Times New Roman"/>
        </w:rPr>
        <w:t>[</w:t>
      </w:r>
      <w:r w:rsidRPr="00192E1C">
        <w:rPr>
          <w:rFonts w:cs="Times New Roman"/>
          <w:smallCaps/>
        </w:rPr>
        <w:t>traduction</w:t>
      </w:r>
      <w:r w:rsidRPr="00192E1C">
        <w:rPr>
          <w:rFonts w:cs="Times New Roman"/>
        </w:rPr>
        <w:t>] « accorde expressément à la personne arrêtée sans mandat la possibilité de contester la légalité de son arrestation en alléguant et en faisant la preuve de son illégalité » (par. 18). Le refus de tenir un voir-dire sur cette question prive la personne arrêtée du bénéfice du par. 495(3) </w:t>
      </w:r>
      <w:r w:rsidRPr="00192E1C">
        <w:rPr>
          <w:rFonts w:cs="Times New Roman"/>
          <w:i/>
        </w:rPr>
        <w:t>C. cr.</w:t>
      </w:r>
      <w:r w:rsidRPr="00192E1C">
        <w:rPr>
          <w:rFonts w:cs="Times New Roman"/>
        </w:rPr>
        <w:t>, lequel</w:t>
      </w:r>
      <w:r w:rsidRPr="00192E1C">
        <w:rPr>
          <w:rFonts w:cs="Times New Roman"/>
          <w:i/>
        </w:rPr>
        <w:t xml:space="preserve"> </w:t>
      </w:r>
      <w:r w:rsidRPr="00192E1C">
        <w:rPr>
          <w:rFonts w:cs="Times New Roman"/>
        </w:rPr>
        <w:t>[</w:t>
      </w:r>
      <w:r w:rsidRPr="00192E1C">
        <w:rPr>
          <w:rFonts w:cs="Times New Roman"/>
          <w:smallCaps/>
        </w:rPr>
        <w:t>traduction</w:t>
      </w:r>
      <w:r w:rsidRPr="00192E1C">
        <w:rPr>
          <w:rFonts w:cs="Times New Roman"/>
        </w:rPr>
        <w:t>] « prévoit expressément » la possibilité de tenir un voir-dire sur la légalité de l’arrestation sans mandat (par. 19).</w:t>
      </w:r>
    </w:p>
    <w:p w14:paraId="707A3A25" w14:textId="77777777" w:rsidR="00192E1C" w:rsidRPr="00192E1C" w:rsidRDefault="00192E1C" w:rsidP="00192E1C">
      <w:pPr>
        <w:pStyle w:val="ParaNoNdepar-AltN"/>
        <w:rPr>
          <w:rFonts w:cs="Times New Roman"/>
        </w:rPr>
      </w:pPr>
      <w:r w:rsidRPr="00192E1C">
        <w:rPr>
          <w:rFonts w:cs="Times New Roman"/>
        </w:rPr>
        <w:t>En l’espèce, la cour statue que la demande de l’intimé de tenir un voir</w:t>
      </w:r>
      <w:r w:rsidRPr="00192E1C">
        <w:rPr>
          <w:rFonts w:cs="Times New Roman"/>
        </w:rPr>
        <w:noBreakHyphen/>
        <w:t>dire reposait sur des motifs valables, aucun élément apparent ne permettant de conclure que le par. 495(2) </w:t>
      </w:r>
      <w:r w:rsidRPr="00192E1C">
        <w:rPr>
          <w:rFonts w:cs="Times New Roman"/>
          <w:i/>
        </w:rPr>
        <w:t xml:space="preserve">C. cr. </w:t>
      </w:r>
      <w:r w:rsidRPr="00192E1C">
        <w:rPr>
          <w:rFonts w:cs="Times New Roman"/>
        </w:rPr>
        <w:t>justifiait une telle arrestation. En refusant de tenir un voir</w:t>
      </w:r>
      <w:r w:rsidRPr="00192E1C">
        <w:rPr>
          <w:rFonts w:cs="Times New Roman"/>
        </w:rPr>
        <w:noBreakHyphen/>
        <w:t>dire, le juge du procès a ainsi privé l’intimé de la possibilité d’alléguer et d’établir l’illégalité de son arrestation sans mandat, possibilité qu’il a selon une interprétation correcte du par. 495(3) </w:t>
      </w:r>
      <w:r w:rsidRPr="00192E1C">
        <w:rPr>
          <w:rFonts w:cs="Times New Roman"/>
          <w:i/>
        </w:rPr>
        <w:t>C. cr.</w:t>
      </w:r>
    </w:p>
    <w:p w14:paraId="1C158E49" w14:textId="77777777" w:rsidR="00192E1C" w:rsidRPr="00192E1C" w:rsidRDefault="00192E1C" w:rsidP="00192E1C">
      <w:pPr>
        <w:pStyle w:val="ParaNoNdepar-AltN"/>
        <w:rPr>
          <w:rFonts w:cs="Times New Roman"/>
        </w:rPr>
      </w:pPr>
      <w:r w:rsidRPr="00192E1C">
        <w:rPr>
          <w:rFonts w:cs="Times New Roman"/>
        </w:rPr>
        <w:t xml:space="preserve">Concluant qu’il y a lieu d’accueillir l’appel et d’ordonner un nouveau procès sur la base du premier moyen d’appel, la cour n’examine pas le second moyen d’appel de l’intimé portant sur une erreur alléguée quant à la </w:t>
      </w:r>
      <w:r w:rsidRPr="00192E1C">
        <w:rPr>
          <w:rFonts w:cs="Times New Roman"/>
          <w:i/>
        </w:rPr>
        <w:t>mens rea</w:t>
      </w:r>
      <w:r w:rsidRPr="00192E1C">
        <w:rPr>
          <w:rFonts w:cs="Times New Roman"/>
        </w:rPr>
        <w:t xml:space="preserve"> requise pour l’infraction d’agression sexuelle. Notre Cour n’étant pas saisie de cette question, nous n’avons pas à nous prononcer sur celle-ci.</w:t>
      </w:r>
    </w:p>
    <w:p w14:paraId="02004F47" w14:textId="77777777" w:rsidR="00192E1C" w:rsidRPr="00192E1C" w:rsidRDefault="00192E1C" w:rsidP="00192E1C">
      <w:pPr>
        <w:pStyle w:val="Title1LevelTitre1Niveau-AltL"/>
        <w:numPr>
          <w:ilvl w:val="0"/>
          <w:numId w:val="2"/>
        </w:numPr>
        <w:rPr>
          <w:rFonts w:cs="Times New Roman"/>
        </w:rPr>
      </w:pPr>
      <w:bookmarkStart w:id="41" w:name="_Toc204271531"/>
      <w:bookmarkStart w:id="42" w:name="_Toc204271942"/>
      <w:bookmarkStart w:id="43" w:name="_Toc204336565"/>
      <w:bookmarkStart w:id="44" w:name="_Toc204344070"/>
      <w:bookmarkStart w:id="45" w:name="_Toc208319844"/>
      <w:bookmarkStart w:id="46" w:name="_Toc214611146"/>
      <w:bookmarkStart w:id="47" w:name="_Toc215654508"/>
      <w:r w:rsidRPr="00192E1C">
        <w:rPr>
          <w:rFonts w:cs="Times New Roman"/>
        </w:rPr>
        <w:t>Questions en litige</w:t>
      </w:r>
      <w:bookmarkEnd w:id="41"/>
      <w:bookmarkEnd w:id="42"/>
      <w:bookmarkEnd w:id="43"/>
      <w:bookmarkEnd w:id="44"/>
      <w:bookmarkEnd w:id="45"/>
      <w:bookmarkEnd w:id="46"/>
      <w:bookmarkEnd w:id="47"/>
      <w:r w:rsidRPr="00192E1C">
        <w:rPr>
          <w:rFonts w:cs="Times New Roman"/>
        </w:rPr>
        <w:t xml:space="preserve"> </w:t>
      </w:r>
    </w:p>
    <w:p w14:paraId="60EE1894" w14:textId="77777777" w:rsidR="00192E1C" w:rsidRPr="00192E1C" w:rsidRDefault="00192E1C" w:rsidP="00192E1C">
      <w:pPr>
        <w:pStyle w:val="ParaNoNdepar-AltN"/>
        <w:rPr>
          <w:rFonts w:cs="Times New Roman"/>
        </w:rPr>
      </w:pPr>
      <w:bookmarkStart w:id="48" w:name="_Ref204344201"/>
      <w:r w:rsidRPr="00192E1C">
        <w:rPr>
          <w:rFonts w:cs="Times New Roman"/>
        </w:rPr>
        <w:t>Le présent pourvoi en est un d’interprétation statutaire. Nous ne sommes pas saisis d’une contestation constitutionnelle formée à l’encontre de l’art. 495 </w:t>
      </w:r>
      <w:r w:rsidRPr="00192E1C">
        <w:rPr>
          <w:rFonts w:cs="Times New Roman"/>
          <w:i/>
        </w:rPr>
        <w:t>C. cr.</w:t>
      </w:r>
      <w:r w:rsidRPr="00192E1C">
        <w:rPr>
          <w:rFonts w:cs="Times New Roman"/>
        </w:rPr>
        <w:t>, et nous n’avons pas non plus à nous prononcer sur le fond en ce qui concerne la requête déposée par l’intimé. La Cour est plutôt appelée à déterminer s’il était approprié pour le juge du procès de rejeter sommairement la demande de l’intimé de tenir un voir</w:t>
      </w:r>
      <w:r w:rsidRPr="00192E1C">
        <w:rPr>
          <w:rFonts w:cs="Times New Roman"/>
        </w:rPr>
        <w:noBreakHyphen/>
        <w:t>dire afin de décider de la légalité de son arrestation sans mandat.</w:t>
      </w:r>
    </w:p>
    <w:bookmarkEnd w:id="48"/>
    <w:p w14:paraId="2931D20B" w14:textId="77777777" w:rsidR="00192E1C" w:rsidRPr="00192E1C" w:rsidRDefault="00192E1C" w:rsidP="00192E1C">
      <w:pPr>
        <w:pStyle w:val="ParaNoNdepar-AltN"/>
        <w:rPr>
          <w:rFonts w:cs="Times New Roman"/>
        </w:rPr>
      </w:pPr>
      <w:r w:rsidRPr="00192E1C">
        <w:rPr>
          <w:rFonts w:cs="Times New Roman"/>
        </w:rPr>
        <w:t>Un exercice d’interprétation des par. 495(2) et (3) </w:t>
      </w:r>
      <w:r w:rsidRPr="00192E1C">
        <w:rPr>
          <w:rFonts w:cs="Times New Roman"/>
          <w:i/>
        </w:rPr>
        <w:t xml:space="preserve">C. cr. </w:t>
      </w:r>
      <w:r w:rsidRPr="00192E1C">
        <w:rPr>
          <w:rFonts w:cs="Times New Roman"/>
        </w:rPr>
        <w:t>s’impose. En effet, si on interprète le par. 495(2) </w:t>
      </w:r>
      <w:r w:rsidRPr="00192E1C">
        <w:rPr>
          <w:rFonts w:cs="Times New Roman"/>
          <w:i/>
        </w:rPr>
        <w:t>C. cr.</w:t>
      </w:r>
      <w:r w:rsidRPr="00192E1C">
        <w:rPr>
          <w:rFonts w:cs="Times New Roman"/>
        </w:rPr>
        <w:t xml:space="preserve"> comme étant sans effet sur la légalité de l’arrestation, il deviendrait alors inutile de se demander si le par. 495(3) </w:t>
      </w:r>
      <w:r w:rsidRPr="00192E1C">
        <w:rPr>
          <w:rFonts w:cs="Times New Roman"/>
          <w:i/>
        </w:rPr>
        <w:t>C. cr.</w:t>
      </w:r>
      <w:r w:rsidRPr="00192E1C">
        <w:rPr>
          <w:rFonts w:cs="Times New Roman"/>
        </w:rPr>
        <w:t xml:space="preserve"> empêche de soulever l’illégalité de cette arrestation dans le cadre d’une procédure criminelle. L’interprétation correcte de ces deux dispositions, en débutant par celle du par. 495(2) </w:t>
      </w:r>
      <w:r w:rsidRPr="00192E1C">
        <w:rPr>
          <w:rFonts w:cs="Times New Roman"/>
          <w:i/>
        </w:rPr>
        <w:t>C. cr.</w:t>
      </w:r>
      <w:r w:rsidRPr="00192E1C">
        <w:rPr>
          <w:rFonts w:cs="Times New Roman"/>
        </w:rPr>
        <w:t>, est donc essentielle pour déterminer l’issue du pourvoi.</w:t>
      </w:r>
    </w:p>
    <w:p w14:paraId="7753A62B" w14:textId="77777777" w:rsidR="00192E1C" w:rsidRPr="00192E1C" w:rsidRDefault="00192E1C" w:rsidP="00192E1C">
      <w:pPr>
        <w:pStyle w:val="ParaNoNdepar-AltN"/>
        <w:rPr>
          <w:rFonts w:cs="Times New Roman"/>
        </w:rPr>
      </w:pPr>
      <w:r w:rsidRPr="00192E1C">
        <w:rPr>
          <w:rFonts w:cs="Times New Roman"/>
        </w:rPr>
        <w:t>Deux questions permettent d’orienter utilement l’analyse interprétative à mener en l’espèce.</w:t>
      </w:r>
    </w:p>
    <w:p w14:paraId="5F1AA5F9" w14:textId="77777777" w:rsidR="00192E1C" w:rsidRPr="00192E1C" w:rsidRDefault="00192E1C" w:rsidP="00192E1C">
      <w:pPr>
        <w:pStyle w:val="ParaNoNdepar-AltN"/>
        <w:rPr>
          <w:rFonts w:cs="Times New Roman"/>
        </w:rPr>
      </w:pPr>
      <w:r w:rsidRPr="00192E1C">
        <w:rPr>
          <w:rFonts w:cs="Times New Roman"/>
        </w:rPr>
        <w:t>Premièrement, il faut déterminer si, correctement interprété, le par. 495(2) </w:t>
      </w:r>
      <w:r w:rsidRPr="00192E1C">
        <w:rPr>
          <w:rFonts w:cs="Times New Roman"/>
          <w:i/>
        </w:rPr>
        <w:t>C. cr.</w:t>
      </w:r>
      <w:r w:rsidRPr="00192E1C">
        <w:rPr>
          <w:rFonts w:cs="Times New Roman"/>
        </w:rPr>
        <w:t xml:space="preserve"> peut avoir pour effet de rendre une arrestation illégale au sens de l’art. 9 de la </w:t>
      </w:r>
      <w:r w:rsidRPr="00192E1C">
        <w:rPr>
          <w:rFonts w:cs="Times New Roman"/>
          <w:i/>
        </w:rPr>
        <w:t>Charte</w:t>
      </w:r>
      <w:r w:rsidRPr="00192E1C">
        <w:rPr>
          <w:rFonts w:cs="Times New Roman"/>
        </w:rPr>
        <w:t>. Deuxièmement, si tel est le cas — ce que je conclus —, il convient de se demander si, interprété correctement, le par. 495(3) </w:t>
      </w:r>
      <w:r w:rsidRPr="00192E1C">
        <w:rPr>
          <w:rFonts w:cs="Times New Roman"/>
          <w:i/>
        </w:rPr>
        <w:t xml:space="preserve">C. cr. </w:t>
      </w:r>
      <w:r w:rsidRPr="00192E1C">
        <w:rPr>
          <w:rFonts w:cs="Times New Roman"/>
        </w:rPr>
        <w:t xml:space="preserve">fait obstacle à ce qu’un accusé invoque une telle violation de l’art. 9 de la </w:t>
      </w:r>
      <w:r w:rsidRPr="00192E1C">
        <w:rPr>
          <w:rFonts w:cs="Times New Roman"/>
          <w:i/>
        </w:rPr>
        <w:t xml:space="preserve">Charte </w:t>
      </w:r>
      <w:r w:rsidRPr="00192E1C">
        <w:rPr>
          <w:rFonts w:cs="Times New Roman"/>
        </w:rPr>
        <w:t xml:space="preserve">et réclame une réparation en vertu de l’art. 24 de la </w:t>
      </w:r>
      <w:r w:rsidRPr="00192E1C">
        <w:rPr>
          <w:rFonts w:cs="Times New Roman"/>
          <w:i/>
        </w:rPr>
        <w:t>Charte</w:t>
      </w:r>
      <w:r w:rsidRPr="00192E1C">
        <w:rPr>
          <w:rFonts w:cs="Times New Roman"/>
        </w:rPr>
        <w:t xml:space="preserve"> dans le cadre de son propre procès.</w:t>
      </w:r>
    </w:p>
    <w:p w14:paraId="1C5E2018" w14:textId="77777777" w:rsidR="00192E1C" w:rsidRPr="00192E1C" w:rsidRDefault="00192E1C" w:rsidP="00192E1C">
      <w:pPr>
        <w:pStyle w:val="Title1LevelTitre1Niveau-AltL"/>
        <w:numPr>
          <w:ilvl w:val="0"/>
          <w:numId w:val="2"/>
        </w:numPr>
        <w:rPr>
          <w:rFonts w:cs="Times New Roman"/>
        </w:rPr>
      </w:pPr>
      <w:bookmarkStart w:id="49" w:name="_Toc204271943"/>
      <w:bookmarkStart w:id="50" w:name="_Toc204336566"/>
      <w:bookmarkStart w:id="51" w:name="_Toc204344071"/>
      <w:bookmarkStart w:id="52" w:name="_Toc208319845"/>
      <w:bookmarkStart w:id="53" w:name="_Toc214611147"/>
      <w:bookmarkStart w:id="54" w:name="_Toc215654509"/>
      <w:r w:rsidRPr="00192E1C">
        <w:rPr>
          <w:rFonts w:cs="Times New Roman"/>
        </w:rPr>
        <w:t>Analyse</w:t>
      </w:r>
      <w:bookmarkEnd w:id="49"/>
      <w:bookmarkEnd w:id="50"/>
      <w:bookmarkEnd w:id="51"/>
      <w:bookmarkEnd w:id="52"/>
      <w:bookmarkEnd w:id="53"/>
      <w:bookmarkEnd w:id="54"/>
    </w:p>
    <w:p w14:paraId="6201FC01" w14:textId="77777777" w:rsidR="00192E1C" w:rsidRPr="00192E1C" w:rsidRDefault="00192E1C" w:rsidP="00192E1C">
      <w:pPr>
        <w:pStyle w:val="Title2LevelTitre2Niveau"/>
        <w:numPr>
          <w:ilvl w:val="1"/>
          <w:numId w:val="2"/>
        </w:numPr>
        <w:rPr>
          <w:rFonts w:cs="Times New Roman"/>
          <w:lang w:val="fr-CA"/>
        </w:rPr>
      </w:pPr>
      <w:bookmarkStart w:id="55" w:name="_Toc204271944"/>
      <w:bookmarkStart w:id="56" w:name="_Toc204336567"/>
      <w:bookmarkStart w:id="57" w:name="_Toc204344072"/>
      <w:bookmarkStart w:id="58" w:name="_Toc208319846"/>
      <w:bookmarkStart w:id="59" w:name="_Toc214611148"/>
      <w:bookmarkStart w:id="60" w:name="_Toc215654510"/>
      <w:r w:rsidRPr="00192E1C">
        <w:rPr>
          <w:rFonts w:cs="Times New Roman"/>
          <w:lang w:val="fr-CA"/>
        </w:rPr>
        <w:t>Les pouvoirs d’arrestation prévus à l’art. 495 C. cr.</w:t>
      </w:r>
      <w:bookmarkEnd w:id="55"/>
      <w:bookmarkEnd w:id="56"/>
      <w:bookmarkEnd w:id="57"/>
      <w:bookmarkEnd w:id="58"/>
      <w:bookmarkEnd w:id="59"/>
      <w:bookmarkEnd w:id="60"/>
    </w:p>
    <w:p w14:paraId="012D908D" w14:textId="77777777" w:rsidR="00192E1C" w:rsidRPr="00192E1C" w:rsidRDefault="00192E1C" w:rsidP="00192E1C">
      <w:pPr>
        <w:pStyle w:val="ParaNoNdepar-AltN"/>
        <w:rPr>
          <w:rFonts w:cs="Times New Roman"/>
          <w:szCs w:val="24"/>
        </w:rPr>
      </w:pPr>
      <w:bookmarkStart w:id="61" w:name="_Ref204344218"/>
      <w:r w:rsidRPr="00192E1C">
        <w:rPr>
          <w:rFonts w:cs="Times New Roman"/>
          <w:szCs w:val="24"/>
        </w:rPr>
        <w:t>Afin de bien situer le cadre juridique dans lequel s’inscrit ce pourvoi, et par souci de commodité, je reproduis au long l’art. 495 </w:t>
      </w:r>
      <w:r w:rsidRPr="00192E1C">
        <w:rPr>
          <w:rFonts w:cs="Times New Roman"/>
          <w:i/>
          <w:szCs w:val="24"/>
        </w:rPr>
        <w:t>C. cr.</w:t>
      </w:r>
      <w:r w:rsidRPr="00192E1C">
        <w:rPr>
          <w:rFonts w:cs="Times New Roman"/>
          <w:szCs w:val="24"/>
        </w:rPr>
        <w:t>, qui</w:t>
      </w:r>
      <w:r w:rsidRPr="00192E1C">
        <w:rPr>
          <w:rFonts w:cs="Times New Roman"/>
        </w:rPr>
        <w:t xml:space="preserve"> fonde l’un des pouvoirs d’arrestation sans mandat de l’agent de la paix et qui en trace les contours :</w:t>
      </w:r>
      <w:bookmarkEnd w:id="61"/>
    </w:p>
    <w:p w14:paraId="4C0F3110" w14:textId="77777777" w:rsidR="00192E1C" w:rsidRPr="00192E1C" w:rsidRDefault="00192E1C" w:rsidP="00192E1C">
      <w:pPr>
        <w:pStyle w:val="Citation-AltC"/>
      </w:pPr>
      <w:r w:rsidRPr="00192E1C">
        <w:rPr>
          <w:b/>
        </w:rPr>
        <w:t>495 (1)</w:t>
      </w:r>
      <w:r w:rsidRPr="00192E1C">
        <w:t xml:space="preserve"> Un agent de la paix </w:t>
      </w:r>
      <w:r w:rsidRPr="00192E1C">
        <w:rPr>
          <w:u w:val="single"/>
        </w:rPr>
        <w:t>peut arrêter sans mandat</w:t>
      </w:r>
      <w:r w:rsidRPr="00192E1C">
        <w:t> :</w:t>
      </w:r>
    </w:p>
    <w:p w14:paraId="7DDA035C" w14:textId="77777777" w:rsidR="00192E1C" w:rsidRPr="00192E1C" w:rsidRDefault="00192E1C" w:rsidP="00192E1C">
      <w:pPr>
        <w:pStyle w:val="Citation-AltC"/>
      </w:pPr>
    </w:p>
    <w:p w14:paraId="2FBFCFD7" w14:textId="77777777" w:rsidR="00192E1C" w:rsidRPr="00192E1C" w:rsidRDefault="00192E1C" w:rsidP="00192E1C">
      <w:pPr>
        <w:pStyle w:val="Citation-AltC"/>
        <w:ind w:left="1440"/>
      </w:pPr>
      <w:r w:rsidRPr="00192E1C">
        <w:rPr>
          <w:b/>
        </w:rPr>
        <w:t>a)</w:t>
      </w:r>
      <w:r w:rsidRPr="00192E1C">
        <w:t xml:space="preserve"> une personne qui a commis un acte criminel ou qui, d’après ce qu’il croit pour des motifs raisonnables, a commis ou est sur le point de commettre un acte criminel;</w:t>
      </w:r>
    </w:p>
    <w:p w14:paraId="6C9548D7" w14:textId="77777777" w:rsidR="00192E1C" w:rsidRPr="00192E1C" w:rsidRDefault="00192E1C" w:rsidP="00192E1C">
      <w:pPr>
        <w:pStyle w:val="Citation-AltC"/>
        <w:ind w:left="1440"/>
      </w:pPr>
    </w:p>
    <w:p w14:paraId="361842DD" w14:textId="77777777" w:rsidR="00192E1C" w:rsidRPr="00192E1C" w:rsidRDefault="00192E1C" w:rsidP="00192E1C">
      <w:pPr>
        <w:pStyle w:val="Citation-AltC"/>
        <w:ind w:left="1440"/>
      </w:pPr>
      <w:r w:rsidRPr="00192E1C">
        <w:rPr>
          <w:b/>
        </w:rPr>
        <w:t>b)</w:t>
      </w:r>
      <w:r w:rsidRPr="00192E1C">
        <w:t xml:space="preserve"> une personne qu’il trouve en train de commettre une infraction criminelle;</w:t>
      </w:r>
    </w:p>
    <w:p w14:paraId="5BC9DB58" w14:textId="77777777" w:rsidR="00192E1C" w:rsidRPr="00192E1C" w:rsidRDefault="00192E1C" w:rsidP="00192E1C">
      <w:pPr>
        <w:pStyle w:val="Citation-AltC"/>
        <w:ind w:left="1440"/>
      </w:pPr>
    </w:p>
    <w:p w14:paraId="69F0AE9C" w14:textId="77777777" w:rsidR="00192E1C" w:rsidRPr="00192E1C" w:rsidRDefault="00192E1C" w:rsidP="00192E1C">
      <w:pPr>
        <w:pStyle w:val="Citation-AltC"/>
        <w:ind w:left="1440"/>
      </w:pPr>
      <w:r w:rsidRPr="00192E1C">
        <w:rPr>
          <w:b/>
        </w:rPr>
        <w:t>c)</w:t>
      </w:r>
      <w:r w:rsidRPr="00192E1C">
        <w:t xml:space="preserve"> une personne contre laquelle, d’après ce qu’il croit pour des motifs raisonnables, un mandat d’arrestation ou un mandat de dépôt, rédigé selon une formule relative aux mandats et reproduite à la partie XXVIII, est exécutoire dans les limites de la juridiction territoriale dans laquelle est trouvée cette personne.</w:t>
      </w:r>
    </w:p>
    <w:p w14:paraId="5167893D" w14:textId="77777777" w:rsidR="00192E1C" w:rsidRPr="00192E1C" w:rsidRDefault="00192E1C" w:rsidP="00192E1C">
      <w:pPr>
        <w:pStyle w:val="Citation-AltC"/>
      </w:pPr>
    </w:p>
    <w:p w14:paraId="0C08B896" w14:textId="77777777" w:rsidR="00192E1C" w:rsidRPr="00192E1C" w:rsidRDefault="00192E1C" w:rsidP="00192E1C">
      <w:pPr>
        <w:pStyle w:val="Citation-AltC"/>
      </w:pPr>
      <w:r w:rsidRPr="00192E1C">
        <w:rPr>
          <w:b/>
        </w:rPr>
        <w:t>(2)</w:t>
      </w:r>
      <w:r w:rsidRPr="00192E1C">
        <w:t xml:space="preserve"> Un agent de la paix </w:t>
      </w:r>
      <w:r w:rsidRPr="00192E1C">
        <w:rPr>
          <w:u w:val="single"/>
        </w:rPr>
        <w:t>ne peut arrêter</w:t>
      </w:r>
      <w:r w:rsidRPr="00192E1C">
        <w:t xml:space="preserve"> une personne </w:t>
      </w:r>
      <w:r w:rsidRPr="00192E1C">
        <w:rPr>
          <w:u w:val="single"/>
        </w:rPr>
        <w:t>sans mandat</w:t>
      </w:r>
      <w:r w:rsidRPr="00192E1C">
        <w:t> :</w:t>
      </w:r>
    </w:p>
    <w:p w14:paraId="459E1AA6" w14:textId="77777777" w:rsidR="00192E1C" w:rsidRPr="00192E1C" w:rsidRDefault="00192E1C" w:rsidP="00192E1C">
      <w:pPr>
        <w:pStyle w:val="Citation-AltC"/>
      </w:pPr>
    </w:p>
    <w:p w14:paraId="5D712912" w14:textId="77777777" w:rsidR="00192E1C" w:rsidRPr="00192E1C" w:rsidRDefault="00192E1C" w:rsidP="00192E1C">
      <w:pPr>
        <w:pStyle w:val="Citation-AltC"/>
        <w:ind w:left="1440"/>
      </w:pPr>
      <w:r w:rsidRPr="00192E1C">
        <w:rPr>
          <w:b/>
        </w:rPr>
        <w:t>a)</w:t>
      </w:r>
      <w:r w:rsidRPr="00192E1C">
        <w:t xml:space="preserve"> soit pour un acte criminel mentionné à l’article 553;</w:t>
      </w:r>
    </w:p>
    <w:p w14:paraId="59417E6A" w14:textId="77777777" w:rsidR="00192E1C" w:rsidRPr="00192E1C" w:rsidRDefault="00192E1C" w:rsidP="00192E1C">
      <w:pPr>
        <w:pStyle w:val="Citation-AltC"/>
        <w:ind w:left="1440"/>
      </w:pPr>
    </w:p>
    <w:p w14:paraId="409B9168" w14:textId="77777777" w:rsidR="00192E1C" w:rsidRPr="00192E1C" w:rsidRDefault="00192E1C" w:rsidP="00192E1C">
      <w:pPr>
        <w:pStyle w:val="Citation-AltC"/>
        <w:ind w:left="1440"/>
      </w:pPr>
      <w:r w:rsidRPr="00192E1C">
        <w:rPr>
          <w:b/>
        </w:rPr>
        <w:t>b)</w:t>
      </w:r>
      <w:r w:rsidRPr="00192E1C">
        <w:t xml:space="preserve"> soit pour une infraction pour laquelle la personne peut être poursuivie sur acte d’accusation ou punie sur déclaration de culpabilité par procédure sommaire;</w:t>
      </w:r>
    </w:p>
    <w:p w14:paraId="2B262803" w14:textId="77777777" w:rsidR="00192E1C" w:rsidRPr="00192E1C" w:rsidRDefault="00192E1C" w:rsidP="00192E1C">
      <w:pPr>
        <w:pStyle w:val="Citation-AltC"/>
        <w:ind w:left="1440"/>
      </w:pPr>
    </w:p>
    <w:p w14:paraId="71D9BDC6" w14:textId="77777777" w:rsidR="00192E1C" w:rsidRPr="00192E1C" w:rsidRDefault="00192E1C" w:rsidP="00192E1C">
      <w:pPr>
        <w:pStyle w:val="Citation-AltC"/>
        <w:ind w:left="1440"/>
      </w:pPr>
      <w:r w:rsidRPr="00192E1C">
        <w:rPr>
          <w:b/>
        </w:rPr>
        <w:t>c)</w:t>
      </w:r>
      <w:r w:rsidRPr="00192E1C">
        <w:t xml:space="preserve"> soit pour une infraction punissable sur déclaration de culpabilité par procédure sommaire,</w:t>
      </w:r>
    </w:p>
    <w:p w14:paraId="49524818" w14:textId="77777777" w:rsidR="00192E1C" w:rsidRPr="00192E1C" w:rsidRDefault="00192E1C" w:rsidP="00192E1C">
      <w:pPr>
        <w:pStyle w:val="Citation-AltC"/>
        <w:ind w:left="1440"/>
      </w:pPr>
    </w:p>
    <w:p w14:paraId="74A4A199" w14:textId="77777777" w:rsidR="00192E1C" w:rsidRPr="00192E1C" w:rsidRDefault="00192E1C" w:rsidP="00192E1C">
      <w:pPr>
        <w:pStyle w:val="Citation-AltC"/>
        <w:rPr>
          <w:u w:val="single"/>
        </w:rPr>
      </w:pPr>
      <w:r w:rsidRPr="00192E1C">
        <w:rPr>
          <w:u w:val="single"/>
        </w:rPr>
        <w:t>dans aucun cas où :</w:t>
      </w:r>
    </w:p>
    <w:p w14:paraId="6AD86576" w14:textId="77777777" w:rsidR="00192E1C" w:rsidRPr="00192E1C" w:rsidRDefault="00192E1C" w:rsidP="00192E1C">
      <w:pPr>
        <w:pStyle w:val="Citation-AltC"/>
        <w:ind w:left="1440"/>
      </w:pPr>
    </w:p>
    <w:p w14:paraId="0AB95BE1" w14:textId="77777777" w:rsidR="00192E1C" w:rsidRPr="00192E1C" w:rsidRDefault="00192E1C" w:rsidP="00192E1C">
      <w:pPr>
        <w:pStyle w:val="Citation-AltC"/>
        <w:ind w:left="1440"/>
      </w:pPr>
      <w:r w:rsidRPr="00192E1C">
        <w:rPr>
          <w:b/>
        </w:rPr>
        <w:t xml:space="preserve">d) </w:t>
      </w:r>
      <w:r w:rsidRPr="00192E1C">
        <w:rPr>
          <w:u w:val="single"/>
        </w:rPr>
        <w:t>d’une part</w:t>
      </w:r>
      <w:r w:rsidRPr="00192E1C">
        <w:t xml:space="preserve">, il a des motifs raisonnables de croire que </w:t>
      </w:r>
      <w:r w:rsidRPr="00192E1C">
        <w:rPr>
          <w:u w:val="single"/>
        </w:rPr>
        <w:t>l’intérêt public</w:t>
      </w:r>
      <w:r w:rsidRPr="00192E1C">
        <w:t>, eu égard aux circonstances, y compris la nécessité :</w:t>
      </w:r>
    </w:p>
    <w:p w14:paraId="04066B88" w14:textId="77777777" w:rsidR="00192E1C" w:rsidRPr="00192E1C" w:rsidRDefault="00192E1C" w:rsidP="00192E1C">
      <w:pPr>
        <w:pStyle w:val="Citation-AltC"/>
      </w:pPr>
    </w:p>
    <w:p w14:paraId="0557FB01" w14:textId="77777777" w:rsidR="00192E1C" w:rsidRPr="00192E1C" w:rsidRDefault="00192E1C" w:rsidP="00192E1C">
      <w:pPr>
        <w:pStyle w:val="Citation-AltC"/>
        <w:tabs>
          <w:tab w:val="left" w:pos="1710"/>
        </w:tabs>
        <w:ind w:left="1714"/>
      </w:pPr>
      <w:r w:rsidRPr="00192E1C">
        <w:rPr>
          <w:b/>
        </w:rPr>
        <w:t>(i)</w:t>
      </w:r>
      <w:r w:rsidRPr="00192E1C">
        <w:t xml:space="preserve"> d’identifier la personne,</w:t>
      </w:r>
    </w:p>
    <w:p w14:paraId="1B450A7D" w14:textId="77777777" w:rsidR="00192E1C" w:rsidRPr="00192E1C" w:rsidRDefault="00192E1C" w:rsidP="00192E1C">
      <w:pPr>
        <w:pStyle w:val="Citation-AltC"/>
        <w:tabs>
          <w:tab w:val="left" w:pos="1710"/>
        </w:tabs>
        <w:ind w:left="1714"/>
      </w:pPr>
    </w:p>
    <w:p w14:paraId="42B02EEF" w14:textId="77777777" w:rsidR="00192E1C" w:rsidRPr="00192E1C" w:rsidRDefault="00192E1C" w:rsidP="00192E1C">
      <w:pPr>
        <w:pStyle w:val="Citation-AltC"/>
        <w:tabs>
          <w:tab w:val="left" w:pos="1710"/>
        </w:tabs>
        <w:ind w:left="1714"/>
      </w:pPr>
      <w:r w:rsidRPr="00192E1C">
        <w:rPr>
          <w:b/>
        </w:rPr>
        <w:t xml:space="preserve">(ii) </w:t>
      </w:r>
      <w:r w:rsidRPr="00192E1C">
        <w:t>de recueillir ou conserver une preuve de l’infraction ou une preuve y relative,</w:t>
      </w:r>
    </w:p>
    <w:p w14:paraId="7C055246" w14:textId="77777777" w:rsidR="00192E1C" w:rsidRPr="00192E1C" w:rsidRDefault="00192E1C" w:rsidP="00192E1C">
      <w:pPr>
        <w:pStyle w:val="Citation-AltC"/>
        <w:tabs>
          <w:tab w:val="left" w:pos="1710"/>
        </w:tabs>
        <w:ind w:left="1714"/>
      </w:pPr>
    </w:p>
    <w:p w14:paraId="73324442" w14:textId="77777777" w:rsidR="00192E1C" w:rsidRPr="00192E1C" w:rsidRDefault="00192E1C" w:rsidP="00192E1C">
      <w:pPr>
        <w:pStyle w:val="Citation-AltC"/>
        <w:tabs>
          <w:tab w:val="left" w:pos="1710"/>
        </w:tabs>
        <w:ind w:left="1714"/>
      </w:pPr>
      <w:r w:rsidRPr="00192E1C">
        <w:rPr>
          <w:b/>
        </w:rPr>
        <w:t>(iii)</w:t>
      </w:r>
      <w:r w:rsidRPr="00192E1C">
        <w:t xml:space="preserve"> d’empêcher que l’infraction se poursuive ou se répète, ou qu’une autre infraction soit commise,</w:t>
      </w:r>
    </w:p>
    <w:p w14:paraId="6A71897E" w14:textId="77777777" w:rsidR="00192E1C" w:rsidRPr="00192E1C" w:rsidRDefault="00192E1C" w:rsidP="00192E1C">
      <w:pPr>
        <w:pStyle w:val="Citation-AltC"/>
      </w:pPr>
    </w:p>
    <w:p w14:paraId="20B487CF" w14:textId="77777777" w:rsidR="00192E1C" w:rsidRPr="00192E1C" w:rsidRDefault="00192E1C" w:rsidP="00192E1C">
      <w:pPr>
        <w:pStyle w:val="Citation-AltC"/>
        <w:ind w:left="1440"/>
      </w:pPr>
      <w:r w:rsidRPr="00192E1C">
        <w:rPr>
          <w:u w:val="single"/>
        </w:rPr>
        <w:t>peut être sauvegardé sans arrêter la personne sans mandat</w:t>
      </w:r>
      <w:r w:rsidRPr="00192E1C">
        <w:t>;</w:t>
      </w:r>
    </w:p>
    <w:p w14:paraId="48CACC4B" w14:textId="77777777" w:rsidR="00192E1C" w:rsidRPr="00192E1C" w:rsidRDefault="00192E1C" w:rsidP="00192E1C">
      <w:pPr>
        <w:pStyle w:val="Citation-AltC"/>
        <w:ind w:left="1440"/>
      </w:pPr>
    </w:p>
    <w:p w14:paraId="270C26A6" w14:textId="77777777" w:rsidR="00192E1C" w:rsidRPr="00192E1C" w:rsidRDefault="00192E1C" w:rsidP="00192E1C">
      <w:pPr>
        <w:pStyle w:val="Citation-AltC"/>
        <w:ind w:left="1440"/>
      </w:pPr>
      <w:r w:rsidRPr="00192E1C">
        <w:rPr>
          <w:b/>
        </w:rPr>
        <w:t>e)</w:t>
      </w:r>
      <w:r w:rsidRPr="00192E1C">
        <w:t xml:space="preserve"> </w:t>
      </w:r>
      <w:r w:rsidRPr="00192E1C">
        <w:rPr>
          <w:u w:val="single"/>
        </w:rPr>
        <w:t>d’autre part</w:t>
      </w:r>
      <w:r w:rsidRPr="00192E1C">
        <w:t>, il n’a aucun motif raisonnable de croire que, s’il n’arrête pas la personne sans mandat, celle-ci omettra d’être présente au tribunal pour être traitée selon la loi.</w:t>
      </w:r>
    </w:p>
    <w:p w14:paraId="18337A23" w14:textId="77777777" w:rsidR="00192E1C" w:rsidRPr="00192E1C" w:rsidRDefault="00192E1C" w:rsidP="00192E1C">
      <w:pPr>
        <w:pStyle w:val="Citation-AltC"/>
      </w:pPr>
    </w:p>
    <w:p w14:paraId="09E13D4D" w14:textId="77777777" w:rsidR="00192E1C" w:rsidRPr="00192E1C" w:rsidRDefault="00192E1C" w:rsidP="00192E1C">
      <w:pPr>
        <w:pStyle w:val="Citation-AltC"/>
      </w:pPr>
      <w:r w:rsidRPr="00192E1C">
        <w:rPr>
          <w:b/>
        </w:rPr>
        <w:t>(3)</w:t>
      </w:r>
      <w:r w:rsidRPr="00192E1C">
        <w:t xml:space="preserve"> Nonobstant le paragraphe (2), un agent de la paix agissant aux termes du paragraphe (1) est censé agir légalement et dans l’exercice de ses fonctions aux fins :</w:t>
      </w:r>
    </w:p>
    <w:p w14:paraId="20F9695F" w14:textId="77777777" w:rsidR="00192E1C" w:rsidRPr="00192E1C" w:rsidRDefault="00192E1C" w:rsidP="00192E1C">
      <w:pPr>
        <w:pStyle w:val="Citation-AltC"/>
      </w:pPr>
    </w:p>
    <w:p w14:paraId="1B4C3668" w14:textId="77777777" w:rsidR="00192E1C" w:rsidRPr="00192E1C" w:rsidRDefault="00192E1C" w:rsidP="00192E1C">
      <w:pPr>
        <w:pStyle w:val="Citation-AltC"/>
        <w:ind w:left="1440"/>
      </w:pPr>
      <w:r w:rsidRPr="00192E1C">
        <w:rPr>
          <w:b/>
        </w:rPr>
        <w:t>a)</w:t>
      </w:r>
      <w:r w:rsidRPr="00192E1C">
        <w:t xml:space="preserve"> de toutes procédures engagées en vertu de la présente loi ou de toute autre loi fédérale;</w:t>
      </w:r>
    </w:p>
    <w:p w14:paraId="55D005E7" w14:textId="77777777" w:rsidR="00192E1C" w:rsidRPr="00192E1C" w:rsidRDefault="00192E1C" w:rsidP="00192E1C">
      <w:pPr>
        <w:pStyle w:val="Citation-AltC"/>
        <w:ind w:left="1440"/>
      </w:pPr>
    </w:p>
    <w:p w14:paraId="287F4BC2" w14:textId="77777777" w:rsidR="00192E1C" w:rsidRPr="00192E1C" w:rsidRDefault="00192E1C" w:rsidP="00192E1C">
      <w:pPr>
        <w:pStyle w:val="Citation-AltC"/>
        <w:ind w:left="1440"/>
      </w:pPr>
      <w:r w:rsidRPr="00192E1C">
        <w:rPr>
          <w:b/>
        </w:rPr>
        <w:t xml:space="preserve">b) </w:t>
      </w:r>
      <w:r w:rsidRPr="00192E1C">
        <w:t>de toutes autres procédures, à moins qu’il n’y soit allégué et établi par la personne qui fait cette allégation que l’agent de la paix ne s’est pas conformé aux exigences du paragraphe (2).</w:t>
      </w:r>
    </w:p>
    <w:p w14:paraId="368A06FA" w14:textId="77777777" w:rsidR="00192E1C" w:rsidRPr="00192E1C" w:rsidRDefault="00192E1C" w:rsidP="00192E1C">
      <w:pPr>
        <w:pStyle w:val="ParaNoNdepar-AltN"/>
        <w:rPr>
          <w:rFonts w:cs="Times New Roman"/>
        </w:rPr>
      </w:pPr>
      <w:r w:rsidRPr="00192E1C">
        <w:rPr>
          <w:rFonts w:cs="Times New Roman"/>
        </w:rPr>
        <w:t>Il appert de ce qui précède que l’al. 495(1)a) </w:t>
      </w:r>
      <w:r w:rsidRPr="00192E1C">
        <w:rPr>
          <w:rFonts w:cs="Times New Roman"/>
          <w:i/>
        </w:rPr>
        <w:t xml:space="preserve">C. cr. </w:t>
      </w:r>
      <w:r w:rsidRPr="00192E1C">
        <w:rPr>
          <w:rFonts w:cs="Times New Roman"/>
        </w:rPr>
        <w:t>confère un pouvoir d’arrestation sans mandat à un agent de la paix dans trois situations : lorsque (1) la personne a commis un acte criminel, (2) la personne est sur le point de commettre un acte criminel, ou (3) l’agent de la paix a des motifs raisonnables de croire que la personne a commis un acte criminel. Mais le pouvoir ainsi conféré n’est pas absolu.</w:t>
      </w:r>
    </w:p>
    <w:p w14:paraId="683A72D2" w14:textId="77777777" w:rsidR="00192E1C" w:rsidRPr="00192E1C" w:rsidRDefault="00192E1C" w:rsidP="00192E1C">
      <w:pPr>
        <w:pStyle w:val="ParaNoNdepar-AltN"/>
        <w:rPr>
          <w:rFonts w:cs="Times New Roman"/>
        </w:rPr>
      </w:pPr>
      <w:bookmarkStart w:id="62" w:name="_Hlk199766258"/>
      <w:r w:rsidRPr="00192E1C">
        <w:rPr>
          <w:rFonts w:cs="Times New Roman"/>
        </w:rPr>
        <w:t>En effet, l’art. 495 </w:t>
      </w:r>
      <w:r w:rsidRPr="00192E1C">
        <w:rPr>
          <w:rFonts w:cs="Times New Roman"/>
          <w:i/>
        </w:rPr>
        <w:t>C. cr.</w:t>
      </w:r>
      <w:r w:rsidRPr="00192E1C">
        <w:rPr>
          <w:rFonts w:cs="Times New Roman"/>
        </w:rPr>
        <w:t xml:space="preserve"> comporte également les par. 495(2) et (3). Ces dispositions ont été décrites de part et d’autre par les parties comme limitant, encadrant ou restreignant le pouvoir discrétionnaire d’un agent de la paix en matière d’arrestation sans mandat. C’est précisément la nature et la portée de ces dispositions que je clarifie dans les présents motifs.</w:t>
      </w:r>
    </w:p>
    <w:p w14:paraId="2553BF80" w14:textId="77777777" w:rsidR="00192E1C" w:rsidRPr="00192E1C" w:rsidRDefault="00192E1C" w:rsidP="00192E1C">
      <w:pPr>
        <w:pStyle w:val="Title2LevelTitre2Niveau"/>
        <w:numPr>
          <w:ilvl w:val="1"/>
          <w:numId w:val="2"/>
        </w:numPr>
        <w:rPr>
          <w:rFonts w:cs="Times New Roman"/>
          <w:lang w:val="fr-CA"/>
        </w:rPr>
      </w:pPr>
      <w:bookmarkStart w:id="63" w:name="_Toc204271945"/>
      <w:bookmarkStart w:id="64" w:name="_Toc204336568"/>
      <w:bookmarkStart w:id="65" w:name="_Toc204344073"/>
      <w:bookmarkStart w:id="66" w:name="_Toc208319847"/>
      <w:bookmarkStart w:id="67" w:name="_Toc214611149"/>
      <w:bookmarkStart w:id="68" w:name="_Toc215654511"/>
      <w:r w:rsidRPr="00192E1C">
        <w:rPr>
          <w:rFonts w:cs="Times New Roman"/>
          <w:bCs/>
          <w:lang w:val="fr-CA"/>
        </w:rPr>
        <w:t>Historique de l’arrestation sans mandat au Canada</w:t>
      </w:r>
      <w:bookmarkEnd w:id="63"/>
      <w:bookmarkEnd w:id="64"/>
      <w:bookmarkEnd w:id="65"/>
      <w:bookmarkEnd w:id="66"/>
      <w:bookmarkEnd w:id="67"/>
      <w:bookmarkEnd w:id="68"/>
    </w:p>
    <w:p w14:paraId="18E669D8" w14:textId="77777777" w:rsidR="00192E1C" w:rsidRPr="00192E1C" w:rsidRDefault="00192E1C" w:rsidP="00192E1C">
      <w:pPr>
        <w:pStyle w:val="ParaNoNdepar-AltN"/>
        <w:rPr>
          <w:rFonts w:cs="Times New Roman"/>
        </w:rPr>
      </w:pPr>
      <w:bookmarkStart w:id="69" w:name="_Ref204344231"/>
      <w:r w:rsidRPr="00192E1C">
        <w:rPr>
          <w:rFonts w:cs="Times New Roman"/>
        </w:rPr>
        <w:t>Autrefois assorti d’une très large discrétion, le pouvoir d’arrestation sans mandat des agents de la paix a fait l’objet d’une importante réforme lors de laquelle les premières versions des dispositions constituant aujourd’hui les par. 495(2) et (3) </w:t>
      </w:r>
      <w:r w:rsidRPr="00192E1C">
        <w:rPr>
          <w:rFonts w:cs="Times New Roman"/>
          <w:i/>
        </w:rPr>
        <w:t>C. cr.</w:t>
      </w:r>
      <w:r w:rsidRPr="00192E1C">
        <w:rPr>
          <w:rFonts w:cs="Times New Roman"/>
        </w:rPr>
        <w:t xml:space="preserve"> ont été adoptées. Il importe en début d’analyse de passer en revue les circonstances ayant mené à leur adoption, en s’attardant plus spécifiquement au rapport du Comité canadien de la réforme pénale et correctionnelle (« Comité ») intitulé </w:t>
      </w:r>
      <w:r w:rsidRPr="00192E1C">
        <w:rPr>
          <w:rFonts w:cs="Times New Roman"/>
          <w:i/>
        </w:rPr>
        <w:t>Rapport du Comité canadien de la réforme pénale et correctionnelle — Justice pénale et correction : un lien à forger</w:t>
      </w:r>
      <w:r w:rsidRPr="00192E1C">
        <w:rPr>
          <w:rFonts w:cs="Times New Roman"/>
        </w:rPr>
        <w:t xml:space="preserve"> (1969) (« </w:t>
      </w:r>
      <w:r w:rsidRPr="00192E1C">
        <w:rPr>
          <w:rFonts w:cs="Times New Roman"/>
          <w:i/>
        </w:rPr>
        <w:t>Rapport Ouimet</w:t>
      </w:r>
      <w:r w:rsidRPr="00192E1C">
        <w:rPr>
          <w:rFonts w:cs="Times New Roman"/>
        </w:rPr>
        <w:t> »), ainsi qu’aux débats parlementaires ayant précédé leur adoption.</w:t>
      </w:r>
      <w:bookmarkEnd w:id="69"/>
    </w:p>
    <w:p w14:paraId="5A773CDD" w14:textId="77777777" w:rsidR="00192E1C" w:rsidRPr="00192E1C" w:rsidRDefault="00192E1C" w:rsidP="00192E1C">
      <w:pPr>
        <w:pStyle w:val="Title3LevelTitre3Niveau"/>
        <w:numPr>
          <w:ilvl w:val="3"/>
          <w:numId w:val="24"/>
        </w:numPr>
        <w:ind w:left="1152" w:hanging="576"/>
        <w:rPr>
          <w:rFonts w:cs="Times New Roman"/>
          <w:i/>
        </w:rPr>
      </w:pPr>
      <w:bookmarkStart w:id="70" w:name="_Toc204271946"/>
      <w:bookmarkStart w:id="71" w:name="_Toc204336569"/>
      <w:bookmarkStart w:id="72" w:name="_Toc204344074"/>
      <w:bookmarkStart w:id="73" w:name="_Toc208319848"/>
      <w:bookmarkStart w:id="74" w:name="_Toc214611150"/>
      <w:bookmarkStart w:id="75" w:name="_Toc215654512"/>
      <w:r w:rsidRPr="00192E1C">
        <w:rPr>
          <w:rFonts w:cs="Times New Roman"/>
          <w:i/>
        </w:rPr>
        <w:t>Rapport Ouimet</w:t>
      </w:r>
      <w:bookmarkEnd w:id="70"/>
      <w:bookmarkEnd w:id="71"/>
      <w:bookmarkEnd w:id="72"/>
      <w:bookmarkEnd w:id="73"/>
      <w:bookmarkEnd w:id="74"/>
      <w:bookmarkEnd w:id="75"/>
    </w:p>
    <w:p w14:paraId="2B66C95F" w14:textId="77777777" w:rsidR="00192E1C" w:rsidRPr="00192E1C" w:rsidRDefault="00192E1C" w:rsidP="00192E1C">
      <w:pPr>
        <w:pStyle w:val="ParaNoNdepar-AltN"/>
        <w:spacing w:before="240"/>
        <w:rPr>
          <w:rFonts w:cs="Times New Roman"/>
        </w:rPr>
      </w:pPr>
      <w:bookmarkStart w:id="76" w:name="_Hlk199248895"/>
      <w:bookmarkStart w:id="77" w:name="_Ref214611572"/>
      <w:r w:rsidRPr="00192E1C">
        <w:rPr>
          <w:rFonts w:cs="Times New Roman"/>
        </w:rPr>
        <w:t xml:space="preserve">Jusqu’en 1972, le </w:t>
      </w:r>
      <w:r w:rsidRPr="00192E1C">
        <w:rPr>
          <w:rFonts w:cs="Times New Roman"/>
          <w:i/>
        </w:rPr>
        <w:t>Code criminel</w:t>
      </w:r>
      <w:r w:rsidRPr="00192E1C">
        <w:rPr>
          <w:rFonts w:cs="Times New Roman"/>
        </w:rPr>
        <w:t xml:space="preserve"> ne régissait pas l’exercice du pouvoir des agents de la paix en matière d’arrestation sans mandat fondée sur la commission d’un acte criminel ou une infraction criminelle ou le fait d’être sur le point de commettre un acte criminel. </w:t>
      </w:r>
      <w:bookmarkEnd w:id="76"/>
      <w:r w:rsidRPr="00192E1C">
        <w:rPr>
          <w:rFonts w:cs="Times New Roman"/>
        </w:rPr>
        <w:t xml:space="preserve">Le </w:t>
      </w:r>
      <w:r w:rsidRPr="00192E1C">
        <w:rPr>
          <w:rFonts w:cs="Times New Roman"/>
          <w:i/>
        </w:rPr>
        <w:t>Code criminel</w:t>
      </w:r>
      <w:r w:rsidRPr="00192E1C">
        <w:rPr>
          <w:rFonts w:cs="Times New Roman"/>
        </w:rPr>
        <w:t xml:space="preserve"> se limitait à énoncer les motifs requis pour qu’une arrestation soit légalement justifiée, ce qui correspond aujourd’hui aux al. 495(1)a) et b) (voir </w:t>
      </w:r>
      <w:r w:rsidRPr="00192E1C">
        <w:rPr>
          <w:rFonts w:cs="Times New Roman"/>
          <w:i/>
          <w:iCs/>
        </w:rPr>
        <w:t>Crankshaw’s Criminal Code of Canada</w:t>
      </w:r>
      <w:r w:rsidRPr="00192E1C">
        <w:rPr>
          <w:rFonts w:cs="Times New Roman"/>
          <w:i/>
        </w:rPr>
        <w:t xml:space="preserve">, R.S.C. 1985 </w:t>
      </w:r>
      <w:r w:rsidRPr="00192E1C">
        <w:rPr>
          <w:rFonts w:cs="Times New Roman"/>
        </w:rPr>
        <w:t>(éd. rév. (feuilles mobiles)), § 495:HIST). Le pouvoir d’arrestation sans mandat était alors libellé ainsi à l’art. 449</w:t>
      </w:r>
      <w:bookmarkStart w:id="78" w:name="_Hlk202360513"/>
      <w:r w:rsidRPr="00192E1C">
        <w:rPr>
          <w:rFonts w:cs="Times New Roman"/>
        </w:rPr>
        <w:t xml:space="preserve"> du </w:t>
      </w:r>
      <w:r w:rsidRPr="00192E1C">
        <w:rPr>
          <w:rFonts w:cs="Times New Roman"/>
          <w:i/>
        </w:rPr>
        <w:t>Code criminel</w:t>
      </w:r>
      <w:r w:rsidRPr="00192E1C">
        <w:rPr>
          <w:rFonts w:cs="Times New Roman"/>
        </w:rPr>
        <w:t>, S.R.C. 1970, c. C</w:t>
      </w:r>
      <w:r w:rsidRPr="00192E1C">
        <w:rPr>
          <w:rFonts w:cs="Times New Roman"/>
        </w:rPr>
        <w:noBreakHyphen/>
        <w:t>34</w:t>
      </w:r>
      <w:bookmarkEnd w:id="78"/>
      <w:r w:rsidRPr="00192E1C">
        <w:rPr>
          <w:rFonts w:cs="Times New Roman"/>
        </w:rPr>
        <w:t>) (« </w:t>
      </w:r>
      <w:r w:rsidRPr="00192E1C">
        <w:rPr>
          <w:rFonts w:cs="Times New Roman"/>
          <w:i/>
        </w:rPr>
        <w:t>C. cr. (1970)</w:t>
      </w:r>
      <w:r w:rsidRPr="00192E1C">
        <w:rPr>
          <w:rFonts w:cs="Times New Roman"/>
        </w:rPr>
        <w:t> ») :</w:t>
      </w:r>
      <w:bookmarkEnd w:id="77"/>
    </w:p>
    <w:p w14:paraId="2148083F" w14:textId="77777777" w:rsidR="00192E1C" w:rsidRPr="00192E1C" w:rsidRDefault="00192E1C" w:rsidP="00192E1C">
      <w:pPr>
        <w:pStyle w:val="Citation-AltC"/>
        <w:ind w:firstLine="274"/>
      </w:pPr>
      <w:bookmarkStart w:id="79" w:name="_Hlk202360527"/>
      <w:r w:rsidRPr="00192E1C">
        <w:rPr>
          <w:b/>
        </w:rPr>
        <w:t>449.</w:t>
      </w:r>
      <w:r w:rsidRPr="00192E1C">
        <w:t xml:space="preserve"> Un agent de la paix peut arrêter sans mandat</w:t>
      </w:r>
    </w:p>
    <w:p w14:paraId="63711E58" w14:textId="77777777" w:rsidR="00192E1C" w:rsidRPr="00192E1C" w:rsidRDefault="00192E1C" w:rsidP="00192E1C">
      <w:pPr>
        <w:pStyle w:val="Citation-AltC"/>
      </w:pPr>
    </w:p>
    <w:p w14:paraId="05A5FE6C" w14:textId="77777777" w:rsidR="00192E1C" w:rsidRPr="00192E1C" w:rsidRDefault="00192E1C" w:rsidP="00192E1C">
      <w:pPr>
        <w:pStyle w:val="Citation-AltC"/>
        <w:ind w:left="1440"/>
      </w:pPr>
      <w:r w:rsidRPr="00192E1C">
        <w:rPr>
          <w:i/>
        </w:rPr>
        <w:t>a</w:t>
      </w:r>
      <w:r w:rsidRPr="00192E1C">
        <w:t>) une personne qui a commis un acte criminel ou qui, d’après ce qu’il croit pour des motifs raisonnables et probables, a commis ou est sur le point de commettre un acte criminel, ou est sur le point de commettre un suicide</w:t>
      </w:r>
    </w:p>
    <w:p w14:paraId="4C1E30A7" w14:textId="77777777" w:rsidR="00192E1C" w:rsidRPr="00192E1C" w:rsidRDefault="00192E1C" w:rsidP="00192E1C">
      <w:pPr>
        <w:pStyle w:val="Citation-AltC"/>
        <w:ind w:left="1440"/>
      </w:pPr>
    </w:p>
    <w:p w14:paraId="3D3D5215" w14:textId="77777777" w:rsidR="00192E1C" w:rsidRPr="00192E1C" w:rsidRDefault="00192E1C" w:rsidP="00192E1C">
      <w:pPr>
        <w:pStyle w:val="Citation-AltC"/>
        <w:ind w:left="1440"/>
      </w:pPr>
      <w:r w:rsidRPr="00192E1C">
        <w:rPr>
          <w:i/>
        </w:rPr>
        <w:t>b</w:t>
      </w:r>
      <w:r w:rsidRPr="00192E1C">
        <w:t>) une personne qu’il trouve en train de commettre une infraction criminelle, ou</w:t>
      </w:r>
    </w:p>
    <w:p w14:paraId="7482BA2E" w14:textId="77777777" w:rsidR="00192E1C" w:rsidRPr="00192E1C" w:rsidRDefault="00192E1C" w:rsidP="00192E1C">
      <w:pPr>
        <w:pStyle w:val="Citation-AltC"/>
        <w:ind w:left="1440"/>
      </w:pPr>
    </w:p>
    <w:p w14:paraId="562D6CA6" w14:textId="77777777" w:rsidR="00192E1C" w:rsidRPr="00192E1C" w:rsidRDefault="00192E1C" w:rsidP="00192E1C">
      <w:pPr>
        <w:pStyle w:val="Citation-AltC"/>
        <w:ind w:left="1440"/>
      </w:pPr>
      <w:r w:rsidRPr="00192E1C">
        <w:rPr>
          <w:i/>
        </w:rPr>
        <w:t>c</w:t>
      </w:r>
      <w:r w:rsidRPr="00192E1C">
        <w:t>) une personne contre laquelle il a des motifs raisonnables de croire qu’un mandat d’arrestation est exécutoire dans les limites de la juridiction territoriale dans laquelle est trouvée cette personne.</w:t>
      </w:r>
    </w:p>
    <w:bookmarkEnd w:id="79"/>
    <w:p w14:paraId="27ADF28D" w14:textId="77777777" w:rsidR="00192E1C" w:rsidRPr="00192E1C" w:rsidRDefault="00192E1C" w:rsidP="00192E1C">
      <w:pPr>
        <w:pStyle w:val="ContinueParaSuitedupar-AltP"/>
        <w:rPr>
          <w:rFonts w:cs="Times New Roman"/>
        </w:rPr>
      </w:pPr>
      <w:r w:rsidRPr="00192E1C">
        <w:rPr>
          <w:rFonts w:cs="Times New Roman"/>
        </w:rPr>
        <w:t xml:space="preserve">En revanche, aucune limite n’était alors prévue au </w:t>
      </w:r>
      <w:r w:rsidRPr="00192E1C">
        <w:rPr>
          <w:rFonts w:cs="Times New Roman"/>
          <w:i/>
        </w:rPr>
        <w:t>Code criminel</w:t>
      </w:r>
      <w:r w:rsidRPr="00192E1C">
        <w:rPr>
          <w:rFonts w:cs="Times New Roman"/>
        </w:rPr>
        <w:t xml:space="preserve"> afin de restreindre la portée de l’ancien art. 449 </w:t>
      </w:r>
      <w:r w:rsidRPr="00192E1C">
        <w:rPr>
          <w:rFonts w:cs="Times New Roman"/>
          <w:i/>
        </w:rPr>
        <w:t>C. cr. (1970)</w:t>
      </w:r>
      <w:r w:rsidRPr="00192E1C">
        <w:rPr>
          <w:rFonts w:cs="Times New Roman"/>
        </w:rPr>
        <w:t>, à l’instar de l’actuel par. 495(2) </w:t>
      </w:r>
      <w:r w:rsidRPr="00192E1C">
        <w:rPr>
          <w:rFonts w:cs="Times New Roman"/>
          <w:i/>
        </w:rPr>
        <w:t>C. cr.</w:t>
      </w:r>
      <w:r w:rsidRPr="00192E1C">
        <w:rPr>
          <w:rFonts w:cs="Times New Roman"/>
        </w:rPr>
        <w:t xml:space="preserve"> intitulé « Restriction » (</w:t>
      </w:r>
      <w:r w:rsidRPr="00192E1C">
        <w:t>« </w:t>
      </w:r>
      <w:r w:rsidRPr="00192E1C">
        <w:rPr>
          <w:i/>
        </w:rPr>
        <w:t>Limitation</w:t>
      </w:r>
      <w:r w:rsidRPr="00192E1C">
        <w:t> »)</w:t>
      </w:r>
      <w:r w:rsidRPr="00192E1C">
        <w:rPr>
          <w:rFonts w:cs="Times New Roman"/>
        </w:rPr>
        <w:t>.</w:t>
      </w:r>
    </w:p>
    <w:p w14:paraId="573EC152" w14:textId="77777777" w:rsidR="00192E1C" w:rsidRPr="00192E1C" w:rsidRDefault="00192E1C" w:rsidP="00192E1C">
      <w:pPr>
        <w:pStyle w:val="ParaNoNdepar-AltN"/>
        <w:rPr>
          <w:rFonts w:cs="Times New Roman"/>
        </w:rPr>
      </w:pPr>
      <w:r w:rsidRPr="00192E1C">
        <w:rPr>
          <w:rFonts w:eastAsia="Times New Roman" w:cs="Times New Roman"/>
        </w:rPr>
        <w:t xml:space="preserve">Au cours des années 1960, le gouvernement fédéral a mis en place le Comité, présidé par le juge Roger Ouimet, afin d’étudier le système correctionnel canadien et de recommander des changements législatifs souhaitables. En 1969, le </w:t>
      </w:r>
      <w:r w:rsidRPr="00192E1C">
        <w:rPr>
          <w:rFonts w:eastAsia="Times New Roman" w:cs="Times New Roman"/>
          <w:i/>
        </w:rPr>
        <w:t>Rapport Ouimet</w:t>
      </w:r>
      <w:r w:rsidRPr="00192E1C">
        <w:rPr>
          <w:rFonts w:eastAsia="Times New Roman" w:cs="Times New Roman"/>
        </w:rPr>
        <w:t xml:space="preserve"> a été publié. À la suite de son examen des pouvoirs des agents de la paix au Canada, le Comité a conclu que ces pouvoirs maintiennent « un équilibre raisonnable entre les exigences de la sécurité générale et la protection des droits fondamentaux de l’individu » (p. 51</w:t>
      </w:r>
      <w:r w:rsidRPr="00192E1C">
        <w:rPr>
          <w:rFonts w:eastAsia="Times New Roman" w:cs="Times New Roman"/>
        </w:rPr>
        <w:noBreakHyphen/>
        <w:t>52). Le Comité a néanmoins noté que le pouvoir d’arrestation sans mandat des agents de la paix était « fort étendu » (p. 99). Le Comité était d’avis que les arrestations sans mandat étaient trop fréquentes et souvent injustifiées au regard de l’intérêt public, car dans de nombreux cas d’autres moyens auraient suffi pour garantir la présence de l’accusé à son procès (p. 44 et 100).</w:t>
      </w:r>
    </w:p>
    <w:p w14:paraId="1D8B462D" w14:textId="77777777" w:rsidR="00192E1C" w:rsidRPr="00192E1C" w:rsidRDefault="00192E1C" w:rsidP="00192E1C">
      <w:pPr>
        <w:pStyle w:val="ParaNoNdepar-AltN"/>
        <w:rPr>
          <w:rFonts w:cs="Times New Roman"/>
        </w:rPr>
      </w:pPr>
      <w:r w:rsidRPr="00192E1C">
        <w:rPr>
          <w:rFonts w:eastAsia="Times New Roman" w:cs="Times New Roman"/>
        </w:rPr>
        <w:t xml:space="preserve">Le Comité a donc recommandé de modifier le </w:t>
      </w:r>
      <w:r w:rsidRPr="00192E1C">
        <w:rPr>
          <w:rFonts w:eastAsia="Times New Roman" w:cs="Times New Roman"/>
          <w:i/>
        </w:rPr>
        <w:t xml:space="preserve">Code criminel </w:t>
      </w:r>
      <w:r w:rsidRPr="00192E1C">
        <w:rPr>
          <w:rFonts w:eastAsia="Times New Roman" w:cs="Times New Roman"/>
        </w:rPr>
        <w:t>pour y inclure des critères d’intérêt public qui encadreraient la décision d’arrêter ou non sans mandat :</w:t>
      </w:r>
    </w:p>
    <w:p w14:paraId="030FE898" w14:textId="77777777" w:rsidR="00192E1C" w:rsidRPr="00192E1C" w:rsidRDefault="00192E1C" w:rsidP="00192E1C">
      <w:pPr>
        <w:pStyle w:val="Citation-AltC"/>
        <w:ind w:firstLine="274"/>
        <w:rPr>
          <w:szCs w:val="24"/>
        </w:rPr>
      </w:pPr>
      <w:r w:rsidRPr="00192E1C">
        <w:rPr>
          <w:szCs w:val="24"/>
        </w:rPr>
        <w:t>Le Comité recommande donc que l’article 435 du Code criminel soit modifié de façon à ce qu’il faille non seulement avoir des motifs raisonnables de croire que la personne a commis ou est sur le point de commettre un acte criminel, mais aussi avoir des motifs raisonnables de croire que l’intérêt public exige l’arrestation immédiate; que l’article stipule qu’un agent de police a le droit d’arrêter une personne qu’il prend en flagrant délit d’infraction punissable sur déclaration sommaire de culpabilité, s’il a des motifs raisonnables de croire que l’intérêt public exige l’arrestation immédiate de cette personne. [Caractères gras omis; p. 100.]</w:t>
      </w:r>
    </w:p>
    <w:p w14:paraId="145AC432" w14:textId="77777777" w:rsidR="00192E1C" w:rsidRPr="00192E1C" w:rsidRDefault="00192E1C" w:rsidP="00192E1C">
      <w:pPr>
        <w:pStyle w:val="Title3LevelTitre3Niveau"/>
        <w:numPr>
          <w:ilvl w:val="3"/>
          <w:numId w:val="24"/>
        </w:numPr>
        <w:ind w:left="1152" w:hanging="576"/>
        <w:rPr>
          <w:rFonts w:cs="Times New Roman"/>
          <w:lang w:val="fr-CA"/>
        </w:rPr>
      </w:pPr>
      <w:bookmarkStart w:id="80" w:name="_Toc204271947"/>
      <w:bookmarkStart w:id="81" w:name="_Toc204336570"/>
      <w:bookmarkStart w:id="82" w:name="_Toc204344075"/>
      <w:bookmarkStart w:id="83" w:name="_Toc208319849"/>
      <w:bookmarkStart w:id="84" w:name="_Toc214611151"/>
      <w:bookmarkStart w:id="85" w:name="_Toc215654513"/>
      <w:r w:rsidRPr="00192E1C">
        <w:rPr>
          <w:rFonts w:cs="Times New Roman"/>
          <w:lang w:val="fr-CA"/>
        </w:rPr>
        <w:t xml:space="preserve">Adoption de la </w:t>
      </w:r>
      <w:r w:rsidRPr="00192E1C">
        <w:rPr>
          <w:rFonts w:cs="Times New Roman"/>
          <w:i/>
          <w:lang w:val="fr-CA"/>
        </w:rPr>
        <w:t>Loi sur la réforme du cautionnement</w:t>
      </w:r>
      <w:bookmarkEnd w:id="80"/>
      <w:bookmarkEnd w:id="81"/>
      <w:bookmarkEnd w:id="82"/>
      <w:bookmarkEnd w:id="83"/>
      <w:bookmarkEnd w:id="84"/>
      <w:bookmarkEnd w:id="85"/>
    </w:p>
    <w:p w14:paraId="792575C0" w14:textId="77777777" w:rsidR="00192E1C" w:rsidRPr="00192E1C" w:rsidRDefault="00192E1C" w:rsidP="00192E1C">
      <w:pPr>
        <w:pStyle w:val="ParaNoNdepar-AltN"/>
        <w:rPr>
          <w:rFonts w:cs="Times New Roman"/>
        </w:rPr>
      </w:pPr>
      <w:bookmarkStart w:id="86" w:name="_Ref214611579"/>
      <w:bookmarkStart w:id="87" w:name="_Hlk199340519"/>
      <w:r w:rsidRPr="00192E1C">
        <w:rPr>
          <w:rFonts w:cs="Times New Roman"/>
        </w:rPr>
        <w:t>Fort de ces recommandations, le ministre de la Justice de l’époque, John N. Turner, a déposé le projet de loi C</w:t>
      </w:r>
      <w:r w:rsidRPr="00192E1C">
        <w:rPr>
          <w:rFonts w:cs="Times New Roman"/>
        </w:rPr>
        <w:noBreakHyphen/>
        <w:t xml:space="preserve">218, lequel deviendra la </w:t>
      </w:r>
      <w:r w:rsidRPr="00192E1C">
        <w:rPr>
          <w:rFonts w:cs="Times New Roman"/>
          <w:i/>
        </w:rPr>
        <w:t>Loi sur la réforme du cautionnement</w:t>
      </w:r>
      <w:r w:rsidRPr="00192E1C">
        <w:rPr>
          <w:rFonts w:cs="Times New Roman"/>
        </w:rPr>
        <w:t>, L.C. 1970</w:t>
      </w:r>
      <w:r w:rsidRPr="00192E1C">
        <w:rPr>
          <w:rFonts w:cs="Times New Roman"/>
        </w:rPr>
        <w:noBreakHyphen/>
        <w:t>71</w:t>
      </w:r>
      <w:r w:rsidRPr="00192E1C">
        <w:rPr>
          <w:rFonts w:cs="Times New Roman"/>
        </w:rPr>
        <w:noBreakHyphen/>
        <w:t>72, c. 37 (reproduite dans S.R.C. 1970, c. 2 (2</w:t>
      </w:r>
      <w:r w:rsidRPr="00192E1C">
        <w:rPr>
          <w:rFonts w:cs="Times New Roman"/>
          <w:vertAlign w:val="superscript"/>
        </w:rPr>
        <w:t>e</w:t>
      </w:r>
      <w:r w:rsidRPr="00192E1C">
        <w:rPr>
          <w:rFonts w:cs="Times New Roman"/>
        </w:rPr>
        <w:t> suppl.)), une fois sanctionné. Cette loi avait comme objectif de mettre en œuvre deux réformes législatives. La première visait à limiter le recours à l’arrestation, en la remplaçant par d’autres méthodes telles que les sommations ou les citations à comparaître. La seconde cherchait à remédier à l’injustice liée au cautionnement en espèces, lequel avait pour effet de pénaliser les personnes disposant de faibles ressources financières, qui étaient ainsi contraintes de chercher un garant. C’est la première de ces réformes qui retient notre attention en l’espèce, puisqu’elle constitue la toile de fond sur laquelle les dispositions équivalentes aux actuels par. 495(2) et (3) </w:t>
      </w:r>
      <w:r w:rsidRPr="00192E1C">
        <w:rPr>
          <w:rFonts w:cs="Times New Roman"/>
          <w:i/>
        </w:rPr>
        <w:t>C. cr.</w:t>
      </w:r>
      <w:r w:rsidRPr="00192E1C">
        <w:rPr>
          <w:rFonts w:cs="Times New Roman"/>
        </w:rPr>
        <w:t xml:space="preserve"> ont été introduites.</w:t>
      </w:r>
      <w:bookmarkEnd w:id="86"/>
    </w:p>
    <w:p w14:paraId="2D233173" w14:textId="77777777" w:rsidR="00192E1C" w:rsidRPr="00192E1C" w:rsidRDefault="00192E1C" w:rsidP="00192E1C">
      <w:pPr>
        <w:pStyle w:val="ParaNoNdepar-AltN"/>
        <w:rPr>
          <w:rFonts w:cs="Times New Roman"/>
        </w:rPr>
      </w:pPr>
      <w:r w:rsidRPr="00192E1C">
        <w:rPr>
          <w:rFonts w:cs="Times New Roman"/>
        </w:rPr>
        <w:t>Devant la Chambre des communes, le ministre Turner a exposé les motifs qui ont conduit le gouvernement à proposer une telle réforme des pouvoirs d’arrestation conférés aux agents de la paix. Il a souligné l’importance de préserver la confiance du public envers les agents de la paix (</w:t>
      </w:r>
      <w:r w:rsidRPr="00192E1C">
        <w:rPr>
          <w:rFonts w:cs="Times New Roman"/>
          <w:i/>
        </w:rPr>
        <w:t>Débats de la Chambre des communes</w:t>
      </w:r>
      <w:r w:rsidRPr="00192E1C">
        <w:rPr>
          <w:rFonts w:cs="Times New Roman"/>
        </w:rPr>
        <w:t>, vol. 3, 3</w:t>
      </w:r>
      <w:r w:rsidRPr="00192E1C">
        <w:rPr>
          <w:rFonts w:cs="Times New Roman"/>
          <w:vertAlign w:val="superscript"/>
        </w:rPr>
        <w:t>e</w:t>
      </w:r>
      <w:r w:rsidRPr="00192E1C">
        <w:rPr>
          <w:rFonts w:cs="Times New Roman"/>
        </w:rPr>
        <w:t> sess., 28</w:t>
      </w:r>
      <w:r w:rsidRPr="00192E1C">
        <w:rPr>
          <w:rFonts w:cs="Times New Roman"/>
          <w:vertAlign w:val="superscript"/>
        </w:rPr>
        <w:t>e </w:t>
      </w:r>
      <w:r w:rsidRPr="00192E1C">
        <w:rPr>
          <w:rFonts w:cs="Times New Roman"/>
        </w:rPr>
        <w:t>lég., 5 février 1971, p. 3114 (l’hon. J. Turner)). Bien que le ministre ait souligné le rôle central de l’arrestation dans le processus pénal, il a reconnu que des arrestations inutiles pouvaient miner cette confiance et que la loi devait offrir aux agents de la paix des balises claires pour évaluer la nécessité d’une arrestation (p. 3114). Partant, le ministre a affirmé qu’une réforme de la législation encadrant l’arrestation sans mandat par les agents de la paix s’imposait.</w:t>
      </w:r>
    </w:p>
    <w:p w14:paraId="3A2CD56E" w14:textId="77777777" w:rsidR="00192E1C" w:rsidRPr="00192E1C" w:rsidRDefault="00192E1C" w:rsidP="00192E1C">
      <w:pPr>
        <w:pStyle w:val="ParaNoNdepar-AltN"/>
        <w:rPr>
          <w:rFonts w:cs="Times New Roman"/>
        </w:rPr>
      </w:pPr>
      <w:bookmarkStart w:id="88" w:name="_Hlk201131679"/>
      <w:r w:rsidRPr="00192E1C">
        <w:rPr>
          <w:rFonts w:cs="Times New Roman"/>
        </w:rPr>
        <w:t>L’un des objectifs déclarés du projet de loi était d’« éviter les arrestations et détentions préventives inutiles » (</w:t>
      </w:r>
      <w:r w:rsidRPr="00192E1C">
        <w:rPr>
          <w:rFonts w:cs="Times New Roman"/>
          <w:i/>
        </w:rPr>
        <w:t>Débats de la Chambre des communes</w:t>
      </w:r>
      <w:r w:rsidRPr="00192E1C">
        <w:rPr>
          <w:rFonts w:cs="Times New Roman"/>
        </w:rPr>
        <w:t>, 5 février 1971, p. 3116 (l’hon. J. Turner)). Selon le ministre Turner, la loi alors en vigueur ne fournissait pas aux agents de la paix « la souplesse ou la direction » nécessaires pour évaluer s’il convenait ou non de procéder à une arrestation sans mandat (p. 3114). Afin d’éviter les arrestations sans mandat inutiles, il estimait qu’un agent de la paix « ne devrait pas avoir à faire une arrestation sans mandat [lorsqu’il] a de bonnes raisons de croire qu’il peut protéger l’intérêt public en procédant autrement » (sous réserve bien entendu de cas comme ceux de meurtre ou d’infractions graves à l’endroit de l’ordre public) (</w:t>
      </w:r>
      <w:r w:rsidRPr="00192E1C">
        <w:rPr>
          <w:rFonts w:cs="Times New Roman"/>
          <w:i/>
        </w:rPr>
        <w:t>ibid.</w:t>
      </w:r>
      <w:r w:rsidRPr="00192E1C">
        <w:rPr>
          <w:rFonts w:cs="Times New Roman"/>
        </w:rPr>
        <w:t>).</w:t>
      </w:r>
      <w:bookmarkEnd w:id="88"/>
    </w:p>
    <w:p w14:paraId="6504AFD4" w14:textId="77777777" w:rsidR="00192E1C" w:rsidRPr="00192E1C" w:rsidRDefault="00192E1C" w:rsidP="00192E1C">
      <w:pPr>
        <w:pStyle w:val="ParaNoNdepar-AltN"/>
        <w:rPr>
          <w:rFonts w:cs="Times New Roman"/>
        </w:rPr>
      </w:pPr>
      <w:r w:rsidRPr="00192E1C">
        <w:rPr>
          <w:rFonts w:cs="Times New Roman"/>
        </w:rPr>
        <w:t>Discutant plus précisément des limitations apportées au pouvoir d’arrestation par l’ancien par. 450(2) </w:t>
      </w:r>
      <w:r w:rsidRPr="00192E1C">
        <w:rPr>
          <w:rFonts w:cs="Times New Roman"/>
          <w:i/>
        </w:rPr>
        <w:t>C. Cr. (1970)</w:t>
      </w:r>
      <w:r w:rsidRPr="00192E1C">
        <w:rPr>
          <w:rFonts w:cs="Times New Roman"/>
        </w:rPr>
        <w:t xml:space="preserve"> (actuellement le par. 495(2) </w:t>
      </w:r>
      <w:r w:rsidRPr="00192E1C">
        <w:rPr>
          <w:rFonts w:cs="Times New Roman"/>
          <w:i/>
        </w:rPr>
        <w:t>C. cr.</w:t>
      </w:r>
      <w:r w:rsidRPr="00192E1C">
        <w:rPr>
          <w:rFonts w:cs="Times New Roman"/>
        </w:rPr>
        <w:t>), le ministre s’est exprimé ainsi :</w:t>
      </w:r>
    </w:p>
    <w:p w14:paraId="7FDA542B" w14:textId="77777777" w:rsidR="00192E1C" w:rsidRPr="00192E1C" w:rsidRDefault="00192E1C" w:rsidP="00192E1C">
      <w:pPr>
        <w:pStyle w:val="Citation-AltC"/>
        <w:ind w:firstLine="274"/>
      </w:pPr>
      <w:r w:rsidRPr="00192E1C">
        <w:t xml:space="preserve">. . . Je suppose que le droit criminel dans notre pays et toutes ses dispositions seront mises en application en toute honnêteté par les forces de police et les magistrats de notre pays. </w:t>
      </w:r>
      <w:r w:rsidRPr="00192E1C">
        <w:rPr>
          <w:u w:val="single"/>
        </w:rPr>
        <w:t>Ce que fait le projet de loi, c’est de modifier la discrétion totale dont disposait la police pour arrêter les prévenus et en fait une discrétion selon laquelle le policier ne doit pas arrêter qui que ce soit, sauf s’il a de bons motifs de croire qu’il peut servir l’intérêt public sans arrêter la personne</w:t>
      </w:r>
      <w:r w:rsidRPr="00BF5789">
        <w:rPr>
          <w:rStyle w:val="Hyperlien"/>
          <w:vertAlign w:val="superscript"/>
        </w:rPr>
        <w:footnoteReference w:id="1"/>
      </w:r>
      <w:r w:rsidRPr="00192E1C">
        <w:t>. . . [Je souligne.]</w:t>
      </w:r>
    </w:p>
    <w:p w14:paraId="75DBF4FF" w14:textId="77777777" w:rsidR="00192E1C" w:rsidRPr="00192E1C" w:rsidRDefault="00192E1C" w:rsidP="00192E1C">
      <w:pPr>
        <w:pStyle w:val="Citation-AltC"/>
      </w:pPr>
    </w:p>
    <w:p w14:paraId="1252D2C0" w14:textId="77777777" w:rsidR="00192E1C" w:rsidRPr="00192E1C" w:rsidRDefault="00192E1C" w:rsidP="00192E1C">
      <w:pPr>
        <w:pStyle w:val="Citation-AltC"/>
      </w:pPr>
      <w:r w:rsidRPr="00192E1C">
        <w:t>(</w:t>
      </w:r>
      <w:r w:rsidRPr="00192E1C">
        <w:rPr>
          <w:i/>
          <w:iCs/>
        </w:rPr>
        <w:t>Procès</w:t>
      </w:r>
      <w:r w:rsidRPr="00192E1C">
        <w:rPr>
          <w:i/>
          <w:iCs/>
        </w:rPr>
        <w:noBreakHyphen/>
        <w:t xml:space="preserve">verbaux et témoignages du </w:t>
      </w:r>
      <w:r w:rsidRPr="00192E1C">
        <w:rPr>
          <w:bCs/>
          <w:i/>
        </w:rPr>
        <w:t>Comité permanent de la justice et des questions juridiques</w:t>
      </w:r>
      <w:r w:rsidRPr="00192E1C">
        <w:rPr>
          <w:bCs/>
          <w:lang w:bidi="en-US"/>
        </w:rPr>
        <w:t xml:space="preserve">, </w:t>
      </w:r>
      <w:r w:rsidRPr="00192E1C">
        <w:t>n</w:t>
      </w:r>
      <w:r w:rsidRPr="00192E1C">
        <w:rPr>
          <w:vertAlign w:val="superscript"/>
        </w:rPr>
        <w:t>o</w:t>
      </w:r>
      <w:r w:rsidRPr="00192E1C">
        <w:t> 11, 3</w:t>
      </w:r>
      <w:r w:rsidRPr="00192E1C">
        <w:rPr>
          <w:vertAlign w:val="superscript"/>
        </w:rPr>
        <w:t>e</w:t>
      </w:r>
      <w:r w:rsidRPr="00192E1C">
        <w:t> sess., 28</w:t>
      </w:r>
      <w:r w:rsidRPr="00192E1C">
        <w:rPr>
          <w:vertAlign w:val="superscript"/>
        </w:rPr>
        <w:t>e</w:t>
      </w:r>
      <w:r w:rsidRPr="00192E1C">
        <w:t> lég.</w:t>
      </w:r>
      <w:r w:rsidRPr="00192E1C">
        <w:rPr>
          <w:bCs/>
        </w:rPr>
        <w:t>, 4 mars 1971, p. 14; voir aussi les p. 10</w:t>
      </w:r>
      <w:r w:rsidRPr="00192E1C">
        <w:rPr>
          <w:bCs/>
        </w:rPr>
        <w:noBreakHyphen/>
        <w:t>13)</w:t>
      </w:r>
    </w:p>
    <w:bookmarkEnd w:id="87"/>
    <w:p w14:paraId="0E6BC9D3" w14:textId="77777777" w:rsidR="00192E1C" w:rsidRPr="00192E1C" w:rsidRDefault="00192E1C" w:rsidP="00192E1C">
      <w:pPr>
        <w:pStyle w:val="ParaNoNdepar-AltN"/>
        <w:rPr>
          <w:rFonts w:cs="Times New Roman"/>
        </w:rPr>
      </w:pPr>
      <w:r w:rsidRPr="00192E1C">
        <w:rPr>
          <w:rFonts w:cs="Times New Roman"/>
        </w:rPr>
        <w:t>Cela étant, le Parlement était conscient de la lourdeur des effets possibles de ces restrictions additionnelles sur le travail des agents de la paix. Il reconnaissait « que la police peut avoir à décider dans des conditions difficiles », c’est</w:t>
      </w:r>
      <w:r w:rsidRPr="00192E1C">
        <w:rPr>
          <w:rFonts w:cs="Times New Roman"/>
        </w:rPr>
        <w:noBreakHyphen/>
        <w:t>à</w:t>
      </w:r>
      <w:r w:rsidRPr="00192E1C">
        <w:rPr>
          <w:rFonts w:cs="Times New Roman"/>
        </w:rPr>
        <w:noBreakHyphen/>
        <w:t>dire que les agents de la paix puissent être appelés à prendre des décisions rapides dans le feu de l’action (</w:t>
      </w:r>
      <w:r w:rsidRPr="00192E1C">
        <w:rPr>
          <w:rFonts w:cs="Times New Roman"/>
          <w:i/>
        </w:rPr>
        <w:t>Débats de la Chambre des communes</w:t>
      </w:r>
      <w:r w:rsidRPr="00192E1C">
        <w:rPr>
          <w:rFonts w:cs="Times New Roman"/>
        </w:rPr>
        <w:t xml:space="preserve">, 5 février 1971, p. 3116; voir aussi la p. 3117). Il souhaitait donc limiter les conséquences </w:t>
      </w:r>
      <w:r w:rsidRPr="00192E1C">
        <w:rPr>
          <w:rFonts w:cs="Times New Roman"/>
          <w:i/>
        </w:rPr>
        <w:t>sur les agents de la paix eux</w:t>
      </w:r>
      <w:r w:rsidRPr="00192E1C">
        <w:rPr>
          <w:rFonts w:cs="Times New Roman"/>
          <w:i/>
        </w:rPr>
        <w:noBreakHyphen/>
        <w:t>mêmes</w:t>
      </w:r>
      <w:r w:rsidRPr="00192E1C">
        <w:rPr>
          <w:rFonts w:cs="Times New Roman"/>
        </w:rPr>
        <w:t xml:space="preserve"> de ces arrestations non nécessaires, en réduisant notamment la possibilité que leur conduite puisse faire l’objet d’une poursuite criminelle ou pénale visant plus spécifiquement leur responsabilité personnelle, mais également celle de toute personne responsable de ces agents de la paix telle que leur employeur.</w:t>
      </w:r>
    </w:p>
    <w:p w14:paraId="582A4E5C" w14:textId="77777777" w:rsidR="00192E1C" w:rsidRPr="00192E1C" w:rsidRDefault="00192E1C" w:rsidP="00192E1C">
      <w:pPr>
        <w:pStyle w:val="ParaNoNdepar-AltN"/>
        <w:rPr>
          <w:rFonts w:cs="Times New Roman"/>
        </w:rPr>
      </w:pPr>
      <w:bookmarkStart w:id="89" w:name="_Hlk201830436"/>
      <w:r w:rsidRPr="00192E1C">
        <w:rPr>
          <w:rFonts w:cs="Times New Roman"/>
        </w:rPr>
        <w:t>Le ministre Turner a en ce sens expliqué que si le policier commettait une erreur en procédant à une arrestation sans mandat, alors qu’aux termes des nouvelles restrictions il ne pouvait y procéder, « il s’agit . . . d’une erreur de jugement pour laquelle on ne peut pas intenter une action en responsabilité criminelle. Il ne peut être poursuivi devant un tribunal de juridiction criminelle pour une arrestation erronée » (</w:t>
      </w:r>
      <w:r w:rsidRPr="00192E1C">
        <w:rPr>
          <w:rFonts w:cs="Times New Roman"/>
          <w:i/>
          <w:iCs/>
        </w:rPr>
        <w:t>Procès</w:t>
      </w:r>
      <w:r w:rsidRPr="00192E1C">
        <w:rPr>
          <w:rFonts w:cs="Times New Roman"/>
          <w:i/>
          <w:iCs/>
        </w:rPr>
        <w:noBreakHyphen/>
        <w:t xml:space="preserve">verbaux et témoignages du </w:t>
      </w:r>
      <w:r w:rsidRPr="00192E1C">
        <w:rPr>
          <w:rFonts w:cs="Times New Roman"/>
          <w:bCs/>
          <w:i/>
          <w:lang w:bidi="en-US"/>
        </w:rPr>
        <w:t>Comité permanent de la justice et des questions juridiques</w:t>
      </w:r>
      <w:r w:rsidRPr="00192E1C">
        <w:rPr>
          <w:rFonts w:cs="Times New Roman"/>
          <w:bCs/>
          <w:lang w:bidi="en-US"/>
        </w:rPr>
        <w:t xml:space="preserve">, </w:t>
      </w:r>
      <w:r w:rsidRPr="00192E1C">
        <w:rPr>
          <w:rFonts w:cs="Times New Roman"/>
        </w:rPr>
        <w:t>n</w:t>
      </w:r>
      <w:r w:rsidRPr="00192E1C">
        <w:rPr>
          <w:rFonts w:cs="Times New Roman"/>
          <w:vertAlign w:val="superscript"/>
        </w:rPr>
        <w:t>o</w:t>
      </w:r>
      <w:r w:rsidRPr="00192E1C">
        <w:rPr>
          <w:rFonts w:cs="Times New Roman"/>
        </w:rPr>
        <w:t> 8, 3</w:t>
      </w:r>
      <w:r w:rsidRPr="00192E1C">
        <w:rPr>
          <w:rFonts w:cs="Times New Roman"/>
          <w:vertAlign w:val="superscript"/>
        </w:rPr>
        <w:t>e</w:t>
      </w:r>
      <w:r w:rsidRPr="00192E1C">
        <w:rPr>
          <w:rFonts w:cs="Times New Roman"/>
        </w:rPr>
        <w:t> sess., 28</w:t>
      </w:r>
      <w:r w:rsidRPr="00192E1C">
        <w:rPr>
          <w:rFonts w:cs="Times New Roman"/>
          <w:vertAlign w:val="superscript"/>
        </w:rPr>
        <w:t>e</w:t>
      </w:r>
      <w:r w:rsidRPr="00192E1C">
        <w:rPr>
          <w:rFonts w:cs="Times New Roman"/>
        </w:rPr>
        <w:t xml:space="preserve"> lég., </w:t>
      </w:r>
      <w:r w:rsidRPr="00192E1C">
        <w:rPr>
          <w:rFonts w:cs="Times New Roman"/>
          <w:bCs/>
          <w:lang w:bidi="en-US"/>
        </w:rPr>
        <w:t>23 février 1971, p. 7</w:t>
      </w:r>
      <w:r w:rsidRPr="00192E1C">
        <w:rPr>
          <w:rFonts w:cs="Times New Roman"/>
        </w:rPr>
        <w:t>; voir aussi les p. 8</w:t>
      </w:r>
      <w:r w:rsidRPr="00192E1C">
        <w:rPr>
          <w:rFonts w:cs="Times New Roman"/>
        </w:rPr>
        <w:noBreakHyphen/>
        <w:t xml:space="preserve">9). </w:t>
      </w:r>
      <w:r w:rsidRPr="00192E1C">
        <w:rPr>
          <w:rFonts w:cs="Times New Roman"/>
          <w:bCs/>
          <w:lang w:bidi="en-US"/>
        </w:rPr>
        <w:t>Pour une personne arrêtée en contravention des alors nouvelles restrictions prévues à l’ancien par. 450(2) </w:t>
      </w:r>
      <w:r w:rsidRPr="00192E1C">
        <w:rPr>
          <w:rFonts w:cs="Times New Roman"/>
          <w:bCs/>
          <w:i/>
          <w:lang w:bidi="en-US"/>
        </w:rPr>
        <w:t>C. cr. (1970)</w:t>
      </w:r>
      <w:r w:rsidRPr="00192E1C">
        <w:rPr>
          <w:rFonts w:cs="Times New Roman"/>
          <w:bCs/>
          <w:lang w:bidi="en-US"/>
        </w:rPr>
        <w:t xml:space="preserve"> (actuellement le par. 495(2) </w:t>
      </w:r>
      <w:r w:rsidRPr="00192E1C">
        <w:rPr>
          <w:rFonts w:cs="Times New Roman"/>
          <w:bCs/>
          <w:i/>
          <w:lang w:bidi="en-US"/>
        </w:rPr>
        <w:t>C. cr.</w:t>
      </w:r>
      <w:r w:rsidRPr="00192E1C">
        <w:rPr>
          <w:rFonts w:cs="Times New Roman"/>
          <w:bCs/>
          <w:lang w:bidi="en-US"/>
        </w:rPr>
        <w:t>), la seule réparation possible était l’octroi de dommages</w:t>
      </w:r>
      <w:r w:rsidRPr="00192E1C">
        <w:rPr>
          <w:rFonts w:cs="Times New Roman"/>
          <w:bCs/>
          <w:lang w:bidi="en-US"/>
        </w:rPr>
        <w:noBreakHyphen/>
        <w:t>intérêts à la suite d’une poursuite civile portant plus spécifiquement sur la conduite de l’agent de la paix ayant procédé à l’arrestation sans mandat.</w:t>
      </w:r>
    </w:p>
    <w:p w14:paraId="6A0D0DCA" w14:textId="77777777" w:rsidR="00192E1C" w:rsidRPr="00192E1C" w:rsidRDefault="00192E1C" w:rsidP="00192E1C">
      <w:pPr>
        <w:pStyle w:val="ParaNoNdepar-AltN"/>
        <w:rPr>
          <w:rFonts w:cs="Times New Roman"/>
          <w:szCs w:val="24"/>
        </w:rPr>
      </w:pPr>
      <w:r w:rsidRPr="00192E1C">
        <w:rPr>
          <w:rFonts w:cs="Times New Roman"/>
          <w:szCs w:val="24"/>
        </w:rPr>
        <w:t>À la question de savoir ce qu’il adviendrait si un agent de la paix procédait à une arrestation en contravention du par. 495(2) </w:t>
      </w:r>
      <w:r w:rsidRPr="00192E1C">
        <w:rPr>
          <w:rFonts w:cs="Times New Roman"/>
          <w:i/>
          <w:szCs w:val="24"/>
        </w:rPr>
        <w:t>C. cr.</w:t>
      </w:r>
      <w:r w:rsidRPr="00192E1C">
        <w:rPr>
          <w:rFonts w:cs="Times New Roman"/>
          <w:szCs w:val="24"/>
        </w:rPr>
        <w:t>, le ministre Turner a répondu ce qui suit :</w:t>
      </w:r>
    </w:p>
    <w:p w14:paraId="11D6ED94" w14:textId="77777777" w:rsidR="00192E1C" w:rsidRPr="00192E1C" w:rsidRDefault="00192E1C" w:rsidP="00192E1C">
      <w:pPr>
        <w:pStyle w:val="Citation-AltC"/>
      </w:pPr>
      <w:r w:rsidRPr="00192E1C">
        <w:rPr>
          <w:u w:val="single"/>
        </w:rPr>
        <w:t>S’il avère que l’intérêt public [aurait] été aussi bien, voire mieux servi, s’il n’avait pas procédé à l’arrestation, mais qu’il s’agissait tout bonnement d’une erreur de jugement, il s’agit . . . d’une erreur de jugement pour laquelle on ne peut pas intenter une action en responsabilité criminelle. Il ne peut être poursuivi devant un tribunal de juridiction criminelle pour une arrestation erronée</w:t>
      </w:r>
      <w:r w:rsidRPr="00192E1C">
        <w:t xml:space="preserve"> . . . Cela veut dire que </w:t>
      </w:r>
      <w:r w:rsidRPr="00192E1C">
        <w:rPr>
          <w:u w:val="single"/>
        </w:rPr>
        <w:t>la personne qui désire se pourvoir devant les tribunaux civils parce qu’elle a été arrêtée et emprisonnée, doit prouver que l’agent de police aurait eu de bonnes raisons de croire que l’intérêt public aurait été mieux servi s’il ne l’avait pas arrêtée</w:t>
      </w:r>
      <w:r w:rsidRPr="00192E1C">
        <w:t>. Au lieu que ce soit l’agent de police qui ait à administrer la preuve qu’il avait de bonnes raisons de croire qu’il fallait arrêter la personne en question, il faut que ce soit cette même personne qui administre la preuve qu’il existait de bonnes raisons pour qu’on ne l’arrêtât point. [En cas de doute] [l]e bénéfice du doute revient donc à l’agent de police [qui doit faire un jugement instantané].</w:t>
      </w:r>
    </w:p>
    <w:p w14:paraId="7D650F84" w14:textId="77777777" w:rsidR="00192E1C" w:rsidRPr="00192E1C" w:rsidRDefault="00192E1C" w:rsidP="00192E1C">
      <w:pPr>
        <w:pStyle w:val="Citation-AltC"/>
      </w:pPr>
    </w:p>
    <w:p w14:paraId="29114978" w14:textId="77777777" w:rsidR="00192E1C" w:rsidRPr="00192E1C" w:rsidRDefault="00192E1C" w:rsidP="00192E1C">
      <w:pPr>
        <w:pStyle w:val="Citation-AltC"/>
        <w:jc w:val="center"/>
      </w:pPr>
      <w:r w:rsidRPr="00192E1C">
        <w:t>. . .</w:t>
      </w:r>
    </w:p>
    <w:p w14:paraId="173C46A8" w14:textId="77777777" w:rsidR="00192E1C" w:rsidRPr="00192E1C" w:rsidRDefault="00192E1C" w:rsidP="00192E1C">
      <w:pPr>
        <w:pStyle w:val="Citation-AltC"/>
      </w:pPr>
    </w:p>
    <w:p w14:paraId="7E6F4822" w14:textId="77777777" w:rsidR="00192E1C" w:rsidRPr="00192E1C" w:rsidRDefault="00192E1C" w:rsidP="00192E1C">
      <w:pPr>
        <w:pStyle w:val="Citation-AltC"/>
        <w:ind w:firstLine="274"/>
      </w:pPr>
      <w:r w:rsidRPr="00192E1C">
        <w:rPr>
          <w:u w:val="single"/>
        </w:rPr>
        <w:t>Ainsi donc, il y a ici deux situations séparées. S’il n’y avait aucune raison d’arrêter, le fardeau de la preuve incombe à l’agent de police</w:t>
      </w:r>
      <w:r w:rsidRPr="00192E1C">
        <w:t>. S’il y avait des raisons d’arrêter, mais aux termes de ce nouveau Bill l’arrestation ne serait pas nécessaire, le fardeau de la preuve incombe à la personne qui a été arrêtée, bien qu’il y ait eu de bonnes raisons de l’arrêter. Il y a donc deux situations distinctes.</w:t>
      </w:r>
    </w:p>
    <w:p w14:paraId="0E2F4DE5" w14:textId="77777777" w:rsidR="00192E1C" w:rsidRPr="00192E1C" w:rsidRDefault="00192E1C" w:rsidP="00192E1C">
      <w:pPr>
        <w:pStyle w:val="Citation-AltC"/>
        <w:rPr>
          <w:u w:val="single"/>
        </w:rPr>
      </w:pPr>
    </w:p>
    <w:p w14:paraId="47CC0250" w14:textId="77777777" w:rsidR="00192E1C" w:rsidRPr="00192E1C" w:rsidRDefault="00192E1C" w:rsidP="00192E1C">
      <w:pPr>
        <w:pStyle w:val="Citation-AltC"/>
        <w:ind w:firstLine="274"/>
        <w:rPr>
          <w:u w:val="single"/>
        </w:rPr>
      </w:pPr>
      <w:r w:rsidRPr="00192E1C">
        <w:rPr>
          <w:u w:val="single"/>
        </w:rPr>
        <w:t>En d’autres termes, il y a deux éléments dont doit tenir compte l’agent de police. D’abord, est-ce qu’il y a de bons motifs de procéder à l’arrestation? Deuxièmement, s’il y a des motifs d’arrestation, est-ce qu’il y a des motifs suffisants pour amener cette personne au poste? Dans le premier cas, le fardeau de la preuve incombe à l’agent de police, pour les cas civils, et dans le deuxième cas, le fardeau de la preuve pèse sur la personne qui est arrêtée et amenée au poste.</w:t>
      </w:r>
      <w:r w:rsidRPr="00192E1C">
        <w:t xml:space="preserve"> [Je souligne].</w:t>
      </w:r>
    </w:p>
    <w:p w14:paraId="788192C6" w14:textId="77777777" w:rsidR="00192E1C" w:rsidRPr="00192E1C" w:rsidRDefault="00192E1C" w:rsidP="00192E1C">
      <w:pPr>
        <w:pStyle w:val="Citation-AltC"/>
        <w:rPr>
          <w:u w:val="single"/>
        </w:rPr>
      </w:pPr>
    </w:p>
    <w:p w14:paraId="1DE89C5C" w14:textId="77777777" w:rsidR="00192E1C" w:rsidRPr="00192E1C" w:rsidRDefault="00192E1C" w:rsidP="00192E1C">
      <w:pPr>
        <w:pStyle w:val="Citation-AltC"/>
        <w:rPr>
          <w:u w:val="single"/>
        </w:rPr>
      </w:pPr>
      <w:r w:rsidRPr="00192E1C">
        <w:t>(</w:t>
      </w:r>
      <w:r w:rsidRPr="00192E1C">
        <w:rPr>
          <w:i/>
          <w:iCs/>
        </w:rPr>
        <w:t>Procès</w:t>
      </w:r>
      <w:r w:rsidRPr="00192E1C">
        <w:rPr>
          <w:i/>
          <w:iCs/>
        </w:rPr>
        <w:noBreakHyphen/>
        <w:t xml:space="preserve">verbaux et témoignages du </w:t>
      </w:r>
      <w:r w:rsidRPr="00192E1C">
        <w:rPr>
          <w:bCs/>
          <w:i/>
          <w:lang w:bidi="en-US"/>
        </w:rPr>
        <w:t>Comité permanent de la justice et des questions juridiques</w:t>
      </w:r>
      <w:r w:rsidRPr="00192E1C">
        <w:rPr>
          <w:bCs/>
          <w:lang w:bidi="en-US"/>
        </w:rPr>
        <w:t>, 23 février 1971, p. 7</w:t>
      </w:r>
      <w:r w:rsidRPr="00192E1C">
        <w:rPr>
          <w:bCs/>
          <w:lang w:bidi="en-US"/>
        </w:rPr>
        <w:noBreakHyphen/>
        <w:t>9</w:t>
      </w:r>
      <w:r w:rsidRPr="00192E1C">
        <w:rPr>
          <w:bCs/>
        </w:rPr>
        <w:t>)</w:t>
      </w:r>
    </w:p>
    <w:p w14:paraId="7FC33495" w14:textId="77777777" w:rsidR="00192E1C" w:rsidRPr="00192E1C" w:rsidRDefault="00192E1C" w:rsidP="00192E1C">
      <w:pPr>
        <w:pStyle w:val="ParaNoNdepar-AltN"/>
        <w:rPr>
          <w:rFonts w:cs="Times New Roman"/>
          <w:b/>
          <w:bCs/>
        </w:rPr>
      </w:pPr>
      <w:r w:rsidRPr="00192E1C">
        <w:rPr>
          <w:rFonts w:cs="Times New Roman"/>
        </w:rPr>
        <w:t>Le ministre Turner a formulé une fois de plus des propos au même effet, mais en d’autres termes, devant le Comité (</w:t>
      </w:r>
      <w:r w:rsidRPr="00192E1C">
        <w:rPr>
          <w:rFonts w:cs="Times New Roman"/>
          <w:i/>
          <w:iCs/>
        </w:rPr>
        <w:t>Procès</w:t>
      </w:r>
      <w:r w:rsidRPr="00192E1C">
        <w:rPr>
          <w:rFonts w:cs="Times New Roman"/>
          <w:i/>
          <w:iCs/>
        </w:rPr>
        <w:noBreakHyphen/>
        <w:t xml:space="preserve">verbaux et témoignages du </w:t>
      </w:r>
      <w:r w:rsidRPr="00192E1C">
        <w:rPr>
          <w:rFonts w:cs="Times New Roman"/>
          <w:i/>
        </w:rPr>
        <w:t>Comité permanent de la justice et des questions juridiques</w:t>
      </w:r>
      <w:r w:rsidRPr="00192E1C">
        <w:rPr>
          <w:rFonts w:cs="Times New Roman"/>
        </w:rPr>
        <w:t>, 4 mars 1971, p. 14) :</w:t>
      </w:r>
    </w:p>
    <w:p w14:paraId="7EC53D0C" w14:textId="77777777" w:rsidR="00192E1C" w:rsidRPr="00192E1C" w:rsidRDefault="00192E1C" w:rsidP="00192E1C">
      <w:pPr>
        <w:pStyle w:val="Citation-AltC"/>
      </w:pPr>
      <w:r w:rsidRPr="00192E1C">
        <w:t>Sous l’empire du paragraphe (3), si un policier exerce son pouvoir discrétionnaire conformément au bill [— et vous savez, nous traitons du jugement humain ici —] et même s’il fait un erreur de jugement il sera protégé en vertu de l’alinéa a) contre toute poursuite devant les tribunaux criminels comme c’est le cas à présent mais, en vertu de l’alinéa b)[, il] ne sera pas protégé contre une action intentée devant les tribunaux civils si la personne arrêtée juge que le policier avait tort [mais le fardeau de la preuve repose sur la personne qui s’estime lésée par l’exercice de ce jugement].</w:t>
      </w:r>
    </w:p>
    <w:p w14:paraId="6FC3FE8D" w14:textId="77777777" w:rsidR="00192E1C" w:rsidRPr="00192E1C" w:rsidRDefault="00192E1C" w:rsidP="00192E1C">
      <w:pPr>
        <w:pStyle w:val="Citation-AltC"/>
      </w:pPr>
    </w:p>
    <w:p w14:paraId="4D09578A" w14:textId="77777777" w:rsidR="00192E1C" w:rsidRPr="00192E1C" w:rsidRDefault="00192E1C" w:rsidP="00192E1C">
      <w:pPr>
        <w:pStyle w:val="Citation-AltC"/>
        <w:ind w:firstLine="274"/>
        <w:rPr>
          <w:lang w:val="en-CA"/>
        </w:rPr>
      </w:pPr>
      <w:r w:rsidRPr="00192E1C">
        <w:rPr>
          <w:u w:val="single"/>
        </w:rPr>
        <w:t>Donc, la sanction ultime serait une poursuite intentée devant les tribunaux civils</w:t>
      </w:r>
      <w:r w:rsidRPr="00192E1C">
        <w:t xml:space="preserve"> et si la police accepte ce bill, comme je pense, elle l’acceptera. Cependant j’écoute leurs doléances, que ce soit les doléances de la Fraternité, des syndicats et des représentants de la police je pense qu’elles l’appliqueront en toute honnêteté. </w:t>
      </w:r>
      <w:r w:rsidRPr="00192E1C">
        <w:rPr>
          <w:lang w:val="en-CA"/>
        </w:rPr>
        <w:t>[Je souligne.]</w:t>
      </w:r>
    </w:p>
    <w:bookmarkEnd w:id="62"/>
    <w:bookmarkEnd w:id="89"/>
    <w:p w14:paraId="7A702DC2" w14:textId="77777777" w:rsidR="00192E1C" w:rsidRPr="00192E1C" w:rsidRDefault="00192E1C" w:rsidP="00192E1C">
      <w:pPr>
        <w:pStyle w:val="ParaNoNdepar-AltN"/>
        <w:rPr>
          <w:rFonts w:cs="Times New Roman"/>
        </w:rPr>
      </w:pPr>
      <w:r w:rsidRPr="00192E1C">
        <w:rPr>
          <w:rFonts w:cs="Times New Roman"/>
        </w:rPr>
        <w:t xml:space="preserve">La </w:t>
      </w:r>
      <w:r w:rsidRPr="00192E1C">
        <w:rPr>
          <w:rFonts w:cs="Times New Roman"/>
          <w:i/>
          <w:iCs/>
        </w:rPr>
        <w:t xml:space="preserve">Loi sur la réforme du cautionnement </w:t>
      </w:r>
      <w:r w:rsidRPr="00192E1C">
        <w:rPr>
          <w:rFonts w:cs="Times New Roman"/>
        </w:rPr>
        <w:t>est entrée en vigueur le 3 janvier 1972. Les anciens par. 450(2) et (3) </w:t>
      </w:r>
      <w:r w:rsidRPr="00192E1C">
        <w:rPr>
          <w:rFonts w:cs="Times New Roman"/>
          <w:i/>
        </w:rPr>
        <w:t>C. cr. (1970)</w:t>
      </w:r>
      <w:r w:rsidRPr="00192E1C">
        <w:rPr>
          <w:rFonts w:cs="Times New Roman"/>
        </w:rPr>
        <w:t xml:space="preserve"> n’ont fait l’objet d’aucune modification substantielle depuis leur adoption initiale.</w:t>
      </w:r>
    </w:p>
    <w:p w14:paraId="3C986982" w14:textId="77777777" w:rsidR="00192E1C" w:rsidRPr="00192E1C" w:rsidRDefault="00192E1C" w:rsidP="00192E1C">
      <w:pPr>
        <w:pStyle w:val="Title2LevelTitre2Niveau"/>
        <w:numPr>
          <w:ilvl w:val="1"/>
          <w:numId w:val="2"/>
        </w:numPr>
        <w:rPr>
          <w:rFonts w:cs="Times New Roman"/>
          <w:i w:val="0"/>
          <w:lang w:val="fr-CA"/>
        </w:rPr>
      </w:pPr>
      <w:bookmarkStart w:id="90" w:name="_Toc204271948"/>
      <w:bookmarkStart w:id="91" w:name="_Toc204336571"/>
      <w:bookmarkStart w:id="92" w:name="_Toc204344076"/>
      <w:bookmarkStart w:id="93" w:name="_Toc208319850"/>
      <w:bookmarkStart w:id="94" w:name="_Toc214611152"/>
      <w:bookmarkStart w:id="95" w:name="_Toc215654514"/>
      <w:r w:rsidRPr="00192E1C">
        <w:rPr>
          <w:rFonts w:cs="Times New Roman"/>
          <w:lang w:val="fr-CA"/>
        </w:rPr>
        <w:t>La jurisprudence portant sur l’interprétation des par. 495(2) et (3) C. cr.</w:t>
      </w:r>
      <w:bookmarkEnd w:id="90"/>
      <w:bookmarkEnd w:id="91"/>
      <w:bookmarkEnd w:id="92"/>
      <w:bookmarkEnd w:id="93"/>
      <w:bookmarkEnd w:id="94"/>
      <w:bookmarkEnd w:id="95"/>
    </w:p>
    <w:p w14:paraId="3E1467C9" w14:textId="77777777" w:rsidR="00192E1C" w:rsidRPr="00192E1C" w:rsidRDefault="00192E1C" w:rsidP="00192E1C">
      <w:pPr>
        <w:pStyle w:val="ParaNoNdepar-AltN"/>
        <w:rPr>
          <w:rFonts w:cs="Times New Roman"/>
        </w:rPr>
      </w:pPr>
      <w:bookmarkStart w:id="96" w:name="_Ref204344245"/>
      <w:r w:rsidRPr="00192E1C">
        <w:rPr>
          <w:rFonts w:cs="Times New Roman"/>
        </w:rPr>
        <w:t>Les juridictions d’appel à travers le pays ont retenu une interprétation des par. 495(2) et (3) </w:t>
      </w:r>
      <w:r w:rsidRPr="00192E1C">
        <w:rPr>
          <w:rFonts w:cs="Times New Roman"/>
          <w:i/>
        </w:rPr>
        <w:t>C. cr.</w:t>
      </w:r>
      <w:r w:rsidRPr="00192E1C">
        <w:rPr>
          <w:rFonts w:cs="Times New Roman"/>
        </w:rPr>
        <w:t xml:space="preserve"> qui se rapporte davantage à l’approche avancée par le ministère public en l’espèce. Il s’agit, pour reprendre l’expression du juge Healy, du [</w:t>
      </w:r>
      <w:r w:rsidRPr="00192E1C">
        <w:rPr>
          <w:rFonts w:cs="Times New Roman"/>
          <w:smallCaps/>
        </w:rPr>
        <w:t>traduction</w:t>
      </w:r>
      <w:r w:rsidRPr="00192E1C">
        <w:rPr>
          <w:rFonts w:cs="Times New Roman"/>
        </w:rPr>
        <w:t xml:space="preserve">] « point de vue dominant » (motifs de la C.A., par. 12, note 12). Je propose d’en brosser le portrait en examinant d’abord les arrêts antérieurs à l’adoption de la </w:t>
      </w:r>
      <w:r w:rsidRPr="00192E1C">
        <w:rPr>
          <w:rFonts w:cs="Times New Roman"/>
          <w:i/>
        </w:rPr>
        <w:t>Charte</w:t>
      </w:r>
      <w:r w:rsidRPr="00192E1C">
        <w:rPr>
          <w:rFonts w:cs="Times New Roman"/>
        </w:rPr>
        <w:t xml:space="preserve"> en 1982, puis ceux postérieurs à son adoption.</w:t>
      </w:r>
      <w:bookmarkEnd w:id="96"/>
    </w:p>
    <w:p w14:paraId="2FDE4F68" w14:textId="77777777" w:rsidR="00192E1C" w:rsidRPr="00192E1C" w:rsidRDefault="00192E1C" w:rsidP="00192E1C">
      <w:pPr>
        <w:pStyle w:val="Title3LevelTitre3Niveau"/>
        <w:numPr>
          <w:ilvl w:val="3"/>
          <w:numId w:val="25"/>
        </w:numPr>
        <w:ind w:left="1152" w:hanging="576"/>
        <w:rPr>
          <w:rFonts w:cs="Times New Roman"/>
          <w:lang w:val="fr-CA"/>
        </w:rPr>
      </w:pPr>
      <w:bookmarkStart w:id="97" w:name="_Toc204271949"/>
      <w:bookmarkStart w:id="98" w:name="_Toc204336572"/>
      <w:bookmarkStart w:id="99" w:name="_Toc204344077"/>
      <w:bookmarkStart w:id="100" w:name="_Toc208319851"/>
      <w:bookmarkStart w:id="101" w:name="_Toc214611153"/>
      <w:bookmarkStart w:id="102" w:name="_Toc215654515"/>
      <w:r w:rsidRPr="00192E1C">
        <w:rPr>
          <w:rFonts w:cs="Times New Roman"/>
          <w:lang w:val="fr-CA"/>
        </w:rPr>
        <w:t xml:space="preserve">Arrêts antérieurs à l’adoption de la </w:t>
      </w:r>
      <w:r w:rsidRPr="00192E1C">
        <w:rPr>
          <w:rFonts w:cs="Times New Roman"/>
          <w:i/>
          <w:lang w:val="fr-CA"/>
        </w:rPr>
        <w:t>Charte</w:t>
      </w:r>
      <w:bookmarkEnd w:id="97"/>
      <w:bookmarkEnd w:id="98"/>
      <w:bookmarkEnd w:id="99"/>
      <w:bookmarkEnd w:id="100"/>
      <w:bookmarkEnd w:id="101"/>
      <w:bookmarkEnd w:id="102"/>
    </w:p>
    <w:p w14:paraId="7E9903E5" w14:textId="77777777" w:rsidR="00192E1C" w:rsidRPr="00192E1C" w:rsidRDefault="00192E1C" w:rsidP="00192E1C">
      <w:pPr>
        <w:pStyle w:val="ParaNoNdepar-AltN"/>
        <w:rPr>
          <w:rFonts w:cs="Times New Roman"/>
        </w:rPr>
      </w:pPr>
      <w:bookmarkStart w:id="103" w:name="_Ref214611594"/>
      <w:r w:rsidRPr="00192E1C">
        <w:rPr>
          <w:rFonts w:cs="Times New Roman"/>
        </w:rPr>
        <w:t xml:space="preserve">Peu de temps après l’édiction de la </w:t>
      </w:r>
      <w:r w:rsidRPr="00192E1C">
        <w:rPr>
          <w:rFonts w:cs="Times New Roman"/>
          <w:i/>
        </w:rPr>
        <w:t>Loi sur la réforme du cautionnement</w:t>
      </w:r>
      <w:r w:rsidRPr="00192E1C">
        <w:rPr>
          <w:rFonts w:cs="Times New Roman"/>
        </w:rPr>
        <w:t>, l’actuel par. 495(3) </w:t>
      </w:r>
      <w:r w:rsidRPr="00192E1C">
        <w:rPr>
          <w:rFonts w:cs="Times New Roman"/>
          <w:i/>
        </w:rPr>
        <w:t>C. cr.</w:t>
      </w:r>
      <w:r w:rsidRPr="00192E1C">
        <w:rPr>
          <w:rFonts w:cs="Times New Roman"/>
        </w:rPr>
        <w:t xml:space="preserve"> a été examiné par plusieurs juridictions d’appel au pays. Dans tous ces arrêts, une des accusations en cause était celle d’avoir résisté illégalement à une arrestation (actuellement l’al. 129a) </w:t>
      </w:r>
      <w:r w:rsidRPr="00192E1C">
        <w:rPr>
          <w:rFonts w:cs="Times New Roman"/>
          <w:i/>
        </w:rPr>
        <w:t>C. cr.</w:t>
      </w:r>
      <w:r w:rsidRPr="00192E1C">
        <w:rPr>
          <w:rFonts w:cs="Times New Roman"/>
        </w:rPr>
        <w:t>; autrefois le par. 118(2)).</w:t>
      </w:r>
      <w:bookmarkEnd w:id="103"/>
    </w:p>
    <w:p w14:paraId="4F377475" w14:textId="77777777" w:rsidR="00192E1C" w:rsidRPr="00192E1C" w:rsidRDefault="00192E1C" w:rsidP="00192E1C">
      <w:pPr>
        <w:pStyle w:val="ParaNoNdepar-AltN"/>
        <w:rPr>
          <w:rFonts w:cs="Times New Roman"/>
        </w:rPr>
      </w:pPr>
      <w:r w:rsidRPr="00192E1C">
        <w:rPr>
          <w:rFonts w:cs="Times New Roman"/>
        </w:rPr>
        <w:t xml:space="preserve">Dans l’arrêt </w:t>
      </w:r>
      <w:r w:rsidRPr="00192E1C">
        <w:rPr>
          <w:rFonts w:cs="Times New Roman"/>
          <w:i/>
        </w:rPr>
        <w:t>R. c. Adams</w:t>
      </w:r>
      <w:r w:rsidRPr="00192E1C">
        <w:rPr>
          <w:rFonts w:cs="Times New Roman"/>
        </w:rPr>
        <w:t xml:space="preserve"> (1972), 21 C.R.N.S. 257, la Cour d’appel de la Saskatchewan a statué que le par. 495(3) [</w:t>
      </w:r>
      <w:r w:rsidRPr="00192E1C">
        <w:rPr>
          <w:rFonts w:cs="Times New Roman"/>
          <w:smallCaps/>
        </w:rPr>
        <w:t>traduction</w:t>
      </w:r>
      <w:r w:rsidRPr="00192E1C">
        <w:rPr>
          <w:rFonts w:cs="Times New Roman"/>
        </w:rPr>
        <w:t>] « doit être interprété comme privant l’accusé du droit de présenter une défense fondée sur le non</w:t>
      </w:r>
      <w:r w:rsidRPr="00192E1C">
        <w:rPr>
          <w:rFonts w:cs="Times New Roman"/>
        </w:rPr>
        <w:noBreakHyphen/>
        <w:t>respect du par. (2) dans toutes procédures engagées en vertu du Code ou de toute autre loi fédérale » (p. 260). La cour a ajouté que, selon elle, [</w:t>
      </w:r>
      <w:r w:rsidRPr="00192E1C">
        <w:rPr>
          <w:rFonts w:cs="Times New Roman"/>
          <w:smallCaps/>
        </w:rPr>
        <w:t>traduction</w:t>
      </w:r>
      <w:r w:rsidRPr="00192E1C">
        <w:rPr>
          <w:rFonts w:cs="Times New Roman"/>
        </w:rPr>
        <w:t>] « le par. (3) fait en sorte que l’accusé ne peut invoquer le par. (2) dans le but d’établir que l’agent de la paix, en raison du non</w:t>
      </w:r>
      <w:r w:rsidRPr="00192E1C">
        <w:rPr>
          <w:rFonts w:cs="Times New Roman"/>
        </w:rPr>
        <w:noBreakHyphen/>
        <w:t>respect des exigences prévues à cette disposition, n’agissait pas légalement et dans l’exercice de ses fonctions » (</w:t>
      </w:r>
      <w:r w:rsidRPr="00192E1C">
        <w:rPr>
          <w:rFonts w:cs="Times New Roman"/>
          <w:i/>
        </w:rPr>
        <w:t>ibid.</w:t>
      </w:r>
      <w:r w:rsidRPr="00192E1C">
        <w:rPr>
          <w:rFonts w:cs="Times New Roman"/>
        </w:rPr>
        <w:t>).</w:t>
      </w:r>
    </w:p>
    <w:p w14:paraId="1D7B878B" w14:textId="77777777" w:rsidR="00192E1C" w:rsidRPr="00192E1C" w:rsidRDefault="00192E1C" w:rsidP="00192E1C">
      <w:pPr>
        <w:pStyle w:val="ParaNoNdepar-AltN"/>
        <w:rPr>
          <w:rFonts w:cs="Times New Roman"/>
        </w:rPr>
      </w:pPr>
      <w:r w:rsidRPr="00192E1C">
        <w:rPr>
          <w:rFonts w:cs="Times New Roman"/>
        </w:rPr>
        <w:t>Ce raisonnement a été suivi par les cours d’appel de la Colombie</w:t>
      </w:r>
      <w:r w:rsidRPr="00192E1C">
        <w:rPr>
          <w:rFonts w:cs="Times New Roman"/>
        </w:rPr>
        <w:noBreakHyphen/>
        <w:t xml:space="preserve">Britannique et de l’Alberta, respectivement dans les affaires </w:t>
      </w:r>
      <w:r w:rsidRPr="00192E1C">
        <w:rPr>
          <w:rFonts w:cs="Times New Roman"/>
          <w:bCs/>
          <w:i/>
          <w:iCs/>
        </w:rPr>
        <w:t xml:space="preserve">R. c. McKibbon </w:t>
      </w:r>
      <w:r w:rsidRPr="00192E1C">
        <w:rPr>
          <w:rFonts w:cs="Times New Roman"/>
        </w:rPr>
        <w:t>(1973), 12 C.C.C. (2d) 66 (C.A. C.</w:t>
      </w:r>
      <w:r w:rsidRPr="00192E1C">
        <w:rPr>
          <w:rFonts w:cs="Times New Roman"/>
        </w:rPr>
        <w:noBreakHyphen/>
        <w:t xml:space="preserve">B.), p. 70, et </w:t>
      </w:r>
      <w:r w:rsidRPr="00192E1C">
        <w:rPr>
          <w:rFonts w:cs="Times New Roman"/>
          <w:bCs/>
          <w:i/>
          <w:iCs/>
        </w:rPr>
        <w:t>R. c. Fuhr</w:t>
      </w:r>
      <w:r w:rsidRPr="00192E1C">
        <w:rPr>
          <w:rFonts w:cs="Times New Roman"/>
        </w:rPr>
        <w:t>, [1975] 4 W.W.R. 403 (C.A. Alb.), p. 406.</w:t>
      </w:r>
    </w:p>
    <w:p w14:paraId="270BAD93" w14:textId="77777777" w:rsidR="00192E1C" w:rsidRPr="00192E1C" w:rsidRDefault="00192E1C" w:rsidP="00192E1C">
      <w:pPr>
        <w:pStyle w:val="ParaNoNdepar-AltN"/>
        <w:rPr>
          <w:rFonts w:cs="Times New Roman"/>
        </w:rPr>
      </w:pPr>
      <w:r w:rsidRPr="00192E1C">
        <w:rPr>
          <w:rFonts w:cs="Times New Roman"/>
        </w:rPr>
        <w:t xml:space="preserve">Dans l’arrêt </w:t>
      </w:r>
      <w:r w:rsidRPr="00192E1C">
        <w:rPr>
          <w:rFonts w:cs="Times New Roman"/>
          <w:i/>
        </w:rPr>
        <w:t>McKibbon</w:t>
      </w:r>
      <w:r w:rsidRPr="00192E1C">
        <w:rPr>
          <w:rFonts w:cs="Times New Roman"/>
        </w:rPr>
        <w:t>, l’intimé était accusé d’avoir agressé un agent de la paix dans le but de résister à une arrestation légale, bien qu’aucune accusation n’ait été portée contre lui relativement à l’infraction sous</w:t>
      </w:r>
      <w:r w:rsidRPr="00192E1C">
        <w:rPr>
          <w:rFonts w:cs="Times New Roman"/>
        </w:rPr>
        <w:noBreakHyphen/>
        <w:t xml:space="preserve">jacente de conduite avec facultés affaiblies. La Cour d’appel de la Colombie-Britannique a suivi l’arrêt </w:t>
      </w:r>
      <w:r w:rsidRPr="00192E1C">
        <w:rPr>
          <w:rFonts w:cs="Times New Roman"/>
          <w:i/>
        </w:rPr>
        <w:t>Adams</w:t>
      </w:r>
      <w:r w:rsidRPr="00192E1C">
        <w:rPr>
          <w:rFonts w:cs="Times New Roman"/>
        </w:rPr>
        <w:t xml:space="preserve"> et conclu ainsi :</w:t>
      </w:r>
    </w:p>
    <w:p w14:paraId="060E9E39" w14:textId="77777777" w:rsidR="00192E1C" w:rsidRPr="00192E1C" w:rsidRDefault="00192E1C" w:rsidP="00192E1C">
      <w:pPr>
        <w:pStyle w:val="Citation-AltC"/>
        <w:rPr>
          <w:lang w:val="en-CA"/>
        </w:rPr>
      </w:pPr>
      <w:r w:rsidRPr="00192E1C">
        <w:t>[</w:t>
      </w:r>
      <w:r w:rsidRPr="00192E1C">
        <w:rPr>
          <w:smallCaps/>
        </w:rPr>
        <w:t>traduction</w:t>
      </w:r>
      <w:r w:rsidRPr="00192E1C">
        <w:t xml:space="preserve">] [Le paragraphe (3)], qui s’applique précisément nonobstant le par. (2), indique clairement qu’un agent de la paix agissant aux termes de l’al. (1)a) est censé agir légalement aux fins, entre autres, de toutes procédures engagées en vertu du </w:t>
      </w:r>
      <w:r w:rsidRPr="00192E1C">
        <w:rPr>
          <w:i/>
        </w:rPr>
        <w:t>Code criminel</w:t>
      </w:r>
      <w:r w:rsidRPr="00192E1C">
        <w:t xml:space="preserve">. À mon avis, cela signifie que lorsqu’un agent procède à une arrestation sans mandat en ayant les motifs et la croyance visés à l’al. (1)a), il agit tout de même légalement et son arrestation est légale. </w:t>
      </w:r>
      <w:r w:rsidRPr="00192E1C">
        <w:rPr>
          <w:lang w:val="en-CA"/>
        </w:rPr>
        <w:t>[p. 70]</w:t>
      </w:r>
    </w:p>
    <w:p w14:paraId="79D89E8F" w14:textId="77777777" w:rsidR="00192E1C" w:rsidRPr="00192E1C" w:rsidRDefault="00192E1C" w:rsidP="00192E1C">
      <w:pPr>
        <w:pStyle w:val="ParaNoNdepar-AltN"/>
        <w:rPr>
          <w:rFonts w:cs="Times New Roman"/>
        </w:rPr>
      </w:pPr>
      <w:r w:rsidRPr="00192E1C">
        <w:rPr>
          <w:rFonts w:cs="Times New Roman"/>
        </w:rPr>
        <w:t xml:space="preserve">Dans l’arrêt </w:t>
      </w:r>
      <w:r w:rsidRPr="00192E1C">
        <w:rPr>
          <w:rFonts w:cs="Times New Roman"/>
          <w:i/>
        </w:rPr>
        <w:t>Fuhr</w:t>
      </w:r>
      <w:r w:rsidRPr="00192E1C">
        <w:rPr>
          <w:rFonts w:cs="Times New Roman"/>
        </w:rPr>
        <w:t xml:space="preserve">, la Cour d’appel de l’Alberta a également suivi l’arrêt </w:t>
      </w:r>
      <w:r w:rsidRPr="00192E1C">
        <w:rPr>
          <w:rFonts w:cs="Times New Roman"/>
          <w:i/>
        </w:rPr>
        <w:t xml:space="preserve">Adams </w:t>
      </w:r>
      <w:r w:rsidRPr="00192E1C">
        <w:rPr>
          <w:rFonts w:cs="Times New Roman"/>
        </w:rPr>
        <w:t>dans le contexte d’une accusation de résistance illégale à un agent de la paix dans l’exercice de ses fonctions :</w:t>
      </w:r>
    </w:p>
    <w:p w14:paraId="0647DA73" w14:textId="77777777" w:rsidR="00192E1C" w:rsidRPr="00192E1C" w:rsidRDefault="00192E1C" w:rsidP="00192E1C">
      <w:pPr>
        <w:pStyle w:val="Citation-AltC"/>
        <w:ind w:firstLine="274"/>
        <w:rPr>
          <w:lang w:val="en-CA"/>
        </w:rPr>
      </w:pPr>
      <w:r w:rsidRPr="00192E1C">
        <w:t>[</w:t>
      </w:r>
      <w:r w:rsidRPr="00192E1C">
        <w:rPr>
          <w:smallCaps/>
        </w:rPr>
        <w:t>traduction</w:t>
      </w:r>
      <w:r w:rsidRPr="00192E1C">
        <w:t xml:space="preserve">] Je suis d’avis que les restrictions prévues au par. (2) à l’égard des pouvoirs confiés aux agents de la paix au titre du par. (1) ne constituent pas une défense à la présente accusation, en raison des mots qui se trouvent au par. (3). Le paragraphe (3) prévoit que si un agent de la paix agit aux termes du par. (1), il est censé agir légalement et dans l’exercice de ses fonctions aux fins de toutes procédures engagées en vertu du Code. </w:t>
      </w:r>
      <w:r w:rsidRPr="00192E1C">
        <w:rPr>
          <w:lang w:val="en-CA"/>
        </w:rPr>
        <w:t>[p. 406]</w:t>
      </w:r>
    </w:p>
    <w:p w14:paraId="0D94230E" w14:textId="77777777" w:rsidR="00192E1C" w:rsidRPr="00192E1C" w:rsidRDefault="00192E1C" w:rsidP="00192E1C">
      <w:pPr>
        <w:pStyle w:val="ParaNoNdepar-AltN"/>
        <w:rPr>
          <w:rFonts w:cs="Times New Roman"/>
        </w:rPr>
      </w:pPr>
      <w:r w:rsidRPr="00192E1C">
        <w:rPr>
          <w:rFonts w:cs="Times New Roman"/>
        </w:rPr>
        <w:t xml:space="preserve">Il va de soi que la question de savoir si une requête fondée sur l’art. 9 de la </w:t>
      </w:r>
      <w:r w:rsidRPr="00192E1C">
        <w:rPr>
          <w:rFonts w:cs="Times New Roman"/>
          <w:i/>
        </w:rPr>
        <w:t xml:space="preserve">Charte </w:t>
      </w:r>
      <w:r w:rsidRPr="00192E1C">
        <w:rPr>
          <w:rFonts w:cs="Times New Roman"/>
        </w:rPr>
        <w:t>pouvait être présentée pour contester la validité d’une arrestation contraire au par. 495(2) </w:t>
      </w:r>
      <w:r w:rsidRPr="00192E1C">
        <w:rPr>
          <w:rFonts w:cs="Times New Roman"/>
          <w:i/>
        </w:rPr>
        <w:t>C. cr.</w:t>
      </w:r>
      <w:r w:rsidRPr="00192E1C">
        <w:rPr>
          <w:rFonts w:cs="Times New Roman"/>
        </w:rPr>
        <w:t xml:space="preserve"> n’a pas été abordée dans ces arrêts puisque la </w:t>
      </w:r>
      <w:r w:rsidRPr="00192E1C">
        <w:rPr>
          <w:rFonts w:cs="Times New Roman"/>
          <w:i/>
        </w:rPr>
        <w:t>Charte</w:t>
      </w:r>
      <w:r w:rsidRPr="00192E1C">
        <w:rPr>
          <w:rFonts w:cs="Times New Roman"/>
        </w:rPr>
        <w:t xml:space="preserve"> n’avait toujours pas été adoptée. Avant son adoption, les recours dont disposait un accusé en cas d’arrestation illégale étaient très limités, ceux</w:t>
      </w:r>
      <w:r w:rsidRPr="00192E1C">
        <w:rPr>
          <w:rFonts w:cs="Times New Roman"/>
        </w:rPr>
        <w:noBreakHyphen/>
        <w:t>ci se résumant principalement à la possibilité de présenter une défense face à une accusation d’entrave ou de résistance à une arrestation. Non seulement les agents de la paix détenaient alors une large discrétion pour procéder à l’arrestation sans mandat, mais les tribunaux ne pouvaient exercer leur discrétion afin d’exclure une preuve qu’en de rares circonstances lorsqu’un seuil très exigeant était satisfait (</w:t>
      </w:r>
      <w:r w:rsidRPr="00192E1C">
        <w:rPr>
          <w:rFonts w:cs="Times New Roman"/>
          <w:i/>
        </w:rPr>
        <w:t>R. c. Wray</w:t>
      </w:r>
      <w:r w:rsidRPr="00192E1C">
        <w:rPr>
          <w:rFonts w:cs="Times New Roman"/>
        </w:rPr>
        <w:t xml:space="preserve">, [1971] R.C.S. 272, p. 293; voir aussi S. Coughlan, « Threading Together Abuse of Process and Exclusion of Evidence : How it Became Possible to Rebuke Mr. Big » (2015), 71 </w:t>
      </w:r>
      <w:r w:rsidRPr="00192E1C">
        <w:rPr>
          <w:rFonts w:cs="Times New Roman"/>
          <w:i/>
        </w:rPr>
        <w:t>S.C.L.R.</w:t>
      </w:r>
      <w:r w:rsidRPr="00192E1C">
        <w:rPr>
          <w:rFonts w:cs="Times New Roman"/>
        </w:rPr>
        <w:t xml:space="preserve"> (2d) 415, p. 429</w:t>
      </w:r>
      <w:r w:rsidRPr="00192E1C">
        <w:rPr>
          <w:rFonts w:cs="Times New Roman"/>
        </w:rPr>
        <w:noBreakHyphen/>
        <w:t xml:space="preserve">430). Entre autres, les tribunaux n’avaient pas le pouvoir — qu’ils ont aujourd’hui en vertu de l’art. 24 de la </w:t>
      </w:r>
      <w:r w:rsidRPr="00192E1C">
        <w:rPr>
          <w:rFonts w:cs="Times New Roman"/>
          <w:i/>
        </w:rPr>
        <w:t>Charte </w:t>
      </w:r>
      <w:r w:rsidRPr="00192E1C">
        <w:rPr>
          <w:rFonts w:cs="Times New Roman"/>
        </w:rPr>
        <w:t>— d’écarter un élément de preuve au motif que l’admettre serait susceptible de déconsidérer l’administration de la justice (</w:t>
      </w:r>
      <w:r w:rsidRPr="00192E1C">
        <w:rPr>
          <w:rFonts w:cs="Times New Roman"/>
          <w:i/>
        </w:rPr>
        <w:t>Wray</w:t>
      </w:r>
      <w:r w:rsidRPr="00192E1C">
        <w:rPr>
          <w:rFonts w:cs="Times New Roman"/>
        </w:rPr>
        <w:t>, p. 287, le juge Martland).</w:t>
      </w:r>
    </w:p>
    <w:p w14:paraId="0711892F" w14:textId="77777777" w:rsidR="00192E1C" w:rsidRPr="00192E1C" w:rsidRDefault="00192E1C" w:rsidP="00192E1C">
      <w:pPr>
        <w:pStyle w:val="ParaNoNdepar-AltN"/>
        <w:rPr>
          <w:rFonts w:cs="Times New Roman"/>
        </w:rPr>
      </w:pPr>
      <w:r w:rsidRPr="00192E1C">
        <w:rPr>
          <w:rFonts w:cs="Times New Roman"/>
        </w:rPr>
        <w:t>Les arrêts rendus par certaines cours d’appel du pays sur l’interprétation du par. 495(3) </w:t>
      </w:r>
      <w:r w:rsidRPr="00192E1C">
        <w:rPr>
          <w:rFonts w:cs="Times New Roman"/>
          <w:i/>
        </w:rPr>
        <w:t>C. cr.</w:t>
      </w:r>
      <w:r w:rsidRPr="00192E1C">
        <w:rPr>
          <w:rFonts w:cs="Times New Roman"/>
        </w:rPr>
        <w:t xml:space="preserve"> après l’adoption de la </w:t>
      </w:r>
      <w:r w:rsidRPr="00192E1C">
        <w:rPr>
          <w:rFonts w:cs="Times New Roman"/>
          <w:i/>
        </w:rPr>
        <w:t xml:space="preserve">Charte </w:t>
      </w:r>
      <w:r w:rsidRPr="00192E1C">
        <w:rPr>
          <w:rFonts w:cs="Times New Roman"/>
        </w:rPr>
        <w:t xml:space="preserve">en 1982 méritent une attention particulière. En effet, leur analyse repose sur le droit applicable depuis l’entrée en vigueur de la </w:t>
      </w:r>
      <w:r w:rsidRPr="00192E1C">
        <w:rPr>
          <w:rFonts w:cs="Times New Roman"/>
          <w:i/>
        </w:rPr>
        <w:t>Charte</w:t>
      </w:r>
      <w:r w:rsidRPr="00192E1C">
        <w:rPr>
          <w:rFonts w:cs="Times New Roman"/>
        </w:rPr>
        <w:t>, tout comme celle que notre Cour est appelée à effectuer en l’espèce.</w:t>
      </w:r>
    </w:p>
    <w:p w14:paraId="46C89349" w14:textId="77777777" w:rsidR="00192E1C" w:rsidRPr="00192E1C" w:rsidRDefault="00192E1C" w:rsidP="00192E1C">
      <w:pPr>
        <w:pStyle w:val="Title3LevelTitre3Niveau"/>
        <w:numPr>
          <w:ilvl w:val="3"/>
          <w:numId w:val="25"/>
        </w:numPr>
        <w:ind w:left="1152" w:hanging="576"/>
        <w:rPr>
          <w:rFonts w:cs="Times New Roman"/>
          <w:lang w:val="fr-CA"/>
        </w:rPr>
      </w:pPr>
      <w:bookmarkStart w:id="104" w:name="_Toc204271950"/>
      <w:bookmarkStart w:id="105" w:name="_Toc204336573"/>
      <w:bookmarkStart w:id="106" w:name="_Toc204344078"/>
      <w:bookmarkStart w:id="107" w:name="_Toc208319852"/>
      <w:bookmarkStart w:id="108" w:name="_Toc214611154"/>
      <w:bookmarkStart w:id="109" w:name="_Toc215654516"/>
      <w:r w:rsidRPr="00192E1C">
        <w:rPr>
          <w:rFonts w:cs="Times New Roman"/>
          <w:lang w:val="fr-CA"/>
        </w:rPr>
        <w:t xml:space="preserve">Arrêts postérieurs à l’adoption de la </w:t>
      </w:r>
      <w:r w:rsidRPr="00192E1C">
        <w:rPr>
          <w:rFonts w:cs="Times New Roman"/>
          <w:i/>
          <w:lang w:val="fr-CA"/>
        </w:rPr>
        <w:t>Charte</w:t>
      </w:r>
      <w:bookmarkEnd w:id="104"/>
      <w:bookmarkEnd w:id="105"/>
      <w:bookmarkEnd w:id="106"/>
      <w:bookmarkEnd w:id="107"/>
      <w:bookmarkEnd w:id="108"/>
      <w:bookmarkEnd w:id="109"/>
    </w:p>
    <w:p w14:paraId="17C72EBD" w14:textId="77777777" w:rsidR="00192E1C" w:rsidRPr="00192E1C" w:rsidRDefault="00192E1C" w:rsidP="00192E1C">
      <w:pPr>
        <w:pStyle w:val="ParaNoNdepar-AltN"/>
        <w:rPr>
          <w:rFonts w:cs="Times New Roman"/>
        </w:rPr>
      </w:pPr>
      <w:bookmarkStart w:id="110" w:name="_Ref214611604"/>
      <w:r w:rsidRPr="00192E1C">
        <w:rPr>
          <w:rFonts w:cs="Times New Roman"/>
        </w:rPr>
        <w:t xml:space="preserve">Depuis l’adoption de la </w:t>
      </w:r>
      <w:r w:rsidRPr="00192E1C">
        <w:rPr>
          <w:rFonts w:cs="Times New Roman"/>
          <w:i/>
        </w:rPr>
        <w:t>Charte</w:t>
      </w:r>
      <w:r w:rsidRPr="00192E1C">
        <w:rPr>
          <w:rFonts w:cs="Times New Roman"/>
        </w:rPr>
        <w:t>, la majorité des arrêts interprétant le par. 495(3) </w:t>
      </w:r>
      <w:r w:rsidRPr="00192E1C">
        <w:rPr>
          <w:rFonts w:cs="Times New Roman"/>
          <w:i/>
        </w:rPr>
        <w:t>C. cr.</w:t>
      </w:r>
      <w:r w:rsidRPr="00192E1C">
        <w:rPr>
          <w:rFonts w:cs="Times New Roman"/>
        </w:rPr>
        <w:t xml:space="preserve"> et son interaction avec l’art. 9 de la </w:t>
      </w:r>
      <w:r w:rsidRPr="00192E1C">
        <w:rPr>
          <w:rFonts w:cs="Times New Roman"/>
          <w:i/>
        </w:rPr>
        <w:t>Charte</w:t>
      </w:r>
      <w:r w:rsidRPr="00192E1C">
        <w:rPr>
          <w:rFonts w:cs="Times New Roman"/>
        </w:rPr>
        <w:t xml:space="preserve"> ont considéré que toute procédure en matière criminelle — sans égard à l’identité de la personne accusée — constitue une « procédur[e] engagé[e] en vertu [du </w:t>
      </w:r>
      <w:r w:rsidRPr="00192E1C">
        <w:rPr>
          <w:rFonts w:cs="Times New Roman"/>
          <w:i/>
        </w:rPr>
        <w:t>Code criminel</w:t>
      </w:r>
      <w:r w:rsidRPr="00192E1C">
        <w:rPr>
          <w:rFonts w:cs="Times New Roman"/>
        </w:rPr>
        <w:t>] ou de toute autre loi fédérale » visée à l’al. 495(3)a) </w:t>
      </w:r>
      <w:r w:rsidRPr="00192E1C">
        <w:rPr>
          <w:rFonts w:cs="Times New Roman"/>
          <w:i/>
        </w:rPr>
        <w:t>C. cr.</w:t>
      </w:r>
      <w:bookmarkEnd w:id="110"/>
    </w:p>
    <w:p w14:paraId="4F58CC9F" w14:textId="77777777" w:rsidR="00192E1C" w:rsidRPr="00192E1C" w:rsidRDefault="00192E1C" w:rsidP="00192E1C">
      <w:pPr>
        <w:pStyle w:val="ParaNoNdepar-AltN"/>
        <w:rPr>
          <w:rFonts w:cs="Times New Roman"/>
        </w:rPr>
      </w:pPr>
      <w:r w:rsidRPr="00192E1C">
        <w:rPr>
          <w:rFonts w:cs="Times New Roman"/>
        </w:rPr>
        <w:t xml:space="preserve">Dans l’arrêt </w:t>
      </w:r>
      <w:r w:rsidRPr="00192E1C">
        <w:rPr>
          <w:rFonts w:cs="Times New Roman"/>
          <w:i/>
        </w:rPr>
        <w:t>R. c. Cayer</w:t>
      </w:r>
      <w:r w:rsidRPr="00192E1C">
        <w:rPr>
          <w:rFonts w:cs="Times New Roman"/>
        </w:rPr>
        <w:t xml:space="preserve"> (1988), 28 O.A.C. 105, rendu par la Cour d’appel de l’Ontario en 1988,</w:t>
      </w:r>
      <w:r w:rsidRPr="00192E1C">
        <w:rPr>
          <w:rFonts w:cs="Times New Roman"/>
          <w:i/>
        </w:rPr>
        <w:t xml:space="preserve"> </w:t>
      </w:r>
      <w:r w:rsidRPr="00192E1C">
        <w:rPr>
          <w:rFonts w:cs="Times New Roman"/>
        </w:rPr>
        <w:t>la question soulevée était celle de savoir si l’al. 495(3)a) </w:t>
      </w:r>
      <w:r w:rsidRPr="00192E1C">
        <w:rPr>
          <w:rFonts w:cs="Times New Roman"/>
          <w:i/>
        </w:rPr>
        <w:t>C. cr.</w:t>
      </w:r>
      <w:r w:rsidRPr="00192E1C">
        <w:rPr>
          <w:rFonts w:cs="Times New Roman"/>
        </w:rPr>
        <w:t xml:space="preserve"> faisait en sorte qu’une arrestation autorisée par le par. 495(1) </w:t>
      </w:r>
      <w:r w:rsidRPr="00192E1C">
        <w:rPr>
          <w:rFonts w:cs="Times New Roman"/>
          <w:i/>
        </w:rPr>
        <w:t>C. cr.</w:t>
      </w:r>
      <w:r w:rsidRPr="00192E1C">
        <w:rPr>
          <w:rFonts w:cs="Times New Roman"/>
        </w:rPr>
        <w:t xml:space="preserve"> devenait illégale lorsque les exigences du par. 495(2) </w:t>
      </w:r>
      <w:r w:rsidRPr="00192E1C">
        <w:rPr>
          <w:rFonts w:cs="Times New Roman"/>
          <w:i/>
        </w:rPr>
        <w:t xml:space="preserve">C. cr. </w:t>
      </w:r>
      <w:r w:rsidRPr="00192E1C">
        <w:rPr>
          <w:rFonts w:cs="Times New Roman"/>
        </w:rPr>
        <w:t xml:space="preserve">étaient enfreintes. La Cour d’appel de l’Ontario s’est appuyée sur les motifs exposés dans les arrêts </w:t>
      </w:r>
      <w:r w:rsidRPr="00192E1C">
        <w:rPr>
          <w:rFonts w:cs="Times New Roman"/>
          <w:i/>
        </w:rPr>
        <w:t xml:space="preserve">Adams </w:t>
      </w:r>
      <w:r w:rsidRPr="00192E1C">
        <w:rPr>
          <w:rFonts w:cs="Times New Roman"/>
        </w:rPr>
        <w:t xml:space="preserve">et </w:t>
      </w:r>
      <w:r w:rsidRPr="00192E1C">
        <w:rPr>
          <w:rFonts w:cs="Times New Roman"/>
          <w:i/>
        </w:rPr>
        <w:t>McKibbon</w:t>
      </w:r>
      <w:r w:rsidRPr="00192E1C">
        <w:rPr>
          <w:rFonts w:cs="Times New Roman"/>
        </w:rPr>
        <w:t xml:space="preserve"> pour retenir l’interprétation suivante des par. 450(2) et (3) </w:t>
      </w:r>
      <w:r w:rsidRPr="00192E1C">
        <w:rPr>
          <w:rFonts w:cs="Times New Roman"/>
          <w:i/>
        </w:rPr>
        <w:t>C. cr. (1970)</w:t>
      </w:r>
      <w:r w:rsidRPr="00192E1C">
        <w:rPr>
          <w:rFonts w:cs="Times New Roman"/>
        </w:rPr>
        <w:t xml:space="preserve"> (actuellement les par. 495(2) et (3) </w:t>
      </w:r>
      <w:r w:rsidRPr="00192E1C">
        <w:rPr>
          <w:rFonts w:cs="Times New Roman"/>
          <w:i/>
        </w:rPr>
        <w:t>C. cr.</w:t>
      </w:r>
      <w:r w:rsidRPr="00192E1C">
        <w:rPr>
          <w:rFonts w:cs="Times New Roman"/>
        </w:rPr>
        <w:t>)</w:t>
      </w:r>
      <w:r w:rsidRPr="00192E1C">
        <w:rPr>
          <w:rFonts w:cs="Times New Roman"/>
          <w:i/>
        </w:rPr>
        <w:t xml:space="preserve"> </w:t>
      </w:r>
      <w:r w:rsidRPr="00192E1C">
        <w:rPr>
          <w:rFonts w:cs="Times New Roman"/>
        </w:rPr>
        <w:t>(au par. 33) :</w:t>
      </w:r>
    </w:p>
    <w:p w14:paraId="1CAEBFF0" w14:textId="77777777" w:rsidR="00192E1C" w:rsidRPr="00192E1C" w:rsidRDefault="00192E1C" w:rsidP="00192E1C">
      <w:pPr>
        <w:pStyle w:val="Citation-AltC"/>
      </w:pPr>
      <w:r w:rsidRPr="00192E1C">
        <w:t>[</w:t>
      </w:r>
      <w:r w:rsidRPr="00192E1C">
        <w:rPr>
          <w:smallCaps/>
        </w:rPr>
        <w:t>traduction</w:t>
      </w:r>
      <w:r w:rsidRPr="00192E1C">
        <w:t>] . . . nonobstant le par. (2), un agent de la paix exerçant ses pouvoirs au titre du par. 450(1) est censé agir légalement et dans l’exercice de ses fonctions aux fins de toutes procédures intentées en vertu du Code criminel ou de toute autre loi fédérale. Donc, l’agent de la paix qui exerce son pouvoir d’arrestation sans mandat au titre du par. 450(1) est censé, aux termes du par. 450(3), agir légalement aux fins de toutes procédures engagées en vertu du Code ou de toute autre loi fédérale, même si, en procédant à l’arrestation sans mandat, il enfreint le devoir que lui impose le par. 450(2) de ne pas arrêter le prévenu dans les circonstances que précise la disposition . . .</w:t>
      </w:r>
    </w:p>
    <w:p w14:paraId="77061B4C" w14:textId="77777777" w:rsidR="00192E1C" w:rsidRPr="00192E1C" w:rsidRDefault="00192E1C" w:rsidP="00192E1C">
      <w:pPr>
        <w:pStyle w:val="ParaNoNdepar-AltN"/>
        <w:rPr>
          <w:rFonts w:cs="Times New Roman"/>
        </w:rPr>
      </w:pPr>
      <w:r w:rsidRPr="00192E1C">
        <w:rPr>
          <w:rFonts w:cs="Times New Roman"/>
        </w:rPr>
        <w:t>Plus loin, la Cour d’appel de l’Ontario a ajouté que [</w:t>
      </w:r>
      <w:r w:rsidRPr="00192E1C">
        <w:rPr>
          <w:rFonts w:cs="Times New Roman"/>
          <w:smallCaps/>
        </w:rPr>
        <w:t>traduction</w:t>
      </w:r>
      <w:r w:rsidRPr="00192E1C">
        <w:rPr>
          <w:rFonts w:cs="Times New Roman"/>
        </w:rPr>
        <w:t xml:space="preserve">] « [l]e fait que l’arrestation puisse contrevenir au par. 450(2) [actuellement le par. 495(2)] du </w:t>
      </w:r>
      <w:r w:rsidRPr="00192E1C">
        <w:rPr>
          <w:rFonts w:cs="Times New Roman"/>
          <w:i/>
        </w:rPr>
        <w:t>Code</w:t>
      </w:r>
      <w:r w:rsidRPr="00192E1C">
        <w:rPr>
          <w:rFonts w:cs="Times New Roman"/>
        </w:rPr>
        <w:t xml:space="preserve"> ne rend la pas, </w:t>
      </w:r>
      <w:r w:rsidRPr="00192E1C">
        <w:rPr>
          <w:rFonts w:cs="Times New Roman"/>
          <w:i/>
          <w:iCs/>
        </w:rPr>
        <w:t>ipso facto</w:t>
      </w:r>
      <w:r w:rsidRPr="00192E1C">
        <w:rPr>
          <w:rFonts w:cs="Times New Roman"/>
          <w:iCs/>
        </w:rPr>
        <w:t>,</w:t>
      </w:r>
      <w:r w:rsidRPr="00192E1C">
        <w:rPr>
          <w:rFonts w:cs="Times New Roman"/>
          <w:i/>
          <w:iCs/>
        </w:rPr>
        <w:t xml:space="preserve"> </w:t>
      </w:r>
      <w:r w:rsidRPr="00192E1C">
        <w:rPr>
          <w:rFonts w:cs="Times New Roman"/>
        </w:rPr>
        <w:t xml:space="preserve">arbitraire au regard de l’art. 9 de la </w:t>
      </w:r>
      <w:r w:rsidRPr="00192E1C">
        <w:rPr>
          <w:rFonts w:cs="Times New Roman"/>
          <w:i/>
          <w:iCs/>
        </w:rPr>
        <w:t>Charte</w:t>
      </w:r>
      <w:r w:rsidRPr="00192E1C">
        <w:rPr>
          <w:rFonts w:cs="Times New Roman"/>
          <w:iCs/>
        </w:rPr>
        <w:t xml:space="preserve">. </w:t>
      </w:r>
      <w:r w:rsidRPr="00192E1C">
        <w:rPr>
          <w:rFonts w:cs="Times New Roman"/>
        </w:rPr>
        <w:t xml:space="preserve">Si l’arrestation contrevient au par. 450(2) du Code, elle est néanmoins légale au regard du par. 450(3) » </w:t>
      </w:r>
      <w:r w:rsidRPr="00192E1C">
        <w:rPr>
          <w:rFonts w:cs="Times New Roman"/>
          <w:iCs/>
        </w:rPr>
        <w:t>(</w:t>
      </w:r>
      <w:r w:rsidRPr="00192E1C">
        <w:rPr>
          <w:rFonts w:cs="Times New Roman"/>
          <w:i/>
          <w:iCs/>
        </w:rPr>
        <w:t>Cayer</w:t>
      </w:r>
      <w:r w:rsidRPr="00192E1C">
        <w:rPr>
          <w:rFonts w:cs="Times New Roman"/>
          <w:iCs/>
        </w:rPr>
        <w:t>, par. 46)</w:t>
      </w:r>
      <w:r w:rsidRPr="00192E1C">
        <w:rPr>
          <w:rFonts w:cs="Times New Roman"/>
        </w:rPr>
        <w:t>. Elle a finalement conclu qu’il n’y avait eu aucune violation du par. 495(2), puisqu’il n’était pas [</w:t>
      </w:r>
      <w:r w:rsidRPr="00192E1C">
        <w:rPr>
          <w:rFonts w:cs="Times New Roman"/>
          <w:smallCaps/>
        </w:rPr>
        <w:t>traduction</w:t>
      </w:r>
      <w:r w:rsidRPr="00192E1C">
        <w:rPr>
          <w:rFonts w:cs="Times New Roman"/>
        </w:rPr>
        <w:t>] « déraisonnable, suivant l’intérêt public, d’arrêter le prévenu afin de prévenir la continuation ou la répétition de l’infraction » (par. 47).</w:t>
      </w:r>
    </w:p>
    <w:p w14:paraId="40522CE5" w14:textId="77777777" w:rsidR="00192E1C" w:rsidRPr="00192E1C" w:rsidRDefault="00192E1C" w:rsidP="00192E1C">
      <w:pPr>
        <w:pStyle w:val="ParaNoNdepar-AltN"/>
        <w:rPr>
          <w:rFonts w:cs="Times New Roman"/>
        </w:rPr>
      </w:pPr>
      <w:r w:rsidRPr="00192E1C">
        <w:rPr>
          <w:rFonts w:cs="Times New Roman"/>
        </w:rPr>
        <w:t xml:space="preserve">Près de 30 ans plus tard, dans l’arrêt </w:t>
      </w:r>
      <w:r w:rsidRPr="00192E1C">
        <w:rPr>
          <w:rFonts w:cs="Times New Roman"/>
          <w:i/>
        </w:rPr>
        <w:t>R. c. Jowett Work</w:t>
      </w:r>
      <w:r w:rsidRPr="00192E1C">
        <w:rPr>
          <w:rFonts w:cs="Times New Roman"/>
          <w:szCs w:val="24"/>
        </w:rPr>
        <w:t>, 2019 BCCA 236, 379 C.C.C. (3d) 187</w:t>
      </w:r>
      <w:r w:rsidRPr="00192E1C">
        <w:rPr>
          <w:rFonts w:cs="Times New Roman"/>
        </w:rPr>
        <w:t>, la Cour d’appel de la Colombie</w:t>
      </w:r>
      <w:r w:rsidRPr="00192E1C">
        <w:rPr>
          <w:rFonts w:cs="Times New Roman"/>
        </w:rPr>
        <w:noBreakHyphen/>
        <w:t>Britannique a aussi dû interpréter le par. 495(3) </w:t>
      </w:r>
      <w:r w:rsidRPr="00192E1C">
        <w:rPr>
          <w:rFonts w:cs="Times New Roman"/>
          <w:i/>
        </w:rPr>
        <w:t>C. cr.</w:t>
      </w:r>
      <w:r w:rsidRPr="00192E1C">
        <w:rPr>
          <w:rFonts w:cs="Times New Roman"/>
        </w:rPr>
        <w:t xml:space="preserve"> Dans cette affaire, l’accusé avait été arrêté sans mandat pour vol et, durant une fouille accessoire à l’arrestation, les policiers avaient découvert des stupéfiants. Lors du voir-dire visant à déterminer la légalité de l’arrestation, la juge de première instance a conclu que les agents n’avaient pas respecté les exigences du par. 495(2) </w:t>
      </w:r>
      <w:r w:rsidRPr="00192E1C">
        <w:rPr>
          <w:rFonts w:cs="Times New Roman"/>
          <w:i/>
        </w:rPr>
        <w:t>C. cr.</w:t>
      </w:r>
      <w:r w:rsidRPr="00192E1C">
        <w:rPr>
          <w:rFonts w:cs="Times New Roman"/>
        </w:rPr>
        <w:t>, rendant ainsi l’arrestation illégale.</w:t>
      </w:r>
    </w:p>
    <w:p w14:paraId="2B911174" w14:textId="77777777" w:rsidR="00192E1C" w:rsidRPr="00192E1C" w:rsidRDefault="00192E1C" w:rsidP="00192E1C">
      <w:pPr>
        <w:pStyle w:val="ParaNoNdepar-AltN"/>
        <w:rPr>
          <w:rFonts w:cs="Times New Roman"/>
        </w:rPr>
      </w:pPr>
      <w:r w:rsidRPr="00192E1C">
        <w:rPr>
          <w:rFonts w:cs="Times New Roman"/>
        </w:rPr>
        <w:t>La Cour d’appel de la Colombie</w:t>
      </w:r>
      <w:r w:rsidRPr="00192E1C">
        <w:rPr>
          <w:rFonts w:cs="Times New Roman"/>
        </w:rPr>
        <w:noBreakHyphen/>
        <w:t>Britannique a accueilli l’appel formé par le ministère public et admis la preuve découlant de la fouille accessoire à l’arrestation. La cour a souligné que l’al. 495(3)a) </w:t>
      </w:r>
      <w:r w:rsidRPr="00192E1C">
        <w:rPr>
          <w:rFonts w:cs="Times New Roman"/>
          <w:i/>
        </w:rPr>
        <w:t>C. cr.</w:t>
      </w:r>
      <w:r w:rsidRPr="00192E1C">
        <w:rPr>
          <w:rFonts w:cs="Times New Roman"/>
        </w:rPr>
        <w:t xml:space="preserve"> s’appliquait expressément [</w:t>
      </w:r>
      <w:r w:rsidRPr="00192E1C">
        <w:rPr>
          <w:rFonts w:cs="Times New Roman"/>
          <w:smallCaps/>
        </w:rPr>
        <w:t>traduction</w:t>
      </w:r>
      <w:r w:rsidRPr="00192E1C">
        <w:rPr>
          <w:rFonts w:cs="Times New Roman"/>
        </w:rPr>
        <w:t xml:space="preserve">] « aux fins de “toutes procédures” engagées en vertu du </w:t>
      </w:r>
      <w:r w:rsidRPr="00192E1C">
        <w:rPr>
          <w:rFonts w:cs="Times New Roman"/>
          <w:i/>
        </w:rPr>
        <w:t>Code criminel</w:t>
      </w:r>
      <w:r w:rsidRPr="00192E1C">
        <w:rPr>
          <w:rFonts w:cs="Times New Roman"/>
        </w:rPr>
        <w:t> » (</w:t>
      </w:r>
      <w:r w:rsidRPr="00192E1C">
        <w:rPr>
          <w:rFonts w:cs="Times New Roman"/>
          <w:i/>
        </w:rPr>
        <w:t>Jowett Work</w:t>
      </w:r>
      <w:r w:rsidRPr="00192E1C">
        <w:rPr>
          <w:rFonts w:cs="Times New Roman"/>
        </w:rPr>
        <w:t>, par. 38). De l’avis de la cour, la disposition avait pour effet de rendre la conduite de l’agent de la paix [</w:t>
      </w:r>
      <w:r w:rsidRPr="00192E1C">
        <w:rPr>
          <w:rFonts w:cs="Times New Roman"/>
          <w:smallCaps/>
        </w:rPr>
        <w:t>traduction</w:t>
      </w:r>
      <w:r w:rsidRPr="00192E1C">
        <w:rPr>
          <w:rFonts w:cs="Times New Roman"/>
        </w:rPr>
        <w:t>] « légal[e] et l’arrestation [. . .] légale, pourvu que la Couronne établisse que l’agent avait des motifs raisonnables et probables de procéder à l’arrestation en vertu de l’al. 495(1)a) ou b) » (par. 32). Ainsi, il n’était pas nécessaire selon elle d’examiner le par. 495(2) </w:t>
      </w:r>
      <w:r w:rsidRPr="00192E1C">
        <w:rPr>
          <w:rFonts w:cs="Times New Roman"/>
          <w:i/>
        </w:rPr>
        <w:t>C. cr.</w:t>
      </w:r>
      <w:r w:rsidRPr="00192E1C">
        <w:rPr>
          <w:rFonts w:cs="Times New Roman"/>
        </w:rPr>
        <w:t>, car toute non</w:t>
      </w:r>
      <w:r w:rsidRPr="00192E1C">
        <w:rPr>
          <w:rFonts w:cs="Times New Roman"/>
        </w:rPr>
        <w:noBreakHyphen/>
        <w:t>conformité à ce paragraphe ne rendrait pas illégale une arrestation autrement légale dans le cadre d’une procédure en matière criminelle, en raison de la présomption de légalité prévue à l’al. 495(3)(a) </w:t>
      </w:r>
      <w:r w:rsidRPr="00192E1C">
        <w:rPr>
          <w:rFonts w:cs="Times New Roman"/>
          <w:i/>
        </w:rPr>
        <w:t>C. cr.</w:t>
      </w:r>
      <w:r w:rsidRPr="00192E1C">
        <w:rPr>
          <w:rFonts w:cs="Times New Roman"/>
        </w:rPr>
        <w:t xml:space="preserve"> (par. 30).</w:t>
      </w:r>
    </w:p>
    <w:p w14:paraId="775754D2" w14:textId="77777777" w:rsidR="00192E1C" w:rsidRPr="00192E1C" w:rsidRDefault="00192E1C" w:rsidP="00192E1C">
      <w:pPr>
        <w:pStyle w:val="ParaNoNdepar-AltN"/>
        <w:rPr>
          <w:rFonts w:cs="Times New Roman"/>
        </w:rPr>
      </w:pPr>
      <w:r w:rsidRPr="00192E1C">
        <w:rPr>
          <w:rFonts w:cs="Times New Roman"/>
        </w:rPr>
        <w:t xml:space="preserve">Dans l’arrêt </w:t>
      </w:r>
      <w:r w:rsidRPr="00192E1C">
        <w:rPr>
          <w:rFonts w:cs="Times New Roman"/>
          <w:i/>
        </w:rPr>
        <w:t>R. c. Veen</w:t>
      </w:r>
      <w:r w:rsidRPr="00192E1C">
        <w:rPr>
          <w:rFonts w:cs="Times New Roman"/>
        </w:rPr>
        <w:t>, 2022 ABCA 350, 51 Alta. L.R. (7th) 417, la Cour d’appel de l’Alberta s’est penchée à son tour sur l’interprétation du par. 495(3) </w:t>
      </w:r>
      <w:r w:rsidRPr="00192E1C">
        <w:rPr>
          <w:rFonts w:cs="Times New Roman"/>
          <w:i/>
        </w:rPr>
        <w:t>C. cr.</w:t>
      </w:r>
      <w:r w:rsidRPr="00192E1C">
        <w:rPr>
          <w:rFonts w:cs="Times New Roman"/>
        </w:rPr>
        <w:t xml:space="preserve"> Dans cette affaire, l’accusé avait été arrêté, puis détenu au poste de police, après avoir été localisé par les policiers derrière le volant de son camion alors qu’une canette de bière vide se trouvait à proximité. Dans un voir</w:t>
      </w:r>
      <w:r w:rsidRPr="00192E1C">
        <w:rPr>
          <w:rFonts w:cs="Times New Roman"/>
        </w:rPr>
        <w:noBreakHyphen/>
        <w:t xml:space="preserve">dire fondé sur l’art. 9 de la </w:t>
      </w:r>
      <w:r w:rsidRPr="00192E1C">
        <w:rPr>
          <w:rFonts w:cs="Times New Roman"/>
          <w:i/>
        </w:rPr>
        <w:t>Charte</w:t>
      </w:r>
      <w:r w:rsidRPr="00192E1C">
        <w:rPr>
          <w:rFonts w:cs="Times New Roman"/>
        </w:rPr>
        <w:t xml:space="preserve"> tenu dans le cadre de son procès, l’accusé a contesté la légalité de son arrestation, estimant qu’elle contrevenait au par. 495(2) </w:t>
      </w:r>
      <w:r w:rsidRPr="00192E1C">
        <w:rPr>
          <w:rFonts w:cs="Times New Roman"/>
          <w:i/>
        </w:rPr>
        <w:t xml:space="preserve">C. cr. </w:t>
      </w:r>
      <w:r w:rsidRPr="00192E1C">
        <w:rPr>
          <w:rFonts w:cs="Times New Roman"/>
        </w:rPr>
        <w:t>La Cour du Banc de la Reine de l’Alberta (siégeant en appel de la décision de la Cour provinciale de l’Alberta) a accueilli la demande de voir</w:t>
      </w:r>
      <w:r w:rsidRPr="00192E1C">
        <w:rPr>
          <w:rFonts w:cs="Times New Roman"/>
        </w:rPr>
        <w:noBreakHyphen/>
        <w:t>dire de l’accusé et écarté la preuve obtenue à la suite de l’arrestation. À son avis, [</w:t>
      </w:r>
      <w:r w:rsidRPr="00192E1C">
        <w:rPr>
          <w:rFonts w:cs="Times New Roman"/>
          <w:smallCaps/>
        </w:rPr>
        <w:t>traduction</w:t>
      </w:r>
      <w:r w:rsidRPr="00192E1C">
        <w:rPr>
          <w:rFonts w:cs="Times New Roman"/>
        </w:rPr>
        <w:t>] « [l]e paragraphe (3) ne devrait pas être considéré comme ayant pour effet d’écarter l’obligation de ne pas procéder à l’arrestation[, car il] est pertinent lorsque la responsabilité criminelle d’un policier est en jeu » (</w:t>
      </w:r>
      <w:r w:rsidRPr="00192E1C">
        <w:rPr>
          <w:rFonts w:cs="Times New Roman"/>
          <w:i/>
        </w:rPr>
        <w:t>R. c. Veen</w:t>
      </w:r>
      <w:r w:rsidRPr="00192E1C">
        <w:rPr>
          <w:rFonts w:cs="Times New Roman"/>
        </w:rPr>
        <w:t>, 2020 ABQB 99, 10 Alta. L.R. (7th) 192, par. 74).</w:t>
      </w:r>
    </w:p>
    <w:p w14:paraId="6C5DF9A4" w14:textId="77777777" w:rsidR="00192E1C" w:rsidRPr="00192E1C" w:rsidRDefault="00192E1C" w:rsidP="00192E1C">
      <w:pPr>
        <w:pStyle w:val="ParaNoNdepar-AltN"/>
        <w:rPr>
          <w:rFonts w:cs="Times New Roman"/>
        </w:rPr>
      </w:pPr>
      <w:r w:rsidRPr="00192E1C">
        <w:rPr>
          <w:rFonts w:cs="Times New Roman"/>
        </w:rPr>
        <w:t>Quant à elle, la Cour d’appel de l’Alberta fût d’avis d’accueillir l’appel et d’admettre la preuve obtenue à la suite de l’arrestation de l’accusé. Elle a estimé que, bien qu’une erreur de jugement ait pu être commise par le policier lors de l’arrestation sans mandat, cette erreur n’invalidait pas pour autant la légalité de l’arrestation en vertu de l’al. 495(3)a) </w:t>
      </w:r>
      <w:r w:rsidRPr="00192E1C">
        <w:rPr>
          <w:rFonts w:cs="Times New Roman"/>
          <w:i/>
        </w:rPr>
        <w:t>C. cr.</w:t>
      </w:r>
      <w:r w:rsidRPr="00192E1C">
        <w:rPr>
          <w:rFonts w:cs="Times New Roman"/>
        </w:rPr>
        <w:t xml:space="preserve"> Par conséquent, l’accusé ne pouvait invoquer le non</w:t>
      </w:r>
      <w:r w:rsidRPr="00192E1C">
        <w:rPr>
          <w:rFonts w:cs="Times New Roman"/>
        </w:rPr>
        <w:noBreakHyphen/>
        <w:t>respect du par. 495(2) </w:t>
      </w:r>
      <w:r w:rsidRPr="00192E1C">
        <w:rPr>
          <w:rFonts w:cs="Times New Roman"/>
          <w:i/>
        </w:rPr>
        <w:t>C. cr.</w:t>
      </w:r>
      <w:r w:rsidRPr="00192E1C">
        <w:rPr>
          <w:rFonts w:cs="Times New Roman"/>
        </w:rPr>
        <w:t xml:space="preserve"> comme moyen de défense. Toutefois, la Cour d’appel a précisé que ce type d’erreur pourrait faire l’objet d’une poursuite civile ou de mesures disciplinaires internes à l’encontre du policier concerné en vertu de l’al. 495(3)b) </w:t>
      </w:r>
      <w:r w:rsidRPr="00192E1C">
        <w:rPr>
          <w:rFonts w:cs="Times New Roman"/>
          <w:i/>
        </w:rPr>
        <w:t>C. cr.</w:t>
      </w:r>
      <w:r w:rsidRPr="00192E1C">
        <w:rPr>
          <w:rFonts w:cs="Times New Roman"/>
        </w:rPr>
        <w:t xml:space="preserve"> Pour appuyer cette conclusion, la Cour d’appel s’est notamment fondée sur la jurisprudence antérieure à la </w:t>
      </w:r>
      <w:r w:rsidRPr="00192E1C">
        <w:rPr>
          <w:rFonts w:cs="Times New Roman"/>
          <w:i/>
        </w:rPr>
        <w:t>Charte</w:t>
      </w:r>
      <w:r w:rsidRPr="00192E1C">
        <w:rPr>
          <w:rFonts w:cs="Times New Roman"/>
        </w:rPr>
        <w:t>, de même que sur le libellé de l’al. 495(3)a) </w:t>
      </w:r>
      <w:r w:rsidRPr="00192E1C">
        <w:rPr>
          <w:rFonts w:cs="Times New Roman"/>
          <w:i/>
        </w:rPr>
        <w:t>C. cr</w:t>
      </w:r>
      <w:r w:rsidRPr="00192E1C">
        <w:rPr>
          <w:rFonts w:cs="Times New Roman"/>
        </w:rPr>
        <w:t>. lui</w:t>
      </w:r>
      <w:r w:rsidRPr="00192E1C">
        <w:rPr>
          <w:rFonts w:cs="Times New Roman"/>
        </w:rPr>
        <w:noBreakHyphen/>
        <w:t>même et sur les débats parlementaires.</w:t>
      </w:r>
    </w:p>
    <w:p w14:paraId="6C3F046F" w14:textId="77777777" w:rsidR="00192E1C" w:rsidRPr="00192E1C" w:rsidRDefault="00192E1C" w:rsidP="00192E1C">
      <w:pPr>
        <w:pStyle w:val="Title2LevelTitre2Niveau"/>
        <w:numPr>
          <w:ilvl w:val="1"/>
          <w:numId w:val="21"/>
        </w:numPr>
        <w:rPr>
          <w:rFonts w:cs="Times New Roman"/>
          <w:lang w:val="fr-CA"/>
        </w:rPr>
      </w:pPr>
      <w:bookmarkStart w:id="111" w:name="_Toc204344079"/>
      <w:bookmarkStart w:id="112" w:name="_Toc208319853"/>
      <w:bookmarkStart w:id="113" w:name="_Toc204271953"/>
      <w:bookmarkStart w:id="114" w:name="_Toc204336574"/>
      <w:bookmarkStart w:id="115" w:name="_Toc214611155"/>
      <w:bookmarkStart w:id="116" w:name="_Toc215654517"/>
      <w:r w:rsidRPr="00192E1C">
        <w:rPr>
          <w:rFonts w:cs="Times New Roman"/>
          <w:lang w:val="fr-CA"/>
        </w:rPr>
        <w:t>Principes d’interprétation statutaire</w:t>
      </w:r>
      <w:bookmarkEnd w:id="111"/>
      <w:bookmarkEnd w:id="112"/>
      <w:bookmarkEnd w:id="113"/>
      <w:bookmarkEnd w:id="114"/>
      <w:bookmarkEnd w:id="115"/>
      <w:bookmarkEnd w:id="116"/>
    </w:p>
    <w:p w14:paraId="4899F9E7" w14:textId="77777777" w:rsidR="00192E1C" w:rsidRPr="00192E1C" w:rsidRDefault="00192E1C" w:rsidP="00192E1C">
      <w:pPr>
        <w:pStyle w:val="ParaNoNdepar-AltN"/>
        <w:rPr>
          <w:rFonts w:cs="Times New Roman"/>
        </w:rPr>
      </w:pPr>
      <w:bookmarkStart w:id="117" w:name="_Ref204344260"/>
      <w:r w:rsidRPr="00192E1C">
        <w:rPr>
          <w:rFonts w:cs="Times New Roman"/>
        </w:rPr>
        <w:t>Il n’existe désormais qu’une seule méthode d’interprétation statutaire au Canada, soit celle qui commande d’interpréter les mots d’une disposition « dans leur contexte global en suivant le sens ordinaire et grammatical qui s’harmonise avec l’économie de la loi, l’objet de la loi et l’intention du législateur » (</w:t>
      </w:r>
      <w:r w:rsidRPr="00192E1C">
        <w:rPr>
          <w:rFonts w:cs="Times New Roman"/>
          <w:i/>
          <w:iCs/>
        </w:rPr>
        <w:t>Rizzo &amp; Rizzo Shoes Ltd. (Re)</w:t>
      </w:r>
      <w:r w:rsidRPr="00192E1C">
        <w:rPr>
          <w:rFonts w:cs="Times New Roman"/>
        </w:rPr>
        <w:t xml:space="preserve">, [1998] 1 R.C.S. 27, par. 21, citant E. A. Driedger, </w:t>
      </w:r>
      <w:r w:rsidRPr="00192E1C">
        <w:rPr>
          <w:rFonts w:cs="Times New Roman"/>
          <w:i/>
        </w:rPr>
        <w:t>Construction of Statutes</w:t>
      </w:r>
      <w:r w:rsidRPr="00192E1C">
        <w:rPr>
          <w:rFonts w:cs="Times New Roman"/>
        </w:rPr>
        <w:t xml:space="preserve"> (2</w:t>
      </w:r>
      <w:r w:rsidRPr="00192E1C">
        <w:rPr>
          <w:rFonts w:cs="Times New Roman"/>
          <w:vertAlign w:val="superscript"/>
        </w:rPr>
        <w:t>e</w:t>
      </w:r>
      <w:r w:rsidRPr="00192E1C">
        <w:rPr>
          <w:rFonts w:cs="Times New Roman"/>
        </w:rPr>
        <w:t xml:space="preserve"> éd. 1983), p. 87; voir aussi </w:t>
      </w:r>
      <w:r w:rsidRPr="00192E1C">
        <w:rPr>
          <w:rFonts w:cs="Times New Roman"/>
          <w:i/>
          <w:iCs/>
        </w:rPr>
        <w:t>R. c. Basque</w:t>
      </w:r>
      <w:r w:rsidRPr="00192E1C">
        <w:rPr>
          <w:rFonts w:cs="Times New Roman"/>
        </w:rPr>
        <w:t xml:space="preserve">, 2023 CSC 18, par. 63; </w:t>
      </w:r>
      <w:r w:rsidRPr="00192E1C">
        <w:rPr>
          <w:rFonts w:cs="Times New Roman"/>
          <w:i/>
        </w:rPr>
        <w:t>R. c. Wolfe</w:t>
      </w:r>
      <w:r w:rsidRPr="00192E1C">
        <w:rPr>
          <w:rFonts w:cs="Times New Roman"/>
        </w:rPr>
        <w:t>, 2024 CSC 34). J’aurai donc recours à cette méthode afin de déterminer d’abord l’interprétation correcte qu’il convient d’accorder au par. 495(2) </w:t>
      </w:r>
      <w:r w:rsidRPr="00192E1C">
        <w:rPr>
          <w:rFonts w:cs="Times New Roman"/>
          <w:i/>
        </w:rPr>
        <w:t>C. cr.</w:t>
      </w:r>
      <w:r w:rsidRPr="00192E1C">
        <w:rPr>
          <w:rFonts w:cs="Times New Roman"/>
        </w:rPr>
        <w:t>, et je ferai ensuite de même en ce qui concerne le par. 495(3) </w:t>
      </w:r>
      <w:r w:rsidRPr="00192E1C">
        <w:rPr>
          <w:rFonts w:cs="Times New Roman"/>
          <w:i/>
        </w:rPr>
        <w:t>C. cr.</w:t>
      </w:r>
    </w:p>
    <w:bookmarkEnd w:id="117"/>
    <w:p w14:paraId="5614FC31" w14:textId="77777777" w:rsidR="00192E1C" w:rsidRPr="00192E1C" w:rsidRDefault="00192E1C" w:rsidP="00192E1C">
      <w:pPr>
        <w:pStyle w:val="ParaNoNdepar-AltN"/>
        <w:rPr>
          <w:rFonts w:cs="Times New Roman"/>
        </w:rPr>
      </w:pPr>
      <w:r w:rsidRPr="00192E1C">
        <w:rPr>
          <w:rFonts w:cs="Times New Roman"/>
        </w:rPr>
        <w:t xml:space="preserve">Dans la présente affaire, le libellé des dispositions relatives au pouvoir d’arrestation sans mandat que nous devons interpréter est entré en vigueur près d’une décennie avant l’adoption de la </w:t>
      </w:r>
      <w:r w:rsidRPr="00192E1C">
        <w:rPr>
          <w:rFonts w:cs="Times New Roman"/>
          <w:i/>
        </w:rPr>
        <w:t>Charte</w:t>
      </w:r>
      <w:r w:rsidRPr="00192E1C">
        <w:rPr>
          <w:rFonts w:cs="Times New Roman"/>
        </w:rPr>
        <w:t xml:space="preserve">, laquelle a introduit de nouvelles garanties en matière d’arrestation. Dans ce contexte, il importe de rappeler que l’exercice d’interprétation statutaire se concentre « sur l’intention qu’avait le législateur </w:t>
      </w:r>
      <w:r w:rsidRPr="00192E1C">
        <w:rPr>
          <w:rFonts w:cs="Times New Roman"/>
          <w:u w:val="single"/>
        </w:rPr>
        <w:t>au moment de l’édiction de la loi</w:t>
      </w:r>
      <w:r w:rsidRPr="00192E1C">
        <w:rPr>
          <w:rFonts w:cs="Times New Roman"/>
        </w:rPr>
        <w:t>, et les tribunaux sont tenus de donner effet à cette intention » (</w:t>
      </w:r>
      <w:r w:rsidRPr="00192E1C">
        <w:rPr>
          <w:rFonts w:cs="Times New Roman"/>
          <w:i/>
        </w:rPr>
        <w:t>Telus Communications Inc. c. Fédération canadienne des municipalités</w:t>
      </w:r>
      <w:r w:rsidRPr="00192E1C">
        <w:rPr>
          <w:rFonts w:cs="Times New Roman"/>
        </w:rPr>
        <w:t>,</w:t>
      </w:r>
      <w:r w:rsidRPr="00192E1C">
        <w:rPr>
          <w:rFonts w:cs="Times New Roman"/>
          <w:i/>
        </w:rPr>
        <w:t xml:space="preserve"> </w:t>
      </w:r>
      <w:r w:rsidRPr="00192E1C">
        <w:rPr>
          <w:rFonts w:cs="Times New Roman"/>
        </w:rPr>
        <w:t>2025 CSC 15, par. 32 (je souligne); voir aussi les par. 33</w:t>
      </w:r>
      <w:r w:rsidRPr="00192E1C">
        <w:rPr>
          <w:rFonts w:cs="Times New Roman"/>
        </w:rPr>
        <w:noBreakHyphen/>
        <w:t>36;</w:t>
      </w:r>
      <w:r w:rsidRPr="00192E1C">
        <w:rPr>
          <w:rFonts w:cs="Times New Roman"/>
          <w:i/>
        </w:rPr>
        <w:t xml:space="preserve"> </w:t>
      </w:r>
      <w:r w:rsidRPr="00192E1C">
        <w:rPr>
          <w:rFonts w:cs="Times New Roman"/>
          <w:i/>
          <w:iCs/>
        </w:rPr>
        <w:t>Perka c. La Reine</w:t>
      </w:r>
      <w:r w:rsidRPr="00192E1C">
        <w:rPr>
          <w:rFonts w:cs="Times New Roman"/>
        </w:rPr>
        <w:t>, [1984] 2 R.C.S. 232, p. 264</w:t>
      </w:r>
      <w:r w:rsidRPr="00192E1C">
        <w:rPr>
          <w:rFonts w:cs="Times New Roman"/>
        </w:rPr>
        <w:noBreakHyphen/>
        <w:t xml:space="preserve">266; </w:t>
      </w:r>
      <w:r w:rsidRPr="00192E1C">
        <w:rPr>
          <w:rFonts w:cs="Times New Roman"/>
          <w:i/>
          <w:iCs/>
        </w:rPr>
        <w:t>R. c. Big M Drug Mart Ltd.</w:t>
      </w:r>
      <w:r w:rsidRPr="00192E1C">
        <w:rPr>
          <w:rFonts w:cs="Times New Roman"/>
        </w:rPr>
        <w:t xml:space="preserve">, [1985] 1 R.C.S. 295, p. 335; </w:t>
      </w:r>
      <w:r w:rsidRPr="00192E1C">
        <w:rPr>
          <w:rFonts w:cs="Times New Roman"/>
          <w:i/>
          <w:iCs/>
        </w:rPr>
        <w:t>États</w:t>
      </w:r>
      <w:r w:rsidRPr="00192E1C">
        <w:rPr>
          <w:rFonts w:cs="Times New Roman"/>
          <w:i/>
          <w:iCs/>
        </w:rPr>
        <w:noBreakHyphen/>
        <w:t>Unis d’Amérique c. Dynar</w:t>
      </w:r>
      <w:r w:rsidRPr="00192E1C">
        <w:rPr>
          <w:rFonts w:cs="Times New Roman"/>
        </w:rPr>
        <w:t>, [1997] 2 R.C.S. 462, par. 45; P.</w:t>
      </w:r>
      <w:r w:rsidRPr="00192E1C">
        <w:rPr>
          <w:rFonts w:cs="Times New Roman"/>
        </w:rPr>
        <w:noBreakHyphen/>
        <w:t xml:space="preserve">A. Côté et M. Devinat, </w:t>
      </w:r>
      <w:r w:rsidRPr="00192E1C">
        <w:rPr>
          <w:rFonts w:cs="Times New Roman"/>
          <w:i/>
          <w:iCs/>
        </w:rPr>
        <w:t xml:space="preserve">Interprétation des lois </w:t>
      </w:r>
      <w:r w:rsidRPr="00192E1C">
        <w:rPr>
          <w:rFonts w:cs="Times New Roman"/>
        </w:rPr>
        <w:t>(5</w:t>
      </w:r>
      <w:r w:rsidRPr="00192E1C">
        <w:rPr>
          <w:rFonts w:cs="Times New Roman"/>
          <w:vertAlign w:val="superscript"/>
        </w:rPr>
        <w:t>e</w:t>
      </w:r>
      <w:r w:rsidRPr="00192E1C">
        <w:rPr>
          <w:rFonts w:cs="Times New Roman"/>
        </w:rPr>
        <w:t xml:space="preserve"> éd. 2021), par. 24; R. Sullivan, </w:t>
      </w:r>
      <w:r w:rsidRPr="00192E1C">
        <w:rPr>
          <w:rFonts w:cs="Times New Roman"/>
          <w:i/>
          <w:iCs/>
        </w:rPr>
        <w:t xml:space="preserve">The Construction of Statutes </w:t>
      </w:r>
      <w:r w:rsidRPr="00192E1C">
        <w:rPr>
          <w:rFonts w:cs="Times New Roman"/>
        </w:rPr>
        <w:t>(7</w:t>
      </w:r>
      <w:r w:rsidRPr="00192E1C">
        <w:rPr>
          <w:rFonts w:cs="Times New Roman"/>
          <w:vertAlign w:val="superscript"/>
        </w:rPr>
        <w:t>e</w:t>
      </w:r>
      <w:r w:rsidRPr="00192E1C">
        <w:rPr>
          <w:rFonts w:cs="Times New Roman"/>
        </w:rPr>
        <w:t> éd. 2022), § 6.01[1]).</w:t>
      </w:r>
    </w:p>
    <w:p w14:paraId="7E1BC581" w14:textId="77777777" w:rsidR="00192E1C" w:rsidRPr="00192E1C" w:rsidRDefault="00192E1C" w:rsidP="00192E1C">
      <w:pPr>
        <w:pStyle w:val="ParaNoNdepar-AltN"/>
        <w:rPr>
          <w:rFonts w:cs="Times New Roman"/>
        </w:rPr>
      </w:pPr>
      <w:r w:rsidRPr="00192E1C">
        <w:rPr>
          <w:rFonts w:cs="Times New Roman"/>
        </w:rPr>
        <w:t>Ces principes étant brièvement exposés, je me tourne maintenant vers l’interprétation du par. 495(2)</w:t>
      </w:r>
      <w:r w:rsidRPr="00192E1C">
        <w:rPr>
          <w:rFonts w:cs="Times New Roman"/>
          <w:i/>
        </w:rPr>
        <w:t> C. cr.</w:t>
      </w:r>
    </w:p>
    <w:p w14:paraId="0A74E0AD" w14:textId="77777777" w:rsidR="00192E1C" w:rsidRPr="00192E1C" w:rsidRDefault="00192E1C" w:rsidP="00192E1C">
      <w:pPr>
        <w:pStyle w:val="Title2LevelTitre2Niveau"/>
        <w:numPr>
          <w:ilvl w:val="1"/>
          <w:numId w:val="2"/>
        </w:numPr>
        <w:rPr>
          <w:rFonts w:cs="Times New Roman"/>
          <w:lang w:val="fr-CA"/>
        </w:rPr>
      </w:pPr>
      <w:bookmarkStart w:id="118" w:name="_Toc204271954"/>
      <w:bookmarkStart w:id="119" w:name="_Toc204336575"/>
      <w:bookmarkStart w:id="120" w:name="_Toc204344080"/>
      <w:bookmarkStart w:id="121" w:name="_Toc208319854"/>
      <w:bookmarkStart w:id="122" w:name="_Toc214611156"/>
      <w:bookmarkStart w:id="123" w:name="_Toc215654518"/>
      <w:r w:rsidRPr="00192E1C">
        <w:rPr>
          <w:rFonts w:cs="Times New Roman"/>
          <w:lang w:val="fr-CA"/>
        </w:rPr>
        <w:t>Interprétation du par. 495(2) C. cr. : le non</w:t>
      </w:r>
      <w:r w:rsidRPr="00192E1C">
        <w:rPr>
          <w:rFonts w:cs="Times New Roman"/>
          <w:lang w:val="fr-CA"/>
        </w:rPr>
        <w:noBreakHyphen/>
        <w:t>respect du par. 495(2) C. cr. peut</w:t>
      </w:r>
      <w:r w:rsidRPr="00192E1C">
        <w:rPr>
          <w:rFonts w:cs="Times New Roman"/>
          <w:lang w:val="fr-CA"/>
        </w:rPr>
        <w:noBreakHyphen/>
        <w:t>il avoir pour effet de rendre une arrestation sans mandat illégale et donc arbitraire au sens de l’art. 9 de la Charte?</w:t>
      </w:r>
      <w:bookmarkEnd w:id="118"/>
      <w:bookmarkEnd w:id="119"/>
      <w:bookmarkEnd w:id="120"/>
      <w:bookmarkEnd w:id="121"/>
      <w:bookmarkEnd w:id="122"/>
      <w:bookmarkEnd w:id="123"/>
    </w:p>
    <w:p w14:paraId="40DBF53C" w14:textId="77777777" w:rsidR="00192E1C" w:rsidRPr="00192E1C" w:rsidRDefault="00192E1C" w:rsidP="00192E1C">
      <w:pPr>
        <w:pStyle w:val="Title3LevelTitre3Niveau"/>
        <w:numPr>
          <w:ilvl w:val="3"/>
          <w:numId w:val="26"/>
        </w:numPr>
        <w:ind w:left="1152" w:hanging="576"/>
        <w:rPr>
          <w:rFonts w:cs="Times New Roman"/>
          <w:lang w:val="fr-CA"/>
        </w:rPr>
      </w:pPr>
      <w:bookmarkStart w:id="124" w:name="_Toc204271955"/>
      <w:bookmarkStart w:id="125" w:name="_Toc204336576"/>
      <w:bookmarkStart w:id="126" w:name="_Toc204344081"/>
      <w:bookmarkStart w:id="127" w:name="_Toc208319855"/>
      <w:bookmarkStart w:id="128" w:name="_Toc214611157"/>
      <w:bookmarkStart w:id="129" w:name="_Toc215654519"/>
      <w:r w:rsidRPr="00192E1C">
        <w:rPr>
          <w:rFonts w:cs="Times New Roman"/>
          <w:lang w:val="fr-CA"/>
        </w:rPr>
        <w:t>Le texte du par. 495(2) </w:t>
      </w:r>
      <w:r w:rsidRPr="00192E1C">
        <w:rPr>
          <w:rFonts w:cs="Times New Roman"/>
          <w:i/>
          <w:lang w:val="fr-CA"/>
        </w:rPr>
        <w:t>C. cr.</w:t>
      </w:r>
      <w:bookmarkEnd w:id="124"/>
      <w:bookmarkEnd w:id="125"/>
      <w:bookmarkEnd w:id="126"/>
      <w:bookmarkEnd w:id="127"/>
      <w:bookmarkEnd w:id="128"/>
      <w:bookmarkEnd w:id="129"/>
    </w:p>
    <w:p w14:paraId="515BD4F7" w14:textId="77777777" w:rsidR="00192E1C" w:rsidRPr="00192E1C" w:rsidRDefault="00192E1C" w:rsidP="00192E1C">
      <w:pPr>
        <w:pStyle w:val="ParaNoNdepar-AltN"/>
        <w:rPr>
          <w:rFonts w:cs="Times New Roman"/>
        </w:rPr>
      </w:pPr>
      <w:bookmarkStart w:id="130" w:name="_Ref204344270"/>
      <w:r w:rsidRPr="00192E1C">
        <w:rPr>
          <w:rFonts w:cs="Times New Roman"/>
        </w:rPr>
        <w:t>Comme je l’indiquais d’entrée de jeu, la méthode moderne d’interprétation statutaire place le texte comme « point d’ancrage de l’opération d’interprétation », puisqu’il précise les moyens préconisés par le Parlement pour réaliser ses objectifs et atteindre ses buts (</w:t>
      </w:r>
      <w:r w:rsidRPr="00192E1C">
        <w:rPr>
          <w:rFonts w:cs="Times New Roman"/>
          <w:i/>
        </w:rPr>
        <w:t>Piekut c. Canada (Revenu national)</w:t>
      </w:r>
      <w:r w:rsidRPr="00192E1C">
        <w:rPr>
          <w:rFonts w:cs="Times New Roman"/>
        </w:rPr>
        <w:t xml:space="preserve">, 2025 CSC 13, par. 45, citant </w:t>
      </w:r>
      <w:r w:rsidRPr="00192E1C">
        <w:rPr>
          <w:rFonts w:cs="Times New Roman"/>
          <w:i/>
        </w:rPr>
        <w:t>Québec (Commission des droits de la personne et des droits de la jeunesse) c. Directrice de la protection de la jeunesse du CISSS A</w:t>
      </w:r>
      <w:r w:rsidRPr="00192E1C">
        <w:rPr>
          <w:rFonts w:cs="Times New Roman"/>
        </w:rPr>
        <w:t>, 2024 CSC 43, par. 24).</w:t>
      </w:r>
      <w:bookmarkEnd w:id="130"/>
    </w:p>
    <w:p w14:paraId="4B05DD39" w14:textId="77777777" w:rsidR="00192E1C" w:rsidRPr="00192E1C" w:rsidRDefault="00192E1C" w:rsidP="00192E1C">
      <w:pPr>
        <w:pStyle w:val="ParaNoNdepar-AltN"/>
        <w:rPr>
          <w:rFonts w:cs="Times New Roman"/>
        </w:rPr>
      </w:pPr>
      <w:r w:rsidRPr="00192E1C">
        <w:rPr>
          <w:rFonts w:cs="Times New Roman"/>
        </w:rPr>
        <w:t>De façon générale, le par. 495(2) </w:t>
      </w:r>
      <w:r w:rsidRPr="00192E1C">
        <w:rPr>
          <w:rFonts w:cs="Times New Roman"/>
          <w:i/>
        </w:rPr>
        <w:t>C. cr.</w:t>
      </w:r>
      <w:r w:rsidRPr="00192E1C">
        <w:rPr>
          <w:rFonts w:cs="Times New Roman"/>
        </w:rPr>
        <w:t xml:space="preserve"> dispose que l’agent de la paix ne peut arrêter une personne sans mandat dans certaines circonstances, et ce, uniquement pour un nombre restreint d’infractions. La portée du par. 495(2) </w:t>
      </w:r>
      <w:r w:rsidRPr="00192E1C">
        <w:rPr>
          <w:rFonts w:cs="Times New Roman"/>
          <w:i/>
        </w:rPr>
        <w:t>C. cr.</w:t>
      </w:r>
      <w:r w:rsidRPr="00192E1C">
        <w:rPr>
          <w:rFonts w:cs="Times New Roman"/>
        </w:rPr>
        <w:t xml:space="preserve"> est donc limitée — la disposition s’applique uniquement aux infractions mixtes et aux infractions punissables par procédure sommaire, ainsi qu’aux actes criminels mentionnés à l’art. 553 </w:t>
      </w:r>
      <w:r w:rsidRPr="00192E1C">
        <w:rPr>
          <w:rFonts w:cs="Times New Roman"/>
          <w:i/>
        </w:rPr>
        <w:t>C. cr.</w:t>
      </w:r>
      <w:r w:rsidRPr="00192E1C">
        <w:rPr>
          <w:rFonts w:cs="Times New Roman"/>
        </w:rPr>
        <w:t xml:space="preserve"> Les infractions visées à l’art. 553 </w:t>
      </w:r>
      <w:r w:rsidRPr="00192E1C">
        <w:rPr>
          <w:rFonts w:cs="Times New Roman"/>
          <w:i/>
        </w:rPr>
        <w:t>C. cr.</w:t>
      </w:r>
      <w:r w:rsidRPr="00192E1C">
        <w:rPr>
          <w:rFonts w:cs="Times New Roman"/>
        </w:rPr>
        <w:t xml:space="preserve"> sont des actes criminels relevant de la compétence exclusive d’un juge de la cour provinciale (p. ex., le vol (autre qu’un vol de bétail), les paris, le manquement à un engagement ou le non</w:t>
      </w:r>
      <w:r w:rsidRPr="00192E1C">
        <w:rPr>
          <w:rFonts w:cs="Times New Roman"/>
        </w:rPr>
        <w:noBreakHyphen/>
        <w:t xml:space="preserve">respect d’une ordonnance de probation). Par l’effet de l’art. 34 de la </w:t>
      </w:r>
      <w:r w:rsidRPr="00192E1C">
        <w:rPr>
          <w:rFonts w:cs="Times New Roman"/>
          <w:i/>
        </w:rPr>
        <w:t>Loi d’interprétation</w:t>
      </w:r>
      <w:r w:rsidRPr="00192E1C">
        <w:rPr>
          <w:rFonts w:cs="Times New Roman"/>
        </w:rPr>
        <w:t>, L.R.C. 1985, c. I</w:t>
      </w:r>
      <w:r w:rsidRPr="00192E1C">
        <w:rPr>
          <w:rFonts w:cs="Times New Roman"/>
        </w:rPr>
        <w:noBreakHyphen/>
        <w:t>21, les al. 495(2)b) et c) </w:t>
      </w:r>
      <w:r w:rsidRPr="00192E1C">
        <w:rPr>
          <w:rFonts w:cs="Times New Roman"/>
          <w:i/>
        </w:rPr>
        <w:t>C. cr.</w:t>
      </w:r>
      <w:r w:rsidRPr="00192E1C">
        <w:rPr>
          <w:rFonts w:cs="Times New Roman"/>
        </w:rPr>
        <w:t xml:space="preserve"> englobent également des infractions prévues par des textes de loi autres que le </w:t>
      </w:r>
      <w:r w:rsidRPr="00192E1C">
        <w:rPr>
          <w:rFonts w:cs="Times New Roman"/>
          <w:i/>
        </w:rPr>
        <w:t>Code criminel</w:t>
      </w:r>
      <w:r w:rsidRPr="00192E1C">
        <w:rPr>
          <w:rFonts w:cs="Times New Roman"/>
        </w:rPr>
        <w:t xml:space="preserve">, notamment la </w:t>
      </w:r>
      <w:r w:rsidRPr="00192E1C">
        <w:rPr>
          <w:rFonts w:cs="Times New Roman"/>
          <w:i/>
        </w:rPr>
        <w:t>Loi réglementant certaines drogues et autres substances</w:t>
      </w:r>
      <w:r w:rsidRPr="00192E1C">
        <w:rPr>
          <w:rFonts w:cs="Times New Roman"/>
        </w:rPr>
        <w:t>, L.C. 1996, c. 19,</w:t>
      </w:r>
      <w:r w:rsidRPr="00192E1C">
        <w:rPr>
          <w:rFonts w:cs="Times New Roman"/>
          <w:i/>
        </w:rPr>
        <w:t xml:space="preserve"> </w:t>
      </w:r>
      <w:r w:rsidRPr="00192E1C">
        <w:rPr>
          <w:rFonts w:cs="Times New Roman"/>
        </w:rPr>
        <w:t>ou d’autres lois fédérales.</w:t>
      </w:r>
    </w:p>
    <w:p w14:paraId="3B04B736" w14:textId="77777777" w:rsidR="00192E1C" w:rsidRPr="00192E1C" w:rsidRDefault="00192E1C" w:rsidP="00192E1C">
      <w:pPr>
        <w:pStyle w:val="ParaNoNdepar-AltN"/>
        <w:rPr>
          <w:rFonts w:cs="Times New Roman"/>
        </w:rPr>
      </w:pPr>
      <w:r w:rsidRPr="00192E1C">
        <w:rPr>
          <w:rFonts w:cs="Times New Roman"/>
        </w:rPr>
        <w:t>Le paragraphe 495(2) empêche un agent de la paix de procéder à une arrestation sans mandat lorsque deux exigences sont réunies. D’une part, l’agent de la paix doit avoir des motifs raisonnables de croire que l’intérêt public peut être préservé sans qu’il procède à une arrestation sans mandat (al. 495(2)d)). D’autre part, l’agent de la paix ne doit avoir aucun motif raisonnable de croire que la personne omettra de se présenter au tribunal s’il ne l’arrête pas sans mandat (al. 495(2)e)).</w:t>
      </w:r>
    </w:p>
    <w:p w14:paraId="3EF574D9" w14:textId="77777777" w:rsidR="00192E1C" w:rsidRPr="00192E1C" w:rsidRDefault="00192E1C" w:rsidP="00192E1C">
      <w:pPr>
        <w:pStyle w:val="ParaNoNdepar-AltN"/>
        <w:rPr>
          <w:rFonts w:cs="Times New Roman"/>
        </w:rPr>
      </w:pPr>
      <w:r w:rsidRPr="00192E1C">
        <w:rPr>
          <w:rFonts w:cs="Times New Roman"/>
        </w:rPr>
        <w:t>Tout comme les parties, je constate que le par. 495(2) </w:t>
      </w:r>
      <w:r w:rsidRPr="00192E1C">
        <w:rPr>
          <w:rFonts w:cs="Times New Roman"/>
          <w:i/>
        </w:rPr>
        <w:t>C. cr.</w:t>
      </w:r>
      <w:r w:rsidRPr="00192E1C">
        <w:rPr>
          <w:rFonts w:cs="Times New Roman"/>
        </w:rPr>
        <w:t xml:space="preserve"> trouve application uniquement lorsque les deux exigences prévues aux al. </w:t>
      </w:r>
      <w:r w:rsidRPr="00192E1C">
        <w:rPr>
          <w:rFonts w:cs="Times New Roman"/>
          <w:iCs/>
        </w:rPr>
        <w:t>495(2)d) et e) </w:t>
      </w:r>
      <w:r w:rsidRPr="00192E1C">
        <w:rPr>
          <w:rFonts w:cs="Times New Roman"/>
          <w:i/>
          <w:iCs/>
        </w:rPr>
        <w:t>C. cr.</w:t>
      </w:r>
      <w:r w:rsidRPr="00192E1C">
        <w:rPr>
          <w:rFonts w:cs="Times New Roman"/>
          <w:iCs/>
        </w:rPr>
        <w:t xml:space="preserve"> </w:t>
      </w:r>
      <w:r w:rsidRPr="00192E1C">
        <w:rPr>
          <w:rFonts w:cs="Times New Roman"/>
        </w:rPr>
        <w:t xml:space="preserve">sont réunies. </w:t>
      </w:r>
      <w:r w:rsidRPr="00192E1C">
        <w:rPr>
          <w:rFonts w:cs="Times New Roman"/>
          <w:iCs/>
        </w:rPr>
        <w:t>L’utilisation des expressions « d’une part » et « d’autre part » dans la version française des al. 495(2)d) et e) </w:t>
      </w:r>
      <w:r w:rsidRPr="00192E1C">
        <w:rPr>
          <w:rFonts w:cs="Times New Roman"/>
          <w:i/>
          <w:iCs/>
        </w:rPr>
        <w:t>C. cr.</w:t>
      </w:r>
      <w:r w:rsidRPr="00192E1C">
        <w:rPr>
          <w:rFonts w:cs="Times New Roman"/>
          <w:iCs/>
        </w:rPr>
        <w:t>, ainsi que du mot « </w:t>
      </w:r>
      <w:r w:rsidRPr="00192E1C">
        <w:rPr>
          <w:rFonts w:cs="Times New Roman"/>
          <w:i/>
          <w:iCs/>
        </w:rPr>
        <w:t>and</w:t>
      </w:r>
      <w:r w:rsidRPr="00192E1C">
        <w:rPr>
          <w:rFonts w:cs="Times New Roman"/>
          <w:iCs/>
        </w:rPr>
        <w:t> » à la fin de l’al. d) dans la version anglaise, appuie clairement une telle lecture cumulative. L’agent de la paix ne peut arrêter sans mandat si les exigences prévues au par. 495(2) </w:t>
      </w:r>
      <w:r w:rsidRPr="00192E1C">
        <w:rPr>
          <w:rFonts w:cs="Times New Roman"/>
          <w:i/>
          <w:iCs/>
        </w:rPr>
        <w:t xml:space="preserve">C. cr. </w:t>
      </w:r>
      <w:r w:rsidRPr="00192E1C">
        <w:rPr>
          <w:rFonts w:cs="Times New Roman"/>
          <w:iCs/>
        </w:rPr>
        <w:t xml:space="preserve">sont respectées. Toutefois, si l’une des exigences ne l’est pas, il peut arrêter une personne sans mandat. Conclure autrement aurait d’ailleurs comme </w:t>
      </w:r>
      <w:r w:rsidRPr="00192E1C">
        <w:rPr>
          <w:rFonts w:cs="Times New Roman"/>
        </w:rPr>
        <w:t>conséquence absurde d’empêcher un agent de la paix d’effectuer une arrestation sans mandat, risquant ainsi de laisser, par exemple, des éléments de preuve être détruits sous ses yeux, même s’il estime qu’il n’y a pas de risque que la personne s’enfuie. Le Parlement ne peut avoir souhaité un tel résultat.</w:t>
      </w:r>
    </w:p>
    <w:p w14:paraId="699087B0" w14:textId="77777777" w:rsidR="00192E1C" w:rsidRPr="00192E1C" w:rsidRDefault="00192E1C" w:rsidP="00192E1C">
      <w:pPr>
        <w:pStyle w:val="ParaNoNdepar-AltN"/>
        <w:rPr>
          <w:rFonts w:cs="Times New Roman"/>
        </w:rPr>
      </w:pPr>
      <w:bookmarkStart w:id="131" w:name="_Hlk198651279"/>
      <w:bookmarkStart w:id="132" w:name="_Toc198325260"/>
      <w:r w:rsidRPr="00192E1C">
        <w:rPr>
          <w:rFonts w:cs="Times New Roman"/>
        </w:rPr>
        <w:t>Il s’ensuit que, dans l’hypothèse où l’une des conditions du par. 495(2) </w:t>
      </w:r>
      <w:r w:rsidRPr="00192E1C">
        <w:rPr>
          <w:rFonts w:cs="Times New Roman"/>
          <w:i/>
        </w:rPr>
        <w:t>C. cr.</w:t>
      </w:r>
      <w:r w:rsidRPr="00192E1C">
        <w:rPr>
          <w:rFonts w:cs="Times New Roman"/>
        </w:rPr>
        <w:t xml:space="preserve"> faisait défaut, l’agent de la paix pourrait procéder à une arrestation sans mandat en vertu du par. 495(1) </w:t>
      </w:r>
      <w:r w:rsidRPr="00192E1C">
        <w:rPr>
          <w:rFonts w:cs="Times New Roman"/>
          <w:i/>
        </w:rPr>
        <w:t>C. cr.</w:t>
      </w:r>
      <w:r w:rsidRPr="00192E1C">
        <w:rPr>
          <w:rFonts w:cs="Times New Roman"/>
        </w:rPr>
        <w:t xml:space="preserve"> Ainsi, l’agent de la paix serait autorisé à procéder à une telle arrestation s’il avait des motifs raisonnables de croire qu’elle est nécessaire, soit pour la sauvegarde de l’intérêt public, soit pour assurer la comparution de la personne devant le tribunal. À l’inverse, il ne pourrait procéder à cette arrestation si ce n’est ni nécessaire à la sauvegarde de l’intérêt public ni pour assurer la présence de la personne au tribunal.</w:t>
      </w:r>
    </w:p>
    <w:bookmarkEnd w:id="131"/>
    <w:p w14:paraId="68B2697D" w14:textId="77777777" w:rsidR="00192E1C" w:rsidRPr="00192E1C" w:rsidRDefault="00192E1C" w:rsidP="00192E1C">
      <w:pPr>
        <w:pStyle w:val="ParaNoNdepar-AltN"/>
        <w:rPr>
          <w:rFonts w:cs="Times New Roman"/>
        </w:rPr>
      </w:pPr>
      <w:r w:rsidRPr="00192E1C">
        <w:rPr>
          <w:rFonts w:cs="Times New Roman"/>
        </w:rPr>
        <w:t>Je m’attarde maintenant au cœur de l’argument soulevé par l’appelant en ce qui concerne le par. 495(2) </w:t>
      </w:r>
      <w:r w:rsidRPr="00192E1C">
        <w:rPr>
          <w:rFonts w:cs="Times New Roman"/>
          <w:i/>
        </w:rPr>
        <w:t>C. cr.</w:t>
      </w:r>
      <w:r w:rsidRPr="00192E1C">
        <w:rPr>
          <w:rFonts w:cs="Times New Roman"/>
        </w:rPr>
        <w:t xml:space="preserve"> Le texte de cette disposition suggère</w:t>
      </w:r>
      <w:r w:rsidRPr="00192E1C">
        <w:rPr>
          <w:rFonts w:cs="Times New Roman"/>
        </w:rPr>
        <w:noBreakHyphen/>
        <w:t>t</w:t>
      </w:r>
      <w:r w:rsidRPr="00192E1C">
        <w:rPr>
          <w:rFonts w:cs="Times New Roman"/>
        </w:rPr>
        <w:noBreakHyphen/>
        <w:t xml:space="preserve">il que les agents de la paix ont l’obligation impérative de vérifier que les deux </w:t>
      </w:r>
      <w:r w:rsidRPr="00192E1C">
        <w:rPr>
          <w:rFonts w:cs="Times New Roman"/>
          <w:iCs/>
        </w:rPr>
        <w:t>exigences prévues aux al. 495(2)d) et e) </w:t>
      </w:r>
      <w:r w:rsidRPr="00192E1C">
        <w:rPr>
          <w:rFonts w:cs="Times New Roman"/>
          <w:i/>
        </w:rPr>
        <w:t>C. cr.</w:t>
      </w:r>
      <w:r w:rsidRPr="00192E1C">
        <w:rPr>
          <w:rFonts w:cs="Times New Roman"/>
        </w:rPr>
        <w:t xml:space="preserve"> ne </w:t>
      </w:r>
      <w:r w:rsidRPr="00192E1C">
        <w:rPr>
          <w:rFonts w:cs="Times New Roman"/>
          <w:iCs/>
        </w:rPr>
        <w:t xml:space="preserve">sont pas réunies avant de procéder à une arrestation sans mandat </w:t>
      </w:r>
      <w:bookmarkStart w:id="133" w:name="_Hlk215498774"/>
      <w:r w:rsidRPr="00192E1C">
        <w:rPr>
          <w:rFonts w:cs="Times New Roman"/>
          <w:iCs/>
        </w:rPr>
        <w:t>ou constitue</w:t>
      </w:r>
      <w:r w:rsidRPr="00192E1C">
        <w:rPr>
          <w:rFonts w:cs="Times New Roman"/>
          <w:iCs/>
        </w:rPr>
        <w:noBreakHyphen/>
        <w:t>t</w:t>
      </w:r>
      <w:r w:rsidRPr="00192E1C">
        <w:rPr>
          <w:rFonts w:cs="Times New Roman"/>
          <w:iCs/>
        </w:rPr>
        <w:noBreakHyphen/>
        <w:t>il seulement des lignes directrices non contraignantes visant simplement à baliser l’exercice de leur pouvoir discrétionnaire?</w:t>
      </w:r>
      <w:bookmarkEnd w:id="133"/>
    </w:p>
    <w:p w14:paraId="1F85D899" w14:textId="77777777" w:rsidR="00192E1C" w:rsidRPr="00192E1C" w:rsidRDefault="00192E1C" w:rsidP="00192E1C">
      <w:pPr>
        <w:pStyle w:val="ParaNoNdepar-AltN"/>
        <w:rPr>
          <w:rFonts w:cs="Times New Roman"/>
        </w:rPr>
      </w:pPr>
      <w:bookmarkStart w:id="134" w:name="_Hlk215498014"/>
      <w:r w:rsidRPr="00192E1C">
        <w:rPr>
          <w:rFonts w:cs="Times New Roman"/>
        </w:rPr>
        <w:t>Le par. 495(2) </w:t>
      </w:r>
      <w:r w:rsidRPr="00192E1C">
        <w:rPr>
          <w:rFonts w:cs="Times New Roman"/>
          <w:i/>
        </w:rPr>
        <w:t xml:space="preserve">C. cr. </w:t>
      </w:r>
      <w:r w:rsidRPr="00192E1C">
        <w:rPr>
          <w:rFonts w:cs="Times New Roman"/>
        </w:rPr>
        <w:t xml:space="preserve">contient des indices textuels très forts pour conclure à son caractère impératif. </w:t>
      </w:r>
      <w:bookmarkEnd w:id="134"/>
      <w:r w:rsidRPr="00192E1C">
        <w:rPr>
          <w:rFonts w:cs="Times New Roman"/>
        </w:rPr>
        <w:t>En effet, le texte français du par. 495(2) </w:t>
      </w:r>
      <w:r w:rsidRPr="00192E1C">
        <w:rPr>
          <w:rFonts w:cs="Times New Roman"/>
          <w:i/>
        </w:rPr>
        <w:t>C. cr.</w:t>
      </w:r>
      <w:r w:rsidRPr="00192E1C">
        <w:rPr>
          <w:rFonts w:cs="Times New Roman"/>
        </w:rPr>
        <w:t xml:space="preserve"> énonce qu’un agent de la paix « ne peut » procéder à une arrestation sans mandat lorsque les deux exigences mentionnées sont réunies. À mon avis, on peut déduire de l’emploi des termes « ne peut arrêter » (« </w:t>
      </w:r>
      <w:r w:rsidRPr="00192E1C">
        <w:rPr>
          <w:rFonts w:cs="Times New Roman"/>
          <w:i/>
        </w:rPr>
        <w:t>shall not arrest</w:t>
      </w:r>
      <w:r w:rsidRPr="00192E1C">
        <w:rPr>
          <w:rFonts w:cs="Times New Roman"/>
        </w:rPr>
        <w:t xml:space="preserve"> » dans la version anglaise) une </w:t>
      </w:r>
      <w:r w:rsidRPr="00192E1C">
        <w:rPr>
          <w:rFonts w:cs="Times New Roman"/>
          <w:i/>
        </w:rPr>
        <w:t>obligation</w:t>
      </w:r>
      <w:r w:rsidRPr="00192E1C">
        <w:rPr>
          <w:rFonts w:cs="Times New Roman"/>
        </w:rPr>
        <w:t xml:space="preserve"> de ne pas procéder à une arrestation.</w:t>
      </w:r>
    </w:p>
    <w:p w14:paraId="6CD3268B" w14:textId="77777777" w:rsidR="00192E1C" w:rsidRPr="00192E1C" w:rsidRDefault="00192E1C" w:rsidP="00192E1C">
      <w:pPr>
        <w:pStyle w:val="ParaNoNdepar-AltN"/>
        <w:rPr>
          <w:rFonts w:cs="Times New Roman"/>
        </w:rPr>
      </w:pPr>
      <w:r w:rsidRPr="00192E1C">
        <w:rPr>
          <w:rFonts w:cs="Times New Roman"/>
        </w:rPr>
        <w:t xml:space="preserve">Selon notre Cour dans l’arrêt </w:t>
      </w:r>
      <w:r w:rsidRPr="00192E1C">
        <w:rPr>
          <w:rFonts w:cs="Times New Roman"/>
          <w:i/>
        </w:rPr>
        <w:t>Bessette c. Colombie</w:t>
      </w:r>
      <w:r w:rsidRPr="00192E1C">
        <w:rPr>
          <w:rFonts w:cs="Times New Roman"/>
          <w:i/>
        </w:rPr>
        <w:noBreakHyphen/>
        <w:t>Britannique (Procureur général)</w:t>
      </w:r>
      <w:r w:rsidRPr="00192E1C">
        <w:rPr>
          <w:rFonts w:cs="Times New Roman"/>
        </w:rPr>
        <w:t xml:space="preserve">, 2019 CSC 31, [2019] 2 R.C.S. 535, par. 25, la règle d’interprétation codifiée à l’art. 11 de la </w:t>
      </w:r>
      <w:r w:rsidRPr="00192E1C">
        <w:rPr>
          <w:rFonts w:cs="Times New Roman"/>
          <w:i/>
        </w:rPr>
        <w:t>Loi d’interprétation</w:t>
      </w:r>
      <w:r w:rsidRPr="00192E1C">
        <w:rPr>
          <w:rFonts w:cs="Times New Roman"/>
        </w:rPr>
        <w:t xml:space="preserve"> prévoit que « [l]e présent de l’indicatif indique l’obligation » (« </w:t>
      </w:r>
      <w:r w:rsidRPr="00192E1C">
        <w:rPr>
          <w:rFonts w:cs="Times New Roman"/>
          <w:i/>
        </w:rPr>
        <w:t>“[s]hall” is mandatory language</w:t>
      </w:r>
      <w:r w:rsidRPr="00192E1C">
        <w:rPr>
          <w:rFonts w:cs="Times New Roman"/>
        </w:rPr>
        <w:t> »). En l’espèce, l’usage de l’expression « ne peut » (« </w:t>
      </w:r>
      <w:r w:rsidRPr="00192E1C">
        <w:rPr>
          <w:rFonts w:cs="Times New Roman"/>
          <w:i/>
        </w:rPr>
        <w:t>shall not</w:t>
      </w:r>
      <w:r w:rsidRPr="00192E1C">
        <w:rPr>
          <w:rFonts w:cs="Times New Roman"/>
        </w:rPr>
        <w:t xml:space="preserve"> ») témoigne de l’intention du législateur d’atteindre ses objectifs (auxquels je reviendrai) en imposant une interdiction stricte aux agents de la paix d’arrêter une personne sans mandat lorsque certaines conditions cumulatives sont remplies. Comme pour plusieurs autres dispositions du </w:t>
      </w:r>
      <w:r w:rsidRPr="00192E1C">
        <w:rPr>
          <w:rFonts w:cs="Times New Roman"/>
          <w:i/>
        </w:rPr>
        <w:t>Code criminel</w:t>
      </w:r>
      <w:r w:rsidRPr="00192E1C">
        <w:rPr>
          <w:rFonts w:cs="Times New Roman"/>
        </w:rPr>
        <w:t>, l’emploi de l’indicatif présent (et, en anglais, le terme « </w:t>
      </w:r>
      <w:r w:rsidRPr="00192E1C">
        <w:rPr>
          <w:rFonts w:cs="Times New Roman"/>
          <w:i/>
        </w:rPr>
        <w:t>shall</w:t>
      </w:r>
      <w:r w:rsidRPr="00192E1C">
        <w:rPr>
          <w:rFonts w:cs="Times New Roman"/>
        </w:rPr>
        <w:t> ») au par. 495(2) </w:t>
      </w:r>
      <w:r w:rsidRPr="00192E1C">
        <w:rPr>
          <w:rFonts w:cs="Times New Roman"/>
          <w:i/>
        </w:rPr>
        <w:t>C. cr.</w:t>
      </w:r>
      <w:r w:rsidRPr="00192E1C">
        <w:rPr>
          <w:rFonts w:cs="Times New Roman"/>
        </w:rPr>
        <w:t xml:space="preserve"> devrait s’interpréter comme exprimant une obligation (en anglais, le terme « </w:t>
      </w:r>
      <w:r w:rsidRPr="00192E1C">
        <w:rPr>
          <w:rFonts w:cs="Times New Roman"/>
          <w:i/>
        </w:rPr>
        <w:t>shall</w:t>
      </w:r>
      <w:r w:rsidRPr="00192E1C">
        <w:rPr>
          <w:rFonts w:cs="Times New Roman"/>
        </w:rPr>
        <w:t> » devrait s’entendre au sens de « </w:t>
      </w:r>
      <w:r w:rsidRPr="00192E1C">
        <w:rPr>
          <w:rFonts w:cs="Times New Roman"/>
          <w:i/>
        </w:rPr>
        <w:t>must</w:t>
      </w:r>
      <w:r w:rsidRPr="00192E1C">
        <w:rPr>
          <w:rFonts w:cs="Times New Roman"/>
        </w:rPr>
        <w:t xml:space="preserve"> ») (voir, p. ex., </w:t>
      </w:r>
      <w:r w:rsidRPr="00192E1C">
        <w:rPr>
          <w:rFonts w:cs="Times New Roman"/>
          <w:i/>
        </w:rPr>
        <w:t>R. c. Johnson</w:t>
      </w:r>
      <w:r w:rsidRPr="00192E1C">
        <w:rPr>
          <w:rFonts w:cs="Times New Roman"/>
        </w:rPr>
        <w:t xml:space="preserve">, 2003 CSC 46, [2003] 2 R.C.S. 357, par. 16; voir aussi </w:t>
      </w:r>
      <w:r w:rsidRPr="00192E1C">
        <w:rPr>
          <w:rFonts w:cs="Times New Roman"/>
          <w:i/>
        </w:rPr>
        <w:t>Baron c. Canada</w:t>
      </w:r>
      <w:r w:rsidRPr="00192E1C">
        <w:rPr>
          <w:rFonts w:cs="Times New Roman"/>
        </w:rPr>
        <w:t>, [1993] 1 R.C.S. 416, p. 422</w:t>
      </w:r>
      <w:r w:rsidRPr="00192E1C">
        <w:rPr>
          <w:rFonts w:cs="Times New Roman"/>
        </w:rPr>
        <w:noBreakHyphen/>
        <w:t>423)). Il se distingue ainsi du terme « pouvoir » (« </w:t>
      </w:r>
      <w:r w:rsidRPr="00192E1C">
        <w:rPr>
          <w:rFonts w:cs="Times New Roman"/>
          <w:i/>
        </w:rPr>
        <w:t>may</w:t>
      </w:r>
      <w:r w:rsidRPr="00192E1C">
        <w:rPr>
          <w:rFonts w:cs="Times New Roman"/>
        </w:rPr>
        <w:t> ») qui, en règle générale, « connote un certain pouvoir discrétionnaire » (</w:t>
      </w:r>
      <w:r w:rsidRPr="00192E1C">
        <w:rPr>
          <w:rFonts w:cs="Times New Roman"/>
          <w:i/>
        </w:rPr>
        <w:t>Canada (Procureur général) c. Mavi</w:t>
      </w:r>
      <w:r w:rsidRPr="00192E1C">
        <w:rPr>
          <w:rFonts w:cs="Times New Roman"/>
        </w:rPr>
        <w:t>, 2011 CSC 30, [2011] 2 R.C.S. 504, par. 54).</w:t>
      </w:r>
    </w:p>
    <w:p w14:paraId="7B7A8ED7" w14:textId="77777777" w:rsidR="00192E1C" w:rsidRPr="00192E1C" w:rsidRDefault="00192E1C" w:rsidP="00192E1C">
      <w:pPr>
        <w:pStyle w:val="ParaNoNdepar-AltN"/>
        <w:rPr>
          <w:rFonts w:cs="Times New Roman"/>
        </w:rPr>
      </w:pPr>
      <w:r w:rsidRPr="00192E1C">
        <w:rPr>
          <w:rFonts w:cs="Times New Roman"/>
        </w:rPr>
        <w:t>En somme, le texte de la disposition tend à indiquer qu’en pratique les agents de la paix ont, avant de procéder à toute arrestation sans mandat, l’obligation d’évaluer si la sauvegarde de l’intérêt public et la présence de la personne au tribunal peuvent être assurées autrement. Cela voudrait donc dire que les agents de la paix devraient s’abstenir de procéder à une telle arrestation s’ils ont des motifs raisonnables de croire que ces deux conditions sont remplies.</w:t>
      </w:r>
    </w:p>
    <w:p w14:paraId="27C6C11F" w14:textId="77777777" w:rsidR="00192E1C" w:rsidRPr="00192E1C" w:rsidRDefault="00192E1C" w:rsidP="00192E1C">
      <w:pPr>
        <w:pStyle w:val="Title3LevelTitre3Niveau"/>
        <w:numPr>
          <w:ilvl w:val="3"/>
          <w:numId w:val="26"/>
        </w:numPr>
        <w:ind w:left="1152" w:hanging="576"/>
        <w:rPr>
          <w:rFonts w:cs="Times New Roman"/>
          <w:lang w:val="fr-CA"/>
        </w:rPr>
      </w:pPr>
      <w:bookmarkStart w:id="135" w:name="_Toc204271956"/>
      <w:bookmarkStart w:id="136" w:name="_Toc204336577"/>
      <w:bookmarkStart w:id="137" w:name="_Toc204344082"/>
      <w:bookmarkStart w:id="138" w:name="_Toc208319856"/>
      <w:bookmarkStart w:id="139" w:name="_Toc214611158"/>
      <w:bookmarkStart w:id="140" w:name="_Toc215654520"/>
      <w:r w:rsidRPr="00192E1C">
        <w:rPr>
          <w:rFonts w:cs="Times New Roman"/>
          <w:lang w:val="fr-CA"/>
        </w:rPr>
        <w:t>Le contexte</w:t>
      </w:r>
      <w:bookmarkEnd w:id="135"/>
      <w:bookmarkEnd w:id="136"/>
      <w:bookmarkEnd w:id="137"/>
      <w:bookmarkEnd w:id="138"/>
      <w:bookmarkEnd w:id="139"/>
      <w:bookmarkEnd w:id="140"/>
    </w:p>
    <w:p w14:paraId="0EEB9536" w14:textId="77777777" w:rsidR="00192E1C" w:rsidRPr="00192E1C" w:rsidRDefault="00192E1C" w:rsidP="00192E1C">
      <w:pPr>
        <w:pStyle w:val="ParaNoNdepar-AltN"/>
        <w:rPr>
          <w:rFonts w:cs="Times New Roman"/>
        </w:rPr>
      </w:pPr>
      <w:bookmarkStart w:id="141" w:name="_Ref214611635"/>
      <w:r w:rsidRPr="00192E1C">
        <w:rPr>
          <w:rFonts w:cs="Times New Roman"/>
        </w:rPr>
        <w:t>Le contexte du par. 495(2) </w:t>
      </w:r>
      <w:r w:rsidRPr="00192E1C">
        <w:rPr>
          <w:rFonts w:cs="Times New Roman"/>
          <w:i/>
        </w:rPr>
        <w:t>C. cr.</w:t>
      </w:r>
      <w:r w:rsidRPr="00192E1C">
        <w:rPr>
          <w:rFonts w:cs="Times New Roman"/>
        </w:rPr>
        <w:t xml:space="preserve"> vient également appuyer cette interprétation. Pour bien saisir la portée de cette disposition, il importe d’examiner d’abord la relation entre le par. 495(1) et le par. 495(2) </w:t>
      </w:r>
      <w:r w:rsidRPr="00192E1C">
        <w:rPr>
          <w:rFonts w:cs="Times New Roman"/>
          <w:i/>
        </w:rPr>
        <w:t>C. cr.</w:t>
      </w:r>
      <w:r w:rsidRPr="00192E1C">
        <w:rPr>
          <w:rFonts w:cs="Times New Roman"/>
        </w:rPr>
        <w:t xml:space="preserve"> et, ensuite, la relation entre le par. 495(2) et le par. 495(3) </w:t>
      </w:r>
      <w:r w:rsidRPr="00192E1C">
        <w:rPr>
          <w:rFonts w:cs="Times New Roman"/>
          <w:i/>
        </w:rPr>
        <w:t>C. cr.</w:t>
      </w:r>
      <w:bookmarkStart w:id="142" w:name="_Toc204344083"/>
      <w:bookmarkStart w:id="143" w:name="_Toc208319857"/>
      <w:bookmarkStart w:id="144" w:name="_Toc214611159"/>
      <w:bookmarkEnd w:id="141"/>
    </w:p>
    <w:p w14:paraId="7EC7EF03" w14:textId="77777777" w:rsidR="00192E1C" w:rsidRPr="00192E1C" w:rsidRDefault="00192E1C" w:rsidP="00192E1C">
      <w:pPr>
        <w:pStyle w:val="Title4LevelTitre4Niveau"/>
        <w:rPr>
          <w:rFonts w:cs="Times New Roman"/>
        </w:rPr>
      </w:pPr>
      <w:bookmarkStart w:id="145" w:name="_Toc215654521"/>
      <w:r w:rsidRPr="00192E1C">
        <w:rPr>
          <w:rFonts w:cs="Times New Roman"/>
        </w:rPr>
        <w:t>Relation entre le par. 495(1) et le par. 495(2) C. cr.</w:t>
      </w:r>
      <w:bookmarkEnd w:id="142"/>
      <w:bookmarkEnd w:id="143"/>
      <w:bookmarkEnd w:id="144"/>
      <w:bookmarkEnd w:id="145"/>
    </w:p>
    <w:p w14:paraId="57294159" w14:textId="77777777" w:rsidR="00192E1C" w:rsidRPr="00192E1C" w:rsidRDefault="00192E1C" w:rsidP="00192E1C">
      <w:pPr>
        <w:pStyle w:val="ParaNoNdepar-AltN"/>
        <w:rPr>
          <w:rFonts w:cs="Times New Roman"/>
        </w:rPr>
      </w:pPr>
      <w:bookmarkStart w:id="146" w:name="_Ref214611643"/>
      <w:r w:rsidRPr="00192E1C">
        <w:rPr>
          <w:rFonts w:cs="Times New Roman"/>
        </w:rPr>
        <w:t xml:space="preserve">En matière de rédaction législative, il est courant de formuler d’abord une règle générale, puis de la préciser ou de la restreindre au moyen de dispositions plus spécifiques. </w:t>
      </w:r>
      <w:bookmarkStart w:id="147" w:name="_Hlk215499236"/>
      <w:r w:rsidRPr="00192E1C">
        <w:rPr>
          <w:rFonts w:cs="Times New Roman"/>
        </w:rPr>
        <w:t>Dans de tels cas, il est nécessaire de lire ensemble la règle générale et les règles spécifiques </w:t>
      </w:r>
      <w:bookmarkEnd w:id="147"/>
      <w:r w:rsidRPr="00192E1C">
        <w:rPr>
          <w:rFonts w:cs="Times New Roman"/>
        </w:rPr>
        <w:t>: les règles spécifiques viennent moduler la règle générale d’abord énoncée et révèlent la véritable portée de celle</w:t>
      </w:r>
      <w:r w:rsidRPr="00192E1C">
        <w:rPr>
          <w:rFonts w:cs="Times New Roman"/>
        </w:rPr>
        <w:noBreakHyphen/>
        <w:t>ci dans une situation particulière (Côté et Devinat, par. 1074 et suiv.).</w:t>
      </w:r>
      <w:bookmarkEnd w:id="146"/>
    </w:p>
    <w:p w14:paraId="64BCC587" w14:textId="77777777" w:rsidR="00192E1C" w:rsidRPr="00192E1C" w:rsidRDefault="00192E1C" w:rsidP="00192E1C">
      <w:pPr>
        <w:pStyle w:val="ParaNoNdepar-AltN"/>
        <w:rPr>
          <w:rFonts w:cs="Times New Roman"/>
          <w:szCs w:val="24"/>
        </w:rPr>
      </w:pPr>
      <w:r w:rsidRPr="00192E1C">
        <w:rPr>
          <w:rFonts w:cs="Times New Roman"/>
          <w:szCs w:val="24"/>
        </w:rPr>
        <w:t>C’est précisément dans cette logique que s’inscrit la relation entre les par. 495(1) et (2) </w:t>
      </w:r>
      <w:r w:rsidRPr="00192E1C">
        <w:rPr>
          <w:rFonts w:cs="Times New Roman"/>
          <w:i/>
          <w:szCs w:val="24"/>
        </w:rPr>
        <w:t>C. cr.</w:t>
      </w:r>
      <w:r w:rsidRPr="00192E1C">
        <w:rPr>
          <w:rFonts w:cs="Times New Roman"/>
          <w:szCs w:val="24"/>
        </w:rPr>
        <w:t xml:space="preserve"> Le paragraphe 495(2) </w:t>
      </w:r>
      <w:r w:rsidRPr="00192E1C">
        <w:rPr>
          <w:rFonts w:cs="Times New Roman"/>
          <w:i/>
          <w:szCs w:val="24"/>
        </w:rPr>
        <w:t>C. cr.</w:t>
      </w:r>
      <w:r w:rsidRPr="00192E1C">
        <w:rPr>
          <w:rFonts w:cs="Times New Roman"/>
          <w:szCs w:val="24"/>
        </w:rPr>
        <w:t xml:space="preserve"> ne crée pas de pouvoir autonome d’arrestation sans mandat. Ce pouvoir trouve exclusivement sa source normative dans le par. 495(1) </w:t>
      </w:r>
      <w:r w:rsidRPr="00192E1C">
        <w:rPr>
          <w:rFonts w:cs="Times New Roman"/>
          <w:i/>
          <w:szCs w:val="24"/>
        </w:rPr>
        <w:t>C. cr.</w:t>
      </w:r>
      <w:r w:rsidRPr="00192E1C">
        <w:rPr>
          <w:rFonts w:cs="Times New Roman"/>
          <w:szCs w:val="24"/>
        </w:rPr>
        <w:t xml:space="preserve"> Comme plusieurs l’ont déjà souligné, le par. 495(1) </w:t>
      </w:r>
      <w:r w:rsidRPr="00192E1C">
        <w:rPr>
          <w:rFonts w:cs="Times New Roman"/>
          <w:i/>
          <w:szCs w:val="24"/>
        </w:rPr>
        <w:t>C. cr.</w:t>
      </w:r>
      <w:r w:rsidRPr="00192E1C">
        <w:rPr>
          <w:rFonts w:cs="Times New Roman"/>
          <w:szCs w:val="24"/>
        </w:rPr>
        <w:t xml:space="preserve"> demeure le fondement et la pierre angulaire du pouvoir d’arrestation sans mandat (</w:t>
      </w:r>
      <w:r w:rsidRPr="00192E1C">
        <w:rPr>
          <w:rFonts w:cs="Times New Roman"/>
          <w:i/>
          <w:iCs/>
          <w:szCs w:val="24"/>
        </w:rPr>
        <w:t>Jowett Work</w:t>
      </w:r>
      <w:r w:rsidRPr="00192E1C">
        <w:rPr>
          <w:rFonts w:cs="Times New Roman"/>
          <w:szCs w:val="24"/>
        </w:rPr>
        <w:t>, par. 34;</w:t>
      </w:r>
      <w:r w:rsidRPr="00192E1C">
        <w:rPr>
          <w:rFonts w:cs="Times New Roman"/>
          <w:i/>
          <w:iCs/>
          <w:szCs w:val="24"/>
        </w:rPr>
        <w:t xml:space="preserve"> Veen</w:t>
      </w:r>
      <w:r w:rsidRPr="00192E1C">
        <w:rPr>
          <w:rFonts w:cs="Times New Roman"/>
          <w:szCs w:val="24"/>
        </w:rPr>
        <w:t xml:space="preserve"> (C.A.), par. 34; J. A. Scollin, </w:t>
      </w:r>
      <w:r w:rsidRPr="00192E1C">
        <w:rPr>
          <w:rFonts w:cs="Times New Roman"/>
          <w:i/>
          <w:iCs/>
          <w:szCs w:val="24"/>
        </w:rPr>
        <w:t>The Bail Reform Act : An Analysis of Amendments to the Criminal Code Related to Bail and Arrest</w:t>
      </w:r>
      <w:r w:rsidRPr="00192E1C">
        <w:rPr>
          <w:rFonts w:cs="Times New Roman"/>
          <w:szCs w:val="24"/>
        </w:rPr>
        <w:t xml:space="preserve"> (1972), p. 4). Le paragraphe 495(2) </w:t>
      </w:r>
      <w:r w:rsidRPr="00192E1C">
        <w:rPr>
          <w:rFonts w:cs="Times New Roman"/>
          <w:i/>
          <w:szCs w:val="24"/>
        </w:rPr>
        <w:t>C. cr.</w:t>
      </w:r>
      <w:r w:rsidRPr="00192E1C">
        <w:rPr>
          <w:rFonts w:cs="Times New Roman"/>
          <w:szCs w:val="24"/>
        </w:rPr>
        <w:t xml:space="preserve"> doit donc être compris comme une disposition servant à limiter la portée du pouvoir général d’arrestation prévu au par. 495(1) </w:t>
      </w:r>
      <w:r w:rsidRPr="00192E1C">
        <w:rPr>
          <w:rFonts w:cs="Times New Roman"/>
          <w:i/>
          <w:szCs w:val="24"/>
        </w:rPr>
        <w:t xml:space="preserve">C. cr. </w:t>
      </w:r>
      <w:r w:rsidRPr="00192E1C">
        <w:rPr>
          <w:rFonts w:cs="Times New Roman"/>
          <w:szCs w:val="24"/>
        </w:rPr>
        <w:t>lorsque certaines exigences sont satisfaites.</w:t>
      </w:r>
    </w:p>
    <w:p w14:paraId="38F2AFD9" w14:textId="77777777" w:rsidR="00192E1C" w:rsidRPr="00192E1C" w:rsidRDefault="00192E1C" w:rsidP="00192E1C">
      <w:pPr>
        <w:pStyle w:val="ParaNoNdepar-AltN"/>
        <w:rPr>
          <w:rFonts w:cs="Times New Roman"/>
        </w:rPr>
      </w:pPr>
      <w:r w:rsidRPr="00192E1C">
        <w:rPr>
          <w:rFonts w:cs="Times New Roman"/>
        </w:rPr>
        <w:t>Il est donc erroné d’affirmer que le par. 495(2) </w:t>
      </w:r>
      <w:r w:rsidRPr="00192E1C">
        <w:rPr>
          <w:rFonts w:cs="Times New Roman"/>
          <w:i/>
        </w:rPr>
        <w:t>C. cr.</w:t>
      </w:r>
      <w:r w:rsidRPr="00192E1C">
        <w:rPr>
          <w:rFonts w:cs="Times New Roman"/>
        </w:rPr>
        <w:t xml:space="preserve"> permettrait l’exercice d’un tel pouvoir indépendamment des conditions prévues au par. 495(1) </w:t>
      </w:r>
      <w:r w:rsidRPr="00192E1C">
        <w:rPr>
          <w:rFonts w:cs="Times New Roman"/>
          <w:i/>
        </w:rPr>
        <w:t>C. cr.</w:t>
      </w:r>
      <w:r w:rsidRPr="00192E1C">
        <w:rPr>
          <w:rFonts w:cs="Times New Roman"/>
        </w:rPr>
        <w:t xml:space="preserve"> Le paragraphe 495(2) </w:t>
      </w:r>
      <w:r w:rsidRPr="00192E1C">
        <w:rPr>
          <w:rFonts w:cs="Times New Roman"/>
          <w:i/>
          <w:sz w:val="23"/>
          <w:szCs w:val="23"/>
        </w:rPr>
        <w:t>C</w:t>
      </w:r>
      <w:r w:rsidRPr="00192E1C">
        <w:rPr>
          <w:rFonts w:cs="Times New Roman"/>
          <w:i/>
          <w:szCs w:val="24"/>
        </w:rPr>
        <w:t>. cr.</w:t>
      </w:r>
      <w:r w:rsidRPr="00192E1C">
        <w:rPr>
          <w:rFonts w:cs="Times New Roman"/>
          <w:i/>
          <w:sz w:val="23"/>
          <w:szCs w:val="23"/>
        </w:rPr>
        <w:t xml:space="preserve"> </w:t>
      </w:r>
      <w:r w:rsidRPr="00192E1C">
        <w:rPr>
          <w:rFonts w:cs="Times New Roman"/>
        </w:rPr>
        <w:t>ne peut opérer que si, au préalable, l’agent de la paix a des motifs raisonnables de croire qu’un acte criminel a été commis ou est sur le point de l’être, qu’il trouve la personne en train de commettre une infraction criminelle ou qu’il a des motifs raisonnables de croire qu’il y a un mandat d’arrestation ou de dépôt pour cette personne,</w:t>
      </w:r>
      <w:r w:rsidRPr="00192E1C">
        <w:t xml:space="preserve"> </w:t>
      </w:r>
      <w:r w:rsidRPr="00192E1C">
        <w:rPr>
          <w:rFonts w:cs="Times New Roman"/>
        </w:rPr>
        <w:t>conformément au par. 495(1) </w:t>
      </w:r>
      <w:r w:rsidRPr="00192E1C">
        <w:rPr>
          <w:rFonts w:cs="Times New Roman"/>
          <w:i/>
          <w:sz w:val="23"/>
          <w:szCs w:val="23"/>
        </w:rPr>
        <w:t>C</w:t>
      </w:r>
      <w:r w:rsidRPr="00192E1C">
        <w:rPr>
          <w:rFonts w:cs="Times New Roman"/>
          <w:i/>
          <w:szCs w:val="24"/>
        </w:rPr>
        <w:t>. cr.</w:t>
      </w:r>
      <w:r w:rsidRPr="00192E1C">
        <w:rPr>
          <w:rFonts w:cs="Times New Roman"/>
        </w:rPr>
        <w:t xml:space="preserve"> </w:t>
      </w:r>
      <w:r w:rsidRPr="00192E1C">
        <w:rPr>
          <w:rFonts w:cs="Times New Roman"/>
          <w:lang w:val="en-CA"/>
        </w:rPr>
        <w:t>(</w:t>
      </w:r>
      <w:r w:rsidRPr="00192E1C">
        <w:rPr>
          <w:rFonts w:cs="Times New Roman"/>
          <w:i/>
          <w:lang w:val="en-CA"/>
        </w:rPr>
        <w:t>Tremblay c. Ottawa (Police Services Board)</w:t>
      </w:r>
      <w:r w:rsidRPr="00192E1C">
        <w:rPr>
          <w:rFonts w:cs="Times New Roman"/>
          <w:lang w:val="en-CA"/>
        </w:rPr>
        <w:t xml:space="preserve">, 2018 ONCA 497, 48 C.C.L.T. (4th) 1, par. 91). </w:t>
      </w:r>
      <w:r w:rsidRPr="00192E1C">
        <w:rPr>
          <w:rFonts w:cs="Times New Roman"/>
        </w:rPr>
        <w:t>Il s’ensuit logiquement que la question de savoir si le par. 495(2) </w:t>
      </w:r>
      <w:r w:rsidRPr="00192E1C">
        <w:rPr>
          <w:rFonts w:cs="Times New Roman"/>
          <w:i/>
          <w:szCs w:val="24"/>
        </w:rPr>
        <w:t>C. cr.</w:t>
      </w:r>
      <w:r w:rsidRPr="00192E1C">
        <w:rPr>
          <w:rFonts w:cs="Times New Roman"/>
          <w:sz w:val="23"/>
          <w:szCs w:val="23"/>
        </w:rPr>
        <w:t xml:space="preserve"> </w:t>
      </w:r>
      <w:r w:rsidRPr="00192E1C">
        <w:rPr>
          <w:rFonts w:cs="Times New Roman"/>
          <w:szCs w:val="24"/>
        </w:rPr>
        <w:t xml:space="preserve">s’applique doit toujours débuter </w:t>
      </w:r>
      <w:r w:rsidRPr="00192E1C">
        <w:rPr>
          <w:rFonts w:cs="Times New Roman"/>
        </w:rPr>
        <w:t>par celle de l’application du par. 495(1) </w:t>
      </w:r>
      <w:r w:rsidRPr="00192E1C">
        <w:rPr>
          <w:rFonts w:cs="Times New Roman"/>
          <w:i/>
          <w:szCs w:val="24"/>
        </w:rPr>
        <w:t>C. cr.</w:t>
      </w:r>
      <w:r w:rsidRPr="00192E1C">
        <w:rPr>
          <w:rFonts w:cs="Times New Roman"/>
        </w:rPr>
        <w:t> : si celui</w:t>
      </w:r>
      <w:r w:rsidRPr="00192E1C">
        <w:rPr>
          <w:rFonts w:cs="Times New Roman"/>
        </w:rPr>
        <w:noBreakHyphen/>
        <w:t>ci ne trouve pas application ou n’est pas respecté, l’examen du par. 495(2) </w:t>
      </w:r>
      <w:r w:rsidRPr="00192E1C">
        <w:rPr>
          <w:rFonts w:cs="Times New Roman"/>
          <w:i/>
          <w:szCs w:val="24"/>
        </w:rPr>
        <w:t>C. cr.</w:t>
      </w:r>
      <w:r w:rsidRPr="00192E1C">
        <w:rPr>
          <w:rFonts w:cs="Times New Roman"/>
        </w:rPr>
        <w:t xml:space="preserve"> devient sans objet.</w:t>
      </w:r>
    </w:p>
    <w:p w14:paraId="5150EF93" w14:textId="77777777" w:rsidR="00192E1C" w:rsidRPr="00192E1C" w:rsidRDefault="00192E1C" w:rsidP="00192E1C">
      <w:pPr>
        <w:pStyle w:val="ParaNoNdepar-AltN"/>
        <w:rPr>
          <w:rFonts w:cs="Times New Roman"/>
          <w:szCs w:val="24"/>
        </w:rPr>
      </w:pPr>
      <w:r w:rsidRPr="00192E1C">
        <w:rPr>
          <w:rFonts w:cs="Times New Roman"/>
          <w:szCs w:val="24"/>
        </w:rPr>
        <w:t>En résumé, le par. 495(1) </w:t>
      </w:r>
      <w:r w:rsidRPr="00192E1C">
        <w:rPr>
          <w:rFonts w:cs="Times New Roman"/>
          <w:i/>
          <w:szCs w:val="24"/>
        </w:rPr>
        <w:t xml:space="preserve">C. cr. </w:t>
      </w:r>
      <w:r w:rsidRPr="00192E1C">
        <w:rPr>
          <w:rFonts w:cs="Times New Roman"/>
          <w:szCs w:val="24"/>
        </w:rPr>
        <w:t>se distingue du par. (2) en ce qu’il prévoit que l’agent de la paix « peut arrêter sans mandat [. . .] une personne » (« </w:t>
      </w:r>
      <w:r w:rsidRPr="00192E1C">
        <w:rPr>
          <w:rFonts w:cs="Times New Roman"/>
          <w:i/>
          <w:szCs w:val="24"/>
        </w:rPr>
        <w:t>may arrest without warrant</w:t>
      </w:r>
      <w:r w:rsidRPr="00192E1C">
        <w:rPr>
          <w:rFonts w:cs="Times New Roman"/>
          <w:szCs w:val="24"/>
        </w:rPr>
        <w:t xml:space="preserve"> </w:t>
      </w:r>
      <w:r w:rsidRPr="00192E1C">
        <w:rPr>
          <w:rFonts w:cs="Times New Roman"/>
          <w:i/>
          <w:szCs w:val="24"/>
        </w:rPr>
        <w:t>[. . .] a person</w:t>
      </w:r>
      <w:r w:rsidRPr="00192E1C">
        <w:rPr>
          <w:rFonts w:cs="Times New Roman"/>
          <w:szCs w:val="24"/>
        </w:rPr>
        <w:t xml:space="preserve"> »), alors que </w:t>
      </w:r>
      <w:bookmarkStart w:id="148" w:name="_Hlk215501636"/>
      <w:r w:rsidRPr="00192E1C">
        <w:rPr>
          <w:rFonts w:cs="Times New Roman"/>
          <w:szCs w:val="24"/>
        </w:rPr>
        <w:t>le par. 495(2) </w:t>
      </w:r>
      <w:r w:rsidRPr="00192E1C">
        <w:rPr>
          <w:rFonts w:cs="Times New Roman"/>
          <w:i/>
          <w:szCs w:val="24"/>
        </w:rPr>
        <w:t>C. cr.</w:t>
      </w:r>
      <w:r w:rsidRPr="00192E1C">
        <w:rPr>
          <w:rFonts w:cs="Times New Roman"/>
          <w:szCs w:val="24"/>
        </w:rPr>
        <w:t xml:space="preserve"> dit plutôt « ne peut arrêter une personne sans mandat » (« </w:t>
      </w:r>
      <w:r w:rsidRPr="00192E1C">
        <w:rPr>
          <w:rFonts w:cs="Times New Roman"/>
          <w:i/>
          <w:szCs w:val="24"/>
        </w:rPr>
        <w:t>shall not arrest a person without warrant</w:t>
      </w:r>
      <w:r w:rsidRPr="00192E1C">
        <w:rPr>
          <w:rFonts w:cs="Times New Roman"/>
          <w:szCs w:val="24"/>
        </w:rPr>
        <w:t xml:space="preserve"> »). </w:t>
      </w:r>
      <w:bookmarkEnd w:id="148"/>
      <w:r w:rsidRPr="00192E1C">
        <w:rPr>
          <w:rFonts w:cs="Times New Roman"/>
          <w:szCs w:val="24"/>
        </w:rPr>
        <w:t>Le paragraphe 495(1) </w:t>
      </w:r>
      <w:r w:rsidRPr="00192E1C">
        <w:rPr>
          <w:rFonts w:cs="Times New Roman"/>
          <w:i/>
          <w:szCs w:val="24"/>
        </w:rPr>
        <w:t>C. cr.</w:t>
      </w:r>
      <w:r w:rsidRPr="00192E1C">
        <w:rPr>
          <w:rFonts w:cs="Times New Roman"/>
          <w:szCs w:val="24"/>
        </w:rPr>
        <w:t xml:space="preserve"> est donc permissif, puisqu’il opère « octroi de pouvoirs, de droits, d’autorisations ou de facultés » (</w:t>
      </w:r>
      <w:r w:rsidRPr="00192E1C">
        <w:rPr>
          <w:rFonts w:cs="Times New Roman"/>
          <w:i/>
          <w:szCs w:val="24"/>
        </w:rPr>
        <w:t>Loi d’interprétation</w:t>
      </w:r>
      <w:r w:rsidRPr="00192E1C">
        <w:rPr>
          <w:rFonts w:cs="Times New Roman"/>
          <w:szCs w:val="24"/>
        </w:rPr>
        <w:t>, art. 11) et implique donc l’existence d’une [</w:t>
      </w:r>
      <w:r w:rsidRPr="00192E1C">
        <w:rPr>
          <w:rFonts w:cs="Times New Roman"/>
          <w:smallCaps/>
          <w:szCs w:val="24"/>
        </w:rPr>
        <w:t>traduction</w:t>
      </w:r>
      <w:r w:rsidRPr="00192E1C">
        <w:rPr>
          <w:rFonts w:cs="Times New Roman"/>
          <w:szCs w:val="24"/>
        </w:rPr>
        <w:t>] « marge discrétionnaire » (</w:t>
      </w:r>
      <w:r w:rsidRPr="00192E1C">
        <w:rPr>
          <w:rFonts w:cs="Times New Roman"/>
          <w:i/>
          <w:szCs w:val="24"/>
        </w:rPr>
        <w:t>Smith &amp; Rhuland Ltd. c. The Queen</w:t>
      </w:r>
      <w:r w:rsidRPr="00192E1C">
        <w:rPr>
          <w:rFonts w:cs="Times New Roman"/>
          <w:szCs w:val="24"/>
        </w:rPr>
        <w:t xml:space="preserve">, [1953] 2 R.C.S. 95, p. 97). </w:t>
      </w:r>
      <w:bookmarkStart w:id="149" w:name="_Hlk215501736"/>
      <w:r w:rsidRPr="00192E1C">
        <w:rPr>
          <w:rFonts w:cs="Times New Roman"/>
          <w:szCs w:val="24"/>
        </w:rPr>
        <w:t>Le contraste entre « peut » (« </w:t>
      </w:r>
      <w:r w:rsidRPr="00192E1C">
        <w:rPr>
          <w:rFonts w:cs="Times New Roman"/>
          <w:i/>
        </w:rPr>
        <w:t>may </w:t>
      </w:r>
      <w:r w:rsidRPr="00192E1C">
        <w:rPr>
          <w:rFonts w:cs="Times New Roman"/>
          <w:szCs w:val="24"/>
        </w:rPr>
        <w:t>»</w:t>
      </w:r>
      <w:r w:rsidRPr="00192E1C">
        <w:rPr>
          <w:rFonts w:cs="Times New Roman"/>
        </w:rPr>
        <w:t>)</w:t>
      </w:r>
      <w:r w:rsidRPr="00192E1C">
        <w:rPr>
          <w:rFonts w:cs="Times New Roman"/>
          <w:szCs w:val="24"/>
        </w:rPr>
        <w:t xml:space="preserve"> et « ne peut » (« </w:t>
      </w:r>
      <w:r w:rsidRPr="00192E1C">
        <w:rPr>
          <w:rFonts w:cs="Times New Roman"/>
          <w:i/>
        </w:rPr>
        <w:t>shall not </w:t>
      </w:r>
      <w:r w:rsidRPr="00192E1C">
        <w:rPr>
          <w:rFonts w:cs="Times New Roman"/>
          <w:szCs w:val="24"/>
        </w:rPr>
        <w:t>»</w:t>
      </w:r>
      <w:r w:rsidRPr="00192E1C">
        <w:rPr>
          <w:rFonts w:cs="Times New Roman"/>
        </w:rPr>
        <w:t xml:space="preserve">) </w:t>
      </w:r>
      <w:r w:rsidRPr="00192E1C">
        <w:rPr>
          <w:rFonts w:cs="Times New Roman"/>
          <w:szCs w:val="24"/>
        </w:rPr>
        <w:t xml:space="preserve">à l’art. 495 </w:t>
      </w:r>
      <w:r w:rsidRPr="00192E1C">
        <w:rPr>
          <w:rFonts w:cs="Times New Roman"/>
          <w:i/>
          <w:szCs w:val="24"/>
        </w:rPr>
        <w:t>C. cr.</w:t>
      </w:r>
      <w:r w:rsidRPr="00192E1C">
        <w:rPr>
          <w:rFonts w:cs="Times New Roman"/>
          <w:szCs w:val="24"/>
        </w:rPr>
        <w:t xml:space="preserve"> renforce l’idée</w:t>
      </w:r>
      <w:bookmarkEnd w:id="149"/>
      <w:r w:rsidRPr="00192E1C">
        <w:rPr>
          <w:rFonts w:cs="Times New Roman"/>
          <w:szCs w:val="24"/>
        </w:rPr>
        <w:t xml:space="preserve"> selon laquelle l’intention du Parlement était de conférer une certaine marge de discrétion à l’agent de la paix au par. 495(1) </w:t>
      </w:r>
      <w:r w:rsidRPr="00192E1C">
        <w:rPr>
          <w:rFonts w:cs="Times New Roman"/>
          <w:i/>
          <w:szCs w:val="24"/>
        </w:rPr>
        <w:t>C. cr.</w:t>
      </w:r>
      <w:r w:rsidRPr="00192E1C">
        <w:rPr>
          <w:rFonts w:cs="Times New Roman"/>
          <w:szCs w:val="24"/>
        </w:rPr>
        <w:t>, mais de lui imposer une obligation ou un devoir au par. 495(2) </w:t>
      </w:r>
      <w:r w:rsidRPr="00192E1C">
        <w:rPr>
          <w:rFonts w:cs="Times New Roman"/>
          <w:i/>
          <w:szCs w:val="24"/>
        </w:rPr>
        <w:t>C. cr.</w:t>
      </w:r>
      <w:r w:rsidRPr="00192E1C">
        <w:rPr>
          <w:rFonts w:cs="Times New Roman"/>
          <w:szCs w:val="24"/>
        </w:rPr>
        <w:t xml:space="preserve"> (voir, p. ex., </w:t>
      </w:r>
      <w:r w:rsidRPr="00192E1C">
        <w:rPr>
          <w:rFonts w:cs="Times New Roman"/>
          <w:i/>
          <w:szCs w:val="24"/>
        </w:rPr>
        <w:t>Dagg c. Canada (Ministre des Finances)</w:t>
      </w:r>
      <w:r w:rsidRPr="00192E1C">
        <w:rPr>
          <w:rFonts w:cs="Times New Roman"/>
          <w:szCs w:val="24"/>
        </w:rPr>
        <w:t>, [1997] 2 R.C.S. 403, par. 108, le juge La Forest, dissident, mais non sur ce point).</w:t>
      </w:r>
    </w:p>
    <w:p w14:paraId="2903A8C7" w14:textId="77777777" w:rsidR="00192E1C" w:rsidRPr="00192E1C" w:rsidRDefault="00192E1C" w:rsidP="00192E1C">
      <w:pPr>
        <w:pStyle w:val="ParaNoNdepar-AltN"/>
        <w:rPr>
          <w:rFonts w:cs="Times New Roman"/>
          <w:sz w:val="23"/>
          <w:szCs w:val="23"/>
        </w:rPr>
      </w:pPr>
      <w:bookmarkStart w:id="150" w:name="_Hlk215501888"/>
      <w:r w:rsidRPr="00192E1C">
        <w:rPr>
          <w:rFonts w:cs="Times New Roman"/>
        </w:rPr>
        <w:t xml:space="preserve">Je note aussi que </w:t>
      </w:r>
      <w:bookmarkStart w:id="151" w:name="_Hlk198656203"/>
      <w:r w:rsidRPr="00192E1C">
        <w:rPr>
          <w:rFonts w:cs="Times New Roman"/>
        </w:rPr>
        <w:t>la note marginale du par. 495(2) </w:t>
      </w:r>
      <w:bookmarkEnd w:id="151"/>
      <w:r w:rsidRPr="00192E1C">
        <w:rPr>
          <w:rFonts w:cs="Times New Roman"/>
          <w:i/>
          <w:sz w:val="23"/>
          <w:szCs w:val="23"/>
        </w:rPr>
        <w:t>C. cr.</w:t>
      </w:r>
      <w:r w:rsidRPr="00192E1C">
        <w:rPr>
          <w:rFonts w:cs="Times New Roman"/>
          <w:sz w:val="23"/>
          <w:szCs w:val="23"/>
        </w:rPr>
        <w:t xml:space="preserve"> </w:t>
      </w:r>
      <w:r w:rsidRPr="00192E1C">
        <w:rPr>
          <w:rFonts w:cs="Times New Roman"/>
        </w:rPr>
        <w:t xml:space="preserve">est intitulée </w:t>
      </w:r>
      <w:bookmarkStart w:id="152" w:name="_Hlk198656500"/>
      <w:r w:rsidRPr="00192E1C">
        <w:rPr>
          <w:rFonts w:cs="Times New Roman"/>
        </w:rPr>
        <w:t>« Restriction » (« </w:t>
      </w:r>
      <w:r w:rsidRPr="00192E1C">
        <w:rPr>
          <w:rFonts w:cs="Times New Roman"/>
          <w:i/>
        </w:rPr>
        <w:t>Limitation </w:t>
      </w:r>
      <w:r w:rsidRPr="00192E1C">
        <w:rPr>
          <w:rFonts w:cs="Times New Roman"/>
        </w:rPr>
        <w:t>»)</w:t>
      </w:r>
      <w:bookmarkEnd w:id="150"/>
      <w:r w:rsidRPr="00192E1C">
        <w:rPr>
          <w:rFonts w:cs="Times New Roman"/>
        </w:rPr>
        <w:t xml:space="preserve">. </w:t>
      </w:r>
      <w:bookmarkEnd w:id="152"/>
      <w:r w:rsidRPr="00192E1C">
        <w:rPr>
          <w:rFonts w:cs="Times New Roman"/>
        </w:rPr>
        <w:t>Bien que cette note marginale ne fasse pas partie du contenu de la disposition (</w:t>
      </w:r>
      <w:r w:rsidRPr="00192E1C">
        <w:rPr>
          <w:rFonts w:cs="Times New Roman"/>
          <w:i/>
        </w:rPr>
        <w:t>Loi d’interprétation</w:t>
      </w:r>
      <w:r w:rsidRPr="00192E1C">
        <w:rPr>
          <w:rFonts w:cs="Times New Roman"/>
        </w:rPr>
        <w:t>, art. 14), elle sert néanmoins d’indice additionnel appuyant l’interprétation selon laquelle le par. 495(2) </w:t>
      </w:r>
      <w:r w:rsidRPr="00192E1C">
        <w:rPr>
          <w:rFonts w:cs="Times New Roman"/>
          <w:i/>
          <w:sz w:val="23"/>
          <w:szCs w:val="23"/>
        </w:rPr>
        <w:t>C. cr.</w:t>
      </w:r>
      <w:r w:rsidRPr="00192E1C">
        <w:rPr>
          <w:rFonts w:cs="Times New Roman"/>
          <w:sz w:val="23"/>
          <w:szCs w:val="23"/>
        </w:rPr>
        <w:t xml:space="preserve"> </w:t>
      </w:r>
      <w:r w:rsidRPr="00192E1C">
        <w:rPr>
          <w:rFonts w:cs="Times New Roman"/>
        </w:rPr>
        <w:t>restreint de façon contraignante les pouvoirs énoncés au par. 495(1) </w:t>
      </w:r>
      <w:r w:rsidRPr="00192E1C">
        <w:rPr>
          <w:rFonts w:cs="Times New Roman"/>
          <w:i/>
          <w:sz w:val="23"/>
          <w:szCs w:val="23"/>
        </w:rPr>
        <w:t>C. cr.</w:t>
      </w:r>
      <w:bookmarkStart w:id="153" w:name="_Toc204344084"/>
      <w:bookmarkStart w:id="154" w:name="_Toc208319858"/>
      <w:bookmarkStart w:id="155" w:name="_Toc214611160"/>
    </w:p>
    <w:p w14:paraId="0C6EB3FC" w14:textId="77777777" w:rsidR="00192E1C" w:rsidRPr="00192E1C" w:rsidRDefault="00192E1C" w:rsidP="00192E1C">
      <w:pPr>
        <w:pStyle w:val="Title4LevelTitre4Niveau"/>
        <w:numPr>
          <w:ilvl w:val="1"/>
          <w:numId w:val="26"/>
        </w:numPr>
        <w:ind w:left="1152" w:hanging="576"/>
        <w:rPr>
          <w:rFonts w:cs="Times New Roman"/>
        </w:rPr>
      </w:pPr>
      <w:bookmarkStart w:id="156" w:name="_Toc215654522"/>
      <w:r w:rsidRPr="00192E1C">
        <w:rPr>
          <w:rFonts w:cs="Times New Roman"/>
        </w:rPr>
        <w:t>Relation entre le par. 495(2) et le par. 495(3)</w:t>
      </w:r>
      <w:bookmarkEnd w:id="153"/>
      <w:bookmarkEnd w:id="154"/>
      <w:bookmarkEnd w:id="155"/>
      <w:bookmarkEnd w:id="156"/>
      <w:r w:rsidRPr="00192E1C">
        <w:rPr>
          <w:rFonts w:cs="Times New Roman"/>
        </w:rPr>
        <w:t> C. cr.</w:t>
      </w:r>
    </w:p>
    <w:p w14:paraId="0DFB8E49" w14:textId="77777777" w:rsidR="00192E1C" w:rsidRPr="00192E1C" w:rsidRDefault="00192E1C" w:rsidP="00192E1C">
      <w:pPr>
        <w:pStyle w:val="ParaNoNdepar-AltN"/>
        <w:rPr>
          <w:rFonts w:cs="Times New Roman"/>
        </w:rPr>
      </w:pPr>
      <w:bookmarkStart w:id="157" w:name="_Ref214611681"/>
      <w:r w:rsidRPr="00192E1C">
        <w:rPr>
          <w:rFonts w:cs="Times New Roman"/>
        </w:rPr>
        <w:t>Toujours dans l’analyse du contexte de la disposition, j’examine la relation entre le par. 495(2) </w:t>
      </w:r>
      <w:r w:rsidRPr="00192E1C">
        <w:rPr>
          <w:rFonts w:cs="Times New Roman"/>
          <w:i/>
          <w:sz w:val="23"/>
          <w:szCs w:val="23"/>
        </w:rPr>
        <w:t>C</w:t>
      </w:r>
      <w:r w:rsidRPr="00192E1C">
        <w:rPr>
          <w:rFonts w:cs="Times New Roman"/>
          <w:i/>
          <w:szCs w:val="24"/>
        </w:rPr>
        <w:t>. cr</w:t>
      </w:r>
      <w:r w:rsidRPr="00192E1C">
        <w:rPr>
          <w:rFonts w:cs="Times New Roman"/>
          <w:i/>
          <w:sz w:val="23"/>
          <w:szCs w:val="23"/>
        </w:rPr>
        <w:t xml:space="preserve">. </w:t>
      </w:r>
      <w:r w:rsidRPr="00192E1C">
        <w:rPr>
          <w:rFonts w:cs="Times New Roman"/>
        </w:rPr>
        <w:t>et le par. 495(3) </w:t>
      </w:r>
      <w:r w:rsidRPr="00192E1C">
        <w:rPr>
          <w:rFonts w:cs="Times New Roman"/>
          <w:i/>
          <w:szCs w:val="24"/>
        </w:rPr>
        <w:t>C. cr.</w:t>
      </w:r>
      <w:r w:rsidRPr="00192E1C">
        <w:rPr>
          <w:rFonts w:cs="Times New Roman"/>
        </w:rPr>
        <w:t xml:space="preserve"> Je remarque qu’un élément contextuel non négligeable confirmant la force obligatoire et le caractère impératif du par. 495(2) </w:t>
      </w:r>
      <w:r w:rsidRPr="00192E1C">
        <w:rPr>
          <w:rFonts w:cs="Times New Roman"/>
          <w:i/>
          <w:szCs w:val="24"/>
        </w:rPr>
        <w:t>C. cr.</w:t>
      </w:r>
      <w:r w:rsidRPr="00192E1C">
        <w:rPr>
          <w:rFonts w:cs="Times New Roman"/>
          <w:i/>
          <w:sz w:val="23"/>
          <w:szCs w:val="23"/>
        </w:rPr>
        <w:t xml:space="preserve"> </w:t>
      </w:r>
      <w:r w:rsidRPr="00192E1C">
        <w:rPr>
          <w:rFonts w:cs="Times New Roman"/>
        </w:rPr>
        <w:t>est l’existence même du par. 495(3) </w:t>
      </w:r>
      <w:r w:rsidRPr="00192E1C">
        <w:rPr>
          <w:rFonts w:cs="Times New Roman"/>
          <w:i/>
        </w:rPr>
        <w:t>C. cr.</w:t>
      </w:r>
      <w:r w:rsidRPr="00192E1C">
        <w:rPr>
          <w:rFonts w:cs="Times New Roman"/>
        </w:rPr>
        <w:t xml:space="preserve"> En effet, si le par. 495(2) </w:t>
      </w:r>
      <w:r w:rsidRPr="00192E1C">
        <w:rPr>
          <w:rFonts w:cs="Times New Roman"/>
          <w:i/>
        </w:rPr>
        <w:t>C. cr.</w:t>
      </w:r>
      <w:r w:rsidRPr="00192E1C">
        <w:rPr>
          <w:rFonts w:cs="Times New Roman"/>
        </w:rPr>
        <w:t xml:space="preserve"> n’avait aucune portée normative, il aurait été inutile de créer une forme de présomption de légalité « [n]onobstant le paragraphe (2) » (« </w:t>
      </w:r>
      <w:r w:rsidRPr="00192E1C">
        <w:rPr>
          <w:rFonts w:cs="Times New Roman"/>
          <w:i/>
        </w:rPr>
        <w:t>[n]otwithstanding subsection (2)</w:t>
      </w:r>
      <w:r w:rsidRPr="00192E1C">
        <w:rPr>
          <w:rFonts w:cs="Times New Roman"/>
        </w:rPr>
        <w:t xml:space="preserve"> ») au par. 495(3) </w:t>
      </w:r>
      <w:r w:rsidRPr="00192E1C">
        <w:rPr>
          <w:rFonts w:cs="Times New Roman"/>
          <w:i/>
        </w:rPr>
        <w:t>C. cr.</w:t>
      </w:r>
      <w:r w:rsidRPr="00192E1C">
        <w:rPr>
          <w:rFonts w:cs="Times New Roman"/>
        </w:rPr>
        <w:t xml:space="preserve"> Le paragraphe 495(3) </w:t>
      </w:r>
      <w:r w:rsidRPr="00192E1C">
        <w:rPr>
          <w:rFonts w:cs="Times New Roman"/>
          <w:i/>
        </w:rPr>
        <w:t>C. cr.</w:t>
      </w:r>
      <w:r w:rsidRPr="00192E1C">
        <w:rPr>
          <w:rFonts w:cs="Times New Roman"/>
        </w:rPr>
        <w:t xml:space="preserve"> tend donc lui aussi à indiquer que le par. 495(2) </w:t>
      </w:r>
      <w:r w:rsidRPr="00192E1C">
        <w:rPr>
          <w:rFonts w:cs="Times New Roman"/>
          <w:i/>
        </w:rPr>
        <w:t>C. cr.</w:t>
      </w:r>
      <w:r w:rsidRPr="00192E1C">
        <w:rPr>
          <w:rFonts w:cs="Times New Roman"/>
        </w:rPr>
        <w:t xml:space="preserve"> impose une véritable obligation, puisque le par. (3) contient des mécanismes de protection en cas de manquement au par. (2).</w:t>
      </w:r>
      <w:bookmarkEnd w:id="157"/>
    </w:p>
    <w:p w14:paraId="068E41CB" w14:textId="77777777" w:rsidR="00192E1C" w:rsidRPr="00192E1C" w:rsidRDefault="00192E1C" w:rsidP="00192E1C">
      <w:pPr>
        <w:pStyle w:val="Title4LevelTitre4Niveau"/>
        <w:numPr>
          <w:ilvl w:val="1"/>
          <w:numId w:val="26"/>
        </w:numPr>
        <w:ind w:left="1152" w:hanging="576"/>
        <w:rPr>
          <w:rFonts w:cs="Times New Roman"/>
        </w:rPr>
      </w:pPr>
      <w:bookmarkStart w:id="158" w:name="_Toc204344085"/>
      <w:bookmarkStart w:id="159" w:name="_Toc208319859"/>
      <w:bookmarkStart w:id="160" w:name="_Toc214611161"/>
      <w:bookmarkStart w:id="161" w:name="_Toc215654523"/>
      <w:r w:rsidRPr="00192E1C">
        <w:rPr>
          <w:rFonts w:cs="Times New Roman"/>
        </w:rPr>
        <w:t>Conclusion sur le contexte du par. 495(2) C. cr.</w:t>
      </w:r>
      <w:bookmarkEnd w:id="158"/>
      <w:bookmarkEnd w:id="159"/>
      <w:bookmarkEnd w:id="160"/>
      <w:bookmarkEnd w:id="161"/>
    </w:p>
    <w:p w14:paraId="1A7EAFDC" w14:textId="77777777" w:rsidR="00192E1C" w:rsidRPr="00192E1C" w:rsidRDefault="00192E1C" w:rsidP="00192E1C">
      <w:pPr>
        <w:pStyle w:val="ParaNoNdepar-AltN"/>
        <w:rPr>
          <w:rFonts w:cs="Times New Roman"/>
        </w:rPr>
      </w:pPr>
      <w:bookmarkStart w:id="162" w:name="_Ref214611693"/>
      <w:r w:rsidRPr="00192E1C">
        <w:rPr>
          <w:rFonts w:cs="Times New Roman"/>
        </w:rPr>
        <w:t>En résumé, l’analyse du contexte des par. 495(1), (2) et (3) </w:t>
      </w:r>
      <w:r w:rsidRPr="00192E1C">
        <w:rPr>
          <w:rFonts w:cs="Times New Roman"/>
          <w:i/>
        </w:rPr>
        <w:t>C. cr.</w:t>
      </w:r>
      <w:r w:rsidRPr="00192E1C">
        <w:rPr>
          <w:rFonts w:cs="Times New Roman"/>
        </w:rPr>
        <w:t xml:space="preserve"> révèle une structure législative cohérente où chaque disposition joue un rôle complémentaire. Le paragraphe 495(1) </w:t>
      </w:r>
      <w:r w:rsidRPr="00192E1C">
        <w:rPr>
          <w:rFonts w:cs="Times New Roman"/>
          <w:i/>
        </w:rPr>
        <w:t>C. cr.</w:t>
      </w:r>
      <w:r w:rsidRPr="00192E1C">
        <w:rPr>
          <w:rFonts w:cs="Times New Roman"/>
        </w:rPr>
        <w:t xml:space="preserve"> établit un pouvoir d’arrestation sans mandat, tandis que le par. 495(2) </w:t>
      </w:r>
      <w:r w:rsidRPr="00192E1C">
        <w:rPr>
          <w:rFonts w:cs="Times New Roman"/>
          <w:i/>
        </w:rPr>
        <w:t>C. cr.</w:t>
      </w:r>
      <w:r w:rsidRPr="00192E1C">
        <w:rPr>
          <w:rFonts w:cs="Times New Roman"/>
        </w:rPr>
        <w:t xml:space="preserve"> en encadre strictement l’exercice en imposant des restrictions contraignantes. L’existence du par. 495(3) </w:t>
      </w:r>
      <w:r w:rsidRPr="00192E1C">
        <w:rPr>
          <w:rFonts w:cs="Times New Roman"/>
          <w:i/>
        </w:rPr>
        <w:t>C. cr.</w:t>
      </w:r>
      <w:r w:rsidRPr="00192E1C">
        <w:rPr>
          <w:rFonts w:cs="Times New Roman"/>
        </w:rPr>
        <w:t xml:space="preserve"> confirme le caractère normatif du par. 495(2) </w:t>
      </w:r>
      <w:r w:rsidRPr="00192E1C">
        <w:rPr>
          <w:rFonts w:cs="Times New Roman"/>
          <w:i/>
        </w:rPr>
        <w:t>C. cr.</w:t>
      </w:r>
      <w:r w:rsidRPr="00192E1C">
        <w:rPr>
          <w:rFonts w:cs="Times New Roman"/>
        </w:rPr>
        <w:t>, en ce qu’il prévoit des mécanismes de protection en cas de non</w:t>
      </w:r>
      <w:r w:rsidRPr="00192E1C">
        <w:rPr>
          <w:rFonts w:cs="Times New Roman"/>
        </w:rPr>
        <w:noBreakHyphen/>
        <w:t>respect.</w:t>
      </w:r>
      <w:bookmarkEnd w:id="162"/>
    </w:p>
    <w:p w14:paraId="092D5DB9" w14:textId="77777777" w:rsidR="00192E1C" w:rsidRPr="00192E1C" w:rsidRDefault="00192E1C" w:rsidP="00192E1C">
      <w:pPr>
        <w:pStyle w:val="Title3LevelTitre3Niveau"/>
        <w:numPr>
          <w:ilvl w:val="3"/>
          <w:numId w:val="25"/>
        </w:numPr>
        <w:ind w:left="1152" w:hanging="576"/>
        <w:rPr>
          <w:rFonts w:cs="Times New Roman"/>
          <w:lang w:val="fr-CA"/>
        </w:rPr>
      </w:pPr>
      <w:bookmarkStart w:id="163" w:name="_Toc204271957"/>
      <w:bookmarkStart w:id="164" w:name="_Toc204336578"/>
      <w:bookmarkStart w:id="165" w:name="_Toc204344086"/>
      <w:bookmarkStart w:id="166" w:name="_Toc208319860"/>
      <w:bookmarkStart w:id="167" w:name="_Toc214611162"/>
      <w:bookmarkStart w:id="168" w:name="_Toc215654524"/>
      <w:r w:rsidRPr="00192E1C">
        <w:rPr>
          <w:rFonts w:cs="Times New Roman"/>
          <w:lang w:val="fr-CA"/>
        </w:rPr>
        <w:t>L’objet du par. 495(2) </w:t>
      </w:r>
      <w:r w:rsidRPr="00192E1C">
        <w:rPr>
          <w:rFonts w:cs="Times New Roman"/>
          <w:i/>
          <w:lang w:val="fr-CA"/>
        </w:rPr>
        <w:t>C. cr.</w:t>
      </w:r>
      <w:bookmarkEnd w:id="163"/>
      <w:bookmarkEnd w:id="164"/>
      <w:bookmarkEnd w:id="165"/>
      <w:bookmarkEnd w:id="166"/>
      <w:bookmarkEnd w:id="167"/>
      <w:bookmarkEnd w:id="168"/>
    </w:p>
    <w:p w14:paraId="2C712AAB" w14:textId="77777777" w:rsidR="00192E1C" w:rsidRPr="00192E1C" w:rsidRDefault="00192E1C" w:rsidP="00192E1C">
      <w:pPr>
        <w:pStyle w:val="ParaNoNdepar-AltN"/>
        <w:rPr>
          <w:rFonts w:cs="Times New Roman"/>
        </w:rPr>
      </w:pPr>
      <w:bookmarkStart w:id="169" w:name="_Ref214611704"/>
      <w:r w:rsidRPr="00192E1C">
        <w:rPr>
          <w:rFonts w:cs="Times New Roman"/>
        </w:rPr>
        <w:t>L’interprétation selon laquelle le par. 495(2) </w:t>
      </w:r>
      <w:r w:rsidRPr="00192E1C">
        <w:rPr>
          <w:rFonts w:cs="Times New Roman"/>
          <w:i/>
        </w:rPr>
        <w:t xml:space="preserve">C. cr. </w:t>
      </w:r>
      <w:r w:rsidRPr="00192E1C">
        <w:rPr>
          <w:rFonts w:cs="Times New Roman"/>
        </w:rPr>
        <w:t>limite le pouvoir d’arrestation de l’agent de la paix est en outre compatible avec l’objet de cette disposition.</w:t>
      </w:r>
      <w:bookmarkEnd w:id="169"/>
    </w:p>
    <w:p w14:paraId="0C7EBF43" w14:textId="77777777" w:rsidR="00192E1C" w:rsidRPr="00192E1C" w:rsidRDefault="00192E1C" w:rsidP="00192E1C">
      <w:pPr>
        <w:pStyle w:val="ParaNoNdepar-AltN"/>
        <w:rPr>
          <w:rFonts w:eastAsia="Times New Roman" w:cs="Times New Roman"/>
          <w:szCs w:val="24"/>
        </w:rPr>
      </w:pPr>
      <w:bookmarkStart w:id="170" w:name="_Hlk201132435"/>
      <w:r w:rsidRPr="00192E1C">
        <w:rPr>
          <w:rFonts w:cs="Times New Roman"/>
        </w:rPr>
        <w:t>En effet, comme je l’ai évoqué plus tôt, le par. 495(2) </w:t>
      </w:r>
      <w:r w:rsidRPr="00192E1C">
        <w:rPr>
          <w:rFonts w:cs="Times New Roman"/>
          <w:i/>
        </w:rPr>
        <w:t>C. cr.</w:t>
      </w:r>
      <w:r w:rsidRPr="00192E1C">
        <w:rPr>
          <w:rFonts w:cs="Times New Roman"/>
        </w:rPr>
        <w:t xml:space="preserve"> a été adopté dans le cadre d’un projet de loi visant à réduire les « arrestations et détentions préventives non nécessaires » en limitant les « injustices discrétionnaires » (</w:t>
      </w:r>
      <w:r w:rsidRPr="00192E1C">
        <w:rPr>
          <w:rFonts w:cs="Times New Roman"/>
          <w:i/>
        </w:rPr>
        <w:t>Débats de la Chambre des communes</w:t>
      </w:r>
      <w:r w:rsidRPr="00192E1C">
        <w:rPr>
          <w:rFonts w:cs="Times New Roman"/>
        </w:rPr>
        <w:t>, 5 février 1971, p. 3116; voir aussi les p. 3114 et 3118).</w:t>
      </w:r>
      <w:r w:rsidRPr="00192E1C">
        <w:rPr>
          <w:rFonts w:cs="Times New Roman"/>
          <w:i/>
        </w:rPr>
        <w:t xml:space="preserve"> </w:t>
      </w:r>
      <w:r w:rsidRPr="00192E1C">
        <w:rPr>
          <w:rFonts w:cs="Times New Roman"/>
        </w:rPr>
        <w:t xml:space="preserve">Afin d’atteindre cet objectif, le Parlement souhaitait que l’on « charge la police de nouvelles obligations pour qu’elle ne perde pas de vue les exigences de l’intérêt public », mais également que l’on confère à l’agent de la paix « la souplesse ou la direction qui l’aiderait à juger </w:t>
      </w:r>
      <w:r w:rsidRPr="00192E1C">
        <w:rPr>
          <w:rFonts w:cs="Times New Roman"/>
          <w:szCs w:val="24"/>
        </w:rPr>
        <w:t>s’il doit faire une arrestation ou non » (p. 3114 et 3116</w:t>
      </w:r>
      <w:r w:rsidRPr="00192E1C">
        <w:rPr>
          <w:rFonts w:cs="Times New Roman"/>
          <w:szCs w:val="24"/>
        </w:rPr>
        <w:noBreakHyphen/>
        <w:t>3117 (</w:t>
      </w:r>
      <w:r w:rsidRPr="00192E1C">
        <w:rPr>
          <w:rFonts w:cs="Times New Roman"/>
        </w:rPr>
        <w:t>l’hon. </w:t>
      </w:r>
      <w:r w:rsidRPr="00192E1C">
        <w:rPr>
          <w:rFonts w:cs="Times New Roman"/>
          <w:szCs w:val="24"/>
        </w:rPr>
        <w:t>J. Turner)).</w:t>
      </w:r>
    </w:p>
    <w:bookmarkEnd w:id="170"/>
    <w:p w14:paraId="757C1859" w14:textId="77777777" w:rsidR="00192E1C" w:rsidRPr="00192E1C" w:rsidRDefault="00192E1C" w:rsidP="00192E1C">
      <w:pPr>
        <w:pStyle w:val="ParaNoNdepar-AltN"/>
        <w:rPr>
          <w:rFonts w:eastAsia="Times New Roman" w:cs="Times New Roman"/>
        </w:rPr>
      </w:pPr>
      <w:r w:rsidRPr="00192E1C">
        <w:rPr>
          <w:rFonts w:eastAsia="Times New Roman" w:cs="Times New Roman"/>
        </w:rPr>
        <w:t xml:space="preserve">L’appelant interprète ce passage des débats parlementaires comme signalant que le Parlement avait pour objectif d’augmenter la </w:t>
      </w:r>
      <w:r w:rsidRPr="00192E1C">
        <w:rPr>
          <w:rFonts w:eastAsia="Times New Roman" w:cs="Times New Roman"/>
          <w:i/>
        </w:rPr>
        <w:t>discrétion</w:t>
      </w:r>
      <w:r w:rsidRPr="00192E1C">
        <w:rPr>
          <w:rFonts w:eastAsia="Times New Roman" w:cs="Times New Roman"/>
        </w:rPr>
        <w:t xml:space="preserve"> des agents de la paix de procéder à une arrestation sans mandat (m.a., par. 44). Avec égards, je suis en désaccord.</w:t>
      </w:r>
    </w:p>
    <w:p w14:paraId="34BEF236" w14:textId="77777777" w:rsidR="00192E1C" w:rsidRPr="00192E1C" w:rsidRDefault="00192E1C" w:rsidP="00192E1C">
      <w:pPr>
        <w:pStyle w:val="ParaNoNdepar-AltN"/>
        <w:rPr>
          <w:rFonts w:eastAsia="Times New Roman" w:cs="Times New Roman"/>
        </w:rPr>
      </w:pPr>
      <w:r w:rsidRPr="00192E1C">
        <w:rPr>
          <w:rFonts w:eastAsia="Times New Roman" w:cs="Times New Roman"/>
        </w:rPr>
        <w:t xml:space="preserve">Bien que, dans le cadre de sa réforme législative, le Parlement ait doté les agents de la paix de nouveaux outils pour éviter le recours à l’arrestation — comme la possibilité de délivrer une citation à comparaître —, son intention et l’objectif de la loi ne consistaient pas à laisser intact leur pouvoir discrétionnaire, mais plutôt à le restreindre. </w:t>
      </w:r>
      <w:r w:rsidRPr="00192E1C">
        <w:rPr>
          <w:rFonts w:cs="Times New Roman"/>
        </w:rPr>
        <w:t>Conformément à l’objectif avoué de réduire les arrestations sans mandat non nécessaires, le ministre Turner a expliqué que la loi visait à « modifier la discrétion totale dont disposait la police pour arrêter les prévenus » qui prévalait jusque</w:t>
      </w:r>
      <w:r w:rsidRPr="00192E1C">
        <w:rPr>
          <w:rFonts w:cs="Times New Roman"/>
        </w:rPr>
        <w:noBreakHyphen/>
        <w:t xml:space="preserve">là dans le </w:t>
      </w:r>
      <w:r w:rsidRPr="00192E1C">
        <w:rPr>
          <w:rFonts w:cs="Times New Roman"/>
          <w:i/>
        </w:rPr>
        <w:t>Code criminel</w:t>
      </w:r>
      <w:r w:rsidRPr="00192E1C">
        <w:rPr>
          <w:rFonts w:cs="Times New Roman"/>
        </w:rPr>
        <w:t xml:space="preserve"> afin de la limiter à « une discrétion selon laquelle le policier ne doit pas arrêter une personne à l’égard de certaines infractions lorsqu’il a des motifs raisonnables et probables de croire que l’intérêt public peut être sauvegardé sans arrêter la personne » (</w:t>
      </w:r>
      <w:r w:rsidRPr="00192E1C">
        <w:rPr>
          <w:rFonts w:cs="Times New Roman"/>
          <w:i/>
          <w:iCs/>
        </w:rPr>
        <w:t>Procès</w:t>
      </w:r>
      <w:r w:rsidRPr="00192E1C">
        <w:rPr>
          <w:rFonts w:cs="Times New Roman"/>
          <w:i/>
          <w:iCs/>
        </w:rPr>
        <w:noBreakHyphen/>
        <w:t xml:space="preserve">verbaux et témoignages du </w:t>
      </w:r>
      <w:r w:rsidRPr="00192E1C">
        <w:rPr>
          <w:rFonts w:cs="Times New Roman"/>
          <w:bCs/>
          <w:i/>
        </w:rPr>
        <w:t>Comité permanent de la justice et des questions juridiques</w:t>
      </w:r>
      <w:r w:rsidRPr="00192E1C">
        <w:rPr>
          <w:rFonts w:cs="Times New Roman"/>
          <w:bCs/>
          <w:lang w:bidi="en-US"/>
        </w:rPr>
        <w:t xml:space="preserve">, </w:t>
      </w:r>
      <w:r w:rsidRPr="00192E1C">
        <w:rPr>
          <w:rFonts w:cs="Times New Roman"/>
          <w:bCs/>
        </w:rPr>
        <w:t>4 mars 1971, p. 14)</w:t>
      </w:r>
      <w:r w:rsidRPr="00192E1C">
        <w:rPr>
          <w:rFonts w:cs="Times New Roman"/>
        </w:rPr>
        <w:t xml:space="preserve">. </w:t>
      </w:r>
      <w:r w:rsidRPr="00192E1C">
        <w:rPr>
          <w:rFonts w:eastAsia="Times New Roman" w:cs="Times New Roman"/>
        </w:rPr>
        <w:t xml:space="preserve">Ainsi, le ministre Turner a insisté sur le fait que le projet de loi « converti[ssait] cette discrétion en une </w:t>
      </w:r>
      <w:r w:rsidRPr="00192E1C">
        <w:rPr>
          <w:rFonts w:eastAsia="Times New Roman" w:cs="Times New Roman"/>
          <w:u w:val="single"/>
        </w:rPr>
        <w:t>responsabilité</w:t>
      </w:r>
      <w:r w:rsidRPr="00192E1C">
        <w:rPr>
          <w:rFonts w:eastAsia="Times New Roman" w:cs="Times New Roman"/>
        </w:rPr>
        <w:t xml:space="preserve"> de ne pas arrêter » lorsque certaines exigences sont satisfaites (p. 9 (je souligne)).</w:t>
      </w:r>
    </w:p>
    <w:p w14:paraId="1C5EE067" w14:textId="77777777" w:rsidR="00192E1C" w:rsidRPr="00192E1C" w:rsidRDefault="00192E1C" w:rsidP="00192E1C">
      <w:pPr>
        <w:pStyle w:val="ParaNoNdepar-AltN"/>
        <w:rPr>
          <w:rFonts w:eastAsia="Times New Roman" w:cs="Times New Roman"/>
        </w:rPr>
      </w:pPr>
      <w:r w:rsidRPr="00192E1C">
        <w:rPr>
          <w:rFonts w:eastAsia="Times New Roman" w:cs="Times New Roman"/>
        </w:rPr>
        <w:t>À mon avis, le Parlement a voulu que l’exercice du pouvoir d’arrestation sans mandat par un agent de la paix soit strictement encadré par les exigences impératives du par. 495(2) </w:t>
      </w:r>
      <w:r w:rsidRPr="00192E1C">
        <w:rPr>
          <w:rFonts w:eastAsia="Times New Roman" w:cs="Times New Roman"/>
          <w:i/>
        </w:rPr>
        <w:t>C. cr.</w:t>
      </w:r>
      <w:r w:rsidRPr="00192E1C">
        <w:rPr>
          <w:rFonts w:eastAsia="Times New Roman" w:cs="Times New Roman"/>
        </w:rPr>
        <w:t>, afin de favoriser l’intérêt public et d’assurer la comparution de la personne devant le tribunal. L’objet du par. 495(2) </w:t>
      </w:r>
      <w:r w:rsidRPr="00192E1C">
        <w:rPr>
          <w:rFonts w:eastAsia="Times New Roman" w:cs="Times New Roman"/>
          <w:i/>
        </w:rPr>
        <w:t xml:space="preserve">C. cr. </w:t>
      </w:r>
      <w:r w:rsidRPr="00192E1C">
        <w:rPr>
          <w:rFonts w:eastAsia="Times New Roman" w:cs="Times New Roman"/>
        </w:rPr>
        <w:t xml:space="preserve">est donc clair : il s’agit de limiter la discrétion des policiers en identifiant les situations où une arrestation sans mandat n’est pas requise afin de réduire les arrestations jugées inutiles. </w:t>
      </w:r>
      <w:r w:rsidRPr="00192E1C">
        <w:rPr>
          <w:rFonts w:cs="Times New Roman"/>
        </w:rPr>
        <w:t>Une interprétation selon laquelle le par. 495(2) </w:t>
      </w:r>
      <w:r w:rsidRPr="00192E1C">
        <w:rPr>
          <w:rFonts w:cs="Times New Roman"/>
          <w:i/>
        </w:rPr>
        <w:t>C. cr.</w:t>
      </w:r>
      <w:r w:rsidRPr="00192E1C">
        <w:rPr>
          <w:rFonts w:cs="Times New Roman"/>
        </w:rPr>
        <w:t xml:space="preserve"> ne formulerait que de simples lignes directrices serait donc contraire à l’intention du législateur puisqu’elle ne contribuerait pas efficacement à réduire les arrestations sans mandat non nécessaires.</w:t>
      </w:r>
    </w:p>
    <w:p w14:paraId="7ED3A0A3" w14:textId="77777777" w:rsidR="00192E1C" w:rsidRPr="00192E1C" w:rsidRDefault="00192E1C" w:rsidP="00192E1C">
      <w:pPr>
        <w:pStyle w:val="Title3LevelTitre3Niveau"/>
        <w:numPr>
          <w:ilvl w:val="3"/>
          <w:numId w:val="25"/>
        </w:numPr>
        <w:ind w:left="1152" w:hanging="576"/>
        <w:rPr>
          <w:rFonts w:cs="Times New Roman"/>
          <w:lang w:val="fr-CA"/>
        </w:rPr>
      </w:pPr>
      <w:bookmarkStart w:id="171" w:name="_Toc204271958"/>
      <w:bookmarkStart w:id="172" w:name="_Toc204336579"/>
      <w:bookmarkStart w:id="173" w:name="_Toc204344087"/>
      <w:bookmarkStart w:id="174" w:name="_Toc208319861"/>
      <w:bookmarkStart w:id="175" w:name="_Toc214611163"/>
      <w:bookmarkStart w:id="176" w:name="_Toc215654525"/>
      <w:r w:rsidRPr="00192E1C">
        <w:rPr>
          <w:rFonts w:cs="Times New Roman"/>
          <w:lang w:val="fr-CA"/>
        </w:rPr>
        <w:t>La constitutionnalité du critère de l’intérêt public</w:t>
      </w:r>
      <w:bookmarkEnd w:id="171"/>
      <w:bookmarkEnd w:id="172"/>
      <w:bookmarkEnd w:id="173"/>
      <w:bookmarkEnd w:id="174"/>
      <w:bookmarkEnd w:id="175"/>
      <w:bookmarkEnd w:id="176"/>
    </w:p>
    <w:p w14:paraId="17C68986" w14:textId="77777777" w:rsidR="00192E1C" w:rsidRPr="00192E1C" w:rsidRDefault="00192E1C" w:rsidP="00192E1C">
      <w:pPr>
        <w:pStyle w:val="ParaNoNdepar-AltN"/>
        <w:rPr>
          <w:rFonts w:cs="Times New Roman"/>
        </w:rPr>
      </w:pPr>
      <w:bookmarkStart w:id="177" w:name="_Ref214611714"/>
      <w:r w:rsidRPr="00192E1C">
        <w:rPr>
          <w:rFonts w:cs="Times New Roman"/>
        </w:rPr>
        <w:t>L’appelant prétend que conclure au caractère impératif du par. 495(2) </w:t>
      </w:r>
      <w:r w:rsidRPr="00192E1C">
        <w:rPr>
          <w:rFonts w:cs="Times New Roman"/>
          <w:i/>
        </w:rPr>
        <w:t>C. cr.</w:t>
      </w:r>
      <w:r w:rsidRPr="00192E1C">
        <w:rPr>
          <w:rFonts w:cs="Times New Roman"/>
        </w:rPr>
        <w:t xml:space="preserve"> soulèverait des enjeux constitutionnels en raison du caractère trop vague du critère de l’intérêt public (m.a., par. 53, 82 et 84). L’appelant s’appuie notamment sur l’arrêt </w:t>
      </w:r>
      <w:r w:rsidRPr="00192E1C">
        <w:rPr>
          <w:rFonts w:cs="Times New Roman"/>
          <w:i/>
        </w:rPr>
        <w:t>R. c. Morales</w:t>
      </w:r>
      <w:r w:rsidRPr="00192E1C">
        <w:rPr>
          <w:rFonts w:cs="Times New Roman"/>
        </w:rPr>
        <w:t>, [1992] 3 R.C.S. 711, dans lequel notre Cour a conclu que « le critère de “l’intérêt public” comme motif de détention avant le procès en vertu de l’al. 515(10)</w:t>
      </w:r>
      <w:r w:rsidRPr="00192E1C">
        <w:rPr>
          <w:rFonts w:cs="Times New Roman"/>
          <w:i/>
        </w:rPr>
        <w:t>b</w:t>
      </w:r>
      <w:r w:rsidRPr="00192E1C">
        <w:rPr>
          <w:rFonts w:cs="Times New Roman"/>
        </w:rPr>
        <w:t>) viol[ait] l’al. 11</w:t>
      </w:r>
      <w:r w:rsidRPr="00192E1C">
        <w:rPr>
          <w:rFonts w:cs="Times New Roman"/>
          <w:i/>
        </w:rPr>
        <w:t>e</w:t>
      </w:r>
      <w:r w:rsidRPr="00192E1C">
        <w:rPr>
          <w:rFonts w:cs="Times New Roman"/>
        </w:rPr>
        <w:t xml:space="preserve">) de la </w:t>
      </w:r>
      <w:r w:rsidRPr="00192E1C">
        <w:rPr>
          <w:rFonts w:cs="Times New Roman"/>
          <w:i/>
        </w:rPr>
        <w:t>Charte</w:t>
      </w:r>
      <w:r w:rsidRPr="00192E1C">
        <w:rPr>
          <w:rFonts w:cs="Times New Roman"/>
        </w:rPr>
        <w:t xml:space="preserve"> parce qu’il autoris[ait] la détention dans des termes vagues et imprécis » (p. 726).</w:t>
      </w:r>
      <w:bookmarkEnd w:id="177"/>
    </w:p>
    <w:p w14:paraId="36969A58" w14:textId="77777777" w:rsidR="00192E1C" w:rsidRPr="00192E1C" w:rsidRDefault="00192E1C" w:rsidP="00192E1C">
      <w:pPr>
        <w:pStyle w:val="ParaNoNdepar-AltN"/>
        <w:rPr>
          <w:rFonts w:cs="Times New Roman"/>
        </w:rPr>
      </w:pPr>
      <w:r w:rsidRPr="00192E1C">
        <w:rPr>
          <w:rFonts w:cs="Times New Roman"/>
        </w:rPr>
        <w:t>En l’espèce, notre Cour n’est pas directement saisie d’une contestation constitutionnelle à l’égard de l’al. 495(2)d) </w:t>
      </w:r>
      <w:r w:rsidRPr="00192E1C">
        <w:rPr>
          <w:rFonts w:cs="Times New Roman"/>
          <w:i/>
        </w:rPr>
        <w:t xml:space="preserve">C. cr. </w:t>
      </w:r>
      <w:r w:rsidRPr="00192E1C">
        <w:rPr>
          <w:rFonts w:cs="Times New Roman"/>
        </w:rPr>
        <w:t xml:space="preserve">fondée sur l’art. 7 de la </w:t>
      </w:r>
      <w:r w:rsidRPr="00192E1C">
        <w:rPr>
          <w:rFonts w:cs="Times New Roman"/>
          <w:i/>
        </w:rPr>
        <w:t xml:space="preserve">Charte </w:t>
      </w:r>
      <w:r w:rsidRPr="00192E1C">
        <w:rPr>
          <w:rFonts w:cs="Times New Roman"/>
        </w:rPr>
        <w:t xml:space="preserve">et à l’égard de la théorie de l’imprécision constitutionnelle comme elle l’était dans </w:t>
      </w:r>
      <w:r w:rsidRPr="00192E1C">
        <w:rPr>
          <w:rFonts w:cs="Times New Roman"/>
          <w:i/>
        </w:rPr>
        <w:t>Morales</w:t>
      </w:r>
      <w:r w:rsidRPr="00192E1C">
        <w:rPr>
          <w:rFonts w:cs="Times New Roman"/>
        </w:rPr>
        <w:t>. Notre Cour n’est pas non plus saisie d’une contestation constitutionnelle du critère de l’« intérêt public » prévu à l’al. 495(2)d) </w:t>
      </w:r>
      <w:r w:rsidRPr="00192E1C">
        <w:rPr>
          <w:rFonts w:cs="Times New Roman"/>
          <w:i/>
        </w:rPr>
        <w:t xml:space="preserve">C. cr. </w:t>
      </w:r>
      <w:r w:rsidRPr="00192E1C">
        <w:rPr>
          <w:rFonts w:cs="Times New Roman"/>
        </w:rPr>
        <w:t xml:space="preserve">en relation avec l’art. 9 de la </w:t>
      </w:r>
      <w:r w:rsidRPr="00192E1C">
        <w:rPr>
          <w:rFonts w:cs="Times New Roman"/>
          <w:i/>
        </w:rPr>
        <w:t>Charte</w:t>
      </w:r>
      <w:r w:rsidRPr="00192E1C">
        <w:rPr>
          <w:rFonts w:cs="Times New Roman"/>
        </w:rPr>
        <w:t>. À mon avis, cela suffit pour rejeter les arguments de l’appelant à ce sujet.</w:t>
      </w:r>
    </w:p>
    <w:p w14:paraId="4AABF271" w14:textId="77777777" w:rsidR="00192E1C" w:rsidRPr="00192E1C" w:rsidRDefault="00192E1C" w:rsidP="00192E1C">
      <w:pPr>
        <w:pStyle w:val="Title3LevelTitre3Niveau"/>
        <w:numPr>
          <w:ilvl w:val="3"/>
          <w:numId w:val="25"/>
        </w:numPr>
        <w:ind w:left="1152" w:hanging="576"/>
        <w:rPr>
          <w:rFonts w:cs="Times New Roman"/>
          <w:lang w:val="fr-CA"/>
        </w:rPr>
      </w:pPr>
      <w:bookmarkStart w:id="178" w:name="_Toc204271959"/>
      <w:bookmarkStart w:id="179" w:name="_Toc204336580"/>
      <w:bookmarkStart w:id="180" w:name="_Toc204344088"/>
      <w:bookmarkStart w:id="181" w:name="_Toc208319862"/>
      <w:bookmarkStart w:id="182" w:name="_Toc214611164"/>
      <w:bookmarkStart w:id="183" w:name="_Toc215654526"/>
      <w:r w:rsidRPr="00192E1C">
        <w:rPr>
          <w:rFonts w:cs="Times New Roman"/>
          <w:lang w:val="fr-CA"/>
        </w:rPr>
        <w:t>Conclusion sur l’interprétation du par. 495(2) </w:t>
      </w:r>
      <w:r w:rsidRPr="00192E1C">
        <w:rPr>
          <w:rFonts w:cs="Times New Roman"/>
          <w:i/>
          <w:lang w:val="fr-CA"/>
        </w:rPr>
        <w:t>C. cr.</w:t>
      </w:r>
      <w:bookmarkEnd w:id="178"/>
      <w:bookmarkEnd w:id="179"/>
      <w:bookmarkEnd w:id="180"/>
      <w:bookmarkEnd w:id="181"/>
      <w:bookmarkEnd w:id="182"/>
      <w:bookmarkEnd w:id="183"/>
    </w:p>
    <w:p w14:paraId="4180B609" w14:textId="77777777" w:rsidR="00192E1C" w:rsidRPr="00192E1C" w:rsidRDefault="00192E1C" w:rsidP="00192E1C">
      <w:pPr>
        <w:pStyle w:val="ParaNoNdepar-AltN"/>
        <w:rPr>
          <w:rFonts w:cs="Times New Roman"/>
        </w:rPr>
      </w:pPr>
      <w:bookmarkStart w:id="184" w:name="_Ref214611721"/>
      <w:r w:rsidRPr="00192E1C">
        <w:rPr>
          <w:rFonts w:cs="Times New Roman"/>
        </w:rPr>
        <w:t>Je conclus donc que l’analyse du texte, du contexte et de l’objet du par. 495(2) </w:t>
      </w:r>
      <w:r w:rsidRPr="00192E1C">
        <w:rPr>
          <w:rFonts w:cs="Times New Roman"/>
          <w:i/>
        </w:rPr>
        <w:t>C. cr.</w:t>
      </w:r>
      <w:r w:rsidRPr="00192E1C">
        <w:rPr>
          <w:rFonts w:cs="Times New Roman"/>
        </w:rPr>
        <w:t xml:space="preserve"> mène à la constatation que les restrictions imposées au pouvoir d’arrestation sans mandat sont de nature impérative. </w:t>
      </w:r>
      <w:bookmarkStart w:id="185" w:name="_Hlk215503889"/>
      <w:r w:rsidRPr="00192E1C">
        <w:rPr>
          <w:rFonts w:cs="Times New Roman"/>
        </w:rPr>
        <w:t xml:space="preserve">Cette disposition oblige l’agent de la paix, afin d’exercer son pouvoir discrétionnaire d’arrêter une personne sans mandat de manière adéquate, d’évaluer si l’arrestation est justifiée dans l’intérêt public et s’il existe un risque que l’accusé ne comparaisse pas. </w:t>
      </w:r>
      <w:bookmarkEnd w:id="185"/>
      <w:r w:rsidRPr="00192E1C">
        <w:rPr>
          <w:rFonts w:cs="Times New Roman"/>
        </w:rPr>
        <w:t>Lorsque sont réunies les conditions mentionnées à l’al. d), à l’al. e), et à l’un ou l’autre des al. a) à c) du par. 495(2) </w:t>
      </w:r>
      <w:r w:rsidRPr="00192E1C">
        <w:rPr>
          <w:rFonts w:cs="Times New Roman"/>
          <w:i/>
        </w:rPr>
        <w:t>C. cr.</w:t>
      </w:r>
      <w:r w:rsidRPr="00192E1C">
        <w:rPr>
          <w:rFonts w:cs="Times New Roman"/>
        </w:rPr>
        <w:t>, l’arrestation sans mandat est interdite. Ainsi, un agent de la paix contrevient au par. 495(2) </w:t>
      </w:r>
      <w:r w:rsidRPr="00192E1C">
        <w:rPr>
          <w:rFonts w:cs="Times New Roman"/>
          <w:i/>
        </w:rPr>
        <w:t>C. cr.</w:t>
      </w:r>
      <w:r w:rsidRPr="00192E1C">
        <w:rPr>
          <w:rFonts w:cs="Times New Roman"/>
        </w:rPr>
        <w:t xml:space="preserve"> lorsqu’il omet d’évaluer ces critères avant d’agir, ou lorsqu’il procède — à tort — à une arrestation sans mandat alors que les conditions (si elles sont remplies) ne lui permettent pas de le faire.</w:t>
      </w:r>
      <w:bookmarkEnd w:id="184"/>
    </w:p>
    <w:p w14:paraId="01D46113" w14:textId="09D60D45" w:rsidR="00192E1C" w:rsidRPr="00192E1C" w:rsidRDefault="00192E1C" w:rsidP="00192E1C">
      <w:pPr>
        <w:pStyle w:val="ParaNoNdepar-AltN"/>
        <w:rPr>
          <w:rFonts w:cs="Times New Roman"/>
        </w:rPr>
      </w:pPr>
      <w:bookmarkStart w:id="186" w:name="_Hlk215509047"/>
      <w:r w:rsidRPr="00192E1C">
        <w:rPr>
          <w:rFonts w:cs="Times New Roman"/>
        </w:rPr>
        <w:t>Il découle de ce qui précède qu’une arrestation contraire au par. 495(2) </w:t>
      </w:r>
      <w:r w:rsidRPr="00192E1C">
        <w:rPr>
          <w:rFonts w:cs="Times New Roman"/>
          <w:i/>
        </w:rPr>
        <w:t>C. cr.</w:t>
      </w:r>
      <w:r w:rsidRPr="00192E1C">
        <w:rPr>
          <w:rFonts w:cs="Times New Roman"/>
        </w:rPr>
        <w:t xml:space="preserve"> est une arrestation illégale puisque contraire à cette règle de droit, ce qui suffit pour qualifier d’arbitraire cette arrestation au sens de l’art. 9 de la </w:t>
      </w:r>
      <w:r w:rsidRPr="00192E1C">
        <w:rPr>
          <w:rFonts w:cs="Times New Roman"/>
          <w:i/>
        </w:rPr>
        <w:t>Charte</w:t>
      </w:r>
      <w:bookmarkEnd w:id="186"/>
      <w:r w:rsidRPr="00192E1C">
        <w:rPr>
          <w:rFonts w:cs="Times New Roman"/>
        </w:rPr>
        <w:t xml:space="preserve">. En effet, depuis l’adoption de la </w:t>
      </w:r>
      <w:r w:rsidRPr="00192E1C">
        <w:rPr>
          <w:rFonts w:cs="Times New Roman"/>
          <w:i/>
        </w:rPr>
        <w:t xml:space="preserve">Charte </w:t>
      </w:r>
      <w:r w:rsidRPr="00192E1C">
        <w:rPr>
          <w:rFonts w:cs="Times New Roman"/>
        </w:rPr>
        <w:t xml:space="preserve">en 1982, notre Cour a eu l’occasion d’affirmer qu’une arrestation ou une détention illégale, dont celles qui ne sont pas autorisées par une règle de droit, constitue nécessairement une arrestation ou détention arbitraire et viole l’art. 9 de la </w:t>
      </w:r>
      <w:r w:rsidRPr="00192E1C">
        <w:rPr>
          <w:rFonts w:cs="Times New Roman"/>
          <w:i/>
        </w:rPr>
        <w:t>Charte</w:t>
      </w:r>
      <w:r w:rsidRPr="00192E1C">
        <w:rPr>
          <w:rFonts w:cs="Times New Roman"/>
        </w:rPr>
        <w:t xml:space="preserve"> (</w:t>
      </w:r>
      <w:r w:rsidRPr="00192E1C">
        <w:rPr>
          <w:rFonts w:cs="Times New Roman"/>
          <w:i/>
        </w:rPr>
        <w:t>R. c. Grant</w:t>
      </w:r>
      <w:r w:rsidRPr="00192E1C">
        <w:rPr>
          <w:rFonts w:cs="Times New Roman"/>
        </w:rPr>
        <w:t xml:space="preserve">, 2009 CSC 32, [2009] 2 R.C.S. 353, par. 54; </w:t>
      </w:r>
      <w:r w:rsidRPr="00192E1C">
        <w:rPr>
          <w:rFonts w:cs="Times New Roman"/>
          <w:i/>
        </w:rPr>
        <w:t>R. c. Tim</w:t>
      </w:r>
      <w:r w:rsidRPr="00192E1C">
        <w:rPr>
          <w:rFonts w:cs="Times New Roman"/>
        </w:rPr>
        <w:t>, 2022 CSC 12, [2022] 1 R.C.S. 234, par. 21</w:t>
      </w:r>
      <w:r w:rsidRPr="00192E1C">
        <w:rPr>
          <w:rFonts w:cs="Times New Roman"/>
        </w:rPr>
        <w:noBreakHyphen/>
        <w:t>22;</w:t>
      </w:r>
      <w:r w:rsidRPr="00192E1C">
        <w:rPr>
          <w:rFonts w:cs="Times New Roman"/>
          <w:i/>
        </w:rPr>
        <w:t xml:space="preserve"> R. c. Le</w:t>
      </w:r>
      <w:r w:rsidRPr="00192E1C">
        <w:rPr>
          <w:rFonts w:cs="Times New Roman"/>
        </w:rPr>
        <w:t>, 2019 CSC 34, [2019] 2 R.C.S. 692, par. 124).</w:t>
      </w:r>
    </w:p>
    <w:bookmarkEnd w:id="132"/>
    <w:p w14:paraId="4B9CB54C" w14:textId="77777777" w:rsidR="00192E1C" w:rsidRPr="00192E1C" w:rsidRDefault="00192E1C" w:rsidP="00192E1C">
      <w:pPr>
        <w:pStyle w:val="ParaNoNdepar-AltN"/>
        <w:rPr>
          <w:rFonts w:cs="Times New Roman"/>
        </w:rPr>
      </w:pPr>
      <w:r w:rsidRPr="00192E1C">
        <w:rPr>
          <w:rFonts w:cs="Times New Roman"/>
        </w:rPr>
        <w:t>Puisque je suis d’avis qu’une arrestation contraire à la règle de droit établie par le par. 495(2) </w:t>
      </w:r>
      <w:r w:rsidRPr="00192E1C">
        <w:rPr>
          <w:rFonts w:cs="Times New Roman"/>
          <w:i/>
        </w:rPr>
        <w:t>C. cr.</w:t>
      </w:r>
      <w:r w:rsidRPr="00192E1C">
        <w:rPr>
          <w:rFonts w:cs="Times New Roman"/>
        </w:rPr>
        <w:t xml:space="preserve"> a pour effet de rendre illégale cette arrestation faite en violation de normes contraignantes, cela suffit pour qualifier une telle arrestation d’arbitraire au sens de l’art. 9 de la </w:t>
      </w:r>
      <w:r w:rsidRPr="00192E1C">
        <w:rPr>
          <w:rFonts w:cs="Times New Roman"/>
          <w:i/>
        </w:rPr>
        <w:t>Charte</w:t>
      </w:r>
      <w:r w:rsidRPr="00192E1C">
        <w:rPr>
          <w:rFonts w:cs="Times New Roman"/>
        </w:rPr>
        <w:t>.</w:t>
      </w:r>
      <w:r w:rsidRPr="00192E1C">
        <w:rPr>
          <w:rFonts w:cs="Times New Roman"/>
          <w:i/>
        </w:rPr>
        <w:t xml:space="preserve"> </w:t>
      </w:r>
      <w:r w:rsidRPr="00192E1C">
        <w:rPr>
          <w:rFonts w:cs="Times New Roman"/>
        </w:rPr>
        <w:t>Il reste désormais à savoir si le par. 495(3) </w:t>
      </w:r>
      <w:r w:rsidRPr="00192E1C">
        <w:rPr>
          <w:rFonts w:cs="Times New Roman"/>
          <w:i/>
        </w:rPr>
        <w:t xml:space="preserve">C. cr. </w:t>
      </w:r>
      <w:r w:rsidRPr="00192E1C">
        <w:rPr>
          <w:rFonts w:cs="Times New Roman"/>
        </w:rPr>
        <w:t xml:space="preserve">a pour effet de mettre une telle arrestation à l’abri d’une conclusion selon laquelle elle est illégale et en conséquence arbitraire en vertu de l’art. 9 de la </w:t>
      </w:r>
      <w:r w:rsidRPr="00192E1C">
        <w:rPr>
          <w:rFonts w:cs="Times New Roman"/>
          <w:i/>
        </w:rPr>
        <w:t>Charte</w:t>
      </w:r>
      <w:r w:rsidRPr="00192E1C">
        <w:rPr>
          <w:rFonts w:cs="Times New Roman"/>
        </w:rPr>
        <w:t>, rendant ainsi manifestement frivole la tenue d’un voir</w:t>
      </w:r>
      <w:r w:rsidRPr="00192E1C">
        <w:rPr>
          <w:rFonts w:cs="Times New Roman"/>
        </w:rPr>
        <w:noBreakHyphen/>
        <w:t xml:space="preserve">dire pour décider, dans le cadre d’une procédure en matière criminelle (telle que le procès de l’intimé en l’espèce), de la légalité d’une arrestation policière — comme en a décidé le premier juge. </w:t>
      </w:r>
    </w:p>
    <w:p w14:paraId="55E40292" w14:textId="77777777" w:rsidR="00192E1C" w:rsidRPr="00192E1C" w:rsidRDefault="00192E1C" w:rsidP="00192E1C">
      <w:pPr>
        <w:pStyle w:val="Title2LevelTitre2Niveau"/>
        <w:numPr>
          <w:ilvl w:val="1"/>
          <w:numId w:val="2"/>
        </w:numPr>
        <w:rPr>
          <w:rFonts w:cs="Times New Roman"/>
          <w:lang w:val="fr-CA"/>
        </w:rPr>
      </w:pPr>
      <w:bookmarkStart w:id="187" w:name="_Toc204271960"/>
      <w:bookmarkStart w:id="188" w:name="_Toc204336581"/>
      <w:bookmarkStart w:id="189" w:name="_Toc204344089"/>
      <w:bookmarkStart w:id="190" w:name="_Toc208319863"/>
      <w:bookmarkStart w:id="191" w:name="_Toc214611165"/>
      <w:bookmarkStart w:id="192" w:name="_Toc215654527"/>
      <w:r w:rsidRPr="00192E1C">
        <w:rPr>
          <w:rFonts w:cs="Times New Roman"/>
          <w:lang w:val="fr-CA"/>
        </w:rPr>
        <w:t>Interprétation du par. 495(3) C. cr. : le par. 495(3) C. cr. s’applique</w:t>
      </w:r>
      <w:r w:rsidRPr="00192E1C">
        <w:rPr>
          <w:rFonts w:cs="Times New Roman"/>
          <w:lang w:val="fr-CA"/>
        </w:rPr>
        <w:noBreakHyphen/>
        <w:t>t</w:t>
      </w:r>
      <w:r w:rsidRPr="00192E1C">
        <w:rPr>
          <w:rFonts w:cs="Times New Roman"/>
          <w:lang w:val="fr-CA"/>
        </w:rPr>
        <w:noBreakHyphen/>
        <w:t>il lorsqu’une procédure criminelle ne vise pas l’agent de la paix ayant procédé à l’arrestation?</w:t>
      </w:r>
      <w:bookmarkEnd w:id="187"/>
      <w:bookmarkEnd w:id="188"/>
      <w:bookmarkEnd w:id="189"/>
      <w:bookmarkEnd w:id="190"/>
      <w:bookmarkEnd w:id="191"/>
      <w:bookmarkEnd w:id="192"/>
    </w:p>
    <w:p w14:paraId="27438357" w14:textId="77777777" w:rsidR="00192E1C" w:rsidRPr="00192E1C" w:rsidRDefault="00192E1C" w:rsidP="00192E1C">
      <w:pPr>
        <w:pStyle w:val="ParaNoNdepar-AltN"/>
        <w:rPr>
          <w:rFonts w:cs="Times New Roman"/>
        </w:rPr>
      </w:pPr>
      <w:bookmarkStart w:id="193" w:name="_Ref204344296"/>
      <w:r w:rsidRPr="00192E1C">
        <w:rPr>
          <w:rFonts w:cs="Times New Roman"/>
        </w:rPr>
        <w:t>La principale source du désaccord entre les parties concernant le par. 495(3) </w:t>
      </w:r>
      <w:r w:rsidRPr="00192E1C">
        <w:rPr>
          <w:rFonts w:cs="Times New Roman"/>
          <w:i/>
        </w:rPr>
        <w:t xml:space="preserve">C. cr. </w:t>
      </w:r>
      <w:r w:rsidRPr="00192E1C">
        <w:rPr>
          <w:rFonts w:cs="Times New Roman"/>
        </w:rPr>
        <w:t>se trouve à l’al. a) de cette disposition. Cet alinéa consacre la présomption selon laquelle, nonobstant le par. 495(2) </w:t>
      </w:r>
      <w:r w:rsidRPr="00192E1C">
        <w:rPr>
          <w:rFonts w:cs="Times New Roman"/>
          <w:i/>
        </w:rPr>
        <w:t>C. cr.</w:t>
      </w:r>
      <w:r w:rsidRPr="00192E1C">
        <w:rPr>
          <w:rFonts w:cs="Times New Roman"/>
        </w:rPr>
        <w:t>, l’agent de la paix qui respecte le par. 495(1) « agi[t] légalement et dans l’exercice de ses fonctions » aux fins de différentes procédures, sous réserve de certaines conditions.</w:t>
      </w:r>
      <w:bookmarkEnd w:id="193"/>
    </w:p>
    <w:p w14:paraId="64127473" w14:textId="77777777" w:rsidR="00192E1C" w:rsidRPr="00192E1C" w:rsidRDefault="00192E1C" w:rsidP="00192E1C">
      <w:pPr>
        <w:pStyle w:val="ParaNoNdepar-AltN"/>
        <w:rPr>
          <w:rFonts w:cs="Times New Roman"/>
        </w:rPr>
      </w:pPr>
      <w:r w:rsidRPr="00192E1C">
        <w:rPr>
          <w:rFonts w:cs="Times New Roman"/>
        </w:rPr>
        <w:t>Il n’est pas contesté que cet alinéa a notamment pour effet de protéger, dans le cadre d’une procédure en matière criminelle, l’agent de la paix ayant procédé à une arrestation sans mandat lorsque cet agent est lui</w:t>
      </w:r>
      <w:r w:rsidRPr="00192E1C">
        <w:rPr>
          <w:rFonts w:cs="Times New Roman"/>
        </w:rPr>
        <w:noBreakHyphen/>
        <w:t>même visé par une accusation criminelle pour ne pas s’être conformé au par. 495(2) </w:t>
      </w:r>
      <w:r w:rsidRPr="00192E1C">
        <w:rPr>
          <w:rFonts w:cs="Times New Roman"/>
          <w:i/>
        </w:rPr>
        <w:t>C. cr.</w:t>
      </w:r>
      <w:r w:rsidRPr="00192E1C">
        <w:rPr>
          <w:rFonts w:cs="Times New Roman"/>
        </w:rPr>
        <w:t>, en dépit du fait qu’il se soit conformé au par. 495(1) </w:t>
      </w:r>
      <w:r w:rsidRPr="00192E1C">
        <w:rPr>
          <w:rFonts w:cs="Times New Roman"/>
          <w:i/>
        </w:rPr>
        <w:t>C. cr.</w:t>
      </w:r>
      <w:r w:rsidRPr="00192E1C">
        <w:rPr>
          <w:rFonts w:cs="Times New Roman"/>
        </w:rPr>
        <w:t xml:space="preserve"> Comme l’a expliqué le ministre Turner, le projet de loi a été rédigé de manière à ce qu’un agent de la paix ne puisse être empêché d’agir [</w:t>
      </w:r>
      <w:r w:rsidRPr="00192E1C">
        <w:rPr>
          <w:rFonts w:cs="Times New Roman"/>
          <w:smallCaps/>
        </w:rPr>
        <w:t>traduction</w:t>
      </w:r>
      <w:r w:rsidRPr="00192E1C">
        <w:rPr>
          <w:rFonts w:cs="Times New Roman"/>
        </w:rPr>
        <w:t>] « par crainte d’une poursuite criminelle dans l’exercice de sa discrétion » (</w:t>
      </w:r>
      <w:r w:rsidRPr="00192E1C">
        <w:rPr>
          <w:rFonts w:cs="Times New Roman"/>
          <w:i/>
          <w:iCs/>
        </w:rPr>
        <w:t>Procès</w:t>
      </w:r>
      <w:r w:rsidRPr="00192E1C">
        <w:rPr>
          <w:rFonts w:cs="Times New Roman"/>
          <w:i/>
          <w:iCs/>
        </w:rPr>
        <w:noBreakHyphen/>
        <w:t xml:space="preserve">verbaux et témoignages du </w:t>
      </w:r>
      <w:r w:rsidRPr="00192E1C">
        <w:rPr>
          <w:rFonts w:cs="Times New Roman"/>
          <w:i/>
        </w:rPr>
        <w:t>Comité permanent de la justice et des questions juridiques</w:t>
      </w:r>
      <w:r w:rsidRPr="00192E1C">
        <w:rPr>
          <w:rFonts w:cs="Times New Roman"/>
        </w:rPr>
        <w:t xml:space="preserve">, 4 mars 1971, p. 11). Il n’est pas non plus contesté que l’al. 495(3)b) </w:t>
      </w:r>
      <w:r w:rsidRPr="00192E1C">
        <w:rPr>
          <w:rFonts w:cs="Times New Roman"/>
          <w:i/>
        </w:rPr>
        <w:t xml:space="preserve">C. cr. </w:t>
      </w:r>
      <w:r w:rsidRPr="00192E1C">
        <w:rPr>
          <w:rFonts w:cs="Times New Roman"/>
        </w:rPr>
        <w:t>permet néanmoins à une personne ayant subi une arrestation qu’elle estime contraire au par. 495(2) </w:t>
      </w:r>
      <w:r w:rsidRPr="00192E1C">
        <w:rPr>
          <w:rFonts w:cs="Times New Roman"/>
          <w:i/>
        </w:rPr>
        <w:t>C. cr.</w:t>
      </w:r>
      <w:r w:rsidRPr="00192E1C">
        <w:rPr>
          <w:rFonts w:cs="Times New Roman"/>
        </w:rPr>
        <w:t xml:space="preserve"> d’engager une poursuite civile contre l’agent de la paix, ou son employeur, afin d’établir que l’agent de la paix ne s’est pas conformé aux exigences du par. 495(2) </w:t>
      </w:r>
      <w:r w:rsidRPr="00192E1C">
        <w:rPr>
          <w:rFonts w:cs="Times New Roman"/>
          <w:i/>
        </w:rPr>
        <w:t>C. cr.</w:t>
      </w:r>
      <w:r w:rsidRPr="00192E1C">
        <w:rPr>
          <w:rFonts w:cs="Times New Roman"/>
        </w:rPr>
        <w:t xml:space="preserve"> et ainsi d’obtenir des dommages</w:t>
      </w:r>
      <w:r w:rsidRPr="00192E1C">
        <w:rPr>
          <w:rFonts w:cs="Times New Roman"/>
        </w:rPr>
        <w:noBreakHyphen/>
        <w:t xml:space="preserve">intérêts à titre de réparation (voir, p. ex., </w:t>
      </w:r>
      <w:r w:rsidRPr="00192E1C">
        <w:rPr>
          <w:rFonts w:cs="Times New Roman"/>
          <w:i/>
        </w:rPr>
        <w:t>Hudson c. Brantford Police Services Board</w:t>
      </w:r>
      <w:r w:rsidRPr="00192E1C">
        <w:rPr>
          <w:rFonts w:cs="Times New Roman"/>
        </w:rPr>
        <w:t xml:space="preserve"> (2001), 158 C.C.C. (3d) 390 (C.A. Ont.); </w:t>
      </w:r>
      <w:r w:rsidRPr="00192E1C">
        <w:rPr>
          <w:rFonts w:cs="Times New Roman"/>
          <w:i/>
        </w:rPr>
        <w:t xml:space="preserve">Collins c. Brantford Police Services Board </w:t>
      </w:r>
      <w:r w:rsidRPr="00192E1C">
        <w:rPr>
          <w:rFonts w:cs="Times New Roman"/>
        </w:rPr>
        <w:t>(2001), 158 C.C.C. (3d) 405 (C.A. Ont.)).</w:t>
      </w:r>
    </w:p>
    <w:p w14:paraId="330A436F" w14:textId="77777777" w:rsidR="00192E1C" w:rsidRPr="00192E1C" w:rsidRDefault="00192E1C" w:rsidP="00192E1C">
      <w:pPr>
        <w:pStyle w:val="ParaNoNdepar-AltN"/>
        <w:rPr>
          <w:rFonts w:cs="Times New Roman"/>
          <w:szCs w:val="24"/>
        </w:rPr>
      </w:pPr>
      <w:r w:rsidRPr="00192E1C">
        <w:rPr>
          <w:rFonts w:cs="Times New Roman"/>
        </w:rPr>
        <w:t>Toutefois, l’appelant propose une interprétation plus large de cette disposition. Il soutient que l’al. 495(3)a) </w:t>
      </w:r>
      <w:r w:rsidRPr="00192E1C">
        <w:rPr>
          <w:rFonts w:cs="Times New Roman"/>
          <w:i/>
        </w:rPr>
        <w:t>C. cr.</w:t>
      </w:r>
      <w:r w:rsidRPr="00192E1C">
        <w:rPr>
          <w:rFonts w:cs="Times New Roman"/>
        </w:rPr>
        <w:t xml:space="preserve"> ne serait pas limité qu’aux procédures en matière criminelle mettant en jeu la responsabilité criminelle d’une personne — en particulier l’agent de la paix ayant procédé à l’arrestation sans mandat, mais également, par exemple, son employeur — pour non</w:t>
      </w:r>
      <w:r w:rsidRPr="00192E1C">
        <w:rPr>
          <w:rFonts w:cs="Times New Roman"/>
        </w:rPr>
        <w:noBreakHyphen/>
        <w:t>respect du par. 495(2) </w:t>
      </w:r>
      <w:r w:rsidRPr="00192E1C">
        <w:rPr>
          <w:rFonts w:cs="Times New Roman"/>
          <w:i/>
        </w:rPr>
        <w:t>C. cr.</w:t>
      </w:r>
      <w:r w:rsidRPr="00192E1C">
        <w:rPr>
          <w:rFonts w:cs="Times New Roman"/>
        </w:rPr>
        <w:t xml:space="preserve"> Selon l’appelant, l’al. 495(3)a) s’appliquerait plus largement à l’ensemble des procédures en matière criminelle, incluant le procès de l’intimé en l’espèce. Autrement dit, une arrestation conforme au par. 495(1) </w:t>
      </w:r>
      <w:r w:rsidRPr="00192E1C">
        <w:rPr>
          <w:rFonts w:cs="Times New Roman"/>
          <w:i/>
        </w:rPr>
        <w:t>C. cr.</w:t>
      </w:r>
      <w:r w:rsidRPr="00192E1C">
        <w:rPr>
          <w:rFonts w:cs="Times New Roman"/>
        </w:rPr>
        <w:t xml:space="preserve"> serait présumée légale aux fins de « toutes procédures » engagées en vertu du </w:t>
      </w:r>
      <w:r w:rsidRPr="00192E1C">
        <w:rPr>
          <w:rFonts w:cs="Times New Roman"/>
          <w:i/>
        </w:rPr>
        <w:t>Code criminel</w:t>
      </w:r>
      <w:r w:rsidRPr="00192E1C">
        <w:rPr>
          <w:rFonts w:cs="Times New Roman"/>
        </w:rPr>
        <w:t xml:space="preserve"> ou de toute autre loi fédérale, quelles que soient la procédure et la loi en vertu desquelles elle est engagée, et quels que soient l’identité de la personne accusée et le fondement des accusations portées contre elle.</w:t>
      </w:r>
      <w:r w:rsidRPr="00192E1C">
        <w:rPr>
          <w:rFonts w:cs="Times New Roman"/>
          <w:shd w:val="clear" w:color="auto" w:fill="FAFAFA"/>
        </w:rPr>
        <w:t xml:space="preserve"> </w:t>
      </w:r>
      <w:r w:rsidRPr="00192E1C">
        <w:rPr>
          <w:rFonts w:cs="Times New Roman"/>
          <w:szCs w:val="24"/>
        </w:rPr>
        <w:t xml:space="preserve">Hormis la décision en appel devant nous, cette interprétation est celle qui a généralement été retenue par les cours d’appel des autres provinces à ce jour (voir notamment : </w:t>
      </w:r>
      <w:r w:rsidRPr="00192E1C">
        <w:rPr>
          <w:rFonts w:cs="Times New Roman"/>
          <w:i/>
          <w:iCs/>
          <w:szCs w:val="24"/>
        </w:rPr>
        <w:t>Veen</w:t>
      </w:r>
      <w:r w:rsidRPr="00192E1C">
        <w:rPr>
          <w:rFonts w:cs="Times New Roman"/>
          <w:iCs/>
          <w:szCs w:val="24"/>
        </w:rPr>
        <w:t>,</w:t>
      </w:r>
      <w:r w:rsidRPr="00192E1C">
        <w:rPr>
          <w:rFonts w:cs="Times New Roman"/>
          <w:szCs w:val="24"/>
        </w:rPr>
        <w:t xml:space="preserve"> </w:t>
      </w:r>
      <w:r w:rsidRPr="00192E1C">
        <w:rPr>
          <w:rFonts w:cs="Times New Roman"/>
          <w:i/>
          <w:iCs/>
          <w:szCs w:val="24"/>
        </w:rPr>
        <w:t>Jowett Work</w:t>
      </w:r>
      <w:r w:rsidRPr="00192E1C">
        <w:rPr>
          <w:rFonts w:cs="Times New Roman"/>
          <w:szCs w:val="24"/>
        </w:rPr>
        <w:t xml:space="preserve"> et</w:t>
      </w:r>
      <w:r w:rsidRPr="00192E1C">
        <w:rPr>
          <w:rFonts w:cs="Times New Roman"/>
          <w:i/>
          <w:iCs/>
          <w:szCs w:val="24"/>
        </w:rPr>
        <w:t xml:space="preserve"> Cayer</w:t>
      </w:r>
      <w:r w:rsidRPr="00192E1C">
        <w:rPr>
          <w:rFonts w:cs="Times New Roman"/>
          <w:szCs w:val="24"/>
        </w:rPr>
        <w:t>).</w:t>
      </w:r>
    </w:p>
    <w:p w14:paraId="2BC9C321" w14:textId="77777777" w:rsidR="00192E1C" w:rsidRPr="00192E1C" w:rsidRDefault="00192E1C" w:rsidP="00192E1C">
      <w:pPr>
        <w:pStyle w:val="ParaNoNdepar-AltN"/>
        <w:rPr>
          <w:rFonts w:cs="Times New Roman"/>
          <w:szCs w:val="24"/>
        </w:rPr>
      </w:pPr>
      <w:r w:rsidRPr="00192E1C">
        <w:rPr>
          <w:rFonts w:cs="Times New Roman"/>
          <w:szCs w:val="24"/>
        </w:rPr>
        <w:t xml:space="preserve">L’effet d’une telle interprétation est </w:t>
      </w:r>
      <w:r w:rsidRPr="00192E1C">
        <w:rPr>
          <w:rFonts w:cs="Times New Roman"/>
        </w:rPr>
        <w:t xml:space="preserve">le </w:t>
      </w:r>
      <w:r w:rsidRPr="00192E1C">
        <w:rPr>
          <w:rFonts w:cs="Times New Roman"/>
          <w:szCs w:val="24"/>
        </w:rPr>
        <w:t>suivant : une arrestation non conforme au par. 495(2) </w:t>
      </w:r>
      <w:r w:rsidRPr="00192E1C">
        <w:rPr>
          <w:rFonts w:cs="Times New Roman"/>
          <w:i/>
          <w:szCs w:val="24"/>
        </w:rPr>
        <w:t>C. cr.</w:t>
      </w:r>
      <w:r w:rsidRPr="00192E1C">
        <w:rPr>
          <w:rFonts w:cs="Times New Roman"/>
          <w:szCs w:val="24"/>
        </w:rPr>
        <w:t xml:space="preserve"> sera nécessairement légale en raison du par. 495(3) </w:t>
      </w:r>
      <w:r w:rsidRPr="00192E1C">
        <w:rPr>
          <w:rFonts w:cs="Times New Roman"/>
          <w:i/>
          <w:szCs w:val="24"/>
        </w:rPr>
        <w:t xml:space="preserve">C. cr. </w:t>
      </w:r>
      <w:r w:rsidRPr="00192E1C">
        <w:rPr>
          <w:rFonts w:cs="Times New Roman"/>
          <w:szCs w:val="24"/>
        </w:rPr>
        <w:t>et ne rendra pas une arrestation arbitraire au sens de l’art. 9 de la</w:t>
      </w:r>
      <w:r w:rsidRPr="00192E1C">
        <w:rPr>
          <w:rFonts w:cs="Times New Roman"/>
          <w:i/>
          <w:szCs w:val="24"/>
        </w:rPr>
        <w:t xml:space="preserve"> Charte</w:t>
      </w:r>
      <w:r w:rsidRPr="00192E1C">
        <w:rPr>
          <w:rFonts w:cs="Times New Roman"/>
          <w:szCs w:val="24"/>
        </w:rPr>
        <w:t xml:space="preserve">. </w:t>
      </w:r>
      <w:bookmarkStart w:id="194" w:name="_Hlk215509353"/>
      <w:r w:rsidRPr="00192E1C">
        <w:rPr>
          <w:rFonts w:cs="Times New Roman"/>
          <w:szCs w:val="24"/>
        </w:rPr>
        <w:t xml:space="preserve">Par conséquent, une requête fondée sur l’art. 9 de la </w:t>
      </w:r>
      <w:r w:rsidRPr="00192E1C">
        <w:rPr>
          <w:rFonts w:cs="Times New Roman"/>
          <w:i/>
          <w:szCs w:val="24"/>
        </w:rPr>
        <w:t>Charte </w:t>
      </w:r>
      <w:r w:rsidRPr="00192E1C">
        <w:rPr>
          <w:rFonts w:cs="Times New Roman"/>
          <w:szCs w:val="24"/>
        </w:rPr>
        <w:t>— alléguant le non-respect du par. 495(2) </w:t>
      </w:r>
      <w:r w:rsidRPr="00192E1C">
        <w:rPr>
          <w:rFonts w:cs="Times New Roman"/>
          <w:i/>
          <w:szCs w:val="24"/>
        </w:rPr>
        <w:t>C. cr.</w:t>
      </w:r>
      <w:r w:rsidRPr="00192E1C">
        <w:rPr>
          <w:rFonts w:cs="Times New Roman"/>
          <w:szCs w:val="24"/>
        </w:rPr>
        <w:t> — devra forcément être rejetée, puisque vouée à l’échec dès le départ.</w:t>
      </w:r>
      <w:bookmarkEnd w:id="194"/>
    </w:p>
    <w:p w14:paraId="764F9F9A" w14:textId="77777777" w:rsidR="00192E1C" w:rsidRPr="00192E1C" w:rsidRDefault="00192E1C" w:rsidP="00192E1C">
      <w:pPr>
        <w:pStyle w:val="ParaNoNdepar-AltN"/>
        <w:rPr>
          <w:rFonts w:cs="Times New Roman"/>
        </w:rPr>
      </w:pPr>
      <w:r w:rsidRPr="00192E1C">
        <w:rPr>
          <w:rFonts w:cs="Times New Roman"/>
        </w:rPr>
        <w:t>À mon avis, lorsque lu à la lumière du contexte et de l’objet de la disposition, le texte de celle</w:t>
      </w:r>
      <w:r w:rsidRPr="00192E1C">
        <w:rPr>
          <w:rFonts w:cs="Times New Roman"/>
        </w:rPr>
        <w:noBreakHyphen/>
        <w:t>ci milite en faveur d’une interprétation étroite de l’al. 495(3)a) </w:t>
      </w:r>
      <w:r w:rsidRPr="00192E1C">
        <w:rPr>
          <w:rFonts w:cs="Times New Roman"/>
          <w:i/>
        </w:rPr>
        <w:t>C. cr.</w:t>
      </w:r>
      <w:r w:rsidRPr="00192E1C">
        <w:rPr>
          <w:rFonts w:cs="Times New Roman"/>
        </w:rPr>
        <w:t xml:space="preserve"> qui se limite à empêcher qu’un agent de la paix ou toute personne de qui relève ce dernier soient tenus responsables dans le cadre d’une procédure engagée en vertu du </w:t>
      </w:r>
      <w:r w:rsidRPr="00192E1C">
        <w:rPr>
          <w:rFonts w:cs="Times New Roman"/>
          <w:i/>
        </w:rPr>
        <w:t>Code criminel</w:t>
      </w:r>
      <w:r w:rsidRPr="00192E1C">
        <w:rPr>
          <w:rFonts w:cs="Times New Roman"/>
        </w:rPr>
        <w:t xml:space="preserve"> ou de toute autre loi fédérale pour non</w:t>
      </w:r>
      <w:r w:rsidRPr="00192E1C">
        <w:rPr>
          <w:rFonts w:cs="Times New Roman"/>
        </w:rPr>
        <w:noBreakHyphen/>
        <w:t>respect du par. 495(2) </w:t>
      </w:r>
      <w:r w:rsidRPr="00192E1C">
        <w:rPr>
          <w:rFonts w:cs="Times New Roman"/>
          <w:i/>
        </w:rPr>
        <w:t>C. cr.</w:t>
      </w:r>
      <w:r w:rsidRPr="00192E1C">
        <w:rPr>
          <w:rFonts w:cs="Times New Roman"/>
        </w:rPr>
        <w:t xml:space="preserve"> Cela veut donc dire que l’un des effets de l’al. 495(3)a) </w:t>
      </w:r>
      <w:r w:rsidRPr="00192E1C">
        <w:rPr>
          <w:rFonts w:cs="Times New Roman"/>
          <w:i/>
        </w:rPr>
        <w:t>C. cr.</w:t>
      </w:r>
      <w:r w:rsidRPr="00192E1C">
        <w:rPr>
          <w:rFonts w:cs="Times New Roman"/>
        </w:rPr>
        <w:t xml:space="preserve"> est qu’un agent de la paix ne peut être tenu criminellement responsable, dans le cadre d’une procédure en matière criminelle le visant, pour avoir contrevenu au par. 495(2) </w:t>
      </w:r>
      <w:r w:rsidRPr="00192E1C">
        <w:rPr>
          <w:rFonts w:cs="Times New Roman"/>
          <w:i/>
        </w:rPr>
        <w:t>C. cr.</w:t>
      </w:r>
      <w:r w:rsidRPr="00192E1C">
        <w:rPr>
          <w:rFonts w:cs="Times New Roman"/>
        </w:rPr>
        <w:t xml:space="preserve"> lorsqu’il a arrêté une personne sans mandat. Malgré son libellé large et général, le par. 495(3) </w:t>
      </w:r>
      <w:r w:rsidRPr="00192E1C">
        <w:rPr>
          <w:rFonts w:cs="Times New Roman"/>
          <w:i/>
        </w:rPr>
        <w:t>C. cr.</w:t>
      </w:r>
      <w:r w:rsidRPr="00192E1C">
        <w:rPr>
          <w:rFonts w:cs="Times New Roman"/>
        </w:rPr>
        <w:t xml:space="preserve"> s’applique dans un contexte bien étroit et précis, soit lorsque la responsabilité d’un agent de la paix ou d’une personne responsable de ce dernier est en jeu au motif que l’agent de la paix aurait contrevenu aux prescriptions du par. 495(2) </w:t>
      </w:r>
      <w:r w:rsidRPr="00192E1C">
        <w:rPr>
          <w:rFonts w:cs="Times New Roman"/>
          <w:i/>
        </w:rPr>
        <w:t>C. cr.</w:t>
      </w:r>
      <w:r w:rsidRPr="00192E1C">
        <w:rPr>
          <w:rFonts w:cs="Times New Roman"/>
        </w:rPr>
        <w:t>, même s’il a respecté celles du par. 495(1) </w:t>
      </w:r>
      <w:r w:rsidRPr="00192E1C">
        <w:rPr>
          <w:rFonts w:cs="Times New Roman"/>
          <w:i/>
        </w:rPr>
        <w:t>C. cr.</w:t>
      </w:r>
    </w:p>
    <w:p w14:paraId="67AAD63F" w14:textId="77777777" w:rsidR="00192E1C" w:rsidRPr="00192E1C" w:rsidRDefault="00192E1C" w:rsidP="00192E1C">
      <w:pPr>
        <w:pStyle w:val="ParaNoNdepar-AltN"/>
        <w:rPr>
          <w:rFonts w:cs="Times New Roman"/>
        </w:rPr>
      </w:pPr>
      <w:r w:rsidRPr="00192E1C">
        <w:rPr>
          <w:rFonts w:cs="Times New Roman"/>
        </w:rPr>
        <w:t>Le paragraphe 495(3) </w:t>
      </w:r>
      <w:r w:rsidRPr="00192E1C">
        <w:rPr>
          <w:rFonts w:cs="Times New Roman"/>
          <w:i/>
        </w:rPr>
        <w:t>C. cr.</w:t>
      </w:r>
      <w:r w:rsidRPr="00192E1C">
        <w:rPr>
          <w:rFonts w:cs="Times New Roman"/>
        </w:rPr>
        <w:t xml:space="preserve"> ne s’applique donc pas dans le cadre d’un procès criminel visant la personne arrêtée sans mandat. Il ne vise pas non plus les requêtes fondées sur la </w:t>
      </w:r>
      <w:r w:rsidRPr="00192E1C">
        <w:rPr>
          <w:rFonts w:cs="Times New Roman"/>
          <w:i/>
        </w:rPr>
        <w:t>Charte</w:t>
      </w:r>
      <w:r w:rsidRPr="00192E1C">
        <w:rPr>
          <w:rFonts w:cs="Times New Roman"/>
        </w:rPr>
        <w:t xml:space="preserve"> qui sont présentées dans le cadre d’un tel procès criminel. Par conséquent, un accusé peut, dans le cadre de son propre procès criminel, faire valoir que son arrestation sans mandat, qu’il estime contraire au par. 495(2) </w:t>
      </w:r>
      <w:r w:rsidRPr="00192E1C">
        <w:rPr>
          <w:rFonts w:cs="Times New Roman"/>
          <w:i/>
        </w:rPr>
        <w:t>C. cr.</w:t>
      </w:r>
      <w:r w:rsidRPr="00192E1C">
        <w:rPr>
          <w:rFonts w:cs="Times New Roman"/>
        </w:rPr>
        <w:t xml:space="preserve">, constitue une violation de la </w:t>
      </w:r>
      <w:r w:rsidRPr="00192E1C">
        <w:rPr>
          <w:rFonts w:cs="Times New Roman"/>
          <w:i/>
        </w:rPr>
        <w:t>Charte</w:t>
      </w:r>
      <w:r w:rsidRPr="00192E1C">
        <w:rPr>
          <w:rFonts w:cs="Times New Roman"/>
        </w:rPr>
        <w:t>.</w:t>
      </w:r>
    </w:p>
    <w:p w14:paraId="1FEA201B" w14:textId="77777777" w:rsidR="00192E1C" w:rsidRPr="00192E1C" w:rsidRDefault="00192E1C" w:rsidP="00192E1C">
      <w:pPr>
        <w:pStyle w:val="ParaNoNdepar-AltN"/>
        <w:rPr>
          <w:rFonts w:cs="Times New Roman"/>
        </w:rPr>
      </w:pPr>
      <w:r w:rsidRPr="00192E1C">
        <w:rPr>
          <w:rFonts w:cs="Times New Roman"/>
        </w:rPr>
        <w:t>Pour soutenir ce raisonnement, j’examine le texte, le contexte et l’objet de la disposition. Cela me permet de constater que l’approche interprétative adoptée par certaines cours d’appel — y compris celle de la Cour d’appel à certains égards en l’espèce — est, et je le dis avec beaucoup d’égards, incorrecte.</w:t>
      </w:r>
    </w:p>
    <w:p w14:paraId="73DE70E4" w14:textId="77777777" w:rsidR="00192E1C" w:rsidRPr="00192E1C" w:rsidRDefault="00192E1C" w:rsidP="00192E1C">
      <w:pPr>
        <w:pStyle w:val="Title3LevelTitre3Niveau"/>
        <w:numPr>
          <w:ilvl w:val="0"/>
          <w:numId w:val="28"/>
        </w:numPr>
        <w:ind w:left="1152" w:hanging="576"/>
        <w:rPr>
          <w:rFonts w:cs="Times New Roman"/>
          <w:lang w:val="fr-CA"/>
        </w:rPr>
      </w:pPr>
      <w:bookmarkStart w:id="195" w:name="_Toc204271961"/>
      <w:bookmarkStart w:id="196" w:name="_Toc204336582"/>
      <w:bookmarkStart w:id="197" w:name="_Toc204344090"/>
      <w:bookmarkStart w:id="198" w:name="_Toc208319864"/>
      <w:bookmarkStart w:id="199" w:name="_Toc214611166"/>
      <w:bookmarkStart w:id="200" w:name="_Toc215654528"/>
      <w:r w:rsidRPr="00192E1C">
        <w:rPr>
          <w:rFonts w:cs="Times New Roman"/>
          <w:lang w:val="fr-CA"/>
        </w:rPr>
        <w:t xml:space="preserve">Le texte du par. 495(3) </w:t>
      </w:r>
      <w:r w:rsidRPr="00192E1C">
        <w:rPr>
          <w:rFonts w:cs="Times New Roman"/>
          <w:i/>
          <w:lang w:val="fr-CA"/>
        </w:rPr>
        <w:t>C. cr.</w:t>
      </w:r>
      <w:r w:rsidRPr="00192E1C">
        <w:rPr>
          <w:rFonts w:cs="Times New Roman"/>
          <w:lang w:val="fr-CA"/>
        </w:rPr>
        <w:t xml:space="preserve"> appuie deux interprétations</w:t>
      </w:r>
      <w:bookmarkEnd w:id="195"/>
      <w:bookmarkEnd w:id="196"/>
      <w:bookmarkEnd w:id="197"/>
      <w:bookmarkEnd w:id="198"/>
      <w:bookmarkEnd w:id="199"/>
      <w:bookmarkEnd w:id="200"/>
    </w:p>
    <w:p w14:paraId="379DC6CD" w14:textId="77777777" w:rsidR="00192E1C" w:rsidRPr="00192E1C" w:rsidRDefault="00192E1C" w:rsidP="00192E1C">
      <w:pPr>
        <w:pStyle w:val="ParaNoNdepar-AltN"/>
        <w:rPr>
          <w:rFonts w:cs="Times New Roman"/>
        </w:rPr>
      </w:pPr>
      <w:bookmarkStart w:id="201" w:name="_Ref214611751"/>
      <w:r w:rsidRPr="00192E1C">
        <w:rPr>
          <w:rFonts w:cs="Times New Roman"/>
        </w:rPr>
        <w:t>Je débute mon analyse en m’attachant au texte du par. 495(3) </w:t>
      </w:r>
      <w:r w:rsidRPr="00192E1C">
        <w:rPr>
          <w:rFonts w:cs="Times New Roman"/>
          <w:i/>
        </w:rPr>
        <w:t xml:space="preserve">C. cr. </w:t>
      </w:r>
      <w:r w:rsidRPr="00192E1C">
        <w:rPr>
          <w:rFonts w:cs="Times New Roman"/>
        </w:rPr>
        <w:t>De façon générale, on peut décrire le libellé du par. 495(3) </w:t>
      </w:r>
      <w:r w:rsidRPr="00192E1C">
        <w:rPr>
          <w:rFonts w:cs="Times New Roman"/>
          <w:i/>
        </w:rPr>
        <w:t>C. cr.</w:t>
      </w:r>
      <w:r w:rsidRPr="00192E1C">
        <w:rPr>
          <w:rFonts w:cs="Times New Roman"/>
        </w:rPr>
        <w:t xml:space="preserve"> comme établissant une présomption de légalité. En effet, cette disposition prévoit que, nonobstant le par. 495(2) </w:t>
      </w:r>
      <w:r w:rsidRPr="00192E1C">
        <w:rPr>
          <w:rFonts w:cs="Times New Roman"/>
          <w:i/>
        </w:rPr>
        <w:t>C. cr.</w:t>
      </w:r>
      <w:r w:rsidRPr="00192E1C">
        <w:rPr>
          <w:rFonts w:cs="Times New Roman"/>
        </w:rPr>
        <w:t xml:space="preserve">, un agent de la paix qui agit selon les termes du par. 495(1) « est </w:t>
      </w:r>
      <w:r w:rsidRPr="00192E1C">
        <w:rPr>
          <w:rFonts w:cs="Times New Roman"/>
          <w:u w:val="single"/>
        </w:rPr>
        <w:t>censé agir légalement</w:t>
      </w:r>
      <w:r w:rsidRPr="00192E1C">
        <w:rPr>
          <w:rFonts w:cs="Times New Roman"/>
        </w:rPr>
        <w:t xml:space="preserve"> et dans l’exercice de ses fonctions » dans deux cas de figure :</w:t>
      </w:r>
      <w:bookmarkEnd w:id="201"/>
    </w:p>
    <w:p w14:paraId="3AE07692" w14:textId="77777777" w:rsidR="00192E1C" w:rsidRPr="00192E1C" w:rsidRDefault="00192E1C" w:rsidP="00192E1C">
      <w:pPr>
        <w:pStyle w:val="ContinueParaSuitedupar-AltP"/>
        <w:numPr>
          <w:ilvl w:val="0"/>
          <w:numId w:val="29"/>
        </w:numPr>
        <w:ind w:left="1800" w:hanging="630"/>
        <w:rPr>
          <w:rFonts w:cs="Times New Roman"/>
        </w:rPr>
      </w:pPr>
      <w:r w:rsidRPr="00192E1C">
        <w:rPr>
          <w:rFonts w:cs="Times New Roman"/>
        </w:rPr>
        <w:t xml:space="preserve">soit aux fins de toutes procédures engagées en vertu du </w:t>
      </w:r>
      <w:r w:rsidRPr="00192E1C">
        <w:rPr>
          <w:rFonts w:cs="Times New Roman"/>
          <w:i/>
        </w:rPr>
        <w:t xml:space="preserve">Code criminel </w:t>
      </w:r>
      <w:r w:rsidRPr="00192E1C">
        <w:rPr>
          <w:rFonts w:cs="Times New Roman"/>
        </w:rPr>
        <w:t>ou de toute autre loi fédérale (al. 495(3)a) </w:t>
      </w:r>
      <w:r w:rsidRPr="00192E1C">
        <w:rPr>
          <w:rFonts w:cs="Times New Roman"/>
          <w:i/>
        </w:rPr>
        <w:t>C. cr.</w:t>
      </w:r>
      <w:r w:rsidRPr="00192E1C">
        <w:rPr>
          <w:rFonts w:cs="Times New Roman"/>
        </w:rPr>
        <w:t>);</w:t>
      </w:r>
    </w:p>
    <w:p w14:paraId="50319F8C" w14:textId="77777777" w:rsidR="00192E1C" w:rsidRPr="00192E1C" w:rsidRDefault="00192E1C" w:rsidP="00192E1C">
      <w:pPr>
        <w:pStyle w:val="ContinueParaSuitedupar-AltP"/>
        <w:numPr>
          <w:ilvl w:val="0"/>
          <w:numId w:val="29"/>
        </w:numPr>
        <w:ind w:left="1800" w:hanging="630"/>
        <w:rPr>
          <w:rFonts w:cs="Times New Roman"/>
        </w:rPr>
      </w:pPr>
      <w:r w:rsidRPr="00192E1C">
        <w:rPr>
          <w:rFonts w:cs="Times New Roman"/>
        </w:rPr>
        <w:t xml:space="preserve">soit aux fins de toutes autres procédures, </w:t>
      </w:r>
      <w:r w:rsidRPr="00192E1C">
        <w:rPr>
          <w:rFonts w:cs="Times New Roman"/>
          <w:i/>
        </w:rPr>
        <w:t xml:space="preserve">à moins </w:t>
      </w:r>
      <w:r w:rsidRPr="00192E1C">
        <w:rPr>
          <w:rFonts w:cs="Times New Roman"/>
        </w:rPr>
        <w:t>que la personne qui invoque une contravention au par. 495(2) </w:t>
      </w:r>
      <w:r w:rsidRPr="00192E1C">
        <w:rPr>
          <w:rFonts w:cs="Times New Roman"/>
          <w:i/>
        </w:rPr>
        <w:t>C. cr.</w:t>
      </w:r>
      <w:r w:rsidRPr="00192E1C">
        <w:rPr>
          <w:rFonts w:cs="Times New Roman"/>
        </w:rPr>
        <w:t xml:space="preserve"> ne fasse la démonstration que l’agent de la paix ne s’est pas conformé aux exigences du par. 495(2) </w:t>
      </w:r>
      <w:r w:rsidRPr="00192E1C">
        <w:rPr>
          <w:rFonts w:cs="Times New Roman"/>
          <w:i/>
        </w:rPr>
        <w:t>C. cr.</w:t>
      </w:r>
      <w:r w:rsidRPr="00192E1C">
        <w:rPr>
          <w:rFonts w:cs="Times New Roman"/>
        </w:rPr>
        <w:t xml:space="preserve"> (al. 495(3)b) </w:t>
      </w:r>
      <w:r w:rsidRPr="00192E1C">
        <w:rPr>
          <w:rFonts w:cs="Times New Roman"/>
          <w:i/>
        </w:rPr>
        <w:t>C. cr.</w:t>
      </w:r>
      <w:r w:rsidRPr="00192E1C">
        <w:rPr>
          <w:rFonts w:cs="Times New Roman"/>
        </w:rPr>
        <w:t>).</w:t>
      </w:r>
    </w:p>
    <w:p w14:paraId="1AC295E7" w14:textId="77777777" w:rsidR="00192E1C" w:rsidRPr="00192E1C" w:rsidRDefault="00192E1C" w:rsidP="00192E1C">
      <w:pPr>
        <w:pStyle w:val="ParaNoNdepar-AltN"/>
        <w:rPr>
          <w:rFonts w:cs="Times New Roman"/>
        </w:rPr>
      </w:pPr>
      <w:r w:rsidRPr="00192E1C">
        <w:rPr>
          <w:rFonts w:cs="Times New Roman"/>
        </w:rPr>
        <w:t>Le texte de l’al. 495(3)b) </w:t>
      </w:r>
      <w:r w:rsidRPr="00192E1C">
        <w:rPr>
          <w:rFonts w:cs="Times New Roman"/>
          <w:i/>
        </w:rPr>
        <w:t xml:space="preserve">C. cr. </w:t>
      </w:r>
      <w:r w:rsidRPr="00192E1C">
        <w:rPr>
          <w:rFonts w:cs="Times New Roman"/>
        </w:rPr>
        <w:t>est clair. Toutes les parties admettent que cet alinéa n’empêche pas la personne qui allègue une arrestation contraire au par. 495(2) </w:t>
      </w:r>
      <w:r w:rsidRPr="00192E1C">
        <w:rPr>
          <w:rFonts w:cs="Times New Roman"/>
          <w:i/>
        </w:rPr>
        <w:t>C. cr.</w:t>
      </w:r>
      <w:r w:rsidRPr="00192E1C">
        <w:rPr>
          <w:rFonts w:cs="Times New Roman"/>
        </w:rPr>
        <w:t xml:space="preserve"> de poursuivre l’agent de la paix ayant procédé à l’arrestation ou une personne responsable de ce dernier dans le cadre d’une poursuite en matière civile fondée sur le non</w:t>
      </w:r>
      <w:r w:rsidRPr="00192E1C">
        <w:rPr>
          <w:rFonts w:cs="Times New Roman"/>
        </w:rPr>
        <w:noBreakHyphen/>
        <w:t>respect du par. 495(2) </w:t>
      </w:r>
      <w:r w:rsidRPr="00192E1C">
        <w:rPr>
          <w:rFonts w:cs="Times New Roman"/>
          <w:i/>
        </w:rPr>
        <w:t>C. cr.</w:t>
      </w:r>
    </w:p>
    <w:p w14:paraId="35FD82CE" w14:textId="77777777" w:rsidR="00192E1C" w:rsidRPr="00192E1C" w:rsidRDefault="00192E1C" w:rsidP="00192E1C">
      <w:pPr>
        <w:pStyle w:val="ParaNoNdepar-AltN"/>
        <w:rPr>
          <w:rFonts w:cs="Times New Roman"/>
        </w:rPr>
      </w:pPr>
      <w:r w:rsidRPr="00192E1C">
        <w:rPr>
          <w:rFonts w:cs="Times New Roman"/>
        </w:rPr>
        <w:t>Cette disposition permet à l’agent de la paix ou à une personne responsable de ce dernier de bénéficier d’une présomption réfutable selon laquelle il a agi légalement et dans l’exercice de ses fonctions, c’est</w:t>
      </w:r>
      <w:r w:rsidRPr="00192E1C">
        <w:rPr>
          <w:rFonts w:cs="Times New Roman"/>
        </w:rPr>
        <w:noBreakHyphen/>
        <w:t>à</w:t>
      </w:r>
      <w:r w:rsidRPr="00192E1C">
        <w:rPr>
          <w:rFonts w:cs="Times New Roman"/>
        </w:rPr>
        <w:noBreakHyphen/>
        <w:t>dire en conformité avec les prescriptions de l’art. 495 </w:t>
      </w:r>
      <w:r w:rsidRPr="00192E1C">
        <w:rPr>
          <w:rFonts w:cs="Times New Roman"/>
          <w:i/>
        </w:rPr>
        <w:t>C. cr.</w:t>
      </w:r>
      <w:r w:rsidRPr="00192E1C">
        <w:rPr>
          <w:rFonts w:cs="Times New Roman"/>
        </w:rPr>
        <w:t xml:space="preserve"> Cette présomption peut être renversée. La personne arrêtée doit parvenir à démontrer que les exigences prévues au par. 495(2) </w:t>
      </w:r>
      <w:r w:rsidRPr="00192E1C">
        <w:rPr>
          <w:rFonts w:cs="Times New Roman"/>
          <w:i/>
        </w:rPr>
        <w:t>C. cr.</w:t>
      </w:r>
      <w:r w:rsidRPr="00192E1C">
        <w:rPr>
          <w:rFonts w:cs="Times New Roman"/>
        </w:rPr>
        <w:t xml:space="preserve"> intimant à l’agent de la paix de ne pas procéder à une arrestation sans mandat étaient réunies, c’est</w:t>
      </w:r>
      <w:r w:rsidRPr="00192E1C">
        <w:rPr>
          <w:rFonts w:cs="Times New Roman"/>
        </w:rPr>
        <w:noBreakHyphen/>
        <w:t>à</w:t>
      </w:r>
      <w:r w:rsidRPr="00192E1C">
        <w:rPr>
          <w:rFonts w:cs="Times New Roman"/>
        </w:rPr>
        <w:noBreakHyphen/>
        <w:t>dire que l’agent de la paix avait des motifs raisonnables de croire que l’intérêt public pouvait être sauvegardé sans qu’il l’arrête sans mandat et qu’il n’y avait aucun risque qu’elle omette de comparaître devant le tribunal.</w:t>
      </w:r>
    </w:p>
    <w:p w14:paraId="598FE20A" w14:textId="77777777" w:rsidR="00192E1C" w:rsidRPr="00192E1C" w:rsidRDefault="00192E1C" w:rsidP="00192E1C">
      <w:pPr>
        <w:pStyle w:val="ParaNoNdepar-AltN"/>
        <w:rPr>
          <w:rFonts w:cs="Times New Roman"/>
        </w:rPr>
      </w:pPr>
      <w:r w:rsidRPr="00192E1C">
        <w:rPr>
          <w:rFonts w:cs="Times New Roman"/>
        </w:rPr>
        <w:t>Il se peut que l’al. 495(3)b) </w:t>
      </w:r>
      <w:r w:rsidRPr="00192E1C">
        <w:rPr>
          <w:rFonts w:cs="Times New Roman"/>
          <w:i/>
        </w:rPr>
        <w:t>C. cr.</w:t>
      </w:r>
      <w:r w:rsidRPr="00192E1C">
        <w:rPr>
          <w:rFonts w:cs="Times New Roman"/>
        </w:rPr>
        <w:t xml:space="preserve"> englobe également les poursuites en matière de déontologie policière prévues par les lois provinciales ou fédérales adoptées à cette fin. Cela étant, il n’est pas nécessaire de trancher cette question pour les besoins du présent pourvoi.</w:t>
      </w:r>
    </w:p>
    <w:p w14:paraId="7FDF853A" w14:textId="77777777" w:rsidR="00192E1C" w:rsidRPr="00192E1C" w:rsidRDefault="00192E1C" w:rsidP="00192E1C">
      <w:pPr>
        <w:pStyle w:val="ParaNoNdepar-AltN"/>
        <w:rPr>
          <w:rFonts w:cs="Times New Roman"/>
        </w:rPr>
      </w:pPr>
      <w:r w:rsidRPr="00192E1C">
        <w:rPr>
          <w:rFonts w:cs="Times New Roman"/>
        </w:rPr>
        <w:t>En ce qui concerne l’al. 495(3)a) </w:t>
      </w:r>
      <w:r w:rsidRPr="00192E1C">
        <w:rPr>
          <w:rFonts w:cs="Times New Roman"/>
          <w:i/>
        </w:rPr>
        <w:t>C. cr.</w:t>
      </w:r>
      <w:r w:rsidRPr="00192E1C">
        <w:rPr>
          <w:rFonts w:cs="Times New Roman"/>
        </w:rPr>
        <w:t xml:space="preserve">, l’appelant, de même que l’ensemble des procureurs généraux intervenants, proposent une lecture du texte qui se rattache à l’arrestation en mettant l’accent sur le sens ordinaire et grammatical de l’expression « toutes procédures engagées en vertu [du </w:t>
      </w:r>
      <w:r w:rsidRPr="00192E1C">
        <w:rPr>
          <w:rFonts w:cs="Times New Roman"/>
          <w:i/>
        </w:rPr>
        <w:t>Code criminel</w:t>
      </w:r>
      <w:r w:rsidRPr="00192E1C">
        <w:rPr>
          <w:rFonts w:cs="Times New Roman"/>
        </w:rPr>
        <w:t>]</w:t>
      </w:r>
      <w:r w:rsidRPr="00192E1C">
        <w:rPr>
          <w:rFonts w:cs="Times New Roman"/>
          <w:i/>
        </w:rPr>
        <w:t xml:space="preserve"> </w:t>
      </w:r>
      <w:r w:rsidRPr="00192E1C">
        <w:rPr>
          <w:rFonts w:cs="Times New Roman"/>
        </w:rPr>
        <w:t xml:space="preserve">ou de toute autre loi fédérale » (voir </w:t>
      </w:r>
      <w:r w:rsidRPr="00192E1C">
        <w:rPr>
          <w:rFonts w:cs="Times New Roman"/>
          <w:i/>
        </w:rPr>
        <w:t xml:space="preserve">Veen </w:t>
      </w:r>
      <w:r w:rsidRPr="00192E1C">
        <w:rPr>
          <w:rFonts w:cs="Times New Roman"/>
        </w:rPr>
        <w:t xml:space="preserve">(C.A.), par. 50). Ils estiment, comme l’a conclu la Cour d’appel de l’Alberta dans </w:t>
      </w:r>
      <w:r w:rsidRPr="00192E1C">
        <w:rPr>
          <w:rFonts w:cs="Times New Roman"/>
          <w:i/>
        </w:rPr>
        <w:t>Veen</w:t>
      </w:r>
      <w:r w:rsidRPr="00192E1C">
        <w:rPr>
          <w:rFonts w:cs="Times New Roman"/>
        </w:rPr>
        <w:t>, que si le Parlement avait voulu que l’al. 495(3)(a) </w:t>
      </w:r>
      <w:r w:rsidRPr="00192E1C">
        <w:rPr>
          <w:rFonts w:cs="Times New Roman"/>
          <w:i/>
        </w:rPr>
        <w:t>C. cr.</w:t>
      </w:r>
      <w:r w:rsidRPr="00192E1C">
        <w:rPr>
          <w:rFonts w:cs="Times New Roman"/>
        </w:rPr>
        <w:t xml:space="preserve"> se limite essentiellement à éviter que des agents de la paix — ou leurs employeurs — soient déclarés coupables d’une infraction dans le cadre d’une procédure en matière criminelle en raison d’un non</w:t>
      </w:r>
      <w:r w:rsidRPr="00192E1C">
        <w:rPr>
          <w:rFonts w:cs="Times New Roman"/>
        </w:rPr>
        <w:noBreakHyphen/>
        <w:t>respect du par. 495(2) </w:t>
      </w:r>
      <w:r w:rsidRPr="00192E1C">
        <w:rPr>
          <w:rFonts w:cs="Times New Roman"/>
          <w:i/>
        </w:rPr>
        <w:t>C. cr.</w:t>
      </w:r>
      <w:r w:rsidRPr="00192E1C">
        <w:rPr>
          <w:rFonts w:cs="Times New Roman"/>
        </w:rPr>
        <w:t>, le Parlement aurait pu facilement l’indiquer (voir aussi m. interv., procureur général de l’Ontario, par. 10</w:t>
      </w:r>
      <w:r w:rsidRPr="00192E1C">
        <w:rPr>
          <w:rFonts w:cs="Times New Roman"/>
        </w:rPr>
        <w:noBreakHyphen/>
        <w:t>22; m. interv., procureur général de l’Alberta, par. 17</w:t>
      </w:r>
      <w:r w:rsidRPr="00192E1C">
        <w:rPr>
          <w:rFonts w:cs="Times New Roman"/>
        </w:rPr>
        <w:noBreakHyphen/>
        <w:t xml:space="preserve">20; </w:t>
      </w:r>
      <w:r w:rsidRPr="00192E1C">
        <w:rPr>
          <w:rFonts w:cs="Times New Roman"/>
          <w:i/>
        </w:rPr>
        <w:t>Veen</w:t>
      </w:r>
      <w:r w:rsidRPr="00192E1C">
        <w:rPr>
          <w:rFonts w:cs="Times New Roman"/>
        </w:rPr>
        <w:t xml:space="preserve"> (C.A.), par. 50). Or, prétendent</w:t>
      </w:r>
      <w:r w:rsidRPr="00192E1C">
        <w:rPr>
          <w:rFonts w:cs="Times New Roman"/>
        </w:rPr>
        <w:noBreakHyphen/>
        <w:t>ils, le Parlement ne s’est pas exprimé de façon aussi étroite. Il est donc évident, à leur avis, que l’al. 495(3)a) </w:t>
      </w:r>
      <w:r w:rsidRPr="00192E1C">
        <w:rPr>
          <w:rFonts w:cs="Times New Roman"/>
          <w:i/>
        </w:rPr>
        <w:t>C. cr.</w:t>
      </w:r>
      <w:r w:rsidRPr="00192E1C">
        <w:rPr>
          <w:rFonts w:cs="Times New Roman"/>
        </w:rPr>
        <w:t xml:space="preserve"> s’appliquerait même dans le cadre du procès criminel de la personne ayant été arrêtée sans mandat, comme celui de l’intimé en l’espèce, puisqu’il s’agirait — au sens large — d’une procédure engagée en vertu du </w:t>
      </w:r>
      <w:r w:rsidRPr="00192E1C">
        <w:rPr>
          <w:rFonts w:cs="Times New Roman"/>
          <w:i/>
        </w:rPr>
        <w:t>Code criminel</w:t>
      </w:r>
      <w:r w:rsidRPr="00192E1C">
        <w:rPr>
          <w:rFonts w:cs="Times New Roman"/>
        </w:rPr>
        <w:t xml:space="preserve"> ou de toute autre loi fédérale.</w:t>
      </w:r>
    </w:p>
    <w:p w14:paraId="3D06FBFB" w14:textId="77777777" w:rsidR="00192E1C" w:rsidRPr="00192E1C" w:rsidRDefault="00192E1C" w:rsidP="00192E1C">
      <w:pPr>
        <w:pStyle w:val="ParaNoNdepar-AltN"/>
        <w:rPr>
          <w:rFonts w:cs="Times New Roman"/>
        </w:rPr>
      </w:pPr>
      <w:r w:rsidRPr="00192E1C">
        <w:rPr>
          <w:rFonts w:cs="Times New Roman"/>
        </w:rPr>
        <w:t>À mon avis, le sens ordinaire et grammatical de l’al. 495(3)a) </w:t>
      </w:r>
      <w:r w:rsidRPr="00192E1C">
        <w:rPr>
          <w:rFonts w:cs="Times New Roman"/>
          <w:i/>
        </w:rPr>
        <w:t xml:space="preserve">C. cr. </w:t>
      </w:r>
      <w:r w:rsidRPr="00192E1C">
        <w:rPr>
          <w:rFonts w:cs="Times New Roman"/>
        </w:rPr>
        <w:t xml:space="preserve">appuie également une autre interprétation, qui s’arrime mieux à l’objet </w:t>
      </w:r>
      <w:bookmarkStart w:id="202" w:name="_Hlk215649858"/>
      <w:r w:rsidRPr="00192E1C">
        <w:rPr>
          <w:rFonts w:cs="Times New Roman"/>
        </w:rPr>
        <w:t>et au contexte de la disposition que j’examine plus loin</w:t>
      </w:r>
      <w:bookmarkEnd w:id="202"/>
      <w:r w:rsidRPr="00192E1C">
        <w:rPr>
          <w:rFonts w:cs="Times New Roman"/>
        </w:rPr>
        <w:t>.</w:t>
      </w:r>
    </w:p>
    <w:p w14:paraId="4FFD940A" w14:textId="77777777" w:rsidR="00192E1C" w:rsidRPr="00192E1C" w:rsidRDefault="00192E1C" w:rsidP="00192E1C">
      <w:pPr>
        <w:pStyle w:val="ParaNoNdepar-AltN"/>
        <w:rPr>
          <w:rFonts w:cs="Times New Roman"/>
        </w:rPr>
      </w:pPr>
      <w:r w:rsidRPr="00192E1C">
        <w:rPr>
          <w:rFonts w:cs="Times New Roman"/>
        </w:rPr>
        <w:t xml:space="preserve">J’attire l’attention sur la formulation choisie par le Parlement : « . . . un agent de la paix agissant aux termes du [par. 495(1)] est censé agir légalement et dans l’exercice de ses fonctions » </w:t>
      </w:r>
      <w:r w:rsidRPr="00192E1C">
        <w:t>(« </w:t>
      </w:r>
      <w:r w:rsidRPr="00192E1C">
        <w:rPr>
          <w:i/>
        </w:rPr>
        <w:t>a peace officer acting under [subs. </w:t>
      </w:r>
      <w:r w:rsidRPr="00192E1C">
        <w:rPr>
          <w:i/>
          <w:lang w:val="en-US"/>
        </w:rPr>
        <w:t>495(1)] is deemed to be acting lawfully and in the execution of his duty</w:t>
      </w:r>
      <w:r w:rsidRPr="00192E1C">
        <w:rPr>
          <w:lang w:val="en-US"/>
        </w:rPr>
        <w:t xml:space="preserve"> ») </w:t>
      </w:r>
      <w:r w:rsidRPr="00192E1C">
        <w:rPr>
          <w:rFonts w:cs="Times New Roman"/>
          <w:lang w:val="en-US"/>
        </w:rPr>
        <w:t>(par. 495(3) </w:t>
      </w:r>
      <w:r w:rsidRPr="00192E1C">
        <w:rPr>
          <w:rFonts w:cs="Times New Roman"/>
          <w:i/>
          <w:lang w:val="en-US"/>
        </w:rPr>
        <w:t>C. cr.</w:t>
      </w:r>
      <w:r w:rsidRPr="00192E1C">
        <w:rPr>
          <w:rFonts w:cs="Times New Roman"/>
          <w:lang w:val="en-US"/>
        </w:rPr>
        <w:t xml:space="preserve">). </w:t>
      </w:r>
      <w:r w:rsidRPr="00192E1C">
        <w:rPr>
          <w:rFonts w:cs="Times New Roman"/>
        </w:rPr>
        <w:t>À la lumière de cette formulation, je constate que le texte permet aussi de soutenir l’interprétation selon laquelle les al. 495(3)a) et b) requièrent en réalité que les procédures engagées soient dirigées directement contre la conduite de l’agent de la paix qui a procédé à l’arrestation contrairement aux exigences du par. 495(2) </w:t>
      </w:r>
      <w:r w:rsidRPr="00192E1C">
        <w:rPr>
          <w:rFonts w:cs="Times New Roman"/>
          <w:i/>
        </w:rPr>
        <w:t>C. cr.</w:t>
      </w:r>
      <w:r w:rsidRPr="00192E1C">
        <w:rPr>
          <w:rFonts w:cs="Times New Roman"/>
        </w:rPr>
        <w:t>,</w:t>
      </w:r>
      <w:r w:rsidRPr="00192E1C">
        <w:rPr>
          <w:rFonts w:cs="Times New Roman"/>
          <w:i/>
        </w:rPr>
        <w:t xml:space="preserve"> </w:t>
      </w:r>
      <w:r w:rsidRPr="00192E1C">
        <w:rPr>
          <w:rFonts w:cs="Times New Roman"/>
        </w:rPr>
        <w:t>c’est</w:t>
      </w:r>
      <w:r w:rsidRPr="00192E1C">
        <w:rPr>
          <w:rFonts w:cs="Times New Roman"/>
        </w:rPr>
        <w:noBreakHyphen/>
        <w:t>à</w:t>
      </w:r>
      <w:r w:rsidRPr="00192E1C">
        <w:rPr>
          <w:rFonts w:cs="Times New Roman"/>
        </w:rPr>
        <w:noBreakHyphen/>
        <w:t>dire que le tribunal examine les actes de l’agent de la paix lui</w:t>
      </w:r>
      <w:r w:rsidRPr="00192E1C">
        <w:rPr>
          <w:rFonts w:cs="Times New Roman"/>
        </w:rPr>
        <w:noBreakHyphen/>
        <w:t xml:space="preserve">même afin de déterminer la responsabilité de cet agent, de son employeur, ou de toute autre personne pouvant faire l’objet d’une poursuite et être tenue responsable </w:t>
      </w:r>
      <w:r w:rsidRPr="00192E1C">
        <w:rPr>
          <w:rFonts w:cs="Times New Roman"/>
          <w:i/>
        </w:rPr>
        <w:t>pour la conduite de l’agent de la paix</w:t>
      </w:r>
      <w:r w:rsidRPr="00192E1C">
        <w:rPr>
          <w:rFonts w:cs="Times New Roman"/>
        </w:rPr>
        <w:t>.</w:t>
      </w:r>
    </w:p>
    <w:p w14:paraId="4E2524E4" w14:textId="77777777" w:rsidR="00192E1C" w:rsidRPr="00192E1C" w:rsidRDefault="00192E1C" w:rsidP="00192E1C">
      <w:pPr>
        <w:pStyle w:val="ParaNoNdepar-AltN"/>
        <w:rPr>
          <w:rFonts w:cs="Times New Roman"/>
        </w:rPr>
      </w:pPr>
      <w:r w:rsidRPr="00192E1C">
        <w:rPr>
          <w:rFonts w:cs="Times New Roman"/>
        </w:rPr>
        <w:t>Sous cet angle, la présomption de légalité prévue au par. 495(3) </w:t>
      </w:r>
      <w:r w:rsidRPr="00192E1C">
        <w:rPr>
          <w:rFonts w:cs="Times New Roman"/>
          <w:i/>
        </w:rPr>
        <w:t>C. cr.</w:t>
      </w:r>
      <w:r w:rsidRPr="00192E1C">
        <w:rPr>
          <w:rFonts w:cs="Times New Roman"/>
        </w:rPr>
        <w:t xml:space="preserve"> ne s’appliquerait qu’aux actes de l’agent de la paix aux fins de décider de sa responsabilité ou de celle d’une personne responsable de ce dernier. La légalité de la </w:t>
      </w:r>
      <w:r w:rsidRPr="00192E1C">
        <w:rPr>
          <w:rFonts w:cs="Times New Roman"/>
          <w:i/>
        </w:rPr>
        <w:t>conduite</w:t>
      </w:r>
      <w:r w:rsidRPr="00192E1C">
        <w:rPr>
          <w:rFonts w:cs="Times New Roman"/>
        </w:rPr>
        <w:t xml:space="preserve"> de l’agent de la paix (au regard d’une poursuite en responsabilité civile ou criminelle) serait une question bien différente de celle de la légalité de l’</w:t>
      </w:r>
      <w:r w:rsidRPr="00192E1C">
        <w:rPr>
          <w:rFonts w:cs="Times New Roman"/>
          <w:i/>
        </w:rPr>
        <w:t>arrestation</w:t>
      </w:r>
      <w:r w:rsidRPr="00192E1C">
        <w:rPr>
          <w:rFonts w:cs="Times New Roman"/>
        </w:rPr>
        <w:t xml:space="preserve"> au regard du </w:t>
      </w:r>
      <w:r w:rsidRPr="00192E1C">
        <w:rPr>
          <w:rFonts w:cs="Times New Roman"/>
          <w:i/>
        </w:rPr>
        <w:t>Code criminel</w:t>
      </w:r>
      <w:r w:rsidRPr="00192E1C">
        <w:rPr>
          <w:rFonts w:cs="Times New Roman"/>
        </w:rPr>
        <w:t xml:space="preserve"> et de la </w:t>
      </w:r>
      <w:r w:rsidRPr="00192E1C">
        <w:rPr>
          <w:rFonts w:cs="Times New Roman"/>
          <w:i/>
        </w:rPr>
        <w:t>Charte</w:t>
      </w:r>
      <w:r w:rsidRPr="00192E1C">
        <w:rPr>
          <w:rFonts w:cs="Times New Roman"/>
        </w:rPr>
        <w:t>.</w:t>
      </w:r>
    </w:p>
    <w:p w14:paraId="02050FD4" w14:textId="77777777" w:rsidR="00192E1C" w:rsidRPr="00192E1C" w:rsidRDefault="00192E1C" w:rsidP="00192E1C">
      <w:pPr>
        <w:pStyle w:val="ParaNoNdepar-AltN"/>
        <w:rPr>
          <w:rFonts w:cs="Times New Roman"/>
        </w:rPr>
      </w:pPr>
      <w:r w:rsidRPr="00192E1C">
        <w:rPr>
          <w:rFonts w:cs="Times New Roman"/>
        </w:rPr>
        <w:t>Une simple lecture des termes de l’al. 495(3)a) </w:t>
      </w:r>
      <w:r w:rsidRPr="00192E1C">
        <w:rPr>
          <w:rFonts w:cs="Times New Roman"/>
          <w:i/>
        </w:rPr>
        <w:t>C. cr.</w:t>
      </w:r>
      <w:r w:rsidRPr="00192E1C">
        <w:rPr>
          <w:rFonts w:cs="Times New Roman"/>
        </w:rPr>
        <w:t xml:space="preserve"> révèle donc une ambiguïté quant à la portée de cette disposition, en ce qu’ils pourraient raisonnablement appuyer deux interprétations. Toutefois, j’estime qu’il ne s’agit pas d’une ambiguïté « réelle » au sens de l’arrêt </w:t>
      </w:r>
      <w:r w:rsidRPr="00192E1C">
        <w:rPr>
          <w:rFonts w:cs="Times New Roman"/>
          <w:i/>
          <w:iCs/>
        </w:rPr>
        <w:t>Bell ExpressVu Limited Partnership c. Rex</w:t>
      </w:r>
      <w:r w:rsidRPr="00192E1C">
        <w:rPr>
          <w:rFonts w:cs="Times New Roman"/>
        </w:rPr>
        <w:t>, 2002 CSC 42, [2002] 2 R.C.S. 559, par. 29</w:t>
      </w:r>
      <w:r w:rsidRPr="00192E1C">
        <w:rPr>
          <w:rFonts w:cs="Times New Roman"/>
        </w:rPr>
        <w:noBreakHyphen/>
        <w:t>30, puisque le sens véritable de l’al. 495(3)a) </w:t>
      </w:r>
      <w:r w:rsidRPr="00192E1C">
        <w:rPr>
          <w:rFonts w:cs="Times New Roman"/>
          <w:i/>
        </w:rPr>
        <w:t>C. cr.</w:t>
      </w:r>
      <w:r w:rsidRPr="00192E1C">
        <w:rPr>
          <w:rFonts w:cs="Times New Roman"/>
        </w:rPr>
        <w:t xml:space="preserve"> peut être dégagé du contexte et de l’objet qui le sous</w:t>
      </w:r>
      <w:r w:rsidRPr="00192E1C">
        <w:rPr>
          <w:rFonts w:cs="Times New Roman"/>
        </w:rPr>
        <w:noBreakHyphen/>
        <w:t>tendent</w:t>
      </w:r>
      <w:r w:rsidRPr="00192E1C">
        <w:rPr>
          <w:rFonts w:cs="Times New Roman"/>
          <w:i/>
        </w:rPr>
        <w:t xml:space="preserve"> </w:t>
      </w:r>
      <w:r w:rsidRPr="00192E1C">
        <w:rPr>
          <w:rFonts w:cs="Times New Roman"/>
        </w:rPr>
        <w:t>(</w:t>
      </w:r>
      <w:r w:rsidRPr="00192E1C">
        <w:rPr>
          <w:rFonts w:cs="Times New Roman"/>
          <w:i/>
        </w:rPr>
        <w:t>La Presse inc. c. Québec</w:t>
      </w:r>
      <w:r w:rsidRPr="00192E1C">
        <w:rPr>
          <w:rFonts w:cs="Times New Roman"/>
        </w:rPr>
        <w:t>, 2023 CSC 22, par. 23</w:t>
      </w:r>
      <w:r w:rsidRPr="00192E1C">
        <w:rPr>
          <w:rFonts w:cs="Times New Roman"/>
        </w:rPr>
        <w:noBreakHyphen/>
        <w:t>24). L’opération d’interprétation statutaire serait de toute manière incomplète sans le recours au contexte et à l’objet de cette disposition (</w:t>
      </w:r>
      <w:r w:rsidRPr="00192E1C">
        <w:rPr>
          <w:rFonts w:cs="Times New Roman"/>
          <w:i/>
        </w:rPr>
        <w:t>Wolfe</w:t>
      </w:r>
      <w:r w:rsidRPr="00192E1C">
        <w:rPr>
          <w:rFonts w:cs="Times New Roman"/>
        </w:rPr>
        <w:t xml:space="preserve">, par. 32; </w:t>
      </w:r>
      <w:r w:rsidRPr="00192E1C">
        <w:rPr>
          <w:rFonts w:cs="Times New Roman"/>
          <w:i/>
        </w:rPr>
        <w:t>R. c. Alex</w:t>
      </w:r>
      <w:r w:rsidRPr="00192E1C">
        <w:rPr>
          <w:rFonts w:cs="Times New Roman"/>
        </w:rPr>
        <w:t>, 2017 CSC 37, [2017] 1 R.C.S. 967, par. 31). En l’espèce, le contexte et l’objet de l’al. 495(3)a) </w:t>
      </w:r>
      <w:r w:rsidRPr="00192E1C">
        <w:rPr>
          <w:rFonts w:cs="Times New Roman"/>
          <w:i/>
        </w:rPr>
        <w:t>C. cr.</w:t>
      </w:r>
      <w:r w:rsidRPr="00192E1C">
        <w:rPr>
          <w:rFonts w:cs="Times New Roman"/>
        </w:rPr>
        <w:t xml:space="preserve"> indiquent que la présomption de légalité du par. 495(3) </w:t>
      </w:r>
      <w:r w:rsidRPr="00192E1C">
        <w:rPr>
          <w:rFonts w:cs="Times New Roman"/>
          <w:i/>
        </w:rPr>
        <w:t>C. cr.</w:t>
      </w:r>
      <w:r w:rsidRPr="00192E1C">
        <w:rPr>
          <w:rFonts w:cs="Times New Roman"/>
        </w:rPr>
        <w:t xml:space="preserve"> s’attache uniquement à la conduite de l’agent de la paix qui procède à l’arrestation considérée comme contraire au par. 495(2) </w:t>
      </w:r>
      <w:r w:rsidRPr="00192E1C">
        <w:rPr>
          <w:rFonts w:cs="Times New Roman"/>
          <w:i/>
        </w:rPr>
        <w:t>C. cr.</w:t>
      </w:r>
      <w:r w:rsidRPr="00192E1C">
        <w:rPr>
          <w:rFonts w:cs="Times New Roman"/>
        </w:rPr>
        <w:t xml:space="preserve"> En d’autres mots, ils confirment qu’il faut adopter une lecture étroite de la disposition.</w:t>
      </w:r>
    </w:p>
    <w:p w14:paraId="173CF90E" w14:textId="77777777" w:rsidR="00192E1C" w:rsidRPr="00192E1C" w:rsidRDefault="00192E1C" w:rsidP="00192E1C">
      <w:pPr>
        <w:pStyle w:val="Title3LevelTitre3Niveau"/>
        <w:numPr>
          <w:ilvl w:val="0"/>
          <w:numId w:val="28"/>
        </w:numPr>
        <w:ind w:left="1152" w:hanging="576"/>
        <w:rPr>
          <w:rFonts w:cs="Times New Roman"/>
          <w:szCs w:val="24"/>
          <w:lang w:val="fr-CA"/>
        </w:rPr>
      </w:pPr>
      <w:bookmarkStart w:id="203" w:name="_Toc204271962"/>
      <w:bookmarkStart w:id="204" w:name="_Toc204336583"/>
      <w:bookmarkStart w:id="205" w:name="_Toc204344091"/>
      <w:bookmarkStart w:id="206" w:name="_Toc208319865"/>
      <w:bookmarkStart w:id="207" w:name="_Toc214611167"/>
      <w:bookmarkStart w:id="208" w:name="_Toc215654529"/>
      <w:r w:rsidRPr="00192E1C">
        <w:rPr>
          <w:rFonts w:cs="Times New Roman"/>
          <w:szCs w:val="24"/>
          <w:lang w:val="fr-CA"/>
        </w:rPr>
        <w:t>L’objet du par. 495(3)</w:t>
      </w:r>
      <w:bookmarkEnd w:id="203"/>
      <w:bookmarkEnd w:id="204"/>
      <w:bookmarkEnd w:id="205"/>
      <w:bookmarkEnd w:id="206"/>
      <w:bookmarkEnd w:id="207"/>
      <w:bookmarkEnd w:id="208"/>
      <w:r w:rsidRPr="00192E1C">
        <w:rPr>
          <w:rFonts w:cs="Times New Roman"/>
          <w:szCs w:val="24"/>
          <w:lang w:val="fr-CA"/>
        </w:rPr>
        <w:t> </w:t>
      </w:r>
      <w:r w:rsidRPr="00192E1C">
        <w:rPr>
          <w:rFonts w:cs="Times New Roman"/>
          <w:i/>
          <w:szCs w:val="24"/>
          <w:lang w:val="fr-CA"/>
        </w:rPr>
        <w:t>C. cr.</w:t>
      </w:r>
    </w:p>
    <w:p w14:paraId="192B5B0B" w14:textId="77777777" w:rsidR="00192E1C" w:rsidRPr="00192E1C" w:rsidRDefault="00192E1C" w:rsidP="00192E1C">
      <w:pPr>
        <w:pStyle w:val="ParaNoNdepar-AltN"/>
        <w:rPr>
          <w:rFonts w:cs="Times New Roman"/>
        </w:rPr>
      </w:pPr>
      <w:bookmarkStart w:id="209" w:name="_Ref214611762"/>
      <w:r w:rsidRPr="00192E1C">
        <w:rPr>
          <w:rFonts w:cs="Times New Roman"/>
        </w:rPr>
        <w:t>J’enchaîne mon analyse en m’attardant à l’objet de la disposition. Il est bien établi qu’en matière d’interprétation statutaire, un tribunal n’est pas tenu de suivre un ordre rigide dans l’examen du texte, du contexte et de l’objet (</w:t>
      </w:r>
      <w:r w:rsidRPr="00192E1C">
        <w:rPr>
          <w:rFonts w:cs="Times New Roman"/>
          <w:i/>
        </w:rPr>
        <w:t>Piekut</w:t>
      </w:r>
      <w:r w:rsidRPr="00192E1C">
        <w:rPr>
          <w:rFonts w:cs="Times New Roman"/>
        </w:rPr>
        <w:t xml:space="preserve">, par. 43; </w:t>
      </w:r>
      <w:r w:rsidRPr="00192E1C">
        <w:rPr>
          <w:rFonts w:cs="Times New Roman"/>
          <w:i/>
        </w:rPr>
        <w:t>Bell ExpressVu</w:t>
      </w:r>
      <w:r w:rsidRPr="00192E1C">
        <w:rPr>
          <w:rFonts w:cs="Times New Roman"/>
        </w:rPr>
        <w:t xml:space="preserve">, par. 31; </w:t>
      </w:r>
      <w:r w:rsidRPr="00192E1C">
        <w:rPr>
          <w:rFonts w:cs="Times New Roman"/>
          <w:i/>
        </w:rPr>
        <w:t>Chieu c. Canada (Ministre de la Citoyenneté et de l’Immigration)</w:t>
      </w:r>
      <w:r w:rsidRPr="00192E1C">
        <w:rPr>
          <w:rFonts w:cs="Times New Roman"/>
        </w:rPr>
        <w:t>, 2002 CSC 3, [2002] 1 R.C.S. 84, par. 28). Cela signifie, en l’espèce, qu’il n’y a aucun obstacle à ce que l’analyse se poursuive par l’examen de l’objet, et j’examinerai plus loin le contexte. À mon avis, l’étude de l’objet du par. 495(3) </w:t>
      </w:r>
      <w:r w:rsidRPr="00192E1C">
        <w:rPr>
          <w:rFonts w:cs="Times New Roman"/>
          <w:i/>
        </w:rPr>
        <w:t>C. cr.</w:t>
      </w:r>
      <w:r w:rsidRPr="00192E1C">
        <w:rPr>
          <w:rFonts w:cs="Times New Roman"/>
        </w:rPr>
        <w:t xml:space="preserve"> contribue de manière importante à résoudre l’ambiguïté quant à la portée de la disposition et il éclaire utilement l’analyse.</w:t>
      </w:r>
      <w:bookmarkEnd w:id="209"/>
    </w:p>
    <w:p w14:paraId="2F506E05" w14:textId="77777777" w:rsidR="00192E1C" w:rsidRPr="00192E1C" w:rsidRDefault="00192E1C" w:rsidP="00192E1C">
      <w:pPr>
        <w:pStyle w:val="ParaNoNdepar-AltN"/>
        <w:rPr>
          <w:rFonts w:cs="Times New Roman"/>
        </w:rPr>
      </w:pPr>
      <w:r w:rsidRPr="00192E1C">
        <w:rPr>
          <w:rFonts w:cs="Times New Roman"/>
        </w:rPr>
        <w:t xml:space="preserve">Comme je l’ai souligné plus tôt, à la suite de la publication du </w:t>
      </w:r>
      <w:r w:rsidRPr="00192E1C">
        <w:rPr>
          <w:rFonts w:cs="Times New Roman"/>
          <w:i/>
        </w:rPr>
        <w:t>Rapport Ouimet</w:t>
      </w:r>
      <w:r w:rsidRPr="00192E1C">
        <w:rPr>
          <w:rFonts w:cs="Times New Roman"/>
        </w:rPr>
        <w:t xml:space="preserve">, le Parlement a adopté la </w:t>
      </w:r>
      <w:r w:rsidRPr="00192E1C">
        <w:rPr>
          <w:rFonts w:cs="Times New Roman"/>
          <w:i/>
        </w:rPr>
        <w:t>Loi sur la réforme du cautionnement</w:t>
      </w:r>
      <w:r w:rsidRPr="00192E1C">
        <w:rPr>
          <w:rFonts w:cs="Times New Roman"/>
        </w:rPr>
        <w:t>, dont l’un des objectifs était de réduire les arrestations sans mandat et les détentions préventives non nécessaires. Cet objectif se manifeste notamment par le truchement du par. 495(2) </w:t>
      </w:r>
      <w:r w:rsidRPr="00192E1C">
        <w:rPr>
          <w:rFonts w:cs="Times New Roman"/>
          <w:i/>
        </w:rPr>
        <w:t>C. cr.</w:t>
      </w:r>
      <w:r w:rsidRPr="00192E1C">
        <w:rPr>
          <w:rFonts w:cs="Times New Roman"/>
        </w:rPr>
        <w:t>, dont l’objet consiste — je le répète — à imposer des normes contraignantes limitant la discrétion des agents de la paix de procéder à une arrestation sans mandat lorsque certaines conditions sont réunies.</w:t>
      </w:r>
    </w:p>
    <w:p w14:paraId="3B99720F" w14:textId="77777777" w:rsidR="00192E1C" w:rsidRPr="00192E1C" w:rsidRDefault="00192E1C" w:rsidP="00192E1C">
      <w:pPr>
        <w:pStyle w:val="ParaNoNdepar-AltN"/>
        <w:rPr>
          <w:rFonts w:cs="Times New Roman"/>
        </w:rPr>
      </w:pPr>
      <w:r w:rsidRPr="00192E1C">
        <w:rPr>
          <w:rFonts w:cs="Times New Roman"/>
        </w:rPr>
        <w:t>Pour sa part, l’objet du par. 495(3) </w:t>
      </w:r>
      <w:r w:rsidRPr="00192E1C">
        <w:rPr>
          <w:rFonts w:cs="Times New Roman"/>
          <w:i/>
        </w:rPr>
        <w:t>C. cr.</w:t>
      </w:r>
      <w:r w:rsidRPr="00192E1C">
        <w:rPr>
          <w:rFonts w:cs="Times New Roman"/>
        </w:rPr>
        <w:t xml:space="preserve"> s’inscrit en complémentarité avec celui du par. 495(2) </w:t>
      </w:r>
      <w:r w:rsidRPr="00192E1C">
        <w:rPr>
          <w:rFonts w:cs="Times New Roman"/>
          <w:i/>
        </w:rPr>
        <w:t>C. cr.</w:t>
      </w:r>
      <w:r w:rsidRPr="00192E1C">
        <w:rPr>
          <w:rFonts w:cs="Times New Roman"/>
        </w:rPr>
        <w:t xml:space="preserve"> Le paragraphe 495(3) </w:t>
      </w:r>
      <w:r w:rsidRPr="00192E1C">
        <w:rPr>
          <w:rFonts w:cs="Times New Roman"/>
          <w:i/>
        </w:rPr>
        <w:t>C. cr.</w:t>
      </w:r>
      <w:r w:rsidRPr="00192E1C">
        <w:rPr>
          <w:rFonts w:cs="Times New Roman"/>
        </w:rPr>
        <w:t xml:space="preserve"> consiste à offrir une certaine protection aux agents de la paix dans des situations où, de bonne foi, ils ont commis une erreur de jugement en procédant à une arrestation non conforme au par. 495(2) </w:t>
      </w:r>
      <w:r w:rsidRPr="00192E1C">
        <w:rPr>
          <w:rFonts w:cs="Times New Roman"/>
          <w:i/>
        </w:rPr>
        <w:t>C. cr.</w:t>
      </w:r>
      <w:r w:rsidRPr="00192E1C">
        <w:rPr>
          <w:rFonts w:cs="Times New Roman"/>
        </w:rPr>
        <w:t xml:space="preserve"> À titre d’exemple, l’al. 495(3)a) </w:t>
      </w:r>
      <w:r w:rsidRPr="00192E1C">
        <w:rPr>
          <w:rFonts w:cs="Times New Roman"/>
          <w:i/>
        </w:rPr>
        <w:t>C. cr.</w:t>
      </w:r>
      <w:r w:rsidRPr="00192E1C">
        <w:rPr>
          <w:rFonts w:cs="Times New Roman"/>
        </w:rPr>
        <w:t xml:space="preserve"> empêche qu’un agent de la paix soit tenu criminellement responsable d’une infraction prévue au </w:t>
      </w:r>
      <w:r w:rsidRPr="00192E1C">
        <w:rPr>
          <w:rFonts w:cs="Times New Roman"/>
          <w:i/>
        </w:rPr>
        <w:t>Code criminel</w:t>
      </w:r>
      <w:r w:rsidRPr="00192E1C">
        <w:rPr>
          <w:rFonts w:cs="Times New Roman"/>
        </w:rPr>
        <w:t xml:space="preserve"> pour avoir contrevenu aux prescriptions du par. 495(2) </w:t>
      </w:r>
      <w:r w:rsidRPr="00192E1C">
        <w:rPr>
          <w:rFonts w:cs="Times New Roman"/>
          <w:i/>
        </w:rPr>
        <w:t>C. cr.</w:t>
      </w:r>
      <w:r w:rsidRPr="00192E1C">
        <w:rPr>
          <w:rFonts w:cs="Times New Roman"/>
        </w:rPr>
        <w:t>; tandis que — toujours à titre d’exemple — l’al. 495(3)b) </w:t>
      </w:r>
      <w:r w:rsidRPr="00192E1C">
        <w:rPr>
          <w:rFonts w:cs="Times New Roman"/>
          <w:i/>
        </w:rPr>
        <w:t>C. cr.</w:t>
      </w:r>
      <w:r w:rsidRPr="00192E1C">
        <w:rPr>
          <w:rFonts w:cs="Times New Roman"/>
        </w:rPr>
        <w:t xml:space="preserve"> limite la possibilité qu’un agent de la paix soit tenu responsable pour une telle contravention dans une poursuite civile. Cette possibilité est limitée par le libellé de l’al. 495(3)b), qui confirme qu’il revient à la personne qui allègue que son arrestation était contraire au par. 495(2) </w:t>
      </w:r>
      <w:r w:rsidRPr="00192E1C">
        <w:rPr>
          <w:rFonts w:cs="Times New Roman"/>
          <w:i/>
        </w:rPr>
        <w:t>C. cr.</w:t>
      </w:r>
      <w:r w:rsidRPr="00192E1C">
        <w:rPr>
          <w:rFonts w:cs="Times New Roman"/>
        </w:rPr>
        <w:t xml:space="preserve"> de prouver ce fait.</w:t>
      </w:r>
    </w:p>
    <w:p w14:paraId="08B984CA" w14:textId="77777777" w:rsidR="00192E1C" w:rsidRPr="00192E1C" w:rsidRDefault="00192E1C" w:rsidP="00192E1C">
      <w:pPr>
        <w:pStyle w:val="ParaNoNdepar-AltN"/>
        <w:rPr>
          <w:rFonts w:cs="Times New Roman"/>
        </w:rPr>
      </w:pPr>
      <w:r w:rsidRPr="00192E1C">
        <w:rPr>
          <w:rFonts w:cs="Times New Roman"/>
        </w:rPr>
        <w:t>Bien qu’ils doivent être considérés avec prudence, les débats parlementaires entourant l’adoption du par. 495(3) </w:t>
      </w:r>
      <w:r w:rsidRPr="00192E1C">
        <w:rPr>
          <w:rFonts w:cs="Times New Roman"/>
          <w:i/>
        </w:rPr>
        <w:t>C. cr.</w:t>
      </w:r>
      <w:r w:rsidRPr="00192E1C">
        <w:rPr>
          <w:rFonts w:cs="Times New Roman"/>
        </w:rPr>
        <w:t xml:space="preserve"> que j’ai reproduits d’entrée de jeu revêtent une importance particulière en l’espèce (</w:t>
      </w:r>
      <w:r w:rsidRPr="00192E1C">
        <w:rPr>
          <w:rFonts w:cs="Times New Roman"/>
          <w:i/>
        </w:rPr>
        <w:t>Németh c. Canada (Justice)</w:t>
      </w:r>
      <w:r w:rsidRPr="00192E1C">
        <w:rPr>
          <w:rFonts w:cs="Times New Roman"/>
        </w:rPr>
        <w:t>,</w:t>
      </w:r>
      <w:r w:rsidRPr="00192E1C">
        <w:rPr>
          <w:rFonts w:cs="Times New Roman"/>
          <w:i/>
        </w:rPr>
        <w:t xml:space="preserve"> </w:t>
      </w:r>
      <w:r w:rsidRPr="00192E1C">
        <w:rPr>
          <w:rFonts w:cs="Times New Roman"/>
        </w:rPr>
        <w:t xml:space="preserve">2010 CSC 56, [2010] 3 R.C.S. 281, par. 46; </w:t>
      </w:r>
      <w:r w:rsidRPr="00192E1C">
        <w:rPr>
          <w:rFonts w:cs="Times New Roman"/>
          <w:i/>
          <w:iCs/>
        </w:rPr>
        <w:t>Renvoi relatif à la Loi sur les armes à feu (Can.)</w:t>
      </w:r>
      <w:r w:rsidRPr="00192E1C">
        <w:rPr>
          <w:rFonts w:cs="Times New Roman"/>
        </w:rPr>
        <w:t>, 2000 CSC 31, [2000] 1 R.C.S. 783, par. 17). Il en va de même des débats parlementaires que je reproduirai ci</w:t>
      </w:r>
      <w:r w:rsidRPr="00192E1C">
        <w:rPr>
          <w:rFonts w:cs="Times New Roman"/>
        </w:rPr>
        <w:noBreakHyphen/>
        <w:t>après (</w:t>
      </w:r>
      <w:r w:rsidRPr="00192E1C">
        <w:rPr>
          <w:rFonts w:cs="Times New Roman"/>
          <w:i/>
        </w:rPr>
        <w:t>Renvoi relatif à la Loi sur l’évaluation d’impact</w:t>
      </w:r>
      <w:r w:rsidRPr="00192E1C">
        <w:rPr>
          <w:rFonts w:cs="Times New Roman"/>
        </w:rPr>
        <w:t xml:space="preserve">, 2023 CSC 23, par. 62; </w:t>
      </w:r>
      <w:r w:rsidRPr="00192E1C">
        <w:rPr>
          <w:rFonts w:cs="Times New Roman"/>
          <w:i/>
        </w:rPr>
        <w:t>R. c. Appulonappa</w:t>
      </w:r>
      <w:r w:rsidRPr="00192E1C">
        <w:rPr>
          <w:rFonts w:cs="Times New Roman"/>
        </w:rPr>
        <w:t>, 2015 CSC 59, [2015] 3 R.C.S. 754, par. 64;</w:t>
      </w:r>
      <w:r w:rsidRPr="00192E1C">
        <w:rPr>
          <w:rFonts w:cs="Times New Roman"/>
          <w:i/>
        </w:rPr>
        <w:t xml:space="preserve"> Demande fondée sur l’art. 83.28 du Code criminel (Re)</w:t>
      </w:r>
      <w:r w:rsidRPr="00192E1C">
        <w:rPr>
          <w:rFonts w:cs="Times New Roman"/>
        </w:rPr>
        <w:t xml:space="preserve">, 2004 CSC 42, [2004] 2 R.C.S. 248, par. 37; </w:t>
      </w:r>
      <w:r w:rsidRPr="00192E1C">
        <w:rPr>
          <w:rFonts w:cs="Times New Roman"/>
          <w:i/>
        </w:rPr>
        <w:t>R. c. Gladue</w:t>
      </w:r>
      <w:r w:rsidRPr="00192E1C">
        <w:rPr>
          <w:rFonts w:cs="Times New Roman"/>
        </w:rPr>
        <w:t>, [1999] 1 R.C.S. 688, par. 45).</w:t>
      </w:r>
    </w:p>
    <w:p w14:paraId="5027FCF8" w14:textId="77777777" w:rsidR="00192E1C" w:rsidRPr="00192E1C" w:rsidRDefault="00192E1C" w:rsidP="00192E1C">
      <w:pPr>
        <w:pStyle w:val="ParaNoNdepar-AltN"/>
        <w:rPr>
          <w:rFonts w:cs="Times New Roman"/>
        </w:rPr>
      </w:pPr>
      <w:r w:rsidRPr="00192E1C">
        <w:rPr>
          <w:rFonts w:cs="Times New Roman"/>
        </w:rPr>
        <w:t>En effet, en l’absence d’un historique législatif particulièrement révélateur (les dispositions en cause n’ayant pratiquement pas été modifiées depuis leur adoption), les débats parlementaires fournissent des renseignements pertinents et fiables en ce qui concerne l’objet de l’ancien art. 450(3) </w:t>
      </w:r>
      <w:r w:rsidRPr="00192E1C">
        <w:rPr>
          <w:rFonts w:cs="Times New Roman"/>
          <w:i/>
        </w:rPr>
        <w:t>C. cr. (1970)</w:t>
      </w:r>
      <w:r w:rsidRPr="00192E1C">
        <w:rPr>
          <w:rFonts w:cs="Times New Roman"/>
        </w:rPr>
        <w:t xml:space="preserve"> (actuellement le par. 495(3) </w:t>
      </w:r>
      <w:r w:rsidRPr="00192E1C">
        <w:rPr>
          <w:rFonts w:cs="Times New Roman"/>
          <w:i/>
        </w:rPr>
        <w:t>C. cr.</w:t>
      </w:r>
      <w:r w:rsidRPr="00192E1C">
        <w:rPr>
          <w:rFonts w:cs="Times New Roman"/>
        </w:rPr>
        <w:t>) et l’intention du Parlement. Au surplus, ils offrent des enseignements éclairants sur l’interprétation des par. 495(2) et (3) </w:t>
      </w:r>
      <w:r w:rsidRPr="00192E1C">
        <w:rPr>
          <w:rFonts w:cs="Times New Roman"/>
          <w:i/>
        </w:rPr>
        <w:t>C. cr.</w:t>
      </w:r>
      <w:r w:rsidRPr="00192E1C">
        <w:rPr>
          <w:rFonts w:cs="Times New Roman"/>
        </w:rPr>
        <w:t xml:space="preserve"> en ce qu’ils révèlent la manière dont ces deux dispositions interagissent. Je reprends donc ci</w:t>
      </w:r>
      <w:r w:rsidRPr="00192E1C">
        <w:rPr>
          <w:rFonts w:cs="Times New Roman"/>
        </w:rPr>
        <w:noBreakHyphen/>
        <w:t>après les passages clés de ces débats aux fins de l’analyse de l’objet du par. 495(3) </w:t>
      </w:r>
      <w:r w:rsidRPr="00192E1C">
        <w:rPr>
          <w:rFonts w:cs="Times New Roman"/>
          <w:i/>
        </w:rPr>
        <w:t>C. cr.</w:t>
      </w:r>
    </w:p>
    <w:p w14:paraId="292089CA" w14:textId="77777777" w:rsidR="00192E1C" w:rsidRPr="00192E1C" w:rsidRDefault="00192E1C" w:rsidP="00192E1C">
      <w:pPr>
        <w:pStyle w:val="ParaNoNdepar-AltN"/>
        <w:rPr>
          <w:rFonts w:cs="Times New Roman"/>
          <w:bCs/>
          <w:lang w:bidi="en-US"/>
        </w:rPr>
      </w:pPr>
      <w:r w:rsidRPr="00192E1C">
        <w:rPr>
          <w:rFonts w:cs="Times New Roman"/>
          <w:lang w:bidi="en-US"/>
        </w:rPr>
        <w:t xml:space="preserve">Je rappelle que devant le </w:t>
      </w:r>
      <w:r w:rsidRPr="00192E1C">
        <w:rPr>
          <w:rFonts w:cs="Times New Roman"/>
          <w:bCs/>
          <w:lang w:bidi="en-US"/>
        </w:rPr>
        <w:t>Comité permanent de la justice et des questions juridiques</w:t>
      </w:r>
      <w:r w:rsidRPr="00192E1C">
        <w:rPr>
          <w:rFonts w:cs="Times New Roman"/>
          <w:lang w:bidi="en-US"/>
        </w:rPr>
        <w:t xml:space="preserve">, certains membres ont soulevé des préoccupations quant au par. 495(2) </w:t>
      </w:r>
      <w:r w:rsidRPr="00192E1C">
        <w:rPr>
          <w:rFonts w:cs="Times New Roman"/>
          <w:i/>
          <w:lang w:bidi="en-US"/>
        </w:rPr>
        <w:t>C. cr</w:t>
      </w:r>
      <w:r w:rsidRPr="00192E1C">
        <w:rPr>
          <w:rFonts w:cs="Times New Roman"/>
          <w:lang w:bidi="en-US"/>
        </w:rPr>
        <w:t>. Considérant que les agents de la paix, dans l’exercice de leurs fonctions, doivent exercer leur jugement — lequel est sujet à l’erreur humaine — et prendre des décisions en temps réel, des membres du Comité craignaient que les agents de la paix ne soient pas adéquatement protégés s’ils commettaient une erreur de jugement, et ce, même s’il s’agissait d’une erreur de bonne foi.</w:t>
      </w:r>
    </w:p>
    <w:p w14:paraId="6052E019" w14:textId="77777777" w:rsidR="00192E1C" w:rsidRPr="00192E1C" w:rsidRDefault="00192E1C" w:rsidP="00192E1C">
      <w:pPr>
        <w:pStyle w:val="ParaNoNdepar-AltN"/>
        <w:rPr>
          <w:rFonts w:cs="Times New Roman"/>
          <w:bCs/>
          <w:lang w:bidi="en-US"/>
        </w:rPr>
      </w:pPr>
      <w:r w:rsidRPr="00192E1C">
        <w:rPr>
          <w:rFonts w:cs="Times New Roman"/>
          <w:lang w:bidi="en-US"/>
        </w:rPr>
        <w:t>Le ministre Turner a répondu à ces préoccupations en indiquant que la loi ne visait pas à mettre la collectivité en danger, en empêchant les policiers d’appliquer la loi avec justice et avec efficacité (</w:t>
      </w:r>
      <w:r w:rsidRPr="00192E1C">
        <w:rPr>
          <w:rFonts w:cs="Times New Roman"/>
          <w:i/>
          <w:lang w:bidi="en-US"/>
        </w:rPr>
        <w:t>Débats de la Chambre des communes</w:t>
      </w:r>
      <w:r w:rsidRPr="00192E1C">
        <w:rPr>
          <w:rFonts w:cs="Times New Roman"/>
          <w:lang w:bidi="en-US"/>
        </w:rPr>
        <w:t>, 5 février 1971, p. 3116</w:t>
      </w:r>
      <w:r w:rsidRPr="00192E1C">
        <w:rPr>
          <w:rFonts w:cs="Times New Roman"/>
          <w:lang w:bidi="en-US"/>
        </w:rPr>
        <w:noBreakHyphen/>
        <w:t>3117). Au contraire. Il a plus tard ajouté que le par. 495(3) </w:t>
      </w:r>
      <w:r w:rsidRPr="00192E1C">
        <w:rPr>
          <w:rFonts w:cs="Times New Roman"/>
          <w:i/>
          <w:lang w:bidi="en-US"/>
        </w:rPr>
        <w:t xml:space="preserve">C. cr. </w:t>
      </w:r>
      <w:r w:rsidRPr="00192E1C">
        <w:rPr>
          <w:rFonts w:cs="Times New Roman"/>
          <w:lang w:bidi="en-US"/>
        </w:rPr>
        <w:t>avait précisément pour but d’offrir certaines protections aux agents de la paix contre de telles erreurs de jugement.</w:t>
      </w:r>
      <w:r w:rsidRPr="00192E1C">
        <w:rPr>
          <w:rFonts w:cs="Times New Roman"/>
          <w:bCs/>
          <w:lang w:bidi="en-US"/>
        </w:rPr>
        <w:t xml:space="preserve"> </w:t>
      </w:r>
      <w:r w:rsidRPr="00192E1C">
        <w:rPr>
          <w:rFonts w:cs="Times New Roman"/>
          <w:lang w:bidi="en-US"/>
        </w:rPr>
        <w:t>À cet égard, le ministre a clairement affirmé que, si un agent de la paix procédait à une arrestation alors que celle</w:t>
      </w:r>
      <w:r w:rsidRPr="00192E1C">
        <w:rPr>
          <w:rFonts w:cs="Times New Roman"/>
          <w:lang w:bidi="en-US"/>
        </w:rPr>
        <w:noBreakHyphen/>
        <w:t>ci n’était pas nécessaire, cela constituerait une erreur de jugement qui, en vertu de l’al. 495(3)a) </w:t>
      </w:r>
      <w:r w:rsidRPr="00192E1C">
        <w:rPr>
          <w:rFonts w:cs="Times New Roman"/>
          <w:i/>
          <w:lang w:bidi="en-US"/>
        </w:rPr>
        <w:t>C. cr.</w:t>
      </w:r>
      <w:r w:rsidRPr="00192E1C">
        <w:rPr>
          <w:rFonts w:cs="Times New Roman"/>
          <w:lang w:bidi="en-US"/>
        </w:rPr>
        <w:t>, ne saurait fonder un verdict de culpabilité dans le cadre d’une procédure en matière criminelle (</w:t>
      </w:r>
      <w:r w:rsidRPr="00192E1C">
        <w:rPr>
          <w:rFonts w:cs="Times New Roman"/>
          <w:i/>
          <w:iCs/>
        </w:rPr>
        <w:t>Procès</w:t>
      </w:r>
      <w:r w:rsidRPr="00192E1C">
        <w:rPr>
          <w:rFonts w:cs="Times New Roman"/>
          <w:i/>
          <w:iCs/>
        </w:rPr>
        <w:noBreakHyphen/>
        <w:t xml:space="preserve">verbaux et témoignages du </w:t>
      </w:r>
      <w:r w:rsidRPr="00192E1C">
        <w:rPr>
          <w:rFonts w:cs="Times New Roman"/>
          <w:i/>
          <w:lang w:bidi="en-US"/>
        </w:rPr>
        <w:t>Comité permanent de la justice et des questions juridiques</w:t>
      </w:r>
      <w:r w:rsidRPr="00192E1C">
        <w:rPr>
          <w:rFonts w:cs="Times New Roman"/>
          <w:lang w:bidi="en-US"/>
        </w:rPr>
        <w:t>, 23 février 1971, p. 7</w:t>
      </w:r>
      <w:r w:rsidRPr="00192E1C">
        <w:rPr>
          <w:rFonts w:cs="Times New Roman"/>
          <w:lang w:bidi="en-US"/>
        </w:rPr>
        <w:noBreakHyphen/>
        <w:t>9) :</w:t>
      </w:r>
    </w:p>
    <w:p w14:paraId="666C177D" w14:textId="77777777" w:rsidR="00192E1C" w:rsidRPr="00192E1C" w:rsidRDefault="00192E1C" w:rsidP="00192E1C">
      <w:pPr>
        <w:pStyle w:val="Citation-AltC"/>
        <w:ind w:firstLine="274"/>
        <w:rPr>
          <w:u w:val="single"/>
        </w:rPr>
      </w:pPr>
      <w:r w:rsidRPr="00192E1C">
        <w:t xml:space="preserve">La deuxième préoccupation dans l’esprit des agents de la paix était la suivante. Comme le simple agent de la paix allait être obligé d’user de son jugement, au lieu de pouvoir s’en remettre au sergent de service, par exemple, voir un juge de paix, </w:t>
      </w:r>
      <w:r w:rsidRPr="00192E1C">
        <w:rPr>
          <w:u w:val="single"/>
        </w:rPr>
        <w:t>il fallait de toute évidence protéger l’agent de police contre des poursuites éventuelles au civil et au criminel s’il s’était trompé en toute bonne foi</w:t>
      </w:r>
      <w:r w:rsidRPr="00192E1C">
        <w:t>.</w:t>
      </w:r>
    </w:p>
    <w:p w14:paraId="5BCE12A4" w14:textId="77777777" w:rsidR="00192E1C" w:rsidRPr="00192E1C" w:rsidRDefault="00192E1C" w:rsidP="00192E1C">
      <w:pPr>
        <w:pStyle w:val="Citation-AltC"/>
        <w:ind w:firstLine="274"/>
      </w:pPr>
    </w:p>
    <w:p w14:paraId="0BADFD91" w14:textId="77777777" w:rsidR="00192E1C" w:rsidRPr="00192E1C" w:rsidRDefault="00192E1C" w:rsidP="00192E1C">
      <w:pPr>
        <w:pStyle w:val="Citation-AltC"/>
        <w:ind w:firstLine="274"/>
      </w:pPr>
      <w:r w:rsidRPr="00192E1C">
        <w:t xml:space="preserve">Il est manifeste d’abord qu’il n’y avait rien dans la première version du projet de loi, pas plus du reste que dans cette version du projet de loi, qui puisse laisser supposer l’existence d’une responsabilité [criminelle] de l’agent de police qui s’était trompé, en arrêtant quelqu’un. </w:t>
      </w:r>
      <w:r w:rsidRPr="00192E1C">
        <w:rPr>
          <w:u w:val="single"/>
        </w:rPr>
        <w:t>S’il avère que l’intérêt public [aurait] été aussi bien, voire mieux servi, s’il n’avait pas procédé à l’arrestation, mais qu’il s’agissait tout bonnement d’une erreur de jugement, il s’agit . . . d’une erreur de jugement pour laquelle on ne peut pas intenter une action en responsabilité criminelle. Il ne peut être poursuivi devant un tribunal de juridiction criminelle pour une arrestation erronée.</w:t>
      </w:r>
      <w:r w:rsidRPr="00192E1C">
        <w:t xml:space="preserve"> [Je souligne.]</w:t>
      </w:r>
    </w:p>
    <w:p w14:paraId="2CE54AF1" w14:textId="77777777" w:rsidR="00192E1C" w:rsidRPr="00192E1C" w:rsidRDefault="00192E1C" w:rsidP="00192E1C">
      <w:pPr>
        <w:pStyle w:val="ParaNoNdepar-AltN"/>
        <w:rPr>
          <w:rFonts w:cs="Times New Roman"/>
          <w:bCs/>
          <w:lang w:bidi="en-US"/>
        </w:rPr>
      </w:pPr>
      <w:r w:rsidRPr="00192E1C">
        <w:rPr>
          <w:rFonts w:cs="Times New Roman"/>
          <w:lang w:bidi="en-US"/>
        </w:rPr>
        <w:t>Le ministre a confirmé à nouveau cette interprétation à donner à l’expression « de toutes procédures en vertu de la présente loi ou de toute autre loi du Parlement » en réponse à une question posée par un membre du comité (</w:t>
      </w:r>
      <w:r w:rsidRPr="00192E1C">
        <w:rPr>
          <w:rFonts w:cs="Times New Roman"/>
          <w:i/>
          <w:iCs/>
        </w:rPr>
        <w:t>Procès</w:t>
      </w:r>
      <w:r w:rsidRPr="00192E1C">
        <w:rPr>
          <w:rFonts w:cs="Times New Roman"/>
          <w:i/>
          <w:iCs/>
        </w:rPr>
        <w:noBreakHyphen/>
        <w:t xml:space="preserve">verbaux et témoignages du </w:t>
      </w:r>
      <w:r w:rsidRPr="00192E1C">
        <w:rPr>
          <w:rFonts w:cs="Times New Roman"/>
          <w:i/>
          <w:lang w:bidi="en-US"/>
        </w:rPr>
        <w:t>Comité permanent de la justice et des questions juridiques</w:t>
      </w:r>
      <w:r w:rsidRPr="00192E1C">
        <w:rPr>
          <w:rFonts w:cs="Times New Roman"/>
          <w:lang w:bidi="en-US"/>
        </w:rPr>
        <w:t>, 23 février 1971, p. 9) :</w:t>
      </w:r>
    </w:p>
    <w:p w14:paraId="7378B9EB" w14:textId="77777777" w:rsidR="00192E1C" w:rsidRPr="00192E1C" w:rsidRDefault="00192E1C" w:rsidP="00192E1C">
      <w:pPr>
        <w:pStyle w:val="Citation-AltC"/>
        <w:ind w:firstLine="274"/>
      </w:pPr>
      <w:r w:rsidRPr="00192E1C">
        <w:rPr>
          <w:b/>
        </w:rPr>
        <w:t>M. Marceau :</w:t>
      </w:r>
      <w:r w:rsidRPr="00192E1C">
        <w:t xml:space="preserve"> Oui, à la première version, l’article 436, sous</w:t>
      </w:r>
      <w:r w:rsidRPr="00192E1C">
        <w:noBreakHyphen/>
        <w:t>paragraphe (3) dit expressément que le « peace officer », l’agent de la paix, est exempté de toute responsabilité criminelle. Il n’en est pas fait mention dans la nouvelle mention du Bill.</w:t>
      </w:r>
    </w:p>
    <w:p w14:paraId="79815950" w14:textId="77777777" w:rsidR="00192E1C" w:rsidRPr="00192E1C" w:rsidRDefault="00192E1C" w:rsidP="00192E1C">
      <w:pPr>
        <w:pStyle w:val="Citation-AltC"/>
      </w:pPr>
    </w:p>
    <w:p w14:paraId="724C5675" w14:textId="77777777" w:rsidR="00192E1C" w:rsidRPr="00192E1C" w:rsidRDefault="00192E1C" w:rsidP="00192E1C">
      <w:pPr>
        <w:pStyle w:val="Citation-AltC"/>
        <w:ind w:firstLine="274"/>
      </w:pPr>
      <w:r w:rsidRPr="00192E1C">
        <w:rPr>
          <w:b/>
        </w:rPr>
        <w:t xml:space="preserve">M. Turner (Ottawa-Carleton) : </w:t>
      </w:r>
      <w:r w:rsidRPr="00192E1C">
        <w:t>Oui, si on lit la page 7 de la nouvelle version du bill, paragraphe (3), sous</w:t>
      </w:r>
      <w:r w:rsidRPr="00192E1C">
        <w:noBreakHyphen/>
        <w:t>paragraphe </w:t>
      </w:r>
      <w:r w:rsidRPr="00192E1C">
        <w:rPr>
          <w:i/>
        </w:rPr>
        <w:t>a</w:t>
      </w:r>
      <w:r w:rsidRPr="00192E1C">
        <w:t>) :</w:t>
      </w:r>
    </w:p>
    <w:p w14:paraId="759DC534" w14:textId="77777777" w:rsidR="00192E1C" w:rsidRPr="00192E1C" w:rsidRDefault="00192E1C" w:rsidP="00192E1C">
      <w:pPr>
        <w:pStyle w:val="Citation-AltC"/>
      </w:pPr>
    </w:p>
    <w:p w14:paraId="40A36216" w14:textId="77777777" w:rsidR="00192E1C" w:rsidRPr="00192E1C" w:rsidRDefault="00192E1C" w:rsidP="00192E1C">
      <w:pPr>
        <w:pStyle w:val="Citation-AltC"/>
        <w:ind w:left="1714"/>
      </w:pPr>
      <w:r w:rsidRPr="00192E1C">
        <w:rPr>
          <w:i/>
        </w:rPr>
        <w:t>a</w:t>
      </w:r>
      <w:r w:rsidRPr="00192E1C">
        <w:t>) de toutes procédures en vertu de la présente loi ou de toute autre loi du Parlement, et . . .</w:t>
      </w:r>
    </w:p>
    <w:p w14:paraId="56F6CC1E" w14:textId="77777777" w:rsidR="00192E1C" w:rsidRPr="00192E1C" w:rsidRDefault="00192E1C" w:rsidP="00192E1C">
      <w:pPr>
        <w:pStyle w:val="Citation-AltC"/>
      </w:pPr>
    </w:p>
    <w:p w14:paraId="55018AD7" w14:textId="77777777" w:rsidR="00192E1C" w:rsidRPr="00192E1C" w:rsidRDefault="00192E1C" w:rsidP="00192E1C">
      <w:pPr>
        <w:pStyle w:val="Citation-AltC"/>
        <w:ind w:firstLine="274"/>
      </w:pPr>
      <w:r w:rsidRPr="00192E1C">
        <w:t>toute autre loi du Parlement, cela inclut le Code criminel.</w:t>
      </w:r>
    </w:p>
    <w:p w14:paraId="3738422F" w14:textId="77777777" w:rsidR="00192E1C" w:rsidRPr="00192E1C" w:rsidRDefault="00192E1C" w:rsidP="00192E1C">
      <w:pPr>
        <w:pStyle w:val="Citation-AltC"/>
      </w:pPr>
    </w:p>
    <w:p w14:paraId="044FC405" w14:textId="77777777" w:rsidR="00192E1C" w:rsidRPr="00192E1C" w:rsidRDefault="00192E1C" w:rsidP="00192E1C">
      <w:pPr>
        <w:pStyle w:val="Citation-AltC"/>
        <w:ind w:firstLine="274"/>
      </w:pPr>
      <w:r w:rsidRPr="00192E1C">
        <w:rPr>
          <w:b/>
        </w:rPr>
        <w:t>M. Marceau :</w:t>
      </w:r>
      <w:r w:rsidRPr="00192E1C">
        <w:t xml:space="preserve"> Alors, vous interprétez cela comme une protection contre toutes procédures criminelles.</w:t>
      </w:r>
    </w:p>
    <w:p w14:paraId="031F971D" w14:textId="77777777" w:rsidR="00192E1C" w:rsidRPr="00192E1C" w:rsidRDefault="00192E1C" w:rsidP="00192E1C">
      <w:pPr>
        <w:pStyle w:val="Citation-AltC"/>
      </w:pPr>
    </w:p>
    <w:p w14:paraId="6DF4D5DA" w14:textId="77777777" w:rsidR="00192E1C" w:rsidRPr="00192E1C" w:rsidRDefault="00192E1C" w:rsidP="00192E1C">
      <w:pPr>
        <w:pStyle w:val="Citation-AltC"/>
        <w:ind w:firstLine="274"/>
      </w:pPr>
      <w:r w:rsidRPr="00192E1C">
        <w:rPr>
          <w:b/>
        </w:rPr>
        <w:t>M. Turner (Ottawa-Carleton) :</w:t>
      </w:r>
      <w:r w:rsidRPr="00192E1C">
        <w:t xml:space="preserve"> C’est cela.</w:t>
      </w:r>
    </w:p>
    <w:p w14:paraId="64BCED61" w14:textId="77777777" w:rsidR="00192E1C" w:rsidRPr="00192E1C" w:rsidRDefault="00192E1C" w:rsidP="00192E1C">
      <w:pPr>
        <w:pStyle w:val="ParaNoNdepar-AltN"/>
        <w:rPr>
          <w:rFonts w:cs="Times New Roman"/>
          <w:lang w:bidi="en-US"/>
        </w:rPr>
      </w:pPr>
      <w:r w:rsidRPr="00192E1C">
        <w:rPr>
          <w:rFonts w:cs="Times New Roman"/>
          <w:lang w:bidi="en-US"/>
        </w:rPr>
        <w:t xml:space="preserve">Une analyse de l’économie générale du </w:t>
      </w:r>
      <w:r w:rsidRPr="00192E1C">
        <w:rPr>
          <w:rFonts w:cs="Times New Roman"/>
          <w:i/>
          <w:lang w:bidi="en-US"/>
        </w:rPr>
        <w:t>Code criminel</w:t>
      </w:r>
      <w:r w:rsidRPr="00192E1C">
        <w:rPr>
          <w:rFonts w:cs="Times New Roman"/>
          <w:lang w:bidi="en-US"/>
        </w:rPr>
        <w:t xml:space="preserve"> renforce l’interprétation selon laquelle le législateur souhaitait que l’al. 450(3)a) </w:t>
      </w:r>
      <w:r w:rsidRPr="00192E1C">
        <w:rPr>
          <w:rFonts w:cs="Times New Roman"/>
          <w:i/>
          <w:lang w:bidi="en-US"/>
        </w:rPr>
        <w:t>C. cr. (1970)</w:t>
      </w:r>
      <w:r w:rsidRPr="00192E1C">
        <w:rPr>
          <w:rFonts w:cs="Times New Roman"/>
          <w:lang w:bidi="en-US"/>
        </w:rPr>
        <w:t xml:space="preserve"> (actuellement l’al. 495(3)a)) agisse comme bouclier dans des procédures criminelles mettant en cause les actes d’un agent de la paix dans le cadre d’une arrestation. L’interaction de cette disposition avec l’art. 25 et le par. 247(2) </w:t>
      </w:r>
      <w:r w:rsidRPr="00192E1C">
        <w:rPr>
          <w:rFonts w:cs="Times New Roman"/>
          <w:i/>
          <w:lang w:bidi="en-US"/>
        </w:rPr>
        <w:t>C. cr.</w:t>
      </w:r>
      <w:r w:rsidRPr="00192E1C">
        <w:rPr>
          <w:rFonts w:cs="Times New Roman"/>
          <w:lang w:bidi="en-US"/>
        </w:rPr>
        <w:t xml:space="preserve"> </w:t>
      </w:r>
      <w:r w:rsidRPr="00192E1C">
        <w:rPr>
          <w:rFonts w:cs="Times New Roman"/>
          <w:i/>
          <w:lang w:bidi="en-US"/>
        </w:rPr>
        <w:t>(1970)</w:t>
      </w:r>
      <w:r w:rsidRPr="00192E1C">
        <w:rPr>
          <w:rFonts w:cs="Times New Roman"/>
          <w:lang w:bidi="en-US"/>
        </w:rPr>
        <w:t>, correspondant à l’art. 25 et au par. 279(2) </w:t>
      </w:r>
      <w:r w:rsidRPr="00192E1C">
        <w:rPr>
          <w:rFonts w:cs="Times New Roman"/>
          <w:i/>
          <w:lang w:bidi="en-US"/>
        </w:rPr>
        <w:t>C. cr.</w:t>
      </w:r>
      <w:r w:rsidRPr="00192E1C">
        <w:rPr>
          <w:rFonts w:cs="Times New Roman"/>
          <w:lang w:bidi="en-US"/>
        </w:rPr>
        <w:t xml:space="preserve"> actuels, est éclairante.</w:t>
      </w:r>
    </w:p>
    <w:p w14:paraId="3EEB8345" w14:textId="77777777" w:rsidR="00192E1C" w:rsidRPr="00192E1C" w:rsidRDefault="00192E1C" w:rsidP="00192E1C">
      <w:pPr>
        <w:pStyle w:val="ParaNoNdepar-AltN"/>
        <w:rPr>
          <w:rFonts w:cs="Times New Roman"/>
          <w:lang w:bidi="en-US"/>
        </w:rPr>
      </w:pPr>
      <w:r w:rsidRPr="00192E1C">
        <w:rPr>
          <w:rFonts w:cs="Times New Roman"/>
          <w:lang w:bidi="en-US"/>
        </w:rPr>
        <w:t>Au moment de l’adoption du par. 450(3), le par. 247(2) prévoyait qu’était coupable d’un acte criminel et passible d’un emprisonnement de cinq ans, quiconque « sans autorisation légitime » (« </w:t>
      </w:r>
      <w:r w:rsidRPr="00192E1C">
        <w:rPr>
          <w:rFonts w:cs="Times New Roman"/>
          <w:i/>
          <w:lang w:bidi="en-US"/>
        </w:rPr>
        <w:t>without lawful authority</w:t>
      </w:r>
      <w:r w:rsidRPr="00192E1C">
        <w:rPr>
          <w:rFonts w:cs="Times New Roman"/>
          <w:lang w:bidi="en-US"/>
        </w:rPr>
        <w:t> »), séquestrait, emprisonnait ou saisissait de force une autre personne. En précisant, à l’al. 450(3)</w:t>
      </w:r>
      <w:r w:rsidRPr="00192E1C">
        <w:rPr>
          <w:rFonts w:cs="Times New Roman"/>
          <w:i/>
          <w:lang w:bidi="en-US"/>
        </w:rPr>
        <w:t>a</w:t>
      </w:r>
      <w:r w:rsidRPr="00192E1C">
        <w:rPr>
          <w:rFonts w:cs="Times New Roman"/>
          <w:lang w:bidi="en-US"/>
        </w:rPr>
        <w:t>), qu’un agent de la paix agissant aux termes du par. 450(1) « </w:t>
      </w:r>
      <w:r w:rsidRPr="00192E1C">
        <w:rPr>
          <w:rFonts w:cs="Times New Roman"/>
          <w:u w:val="single"/>
          <w:lang w:bidi="en-US"/>
        </w:rPr>
        <w:t>est censé agir légalement</w:t>
      </w:r>
      <w:r w:rsidRPr="00192E1C">
        <w:rPr>
          <w:rFonts w:cs="Times New Roman"/>
          <w:lang w:bidi="en-US"/>
        </w:rPr>
        <w:t xml:space="preserve"> et dans l’exercice de ses fonctions » </w:t>
      </w:r>
      <w:r w:rsidRPr="00192E1C">
        <w:rPr>
          <w:lang w:bidi="en-US"/>
        </w:rPr>
        <w:t>(« </w:t>
      </w:r>
      <w:r w:rsidRPr="00192E1C">
        <w:rPr>
          <w:i/>
          <w:u w:val="single"/>
          <w:lang w:bidi="en-US"/>
        </w:rPr>
        <w:t>is deemed to be acting lawfully</w:t>
      </w:r>
      <w:r w:rsidRPr="00192E1C">
        <w:rPr>
          <w:i/>
          <w:lang w:bidi="en-US"/>
        </w:rPr>
        <w:t xml:space="preserve"> and in the execution of his duty</w:t>
      </w:r>
      <w:r w:rsidRPr="00192E1C">
        <w:rPr>
          <w:lang w:bidi="en-US"/>
        </w:rPr>
        <w:t xml:space="preserve"> ») </w:t>
      </w:r>
      <w:r w:rsidRPr="00192E1C">
        <w:rPr>
          <w:rFonts w:cs="Times New Roman"/>
          <w:lang w:bidi="en-US"/>
        </w:rPr>
        <w:t xml:space="preserve">aux fins de toutes procédures engagées en vertu du </w:t>
      </w:r>
      <w:r w:rsidRPr="00192E1C">
        <w:rPr>
          <w:rFonts w:cs="Times New Roman"/>
          <w:i/>
          <w:lang w:bidi="en-US"/>
        </w:rPr>
        <w:t>Code criminel</w:t>
      </w:r>
      <w:r w:rsidRPr="00192E1C">
        <w:rPr>
          <w:rFonts w:cs="Times New Roman"/>
          <w:lang w:bidi="en-US"/>
        </w:rPr>
        <w:t>, le législateur s’assurait que les actes de l’agent de la paix, même s’ils ne respectaient pas les prescriptions du par. 450(2), ne seraient pas considérés comme une saisie de force d’une personne « </w:t>
      </w:r>
      <w:r w:rsidRPr="00192E1C">
        <w:rPr>
          <w:rFonts w:cs="Times New Roman"/>
          <w:u w:val="single"/>
          <w:lang w:bidi="en-US"/>
        </w:rPr>
        <w:t>sans autorisation légitime</w:t>
      </w:r>
      <w:r w:rsidRPr="00192E1C">
        <w:rPr>
          <w:rFonts w:cs="Times New Roman"/>
          <w:lang w:bidi="en-US"/>
        </w:rPr>
        <w:t xml:space="preserve"> » </w:t>
      </w:r>
      <w:r w:rsidRPr="00192E1C">
        <w:rPr>
          <w:lang w:bidi="en-US"/>
        </w:rPr>
        <w:t>(« </w:t>
      </w:r>
      <w:r w:rsidRPr="00192E1C">
        <w:rPr>
          <w:i/>
          <w:u w:val="single"/>
          <w:lang w:bidi="en-US"/>
        </w:rPr>
        <w:t>without lawful authority</w:t>
      </w:r>
      <w:r w:rsidRPr="00192E1C">
        <w:rPr>
          <w:lang w:bidi="en-US"/>
        </w:rPr>
        <w:t xml:space="preserve"> ») </w:t>
      </w:r>
      <w:r w:rsidRPr="00192E1C">
        <w:rPr>
          <w:rFonts w:cs="Times New Roman"/>
          <w:lang w:bidi="en-US"/>
        </w:rPr>
        <w:t>au sens du par. 247(2).</w:t>
      </w:r>
    </w:p>
    <w:p w14:paraId="6C17D085" w14:textId="77777777" w:rsidR="00192E1C" w:rsidRPr="00192E1C" w:rsidRDefault="00192E1C" w:rsidP="00192E1C">
      <w:pPr>
        <w:pStyle w:val="ParaNoNdepar-AltN"/>
        <w:rPr>
          <w:rFonts w:cs="Times New Roman"/>
          <w:lang w:bidi="en-US"/>
        </w:rPr>
      </w:pPr>
      <w:r w:rsidRPr="00192E1C">
        <w:rPr>
          <w:rFonts w:cs="Times New Roman"/>
          <w:lang w:bidi="en-US"/>
        </w:rPr>
        <w:t>De manière semblable, à l’instar de l’actuel art. 25 </w:t>
      </w:r>
      <w:r w:rsidRPr="00192E1C">
        <w:rPr>
          <w:rFonts w:cs="Times New Roman"/>
          <w:i/>
          <w:lang w:bidi="en-US"/>
        </w:rPr>
        <w:t>C. cr.</w:t>
      </w:r>
      <w:r w:rsidRPr="00192E1C">
        <w:rPr>
          <w:rFonts w:cs="Times New Roman"/>
          <w:lang w:bidi="en-US"/>
        </w:rPr>
        <w:t>, sous réserve de quelques distinctions de forme, l’art. 25 </w:t>
      </w:r>
      <w:r w:rsidRPr="00192E1C">
        <w:rPr>
          <w:rFonts w:cs="Times New Roman"/>
          <w:i/>
          <w:lang w:bidi="en-US"/>
        </w:rPr>
        <w:t xml:space="preserve">C. cr. </w:t>
      </w:r>
      <w:r w:rsidRPr="00192E1C">
        <w:rPr>
          <w:rFonts w:cs="Times New Roman"/>
          <w:lang w:bidi="en-US"/>
        </w:rPr>
        <w:t xml:space="preserve">de l’époque prévoyait que « [q]uiconque est, </w:t>
      </w:r>
      <w:r w:rsidRPr="00192E1C">
        <w:rPr>
          <w:rFonts w:cs="Times New Roman"/>
          <w:u w:val="single"/>
          <w:lang w:bidi="en-US"/>
        </w:rPr>
        <w:t>par la loi</w:t>
      </w:r>
      <w:r w:rsidRPr="00192E1C">
        <w:rPr>
          <w:rFonts w:cs="Times New Roman"/>
          <w:lang w:bidi="en-US"/>
        </w:rPr>
        <w:t>, obligé ou autorisé à faire quoi que ce soit dans l’application ou l’exécution de la loi [. . .] à titre d’agent de la paix ou de fonctionnaire public, [. . .] est, s’il agit en s’appuyant sur des motifs raisonnables [. . .], fondé à employer la force nécessaire pour cette fin. » Encore une fois, l’adoption du par. 450(3) permettait de faire en sorte que l’emploi de la force par un agent de la paix, malgré le non</w:t>
      </w:r>
      <w:r w:rsidRPr="00192E1C">
        <w:rPr>
          <w:rFonts w:cs="Times New Roman"/>
          <w:lang w:bidi="en-US"/>
        </w:rPr>
        <w:noBreakHyphen/>
        <w:t>respect du par. 495(2), demeure « autorisé par la loi ».</w:t>
      </w:r>
    </w:p>
    <w:p w14:paraId="68A77214" w14:textId="77777777" w:rsidR="00192E1C" w:rsidRPr="00192E1C" w:rsidRDefault="00192E1C" w:rsidP="00192E1C">
      <w:pPr>
        <w:pStyle w:val="ParaNoNdepar-AltN"/>
        <w:rPr>
          <w:rFonts w:cs="Times New Roman"/>
          <w:bCs/>
          <w:lang w:bidi="en-US"/>
        </w:rPr>
      </w:pPr>
      <w:r w:rsidRPr="00192E1C">
        <w:rPr>
          <w:rFonts w:cs="Times New Roman"/>
          <w:lang w:bidi="en-US"/>
        </w:rPr>
        <w:t>En somme, il est clair qu’en adoptant l’al. 495(3)a) </w:t>
      </w:r>
      <w:r w:rsidRPr="00192E1C">
        <w:rPr>
          <w:rFonts w:cs="Times New Roman"/>
          <w:i/>
          <w:lang w:bidi="en-US"/>
        </w:rPr>
        <w:t>C. cr.</w:t>
      </w:r>
      <w:r w:rsidRPr="00192E1C">
        <w:rPr>
          <w:rFonts w:cs="Times New Roman"/>
          <w:lang w:bidi="en-US"/>
        </w:rPr>
        <w:t>, le Parlement avait l’intention de protéger au premier chef l’agent de la paix qui procède à une arrestation sans mandat contraire au par. 495(2) </w:t>
      </w:r>
      <w:r w:rsidRPr="00192E1C">
        <w:rPr>
          <w:rFonts w:cs="Times New Roman"/>
          <w:i/>
          <w:lang w:bidi="en-US"/>
        </w:rPr>
        <w:t>C. cr.</w:t>
      </w:r>
      <w:r w:rsidRPr="00192E1C">
        <w:rPr>
          <w:rFonts w:cs="Times New Roman"/>
          <w:lang w:bidi="en-US"/>
        </w:rPr>
        <w:t>, ainsi que toute personne responsable de ce dernier. Cette protection visait en particulier des poursuites susceptibles de conclure à leur responsabilité criminelle pour non</w:t>
      </w:r>
      <w:r w:rsidRPr="00192E1C">
        <w:rPr>
          <w:rFonts w:cs="Times New Roman"/>
          <w:lang w:bidi="en-US"/>
        </w:rPr>
        <w:noBreakHyphen/>
        <w:t>respect du par. 495(2) </w:t>
      </w:r>
      <w:r w:rsidRPr="00192E1C">
        <w:rPr>
          <w:rFonts w:cs="Times New Roman"/>
          <w:i/>
          <w:lang w:bidi="en-US"/>
        </w:rPr>
        <w:t>C. cr.</w:t>
      </w:r>
      <w:r w:rsidRPr="00192E1C">
        <w:rPr>
          <w:rFonts w:cs="Times New Roman"/>
          <w:lang w:bidi="en-US"/>
        </w:rPr>
        <w:t xml:space="preserve"> Lus dans leur ensemble, les débats ne permettent donc pas de soutenir que la présomption de légalité prévue au par. 495(3) </w:t>
      </w:r>
      <w:r w:rsidRPr="00192E1C">
        <w:rPr>
          <w:rFonts w:cs="Times New Roman"/>
          <w:i/>
          <w:lang w:bidi="en-US"/>
        </w:rPr>
        <w:t>C. cr.</w:t>
      </w:r>
      <w:r w:rsidRPr="00192E1C">
        <w:rPr>
          <w:rFonts w:cs="Times New Roman"/>
          <w:lang w:bidi="en-US"/>
        </w:rPr>
        <w:t xml:space="preserve"> visait </w:t>
      </w:r>
      <w:r w:rsidRPr="00192E1C">
        <w:rPr>
          <w:rFonts w:cs="Times New Roman"/>
          <w:i/>
          <w:lang w:bidi="en-US"/>
        </w:rPr>
        <w:t>l’arrestation</w:t>
      </w:r>
      <w:r w:rsidRPr="00192E1C">
        <w:rPr>
          <w:rFonts w:cs="Times New Roman"/>
          <w:lang w:bidi="en-US"/>
        </w:rPr>
        <w:t xml:space="preserve"> en elle</w:t>
      </w:r>
      <w:r w:rsidRPr="00192E1C">
        <w:rPr>
          <w:rFonts w:cs="Times New Roman"/>
          <w:lang w:bidi="en-US"/>
        </w:rPr>
        <w:noBreakHyphen/>
        <w:t>même, comme le suggère pourtant le ministère public en l’espèce.</w:t>
      </w:r>
    </w:p>
    <w:p w14:paraId="7AD05B87" w14:textId="77777777" w:rsidR="00192E1C" w:rsidRPr="00192E1C" w:rsidRDefault="00192E1C" w:rsidP="00192E1C">
      <w:pPr>
        <w:pStyle w:val="ParaNoNdepar-AltN"/>
        <w:rPr>
          <w:rFonts w:cs="Times New Roman"/>
        </w:rPr>
      </w:pPr>
      <w:r w:rsidRPr="00192E1C">
        <w:rPr>
          <w:rFonts w:cs="Times New Roman"/>
        </w:rPr>
        <w:t>Les débats parlementaires entourant l’al. 495(3)b) </w:t>
      </w:r>
      <w:r w:rsidRPr="00192E1C">
        <w:rPr>
          <w:rFonts w:cs="Times New Roman"/>
          <w:i/>
        </w:rPr>
        <w:t xml:space="preserve">C. cr. </w:t>
      </w:r>
      <w:r w:rsidRPr="00192E1C">
        <w:rPr>
          <w:rFonts w:cs="Times New Roman"/>
        </w:rPr>
        <w:t>confirment également que le par. 495(3) </w:t>
      </w:r>
      <w:r w:rsidRPr="00192E1C">
        <w:rPr>
          <w:rFonts w:cs="Times New Roman"/>
          <w:i/>
        </w:rPr>
        <w:t>C. cr.</w:t>
      </w:r>
      <w:r w:rsidRPr="00192E1C">
        <w:rPr>
          <w:rFonts w:cs="Times New Roman"/>
        </w:rPr>
        <w:t xml:space="preserve"> concerne au premier chef la responsabilité d’un agent de la paix et de toute personne responsable de ce dernier pour le non</w:t>
      </w:r>
      <w:r w:rsidRPr="00192E1C">
        <w:rPr>
          <w:rFonts w:cs="Times New Roman"/>
        </w:rPr>
        <w:noBreakHyphen/>
        <w:t>respect des prescriptions du par. 495(2) </w:t>
      </w:r>
      <w:r w:rsidRPr="00192E1C">
        <w:rPr>
          <w:rFonts w:cs="Times New Roman"/>
          <w:i/>
        </w:rPr>
        <w:t xml:space="preserve">C. cr. </w:t>
      </w:r>
      <w:r w:rsidRPr="00192E1C">
        <w:rPr>
          <w:rFonts w:cs="Times New Roman"/>
        </w:rPr>
        <w:t>Le ministre Turner a confirmé que, bien que l’al. 495(3)b) </w:t>
      </w:r>
      <w:r w:rsidRPr="00192E1C">
        <w:rPr>
          <w:rFonts w:cs="Times New Roman"/>
          <w:i/>
        </w:rPr>
        <w:t>C. cr.</w:t>
      </w:r>
      <w:r w:rsidRPr="00192E1C">
        <w:rPr>
          <w:rFonts w:cs="Times New Roman"/>
        </w:rPr>
        <w:t xml:space="preserve"> laisse ouverte la possibilité d’une poursuite civile contre l’agent de la paix ayant procédé à l’arrestation contraire au par. 495(2) </w:t>
      </w:r>
      <w:r w:rsidRPr="00192E1C">
        <w:rPr>
          <w:rFonts w:cs="Times New Roman"/>
          <w:i/>
        </w:rPr>
        <w:t>C. cr.</w:t>
      </w:r>
      <w:r w:rsidRPr="00192E1C">
        <w:rPr>
          <w:rFonts w:cs="Times New Roman"/>
        </w:rPr>
        <w:t xml:space="preserve"> ou contre une personne responsable de ce dernier, cet alinéa procure tout de même une certaine protection à l’égard de la responsabilité civile pouvant émaner de la conduite des agents de la paix. En effet, cette disposition a été rédigée de façon à placer sur les épaules de la personne qui a été arrêtée sans mandat le fardeau de prouver que l’agent de la paix avait des motifs raisonnables de croire que l’intérêt public pouvait être sauvegardé sans qu’il l’arrête </w:t>
      </w:r>
      <w:r w:rsidRPr="00192E1C">
        <w:rPr>
          <w:rFonts w:cs="Times New Roman"/>
          <w:i/>
        </w:rPr>
        <w:t>et</w:t>
      </w:r>
      <w:r w:rsidRPr="00192E1C">
        <w:rPr>
          <w:rFonts w:cs="Times New Roman"/>
        </w:rPr>
        <w:t xml:space="preserve"> qu’il n’y avait aucun risque qu’elle omette de se présenter au tribunal. Ainsi que l’a expliqué le ministre Turner, « une personne arrêtée [. . .] doit prouver que la police n’a pas rempli ses nouvelles obligations, si elle veut recevoir des dommages</w:t>
      </w:r>
      <w:r w:rsidRPr="00192E1C">
        <w:rPr>
          <w:rFonts w:cs="Times New Roman"/>
        </w:rPr>
        <w:noBreakHyphen/>
        <w:t>intérêts dans un procès civil » (</w:t>
      </w:r>
      <w:r w:rsidRPr="00192E1C">
        <w:rPr>
          <w:rFonts w:cs="Times New Roman"/>
          <w:i/>
        </w:rPr>
        <w:t>Débats de la Chambre des communes</w:t>
      </w:r>
      <w:r w:rsidRPr="00192E1C">
        <w:rPr>
          <w:rFonts w:cs="Times New Roman"/>
        </w:rPr>
        <w:t>, 5 février 1971, p. 3117). Les propos suivants du ministre Turner permettent de bien comprendre le fonctionnement du par. 495(3) dans son ensemble :</w:t>
      </w:r>
    </w:p>
    <w:p w14:paraId="26544A52" w14:textId="77777777" w:rsidR="00192E1C" w:rsidRPr="00192E1C" w:rsidRDefault="00192E1C" w:rsidP="00192E1C">
      <w:pPr>
        <w:pStyle w:val="Citation-AltC"/>
      </w:pPr>
      <w:bookmarkStart w:id="210" w:name="_Hlk215512834"/>
      <w:r w:rsidRPr="00192E1C">
        <w:t>Sous l’empire du paragraphe (3), si un policier exerce son pouvoir discrétionnaire conformément au bill [— et vous savez, nous traitons du jugement humain ici —] et même s’il fait une erreur de jugement il sera protégé en vertu de l’alinéa a) contre toute poursuite devant les tribunaux criminels comme c’est le cas à présent mais, en vertu de l’alinéa b)[,] [i]l ne sera pas protégé contre une action intentée devant les tribunaux civils si la personne arrêtée juge que le policier avait tort [mais le fardeau de la preuve repose sur la personne qui s’estime lésée par l’exercice de ce jugement].</w:t>
      </w:r>
    </w:p>
    <w:p w14:paraId="0AB4046F" w14:textId="77777777" w:rsidR="00192E1C" w:rsidRPr="00192E1C" w:rsidRDefault="00192E1C" w:rsidP="00192E1C">
      <w:pPr>
        <w:pStyle w:val="Citation-AltC"/>
        <w:rPr>
          <w:u w:val="single"/>
        </w:rPr>
      </w:pPr>
    </w:p>
    <w:p w14:paraId="371AC53B" w14:textId="77777777" w:rsidR="00192E1C" w:rsidRPr="00192E1C" w:rsidRDefault="00192E1C" w:rsidP="00192E1C">
      <w:pPr>
        <w:pStyle w:val="Citation-AltC"/>
        <w:ind w:firstLine="274"/>
      </w:pPr>
      <w:r w:rsidRPr="00192E1C">
        <w:rPr>
          <w:u w:val="single"/>
        </w:rPr>
        <w:t>Donc, la sanction ultime serait une poursuite intentée devant les tribunaux civils</w:t>
      </w:r>
      <w:r w:rsidRPr="00192E1C">
        <w:t xml:space="preserve"> et si la police accepte ce bill, comme je pense, elle l’acceptera. Cependant j’écoute leurs doléances, que ce soit les doléances de la Fraternité, des syndicats et des représentants de la police je pense qu’elles l’appliqueront en toute honnêteté. [Je souligne.]</w:t>
      </w:r>
    </w:p>
    <w:bookmarkEnd w:id="210"/>
    <w:p w14:paraId="190D3709" w14:textId="77777777" w:rsidR="00192E1C" w:rsidRPr="00192E1C" w:rsidRDefault="00192E1C" w:rsidP="00192E1C">
      <w:pPr>
        <w:pStyle w:val="Citation-AltC"/>
      </w:pPr>
    </w:p>
    <w:p w14:paraId="2B051C81" w14:textId="77777777" w:rsidR="00192E1C" w:rsidRPr="00192E1C" w:rsidRDefault="00192E1C" w:rsidP="00192E1C">
      <w:pPr>
        <w:pStyle w:val="Citation-AltC"/>
      </w:pPr>
      <w:r w:rsidRPr="00192E1C">
        <w:t>(</w:t>
      </w:r>
      <w:r w:rsidRPr="00192E1C">
        <w:rPr>
          <w:i/>
          <w:iCs/>
        </w:rPr>
        <w:t>Procès</w:t>
      </w:r>
      <w:r w:rsidRPr="00192E1C">
        <w:rPr>
          <w:i/>
          <w:iCs/>
        </w:rPr>
        <w:noBreakHyphen/>
        <w:t>verbaux et témoignages du</w:t>
      </w:r>
      <w:r w:rsidRPr="00192E1C">
        <w:rPr>
          <w:lang w:bidi="en-US"/>
        </w:rPr>
        <w:t xml:space="preserve"> </w:t>
      </w:r>
      <w:r w:rsidRPr="00192E1C">
        <w:rPr>
          <w:i/>
          <w:lang w:bidi="en-US"/>
        </w:rPr>
        <w:t>Comité permanent de la justice et des questions juridiques</w:t>
      </w:r>
      <w:r w:rsidRPr="00192E1C">
        <w:t>, 4 mars 1971, p. 14)</w:t>
      </w:r>
    </w:p>
    <w:p w14:paraId="7E23383B" w14:textId="77777777" w:rsidR="00192E1C" w:rsidRPr="00192E1C" w:rsidRDefault="00192E1C" w:rsidP="00192E1C">
      <w:pPr>
        <w:pStyle w:val="ParaNoNdepar-AltN"/>
        <w:rPr>
          <w:rFonts w:cs="Times New Roman"/>
        </w:rPr>
      </w:pPr>
      <w:r w:rsidRPr="00192E1C">
        <w:rPr>
          <w:rFonts w:cs="Times New Roman"/>
        </w:rPr>
        <w:t>En ce sens, la Cour d’appel de l’Alberta a raison d’affirmer que le ministre n’a pas indiqué que [</w:t>
      </w:r>
      <w:r w:rsidRPr="00192E1C">
        <w:rPr>
          <w:rFonts w:cs="Times New Roman"/>
          <w:smallCaps/>
        </w:rPr>
        <w:t>traduction</w:t>
      </w:r>
      <w:r w:rsidRPr="00192E1C">
        <w:rPr>
          <w:rFonts w:cs="Times New Roman"/>
        </w:rPr>
        <w:t>] « l’obligation statutaire imposée par le par. (2) [. . .] était [. . .] neutralisée » en raison du par. 495(3), et qu’il a bel et bien affirmé qu’une des conséquences d’un manquement au par. 495(2) était une poursuite civile (</w:t>
      </w:r>
      <w:r w:rsidRPr="00192E1C">
        <w:rPr>
          <w:rFonts w:cs="Times New Roman"/>
          <w:i/>
        </w:rPr>
        <w:t>Veen</w:t>
      </w:r>
      <w:r w:rsidRPr="00192E1C">
        <w:rPr>
          <w:rFonts w:cs="Times New Roman"/>
        </w:rPr>
        <w:t>, par. 50). Toutefois, lorsqu’il explique le mécanisme de l’al. 495(3)b) </w:t>
      </w:r>
      <w:r w:rsidRPr="00192E1C">
        <w:rPr>
          <w:rFonts w:cs="Times New Roman"/>
          <w:i/>
        </w:rPr>
        <w:t>C. cr.</w:t>
      </w:r>
      <w:r w:rsidRPr="00192E1C">
        <w:rPr>
          <w:rFonts w:cs="Times New Roman"/>
        </w:rPr>
        <w:t>, le ministre se réfère en tout temps à la légalité de la conduite de l’agent de la paix, dans le contexte où l’on voudrait mettre en cause sa responsabilité civile ou criminelle ou celle de personnes responsables de ce dernier pour des actes liés à l’arrestation, et non à la légalité de l’arrestation en soi.</w:t>
      </w:r>
    </w:p>
    <w:p w14:paraId="2831388E" w14:textId="77777777" w:rsidR="00192E1C" w:rsidRPr="00192E1C" w:rsidRDefault="00192E1C" w:rsidP="00192E1C">
      <w:pPr>
        <w:pStyle w:val="ParaNoNdepar-AltN"/>
        <w:rPr>
          <w:rFonts w:cs="Times New Roman"/>
        </w:rPr>
      </w:pPr>
      <w:r w:rsidRPr="00192E1C">
        <w:rPr>
          <w:rFonts w:cs="Times New Roman"/>
        </w:rPr>
        <w:t>J’ouvre une parenthèse afin de préciser qu’il n’existe aucune raison d’affirmer que l’objet du par. 495(3) </w:t>
      </w:r>
      <w:r w:rsidRPr="00192E1C">
        <w:rPr>
          <w:rFonts w:cs="Times New Roman"/>
          <w:i/>
        </w:rPr>
        <w:t>C. cr.</w:t>
      </w:r>
      <w:r w:rsidRPr="00192E1C">
        <w:rPr>
          <w:rFonts w:cs="Times New Roman"/>
        </w:rPr>
        <w:t xml:space="preserve"> est de [</w:t>
      </w:r>
      <w:r w:rsidRPr="00192E1C">
        <w:rPr>
          <w:rFonts w:cs="Times New Roman"/>
          <w:smallCaps/>
        </w:rPr>
        <w:t>traduction</w:t>
      </w:r>
      <w:r w:rsidRPr="00192E1C">
        <w:rPr>
          <w:rFonts w:cs="Times New Roman"/>
        </w:rPr>
        <w:t xml:space="preserve">] « décourager les gens de résister à leur arrestation dans les cas où ils croient qu’ils ne seront pas déclarés coupables de l’infraction pour laquelle on est en train de les arrêter », comme l’a déclaré la Cour d’appel de la Saskatchewan dans l’arrêt </w:t>
      </w:r>
      <w:r w:rsidRPr="00192E1C">
        <w:rPr>
          <w:rFonts w:cs="Times New Roman"/>
          <w:i/>
        </w:rPr>
        <w:t>R. c. Munson</w:t>
      </w:r>
      <w:r w:rsidRPr="00192E1C">
        <w:rPr>
          <w:rFonts w:cs="Times New Roman"/>
        </w:rPr>
        <w:t>, 2003 SKCA 28, 172 C.C.C. (3d) 515, par. 58. Celle</w:t>
      </w:r>
      <w:r w:rsidRPr="00192E1C">
        <w:rPr>
          <w:rFonts w:cs="Times New Roman"/>
        </w:rPr>
        <w:noBreakHyphen/>
        <w:t xml:space="preserve">ci s’appuyait notamment sur les arrêts </w:t>
      </w:r>
      <w:r w:rsidRPr="00192E1C">
        <w:rPr>
          <w:rFonts w:cs="Times New Roman"/>
          <w:i/>
        </w:rPr>
        <w:t>Adams</w:t>
      </w:r>
      <w:r w:rsidRPr="00192E1C">
        <w:rPr>
          <w:rFonts w:cs="Times New Roman"/>
        </w:rPr>
        <w:t xml:space="preserve">, </w:t>
      </w:r>
      <w:r w:rsidRPr="00192E1C">
        <w:rPr>
          <w:rFonts w:cs="Times New Roman"/>
          <w:i/>
        </w:rPr>
        <w:t>McKibbon</w:t>
      </w:r>
      <w:r w:rsidRPr="00192E1C">
        <w:rPr>
          <w:rFonts w:cs="Times New Roman"/>
        </w:rPr>
        <w:t xml:space="preserve"> et </w:t>
      </w:r>
      <w:r w:rsidRPr="00192E1C">
        <w:rPr>
          <w:rFonts w:cs="Times New Roman"/>
          <w:i/>
        </w:rPr>
        <w:t>Fuhr</w:t>
      </w:r>
      <w:r w:rsidRPr="00192E1C">
        <w:rPr>
          <w:rFonts w:cs="Times New Roman"/>
        </w:rPr>
        <w:t xml:space="preserve">, dont j’ai discuté au tout début des présents motifs, au soutien de sa conclusion (voir aussi </w:t>
      </w:r>
      <w:r w:rsidRPr="00192E1C">
        <w:rPr>
          <w:rFonts w:cs="Times New Roman"/>
          <w:i/>
        </w:rPr>
        <w:t>Jowett Work</w:t>
      </w:r>
      <w:r w:rsidRPr="00192E1C">
        <w:rPr>
          <w:rFonts w:cs="Times New Roman"/>
        </w:rPr>
        <w:t>, par. 33</w:t>
      </w:r>
      <w:r w:rsidRPr="00192E1C">
        <w:rPr>
          <w:rFonts w:cs="Times New Roman"/>
        </w:rPr>
        <w:noBreakHyphen/>
        <w:t>34). Avec égards, cet objet ne transparaît à aucun moment des débats parlementaires que nous avons étudiés, ni d’aucun élément contextuel pertinent pour établir l’objet de la disposition. Il ressort de ce qui précède que l’objet poursuivi par l’adoption du par. 495(3) </w:t>
      </w:r>
      <w:r w:rsidRPr="00192E1C">
        <w:rPr>
          <w:rFonts w:cs="Times New Roman"/>
          <w:i/>
        </w:rPr>
        <w:t>C. cr.</w:t>
      </w:r>
      <w:r w:rsidRPr="00192E1C">
        <w:rPr>
          <w:rFonts w:cs="Times New Roman"/>
        </w:rPr>
        <w:t xml:space="preserve"> n’est pas une protection </w:t>
      </w:r>
      <w:r w:rsidRPr="00192E1C">
        <w:rPr>
          <w:rFonts w:cs="Times New Roman"/>
          <w:i/>
        </w:rPr>
        <w:t>physique</w:t>
      </w:r>
      <w:r w:rsidRPr="00192E1C">
        <w:rPr>
          <w:rFonts w:cs="Times New Roman"/>
        </w:rPr>
        <w:t xml:space="preserve"> (i.e., lorsque la personne arrêtée résiste à son arrestation par la force), mais plutôt </w:t>
      </w:r>
      <w:r w:rsidRPr="00192E1C">
        <w:rPr>
          <w:rFonts w:cs="Times New Roman"/>
          <w:i/>
        </w:rPr>
        <w:t>juridique</w:t>
      </w:r>
      <w:r w:rsidRPr="00192E1C">
        <w:rPr>
          <w:rFonts w:cs="Times New Roman"/>
        </w:rPr>
        <w:t xml:space="preserve"> (i.e., dans le cadre d’une poursuite).</w:t>
      </w:r>
    </w:p>
    <w:p w14:paraId="035362A7" w14:textId="77777777" w:rsidR="00192E1C" w:rsidRPr="00192E1C" w:rsidRDefault="00192E1C" w:rsidP="00192E1C">
      <w:pPr>
        <w:pStyle w:val="ParaNoNdepar-AltN"/>
        <w:rPr>
          <w:rFonts w:cs="Times New Roman"/>
        </w:rPr>
      </w:pPr>
      <w:r w:rsidRPr="00192E1C">
        <w:rPr>
          <w:rFonts w:cs="Times New Roman"/>
        </w:rPr>
        <w:t>Dans ce contexte, lus dans leur globalité, on déduit des al. 495(3)a) et b) </w:t>
      </w:r>
      <w:r w:rsidRPr="00192E1C">
        <w:rPr>
          <w:rFonts w:cs="Times New Roman"/>
          <w:i/>
        </w:rPr>
        <w:t>C. cr.</w:t>
      </w:r>
      <w:r w:rsidRPr="00192E1C">
        <w:rPr>
          <w:rFonts w:cs="Times New Roman"/>
        </w:rPr>
        <w:t xml:space="preserve"> qu’ils ont le même objet, soit d’offrir une certaine protection aux agents de la paix et à toute personne responsable de ces derniers contre des poursuites visant leur responsabilité criminelle ou civile découlant d’une arrestation contraire au par. 495(2).</w:t>
      </w:r>
    </w:p>
    <w:p w14:paraId="30FC4396" w14:textId="77777777" w:rsidR="00192E1C" w:rsidRPr="00192E1C" w:rsidRDefault="00192E1C" w:rsidP="00192E1C">
      <w:pPr>
        <w:pStyle w:val="Title3LevelTitre3Niveau"/>
        <w:numPr>
          <w:ilvl w:val="0"/>
          <w:numId w:val="28"/>
        </w:numPr>
        <w:ind w:left="1152" w:hanging="576"/>
        <w:rPr>
          <w:rFonts w:cs="Times New Roman"/>
          <w:szCs w:val="24"/>
          <w:lang w:val="fr-CA"/>
        </w:rPr>
      </w:pPr>
      <w:bookmarkStart w:id="211" w:name="_Toc204271963"/>
      <w:bookmarkStart w:id="212" w:name="_Toc204336584"/>
      <w:bookmarkStart w:id="213" w:name="_Toc204344092"/>
      <w:bookmarkStart w:id="214" w:name="_Toc208319866"/>
      <w:bookmarkStart w:id="215" w:name="_Toc214611168"/>
      <w:bookmarkStart w:id="216" w:name="_Toc215654530"/>
      <w:r w:rsidRPr="00192E1C">
        <w:rPr>
          <w:rFonts w:cs="Times New Roman"/>
          <w:szCs w:val="24"/>
          <w:lang w:val="fr-CA"/>
        </w:rPr>
        <w:t>Le contexte</w:t>
      </w:r>
      <w:bookmarkEnd w:id="211"/>
      <w:bookmarkEnd w:id="212"/>
      <w:bookmarkEnd w:id="213"/>
      <w:bookmarkEnd w:id="214"/>
      <w:bookmarkEnd w:id="215"/>
      <w:bookmarkEnd w:id="216"/>
    </w:p>
    <w:p w14:paraId="58B99DB2" w14:textId="77777777" w:rsidR="00192E1C" w:rsidRPr="00192E1C" w:rsidRDefault="00192E1C" w:rsidP="00192E1C">
      <w:pPr>
        <w:pStyle w:val="ParaNoNdepar-AltN"/>
        <w:rPr>
          <w:rFonts w:cs="Times New Roman"/>
        </w:rPr>
      </w:pPr>
      <w:bookmarkStart w:id="217" w:name="_Ref214611773"/>
      <w:r w:rsidRPr="00192E1C">
        <w:rPr>
          <w:rFonts w:cs="Times New Roman"/>
        </w:rPr>
        <w:t>D’autres éléments contextuels appuient également cette interprétation. En premier lieu, j’examine le contexte plus large en abordant le paysage législatif existant au moment de l’adoption du par. 495(3) </w:t>
      </w:r>
      <w:r w:rsidRPr="00192E1C">
        <w:rPr>
          <w:rFonts w:cs="Times New Roman"/>
          <w:i/>
        </w:rPr>
        <w:t>C. cr.</w:t>
      </w:r>
      <w:r w:rsidRPr="00192E1C">
        <w:rPr>
          <w:rFonts w:cs="Times New Roman"/>
        </w:rPr>
        <w:t xml:space="preserve">, donc avant l’avènement de la </w:t>
      </w:r>
      <w:r w:rsidRPr="00192E1C">
        <w:rPr>
          <w:rFonts w:cs="Times New Roman"/>
          <w:i/>
        </w:rPr>
        <w:t>Charte</w:t>
      </w:r>
      <w:r w:rsidRPr="00192E1C">
        <w:rPr>
          <w:rFonts w:cs="Times New Roman"/>
        </w:rPr>
        <w:t>. En deuxième lieu, j’examine son contexte immédiat, à savoir plus particulièrement la relation entre les par. 495(2) et (3) </w:t>
      </w:r>
      <w:r w:rsidRPr="00192E1C">
        <w:rPr>
          <w:rFonts w:cs="Times New Roman"/>
          <w:i/>
        </w:rPr>
        <w:t>C. cr.</w:t>
      </w:r>
      <w:bookmarkEnd w:id="217"/>
    </w:p>
    <w:p w14:paraId="63E39C17" w14:textId="77777777" w:rsidR="00192E1C" w:rsidRPr="00192E1C" w:rsidRDefault="00192E1C" w:rsidP="00192E1C">
      <w:pPr>
        <w:pStyle w:val="Title4LevelTitre4Niveau"/>
        <w:numPr>
          <w:ilvl w:val="1"/>
          <w:numId w:val="33"/>
        </w:numPr>
        <w:rPr>
          <w:rFonts w:cs="Times New Roman"/>
        </w:rPr>
      </w:pPr>
      <w:bookmarkStart w:id="218" w:name="_Toc204344093"/>
      <w:bookmarkStart w:id="219" w:name="_Toc208319867"/>
      <w:bookmarkStart w:id="220" w:name="_Toc214611169"/>
      <w:bookmarkStart w:id="221" w:name="_Toc215654531"/>
      <w:r w:rsidRPr="00192E1C">
        <w:rPr>
          <w:rFonts w:cs="Times New Roman"/>
        </w:rPr>
        <w:t>Le contexte antérieur à la Charte entourant l’adoption du par. 495(3) C. cr.</w:t>
      </w:r>
      <w:bookmarkEnd w:id="218"/>
      <w:bookmarkEnd w:id="219"/>
      <w:bookmarkEnd w:id="220"/>
      <w:bookmarkEnd w:id="221"/>
    </w:p>
    <w:p w14:paraId="2DE803CF" w14:textId="77777777" w:rsidR="00192E1C" w:rsidRPr="00192E1C" w:rsidRDefault="00192E1C" w:rsidP="00192E1C">
      <w:pPr>
        <w:pStyle w:val="ParaNoNdepar-AltN"/>
        <w:rPr>
          <w:rFonts w:cs="Times New Roman"/>
        </w:rPr>
      </w:pPr>
      <w:bookmarkStart w:id="222" w:name="_Ref214611780"/>
      <w:r w:rsidRPr="00192E1C">
        <w:rPr>
          <w:rFonts w:cs="Times New Roman"/>
        </w:rPr>
        <w:t>Le paysage législatif dans lequel le Parlement a adopté le par. 495(3) </w:t>
      </w:r>
      <w:r w:rsidRPr="00192E1C">
        <w:rPr>
          <w:rFonts w:cs="Times New Roman"/>
          <w:i/>
        </w:rPr>
        <w:t>C. cr.</w:t>
      </w:r>
      <w:r w:rsidRPr="00192E1C">
        <w:rPr>
          <w:rFonts w:cs="Times New Roman"/>
        </w:rPr>
        <w:t xml:space="preserve"> est un élément contextuel important. Je remarque que l’adoption de cette disposition a précédé de plusieurs années l’entrée en vigueur de la </w:t>
      </w:r>
      <w:r w:rsidRPr="00192E1C">
        <w:rPr>
          <w:rFonts w:cs="Times New Roman"/>
          <w:i/>
        </w:rPr>
        <w:t>Charte</w:t>
      </w:r>
      <w:r w:rsidRPr="00192E1C">
        <w:rPr>
          <w:rFonts w:cs="Times New Roman"/>
        </w:rPr>
        <w:t>. Il faut donc replacer le par. 495(3) </w:t>
      </w:r>
      <w:r w:rsidRPr="00192E1C">
        <w:rPr>
          <w:rFonts w:cs="Times New Roman"/>
          <w:i/>
        </w:rPr>
        <w:t>C. cr.</w:t>
      </w:r>
      <w:r w:rsidRPr="00192E1C">
        <w:rPr>
          <w:rFonts w:cs="Times New Roman"/>
        </w:rPr>
        <w:t xml:space="preserve"> dans le contexte de l’époque afin de l’interpréter correctement. Enfin, comme nous le verrons, l’interprétation à donner à cette disposition n’a pas été bousculée par l’avènement de la </w:t>
      </w:r>
      <w:r w:rsidRPr="00192E1C">
        <w:rPr>
          <w:rFonts w:cs="Times New Roman"/>
          <w:i/>
        </w:rPr>
        <w:t>Charte</w:t>
      </w:r>
      <w:r w:rsidRPr="00192E1C">
        <w:rPr>
          <w:rFonts w:cs="Times New Roman"/>
        </w:rPr>
        <w:t>.</w:t>
      </w:r>
      <w:bookmarkEnd w:id="222"/>
    </w:p>
    <w:p w14:paraId="38E6F3CB" w14:textId="77777777" w:rsidR="00192E1C" w:rsidRPr="00192E1C" w:rsidRDefault="00192E1C" w:rsidP="00192E1C">
      <w:pPr>
        <w:pStyle w:val="ParaNoNdepar-AltN"/>
        <w:rPr>
          <w:rFonts w:cs="Times New Roman"/>
        </w:rPr>
      </w:pPr>
      <w:r w:rsidRPr="00192E1C">
        <w:rPr>
          <w:rFonts w:cs="Times New Roman"/>
        </w:rPr>
        <w:t>Lorsque le Parlement a adopté les par. 450(2) et (3) </w:t>
      </w:r>
      <w:r w:rsidRPr="00192E1C">
        <w:rPr>
          <w:rFonts w:cs="Times New Roman"/>
          <w:i/>
        </w:rPr>
        <w:t>C. cr.</w:t>
      </w:r>
      <w:r w:rsidRPr="00192E1C">
        <w:rPr>
          <w:rFonts w:cs="Times New Roman"/>
        </w:rPr>
        <w:t xml:space="preserve"> </w:t>
      </w:r>
      <w:r w:rsidRPr="00192E1C">
        <w:rPr>
          <w:rFonts w:cs="Times New Roman"/>
          <w:i/>
        </w:rPr>
        <w:t xml:space="preserve">(1970) </w:t>
      </w:r>
      <w:r w:rsidRPr="00192E1C">
        <w:rPr>
          <w:rFonts w:cs="Times New Roman"/>
        </w:rPr>
        <w:t>(actuellement les par. 495(2) et (3) </w:t>
      </w:r>
      <w:r w:rsidRPr="00192E1C">
        <w:rPr>
          <w:rFonts w:cs="Times New Roman"/>
          <w:i/>
        </w:rPr>
        <w:t>C. cr.</w:t>
      </w:r>
      <w:r w:rsidRPr="00192E1C">
        <w:rPr>
          <w:rFonts w:cs="Times New Roman"/>
        </w:rPr>
        <w:t>)</w:t>
      </w:r>
      <w:r w:rsidRPr="00192E1C">
        <w:rPr>
          <w:rFonts w:cs="Times New Roman"/>
          <w:i/>
        </w:rPr>
        <w:t xml:space="preserve"> </w:t>
      </w:r>
      <w:r w:rsidRPr="00192E1C">
        <w:rPr>
          <w:rFonts w:cs="Times New Roman"/>
        </w:rPr>
        <w:t xml:space="preserve">par l’entremise de la </w:t>
      </w:r>
      <w:r w:rsidRPr="00192E1C">
        <w:rPr>
          <w:rFonts w:cs="Times New Roman"/>
          <w:i/>
        </w:rPr>
        <w:t>Loi sur la réforme du cautionnement</w:t>
      </w:r>
      <w:r w:rsidRPr="00192E1C">
        <w:rPr>
          <w:rFonts w:cs="Times New Roman"/>
        </w:rPr>
        <w:t xml:space="preserve">, les possibilités pour un accusé de contester la légalité de son arrestation et d’obtenir une réparation dans le cadre de sa propre procédure criminelle et pénale étaient très limitées. Cela s’explique en partie par l’arrêt </w:t>
      </w:r>
      <w:r w:rsidRPr="00192E1C">
        <w:rPr>
          <w:rFonts w:cs="Times New Roman"/>
          <w:i/>
        </w:rPr>
        <w:t>Wray</w:t>
      </w:r>
      <w:r w:rsidRPr="00192E1C">
        <w:rPr>
          <w:rFonts w:cs="Times New Roman"/>
        </w:rPr>
        <w:t>.</w:t>
      </w:r>
    </w:p>
    <w:p w14:paraId="0F237330" w14:textId="77777777" w:rsidR="00192E1C" w:rsidRPr="00192E1C" w:rsidRDefault="00192E1C" w:rsidP="00192E1C">
      <w:pPr>
        <w:pStyle w:val="ParaNoNdepar-AltN"/>
        <w:rPr>
          <w:rFonts w:cs="Times New Roman"/>
        </w:rPr>
      </w:pPr>
      <w:r w:rsidRPr="00192E1C">
        <w:rPr>
          <w:rFonts w:cs="Times New Roman"/>
        </w:rPr>
        <w:t xml:space="preserve">En juin 1970, un peu avant l’entrée en vigueur de la </w:t>
      </w:r>
      <w:r w:rsidRPr="00192E1C">
        <w:rPr>
          <w:rFonts w:cs="Times New Roman"/>
          <w:i/>
        </w:rPr>
        <w:t>Loi sur la réforme du cautionnement</w:t>
      </w:r>
      <w:r w:rsidRPr="00192E1C">
        <w:rPr>
          <w:rFonts w:cs="Times New Roman"/>
        </w:rPr>
        <w:t xml:space="preserve">, notre Cour a confirmé dans l’arrêt </w:t>
      </w:r>
      <w:r w:rsidRPr="00192E1C">
        <w:rPr>
          <w:rFonts w:cs="Times New Roman"/>
          <w:i/>
        </w:rPr>
        <w:t>Wray</w:t>
      </w:r>
      <w:r w:rsidRPr="00192E1C">
        <w:rPr>
          <w:rFonts w:cs="Times New Roman"/>
        </w:rPr>
        <w:t xml:space="preserve"> qu’un tribunal ne possédait pas le pouvoir discrétionnaire d’écarter une preuve recevable simplement parce que l’admettre serait de nature à discréditer l’administration de la justice, par exemple parce que la preuve aurait été obtenue à la suite d’une arrestation illégale (p. 287). Un tribunal avait bien sûr le pouvoir d’exclure une preuve obtenue à la suite d’une arrestation illégale, mais, comme l’expliquait le juge Martland, le seuil était très élevé : « C’est seulement le fait de recevoir une preuve fortement préjudiciable à l’accusé et dont la recevabilité tient à une subtilité, mais dont la valeur probante à l’égard de la question fondamentale en litige est insignifiante, qui peut être considéré comme inéquitable » (p. 293). L’état du droit tel qu’exprimé dans l’arrêt </w:t>
      </w:r>
      <w:r w:rsidRPr="00192E1C">
        <w:rPr>
          <w:rFonts w:cs="Times New Roman"/>
          <w:i/>
        </w:rPr>
        <w:t>Wray</w:t>
      </w:r>
      <w:r w:rsidRPr="00192E1C">
        <w:rPr>
          <w:rFonts w:cs="Times New Roman"/>
        </w:rPr>
        <w:t xml:space="preserve"> semble avoir persisté jusqu’à l’avènement de la </w:t>
      </w:r>
      <w:r w:rsidRPr="00192E1C">
        <w:rPr>
          <w:rFonts w:cs="Times New Roman"/>
          <w:i/>
        </w:rPr>
        <w:t>Charte</w:t>
      </w:r>
      <w:r w:rsidRPr="00192E1C">
        <w:rPr>
          <w:rFonts w:cs="Times New Roman"/>
        </w:rPr>
        <w:t xml:space="preserve"> en 1982 (Coughlan, p. 429</w:t>
      </w:r>
      <w:r w:rsidRPr="00192E1C">
        <w:rPr>
          <w:rFonts w:cs="Times New Roman"/>
        </w:rPr>
        <w:noBreakHyphen/>
        <w:t>430).</w:t>
      </w:r>
    </w:p>
    <w:p w14:paraId="5E06B401" w14:textId="77777777" w:rsidR="00192E1C" w:rsidRPr="00192E1C" w:rsidRDefault="00192E1C" w:rsidP="00192E1C">
      <w:pPr>
        <w:pStyle w:val="ParaNoNdepar-AltN"/>
        <w:rPr>
          <w:rFonts w:cs="Times New Roman"/>
        </w:rPr>
      </w:pPr>
      <w:r w:rsidRPr="00192E1C">
        <w:rPr>
          <w:rFonts w:cs="Times New Roman"/>
        </w:rPr>
        <w:t>Ainsi, au moment de l’adoption de la première mouture de l’art. 450(3) </w:t>
      </w:r>
      <w:r w:rsidRPr="00192E1C">
        <w:rPr>
          <w:rFonts w:cs="Times New Roman"/>
          <w:i/>
        </w:rPr>
        <w:t>C. cr. (1970)</w:t>
      </w:r>
      <w:r w:rsidRPr="00192E1C">
        <w:rPr>
          <w:rFonts w:cs="Times New Roman"/>
        </w:rPr>
        <w:t xml:space="preserve"> (actuellement le par. 495(3) </w:t>
      </w:r>
      <w:r w:rsidRPr="00192E1C">
        <w:rPr>
          <w:rFonts w:cs="Times New Roman"/>
          <w:i/>
        </w:rPr>
        <w:t>C.</w:t>
      </w:r>
      <w:r w:rsidRPr="00192E1C">
        <w:rPr>
          <w:rFonts w:cs="Times New Roman"/>
        </w:rPr>
        <w:t> </w:t>
      </w:r>
      <w:r w:rsidRPr="00192E1C">
        <w:rPr>
          <w:rFonts w:cs="Times New Roman"/>
          <w:i/>
        </w:rPr>
        <w:t>cr.</w:t>
      </w:r>
      <w:r w:rsidRPr="00192E1C">
        <w:rPr>
          <w:rFonts w:cs="Times New Roman"/>
        </w:rPr>
        <w:t xml:space="preserve">), le Parlement ne pouvait concevoir que, des années plus tard, des personnes accusées pourraient, dans le cadre de leur propre procès criminel, contester des violations de leurs droits constitutionnels — tels que le droit à la protection contre la détention arbitraire — en invoquant l’illégalité de leur arrestation et en demandant l’exclusion des éléments de preuve obtenus en violation de ces droits. La </w:t>
      </w:r>
      <w:r w:rsidRPr="00192E1C">
        <w:rPr>
          <w:rFonts w:cs="Times New Roman"/>
          <w:i/>
        </w:rPr>
        <w:t>Charte</w:t>
      </w:r>
      <w:r w:rsidRPr="00192E1C">
        <w:rPr>
          <w:rFonts w:cs="Times New Roman"/>
        </w:rPr>
        <w:t xml:space="preserve"> n’avait pas encore été adoptée et, à plus forte raison, notre Cour n’avait évidemment pas reconnu qu’une arrestation </w:t>
      </w:r>
      <w:r w:rsidRPr="00192E1C">
        <w:rPr>
          <w:rFonts w:cs="Times New Roman"/>
          <w:i/>
        </w:rPr>
        <w:t>illégale</w:t>
      </w:r>
      <w:r w:rsidRPr="00192E1C">
        <w:rPr>
          <w:rFonts w:cs="Times New Roman"/>
        </w:rPr>
        <w:t xml:space="preserve"> pouvait équivaloir à une arrestation </w:t>
      </w:r>
      <w:r w:rsidRPr="00192E1C">
        <w:rPr>
          <w:rFonts w:cs="Times New Roman"/>
          <w:i/>
        </w:rPr>
        <w:t>arbitraire</w:t>
      </w:r>
      <w:r w:rsidRPr="00192E1C">
        <w:rPr>
          <w:rFonts w:cs="Times New Roman"/>
        </w:rPr>
        <w:t xml:space="preserve">. Le Parlement ne pouvait non plus anticiper que des personnes accusées puissent, en cas de violation établie de la </w:t>
      </w:r>
      <w:r w:rsidRPr="00192E1C">
        <w:rPr>
          <w:rFonts w:cs="Times New Roman"/>
          <w:i/>
        </w:rPr>
        <w:t>Charte</w:t>
      </w:r>
      <w:r w:rsidRPr="00192E1C">
        <w:rPr>
          <w:rFonts w:cs="Times New Roman"/>
        </w:rPr>
        <w:t xml:space="preserve">, solliciter d’autres réparations « convenables et justes » en vertu du par. 24(1) de la </w:t>
      </w:r>
      <w:r w:rsidRPr="00192E1C">
        <w:rPr>
          <w:rFonts w:cs="Times New Roman"/>
          <w:i/>
        </w:rPr>
        <w:t>Charte</w:t>
      </w:r>
      <w:r w:rsidRPr="00192E1C">
        <w:rPr>
          <w:rFonts w:cs="Times New Roman"/>
        </w:rPr>
        <w:t xml:space="preserve"> dans le cadre de leur procès criminel, telles qu’une réduction de peine ou l’arrêt des procédures. Il est donc très difficile, voire impossible, d’imputer au Parlement lors de l’adoption de l’ancien par. 450(3) </w:t>
      </w:r>
      <w:r w:rsidRPr="00192E1C">
        <w:rPr>
          <w:rFonts w:cs="Times New Roman"/>
          <w:i/>
        </w:rPr>
        <w:t>C. cr. (1970)</w:t>
      </w:r>
      <w:r w:rsidRPr="00192E1C">
        <w:rPr>
          <w:rFonts w:cs="Times New Roman"/>
        </w:rPr>
        <w:t xml:space="preserve"> une quelconque intention d’immuniser une arrestation non conforme au par. 495(2) </w:t>
      </w:r>
      <w:r w:rsidRPr="00192E1C">
        <w:rPr>
          <w:rFonts w:cs="Times New Roman"/>
          <w:i/>
        </w:rPr>
        <w:t>C. cr.</w:t>
      </w:r>
      <w:r w:rsidRPr="00192E1C">
        <w:rPr>
          <w:rFonts w:cs="Times New Roman"/>
        </w:rPr>
        <w:t xml:space="preserve"> contre un examen axé sur l’illégalité de l’arrestation au moment où il a adopté les dispositions en cause. Je partage donc l’avis de l’intimé selon lequel le libellé de l’ancien art. 450(3) </w:t>
      </w:r>
      <w:r w:rsidRPr="00192E1C">
        <w:rPr>
          <w:rFonts w:cs="Times New Roman"/>
          <w:i/>
        </w:rPr>
        <w:t>C. cr. (1970)</w:t>
      </w:r>
      <w:r w:rsidRPr="00192E1C">
        <w:rPr>
          <w:rFonts w:cs="Times New Roman"/>
        </w:rPr>
        <w:t xml:space="preserve"> (actuellement le par. 495(3) </w:t>
      </w:r>
      <w:r w:rsidRPr="00192E1C">
        <w:rPr>
          <w:rFonts w:cs="Times New Roman"/>
          <w:i/>
        </w:rPr>
        <w:t>C. cr.</w:t>
      </w:r>
      <w:r w:rsidRPr="00192E1C">
        <w:rPr>
          <w:rFonts w:cs="Times New Roman"/>
        </w:rPr>
        <w:t>) doit être interprété à la lumière de cette réalité.</w:t>
      </w:r>
    </w:p>
    <w:p w14:paraId="423473B6" w14:textId="77777777" w:rsidR="00192E1C" w:rsidRPr="00192E1C" w:rsidRDefault="00192E1C" w:rsidP="00192E1C">
      <w:pPr>
        <w:pStyle w:val="ParaNoNdepar-AltN"/>
        <w:rPr>
          <w:rFonts w:cs="Times New Roman"/>
        </w:rPr>
      </w:pPr>
      <w:r w:rsidRPr="00192E1C">
        <w:rPr>
          <w:rFonts w:cs="Times New Roman"/>
        </w:rPr>
        <w:t xml:space="preserve">Tout récemment, dans l’arrêt </w:t>
      </w:r>
      <w:r w:rsidRPr="00192E1C">
        <w:rPr>
          <w:rFonts w:cs="Times New Roman"/>
          <w:i/>
        </w:rPr>
        <w:t>Telus</w:t>
      </w:r>
      <w:r w:rsidRPr="00192E1C">
        <w:rPr>
          <w:rFonts w:cs="Times New Roman"/>
        </w:rPr>
        <w:t xml:space="preserve">, je souscrivais au cadre théorique exposé par ma collègue la juge Moreau concernant la manière dont une loi devrait être interprétée en réponse à un changement de circonstances (par. 155). Il est entendu que la méthode moderne permet aux tribunaux « d’appliquer les lois à des circonstances nouvelles ou en évolution » (par. 33; voir aussi la </w:t>
      </w:r>
      <w:r w:rsidRPr="00192E1C">
        <w:rPr>
          <w:rFonts w:cs="Times New Roman"/>
          <w:i/>
        </w:rPr>
        <w:t>Loi d’interprétation</w:t>
      </w:r>
      <w:r w:rsidRPr="00192E1C">
        <w:rPr>
          <w:rFonts w:cs="Times New Roman"/>
        </w:rPr>
        <w:t>, art. 10). Il est d’ailleurs possible pour le Parlement d’utiliser « de[s] mots généraux ou ayant une acception large pour traiter de circonstances qui ne sont ni existantes ni envisagées » (</w:t>
      </w:r>
      <w:r w:rsidRPr="00192E1C">
        <w:rPr>
          <w:rFonts w:cs="Times New Roman"/>
          <w:i/>
        </w:rPr>
        <w:t>Telus</w:t>
      </w:r>
      <w:r w:rsidRPr="00192E1C">
        <w:rPr>
          <w:rFonts w:cs="Times New Roman"/>
        </w:rPr>
        <w:t xml:space="preserve">, par. 33, citant </w:t>
      </w:r>
      <w:r w:rsidRPr="00192E1C">
        <w:rPr>
          <w:rFonts w:cs="Times New Roman"/>
          <w:i/>
          <w:iCs/>
        </w:rPr>
        <w:t>R. c. D.L.W.</w:t>
      </w:r>
      <w:r w:rsidRPr="00192E1C">
        <w:rPr>
          <w:rFonts w:cs="Times New Roman"/>
        </w:rPr>
        <w:t xml:space="preserve">, 2016 CSC 22, [2016] 1 R.C.S. 402, par. 61, </w:t>
      </w:r>
      <w:r w:rsidRPr="00192E1C">
        <w:rPr>
          <w:rFonts w:cs="Times New Roman"/>
          <w:i/>
          <w:iCs/>
        </w:rPr>
        <w:t>Perka</w:t>
      </w:r>
      <w:r w:rsidRPr="00192E1C">
        <w:rPr>
          <w:rFonts w:cs="Times New Roman"/>
        </w:rPr>
        <w:t>, p. 265, et Côté et Devinat, par. 285), comme ce pourrait être le cas des termes « toutes procédures » (« </w:t>
      </w:r>
      <w:r w:rsidRPr="00192E1C">
        <w:rPr>
          <w:rFonts w:cs="Times New Roman"/>
          <w:i/>
        </w:rPr>
        <w:t>any proceedings</w:t>
      </w:r>
      <w:r w:rsidRPr="00192E1C">
        <w:rPr>
          <w:rFonts w:cs="Times New Roman"/>
        </w:rPr>
        <w:t> ») employés au par. 495(3) </w:t>
      </w:r>
      <w:r w:rsidRPr="00192E1C">
        <w:rPr>
          <w:rFonts w:cs="Times New Roman"/>
          <w:i/>
        </w:rPr>
        <w:t>C. cr.</w:t>
      </w:r>
    </w:p>
    <w:p w14:paraId="7147F5CA" w14:textId="77777777" w:rsidR="00192E1C" w:rsidRPr="00192E1C" w:rsidRDefault="00192E1C" w:rsidP="00192E1C">
      <w:pPr>
        <w:pStyle w:val="ParaNoNdepar-AltN"/>
        <w:rPr>
          <w:rFonts w:cs="Times New Roman"/>
        </w:rPr>
      </w:pPr>
      <w:r w:rsidRPr="00192E1C">
        <w:rPr>
          <w:rFonts w:cs="Times New Roman"/>
        </w:rPr>
        <w:t>Toutefois, déterminer si une disposition peut s’appliquer à de nouvelles circonstances est une question d’interprétation et il faut y répondre en examinant le texte de la loi selon son contexte et conformément à l’objectif du législateur (</w:t>
      </w:r>
      <w:r w:rsidRPr="00192E1C">
        <w:rPr>
          <w:rFonts w:cs="Times New Roman"/>
          <w:i/>
        </w:rPr>
        <w:t>Telus</w:t>
      </w:r>
      <w:r w:rsidRPr="00192E1C">
        <w:rPr>
          <w:rFonts w:cs="Times New Roman"/>
        </w:rPr>
        <w:t>, par. 36). Ainsi, même lorsque le texte la disposition est rédigé en termes généraux laissant entendre qu’il pourrait s’appliquer à des circonstances nouvelles, les tribunaux doivent éviter de lui attribuer un sens qui excéderait l’objet visé par la disposition. Autrement, les tribunaux risquent d’outrepasser leur rôle institutionnel en s’immisçant dans des questions auxquelles le législateur est plus à même de répondre (Sullivan, § 6.01[3]).</w:t>
      </w:r>
    </w:p>
    <w:p w14:paraId="70AD3D11" w14:textId="77777777" w:rsidR="00192E1C" w:rsidRPr="00192E1C" w:rsidRDefault="00192E1C" w:rsidP="00192E1C">
      <w:pPr>
        <w:pStyle w:val="ParaNoNdepar-AltN"/>
        <w:rPr>
          <w:rFonts w:cs="Times New Roman"/>
        </w:rPr>
      </w:pPr>
      <w:r w:rsidRPr="00192E1C">
        <w:rPr>
          <w:rFonts w:cs="Times New Roman"/>
        </w:rPr>
        <w:t xml:space="preserve">Par ailleurs, une disposition libellée en termes larges et généraux peut être interprétée de manière plus étroite afin que son interprétation n’outrepasse pas son objet. L’arrêt </w:t>
      </w:r>
      <w:r w:rsidRPr="00192E1C">
        <w:rPr>
          <w:rFonts w:cs="Times New Roman"/>
          <w:i/>
        </w:rPr>
        <w:t>R. c. Kuldip</w:t>
      </w:r>
      <w:r w:rsidRPr="00192E1C">
        <w:rPr>
          <w:rFonts w:cs="Times New Roman"/>
        </w:rPr>
        <w:t xml:space="preserve">, [1990] 3 R.C.S. 618, est un exemple en ce sens. Dans cette affaire, notre Cour était appelée à interpréter les termes du par. 5(2) de la </w:t>
      </w:r>
      <w:r w:rsidRPr="00192E1C">
        <w:rPr>
          <w:rFonts w:cs="Times New Roman"/>
          <w:i/>
        </w:rPr>
        <w:t>Loi sur la preuve au Canada</w:t>
      </w:r>
      <w:r w:rsidRPr="00192E1C">
        <w:rPr>
          <w:rFonts w:cs="Times New Roman"/>
        </w:rPr>
        <w:t>, L.R.C. 1985, c. C</w:t>
      </w:r>
      <w:r w:rsidRPr="00192E1C">
        <w:rPr>
          <w:rFonts w:cs="Times New Roman"/>
        </w:rPr>
        <w:noBreakHyphen/>
        <w:t>5. En se fondant sur un libellé formulé en termes plus larges et généraux, l’accusé proposait une interprétation de la disposition qui excéderait son objet (voir Sullivan, § 9.04[4] : [</w:t>
      </w:r>
      <w:r w:rsidRPr="00192E1C">
        <w:rPr>
          <w:rFonts w:cs="Times New Roman"/>
          <w:smallCaps/>
        </w:rPr>
        <w:t>traduction</w:t>
      </w:r>
      <w:r w:rsidRPr="00192E1C">
        <w:rPr>
          <w:rFonts w:cs="Times New Roman"/>
        </w:rPr>
        <w:t xml:space="preserve">] « . . . la garantie recherchée par l’accusé (la protection contre une attaque à sa crédibilité) </w:t>
      </w:r>
      <w:r w:rsidRPr="00192E1C">
        <w:rPr>
          <w:rFonts w:cs="Times New Roman"/>
          <w:u w:val="single"/>
        </w:rPr>
        <w:t>n’avait pas de lien rationnel avec l’objet</w:t>
      </w:r>
      <w:r w:rsidRPr="00192E1C">
        <w:rPr>
          <w:rFonts w:cs="Times New Roman"/>
        </w:rPr>
        <w:t xml:space="preserve"> de la disposition (la protection contre l’auto</w:t>
      </w:r>
      <w:r w:rsidRPr="00192E1C">
        <w:rPr>
          <w:rFonts w:cs="Times New Roman"/>
        </w:rPr>
        <w:noBreakHyphen/>
        <w:t>incrimination) » (je souligne)). Notre Cour a rejeté les prétentions de l’accusé, refusant ainsi d’adopter à l’égard de cette disposition une interprétation qui, bien que compatible avec le sens ordinaire et grammatical des termes, « irait au</w:t>
      </w:r>
      <w:r w:rsidRPr="00192E1C">
        <w:rPr>
          <w:rFonts w:cs="Times New Roman"/>
        </w:rPr>
        <w:noBreakHyphen/>
        <w:t>delà de l’objet » de la disposition (</w:t>
      </w:r>
      <w:r w:rsidRPr="00192E1C">
        <w:rPr>
          <w:rFonts w:cs="Times New Roman"/>
          <w:i/>
        </w:rPr>
        <w:t>Kuldip</w:t>
      </w:r>
      <w:r w:rsidRPr="00192E1C">
        <w:rPr>
          <w:rFonts w:cs="Times New Roman"/>
        </w:rPr>
        <w:t>, p. 639). Notre Cour a plutôt conclu que, « pour interpréter la protection conférée par le par. 5(2) [. . .], il faut tenir compte de l’objectif visé » — sans aller au</w:t>
      </w:r>
      <w:r w:rsidRPr="00192E1C">
        <w:rPr>
          <w:rFonts w:cs="Times New Roman"/>
        </w:rPr>
        <w:noBreakHyphen/>
        <w:t>delà de ce dernier (p. 639).</w:t>
      </w:r>
    </w:p>
    <w:p w14:paraId="410CAA97" w14:textId="77777777" w:rsidR="00192E1C" w:rsidRPr="00192E1C" w:rsidRDefault="00192E1C" w:rsidP="00192E1C">
      <w:pPr>
        <w:pStyle w:val="ParaNoNdepar-AltN"/>
        <w:rPr>
          <w:rFonts w:cs="Times New Roman"/>
        </w:rPr>
      </w:pPr>
      <w:r w:rsidRPr="00192E1C">
        <w:rPr>
          <w:rFonts w:cs="Times New Roman"/>
        </w:rPr>
        <w:t>À la lumière de ce qui précède, il me semble difficile de tirer des conclusions définitives du libellé large et général de l’al. 495(3)a) </w:t>
      </w:r>
      <w:r w:rsidRPr="00192E1C">
        <w:rPr>
          <w:rFonts w:cs="Times New Roman"/>
          <w:i/>
        </w:rPr>
        <w:t>C. cr.</w:t>
      </w:r>
      <w:r w:rsidRPr="00192E1C">
        <w:rPr>
          <w:rFonts w:cs="Times New Roman"/>
        </w:rPr>
        <w:t xml:space="preserve">, d’autant plus que les conséquences d’une telle rédaction étaient difficilement prévisibles au moment de l’adoption des dispositions qui ont précédé les al. 495(3)a) et b). Le simple fait que le texte soit formulé en termes généraux ne permet pas de conclure que le Parlement entendait nécessairement inclure « toutes les procédures criminelles » </w:t>
      </w:r>
      <w:r w:rsidRPr="00192E1C">
        <w:t>(« </w:t>
      </w:r>
      <w:r w:rsidRPr="00192E1C">
        <w:rPr>
          <w:i/>
        </w:rPr>
        <w:t>all criminal proceedings</w:t>
      </w:r>
      <w:r w:rsidRPr="00192E1C">
        <w:t xml:space="preserve"> ») </w:t>
      </w:r>
      <w:r w:rsidRPr="00192E1C">
        <w:rPr>
          <w:rFonts w:cs="Times New Roman"/>
        </w:rPr>
        <w:t>imaginables dans le champ d’application de l’al. 495(3)a) (m.a., par. 71). On pourrait d’ailleurs en dire autant au sujet de l’interprétation à donner à l’expression « toutes autres procédures » prévue à l’al. 495(3)b) </w:t>
      </w:r>
      <w:r w:rsidRPr="00192E1C">
        <w:rPr>
          <w:rFonts w:cs="Times New Roman"/>
          <w:i/>
        </w:rPr>
        <w:t>C. cr.</w:t>
      </w:r>
    </w:p>
    <w:p w14:paraId="1DF92E9C" w14:textId="77777777" w:rsidR="00192E1C" w:rsidRPr="00192E1C" w:rsidRDefault="00192E1C" w:rsidP="00192E1C">
      <w:pPr>
        <w:pStyle w:val="ParaNoNdepar-AltN"/>
        <w:rPr>
          <w:rFonts w:cs="Times New Roman"/>
        </w:rPr>
      </w:pPr>
      <w:r w:rsidRPr="00192E1C">
        <w:rPr>
          <w:rFonts w:cs="Times New Roman"/>
        </w:rPr>
        <w:t xml:space="preserve">Je propose donc, à l’instar de l’arrêt </w:t>
      </w:r>
      <w:r w:rsidRPr="00192E1C">
        <w:rPr>
          <w:rFonts w:cs="Times New Roman"/>
          <w:i/>
        </w:rPr>
        <w:t>Kuldip</w:t>
      </w:r>
      <w:r w:rsidRPr="00192E1C">
        <w:rPr>
          <w:rFonts w:cs="Times New Roman"/>
        </w:rPr>
        <w:t>, d’adopter une interprétation de l’al. 495(3)a) </w:t>
      </w:r>
      <w:r w:rsidRPr="00192E1C">
        <w:rPr>
          <w:rFonts w:cs="Times New Roman"/>
          <w:i/>
        </w:rPr>
        <w:t xml:space="preserve">C. cr. </w:t>
      </w:r>
      <w:r w:rsidRPr="00192E1C">
        <w:rPr>
          <w:rFonts w:cs="Times New Roman"/>
        </w:rPr>
        <w:t xml:space="preserve">qui respecte mais n’outrepasse pas l’objet de cette disposition, c’est-à-dire qui ne s’applique qu’aux procédures engagées en vertu du </w:t>
      </w:r>
      <w:r w:rsidRPr="00192E1C">
        <w:rPr>
          <w:rFonts w:cs="Times New Roman"/>
          <w:i/>
        </w:rPr>
        <w:t xml:space="preserve">Code criminel </w:t>
      </w:r>
      <w:r w:rsidRPr="00192E1C">
        <w:rPr>
          <w:rFonts w:cs="Times New Roman"/>
        </w:rPr>
        <w:t>ou de toute autre loi fédérale mettant véritablement en cause la responsabilité d’un agent de la paix ou de toute personne responsable de ce dernier pour le manquement aux prescriptions du par. 495(2) </w:t>
      </w:r>
      <w:r w:rsidRPr="00192E1C">
        <w:rPr>
          <w:rFonts w:cs="Times New Roman"/>
          <w:i/>
        </w:rPr>
        <w:t>C. cr.</w:t>
      </w:r>
    </w:p>
    <w:p w14:paraId="7B7DE2A5" w14:textId="77777777" w:rsidR="00192E1C" w:rsidRPr="00192E1C" w:rsidRDefault="00192E1C" w:rsidP="00192E1C">
      <w:pPr>
        <w:pStyle w:val="Title4LevelTitre4Niveau"/>
        <w:numPr>
          <w:ilvl w:val="1"/>
          <w:numId w:val="24"/>
        </w:numPr>
        <w:ind w:left="1152" w:hanging="576"/>
        <w:rPr>
          <w:rFonts w:cs="Times New Roman"/>
        </w:rPr>
      </w:pPr>
      <w:bookmarkStart w:id="223" w:name="_Toc204344094"/>
      <w:bookmarkStart w:id="224" w:name="_Toc208319868"/>
      <w:bookmarkStart w:id="225" w:name="_Toc214611170"/>
      <w:bookmarkStart w:id="226" w:name="_Toc215654532"/>
      <w:r w:rsidRPr="00192E1C">
        <w:rPr>
          <w:rFonts w:cs="Times New Roman"/>
        </w:rPr>
        <w:t>L’objet du par. 495(2) C. cr. est compatible avec une interprétation du par. 495(3) C. cr. limitée à la responsabilité de l’agent de la paix</w:t>
      </w:r>
      <w:bookmarkEnd w:id="223"/>
      <w:r w:rsidRPr="00192E1C">
        <w:rPr>
          <w:rFonts w:cs="Times New Roman"/>
        </w:rPr>
        <w:t xml:space="preserve"> et celle de toute personne responsable de ce dernier</w:t>
      </w:r>
      <w:bookmarkEnd w:id="224"/>
      <w:bookmarkEnd w:id="225"/>
      <w:bookmarkEnd w:id="226"/>
    </w:p>
    <w:p w14:paraId="276CDB30" w14:textId="77777777" w:rsidR="00192E1C" w:rsidRPr="00192E1C" w:rsidRDefault="00192E1C" w:rsidP="00192E1C">
      <w:pPr>
        <w:pStyle w:val="ParaNoNdepar-AltN"/>
        <w:rPr>
          <w:rFonts w:cs="Times New Roman"/>
        </w:rPr>
      </w:pPr>
      <w:bookmarkStart w:id="227" w:name="_Ref214611791"/>
      <w:r w:rsidRPr="00192E1C">
        <w:rPr>
          <w:rFonts w:cs="Times New Roman"/>
        </w:rPr>
        <w:t>Le dernier élément contextuel que je propose d’examiner pour appuyer mon analyse est la relation entre les par. 495(2) et (3) </w:t>
      </w:r>
      <w:r w:rsidRPr="00192E1C">
        <w:rPr>
          <w:rFonts w:cs="Times New Roman"/>
          <w:i/>
        </w:rPr>
        <w:t>C. cr.</w:t>
      </w:r>
      <w:r w:rsidRPr="00192E1C">
        <w:rPr>
          <w:rFonts w:cs="Times New Roman"/>
        </w:rPr>
        <w:t xml:space="preserve"> Puisque le par. 495(3) </w:t>
      </w:r>
      <w:r w:rsidRPr="00192E1C">
        <w:rPr>
          <w:rFonts w:cs="Times New Roman"/>
          <w:i/>
        </w:rPr>
        <w:t>C. cr.</w:t>
      </w:r>
      <w:r w:rsidRPr="00192E1C">
        <w:rPr>
          <w:rFonts w:cs="Times New Roman"/>
        </w:rPr>
        <w:t xml:space="preserve"> fait directement référence au par. 495(2) </w:t>
      </w:r>
      <w:r w:rsidRPr="00192E1C">
        <w:rPr>
          <w:rFonts w:cs="Times New Roman"/>
          <w:i/>
        </w:rPr>
        <w:t>C. cr.</w:t>
      </w:r>
      <w:r w:rsidRPr="00192E1C">
        <w:rPr>
          <w:rFonts w:cs="Times New Roman"/>
        </w:rPr>
        <w:t>, il est nécessaire de le considérer.</w:t>
      </w:r>
      <w:bookmarkEnd w:id="227"/>
    </w:p>
    <w:p w14:paraId="16219509" w14:textId="77777777" w:rsidR="00192E1C" w:rsidRPr="00192E1C" w:rsidRDefault="00192E1C" w:rsidP="00192E1C">
      <w:pPr>
        <w:pStyle w:val="ParaNoNdepar-AltN"/>
        <w:rPr>
          <w:rFonts w:cs="Times New Roman"/>
        </w:rPr>
      </w:pPr>
      <w:r w:rsidRPr="00192E1C">
        <w:rPr>
          <w:rFonts w:cs="Times New Roman"/>
        </w:rPr>
        <w:t>Comme je l’ai déjà indiqué, la structure de l’art. 495 </w:t>
      </w:r>
      <w:r w:rsidRPr="00192E1C">
        <w:rPr>
          <w:rFonts w:cs="Times New Roman"/>
          <w:i/>
        </w:rPr>
        <w:t xml:space="preserve">C. cr. </w:t>
      </w:r>
      <w:r w:rsidRPr="00192E1C">
        <w:rPr>
          <w:rFonts w:cs="Times New Roman"/>
        </w:rPr>
        <w:t>confirme que le par. 495(2) doit être interprété comme étant une restriction contraignante, qui limite la portée de la discrétion conférée par le par. 495(1). À mon avis, cette même structure confirme également que le par. 495(3) </w:t>
      </w:r>
      <w:r w:rsidRPr="00192E1C">
        <w:rPr>
          <w:rFonts w:cs="Times New Roman"/>
          <w:i/>
        </w:rPr>
        <w:t xml:space="preserve">C. cr. </w:t>
      </w:r>
      <w:r w:rsidRPr="00192E1C">
        <w:rPr>
          <w:rFonts w:cs="Times New Roman"/>
        </w:rPr>
        <w:t>doit être considéré comme offrant une certaine protection aux agents de la paix, à leur employeur ou à toute autre personne pouvant être tenue responsable pour le non</w:t>
      </w:r>
      <w:r w:rsidRPr="00192E1C">
        <w:rPr>
          <w:rFonts w:cs="Times New Roman"/>
        </w:rPr>
        <w:noBreakHyphen/>
        <w:t>respect du par. 495(2) </w:t>
      </w:r>
      <w:r w:rsidRPr="00192E1C">
        <w:rPr>
          <w:rFonts w:cs="Times New Roman"/>
          <w:i/>
        </w:rPr>
        <w:t>C. cr.</w:t>
      </w:r>
      <w:r w:rsidRPr="00192E1C">
        <w:rPr>
          <w:rFonts w:cs="Times New Roman"/>
        </w:rPr>
        <w:t xml:space="preserve"> par l’agent de la paix.</w:t>
      </w:r>
    </w:p>
    <w:p w14:paraId="215F3085" w14:textId="77777777" w:rsidR="00192E1C" w:rsidRPr="00192E1C" w:rsidRDefault="00192E1C" w:rsidP="00192E1C">
      <w:pPr>
        <w:pStyle w:val="ParaNoNdepar-AltN"/>
        <w:rPr>
          <w:rFonts w:cs="Times New Roman"/>
        </w:rPr>
      </w:pPr>
      <w:r w:rsidRPr="00192E1C">
        <w:rPr>
          <w:rFonts w:cs="Times New Roman"/>
        </w:rPr>
        <w:t>Le paragraphe 495(3) </w:t>
      </w:r>
      <w:r w:rsidRPr="00192E1C">
        <w:rPr>
          <w:rFonts w:cs="Times New Roman"/>
          <w:i/>
        </w:rPr>
        <w:t xml:space="preserve">C. cr. </w:t>
      </w:r>
      <w:r w:rsidRPr="00192E1C">
        <w:rPr>
          <w:rFonts w:cs="Times New Roman"/>
        </w:rPr>
        <w:t>se trouve sous le titre « Conséquences de l’arrestation sans mandat » (« </w:t>
      </w:r>
      <w:r w:rsidRPr="00192E1C">
        <w:rPr>
          <w:rFonts w:cs="Times New Roman"/>
          <w:i/>
        </w:rPr>
        <w:t>Consequences of arrest without warrant </w:t>
      </w:r>
      <w:r w:rsidRPr="00192E1C">
        <w:rPr>
          <w:rFonts w:cs="Times New Roman"/>
        </w:rPr>
        <w:t>»). Même si cette note marginale ne fait pas partie du contenu de la disposition (</w:t>
      </w:r>
      <w:r w:rsidRPr="00192E1C">
        <w:rPr>
          <w:rFonts w:cs="Times New Roman"/>
          <w:i/>
        </w:rPr>
        <w:t>Loi d’interprétation</w:t>
      </w:r>
      <w:r w:rsidRPr="00192E1C">
        <w:rPr>
          <w:rFonts w:cs="Times New Roman"/>
        </w:rPr>
        <w:t>, art. 14), elle peut laisser sous</w:t>
      </w:r>
      <w:r w:rsidRPr="00192E1C">
        <w:rPr>
          <w:rFonts w:cs="Times New Roman"/>
        </w:rPr>
        <w:noBreakHyphen/>
        <w:t xml:space="preserve">entendre que le par. 495(3) concerne plus précisément les « Conséquences » </w:t>
      </w:r>
      <w:r w:rsidRPr="00192E1C">
        <w:t>(« </w:t>
      </w:r>
      <w:r w:rsidRPr="00192E1C">
        <w:rPr>
          <w:i/>
        </w:rPr>
        <w:t>Consequences</w:t>
      </w:r>
      <w:r w:rsidRPr="00192E1C">
        <w:t xml:space="preserve"> ») </w:t>
      </w:r>
      <w:r w:rsidRPr="00192E1C">
        <w:rPr>
          <w:rFonts w:cs="Times New Roman"/>
        </w:rPr>
        <w:t xml:space="preserve">qui seront subies </w:t>
      </w:r>
      <w:r w:rsidRPr="00192E1C">
        <w:rPr>
          <w:rFonts w:cs="Times New Roman"/>
          <w:i/>
        </w:rPr>
        <w:t xml:space="preserve">par l’agent de la paix </w:t>
      </w:r>
      <w:r w:rsidRPr="00192E1C">
        <w:rPr>
          <w:rFonts w:cs="Times New Roman"/>
        </w:rPr>
        <w:t>ayant contrevenu au par. 495(2) </w:t>
      </w:r>
      <w:r w:rsidRPr="00192E1C">
        <w:rPr>
          <w:rFonts w:cs="Times New Roman"/>
          <w:i/>
        </w:rPr>
        <w:t xml:space="preserve">C. cr. </w:t>
      </w:r>
      <w:r w:rsidRPr="00192E1C">
        <w:rPr>
          <w:rFonts w:cs="Times New Roman"/>
        </w:rPr>
        <w:t>ainsi que, notamment, son commettant.</w:t>
      </w:r>
    </w:p>
    <w:p w14:paraId="5BD52546" w14:textId="77777777" w:rsidR="00192E1C" w:rsidRPr="00192E1C" w:rsidRDefault="00192E1C" w:rsidP="00192E1C">
      <w:pPr>
        <w:pStyle w:val="ParaNoNdepar-AltN"/>
        <w:rPr>
          <w:rFonts w:cs="Times New Roman"/>
        </w:rPr>
      </w:pPr>
      <w:r w:rsidRPr="00192E1C">
        <w:rPr>
          <w:rFonts w:cs="Times New Roman"/>
        </w:rPr>
        <w:t xml:space="preserve">En mettant l’accent sur l’expression « l’agent de la paix [. . .] censé agir légalement et dans l’exercice de ses fonctions aux fins » </w:t>
      </w:r>
      <w:r w:rsidRPr="00192E1C">
        <w:t>(« </w:t>
      </w:r>
      <w:r w:rsidRPr="00192E1C">
        <w:rPr>
          <w:i/>
        </w:rPr>
        <w:t>a peace officer [. . .]</w:t>
      </w:r>
      <w:r w:rsidRPr="00192E1C">
        <w:t xml:space="preserve"> </w:t>
      </w:r>
      <w:r w:rsidRPr="00192E1C">
        <w:rPr>
          <w:i/>
        </w:rPr>
        <w:t>deemed to be acting lawfully and in the execution of his duty for the purposes of</w:t>
      </w:r>
      <w:r w:rsidRPr="00192E1C">
        <w:t> »)</w:t>
      </w:r>
      <w:r w:rsidRPr="00192E1C">
        <w:rPr>
          <w:rFonts w:cs="Times New Roman"/>
        </w:rPr>
        <w:t>, on comprend que le par. 495(3) </w:t>
      </w:r>
      <w:r w:rsidRPr="00192E1C">
        <w:rPr>
          <w:rFonts w:cs="Times New Roman"/>
          <w:i/>
        </w:rPr>
        <w:t xml:space="preserve">C. cr. </w:t>
      </w:r>
      <w:r w:rsidRPr="00192E1C">
        <w:rPr>
          <w:rFonts w:cs="Times New Roman"/>
        </w:rPr>
        <w:t>a pour effet de créer une présomption selon laquelle, dans une procédure visant la conduite de l’agent de la paix ayant contrevenu aux prescriptions du par. 495(2) </w:t>
      </w:r>
      <w:r w:rsidRPr="00192E1C">
        <w:rPr>
          <w:rFonts w:cs="Times New Roman"/>
          <w:i/>
        </w:rPr>
        <w:t>C. cr.</w:t>
      </w:r>
      <w:r w:rsidRPr="00192E1C">
        <w:rPr>
          <w:rFonts w:cs="Times New Roman"/>
        </w:rPr>
        <w:t>, l’agent de la paix est présumé avoir agi légalement pourvu qu’il l’ait fait conformément au par. 495(1) </w:t>
      </w:r>
      <w:r w:rsidRPr="00192E1C">
        <w:rPr>
          <w:rFonts w:cs="Times New Roman"/>
          <w:i/>
        </w:rPr>
        <w:t>C. cr.</w:t>
      </w:r>
      <w:r w:rsidRPr="00192E1C">
        <w:rPr>
          <w:rFonts w:cs="Times New Roman"/>
        </w:rPr>
        <w:t>, et ce, sans égard à son défaut de respecter les exigences du par. 495(2) </w:t>
      </w:r>
      <w:r w:rsidRPr="00192E1C">
        <w:rPr>
          <w:rFonts w:cs="Times New Roman"/>
          <w:i/>
        </w:rPr>
        <w:t xml:space="preserve">C. cr. </w:t>
      </w:r>
      <w:r w:rsidRPr="00192E1C">
        <w:rPr>
          <w:rFonts w:cs="Times New Roman"/>
        </w:rPr>
        <w:t>En revanche, l’art. 495 </w:t>
      </w:r>
      <w:r w:rsidRPr="00192E1C">
        <w:rPr>
          <w:rFonts w:cs="Times New Roman"/>
          <w:i/>
        </w:rPr>
        <w:t>C. cr.</w:t>
      </w:r>
      <w:r w:rsidRPr="00192E1C">
        <w:rPr>
          <w:rFonts w:cs="Times New Roman"/>
        </w:rPr>
        <w:t xml:space="preserve"> ne prévoit aucune présomption applicable à la légalité de l’arrestation sans mandat en soi. La légalité de l’arrestation peut toujours être contestée, même dans le cadre d’une procédure criminelle comme le procès de l’intimé en l’espèce.</w:t>
      </w:r>
    </w:p>
    <w:p w14:paraId="1B03C8CC" w14:textId="77777777" w:rsidR="00192E1C" w:rsidRPr="00192E1C" w:rsidRDefault="00192E1C" w:rsidP="00192E1C">
      <w:pPr>
        <w:pStyle w:val="ParaNoNdepar-AltN"/>
        <w:rPr>
          <w:rFonts w:cs="Times New Roman"/>
        </w:rPr>
      </w:pPr>
      <w:r w:rsidRPr="00192E1C">
        <w:rPr>
          <w:rFonts w:cs="Times New Roman"/>
        </w:rPr>
        <w:t>Une telle interprétation est compatible avec le caractère contraignant du par. 495(2) </w:t>
      </w:r>
      <w:r w:rsidRPr="00192E1C">
        <w:rPr>
          <w:rFonts w:cs="Times New Roman"/>
          <w:i/>
        </w:rPr>
        <w:t xml:space="preserve">C. cr. </w:t>
      </w:r>
      <w:r w:rsidRPr="00192E1C">
        <w:rPr>
          <w:rFonts w:cs="Times New Roman"/>
        </w:rPr>
        <w:t>En effet, une interprétation selon laquelle le par. 495(3) </w:t>
      </w:r>
      <w:r w:rsidRPr="00192E1C">
        <w:rPr>
          <w:rFonts w:cs="Times New Roman"/>
          <w:i/>
        </w:rPr>
        <w:t xml:space="preserve">C. cr. </w:t>
      </w:r>
      <w:r w:rsidRPr="00192E1C">
        <w:rPr>
          <w:rFonts w:cs="Times New Roman"/>
        </w:rPr>
        <w:t xml:space="preserve">aurait pour effet de soustraire les </w:t>
      </w:r>
      <w:r w:rsidRPr="00192E1C">
        <w:rPr>
          <w:rFonts w:cs="Times New Roman"/>
          <w:i/>
        </w:rPr>
        <w:t>arrestations</w:t>
      </w:r>
      <w:r w:rsidRPr="00192E1C">
        <w:rPr>
          <w:rFonts w:cs="Times New Roman"/>
        </w:rPr>
        <w:t xml:space="preserve"> contraires au par. 495(2) </w:t>
      </w:r>
      <w:r w:rsidRPr="00192E1C">
        <w:rPr>
          <w:rFonts w:cs="Times New Roman"/>
          <w:i/>
        </w:rPr>
        <w:t>C. cr.</w:t>
      </w:r>
      <w:r w:rsidRPr="00192E1C">
        <w:rPr>
          <w:rFonts w:cs="Times New Roman"/>
        </w:rPr>
        <w:t xml:space="preserve"> à tout constat d’illégalité</w:t>
      </w:r>
      <w:r w:rsidRPr="00192E1C">
        <w:rPr>
          <w:rFonts w:cs="Times New Roman"/>
          <w:i/>
        </w:rPr>
        <w:t xml:space="preserve"> </w:t>
      </w:r>
      <w:r w:rsidRPr="00192E1C">
        <w:rPr>
          <w:rFonts w:cs="Times New Roman"/>
        </w:rPr>
        <w:t xml:space="preserve">saperait le caractère contraignant de cette disposition. Au surplus, cette interprétation irait directement à l’encontre de l’objectif poursuivi par le Parlement en édictant la </w:t>
      </w:r>
      <w:r w:rsidRPr="00192E1C">
        <w:rPr>
          <w:rFonts w:cs="Times New Roman"/>
          <w:i/>
        </w:rPr>
        <w:t>Loi sur la réforme du cautionnement</w:t>
      </w:r>
      <w:r w:rsidRPr="00192E1C">
        <w:rPr>
          <w:rFonts w:cs="Times New Roman"/>
        </w:rPr>
        <w:t>, à savoir la réduction des arrestations sans mandat non nécessaires. En d’autres termes, plus l’al. 495(3)a) </w:t>
      </w:r>
      <w:r w:rsidRPr="00192E1C">
        <w:rPr>
          <w:rFonts w:cs="Times New Roman"/>
          <w:i/>
        </w:rPr>
        <w:t xml:space="preserve">C. cr. </w:t>
      </w:r>
      <w:r w:rsidRPr="00192E1C">
        <w:rPr>
          <w:rFonts w:cs="Times New Roman"/>
        </w:rPr>
        <w:t>est interprété largement, plus la portée normative du par. 495(2) </w:t>
      </w:r>
      <w:r w:rsidRPr="00192E1C">
        <w:rPr>
          <w:rFonts w:cs="Times New Roman"/>
          <w:i/>
        </w:rPr>
        <w:t>C. cr.</w:t>
      </w:r>
      <w:r w:rsidRPr="00192E1C">
        <w:rPr>
          <w:rFonts w:cs="Times New Roman"/>
        </w:rPr>
        <w:t xml:space="preserve"> s’en trouve affaiblie, compromettant ainsi la réalisation de l’objectif recherché par le Parlement. Il faut donc éviter de faire droit à une telle interprétation, et plutôt opter pour une juste mise en balance conforme au texte, au contexte et à l’objet de l’al. 495(3)a) </w:t>
      </w:r>
      <w:r w:rsidRPr="00192E1C">
        <w:rPr>
          <w:rFonts w:cs="Times New Roman"/>
          <w:i/>
        </w:rPr>
        <w:t>C. cr.</w:t>
      </w:r>
    </w:p>
    <w:p w14:paraId="7B3AEFD4" w14:textId="77777777" w:rsidR="00192E1C" w:rsidRPr="00192E1C" w:rsidRDefault="00192E1C" w:rsidP="00192E1C">
      <w:pPr>
        <w:pStyle w:val="ParaNoNdepar-AltN"/>
        <w:rPr>
          <w:rFonts w:cs="Times New Roman"/>
        </w:rPr>
      </w:pPr>
      <w:r w:rsidRPr="00192E1C">
        <w:rPr>
          <w:rFonts w:cs="Times New Roman"/>
        </w:rPr>
        <w:t>Dans ce même esprit, je ne peux souscrire à l’interprétation que font plusieurs cours d’appel relativement à l’interaction entre les par. 495(2) et (3) pour établir la portée de l’al. 495(3)a) </w:t>
      </w:r>
      <w:r w:rsidRPr="00192E1C">
        <w:rPr>
          <w:rFonts w:cs="Times New Roman"/>
          <w:i/>
        </w:rPr>
        <w:t>C. cr.</w:t>
      </w:r>
      <w:r w:rsidRPr="00192E1C">
        <w:rPr>
          <w:rFonts w:cs="Times New Roman"/>
        </w:rPr>
        <w:t xml:space="preserve"> (voir, notamment, </w:t>
      </w:r>
      <w:r w:rsidRPr="00192E1C">
        <w:rPr>
          <w:rFonts w:cs="Times New Roman"/>
          <w:i/>
        </w:rPr>
        <w:t xml:space="preserve">Veen </w:t>
      </w:r>
      <w:r w:rsidRPr="00192E1C">
        <w:rPr>
          <w:rFonts w:cs="Times New Roman"/>
        </w:rPr>
        <w:t>(C.A.), par. 57).</w:t>
      </w:r>
      <w:r w:rsidRPr="00192E1C">
        <w:rPr>
          <w:rFonts w:cs="Times New Roman"/>
          <w:i/>
        </w:rPr>
        <w:t xml:space="preserve"> </w:t>
      </w:r>
      <w:r w:rsidRPr="00192E1C">
        <w:rPr>
          <w:rFonts w:cs="Times New Roman"/>
        </w:rPr>
        <w:t xml:space="preserve">Par exemple, la Cour d’appel de la Colombie-Britannique dans </w:t>
      </w:r>
      <w:r w:rsidRPr="00192E1C">
        <w:rPr>
          <w:rFonts w:cs="Times New Roman"/>
          <w:i/>
        </w:rPr>
        <w:t>Jowett Work</w:t>
      </w:r>
      <w:r w:rsidRPr="00192E1C">
        <w:rPr>
          <w:rFonts w:cs="Times New Roman"/>
        </w:rPr>
        <w:t xml:space="preserve"> a écrit ce qui suit, au sujet de la relation entre les par. 495(2) et (3) </w:t>
      </w:r>
      <w:r w:rsidRPr="00192E1C">
        <w:rPr>
          <w:rFonts w:cs="Times New Roman"/>
          <w:i/>
        </w:rPr>
        <w:t>C. cr.</w:t>
      </w:r>
      <w:r w:rsidRPr="00192E1C">
        <w:rPr>
          <w:rFonts w:cs="Times New Roman"/>
        </w:rPr>
        <w:t> :</w:t>
      </w:r>
    </w:p>
    <w:p w14:paraId="1F0FA149" w14:textId="77777777" w:rsidR="00192E1C" w:rsidRPr="00192E1C" w:rsidRDefault="00192E1C" w:rsidP="00192E1C">
      <w:pPr>
        <w:pStyle w:val="Citation-AltC"/>
      </w:pPr>
      <w:r w:rsidRPr="00192E1C">
        <w:t>[</w:t>
      </w:r>
      <w:r w:rsidRPr="00192E1C">
        <w:rPr>
          <w:smallCaps/>
        </w:rPr>
        <w:t>traduction</w:t>
      </w:r>
      <w:r w:rsidRPr="00192E1C">
        <w:t xml:space="preserve">] . . . l’al. 495(3)a) visait à faire en sorte que les exigences prévues au par. 495(1) demeurent l’aspect central du pouvoir d’arrestation sans mandat, alors que l’al. 495(3)b) visait à permettre la contestation des considérations liées à l’intérêt public dans le cadre de procédures en contexte réglementaire civil ou provincial. </w:t>
      </w:r>
    </w:p>
    <w:p w14:paraId="35AB3E5E" w14:textId="77777777" w:rsidR="00192E1C" w:rsidRPr="00192E1C" w:rsidRDefault="00192E1C" w:rsidP="00192E1C">
      <w:pPr>
        <w:pStyle w:val="Citation-AltC"/>
      </w:pPr>
    </w:p>
    <w:p w14:paraId="0584759E" w14:textId="77777777" w:rsidR="00192E1C" w:rsidRPr="00192E1C" w:rsidRDefault="00192E1C" w:rsidP="00192E1C">
      <w:pPr>
        <w:pStyle w:val="Citation-AltC"/>
        <w:ind w:firstLine="274"/>
        <w:rPr>
          <w:lang w:val="en-US"/>
        </w:rPr>
      </w:pPr>
      <w:r w:rsidRPr="00192E1C">
        <w:t xml:space="preserve">Par conséquent, je suis d’avis qu’une arrestation légale au regard du par. 495(1) ne saurait devenir illégale dans une procédure criminelle du seul fait de l’omission d’un agent de la paix de considérer adéquatement l’intérêt public de la manière prévue au par. 495(2) lors d’une arrestation, et la juge du procès a fait erreur en concluant que l’arrestation de l’intimé était illégale parce que les exigences du par. 495(2) n’avaient pas été respectées. </w:t>
      </w:r>
      <w:r w:rsidRPr="00192E1C">
        <w:rPr>
          <w:lang w:val="en-US"/>
        </w:rPr>
        <w:t>[par. 38</w:t>
      </w:r>
      <w:r w:rsidRPr="00192E1C">
        <w:rPr>
          <w:lang w:val="en-US"/>
        </w:rPr>
        <w:noBreakHyphen/>
        <w:t>39]</w:t>
      </w:r>
    </w:p>
    <w:p w14:paraId="45A0DD3B" w14:textId="77777777" w:rsidR="00192E1C" w:rsidRPr="00192E1C" w:rsidRDefault="00192E1C" w:rsidP="00192E1C">
      <w:pPr>
        <w:pStyle w:val="ParaNoNdepar-AltN"/>
        <w:rPr>
          <w:rFonts w:cs="Times New Roman"/>
        </w:rPr>
      </w:pPr>
      <w:r w:rsidRPr="00192E1C">
        <w:rPr>
          <w:rFonts w:cs="Times New Roman"/>
        </w:rPr>
        <w:t>Avec égards, je suis d’avis qu’une telle interprétation omet de considérer le caractère contraignant du par. 495(2) </w:t>
      </w:r>
      <w:r w:rsidRPr="00192E1C">
        <w:rPr>
          <w:rFonts w:cs="Times New Roman"/>
          <w:i/>
        </w:rPr>
        <w:t>C. cr.</w:t>
      </w:r>
      <w:r w:rsidRPr="00192E1C">
        <w:rPr>
          <w:rFonts w:cs="Times New Roman"/>
        </w:rPr>
        <w:t xml:space="preserve"> Elle lui enlève également un large pan de son utilité pratique quant à la réduction des arrestations non nécessaires, soit l’objectif poursuivi par le Parlement lors de son adoption. Sur ce point, je partage entièrement le sentiment exprimé par le juge Kopstein dans </w:t>
      </w:r>
      <w:r w:rsidRPr="00192E1C">
        <w:rPr>
          <w:rFonts w:cs="Times New Roman"/>
          <w:i/>
        </w:rPr>
        <w:t xml:space="preserve">R. c. Prince </w:t>
      </w:r>
      <w:r w:rsidRPr="00192E1C">
        <w:rPr>
          <w:rFonts w:cs="Times New Roman"/>
        </w:rPr>
        <w:t>(1981), 61 C.C.C. (2d) 73 (C. prov. Man.), lorsqu’il a formulé les propos suivants :</w:t>
      </w:r>
    </w:p>
    <w:p w14:paraId="4753E811" w14:textId="77777777" w:rsidR="00192E1C" w:rsidRPr="00192E1C" w:rsidRDefault="00192E1C" w:rsidP="00192E1C">
      <w:pPr>
        <w:pStyle w:val="Citation-AltC"/>
        <w:rPr>
          <w:lang w:val="en-US"/>
        </w:rPr>
      </w:pPr>
      <w:r w:rsidRPr="00192E1C">
        <w:t>[</w:t>
      </w:r>
      <w:r w:rsidRPr="00192E1C">
        <w:rPr>
          <w:smallCaps/>
        </w:rPr>
        <w:t>traduction</w:t>
      </w:r>
      <w:r w:rsidRPr="00192E1C">
        <w:t>] . . . ce serait un étrange phénomène que celui par lequel le Parlement aurait pris l’initiative d’édicter le par. 450(2), qui restreint le pouvoir d’arrestation sans mandat à l’égard des infractions mentionnées au par. 450(2), pour ensuite neutraliser immédiatement, au par. (3), tout effet juridique ou pratique pouvant découler de l’application du par. </w:t>
      </w:r>
      <w:r w:rsidRPr="00192E1C">
        <w:rPr>
          <w:lang w:val="en-US"/>
        </w:rPr>
        <w:t>(2). [p. 80]</w:t>
      </w:r>
    </w:p>
    <w:p w14:paraId="78FAA086" w14:textId="77777777" w:rsidR="00192E1C" w:rsidRPr="00192E1C" w:rsidRDefault="00192E1C" w:rsidP="00192E1C">
      <w:pPr>
        <w:pStyle w:val="ParaNoNdepar-AltN"/>
        <w:rPr>
          <w:rFonts w:cs="Times New Roman"/>
        </w:rPr>
      </w:pPr>
      <w:r w:rsidRPr="00192E1C">
        <w:rPr>
          <w:rFonts w:cs="Times New Roman"/>
        </w:rPr>
        <w:t>Il est vrai, comme le souligne les procureurs généraux de l’Ontario et l’Alberta, que la combinaison du par. 495(2) et de l’al. 495(3)b) </w:t>
      </w:r>
      <w:r w:rsidRPr="00192E1C">
        <w:rPr>
          <w:rFonts w:cs="Times New Roman"/>
          <w:i/>
        </w:rPr>
        <w:t>C. cr.</w:t>
      </w:r>
      <w:r w:rsidRPr="00192E1C">
        <w:rPr>
          <w:rFonts w:cs="Times New Roman"/>
        </w:rPr>
        <w:t xml:space="preserve"> (recours civil en dommages</w:t>
      </w:r>
      <w:r w:rsidRPr="00192E1C">
        <w:rPr>
          <w:rFonts w:cs="Times New Roman"/>
        </w:rPr>
        <w:noBreakHyphen/>
        <w:t>intérêts) permet aussi de changer dans une certaine mesure la conduite des agents de la paix en les incitant à respecter les prescriptions du par. 495(2) </w:t>
      </w:r>
      <w:r w:rsidRPr="00192E1C">
        <w:rPr>
          <w:rFonts w:cs="Times New Roman"/>
          <w:i/>
        </w:rPr>
        <w:t>C. cr.</w:t>
      </w:r>
      <w:r w:rsidRPr="00192E1C">
        <w:rPr>
          <w:rFonts w:cs="Times New Roman"/>
        </w:rPr>
        <w:t>, sous peine d’être poursuivis civilement (al. 495(3)b) </w:t>
      </w:r>
      <w:r w:rsidRPr="00192E1C">
        <w:rPr>
          <w:rFonts w:cs="Times New Roman"/>
          <w:i/>
        </w:rPr>
        <w:t>C. cr.</w:t>
      </w:r>
      <w:r w:rsidRPr="00192E1C">
        <w:rPr>
          <w:rFonts w:cs="Times New Roman"/>
        </w:rPr>
        <w:t>) pour le non</w:t>
      </w:r>
      <w:r w:rsidRPr="00192E1C">
        <w:rPr>
          <w:rFonts w:cs="Times New Roman"/>
        </w:rPr>
        <w:noBreakHyphen/>
        <w:t>respect du par. 495(2) </w:t>
      </w:r>
      <w:r w:rsidRPr="00192E1C">
        <w:rPr>
          <w:rFonts w:cs="Times New Roman"/>
          <w:i/>
        </w:rPr>
        <w:t>C. cr.</w:t>
      </w:r>
      <w:r w:rsidRPr="00192E1C">
        <w:rPr>
          <w:rFonts w:cs="Times New Roman"/>
        </w:rPr>
        <w:t xml:space="preserve"> L’expérience des provinces comme l’Ontario et l’Alberta montre que des plaignants ont pu alléguer l’illégalité de l’arrestation dans une instance civile et réclamer des dommages</w:t>
      </w:r>
      <w:r w:rsidRPr="00192E1C">
        <w:rPr>
          <w:rFonts w:cs="Times New Roman"/>
        </w:rPr>
        <w:noBreakHyphen/>
        <w:t xml:space="preserve">intérêts à titre de réparation. Le procureur général de l’Ontario cite notamment l’affaire </w:t>
      </w:r>
      <w:r w:rsidRPr="00192E1C">
        <w:rPr>
          <w:rFonts w:cs="Times New Roman"/>
          <w:i/>
        </w:rPr>
        <w:t>Collins</w:t>
      </w:r>
      <w:r w:rsidRPr="00192E1C">
        <w:rPr>
          <w:rFonts w:cs="Times New Roman"/>
        </w:rPr>
        <w:t>, dans laquelle le plaignant a allégué que son arrestation était illégale parce qu’elle n’était pas conforme au par. 495(2) </w:t>
      </w:r>
      <w:r w:rsidRPr="00192E1C">
        <w:rPr>
          <w:rFonts w:cs="Times New Roman"/>
          <w:i/>
        </w:rPr>
        <w:t>C. cr.</w:t>
      </w:r>
      <w:r w:rsidRPr="00192E1C">
        <w:rPr>
          <w:rFonts w:cs="Times New Roman"/>
        </w:rPr>
        <w:t xml:space="preserve"> et que son droit garanti par l’art. 9 de la </w:t>
      </w:r>
      <w:r w:rsidRPr="00192E1C">
        <w:rPr>
          <w:rFonts w:cs="Times New Roman"/>
          <w:i/>
        </w:rPr>
        <w:t>Charte</w:t>
      </w:r>
      <w:r w:rsidRPr="00192E1C">
        <w:rPr>
          <w:rFonts w:cs="Times New Roman"/>
        </w:rPr>
        <w:t xml:space="preserve"> avait été violé. Ceci correspond à l’affirmation du ministre Turner selon laquelle [</w:t>
      </w:r>
      <w:r w:rsidRPr="00192E1C">
        <w:rPr>
          <w:rFonts w:cs="Times New Roman"/>
          <w:smallCaps/>
        </w:rPr>
        <w:t>traduction</w:t>
      </w:r>
      <w:r w:rsidRPr="00192E1C">
        <w:rPr>
          <w:rFonts w:cs="Times New Roman"/>
        </w:rPr>
        <w:t>] « la sanction ultime serait une poursuite intentée devant les tribunaux civils » (</w:t>
      </w:r>
      <w:r w:rsidRPr="00192E1C">
        <w:rPr>
          <w:rFonts w:cs="Times New Roman"/>
          <w:i/>
          <w:iCs/>
        </w:rPr>
        <w:t>Procès</w:t>
      </w:r>
      <w:r w:rsidRPr="00192E1C">
        <w:rPr>
          <w:rFonts w:cs="Times New Roman"/>
          <w:i/>
          <w:iCs/>
        </w:rPr>
        <w:noBreakHyphen/>
        <w:t xml:space="preserve">verbaux et témoignages du </w:t>
      </w:r>
      <w:r w:rsidRPr="00192E1C">
        <w:rPr>
          <w:rFonts w:cs="Times New Roman"/>
          <w:i/>
        </w:rPr>
        <w:t>Comité permanent de la justice et des questions juridiques</w:t>
      </w:r>
      <w:r w:rsidRPr="00192E1C">
        <w:rPr>
          <w:rFonts w:cs="Times New Roman"/>
        </w:rPr>
        <w:t>, 4 mars 1971, p. 14; voir aussi les p. 10</w:t>
      </w:r>
      <w:r w:rsidRPr="00192E1C">
        <w:rPr>
          <w:rFonts w:cs="Times New Roman"/>
        </w:rPr>
        <w:noBreakHyphen/>
        <w:t>11). En ce sens, je concède qu’il serait exagéré d’affirmer que l’interprétation suggérée par le ministère public viderait totalement le par. 495(2) </w:t>
      </w:r>
      <w:r w:rsidRPr="00192E1C">
        <w:rPr>
          <w:rFonts w:cs="Times New Roman"/>
          <w:i/>
        </w:rPr>
        <w:t>C. cr.</w:t>
      </w:r>
      <w:r w:rsidRPr="00192E1C">
        <w:rPr>
          <w:rFonts w:cs="Times New Roman"/>
        </w:rPr>
        <w:t xml:space="preserve"> de tout effet utile.</w:t>
      </w:r>
    </w:p>
    <w:p w14:paraId="41ED3867" w14:textId="77777777" w:rsidR="00192E1C" w:rsidRPr="00192E1C" w:rsidRDefault="00192E1C" w:rsidP="00192E1C">
      <w:pPr>
        <w:pStyle w:val="ParaNoNdepar-AltN"/>
        <w:rPr>
          <w:rFonts w:cs="Times New Roman"/>
        </w:rPr>
      </w:pPr>
      <w:r w:rsidRPr="00192E1C">
        <w:rPr>
          <w:rFonts w:cs="Times New Roman"/>
        </w:rPr>
        <w:t>Cela étant, il faut reconnaître qu’une interprétation selon laquelle une arrestation contraire au par. 495(2) </w:t>
      </w:r>
      <w:r w:rsidRPr="00192E1C">
        <w:rPr>
          <w:rFonts w:cs="Times New Roman"/>
          <w:i/>
        </w:rPr>
        <w:t>C. cr.</w:t>
      </w:r>
      <w:r w:rsidRPr="00192E1C">
        <w:rPr>
          <w:rFonts w:cs="Times New Roman"/>
        </w:rPr>
        <w:t xml:space="preserve"> serait tout de même considérée comme légale dans le cadre d’une procédure criminelle et pénale, comme le procès de l’intimé en l’espèce, réduirait largement la portée dissuasive de cet impératif, de sorte que l’objectif du Parlement serait non seulement largement excédé mais aussi, surtout, compromis. Ce faisant, elle ne saurait être retenue.</w:t>
      </w:r>
    </w:p>
    <w:p w14:paraId="4499ADD8" w14:textId="77777777" w:rsidR="00192E1C" w:rsidRPr="00192E1C" w:rsidRDefault="00192E1C" w:rsidP="00192E1C">
      <w:pPr>
        <w:pStyle w:val="Title3LevelTitre3Niveau"/>
        <w:numPr>
          <w:ilvl w:val="0"/>
          <w:numId w:val="28"/>
        </w:numPr>
        <w:ind w:left="1152" w:hanging="576"/>
        <w:rPr>
          <w:rFonts w:cs="Times New Roman"/>
          <w:lang w:val="fr-CA"/>
        </w:rPr>
      </w:pPr>
      <w:bookmarkStart w:id="228" w:name="_Toc204271964"/>
      <w:bookmarkStart w:id="229" w:name="_Toc204336585"/>
      <w:bookmarkStart w:id="230" w:name="_Toc204344095"/>
      <w:bookmarkStart w:id="231" w:name="_Toc208319869"/>
      <w:bookmarkStart w:id="232" w:name="_Toc214611171"/>
      <w:bookmarkStart w:id="233" w:name="_Toc215654533"/>
      <w:r w:rsidRPr="00192E1C">
        <w:rPr>
          <w:rFonts w:cs="Times New Roman"/>
          <w:lang w:val="fr-CA"/>
        </w:rPr>
        <w:t>Conclusion sur l’interprétation du par. 495(3) </w:t>
      </w:r>
      <w:r w:rsidRPr="00192E1C">
        <w:rPr>
          <w:rFonts w:cs="Times New Roman"/>
          <w:i/>
          <w:lang w:val="fr-CA"/>
        </w:rPr>
        <w:t>C. cr.</w:t>
      </w:r>
      <w:bookmarkEnd w:id="228"/>
      <w:bookmarkEnd w:id="229"/>
      <w:bookmarkEnd w:id="230"/>
      <w:bookmarkEnd w:id="231"/>
      <w:bookmarkEnd w:id="232"/>
      <w:bookmarkEnd w:id="233"/>
      <w:r w:rsidRPr="00192E1C">
        <w:rPr>
          <w:rFonts w:cs="Times New Roman"/>
          <w:i/>
          <w:lang w:val="fr-CA"/>
        </w:rPr>
        <w:t xml:space="preserve"> </w:t>
      </w:r>
    </w:p>
    <w:p w14:paraId="56AF1CEC" w14:textId="77777777" w:rsidR="00192E1C" w:rsidRPr="00192E1C" w:rsidRDefault="00192E1C" w:rsidP="00192E1C">
      <w:pPr>
        <w:pStyle w:val="ParaNoNdepar-AltN"/>
        <w:rPr>
          <w:rFonts w:cs="Times New Roman"/>
        </w:rPr>
      </w:pPr>
      <w:bookmarkStart w:id="234" w:name="_Ref214611800"/>
      <w:r w:rsidRPr="00192E1C">
        <w:rPr>
          <w:rFonts w:cs="Times New Roman"/>
        </w:rPr>
        <w:t>En conclusion, le par. 495(3) </w:t>
      </w:r>
      <w:r w:rsidRPr="00192E1C">
        <w:rPr>
          <w:rFonts w:cs="Times New Roman"/>
          <w:i/>
        </w:rPr>
        <w:t>C. cr.</w:t>
      </w:r>
      <w:r w:rsidRPr="00192E1C">
        <w:rPr>
          <w:rFonts w:cs="Times New Roman"/>
        </w:rPr>
        <w:t xml:space="preserve"> a pour objet de régir la responsabilité des agents de la paix en cas de manquement par ceux</w:t>
      </w:r>
      <w:r w:rsidRPr="00192E1C">
        <w:rPr>
          <w:rFonts w:cs="Times New Roman"/>
        </w:rPr>
        <w:noBreakHyphen/>
        <w:t>ci aux exigences du par. 495(2) </w:t>
      </w:r>
      <w:r w:rsidRPr="00192E1C">
        <w:rPr>
          <w:rFonts w:cs="Times New Roman"/>
          <w:i/>
        </w:rPr>
        <w:t>C. cr.</w:t>
      </w:r>
      <w:r w:rsidRPr="00192E1C">
        <w:rPr>
          <w:rFonts w:cs="Times New Roman"/>
        </w:rPr>
        <w:t xml:space="preserve"> Les agents de la paix étant appelés à exercer leur jugement rapidement pour procéder à une arrestation sans mandat dans des circonstances souvent imprévisibles, il était nécessaire, pour le Parlement, d’instaurer une certaine protection relativement à l’alors nouvelle restriction à leur pouvoir discrétionnaire introduite par le par. 495(2) </w:t>
      </w:r>
      <w:r w:rsidRPr="00192E1C">
        <w:rPr>
          <w:rFonts w:cs="Times New Roman"/>
          <w:i/>
        </w:rPr>
        <w:t>C. cr.</w:t>
      </w:r>
      <w:bookmarkEnd w:id="234"/>
    </w:p>
    <w:p w14:paraId="16F56154" w14:textId="77777777" w:rsidR="00192E1C" w:rsidRPr="00192E1C" w:rsidRDefault="00192E1C" w:rsidP="00192E1C">
      <w:pPr>
        <w:pStyle w:val="ParaNoNdepar-AltN"/>
        <w:rPr>
          <w:rFonts w:cs="Times New Roman"/>
        </w:rPr>
      </w:pPr>
      <w:r w:rsidRPr="00192E1C">
        <w:rPr>
          <w:rFonts w:cs="Times New Roman"/>
        </w:rPr>
        <w:t>Sous cet angle, l’al. 495(3)a) </w:t>
      </w:r>
      <w:r w:rsidRPr="00192E1C">
        <w:rPr>
          <w:rFonts w:cs="Times New Roman"/>
          <w:i/>
        </w:rPr>
        <w:t xml:space="preserve">C. cr. </w:t>
      </w:r>
      <w:r w:rsidRPr="00192E1C">
        <w:rPr>
          <w:rFonts w:cs="Times New Roman"/>
        </w:rPr>
        <w:t xml:space="preserve">permet de protéger davantage les agents de la paix ou toute personne responsable de ces derniers faisant l’objet de poursuites engagées en vertu du </w:t>
      </w:r>
      <w:r w:rsidRPr="00192E1C">
        <w:rPr>
          <w:rFonts w:cs="Times New Roman"/>
          <w:i/>
        </w:rPr>
        <w:t xml:space="preserve">Code criminel </w:t>
      </w:r>
      <w:r w:rsidRPr="00192E1C">
        <w:rPr>
          <w:rFonts w:cs="Times New Roman"/>
        </w:rPr>
        <w:t>ou de toute autre loi fédérale, et ce, en créant une présomption selon laquelle l’agent de la paix est censé avoir agi légalement et dans l’exercice de ses fonctions. Pour sa part, l’al. 495(3)b) </w:t>
      </w:r>
      <w:r w:rsidRPr="00192E1C">
        <w:rPr>
          <w:rFonts w:cs="Times New Roman"/>
          <w:i/>
        </w:rPr>
        <w:t xml:space="preserve">C. cr. </w:t>
      </w:r>
      <w:r w:rsidRPr="00192E1C">
        <w:rPr>
          <w:rFonts w:cs="Times New Roman"/>
        </w:rPr>
        <w:t>établit les modalités d’une poursuite civile que peut intenter la personne qui estime avoir subi une arrestation contraire au par. 495(2) </w:t>
      </w:r>
      <w:r w:rsidRPr="00192E1C">
        <w:rPr>
          <w:rFonts w:cs="Times New Roman"/>
          <w:i/>
        </w:rPr>
        <w:t>C. cr.</w:t>
      </w:r>
      <w:r w:rsidRPr="00192E1C">
        <w:rPr>
          <w:rFonts w:cs="Times New Roman"/>
        </w:rPr>
        <w:t xml:space="preserve"> Aux fins d’une telle poursuite, l’agent de la paix est présumé avoir agi légalement et dans l’exercice de ses fonctions à moins que la personne arrêtée sans mandat ne démontre avec succès que l’arrestation était contraire aux exigences établies au par. 495(2) </w:t>
      </w:r>
      <w:r w:rsidRPr="00192E1C">
        <w:rPr>
          <w:rFonts w:cs="Times New Roman"/>
          <w:i/>
        </w:rPr>
        <w:t>C. cr.</w:t>
      </w:r>
      <w:r w:rsidRPr="00192E1C">
        <w:rPr>
          <w:rFonts w:cs="Times New Roman"/>
        </w:rPr>
        <w:t xml:space="preserve"> L’alinéa 495(3)b) s’assure donc que, lors d’une poursuite en matière civile contre l’agent de la paix ou toute personne responsable de ce dernier pour contravention au par. 495(2), le fardeau de preuve repose sur les épaules du demandeur.</w:t>
      </w:r>
    </w:p>
    <w:p w14:paraId="5EA393F4" w14:textId="77777777" w:rsidR="00192E1C" w:rsidRPr="00192E1C" w:rsidRDefault="00192E1C" w:rsidP="00192E1C">
      <w:pPr>
        <w:pStyle w:val="ParaNoNdepar-AltN"/>
        <w:rPr>
          <w:rFonts w:cs="Times New Roman"/>
        </w:rPr>
      </w:pPr>
      <w:r w:rsidRPr="00192E1C">
        <w:rPr>
          <w:rFonts w:cs="Times New Roman"/>
        </w:rPr>
        <w:t xml:space="preserve">J’ajouterais qu’une telle interprétation s’accorde avec la nature particulière du </w:t>
      </w:r>
      <w:r w:rsidRPr="00192E1C">
        <w:rPr>
          <w:rFonts w:cs="Times New Roman"/>
          <w:i/>
        </w:rPr>
        <w:t>Code criminel</w:t>
      </w:r>
      <w:r w:rsidRPr="00192E1C">
        <w:rPr>
          <w:rFonts w:cs="Times New Roman"/>
        </w:rPr>
        <w:t>, laquelle exige qu’on en fasse une lecture qui tienne compte « des intérêts en matière de liberté » (</w:t>
      </w:r>
      <w:r w:rsidRPr="00192E1C">
        <w:rPr>
          <w:rFonts w:cs="Times New Roman"/>
          <w:i/>
        </w:rPr>
        <w:t>R. c. McIntosh</w:t>
      </w:r>
      <w:r w:rsidRPr="00192E1C">
        <w:rPr>
          <w:rFonts w:cs="Times New Roman"/>
        </w:rPr>
        <w:t xml:space="preserve">, [1995] 1 R.C.S. 686, par. 39). Dans le même ordre d’idées, je rappelais dans </w:t>
      </w:r>
      <w:r w:rsidRPr="00192E1C">
        <w:rPr>
          <w:rFonts w:cs="Times New Roman"/>
          <w:i/>
        </w:rPr>
        <w:t>Kosoian c. Société de transport de Montréal</w:t>
      </w:r>
      <w:r w:rsidRPr="00192E1C">
        <w:rPr>
          <w:rFonts w:cs="Times New Roman"/>
        </w:rPr>
        <w:t xml:space="preserve">, 2019 CSC 59, [2019] 4 R.C.S. 335, que « [d]ans une société libre et démocratique, le policier ne peut entraver l’exercice des libertés individuelles que dans la mesure prévue par la loi » (par. 6). Certes, cette prise en compte des libertés individuelles ne doit pas compromettre d’autres considérations fondamentales du droit criminel, lesquelles doivent être soigneusement mises en équilibre avec ces libertés — notamment la sécurité publique et l’intérêt du public à ce que les agents de la paix puissent faire leur travail efficacement et promptement (voir </w:t>
      </w:r>
      <w:r w:rsidRPr="00192E1C">
        <w:rPr>
          <w:rFonts w:cs="Times New Roman"/>
          <w:i/>
        </w:rPr>
        <w:t>CanadianOxy Chemicals Ltd. c. Canada (Procureur général)</w:t>
      </w:r>
      <w:r w:rsidRPr="00192E1C">
        <w:rPr>
          <w:rFonts w:cs="Times New Roman"/>
        </w:rPr>
        <w:t>, [1999] 1 R.C.S. 743, par. 20).</w:t>
      </w:r>
    </w:p>
    <w:p w14:paraId="446FD992" w14:textId="77777777" w:rsidR="00192E1C" w:rsidRPr="00192E1C" w:rsidRDefault="00192E1C" w:rsidP="00192E1C">
      <w:pPr>
        <w:pStyle w:val="ParaNoNdepar-AltN"/>
        <w:rPr>
          <w:rFonts w:cs="Times New Roman"/>
        </w:rPr>
      </w:pPr>
      <w:r w:rsidRPr="00192E1C">
        <w:rPr>
          <w:rFonts w:cs="Times New Roman"/>
        </w:rPr>
        <w:t>Cela étant, comme nous l’avons vu, l’intention du Parlement en édictant les par. 450(2) et (3) </w:t>
      </w:r>
      <w:r w:rsidRPr="00192E1C">
        <w:rPr>
          <w:rFonts w:cs="Times New Roman"/>
          <w:i/>
        </w:rPr>
        <w:t>C. cr.</w:t>
      </w:r>
      <w:r w:rsidRPr="00192E1C">
        <w:rPr>
          <w:rFonts w:cs="Times New Roman"/>
        </w:rPr>
        <w:t xml:space="preserve"> </w:t>
      </w:r>
      <w:r w:rsidRPr="00192E1C">
        <w:rPr>
          <w:rFonts w:cs="Times New Roman"/>
          <w:i/>
        </w:rPr>
        <w:t>(1970)</w:t>
      </w:r>
      <w:r w:rsidRPr="00192E1C">
        <w:rPr>
          <w:rFonts w:cs="Times New Roman"/>
        </w:rPr>
        <w:t xml:space="preserve"> (actuellement les par. 495(2) et (3) </w:t>
      </w:r>
      <w:r w:rsidRPr="00192E1C">
        <w:rPr>
          <w:rFonts w:cs="Times New Roman"/>
          <w:i/>
        </w:rPr>
        <w:t>C. cr.</w:t>
      </w:r>
      <w:r w:rsidRPr="00192E1C">
        <w:rPr>
          <w:rFonts w:cs="Times New Roman"/>
        </w:rPr>
        <w:t>) était précisément de mettre en balance ces différentes considérations. Je propose donc de donner plein effet à la mise en balance effectuée par les élus. Dans ce contexte, il y a lieu de privilégier l’interprétation qui traduit le mieux l’équilibre ainsi recherché sans par ailleurs l’outrepasser.</w:t>
      </w:r>
    </w:p>
    <w:p w14:paraId="11FA9F64" w14:textId="77777777" w:rsidR="00192E1C" w:rsidRPr="00192E1C" w:rsidRDefault="00192E1C" w:rsidP="00192E1C">
      <w:pPr>
        <w:pStyle w:val="Title2LevelTitre2Niveau"/>
        <w:numPr>
          <w:ilvl w:val="1"/>
          <w:numId w:val="2"/>
        </w:numPr>
        <w:rPr>
          <w:rFonts w:cs="Times New Roman"/>
        </w:rPr>
      </w:pPr>
      <w:bookmarkStart w:id="235" w:name="_Toc204271965"/>
      <w:bookmarkStart w:id="236" w:name="_Toc204336586"/>
      <w:bookmarkStart w:id="237" w:name="_Toc204344096"/>
      <w:bookmarkStart w:id="238" w:name="_Toc208319870"/>
      <w:bookmarkStart w:id="239" w:name="_Toc214611172"/>
      <w:bookmarkStart w:id="240" w:name="_Toc215654534"/>
      <w:r w:rsidRPr="00192E1C">
        <w:rPr>
          <w:rFonts w:cs="Times New Roman"/>
        </w:rPr>
        <w:t>Application aux faits</w:t>
      </w:r>
      <w:bookmarkEnd w:id="235"/>
      <w:bookmarkEnd w:id="236"/>
      <w:bookmarkEnd w:id="237"/>
      <w:bookmarkEnd w:id="238"/>
      <w:bookmarkEnd w:id="239"/>
      <w:bookmarkEnd w:id="240"/>
    </w:p>
    <w:p w14:paraId="56C181A3" w14:textId="77777777" w:rsidR="00192E1C" w:rsidRPr="00192E1C" w:rsidRDefault="00192E1C" w:rsidP="00192E1C">
      <w:pPr>
        <w:pStyle w:val="ParaNoNdepar-AltN"/>
        <w:rPr>
          <w:rFonts w:cs="Times New Roman"/>
        </w:rPr>
      </w:pPr>
      <w:bookmarkStart w:id="241" w:name="_Ref204344324"/>
      <w:r w:rsidRPr="00192E1C">
        <w:rPr>
          <w:rFonts w:cs="Times New Roman"/>
        </w:rPr>
        <w:t>Compte tenu de l’interprétation qui précède, je propose de rejeter l’appel et de confirmer l’ordonnance de nouveau procès prononcée à l’égard de l’intimé. Toutefois, les raisons que je retiens pour parvenir à ce résultat diffèrent de celles retenues par la Cour d’appel du Québec. Avec beaucoup d’égards, je m’explique.</w:t>
      </w:r>
      <w:bookmarkEnd w:id="241"/>
    </w:p>
    <w:p w14:paraId="589740E6" w14:textId="77777777" w:rsidR="00192E1C" w:rsidRPr="00192E1C" w:rsidRDefault="00192E1C" w:rsidP="00192E1C">
      <w:pPr>
        <w:pStyle w:val="ParaNoNdepar-AltN"/>
        <w:rPr>
          <w:rFonts w:cs="Times New Roman"/>
        </w:rPr>
      </w:pPr>
      <w:r w:rsidRPr="00192E1C">
        <w:rPr>
          <w:rFonts w:cs="Times New Roman"/>
        </w:rPr>
        <w:t>Le paragraphe 495(3) </w:t>
      </w:r>
      <w:r w:rsidRPr="00192E1C">
        <w:rPr>
          <w:rFonts w:cs="Times New Roman"/>
          <w:i/>
        </w:rPr>
        <w:t xml:space="preserve">C. cr. </w:t>
      </w:r>
      <w:r w:rsidRPr="00192E1C">
        <w:rPr>
          <w:rFonts w:cs="Times New Roman"/>
        </w:rPr>
        <w:t>crée une présomption de légalité applicable à l’égard de la conduite d’un agent de la paix qui a procédé à une arrestation sans mandat qui ne respecte pas les exigences du par. 495(2) </w:t>
      </w:r>
      <w:r w:rsidRPr="00192E1C">
        <w:rPr>
          <w:rFonts w:cs="Times New Roman"/>
          <w:i/>
        </w:rPr>
        <w:t>C. cr.</w:t>
      </w:r>
      <w:r w:rsidRPr="00192E1C">
        <w:rPr>
          <w:rFonts w:cs="Times New Roman"/>
        </w:rPr>
        <w:t xml:space="preserve"> L’alinéa 495(3)b) prévoit cependant la possibilité de réfuter cette présomption dans le cas d’une procédure qui n’est pas engagée en vertu du </w:t>
      </w:r>
      <w:r w:rsidRPr="00192E1C">
        <w:rPr>
          <w:rFonts w:cs="Times New Roman"/>
          <w:i/>
        </w:rPr>
        <w:t>Code criminel</w:t>
      </w:r>
      <w:r w:rsidRPr="00192E1C">
        <w:rPr>
          <w:rFonts w:cs="Times New Roman"/>
        </w:rPr>
        <w:t xml:space="preserve"> ou de toute autre loi fédérale, lorsque la personne qui allègue l’illégalité de la conduite de l’agent de la paix établit que ce dernier ne s’est pas conformé aux exigences du par. 495(2) </w:t>
      </w:r>
      <w:r w:rsidRPr="00192E1C">
        <w:rPr>
          <w:rFonts w:cs="Times New Roman"/>
          <w:i/>
        </w:rPr>
        <w:t>C. cr.</w:t>
      </w:r>
      <w:r w:rsidRPr="00192E1C">
        <w:rPr>
          <w:rFonts w:cs="Times New Roman"/>
        </w:rPr>
        <w:t xml:space="preserve"> L’erreur de la Cour d’appel est d’avoir considéré que la possibilité de réfuter la présomption de légalité s’appliquait dans le cadre d’une procédure engagée en vertu du </w:t>
      </w:r>
      <w:r w:rsidRPr="00192E1C">
        <w:rPr>
          <w:rFonts w:cs="Times New Roman"/>
          <w:i/>
        </w:rPr>
        <w:t xml:space="preserve">Code criminel </w:t>
      </w:r>
      <w:r w:rsidRPr="00192E1C">
        <w:rPr>
          <w:rFonts w:cs="Times New Roman"/>
        </w:rPr>
        <w:t>ou d’une autre loi fédérale visée à l’al. 495(3)a), ce qui a faussé toute son interprétation.</w:t>
      </w:r>
    </w:p>
    <w:p w14:paraId="3DA1ACF8" w14:textId="77777777" w:rsidR="00192E1C" w:rsidRPr="00192E1C" w:rsidRDefault="00192E1C" w:rsidP="00192E1C">
      <w:pPr>
        <w:pStyle w:val="ParaNoNdepar-AltN"/>
        <w:rPr>
          <w:rFonts w:cs="Times New Roman"/>
        </w:rPr>
      </w:pPr>
      <w:r w:rsidRPr="00192E1C">
        <w:rPr>
          <w:rFonts w:cs="Times New Roman"/>
        </w:rPr>
        <w:t>Ainsi, en affirmant que le par. 495(3) </w:t>
      </w:r>
      <w:r w:rsidRPr="00192E1C">
        <w:rPr>
          <w:rFonts w:cs="Times New Roman"/>
          <w:i/>
        </w:rPr>
        <w:t>C. cr.</w:t>
      </w:r>
      <w:r w:rsidRPr="00192E1C">
        <w:rPr>
          <w:rFonts w:cs="Times New Roman"/>
        </w:rPr>
        <w:t xml:space="preserve"> garantissait en l’espèce à l’intimé [</w:t>
      </w:r>
      <w:r w:rsidRPr="00192E1C">
        <w:rPr>
          <w:rFonts w:cs="Times New Roman"/>
          <w:smallCaps/>
        </w:rPr>
        <w:t>traduction</w:t>
      </w:r>
      <w:r w:rsidRPr="00192E1C">
        <w:rPr>
          <w:rFonts w:cs="Times New Roman"/>
        </w:rPr>
        <w:t>] « la possibilité de contester la légalité de son arrestation en alléguant et en faisant la preuve de son illégalité » (motifs de la C.A., par. 18), la Cour d’appel fait erreur, car s’agissant de la responsabilité criminelle de l’intimé en l’espèce — et non celle de l’agent de la paix —, il n’y a pas de présomption de légalité qui s’applique.</w:t>
      </w:r>
    </w:p>
    <w:p w14:paraId="7E7571C5" w14:textId="77777777" w:rsidR="00192E1C" w:rsidRPr="00192E1C" w:rsidRDefault="00192E1C" w:rsidP="00192E1C">
      <w:pPr>
        <w:pStyle w:val="ParaNoNdepar-AltN"/>
        <w:rPr>
          <w:rFonts w:cs="Times New Roman"/>
        </w:rPr>
      </w:pPr>
      <w:r w:rsidRPr="00192E1C">
        <w:rPr>
          <w:rFonts w:cs="Times New Roman"/>
        </w:rPr>
        <w:t xml:space="preserve">Sur ce point, je souscris à l’analyse de la Cour d’appel de l’Alberta dans </w:t>
      </w:r>
      <w:r w:rsidRPr="00192E1C">
        <w:rPr>
          <w:rFonts w:cs="Times New Roman"/>
          <w:i/>
        </w:rPr>
        <w:t>Veen</w:t>
      </w:r>
      <w:r w:rsidRPr="00192E1C">
        <w:rPr>
          <w:rFonts w:cs="Times New Roman"/>
        </w:rPr>
        <w:t xml:space="preserve"> qui précise que les [</w:t>
      </w:r>
      <w:r w:rsidRPr="00192E1C">
        <w:rPr>
          <w:rFonts w:cs="Times New Roman"/>
          <w:smallCaps/>
        </w:rPr>
        <w:t>traduction</w:t>
      </w:r>
      <w:r w:rsidRPr="00192E1C">
        <w:rPr>
          <w:rFonts w:cs="Times New Roman"/>
        </w:rPr>
        <w:t>] « les alinéas 495(3)a) et b) sont destinés à s’appliquer différemment et dans des contextes différents, l’alinéa a) s’appliquant aux affaires criminelles et l’alinéa b) aux affaires civiles » (par. 59). Il en découle que le passage « à moins qu’il n’y soit allégué et établi par la personne qui fait cette allégation que l’agent de la paix ne s’est pas conformé aux exigences du paragraphe (2) » figurant à l’al. 495(3)b) </w:t>
      </w:r>
      <w:r w:rsidRPr="00192E1C">
        <w:rPr>
          <w:rFonts w:cs="Times New Roman"/>
          <w:i/>
        </w:rPr>
        <w:t>C. cr.</w:t>
      </w:r>
      <w:r w:rsidRPr="00192E1C">
        <w:rPr>
          <w:rFonts w:cs="Times New Roman"/>
        </w:rPr>
        <w:t>, comme la structure même du par. (3) l’indique clairement, ne s’applique qu’à l’al. b), et son application ne saurait être étendue à l’ensemble du paragraphe. Rien ne justifie l’interprétation extensive à laquelle la Cour d’appel s’est livrée en intégrant dans l’al. a) un passage expressément réservé à l’al. b).</w:t>
      </w:r>
    </w:p>
    <w:p w14:paraId="7A9A7DEF" w14:textId="77777777" w:rsidR="00192E1C" w:rsidRPr="00192E1C" w:rsidRDefault="00192E1C" w:rsidP="00192E1C">
      <w:pPr>
        <w:pStyle w:val="ParaNoNdepar-AltN"/>
        <w:rPr>
          <w:rFonts w:cs="Times New Roman"/>
        </w:rPr>
      </w:pPr>
      <w:r w:rsidRPr="00192E1C">
        <w:rPr>
          <w:rFonts w:cs="Times New Roman"/>
        </w:rPr>
        <w:t>En résumé, puisque la procédure en matière criminelle intentée contre l’intimé — en l’occurrence une accusation pour agression sexuelle — n’est visée par aucun des alinéas du par. 495(3), la Cour d’appel du Québec ne pouvait fonder son analyse sur cette disposition. Cela dit, je suis d’avis que cette erreur de la Cour d’appel n’est pas déterminante. En l’espèce, c’est plutôt le refus du juge du procès de tenir le voir-dire demandé par l’intimé qui constitue une erreur révisable.</w:t>
      </w:r>
    </w:p>
    <w:p w14:paraId="13DE4545" w14:textId="77777777" w:rsidR="00192E1C" w:rsidRPr="00192E1C" w:rsidRDefault="00192E1C" w:rsidP="00192E1C">
      <w:pPr>
        <w:pStyle w:val="ParaNoNdepar-AltN"/>
        <w:rPr>
          <w:rFonts w:eastAsiaTheme="minorHAnsi" w:cs="Times New Roman"/>
        </w:rPr>
      </w:pPr>
      <w:r w:rsidRPr="00192E1C">
        <w:rPr>
          <w:rFonts w:eastAsiaTheme="minorHAnsi" w:cs="Times New Roman"/>
        </w:rPr>
        <w:t>Le paragraphe 495(2) </w:t>
      </w:r>
      <w:r w:rsidRPr="00192E1C">
        <w:rPr>
          <w:rFonts w:eastAsiaTheme="minorHAnsi" w:cs="Times New Roman"/>
          <w:i/>
        </w:rPr>
        <w:t>C. cr.</w:t>
      </w:r>
      <w:r w:rsidRPr="00192E1C">
        <w:rPr>
          <w:rFonts w:eastAsiaTheme="minorHAnsi" w:cs="Times New Roman"/>
        </w:rPr>
        <w:t xml:space="preserve"> revêt un caractère impératif et contraignant. Son non</w:t>
      </w:r>
      <w:r w:rsidRPr="00192E1C">
        <w:rPr>
          <w:rFonts w:eastAsiaTheme="minorHAnsi" w:cs="Times New Roman"/>
        </w:rPr>
        <w:noBreakHyphen/>
        <w:t>respect peut entraîner l’illégalité de l’arrestation sans mandat, même si cette dernière respecte les exigences énoncées au par. 495(1) </w:t>
      </w:r>
      <w:r w:rsidRPr="00192E1C">
        <w:rPr>
          <w:rFonts w:eastAsiaTheme="minorHAnsi" w:cs="Times New Roman"/>
          <w:i/>
        </w:rPr>
        <w:t>C. cr.</w:t>
      </w:r>
      <w:r w:rsidRPr="00192E1C">
        <w:rPr>
          <w:rFonts w:eastAsiaTheme="minorHAnsi" w:cs="Times New Roman"/>
        </w:rPr>
        <w:t xml:space="preserve"> Une arrestation illégale peut, par le fait même, être qualifiée d’arbitraire au sens de l’art. 9 de la </w:t>
      </w:r>
      <w:r w:rsidRPr="00192E1C">
        <w:rPr>
          <w:rFonts w:eastAsiaTheme="minorHAnsi" w:cs="Times New Roman"/>
          <w:i/>
        </w:rPr>
        <w:t>Charte</w:t>
      </w:r>
      <w:r w:rsidRPr="00192E1C">
        <w:rPr>
          <w:rFonts w:eastAsiaTheme="minorHAnsi" w:cs="Times New Roman"/>
        </w:rPr>
        <w:t xml:space="preserve">, et donner ainsi ouverture à des réparations constitutionnelles en vertu de l’art. 24 de la </w:t>
      </w:r>
      <w:r w:rsidRPr="00192E1C">
        <w:rPr>
          <w:rFonts w:eastAsiaTheme="minorHAnsi" w:cs="Times New Roman"/>
          <w:i/>
        </w:rPr>
        <w:t>Charte</w:t>
      </w:r>
      <w:r w:rsidRPr="00192E1C">
        <w:rPr>
          <w:rFonts w:eastAsiaTheme="minorHAnsi" w:cs="Times New Roman"/>
        </w:rPr>
        <w:t>.</w:t>
      </w:r>
    </w:p>
    <w:p w14:paraId="51141CE4" w14:textId="77777777" w:rsidR="00192E1C" w:rsidRPr="00192E1C" w:rsidRDefault="00192E1C" w:rsidP="00192E1C">
      <w:pPr>
        <w:pStyle w:val="ParaNoNdepar-AltN"/>
        <w:rPr>
          <w:rFonts w:cs="Times New Roman"/>
        </w:rPr>
      </w:pPr>
      <w:r w:rsidRPr="00192E1C">
        <w:rPr>
          <w:rFonts w:cs="Times New Roman"/>
        </w:rPr>
        <w:t>En l’espèce, aucun des scénarios d’application du par. 495(3) n’est présent. En effet, la responsabilité criminelle ou civile de l’agent de la paix ayant procédé à l’arrestation sans mandat de l’intimé ou celle de toute personne responsable de ce dernier n’est pas en cause. La présomption de légalité créée par le par. 495(3) </w:t>
      </w:r>
      <w:r w:rsidRPr="00192E1C">
        <w:rPr>
          <w:rFonts w:cs="Times New Roman"/>
          <w:i/>
        </w:rPr>
        <w:t>C. cr.</w:t>
      </w:r>
      <w:r w:rsidRPr="00192E1C">
        <w:rPr>
          <w:rFonts w:cs="Times New Roman"/>
        </w:rPr>
        <w:t xml:space="preserve"> à l’égard de la conduite de l’agent de la paix ayant procédé à l’arrestation ne s’applique donc pas, et le tribunal devait tenir un voir-dire afin de statuer sur la légalité de cette arrestation. Le refus de procéder à cette audience constitue une erreur révisable justifiant la tenue d’un nouveau procès.</w:t>
      </w:r>
    </w:p>
    <w:p w14:paraId="0BA532D8" w14:textId="77777777" w:rsidR="00192E1C" w:rsidRPr="00192E1C" w:rsidRDefault="00192E1C" w:rsidP="00192E1C">
      <w:pPr>
        <w:pStyle w:val="Title1LevelTitre1Niveau-AltL"/>
        <w:numPr>
          <w:ilvl w:val="0"/>
          <w:numId w:val="2"/>
        </w:numPr>
        <w:rPr>
          <w:rFonts w:cs="Times New Roman"/>
        </w:rPr>
      </w:pPr>
      <w:bookmarkStart w:id="242" w:name="_Toc204271966"/>
      <w:bookmarkStart w:id="243" w:name="_Toc204336587"/>
      <w:bookmarkStart w:id="244" w:name="_Toc204344097"/>
      <w:bookmarkStart w:id="245" w:name="_Toc208319871"/>
      <w:bookmarkStart w:id="246" w:name="_Toc214611173"/>
      <w:bookmarkStart w:id="247" w:name="_Toc215654535"/>
      <w:r w:rsidRPr="00192E1C">
        <w:rPr>
          <w:rFonts w:cs="Times New Roman"/>
        </w:rPr>
        <w:t>Conclusion</w:t>
      </w:r>
      <w:bookmarkEnd w:id="242"/>
      <w:bookmarkEnd w:id="243"/>
      <w:bookmarkEnd w:id="244"/>
      <w:bookmarkEnd w:id="245"/>
      <w:bookmarkEnd w:id="246"/>
      <w:bookmarkEnd w:id="247"/>
    </w:p>
    <w:p w14:paraId="5B9C3E0B" w14:textId="77777777" w:rsidR="00192E1C" w:rsidRPr="00192E1C" w:rsidRDefault="00192E1C" w:rsidP="00192E1C">
      <w:pPr>
        <w:pStyle w:val="ParaNoNdepar-AltN"/>
        <w:rPr>
          <w:rFonts w:cs="Times New Roman"/>
        </w:rPr>
      </w:pPr>
      <w:bookmarkStart w:id="248" w:name="_Ref204344335"/>
      <w:r w:rsidRPr="00192E1C">
        <w:rPr>
          <w:rFonts w:cs="Times New Roman"/>
        </w:rPr>
        <w:t>Pour ces motifs, je suis d’avis de rejeter l’appel et de confirmer l’ordonnance de nouveau procès prononcée par la Cour d’appel.</w:t>
      </w:r>
      <w:bookmarkEnd w:id="248"/>
    </w:p>
    <w:p w14:paraId="7CDF64A3" w14:textId="77777777" w:rsidR="00CF7BC7" w:rsidRPr="00192E1C" w:rsidRDefault="00CF7BC7" w:rsidP="00FC051E">
      <w:pPr>
        <w:pStyle w:val="SCCNormalDoubleSpacing"/>
        <w:spacing w:after="480"/>
        <w:rPr>
          <w:szCs w:val="24"/>
          <w:lang w:val="fr-CA"/>
        </w:rPr>
      </w:pPr>
      <w:r w:rsidRPr="00192E1C">
        <w:rPr>
          <w:szCs w:val="24"/>
          <w:lang w:val="fr-CA"/>
        </w:rPr>
        <w:tab/>
      </w:r>
      <w:r w:rsidRPr="00192E1C">
        <w:rPr>
          <w:i/>
          <w:szCs w:val="24"/>
          <w:lang w:val="fr-CA"/>
        </w:rPr>
        <w:t>Pourvoi rejeté.</w:t>
      </w:r>
    </w:p>
    <w:p w14:paraId="18D27D7F" w14:textId="77777777" w:rsidR="00CF7BC7" w:rsidRPr="00192E1C" w:rsidRDefault="00CF7BC7" w:rsidP="00FC051E">
      <w:pPr>
        <w:pStyle w:val="SCCLawFirm"/>
        <w:spacing w:after="480"/>
        <w:rPr>
          <w:szCs w:val="24"/>
          <w:lang w:val="fr-CA"/>
        </w:rPr>
      </w:pPr>
      <w:r w:rsidRPr="00192E1C">
        <w:rPr>
          <w:szCs w:val="24"/>
          <w:lang w:val="fr-CA"/>
        </w:rPr>
        <w:tab/>
        <w:t>Procureur de l’appelant : Directeur des poursuites criminelles et pénales, Montréal.</w:t>
      </w:r>
    </w:p>
    <w:p w14:paraId="53A0F9B2" w14:textId="77777777" w:rsidR="00CF7BC7" w:rsidRPr="00192E1C" w:rsidRDefault="00CF7BC7" w:rsidP="00FC051E">
      <w:pPr>
        <w:pStyle w:val="SCCLawFirm"/>
        <w:spacing w:after="480"/>
        <w:rPr>
          <w:szCs w:val="24"/>
          <w:lang w:val="fr-CA"/>
        </w:rPr>
      </w:pPr>
      <w:r w:rsidRPr="00192E1C">
        <w:rPr>
          <w:szCs w:val="24"/>
          <w:lang w:val="fr-CA"/>
        </w:rPr>
        <w:tab/>
        <w:t>Procureurs de l’intimé : Battista Turcot Israel, Montréal; Les avocats Poupart, Touma, Montréal.</w:t>
      </w:r>
    </w:p>
    <w:p w14:paraId="1FBAA87A" w14:textId="79EE6D27" w:rsidR="00CF7BC7" w:rsidRPr="00192E1C" w:rsidRDefault="00CF7BC7" w:rsidP="00FC051E">
      <w:pPr>
        <w:pStyle w:val="SCCLawFirm"/>
        <w:spacing w:after="480"/>
        <w:rPr>
          <w:szCs w:val="24"/>
          <w:lang w:val="fr-CA"/>
        </w:rPr>
      </w:pPr>
      <w:r w:rsidRPr="00192E1C">
        <w:rPr>
          <w:szCs w:val="24"/>
          <w:lang w:val="fr-CA"/>
        </w:rPr>
        <w:tab/>
        <w:t xml:space="preserve">Procureur de l’intervenant le procureur général de l’Ontario : </w:t>
      </w:r>
      <w:r w:rsidR="00B43D21" w:rsidRPr="00192E1C">
        <w:rPr>
          <w:szCs w:val="24"/>
          <w:lang w:val="fr-CA"/>
        </w:rPr>
        <w:t>Bureau des avocats de la Couronn</w:t>
      </w:r>
      <w:r w:rsidR="00660CED" w:rsidRPr="00192E1C">
        <w:rPr>
          <w:szCs w:val="24"/>
          <w:lang w:val="fr-CA"/>
        </w:rPr>
        <w:t>e — Droit criminel</w:t>
      </w:r>
      <w:r w:rsidRPr="00192E1C">
        <w:rPr>
          <w:szCs w:val="24"/>
          <w:lang w:val="fr-CA"/>
        </w:rPr>
        <w:t>, Toronto.</w:t>
      </w:r>
    </w:p>
    <w:p w14:paraId="1F10919A" w14:textId="0E39EEE6" w:rsidR="00CF7BC7" w:rsidRPr="00192E1C" w:rsidRDefault="00CF7BC7" w:rsidP="00FC051E">
      <w:pPr>
        <w:pStyle w:val="SCCLawFirm"/>
        <w:spacing w:after="480"/>
        <w:rPr>
          <w:szCs w:val="24"/>
          <w:lang w:val="fr-CA"/>
        </w:rPr>
      </w:pPr>
      <w:r w:rsidRPr="00192E1C">
        <w:rPr>
          <w:szCs w:val="24"/>
          <w:lang w:val="fr-CA"/>
        </w:rPr>
        <w:tab/>
        <w:t xml:space="preserve">Procureur de l’intervenant le procureur général de l’Alberta : </w:t>
      </w:r>
      <w:r w:rsidR="00660CED" w:rsidRPr="00192E1C">
        <w:rPr>
          <w:szCs w:val="24"/>
          <w:lang w:val="fr-CA"/>
        </w:rPr>
        <w:t>Alberta Crown Prosecution Service — Appeals and Specialized Prosecutions Office, Calgary</w:t>
      </w:r>
      <w:r w:rsidRPr="00192E1C">
        <w:rPr>
          <w:szCs w:val="24"/>
          <w:lang w:val="fr-CA"/>
        </w:rPr>
        <w:t>.</w:t>
      </w:r>
    </w:p>
    <w:p w14:paraId="16C8ECFC" w14:textId="77777777" w:rsidR="009B57B3" w:rsidRPr="00C03862" w:rsidRDefault="00CF7BC7" w:rsidP="00FC051E">
      <w:pPr>
        <w:pStyle w:val="SCCLawFirm"/>
        <w:spacing w:after="480"/>
        <w:rPr>
          <w:szCs w:val="24"/>
          <w:lang w:val="fr-CA"/>
        </w:rPr>
      </w:pPr>
      <w:r w:rsidRPr="00192E1C">
        <w:rPr>
          <w:szCs w:val="24"/>
          <w:lang w:val="fr-CA"/>
        </w:rPr>
        <w:tab/>
        <w:t>Procureurs de l’intervenante l’Association canadienne des libertés civiles : Henein Hutchison Robitaille, Toronto.</w:t>
      </w:r>
    </w:p>
    <w:sectPr w:rsidR="009B57B3" w:rsidRPr="00C03862" w:rsidSect="00BF30CE">
      <w:headerReference w:type="default" r:id="rId10"/>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F8E7" w14:textId="77777777" w:rsidR="002B6987" w:rsidRDefault="002B6987">
      <w:r>
        <w:separator/>
      </w:r>
    </w:p>
  </w:endnote>
  <w:endnote w:type="continuationSeparator" w:id="0">
    <w:p w14:paraId="280A8FB5" w14:textId="77777777" w:rsidR="002B6987" w:rsidRDefault="002B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13C6" w14:textId="77777777" w:rsidR="002B6987" w:rsidRDefault="002B6987">
      <w:r>
        <w:separator/>
      </w:r>
    </w:p>
  </w:footnote>
  <w:footnote w:type="continuationSeparator" w:id="0">
    <w:p w14:paraId="6BE4C2D4" w14:textId="77777777" w:rsidR="002B6987" w:rsidRDefault="002B6987">
      <w:r>
        <w:continuationSeparator/>
      </w:r>
    </w:p>
  </w:footnote>
  <w:footnote w:id="1">
    <w:p w14:paraId="140500F8" w14:textId="77777777" w:rsidR="00192E1C" w:rsidRDefault="00192E1C" w:rsidP="00192E1C">
      <w:pPr>
        <w:pStyle w:val="Notedebasdepage"/>
      </w:pPr>
      <w:r w:rsidRPr="005B3275">
        <w:rPr>
          <w:vertAlign w:val="superscript"/>
        </w:rPr>
        <w:footnoteRef/>
      </w:r>
      <w:r>
        <w:tab/>
        <w:t>En raison d’une divergence entre les transcriptions officielles du discours original et l’interprétation vers le français, les mots « sauf s’il » doivent être compris comme signifiant « lorsqu’il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510019"/>
      <w:docPartObj>
        <w:docPartGallery w:val="Page Numbers (Top of Page)"/>
        <w:docPartUnique/>
      </w:docPartObj>
    </w:sdtPr>
    <w:sdtContent>
      <w:p w14:paraId="6F9C656E" w14:textId="7FDE92EE" w:rsidR="00BF30CE" w:rsidRDefault="00BF30CE">
        <w:pPr>
          <w:pStyle w:val="En-tte"/>
          <w:jc w:val="center"/>
        </w:pPr>
        <w:r>
          <w:fldChar w:fldCharType="begin"/>
        </w:r>
        <w:r>
          <w:instrText>PAGE   \* MERGEFORMAT</w:instrText>
        </w:r>
        <w:r>
          <w:fldChar w:fldCharType="separate"/>
        </w:r>
        <w:r>
          <w:rPr>
            <w:lang w:val="fr-CA"/>
          </w:rPr>
          <w:t>2</w:t>
        </w:r>
        <w:r>
          <w:fldChar w:fldCharType="end"/>
        </w:r>
      </w:p>
    </w:sdtContent>
  </w:sdt>
  <w:p w14:paraId="1F2911E7" w14:textId="77777777" w:rsidR="00BF30CE" w:rsidRDefault="00BF30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76DD"/>
    <w:multiLevelType w:val="hybridMultilevel"/>
    <w:tmpl w:val="1F0EC6F2"/>
    <w:lvl w:ilvl="0" w:tplc="DC8445C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6F2675"/>
    <w:multiLevelType w:val="multilevel"/>
    <w:tmpl w:val="858A85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D633F7"/>
    <w:multiLevelType w:val="hybridMultilevel"/>
    <w:tmpl w:val="7BD29EF6"/>
    <w:lvl w:ilvl="0" w:tplc="D126367E">
      <w:start w:val="1"/>
      <w:numFmt w:val="decimal"/>
      <w:lvlText w:val="(%1)"/>
      <w:lvlJc w:val="left"/>
      <w:pPr>
        <w:ind w:left="16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4A959DF"/>
    <w:multiLevelType w:val="hybridMultilevel"/>
    <w:tmpl w:val="3D123994"/>
    <w:lvl w:ilvl="0" w:tplc="697EA734">
      <w:start w:val="1"/>
      <w:numFmt w:val="lowerLetter"/>
      <w:pStyle w:val="TM4"/>
      <w:lvlText w:val="%1)"/>
      <w:lvlJc w:val="left"/>
      <w:pPr>
        <w:ind w:left="1656" w:hanging="360"/>
      </w:pPr>
      <w:rPr>
        <w:rFonts w:ascii="Times New Roman" w:eastAsia="Times New Roman" w:hAnsi="Times New Roman" w:cs="Times New Roman" w:hint="default"/>
        <w:i w:val="0"/>
        <w:sz w:val="24"/>
        <w:u w:val="none"/>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15:restartNumberingAfterBreak="0">
    <w:nsid w:val="15690243"/>
    <w:multiLevelType w:val="multilevel"/>
    <w:tmpl w:val="3DECDEAC"/>
    <w:lvl w:ilvl="0">
      <w:start w:val="1"/>
      <w:numFmt w:val="decimal"/>
      <w:lvlText w:val="[%1]"/>
      <w:lvlJc w:val="left"/>
      <w:pPr>
        <w:tabs>
          <w:tab w:val="num" w:pos="1152"/>
        </w:tabs>
        <w:ind w:left="0" w:firstLine="0"/>
      </w:pPr>
      <w:rPr>
        <w:rFonts w:ascii="Times New Roman" w:hAnsi="Times New Roman" w:hint="default"/>
        <w:b w:val="0"/>
        <w:strike w:val="0"/>
        <w:sz w:val="24"/>
      </w:rPr>
    </w:lvl>
    <w:lvl w:ilvl="1">
      <w:start w:val="1"/>
      <w:numFmt w:val="lowerLetter"/>
      <w:lvlText w:val="%2)"/>
      <w:lvlJc w:val="left"/>
      <w:pPr>
        <w:ind w:left="1296" w:hanging="360"/>
      </w:pPr>
      <w:rPr>
        <w:rFonts w:hint="default"/>
        <w:i w:val="0"/>
      </w:rPr>
    </w:lvl>
    <w:lvl w:ilvl="2">
      <w:start w:val="1"/>
      <w:numFmt w:val="lowerRoman"/>
      <w:lvlText w:val="%3)"/>
      <w:lvlJc w:val="left"/>
      <w:pPr>
        <w:ind w:left="1656" w:hanging="360"/>
      </w:pPr>
      <w:rPr>
        <w:rFonts w:hint="default"/>
      </w:rPr>
    </w:lvl>
    <w:lvl w:ilvl="3">
      <w:start w:val="1"/>
      <w:numFmt w:val="decimal"/>
      <w:lvlText w:val="(%4)"/>
      <w:lvlJc w:val="left"/>
      <w:pPr>
        <w:ind w:left="2016" w:hanging="360"/>
      </w:pPr>
      <w:rPr>
        <w:rFonts w:hint="default"/>
        <w:i w:val="0"/>
      </w:rPr>
    </w:lvl>
    <w:lvl w:ilvl="4">
      <w:start w:val="1"/>
      <w:numFmt w:val="lowerLetter"/>
      <w:lvlText w:val="(%5)"/>
      <w:lvlJc w:val="left"/>
      <w:pPr>
        <w:ind w:left="2376" w:hanging="360"/>
      </w:pPr>
      <w:rPr>
        <w:rFonts w:hint="default"/>
      </w:rPr>
    </w:lvl>
    <w:lvl w:ilvl="5">
      <w:start w:val="1"/>
      <w:numFmt w:val="lowerRoman"/>
      <w:lvlText w:val="(%6)"/>
      <w:lvlJc w:val="left"/>
      <w:pPr>
        <w:ind w:left="2736" w:hanging="360"/>
      </w:pPr>
      <w:rPr>
        <w:rFonts w:hint="default"/>
      </w:rPr>
    </w:lvl>
    <w:lvl w:ilvl="6">
      <w:start w:val="1"/>
      <w:numFmt w:val="decimal"/>
      <w:lvlText w:val="%7."/>
      <w:lvlJc w:val="left"/>
      <w:pPr>
        <w:ind w:left="3096" w:hanging="360"/>
      </w:pPr>
      <w:rPr>
        <w:rFonts w:hint="default"/>
      </w:rPr>
    </w:lvl>
    <w:lvl w:ilvl="7">
      <w:start w:val="1"/>
      <w:numFmt w:val="lowerLetter"/>
      <w:lvlText w:val="%8."/>
      <w:lvlJc w:val="left"/>
      <w:pPr>
        <w:ind w:left="3456" w:hanging="360"/>
      </w:pPr>
      <w:rPr>
        <w:rFonts w:hint="default"/>
      </w:rPr>
    </w:lvl>
    <w:lvl w:ilvl="8">
      <w:start w:val="1"/>
      <w:numFmt w:val="lowerRoman"/>
      <w:lvlText w:val="%9."/>
      <w:lvlJc w:val="left"/>
      <w:pPr>
        <w:ind w:left="3816" w:hanging="360"/>
      </w:pPr>
      <w:rPr>
        <w:rFonts w:hint="default"/>
      </w:rPr>
    </w:lvl>
  </w:abstractNum>
  <w:abstractNum w:abstractNumId="5" w15:restartNumberingAfterBreak="0">
    <w:nsid w:val="1B373A51"/>
    <w:multiLevelType w:val="multilevel"/>
    <w:tmpl w:val="BE22D206"/>
    <w:lvl w:ilvl="0">
      <w:start w:val="1"/>
      <w:numFmt w:val="decimal"/>
      <w:lvlText w:val="[%1]"/>
      <w:lvlJc w:val="left"/>
      <w:pPr>
        <w:tabs>
          <w:tab w:val="num" w:pos="1152"/>
        </w:tabs>
        <w:ind w:left="0" w:firstLine="0"/>
      </w:pPr>
      <w:rPr>
        <w:rFonts w:ascii="Times New Roman" w:hAnsi="Times New Roman" w:hint="default"/>
        <w:b w:val="0"/>
        <w:strike w:val="0"/>
        <w:sz w:val="24"/>
      </w:rPr>
    </w:lvl>
    <w:lvl w:ilvl="1">
      <w:start w:val="1"/>
      <w:numFmt w:val="lowerLetter"/>
      <w:lvlText w:val="%2)"/>
      <w:lvlJc w:val="left"/>
      <w:pPr>
        <w:ind w:left="1296" w:hanging="360"/>
      </w:pPr>
      <w:rPr>
        <w:rFonts w:hint="default"/>
      </w:rPr>
    </w:lvl>
    <w:lvl w:ilvl="2">
      <w:start w:val="1"/>
      <w:numFmt w:val="lowerRoman"/>
      <w:lvlText w:val="%3)"/>
      <w:lvlJc w:val="left"/>
      <w:pPr>
        <w:ind w:left="1656" w:hanging="360"/>
      </w:pPr>
      <w:rPr>
        <w:rFonts w:hint="default"/>
      </w:rPr>
    </w:lvl>
    <w:lvl w:ilvl="3">
      <w:start w:val="1"/>
      <w:numFmt w:val="decimal"/>
      <w:lvlText w:val="(%4)"/>
      <w:lvlJc w:val="left"/>
      <w:pPr>
        <w:ind w:left="2016" w:hanging="360"/>
      </w:pPr>
      <w:rPr>
        <w:rFonts w:hint="default"/>
        <w:i w:val="0"/>
      </w:rPr>
    </w:lvl>
    <w:lvl w:ilvl="4">
      <w:start w:val="1"/>
      <w:numFmt w:val="lowerLetter"/>
      <w:lvlText w:val="(%5)"/>
      <w:lvlJc w:val="left"/>
      <w:pPr>
        <w:ind w:left="2376" w:hanging="360"/>
      </w:pPr>
      <w:rPr>
        <w:rFonts w:hint="default"/>
      </w:rPr>
    </w:lvl>
    <w:lvl w:ilvl="5">
      <w:start w:val="1"/>
      <w:numFmt w:val="lowerRoman"/>
      <w:lvlText w:val="(%6)"/>
      <w:lvlJc w:val="left"/>
      <w:pPr>
        <w:ind w:left="2736" w:hanging="360"/>
      </w:pPr>
      <w:rPr>
        <w:rFonts w:hint="default"/>
      </w:rPr>
    </w:lvl>
    <w:lvl w:ilvl="6">
      <w:start w:val="1"/>
      <w:numFmt w:val="decimal"/>
      <w:lvlText w:val="%7."/>
      <w:lvlJc w:val="left"/>
      <w:pPr>
        <w:ind w:left="3096" w:hanging="360"/>
      </w:pPr>
      <w:rPr>
        <w:rFonts w:hint="default"/>
      </w:rPr>
    </w:lvl>
    <w:lvl w:ilvl="7">
      <w:start w:val="1"/>
      <w:numFmt w:val="lowerLetter"/>
      <w:lvlText w:val="%8."/>
      <w:lvlJc w:val="left"/>
      <w:pPr>
        <w:ind w:left="3456" w:hanging="360"/>
      </w:pPr>
      <w:rPr>
        <w:rFonts w:hint="default"/>
      </w:rPr>
    </w:lvl>
    <w:lvl w:ilvl="8">
      <w:start w:val="1"/>
      <w:numFmt w:val="lowerRoman"/>
      <w:lvlText w:val="%9."/>
      <w:lvlJc w:val="left"/>
      <w:pPr>
        <w:ind w:left="3816" w:hanging="360"/>
      </w:pPr>
      <w:rPr>
        <w:rFonts w:hint="default"/>
      </w:rPr>
    </w:lvl>
  </w:abstractNum>
  <w:abstractNum w:abstractNumId="6" w15:restartNumberingAfterBreak="0">
    <w:nsid w:val="35652289"/>
    <w:multiLevelType w:val="hybridMultilevel"/>
    <w:tmpl w:val="892E13C6"/>
    <w:lvl w:ilvl="0" w:tplc="D9C2AA6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FC6C30"/>
    <w:multiLevelType w:val="multilevel"/>
    <w:tmpl w:val="F6ACBBB0"/>
    <w:lvl w:ilvl="0">
      <w:start w:val="1"/>
      <w:numFmt w:val="decimal"/>
      <w:lvlText w:val="[%1]"/>
      <w:lvlJc w:val="left"/>
      <w:pPr>
        <w:tabs>
          <w:tab w:val="num" w:pos="1152"/>
        </w:tabs>
        <w:ind w:left="0" w:firstLine="0"/>
      </w:pPr>
      <w:rPr>
        <w:rFonts w:ascii="Times New Roman" w:hAnsi="Times New Roman" w:hint="default"/>
        <w:b w:val="0"/>
        <w:strike w:val="0"/>
        <w:sz w:val="24"/>
      </w:rPr>
    </w:lvl>
    <w:lvl w:ilvl="1">
      <w:start w:val="1"/>
      <w:numFmt w:val="lowerLetter"/>
      <w:lvlText w:val="%2)"/>
      <w:lvlJc w:val="left"/>
      <w:pPr>
        <w:ind w:left="1296" w:hanging="360"/>
      </w:pPr>
      <w:rPr>
        <w:rFonts w:hint="default"/>
        <w:i w:val="0"/>
      </w:rPr>
    </w:lvl>
    <w:lvl w:ilvl="2">
      <w:start w:val="1"/>
      <w:numFmt w:val="lowerRoman"/>
      <w:lvlText w:val="%3)"/>
      <w:lvlJc w:val="left"/>
      <w:pPr>
        <w:ind w:left="1656" w:hanging="360"/>
      </w:pPr>
      <w:rPr>
        <w:rFonts w:hint="default"/>
      </w:rPr>
    </w:lvl>
    <w:lvl w:ilvl="3">
      <w:start w:val="1"/>
      <w:numFmt w:val="decimal"/>
      <w:lvlText w:val="(%4)"/>
      <w:lvlJc w:val="left"/>
      <w:pPr>
        <w:ind w:left="2016" w:hanging="360"/>
      </w:pPr>
      <w:rPr>
        <w:rFonts w:hint="default"/>
        <w:i w:val="0"/>
      </w:rPr>
    </w:lvl>
    <w:lvl w:ilvl="4">
      <w:start w:val="1"/>
      <w:numFmt w:val="lowerLetter"/>
      <w:lvlText w:val="(%5)"/>
      <w:lvlJc w:val="left"/>
      <w:pPr>
        <w:ind w:left="2376" w:hanging="360"/>
      </w:pPr>
      <w:rPr>
        <w:rFonts w:hint="default"/>
      </w:rPr>
    </w:lvl>
    <w:lvl w:ilvl="5">
      <w:start w:val="1"/>
      <w:numFmt w:val="lowerRoman"/>
      <w:lvlText w:val="(%6)"/>
      <w:lvlJc w:val="left"/>
      <w:pPr>
        <w:ind w:left="2736" w:hanging="360"/>
      </w:pPr>
      <w:rPr>
        <w:rFonts w:hint="default"/>
      </w:rPr>
    </w:lvl>
    <w:lvl w:ilvl="6">
      <w:start w:val="1"/>
      <w:numFmt w:val="decimal"/>
      <w:lvlText w:val="%7."/>
      <w:lvlJc w:val="left"/>
      <w:pPr>
        <w:ind w:left="3096" w:hanging="360"/>
      </w:pPr>
      <w:rPr>
        <w:rFonts w:hint="default"/>
      </w:rPr>
    </w:lvl>
    <w:lvl w:ilvl="7">
      <w:start w:val="1"/>
      <w:numFmt w:val="lowerLetter"/>
      <w:lvlText w:val="%8."/>
      <w:lvlJc w:val="left"/>
      <w:pPr>
        <w:ind w:left="3456" w:hanging="360"/>
      </w:pPr>
      <w:rPr>
        <w:rFonts w:hint="default"/>
      </w:rPr>
    </w:lvl>
    <w:lvl w:ilvl="8">
      <w:start w:val="1"/>
      <w:numFmt w:val="lowerRoman"/>
      <w:lvlText w:val="%9."/>
      <w:lvlJc w:val="left"/>
      <w:pPr>
        <w:ind w:left="3816" w:hanging="360"/>
      </w:pPr>
      <w:rPr>
        <w:rFonts w:hint="default"/>
      </w:rPr>
    </w:lvl>
  </w:abstractNum>
  <w:abstractNum w:abstractNumId="8" w15:restartNumberingAfterBreak="0">
    <w:nsid w:val="3ADC497E"/>
    <w:multiLevelType w:val="hybridMultilevel"/>
    <w:tmpl w:val="E1588EF4"/>
    <w:lvl w:ilvl="0" w:tplc="6610034C">
      <w:start w:val="1"/>
      <w:numFmt w:val="decimal"/>
      <w:lvlText w:val="(%1)"/>
      <w:lvlJc w:val="left"/>
      <w:pPr>
        <w:ind w:left="1656" w:hanging="360"/>
      </w:pPr>
      <w:rPr>
        <w:rFonts w:ascii="Times New Roman" w:eastAsia="Times New Roman" w:hAnsi="Times New Roman" w:cs="Times New Roman" w:hint="default"/>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3E562082"/>
    <w:multiLevelType w:val="hybridMultilevel"/>
    <w:tmpl w:val="56D8F85E"/>
    <w:lvl w:ilvl="0" w:tplc="B9161DD2">
      <w:start w:val="1"/>
      <w:numFmt w:val="decimal"/>
      <w:pStyle w:val="TM3"/>
      <w:lvlText w:val="(%1)"/>
      <w:lvlJc w:val="left"/>
      <w:pPr>
        <w:ind w:left="1656" w:hanging="360"/>
      </w:pPr>
      <w:rPr>
        <w:rFonts w:ascii="Times New Roman" w:eastAsia="Times New Roman" w:hAnsi="Times New Roman" w:cs="Times New Roman" w:hint="default"/>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0" w15:restartNumberingAfterBreak="0">
    <w:nsid w:val="4603130A"/>
    <w:multiLevelType w:val="multilevel"/>
    <w:tmpl w:val="57642F48"/>
    <w:lvl w:ilvl="0">
      <w:start w:val="1"/>
      <w:numFmt w:val="upperRoman"/>
      <w:pStyle w:val="Title1LevelTitre1Niveau-AltL"/>
      <w:lvlText w:val="%1."/>
      <w:lvlJc w:val="left"/>
      <w:pPr>
        <w:tabs>
          <w:tab w:val="num" w:pos="576"/>
        </w:tabs>
        <w:ind w:left="576" w:hanging="576"/>
      </w:pPr>
      <w:rPr>
        <w:rFonts w:hint="default"/>
        <w:sz w:val="24"/>
      </w:rPr>
    </w:lvl>
    <w:lvl w:ilvl="1">
      <w:start w:val="1"/>
      <w:numFmt w:val="upperLetter"/>
      <w:pStyle w:val="Title1LevelTitre1Niveau-AltL"/>
      <w:lvlText w:val="%2."/>
      <w:lvlJc w:val="left"/>
      <w:pPr>
        <w:tabs>
          <w:tab w:val="num" w:pos="576"/>
        </w:tabs>
        <w:ind w:left="576" w:hanging="576"/>
      </w:pPr>
      <w:rPr>
        <w:rFonts w:ascii="Times New Roman" w:hAnsi="Times New Roman" w:hint="default"/>
        <w:b w:val="0"/>
        <w:i w:val="0"/>
        <w:sz w:val="24"/>
      </w:rPr>
    </w:lvl>
    <w:lvl w:ilvl="2">
      <w:start w:val="1"/>
      <w:numFmt w:val="decimal"/>
      <w:pStyle w:val="Title2LevelTitre2Niveau"/>
      <w:lvlText w:val="(%3)"/>
      <w:lvlJc w:val="left"/>
      <w:pPr>
        <w:tabs>
          <w:tab w:val="num" w:pos="1152"/>
        </w:tabs>
        <w:ind w:left="1152" w:hanging="576"/>
      </w:pPr>
      <w:rPr>
        <w:rFonts w:ascii="Times New Roman" w:hAnsi="Times New Roman" w:hint="default"/>
        <w:b w:val="0"/>
        <w:i w:val="0"/>
        <w:sz w:val="24"/>
      </w:rPr>
    </w:lvl>
    <w:lvl w:ilvl="3">
      <w:start w:val="1"/>
      <w:numFmt w:val="lowerLetter"/>
      <w:lvlText w:val="(%4)"/>
      <w:lvlJc w:val="left"/>
      <w:pPr>
        <w:tabs>
          <w:tab w:val="num" w:pos="1152"/>
        </w:tabs>
        <w:ind w:left="1152" w:hanging="576"/>
      </w:pPr>
      <w:rPr>
        <w:rFonts w:hint="default"/>
        <w:b w:val="0"/>
        <w:i w:val="0"/>
      </w:rPr>
    </w:lvl>
    <w:lvl w:ilvl="4">
      <w:start w:val="1"/>
      <w:numFmt w:val="lowerRoman"/>
      <w:lvlText w:val="(%5)"/>
      <w:lvlJc w:val="left"/>
      <w:pPr>
        <w:tabs>
          <w:tab w:val="num" w:pos="1728"/>
        </w:tabs>
        <w:ind w:left="1728" w:hanging="576"/>
      </w:pPr>
      <w:rPr>
        <w:rFonts w:hint="default"/>
      </w:rPr>
    </w:lvl>
    <w:lvl w:ilvl="5">
      <w:start w:val="1"/>
      <w:numFmt w:val="decimal"/>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11" w15:restartNumberingAfterBreak="0">
    <w:nsid w:val="46DF1FB3"/>
    <w:multiLevelType w:val="hybridMultilevel"/>
    <w:tmpl w:val="B3B488F2"/>
    <w:lvl w:ilvl="0" w:tplc="D126367E">
      <w:start w:val="1"/>
      <w:numFmt w:val="decimal"/>
      <w:lvlText w:val="(%1)"/>
      <w:lvlJc w:val="left"/>
      <w:pPr>
        <w:ind w:left="720" w:hanging="360"/>
      </w:pPr>
      <w:rPr>
        <w:rFonts w:hint="default"/>
        <w:i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1215CF"/>
    <w:multiLevelType w:val="multilevel"/>
    <w:tmpl w:val="BE22D206"/>
    <w:lvl w:ilvl="0">
      <w:start w:val="1"/>
      <w:numFmt w:val="decimal"/>
      <w:lvlText w:val="[%1]"/>
      <w:lvlJc w:val="left"/>
      <w:pPr>
        <w:tabs>
          <w:tab w:val="num" w:pos="1152"/>
        </w:tabs>
        <w:ind w:left="0" w:firstLine="0"/>
      </w:pPr>
      <w:rPr>
        <w:rFonts w:ascii="Times New Roman" w:hAnsi="Times New Roman" w:hint="default"/>
        <w:b w:val="0"/>
        <w:strike w:val="0"/>
        <w:sz w:val="24"/>
      </w:rPr>
    </w:lvl>
    <w:lvl w:ilvl="1">
      <w:start w:val="1"/>
      <w:numFmt w:val="lowerLetter"/>
      <w:lvlText w:val="%2)"/>
      <w:lvlJc w:val="left"/>
      <w:pPr>
        <w:ind w:left="1296" w:hanging="360"/>
      </w:pPr>
      <w:rPr>
        <w:rFonts w:hint="default"/>
      </w:rPr>
    </w:lvl>
    <w:lvl w:ilvl="2">
      <w:start w:val="1"/>
      <w:numFmt w:val="lowerRoman"/>
      <w:lvlText w:val="%3)"/>
      <w:lvlJc w:val="left"/>
      <w:pPr>
        <w:ind w:left="1656" w:hanging="360"/>
      </w:pPr>
      <w:rPr>
        <w:rFonts w:hint="default"/>
      </w:rPr>
    </w:lvl>
    <w:lvl w:ilvl="3">
      <w:start w:val="1"/>
      <w:numFmt w:val="decimal"/>
      <w:lvlText w:val="(%4)"/>
      <w:lvlJc w:val="left"/>
      <w:pPr>
        <w:ind w:left="2016" w:hanging="360"/>
      </w:pPr>
      <w:rPr>
        <w:rFonts w:hint="default"/>
        <w:i w:val="0"/>
      </w:rPr>
    </w:lvl>
    <w:lvl w:ilvl="4">
      <w:start w:val="1"/>
      <w:numFmt w:val="lowerLetter"/>
      <w:lvlText w:val="(%5)"/>
      <w:lvlJc w:val="left"/>
      <w:pPr>
        <w:ind w:left="2376" w:hanging="360"/>
      </w:pPr>
      <w:rPr>
        <w:rFonts w:hint="default"/>
      </w:rPr>
    </w:lvl>
    <w:lvl w:ilvl="5">
      <w:start w:val="1"/>
      <w:numFmt w:val="lowerRoman"/>
      <w:lvlText w:val="(%6)"/>
      <w:lvlJc w:val="left"/>
      <w:pPr>
        <w:ind w:left="2736" w:hanging="360"/>
      </w:pPr>
      <w:rPr>
        <w:rFonts w:hint="default"/>
      </w:rPr>
    </w:lvl>
    <w:lvl w:ilvl="6">
      <w:start w:val="1"/>
      <w:numFmt w:val="decimal"/>
      <w:lvlText w:val="%7."/>
      <w:lvlJc w:val="left"/>
      <w:pPr>
        <w:ind w:left="3096" w:hanging="360"/>
      </w:pPr>
      <w:rPr>
        <w:rFonts w:hint="default"/>
      </w:rPr>
    </w:lvl>
    <w:lvl w:ilvl="7">
      <w:start w:val="1"/>
      <w:numFmt w:val="lowerLetter"/>
      <w:lvlText w:val="%8."/>
      <w:lvlJc w:val="left"/>
      <w:pPr>
        <w:ind w:left="3456" w:hanging="360"/>
      </w:pPr>
      <w:rPr>
        <w:rFonts w:hint="default"/>
      </w:rPr>
    </w:lvl>
    <w:lvl w:ilvl="8">
      <w:start w:val="1"/>
      <w:numFmt w:val="lowerRoman"/>
      <w:lvlText w:val="%9."/>
      <w:lvlJc w:val="left"/>
      <w:pPr>
        <w:ind w:left="3816" w:hanging="360"/>
      </w:pPr>
      <w:rPr>
        <w:rFonts w:hint="default"/>
      </w:rPr>
    </w:lvl>
  </w:abstractNum>
  <w:abstractNum w:abstractNumId="13" w15:restartNumberingAfterBreak="0">
    <w:nsid w:val="54283EE8"/>
    <w:multiLevelType w:val="multilevel"/>
    <w:tmpl w:val="0086558C"/>
    <w:lvl w:ilvl="0">
      <w:start w:val="1"/>
      <w:numFmt w:val="decimal"/>
      <w:pStyle w:val="ParaNoNdepar-AltN"/>
      <w:lvlText w:val="[%1]"/>
      <w:lvlJc w:val="left"/>
      <w:pPr>
        <w:tabs>
          <w:tab w:val="num" w:pos="1152"/>
        </w:tabs>
        <w:ind w:left="0" w:firstLine="0"/>
      </w:pPr>
      <w:rPr>
        <w:rFonts w:ascii="Times New Roman" w:hAnsi="Times New Roman" w:hint="default"/>
        <w:b w:val="0"/>
        <w:strike w:val="0"/>
        <w:sz w:val="24"/>
      </w:rPr>
    </w:lvl>
    <w:lvl w:ilvl="1">
      <w:start w:val="1"/>
      <w:numFmt w:val="lowerLetter"/>
      <w:pStyle w:val="Title4LevelTitre4Niveau"/>
      <w:lvlText w:val="%2)"/>
      <w:lvlJc w:val="left"/>
      <w:pPr>
        <w:ind w:left="1296" w:hanging="360"/>
      </w:pPr>
      <w:rPr>
        <w:rFonts w:hint="default"/>
        <w:i w:val="0"/>
      </w:rPr>
    </w:lvl>
    <w:lvl w:ilvl="2">
      <w:start w:val="1"/>
      <w:numFmt w:val="lowerRoman"/>
      <w:lvlText w:val="%3)"/>
      <w:lvlJc w:val="left"/>
      <w:pPr>
        <w:ind w:left="1656" w:hanging="360"/>
      </w:pPr>
      <w:rPr>
        <w:rFonts w:hint="default"/>
      </w:rPr>
    </w:lvl>
    <w:lvl w:ilvl="3">
      <w:start w:val="1"/>
      <w:numFmt w:val="decimal"/>
      <w:lvlText w:val="(%4)"/>
      <w:lvlJc w:val="left"/>
      <w:pPr>
        <w:ind w:left="2016" w:hanging="360"/>
      </w:pPr>
      <w:rPr>
        <w:rFonts w:hint="default"/>
      </w:rPr>
    </w:lvl>
    <w:lvl w:ilvl="4">
      <w:start w:val="1"/>
      <w:numFmt w:val="lowerLetter"/>
      <w:lvlText w:val="(%5)"/>
      <w:lvlJc w:val="left"/>
      <w:pPr>
        <w:ind w:left="2376" w:hanging="360"/>
      </w:pPr>
      <w:rPr>
        <w:rFonts w:hint="default"/>
      </w:rPr>
    </w:lvl>
    <w:lvl w:ilvl="5">
      <w:start w:val="1"/>
      <w:numFmt w:val="lowerRoman"/>
      <w:lvlText w:val="(%6)"/>
      <w:lvlJc w:val="left"/>
      <w:pPr>
        <w:ind w:left="2736" w:hanging="360"/>
      </w:pPr>
      <w:rPr>
        <w:rFonts w:hint="default"/>
      </w:rPr>
    </w:lvl>
    <w:lvl w:ilvl="6">
      <w:start w:val="1"/>
      <w:numFmt w:val="decimal"/>
      <w:lvlText w:val="%7."/>
      <w:lvlJc w:val="left"/>
      <w:pPr>
        <w:ind w:left="3096" w:hanging="360"/>
      </w:pPr>
      <w:rPr>
        <w:rFonts w:hint="default"/>
      </w:rPr>
    </w:lvl>
    <w:lvl w:ilvl="7">
      <w:start w:val="1"/>
      <w:numFmt w:val="lowerLetter"/>
      <w:lvlText w:val="%8."/>
      <w:lvlJc w:val="left"/>
      <w:pPr>
        <w:ind w:left="3456" w:hanging="360"/>
      </w:pPr>
      <w:rPr>
        <w:rFonts w:hint="default"/>
      </w:rPr>
    </w:lvl>
    <w:lvl w:ilvl="8">
      <w:start w:val="1"/>
      <w:numFmt w:val="lowerRoman"/>
      <w:lvlText w:val="%9."/>
      <w:lvlJc w:val="left"/>
      <w:pPr>
        <w:ind w:left="3816" w:hanging="360"/>
      </w:pPr>
      <w:rPr>
        <w:rFonts w:hint="default"/>
      </w:rPr>
    </w:lvl>
  </w:abstractNum>
  <w:abstractNum w:abstractNumId="14" w15:restartNumberingAfterBreak="0">
    <w:nsid w:val="5B5062CE"/>
    <w:multiLevelType w:val="hybridMultilevel"/>
    <w:tmpl w:val="CA5EEE28"/>
    <w:lvl w:ilvl="0" w:tplc="D126367E">
      <w:start w:val="1"/>
      <w:numFmt w:val="decimal"/>
      <w:lvlText w:val="(%1)"/>
      <w:lvlJc w:val="left"/>
      <w:pPr>
        <w:ind w:left="1288" w:hanging="360"/>
      </w:pPr>
      <w:rPr>
        <w:rFonts w:hint="default"/>
        <w:i w:val="0"/>
      </w:rPr>
    </w:lvl>
    <w:lvl w:ilvl="1" w:tplc="0C0C0019" w:tentative="1">
      <w:start w:val="1"/>
      <w:numFmt w:val="lowerLetter"/>
      <w:lvlText w:val="%2."/>
      <w:lvlJc w:val="left"/>
      <w:pPr>
        <w:ind w:left="2008" w:hanging="360"/>
      </w:pPr>
    </w:lvl>
    <w:lvl w:ilvl="2" w:tplc="0C0C001B" w:tentative="1">
      <w:start w:val="1"/>
      <w:numFmt w:val="lowerRoman"/>
      <w:lvlText w:val="%3."/>
      <w:lvlJc w:val="right"/>
      <w:pPr>
        <w:ind w:left="2728" w:hanging="180"/>
      </w:pPr>
    </w:lvl>
    <w:lvl w:ilvl="3" w:tplc="0C0C000F" w:tentative="1">
      <w:start w:val="1"/>
      <w:numFmt w:val="decimal"/>
      <w:lvlText w:val="%4."/>
      <w:lvlJc w:val="left"/>
      <w:pPr>
        <w:ind w:left="3448" w:hanging="360"/>
      </w:pPr>
    </w:lvl>
    <w:lvl w:ilvl="4" w:tplc="0C0C0019" w:tentative="1">
      <w:start w:val="1"/>
      <w:numFmt w:val="lowerLetter"/>
      <w:lvlText w:val="%5."/>
      <w:lvlJc w:val="left"/>
      <w:pPr>
        <w:ind w:left="4168" w:hanging="360"/>
      </w:pPr>
    </w:lvl>
    <w:lvl w:ilvl="5" w:tplc="0C0C001B" w:tentative="1">
      <w:start w:val="1"/>
      <w:numFmt w:val="lowerRoman"/>
      <w:lvlText w:val="%6."/>
      <w:lvlJc w:val="right"/>
      <w:pPr>
        <w:ind w:left="4888" w:hanging="180"/>
      </w:pPr>
    </w:lvl>
    <w:lvl w:ilvl="6" w:tplc="0C0C000F" w:tentative="1">
      <w:start w:val="1"/>
      <w:numFmt w:val="decimal"/>
      <w:lvlText w:val="%7."/>
      <w:lvlJc w:val="left"/>
      <w:pPr>
        <w:ind w:left="5608" w:hanging="360"/>
      </w:pPr>
    </w:lvl>
    <w:lvl w:ilvl="7" w:tplc="0C0C0019" w:tentative="1">
      <w:start w:val="1"/>
      <w:numFmt w:val="lowerLetter"/>
      <w:lvlText w:val="%8."/>
      <w:lvlJc w:val="left"/>
      <w:pPr>
        <w:ind w:left="6328" w:hanging="360"/>
      </w:pPr>
    </w:lvl>
    <w:lvl w:ilvl="8" w:tplc="0C0C001B" w:tentative="1">
      <w:start w:val="1"/>
      <w:numFmt w:val="lowerRoman"/>
      <w:lvlText w:val="%9."/>
      <w:lvlJc w:val="right"/>
      <w:pPr>
        <w:ind w:left="7048" w:hanging="180"/>
      </w:pPr>
    </w:lvl>
  </w:abstractNum>
  <w:abstractNum w:abstractNumId="15" w15:restartNumberingAfterBreak="0">
    <w:nsid w:val="6AE5302C"/>
    <w:multiLevelType w:val="hybridMultilevel"/>
    <w:tmpl w:val="C78A6CDA"/>
    <w:lvl w:ilvl="0" w:tplc="F072F424">
      <w:start w:val="5"/>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2462B72"/>
    <w:multiLevelType w:val="multilevel"/>
    <w:tmpl w:val="1EC85EA8"/>
    <w:lvl w:ilvl="0">
      <w:start w:val="1"/>
      <w:numFmt w:val="decimal"/>
      <w:lvlText w:val="[%1]"/>
      <w:lvlJc w:val="left"/>
      <w:pPr>
        <w:tabs>
          <w:tab w:val="num" w:pos="1152"/>
        </w:tabs>
        <w:ind w:left="0" w:firstLine="0"/>
      </w:pPr>
      <w:rPr>
        <w:rFonts w:ascii="Times New Roman" w:hAnsi="Times New Roman" w:hint="default"/>
        <w:b w:val="0"/>
        <w:strike w:val="0"/>
        <w:sz w:val="24"/>
      </w:rPr>
    </w:lvl>
    <w:lvl w:ilvl="1">
      <w:start w:val="1"/>
      <w:numFmt w:val="lowerLetter"/>
      <w:lvlText w:val="%2)"/>
      <w:lvlJc w:val="left"/>
      <w:pPr>
        <w:ind w:left="1296" w:hanging="360"/>
      </w:pPr>
      <w:rPr>
        <w:rFonts w:hint="default"/>
        <w:i w:val="0"/>
      </w:rPr>
    </w:lvl>
    <w:lvl w:ilvl="2">
      <w:start w:val="1"/>
      <w:numFmt w:val="lowerRoman"/>
      <w:lvlText w:val="%3)"/>
      <w:lvlJc w:val="left"/>
      <w:pPr>
        <w:ind w:left="1656" w:hanging="360"/>
      </w:pPr>
      <w:rPr>
        <w:rFonts w:hint="default"/>
      </w:rPr>
    </w:lvl>
    <w:lvl w:ilvl="3">
      <w:start w:val="1"/>
      <w:numFmt w:val="decimal"/>
      <w:lvlText w:val="(%4)"/>
      <w:lvlJc w:val="left"/>
      <w:pPr>
        <w:ind w:left="2016" w:hanging="360"/>
      </w:pPr>
      <w:rPr>
        <w:rFonts w:hint="default"/>
        <w:i w:val="0"/>
      </w:rPr>
    </w:lvl>
    <w:lvl w:ilvl="4">
      <w:start w:val="1"/>
      <w:numFmt w:val="lowerLetter"/>
      <w:lvlText w:val="(%5)"/>
      <w:lvlJc w:val="left"/>
      <w:pPr>
        <w:ind w:left="2376" w:hanging="360"/>
      </w:pPr>
      <w:rPr>
        <w:rFonts w:hint="default"/>
      </w:rPr>
    </w:lvl>
    <w:lvl w:ilvl="5">
      <w:start w:val="1"/>
      <w:numFmt w:val="lowerRoman"/>
      <w:lvlText w:val="(%6)"/>
      <w:lvlJc w:val="left"/>
      <w:pPr>
        <w:ind w:left="2736" w:hanging="360"/>
      </w:pPr>
      <w:rPr>
        <w:rFonts w:hint="default"/>
      </w:rPr>
    </w:lvl>
    <w:lvl w:ilvl="6">
      <w:start w:val="1"/>
      <w:numFmt w:val="decimal"/>
      <w:lvlText w:val="%7."/>
      <w:lvlJc w:val="left"/>
      <w:pPr>
        <w:ind w:left="3096" w:hanging="360"/>
      </w:pPr>
      <w:rPr>
        <w:rFonts w:hint="default"/>
      </w:rPr>
    </w:lvl>
    <w:lvl w:ilvl="7">
      <w:start w:val="1"/>
      <w:numFmt w:val="lowerLetter"/>
      <w:lvlText w:val="%8."/>
      <w:lvlJc w:val="left"/>
      <w:pPr>
        <w:ind w:left="3456" w:hanging="360"/>
      </w:pPr>
      <w:rPr>
        <w:rFonts w:hint="default"/>
      </w:rPr>
    </w:lvl>
    <w:lvl w:ilvl="8">
      <w:start w:val="1"/>
      <w:numFmt w:val="lowerRoman"/>
      <w:lvlText w:val="%9."/>
      <w:lvlJc w:val="left"/>
      <w:pPr>
        <w:ind w:left="3816" w:hanging="360"/>
      </w:pPr>
      <w:rPr>
        <w:rFonts w:hint="default"/>
      </w:rPr>
    </w:lvl>
  </w:abstractNum>
  <w:num w:numId="1" w16cid:durableId="1916234227">
    <w:abstractNumId w:val="13"/>
  </w:num>
  <w:num w:numId="2" w16cid:durableId="79302468">
    <w:abstractNumId w:val="10"/>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1LevelTitre1Niveau-AltL"/>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2LevelTitre2Niveau"/>
        <w:lvlText w:val="(%3)"/>
        <w:lvlJc w:val="left"/>
        <w:pPr>
          <w:tabs>
            <w:tab w:val="num" w:pos="1144"/>
          </w:tabs>
          <w:ind w:left="1144" w:hanging="576"/>
        </w:pPr>
        <w:rPr>
          <w:rFonts w:ascii="Times New Roman" w:hAnsi="Times New Roman" w:hint="default"/>
          <w:b w:val="0"/>
          <w:i w:val="0"/>
          <w:sz w:val="24"/>
        </w:rPr>
      </w:lvl>
    </w:lvlOverride>
    <w:lvlOverride w:ilvl="3">
      <w:lvl w:ilvl="3">
        <w:start w:val="1"/>
        <w:numFmt w:val="lowerLetter"/>
        <w:lvlText w:val="(%4)"/>
        <w:lvlJc w:val="left"/>
        <w:pPr>
          <w:tabs>
            <w:tab w:val="num" w:pos="1152"/>
          </w:tabs>
          <w:ind w:left="1152" w:hanging="576"/>
        </w:pPr>
        <w:rPr>
          <w:rFonts w:hint="default"/>
          <w:b w:val="0"/>
          <w:i w:val="0"/>
        </w:rPr>
      </w:lvl>
    </w:lvlOverride>
    <w:lvlOverride w:ilvl="4">
      <w:lvl w:ilvl="4">
        <w:start w:val="1"/>
        <w:numFmt w:val="lowerRoman"/>
        <w:lvlText w:val="(%5)"/>
        <w:lvlJc w:val="left"/>
        <w:pPr>
          <w:tabs>
            <w:tab w:val="num" w:pos="1728"/>
          </w:tabs>
          <w:ind w:left="1728" w:hanging="576"/>
        </w:pPr>
        <w:rPr>
          <w:rFonts w:hint="default"/>
        </w:rPr>
      </w:lvl>
    </w:lvlOverride>
    <w:lvlOverride w:ilvl="5">
      <w:lvl w:ilvl="5">
        <w:start w:val="1"/>
        <w:numFmt w:val="decimal"/>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3" w16cid:durableId="359287446">
    <w:abstractNumId w:val="0"/>
  </w:num>
  <w:num w:numId="4" w16cid:durableId="665017366">
    <w:abstractNumId w:val="10"/>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1LevelTitre1Niveau-AltL"/>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2LevelTitre2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lvlText w:val="(%4)"/>
        <w:lvlJc w:val="left"/>
        <w:pPr>
          <w:tabs>
            <w:tab w:val="num" w:pos="1152"/>
          </w:tabs>
          <w:ind w:left="1152" w:hanging="576"/>
        </w:pPr>
        <w:rPr>
          <w:rFonts w:hint="default"/>
          <w:b w:val="0"/>
          <w:i w:val="0"/>
        </w:rPr>
      </w:lvl>
    </w:lvlOverride>
    <w:lvlOverride w:ilvl="4">
      <w:lvl w:ilvl="4">
        <w:start w:val="1"/>
        <w:numFmt w:val="lowerRoman"/>
        <w:lvlText w:val="(%5)"/>
        <w:lvlJc w:val="left"/>
        <w:pPr>
          <w:tabs>
            <w:tab w:val="num" w:pos="1728"/>
          </w:tabs>
          <w:ind w:left="1728" w:hanging="576"/>
        </w:pPr>
        <w:rPr>
          <w:rFonts w:hint="default"/>
        </w:rPr>
      </w:lvl>
    </w:lvlOverride>
    <w:lvlOverride w:ilvl="5">
      <w:lvl w:ilvl="5">
        <w:start w:val="1"/>
        <w:numFmt w:val="decimal"/>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5" w16cid:durableId="1766606474">
    <w:abstractNumId w:val="10"/>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1LevelTitre1Niveau-AltL"/>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2LevelTitre2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lvlText w:val="(%4)"/>
        <w:lvlJc w:val="left"/>
        <w:pPr>
          <w:tabs>
            <w:tab w:val="num" w:pos="1152"/>
          </w:tabs>
          <w:ind w:left="1152" w:hanging="576"/>
        </w:pPr>
        <w:rPr>
          <w:rFonts w:hint="default"/>
          <w:b w:val="0"/>
          <w:i w:val="0"/>
        </w:rPr>
      </w:lvl>
    </w:lvlOverride>
    <w:lvlOverride w:ilvl="4">
      <w:lvl w:ilvl="4">
        <w:start w:val="1"/>
        <w:numFmt w:val="lowerRoman"/>
        <w:lvlText w:val="(%5)"/>
        <w:lvlJc w:val="left"/>
        <w:pPr>
          <w:tabs>
            <w:tab w:val="num" w:pos="1728"/>
          </w:tabs>
          <w:ind w:left="1728" w:hanging="576"/>
        </w:pPr>
        <w:rPr>
          <w:rFonts w:hint="default"/>
        </w:rPr>
      </w:lvl>
    </w:lvlOverride>
    <w:lvlOverride w:ilvl="5">
      <w:lvl w:ilvl="5">
        <w:start w:val="1"/>
        <w:numFmt w:val="decimal"/>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6" w16cid:durableId="1048846269">
    <w:abstractNumId w:val="10"/>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1LevelTitre1Niveau-AltL"/>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2LevelTitre2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lvlText w:val="(%4)"/>
        <w:lvlJc w:val="left"/>
        <w:pPr>
          <w:tabs>
            <w:tab w:val="num" w:pos="1152"/>
          </w:tabs>
          <w:ind w:left="1152" w:hanging="576"/>
        </w:pPr>
        <w:rPr>
          <w:rFonts w:hint="default"/>
          <w:b w:val="0"/>
          <w:i w:val="0"/>
        </w:rPr>
      </w:lvl>
    </w:lvlOverride>
    <w:lvlOverride w:ilvl="4">
      <w:lvl w:ilvl="4">
        <w:start w:val="1"/>
        <w:numFmt w:val="lowerRoman"/>
        <w:lvlText w:val="(%5)"/>
        <w:lvlJc w:val="left"/>
        <w:pPr>
          <w:tabs>
            <w:tab w:val="num" w:pos="1728"/>
          </w:tabs>
          <w:ind w:left="1728" w:hanging="576"/>
        </w:pPr>
        <w:rPr>
          <w:rFonts w:hint="default"/>
        </w:rPr>
      </w:lvl>
    </w:lvlOverride>
    <w:lvlOverride w:ilvl="5">
      <w:lvl w:ilvl="5">
        <w:start w:val="1"/>
        <w:numFmt w:val="decimal"/>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7" w16cid:durableId="1950812198">
    <w:abstractNumId w:val="1"/>
  </w:num>
  <w:num w:numId="8" w16cid:durableId="2065642521">
    <w:abstractNumId w:val="10"/>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1LevelTitre1Niveau-AltL"/>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2LevelTitre2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lvlText w:val="(%4)"/>
        <w:lvlJc w:val="left"/>
        <w:pPr>
          <w:tabs>
            <w:tab w:val="num" w:pos="1152"/>
          </w:tabs>
          <w:ind w:left="1152" w:hanging="576"/>
        </w:pPr>
        <w:rPr>
          <w:rFonts w:hint="default"/>
          <w:b w:val="0"/>
          <w:i w:val="0"/>
        </w:rPr>
      </w:lvl>
    </w:lvlOverride>
    <w:lvlOverride w:ilvl="4">
      <w:lvl w:ilvl="4">
        <w:start w:val="1"/>
        <w:numFmt w:val="lowerRoman"/>
        <w:lvlText w:val="(%5)"/>
        <w:lvlJc w:val="left"/>
        <w:pPr>
          <w:tabs>
            <w:tab w:val="num" w:pos="1728"/>
          </w:tabs>
          <w:ind w:left="1728" w:hanging="576"/>
        </w:pPr>
        <w:rPr>
          <w:rFonts w:hint="default"/>
        </w:rPr>
      </w:lvl>
    </w:lvlOverride>
    <w:lvlOverride w:ilvl="5">
      <w:lvl w:ilvl="5">
        <w:start w:val="1"/>
        <w:numFmt w:val="decimal"/>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9" w16cid:durableId="1327706686">
    <w:abstractNumId w:val="10"/>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1LevelTitre1Niveau-AltL"/>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2LevelTitre2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lvlText w:val="(%4)"/>
        <w:lvlJc w:val="left"/>
        <w:pPr>
          <w:tabs>
            <w:tab w:val="num" w:pos="1152"/>
          </w:tabs>
          <w:ind w:left="1152" w:hanging="576"/>
        </w:pPr>
        <w:rPr>
          <w:rFonts w:hint="default"/>
          <w:b w:val="0"/>
          <w:i w:val="0"/>
        </w:rPr>
      </w:lvl>
    </w:lvlOverride>
    <w:lvlOverride w:ilvl="4">
      <w:lvl w:ilvl="4">
        <w:start w:val="1"/>
        <w:numFmt w:val="lowerRoman"/>
        <w:lvlText w:val="(%5)"/>
        <w:lvlJc w:val="left"/>
        <w:pPr>
          <w:tabs>
            <w:tab w:val="num" w:pos="1728"/>
          </w:tabs>
          <w:ind w:left="1728" w:hanging="576"/>
        </w:pPr>
        <w:rPr>
          <w:rFonts w:hint="default"/>
        </w:rPr>
      </w:lvl>
    </w:lvlOverride>
    <w:lvlOverride w:ilvl="5">
      <w:lvl w:ilvl="5">
        <w:start w:val="1"/>
        <w:numFmt w:val="decimal"/>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10" w16cid:durableId="661390829">
    <w:abstractNumId w:val="10"/>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1LevelTitre1Niveau-AltL"/>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2LevelTitre2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lvlText w:val="(%4)"/>
        <w:lvlJc w:val="left"/>
        <w:pPr>
          <w:tabs>
            <w:tab w:val="num" w:pos="1152"/>
          </w:tabs>
          <w:ind w:left="1152" w:hanging="576"/>
        </w:pPr>
        <w:rPr>
          <w:rFonts w:hint="default"/>
          <w:b w:val="0"/>
          <w:i w:val="0"/>
        </w:rPr>
      </w:lvl>
    </w:lvlOverride>
    <w:lvlOverride w:ilvl="4">
      <w:lvl w:ilvl="4">
        <w:start w:val="1"/>
        <w:numFmt w:val="lowerRoman"/>
        <w:lvlText w:val="(%5)"/>
        <w:lvlJc w:val="left"/>
        <w:pPr>
          <w:tabs>
            <w:tab w:val="num" w:pos="1728"/>
          </w:tabs>
          <w:ind w:left="1728" w:hanging="576"/>
        </w:pPr>
        <w:rPr>
          <w:rFonts w:hint="default"/>
        </w:rPr>
      </w:lvl>
    </w:lvlOverride>
    <w:lvlOverride w:ilvl="5">
      <w:lvl w:ilvl="5">
        <w:start w:val="1"/>
        <w:numFmt w:val="decimal"/>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11" w16cid:durableId="1555265437">
    <w:abstractNumId w:val="10"/>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1LevelTitre1Niveau-AltL"/>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2LevelTitre2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lvlText w:val="(%4)"/>
        <w:lvlJc w:val="left"/>
        <w:pPr>
          <w:tabs>
            <w:tab w:val="num" w:pos="1152"/>
          </w:tabs>
          <w:ind w:left="1152" w:hanging="576"/>
        </w:pPr>
        <w:rPr>
          <w:rFonts w:hint="default"/>
          <w:b w:val="0"/>
          <w:i w:val="0"/>
        </w:rPr>
      </w:lvl>
    </w:lvlOverride>
    <w:lvlOverride w:ilvl="4">
      <w:lvl w:ilvl="4">
        <w:start w:val="1"/>
        <w:numFmt w:val="lowerRoman"/>
        <w:lvlText w:val="(%5)"/>
        <w:lvlJc w:val="left"/>
        <w:pPr>
          <w:tabs>
            <w:tab w:val="num" w:pos="1728"/>
          </w:tabs>
          <w:ind w:left="1728" w:hanging="576"/>
        </w:pPr>
        <w:rPr>
          <w:rFonts w:hint="default"/>
        </w:rPr>
      </w:lvl>
    </w:lvlOverride>
    <w:lvlOverride w:ilvl="5">
      <w:lvl w:ilvl="5">
        <w:start w:val="1"/>
        <w:numFmt w:val="decimal"/>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12" w16cid:durableId="2053381256">
    <w:abstractNumId w:val="15"/>
  </w:num>
  <w:num w:numId="13" w16cid:durableId="1510296864">
    <w:abstractNumId w:val="11"/>
  </w:num>
  <w:num w:numId="14" w16cid:durableId="1488401399">
    <w:abstractNumId w:val="10"/>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1LevelTitre1Niveau-AltL"/>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2LevelTitre2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lvlText w:val="(%4)"/>
        <w:lvlJc w:val="left"/>
        <w:pPr>
          <w:tabs>
            <w:tab w:val="num" w:pos="1152"/>
          </w:tabs>
          <w:ind w:left="1152" w:hanging="576"/>
        </w:pPr>
        <w:rPr>
          <w:rFonts w:hint="default"/>
          <w:b w:val="0"/>
          <w:i w:val="0"/>
        </w:rPr>
      </w:lvl>
    </w:lvlOverride>
    <w:lvlOverride w:ilvl="4">
      <w:lvl w:ilvl="4">
        <w:start w:val="1"/>
        <w:numFmt w:val="lowerRoman"/>
        <w:lvlText w:val="(%5)"/>
        <w:lvlJc w:val="left"/>
        <w:pPr>
          <w:tabs>
            <w:tab w:val="num" w:pos="1728"/>
          </w:tabs>
          <w:ind w:left="1728" w:hanging="576"/>
        </w:pPr>
        <w:rPr>
          <w:rFonts w:hint="default"/>
        </w:rPr>
      </w:lvl>
    </w:lvlOverride>
    <w:lvlOverride w:ilvl="5">
      <w:lvl w:ilvl="5">
        <w:start w:val="1"/>
        <w:numFmt w:val="decimal"/>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15" w16cid:durableId="416488511">
    <w:abstractNumId w:val="10"/>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1LevelTitre1Niveau-AltL"/>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2LevelTitre2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lvlText w:val="(%4)"/>
        <w:lvlJc w:val="left"/>
        <w:pPr>
          <w:tabs>
            <w:tab w:val="num" w:pos="1152"/>
          </w:tabs>
          <w:ind w:left="1152" w:hanging="576"/>
        </w:pPr>
        <w:rPr>
          <w:rFonts w:hint="default"/>
          <w:b w:val="0"/>
          <w:i w:val="0"/>
        </w:rPr>
      </w:lvl>
    </w:lvlOverride>
    <w:lvlOverride w:ilvl="4">
      <w:lvl w:ilvl="4">
        <w:start w:val="1"/>
        <w:numFmt w:val="lowerRoman"/>
        <w:lvlText w:val="(%5)"/>
        <w:lvlJc w:val="left"/>
        <w:pPr>
          <w:tabs>
            <w:tab w:val="num" w:pos="1728"/>
          </w:tabs>
          <w:ind w:left="1728" w:hanging="576"/>
        </w:pPr>
        <w:rPr>
          <w:rFonts w:hint="default"/>
        </w:rPr>
      </w:lvl>
    </w:lvlOverride>
    <w:lvlOverride w:ilvl="5">
      <w:lvl w:ilvl="5">
        <w:start w:val="1"/>
        <w:numFmt w:val="decimal"/>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16" w16cid:durableId="264850196">
    <w:abstractNumId w:val="10"/>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1LevelTitre1Niveau-AltL"/>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2LevelTitre2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lvlText w:val="(%4)"/>
        <w:lvlJc w:val="left"/>
        <w:pPr>
          <w:tabs>
            <w:tab w:val="num" w:pos="1152"/>
          </w:tabs>
          <w:ind w:left="1152" w:hanging="576"/>
        </w:pPr>
        <w:rPr>
          <w:rFonts w:hint="default"/>
          <w:b w:val="0"/>
          <w:i w:val="0"/>
        </w:rPr>
      </w:lvl>
    </w:lvlOverride>
    <w:lvlOverride w:ilvl="4">
      <w:lvl w:ilvl="4">
        <w:start w:val="1"/>
        <w:numFmt w:val="lowerRoman"/>
        <w:lvlText w:val="(%5)"/>
        <w:lvlJc w:val="left"/>
        <w:pPr>
          <w:tabs>
            <w:tab w:val="num" w:pos="1728"/>
          </w:tabs>
          <w:ind w:left="1728" w:hanging="576"/>
        </w:pPr>
        <w:rPr>
          <w:rFonts w:hint="default"/>
        </w:rPr>
      </w:lvl>
    </w:lvlOverride>
    <w:lvlOverride w:ilvl="5">
      <w:lvl w:ilvl="5">
        <w:start w:val="1"/>
        <w:numFmt w:val="decimal"/>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17" w16cid:durableId="2112314766">
    <w:abstractNumId w:val="10"/>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1LevelTitre1Niveau-AltL"/>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2LevelTitre2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lvlText w:val="(%4)"/>
        <w:lvlJc w:val="left"/>
        <w:pPr>
          <w:tabs>
            <w:tab w:val="num" w:pos="1152"/>
          </w:tabs>
          <w:ind w:left="1152" w:hanging="576"/>
        </w:pPr>
        <w:rPr>
          <w:rFonts w:hint="default"/>
          <w:b w:val="0"/>
          <w:i w:val="0"/>
        </w:rPr>
      </w:lvl>
    </w:lvlOverride>
    <w:lvlOverride w:ilvl="4">
      <w:lvl w:ilvl="4">
        <w:start w:val="1"/>
        <w:numFmt w:val="lowerRoman"/>
        <w:lvlText w:val="(%5)"/>
        <w:lvlJc w:val="left"/>
        <w:pPr>
          <w:tabs>
            <w:tab w:val="num" w:pos="1728"/>
          </w:tabs>
          <w:ind w:left="1728" w:hanging="576"/>
        </w:pPr>
        <w:rPr>
          <w:rFonts w:hint="default"/>
        </w:rPr>
      </w:lvl>
    </w:lvlOverride>
    <w:lvlOverride w:ilvl="5">
      <w:lvl w:ilvl="5">
        <w:start w:val="1"/>
        <w:numFmt w:val="decimal"/>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18" w16cid:durableId="1312100075">
    <w:abstractNumId w:val="10"/>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1LevelTitre1Niveau-AltL"/>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2LevelTitre2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lvlText w:val="(%4)"/>
        <w:lvlJc w:val="left"/>
        <w:pPr>
          <w:tabs>
            <w:tab w:val="num" w:pos="1152"/>
          </w:tabs>
          <w:ind w:left="1152" w:hanging="576"/>
        </w:pPr>
        <w:rPr>
          <w:rFonts w:hint="default"/>
          <w:b w:val="0"/>
          <w:i w:val="0"/>
        </w:rPr>
      </w:lvl>
    </w:lvlOverride>
    <w:lvlOverride w:ilvl="4">
      <w:lvl w:ilvl="4">
        <w:start w:val="1"/>
        <w:numFmt w:val="lowerRoman"/>
        <w:lvlText w:val="(%5)"/>
        <w:lvlJc w:val="left"/>
        <w:pPr>
          <w:tabs>
            <w:tab w:val="num" w:pos="1728"/>
          </w:tabs>
          <w:ind w:left="1728" w:hanging="576"/>
        </w:pPr>
        <w:rPr>
          <w:rFonts w:hint="default"/>
        </w:rPr>
      </w:lvl>
    </w:lvlOverride>
    <w:lvlOverride w:ilvl="5">
      <w:lvl w:ilvl="5">
        <w:start w:val="1"/>
        <w:numFmt w:val="decimal"/>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19" w16cid:durableId="871848257">
    <w:abstractNumId w:val="6"/>
  </w:num>
  <w:num w:numId="20" w16cid:durableId="1590383679">
    <w:abstractNumId w:val="10"/>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1LevelTitre1Niveau-AltL"/>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2LevelTitre2Niveau"/>
        <w:lvlText w:val="(%3)"/>
        <w:lvlJc w:val="left"/>
        <w:pPr>
          <w:tabs>
            <w:tab w:val="num" w:pos="1144"/>
          </w:tabs>
          <w:ind w:left="1144" w:hanging="576"/>
        </w:pPr>
        <w:rPr>
          <w:rFonts w:ascii="Times New Roman" w:hAnsi="Times New Roman" w:hint="default"/>
          <w:b w:val="0"/>
          <w:i w:val="0"/>
          <w:sz w:val="24"/>
        </w:rPr>
      </w:lvl>
    </w:lvlOverride>
    <w:lvlOverride w:ilvl="3">
      <w:lvl w:ilvl="3">
        <w:start w:val="1"/>
        <w:numFmt w:val="lowerLetter"/>
        <w:lvlText w:val="(%4)"/>
        <w:lvlJc w:val="left"/>
        <w:pPr>
          <w:tabs>
            <w:tab w:val="num" w:pos="1152"/>
          </w:tabs>
          <w:ind w:left="1152" w:hanging="576"/>
        </w:pPr>
        <w:rPr>
          <w:rFonts w:hint="default"/>
          <w:b w:val="0"/>
          <w:i w:val="0"/>
        </w:rPr>
      </w:lvl>
    </w:lvlOverride>
    <w:lvlOverride w:ilvl="4">
      <w:lvl w:ilvl="4">
        <w:start w:val="1"/>
        <w:numFmt w:val="lowerRoman"/>
        <w:lvlText w:val="(%5)"/>
        <w:lvlJc w:val="left"/>
        <w:pPr>
          <w:tabs>
            <w:tab w:val="num" w:pos="1728"/>
          </w:tabs>
          <w:ind w:left="1728" w:hanging="576"/>
        </w:pPr>
        <w:rPr>
          <w:rFonts w:hint="default"/>
        </w:rPr>
      </w:lvl>
    </w:lvlOverride>
    <w:lvlOverride w:ilvl="5">
      <w:lvl w:ilvl="5">
        <w:start w:val="1"/>
        <w:numFmt w:val="decimal"/>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21" w16cid:durableId="1206991395">
    <w:abstractNumId w:val="10"/>
    <w:lvlOverride w:ilvl="0">
      <w:startOverride w:val="7"/>
      <w:lvl w:ilvl="0">
        <w:start w:val="7"/>
        <w:numFmt w:val="upperRoman"/>
        <w:pStyle w:val="Title1LevelTitre1Niveau-AltL"/>
        <w:lvlText w:val="%1."/>
        <w:lvlJc w:val="left"/>
        <w:pPr>
          <w:tabs>
            <w:tab w:val="num" w:pos="576"/>
          </w:tabs>
          <w:ind w:left="576" w:hanging="576"/>
        </w:pPr>
        <w:rPr>
          <w:rFonts w:hint="default"/>
          <w:sz w:val="24"/>
        </w:rPr>
      </w:lvl>
    </w:lvlOverride>
    <w:lvlOverride w:ilvl="1">
      <w:startOverride w:val="4"/>
      <w:lvl w:ilvl="1">
        <w:start w:val="4"/>
        <w:numFmt w:val="upperLetter"/>
        <w:pStyle w:val="Title1LevelTitre1Niveau-AltL"/>
        <w:lvlText w:val="%2."/>
        <w:lvlJc w:val="left"/>
        <w:pPr>
          <w:tabs>
            <w:tab w:val="num" w:pos="576"/>
          </w:tabs>
          <w:ind w:left="576" w:hanging="576"/>
        </w:pPr>
        <w:rPr>
          <w:rFonts w:ascii="Times New Roman" w:hAnsi="Times New Roman" w:hint="default"/>
          <w:b w:val="0"/>
          <w:i w:val="0"/>
          <w:sz w:val="24"/>
        </w:rPr>
      </w:lvl>
    </w:lvlOverride>
    <w:lvlOverride w:ilvl="2">
      <w:startOverride w:val="1"/>
      <w:lvl w:ilvl="2">
        <w:start w:val="1"/>
        <w:numFmt w:val="decimal"/>
        <w:pStyle w:val="Title2LevelTitre2Niveau"/>
        <w:lvlText w:val="(%3)"/>
        <w:lvlJc w:val="left"/>
        <w:pPr>
          <w:tabs>
            <w:tab w:val="num" w:pos="1144"/>
          </w:tabs>
          <w:ind w:left="1144" w:hanging="576"/>
        </w:pPr>
        <w:rPr>
          <w:rFonts w:ascii="Times New Roman" w:hAnsi="Times New Roman" w:hint="default"/>
          <w:b w:val="0"/>
          <w:i w:val="0"/>
          <w:sz w:val="24"/>
        </w:rPr>
      </w:lvl>
    </w:lvlOverride>
    <w:lvlOverride w:ilvl="3">
      <w:startOverride w:val="1"/>
      <w:lvl w:ilvl="3">
        <w:start w:val="1"/>
        <w:numFmt w:val="lowerLetter"/>
        <w:lvlText w:val="(%4)"/>
        <w:lvlJc w:val="left"/>
        <w:pPr>
          <w:tabs>
            <w:tab w:val="num" w:pos="1152"/>
          </w:tabs>
          <w:ind w:left="1152" w:hanging="576"/>
        </w:pPr>
        <w:rPr>
          <w:rFonts w:hint="default"/>
          <w:b w:val="0"/>
          <w:i w:val="0"/>
        </w:rPr>
      </w:lvl>
    </w:lvlOverride>
    <w:lvlOverride w:ilvl="4">
      <w:startOverride w:val="1"/>
      <w:lvl w:ilvl="4">
        <w:start w:val="1"/>
        <w:numFmt w:val="lowerRoman"/>
        <w:lvlText w:val="(%5)"/>
        <w:lvlJc w:val="left"/>
        <w:pPr>
          <w:tabs>
            <w:tab w:val="num" w:pos="1728"/>
          </w:tabs>
          <w:ind w:left="1728" w:hanging="576"/>
        </w:pPr>
        <w:rPr>
          <w:rFonts w:hint="default"/>
        </w:rPr>
      </w:lvl>
    </w:lvlOverride>
    <w:lvlOverride w:ilvl="5">
      <w:startOverride w:val="1"/>
      <w:lvl w:ilvl="5">
        <w:start w:val="1"/>
        <w:numFmt w:val="decimal"/>
        <w:lvlText w:val="%6."/>
        <w:lvlJc w:val="left"/>
        <w:pPr>
          <w:tabs>
            <w:tab w:val="num" w:pos="1728"/>
          </w:tabs>
          <w:ind w:left="1728" w:hanging="576"/>
        </w:pPr>
        <w:rPr>
          <w:rFonts w:hint="default"/>
          <w:b w:val="0"/>
          <w:i w:val="0"/>
        </w:rPr>
      </w:lvl>
    </w:lvlOverride>
    <w:lvlOverride w:ilvl="6">
      <w:startOverride w:val="1"/>
      <w:lvl w:ilvl="6">
        <w:start w:val="1"/>
        <w:numFmt w:val="decimal"/>
        <w:lvlText w:val="%7."/>
        <w:lvlJc w:val="left"/>
        <w:pPr>
          <w:ind w:left="8208" w:hanging="432"/>
        </w:pPr>
        <w:rPr>
          <w:rFonts w:hint="default"/>
        </w:rPr>
      </w:lvl>
    </w:lvlOverride>
    <w:lvlOverride w:ilvl="7">
      <w:startOverride w:val="1"/>
      <w:lvl w:ilvl="7">
        <w:start w:val="1"/>
        <w:numFmt w:val="lowerLetter"/>
        <w:lvlText w:val="%8."/>
        <w:lvlJc w:val="left"/>
        <w:pPr>
          <w:ind w:left="8640" w:hanging="432"/>
        </w:pPr>
        <w:rPr>
          <w:rFonts w:hint="default"/>
        </w:rPr>
      </w:lvl>
    </w:lvlOverride>
    <w:lvlOverride w:ilvl="8">
      <w:startOverride w:val="1"/>
      <w:lvl w:ilvl="8">
        <w:start w:val="1"/>
        <w:numFmt w:val="lowerRoman"/>
        <w:lvlText w:val="%9."/>
        <w:lvlJc w:val="left"/>
        <w:pPr>
          <w:ind w:left="9072" w:hanging="432"/>
        </w:pPr>
        <w:rPr>
          <w:rFonts w:hint="default"/>
        </w:rPr>
      </w:lvl>
    </w:lvlOverride>
  </w:num>
  <w:num w:numId="22" w16cid:durableId="1418480524">
    <w:abstractNumId w:val="10"/>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1LevelTitre1Niveau-AltL"/>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2LevelTitre2Niveau"/>
        <w:lvlText w:val="(%3)"/>
        <w:lvlJc w:val="left"/>
        <w:pPr>
          <w:tabs>
            <w:tab w:val="num" w:pos="1144"/>
          </w:tabs>
          <w:ind w:left="1144" w:hanging="576"/>
        </w:pPr>
        <w:rPr>
          <w:rFonts w:ascii="Times New Roman" w:hAnsi="Times New Roman" w:hint="default"/>
          <w:b w:val="0"/>
          <w:i w:val="0"/>
          <w:sz w:val="24"/>
        </w:rPr>
      </w:lvl>
    </w:lvlOverride>
    <w:lvlOverride w:ilvl="3">
      <w:lvl w:ilvl="3">
        <w:start w:val="1"/>
        <w:numFmt w:val="lowerLetter"/>
        <w:lvlText w:val="(%4)"/>
        <w:lvlJc w:val="left"/>
        <w:pPr>
          <w:tabs>
            <w:tab w:val="num" w:pos="1152"/>
          </w:tabs>
          <w:ind w:left="1152" w:hanging="576"/>
        </w:pPr>
        <w:rPr>
          <w:rFonts w:hint="default"/>
          <w:b w:val="0"/>
          <w:i w:val="0"/>
        </w:rPr>
      </w:lvl>
    </w:lvlOverride>
    <w:lvlOverride w:ilvl="4">
      <w:lvl w:ilvl="4">
        <w:start w:val="1"/>
        <w:numFmt w:val="lowerRoman"/>
        <w:lvlText w:val="(%5)"/>
        <w:lvlJc w:val="left"/>
        <w:pPr>
          <w:tabs>
            <w:tab w:val="num" w:pos="1728"/>
          </w:tabs>
          <w:ind w:left="1728" w:hanging="576"/>
        </w:pPr>
        <w:rPr>
          <w:rFonts w:hint="default"/>
        </w:rPr>
      </w:lvl>
    </w:lvlOverride>
    <w:lvlOverride w:ilvl="5">
      <w:lvl w:ilvl="5">
        <w:start w:val="1"/>
        <w:numFmt w:val="decimal"/>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23" w16cid:durableId="1488744068">
    <w:abstractNumId w:val="12"/>
  </w:num>
  <w:num w:numId="24" w16cid:durableId="992181522">
    <w:abstractNumId w:val="16"/>
  </w:num>
  <w:num w:numId="25" w16cid:durableId="1540779844">
    <w:abstractNumId w:val="5"/>
  </w:num>
  <w:num w:numId="26" w16cid:durableId="122626683">
    <w:abstractNumId w:val="7"/>
  </w:num>
  <w:num w:numId="27" w16cid:durableId="2115444281">
    <w:abstractNumId w:val="13"/>
    <w:lvlOverride w:ilvl="0">
      <w:startOverride w:val="1"/>
    </w:lvlOverride>
    <w:lvlOverride w:ilvl="1">
      <w:startOverride w:val="1"/>
    </w:lvlOverride>
    <w:lvlOverride w:ilvl="2">
      <w:startOverride w:val="1"/>
    </w:lvlOverride>
    <w:lvlOverride w:ilvl="3">
      <w:startOverride w:val="5"/>
    </w:lvlOverride>
  </w:num>
  <w:num w:numId="28" w16cid:durableId="1841891491">
    <w:abstractNumId w:val="14"/>
  </w:num>
  <w:num w:numId="29" w16cid:durableId="1116173974">
    <w:abstractNumId w:val="2"/>
  </w:num>
  <w:num w:numId="30" w16cid:durableId="1917133671">
    <w:abstractNumId w:val="8"/>
  </w:num>
  <w:num w:numId="31" w16cid:durableId="164131150">
    <w:abstractNumId w:val="9"/>
  </w:num>
  <w:num w:numId="32" w16cid:durableId="1128665028">
    <w:abstractNumId w:val="3"/>
  </w:num>
  <w:num w:numId="33" w16cid:durableId="1437096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4C"/>
    <w:rsid w:val="00000ED4"/>
    <w:rsid w:val="00002669"/>
    <w:rsid w:val="00014374"/>
    <w:rsid w:val="00023FC7"/>
    <w:rsid w:val="00025198"/>
    <w:rsid w:val="000566C0"/>
    <w:rsid w:val="000578A3"/>
    <w:rsid w:val="000629A0"/>
    <w:rsid w:val="0006342A"/>
    <w:rsid w:val="000648CC"/>
    <w:rsid w:val="000A5345"/>
    <w:rsid w:val="000C3856"/>
    <w:rsid w:val="000C59B8"/>
    <w:rsid w:val="000C6AF0"/>
    <w:rsid w:val="000D0A77"/>
    <w:rsid w:val="000F7993"/>
    <w:rsid w:val="00102EE6"/>
    <w:rsid w:val="00104F33"/>
    <w:rsid w:val="00111DE2"/>
    <w:rsid w:val="00116B38"/>
    <w:rsid w:val="00135406"/>
    <w:rsid w:val="00135972"/>
    <w:rsid w:val="001426A9"/>
    <w:rsid w:val="001426FB"/>
    <w:rsid w:val="00154D7C"/>
    <w:rsid w:val="001570B0"/>
    <w:rsid w:val="0015752C"/>
    <w:rsid w:val="00157737"/>
    <w:rsid w:val="00165277"/>
    <w:rsid w:val="00170592"/>
    <w:rsid w:val="001720F7"/>
    <w:rsid w:val="00192E1C"/>
    <w:rsid w:val="00195D83"/>
    <w:rsid w:val="001A00C1"/>
    <w:rsid w:val="001B33E0"/>
    <w:rsid w:val="001B4573"/>
    <w:rsid w:val="001C779F"/>
    <w:rsid w:val="001D2AC1"/>
    <w:rsid w:val="001D4E88"/>
    <w:rsid w:val="001E393F"/>
    <w:rsid w:val="001F1EA7"/>
    <w:rsid w:val="001F4DEE"/>
    <w:rsid w:val="002201D8"/>
    <w:rsid w:val="00220FC2"/>
    <w:rsid w:val="002222F4"/>
    <w:rsid w:val="00224FC0"/>
    <w:rsid w:val="00225EA4"/>
    <w:rsid w:val="00226EAF"/>
    <w:rsid w:val="00231F3A"/>
    <w:rsid w:val="002406EE"/>
    <w:rsid w:val="00243EC8"/>
    <w:rsid w:val="00262500"/>
    <w:rsid w:val="00270D93"/>
    <w:rsid w:val="00272254"/>
    <w:rsid w:val="002745CC"/>
    <w:rsid w:val="002B6987"/>
    <w:rsid w:val="002B6FBE"/>
    <w:rsid w:val="002B7924"/>
    <w:rsid w:val="002C10A6"/>
    <w:rsid w:val="002D28C3"/>
    <w:rsid w:val="002D39A4"/>
    <w:rsid w:val="002E2AE2"/>
    <w:rsid w:val="002E6705"/>
    <w:rsid w:val="00300FAF"/>
    <w:rsid w:val="00302E50"/>
    <w:rsid w:val="0030329A"/>
    <w:rsid w:val="0031086F"/>
    <w:rsid w:val="0031414C"/>
    <w:rsid w:val="00314E01"/>
    <w:rsid w:val="0032089D"/>
    <w:rsid w:val="003310DE"/>
    <w:rsid w:val="003323B0"/>
    <w:rsid w:val="0033588D"/>
    <w:rsid w:val="00340A49"/>
    <w:rsid w:val="00343C43"/>
    <w:rsid w:val="0035169A"/>
    <w:rsid w:val="0035259D"/>
    <w:rsid w:val="00364B18"/>
    <w:rsid w:val="003A125D"/>
    <w:rsid w:val="003A1F31"/>
    <w:rsid w:val="003A4C70"/>
    <w:rsid w:val="003B215F"/>
    <w:rsid w:val="003C799C"/>
    <w:rsid w:val="003D0399"/>
    <w:rsid w:val="003E1C71"/>
    <w:rsid w:val="003F327B"/>
    <w:rsid w:val="00406166"/>
    <w:rsid w:val="0040704B"/>
    <w:rsid w:val="00410A55"/>
    <w:rsid w:val="00411300"/>
    <w:rsid w:val="00413F17"/>
    <w:rsid w:val="00415417"/>
    <w:rsid w:val="00426659"/>
    <w:rsid w:val="0044620E"/>
    <w:rsid w:val="00450352"/>
    <w:rsid w:val="00454BDB"/>
    <w:rsid w:val="00465132"/>
    <w:rsid w:val="004669AE"/>
    <w:rsid w:val="00480C90"/>
    <w:rsid w:val="0048396F"/>
    <w:rsid w:val="00493C18"/>
    <w:rsid w:val="004A600C"/>
    <w:rsid w:val="004A6118"/>
    <w:rsid w:val="004B1AD0"/>
    <w:rsid w:val="004C478D"/>
    <w:rsid w:val="004D7D95"/>
    <w:rsid w:val="004E2C26"/>
    <w:rsid w:val="004E5C1B"/>
    <w:rsid w:val="005125A8"/>
    <w:rsid w:val="00517549"/>
    <w:rsid w:val="00520ABC"/>
    <w:rsid w:val="00521AE8"/>
    <w:rsid w:val="00527180"/>
    <w:rsid w:val="00555291"/>
    <w:rsid w:val="00566AD1"/>
    <w:rsid w:val="00571634"/>
    <w:rsid w:val="00583EDE"/>
    <w:rsid w:val="005A6079"/>
    <w:rsid w:val="005C456B"/>
    <w:rsid w:val="005E15BD"/>
    <w:rsid w:val="005E4698"/>
    <w:rsid w:val="005F7E2A"/>
    <w:rsid w:val="00603924"/>
    <w:rsid w:val="00610539"/>
    <w:rsid w:val="00613969"/>
    <w:rsid w:val="00625C35"/>
    <w:rsid w:val="0062750D"/>
    <w:rsid w:val="00647E49"/>
    <w:rsid w:val="00656313"/>
    <w:rsid w:val="006565F4"/>
    <w:rsid w:val="00660CED"/>
    <w:rsid w:val="00684EEA"/>
    <w:rsid w:val="0069689B"/>
    <w:rsid w:val="006B5FF5"/>
    <w:rsid w:val="006C16C1"/>
    <w:rsid w:val="006F30AF"/>
    <w:rsid w:val="00701759"/>
    <w:rsid w:val="00705C15"/>
    <w:rsid w:val="007110F6"/>
    <w:rsid w:val="007208D1"/>
    <w:rsid w:val="00744518"/>
    <w:rsid w:val="00747288"/>
    <w:rsid w:val="00747DC8"/>
    <w:rsid w:val="00747DD3"/>
    <w:rsid w:val="007549C8"/>
    <w:rsid w:val="00766D14"/>
    <w:rsid w:val="00767A0F"/>
    <w:rsid w:val="00770BB3"/>
    <w:rsid w:val="00782630"/>
    <w:rsid w:val="00791272"/>
    <w:rsid w:val="007A05F6"/>
    <w:rsid w:val="007B6F4A"/>
    <w:rsid w:val="007C773A"/>
    <w:rsid w:val="007E1C47"/>
    <w:rsid w:val="007E337A"/>
    <w:rsid w:val="007E5C70"/>
    <w:rsid w:val="007F2FF5"/>
    <w:rsid w:val="007F3F08"/>
    <w:rsid w:val="00804CC6"/>
    <w:rsid w:val="00806D93"/>
    <w:rsid w:val="00817190"/>
    <w:rsid w:val="008260E2"/>
    <w:rsid w:val="008322BD"/>
    <w:rsid w:val="00834F73"/>
    <w:rsid w:val="008433AC"/>
    <w:rsid w:val="008477E9"/>
    <w:rsid w:val="00864C8A"/>
    <w:rsid w:val="00864CF8"/>
    <w:rsid w:val="00874914"/>
    <w:rsid w:val="00891422"/>
    <w:rsid w:val="00892E1A"/>
    <w:rsid w:val="008A4D37"/>
    <w:rsid w:val="008B660A"/>
    <w:rsid w:val="008C01DA"/>
    <w:rsid w:val="008E72F2"/>
    <w:rsid w:val="008F2674"/>
    <w:rsid w:val="008F78E9"/>
    <w:rsid w:val="00900537"/>
    <w:rsid w:val="009179F9"/>
    <w:rsid w:val="00917C7A"/>
    <w:rsid w:val="00933E5E"/>
    <w:rsid w:val="00935218"/>
    <w:rsid w:val="00935EED"/>
    <w:rsid w:val="00937C52"/>
    <w:rsid w:val="009403F3"/>
    <w:rsid w:val="009555B7"/>
    <w:rsid w:val="009567AA"/>
    <w:rsid w:val="009602C9"/>
    <w:rsid w:val="00967374"/>
    <w:rsid w:val="009769DE"/>
    <w:rsid w:val="009A343A"/>
    <w:rsid w:val="009A7EAE"/>
    <w:rsid w:val="009B2F23"/>
    <w:rsid w:val="009B57B3"/>
    <w:rsid w:val="009D2920"/>
    <w:rsid w:val="009D5AEB"/>
    <w:rsid w:val="009E5179"/>
    <w:rsid w:val="009F0E33"/>
    <w:rsid w:val="00A149DF"/>
    <w:rsid w:val="00A1755C"/>
    <w:rsid w:val="00A21B90"/>
    <w:rsid w:val="00A22AAC"/>
    <w:rsid w:val="00A41805"/>
    <w:rsid w:val="00A51882"/>
    <w:rsid w:val="00A52AFB"/>
    <w:rsid w:val="00A548CB"/>
    <w:rsid w:val="00A5521C"/>
    <w:rsid w:val="00A6399E"/>
    <w:rsid w:val="00A643E7"/>
    <w:rsid w:val="00A73C38"/>
    <w:rsid w:val="00A921A7"/>
    <w:rsid w:val="00AA14CD"/>
    <w:rsid w:val="00AA217D"/>
    <w:rsid w:val="00AB670D"/>
    <w:rsid w:val="00AD4BD9"/>
    <w:rsid w:val="00AE0196"/>
    <w:rsid w:val="00AE24CD"/>
    <w:rsid w:val="00AE42CB"/>
    <w:rsid w:val="00AF03C5"/>
    <w:rsid w:val="00AF358D"/>
    <w:rsid w:val="00B000D8"/>
    <w:rsid w:val="00B00F75"/>
    <w:rsid w:val="00B145B6"/>
    <w:rsid w:val="00B279EB"/>
    <w:rsid w:val="00B31F4E"/>
    <w:rsid w:val="00B40410"/>
    <w:rsid w:val="00B43D21"/>
    <w:rsid w:val="00B50C81"/>
    <w:rsid w:val="00B51769"/>
    <w:rsid w:val="00B557F8"/>
    <w:rsid w:val="00B815FC"/>
    <w:rsid w:val="00B93FBC"/>
    <w:rsid w:val="00BA7DA0"/>
    <w:rsid w:val="00BB2EE4"/>
    <w:rsid w:val="00BB4C92"/>
    <w:rsid w:val="00BC2108"/>
    <w:rsid w:val="00BD0E9E"/>
    <w:rsid w:val="00BD1BEC"/>
    <w:rsid w:val="00BD32FF"/>
    <w:rsid w:val="00BF30CE"/>
    <w:rsid w:val="00BF5789"/>
    <w:rsid w:val="00BF6FE9"/>
    <w:rsid w:val="00C02092"/>
    <w:rsid w:val="00C03862"/>
    <w:rsid w:val="00C0409E"/>
    <w:rsid w:val="00C1532B"/>
    <w:rsid w:val="00C24D91"/>
    <w:rsid w:val="00C262B0"/>
    <w:rsid w:val="00C26DB2"/>
    <w:rsid w:val="00C30661"/>
    <w:rsid w:val="00C53F14"/>
    <w:rsid w:val="00C600CF"/>
    <w:rsid w:val="00C6084F"/>
    <w:rsid w:val="00C62A66"/>
    <w:rsid w:val="00C66359"/>
    <w:rsid w:val="00C71458"/>
    <w:rsid w:val="00C77613"/>
    <w:rsid w:val="00C828E7"/>
    <w:rsid w:val="00C86719"/>
    <w:rsid w:val="00C921DD"/>
    <w:rsid w:val="00CA6391"/>
    <w:rsid w:val="00CD6239"/>
    <w:rsid w:val="00CE036E"/>
    <w:rsid w:val="00CE3171"/>
    <w:rsid w:val="00CF1601"/>
    <w:rsid w:val="00CF7BC7"/>
    <w:rsid w:val="00D0172F"/>
    <w:rsid w:val="00D01E33"/>
    <w:rsid w:val="00D064AF"/>
    <w:rsid w:val="00D068A7"/>
    <w:rsid w:val="00D17476"/>
    <w:rsid w:val="00D17B0E"/>
    <w:rsid w:val="00D32086"/>
    <w:rsid w:val="00D37A3F"/>
    <w:rsid w:val="00D438A4"/>
    <w:rsid w:val="00D4431D"/>
    <w:rsid w:val="00D4667A"/>
    <w:rsid w:val="00D63A1C"/>
    <w:rsid w:val="00D70E71"/>
    <w:rsid w:val="00D72F85"/>
    <w:rsid w:val="00D7516F"/>
    <w:rsid w:val="00D94D9C"/>
    <w:rsid w:val="00D95F8E"/>
    <w:rsid w:val="00DA0590"/>
    <w:rsid w:val="00DA6476"/>
    <w:rsid w:val="00DB58F9"/>
    <w:rsid w:val="00DC1739"/>
    <w:rsid w:val="00DC1788"/>
    <w:rsid w:val="00DE319C"/>
    <w:rsid w:val="00DF0CA8"/>
    <w:rsid w:val="00DF2B48"/>
    <w:rsid w:val="00DF3A79"/>
    <w:rsid w:val="00DF49A7"/>
    <w:rsid w:val="00E07EE2"/>
    <w:rsid w:val="00E07FD1"/>
    <w:rsid w:val="00E22C80"/>
    <w:rsid w:val="00E24573"/>
    <w:rsid w:val="00E25E1E"/>
    <w:rsid w:val="00E27EE7"/>
    <w:rsid w:val="00E35404"/>
    <w:rsid w:val="00E45109"/>
    <w:rsid w:val="00E47B7A"/>
    <w:rsid w:val="00E53CB9"/>
    <w:rsid w:val="00E56A44"/>
    <w:rsid w:val="00E60269"/>
    <w:rsid w:val="00E61CE3"/>
    <w:rsid w:val="00E97830"/>
    <w:rsid w:val="00EE0830"/>
    <w:rsid w:val="00EE6CB8"/>
    <w:rsid w:val="00EF0683"/>
    <w:rsid w:val="00F0070C"/>
    <w:rsid w:val="00F00EB7"/>
    <w:rsid w:val="00F0124E"/>
    <w:rsid w:val="00F36AB6"/>
    <w:rsid w:val="00F37A09"/>
    <w:rsid w:val="00F409CE"/>
    <w:rsid w:val="00F41D59"/>
    <w:rsid w:val="00F4379D"/>
    <w:rsid w:val="00F50D2D"/>
    <w:rsid w:val="00F56C8B"/>
    <w:rsid w:val="00F60132"/>
    <w:rsid w:val="00F62639"/>
    <w:rsid w:val="00F66810"/>
    <w:rsid w:val="00F84DF4"/>
    <w:rsid w:val="00F85C97"/>
    <w:rsid w:val="00F95DB4"/>
    <w:rsid w:val="00FB0079"/>
    <w:rsid w:val="00FB37D2"/>
    <w:rsid w:val="00FC051E"/>
    <w:rsid w:val="00FC4EFB"/>
    <w:rsid w:val="00FD068D"/>
    <w:rsid w:val="00FD4F28"/>
    <w:rsid w:val="00FE6784"/>
    <w:rsid w:val="00FE7A8B"/>
    <w:rsid w:val="00FF2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655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89"/>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192E1C"/>
    <w:pPr>
      <w:keepNext/>
      <w:keepLines/>
      <w:spacing w:before="40"/>
      <w:outlineLvl w:val="2"/>
    </w:pPr>
    <w:rPr>
      <w:rFonts w:asciiTheme="majorHAnsi" w:eastAsiaTheme="majorEastAsia" w:hAnsiTheme="majorHAnsi" w:cstheme="majorBidi"/>
      <w:color w:val="243F60" w:themeColor="accent1" w:themeShade="7F"/>
      <w:szCs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character" w:styleId="lev">
    <w:name w:val="Strong"/>
    <w:basedOn w:val="Policepardfaut"/>
    <w:uiPriority w:val="22"/>
    <w:qFormat/>
    <w:rsid w:val="00C53F14"/>
    <w:rPr>
      <w:b/>
      <w:bCs/>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character" w:styleId="Textedelespacerserv">
    <w:name w:val="Placeholder Text"/>
    <w:basedOn w:val="Policepardfaut"/>
    <w:uiPriority w:val="99"/>
    <w:semiHidden/>
    <w:rsid w:val="00CE3171"/>
    <w:rPr>
      <w:color w:val="808080"/>
    </w:rPr>
  </w:style>
  <w:style w:type="paragraph" w:styleId="Textedebulles">
    <w:name w:val="Balloon Text"/>
    <w:basedOn w:val="Normal"/>
    <w:link w:val="TextedebullesCar"/>
    <w:uiPriority w:val="99"/>
    <w:semiHidden/>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semiHidden/>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link w:val="SCCBanSummaryChar"/>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en">
    <w:name w:val="Hyperlink"/>
    <w:basedOn w:val="Policepardfaut"/>
    <w:uiPriority w:val="99"/>
    <w:unhideWhenUsed/>
    <w:rsid w:val="003A1F31"/>
    <w:rPr>
      <w:color w:val="660000"/>
      <w:u w:val="none"/>
    </w:rPr>
  </w:style>
  <w:style w:type="paragraph" w:customStyle="1" w:styleId="sccnormaldoublespacing0">
    <w:name w:val="sccnormaldoublespacing"/>
    <w:basedOn w:val="Normal"/>
    <w:rsid w:val="001E393F"/>
    <w:pPr>
      <w:spacing w:before="100" w:beforeAutospacing="1" w:after="100" w:afterAutospacing="1"/>
    </w:pPr>
    <w:rPr>
      <w:szCs w:val="24"/>
      <w:lang w:val="fr-CA" w:eastAsia="fr-CA"/>
    </w:rPr>
  </w:style>
  <w:style w:type="character" w:customStyle="1" w:styleId="solexhl">
    <w:name w:val="solexhl"/>
    <w:basedOn w:val="Policepardfaut"/>
    <w:rsid w:val="001E393F"/>
  </w:style>
  <w:style w:type="character" w:styleId="Marquedecommentaire">
    <w:name w:val="annotation reference"/>
    <w:basedOn w:val="Policepardfaut"/>
    <w:uiPriority w:val="99"/>
    <w:semiHidden/>
    <w:unhideWhenUsed/>
    <w:rsid w:val="00C03862"/>
    <w:rPr>
      <w:sz w:val="16"/>
      <w:szCs w:val="16"/>
    </w:rPr>
  </w:style>
  <w:style w:type="paragraph" w:styleId="Commentaire">
    <w:name w:val="annotation text"/>
    <w:basedOn w:val="Normal"/>
    <w:link w:val="CommentaireCar"/>
    <w:uiPriority w:val="99"/>
    <w:unhideWhenUsed/>
    <w:rsid w:val="00C03862"/>
    <w:rPr>
      <w:sz w:val="20"/>
    </w:rPr>
  </w:style>
  <w:style w:type="character" w:customStyle="1" w:styleId="CommentaireCar">
    <w:name w:val="Commentaire Car"/>
    <w:basedOn w:val="Policepardfaut"/>
    <w:link w:val="Commentaire"/>
    <w:uiPriority w:val="99"/>
    <w:rsid w:val="00C03862"/>
  </w:style>
  <w:style w:type="paragraph" w:styleId="Objetducommentaire">
    <w:name w:val="annotation subject"/>
    <w:basedOn w:val="Commentaire"/>
    <w:next w:val="Commentaire"/>
    <w:link w:val="ObjetducommentaireCar"/>
    <w:uiPriority w:val="99"/>
    <w:semiHidden/>
    <w:unhideWhenUsed/>
    <w:rsid w:val="00C03862"/>
    <w:rPr>
      <w:b/>
      <w:bCs/>
    </w:rPr>
  </w:style>
  <w:style w:type="character" w:customStyle="1" w:styleId="ObjetducommentaireCar">
    <w:name w:val="Objet du commentaire Car"/>
    <w:basedOn w:val="CommentaireCar"/>
    <w:link w:val="Objetducommentaire"/>
    <w:uiPriority w:val="99"/>
    <w:semiHidden/>
    <w:rsid w:val="00C03862"/>
    <w:rPr>
      <w:b/>
      <w:bCs/>
    </w:rPr>
  </w:style>
  <w:style w:type="character" w:customStyle="1" w:styleId="Titre3Car">
    <w:name w:val="Titre 3 Car"/>
    <w:basedOn w:val="Policepardfaut"/>
    <w:link w:val="Titre3"/>
    <w:uiPriority w:val="9"/>
    <w:semiHidden/>
    <w:rsid w:val="00192E1C"/>
    <w:rPr>
      <w:rFonts w:asciiTheme="majorHAnsi" w:eastAsiaTheme="majorEastAsia" w:hAnsiTheme="majorHAnsi" w:cstheme="majorBidi"/>
      <w:color w:val="243F60" w:themeColor="accent1" w:themeShade="7F"/>
      <w:sz w:val="24"/>
      <w:szCs w:val="24"/>
      <w:lang w:val="fr-CA"/>
    </w:rPr>
  </w:style>
  <w:style w:type="paragraph" w:styleId="Sansinterligne">
    <w:name w:val="No Spacing"/>
    <w:uiPriority w:val="1"/>
    <w:rsid w:val="00192E1C"/>
    <w:rPr>
      <w:sz w:val="24"/>
    </w:rPr>
  </w:style>
  <w:style w:type="paragraph" w:customStyle="1" w:styleId="SCCLsocOtherPartyRoleSeparator">
    <w:name w:val="SCC.Lsoc.OtherPartyRoleSeparator"/>
    <w:basedOn w:val="Normal"/>
    <w:next w:val="Normal"/>
    <w:link w:val="SCCLsocOtherPartyRoleSeparatorChar"/>
    <w:rsid w:val="00192E1C"/>
    <w:pPr>
      <w:spacing w:after="480"/>
    </w:pPr>
    <w:rPr>
      <w:rFonts w:eastAsiaTheme="minorHAnsi" w:cstheme="minorBidi"/>
      <w:szCs w:val="22"/>
      <w:lang w:val="fr-CA" w:eastAsia="en-US"/>
    </w:rPr>
  </w:style>
  <w:style w:type="character" w:customStyle="1" w:styleId="SCCLsocOtherPartyRoleSeparatorChar">
    <w:name w:val="SCC.Lsoc.OtherPartyRoleSeparator Char"/>
    <w:basedOn w:val="Policepardfaut"/>
    <w:link w:val="SCCLsocOtherPartyRoleSeparator"/>
    <w:rsid w:val="00192E1C"/>
    <w:rPr>
      <w:rFonts w:eastAsiaTheme="minorHAnsi" w:cstheme="minorBidi"/>
      <w:sz w:val="24"/>
      <w:szCs w:val="22"/>
      <w:lang w:val="fr-CA" w:eastAsia="en-US"/>
    </w:rPr>
  </w:style>
  <w:style w:type="paragraph" w:customStyle="1" w:styleId="SCCCoram">
    <w:name w:val="SCC.Coram"/>
    <w:basedOn w:val="Normal"/>
    <w:next w:val="Normal"/>
    <w:link w:val="SCCCoramChar"/>
    <w:rsid w:val="00192E1C"/>
    <w:pPr>
      <w:pBdr>
        <w:bottom w:val="single" w:sz="4" w:space="1" w:color="auto"/>
      </w:pBdr>
    </w:pPr>
    <w:rPr>
      <w:rFonts w:eastAsiaTheme="minorHAnsi" w:cstheme="minorBidi"/>
      <w:szCs w:val="22"/>
      <w:lang w:val="fr-CA" w:eastAsia="en-US"/>
    </w:rPr>
  </w:style>
  <w:style w:type="character" w:customStyle="1" w:styleId="SCCCoramChar">
    <w:name w:val="SCC.Coram Char"/>
    <w:basedOn w:val="Policepardfaut"/>
    <w:link w:val="SCCCoram"/>
    <w:rsid w:val="00192E1C"/>
    <w:rPr>
      <w:rFonts w:eastAsiaTheme="minorHAnsi" w:cstheme="minorBidi"/>
      <w:sz w:val="24"/>
      <w:szCs w:val="22"/>
      <w:lang w:val="fr-CA" w:eastAsia="en-US"/>
    </w:rPr>
  </w:style>
  <w:style w:type="character" w:customStyle="1" w:styleId="SCCBanSummaryChar">
    <w:name w:val="SCC.BanSummary Char"/>
    <w:basedOn w:val="Policepardfaut"/>
    <w:link w:val="SCCBanSummary"/>
    <w:rsid w:val="00192E1C"/>
    <w:rPr>
      <w:b/>
      <w:sz w:val="24"/>
    </w:rPr>
  </w:style>
  <w:style w:type="table" w:styleId="Grilledutableau">
    <w:name w:val="Table Grid"/>
    <w:basedOn w:val="TableauNormal"/>
    <w:uiPriority w:val="59"/>
    <w:rsid w:val="00192E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AltC">
    <w:name w:val="Citation - Alt C"/>
    <w:uiPriority w:val="2"/>
    <w:qFormat/>
    <w:rsid w:val="00192E1C"/>
    <w:pPr>
      <w:spacing w:after="720"/>
      <w:ind w:left="1166"/>
      <w:contextualSpacing/>
      <w:jc w:val="both"/>
    </w:pPr>
    <w:rPr>
      <w:sz w:val="24"/>
      <w:lang w:val="fr-CA"/>
    </w:rPr>
  </w:style>
  <w:style w:type="paragraph" w:customStyle="1" w:styleId="ContinueParaSuitedupar-AltP">
    <w:name w:val="Continue Para. / Suite du par. - Alt P"/>
    <w:next w:val="ParaNoNdepar-AltN"/>
    <w:uiPriority w:val="1"/>
    <w:qFormat/>
    <w:rsid w:val="00192E1C"/>
    <w:pPr>
      <w:spacing w:before="480" w:after="480" w:line="480" w:lineRule="auto"/>
      <w:jc w:val="both"/>
    </w:pPr>
    <w:rPr>
      <w:rFonts w:eastAsiaTheme="minorHAnsi" w:cstheme="minorBidi"/>
      <w:sz w:val="24"/>
      <w:szCs w:val="22"/>
      <w:lang w:val="fr-CA" w:eastAsia="en-US"/>
    </w:rPr>
  </w:style>
  <w:style w:type="paragraph" w:customStyle="1" w:styleId="ParaNoNdepar-AltN">
    <w:name w:val="Para. No. / Nº de par. - Alt N"/>
    <w:link w:val="ParaNoNdepar-AltNChar"/>
    <w:qFormat/>
    <w:rsid w:val="00192E1C"/>
    <w:pPr>
      <w:numPr>
        <w:numId w:val="1"/>
      </w:numPr>
      <w:spacing w:before="480" w:after="480" w:line="480" w:lineRule="auto"/>
      <w:jc w:val="both"/>
    </w:pPr>
    <w:rPr>
      <w:rFonts w:eastAsiaTheme="minorEastAsia" w:cstheme="minorBidi"/>
      <w:sz w:val="24"/>
      <w:szCs w:val="22"/>
      <w:lang w:val="fr-CA" w:eastAsia="en-US"/>
    </w:rPr>
  </w:style>
  <w:style w:type="character" w:customStyle="1" w:styleId="ParaNoNdepar-AltNChar">
    <w:name w:val="Para. No. / Nº de par. - Alt N Char"/>
    <w:basedOn w:val="Policepardfaut"/>
    <w:link w:val="ParaNoNdepar-AltN"/>
    <w:rsid w:val="00192E1C"/>
    <w:rPr>
      <w:rFonts w:eastAsiaTheme="minorEastAsia" w:cstheme="minorBidi"/>
      <w:sz w:val="24"/>
      <w:szCs w:val="22"/>
      <w:lang w:val="fr-CA" w:eastAsia="en-US"/>
    </w:rPr>
  </w:style>
  <w:style w:type="paragraph" w:customStyle="1" w:styleId="JudgeJuge">
    <w:name w:val="Judge / Juge"/>
    <w:uiPriority w:val="3"/>
    <w:rsid w:val="00192E1C"/>
    <w:pPr>
      <w:tabs>
        <w:tab w:val="left" w:pos="1166"/>
      </w:tabs>
      <w:spacing w:after="480" w:line="480" w:lineRule="auto"/>
    </w:pPr>
    <w:rPr>
      <w:smallCaps/>
      <w:sz w:val="24"/>
      <w:lang w:val="fr-CA"/>
    </w:rPr>
  </w:style>
  <w:style w:type="paragraph" w:customStyle="1" w:styleId="Title1LevelTitre1Niveau-AltL">
    <w:name w:val="Title 1 Level / Titre 1 Niveau - Alt L"/>
    <w:next w:val="ParaNoNdepar-AltN"/>
    <w:uiPriority w:val="4"/>
    <w:qFormat/>
    <w:rsid w:val="00192E1C"/>
    <w:pPr>
      <w:numPr>
        <w:ilvl w:val="1"/>
        <w:numId w:val="2"/>
      </w:numPr>
      <w:spacing w:before="480" w:after="720"/>
      <w:jc w:val="both"/>
      <w:outlineLvl w:val="0"/>
    </w:pPr>
    <w:rPr>
      <w:rFonts w:eastAsiaTheme="minorHAnsi" w:cstheme="minorBidi"/>
      <w:sz w:val="24"/>
      <w:szCs w:val="22"/>
      <w:u w:val="single"/>
      <w:lang w:eastAsia="en-US"/>
    </w:rPr>
  </w:style>
  <w:style w:type="paragraph" w:customStyle="1" w:styleId="Title2LevelTitre2Niveau">
    <w:name w:val="Title 2 Level / Titre 2 Niveau"/>
    <w:basedOn w:val="Title1LevelTitre1Niveau-AltL"/>
    <w:next w:val="ParaNoNdepar-AltN"/>
    <w:uiPriority w:val="4"/>
    <w:qFormat/>
    <w:rsid w:val="00192E1C"/>
    <w:pPr>
      <w:numPr>
        <w:ilvl w:val="2"/>
      </w:numPr>
      <w:tabs>
        <w:tab w:val="clear" w:pos="1144"/>
        <w:tab w:val="num" w:pos="576"/>
      </w:tabs>
      <w:ind w:left="576"/>
      <w:outlineLvl w:val="1"/>
    </w:pPr>
    <w:rPr>
      <w:i/>
      <w:u w:val="none"/>
    </w:rPr>
  </w:style>
  <w:style w:type="paragraph" w:customStyle="1" w:styleId="Title3LevelTitre3Niveau">
    <w:name w:val="Title 3 Level / Titre 3 Niveau"/>
    <w:basedOn w:val="Title1LevelTitre1Niveau-AltL"/>
    <w:next w:val="ParaNoNdepar-AltN"/>
    <w:uiPriority w:val="4"/>
    <w:qFormat/>
    <w:rsid w:val="00192E1C"/>
    <w:pPr>
      <w:numPr>
        <w:ilvl w:val="0"/>
        <w:numId w:val="0"/>
      </w:numPr>
      <w:tabs>
        <w:tab w:val="num" w:pos="1144"/>
      </w:tabs>
      <w:ind w:left="1144" w:hanging="576"/>
      <w:outlineLvl w:val="2"/>
    </w:pPr>
  </w:style>
  <w:style w:type="paragraph" w:customStyle="1" w:styleId="Title4LevelTitre4Niveau">
    <w:name w:val="Title 4 Level / Titre 4 Niveau"/>
    <w:basedOn w:val="Title3LevelTitre3Niveau"/>
    <w:next w:val="ParaNoNdepar-AltN"/>
    <w:uiPriority w:val="4"/>
    <w:qFormat/>
    <w:rsid w:val="00192E1C"/>
    <w:pPr>
      <w:numPr>
        <w:ilvl w:val="1"/>
        <w:numId w:val="1"/>
      </w:numPr>
      <w:ind w:left="1152" w:hanging="576"/>
      <w:outlineLvl w:val="3"/>
    </w:pPr>
    <w:rPr>
      <w:i/>
      <w:u w:val="none"/>
      <w:lang w:val="fr-CA"/>
    </w:rPr>
  </w:style>
  <w:style w:type="paragraph" w:customStyle="1" w:styleId="Title5LevelTitre5Niveau">
    <w:name w:val="Title 5 Level / Titre 5 Niveau"/>
    <w:basedOn w:val="Title1LevelTitre1Niveau-AltL"/>
    <w:next w:val="ParaNoNdepar-AltN"/>
    <w:uiPriority w:val="4"/>
    <w:qFormat/>
    <w:rsid w:val="00192E1C"/>
    <w:pPr>
      <w:numPr>
        <w:ilvl w:val="0"/>
        <w:numId w:val="0"/>
      </w:numPr>
      <w:tabs>
        <w:tab w:val="num" w:pos="1728"/>
      </w:tabs>
      <w:ind w:left="1728" w:hanging="576"/>
      <w:outlineLvl w:val="4"/>
    </w:pPr>
  </w:style>
  <w:style w:type="paragraph" w:customStyle="1" w:styleId="TitleTitre-AltT">
    <w:name w:val="Title / Titre - Alt T"/>
    <w:next w:val="ParaNoNdepar-AltN"/>
    <w:uiPriority w:val="3"/>
    <w:qFormat/>
    <w:rsid w:val="00192E1C"/>
    <w:pPr>
      <w:tabs>
        <w:tab w:val="left" w:pos="360"/>
      </w:tabs>
      <w:spacing w:before="480" w:after="720"/>
      <w:ind w:left="360" w:hanging="360"/>
      <w:jc w:val="both"/>
      <w:outlineLvl w:val="0"/>
    </w:pPr>
    <w:rPr>
      <w:rFonts w:eastAsiaTheme="minorHAnsi" w:cstheme="minorBidi"/>
      <w:sz w:val="24"/>
      <w:szCs w:val="22"/>
      <w:lang w:eastAsia="en-US"/>
    </w:rPr>
  </w:style>
  <w:style w:type="paragraph" w:customStyle="1" w:styleId="Title6LevelTitre6Niveau">
    <w:name w:val="Title 6 Level / Titre 6 Niveau"/>
    <w:basedOn w:val="Title5LevelTitre5Niveau"/>
    <w:next w:val="ParaNoNdepar-AltN"/>
    <w:uiPriority w:val="4"/>
    <w:qFormat/>
    <w:rsid w:val="00192E1C"/>
    <w:pPr>
      <w:numPr>
        <w:ilvl w:val="5"/>
      </w:numPr>
      <w:tabs>
        <w:tab w:val="num" w:pos="1728"/>
      </w:tabs>
      <w:ind w:left="1728" w:hanging="576"/>
      <w:outlineLvl w:val="5"/>
    </w:pPr>
    <w:rPr>
      <w:i/>
      <w:u w:val="none"/>
    </w:rPr>
  </w:style>
  <w:style w:type="paragraph" w:styleId="Notedebasdepage">
    <w:name w:val="footnote text"/>
    <w:basedOn w:val="Normal"/>
    <w:link w:val="NotedebasdepageCar"/>
    <w:uiPriority w:val="99"/>
    <w:unhideWhenUsed/>
    <w:rsid w:val="00192E1C"/>
    <w:pPr>
      <w:tabs>
        <w:tab w:val="left" w:pos="180"/>
      </w:tabs>
      <w:ind w:left="187" w:hanging="187"/>
      <w:jc w:val="both"/>
    </w:pPr>
    <w:rPr>
      <w:sz w:val="20"/>
      <w:lang w:val="fr-CA"/>
    </w:rPr>
  </w:style>
  <w:style w:type="character" w:customStyle="1" w:styleId="NotedebasdepageCar">
    <w:name w:val="Note de bas de page Car"/>
    <w:basedOn w:val="Policepardfaut"/>
    <w:link w:val="Notedebasdepage"/>
    <w:uiPriority w:val="99"/>
    <w:rsid w:val="00192E1C"/>
    <w:rPr>
      <w:lang w:val="fr-CA"/>
    </w:rPr>
  </w:style>
  <w:style w:type="paragraph" w:styleId="Paragraphedeliste">
    <w:name w:val="List Paragraph"/>
    <w:basedOn w:val="Normal"/>
    <w:uiPriority w:val="34"/>
    <w:rsid w:val="00192E1C"/>
    <w:pPr>
      <w:ind w:left="720"/>
      <w:contextualSpacing/>
    </w:pPr>
    <w:rPr>
      <w:lang w:val="fr-CA"/>
    </w:rPr>
  </w:style>
  <w:style w:type="paragraph" w:styleId="NormalWeb">
    <w:name w:val="Normal (Web)"/>
    <w:basedOn w:val="Normal"/>
    <w:uiPriority w:val="99"/>
    <w:unhideWhenUsed/>
    <w:rsid w:val="00192E1C"/>
    <w:pPr>
      <w:spacing w:before="100" w:beforeAutospacing="1" w:after="100" w:afterAutospacing="1"/>
    </w:pPr>
    <w:rPr>
      <w:szCs w:val="24"/>
      <w:lang w:val="en-US" w:eastAsia="en-US"/>
    </w:rPr>
  </w:style>
  <w:style w:type="paragraph" w:customStyle="1" w:styleId="Default">
    <w:name w:val="Default"/>
    <w:rsid w:val="00192E1C"/>
    <w:pPr>
      <w:autoSpaceDE w:val="0"/>
      <w:autoSpaceDN w:val="0"/>
      <w:adjustRightInd w:val="0"/>
    </w:pPr>
    <w:rPr>
      <w:color w:val="000000"/>
      <w:sz w:val="24"/>
      <w:szCs w:val="24"/>
      <w:lang w:val="en-US"/>
    </w:rPr>
  </w:style>
  <w:style w:type="paragraph" w:styleId="Corpsdetexte">
    <w:name w:val="Body Text"/>
    <w:basedOn w:val="Normal"/>
    <w:link w:val="CorpsdetexteCar"/>
    <w:uiPriority w:val="99"/>
    <w:unhideWhenUsed/>
    <w:rsid w:val="00192E1C"/>
    <w:pPr>
      <w:spacing w:after="120" w:line="276" w:lineRule="auto"/>
    </w:pPr>
    <w:rPr>
      <w:rFonts w:asciiTheme="minorHAnsi" w:eastAsiaTheme="minorEastAsia" w:hAnsiTheme="minorHAnsi" w:cstheme="minorBidi"/>
      <w:sz w:val="22"/>
      <w:szCs w:val="22"/>
      <w:lang w:val="en-US" w:eastAsia="en-US"/>
    </w:rPr>
  </w:style>
  <w:style w:type="character" w:customStyle="1" w:styleId="CorpsdetexteCar">
    <w:name w:val="Corps de texte Car"/>
    <w:basedOn w:val="Policepardfaut"/>
    <w:link w:val="Corpsdetexte"/>
    <w:uiPriority w:val="99"/>
    <w:rsid w:val="00192E1C"/>
    <w:rPr>
      <w:rFonts w:asciiTheme="minorHAnsi" w:eastAsiaTheme="minorEastAsia" w:hAnsiTheme="minorHAnsi" w:cstheme="minorBidi"/>
      <w:sz w:val="22"/>
      <w:szCs w:val="22"/>
      <w:lang w:val="en-US" w:eastAsia="en-US"/>
    </w:rPr>
  </w:style>
  <w:style w:type="paragraph" w:customStyle="1" w:styleId="CITATION0">
    <w:name w:val="CITATION"/>
    <w:basedOn w:val="Normal"/>
    <w:next w:val="Normal"/>
    <w:qFormat/>
    <w:rsid w:val="00192E1C"/>
    <w:pPr>
      <w:spacing w:after="240"/>
      <w:ind w:left="720" w:right="720"/>
      <w:jc w:val="both"/>
    </w:pPr>
    <w:rPr>
      <w:lang w:val="fr-CA"/>
    </w:rPr>
  </w:style>
  <w:style w:type="paragraph" w:customStyle="1" w:styleId="quote1st">
    <w:name w:val="quote1st"/>
    <w:basedOn w:val="Normal"/>
    <w:rsid w:val="00192E1C"/>
    <w:pPr>
      <w:spacing w:before="100" w:beforeAutospacing="1" w:after="100" w:afterAutospacing="1"/>
    </w:pPr>
    <w:rPr>
      <w:szCs w:val="24"/>
      <w:lang w:val="fr-CA"/>
    </w:rPr>
  </w:style>
  <w:style w:type="paragraph" w:customStyle="1" w:styleId="paragnum">
    <w:name w:val="paragnum"/>
    <w:basedOn w:val="Normal"/>
    <w:rsid w:val="00192E1C"/>
    <w:pPr>
      <w:spacing w:before="100" w:beforeAutospacing="1" w:after="100" w:afterAutospacing="1"/>
    </w:pPr>
    <w:rPr>
      <w:szCs w:val="24"/>
      <w:lang w:val="fr-CA"/>
    </w:rPr>
  </w:style>
  <w:style w:type="paragraph" w:customStyle="1" w:styleId="indentation">
    <w:name w:val="indentation"/>
    <w:basedOn w:val="Normal"/>
    <w:rsid w:val="00192E1C"/>
    <w:pPr>
      <w:spacing w:before="100" w:beforeAutospacing="1" w:after="100" w:afterAutospacing="1"/>
    </w:pPr>
    <w:rPr>
      <w:szCs w:val="24"/>
      <w:lang w:val="fr-CA"/>
    </w:rPr>
  </w:style>
  <w:style w:type="paragraph" w:customStyle="1" w:styleId="para">
    <w:name w:val="para"/>
    <w:basedOn w:val="Normal"/>
    <w:rsid w:val="00192E1C"/>
    <w:pPr>
      <w:spacing w:before="100" w:beforeAutospacing="1" w:after="100" w:afterAutospacing="1"/>
    </w:pPr>
    <w:rPr>
      <w:szCs w:val="24"/>
      <w:lang w:val="fr-CA"/>
    </w:rPr>
  </w:style>
  <w:style w:type="paragraph" w:styleId="TM1">
    <w:name w:val="toc 1"/>
    <w:basedOn w:val="Normal"/>
    <w:next w:val="Normal"/>
    <w:autoRedefine/>
    <w:uiPriority w:val="39"/>
    <w:unhideWhenUsed/>
    <w:rsid w:val="00DF3A79"/>
    <w:pPr>
      <w:tabs>
        <w:tab w:val="left" w:pos="720"/>
        <w:tab w:val="decimal" w:pos="8208"/>
      </w:tabs>
      <w:spacing w:before="60" w:after="60"/>
      <w:ind w:left="720" w:hanging="720"/>
    </w:pPr>
    <w:rPr>
      <w:lang w:val="fr-CA"/>
    </w:rPr>
  </w:style>
  <w:style w:type="paragraph" w:styleId="TM2">
    <w:name w:val="toc 2"/>
    <w:basedOn w:val="Normal"/>
    <w:next w:val="Normal"/>
    <w:autoRedefine/>
    <w:uiPriority w:val="39"/>
    <w:unhideWhenUsed/>
    <w:rsid w:val="00192E1C"/>
    <w:pPr>
      <w:tabs>
        <w:tab w:val="left" w:pos="720"/>
      </w:tabs>
      <w:spacing w:before="60" w:after="60"/>
      <w:ind w:left="720" w:hanging="720"/>
      <w:jc w:val="both"/>
    </w:pPr>
    <w:rPr>
      <w:lang w:val="fr-CA"/>
    </w:rPr>
  </w:style>
  <w:style w:type="paragraph" w:styleId="TM3">
    <w:name w:val="toc 3"/>
    <w:basedOn w:val="Normal"/>
    <w:next w:val="Normal"/>
    <w:autoRedefine/>
    <w:uiPriority w:val="39"/>
    <w:unhideWhenUsed/>
    <w:rsid w:val="00192E1C"/>
    <w:pPr>
      <w:numPr>
        <w:numId w:val="31"/>
      </w:numPr>
      <w:tabs>
        <w:tab w:val="left" w:pos="1267"/>
      </w:tabs>
      <w:spacing w:before="60" w:after="60"/>
      <w:ind w:left="1296"/>
    </w:pPr>
    <w:rPr>
      <w:noProof/>
      <w:u w:val="single"/>
      <w:lang w:val="fr-CA"/>
    </w:rPr>
  </w:style>
  <w:style w:type="paragraph" w:styleId="TM4">
    <w:name w:val="toc 4"/>
    <w:basedOn w:val="Normal"/>
    <w:next w:val="Normal"/>
    <w:autoRedefine/>
    <w:uiPriority w:val="39"/>
    <w:unhideWhenUsed/>
    <w:rsid w:val="00192E1C"/>
    <w:pPr>
      <w:numPr>
        <w:numId w:val="32"/>
      </w:numPr>
      <w:tabs>
        <w:tab w:val="left" w:pos="1267"/>
      </w:tabs>
      <w:spacing w:before="60" w:after="60"/>
      <w:ind w:left="1296"/>
      <w:jc w:val="both"/>
    </w:pPr>
    <w:rPr>
      <w:i/>
      <w:noProof/>
      <w:lang w:val="fr-CA"/>
    </w:rPr>
  </w:style>
  <w:style w:type="paragraph" w:styleId="TM5">
    <w:name w:val="toc 5"/>
    <w:basedOn w:val="Normal"/>
    <w:next w:val="Normal"/>
    <w:autoRedefine/>
    <w:uiPriority w:val="39"/>
    <w:semiHidden/>
    <w:unhideWhenUsed/>
    <w:rsid w:val="00192E1C"/>
    <w:pPr>
      <w:tabs>
        <w:tab w:val="left" w:pos="1800"/>
      </w:tabs>
      <w:spacing w:after="100"/>
      <w:ind w:left="1843"/>
    </w:pPr>
    <w:rPr>
      <w:lang w:val="fr-CA"/>
    </w:rPr>
  </w:style>
  <w:style w:type="paragraph" w:styleId="TM6">
    <w:name w:val="toc 6"/>
    <w:basedOn w:val="Normal"/>
    <w:next w:val="Normal"/>
    <w:autoRedefine/>
    <w:uiPriority w:val="39"/>
    <w:semiHidden/>
    <w:unhideWhenUsed/>
    <w:rsid w:val="00192E1C"/>
    <w:pPr>
      <w:tabs>
        <w:tab w:val="left" w:pos="1800"/>
      </w:tabs>
      <w:spacing w:after="100"/>
      <w:ind w:left="1843"/>
    </w:pPr>
    <w:rPr>
      <w:lang w:val="fr-CA"/>
    </w:rPr>
  </w:style>
  <w:style w:type="paragraph" w:styleId="TM7">
    <w:name w:val="toc 7"/>
    <w:basedOn w:val="Normal"/>
    <w:next w:val="Normal"/>
    <w:autoRedefine/>
    <w:uiPriority w:val="39"/>
    <w:semiHidden/>
    <w:unhideWhenUsed/>
    <w:rsid w:val="00192E1C"/>
    <w:pPr>
      <w:spacing w:after="100"/>
      <w:ind w:left="1440"/>
    </w:pPr>
    <w:rPr>
      <w:lang w:val="fr-CA"/>
    </w:rPr>
  </w:style>
  <w:style w:type="paragraph" w:styleId="TM8">
    <w:name w:val="toc 8"/>
    <w:basedOn w:val="Normal"/>
    <w:next w:val="Normal"/>
    <w:autoRedefine/>
    <w:uiPriority w:val="39"/>
    <w:semiHidden/>
    <w:unhideWhenUsed/>
    <w:rsid w:val="00192E1C"/>
    <w:pPr>
      <w:spacing w:after="100"/>
      <w:ind w:left="1680"/>
    </w:pPr>
    <w:rPr>
      <w:lang w:val="fr-CA"/>
    </w:rPr>
  </w:style>
  <w:style w:type="paragraph" w:styleId="TM9">
    <w:name w:val="toc 9"/>
    <w:basedOn w:val="Normal"/>
    <w:next w:val="Normal"/>
    <w:autoRedefine/>
    <w:uiPriority w:val="39"/>
    <w:semiHidden/>
    <w:unhideWhenUsed/>
    <w:rsid w:val="00192E1C"/>
    <w:pPr>
      <w:spacing w:after="100"/>
      <w:ind w:left="1920"/>
    </w:pPr>
    <w:rPr>
      <w:lang w:val="fr-CA"/>
    </w:rPr>
  </w:style>
  <w:style w:type="paragraph" w:styleId="Rvision">
    <w:name w:val="Revision"/>
    <w:hidden/>
    <w:uiPriority w:val="99"/>
    <w:semiHidden/>
    <w:rsid w:val="00192E1C"/>
    <w:rPr>
      <w:sz w:val="24"/>
      <w:lang w:val="fr-CA"/>
    </w:rPr>
  </w:style>
  <w:style w:type="table" w:customStyle="1" w:styleId="TableGrid1">
    <w:name w:val="Table Grid1"/>
    <w:basedOn w:val="TableauNormal"/>
    <w:next w:val="Grilledutableau"/>
    <w:uiPriority w:val="59"/>
    <w:rsid w:val="00192E1C"/>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ppelnotedebasdep">
    <w:name w:val="footnote reference"/>
    <w:basedOn w:val="Policepardfaut"/>
    <w:uiPriority w:val="99"/>
    <w:unhideWhenUsed/>
    <w:rsid w:val="00BF57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39018">
      <w:bodyDiv w:val="1"/>
      <w:marLeft w:val="0"/>
      <w:marRight w:val="0"/>
      <w:marTop w:val="0"/>
      <w:marBottom w:val="0"/>
      <w:divBdr>
        <w:top w:val="none" w:sz="0" w:space="0" w:color="auto"/>
        <w:left w:val="none" w:sz="0" w:space="0" w:color="auto"/>
        <w:bottom w:val="none" w:sz="0" w:space="0" w:color="auto"/>
        <w:right w:val="none" w:sz="0" w:space="0" w:color="auto"/>
      </w:divBdr>
    </w:div>
    <w:div w:id="777868810">
      <w:bodyDiv w:val="1"/>
      <w:marLeft w:val="0"/>
      <w:marRight w:val="0"/>
      <w:marTop w:val="0"/>
      <w:marBottom w:val="0"/>
      <w:divBdr>
        <w:top w:val="none" w:sz="0" w:space="0" w:color="auto"/>
        <w:left w:val="none" w:sz="0" w:space="0" w:color="auto"/>
        <w:bottom w:val="none" w:sz="0" w:space="0" w:color="auto"/>
        <w:right w:val="none" w:sz="0" w:space="0" w:color="auto"/>
      </w:divBdr>
    </w:div>
    <w:div w:id="93035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72252.19B69DE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soquij.ca/k8S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19728</Words>
  <Characters>108507</Characters>
  <Application>Microsoft Office Word</Application>
  <DocSecurity>0</DocSecurity>
  <Lines>904</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2025-12-11T20:52:00Z</dcterms:created>
  <dcterms:modified xsi:type="dcterms:W3CDTF">2025-12-12T14:47:00Z</dcterms:modified>
</cp:coreProperties>
</file>