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BEEB" w14:textId="44EBDF61" w:rsidR="00C8045F" w:rsidRPr="009A1394" w:rsidRDefault="002077BB">
      <w:pPr>
        <w:rPr>
          <w:b/>
          <w:bCs/>
          <w:lang w:val="en-CA"/>
        </w:rPr>
      </w:pPr>
      <w:r w:rsidRPr="009A1394">
        <w:rPr>
          <w:b/>
          <w:bCs/>
          <w:lang w:val="en-CA"/>
        </w:rPr>
        <w:t>English</w:t>
      </w:r>
      <w:r w:rsidR="00C8045F" w:rsidRPr="009A1394">
        <w:rPr>
          <w:b/>
          <w:bCs/>
          <w:lang w:val="en-CA"/>
        </w:rPr>
        <w:t xml:space="preserve"> </w:t>
      </w:r>
      <w:r w:rsidRPr="009A1394">
        <w:rPr>
          <w:b/>
          <w:bCs/>
          <w:lang w:val="en-CA"/>
        </w:rPr>
        <w:t>t</w:t>
      </w:r>
      <w:r w:rsidR="00C8045F" w:rsidRPr="009A1394">
        <w:rPr>
          <w:b/>
          <w:bCs/>
          <w:lang w:val="en-CA"/>
        </w:rPr>
        <w:t xml:space="preserve">ranslation of the </w:t>
      </w:r>
      <w:r w:rsidRPr="009A1394">
        <w:rPr>
          <w:b/>
          <w:bCs/>
          <w:lang w:val="en-CA"/>
        </w:rPr>
        <w:t>j</w:t>
      </w:r>
      <w:r w:rsidR="00C8045F" w:rsidRPr="009A1394">
        <w:rPr>
          <w:b/>
          <w:bCs/>
          <w:lang w:val="en-CA"/>
        </w:rPr>
        <w:t>udgment of the Court</w:t>
      </w:r>
      <w:r w:rsidRPr="009A1394">
        <w:rPr>
          <w:b/>
          <w:bCs/>
          <w:lang w:val="en-CA"/>
        </w:rPr>
        <w:t xml:space="preserve"> by SOQUIJ</w:t>
      </w:r>
    </w:p>
    <w:p w14:paraId="76C0E3F4" w14:textId="77777777" w:rsidR="00C8045F" w:rsidRPr="009A1394" w:rsidRDefault="00C8045F">
      <w:pPr>
        <w:rPr>
          <w:lang w:val="en-CA"/>
        </w:rPr>
      </w:pPr>
    </w:p>
    <w:tbl>
      <w:tblPr>
        <w:tblW w:w="93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30"/>
        <w:gridCol w:w="590"/>
        <w:gridCol w:w="507"/>
        <w:gridCol w:w="1843"/>
        <w:gridCol w:w="3402"/>
        <w:gridCol w:w="1988"/>
      </w:tblGrid>
      <w:tr w:rsidR="0067176C" w:rsidRPr="009A1394" w14:paraId="3DB31F52" w14:textId="77777777" w:rsidTr="001C3B07">
        <w:trPr>
          <w:trHeight w:val="248"/>
        </w:trPr>
        <w:tc>
          <w:tcPr>
            <w:tcW w:w="7372" w:type="dxa"/>
            <w:gridSpan w:val="5"/>
            <w:tcBorders>
              <w:top w:val="nil"/>
              <w:bottom w:val="nil"/>
            </w:tcBorders>
          </w:tcPr>
          <w:p w14:paraId="068FE5FD" w14:textId="0445CE07" w:rsidR="006A03D4" w:rsidRPr="005B137A" w:rsidRDefault="00FD6464" w:rsidP="008E4D35">
            <w:pPr>
              <w:pStyle w:val="zSoquijdatRepertorie"/>
              <w:rPr>
                <w:rFonts w:cs="Arial"/>
              </w:rPr>
            </w:pPr>
            <w:r w:rsidRPr="005B137A">
              <w:rPr>
                <w:rFonts w:cs="Arial"/>
              </w:rPr>
              <w:t>Procureur général du Québec c. Compagnie de chemin de fer Canadien Pacifique</w:t>
            </w:r>
          </w:p>
        </w:tc>
        <w:tc>
          <w:tcPr>
            <w:tcW w:w="1988" w:type="dxa"/>
            <w:tcBorders>
              <w:top w:val="nil"/>
              <w:bottom w:val="nil"/>
            </w:tcBorders>
          </w:tcPr>
          <w:p w14:paraId="5976CD69" w14:textId="12201095" w:rsidR="008F364A" w:rsidRPr="009A1394" w:rsidRDefault="00FD6464" w:rsidP="00A86A26">
            <w:pPr>
              <w:pStyle w:val="zSoquijdatRefNeutre"/>
              <w:jc w:val="right"/>
              <w:rPr>
                <w:rFonts w:cs="Arial"/>
                <w:lang w:val="en-CA"/>
              </w:rPr>
            </w:pPr>
            <w:r w:rsidRPr="009A1394">
              <w:rPr>
                <w:rFonts w:cs="Arial"/>
                <w:lang w:val="en-CA"/>
              </w:rPr>
              <w:t>2025 QCCA 230</w:t>
            </w:r>
          </w:p>
        </w:tc>
      </w:tr>
      <w:tr w:rsidR="0067176C" w:rsidRPr="009A1394" w14:paraId="7B7588E5" w14:textId="77777777" w:rsidTr="001C3B07">
        <w:trPr>
          <w:trHeight w:val="247"/>
        </w:trPr>
        <w:tc>
          <w:tcPr>
            <w:tcW w:w="9360" w:type="dxa"/>
            <w:gridSpan w:val="6"/>
            <w:tcBorders>
              <w:top w:val="nil"/>
            </w:tcBorders>
          </w:tcPr>
          <w:p w14:paraId="1BC54F07" w14:textId="02B2F22A" w:rsidR="008F364A" w:rsidRPr="009A1394" w:rsidRDefault="00FD6464" w:rsidP="008170CE">
            <w:pPr>
              <w:pStyle w:val="zSoquijlblCour"/>
              <w:spacing w:line="240" w:lineRule="auto"/>
              <w:rPr>
                <w:lang w:val="en-CA"/>
              </w:rPr>
            </w:pPr>
            <w:r w:rsidRPr="009A1394">
              <w:rPr>
                <w:lang w:val="en-CA"/>
              </w:rPr>
              <w:t>COURT OF APPEAL</w:t>
            </w:r>
          </w:p>
        </w:tc>
      </w:tr>
      <w:tr w:rsidR="0067176C" w:rsidRPr="009A1394" w14:paraId="2D025506" w14:textId="77777777" w:rsidTr="001C3B07">
        <w:trPr>
          <w:trHeight w:val="540"/>
        </w:trPr>
        <w:tc>
          <w:tcPr>
            <w:tcW w:w="9360" w:type="dxa"/>
            <w:gridSpan w:val="6"/>
          </w:tcPr>
          <w:p w14:paraId="6711B2B9" w14:textId="77777777" w:rsidR="008F364A" w:rsidRPr="009A1394" w:rsidRDefault="008F364A" w:rsidP="008170CE">
            <w:pPr>
              <w:pStyle w:val="zSoquijdatDivision"/>
              <w:spacing w:line="240" w:lineRule="auto"/>
              <w:rPr>
                <w:lang w:val="en-CA"/>
              </w:rPr>
            </w:pPr>
          </w:p>
        </w:tc>
      </w:tr>
      <w:tr w:rsidR="0067176C" w:rsidRPr="009A1394" w14:paraId="73A0B44E" w14:textId="77777777" w:rsidTr="001C3B07">
        <w:tc>
          <w:tcPr>
            <w:tcW w:w="9360" w:type="dxa"/>
            <w:gridSpan w:val="6"/>
          </w:tcPr>
          <w:p w14:paraId="4D849DA5" w14:textId="0A2CDA26" w:rsidR="008F364A" w:rsidRPr="009A1394" w:rsidRDefault="00FD6464" w:rsidP="008170CE">
            <w:pPr>
              <w:pStyle w:val="zSoquijlblPays"/>
              <w:spacing w:line="240" w:lineRule="auto"/>
              <w:rPr>
                <w:lang w:val="en-CA"/>
              </w:rPr>
            </w:pPr>
            <w:r w:rsidRPr="009A1394">
              <w:rPr>
                <w:lang w:val="en-CA"/>
              </w:rPr>
              <w:t>CANADA</w:t>
            </w:r>
          </w:p>
        </w:tc>
      </w:tr>
      <w:tr w:rsidR="0067176C" w:rsidRPr="009A1394" w14:paraId="56452F93" w14:textId="77777777" w:rsidTr="001C3B07">
        <w:tc>
          <w:tcPr>
            <w:tcW w:w="9360" w:type="dxa"/>
            <w:gridSpan w:val="6"/>
          </w:tcPr>
          <w:p w14:paraId="77320DB7" w14:textId="6DEA3FEF" w:rsidR="008F364A" w:rsidRPr="009A1394" w:rsidRDefault="00FD6464" w:rsidP="008170CE">
            <w:pPr>
              <w:pStyle w:val="zSoquijlblProvince"/>
              <w:spacing w:line="240" w:lineRule="auto"/>
              <w:rPr>
                <w:lang w:val="en-CA"/>
              </w:rPr>
            </w:pPr>
            <w:r w:rsidRPr="009A1394">
              <w:rPr>
                <w:lang w:val="en-CA"/>
              </w:rPr>
              <w:t>PROVINCE OF QUEBEC</w:t>
            </w:r>
          </w:p>
        </w:tc>
      </w:tr>
      <w:tr w:rsidR="0067176C" w:rsidRPr="009A1394" w14:paraId="448CD87B" w14:textId="77777777" w:rsidTr="0084478C">
        <w:tc>
          <w:tcPr>
            <w:tcW w:w="2127" w:type="dxa"/>
            <w:gridSpan w:val="3"/>
          </w:tcPr>
          <w:p w14:paraId="03D3CFB8" w14:textId="13288D42" w:rsidR="008F364A" w:rsidRPr="009A1394" w:rsidRDefault="00FD6464" w:rsidP="0084478C">
            <w:pPr>
              <w:pStyle w:val="zSoquijlblGreffe"/>
              <w:spacing w:line="240" w:lineRule="auto"/>
              <w:rPr>
                <w:lang w:val="en-CA"/>
              </w:rPr>
            </w:pPr>
            <w:r w:rsidRPr="009A1394">
              <w:rPr>
                <w:lang w:val="en-CA"/>
              </w:rPr>
              <w:t>MONTRE</w:t>
            </w:r>
            <w:r w:rsidR="0084478C" w:rsidRPr="009A1394">
              <w:rPr>
                <w:lang w:val="en-CA"/>
              </w:rPr>
              <w:t xml:space="preserve">AL </w:t>
            </w:r>
            <w:r w:rsidRPr="009A1394">
              <w:rPr>
                <w:lang w:val="en-CA"/>
              </w:rPr>
              <w:t>SEAT</w:t>
            </w:r>
          </w:p>
        </w:tc>
        <w:tc>
          <w:tcPr>
            <w:tcW w:w="7233" w:type="dxa"/>
            <w:gridSpan w:val="3"/>
          </w:tcPr>
          <w:p w14:paraId="1CF8EC82" w14:textId="77777777" w:rsidR="008F364A" w:rsidRPr="009A1394" w:rsidRDefault="008F364A" w:rsidP="008170CE">
            <w:pPr>
              <w:pStyle w:val="zSoquijdatGreffe"/>
              <w:spacing w:line="240" w:lineRule="auto"/>
              <w:rPr>
                <w:lang w:val="en-CA"/>
              </w:rPr>
            </w:pPr>
          </w:p>
          <w:p w14:paraId="6FD474AC" w14:textId="2A2FA5F3" w:rsidR="0084478C" w:rsidRPr="009A1394" w:rsidRDefault="0084478C" w:rsidP="008170CE">
            <w:pPr>
              <w:pStyle w:val="zSoquijdatGreffe"/>
              <w:spacing w:line="240" w:lineRule="auto"/>
              <w:rPr>
                <w:lang w:val="en-CA"/>
              </w:rPr>
            </w:pPr>
          </w:p>
        </w:tc>
      </w:tr>
      <w:tr w:rsidR="0067176C" w:rsidRPr="009A1394" w14:paraId="51E72FC4" w14:textId="77777777" w:rsidTr="001C3B07">
        <w:tc>
          <w:tcPr>
            <w:tcW w:w="1030" w:type="dxa"/>
          </w:tcPr>
          <w:p w14:paraId="6A59B309" w14:textId="77B74B92" w:rsidR="008F364A" w:rsidRPr="009A1394" w:rsidRDefault="00FD6464" w:rsidP="008170CE">
            <w:pPr>
              <w:pStyle w:val="zSoquijlblNoDossier"/>
              <w:spacing w:line="240" w:lineRule="auto"/>
              <w:rPr>
                <w:lang w:val="en-CA"/>
              </w:rPr>
            </w:pPr>
            <w:r w:rsidRPr="009A1394">
              <w:rPr>
                <w:lang w:val="en-CA"/>
              </w:rPr>
              <w:t>Nos.:</w:t>
            </w:r>
          </w:p>
        </w:tc>
        <w:tc>
          <w:tcPr>
            <w:tcW w:w="8330" w:type="dxa"/>
            <w:gridSpan w:val="5"/>
          </w:tcPr>
          <w:p w14:paraId="0E363DA2" w14:textId="78066ECB" w:rsidR="008F364A" w:rsidRPr="009A1394" w:rsidRDefault="00FD6464" w:rsidP="008170CE">
            <w:pPr>
              <w:pStyle w:val="zSoquijdatNoDossier"/>
              <w:spacing w:line="240" w:lineRule="auto"/>
              <w:rPr>
                <w:lang w:val="en-CA"/>
              </w:rPr>
            </w:pPr>
            <w:r w:rsidRPr="009A1394">
              <w:rPr>
                <w:lang w:val="en-CA"/>
              </w:rPr>
              <w:t>500-09-030362-230, 500-09-030363-238, 500-09-030366-231</w:t>
            </w:r>
          </w:p>
        </w:tc>
      </w:tr>
      <w:tr w:rsidR="0067176C" w:rsidRPr="009A1394" w14:paraId="4AB8F7AD" w14:textId="77777777" w:rsidTr="001C3B07">
        <w:tc>
          <w:tcPr>
            <w:tcW w:w="9360" w:type="dxa"/>
            <w:gridSpan w:val="6"/>
          </w:tcPr>
          <w:p w14:paraId="2D2049B9" w14:textId="695FA87B" w:rsidR="00155B8A" w:rsidRPr="009A1394" w:rsidRDefault="00FD6464" w:rsidP="008170CE">
            <w:pPr>
              <w:pStyle w:val="zSoquijdatNoDossierAnt"/>
              <w:spacing w:line="240" w:lineRule="auto"/>
              <w:rPr>
                <w:lang w:val="en-CA"/>
              </w:rPr>
            </w:pPr>
            <w:r w:rsidRPr="009A1394">
              <w:rPr>
                <w:lang w:val="en-CA"/>
              </w:rPr>
              <w:t>(480-17-000070-159) (480-17-000096-162) (480-06-000001-132)</w:t>
            </w:r>
          </w:p>
        </w:tc>
      </w:tr>
      <w:tr w:rsidR="0067176C" w:rsidRPr="009A1394" w14:paraId="3E0A9988" w14:textId="77777777" w:rsidTr="001C3B07">
        <w:tc>
          <w:tcPr>
            <w:tcW w:w="9360" w:type="dxa"/>
            <w:gridSpan w:val="6"/>
          </w:tcPr>
          <w:p w14:paraId="35028DE7" w14:textId="77777777" w:rsidR="008F364A" w:rsidRPr="009A1394" w:rsidRDefault="008F364A" w:rsidP="008170CE">
            <w:pPr>
              <w:spacing w:line="240" w:lineRule="auto"/>
              <w:rPr>
                <w:lang w:val="en-CA"/>
              </w:rPr>
            </w:pPr>
          </w:p>
        </w:tc>
      </w:tr>
      <w:tr w:rsidR="0067176C" w:rsidRPr="009A1394" w14:paraId="2FF72088" w14:textId="77777777" w:rsidTr="008D507A">
        <w:tc>
          <w:tcPr>
            <w:tcW w:w="1030" w:type="dxa"/>
            <w:tcBorders>
              <w:bottom w:val="nil"/>
            </w:tcBorders>
          </w:tcPr>
          <w:p w14:paraId="37B0BC3E" w14:textId="4E6D898C" w:rsidR="008F364A" w:rsidRPr="009A1394" w:rsidRDefault="00FD6464" w:rsidP="008170CE">
            <w:pPr>
              <w:pStyle w:val="zSoquijlblDateJugement"/>
              <w:spacing w:line="240" w:lineRule="auto"/>
              <w:rPr>
                <w:lang w:val="en-CA"/>
              </w:rPr>
            </w:pPr>
            <w:r w:rsidRPr="009A1394">
              <w:rPr>
                <w:lang w:val="en-CA"/>
              </w:rPr>
              <w:t>DATE:</w:t>
            </w:r>
          </w:p>
        </w:tc>
        <w:tc>
          <w:tcPr>
            <w:tcW w:w="8330" w:type="dxa"/>
            <w:gridSpan w:val="5"/>
            <w:tcBorders>
              <w:bottom w:val="nil"/>
            </w:tcBorders>
          </w:tcPr>
          <w:p w14:paraId="12325517" w14:textId="2717824B" w:rsidR="008F364A" w:rsidRPr="009A1394" w:rsidRDefault="00FD6464" w:rsidP="008170CE">
            <w:pPr>
              <w:pStyle w:val="zSoquijdatDateJugement"/>
              <w:spacing w:line="240" w:lineRule="auto"/>
              <w:rPr>
                <w:lang w:val="en-CA"/>
              </w:rPr>
            </w:pPr>
            <w:r w:rsidRPr="009A1394">
              <w:rPr>
                <w:lang w:val="en-CA"/>
              </w:rPr>
              <w:t>February 26, 2025</w:t>
            </w:r>
          </w:p>
        </w:tc>
      </w:tr>
      <w:tr w:rsidR="0067176C" w:rsidRPr="009A1394" w14:paraId="61170B9C" w14:textId="77777777" w:rsidTr="008D507A">
        <w:tc>
          <w:tcPr>
            <w:tcW w:w="9360" w:type="dxa"/>
            <w:gridSpan w:val="6"/>
            <w:tcBorders>
              <w:top w:val="nil"/>
              <w:bottom w:val="single" w:sz="8" w:space="0" w:color="auto"/>
            </w:tcBorders>
          </w:tcPr>
          <w:p w14:paraId="36A7DEB1" w14:textId="77777777" w:rsidR="008F364A" w:rsidRPr="009A1394" w:rsidRDefault="008F364A" w:rsidP="008170CE">
            <w:pPr>
              <w:spacing w:line="240" w:lineRule="auto"/>
              <w:rPr>
                <w:lang w:val="en-CA"/>
              </w:rPr>
            </w:pPr>
          </w:p>
        </w:tc>
      </w:tr>
      <w:tr w:rsidR="0067176C" w:rsidRPr="009A1394" w14:paraId="4B612528" w14:textId="77777777" w:rsidTr="008D507A">
        <w:tc>
          <w:tcPr>
            <w:tcW w:w="9360" w:type="dxa"/>
            <w:gridSpan w:val="6"/>
            <w:tcBorders>
              <w:top w:val="single" w:sz="8" w:space="0" w:color="auto"/>
              <w:bottom w:val="nil"/>
            </w:tcBorders>
          </w:tcPr>
          <w:p w14:paraId="4C253B4F" w14:textId="77777777" w:rsidR="008F364A" w:rsidRPr="009A1394" w:rsidRDefault="008F364A" w:rsidP="008170CE">
            <w:pPr>
              <w:spacing w:line="240" w:lineRule="auto"/>
              <w:rPr>
                <w:lang w:val="en-CA"/>
              </w:rPr>
            </w:pPr>
          </w:p>
        </w:tc>
      </w:tr>
      <w:tr w:rsidR="0067176C" w:rsidRPr="009A1394" w14:paraId="5BB5884E" w14:textId="77777777" w:rsidTr="008D507A">
        <w:tc>
          <w:tcPr>
            <w:tcW w:w="1620" w:type="dxa"/>
            <w:gridSpan w:val="2"/>
            <w:tcBorders>
              <w:top w:val="nil"/>
            </w:tcBorders>
          </w:tcPr>
          <w:p w14:paraId="68DB591A" w14:textId="0E0BC8CD" w:rsidR="008F364A" w:rsidRPr="009A1394" w:rsidRDefault="00FD6464" w:rsidP="008170CE">
            <w:pPr>
              <w:pStyle w:val="zSoquijlblJuge"/>
              <w:spacing w:line="240" w:lineRule="auto"/>
              <w:ind w:right="-142"/>
              <w:rPr>
                <w:lang w:val="en-CA"/>
              </w:rPr>
            </w:pPr>
            <w:r w:rsidRPr="009A1394">
              <w:rPr>
                <w:lang w:val="en-CA"/>
              </w:rPr>
              <w:t>CORAM:</w:t>
            </w:r>
          </w:p>
        </w:tc>
        <w:tc>
          <w:tcPr>
            <w:tcW w:w="2350" w:type="dxa"/>
            <w:gridSpan w:val="2"/>
            <w:tcBorders>
              <w:top w:val="nil"/>
            </w:tcBorders>
          </w:tcPr>
          <w:p w14:paraId="41F63806" w14:textId="5DDB01C9" w:rsidR="008F364A" w:rsidRPr="009A1394" w:rsidRDefault="00FD6464" w:rsidP="008170CE">
            <w:pPr>
              <w:pStyle w:val="zSoquijdatQteJuge"/>
              <w:spacing w:line="240" w:lineRule="auto"/>
              <w:rPr>
                <w:lang w:val="en-CA"/>
              </w:rPr>
            </w:pPr>
            <w:r w:rsidRPr="009A1394">
              <w:rPr>
                <w:lang w:val="en-CA"/>
              </w:rPr>
              <w:t>THE HONOURABLE</w:t>
            </w:r>
          </w:p>
        </w:tc>
        <w:tc>
          <w:tcPr>
            <w:tcW w:w="5390" w:type="dxa"/>
            <w:gridSpan w:val="2"/>
            <w:tcBorders>
              <w:top w:val="nil"/>
            </w:tcBorders>
          </w:tcPr>
          <w:p w14:paraId="1DD02881" w14:textId="7A6D290A" w:rsidR="008F364A" w:rsidRPr="009A1394" w:rsidRDefault="00FD6464" w:rsidP="008170CE">
            <w:pPr>
              <w:pStyle w:val="zSoquijdatJuge"/>
              <w:spacing w:line="240" w:lineRule="auto"/>
              <w:rPr>
                <w:lang w:val="en-CA"/>
              </w:rPr>
            </w:pPr>
            <w:r w:rsidRPr="009A1394">
              <w:rPr>
                <w:lang w:val="en-CA"/>
              </w:rPr>
              <w:t>MARK SCHRAGER, J.A.</w:t>
            </w:r>
          </w:p>
          <w:p w14:paraId="55AEAD09" w14:textId="07B28E73" w:rsidR="008F364A" w:rsidRPr="009A1394" w:rsidRDefault="00FD6464" w:rsidP="008170CE">
            <w:pPr>
              <w:pStyle w:val="zSoquijdatJuge"/>
              <w:spacing w:line="240" w:lineRule="auto"/>
              <w:rPr>
                <w:lang w:val="en-CA"/>
              </w:rPr>
            </w:pPr>
            <w:r w:rsidRPr="009A1394">
              <w:rPr>
                <w:lang w:val="en-CA"/>
              </w:rPr>
              <w:t>PETER KALICHMAN, J.A.</w:t>
            </w:r>
          </w:p>
          <w:p w14:paraId="293119BF" w14:textId="6DC58728" w:rsidR="005A78BF" w:rsidRPr="009A1394" w:rsidRDefault="00FD6464" w:rsidP="008170CE">
            <w:pPr>
              <w:pStyle w:val="zSoquijdatJuge"/>
              <w:spacing w:line="240" w:lineRule="auto"/>
              <w:rPr>
                <w:lang w:val="en-CA"/>
              </w:rPr>
            </w:pPr>
            <w:bookmarkStart w:id="0" w:name="_Hlt520513784"/>
            <w:bookmarkEnd w:id="0"/>
            <w:r w:rsidRPr="009A1394">
              <w:rPr>
                <w:lang w:val="en-CA"/>
              </w:rPr>
              <w:t>ÉRIC HARDY, J.A.</w:t>
            </w:r>
          </w:p>
        </w:tc>
      </w:tr>
      <w:tr w:rsidR="0067176C" w:rsidRPr="009A1394" w14:paraId="18ED5D0E" w14:textId="77777777" w:rsidTr="008D507A">
        <w:tc>
          <w:tcPr>
            <w:tcW w:w="9360" w:type="dxa"/>
            <w:gridSpan w:val="6"/>
            <w:tcBorders>
              <w:bottom w:val="single" w:sz="8" w:space="0" w:color="auto"/>
            </w:tcBorders>
          </w:tcPr>
          <w:p w14:paraId="5E3B02F5" w14:textId="77777777" w:rsidR="008F364A" w:rsidRPr="009A1394" w:rsidRDefault="008F364A" w:rsidP="008170CE">
            <w:pPr>
              <w:spacing w:line="240" w:lineRule="auto"/>
              <w:rPr>
                <w:lang w:val="en-CA"/>
              </w:rPr>
            </w:pPr>
          </w:p>
        </w:tc>
      </w:tr>
      <w:tr w:rsidR="0067176C" w:rsidRPr="009A1394" w14:paraId="54644BE6" w14:textId="77777777" w:rsidTr="008D507A">
        <w:tc>
          <w:tcPr>
            <w:tcW w:w="9360" w:type="dxa"/>
            <w:gridSpan w:val="6"/>
            <w:tcBorders>
              <w:top w:val="single" w:sz="8" w:space="0" w:color="auto"/>
              <w:bottom w:val="nil"/>
            </w:tcBorders>
          </w:tcPr>
          <w:p w14:paraId="651792B6" w14:textId="77777777" w:rsidR="008F364A" w:rsidRPr="009A1394" w:rsidRDefault="008F364A" w:rsidP="008170CE">
            <w:pPr>
              <w:pStyle w:val="zSoquijlblTitrePartie"/>
              <w:spacing w:line="240" w:lineRule="auto"/>
              <w:rPr>
                <w:lang w:val="en-CA"/>
              </w:rPr>
            </w:pPr>
          </w:p>
        </w:tc>
      </w:tr>
      <w:tr w:rsidR="0067176C" w:rsidRPr="009A1394" w14:paraId="6269F976" w14:textId="77777777" w:rsidTr="008D507A">
        <w:tc>
          <w:tcPr>
            <w:tcW w:w="9360" w:type="dxa"/>
            <w:gridSpan w:val="6"/>
            <w:tcBorders>
              <w:top w:val="nil"/>
            </w:tcBorders>
          </w:tcPr>
          <w:p w14:paraId="101DCDB9" w14:textId="4E3FED3E" w:rsidR="00155B8A" w:rsidRPr="009A1394" w:rsidRDefault="00FD6464" w:rsidP="008170CE">
            <w:pPr>
              <w:pStyle w:val="zSoquijlblTitrePartie"/>
              <w:spacing w:line="240" w:lineRule="auto"/>
              <w:rPr>
                <w:lang w:val="en-CA"/>
              </w:rPr>
            </w:pPr>
            <w:r w:rsidRPr="009A1394">
              <w:rPr>
                <w:lang w:val="en-CA"/>
              </w:rPr>
              <w:t>No.: 500-09-030362-230 (480-17-000070-159)</w:t>
            </w:r>
          </w:p>
        </w:tc>
      </w:tr>
      <w:tr w:rsidR="0067176C" w:rsidRPr="009A1394" w14:paraId="44D7BFB5" w14:textId="77777777" w:rsidTr="001C3B07">
        <w:tc>
          <w:tcPr>
            <w:tcW w:w="9360" w:type="dxa"/>
            <w:gridSpan w:val="6"/>
          </w:tcPr>
          <w:p w14:paraId="26C09318" w14:textId="30DE8800" w:rsidR="008F364A" w:rsidRPr="009A1394" w:rsidRDefault="00FD6464" w:rsidP="008170CE">
            <w:pPr>
              <w:pStyle w:val="zSoquijdatNomPartieDem"/>
              <w:spacing w:line="240" w:lineRule="auto"/>
              <w:rPr>
                <w:lang w:val="en-CA"/>
              </w:rPr>
            </w:pPr>
            <w:r w:rsidRPr="009A1394">
              <w:rPr>
                <w:lang w:val="en-CA"/>
              </w:rPr>
              <w:t>ATTORNEY GENERAL OF QUEBEC</w:t>
            </w:r>
          </w:p>
        </w:tc>
      </w:tr>
      <w:tr w:rsidR="0067176C" w:rsidRPr="009A1394" w14:paraId="3EB93CDF" w14:textId="77777777" w:rsidTr="001C3B07">
        <w:tc>
          <w:tcPr>
            <w:tcW w:w="9360" w:type="dxa"/>
            <w:gridSpan w:val="6"/>
          </w:tcPr>
          <w:p w14:paraId="23E2613E" w14:textId="77E10A44" w:rsidR="008F364A" w:rsidRPr="009A1394" w:rsidRDefault="00FD6464" w:rsidP="008170CE">
            <w:pPr>
              <w:pStyle w:val="zSoquijdatQtePartieDem"/>
              <w:spacing w:line="240" w:lineRule="auto"/>
              <w:rPr>
                <w:lang w:val="en-CA"/>
              </w:rPr>
            </w:pPr>
            <w:r w:rsidRPr="009A1394">
              <w:rPr>
                <w:lang w:val="en-CA"/>
              </w:rPr>
              <w:t>APPELLANT – Plaintiff</w:t>
            </w:r>
          </w:p>
        </w:tc>
      </w:tr>
      <w:tr w:rsidR="0067176C" w:rsidRPr="009A1394" w14:paraId="1FB33725" w14:textId="77777777" w:rsidTr="001C3B07">
        <w:tc>
          <w:tcPr>
            <w:tcW w:w="9360" w:type="dxa"/>
            <w:gridSpan w:val="6"/>
          </w:tcPr>
          <w:p w14:paraId="63611D70" w14:textId="1D2B077A" w:rsidR="008F364A" w:rsidRPr="009A1394" w:rsidRDefault="00FD6464" w:rsidP="008170CE">
            <w:pPr>
              <w:pStyle w:val="zSoquijlblLienParties"/>
              <w:spacing w:line="240" w:lineRule="auto"/>
              <w:rPr>
                <w:lang w:val="en-CA"/>
              </w:rPr>
            </w:pPr>
            <w:r w:rsidRPr="009A1394">
              <w:rPr>
                <w:lang w:val="en-CA"/>
              </w:rPr>
              <w:t>v.</w:t>
            </w:r>
          </w:p>
        </w:tc>
      </w:tr>
      <w:tr w:rsidR="0067176C" w:rsidRPr="009A1394" w14:paraId="61FF81EC" w14:textId="77777777" w:rsidTr="001C3B07">
        <w:tc>
          <w:tcPr>
            <w:tcW w:w="9360" w:type="dxa"/>
            <w:gridSpan w:val="6"/>
          </w:tcPr>
          <w:p w14:paraId="395737AC" w14:textId="77777777" w:rsidR="008F364A" w:rsidRPr="009A1394" w:rsidRDefault="008F364A" w:rsidP="008170CE">
            <w:pPr>
              <w:spacing w:line="240" w:lineRule="auto"/>
              <w:rPr>
                <w:lang w:val="en-CA"/>
              </w:rPr>
            </w:pPr>
          </w:p>
        </w:tc>
      </w:tr>
      <w:tr w:rsidR="0067176C" w:rsidRPr="009A1394" w14:paraId="77E08F1B" w14:textId="77777777" w:rsidTr="001C3B07">
        <w:tc>
          <w:tcPr>
            <w:tcW w:w="9360" w:type="dxa"/>
            <w:gridSpan w:val="6"/>
          </w:tcPr>
          <w:p w14:paraId="22281CAB" w14:textId="5594F200" w:rsidR="008F364A" w:rsidRPr="009A1394" w:rsidRDefault="00FD6464" w:rsidP="008170CE">
            <w:pPr>
              <w:pStyle w:val="zSoquijdatNomPartieDef"/>
              <w:spacing w:line="240" w:lineRule="auto"/>
              <w:rPr>
                <w:lang w:val="en-CA"/>
              </w:rPr>
            </w:pPr>
            <w:r w:rsidRPr="009A1394">
              <w:rPr>
                <w:lang w:val="en-CA"/>
              </w:rPr>
              <w:t>CANADIAN PACIFIC RAILWAY COMPANY</w:t>
            </w:r>
          </w:p>
        </w:tc>
      </w:tr>
      <w:tr w:rsidR="0067176C" w:rsidRPr="009A1394" w14:paraId="0E635073" w14:textId="77777777" w:rsidTr="001C3B07">
        <w:tc>
          <w:tcPr>
            <w:tcW w:w="9360" w:type="dxa"/>
            <w:gridSpan w:val="6"/>
          </w:tcPr>
          <w:p w14:paraId="7CDEE77B" w14:textId="1D8D4FDB" w:rsidR="008F364A" w:rsidRPr="009A1394" w:rsidRDefault="00FD6464" w:rsidP="008170CE">
            <w:pPr>
              <w:pStyle w:val="zSoquijdatQtePartieDef"/>
              <w:spacing w:line="240" w:lineRule="auto"/>
              <w:rPr>
                <w:lang w:val="en-CA"/>
              </w:rPr>
            </w:pPr>
            <w:r w:rsidRPr="009A1394">
              <w:rPr>
                <w:lang w:val="en-CA"/>
              </w:rPr>
              <w:t>RESPONDENT – Defendant</w:t>
            </w:r>
          </w:p>
        </w:tc>
      </w:tr>
      <w:tr w:rsidR="0067176C" w:rsidRPr="009A1394" w14:paraId="172383FB" w14:textId="77777777" w:rsidTr="001C3B07">
        <w:tc>
          <w:tcPr>
            <w:tcW w:w="9360" w:type="dxa"/>
            <w:gridSpan w:val="6"/>
          </w:tcPr>
          <w:p w14:paraId="08649E8F" w14:textId="321899F3" w:rsidR="00155B8A" w:rsidRPr="009A1394" w:rsidRDefault="00FD6464" w:rsidP="008170CE">
            <w:pPr>
              <w:spacing w:line="240" w:lineRule="auto"/>
              <w:rPr>
                <w:lang w:val="en-CA"/>
              </w:rPr>
            </w:pPr>
            <w:r w:rsidRPr="009A1394">
              <w:rPr>
                <w:lang w:val="en-CA"/>
              </w:rPr>
              <w:t>and</w:t>
            </w:r>
          </w:p>
        </w:tc>
      </w:tr>
      <w:tr w:rsidR="0067176C" w:rsidRPr="005B137A" w14:paraId="1661537D" w14:textId="77777777" w:rsidTr="001C3B07">
        <w:tc>
          <w:tcPr>
            <w:tcW w:w="9360" w:type="dxa"/>
            <w:gridSpan w:val="6"/>
          </w:tcPr>
          <w:p w14:paraId="488AF838" w14:textId="65C79168" w:rsidR="00155B8A" w:rsidRPr="009A1394" w:rsidRDefault="00FD6464" w:rsidP="008170CE">
            <w:pPr>
              <w:pStyle w:val="zSoquijdatNomPartieDef"/>
              <w:spacing w:line="240" w:lineRule="auto"/>
              <w:rPr>
                <w:lang w:val="en-CA"/>
              </w:rPr>
            </w:pPr>
            <w:r w:rsidRPr="009A1394">
              <w:rPr>
                <w:lang w:val="en-CA"/>
              </w:rPr>
              <w:t>MONTREAL, MAINE &amp; ATLANTIC CANADA COMPANY</w:t>
            </w:r>
          </w:p>
        </w:tc>
      </w:tr>
      <w:tr w:rsidR="0067176C" w:rsidRPr="009A1394" w14:paraId="7B0C06B6" w14:textId="77777777" w:rsidTr="001C3B07">
        <w:tc>
          <w:tcPr>
            <w:tcW w:w="9360" w:type="dxa"/>
            <w:gridSpan w:val="6"/>
            <w:tcBorders>
              <w:bottom w:val="nil"/>
            </w:tcBorders>
          </w:tcPr>
          <w:p w14:paraId="2ECC9F67" w14:textId="57AD9D49" w:rsidR="00155B8A" w:rsidRPr="009A1394" w:rsidRDefault="00FD6464" w:rsidP="008170CE">
            <w:pPr>
              <w:pStyle w:val="zSoquijdatQtePartieDef"/>
              <w:spacing w:line="240" w:lineRule="auto"/>
              <w:rPr>
                <w:lang w:val="en-CA"/>
              </w:rPr>
            </w:pPr>
            <w:r w:rsidRPr="009A1394">
              <w:rPr>
                <w:lang w:val="en-CA"/>
              </w:rPr>
              <w:t>IMPLEADED PARTY – Defendant</w:t>
            </w:r>
          </w:p>
        </w:tc>
      </w:tr>
      <w:tr w:rsidR="0067176C" w:rsidRPr="009A1394" w14:paraId="45A1EF4F" w14:textId="77777777" w:rsidTr="008D507A">
        <w:tc>
          <w:tcPr>
            <w:tcW w:w="9360" w:type="dxa"/>
            <w:gridSpan w:val="6"/>
            <w:tcBorders>
              <w:top w:val="nil"/>
              <w:bottom w:val="single" w:sz="8" w:space="0" w:color="auto"/>
            </w:tcBorders>
          </w:tcPr>
          <w:p w14:paraId="135BD909" w14:textId="77777777" w:rsidR="00155B8A" w:rsidRPr="009A1394" w:rsidRDefault="00155B8A" w:rsidP="008170CE">
            <w:pPr>
              <w:pStyle w:val="zSoquijdatQtePartieDef"/>
              <w:spacing w:line="240" w:lineRule="auto"/>
              <w:ind w:left="0"/>
              <w:rPr>
                <w:lang w:val="en-CA"/>
              </w:rPr>
            </w:pPr>
          </w:p>
        </w:tc>
      </w:tr>
      <w:tr w:rsidR="0067176C" w:rsidRPr="009A1394" w14:paraId="7CE8B1BD" w14:textId="77777777" w:rsidTr="008D507A">
        <w:tc>
          <w:tcPr>
            <w:tcW w:w="9360" w:type="dxa"/>
            <w:gridSpan w:val="6"/>
            <w:tcBorders>
              <w:top w:val="single" w:sz="8" w:space="0" w:color="auto"/>
              <w:bottom w:val="nil"/>
            </w:tcBorders>
          </w:tcPr>
          <w:p w14:paraId="731B646D" w14:textId="77777777" w:rsidR="00155B8A" w:rsidRPr="009A1394" w:rsidRDefault="00155B8A" w:rsidP="008170CE">
            <w:pPr>
              <w:pStyle w:val="zSoquijdatQtePartieDef"/>
              <w:spacing w:line="240" w:lineRule="auto"/>
              <w:ind w:left="0"/>
              <w:rPr>
                <w:lang w:val="en-CA"/>
              </w:rPr>
            </w:pPr>
          </w:p>
        </w:tc>
      </w:tr>
      <w:tr w:rsidR="0067176C" w:rsidRPr="009A1394" w14:paraId="577A91DB" w14:textId="77777777" w:rsidTr="008D507A">
        <w:tc>
          <w:tcPr>
            <w:tcW w:w="9360" w:type="dxa"/>
            <w:gridSpan w:val="6"/>
            <w:tcBorders>
              <w:top w:val="nil"/>
            </w:tcBorders>
          </w:tcPr>
          <w:p w14:paraId="29590752" w14:textId="2B0B1037" w:rsidR="00155B8A" w:rsidRPr="009A1394" w:rsidRDefault="00FD6464" w:rsidP="008170CE">
            <w:pPr>
              <w:pStyle w:val="zSoquijlblTitrePartie"/>
              <w:spacing w:line="240" w:lineRule="auto"/>
              <w:rPr>
                <w:lang w:val="en-CA"/>
              </w:rPr>
            </w:pPr>
            <w:r w:rsidRPr="009A1394">
              <w:rPr>
                <w:lang w:val="en-CA"/>
              </w:rPr>
              <w:t>No.: 500-09-030363-238 (480-17-000096-162)</w:t>
            </w:r>
          </w:p>
        </w:tc>
      </w:tr>
      <w:tr w:rsidR="0067176C" w:rsidRPr="009A1394" w14:paraId="331C9972" w14:textId="77777777" w:rsidTr="001C3B07">
        <w:tc>
          <w:tcPr>
            <w:tcW w:w="9360" w:type="dxa"/>
            <w:gridSpan w:val="6"/>
          </w:tcPr>
          <w:p w14:paraId="6C3B1EE1" w14:textId="79381B09" w:rsidR="00155B8A" w:rsidRPr="009A1394" w:rsidRDefault="00FD6464" w:rsidP="008170CE">
            <w:pPr>
              <w:pStyle w:val="zSoquijdatNomPartieDem"/>
              <w:spacing w:line="240" w:lineRule="auto"/>
              <w:rPr>
                <w:lang w:val="en-CA"/>
              </w:rPr>
            </w:pPr>
            <w:r w:rsidRPr="009A1394">
              <w:rPr>
                <w:lang w:val="en-CA"/>
              </w:rPr>
              <w:t>PROMUTUEL CENTRE SUD</w:t>
            </w:r>
          </w:p>
        </w:tc>
      </w:tr>
      <w:tr w:rsidR="0067176C" w:rsidRPr="009A1394" w14:paraId="79C89AA8" w14:textId="77777777" w:rsidTr="001C3B07">
        <w:tc>
          <w:tcPr>
            <w:tcW w:w="9360" w:type="dxa"/>
            <w:gridSpan w:val="6"/>
          </w:tcPr>
          <w:p w14:paraId="78052E28" w14:textId="4EBE1952" w:rsidR="001C3B07" w:rsidRPr="009A1394" w:rsidRDefault="00FD6464" w:rsidP="008170CE">
            <w:pPr>
              <w:pStyle w:val="zSoquijdatNomPartieDem"/>
              <w:spacing w:line="240" w:lineRule="auto"/>
              <w:rPr>
                <w:lang w:val="en-CA"/>
              </w:rPr>
            </w:pPr>
            <w:r w:rsidRPr="009A1394">
              <w:rPr>
                <w:lang w:val="en-CA"/>
              </w:rPr>
              <w:t>L’UNIQUE GENERAL INSURANCE INC.</w:t>
            </w:r>
          </w:p>
        </w:tc>
      </w:tr>
      <w:tr w:rsidR="0067176C" w:rsidRPr="005B137A" w14:paraId="332A12BC" w14:textId="77777777" w:rsidTr="001C3B07">
        <w:tc>
          <w:tcPr>
            <w:tcW w:w="9360" w:type="dxa"/>
            <w:gridSpan w:val="6"/>
          </w:tcPr>
          <w:p w14:paraId="3B472382" w14:textId="2A2B7205" w:rsidR="001C3B07" w:rsidRPr="009A1394" w:rsidRDefault="00FD6464" w:rsidP="001000F7">
            <w:pPr>
              <w:pStyle w:val="zSoquijdatNomPartieDem"/>
              <w:spacing w:line="240" w:lineRule="auto"/>
              <w:jc w:val="both"/>
              <w:rPr>
                <w:lang w:val="en-CA"/>
              </w:rPr>
            </w:pPr>
            <w:r w:rsidRPr="009A1394">
              <w:rPr>
                <w:lang w:val="en-CA"/>
              </w:rPr>
              <w:t>BENEVA INSURANCE COMPANY, form</w:t>
            </w:r>
            <w:r w:rsidR="00B76847" w:rsidRPr="009A1394">
              <w:rPr>
                <w:lang w:val="en-CA"/>
              </w:rPr>
              <w:t>er</w:t>
            </w:r>
            <w:r w:rsidRPr="009A1394">
              <w:rPr>
                <w:lang w:val="en-CA"/>
              </w:rPr>
              <w:t>ly La Capitale General Insurance Inc.</w:t>
            </w:r>
          </w:p>
        </w:tc>
      </w:tr>
      <w:tr w:rsidR="0067176C" w:rsidRPr="009A1394" w14:paraId="7566B790" w14:textId="77777777" w:rsidTr="001C3B07">
        <w:tc>
          <w:tcPr>
            <w:tcW w:w="9360" w:type="dxa"/>
            <w:gridSpan w:val="6"/>
          </w:tcPr>
          <w:p w14:paraId="78E7F31E" w14:textId="602CFEEE" w:rsidR="001C3B07" w:rsidRPr="009A1394" w:rsidRDefault="00FD6464" w:rsidP="008170CE">
            <w:pPr>
              <w:pStyle w:val="zSoquijdatNomPartieDem"/>
              <w:spacing w:line="240" w:lineRule="auto"/>
              <w:rPr>
                <w:lang w:val="en-CA"/>
              </w:rPr>
            </w:pPr>
            <w:r w:rsidRPr="009A1394">
              <w:rPr>
                <w:lang w:val="en-CA"/>
              </w:rPr>
              <w:t>INTACT INSURANCE</w:t>
            </w:r>
          </w:p>
        </w:tc>
      </w:tr>
      <w:tr w:rsidR="0067176C" w:rsidRPr="009A1394" w14:paraId="10B6C415" w14:textId="77777777" w:rsidTr="001C3B07">
        <w:tc>
          <w:tcPr>
            <w:tcW w:w="9360" w:type="dxa"/>
            <w:gridSpan w:val="6"/>
          </w:tcPr>
          <w:p w14:paraId="7B4B3ED7" w14:textId="6E1267A8" w:rsidR="001C3B07" w:rsidRPr="009A1394" w:rsidRDefault="00FD6464" w:rsidP="008170CE">
            <w:pPr>
              <w:pStyle w:val="zSoquijdatNomPartieDem"/>
              <w:spacing w:line="240" w:lineRule="auto"/>
              <w:rPr>
                <w:lang w:val="en-CA"/>
              </w:rPr>
            </w:pPr>
            <w:r w:rsidRPr="009A1394">
              <w:rPr>
                <w:lang w:val="en-CA"/>
              </w:rPr>
              <w:t>BELAIR INSURANCE COMPANY INC.</w:t>
            </w:r>
          </w:p>
        </w:tc>
      </w:tr>
      <w:tr w:rsidR="0067176C" w:rsidRPr="005B137A" w14:paraId="3CB15CFC" w14:textId="77777777" w:rsidTr="001C3B07">
        <w:tc>
          <w:tcPr>
            <w:tcW w:w="9360" w:type="dxa"/>
            <w:gridSpan w:val="6"/>
          </w:tcPr>
          <w:p w14:paraId="59E837CB" w14:textId="7C8D99A5" w:rsidR="001C3B07" w:rsidRPr="009A1394" w:rsidRDefault="00FD6464" w:rsidP="001000F7">
            <w:pPr>
              <w:pStyle w:val="zSoquijdatNomPartieDem"/>
              <w:spacing w:line="240" w:lineRule="auto"/>
              <w:jc w:val="both"/>
              <w:rPr>
                <w:lang w:val="en-CA"/>
              </w:rPr>
            </w:pPr>
            <w:r w:rsidRPr="009A1394">
              <w:rPr>
                <w:lang w:val="en-CA"/>
              </w:rPr>
              <w:t>INTACT INSURANCE, in continuance of proceedings for THE GUARANTEE COMPANY OF NORTH AMERICA</w:t>
            </w:r>
          </w:p>
        </w:tc>
      </w:tr>
      <w:tr w:rsidR="0067176C" w:rsidRPr="009A1394" w14:paraId="4B388A87" w14:textId="77777777" w:rsidTr="001C3B07">
        <w:tc>
          <w:tcPr>
            <w:tcW w:w="9360" w:type="dxa"/>
            <w:gridSpan w:val="6"/>
          </w:tcPr>
          <w:p w14:paraId="6B37800E" w14:textId="0EB8A26E" w:rsidR="00155B8A" w:rsidRPr="009A1394" w:rsidRDefault="00FD6464" w:rsidP="008170CE">
            <w:pPr>
              <w:pStyle w:val="zSoquijdatQtePartieDem"/>
              <w:spacing w:line="240" w:lineRule="auto"/>
              <w:rPr>
                <w:lang w:val="en-CA"/>
              </w:rPr>
            </w:pPr>
            <w:r w:rsidRPr="009A1394">
              <w:rPr>
                <w:lang w:val="en-CA"/>
              </w:rPr>
              <w:t>APPELLANTS – Plaintiffs</w:t>
            </w:r>
          </w:p>
        </w:tc>
      </w:tr>
      <w:tr w:rsidR="0067176C" w:rsidRPr="009A1394" w14:paraId="227CCD42" w14:textId="77777777" w:rsidTr="001C3B07">
        <w:tc>
          <w:tcPr>
            <w:tcW w:w="9360" w:type="dxa"/>
            <w:gridSpan w:val="6"/>
            <w:tcBorders>
              <w:bottom w:val="nil"/>
            </w:tcBorders>
          </w:tcPr>
          <w:p w14:paraId="5327372E" w14:textId="755C925A" w:rsidR="00155B8A" w:rsidRPr="009A1394" w:rsidRDefault="00FD6464" w:rsidP="008170CE">
            <w:pPr>
              <w:pStyle w:val="zSoquijlblLienParties"/>
              <w:spacing w:line="240" w:lineRule="auto"/>
              <w:rPr>
                <w:lang w:val="en-CA"/>
              </w:rPr>
            </w:pPr>
            <w:r w:rsidRPr="009A1394">
              <w:rPr>
                <w:lang w:val="en-CA"/>
              </w:rPr>
              <w:t>v.</w:t>
            </w:r>
          </w:p>
        </w:tc>
      </w:tr>
    </w:tbl>
    <w:p w14:paraId="3EDE18BD" w14:textId="77777777" w:rsidR="00041839" w:rsidRPr="009A1394" w:rsidRDefault="008161A3">
      <w:pPr>
        <w:rPr>
          <w:lang w:val="en-CA"/>
        </w:rPr>
      </w:pPr>
      <w:r w:rsidRPr="009A1394">
        <w:rPr>
          <w:lang w:val="en-CA"/>
        </w:rPr>
        <w:br w:type="page"/>
      </w:r>
    </w:p>
    <w:tbl>
      <w:tblPr>
        <w:tblW w:w="93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360"/>
      </w:tblGrid>
      <w:tr w:rsidR="0067176C" w:rsidRPr="009A1394" w14:paraId="762CC7EE" w14:textId="77777777" w:rsidTr="005D5202">
        <w:tc>
          <w:tcPr>
            <w:tcW w:w="9360" w:type="dxa"/>
            <w:tcBorders>
              <w:top w:val="nil"/>
              <w:bottom w:val="nil"/>
            </w:tcBorders>
          </w:tcPr>
          <w:p w14:paraId="623068AE" w14:textId="0D53A4A9" w:rsidR="00155B8A" w:rsidRPr="009A1394" w:rsidRDefault="00FD6464" w:rsidP="008170CE">
            <w:pPr>
              <w:pStyle w:val="zSoquijdatNomPartieDef"/>
              <w:spacing w:line="240" w:lineRule="auto"/>
              <w:rPr>
                <w:lang w:val="en-CA"/>
              </w:rPr>
            </w:pPr>
            <w:r w:rsidRPr="009A1394">
              <w:rPr>
                <w:lang w:val="en-CA"/>
              </w:rPr>
              <w:lastRenderedPageBreak/>
              <w:t>CANADIAN PACIFIC RAILWAY COMPANY</w:t>
            </w:r>
          </w:p>
        </w:tc>
      </w:tr>
      <w:tr w:rsidR="0067176C" w:rsidRPr="009A1394" w14:paraId="039C89AF" w14:textId="77777777" w:rsidTr="005D5202">
        <w:tc>
          <w:tcPr>
            <w:tcW w:w="9360" w:type="dxa"/>
            <w:tcBorders>
              <w:top w:val="nil"/>
            </w:tcBorders>
          </w:tcPr>
          <w:p w14:paraId="2EFEE4CE" w14:textId="38BD5EDA" w:rsidR="00155B8A" w:rsidRPr="009A1394" w:rsidRDefault="00FD6464" w:rsidP="008170CE">
            <w:pPr>
              <w:pStyle w:val="zSoquijdatQtePartieDef"/>
              <w:spacing w:line="240" w:lineRule="auto"/>
              <w:rPr>
                <w:lang w:val="en-CA"/>
              </w:rPr>
            </w:pPr>
            <w:r w:rsidRPr="009A1394">
              <w:rPr>
                <w:lang w:val="en-CA"/>
              </w:rPr>
              <w:t>RESPONDENT – Defendant</w:t>
            </w:r>
          </w:p>
        </w:tc>
      </w:tr>
      <w:tr w:rsidR="0067176C" w:rsidRPr="009A1394" w14:paraId="5AAD2E14" w14:textId="77777777" w:rsidTr="001000F7">
        <w:tc>
          <w:tcPr>
            <w:tcW w:w="9360" w:type="dxa"/>
            <w:tcBorders>
              <w:bottom w:val="nil"/>
            </w:tcBorders>
          </w:tcPr>
          <w:p w14:paraId="275A9FB2" w14:textId="6D0A16F8" w:rsidR="00155B8A" w:rsidRPr="009A1394" w:rsidRDefault="00FD6464" w:rsidP="008170CE">
            <w:pPr>
              <w:spacing w:line="240" w:lineRule="auto"/>
              <w:rPr>
                <w:lang w:val="en-CA"/>
              </w:rPr>
            </w:pPr>
            <w:r w:rsidRPr="009A1394">
              <w:rPr>
                <w:lang w:val="en-CA"/>
              </w:rPr>
              <w:t>and</w:t>
            </w:r>
          </w:p>
        </w:tc>
      </w:tr>
      <w:tr w:rsidR="0067176C" w:rsidRPr="005B137A" w14:paraId="2ABB1C2E" w14:textId="77777777" w:rsidTr="001000F7">
        <w:tc>
          <w:tcPr>
            <w:tcW w:w="9360" w:type="dxa"/>
            <w:tcBorders>
              <w:top w:val="nil"/>
              <w:bottom w:val="nil"/>
            </w:tcBorders>
          </w:tcPr>
          <w:p w14:paraId="40CD9ADE" w14:textId="1ECD0D9D" w:rsidR="00155B8A" w:rsidRPr="009A1394" w:rsidRDefault="00FD6464" w:rsidP="008170CE">
            <w:pPr>
              <w:pStyle w:val="zSoquijdatNomPartieDef"/>
              <w:spacing w:line="240" w:lineRule="auto"/>
              <w:rPr>
                <w:lang w:val="en-CA"/>
              </w:rPr>
            </w:pPr>
            <w:r w:rsidRPr="009A1394">
              <w:rPr>
                <w:lang w:val="en-CA"/>
              </w:rPr>
              <w:t>MONTREAL, MAINE &amp; ATLANTIC CANADA COMPANY</w:t>
            </w:r>
          </w:p>
        </w:tc>
      </w:tr>
      <w:tr w:rsidR="0067176C" w:rsidRPr="009A1394" w14:paraId="6F0C4EF6" w14:textId="77777777" w:rsidTr="001000F7">
        <w:tc>
          <w:tcPr>
            <w:tcW w:w="9360" w:type="dxa"/>
            <w:tcBorders>
              <w:top w:val="nil"/>
              <w:bottom w:val="nil"/>
            </w:tcBorders>
          </w:tcPr>
          <w:p w14:paraId="6734C8E8" w14:textId="2607B326" w:rsidR="00155B8A" w:rsidRPr="009A1394" w:rsidRDefault="00FD6464" w:rsidP="008170CE">
            <w:pPr>
              <w:pStyle w:val="zSoquijdatQtePartieDef"/>
              <w:spacing w:line="240" w:lineRule="auto"/>
              <w:rPr>
                <w:lang w:val="en-CA"/>
              </w:rPr>
            </w:pPr>
            <w:r w:rsidRPr="009A1394">
              <w:rPr>
                <w:lang w:val="en-CA"/>
              </w:rPr>
              <w:t>IMPLEADED PARTY – Defendant</w:t>
            </w:r>
          </w:p>
        </w:tc>
      </w:tr>
      <w:tr w:rsidR="0067176C" w:rsidRPr="009A1394" w14:paraId="56D24D50" w14:textId="77777777" w:rsidTr="008D507A">
        <w:tc>
          <w:tcPr>
            <w:tcW w:w="9360" w:type="dxa"/>
            <w:tcBorders>
              <w:top w:val="nil"/>
              <w:bottom w:val="single" w:sz="8" w:space="0" w:color="auto"/>
            </w:tcBorders>
          </w:tcPr>
          <w:p w14:paraId="463E15AC" w14:textId="77777777" w:rsidR="00155B8A" w:rsidRPr="009A1394" w:rsidRDefault="00155B8A" w:rsidP="008170CE">
            <w:pPr>
              <w:pStyle w:val="zSoquijdatQtePartieDef"/>
              <w:spacing w:line="240" w:lineRule="auto"/>
              <w:ind w:left="0"/>
              <w:rPr>
                <w:lang w:val="en-CA"/>
              </w:rPr>
            </w:pPr>
          </w:p>
        </w:tc>
      </w:tr>
      <w:tr w:rsidR="0067176C" w:rsidRPr="009A1394" w14:paraId="03134C8D" w14:textId="77777777" w:rsidTr="008D507A">
        <w:tc>
          <w:tcPr>
            <w:tcW w:w="9360" w:type="dxa"/>
            <w:tcBorders>
              <w:top w:val="single" w:sz="8" w:space="0" w:color="auto"/>
              <w:bottom w:val="nil"/>
            </w:tcBorders>
          </w:tcPr>
          <w:p w14:paraId="5CECCA21" w14:textId="77777777" w:rsidR="00155B8A" w:rsidRPr="009A1394" w:rsidRDefault="00155B8A" w:rsidP="008170CE">
            <w:pPr>
              <w:pStyle w:val="zSoquijdatQtePartieDef"/>
              <w:spacing w:line="240" w:lineRule="auto"/>
              <w:ind w:left="0"/>
              <w:rPr>
                <w:lang w:val="en-CA"/>
              </w:rPr>
            </w:pPr>
          </w:p>
        </w:tc>
      </w:tr>
      <w:tr w:rsidR="0067176C" w:rsidRPr="009A1394" w14:paraId="78153657" w14:textId="77777777" w:rsidTr="008D507A">
        <w:tc>
          <w:tcPr>
            <w:tcW w:w="9360" w:type="dxa"/>
            <w:tcBorders>
              <w:top w:val="nil"/>
            </w:tcBorders>
          </w:tcPr>
          <w:p w14:paraId="7FF86A5C" w14:textId="057108CE" w:rsidR="00155B8A" w:rsidRPr="009A1394" w:rsidRDefault="00FD6464" w:rsidP="008170CE">
            <w:pPr>
              <w:pStyle w:val="zSoquijlblTitrePartie"/>
              <w:spacing w:line="240" w:lineRule="auto"/>
              <w:rPr>
                <w:lang w:val="en-CA"/>
              </w:rPr>
            </w:pPr>
            <w:r w:rsidRPr="009A1394">
              <w:rPr>
                <w:lang w:val="en-CA"/>
              </w:rPr>
              <w:t>No.: 500-09-030366-231 (480-06-000001-132)</w:t>
            </w:r>
          </w:p>
        </w:tc>
      </w:tr>
      <w:tr w:rsidR="0067176C" w:rsidRPr="009A1394" w14:paraId="164839A0" w14:textId="77777777" w:rsidTr="001C3B07">
        <w:tc>
          <w:tcPr>
            <w:tcW w:w="9360" w:type="dxa"/>
          </w:tcPr>
          <w:p w14:paraId="6C2D05E6" w14:textId="21460BFD" w:rsidR="00155B8A" w:rsidRPr="009A1394" w:rsidRDefault="00FD6464" w:rsidP="008170CE">
            <w:pPr>
              <w:pStyle w:val="zSoquijdatNomPartieDem"/>
              <w:spacing w:line="240" w:lineRule="auto"/>
              <w:rPr>
                <w:lang w:val="en-CA"/>
              </w:rPr>
            </w:pPr>
            <w:r w:rsidRPr="009A1394">
              <w:rPr>
                <w:lang w:val="en-CA"/>
              </w:rPr>
              <w:t>GUY OUELLET</w:t>
            </w:r>
          </w:p>
        </w:tc>
      </w:tr>
      <w:tr w:rsidR="0067176C" w:rsidRPr="009A1394" w14:paraId="64CC5D3E" w14:textId="77777777" w:rsidTr="001C3B07">
        <w:tc>
          <w:tcPr>
            <w:tcW w:w="9360" w:type="dxa"/>
          </w:tcPr>
          <w:p w14:paraId="7F226011" w14:textId="0CD5DD87" w:rsidR="001C3B07" w:rsidRPr="009A1394" w:rsidRDefault="00FD6464" w:rsidP="008170CE">
            <w:pPr>
              <w:pStyle w:val="zSoquijdatNomPartieDem"/>
              <w:spacing w:line="240" w:lineRule="auto"/>
              <w:rPr>
                <w:lang w:val="en-CA"/>
              </w:rPr>
            </w:pPr>
            <w:r w:rsidRPr="009A1394">
              <w:rPr>
                <w:lang w:val="en-CA"/>
              </w:rPr>
              <w:t>SERGE JACQUES</w:t>
            </w:r>
          </w:p>
        </w:tc>
      </w:tr>
      <w:tr w:rsidR="0067176C" w:rsidRPr="009A1394" w14:paraId="36D9426D" w14:textId="77777777" w:rsidTr="001C3B07">
        <w:tc>
          <w:tcPr>
            <w:tcW w:w="9360" w:type="dxa"/>
          </w:tcPr>
          <w:p w14:paraId="242B93FE" w14:textId="324E3435" w:rsidR="001C3B07" w:rsidRPr="009A1394" w:rsidRDefault="00FD6464" w:rsidP="008170CE">
            <w:pPr>
              <w:pStyle w:val="zSoquijdatNomPartieDem"/>
              <w:spacing w:line="240" w:lineRule="auto"/>
              <w:rPr>
                <w:lang w:val="en-CA"/>
              </w:rPr>
            </w:pPr>
            <w:r w:rsidRPr="009A1394">
              <w:rPr>
                <w:lang w:val="en-CA"/>
              </w:rPr>
              <w:t>LOUIS-SERGES PARENT</w:t>
            </w:r>
          </w:p>
        </w:tc>
      </w:tr>
      <w:tr w:rsidR="0067176C" w:rsidRPr="009A1394" w14:paraId="417E3927" w14:textId="77777777" w:rsidTr="001C3B07">
        <w:tc>
          <w:tcPr>
            <w:tcW w:w="9360" w:type="dxa"/>
          </w:tcPr>
          <w:p w14:paraId="6BD76658" w14:textId="0F2C21A9" w:rsidR="00155B8A" w:rsidRPr="009A1394" w:rsidRDefault="00FD6464" w:rsidP="008170CE">
            <w:pPr>
              <w:pStyle w:val="zSoquijdatQtePartieDem"/>
              <w:spacing w:line="240" w:lineRule="auto"/>
              <w:rPr>
                <w:lang w:val="en-CA"/>
              </w:rPr>
            </w:pPr>
            <w:r w:rsidRPr="009A1394">
              <w:rPr>
                <w:lang w:val="en-CA"/>
              </w:rPr>
              <w:t>APPELLANTS – Plaintiffs</w:t>
            </w:r>
          </w:p>
        </w:tc>
      </w:tr>
      <w:tr w:rsidR="0067176C" w:rsidRPr="009A1394" w14:paraId="584022BF" w14:textId="77777777" w:rsidTr="001C3B07">
        <w:tc>
          <w:tcPr>
            <w:tcW w:w="9360" w:type="dxa"/>
          </w:tcPr>
          <w:p w14:paraId="22635853" w14:textId="4D055EDB" w:rsidR="00155B8A" w:rsidRPr="009A1394" w:rsidRDefault="00FD6464" w:rsidP="008170CE">
            <w:pPr>
              <w:pStyle w:val="zSoquijlblLienParties"/>
              <w:spacing w:line="240" w:lineRule="auto"/>
              <w:rPr>
                <w:lang w:val="en-CA"/>
              </w:rPr>
            </w:pPr>
            <w:r w:rsidRPr="009A1394">
              <w:rPr>
                <w:lang w:val="en-CA"/>
              </w:rPr>
              <w:t>v.</w:t>
            </w:r>
          </w:p>
        </w:tc>
      </w:tr>
      <w:tr w:rsidR="0067176C" w:rsidRPr="009A1394" w14:paraId="22D066E6" w14:textId="77777777" w:rsidTr="001C3B07">
        <w:tc>
          <w:tcPr>
            <w:tcW w:w="9360" w:type="dxa"/>
          </w:tcPr>
          <w:p w14:paraId="2F81D4E0" w14:textId="77777777" w:rsidR="00155B8A" w:rsidRPr="009A1394" w:rsidRDefault="00155B8A" w:rsidP="008170CE">
            <w:pPr>
              <w:spacing w:line="240" w:lineRule="auto"/>
              <w:rPr>
                <w:lang w:val="en-CA"/>
              </w:rPr>
            </w:pPr>
          </w:p>
        </w:tc>
      </w:tr>
      <w:tr w:rsidR="0067176C" w:rsidRPr="009A1394" w14:paraId="4A189032" w14:textId="77777777" w:rsidTr="001C3B07">
        <w:tc>
          <w:tcPr>
            <w:tcW w:w="9360" w:type="dxa"/>
          </w:tcPr>
          <w:p w14:paraId="30085102" w14:textId="30D8A0B8" w:rsidR="00155B8A" w:rsidRPr="009A1394" w:rsidRDefault="00FD6464" w:rsidP="008170CE">
            <w:pPr>
              <w:pStyle w:val="zSoquijdatNomPartieDef"/>
              <w:spacing w:line="240" w:lineRule="auto"/>
              <w:rPr>
                <w:lang w:val="en-CA"/>
              </w:rPr>
            </w:pPr>
            <w:r w:rsidRPr="009A1394">
              <w:rPr>
                <w:lang w:val="en-CA"/>
              </w:rPr>
              <w:t>CANADIAN PACIFIC RAILWAY COMPANY</w:t>
            </w:r>
          </w:p>
        </w:tc>
      </w:tr>
      <w:tr w:rsidR="0067176C" w:rsidRPr="009A1394" w14:paraId="33E0D9A5" w14:textId="77777777" w:rsidTr="001C3B07">
        <w:tc>
          <w:tcPr>
            <w:tcW w:w="9360" w:type="dxa"/>
          </w:tcPr>
          <w:p w14:paraId="2B60992B" w14:textId="387BB4AD" w:rsidR="00155B8A" w:rsidRPr="009A1394" w:rsidRDefault="00FD6464" w:rsidP="008170CE">
            <w:pPr>
              <w:pStyle w:val="zSoquijdatQtePartieDef"/>
              <w:spacing w:line="240" w:lineRule="auto"/>
              <w:rPr>
                <w:lang w:val="en-CA"/>
              </w:rPr>
            </w:pPr>
            <w:r w:rsidRPr="009A1394">
              <w:rPr>
                <w:lang w:val="en-CA"/>
              </w:rPr>
              <w:t>RESPONDENT – Defendant</w:t>
            </w:r>
          </w:p>
        </w:tc>
      </w:tr>
      <w:tr w:rsidR="0067176C" w:rsidRPr="009A1394" w14:paraId="2A1E4379" w14:textId="77777777" w:rsidTr="001C3B07">
        <w:tc>
          <w:tcPr>
            <w:tcW w:w="9360" w:type="dxa"/>
          </w:tcPr>
          <w:p w14:paraId="540A4C4F" w14:textId="67D93BCD" w:rsidR="00155B8A" w:rsidRPr="009A1394" w:rsidRDefault="00FD6464" w:rsidP="008170CE">
            <w:pPr>
              <w:spacing w:line="240" w:lineRule="auto"/>
              <w:rPr>
                <w:lang w:val="en-CA"/>
              </w:rPr>
            </w:pPr>
            <w:r w:rsidRPr="009A1394">
              <w:rPr>
                <w:lang w:val="en-CA"/>
              </w:rPr>
              <w:t>and</w:t>
            </w:r>
          </w:p>
        </w:tc>
      </w:tr>
      <w:tr w:rsidR="0067176C" w:rsidRPr="005B137A" w14:paraId="73CE7A74" w14:textId="77777777" w:rsidTr="001C3B07">
        <w:tc>
          <w:tcPr>
            <w:tcW w:w="9360" w:type="dxa"/>
          </w:tcPr>
          <w:p w14:paraId="660F4B73" w14:textId="1DD3CAE0" w:rsidR="00155B8A" w:rsidRPr="009A1394" w:rsidRDefault="00FD6464" w:rsidP="008170CE">
            <w:pPr>
              <w:pStyle w:val="zSoquijdatNomPartieDef"/>
              <w:spacing w:line="240" w:lineRule="auto"/>
              <w:rPr>
                <w:lang w:val="en-CA"/>
              </w:rPr>
            </w:pPr>
            <w:r w:rsidRPr="009A1394">
              <w:rPr>
                <w:lang w:val="en-CA"/>
              </w:rPr>
              <w:t>MONTREAL, MAINE &amp; ATLANTIC CANADA COMPANY</w:t>
            </w:r>
          </w:p>
        </w:tc>
      </w:tr>
      <w:tr w:rsidR="0067176C" w:rsidRPr="009A1394" w14:paraId="581685CA" w14:textId="77777777" w:rsidTr="001C3B07">
        <w:tc>
          <w:tcPr>
            <w:tcW w:w="9360" w:type="dxa"/>
          </w:tcPr>
          <w:p w14:paraId="533CA1C3" w14:textId="49ADF600" w:rsidR="00155B8A" w:rsidRPr="009A1394" w:rsidRDefault="00FD6464" w:rsidP="008170CE">
            <w:pPr>
              <w:pStyle w:val="zSoquijdatQtePartieDef"/>
              <w:spacing w:line="240" w:lineRule="auto"/>
              <w:rPr>
                <w:lang w:val="en-CA"/>
              </w:rPr>
            </w:pPr>
            <w:r w:rsidRPr="009A1394">
              <w:rPr>
                <w:lang w:val="en-CA"/>
              </w:rPr>
              <w:t>IMPLEADED PARTY – Defendant</w:t>
            </w:r>
          </w:p>
        </w:tc>
      </w:tr>
      <w:tr w:rsidR="0067176C" w:rsidRPr="009A1394" w14:paraId="5F4F4AE0" w14:textId="77777777" w:rsidTr="008D507A">
        <w:tc>
          <w:tcPr>
            <w:tcW w:w="9360" w:type="dxa"/>
            <w:tcBorders>
              <w:bottom w:val="single" w:sz="8" w:space="0" w:color="auto"/>
            </w:tcBorders>
          </w:tcPr>
          <w:p w14:paraId="5AAAA380" w14:textId="77777777" w:rsidR="00155B8A" w:rsidRPr="009A1394" w:rsidRDefault="00155B8A" w:rsidP="008170CE">
            <w:pPr>
              <w:pStyle w:val="zSoquijdatQtePartieDef"/>
              <w:spacing w:line="240" w:lineRule="auto"/>
              <w:ind w:left="0"/>
              <w:rPr>
                <w:lang w:val="en-CA"/>
              </w:rPr>
            </w:pPr>
          </w:p>
        </w:tc>
      </w:tr>
      <w:tr w:rsidR="0067176C" w:rsidRPr="009A1394" w14:paraId="33EA78C1" w14:textId="77777777" w:rsidTr="008D507A">
        <w:tc>
          <w:tcPr>
            <w:tcW w:w="9360" w:type="dxa"/>
            <w:tcBorders>
              <w:top w:val="single" w:sz="8" w:space="0" w:color="auto"/>
              <w:bottom w:val="nil"/>
            </w:tcBorders>
          </w:tcPr>
          <w:p w14:paraId="1311FB82" w14:textId="77777777" w:rsidR="008F364A" w:rsidRPr="009A1394" w:rsidRDefault="008F364A" w:rsidP="008170CE">
            <w:pPr>
              <w:spacing w:line="240" w:lineRule="auto"/>
              <w:rPr>
                <w:lang w:val="en-CA"/>
              </w:rPr>
            </w:pPr>
          </w:p>
        </w:tc>
      </w:tr>
      <w:tr w:rsidR="0067176C" w:rsidRPr="009A1394" w14:paraId="17ADEEDC" w14:textId="77777777" w:rsidTr="001C3B07">
        <w:tc>
          <w:tcPr>
            <w:tcW w:w="9360" w:type="dxa"/>
          </w:tcPr>
          <w:p w14:paraId="44EEC951" w14:textId="3CF8F040" w:rsidR="008F364A" w:rsidRPr="009A1394" w:rsidRDefault="00FD6464" w:rsidP="008170CE">
            <w:pPr>
              <w:pStyle w:val="zSoquijlblTypeDocument"/>
              <w:spacing w:line="240" w:lineRule="auto"/>
              <w:rPr>
                <w:lang w:val="en-CA"/>
              </w:rPr>
            </w:pPr>
            <w:bookmarkStart w:id="1" w:name="Arret"/>
            <w:r w:rsidRPr="009A1394">
              <w:rPr>
                <w:lang w:val="en-CA"/>
              </w:rPr>
              <w:t>JUDGMENT</w:t>
            </w:r>
          </w:p>
        </w:tc>
      </w:tr>
      <w:tr w:rsidR="0067176C" w:rsidRPr="009A1394" w14:paraId="589F6695" w14:textId="77777777" w:rsidTr="008D507A">
        <w:tc>
          <w:tcPr>
            <w:tcW w:w="9360" w:type="dxa"/>
            <w:tcBorders>
              <w:bottom w:val="single" w:sz="8" w:space="0" w:color="auto"/>
            </w:tcBorders>
          </w:tcPr>
          <w:p w14:paraId="06B13DE0" w14:textId="77777777" w:rsidR="008F364A" w:rsidRPr="009A1394" w:rsidRDefault="008F364A" w:rsidP="008170CE">
            <w:pPr>
              <w:spacing w:line="240" w:lineRule="auto"/>
              <w:rPr>
                <w:lang w:val="en-CA"/>
              </w:rPr>
            </w:pPr>
          </w:p>
        </w:tc>
      </w:tr>
      <w:tr w:rsidR="0067176C" w:rsidRPr="009A1394" w14:paraId="0E139FA6" w14:textId="77777777" w:rsidTr="008D507A">
        <w:tc>
          <w:tcPr>
            <w:tcW w:w="9360" w:type="dxa"/>
            <w:tcBorders>
              <w:top w:val="single" w:sz="8" w:space="0" w:color="auto"/>
              <w:bottom w:val="nil"/>
            </w:tcBorders>
          </w:tcPr>
          <w:p w14:paraId="762F4269" w14:textId="77777777" w:rsidR="008F364A" w:rsidRPr="009A1394" w:rsidRDefault="008F364A" w:rsidP="008170CE">
            <w:pPr>
              <w:spacing w:line="240" w:lineRule="auto"/>
              <w:rPr>
                <w:lang w:val="en-CA"/>
              </w:rPr>
            </w:pPr>
          </w:p>
        </w:tc>
      </w:tr>
    </w:tbl>
    <w:p w14:paraId="5C6D4297" w14:textId="6163CDA9" w:rsidR="00CC66B8" w:rsidRPr="009A1394" w:rsidRDefault="00FD6464" w:rsidP="003C6356">
      <w:pPr>
        <w:pStyle w:val="Paragraphe"/>
        <w:numPr>
          <w:ilvl w:val="0"/>
          <w:numId w:val="1"/>
        </w:numPr>
        <w:rPr>
          <w:lang w:val="en-CA"/>
        </w:rPr>
      </w:pPr>
      <w:r w:rsidRPr="009A1394">
        <w:rPr>
          <w:lang w:val="en-CA"/>
        </w:rPr>
        <w:t>The appellants appeal from the judgment rendered on December 14, 2022,</w:t>
      </w:r>
      <w:r w:rsidRPr="009A1394">
        <w:rPr>
          <w:vertAlign w:val="superscript"/>
          <w:lang w:val="en-CA"/>
        </w:rPr>
        <w:footnoteReference w:id="2"/>
      </w:r>
      <w:r w:rsidRPr="009A1394">
        <w:rPr>
          <w:lang w:val="en-CA"/>
        </w:rPr>
        <w:t xml:space="preserve"> by the Superior Court, District of Mégantic (the Honourable Martin Bureau)</w:t>
      </w:r>
      <w:r w:rsidR="008249C5" w:rsidRPr="009A1394">
        <w:rPr>
          <w:lang w:val="en-CA"/>
        </w:rPr>
        <w:t>,</w:t>
      </w:r>
      <w:r w:rsidRPr="009A1394">
        <w:rPr>
          <w:lang w:val="en-CA"/>
        </w:rPr>
        <w:t xml:space="preserve"> dismissing their respective originating application</w:t>
      </w:r>
      <w:r w:rsidR="002C48A2" w:rsidRPr="009A1394">
        <w:rPr>
          <w:lang w:val="en-CA"/>
        </w:rPr>
        <w:t>s</w:t>
      </w:r>
      <w:r w:rsidRPr="009A1394">
        <w:rPr>
          <w:lang w:val="en-CA"/>
        </w:rPr>
        <w:t xml:space="preserve"> against the respondent, Canadian Pacific Railway Company</w:t>
      </w:r>
      <w:r w:rsidRPr="009A1394">
        <w:rPr>
          <w:vertAlign w:val="superscript"/>
          <w:lang w:val="en-CA"/>
        </w:rPr>
        <w:footnoteReference w:id="3"/>
      </w:r>
      <w:r w:rsidRPr="009A1394">
        <w:rPr>
          <w:lang w:val="en-CA"/>
        </w:rPr>
        <w:t xml:space="preserve"> (</w:t>
      </w:r>
      <w:r w:rsidR="00D80A77" w:rsidRPr="009A1394">
        <w:rPr>
          <w:lang w:val="en-CA"/>
        </w:rPr>
        <w:t>“</w:t>
      </w:r>
      <w:r w:rsidRPr="009A1394">
        <w:rPr>
          <w:b/>
          <w:lang w:val="en-CA"/>
        </w:rPr>
        <w:t>CP</w:t>
      </w:r>
      <w:r w:rsidRPr="009A1394">
        <w:rPr>
          <w:lang w:val="en-CA"/>
        </w:rPr>
        <w:t>”),</w:t>
      </w:r>
      <w:r w:rsidRPr="009A1394">
        <w:rPr>
          <w:rStyle w:val="Appelnotedebasdep"/>
          <w:lang w:val="en-CA"/>
        </w:rPr>
        <w:footnoteReference w:id="4"/>
      </w:r>
      <w:r w:rsidRPr="009A1394">
        <w:rPr>
          <w:lang w:val="en-CA"/>
        </w:rPr>
        <w:t xml:space="preserve"> but granting </w:t>
      </w:r>
      <w:r w:rsidR="002C48A2" w:rsidRPr="009A1394">
        <w:rPr>
          <w:lang w:val="en-CA"/>
        </w:rPr>
        <w:t xml:space="preserve">them </w:t>
      </w:r>
      <w:r w:rsidRPr="009A1394">
        <w:rPr>
          <w:lang w:val="en-CA"/>
        </w:rPr>
        <w:t xml:space="preserve">in part against </w:t>
      </w:r>
      <w:r w:rsidR="00CD2F0B" w:rsidRPr="009A1394">
        <w:rPr>
          <w:lang w:val="en-CA"/>
        </w:rPr>
        <w:t>the</w:t>
      </w:r>
      <w:r w:rsidRPr="009A1394">
        <w:rPr>
          <w:lang w:val="en-CA"/>
        </w:rPr>
        <w:t xml:space="preserve"> impleaded party Montreal, Maine &amp; Atlantic Canada Company (</w:t>
      </w:r>
      <w:r w:rsidR="00D80A77" w:rsidRPr="009A1394">
        <w:rPr>
          <w:lang w:val="en-CA"/>
        </w:rPr>
        <w:t>“</w:t>
      </w:r>
      <w:r w:rsidRPr="009A1394">
        <w:rPr>
          <w:b/>
          <w:lang w:val="en-CA"/>
        </w:rPr>
        <w:t>MMA</w:t>
      </w:r>
      <w:r w:rsidRPr="009A1394">
        <w:rPr>
          <w:lang w:val="en-CA"/>
        </w:rPr>
        <w:t>”).</w:t>
      </w:r>
      <w:r w:rsidR="00E353BA" w:rsidRPr="009A1394">
        <w:rPr>
          <w:lang w:val="en-CA"/>
        </w:rPr>
        <w:t xml:space="preserve"> </w:t>
      </w:r>
      <w:r w:rsidRPr="009A1394">
        <w:rPr>
          <w:lang w:val="en-CA"/>
        </w:rPr>
        <w:t xml:space="preserve">Their appeals were consolidated </w:t>
      </w:r>
      <w:r w:rsidR="00CD2F0B" w:rsidRPr="009A1394">
        <w:rPr>
          <w:lang w:val="en-CA"/>
        </w:rPr>
        <w:t>in</w:t>
      </w:r>
      <w:r w:rsidRPr="009A1394">
        <w:rPr>
          <w:lang w:val="en-CA"/>
        </w:rPr>
        <w:t xml:space="preserve"> a joint hearing</w:t>
      </w:r>
      <w:r w:rsidR="00CD2F0B" w:rsidRPr="009A1394">
        <w:rPr>
          <w:lang w:val="en-CA"/>
        </w:rPr>
        <w:t>,</w:t>
      </w:r>
      <w:r w:rsidRPr="009A1394">
        <w:rPr>
          <w:lang w:val="en-CA"/>
        </w:rPr>
        <w:t xml:space="preserve"> </w:t>
      </w:r>
      <w:r w:rsidR="00CD2F0B" w:rsidRPr="009A1394">
        <w:rPr>
          <w:lang w:val="en-CA"/>
        </w:rPr>
        <w:t>to be decided in</w:t>
      </w:r>
      <w:r w:rsidRPr="009A1394">
        <w:rPr>
          <w:lang w:val="en-CA"/>
        </w:rPr>
        <w:t xml:space="preserve"> a single judgment.</w:t>
      </w:r>
    </w:p>
    <w:p w14:paraId="2B678DC7" w14:textId="78941A31" w:rsidR="00940B74" w:rsidRPr="009A1394" w:rsidRDefault="00FD6464" w:rsidP="003C6356">
      <w:pPr>
        <w:pStyle w:val="Titre1"/>
        <w:rPr>
          <w:lang w:val="en-CA"/>
        </w:rPr>
      </w:pPr>
      <w:r w:rsidRPr="009A1394">
        <w:rPr>
          <w:lang w:val="en-CA"/>
        </w:rPr>
        <w:t>Summary</w:t>
      </w:r>
    </w:p>
    <w:p w14:paraId="75CE2FCF" w14:textId="4827E75D" w:rsidR="00940B74" w:rsidRPr="009A1394" w:rsidRDefault="00FD6464" w:rsidP="00940B74">
      <w:pPr>
        <w:pStyle w:val="Paragraphe"/>
        <w:numPr>
          <w:ilvl w:val="0"/>
          <w:numId w:val="1"/>
        </w:numPr>
        <w:rPr>
          <w:lang w:val="en-CA"/>
        </w:rPr>
      </w:pPr>
      <w:r w:rsidRPr="009A1394">
        <w:rPr>
          <w:lang w:val="en-CA"/>
        </w:rPr>
        <w:t>The</w:t>
      </w:r>
      <w:r w:rsidR="0020616E" w:rsidRPr="009A1394">
        <w:rPr>
          <w:lang w:val="en-CA"/>
        </w:rPr>
        <w:t xml:space="preserve"> factual backdrop of the</w:t>
      </w:r>
      <w:r w:rsidRPr="009A1394">
        <w:rPr>
          <w:lang w:val="en-CA"/>
        </w:rPr>
        <w:t xml:space="preserve"> judgment under appeal </w:t>
      </w:r>
      <w:r w:rsidR="0016042E" w:rsidRPr="009A1394">
        <w:rPr>
          <w:lang w:val="en-CA"/>
        </w:rPr>
        <w:t>is</w:t>
      </w:r>
      <w:r w:rsidR="0020616E" w:rsidRPr="009A1394">
        <w:rPr>
          <w:lang w:val="en-CA"/>
        </w:rPr>
        <w:t xml:space="preserve"> </w:t>
      </w:r>
      <w:r w:rsidRPr="009A1394">
        <w:rPr>
          <w:lang w:val="en-CA"/>
        </w:rPr>
        <w:t>the derailment of a train transporting crude oil</w:t>
      </w:r>
      <w:r w:rsidR="0020616E" w:rsidRPr="009A1394">
        <w:rPr>
          <w:lang w:val="en-CA"/>
        </w:rPr>
        <w:t>,</w:t>
      </w:r>
      <w:r w:rsidRPr="009A1394">
        <w:rPr>
          <w:lang w:val="en-CA"/>
        </w:rPr>
        <w:t xml:space="preserve"> </w:t>
      </w:r>
      <w:r w:rsidR="0020616E" w:rsidRPr="009A1394">
        <w:rPr>
          <w:lang w:val="en-CA"/>
        </w:rPr>
        <w:t>on</w:t>
      </w:r>
      <w:r w:rsidRPr="009A1394">
        <w:rPr>
          <w:lang w:val="en-CA"/>
        </w:rPr>
        <w:t xml:space="preserve"> the night of July 6, 2013, in the heart of the </w:t>
      </w:r>
      <w:r w:rsidR="00D80A77" w:rsidRPr="009A1394">
        <w:rPr>
          <w:lang w:val="en-CA"/>
        </w:rPr>
        <w:t>town</w:t>
      </w:r>
      <w:r w:rsidRPr="009A1394">
        <w:rPr>
          <w:lang w:val="en-CA"/>
        </w:rPr>
        <w:t xml:space="preserve"> of Lac-Mégantic (</w:t>
      </w:r>
      <w:r w:rsidR="00D80A77" w:rsidRPr="009A1394">
        <w:rPr>
          <w:lang w:val="en-CA"/>
        </w:rPr>
        <w:t>“</w:t>
      </w:r>
      <w:r w:rsidRPr="009A1394">
        <w:rPr>
          <w:b/>
          <w:lang w:val="en-CA"/>
        </w:rPr>
        <w:t>Lac-Mégantic</w:t>
      </w:r>
      <w:r w:rsidRPr="009A1394">
        <w:rPr>
          <w:lang w:val="en-CA"/>
        </w:rPr>
        <w:t>”).</w:t>
      </w:r>
      <w:r w:rsidR="008161A3" w:rsidRPr="009A1394">
        <w:rPr>
          <w:lang w:val="en-CA"/>
        </w:rPr>
        <w:t xml:space="preserve"> </w:t>
      </w:r>
      <w:r w:rsidRPr="009A1394">
        <w:rPr>
          <w:lang w:val="en-CA"/>
        </w:rPr>
        <w:t xml:space="preserve">This accident cost the lives of 47 people and caused bodily, moral or </w:t>
      </w:r>
      <w:r w:rsidRPr="009A1394">
        <w:rPr>
          <w:lang w:val="en-CA"/>
        </w:rPr>
        <w:lastRenderedPageBreak/>
        <w:t xml:space="preserve">material </w:t>
      </w:r>
      <w:r w:rsidR="00C6425C" w:rsidRPr="009A1394">
        <w:rPr>
          <w:lang w:val="en-CA"/>
        </w:rPr>
        <w:t>injuries</w:t>
      </w:r>
      <w:r w:rsidRPr="009A1394">
        <w:rPr>
          <w:lang w:val="en-CA"/>
        </w:rPr>
        <w:t xml:space="preserve"> to many </w:t>
      </w:r>
      <w:r w:rsidR="0020616E" w:rsidRPr="009A1394">
        <w:rPr>
          <w:lang w:val="en-CA"/>
        </w:rPr>
        <w:t>more</w:t>
      </w:r>
      <w:r w:rsidRPr="009A1394">
        <w:rPr>
          <w:lang w:val="en-CA"/>
        </w:rPr>
        <w:t>.</w:t>
      </w:r>
      <w:r w:rsidR="008161A3" w:rsidRPr="009A1394">
        <w:rPr>
          <w:lang w:val="en-CA"/>
        </w:rPr>
        <w:t xml:space="preserve"> </w:t>
      </w:r>
      <w:r w:rsidR="00F7268D" w:rsidRPr="009A1394">
        <w:rPr>
          <w:lang w:val="en-CA"/>
        </w:rPr>
        <w:t>Unsurprisingly,</w:t>
      </w:r>
      <w:r w:rsidRPr="009A1394">
        <w:rPr>
          <w:lang w:val="en-CA"/>
        </w:rPr>
        <w:t xml:space="preserve"> the judge </w:t>
      </w:r>
      <w:r w:rsidR="0020616E" w:rsidRPr="009A1394">
        <w:rPr>
          <w:lang w:val="en-CA"/>
        </w:rPr>
        <w:t>called</w:t>
      </w:r>
      <w:r w:rsidRPr="009A1394">
        <w:rPr>
          <w:lang w:val="en-CA"/>
        </w:rPr>
        <w:t xml:space="preserve"> it </w:t>
      </w:r>
      <w:r w:rsidR="0020616E" w:rsidRPr="009A1394">
        <w:rPr>
          <w:lang w:val="en-CA"/>
        </w:rPr>
        <w:t>[</w:t>
      </w:r>
      <w:r w:rsidR="0020616E" w:rsidRPr="009A1394">
        <w:rPr>
          <w:smallCaps/>
          <w:lang w:val="en-CA"/>
        </w:rPr>
        <w:t>translation</w:t>
      </w:r>
      <w:r w:rsidR="0020616E" w:rsidRPr="009A1394">
        <w:rPr>
          <w:lang w:val="en-CA"/>
        </w:rPr>
        <w:t xml:space="preserve">] </w:t>
      </w:r>
      <w:r w:rsidRPr="009A1394">
        <w:rPr>
          <w:lang w:val="en-CA"/>
        </w:rPr>
        <w:t>“one of the worst railway tragedies in Canadian history”</w:t>
      </w:r>
      <w:r w:rsidR="008249C5" w:rsidRPr="009A1394">
        <w:rPr>
          <w:lang w:val="en-CA"/>
        </w:rPr>
        <w:t>.</w:t>
      </w:r>
      <w:r w:rsidRPr="009A1394">
        <w:rPr>
          <w:vertAlign w:val="superscript"/>
          <w:lang w:val="en-CA"/>
        </w:rPr>
        <w:footnoteReference w:id="5"/>
      </w:r>
    </w:p>
    <w:p w14:paraId="5553E271" w14:textId="30BEA344" w:rsidR="000F1503" w:rsidRPr="009A1394" w:rsidRDefault="00FD6464" w:rsidP="003C6356">
      <w:pPr>
        <w:pStyle w:val="Paragraphe"/>
        <w:numPr>
          <w:ilvl w:val="0"/>
          <w:numId w:val="1"/>
        </w:numPr>
        <w:rPr>
          <w:lang w:val="en-CA"/>
        </w:rPr>
      </w:pPr>
      <w:r w:rsidRPr="009A1394">
        <w:rPr>
          <w:lang w:val="en-CA"/>
        </w:rPr>
        <w:t xml:space="preserve">Proceedings were brought against several of the parties that took part in </w:t>
      </w:r>
      <w:r w:rsidR="00EE5035" w:rsidRPr="009A1394">
        <w:rPr>
          <w:lang w:val="en-CA"/>
        </w:rPr>
        <w:t>the transportation of</w:t>
      </w:r>
      <w:r w:rsidRPr="009A1394">
        <w:rPr>
          <w:lang w:val="en-CA"/>
        </w:rPr>
        <w:t xml:space="preserve"> </w:t>
      </w:r>
      <w:r w:rsidR="00EE721E" w:rsidRPr="009A1394">
        <w:rPr>
          <w:lang w:val="en-CA"/>
        </w:rPr>
        <w:t>this commodity</w:t>
      </w:r>
      <w:r w:rsidRPr="009A1394">
        <w:rPr>
          <w:lang w:val="en-CA"/>
        </w:rPr>
        <w:t>.</w:t>
      </w:r>
      <w:r w:rsidR="008161A3" w:rsidRPr="009A1394">
        <w:rPr>
          <w:lang w:val="en-CA"/>
        </w:rPr>
        <w:t xml:space="preserve"> </w:t>
      </w:r>
      <w:r w:rsidRPr="009A1394">
        <w:rPr>
          <w:lang w:val="en-CA"/>
        </w:rPr>
        <w:t xml:space="preserve">In exchange for </w:t>
      </w:r>
      <w:r w:rsidR="00DF3D8C" w:rsidRPr="009A1394">
        <w:rPr>
          <w:lang w:val="en-CA"/>
        </w:rPr>
        <w:t>an acquittance</w:t>
      </w:r>
      <w:r w:rsidRPr="009A1394">
        <w:rPr>
          <w:lang w:val="en-CA"/>
        </w:rPr>
        <w:t>, they all contributed to a compensation fund of over 430 million dollars, except for CP and MMA.</w:t>
      </w:r>
      <w:r w:rsidRPr="009A1394">
        <w:rPr>
          <w:vertAlign w:val="superscript"/>
          <w:lang w:val="en-CA"/>
        </w:rPr>
        <w:footnoteReference w:id="6"/>
      </w:r>
      <w:r w:rsidR="008161A3" w:rsidRPr="009A1394">
        <w:rPr>
          <w:lang w:val="en-CA"/>
        </w:rPr>
        <w:t xml:space="preserve"> </w:t>
      </w:r>
      <w:r w:rsidRPr="009A1394">
        <w:rPr>
          <w:lang w:val="en-CA"/>
        </w:rPr>
        <w:t xml:space="preserve">CP denies any liability while MMA’s </w:t>
      </w:r>
      <w:r w:rsidR="00A77CB9" w:rsidRPr="009A1394">
        <w:rPr>
          <w:lang w:val="en-CA"/>
        </w:rPr>
        <w:t>impecuniosity</w:t>
      </w:r>
      <w:r w:rsidRPr="009A1394">
        <w:rPr>
          <w:vertAlign w:val="superscript"/>
          <w:lang w:val="en-CA"/>
        </w:rPr>
        <w:footnoteReference w:id="7"/>
      </w:r>
      <w:r w:rsidRPr="009A1394">
        <w:rPr>
          <w:lang w:val="en-CA"/>
        </w:rPr>
        <w:t xml:space="preserve"> meant that it could not contribute.</w:t>
      </w:r>
    </w:p>
    <w:p w14:paraId="0590286C" w14:textId="6EB1F204" w:rsidR="00940B74" w:rsidRPr="009A1394" w:rsidRDefault="00FD6464" w:rsidP="00750205">
      <w:pPr>
        <w:pStyle w:val="Paragraphe"/>
        <w:numPr>
          <w:ilvl w:val="0"/>
          <w:numId w:val="1"/>
        </w:numPr>
        <w:rPr>
          <w:lang w:val="en-CA"/>
        </w:rPr>
      </w:pPr>
      <w:r w:rsidRPr="009A1394">
        <w:rPr>
          <w:lang w:val="en-CA"/>
        </w:rPr>
        <w:t>The appeal the Court must decide concerns only the dismissal of the proceedings brought against CP.</w:t>
      </w:r>
      <w:r w:rsidR="00214535" w:rsidRPr="009A1394">
        <w:rPr>
          <w:lang w:val="en-CA"/>
        </w:rPr>
        <w:t xml:space="preserve"> </w:t>
      </w:r>
      <w:r w:rsidRPr="009A1394">
        <w:rPr>
          <w:lang w:val="en-CA"/>
        </w:rPr>
        <w:t xml:space="preserve">CP’s role in </w:t>
      </w:r>
      <w:r w:rsidR="00EE5035" w:rsidRPr="009A1394">
        <w:rPr>
          <w:lang w:val="en-CA"/>
        </w:rPr>
        <w:t>the transportation of</w:t>
      </w:r>
      <w:r w:rsidRPr="009A1394">
        <w:rPr>
          <w:lang w:val="en-CA"/>
        </w:rPr>
        <w:t xml:space="preserve"> this cargo of crude oil will be described in greater detail below.</w:t>
      </w:r>
      <w:r w:rsidR="00214535" w:rsidRPr="009A1394">
        <w:rPr>
          <w:lang w:val="en-CA"/>
        </w:rPr>
        <w:t xml:space="preserve"> </w:t>
      </w:r>
      <w:r w:rsidRPr="009A1394">
        <w:rPr>
          <w:lang w:val="en-CA"/>
        </w:rPr>
        <w:t xml:space="preserve">For </w:t>
      </w:r>
      <w:r w:rsidR="0059625D" w:rsidRPr="009A1394">
        <w:rPr>
          <w:lang w:val="en-CA"/>
        </w:rPr>
        <w:t>now</w:t>
      </w:r>
      <w:r w:rsidRPr="009A1394">
        <w:rPr>
          <w:lang w:val="en-CA"/>
        </w:rPr>
        <w:t xml:space="preserve">, </w:t>
      </w:r>
      <w:r w:rsidR="0059625D" w:rsidRPr="009A1394">
        <w:rPr>
          <w:lang w:val="en-CA"/>
        </w:rPr>
        <w:t xml:space="preserve">suffice </w:t>
      </w:r>
      <w:r w:rsidR="00E809D0" w:rsidRPr="009A1394">
        <w:rPr>
          <w:lang w:val="en-CA"/>
        </w:rPr>
        <w:t xml:space="preserve">it </w:t>
      </w:r>
      <w:r w:rsidR="0059625D" w:rsidRPr="009A1394">
        <w:rPr>
          <w:lang w:val="en-CA"/>
        </w:rPr>
        <w:t>to note</w:t>
      </w:r>
      <w:r w:rsidRPr="009A1394">
        <w:rPr>
          <w:lang w:val="en-CA"/>
        </w:rPr>
        <w:t xml:space="preserve"> that CP owned neither the trai</w:t>
      </w:r>
      <w:r w:rsidR="00EE721E" w:rsidRPr="009A1394">
        <w:rPr>
          <w:lang w:val="en-CA"/>
        </w:rPr>
        <w:t>n</w:t>
      </w:r>
      <w:r w:rsidRPr="009A1394">
        <w:rPr>
          <w:lang w:val="en-CA"/>
        </w:rPr>
        <w:t xml:space="preserve"> that derailed, nor its cargo.</w:t>
      </w:r>
      <w:r w:rsidR="00214535" w:rsidRPr="009A1394">
        <w:rPr>
          <w:lang w:val="en-CA"/>
        </w:rPr>
        <w:t xml:space="preserve"> </w:t>
      </w:r>
      <w:r w:rsidRPr="009A1394">
        <w:rPr>
          <w:lang w:val="en-CA"/>
        </w:rPr>
        <w:t xml:space="preserve">Thus, when this accident </w:t>
      </w:r>
      <w:r w:rsidR="00EE721E" w:rsidRPr="009A1394">
        <w:rPr>
          <w:lang w:val="en-CA"/>
        </w:rPr>
        <w:t>occurred</w:t>
      </w:r>
      <w:r w:rsidRPr="009A1394">
        <w:rPr>
          <w:lang w:val="en-CA"/>
        </w:rPr>
        <w:t xml:space="preserve">, the train was under </w:t>
      </w:r>
      <w:r w:rsidR="00EE721E" w:rsidRPr="009A1394">
        <w:rPr>
          <w:lang w:val="en-CA"/>
        </w:rPr>
        <w:t xml:space="preserve">the control of </w:t>
      </w:r>
      <w:r w:rsidRPr="009A1394">
        <w:rPr>
          <w:lang w:val="en-CA"/>
        </w:rPr>
        <w:t xml:space="preserve">MMA, a railway company that was completely independent from CP and duly </w:t>
      </w:r>
      <w:r w:rsidR="0059625D" w:rsidRPr="009A1394">
        <w:rPr>
          <w:lang w:val="en-CA"/>
        </w:rPr>
        <w:t>certifi</w:t>
      </w:r>
      <w:r w:rsidRPr="009A1394">
        <w:rPr>
          <w:lang w:val="en-CA"/>
        </w:rPr>
        <w:t>ed.</w:t>
      </w:r>
      <w:r w:rsidR="00214535" w:rsidRPr="009A1394">
        <w:rPr>
          <w:lang w:val="en-CA"/>
        </w:rPr>
        <w:t xml:space="preserve"> </w:t>
      </w:r>
      <w:r w:rsidRPr="009A1394">
        <w:rPr>
          <w:lang w:val="en-CA"/>
        </w:rPr>
        <w:t xml:space="preserve">The train was </w:t>
      </w:r>
      <w:r w:rsidR="00EE721E" w:rsidRPr="009A1394">
        <w:rPr>
          <w:lang w:val="en-CA"/>
        </w:rPr>
        <w:t xml:space="preserve">on </w:t>
      </w:r>
      <w:r w:rsidRPr="009A1394">
        <w:rPr>
          <w:lang w:val="en-CA"/>
        </w:rPr>
        <w:t xml:space="preserve">tracks belonging to MMA and was being </w:t>
      </w:r>
      <w:r w:rsidR="0059625D" w:rsidRPr="009A1394">
        <w:rPr>
          <w:lang w:val="en-CA"/>
        </w:rPr>
        <w:t>operated</w:t>
      </w:r>
      <w:r w:rsidRPr="009A1394">
        <w:rPr>
          <w:lang w:val="en-CA"/>
        </w:rPr>
        <w:t xml:space="preserve"> by an MMA employee.</w:t>
      </w:r>
      <w:r w:rsidR="00214535" w:rsidRPr="009A1394">
        <w:rPr>
          <w:lang w:val="en-CA"/>
        </w:rPr>
        <w:t xml:space="preserve"> </w:t>
      </w:r>
      <w:r w:rsidRPr="009A1394">
        <w:rPr>
          <w:lang w:val="en-CA"/>
        </w:rPr>
        <w:t xml:space="preserve">Finally, no one contests that it was </w:t>
      </w:r>
      <w:r w:rsidR="005D26DE" w:rsidRPr="009A1394">
        <w:rPr>
          <w:lang w:val="en-CA"/>
        </w:rPr>
        <w:t>because of</w:t>
      </w:r>
      <w:r w:rsidRPr="009A1394">
        <w:rPr>
          <w:lang w:val="en-CA"/>
        </w:rPr>
        <w:t xml:space="preserve"> </w:t>
      </w:r>
      <w:r w:rsidR="00EE721E" w:rsidRPr="009A1394">
        <w:rPr>
          <w:lang w:val="en-CA"/>
        </w:rPr>
        <w:t xml:space="preserve">that employee’s </w:t>
      </w:r>
      <w:r w:rsidRPr="009A1394">
        <w:rPr>
          <w:lang w:val="en-CA"/>
        </w:rPr>
        <w:t xml:space="preserve">gross negligence </w:t>
      </w:r>
      <w:r w:rsidR="00EE721E" w:rsidRPr="009A1394">
        <w:rPr>
          <w:lang w:val="en-CA"/>
        </w:rPr>
        <w:t xml:space="preserve">in </w:t>
      </w:r>
      <w:r w:rsidRPr="009A1394">
        <w:rPr>
          <w:lang w:val="en-CA"/>
        </w:rPr>
        <w:t xml:space="preserve">following the train securement procedure on a </w:t>
      </w:r>
      <w:r w:rsidR="00BC5C16" w:rsidRPr="009A1394">
        <w:rPr>
          <w:lang w:val="en-CA"/>
        </w:rPr>
        <w:t>descending grade</w:t>
      </w:r>
      <w:r w:rsidRPr="009A1394">
        <w:rPr>
          <w:lang w:val="en-CA"/>
        </w:rPr>
        <w:t xml:space="preserve">, in violation of basic safety rules, that </w:t>
      </w:r>
      <w:r w:rsidR="00EE721E" w:rsidRPr="009A1394">
        <w:rPr>
          <w:lang w:val="en-CA"/>
        </w:rPr>
        <w:t>the train</w:t>
      </w:r>
      <w:r w:rsidRPr="009A1394">
        <w:rPr>
          <w:lang w:val="en-CA"/>
        </w:rPr>
        <w:t xml:space="preserve"> made an uncontrolled descent toward Lac</w:t>
      </w:r>
      <w:r w:rsidR="001617CE" w:rsidRPr="009A1394">
        <w:rPr>
          <w:lang w:val="en-CA"/>
        </w:rPr>
        <w:noBreakHyphen/>
      </w:r>
      <w:r w:rsidRPr="009A1394">
        <w:rPr>
          <w:lang w:val="en-CA"/>
        </w:rPr>
        <w:t xml:space="preserve">Mégantic, </w:t>
      </w:r>
      <w:r w:rsidR="005D26DE" w:rsidRPr="009A1394">
        <w:rPr>
          <w:lang w:val="en-CA"/>
        </w:rPr>
        <w:t xml:space="preserve">to then </w:t>
      </w:r>
      <w:r w:rsidRPr="009A1394">
        <w:rPr>
          <w:lang w:val="en-CA"/>
        </w:rPr>
        <w:t>derail</w:t>
      </w:r>
      <w:r w:rsidR="00AF785B" w:rsidRPr="009A1394">
        <w:rPr>
          <w:lang w:val="en-CA"/>
        </w:rPr>
        <w:t xml:space="preserve"> </w:t>
      </w:r>
      <w:r w:rsidR="005D26DE" w:rsidRPr="009A1394">
        <w:rPr>
          <w:lang w:val="en-CA"/>
        </w:rPr>
        <w:t>at the entrance of</w:t>
      </w:r>
      <w:r w:rsidRPr="009A1394">
        <w:rPr>
          <w:lang w:val="en-CA"/>
        </w:rPr>
        <w:t xml:space="preserve"> the downtown area. </w:t>
      </w:r>
    </w:p>
    <w:p w14:paraId="066B5EF3" w14:textId="24A47C91" w:rsidR="00940B74" w:rsidRPr="009A1394" w:rsidRDefault="00FD6464" w:rsidP="00940B74">
      <w:pPr>
        <w:pStyle w:val="Paragraphe"/>
        <w:numPr>
          <w:ilvl w:val="0"/>
          <w:numId w:val="1"/>
        </w:numPr>
        <w:rPr>
          <w:lang w:val="en-CA"/>
        </w:rPr>
      </w:pPr>
      <w:r w:rsidRPr="009A1394">
        <w:rPr>
          <w:lang w:val="en-CA"/>
        </w:rPr>
        <w:t xml:space="preserve">Before the Superior Court, the appellants raised various </w:t>
      </w:r>
      <w:r w:rsidR="00AF785B" w:rsidRPr="009A1394">
        <w:rPr>
          <w:lang w:val="en-CA"/>
        </w:rPr>
        <w:t>arguments</w:t>
      </w:r>
      <w:r w:rsidRPr="009A1394">
        <w:rPr>
          <w:lang w:val="en-CA"/>
        </w:rPr>
        <w:t xml:space="preserve">, each </w:t>
      </w:r>
      <w:r w:rsidR="005D26DE" w:rsidRPr="009A1394">
        <w:rPr>
          <w:lang w:val="en-CA"/>
        </w:rPr>
        <w:t>aimed at</w:t>
      </w:r>
      <w:r w:rsidRPr="009A1394">
        <w:rPr>
          <w:lang w:val="en-CA"/>
        </w:rPr>
        <w:t xml:space="preserve"> </w:t>
      </w:r>
      <w:r w:rsidR="005D26DE" w:rsidRPr="009A1394">
        <w:rPr>
          <w:lang w:val="en-CA"/>
        </w:rPr>
        <w:t>satisfying</w:t>
      </w:r>
      <w:r w:rsidRPr="009A1394">
        <w:rPr>
          <w:lang w:val="en-CA"/>
        </w:rPr>
        <w:t xml:space="preserve"> the judge that CP should be held liable for the actions of MMA and its employee.</w:t>
      </w:r>
      <w:r w:rsidR="008161A3" w:rsidRPr="009A1394">
        <w:rPr>
          <w:lang w:val="en-CA"/>
        </w:rPr>
        <w:t xml:space="preserve"> </w:t>
      </w:r>
      <w:r w:rsidRPr="009A1394">
        <w:rPr>
          <w:lang w:val="en-CA"/>
        </w:rPr>
        <w:t>After a trial that lasted just over 60 days and included 55 witnesses, 13 expert reports, and thousands of exhibits, the judge dismissed the appellants</w:t>
      </w:r>
      <w:r w:rsidR="005D26DE" w:rsidRPr="009A1394">
        <w:rPr>
          <w:lang w:val="en-CA"/>
        </w:rPr>
        <w:t>’</w:t>
      </w:r>
      <w:r w:rsidRPr="009A1394">
        <w:rPr>
          <w:lang w:val="en-CA"/>
        </w:rPr>
        <w:t xml:space="preserve"> </w:t>
      </w:r>
      <w:r w:rsidR="00BC5C16" w:rsidRPr="009A1394">
        <w:rPr>
          <w:lang w:val="en-CA"/>
        </w:rPr>
        <w:t>claims</w:t>
      </w:r>
      <w:r w:rsidRPr="009A1394">
        <w:rPr>
          <w:lang w:val="en-CA"/>
        </w:rPr>
        <w:t>.</w:t>
      </w:r>
      <w:r w:rsidR="008161A3" w:rsidRPr="009A1394">
        <w:rPr>
          <w:lang w:val="en-CA"/>
        </w:rPr>
        <w:t xml:space="preserve"> </w:t>
      </w:r>
      <w:r w:rsidRPr="009A1394">
        <w:rPr>
          <w:lang w:val="en-CA"/>
        </w:rPr>
        <w:t xml:space="preserve">In a nearly 200-page judgment, the </w:t>
      </w:r>
      <w:r w:rsidR="00AF785B" w:rsidRPr="009A1394">
        <w:rPr>
          <w:lang w:val="en-CA"/>
        </w:rPr>
        <w:t>judge</w:t>
      </w:r>
      <w:r w:rsidRPr="009A1394">
        <w:rPr>
          <w:lang w:val="en-CA"/>
        </w:rPr>
        <w:t xml:space="preserve"> carefully considered and rejected each of their </w:t>
      </w:r>
      <w:r w:rsidR="00AF785B" w:rsidRPr="009A1394">
        <w:rPr>
          <w:lang w:val="en-CA"/>
        </w:rPr>
        <w:t>arguments</w:t>
      </w:r>
      <w:r w:rsidRPr="009A1394">
        <w:rPr>
          <w:lang w:val="en-CA"/>
        </w:rPr>
        <w:t xml:space="preserve">, explaining not only why CP could not be found legally liable, but also why he concluded that the sole cause of the derailment was the actions of MMA and its employee. </w:t>
      </w:r>
    </w:p>
    <w:p w14:paraId="727B8144" w14:textId="063D50FF" w:rsidR="00940B74" w:rsidRPr="009A1394" w:rsidRDefault="00FD6464" w:rsidP="00940B74">
      <w:pPr>
        <w:pStyle w:val="Paragraphe"/>
        <w:numPr>
          <w:ilvl w:val="0"/>
          <w:numId w:val="1"/>
        </w:numPr>
        <w:rPr>
          <w:lang w:val="en-CA"/>
        </w:rPr>
      </w:pPr>
      <w:r w:rsidRPr="009A1394">
        <w:rPr>
          <w:lang w:val="en-CA"/>
        </w:rPr>
        <w:t xml:space="preserve">Before this Court, the appellants argue that </w:t>
      </w:r>
      <w:r w:rsidR="00601ECC" w:rsidRPr="009A1394">
        <w:rPr>
          <w:lang w:val="en-CA"/>
        </w:rPr>
        <w:t xml:space="preserve">the </w:t>
      </w:r>
      <w:r w:rsidRPr="009A1394">
        <w:rPr>
          <w:lang w:val="en-CA"/>
        </w:rPr>
        <w:t xml:space="preserve">judge committed several errors of fact and of law </w:t>
      </w:r>
      <w:r w:rsidR="00A77CB9" w:rsidRPr="009A1394">
        <w:rPr>
          <w:lang w:val="en-CA"/>
        </w:rPr>
        <w:t xml:space="preserve">in </w:t>
      </w:r>
      <w:r w:rsidR="00601ECC" w:rsidRPr="009A1394">
        <w:rPr>
          <w:lang w:val="en-CA"/>
        </w:rPr>
        <w:t>concluding</w:t>
      </w:r>
      <w:r w:rsidRPr="009A1394">
        <w:rPr>
          <w:lang w:val="en-CA"/>
        </w:rPr>
        <w:t xml:space="preserve"> as he did.</w:t>
      </w:r>
      <w:r w:rsidR="008161A3" w:rsidRPr="009A1394">
        <w:rPr>
          <w:lang w:val="en-CA"/>
        </w:rPr>
        <w:t xml:space="preserve"> </w:t>
      </w:r>
      <w:r w:rsidRPr="009A1394">
        <w:rPr>
          <w:lang w:val="en-CA"/>
        </w:rPr>
        <w:t xml:space="preserve">They </w:t>
      </w:r>
      <w:r w:rsidR="00A77CB9" w:rsidRPr="009A1394">
        <w:rPr>
          <w:lang w:val="en-CA"/>
        </w:rPr>
        <w:t xml:space="preserve">have </w:t>
      </w:r>
      <w:r w:rsidRPr="009A1394">
        <w:rPr>
          <w:lang w:val="en-CA"/>
        </w:rPr>
        <w:t>failed to prove them.</w:t>
      </w:r>
      <w:r w:rsidR="008161A3" w:rsidRPr="009A1394">
        <w:rPr>
          <w:lang w:val="en-CA"/>
        </w:rPr>
        <w:t xml:space="preserve"> </w:t>
      </w:r>
      <w:r w:rsidRPr="009A1394">
        <w:rPr>
          <w:lang w:val="en-CA"/>
        </w:rPr>
        <w:t xml:space="preserve">On the contrary, the Court finds that the </w:t>
      </w:r>
      <w:r w:rsidR="00601ECC" w:rsidRPr="009A1394">
        <w:rPr>
          <w:lang w:val="en-CA"/>
        </w:rPr>
        <w:t>judge</w:t>
      </w:r>
      <w:r w:rsidRPr="009A1394">
        <w:rPr>
          <w:lang w:val="en-CA"/>
        </w:rPr>
        <w:t xml:space="preserve"> correctly stated the law</w:t>
      </w:r>
      <w:r w:rsidR="00BA2F04" w:rsidRPr="009A1394">
        <w:rPr>
          <w:lang w:val="en-CA"/>
        </w:rPr>
        <w:t xml:space="preserve"> as it stands</w:t>
      </w:r>
      <w:r w:rsidRPr="009A1394">
        <w:rPr>
          <w:lang w:val="en-CA"/>
        </w:rPr>
        <w:t xml:space="preserve"> regarding CP’s liability and applied it correctly.</w:t>
      </w:r>
      <w:r w:rsidR="008161A3" w:rsidRPr="009A1394">
        <w:rPr>
          <w:lang w:val="en-CA"/>
        </w:rPr>
        <w:t xml:space="preserve"> </w:t>
      </w:r>
      <w:r w:rsidRPr="009A1394">
        <w:rPr>
          <w:lang w:val="en-CA"/>
        </w:rPr>
        <w:t xml:space="preserve">Furthermore, contrary to what the </w:t>
      </w:r>
      <w:r w:rsidR="00601ECC" w:rsidRPr="009A1394">
        <w:rPr>
          <w:lang w:val="en-CA"/>
        </w:rPr>
        <w:t>appellants</w:t>
      </w:r>
      <w:r w:rsidRPr="009A1394">
        <w:rPr>
          <w:lang w:val="en-CA"/>
        </w:rPr>
        <w:t xml:space="preserve"> </w:t>
      </w:r>
      <w:r w:rsidR="00A77CB9" w:rsidRPr="009A1394">
        <w:rPr>
          <w:lang w:val="en-CA"/>
        </w:rPr>
        <w:t>claim</w:t>
      </w:r>
      <w:r w:rsidRPr="009A1394">
        <w:rPr>
          <w:lang w:val="en-CA"/>
        </w:rPr>
        <w:t xml:space="preserve">, the </w:t>
      </w:r>
      <w:r w:rsidR="00601ECC" w:rsidRPr="009A1394">
        <w:rPr>
          <w:lang w:val="en-CA"/>
        </w:rPr>
        <w:t>judge’s</w:t>
      </w:r>
      <w:r w:rsidRPr="009A1394">
        <w:rPr>
          <w:lang w:val="en-CA"/>
        </w:rPr>
        <w:t xml:space="preserve"> </w:t>
      </w:r>
      <w:r w:rsidR="005D26DE" w:rsidRPr="009A1394">
        <w:rPr>
          <w:lang w:val="en-CA"/>
        </w:rPr>
        <w:t>findings</w:t>
      </w:r>
      <w:r w:rsidRPr="009A1394">
        <w:rPr>
          <w:lang w:val="en-CA"/>
        </w:rPr>
        <w:t xml:space="preserve"> of </w:t>
      </w:r>
      <w:r w:rsidR="00601ECC" w:rsidRPr="009A1394">
        <w:rPr>
          <w:lang w:val="en-CA"/>
        </w:rPr>
        <w:t>f</w:t>
      </w:r>
      <w:r w:rsidRPr="009A1394">
        <w:rPr>
          <w:lang w:val="en-CA"/>
        </w:rPr>
        <w:t xml:space="preserve">act are firmly anchored in the evidence and are </w:t>
      </w:r>
      <w:r w:rsidR="00B85CF6" w:rsidRPr="009A1394">
        <w:rPr>
          <w:lang w:val="en-CA"/>
        </w:rPr>
        <w:t>free</w:t>
      </w:r>
      <w:r w:rsidRPr="009A1394">
        <w:rPr>
          <w:lang w:val="en-CA"/>
        </w:rPr>
        <w:t xml:space="preserve"> from any reviewable error.</w:t>
      </w:r>
      <w:r w:rsidR="008161A3" w:rsidRPr="009A1394">
        <w:rPr>
          <w:lang w:val="en-CA"/>
        </w:rPr>
        <w:t xml:space="preserve"> </w:t>
      </w:r>
      <w:r w:rsidRPr="009A1394">
        <w:rPr>
          <w:lang w:val="en-CA"/>
        </w:rPr>
        <w:t xml:space="preserve">Finally, there is no error in the judge’s </w:t>
      </w:r>
      <w:r w:rsidR="00B85CF6" w:rsidRPr="009A1394">
        <w:rPr>
          <w:lang w:val="en-CA"/>
        </w:rPr>
        <w:t>finding on</w:t>
      </w:r>
      <w:r w:rsidRPr="009A1394">
        <w:rPr>
          <w:lang w:val="en-CA"/>
        </w:rPr>
        <w:t xml:space="preserve"> causation.</w:t>
      </w:r>
      <w:r w:rsidR="008161A3" w:rsidRPr="009A1394">
        <w:rPr>
          <w:lang w:val="en-CA"/>
        </w:rPr>
        <w:t xml:space="preserve"> </w:t>
      </w:r>
      <w:r w:rsidR="00601ECC" w:rsidRPr="009A1394">
        <w:rPr>
          <w:lang w:val="en-CA"/>
        </w:rPr>
        <w:t>Thus</w:t>
      </w:r>
      <w:r w:rsidRPr="009A1394">
        <w:rPr>
          <w:lang w:val="en-CA"/>
        </w:rPr>
        <w:t>, even</w:t>
      </w:r>
      <w:r w:rsidR="003A3F90" w:rsidRPr="009A1394">
        <w:rPr>
          <w:lang w:val="en-CA"/>
        </w:rPr>
        <w:t xml:space="preserve"> assuming that</w:t>
      </w:r>
      <w:r w:rsidRPr="009A1394">
        <w:rPr>
          <w:lang w:val="en-CA"/>
        </w:rPr>
        <w:t xml:space="preserve"> CP</w:t>
      </w:r>
      <w:r w:rsidR="00B85CF6" w:rsidRPr="009A1394">
        <w:rPr>
          <w:lang w:val="en-CA"/>
        </w:rPr>
        <w:t xml:space="preserve">’s conduct </w:t>
      </w:r>
      <w:r w:rsidR="003A3F90" w:rsidRPr="009A1394">
        <w:rPr>
          <w:lang w:val="en-CA"/>
        </w:rPr>
        <w:t>was</w:t>
      </w:r>
      <w:r w:rsidR="00B85CF6" w:rsidRPr="009A1394">
        <w:rPr>
          <w:lang w:val="en-CA"/>
        </w:rPr>
        <w:t xml:space="preserve"> </w:t>
      </w:r>
      <w:r w:rsidR="00B27CEF" w:rsidRPr="009A1394">
        <w:rPr>
          <w:lang w:val="en-CA"/>
        </w:rPr>
        <w:t>wrongful</w:t>
      </w:r>
      <w:r w:rsidRPr="009A1394">
        <w:rPr>
          <w:lang w:val="en-CA"/>
        </w:rPr>
        <w:t xml:space="preserve">, it still would not have been the cause of </w:t>
      </w:r>
      <w:r w:rsidR="00601ECC" w:rsidRPr="009A1394">
        <w:rPr>
          <w:lang w:val="en-CA"/>
        </w:rPr>
        <w:t>the</w:t>
      </w:r>
      <w:r w:rsidRPr="009A1394">
        <w:rPr>
          <w:lang w:val="en-CA"/>
        </w:rPr>
        <w:t xml:space="preserve"> derailment. </w:t>
      </w:r>
    </w:p>
    <w:p w14:paraId="60C1F3CE" w14:textId="26FC9783" w:rsidR="00933643" w:rsidRPr="009A1394" w:rsidRDefault="00FD6464" w:rsidP="003C6356">
      <w:pPr>
        <w:pStyle w:val="Titre1"/>
        <w:rPr>
          <w:lang w:val="en-CA"/>
        </w:rPr>
      </w:pPr>
      <w:r w:rsidRPr="009A1394">
        <w:rPr>
          <w:lang w:val="en-CA"/>
        </w:rPr>
        <w:t>Background</w:t>
      </w:r>
    </w:p>
    <w:p w14:paraId="7674FE3E" w14:textId="7FA964C5" w:rsidR="004F7C7E" w:rsidRPr="009A1394" w:rsidRDefault="003A3F90" w:rsidP="003C6356">
      <w:pPr>
        <w:pStyle w:val="Paragraphe"/>
        <w:numPr>
          <w:ilvl w:val="0"/>
          <w:numId w:val="1"/>
        </w:numPr>
        <w:rPr>
          <w:lang w:val="en-CA"/>
        </w:rPr>
      </w:pPr>
      <w:r w:rsidRPr="009A1394">
        <w:rPr>
          <w:lang w:val="en-CA"/>
        </w:rPr>
        <w:t>T</w:t>
      </w:r>
      <w:r w:rsidR="00FD6464" w:rsidRPr="009A1394">
        <w:rPr>
          <w:lang w:val="en-CA"/>
        </w:rPr>
        <w:t>he</w:t>
      </w:r>
      <w:r w:rsidRPr="009A1394">
        <w:rPr>
          <w:lang w:val="en-CA"/>
        </w:rPr>
        <w:t xml:space="preserve"> proceedings on which the</w:t>
      </w:r>
      <w:r w:rsidR="00FD6464" w:rsidRPr="009A1394">
        <w:rPr>
          <w:lang w:val="en-CA"/>
        </w:rPr>
        <w:t xml:space="preserve"> judge ruled </w:t>
      </w:r>
      <w:r w:rsidRPr="009A1394">
        <w:rPr>
          <w:lang w:val="en-CA"/>
        </w:rPr>
        <w:t>are as follo</w:t>
      </w:r>
      <w:r w:rsidR="00BA2F04" w:rsidRPr="009A1394">
        <w:rPr>
          <w:lang w:val="en-CA"/>
        </w:rPr>
        <w:t>w</w:t>
      </w:r>
      <w:r w:rsidRPr="009A1394">
        <w:rPr>
          <w:lang w:val="en-CA"/>
        </w:rPr>
        <w:t>s:</w:t>
      </w:r>
      <w:r w:rsidR="00FD6464" w:rsidRPr="009A1394">
        <w:rPr>
          <w:lang w:val="en-CA"/>
        </w:rPr>
        <w:t xml:space="preserve"> (i) the class action brought on behalf of </w:t>
      </w:r>
      <w:r w:rsidR="006D3D94" w:rsidRPr="009A1394">
        <w:rPr>
          <w:lang w:val="en-CA"/>
        </w:rPr>
        <w:t xml:space="preserve">numerous </w:t>
      </w:r>
      <w:r w:rsidR="00FD6464" w:rsidRPr="009A1394">
        <w:rPr>
          <w:lang w:val="en-CA"/>
        </w:rPr>
        <w:t xml:space="preserve">victims of this tragedy, (ii) the </w:t>
      </w:r>
      <w:r w:rsidRPr="009A1394">
        <w:rPr>
          <w:lang w:val="en-CA"/>
        </w:rPr>
        <w:t>action</w:t>
      </w:r>
      <w:r w:rsidR="00FD6464" w:rsidRPr="009A1394">
        <w:rPr>
          <w:lang w:val="en-CA"/>
        </w:rPr>
        <w:t xml:space="preserve"> </w:t>
      </w:r>
      <w:r w:rsidR="006D3D94" w:rsidRPr="009A1394">
        <w:rPr>
          <w:lang w:val="en-CA"/>
        </w:rPr>
        <w:t xml:space="preserve">in subrogation </w:t>
      </w:r>
      <w:r w:rsidR="00FD6464" w:rsidRPr="009A1394">
        <w:rPr>
          <w:lang w:val="en-CA"/>
        </w:rPr>
        <w:t xml:space="preserve">of several insurers who </w:t>
      </w:r>
      <w:r w:rsidR="00601ECC" w:rsidRPr="009A1394">
        <w:rPr>
          <w:lang w:val="en-CA"/>
        </w:rPr>
        <w:t>indemnified</w:t>
      </w:r>
      <w:r w:rsidR="00FD6464" w:rsidRPr="009A1394">
        <w:rPr>
          <w:lang w:val="en-CA"/>
        </w:rPr>
        <w:t xml:space="preserve"> those whose property was lost or damaged and (iii) the </w:t>
      </w:r>
      <w:r w:rsidR="006D3D94" w:rsidRPr="009A1394">
        <w:rPr>
          <w:lang w:val="en-CA"/>
        </w:rPr>
        <w:lastRenderedPageBreak/>
        <w:t xml:space="preserve">action brought by the </w:t>
      </w:r>
      <w:r w:rsidR="00FD6464" w:rsidRPr="009A1394">
        <w:rPr>
          <w:lang w:val="en-CA"/>
        </w:rPr>
        <w:t xml:space="preserve">Attorney General of </w:t>
      </w:r>
      <w:r w:rsidR="006D3D94" w:rsidRPr="009A1394">
        <w:rPr>
          <w:lang w:val="en-CA"/>
        </w:rPr>
        <w:t xml:space="preserve">Quebec </w:t>
      </w:r>
      <w:r w:rsidR="00BA2F04" w:rsidRPr="009A1394">
        <w:rPr>
          <w:lang w:val="en-CA"/>
        </w:rPr>
        <w:t>(“</w:t>
      </w:r>
      <w:r w:rsidR="00BA2F04" w:rsidRPr="009A1394">
        <w:rPr>
          <w:b/>
          <w:bCs/>
          <w:lang w:val="en-CA"/>
        </w:rPr>
        <w:t>AGQ</w:t>
      </w:r>
      <w:r w:rsidR="00BA2F04" w:rsidRPr="009A1394">
        <w:rPr>
          <w:lang w:val="en-CA"/>
        </w:rPr>
        <w:t xml:space="preserve">”) </w:t>
      </w:r>
      <w:r w:rsidR="00010AED" w:rsidRPr="009A1394">
        <w:rPr>
          <w:lang w:val="en-CA"/>
        </w:rPr>
        <w:t xml:space="preserve">for </w:t>
      </w:r>
      <w:r w:rsidR="00FD6464" w:rsidRPr="009A1394">
        <w:rPr>
          <w:lang w:val="en-CA"/>
        </w:rPr>
        <w:t>damages suffered by the Government of Quebec.</w:t>
      </w:r>
      <w:r w:rsidR="00FD6464" w:rsidRPr="009A1394">
        <w:rPr>
          <w:vertAlign w:val="superscript"/>
          <w:lang w:val="en-CA"/>
        </w:rPr>
        <w:footnoteReference w:id="8"/>
      </w:r>
      <w:r w:rsidR="004243DF" w:rsidRPr="009A1394">
        <w:rPr>
          <w:lang w:val="en-CA"/>
        </w:rPr>
        <w:t xml:space="preserve"> </w:t>
      </w:r>
      <w:r w:rsidR="00FD6464" w:rsidRPr="009A1394">
        <w:rPr>
          <w:lang w:val="en-CA"/>
        </w:rPr>
        <w:t>These proceedings were consolidated in first instance to be heard jointly and decided based on the same evidence.</w:t>
      </w:r>
      <w:r w:rsidR="00FD6464" w:rsidRPr="009A1394">
        <w:rPr>
          <w:rStyle w:val="Appelnotedebasdep"/>
          <w:lang w:val="en-CA"/>
        </w:rPr>
        <w:footnoteReference w:id="9"/>
      </w:r>
      <w:r w:rsidR="008161A3" w:rsidRPr="009A1394">
        <w:rPr>
          <w:lang w:val="en-CA"/>
        </w:rPr>
        <w:t xml:space="preserve"> </w:t>
      </w:r>
      <w:r w:rsidR="009B2C07" w:rsidRPr="009A1394">
        <w:rPr>
          <w:lang w:val="en-CA"/>
        </w:rPr>
        <w:t>Moreover, f</w:t>
      </w:r>
      <w:r w:rsidR="00FD6464" w:rsidRPr="009A1394">
        <w:rPr>
          <w:lang w:val="en-CA"/>
        </w:rPr>
        <w:t xml:space="preserve">or each of them, the hearing was split so that the issue of liability could be </w:t>
      </w:r>
      <w:r w:rsidR="00601ECC" w:rsidRPr="009A1394">
        <w:rPr>
          <w:lang w:val="en-CA"/>
        </w:rPr>
        <w:t>debated</w:t>
      </w:r>
      <w:r w:rsidR="00FD6464" w:rsidRPr="009A1394">
        <w:rPr>
          <w:lang w:val="en-CA"/>
        </w:rPr>
        <w:t xml:space="preserve"> first.</w:t>
      </w:r>
      <w:r w:rsidR="00FD6464" w:rsidRPr="009A1394">
        <w:rPr>
          <w:vertAlign w:val="superscript"/>
          <w:lang w:val="en-CA"/>
        </w:rPr>
        <w:footnoteReference w:id="10"/>
      </w:r>
      <w:r w:rsidR="009E0087" w:rsidRPr="009A1394">
        <w:rPr>
          <w:lang w:val="en-CA"/>
        </w:rPr>
        <w:t xml:space="preserve"> </w:t>
      </w:r>
      <w:r w:rsidR="00FD6464" w:rsidRPr="009A1394">
        <w:rPr>
          <w:lang w:val="en-CA"/>
        </w:rPr>
        <w:t>It is, in fact, the sole subject of the judgment under appeal.</w:t>
      </w:r>
    </w:p>
    <w:p w14:paraId="5EA6335B" w14:textId="75D22813" w:rsidR="004F7C7E" w:rsidRPr="009A1394" w:rsidRDefault="00FD6464" w:rsidP="003C6356">
      <w:pPr>
        <w:pStyle w:val="Paragraphe"/>
        <w:numPr>
          <w:ilvl w:val="0"/>
          <w:numId w:val="1"/>
        </w:numPr>
        <w:rPr>
          <w:lang w:val="en-CA"/>
        </w:rPr>
      </w:pPr>
      <w:r w:rsidRPr="009A1394">
        <w:rPr>
          <w:lang w:val="en-CA"/>
        </w:rPr>
        <w:t>In two other files, bearing numbers 480-17-000102-168 and 480-17-000139-186, the hearing was suspended until a judgment becomes final or there is a transaction on the liability aspect in the first three files.</w:t>
      </w:r>
      <w:r w:rsidR="00E201DF" w:rsidRPr="009A1394">
        <w:rPr>
          <w:rFonts w:cs="Arial"/>
          <w:color w:val="000000"/>
          <w:lang w:val="en-CA"/>
        </w:rPr>
        <w:t xml:space="preserve"> </w:t>
      </w:r>
      <w:r w:rsidRPr="009A1394">
        <w:rPr>
          <w:rFonts w:cs="Arial"/>
          <w:lang w:val="en-CA"/>
        </w:rPr>
        <w:t>In return, the plaintiffs agreed, in these two other files, to be bound by the conclusions of that judgment or transaction.</w:t>
      </w:r>
      <w:r w:rsidRPr="009A1394">
        <w:rPr>
          <w:rStyle w:val="Appelnotedebasdep"/>
          <w:rFonts w:cs="Arial"/>
          <w:color w:val="000000"/>
          <w:lang w:val="en-CA"/>
        </w:rPr>
        <w:footnoteReference w:id="11"/>
      </w:r>
    </w:p>
    <w:p w14:paraId="29369311" w14:textId="51AE36D2" w:rsidR="00CC66B8" w:rsidRPr="009A1394" w:rsidRDefault="00FD6464" w:rsidP="003C6356">
      <w:pPr>
        <w:pStyle w:val="Paragraphe"/>
        <w:numPr>
          <w:ilvl w:val="0"/>
          <w:numId w:val="1"/>
        </w:numPr>
        <w:rPr>
          <w:lang w:val="en-CA"/>
        </w:rPr>
      </w:pPr>
      <w:bookmarkStart w:id="2" w:name="_Hlk186880081"/>
      <w:r w:rsidRPr="009A1394">
        <w:rPr>
          <w:lang w:val="en-CA"/>
        </w:rPr>
        <w:t>The judgment under appeal concluded that CP was not liable.</w:t>
      </w:r>
      <w:r w:rsidR="001533A0" w:rsidRPr="009A1394">
        <w:rPr>
          <w:lang w:val="en-CA"/>
        </w:rPr>
        <w:t xml:space="preserve"> </w:t>
      </w:r>
      <w:r w:rsidRPr="009A1394">
        <w:rPr>
          <w:lang w:val="en-CA"/>
        </w:rPr>
        <w:t xml:space="preserve">According to the judge, CP did not fail to </w:t>
      </w:r>
      <w:r w:rsidR="009B2C07" w:rsidRPr="009A1394">
        <w:rPr>
          <w:lang w:val="en-CA"/>
        </w:rPr>
        <w:t>meet</w:t>
      </w:r>
      <w:r w:rsidRPr="009A1394">
        <w:rPr>
          <w:lang w:val="en-CA"/>
        </w:rPr>
        <w:t xml:space="preserve"> any of its obligations.</w:t>
      </w:r>
      <w:r w:rsidRPr="009A1394">
        <w:rPr>
          <w:rStyle w:val="Appelnotedebasdep"/>
          <w:rFonts w:cs="Arial"/>
          <w:color w:val="000000"/>
          <w:lang w:val="en-CA"/>
        </w:rPr>
        <w:footnoteReference w:id="12"/>
      </w:r>
      <w:r w:rsidR="001533A0" w:rsidRPr="009A1394">
        <w:rPr>
          <w:lang w:val="en-CA"/>
        </w:rPr>
        <w:t xml:space="preserve"> </w:t>
      </w:r>
      <w:r w:rsidR="009B2C07" w:rsidRPr="009A1394">
        <w:rPr>
          <w:rFonts w:cs="Arial"/>
          <w:color w:val="000000"/>
          <w:lang w:val="en-CA"/>
        </w:rPr>
        <w:t>Rather, h</w:t>
      </w:r>
      <w:r w:rsidRPr="009A1394">
        <w:rPr>
          <w:rFonts w:cs="Arial"/>
          <w:color w:val="000000"/>
          <w:lang w:val="en-CA"/>
        </w:rPr>
        <w:t xml:space="preserve">e was of the opinion </w:t>
      </w:r>
      <w:r w:rsidR="00DF0C6F" w:rsidRPr="009A1394">
        <w:rPr>
          <w:rFonts w:cs="Arial"/>
          <w:color w:val="000000"/>
          <w:lang w:val="en-CA"/>
        </w:rPr>
        <w:t xml:space="preserve">that </w:t>
      </w:r>
      <w:r w:rsidRPr="009A1394">
        <w:rPr>
          <w:rFonts w:cs="Arial"/>
          <w:color w:val="000000"/>
          <w:lang w:val="en-CA"/>
        </w:rPr>
        <w:t>locomotive engineer Thomas Harding</w:t>
      </w:r>
      <w:r w:rsidRPr="009A1394">
        <w:rPr>
          <w:rFonts w:cs="Arial"/>
          <w:color w:val="000000"/>
          <w:vertAlign w:val="superscript"/>
          <w:lang w:val="en-CA"/>
        </w:rPr>
        <w:footnoteReference w:id="13"/>
      </w:r>
      <w:r w:rsidRPr="009A1394">
        <w:rPr>
          <w:rFonts w:cs="Arial"/>
          <w:color w:val="000000"/>
          <w:lang w:val="en-CA"/>
        </w:rPr>
        <w:t xml:space="preserve"> (</w:t>
      </w:r>
      <w:r w:rsidR="00CE0579" w:rsidRPr="009A1394">
        <w:rPr>
          <w:rFonts w:cs="Arial"/>
          <w:color w:val="000000"/>
          <w:lang w:val="en-CA"/>
        </w:rPr>
        <w:t>“</w:t>
      </w:r>
      <w:r w:rsidRPr="009A1394">
        <w:rPr>
          <w:rFonts w:cs="Arial"/>
          <w:b/>
          <w:color w:val="000000"/>
          <w:lang w:val="en-CA"/>
        </w:rPr>
        <w:t>Harding</w:t>
      </w:r>
      <w:r w:rsidRPr="009A1394">
        <w:rPr>
          <w:rFonts w:cs="Arial"/>
          <w:color w:val="000000"/>
          <w:lang w:val="en-CA"/>
        </w:rPr>
        <w:t>”) and his employer, MMA</w:t>
      </w:r>
      <w:r w:rsidR="00A7459A" w:rsidRPr="009A1394">
        <w:rPr>
          <w:rFonts w:cs="Arial"/>
          <w:color w:val="000000"/>
          <w:lang w:val="en-CA"/>
        </w:rPr>
        <w:t>,</w:t>
      </w:r>
      <w:r w:rsidR="00DF0C6F" w:rsidRPr="009A1394">
        <w:rPr>
          <w:rFonts w:cs="Arial"/>
          <w:color w:val="000000"/>
          <w:lang w:val="en-CA"/>
        </w:rPr>
        <w:t xml:space="preserve"> were responsible for this tragedy</w:t>
      </w:r>
      <w:r w:rsidRPr="009A1394">
        <w:rPr>
          <w:rFonts w:cs="Arial"/>
          <w:color w:val="000000"/>
          <w:lang w:val="en-CA"/>
        </w:rPr>
        <w:t>.</w:t>
      </w:r>
      <w:r w:rsidRPr="009A1394">
        <w:rPr>
          <w:rFonts w:cs="Arial"/>
          <w:color w:val="000000"/>
          <w:vertAlign w:val="superscript"/>
          <w:lang w:val="en-CA"/>
        </w:rPr>
        <w:footnoteReference w:id="14"/>
      </w:r>
      <w:r w:rsidR="005A2ED8" w:rsidRPr="009A1394">
        <w:rPr>
          <w:rFonts w:cs="Arial"/>
          <w:color w:val="000000"/>
          <w:lang w:val="en-CA"/>
        </w:rPr>
        <w:t xml:space="preserve"> </w:t>
      </w:r>
      <w:r w:rsidRPr="009A1394">
        <w:rPr>
          <w:rFonts w:cs="Arial"/>
          <w:color w:val="000000"/>
          <w:lang w:val="en-CA"/>
        </w:rPr>
        <w:t>He indicated that the railway</w:t>
      </w:r>
      <w:r w:rsidR="00B963CB" w:rsidRPr="009A1394">
        <w:rPr>
          <w:rFonts w:cs="Arial"/>
          <w:color w:val="000000"/>
          <w:lang w:val="en-CA"/>
        </w:rPr>
        <w:t xml:space="preserve"> network</w:t>
      </w:r>
      <w:r w:rsidRPr="009A1394">
        <w:rPr>
          <w:rFonts w:cs="Arial"/>
          <w:color w:val="000000"/>
          <w:lang w:val="en-CA"/>
        </w:rPr>
        <w:t xml:space="preserve"> on which the </w:t>
      </w:r>
      <w:r w:rsidR="00B963CB" w:rsidRPr="009A1394">
        <w:rPr>
          <w:rFonts w:cs="Arial"/>
          <w:color w:val="000000"/>
          <w:lang w:val="en-CA"/>
        </w:rPr>
        <w:t>derailment took place</w:t>
      </w:r>
      <w:r w:rsidRPr="009A1394">
        <w:rPr>
          <w:rFonts w:cs="Arial"/>
          <w:color w:val="000000"/>
          <w:lang w:val="en-CA"/>
        </w:rPr>
        <w:t xml:space="preserve"> was operated by MMA and that it was owned by its sister company, Montreal, Maine &amp; Atlantic Railway (</w:t>
      </w:r>
      <w:r w:rsidR="009B2C07" w:rsidRPr="009A1394">
        <w:rPr>
          <w:rFonts w:cs="Arial"/>
          <w:color w:val="000000"/>
          <w:lang w:val="en-CA"/>
        </w:rPr>
        <w:t>“</w:t>
      </w:r>
      <w:r w:rsidRPr="009A1394">
        <w:rPr>
          <w:rFonts w:cs="Arial"/>
          <w:b/>
          <w:color w:val="000000"/>
          <w:lang w:val="en-CA"/>
        </w:rPr>
        <w:t>MMAR</w:t>
      </w:r>
      <w:r w:rsidRPr="009A1394">
        <w:rPr>
          <w:rFonts w:cs="Arial"/>
          <w:color w:val="000000"/>
          <w:lang w:val="en-CA"/>
        </w:rPr>
        <w:t>”).</w:t>
      </w:r>
      <w:r w:rsidRPr="009A1394">
        <w:rPr>
          <w:rStyle w:val="Appelnotedebasdep"/>
          <w:rFonts w:cs="Arial"/>
          <w:color w:val="000000"/>
          <w:lang w:val="en-CA"/>
        </w:rPr>
        <w:footnoteReference w:id="15"/>
      </w:r>
      <w:r w:rsidR="00FD11D4" w:rsidRPr="009A1394">
        <w:rPr>
          <w:rFonts w:cs="Arial"/>
          <w:color w:val="000000"/>
          <w:lang w:val="en-CA"/>
        </w:rPr>
        <w:t xml:space="preserve"> </w:t>
      </w:r>
      <w:r w:rsidRPr="009A1394">
        <w:rPr>
          <w:rFonts w:cs="Arial"/>
          <w:color w:val="000000"/>
          <w:lang w:val="en-CA"/>
        </w:rPr>
        <w:t xml:space="preserve">He </w:t>
      </w:r>
      <w:r w:rsidR="000A42A7" w:rsidRPr="009A1394">
        <w:rPr>
          <w:rFonts w:cs="Arial"/>
          <w:color w:val="000000"/>
          <w:lang w:val="en-CA"/>
        </w:rPr>
        <w:t>also noted</w:t>
      </w:r>
      <w:r w:rsidRPr="009A1394">
        <w:rPr>
          <w:rFonts w:cs="Arial"/>
          <w:color w:val="000000"/>
          <w:lang w:val="en-CA"/>
        </w:rPr>
        <w:t xml:space="preserve"> that the locomotives pulling the train belonged to MMA,</w:t>
      </w:r>
      <w:r w:rsidRPr="009A1394">
        <w:rPr>
          <w:rStyle w:val="Appelnotedebasdep"/>
          <w:rFonts w:cs="Arial"/>
          <w:color w:val="000000"/>
          <w:lang w:val="en-CA"/>
        </w:rPr>
        <w:footnoteReference w:id="16"/>
      </w:r>
      <w:r w:rsidRPr="009A1394">
        <w:rPr>
          <w:rFonts w:cs="Arial"/>
          <w:color w:val="000000"/>
          <w:lang w:val="en-CA"/>
        </w:rPr>
        <w:t xml:space="preserve"> that the </w:t>
      </w:r>
      <w:r w:rsidR="0049126B" w:rsidRPr="009A1394">
        <w:rPr>
          <w:rFonts w:cs="Arial"/>
          <w:color w:val="000000"/>
          <w:lang w:val="en-CA"/>
        </w:rPr>
        <w:t xml:space="preserve">shipper of the goods had leased the </w:t>
      </w:r>
      <w:r w:rsidRPr="009A1394">
        <w:rPr>
          <w:rFonts w:cs="Arial"/>
          <w:color w:val="000000"/>
          <w:lang w:val="en-CA"/>
        </w:rPr>
        <w:t>tank cars that made up the train from a third party</w:t>
      </w:r>
      <w:r w:rsidR="000D033C" w:rsidRPr="009A1394">
        <w:rPr>
          <w:rFonts w:cs="Arial"/>
          <w:color w:val="000000"/>
          <w:lang w:val="en-CA"/>
        </w:rPr>
        <w:t>,</w:t>
      </w:r>
      <w:r w:rsidRPr="009A1394">
        <w:rPr>
          <w:rStyle w:val="Appelnotedebasdep"/>
          <w:rFonts w:cs="Arial"/>
          <w:color w:val="000000"/>
          <w:lang w:val="en-CA"/>
        </w:rPr>
        <w:footnoteReference w:id="17"/>
      </w:r>
      <w:r w:rsidRPr="009A1394">
        <w:rPr>
          <w:rFonts w:cs="Arial"/>
          <w:color w:val="000000"/>
          <w:lang w:val="en-CA"/>
        </w:rPr>
        <w:t xml:space="preserve"> and that the train derailment was due to </w:t>
      </w:r>
      <w:r w:rsidR="00B4235D" w:rsidRPr="009A1394">
        <w:rPr>
          <w:rFonts w:cs="Arial"/>
          <w:color w:val="000000"/>
          <w:lang w:val="en-CA"/>
        </w:rPr>
        <w:t xml:space="preserve">the serious faults committed by </w:t>
      </w:r>
      <w:r w:rsidRPr="009A1394">
        <w:rPr>
          <w:rFonts w:cs="Arial"/>
          <w:color w:val="000000"/>
          <w:lang w:val="en-CA"/>
        </w:rPr>
        <w:t>Harding.</w:t>
      </w:r>
      <w:r w:rsidRPr="009A1394">
        <w:rPr>
          <w:rStyle w:val="Appelnotedebasdep"/>
          <w:rFonts w:cs="Arial"/>
          <w:color w:val="000000"/>
          <w:lang w:val="en-CA"/>
        </w:rPr>
        <w:footnoteReference w:id="18"/>
      </w:r>
      <w:r w:rsidR="005F4B9E" w:rsidRPr="009A1394">
        <w:rPr>
          <w:rFonts w:cs="Arial"/>
          <w:color w:val="000000"/>
          <w:lang w:val="en-CA"/>
        </w:rPr>
        <w:t xml:space="preserve"> </w:t>
      </w:r>
      <w:r w:rsidR="008161A3" w:rsidRPr="009A1394">
        <w:rPr>
          <w:rFonts w:cs="Arial"/>
          <w:color w:val="000000"/>
          <w:lang w:val="en-CA"/>
        </w:rPr>
        <w:t>More specifically, he blame</w:t>
      </w:r>
      <w:r w:rsidR="000D033C" w:rsidRPr="009A1394">
        <w:rPr>
          <w:rFonts w:cs="Arial"/>
          <w:color w:val="000000"/>
          <w:lang w:val="en-CA"/>
        </w:rPr>
        <w:t>d</w:t>
      </w:r>
      <w:r w:rsidR="008161A3" w:rsidRPr="009A1394">
        <w:rPr>
          <w:rFonts w:cs="Arial"/>
          <w:color w:val="000000"/>
          <w:lang w:val="en-CA"/>
        </w:rPr>
        <w:t xml:space="preserve"> Harding for </w:t>
      </w:r>
      <w:r w:rsidR="0049126B" w:rsidRPr="009A1394">
        <w:rPr>
          <w:rFonts w:cs="Arial"/>
          <w:color w:val="000000"/>
          <w:lang w:val="en-CA"/>
        </w:rPr>
        <w:t xml:space="preserve">parking </w:t>
      </w:r>
      <w:r w:rsidR="008161A3" w:rsidRPr="009A1394">
        <w:rPr>
          <w:rFonts w:cs="Arial"/>
          <w:color w:val="000000"/>
          <w:lang w:val="en-CA"/>
        </w:rPr>
        <w:t xml:space="preserve">the train </w:t>
      </w:r>
      <w:r w:rsidR="0049126B" w:rsidRPr="009A1394">
        <w:rPr>
          <w:rFonts w:cs="Arial"/>
          <w:color w:val="000000"/>
          <w:lang w:val="en-CA"/>
        </w:rPr>
        <w:t xml:space="preserve">for the entire night </w:t>
      </w:r>
      <w:r w:rsidR="008161A3" w:rsidRPr="009A1394">
        <w:rPr>
          <w:rFonts w:cs="Arial"/>
          <w:color w:val="000000"/>
          <w:lang w:val="en-CA"/>
        </w:rPr>
        <w:t>without using the required number of hand</w:t>
      </w:r>
      <w:r w:rsidR="00ED0BE0" w:rsidRPr="009A1394">
        <w:rPr>
          <w:rFonts w:cs="Arial"/>
          <w:color w:val="000000"/>
          <w:lang w:val="en-CA"/>
        </w:rPr>
        <w:t xml:space="preserve"> </w:t>
      </w:r>
      <w:r w:rsidR="008161A3" w:rsidRPr="009A1394">
        <w:rPr>
          <w:rFonts w:cs="Arial"/>
          <w:color w:val="000000"/>
          <w:lang w:val="en-CA"/>
        </w:rPr>
        <w:t>brakes and without performing the prescribed hand</w:t>
      </w:r>
      <w:r w:rsidR="00ED0BE0" w:rsidRPr="009A1394">
        <w:rPr>
          <w:rFonts w:cs="Arial"/>
          <w:color w:val="000000"/>
          <w:lang w:val="en-CA"/>
        </w:rPr>
        <w:t xml:space="preserve"> </w:t>
      </w:r>
      <w:r w:rsidR="008161A3" w:rsidRPr="009A1394">
        <w:rPr>
          <w:rFonts w:cs="Arial"/>
          <w:color w:val="000000"/>
          <w:lang w:val="en-CA"/>
        </w:rPr>
        <w:t xml:space="preserve">brake test to confirm that a sufficient number of </w:t>
      </w:r>
      <w:r w:rsidR="000D033C" w:rsidRPr="009A1394">
        <w:rPr>
          <w:rFonts w:cs="Arial"/>
          <w:color w:val="000000"/>
          <w:lang w:val="en-CA"/>
        </w:rPr>
        <w:t>them</w:t>
      </w:r>
      <w:r w:rsidR="008161A3" w:rsidRPr="009A1394">
        <w:rPr>
          <w:rFonts w:cs="Arial"/>
          <w:color w:val="000000"/>
          <w:lang w:val="en-CA"/>
        </w:rPr>
        <w:t xml:space="preserve"> had been applied.</w:t>
      </w:r>
      <w:r w:rsidR="005F4B9E" w:rsidRPr="009A1394">
        <w:rPr>
          <w:rFonts w:cs="Arial"/>
          <w:color w:val="000000"/>
          <w:lang w:val="en-CA"/>
        </w:rPr>
        <w:t xml:space="preserve"> </w:t>
      </w:r>
      <w:r w:rsidR="008161A3" w:rsidRPr="009A1394">
        <w:rPr>
          <w:rFonts w:cs="Arial"/>
          <w:color w:val="000000"/>
          <w:lang w:val="en-CA"/>
        </w:rPr>
        <w:t>He also criticize</w:t>
      </w:r>
      <w:r w:rsidR="000D033C" w:rsidRPr="009A1394">
        <w:rPr>
          <w:rFonts w:cs="Arial"/>
          <w:color w:val="000000"/>
          <w:lang w:val="en-CA"/>
        </w:rPr>
        <w:t>d</w:t>
      </w:r>
      <w:r w:rsidR="008161A3" w:rsidRPr="009A1394">
        <w:rPr>
          <w:rFonts w:cs="Arial"/>
          <w:color w:val="000000"/>
          <w:lang w:val="en-CA"/>
        </w:rPr>
        <w:t xml:space="preserve"> Harding for failing to return to </w:t>
      </w:r>
      <w:r w:rsidR="00DF0C6F" w:rsidRPr="009A1394">
        <w:rPr>
          <w:rFonts w:cs="Arial"/>
          <w:color w:val="000000"/>
          <w:lang w:val="en-CA"/>
        </w:rPr>
        <w:t>secure</w:t>
      </w:r>
      <w:r w:rsidR="00AC0986" w:rsidRPr="009A1394">
        <w:rPr>
          <w:rFonts w:cs="Arial"/>
          <w:color w:val="000000"/>
          <w:lang w:val="en-CA"/>
        </w:rPr>
        <w:t xml:space="preserve"> </w:t>
      </w:r>
      <w:r w:rsidR="008161A3" w:rsidRPr="009A1394">
        <w:rPr>
          <w:rFonts w:cs="Arial"/>
          <w:color w:val="000000"/>
          <w:lang w:val="en-CA"/>
        </w:rPr>
        <w:t xml:space="preserve">the train, as he should have done </w:t>
      </w:r>
      <w:r w:rsidR="000A42A7" w:rsidRPr="009A1394">
        <w:rPr>
          <w:rFonts w:cs="Arial"/>
          <w:color w:val="000000"/>
          <w:lang w:val="en-CA"/>
        </w:rPr>
        <w:t>initially</w:t>
      </w:r>
      <w:r w:rsidR="008161A3" w:rsidRPr="009A1394">
        <w:rPr>
          <w:rFonts w:cs="Arial"/>
          <w:color w:val="000000"/>
          <w:lang w:val="en-CA"/>
        </w:rPr>
        <w:t>, after he was told that one of the locomotives had caught fire.</w:t>
      </w:r>
      <w:r w:rsidR="008161A3" w:rsidRPr="009A1394">
        <w:rPr>
          <w:rStyle w:val="Appelnotedebasdep"/>
          <w:rFonts w:cs="Arial"/>
          <w:color w:val="000000"/>
          <w:lang w:val="en-CA"/>
        </w:rPr>
        <w:footnoteReference w:id="19"/>
      </w:r>
      <w:r w:rsidR="00B1428F" w:rsidRPr="009A1394">
        <w:rPr>
          <w:rFonts w:cs="Arial"/>
          <w:color w:val="000000"/>
          <w:lang w:val="en-CA"/>
        </w:rPr>
        <w:t xml:space="preserve"> </w:t>
      </w:r>
      <w:r w:rsidR="008161A3" w:rsidRPr="009A1394">
        <w:rPr>
          <w:rFonts w:cs="Arial"/>
          <w:color w:val="000000"/>
          <w:lang w:val="en-CA"/>
        </w:rPr>
        <w:t xml:space="preserve">Had he done so, the tragedy </w:t>
      </w:r>
      <w:r w:rsidR="00405C64" w:rsidRPr="009A1394">
        <w:rPr>
          <w:rFonts w:cs="Arial"/>
          <w:color w:val="000000"/>
          <w:lang w:val="en-CA"/>
        </w:rPr>
        <w:t>that unfolded would not have occurred</w:t>
      </w:r>
      <w:r w:rsidR="008161A3" w:rsidRPr="009A1394">
        <w:rPr>
          <w:rFonts w:cs="Arial"/>
          <w:color w:val="000000"/>
          <w:lang w:val="en-CA"/>
        </w:rPr>
        <w:t>.</w:t>
      </w:r>
      <w:r w:rsidR="00B1428F" w:rsidRPr="009A1394">
        <w:rPr>
          <w:rFonts w:cs="Arial"/>
          <w:color w:val="000000"/>
          <w:lang w:val="en-CA"/>
        </w:rPr>
        <w:t xml:space="preserve"> </w:t>
      </w:r>
      <w:r w:rsidR="00DF0C6F" w:rsidRPr="009A1394">
        <w:rPr>
          <w:rFonts w:cs="Arial"/>
          <w:lang w:val="en-CA"/>
        </w:rPr>
        <w:t>In any event</w:t>
      </w:r>
      <w:r w:rsidR="008161A3" w:rsidRPr="009A1394">
        <w:rPr>
          <w:rFonts w:cs="Arial"/>
          <w:lang w:val="en-CA"/>
        </w:rPr>
        <w:t xml:space="preserve">, </w:t>
      </w:r>
      <w:r w:rsidR="00405C64" w:rsidRPr="009A1394">
        <w:rPr>
          <w:rFonts w:cs="Arial"/>
          <w:lang w:val="en-CA"/>
        </w:rPr>
        <w:t xml:space="preserve">as </w:t>
      </w:r>
      <w:r w:rsidR="008161A3" w:rsidRPr="009A1394">
        <w:rPr>
          <w:rFonts w:cs="Arial"/>
          <w:lang w:val="en-CA"/>
        </w:rPr>
        <w:t xml:space="preserve">the </w:t>
      </w:r>
      <w:r w:rsidR="000D033C" w:rsidRPr="009A1394">
        <w:rPr>
          <w:rFonts w:cs="Arial"/>
          <w:lang w:val="en-CA"/>
        </w:rPr>
        <w:t>judge</w:t>
      </w:r>
      <w:r w:rsidR="008161A3" w:rsidRPr="009A1394">
        <w:rPr>
          <w:rFonts w:cs="Arial"/>
          <w:lang w:val="en-CA"/>
        </w:rPr>
        <w:t xml:space="preserve"> </w:t>
      </w:r>
      <w:r w:rsidR="00405C64" w:rsidRPr="009A1394">
        <w:rPr>
          <w:rFonts w:cs="Arial"/>
          <w:lang w:val="en-CA"/>
        </w:rPr>
        <w:t>noted</w:t>
      </w:r>
      <w:r w:rsidR="008161A3" w:rsidRPr="009A1394">
        <w:rPr>
          <w:rFonts w:cs="Arial"/>
          <w:lang w:val="en-CA"/>
        </w:rPr>
        <w:t xml:space="preserve">, </w:t>
      </w:r>
      <w:r w:rsidR="00405C64" w:rsidRPr="009A1394">
        <w:rPr>
          <w:rFonts w:cs="Arial"/>
          <w:lang w:val="en-CA"/>
        </w:rPr>
        <w:t>regarding</w:t>
      </w:r>
      <w:r w:rsidR="008161A3" w:rsidRPr="009A1394">
        <w:rPr>
          <w:rFonts w:cs="Arial"/>
          <w:lang w:val="en-CA"/>
        </w:rPr>
        <w:t xml:space="preserve"> CP, the</w:t>
      </w:r>
      <w:r w:rsidR="000D033C" w:rsidRPr="009A1394">
        <w:rPr>
          <w:rFonts w:cs="Arial"/>
          <w:lang w:val="en-CA"/>
        </w:rPr>
        <w:t xml:space="preserve"> [</w:t>
      </w:r>
      <w:r w:rsidR="000D033C" w:rsidRPr="009A1394">
        <w:rPr>
          <w:rFonts w:cs="Arial"/>
          <w:smallCaps/>
          <w:lang w:val="en-CA"/>
        </w:rPr>
        <w:t>translation</w:t>
      </w:r>
      <w:r w:rsidR="000D033C" w:rsidRPr="009A1394">
        <w:rPr>
          <w:rFonts w:cs="Arial"/>
          <w:lang w:val="en-CA"/>
        </w:rPr>
        <w:t>]</w:t>
      </w:r>
      <w:r w:rsidR="008161A3" w:rsidRPr="009A1394">
        <w:rPr>
          <w:rFonts w:cs="Arial"/>
          <w:lang w:val="en-CA"/>
        </w:rPr>
        <w:t xml:space="preserve"> “actions alleged against CP </w:t>
      </w:r>
      <w:r w:rsidR="00E60124" w:rsidRPr="009A1394">
        <w:rPr>
          <w:rFonts w:cs="Arial"/>
          <w:lang w:val="en-CA"/>
        </w:rPr>
        <w:t>[</w:t>
      </w:r>
      <w:r w:rsidR="008161A3" w:rsidRPr="009A1394">
        <w:rPr>
          <w:rFonts w:cs="Arial"/>
          <w:lang w:val="en-CA"/>
        </w:rPr>
        <w:t>...</w:t>
      </w:r>
      <w:r w:rsidR="00E60124" w:rsidRPr="009A1394">
        <w:rPr>
          <w:rFonts w:cs="Arial"/>
          <w:lang w:val="en-CA"/>
        </w:rPr>
        <w:t>]</w:t>
      </w:r>
      <w:r w:rsidR="008161A3" w:rsidRPr="009A1394">
        <w:rPr>
          <w:rFonts w:cs="Arial"/>
          <w:lang w:val="en-CA"/>
        </w:rPr>
        <w:t xml:space="preserve">, whether </w:t>
      </w:r>
      <w:r w:rsidR="00B27CEF" w:rsidRPr="009A1394">
        <w:rPr>
          <w:rFonts w:cs="Arial"/>
          <w:lang w:val="en-CA"/>
        </w:rPr>
        <w:t>wrongful</w:t>
      </w:r>
      <w:r w:rsidR="00405C64" w:rsidRPr="009A1394">
        <w:rPr>
          <w:rFonts w:cs="Arial"/>
          <w:lang w:val="en-CA"/>
        </w:rPr>
        <w:t xml:space="preserve"> </w:t>
      </w:r>
      <w:r w:rsidR="008161A3" w:rsidRPr="009A1394">
        <w:rPr>
          <w:rFonts w:cs="Arial"/>
          <w:lang w:val="en-CA"/>
        </w:rPr>
        <w:t xml:space="preserve">or not, are not the logical, direct, and immediate cause of the </w:t>
      </w:r>
      <w:r w:rsidR="00B4235D" w:rsidRPr="009A1394">
        <w:rPr>
          <w:rFonts w:cs="Arial"/>
          <w:lang w:val="en-CA"/>
        </w:rPr>
        <w:t xml:space="preserve">injuries </w:t>
      </w:r>
      <w:r w:rsidR="008161A3" w:rsidRPr="009A1394">
        <w:rPr>
          <w:rFonts w:cs="Arial"/>
          <w:lang w:val="en-CA"/>
        </w:rPr>
        <w:t>suffered by</w:t>
      </w:r>
      <w:r w:rsidR="000A42A7" w:rsidRPr="009A1394">
        <w:rPr>
          <w:rFonts w:cs="Arial"/>
          <w:lang w:val="en-CA"/>
        </w:rPr>
        <w:t xml:space="preserve"> </w:t>
      </w:r>
      <w:r w:rsidR="008161A3" w:rsidRPr="009A1394">
        <w:rPr>
          <w:rFonts w:cs="Arial"/>
          <w:lang w:val="en-CA"/>
        </w:rPr>
        <w:t>the victims”</w:t>
      </w:r>
      <w:r w:rsidR="00E60124" w:rsidRPr="009A1394">
        <w:rPr>
          <w:rFonts w:cs="Arial"/>
          <w:lang w:val="en-CA"/>
        </w:rPr>
        <w:t>.</w:t>
      </w:r>
      <w:r w:rsidR="008161A3" w:rsidRPr="009A1394">
        <w:rPr>
          <w:rFonts w:cs="Arial"/>
          <w:color w:val="000000"/>
          <w:vertAlign w:val="superscript"/>
          <w:lang w:val="en-CA"/>
        </w:rPr>
        <w:footnoteReference w:id="20"/>
      </w:r>
    </w:p>
    <w:bookmarkEnd w:id="2"/>
    <w:p w14:paraId="026631C8" w14:textId="137C6D6B" w:rsidR="00AE5917" w:rsidRPr="009A1394" w:rsidRDefault="008161A3" w:rsidP="003C6356">
      <w:pPr>
        <w:pStyle w:val="Paragraphe"/>
        <w:numPr>
          <w:ilvl w:val="0"/>
          <w:numId w:val="1"/>
        </w:numPr>
        <w:rPr>
          <w:lang w:val="en-CA"/>
        </w:rPr>
      </w:pPr>
      <w:r w:rsidRPr="009A1394">
        <w:rPr>
          <w:rFonts w:cs="Arial"/>
          <w:color w:val="000000"/>
          <w:lang w:val="en-CA"/>
        </w:rPr>
        <w:lastRenderedPageBreak/>
        <w:t xml:space="preserve">The appellants argue that the judgment under appeal is vitiated by errors that </w:t>
      </w:r>
      <w:r w:rsidR="00B4235D" w:rsidRPr="009A1394">
        <w:rPr>
          <w:rFonts w:cs="Arial"/>
          <w:color w:val="000000"/>
          <w:lang w:val="en-CA"/>
        </w:rPr>
        <w:t>warrant its reversal</w:t>
      </w:r>
      <w:r w:rsidRPr="009A1394">
        <w:rPr>
          <w:rFonts w:cs="Arial"/>
          <w:color w:val="000000"/>
          <w:lang w:val="en-CA"/>
        </w:rPr>
        <w:t>.</w:t>
      </w:r>
      <w:r w:rsidR="0062435E" w:rsidRPr="009A1394">
        <w:rPr>
          <w:rFonts w:cs="Arial"/>
          <w:color w:val="000000"/>
          <w:lang w:val="en-CA"/>
        </w:rPr>
        <w:t xml:space="preserve"> </w:t>
      </w:r>
      <w:r w:rsidRPr="009A1394">
        <w:rPr>
          <w:rFonts w:cs="Arial"/>
          <w:color w:val="000000"/>
          <w:lang w:val="en-CA"/>
        </w:rPr>
        <w:t xml:space="preserve">They submit that the judge should have attributed fault to CP and recognized that it caused the </w:t>
      </w:r>
      <w:r w:rsidR="00B4235D" w:rsidRPr="009A1394">
        <w:rPr>
          <w:rFonts w:cs="Arial"/>
          <w:color w:val="000000"/>
          <w:lang w:val="en-CA"/>
        </w:rPr>
        <w:t xml:space="preserve">injuries </w:t>
      </w:r>
      <w:r w:rsidRPr="009A1394">
        <w:rPr>
          <w:rFonts w:cs="Arial"/>
          <w:color w:val="000000"/>
          <w:lang w:val="en-CA"/>
        </w:rPr>
        <w:t xml:space="preserve">that the many victims suffered, or at least contributed to </w:t>
      </w:r>
      <w:r w:rsidR="00B4235D" w:rsidRPr="009A1394">
        <w:rPr>
          <w:rFonts w:cs="Arial"/>
          <w:color w:val="000000"/>
          <w:lang w:val="en-CA"/>
        </w:rPr>
        <w:t xml:space="preserve">their </w:t>
      </w:r>
      <w:r w:rsidR="00A96BC6" w:rsidRPr="009A1394">
        <w:rPr>
          <w:rFonts w:cs="Arial"/>
          <w:color w:val="000000"/>
          <w:lang w:val="en-CA"/>
        </w:rPr>
        <w:t>occurrence</w:t>
      </w:r>
      <w:r w:rsidRPr="009A1394">
        <w:rPr>
          <w:rFonts w:cs="Arial"/>
          <w:color w:val="000000"/>
          <w:lang w:val="en-CA"/>
        </w:rPr>
        <w:t xml:space="preserve">. </w:t>
      </w:r>
    </w:p>
    <w:p w14:paraId="00CA95C6" w14:textId="1D795E92" w:rsidR="00E33E41" w:rsidRPr="009A1394" w:rsidRDefault="008161A3" w:rsidP="00933643">
      <w:pPr>
        <w:pStyle w:val="Titre1"/>
        <w:rPr>
          <w:lang w:val="en-CA"/>
        </w:rPr>
      </w:pPr>
      <w:r w:rsidRPr="009A1394">
        <w:rPr>
          <w:lang w:val="en-CA"/>
        </w:rPr>
        <w:t>Circumstances of the tragedy</w:t>
      </w:r>
    </w:p>
    <w:p w14:paraId="0B38F213" w14:textId="2CAE4235" w:rsidR="00CC66B8" w:rsidRPr="009A1394" w:rsidRDefault="00916B84" w:rsidP="003C6356">
      <w:pPr>
        <w:pStyle w:val="Paragraphe"/>
        <w:numPr>
          <w:ilvl w:val="0"/>
          <w:numId w:val="1"/>
        </w:numPr>
        <w:rPr>
          <w:lang w:val="en-CA"/>
        </w:rPr>
      </w:pPr>
      <w:r w:rsidRPr="009A1394">
        <w:rPr>
          <w:lang w:val="en-CA"/>
        </w:rPr>
        <w:t xml:space="preserve">The train that derailed </w:t>
      </w:r>
      <w:r w:rsidR="00385951" w:rsidRPr="009A1394">
        <w:rPr>
          <w:lang w:val="en-CA"/>
        </w:rPr>
        <w:t>was comprised of</w:t>
      </w:r>
      <w:r w:rsidRPr="009A1394">
        <w:rPr>
          <w:lang w:val="en-CA"/>
        </w:rPr>
        <w:t xml:space="preserve"> five locomotives and 72 tank cars.</w:t>
      </w:r>
      <w:r w:rsidR="008161A3" w:rsidRPr="009A1394">
        <w:rPr>
          <w:lang w:val="en-CA"/>
        </w:rPr>
        <w:t xml:space="preserve"> </w:t>
      </w:r>
      <w:r w:rsidRPr="009A1394">
        <w:rPr>
          <w:lang w:val="en-CA"/>
        </w:rPr>
        <w:t xml:space="preserve">A </w:t>
      </w:r>
      <w:r w:rsidR="00385951" w:rsidRPr="009A1394">
        <w:rPr>
          <w:lang w:val="en-CA"/>
        </w:rPr>
        <w:t>placard</w:t>
      </w:r>
      <w:r w:rsidRPr="009A1394">
        <w:rPr>
          <w:lang w:val="en-CA"/>
        </w:rPr>
        <w:t xml:space="preserve"> on each of the tank </w:t>
      </w:r>
      <w:r w:rsidR="00BC1C35" w:rsidRPr="009A1394">
        <w:rPr>
          <w:lang w:val="en-CA"/>
        </w:rPr>
        <w:t>cars</w:t>
      </w:r>
      <w:r w:rsidRPr="009A1394">
        <w:rPr>
          <w:lang w:val="en-CA"/>
        </w:rPr>
        <w:t xml:space="preserve"> indicated that the product </w:t>
      </w:r>
      <w:r w:rsidR="00EB7E04" w:rsidRPr="009A1394">
        <w:rPr>
          <w:lang w:val="en-CA"/>
        </w:rPr>
        <w:t xml:space="preserve">they </w:t>
      </w:r>
      <w:r w:rsidRPr="009A1394">
        <w:rPr>
          <w:lang w:val="en-CA"/>
        </w:rPr>
        <w:t>contained was flammable.</w:t>
      </w:r>
      <w:r w:rsidRPr="009A1394">
        <w:rPr>
          <w:vertAlign w:val="superscript"/>
          <w:lang w:val="en-CA"/>
        </w:rPr>
        <w:footnoteReference w:id="21"/>
      </w:r>
    </w:p>
    <w:p w14:paraId="22AB7D0C" w14:textId="696BE281" w:rsidR="00CC66B8" w:rsidRPr="009A1394" w:rsidRDefault="00916B84" w:rsidP="003C6356">
      <w:pPr>
        <w:pStyle w:val="Paragraphe"/>
        <w:numPr>
          <w:ilvl w:val="0"/>
          <w:numId w:val="1"/>
        </w:numPr>
        <w:rPr>
          <w:lang w:val="en-CA"/>
        </w:rPr>
      </w:pPr>
      <w:r w:rsidRPr="009A1394">
        <w:rPr>
          <w:lang w:val="en-CA"/>
        </w:rPr>
        <w:t>The crude oil it transported was sold by World Fuel Services (</w:t>
      </w:r>
      <w:r w:rsidR="00385951" w:rsidRPr="009A1394">
        <w:rPr>
          <w:lang w:val="en-CA"/>
        </w:rPr>
        <w:t>“</w:t>
      </w:r>
      <w:r w:rsidRPr="009A1394">
        <w:rPr>
          <w:b/>
          <w:bCs/>
          <w:lang w:val="en-CA"/>
        </w:rPr>
        <w:t>WFS</w:t>
      </w:r>
      <w:r w:rsidRPr="009A1394">
        <w:rPr>
          <w:lang w:val="en-CA"/>
        </w:rPr>
        <w:t>”) to the Irving Oil Company (</w:t>
      </w:r>
      <w:r w:rsidR="00385951" w:rsidRPr="009A1394">
        <w:rPr>
          <w:lang w:val="en-CA"/>
        </w:rPr>
        <w:t>“</w:t>
      </w:r>
      <w:r w:rsidRPr="009A1394">
        <w:rPr>
          <w:b/>
          <w:bCs/>
          <w:lang w:val="en-CA"/>
        </w:rPr>
        <w:t>Irving</w:t>
      </w:r>
      <w:r w:rsidRPr="009A1394">
        <w:rPr>
          <w:lang w:val="en-CA"/>
        </w:rPr>
        <w:t>”).</w:t>
      </w:r>
      <w:r w:rsidRPr="009A1394">
        <w:rPr>
          <w:vertAlign w:val="superscript"/>
          <w:lang w:val="en-CA"/>
        </w:rPr>
        <w:footnoteReference w:id="22"/>
      </w:r>
      <w:r w:rsidR="008161A3" w:rsidRPr="009A1394">
        <w:rPr>
          <w:lang w:val="en-CA"/>
        </w:rPr>
        <w:t xml:space="preserve"> </w:t>
      </w:r>
      <w:r w:rsidRPr="009A1394">
        <w:rPr>
          <w:lang w:val="en-CA"/>
        </w:rPr>
        <w:t xml:space="preserve">The judge </w:t>
      </w:r>
      <w:r w:rsidR="00385951" w:rsidRPr="009A1394">
        <w:rPr>
          <w:lang w:val="en-CA"/>
        </w:rPr>
        <w:t>noted</w:t>
      </w:r>
      <w:r w:rsidRPr="009A1394">
        <w:rPr>
          <w:lang w:val="en-CA"/>
        </w:rPr>
        <w:t xml:space="preserve"> that WFS is a </w:t>
      </w:r>
      <w:r w:rsidR="00BC1C35" w:rsidRPr="009A1394">
        <w:rPr>
          <w:lang w:val="en-CA"/>
        </w:rPr>
        <w:t>[</w:t>
      </w:r>
      <w:r w:rsidR="00BC1C35" w:rsidRPr="009A1394">
        <w:rPr>
          <w:smallCaps/>
          <w:lang w:val="en-CA"/>
        </w:rPr>
        <w:t>translation</w:t>
      </w:r>
      <w:r w:rsidR="00BC1C35" w:rsidRPr="009A1394">
        <w:rPr>
          <w:lang w:val="en-CA"/>
        </w:rPr>
        <w:t xml:space="preserve">] </w:t>
      </w:r>
      <w:r w:rsidRPr="009A1394">
        <w:rPr>
          <w:lang w:val="en-CA"/>
        </w:rPr>
        <w:t>“world</w:t>
      </w:r>
      <w:r w:rsidR="00385951" w:rsidRPr="009A1394">
        <w:rPr>
          <w:lang w:val="en-CA"/>
        </w:rPr>
        <w:t>-</w:t>
      </w:r>
      <w:r w:rsidRPr="009A1394">
        <w:rPr>
          <w:lang w:val="en-CA"/>
        </w:rPr>
        <w:t>class” company.</w:t>
      </w:r>
      <w:r w:rsidRPr="009A1394">
        <w:rPr>
          <w:vertAlign w:val="superscript"/>
          <w:lang w:val="en-CA"/>
        </w:rPr>
        <w:footnoteReference w:id="23"/>
      </w:r>
      <w:r w:rsidR="00D40E15" w:rsidRPr="009A1394">
        <w:rPr>
          <w:lang w:val="en-CA"/>
        </w:rPr>
        <w:t xml:space="preserve"> </w:t>
      </w:r>
      <w:r w:rsidRPr="009A1394">
        <w:rPr>
          <w:lang w:val="en-CA"/>
        </w:rPr>
        <w:t xml:space="preserve">It was </w:t>
      </w:r>
      <w:r w:rsidR="00385951" w:rsidRPr="009A1394">
        <w:rPr>
          <w:lang w:val="en-CA"/>
        </w:rPr>
        <w:t xml:space="preserve">WSF that </w:t>
      </w:r>
      <w:r w:rsidRPr="009A1394">
        <w:rPr>
          <w:lang w:val="en-CA"/>
        </w:rPr>
        <w:t>lease</w:t>
      </w:r>
      <w:r w:rsidR="00385951" w:rsidRPr="009A1394">
        <w:rPr>
          <w:lang w:val="en-CA"/>
        </w:rPr>
        <w:t>d</w:t>
      </w:r>
      <w:r w:rsidRPr="009A1394">
        <w:rPr>
          <w:lang w:val="en-CA"/>
        </w:rPr>
        <w:t xml:space="preserve"> the tank cars in question</w:t>
      </w:r>
      <w:r w:rsidRPr="009A1394">
        <w:rPr>
          <w:vertAlign w:val="superscript"/>
          <w:lang w:val="en-CA"/>
        </w:rPr>
        <w:footnoteReference w:id="24"/>
      </w:r>
      <w:r w:rsidRPr="009A1394">
        <w:rPr>
          <w:lang w:val="en-CA"/>
        </w:rPr>
        <w:t xml:space="preserve"> and </w:t>
      </w:r>
      <w:r w:rsidR="00385951" w:rsidRPr="009A1394">
        <w:rPr>
          <w:lang w:val="en-CA"/>
        </w:rPr>
        <w:t>retained</w:t>
      </w:r>
      <w:r w:rsidR="00632404" w:rsidRPr="009A1394">
        <w:rPr>
          <w:lang w:val="en-CA"/>
        </w:rPr>
        <w:t xml:space="preserve"> </w:t>
      </w:r>
      <w:r w:rsidRPr="009A1394">
        <w:rPr>
          <w:lang w:val="en-CA"/>
        </w:rPr>
        <w:t>CP as the originating carrier</w:t>
      </w:r>
      <w:r w:rsidRPr="009A1394">
        <w:rPr>
          <w:vertAlign w:val="superscript"/>
          <w:lang w:val="en-CA"/>
        </w:rPr>
        <w:footnoteReference w:id="25"/>
      </w:r>
      <w:r w:rsidRPr="009A1394">
        <w:rPr>
          <w:lang w:val="en-CA"/>
        </w:rPr>
        <w:t xml:space="preserve"> to move </w:t>
      </w:r>
      <w:r w:rsidR="00632404" w:rsidRPr="009A1394">
        <w:rPr>
          <w:lang w:val="en-CA"/>
        </w:rPr>
        <w:t xml:space="preserve">them </w:t>
      </w:r>
      <w:r w:rsidRPr="009A1394">
        <w:rPr>
          <w:lang w:val="en-CA"/>
        </w:rPr>
        <w:t>from North Dakota to the Irving refinery in Saint</w:t>
      </w:r>
      <w:r w:rsidR="00385951" w:rsidRPr="009A1394">
        <w:rPr>
          <w:lang w:val="en-CA"/>
        </w:rPr>
        <w:t xml:space="preserve"> </w:t>
      </w:r>
      <w:r w:rsidRPr="009A1394">
        <w:rPr>
          <w:lang w:val="en-CA"/>
        </w:rPr>
        <w:t>John, New Brunswick.</w:t>
      </w:r>
      <w:r w:rsidRPr="009A1394">
        <w:rPr>
          <w:vertAlign w:val="superscript"/>
          <w:lang w:val="en-CA"/>
        </w:rPr>
        <w:footnoteReference w:id="26"/>
      </w:r>
      <w:r w:rsidR="008161A3" w:rsidRPr="009A1394">
        <w:rPr>
          <w:lang w:val="en-CA"/>
        </w:rPr>
        <w:t xml:space="preserve"> </w:t>
      </w:r>
      <w:r w:rsidRPr="009A1394">
        <w:rPr>
          <w:lang w:val="en-CA"/>
        </w:rPr>
        <w:t xml:space="preserve">This type of </w:t>
      </w:r>
      <w:r w:rsidR="00363C53" w:rsidRPr="009A1394">
        <w:rPr>
          <w:lang w:val="en-CA"/>
        </w:rPr>
        <w:t>train</w:t>
      </w:r>
      <w:r w:rsidRPr="009A1394">
        <w:rPr>
          <w:lang w:val="en-CA"/>
        </w:rPr>
        <w:t xml:space="preserve"> is called a “unit train” due to the fact that each of </w:t>
      </w:r>
      <w:r w:rsidR="00632404" w:rsidRPr="009A1394">
        <w:rPr>
          <w:lang w:val="en-CA"/>
        </w:rPr>
        <w:t>the</w:t>
      </w:r>
      <w:r w:rsidRPr="009A1394">
        <w:rPr>
          <w:lang w:val="en-CA"/>
        </w:rPr>
        <w:t xml:space="preserve"> cars</w:t>
      </w:r>
      <w:r w:rsidR="00632404" w:rsidRPr="009A1394">
        <w:rPr>
          <w:lang w:val="en-CA"/>
        </w:rPr>
        <w:t xml:space="preserve"> </w:t>
      </w:r>
      <w:r w:rsidR="00F73729" w:rsidRPr="009A1394">
        <w:rPr>
          <w:lang w:val="en-CA"/>
        </w:rPr>
        <w:t>that it comprises</w:t>
      </w:r>
      <w:r w:rsidRPr="009A1394">
        <w:rPr>
          <w:lang w:val="en-CA"/>
        </w:rPr>
        <w:t xml:space="preserve"> </w:t>
      </w:r>
      <w:r w:rsidR="00561367" w:rsidRPr="009A1394">
        <w:rPr>
          <w:lang w:val="en-CA"/>
        </w:rPr>
        <w:t>carr</w:t>
      </w:r>
      <w:r w:rsidR="00156DE2" w:rsidRPr="009A1394">
        <w:rPr>
          <w:lang w:val="en-CA"/>
        </w:rPr>
        <w:t>ies</w:t>
      </w:r>
      <w:r w:rsidR="00632404" w:rsidRPr="009A1394">
        <w:rPr>
          <w:lang w:val="en-CA"/>
        </w:rPr>
        <w:t xml:space="preserve"> </w:t>
      </w:r>
      <w:r w:rsidR="00561367" w:rsidRPr="009A1394">
        <w:rPr>
          <w:lang w:val="en-CA"/>
        </w:rPr>
        <w:t>the same</w:t>
      </w:r>
      <w:r w:rsidRPr="009A1394">
        <w:rPr>
          <w:lang w:val="en-CA"/>
        </w:rPr>
        <w:t xml:space="preserve"> commodity, as opposed to trains carrying </w:t>
      </w:r>
      <w:r w:rsidR="00F73729" w:rsidRPr="009A1394">
        <w:rPr>
          <w:lang w:val="en-CA"/>
        </w:rPr>
        <w:t>various types of freight</w:t>
      </w:r>
      <w:r w:rsidRPr="009A1394">
        <w:rPr>
          <w:lang w:val="en-CA"/>
        </w:rPr>
        <w:t>, which are instead referred to as a “manifest train</w:t>
      </w:r>
      <w:r w:rsidR="00F73729" w:rsidRPr="009A1394">
        <w:rPr>
          <w:lang w:val="en-CA"/>
        </w:rPr>
        <w:t>s</w:t>
      </w:r>
      <w:r w:rsidRPr="009A1394">
        <w:rPr>
          <w:lang w:val="en-CA"/>
        </w:rPr>
        <w:t>”</w:t>
      </w:r>
      <w:r w:rsidR="00156DE2" w:rsidRPr="009A1394">
        <w:rPr>
          <w:lang w:val="en-CA"/>
        </w:rPr>
        <w:t>.</w:t>
      </w:r>
      <w:r w:rsidRPr="009A1394">
        <w:rPr>
          <w:vertAlign w:val="superscript"/>
          <w:lang w:val="en-CA"/>
        </w:rPr>
        <w:footnoteReference w:id="27"/>
      </w:r>
    </w:p>
    <w:p w14:paraId="27E90D67" w14:textId="50BFABEC" w:rsidR="00CC66B8" w:rsidRPr="009A1394" w:rsidRDefault="00916B84" w:rsidP="003C6356">
      <w:pPr>
        <w:pStyle w:val="Paragraphe"/>
        <w:numPr>
          <w:ilvl w:val="0"/>
          <w:numId w:val="1"/>
        </w:numPr>
        <w:rPr>
          <w:lang w:val="en-CA"/>
        </w:rPr>
      </w:pPr>
      <w:r w:rsidRPr="009A1394">
        <w:rPr>
          <w:lang w:val="en-CA"/>
        </w:rPr>
        <w:t>A</w:t>
      </w:r>
      <w:r w:rsidR="009F0FFD" w:rsidRPr="009A1394">
        <w:rPr>
          <w:lang w:val="en-CA"/>
        </w:rPr>
        <w:t>t</w:t>
      </w:r>
      <w:r w:rsidRPr="009A1394">
        <w:rPr>
          <w:lang w:val="en-CA"/>
        </w:rPr>
        <w:t xml:space="preserve"> the time, the </w:t>
      </w:r>
      <w:r w:rsidR="00561367" w:rsidRPr="009A1394">
        <w:rPr>
          <w:lang w:val="en-CA"/>
        </w:rPr>
        <w:t>carriage</w:t>
      </w:r>
      <w:r w:rsidRPr="009A1394">
        <w:rPr>
          <w:lang w:val="en-CA"/>
        </w:rPr>
        <w:t xml:space="preserve"> of petrol</w:t>
      </w:r>
      <w:r w:rsidR="00561367" w:rsidRPr="009A1394">
        <w:rPr>
          <w:lang w:val="en-CA"/>
        </w:rPr>
        <w:t>eum</w:t>
      </w:r>
      <w:r w:rsidRPr="009A1394">
        <w:rPr>
          <w:lang w:val="en-CA"/>
        </w:rPr>
        <w:t xml:space="preserve"> products by rail was not</w:t>
      </w:r>
      <w:r w:rsidR="00EB7E04" w:rsidRPr="009A1394">
        <w:rPr>
          <w:lang w:val="en-CA"/>
        </w:rPr>
        <w:t>hing</w:t>
      </w:r>
      <w:r w:rsidRPr="009A1394">
        <w:rPr>
          <w:lang w:val="en-CA"/>
        </w:rPr>
        <w:t xml:space="preserve"> new.</w:t>
      </w:r>
      <w:r w:rsidR="008161A3" w:rsidRPr="009A1394">
        <w:rPr>
          <w:lang w:val="en-CA"/>
        </w:rPr>
        <w:t xml:space="preserve"> </w:t>
      </w:r>
      <w:r w:rsidRPr="009A1394">
        <w:rPr>
          <w:lang w:val="en-CA"/>
        </w:rPr>
        <w:t xml:space="preserve">However, it had recently been experiencing a significant </w:t>
      </w:r>
      <w:r w:rsidR="009F0FFD" w:rsidRPr="009A1394">
        <w:rPr>
          <w:lang w:val="en-CA"/>
        </w:rPr>
        <w:t>upswing</w:t>
      </w:r>
      <w:r w:rsidRPr="009A1394">
        <w:rPr>
          <w:lang w:val="en-CA"/>
        </w:rPr>
        <w:t>.</w:t>
      </w:r>
      <w:r w:rsidRPr="009A1394">
        <w:rPr>
          <w:vertAlign w:val="superscript"/>
          <w:lang w:val="en-CA"/>
        </w:rPr>
        <w:footnoteReference w:id="28"/>
      </w:r>
      <w:r w:rsidR="008161A3" w:rsidRPr="009A1394">
        <w:rPr>
          <w:lang w:val="en-CA"/>
        </w:rPr>
        <w:t xml:space="preserve"> </w:t>
      </w:r>
      <w:r w:rsidR="00561367" w:rsidRPr="009A1394">
        <w:rPr>
          <w:lang w:val="en-CA"/>
        </w:rPr>
        <w:t>A</w:t>
      </w:r>
      <w:r w:rsidRPr="009A1394">
        <w:rPr>
          <w:lang w:val="en-CA"/>
        </w:rPr>
        <w:t>ll</w:t>
      </w:r>
      <w:r w:rsidR="00EB7E04" w:rsidRPr="009A1394">
        <w:rPr>
          <w:lang w:val="en-CA"/>
        </w:rPr>
        <w:t xml:space="preserve"> </w:t>
      </w:r>
      <w:r w:rsidRPr="009A1394">
        <w:rPr>
          <w:lang w:val="en-CA"/>
        </w:rPr>
        <w:t>railway companies</w:t>
      </w:r>
      <w:r w:rsidR="00561367" w:rsidRPr="009A1394">
        <w:rPr>
          <w:lang w:val="en-CA"/>
        </w:rPr>
        <w:t xml:space="preserve"> wanted to get involved</w:t>
      </w:r>
      <w:r w:rsidRPr="009A1394">
        <w:rPr>
          <w:lang w:val="en-CA"/>
        </w:rPr>
        <w:t>.</w:t>
      </w:r>
      <w:r w:rsidR="008161A3" w:rsidRPr="009A1394">
        <w:rPr>
          <w:lang w:val="en-CA"/>
        </w:rPr>
        <w:t xml:space="preserve"> </w:t>
      </w:r>
      <w:r w:rsidRPr="009A1394">
        <w:rPr>
          <w:lang w:val="en-CA"/>
        </w:rPr>
        <w:t xml:space="preserve">They </w:t>
      </w:r>
      <w:r w:rsidR="00561367" w:rsidRPr="009A1394">
        <w:rPr>
          <w:lang w:val="en-CA"/>
        </w:rPr>
        <w:t>saw this as a</w:t>
      </w:r>
      <w:r w:rsidRPr="009A1394">
        <w:rPr>
          <w:lang w:val="en-CA"/>
        </w:rPr>
        <w:t xml:space="preserve"> lucrative business opportunity from which they intended to </w:t>
      </w:r>
      <w:r w:rsidR="00561367" w:rsidRPr="009A1394">
        <w:rPr>
          <w:lang w:val="en-CA"/>
        </w:rPr>
        <w:t>profit</w:t>
      </w:r>
      <w:r w:rsidRPr="009A1394">
        <w:rPr>
          <w:lang w:val="en-CA"/>
        </w:rPr>
        <w:t>.</w:t>
      </w:r>
      <w:r w:rsidRPr="009A1394">
        <w:rPr>
          <w:vertAlign w:val="superscript"/>
          <w:lang w:val="en-CA"/>
        </w:rPr>
        <w:footnoteReference w:id="29"/>
      </w:r>
    </w:p>
    <w:p w14:paraId="32B3EC4E" w14:textId="743233A4" w:rsidR="00CC66B8" w:rsidRPr="009A1394" w:rsidRDefault="00916B84" w:rsidP="004B1090">
      <w:pPr>
        <w:pStyle w:val="Paragraphe"/>
        <w:numPr>
          <w:ilvl w:val="0"/>
          <w:numId w:val="1"/>
        </w:numPr>
        <w:rPr>
          <w:lang w:val="en-CA"/>
        </w:rPr>
      </w:pPr>
      <w:r w:rsidRPr="009A1394">
        <w:rPr>
          <w:lang w:val="en-CA"/>
        </w:rPr>
        <w:t>The carrier agreement signed by WFS and CP was based on a “through traffic” rate.</w:t>
      </w:r>
      <w:r w:rsidRPr="009A1394">
        <w:rPr>
          <w:vertAlign w:val="superscript"/>
          <w:lang w:val="en-CA"/>
        </w:rPr>
        <w:footnoteReference w:id="30"/>
      </w:r>
      <w:r w:rsidR="008161A3" w:rsidRPr="009A1394">
        <w:rPr>
          <w:lang w:val="en-CA"/>
        </w:rPr>
        <w:t xml:space="preserve"> </w:t>
      </w:r>
      <w:r w:rsidRPr="009A1394">
        <w:rPr>
          <w:lang w:val="en-CA"/>
        </w:rPr>
        <w:t>This mean</w:t>
      </w:r>
      <w:r w:rsidR="009F0FFD" w:rsidRPr="009A1394">
        <w:rPr>
          <w:lang w:val="en-CA"/>
        </w:rPr>
        <w:t>t</w:t>
      </w:r>
      <w:r w:rsidRPr="009A1394">
        <w:rPr>
          <w:lang w:val="en-CA"/>
        </w:rPr>
        <w:t xml:space="preserve"> that CP undert</w:t>
      </w:r>
      <w:r w:rsidR="009F0FFD" w:rsidRPr="009A1394">
        <w:rPr>
          <w:lang w:val="en-CA"/>
        </w:rPr>
        <w:t>ook</w:t>
      </w:r>
      <w:r w:rsidRPr="009A1394">
        <w:rPr>
          <w:lang w:val="en-CA"/>
        </w:rPr>
        <w:t xml:space="preserve"> to carry</w:t>
      </w:r>
      <w:r w:rsidR="009F0FFD" w:rsidRPr="009A1394">
        <w:rPr>
          <w:lang w:val="en-CA"/>
        </w:rPr>
        <w:t xml:space="preserve"> the goods</w:t>
      </w:r>
      <w:r w:rsidRPr="009A1394">
        <w:rPr>
          <w:lang w:val="en-CA"/>
        </w:rPr>
        <w:t xml:space="preserve"> from the point of origin to the point of destination.</w:t>
      </w:r>
      <w:r w:rsidR="008161A3" w:rsidRPr="009A1394">
        <w:rPr>
          <w:lang w:val="en-CA"/>
        </w:rPr>
        <w:t xml:space="preserve"> </w:t>
      </w:r>
      <w:r w:rsidRPr="009A1394">
        <w:rPr>
          <w:lang w:val="en-CA"/>
        </w:rPr>
        <w:t>The bill of lading</w:t>
      </w:r>
      <w:r w:rsidRPr="009A1394">
        <w:rPr>
          <w:vertAlign w:val="superscript"/>
          <w:lang w:val="en-CA"/>
        </w:rPr>
        <w:footnoteReference w:id="31"/>
      </w:r>
      <w:r w:rsidRPr="009A1394">
        <w:rPr>
          <w:lang w:val="en-CA"/>
        </w:rPr>
        <w:t xml:space="preserve"> issued indicate</w:t>
      </w:r>
      <w:r w:rsidR="009F0FFD" w:rsidRPr="009A1394">
        <w:rPr>
          <w:lang w:val="en-CA"/>
        </w:rPr>
        <w:t>d</w:t>
      </w:r>
      <w:r w:rsidRPr="009A1394">
        <w:rPr>
          <w:lang w:val="en-CA"/>
        </w:rPr>
        <w:t xml:space="preserve"> that the </w:t>
      </w:r>
      <w:r w:rsidR="00561367" w:rsidRPr="009A1394">
        <w:rPr>
          <w:lang w:val="en-CA"/>
        </w:rPr>
        <w:t>shipper</w:t>
      </w:r>
      <w:r w:rsidRPr="009A1394">
        <w:rPr>
          <w:lang w:val="en-CA"/>
        </w:rPr>
        <w:t xml:space="preserve"> </w:t>
      </w:r>
      <w:r w:rsidR="009F0FFD" w:rsidRPr="009A1394">
        <w:rPr>
          <w:lang w:val="en-CA"/>
        </w:rPr>
        <w:t>was</w:t>
      </w:r>
      <w:r w:rsidRPr="009A1394">
        <w:rPr>
          <w:lang w:val="en-CA"/>
        </w:rPr>
        <w:t xml:space="preserve"> a subsidiary of WFS</w:t>
      </w:r>
      <w:r w:rsidR="001A27C3" w:rsidRPr="009A1394">
        <w:rPr>
          <w:lang w:val="en-CA"/>
        </w:rPr>
        <w:t>,</w:t>
      </w:r>
      <w:r w:rsidRPr="009A1394">
        <w:rPr>
          <w:lang w:val="en-CA"/>
        </w:rPr>
        <w:t xml:space="preserve"> and that the </w:t>
      </w:r>
      <w:r w:rsidR="007E6B57" w:rsidRPr="009A1394">
        <w:rPr>
          <w:lang w:val="en-CA"/>
        </w:rPr>
        <w:t>consignee</w:t>
      </w:r>
      <w:r w:rsidRPr="009A1394">
        <w:rPr>
          <w:lang w:val="en-CA"/>
        </w:rPr>
        <w:t xml:space="preserve"> </w:t>
      </w:r>
      <w:r w:rsidR="009F0FFD" w:rsidRPr="009A1394">
        <w:rPr>
          <w:lang w:val="en-CA"/>
        </w:rPr>
        <w:t>was</w:t>
      </w:r>
      <w:r w:rsidRPr="009A1394">
        <w:rPr>
          <w:lang w:val="en-CA"/>
        </w:rPr>
        <w:t xml:space="preserve"> Irving.</w:t>
      </w:r>
      <w:r w:rsidRPr="009A1394">
        <w:rPr>
          <w:vertAlign w:val="superscript"/>
          <w:lang w:val="en-CA"/>
        </w:rPr>
        <w:footnoteReference w:id="32"/>
      </w:r>
      <w:r w:rsidR="00257353" w:rsidRPr="009A1394">
        <w:rPr>
          <w:lang w:val="en-CA"/>
        </w:rPr>
        <w:t xml:space="preserve"> </w:t>
      </w:r>
      <w:r w:rsidRPr="009A1394">
        <w:rPr>
          <w:lang w:val="en-CA"/>
        </w:rPr>
        <w:t xml:space="preserve">However, WFS </w:t>
      </w:r>
      <w:r w:rsidR="009F0FFD" w:rsidRPr="009A1394">
        <w:rPr>
          <w:lang w:val="en-CA"/>
        </w:rPr>
        <w:t>knew</w:t>
      </w:r>
      <w:r w:rsidRPr="009A1394">
        <w:rPr>
          <w:lang w:val="en-CA"/>
        </w:rPr>
        <w:t xml:space="preserve"> that CP </w:t>
      </w:r>
      <w:r w:rsidR="009F0FFD" w:rsidRPr="009A1394">
        <w:rPr>
          <w:lang w:val="en-CA"/>
        </w:rPr>
        <w:t>would have to</w:t>
      </w:r>
      <w:r w:rsidRPr="009A1394">
        <w:rPr>
          <w:lang w:val="en-CA"/>
        </w:rPr>
        <w:t xml:space="preserve"> “interswitch”, that is, entrust to other railway companies the movement of the tank cars over a portion of the route.</w:t>
      </w:r>
      <w:r w:rsidR="00257353" w:rsidRPr="009A1394">
        <w:rPr>
          <w:lang w:val="en-CA"/>
        </w:rPr>
        <w:t xml:space="preserve"> </w:t>
      </w:r>
      <w:r w:rsidRPr="009A1394">
        <w:rPr>
          <w:lang w:val="en-CA"/>
        </w:rPr>
        <w:t xml:space="preserve">This </w:t>
      </w:r>
      <w:r w:rsidR="009F0FFD" w:rsidRPr="009A1394">
        <w:rPr>
          <w:lang w:val="en-CA"/>
        </w:rPr>
        <w:t xml:space="preserve">was </w:t>
      </w:r>
      <w:r w:rsidRPr="009A1394">
        <w:rPr>
          <w:lang w:val="en-CA"/>
        </w:rPr>
        <w:t xml:space="preserve">because its network </w:t>
      </w:r>
      <w:r w:rsidR="009F0FFD" w:rsidRPr="009A1394">
        <w:rPr>
          <w:lang w:val="en-CA"/>
        </w:rPr>
        <w:t>did</w:t>
      </w:r>
      <w:r w:rsidRPr="009A1394">
        <w:rPr>
          <w:lang w:val="en-CA"/>
        </w:rPr>
        <w:t xml:space="preserve"> not extend all the way to the Irving refinery.</w:t>
      </w:r>
      <w:r w:rsidR="00257353" w:rsidRPr="009A1394">
        <w:rPr>
          <w:lang w:val="en-CA"/>
        </w:rPr>
        <w:t xml:space="preserve"> </w:t>
      </w:r>
      <w:r w:rsidRPr="009A1394">
        <w:rPr>
          <w:lang w:val="en-CA"/>
        </w:rPr>
        <w:t xml:space="preserve">To </w:t>
      </w:r>
      <w:r w:rsidR="003E32AD" w:rsidRPr="009A1394">
        <w:rPr>
          <w:lang w:val="en-CA"/>
        </w:rPr>
        <w:t xml:space="preserve">get </w:t>
      </w:r>
      <w:r w:rsidRPr="009A1394">
        <w:rPr>
          <w:lang w:val="en-CA"/>
        </w:rPr>
        <w:t xml:space="preserve">the </w:t>
      </w:r>
      <w:r w:rsidR="00363C53" w:rsidRPr="009A1394">
        <w:rPr>
          <w:lang w:val="en-CA"/>
        </w:rPr>
        <w:t>train</w:t>
      </w:r>
      <w:r w:rsidRPr="009A1394">
        <w:rPr>
          <w:lang w:val="en-CA"/>
        </w:rPr>
        <w:t xml:space="preserve"> to its point of destination from its classification yard in </w:t>
      </w:r>
      <w:r w:rsidRPr="009A1394">
        <w:rPr>
          <w:lang w:val="en-CA"/>
        </w:rPr>
        <w:lastRenderedPageBreak/>
        <w:t>Côte</w:t>
      </w:r>
      <w:r w:rsidR="00F862CF" w:rsidRPr="009A1394">
        <w:rPr>
          <w:lang w:val="en-CA"/>
        </w:rPr>
        <w:noBreakHyphen/>
      </w:r>
      <w:r w:rsidRPr="009A1394">
        <w:rPr>
          <w:lang w:val="en-CA"/>
        </w:rPr>
        <w:t>Saint</w:t>
      </w:r>
      <w:r w:rsidR="00F862CF" w:rsidRPr="009A1394">
        <w:rPr>
          <w:lang w:val="en-CA"/>
        </w:rPr>
        <w:noBreakHyphen/>
      </w:r>
      <w:r w:rsidRPr="009A1394">
        <w:rPr>
          <w:lang w:val="en-CA"/>
        </w:rPr>
        <w:t xml:space="preserve">Luc, CP </w:t>
      </w:r>
      <w:r w:rsidR="009F0FFD" w:rsidRPr="009A1394">
        <w:rPr>
          <w:lang w:val="en-CA"/>
        </w:rPr>
        <w:t>had to</w:t>
      </w:r>
      <w:r w:rsidRPr="009A1394">
        <w:rPr>
          <w:lang w:val="en-CA"/>
        </w:rPr>
        <w:t xml:space="preserve"> entrust it to three other successive carriers.</w:t>
      </w:r>
      <w:r w:rsidRPr="009A1394">
        <w:rPr>
          <w:rStyle w:val="Appelnotedebasdep"/>
          <w:lang w:val="en-CA"/>
        </w:rPr>
        <w:footnoteReference w:id="33"/>
      </w:r>
      <w:r w:rsidR="008161A3" w:rsidRPr="009A1394">
        <w:rPr>
          <w:lang w:val="en-CA"/>
        </w:rPr>
        <w:t xml:space="preserve"> </w:t>
      </w:r>
      <w:r w:rsidRPr="009A1394">
        <w:rPr>
          <w:lang w:val="en-CA"/>
        </w:rPr>
        <w:t>With respect to the first interswitch portion, that is, the one between its classification yard in Côte</w:t>
      </w:r>
      <w:r w:rsidR="00C81FFC" w:rsidRPr="009A1394">
        <w:rPr>
          <w:lang w:val="en-CA"/>
        </w:rPr>
        <w:noBreakHyphen/>
      </w:r>
      <w:r w:rsidRPr="009A1394">
        <w:rPr>
          <w:lang w:val="en-CA"/>
        </w:rPr>
        <w:t>Saint</w:t>
      </w:r>
      <w:r w:rsidR="00C81FFC" w:rsidRPr="009A1394">
        <w:rPr>
          <w:lang w:val="en-CA"/>
        </w:rPr>
        <w:noBreakHyphen/>
      </w:r>
      <w:r w:rsidRPr="009A1394">
        <w:rPr>
          <w:lang w:val="en-CA"/>
        </w:rPr>
        <w:t xml:space="preserve">Luc and New Brunswick, CP had two options: </w:t>
      </w:r>
      <w:r w:rsidR="007E6B57" w:rsidRPr="009A1394">
        <w:rPr>
          <w:lang w:val="en-CA"/>
        </w:rPr>
        <w:t xml:space="preserve">to </w:t>
      </w:r>
      <w:r w:rsidRPr="009A1394">
        <w:rPr>
          <w:lang w:val="en-CA"/>
        </w:rPr>
        <w:t>call upon the services of its princi</w:t>
      </w:r>
      <w:r w:rsidR="007E6B57" w:rsidRPr="009A1394">
        <w:rPr>
          <w:lang w:val="en-CA"/>
        </w:rPr>
        <w:t>pal</w:t>
      </w:r>
      <w:r w:rsidRPr="009A1394">
        <w:rPr>
          <w:lang w:val="en-CA"/>
        </w:rPr>
        <w:t xml:space="preserve"> competitor in Canada,</w:t>
      </w:r>
      <w:r w:rsidRPr="009A1394">
        <w:rPr>
          <w:vertAlign w:val="superscript"/>
          <w:lang w:val="en-CA"/>
        </w:rPr>
        <w:footnoteReference w:id="34"/>
      </w:r>
      <w:r w:rsidRPr="009A1394">
        <w:rPr>
          <w:lang w:val="en-CA"/>
        </w:rPr>
        <w:t xml:space="preserve"> Canadian National (“</w:t>
      </w:r>
      <w:r w:rsidRPr="009A1394">
        <w:rPr>
          <w:b/>
          <w:lang w:val="en-CA"/>
        </w:rPr>
        <w:t>CN</w:t>
      </w:r>
      <w:r w:rsidRPr="009A1394">
        <w:rPr>
          <w:lang w:val="en-CA"/>
        </w:rPr>
        <w:t xml:space="preserve">”), or </w:t>
      </w:r>
      <w:r w:rsidR="007E6B57" w:rsidRPr="009A1394">
        <w:rPr>
          <w:lang w:val="en-CA"/>
        </w:rPr>
        <w:t>upon</w:t>
      </w:r>
      <w:r w:rsidRPr="009A1394">
        <w:rPr>
          <w:lang w:val="en-CA"/>
        </w:rPr>
        <w:t xml:space="preserve"> those of MMA.</w:t>
      </w:r>
      <w:r w:rsidRPr="009A1394">
        <w:rPr>
          <w:vertAlign w:val="superscript"/>
          <w:lang w:val="en-CA"/>
        </w:rPr>
        <w:footnoteReference w:id="35"/>
      </w:r>
      <w:r w:rsidRPr="009A1394">
        <w:rPr>
          <w:lang w:val="en-CA"/>
        </w:rPr>
        <w:t xml:space="preserve"> By mutual agreement with WFS and Irving, the second option was chosen.</w:t>
      </w:r>
      <w:r w:rsidRPr="009A1394">
        <w:rPr>
          <w:vertAlign w:val="superscript"/>
          <w:lang w:val="en-CA"/>
        </w:rPr>
        <w:footnoteReference w:id="36"/>
      </w:r>
      <w:r w:rsidR="001F3043" w:rsidRPr="009A1394">
        <w:rPr>
          <w:lang w:val="en-CA"/>
        </w:rPr>
        <w:t xml:space="preserve"> </w:t>
      </w:r>
      <w:r w:rsidRPr="009A1394">
        <w:rPr>
          <w:lang w:val="en-CA"/>
        </w:rPr>
        <w:t>The MMA rai</w:t>
      </w:r>
      <w:r w:rsidR="009F0FFD" w:rsidRPr="009A1394">
        <w:rPr>
          <w:lang w:val="en-CA"/>
        </w:rPr>
        <w:t>lroad</w:t>
      </w:r>
      <w:r w:rsidRPr="009A1394">
        <w:rPr>
          <w:lang w:val="en-CA"/>
        </w:rPr>
        <w:t xml:space="preserve"> </w:t>
      </w:r>
      <w:r w:rsidR="009C16E0" w:rsidRPr="009A1394">
        <w:rPr>
          <w:lang w:val="en-CA"/>
        </w:rPr>
        <w:t xml:space="preserve">track </w:t>
      </w:r>
      <w:r w:rsidRPr="009A1394">
        <w:rPr>
          <w:lang w:val="en-CA"/>
        </w:rPr>
        <w:t>offered the shortest and most direct route from Montreal to New Brunswick.</w:t>
      </w:r>
      <w:r w:rsidRPr="009A1394">
        <w:rPr>
          <w:vertAlign w:val="superscript"/>
          <w:lang w:val="en-CA"/>
        </w:rPr>
        <w:footnoteReference w:id="37"/>
      </w:r>
      <w:r w:rsidR="006F3E47" w:rsidRPr="009A1394">
        <w:rPr>
          <w:lang w:val="en-CA"/>
        </w:rPr>
        <w:t xml:space="preserve"> </w:t>
      </w:r>
      <w:r w:rsidR="00574C09" w:rsidRPr="009A1394">
        <w:rPr>
          <w:lang w:val="en-CA"/>
        </w:rPr>
        <w:t>Also, Irving was already familiar with MMA because it was one of its regular clients.</w:t>
      </w:r>
      <w:r w:rsidR="006F3E47" w:rsidRPr="009A1394">
        <w:rPr>
          <w:lang w:val="en-CA"/>
        </w:rPr>
        <w:t xml:space="preserve"> </w:t>
      </w:r>
      <w:r w:rsidR="00574C09" w:rsidRPr="009A1394">
        <w:rPr>
          <w:rFonts w:cs="Arial"/>
          <w:lang w:val="en-CA"/>
        </w:rPr>
        <w:t>Indeed, MMA carrie</w:t>
      </w:r>
      <w:r w:rsidR="006A6C9C" w:rsidRPr="009A1394">
        <w:rPr>
          <w:rFonts w:cs="Arial"/>
          <w:lang w:val="en-CA"/>
        </w:rPr>
        <w:t>d</w:t>
      </w:r>
      <w:r w:rsidR="00574C09" w:rsidRPr="009A1394">
        <w:rPr>
          <w:rFonts w:cs="Arial"/>
          <w:lang w:val="en-CA"/>
        </w:rPr>
        <w:t xml:space="preserve"> oil and other </w:t>
      </w:r>
      <w:r w:rsidR="007E6B57" w:rsidRPr="009A1394">
        <w:rPr>
          <w:rFonts w:cs="Arial"/>
          <w:lang w:val="en-CA"/>
        </w:rPr>
        <w:t>hazardous</w:t>
      </w:r>
      <w:r w:rsidR="00574C09" w:rsidRPr="009A1394">
        <w:rPr>
          <w:rFonts w:cs="Arial"/>
          <w:lang w:val="en-CA"/>
        </w:rPr>
        <w:t xml:space="preserve"> products for Irving.</w:t>
      </w:r>
      <w:r w:rsidR="00574C09" w:rsidRPr="009A1394">
        <w:rPr>
          <w:rFonts w:cs="Arial"/>
          <w:color w:val="000000"/>
          <w:vertAlign w:val="superscript"/>
          <w:lang w:val="en-CA"/>
        </w:rPr>
        <w:footnoteReference w:id="38"/>
      </w:r>
    </w:p>
    <w:p w14:paraId="3B7D358B" w14:textId="04D01EC2" w:rsidR="00CC66B8" w:rsidRPr="009A1394" w:rsidRDefault="00574C09" w:rsidP="003C6356">
      <w:pPr>
        <w:pStyle w:val="Paragraphe"/>
        <w:numPr>
          <w:ilvl w:val="0"/>
          <w:numId w:val="1"/>
        </w:numPr>
        <w:rPr>
          <w:lang w:val="en-CA"/>
        </w:rPr>
      </w:pPr>
      <w:r w:rsidRPr="009A1394">
        <w:rPr>
          <w:rFonts w:cs="Arial"/>
          <w:lang w:val="en-CA"/>
        </w:rPr>
        <w:t xml:space="preserve">The 78 tank </w:t>
      </w:r>
      <w:r w:rsidR="00426A8A" w:rsidRPr="009A1394">
        <w:rPr>
          <w:rFonts w:cs="Arial"/>
          <w:lang w:val="en-CA"/>
        </w:rPr>
        <w:t>cars</w:t>
      </w:r>
      <w:r w:rsidRPr="009A1394">
        <w:rPr>
          <w:rFonts w:cs="Arial"/>
          <w:lang w:val="en-CA"/>
        </w:rPr>
        <w:t xml:space="preserve"> that initially made up this </w:t>
      </w:r>
      <w:r w:rsidR="00363C53" w:rsidRPr="009A1394">
        <w:rPr>
          <w:rFonts w:cs="Arial"/>
          <w:lang w:val="en-CA"/>
        </w:rPr>
        <w:t>train</w:t>
      </w:r>
      <w:r w:rsidRPr="009A1394">
        <w:rPr>
          <w:rFonts w:cs="Arial"/>
          <w:lang w:val="en-CA"/>
        </w:rPr>
        <w:t xml:space="preserve"> were filled with crude oil at the </w:t>
      </w:r>
      <w:r w:rsidR="00364CE1" w:rsidRPr="009A1394">
        <w:rPr>
          <w:rFonts w:cs="Arial"/>
          <w:lang w:val="en-CA"/>
        </w:rPr>
        <w:t xml:space="preserve">transload centre located in New Town, North Dakota, </w:t>
      </w:r>
      <w:r w:rsidR="00535149" w:rsidRPr="009A1394">
        <w:rPr>
          <w:rFonts w:cs="Arial"/>
          <w:lang w:val="en-CA"/>
        </w:rPr>
        <w:t>and belonging to</w:t>
      </w:r>
      <w:r w:rsidR="00364CE1" w:rsidRPr="009A1394">
        <w:rPr>
          <w:rFonts w:cs="Arial"/>
          <w:lang w:val="en-CA"/>
        </w:rPr>
        <w:t xml:space="preserve"> </w:t>
      </w:r>
      <w:r w:rsidRPr="009A1394">
        <w:rPr>
          <w:rFonts w:cs="Arial"/>
          <w:lang w:val="en-CA"/>
        </w:rPr>
        <w:t>Strobel Straroska Transfer (</w:t>
      </w:r>
      <w:r w:rsidR="00426A8A" w:rsidRPr="009A1394">
        <w:rPr>
          <w:rFonts w:cs="Arial"/>
          <w:lang w:val="en-CA"/>
        </w:rPr>
        <w:t>“</w:t>
      </w:r>
      <w:r w:rsidRPr="009A1394">
        <w:rPr>
          <w:rFonts w:cs="Arial"/>
          <w:b/>
          <w:bCs/>
          <w:lang w:val="en-CA"/>
        </w:rPr>
        <w:t>SST</w:t>
      </w:r>
      <w:r w:rsidRPr="009A1394">
        <w:rPr>
          <w:rFonts w:cs="Arial"/>
          <w:lang w:val="en-CA"/>
        </w:rPr>
        <w:t>”)</w:t>
      </w:r>
      <w:r w:rsidR="008269E4" w:rsidRPr="009A1394">
        <w:rPr>
          <w:rFonts w:cs="Arial"/>
          <w:lang w:val="en-CA"/>
        </w:rPr>
        <w:t>,</w:t>
      </w:r>
      <w:r w:rsidRPr="009A1394">
        <w:rPr>
          <w:rFonts w:cs="Arial"/>
          <w:lang w:val="en-CA"/>
        </w:rPr>
        <w:t xml:space="preserve"> </w:t>
      </w:r>
      <w:r w:rsidR="008269E4" w:rsidRPr="009A1394">
        <w:rPr>
          <w:rFonts w:cs="Arial"/>
          <w:lang w:val="en-CA"/>
        </w:rPr>
        <w:t>a WFS subsidiary</w:t>
      </w:r>
      <w:r w:rsidR="00364CE1" w:rsidRPr="009A1394">
        <w:rPr>
          <w:rFonts w:cs="Arial"/>
          <w:lang w:val="en-CA"/>
        </w:rPr>
        <w:t>.</w:t>
      </w:r>
      <w:r w:rsidR="008269E4" w:rsidRPr="009A1394">
        <w:rPr>
          <w:rFonts w:cs="Arial"/>
          <w:color w:val="000000"/>
          <w:vertAlign w:val="superscript"/>
          <w:lang w:val="en-CA"/>
        </w:rPr>
        <w:footnoteReference w:id="39"/>
      </w:r>
      <w:r w:rsidR="008161A3" w:rsidRPr="009A1394">
        <w:rPr>
          <w:lang w:val="en-CA"/>
        </w:rPr>
        <w:t xml:space="preserve"> </w:t>
      </w:r>
      <w:r w:rsidRPr="009A1394">
        <w:rPr>
          <w:lang w:val="en-CA"/>
        </w:rPr>
        <w:t xml:space="preserve">That oil was </w:t>
      </w:r>
      <w:r w:rsidR="008269E4" w:rsidRPr="009A1394">
        <w:rPr>
          <w:lang w:val="en-CA"/>
        </w:rPr>
        <w:t>transfilled</w:t>
      </w:r>
      <w:r w:rsidRPr="009A1394">
        <w:rPr>
          <w:lang w:val="en-CA"/>
        </w:rPr>
        <w:t xml:space="preserve"> into each of the tank cars directly from the tank trucks that</w:t>
      </w:r>
      <w:r w:rsidR="00EB7E04" w:rsidRPr="009A1394">
        <w:rPr>
          <w:lang w:val="en-CA"/>
        </w:rPr>
        <w:t xml:space="preserve"> had</w:t>
      </w:r>
      <w:r w:rsidRPr="009A1394">
        <w:rPr>
          <w:lang w:val="en-CA"/>
        </w:rPr>
        <w:t xml:space="preserve"> </w:t>
      </w:r>
      <w:r w:rsidR="008269E4" w:rsidRPr="009A1394">
        <w:rPr>
          <w:lang w:val="en-CA"/>
        </w:rPr>
        <w:t>carried</w:t>
      </w:r>
      <w:r w:rsidR="00D30D21" w:rsidRPr="009A1394">
        <w:rPr>
          <w:lang w:val="en-CA"/>
        </w:rPr>
        <w:t xml:space="preserve"> </w:t>
      </w:r>
      <w:r w:rsidRPr="009A1394">
        <w:rPr>
          <w:lang w:val="en-CA"/>
        </w:rPr>
        <w:t>it there.</w:t>
      </w:r>
      <w:r w:rsidRPr="009A1394">
        <w:rPr>
          <w:rFonts w:cs="Arial"/>
          <w:color w:val="000000"/>
          <w:vertAlign w:val="superscript"/>
          <w:lang w:val="en-CA"/>
        </w:rPr>
        <w:footnoteReference w:id="40"/>
      </w:r>
    </w:p>
    <w:p w14:paraId="0C2E046B" w14:textId="25945B90" w:rsidR="00CB58A0" w:rsidRPr="009A1394" w:rsidRDefault="00574C09" w:rsidP="003C6356">
      <w:pPr>
        <w:pStyle w:val="Paragraphe"/>
        <w:numPr>
          <w:ilvl w:val="0"/>
          <w:numId w:val="1"/>
        </w:numPr>
        <w:rPr>
          <w:lang w:val="en-CA"/>
        </w:rPr>
      </w:pPr>
      <w:r w:rsidRPr="009A1394">
        <w:rPr>
          <w:lang w:val="en-CA"/>
        </w:rPr>
        <w:t xml:space="preserve">The crude oil </w:t>
      </w:r>
      <w:r w:rsidR="008269E4" w:rsidRPr="009A1394">
        <w:rPr>
          <w:lang w:val="en-CA"/>
        </w:rPr>
        <w:t>came</w:t>
      </w:r>
      <w:r w:rsidRPr="009A1394">
        <w:rPr>
          <w:lang w:val="en-CA"/>
        </w:rPr>
        <w:t xml:space="preserve"> from the Bakken </w:t>
      </w:r>
      <w:r w:rsidR="00676A6B" w:rsidRPr="009A1394">
        <w:rPr>
          <w:lang w:val="en-CA"/>
        </w:rPr>
        <w:t>F</w:t>
      </w:r>
      <w:r w:rsidRPr="009A1394">
        <w:rPr>
          <w:lang w:val="en-CA"/>
        </w:rPr>
        <w:t>ormation.</w:t>
      </w:r>
      <w:r w:rsidRPr="009A1394">
        <w:rPr>
          <w:vertAlign w:val="superscript"/>
          <w:lang w:val="en-CA"/>
        </w:rPr>
        <w:footnoteReference w:id="41"/>
      </w:r>
      <w:r w:rsidR="00CC66B8" w:rsidRPr="009A1394">
        <w:rPr>
          <w:lang w:val="en-CA"/>
        </w:rPr>
        <w:t xml:space="preserve"> </w:t>
      </w:r>
      <w:r w:rsidR="008269E4" w:rsidRPr="009A1394">
        <w:rPr>
          <w:lang w:val="en-CA"/>
        </w:rPr>
        <w:t>This oil</w:t>
      </w:r>
      <w:r w:rsidRPr="009A1394">
        <w:rPr>
          <w:lang w:val="en-CA"/>
        </w:rPr>
        <w:t xml:space="preserve"> is extracted from the ground, like shale gas.</w:t>
      </w:r>
      <w:r w:rsidRPr="009A1394">
        <w:rPr>
          <w:vertAlign w:val="superscript"/>
          <w:lang w:val="en-CA"/>
        </w:rPr>
        <w:footnoteReference w:id="42"/>
      </w:r>
      <w:r w:rsidR="00CC66B8" w:rsidRPr="009A1394">
        <w:rPr>
          <w:lang w:val="en-CA"/>
        </w:rPr>
        <w:t xml:space="preserve"> </w:t>
      </w:r>
      <w:r w:rsidRPr="009A1394">
        <w:rPr>
          <w:lang w:val="en-CA"/>
        </w:rPr>
        <w:t xml:space="preserve">It is characterized as light, contrary to oil from Western Canada or the bituminous sands area, which </w:t>
      </w:r>
      <w:r w:rsidR="004D12C8" w:rsidRPr="009A1394">
        <w:rPr>
          <w:lang w:val="en-CA"/>
        </w:rPr>
        <w:t xml:space="preserve">is </w:t>
      </w:r>
      <w:r w:rsidRPr="009A1394">
        <w:rPr>
          <w:lang w:val="en-CA"/>
        </w:rPr>
        <w:t>considered heavy.</w:t>
      </w:r>
      <w:r w:rsidRPr="009A1394">
        <w:rPr>
          <w:vertAlign w:val="superscript"/>
          <w:lang w:val="en-CA"/>
        </w:rPr>
        <w:footnoteReference w:id="43"/>
      </w:r>
      <w:r w:rsidR="00CC66B8" w:rsidRPr="009A1394">
        <w:rPr>
          <w:lang w:val="en-CA"/>
        </w:rPr>
        <w:t xml:space="preserve"> </w:t>
      </w:r>
      <w:r w:rsidR="00363C53" w:rsidRPr="009A1394">
        <w:rPr>
          <w:lang w:val="en-CA"/>
        </w:rPr>
        <w:t xml:space="preserve">The bill of lading identifies it as </w:t>
      </w:r>
      <w:r w:rsidR="00426A8A" w:rsidRPr="009A1394">
        <w:rPr>
          <w:lang w:val="en-CA"/>
        </w:rPr>
        <w:t>[</w:t>
      </w:r>
      <w:r w:rsidR="00426A8A" w:rsidRPr="009A1394">
        <w:rPr>
          <w:smallCaps/>
          <w:lang w:val="en-CA"/>
        </w:rPr>
        <w:t>translation</w:t>
      </w:r>
      <w:r w:rsidR="00426A8A" w:rsidRPr="009A1394">
        <w:rPr>
          <w:lang w:val="en-CA"/>
        </w:rPr>
        <w:t xml:space="preserve">] </w:t>
      </w:r>
      <w:r w:rsidR="00363C53" w:rsidRPr="009A1394">
        <w:rPr>
          <w:lang w:val="en-CA"/>
        </w:rPr>
        <w:t>“</w:t>
      </w:r>
      <w:r w:rsidR="008269E4" w:rsidRPr="009A1394">
        <w:rPr>
          <w:lang w:val="en-CA"/>
        </w:rPr>
        <w:t>C</w:t>
      </w:r>
      <w:r w:rsidR="00363C53" w:rsidRPr="009A1394">
        <w:rPr>
          <w:lang w:val="en-CA"/>
        </w:rPr>
        <w:t xml:space="preserve">lass </w:t>
      </w:r>
      <w:r w:rsidR="00426A8A" w:rsidRPr="009A1394">
        <w:rPr>
          <w:lang w:val="en-CA"/>
        </w:rPr>
        <w:t>3</w:t>
      </w:r>
      <w:r w:rsidR="00363C53" w:rsidRPr="009A1394">
        <w:rPr>
          <w:lang w:val="en-CA"/>
        </w:rPr>
        <w:t xml:space="preserve"> </w:t>
      </w:r>
      <w:r w:rsidR="008269E4" w:rsidRPr="009A1394">
        <w:rPr>
          <w:lang w:val="en-CA"/>
        </w:rPr>
        <w:t>C</w:t>
      </w:r>
      <w:r w:rsidR="00363C53" w:rsidRPr="009A1394">
        <w:rPr>
          <w:lang w:val="en-CA"/>
        </w:rPr>
        <w:t xml:space="preserve">rude </w:t>
      </w:r>
      <w:r w:rsidR="008269E4" w:rsidRPr="009A1394">
        <w:rPr>
          <w:lang w:val="en-CA"/>
        </w:rPr>
        <w:t>O</w:t>
      </w:r>
      <w:r w:rsidR="00363C53" w:rsidRPr="009A1394">
        <w:rPr>
          <w:lang w:val="en-CA"/>
        </w:rPr>
        <w:t xml:space="preserve">il and </w:t>
      </w:r>
      <w:r w:rsidR="00D30D21" w:rsidRPr="009A1394">
        <w:rPr>
          <w:lang w:val="en-CA"/>
        </w:rPr>
        <w:t xml:space="preserve">Packing </w:t>
      </w:r>
      <w:r w:rsidR="009414E0" w:rsidRPr="009A1394">
        <w:rPr>
          <w:lang w:val="en-CA"/>
        </w:rPr>
        <w:t>G</w:t>
      </w:r>
      <w:r w:rsidR="00363C53" w:rsidRPr="009A1394">
        <w:rPr>
          <w:lang w:val="en-CA"/>
        </w:rPr>
        <w:t>roup III”.</w:t>
      </w:r>
      <w:r w:rsidR="00363C53" w:rsidRPr="009A1394">
        <w:rPr>
          <w:vertAlign w:val="superscript"/>
          <w:lang w:val="en-CA"/>
        </w:rPr>
        <w:footnoteReference w:id="44"/>
      </w:r>
      <w:r w:rsidR="00363C53" w:rsidRPr="009A1394">
        <w:rPr>
          <w:lang w:val="en-CA"/>
        </w:rPr>
        <w:t xml:space="preserve"> </w:t>
      </w:r>
      <w:r w:rsidR="00D30D21" w:rsidRPr="009A1394">
        <w:rPr>
          <w:lang w:val="en-CA"/>
        </w:rPr>
        <w:t xml:space="preserve">It was given this </w:t>
      </w:r>
      <w:r w:rsidR="00F8126C" w:rsidRPr="009A1394">
        <w:rPr>
          <w:lang w:val="en-CA"/>
        </w:rPr>
        <w:t xml:space="preserve">classification by </w:t>
      </w:r>
      <w:r w:rsidR="00363C53" w:rsidRPr="009A1394">
        <w:rPr>
          <w:lang w:val="en-CA"/>
        </w:rPr>
        <w:t>WFS</w:t>
      </w:r>
      <w:r w:rsidR="00F8126C" w:rsidRPr="009A1394">
        <w:rPr>
          <w:lang w:val="en-CA"/>
        </w:rPr>
        <w:t xml:space="preserve">, who was solely </w:t>
      </w:r>
      <w:r w:rsidR="00363C53" w:rsidRPr="009A1394">
        <w:rPr>
          <w:lang w:val="en-CA"/>
        </w:rPr>
        <w:t xml:space="preserve">responsible for </w:t>
      </w:r>
      <w:r w:rsidR="00426A8A" w:rsidRPr="009A1394">
        <w:rPr>
          <w:lang w:val="en-CA"/>
        </w:rPr>
        <w:t>doing so</w:t>
      </w:r>
      <w:r w:rsidR="00363C53" w:rsidRPr="009A1394">
        <w:rPr>
          <w:lang w:val="en-CA"/>
        </w:rPr>
        <w:t>.</w:t>
      </w:r>
      <w:r w:rsidR="00363C53" w:rsidRPr="009A1394">
        <w:rPr>
          <w:vertAlign w:val="superscript"/>
          <w:lang w:val="en-CA"/>
        </w:rPr>
        <w:footnoteReference w:id="45"/>
      </w:r>
      <w:r w:rsidR="002B4D6D" w:rsidRPr="009A1394">
        <w:rPr>
          <w:lang w:val="en-CA"/>
        </w:rPr>
        <w:t xml:space="preserve"> </w:t>
      </w:r>
      <w:r w:rsidR="00363C53" w:rsidRPr="009A1394">
        <w:rPr>
          <w:lang w:val="en-CA"/>
        </w:rPr>
        <w:t xml:space="preserve">WFS had to determine </w:t>
      </w:r>
      <w:r w:rsidR="00426A8A" w:rsidRPr="009A1394">
        <w:rPr>
          <w:lang w:val="en-CA"/>
        </w:rPr>
        <w:t>the classification</w:t>
      </w:r>
      <w:r w:rsidR="00363C53" w:rsidRPr="009A1394">
        <w:rPr>
          <w:lang w:val="en-CA"/>
        </w:rPr>
        <w:t xml:space="preserve"> according to the </w:t>
      </w:r>
      <w:r w:rsidR="00426A8A" w:rsidRPr="009A1394">
        <w:rPr>
          <w:lang w:val="en-CA"/>
        </w:rPr>
        <w:t xml:space="preserve">level of dangerousness of the </w:t>
      </w:r>
      <w:r w:rsidR="00363C53" w:rsidRPr="009A1394">
        <w:rPr>
          <w:lang w:val="en-CA"/>
        </w:rPr>
        <w:t>crude oil in question, which is measured by testing its boiling point and its flash point.</w:t>
      </w:r>
    </w:p>
    <w:p w14:paraId="4D7BDABB" w14:textId="0DDC4FD9" w:rsidR="00CC66B8" w:rsidRPr="009A1394" w:rsidRDefault="00F8126C" w:rsidP="003C6356">
      <w:pPr>
        <w:pStyle w:val="Paragraphe"/>
        <w:numPr>
          <w:ilvl w:val="0"/>
          <w:numId w:val="1"/>
        </w:numPr>
        <w:rPr>
          <w:color w:val="000000" w:themeColor="text1"/>
          <w:lang w:val="en-CA"/>
        </w:rPr>
      </w:pPr>
      <w:r w:rsidRPr="009A1394">
        <w:rPr>
          <w:color w:val="000000" w:themeColor="text1"/>
          <w:lang w:val="en-CA"/>
        </w:rPr>
        <w:t>Depending on</w:t>
      </w:r>
      <w:r w:rsidR="00363C53" w:rsidRPr="009A1394">
        <w:rPr>
          <w:color w:val="000000" w:themeColor="text1"/>
          <w:lang w:val="en-CA"/>
        </w:rPr>
        <w:t xml:space="preserve"> how dangerous it is, crude oil </w:t>
      </w:r>
      <w:r w:rsidR="0085671C" w:rsidRPr="009A1394">
        <w:rPr>
          <w:color w:val="000000" w:themeColor="text1"/>
          <w:lang w:val="en-CA"/>
        </w:rPr>
        <w:t>can</w:t>
      </w:r>
      <w:r w:rsidR="00363C53" w:rsidRPr="009A1394">
        <w:rPr>
          <w:color w:val="000000" w:themeColor="text1"/>
          <w:lang w:val="en-CA"/>
        </w:rPr>
        <w:t xml:space="preserve"> be classified into three packing groups, from PG-I, </w:t>
      </w:r>
      <w:r w:rsidR="00D747AA" w:rsidRPr="009A1394">
        <w:rPr>
          <w:color w:val="000000" w:themeColor="text1"/>
          <w:lang w:val="en-CA"/>
        </w:rPr>
        <w:t xml:space="preserve">being </w:t>
      </w:r>
      <w:r w:rsidR="00363C53" w:rsidRPr="009A1394">
        <w:rPr>
          <w:color w:val="000000" w:themeColor="text1"/>
          <w:lang w:val="en-CA"/>
        </w:rPr>
        <w:t>the most dangerous, to PG-III, the least.</w:t>
      </w:r>
      <w:r w:rsidR="00363C53" w:rsidRPr="009A1394">
        <w:rPr>
          <w:rStyle w:val="Appelnotedebasdep"/>
          <w:color w:val="000000" w:themeColor="text1"/>
          <w:lang w:val="en-CA"/>
        </w:rPr>
        <w:footnoteReference w:id="46"/>
      </w:r>
      <w:r w:rsidR="00780C8F" w:rsidRPr="009A1394">
        <w:rPr>
          <w:color w:val="000000" w:themeColor="text1"/>
          <w:lang w:val="en-CA"/>
        </w:rPr>
        <w:t xml:space="preserve"> </w:t>
      </w:r>
      <w:r w:rsidR="00363C53" w:rsidRPr="009A1394">
        <w:rPr>
          <w:lang w:val="en-CA"/>
        </w:rPr>
        <w:t xml:space="preserve">It is not contested that the classification given by WFS </w:t>
      </w:r>
      <w:r w:rsidR="0085671C" w:rsidRPr="009A1394">
        <w:rPr>
          <w:lang w:val="en-CA"/>
        </w:rPr>
        <w:t>was</w:t>
      </w:r>
      <w:r w:rsidR="00363C53" w:rsidRPr="009A1394">
        <w:rPr>
          <w:lang w:val="en-CA"/>
        </w:rPr>
        <w:t xml:space="preserve"> </w:t>
      </w:r>
      <w:r w:rsidRPr="009A1394">
        <w:rPr>
          <w:lang w:val="en-CA"/>
        </w:rPr>
        <w:t>improper</w:t>
      </w:r>
      <w:r w:rsidR="00363C53" w:rsidRPr="009A1394">
        <w:rPr>
          <w:lang w:val="en-CA"/>
        </w:rPr>
        <w:t>.</w:t>
      </w:r>
      <w:r w:rsidR="008161A3" w:rsidRPr="009A1394">
        <w:rPr>
          <w:lang w:val="en-CA"/>
        </w:rPr>
        <w:t xml:space="preserve"> </w:t>
      </w:r>
      <w:r w:rsidR="00363C53" w:rsidRPr="009A1394">
        <w:rPr>
          <w:lang w:val="en-CA"/>
        </w:rPr>
        <w:t xml:space="preserve">The bill </w:t>
      </w:r>
      <w:r w:rsidR="00D30D21" w:rsidRPr="009A1394">
        <w:rPr>
          <w:lang w:val="en-CA"/>
        </w:rPr>
        <w:t xml:space="preserve">of lading </w:t>
      </w:r>
      <w:r w:rsidR="00363C53" w:rsidRPr="009A1394">
        <w:rPr>
          <w:lang w:val="en-CA"/>
        </w:rPr>
        <w:t xml:space="preserve">should instead have described the cargo as </w:t>
      </w:r>
      <w:r w:rsidRPr="009A1394">
        <w:rPr>
          <w:lang w:val="en-CA"/>
        </w:rPr>
        <w:t>[</w:t>
      </w:r>
      <w:r w:rsidRPr="009A1394">
        <w:rPr>
          <w:smallCaps/>
          <w:lang w:val="en-CA"/>
        </w:rPr>
        <w:t>translation</w:t>
      </w:r>
      <w:r w:rsidRPr="009A1394">
        <w:rPr>
          <w:lang w:val="en-CA"/>
        </w:rPr>
        <w:t xml:space="preserve">] </w:t>
      </w:r>
      <w:r w:rsidR="00363C53" w:rsidRPr="009A1394">
        <w:rPr>
          <w:lang w:val="en-CA"/>
        </w:rPr>
        <w:t xml:space="preserve">“Class 3 </w:t>
      </w:r>
      <w:r w:rsidR="0085671C" w:rsidRPr="009A1394">
        <w:rPr>
          <w:lang w:val="en-CA"/>
        </w:rPr>
        <w:t>Petroleum</w:t>
      </w:r>
      <w:r w:rsidR="00363C53" w:rsidRPr="009A1394">
        <w:rPr>
          <w:lang w:val="en-CA"/>
        </w:rPr>
        <w:t xml:space="preserve"> </w:t>
      </w:r>
      <w:r w:rsidR="0085671C" w:rsidRPr="009A1394">
        <w:rPr>
          <w:lang w:val="en-CA"/>
        </w:rPr>
        <w:t>P</w:t>
      </w:r>
      <w:r w:rsidR="00363C53" w:rsidRPr="009A1394">
        <w:rPr>
          <w:lang w:val="en-CA"/>
        </w:rPr>
        <w:t xml:space="preserve">roduct, Packing </w:t>
      </w:r>
      <w:r w:rsidR="0085671C" w:rsidRPr="009A1394">
        <w:rPr>
          <w:lang w:val="en-CA"/>
        </w:rPr>
        <w:t>G</w:t>
      </w:r>
      <w:r w:rsidR="00363C53" w:rsidRPr="009A1394">
        <w:rPr>
          <w:lang w:val="en-CA"/>
        </w:rPr>
        <w:t xml:space="preserve">roup II or I </w:t>
      </w:r>
      <w:r w:rsidR="00363C53" w:rsidRPr="009A1394">
        <w:rPr>
          <w:lang w:val="en-CA"/>
        </w:rPr>
        <w:lastRenderedPageBreak/>
        <w:t>(Class 3, PG-II or PG-1)”.</w:t>
      </w:r>
      <w:r w:rsidR="00363C53" w:rsidRPr="009A1394">
        <w:rPr>
          <w:vertAlign w:val="superscript"/>
          <w:lang w:val="en-CA"/>
        </w:rPr>
        <w:footnoteReference w:id="47"/>
      </w:r>
      <w:r w:rsidR="008161A3" w:rsidRPr="009A1394">
        <w:rPr>
          <w:lang w:val="en-CA"/>
        </w:rPr>
        <w:t xml:space="preserve"> </w:t>
      </w:r>
      <w:r w:rsidR="00363C53" w:rsidRPr="009A1394">
        <w:rPr>
          <w:color w:val="000000" w:themeColor="text1"/>
          <w:lang w:val="en-CA"/>
        </w:rPr>
        <w:t xml:space="preserve">That said, regardless of whether the packing group is I, II, or III, the </w:t>
      </w:r>
      <w:r w:rsidR="00F33294" w:rsidRPr="009A1394">
        <w:rPr>
          <w:color w:val="000000" w:themeColor="text1"/>
          <w:lang w:val="en-CA"/>
        </w:rPr>
        <w:t xml:space="preserve">wording </w:t>
      </w:r>
      <w:r w:rsidR="00D30D21" w:rsidRPr="009A1394">
        <w:rPr>
          <w:color w:val="000000" w:themeColor="text1"/>
          <w:lang w:val="en-CA"/>
        </w:rPr>
        <w:t xml:space="preserve">on </w:t>
      </w:r>
      <w:r w:rsidR="00363C53" w:rsidRPr="009A1394">
        <w:rPr>
          <w:color w:val="000000" w:themeColor="text1"/>
          <w:lang w:val="en-CA"/>
        </w:rPr>
        <w:t xml:space="preserve">the </w:t>
      </w:r>
      <w:r w:rsidR="0085671C" w:rsidRPr="009A1394">
        <w:rPr>
          <w:color w:val="000000" w:themeColor="text1"/>
          <w:lang w:val="en-CA"/>
        </w:rPr>
        <w:t>placard</w:t>
      </w:r>
      <w:r w:rsidR="00363C53" w:rsidRPr="009A1394">
        <w:rPr>
          <w:color w:val="000000" w:themeColor="text1"/>
          <w:lang w:val="en-CA"/>
        </w:rPr>
        <w:t xml:space="preserve"> </w:t>
      </w:r>
      <w:r w:rsidR="00D747AA" w:rsidRPr="009A1394">
        <w:rPr>
          <w:color w:val="000000" w:themeColor="text1"/>
          <w:lang w:val="en-CA"/>
        </w:rPr>
        <w:t xml:space="preserve">affixed </w:t>
      </w:r>
      <w:r w:rsidR="00363C53" w:rsidRPr="009A1394">
        <w:rPr>
          <w:color w:val="000000" w:themeColor="text1"/>
          <w:lang w:val="en-CA"/>
        </w:rPr>
        <w:t xml:space="preserve">on each of the tank cars </w:t>
      </w:r>
      <w:r w:rsidR="00D30D21" w:rsidRPr="009A1394">
        <w:rPr>
          <w:color w:val="000000" w:themeColor="text1"/>
          <w:lang w:val="en-CA"/>
        </w:rPr>
        <w:t xml:space="preserve">is </w:t>
      </w:r>
      <w:r w:rsidR="00363C53" w:rsidRPr="009A1394">
        <w:rPr>
          <w:color w:val="000000" w:themeColor="text1"/>
          <w:lang w:val="en-CA"/>
        </w:rPr>
        <w:t>the same.</w:t>
      </w:r>
      <w:r w:rsidR="00363C53" w:rsidRPr="009A1394">
        <w:rPr>
          <w:vertAlign w:val="superscript"/>
          <w:lang w:val="en-CA"/>
        </w:rPr>
        <w:footnoteReference w:id="48"/>
      </w:r>
    </w:p>
    <w:p w14:paraId="23830B7B" w14:textId="781DED6B" w:rsidR="00CC66B8" w:rsidRPr="009A1394" w:rsidRDefault="00363C53" w:rsidP="003C6356">
      <w:pPr>
        <w:pStyle w:val="Paragraphe"/>
        <w:numPr>
          <w:ilvl w:val="0"/>
          <w:numId w:val="1"/>
        </w:numPr>
        <w:rPr>
          <w:lang w:val="en-CA"/>
        </w:rPr>
      </w:pPr>
      <w:r w:rsidRPr="009A1394">
        <w:rPr>
          <w:lang w:val="en-CA"/>
        </w:rPr>
        <w:t xml:space="preserve">On June 30, 2013, the train left the SST transload centre and </w:t>
      </w:r>
      <w:r w:rsidR="007C7019" w:rsidRPr="009A1394">
        <w:rPr>
          <w:lang w:val="en-CA"/>
        </w:rPr>
        <w:t>head</w:t>
      </w:r>
      <w:r w:rsidR="00BD622D" w:rsidRPr="009A1394">
        <w:rPr>
          <w:lang w:val="en-CA"/>
        </w:rPr>
        <w:t>ed</w:t>
      </w:r>
      <w:r w:rsidR="007C7019" w:rsidRPr="009A1394">
        <w:rPr>
          <w:lang w:val="en-CA"/>
        </w:rPr>
        <w:t xml:space="preserve"> for</w:t>
      </w:r>
      <w:r w:rsidRPr="009A1394">
        <w:rPr>
          <w:lang w:val="en-CA"/>
        </w:rPr>
        <w:t xml:space="preserve"> Minneapolis, then</w:t>
      </w:r>
      <w:r w:rsidR="00BD622D" w:rsidRPr="009A1394">
        <w:rPr>
          <w:lang w:val="en-CA"/>
        </w:rPr>
        <w:t xml:space="preserve"> for</w:t>
      </w:r>
      <w:r w:rsidRPr="009A1394">
        <w:rPr>
          <w:lang w:val="en-CA"/>
        </w:rPr>
        <w:t xml:space="preserve"> Milwaukee, Chicago, and Detroit.</w:t>
      </w:r>
      <w:r w:rsidR="008161A3" w:rsidRPr="009A1394">
        <w:rPr>
          <w:lang w:val="en-CA"/>
        </w:rPr>
        <w:t xml:space="preserve"> </w:t>
      </w:r>
      <w:r w:rsidRPr="009A1394">
        <w:rPr>
          <w:lang w:val="en-CA"/>
        </w:rPr>
        <w:t>On the way, a tank car was removed because of a mechanical defect.</w:t>
      </w:r>
      <w:r w:rsidR="008161A3" w:rsidRPr="009A1394">
        <w:rPr>
          <w:lang w:val="en-CA"/>
        </w:rPr>
        <w:t xml:space="preserve"> </w:t>
      </w:r>
      <w:r w:rsidRPr="009A1394">
        <w:rPr>
          <w:lang w:val="en-CA"/>
        </w:rPr>
        <w:t>The train crossed the Canadian border at Windsor, Ontario, to go on to Toronto.</w:t>
      </w:r>
      <w:r w:rsidR="008161A3" w:rsidRPr="009A1394">
        <w:rPr>
          <w:lang w:val="en-CA"/>
        </w:rPr>
        <w:t xml:space="preserve"> </w:t>
      </w:r>
      <w:r w:rsidRPr="009A1394">
        <w:rPr>
          <w:lang w:val="en-CA"/>
        </w:rPr>
        <w:t xml:space="preserve">Forty-three cars containing other types of </w:t>
      </w:r>
      <w:r w:rsidR="00BD622D" w:rsidRPr="009A1394">
        <w:rPr>
          <w:lang w:val="en-CA"/>
        </w:rPr>
        <w:t>freight</w:t>
      </w:r>
      <w:r w:rsidRPr="009A1394">
        <w:rPr>
          <w:lang w:val="en-CA"/>
        </w:rPr>
        <w:t xml:space="preserve"> were added to now form a </w:t>
      </w:r>
      <w:r w:rsidR="00F33294" w:rsidRPr="009A1394">
        <w:rPr>
          <w:lang w:val="en-CA"/>
        </w:rPr>
        <w:t>[</w:t>
      </w:r>
      <w:r w:rsidR="00F33294" w:rsidRPr="009A1394">
        <w:rPr>
          <w:smallCaps/>
          <w:lang w:val="en-CA"/>
        </w:rPr>
        <w:t>translation</w:t>
      </w:r>
      <w:r w:rsidR="00F33294" w:rsidRPr="009A1394">
        <w:rPr>
          <w:lang w:val="en-CA"/>
        </w:rPr>
        <w:t xml:space="preserve">] </w:t>
      </w:r>
      <w:r w:rsidRPr="009A1394">
        <w:rPr>
          <w:lang w:val="en-CA"/>
        </w:rPr>
        <w:t>“manifest train” pulled by two locomotives.</w:t>
      </w:r>
      <w:r w:rsidR="008161A3" w:rsidRPr="009A1394">
        <w:rPr>
          <w:lang w:val="en-CA"/>
        </w:rPr>
        <w:t xml:space="preserve"> </w:t>
      </w:r>
      <w:r w:rsidRPr="009A1394">
        <w:rPr>
          <w:lang w:val="en-CA"/>
        </w:rPr>
        <w:t>The train then went on to Montreal, stopping at the CP classification yard located in Côte</w:t>
      </w:r>
      <w:r w:rsidR="0053521E" w:rsidRPr="009A1394">
        <w:rPr>
          <w:lang w:val="en-CA"/>
        </w:rPr>
        <w:noBreakHyphen/>
      </w:r>
      <w:r w:rsidRPr="009A1394">
        <w:rPr>
          <w:lang w:val="en-CA"/>
        </w:rPr>
        <w:t>Saint</w:t>
      </w:r>
      <w:r w:rsidR="0053521E" w:rsidRPr="009A1394">
        <w:rPr>
          <w:lang w:val="en-CA"/>
        </w:rPr>
        <w:noBreakHyphen/>
      </w:r>
      <w:r w:rsidRPr="009A1394">
        <w:rPr>
          <w:lang w:val="en-CA"/>
        </w:rPr>
        <w:t>Luc.</w:t>
      </w:r>
      <w:r w:rsidRPr="009A1394">
        <w:rPr>
          <w:vertAlign w:val="superscript"/>
          <w:lang w:val="en-CA"/>
        </w:rPr>
        <w:footnoteReference w:id="49"/>
      </w:r>
    </w:p>
    <w:p w14:paraId="755C3576" w14:textId="020BADD3" w:rsidR="00CC66B8" w:rsidRPr="009A1394" w:rsidRDefault="00363C53" w:rsidP="003C6356">
      <w:pPr>
        <w:pStyle w:val="Paragraphe"/>
        <w:numPr>
          <w:ilvl w:val="0"/>
          <w:numId w:val="1"/>
        </w:numPr>
        <w:rPr>
          <w:lang w:val="en-CA"/>
        </w:rPr>
      </w:pPr>
      <w:r w:rsidRPr="009A1394">
        <w:rPr>
          <w:lang w:val="en-CA"/>
        </w:rPr>
        <w:t>Because of mechanical defects, five tank cars that were part of the initial train were removed.</w:t>
      </w:r>
      <w:r w:rsidR="008161A3" w:rsidRPr="009A1394">
        <w:rPr>
          <w:lang w:val="en-CA"/>
        </w:rPr>
        <w:t xml:space="preserve"> </w:t>
      </w:r>
      <w:r w:rsidRPr="009A1394">
        <w:rPr>
          <w:lang w:val="en-CA"/>
        </w:rPr>
        <w:t xml:space="preserve">The 72 remaining cars were then entrusted to MMA to be taken to </w:t>
      </w:r>
      <w:r w:rsidR="00C92EAE" w:rsidRPr="009A1394">
        <w:rPr>
          <w:lang w:val="en-CA"/>
        </w:rPr>
        <w:t xml:space="preserve">their </w:t>
      </w:r>
      <w:r w:rsidRPr="009A1394">
        <w:rPr>
          <w:lang w:val="en-CA"/>
        </w:rPr>
        <w:t>destination.</w:t>
      </w:r>
      <w:r w:rsidR="008161A3" w:rsidRPr="009A1394">
        <w:rPr>
          <w:lang w:val="en-CA"/>
        </w:rPr>
        <w:t xml:space="preserve"> </w:t>
      </w:r>
      <w:r w:rsidR="00BD622D" w:rsidRPr="009A1394">
        <w:rPr>
          <w:lang w:val="en-CA"/>
        </w:rPr>
        <w:t>For that purpose</w:t>
      </w:r>
      <w:r w:rsidRPr="009A1394">
        <w:rPr>
          <w:lang w:val="en-CA"/>
        </w:rPr>
        <w:t xml:space="preserve">, the two CP locomotives were replaced </w:t>
      </w:r>
      <w:r w:rsidR="00720CFD" w:rsidRPr="009A1394">
        <w:rPr>
          <w:lang w:val="en-CA"/>
        </w:rPr>
        <w:t>with</w:t>
      </w:r>
      <w:r w:rsidRPr="009A1394">
        <w:rPr>
          <w:lang w:val="en-CA"/>
        </w:rPr>
        <w:t xml:space="preserve"> five locomotives belonging to MMA.</w:t>
      </w:r>
      <w:r w:rsidRPr="009A1394">
        <w:rPr>
          <w:vertAlign w:val="superscript"/>
          <w:lang w:val="en-CA"/>
        </w:rPr>
        <w:footnoteReference w:id="50"/>
      </w:r>
      <w:r w:rsidR="00890887" w:rsidRPr="009A1394">
        <w:rPr>
          <w:lang w:val="en-CA"/>
        </w:rPr>
        <w:t xml:space="preserve"> </w:t>
      </w:r>
      <w:r w:rsidRPr="009A1394">
        <w:rPr>
          <w:lang w:val="en-CA"/>
        </w:rPr>
        <w:t xml:space="preserve">The train returned to being a unit train because no </w:t>
      </w:r>
      <w:r w:rsidR="00EE6925" w:rsidRPr="009A1394">
        <w:rPr>
          <w:lang w:val="en-CA"/>
        </w:rPr>
        <w:t xml:space="preserve">more </w:t>
      </w:r>
      <w:r w:rsidR="00BD622D" w:rsidRPr="009A1394">
        <w:rPr>
          <w:lang w:val="en-CA"/>
        </w:rPr>
        <w:t>freight</w:t>
      </w:r>
      <w:r w:rsidRPr="009A1394">
        <w:rPr>
          <w:lang w:val="en-CA"/>
        </w:rPr>
        <w:t xml:space="preserve"> cars were added.</w:t>
      </w:r>
      <w:r w:rsidRPr="009A1394">
        <w:rPr>
          <w:vertAlign w:val="superscript"/>
          <w:lang w:val="en-CA"/>
        </w:rPr>
        <w:footnoteReference w:id="51"/>
      </w:r>
      <w:r w:rsidR="00E201DF" w:rsidRPr="009A1394">
        <w:rPr>
          <w:lang w:val="en-CA"/>
        </w:rPr>
        <w:t xml:space="preserve"> </w:t>
      </w:r>
      <w:r w:rsidRPr="009A1394">
        <w:rPr>
          <w:lang w:val="en-CA"/>
        </w:rPr>
        <w:t>At that point, the train was about 4,700 feet long and weighed 10,290</w:t>
      </w:r>
      <w:r w:rsidR="00C92EAE" w:rsidRPr="009A1394">
        <w:rPr>
          <w:lang w:val="en-CA"/>
        </w:rPr>
        <w:t> </w:t>
      </w:r>
      <w:r w:rsidRPr="009A1394">
        <w:rPr>
          <w:lang w:val="en-CA"/>
        </w:rPr>
        <w:t>tonnes.</w:t>
      </w:r>
      <w:r w:rsidR="00E201DF" w:rsidRPr="009A1394">
        <w:rPr>
          <w:lang w:val="en-CA"/>
        </w:rPr>
        <w:t xml:space="preserve"> </w:t>
      </w:r>
      <w:r w:rsidRPr="009A1394">
        <w:rPr>
          <w:lang w:val="en-CA"/>
        </w:rPr>
        <w:t xml:space="preserve">It </w:t>
      </w:r>
      <w:r w:rsidR="00676FDE" w:rsidRPr="009A1394">
        <w:rPr>
          <w:lang w:val="en-CA"/>
        </w:rPr>
        <w:t>consisted</w:t>
      </w:r>
      <w:r w:rsidRPr="009A1394">
        <w:rPr>
          <w:lang w:val="en-CA"/>
        </w:rPr>
        <w:t xml:space="preserve"> not only </w:t>
      </w:r>
      <w:r w:rsidR="00676FDE" w:rsidRPr="009A1394">
        <w:rPr>
          <w:lang w:val="en-CA"/>
        </w:rPr>
        <w:t xml:space="preserve">of </w:t>
      </w:r>
      <w:r w:rsidRPr="009A1394">
        <w:rPr>
          <w:lang w:val="en-CA"/>
        </w:rPr>
        <w:t xml:space="preserve">the five locomotives and 72 tank cars containing a total of 7.7 million litres of crude oil, but also a caboose and a </w:t>
      </w:r>
      <w:r w:rsidR="00676FDE" w:rsidRPr="009A1394">
        <w:rPr>
          <w:lang w:val="en-CA"/>
        </w:rPr>
        <w:t>buffer</w:t>
      </w:r>
      <w:r w:rsidRPr="009A1394">
        <w:rPr>
          <w:lang w:val="en-CA"/>
        </w:rPr>
        <w:t xml:space="preserve"> car.</w:t>
      </w:r>
      <w:r w:rsidRPr="009A1394">
        <w:rPr>
          <w:vertAlign w:val="superscript"/>
          <w:lang w:val="en-CA"/>
        </w:rPr>
        <w:footnoteReference w:id="52"/>
      </w:r>
      <w:r w:rsidR="008161A3" w:rsidRPr="009A1394">
        <w:rPr>
          <w:lang w:val="en-CA"/>
        </w:rPr>
        <w:t xml:space="preserve"> </w:t>
      </w:r>
      <w:r w:rsidRPr="009A1394">
        <w:rPr>
          <w:lang w:val="en-CA"/>
        </w:rPr>
        <w:t xml:space="preserve">This train was </w:t>
      </w:r>
      <w:r w:rsidR="00BD622D" w:rsidRPr="009A1394">
        <w:rPr>
          <w:lang w:val="en-CA"/>
        </w:rPr>
        <w:t>operated</w:t>
      </w:r>
      <w:r w:rsidRPr="009A1394">
        <w:rPr>
          <w:lang w:val="en-CA"/>
        </w:rPr>
        <w:t xml:space="preserve"> by MMA employees on the CP network until </w:t>
      </w:r>
      <w:r w:rsidR="00A1752B" w:rsidRPr="009A1394">
        <w:rPr>
          <w:lang w:val="en-CA"/>
        </w:rPr>
        <w:t xml:space="preserve">it met up with </w:t>
      </w:r>
      <w:r w:rsidRPr="009A1394">
        <w:rPr>
          <w:lang w:val="en-CA"/>
        </w:rPr>
        <w:t>MMA’s network, near Saint-Jean-sur-Richelieu.</w:t>
      </w:r>
      <w:r w:rsidRPr="009A1394">
        <w:rPr>
          <w:vertAlign w:val="superscript"/>
          <w:lang w:val="en-CA"/>
        </w:rPr>
        <w:footnoteReference w:id="53"/>
      </w:r>
      <w:r w:rsidR="00F36FEC" w:rsidRPr="009A1394">
        <w:rPr>
          <w:lang w:val="en-CA"/>
        </w:rPr>
        <w:t xml:space="preserve"> </w:t>
      </w:r>
      <w:r w:rsidRPr="009A1394">
        <w:rPr>
          <w:lang w:val="en-CA"/>
        </w:rPr>
        <w:t xml:space="preserve">In Farnham, there was a crew change, and Harding was </w:t>
      </w:r>
      <w:r w:rsidR="00616972" w:rsidRPr="009A1394">
        <w:rPr>
          <w:lang w:val="en-CA"/>
        </w:rPr>
        <w:t>called upon to</w:t>
      </w:r>
      <w:r w:rsidRPr="009A1394">
        <w:rPr>
          <w:lang w:val="en-CA"/>
        </w:rPr>
        <w:t xml:space="preserve"> </w:t>
      </w:r>
      <w:r w:rsidR="002D1810" w:rsidRPr="009A1394">
        <w:rPr>
          <w:lang w:val="en-CA"/>
        </w:rPr>
        <w:t xml:space="preserve">operate </w:t>
      </w:r>
      <w:r w:rsidRPr="009A1394">
        <w:rPr>
          <w:lang w:val="en-CA"/>
        </w:rPr>
        <w:t>the train, alone, to Nantes.</w:t>
      </w:r>
      <w:r w:rsidR="00F36FEC" w:rsidRPr="009A1394">
        <w:rPr>
          <w:lang w:val="en-CA"/>
        </w:rPr>
        <w:t xml:space="preserve"> </w:t>
      </w:r>
      <w:r w:rsidRPr="009A1394">
        <w:rPr>
          <w:lang w:val="en-CA"/>
        </w:rPr>
        <w:t xml:space="preserve">The train </w:t>
      </w:r>
      <w:r w:rsidR="00DC3389" w:rsidRPr="009A1394">
        <w:rPr>
          <w:lang w:val="en-CA"/>
        </w:rPr>
        <w:t>thus</w:t>
      </w:r>
      <w:r w:rsidRPr="009A1394">
        <w:rPr>
          <w:lang w:val="en-CA"/>
        </w:rPr>
        <w:t xml:space="preserve"> went into</w:t>
      </w:r>
      <w:r w:rsidR="00DC3389" w:rsidRPr="009A1394">
        <w:rPr>
          <w:lang w:val="en-CA"/>
        </w:rPr>
        <w:t xml:space="preserve"> so-called</w:t>
      </w:r>
      <w:r w:rsidRPr="009A1394">
        <w:rPr>
          <w:lang w:val="en-CA"/>
        </w:rPr>
        <w:t xml:space="preserve"> SPTO mode (single-person train operations).</w:t>
      </w:r>
      <w:r w:rsidRPr="009A1394">
        <w:rPr>
          <w:vertAlign w:val="superscript"/>
          <w:lang w:val="en-CA"/>
        </w:rPr>
        <w:footnoteReference w:id="54"/>
      </w:r>
    </w:p>
    <w:p w14:paraId="6D7BF084" w14:textId="2E7B7981" w:rsidR="00CC66B8" w:rsidRPr="009A1394" w:rsidRDefault="00363C53" w:rsidP="003C6356">
      <w:pPr>
        <w:pStyle w:val="Paragraphe"/>
        <w:numPr>
          <w:ilvl w:val="0"/>
          <w:numId w:val="1"/>
        </w:numPr>
        <w:rPr>
          <w:lang w:val="en-CA"/>
        </w:rPr>
      </w:pPr>
      <w:r w:rsidRPr="009A1394">
        <w:rPr>
          <w:lang w:val="en-CA"/>
        </w:rPr>
        <w:t xml:space="preserve">At 1:55 p.m. on July 5, 2013, the train left Farnham </w:t>
      </w:r>
      <w:r w:rsidR="00DC3389" w:rsidRPr="009A1394">
        <w:rPr>
          <w:lang w:val="en-CA"/>
        </w:rPr>
        <w:t>bound for</w:t>
      </w:r>
      <w:r w:rsidRPr="009A1394">
        <w:rPr>
          <w:lang w:val="en-CA"/>
        </w:rPr>
        <w:t xml:space="preserve"> Nantes.</w:t>
      </w:r>
      <w:r w:rsidRPr="009A1394">
        <w:rPr>
          <w:vertAlign w:val="superscript"/>
          <w:lang w:val="en-CA"/>
        </w:rPr>
        <w:footnoteReference w:id="55"/>
      </w:r>
      <w:r w:rsidR="008161A3" w:rsidRPr="009A1394">
        <w:rPr>
          <w:lang w:val="en-CA"/>
        </w:rPr>
        <w:t xml:space="preserve"> </w:t>
      </w:r>
      <w:r w:rsidRPr="009A1394">
        <w:rPr>
          <w:lang w:val="en-CA"/>
        </w:rPr>
        <w:t>The distance it had to travel was about 115 miles (185 km).</w:t>
      </w:r>
      <w:r w:rsidR="008161A3" w:rsidRPr="009A1394">
        <w:rPr>
          <w:lang w:val="en-CA"/>
        </w:rPr>
        <w:t xml:space="preserve"> </w:t>
      </w:r>
      <w:r w:rsidRPr="009A1394">
        <w:rPr>
          <w:lang w:val="en-CA"/>
        </w:rPr>
        <w:t xml:space="preserve">On the way, the lead locomotive showed signs of </w:t>
      </w:r>
      <w:r w:rsidR="00720CFD" w:rsidRPr="009A1394">
        <w:rPr>
          <w:lang w:val="en-CA"/>
        </w:rPr>
        <w:t>malfunctioning</w:t>
      </w:r>
      <w:r w:rsidR="00AC7251" w:rsidRPr="009A1394">
        <w:rPr>
          <w:lang w:val="en-CA"/>
        </w:rPr>
        <w:t>,</w:t>
      </w:r>
      <w:r w:rsidRPr="009A1394">
        <w:rPr>
          <w:lang w:val="en-CA"/>
        </w:rPr>
        <w:t xml:space="preserve"> </w:t>
      </w:r>
      <w:r w:rsidR="00AC7251" w:rsidRPr="009A1394">
        <w:rPr>
          <w:lang w:val="en-CA"/>
        </w:rPr>
        <w:t>such that</w:t>
      </w:r>
      <w:r w:rsidRPr="009A1394">
        <w:rPr>
          <w:lang w:val="en-CA"/>
        </w:rPr>
        <w:t xml:space="preserve"> Harding had difficulty maintaining speed.</w:t>
      </w:r>
      <w:r w:rsidRPr="009A1394">
        <w:rPr>
          <w:vertAlign w:val="superscript"/>
          <w:lang w:val="en-CA"/>
        </w:rPr>
        <w:footnoteReference w:id="56"/>
      </w:r>
    </w:p>
    <w:p w14:paraId="46C6F383" w14:textId="783FE8C0" w:rsidR="00CC66B8" w:rsidRPr="009A1394" w:rsidRDefault="009A0984" w:rsidP="003C6356">
      <w:pPr>
        <w:pStyle w:val="Paragraphe"/>
        <w:numPr>
          <w:ilvl w:val="0"/>
          <w:numId w:val="1"/>
        </w:numPr>
        <w:rPr>
          <w:lang w:val="en-CA"/>
        </w:rPr>
      </w:pPr>
      <w:r w:rsidRPr="009A1394">
        <w:rPr>
          <w:lang w:val="en-CA"/>
        </w:rPr>
        <w:t>At around</w:t>
      </w:r>
      <w:r w:rsidR="00363C53" w:rsidRPr="009A1394">
        <w:rPr>
          <w:lang w:val="en-CA"/>
        </w:rPr>
        <w:t xml:space="preserve"> 10:50 p.m., the train arrived </w:t>
      </w:r>
      <w:r w:rsidR="00AC7251" w:rsidRPr="009A1394">
        <w:rPr>
          <w:lang w:val="en-CA"/>
        </w:rPr>
        <w:t>at</w:t>
      </w:r>
      <w:r w:rsidR="00363C53" w:rsidRPr="009A1394">
        <w:rPr>
          <w:lang w:val="en-CA"/>
        </w:rPr>
        <w:t xml:space="preserve"> Nantes.</w:t>
      </w:r>
      <w:r w:rsidR="00363C53" w:rsidRPr="009A1394">
        <w:rPr>
          <w:vertAlign w:val="superscript"/>
          <w:lang w:val="en-CA"/>
        </w:rPr>
        <w:footnoteReference w:id="57"/>
      </w:r>
      <w:r w:rsidR="00307821" w:rsidRPr="009A1394">
        <w:rPr>
          <w:lang w:val="en-CA"/>
        </w:rPr>
        <w:t xml:space="preserve"> </w:t>
      </w:r>
      <w:r w:rsidR="00363C53" w:rsidRPr="009A1394">
        <w:rPr>
          <w:lang w:val="en-CA"/>
        </w:rPr>
        <w:t xml:space="preserve">Harding noticed that </w:t>
      </w:r>
      <w:r w:rsidR="00676FDE" w:rsidRPr="009A1394">
        <w:rPr>
          <w:lang w:val="en-CA"/>
        </w:rPr>
        <w:t xml:space="preserve">black and </w:t>
      </w:r>
      <w:r w:rsidR="00363C53" w:rsidRPr="009A1394">
        <w:rPr>
          <w:lang w:val="en-CA"/>
        </w:rPr>
        <w:t>white smoke was coming from the lead locomotive’s stack.</w:t>
      </w:r>
      <w:r w:rsidR="00363C53" w:rsidRPr="009A1394">
        <w:rPr>
          <w:vertAlign w:val="superscript"/>
          <w:lang w:val="en-CA"/>
        </w:rPr>
        <w:footnoteReference w:id="58"/>
      </w:r>
      <w:r w:rsidR="002978AE" w:rsidRPr="009A1394">
        <w:rPr>
          <w:lang w:val="en-CA"/>
        </w:rPr>
        <w:t xml:space="preserve"> </w:t>
      </w:r>
      <w:r w:rsidR="00363C53" w:rsidRPr="009A1394">
        <w:rPr>
          <w:lang w:val="en-CA"/>
        </w:rPr>
        <w:t>By using the air</w:t>
      </w:r>
      <w:r w:rsidR="001538F2" w:rsidRPr="009A1394">
        <w:rPr>
          <w:lang w:val="en-CA"/>
        </w:rPr>
        <w:t xml:space="preserve"> </w:t>
      </w:r>
      <w:r w:rsidR="00363C53" w:rsidRPr="009A1394">
        <w:rPr>
          <w:lang w:val="en-CA"/>
        </w:rPr>
        <w:t>brake system,</w:t>
      </w:r>
      <w:r w:rsidR="00363C53" w:rsidRPr="009A1394">
        <w:rPr>
          <w:vertAlign w:val="superscript"/>
          <w:lang w:val="en-CA"/>
        </w:rPr>
        <w:footnoteReference w:id="59"/>
      </w:r>
      <w:r w:rsidR="00363C53" w:rsidRPr="009A1394">
        <w:rPr>
          <w:lang w:val="en-CA"/>
        </w:rPr>
        <w:t xml:space="preserve"> he </w:t>
      </w:r>
      <w:r w:rsidR="00616972" w:rsidRPr="009A1394">
        <w:rPr>
          <w:lang w:val="en-CA"/>
        </w:rPr>
        <w:t xml:space="preserve">secured </w:t>
      </w:r>
      <w:r w:rsidR="00363C53" w:rsidRPr="009A1394">
        <w:rPr>
          <w:lang w:val="en-CA"/>
        </w:rPr>
        <w:t xml:space="preserve">the train on the main track, more specifically, at the top of a 0.92% </w:t>
      </w:r>
      <w:r w:rsidR="00676FDE" w:rsidRPr="009A1394">
        <w:rPr>
          <w:lang w:val="en-CA"/>
        </w:rPr>
        <w:lastRenderedPageBreak/>
        <w:t>descending grade</w:t>
      </w:r>
      <w:r w:rsidR="00363C53" w:rsidRPr="009A1394">
        <w:rPr>
          <w:vertAlign w:val="superscript"/>
          <w:lang w:val="en-CA"/>
        </w:rPr>
        <w:footnoteReference w:id="60"/>
      </w:r>
      <w:r w:rsidR="00363C53" w:rsidRPr="009A1394">
        <w:rPr>
          <w:lang w:val="en-CA"/>
        </w:rPr>
        <w:t xml:space="preserve"> </w:t>
      </w:r>
      <w:r w:rsidR="00616972" w:rsidRPr="009A1394">
        <w:rPr>
          <w:lang w:val="en-CA"/>
        </w:rPr>
        <w:t xml:space="preserve">in the direction of </w:t>
      </w:r>
      <w:r w:rsidR="00363C53" w:rsidRPr="009A1394">
        <w:rPr>
          <w:lang w:val="en-CA"/>
        </w:rPr>
        <w:t>Lac-Mégantic.</w:t>
      </w:r>
      <w:r w:rsidR="0083015F" w:rsidRPr="009A1394">
        <w:rPr>
          <w:lang w:val="en-CA"/>
        </w:rPr>
        <w:t xml:space="preserve"> </w:t>
      </w:r>
      <w:r w:rsidR="00363C53" w:rsidRPr="009A1394">
        <w:rPr>
          <w:lang w:val="en-CA"/>
        </w:rPr>
        <w:t>The train was then 7.72 miles (11.58</w:t>
      </w:r>
      <w:r w:rsidR="00882923" w:rsidRPr="009A1394">
        <w:rPr>
          <w:lang w:val="en-CA"/>
        </w:rPr>
        <w:t> </w:t>
      </w:r>
      <w:r w:rsidR="00363C53" w:rsidRPr="009A1394">
        <w:rPr>
          <w:lang w:val="en-CA"/>
        </w:rPr>
        <w:t>km) outside Lac-Mégantic.</w:t>
      </w:r>
      <w:r w:rsidR="00363C53" w:rsidRPr="009A1394">
        <w:rPr>
          <w:vertAlign w:val="superscript"/>
          <w:lang w:val="en-CA"/>
        </w:rPr>
        <w:footnoteReference w:id="61"/>
      </w:r>
      <w:r w:rsidR="008161A3" w:rsidRPr="009A1394">
        <w:rPr>
          <w:lang w:val="en-CA"/>
        </w:rPr>
        <w:t xml:space="preserve"> </w:t>
      </w:r>
      <w:r w:rsidR="00363C53" w:rsidRPr="009A1394">
        <w:rPr>
          <w:lang w:val="en-CA"/>
        </w:rPr>
        <w:t>Harding secured the train by applying seven hand</w:t>
      </w:r>
      <w:r w:rsidR="001538F2" w:rsidRPr="009A1394">
        <w:rPr>
          <w:lang w:val="en-CA"/>
        </w:rPr>
        <w:t xml:space="preserve"> </w:t>
      </w:r>
      <w:r w:rsidR="00363C53" w:rsidRPr="009A1394">
        <w:rPr>
          <w:lang w:val="en-CA"/>
        </w:rPr>
        <w:t>brakes,</w:t>
      </w:r>
      <w:r w:rsidR="00363C53" w:rsidRPr="009A1394">
        <w:rPr>
          <w:vertAlign w:val="superscript"/>
          <w:lang w:val="en-CA"/>
        </w:rPr>
        <w:footnoteReference w:id="62"/>
      </w:r>
      <w:r w:rsidR="00363C53" w:rsidRPr="009A1394">
        <w:rPr>
          <w:lang w:val="en-CA"/>
        </w:rPr>
        <w:t xml:space="preserve"> one on each of the five locomotives, another on the caboose,</w:t>
      </w:r>
      <w:r w:rsidR="00363C53" w:rsidRPr="009A1394">
        <w:rPr>
          <w:vertAlign w:val="superscript"/>
          <w:lang w:val="en-CA"/>
        </w:rPr>
        <w:footnoteReference w:id="63"/>
      </w:r>
      <w:r w:rsidR="00363C53" w:rsidRPr="009A1394">
        <w:rPr>
          <w:lang w:val="en-CA"/>
        </w:rPr>
        <w:t xml:space="preserve"> and a last one on the </w:t>
      </w:r>
      <w:r w:rsidR="00676FDE" w:rsidRPr="009A1394">
        <w:rPr>
          <w:lang w:val="en-CA"/>
        </w:rPr>
        <w:t>buffer</w:t>
      </w:r>
      <w:r w:rsidR="00363C53" w:rsidRPr="009A1394">
        <w:rPr>
          <w:lang w:val="en-CA"/>
        </w:rPr>
        <w:t xml:space="preserve"> car.</w:t>
      </w:r>
      <w:r w:rsidR="00363C53" w:rsidRPr="009A1394">
        <w:rPr>
          <w:vertAlign w:val="superscript"/>
          <w:lang w:val="en-CA"/>
        </w:rPr>
        <w:footnoteReference w:id="64"/>
      </w:r>
      <w:r w:rsidR="002978AE" w:rsidRPr="009A1394">
        <w:rPr>
          <w:lang w:val="en-CA"/>
        </w:rPr>
        <w:t xml:space="preserve"> </w:t>
      </w:r>
      <w:r w:rsidR="00363C53" w:rsidRPr="009A1394">
        <w:rPr>
          <w:lang w:val="en-CA"/>
        </w:rPr>
        <w:t xml:space="preserve">The air brake system </w:t>
      </w:r>
      <w:r w:rsidR="00AC7251" w:rsidRPr="009A1394">
        <w:rPr>
          <w:lang w:val="en-CA"/>
        </w:rPr>
        <w:t>wa</w:t>
      </w:r>
      <w:r w:rsidR="00363C53" w:rsidRPr="009A1394">
        <w:rPr>
          <w:lang w:val="en-CA"/>
        </w:rPr>
        <w:t xml:space="preserve">s powered by a compressor that </w:t>
      </w:r>
      <w:r w:rsidR="00AC7251" w:rsidRPr="009A1394">
        <w:rPr>
          <w:lang w:val="en-CA"/>
        </w:rPr>
        <w:t>was</w:t>
      </w:r>
      <w:r w:rsidR="00363C53" w:rsidRPr="009A1394">
        <w:rPr>
          <w:lang w:val="en-CA"/>
        </w:rPr>
        <w:t xml:space="preserve"> in turn powered by the lead locomotive.</w:t>
      </w:r>
      <w:r w:rsidR="002978AE" w:rsidRPr="009A1394">
        <w:rPr>
          <w:lang w:val="en-CA"/>
        </w:rPr>
        <w:t xml:space="preserve"> </w:t>
      </w:r>
      <w:r w:rsidR="00363C53" w:rsidRPr="009A1394">
        <w:rPr>
          <w:lang w:val="en-CA"/>
        </w:rPr>
        <w:t xml:space="preserve">He left the lead locomotive’s </w:t>
      </w:r>
      <w:r w:rsidR="00DB4774" w:rsidRPr="009A1394">
        <w:rPr>
          <w:lang w:val="en-CA"/>
        </w:rPr>
        <w:t>engine</w:t>
      </w:r>
      <w:r w:rsidR="00363C53" w:rsidRPr="009A1394">
        <w:rPr>
          <w:lang w:val="en-CA"/>
        </w:rPr>
        <w:t xml:space="preserve"> running and did not disengage the air brake system, which was therefore engaged</w:t>
      </w:r>
      <w:r w:rsidR="00363C53" w:rsidRPr="009A1394">
        <w:rPr>
          <w:vertAlign w:val="superscript"/>
          <w:lang w:val="en-CA"/>
        </w:rPr>
        <w:footnoteReference w:id="65"/>
      </w:r>
      <w:r w:rsidR="00363C53" w:rsidRPr="009A1394">
        <w:rPr>
          <w:lang w:val="en-CA"/>
        </w:rPr>
        <w:t xml:space="preserve"> when he tested the effectiveness of the hand</w:t>
      </w:r>
      <w:r w:rsidR="001538F2" w:rsidRPr="009A1394">
        <w:rPr>
          <w:lang w:val="en-CA"/>
        </w:rPr>
        <w:t xml:space="preserve"> </w:t>
      </w:r>
      <w:r w:rsidR="00363C53" w:rsidRPr="009A1394">
        <w:rPr>
          <w:lang w:val="en-CA"/>
        </w:rPr>
        <w:t>brake system.</w:t>
      </w:r>
      <w:r w:rsidR="00363C53" w:rsidRPr="009A1394">
        <w:rPr>
          <w:rStyle w:val="Appelnotedebasdep"/>
          <w:lang w:val="en-CA"/>
        </w:rPr>
        <w:footnoteReference w:id="66"/>
      </w:r>
    </w:p>
    <w:p w14:paraId="5978B04C" w14:textId="3E5918F7" w:rsidR="00CC66B8" w:rsidRPr="009A1394" w:rsidRDefault="00363C53" w:rsidP="003C6356">
      <w:pPr>
        <w:pStyle w:val="Paragraphe"/>
        <w:numPr>
          <w:ilvl w:val="0"/>
          <w:numId w:val="1"/>
        </w:numPr>
        <w:rPr>
          <w:lang w:val="en-CA"/>
        </w:rPr>
      </w:pPr>
      <w:r w:rsidRPr="009A1394">
        <w:rPr>
          <w:lang w:val="en-CA"/>
        </w:rPr>
        <w:t xml:space="preserve">Harding’s decision to park the train in Nantes on a 0.92% </w:t>
      </w:r>
      <w:r w:rsidR="001538F2" w:rsidRPr="009A1394">
        <w:rPr>
          <w:lang w:val="en-CA"/>
        </w:rPr>
        <w:t>descending grade</w:t>
      </w:r>
      <w:r w:rsidR="00BA72B6" w:rsidRPr="009A1394">
        <w:rPr>
          <w:lang w:val="en-CA"/>
        </w:rPr>
        <w:t xml:space="preserve"> </w:t>
      </w:r>
      <w:r w:rsidRPr="009A1394">
        <w:rPr>
          <w:lang w:val="en-CA"/>
        </w:rPr>
        <w:t xml:space="preserve">was not </w:t>
      </w:r>
      <w:r w:rsidR="00A7059A" w:rsidRPr="009A1394">
        <w:rPr>
          <w:lang w:val="en-CA"/>
        </w:rPr>
        <w:t xml:space="preserve">made </w:t>
      </w:r>
      <w:r w:rsidR="002527F4" w:rsidRPr="009A1394">
        <w:rPr>
          <w:lang w:val="en-CA"/>
        </w:rPr>
        <w:t>impulsively</w:t>
      </w:r>
      <w:r w:rsidRPr="009A1394">
        <w:rPr>
          <w:lang w:val="en-CA"/>
        </w:rPr>
        <w:t>.</w:t>
      </w:r>
      <w:r w:rsidRPr="009A1394">
        <w:rPr>
          <w:vertAlign w:val="superscript"/>
          <w:lang w:val="en-CA"/>
        </w:rPr>
        <w:footnoteReference w:id="67"/>
      </w:r>
      <w:r w:rsidR="008161A3" w:rsidRPr="009A1394">
        <w:rPr>
          <w:lang w:val="en-CA"/>
        </w:rPr>
        <w:t xml:space="preserve"> </w:t>
      </w:r>
      <w:r w:rsidRPr="009A1394">
        <w:rPr>
          <w:lang w:val="en-CA"/>
        </w:rPr>
        <w:t xml:space="preserve">Quite the opposite, in fact. He had received instructions to leave it there, on the main track, </w:t>
      </w:r>
      <w:r w:rsidR="00990AF8" w:rsidRPr="009A1394">
        <w:rPr>
          <w:lang w:val="en-CA"/>
        </w:rPr>
        <w:t>unattended</w:t>
      </w:r>
      <w:r w:rsidRPr="009A1394">
        <w:rPr>
          <w:lang w:val="en-CA"/>
        </w:rPr>
        <w:t>, until another locomotive engineer relieve</w:t>
      </w:r>
      <w:r w:rsidR="009A0984" w:rsidRPr="009A1394">
        <w:rPr>
          <w:lang w:val="en-CA"/>
        </w:rPr>
        <w:t>d</w:t>
      </w:r>
      <w:r w:rsidRPr="009A1394">
        <w:rPr>
          <w:lang w:val="en-CA"/>
        </w:rPr>
        <w:t xml:space="preserve"> him the next morning to </w:t>
      </w:r>
      <w:r w:rsidR="000675D6" w:rsidRPr="009A1394">
        <w:rPr>
          <w:lang w:val="en-CA"/>
        </w:rPr>
        <w:t xml:space="preserve">drive </w:t>
      </w:r>
      <w:r w:rsidRPr="009A1394">
        <w:rPr>
          <w:lang w:val="en-CA"/>
        </w:rPr>
        <w:t>the train to New Brunswick.</w:t>
      </w:r>
      <w:r w:rsidRPr="009A1394">
        <w:rPr>
          <w:vertAlign w:val="superscript"/>
          <w:lang w:val="en-CA"/>
        </w:rPr>
        <w:footnoteReference w:id="68"/>
      </w:r>
      <w:r w:rsidR="008161A3" w:rsidRPr="009A1394">
        <w:rPr>
          <w:lang w:val="en-CA"/>
        </w:rPr>
        <w:t xml:space="preserve"> </w:t>
      </w:r>
      <w:r w:rsidRPr="009A1394">
        <w:rPr>
          <w:lang w:val="en-CA"/>
        </w:rPr>
        <w:t xml:space="preserve">From the evidence, the judge </w:t>
      </w:r>
      <w:r w:rsidR="00BA5CED" w:rsidRPr="009A1394">
        <w:rPr>
          <w:lang w:val="en-CA"/>
        </w:rPr>
        <w:t xml:space="preserve">found </w:t>
      </w:r>
      <w:r w:rsidRPr="009A1394">
        <w:rPr>
          <w:lang w:val="en-CA"/>
        </w:rPr>
        <w:t xml:space="preserve">that the train could not have been parked on the siding </w:t>
      </w:r>
      <w:r w:rsidR="001538F2" w:rsidRPr="009A1394">
        <w:rPr>
          <w:lang w:val="en-CA"/>
        </w:rPr>
        <w:t>track located there</w:t>
      </w:r>
      <w:r w:rsidRPr="009A1394">
        <w:rPr>
          <w:lang w:val="en-CA"/>
        </w:rPr>
        <w:t>.</w:t>
      </w:r>
      <w:r w:rsidR="008161A3" w:rsidRPr="009A1394">
        <w:rPr>
          <w:lang w:val="en-CA"/>
        </w:rPr>
        <w:t xml:space="preserve"> </w:t>
      </w:r>
      <w:r w:rsidR="00593BA3" w:rsidRPr="009A1394">
        <w:rPr>
          <w:lang w:val="en-CA"/>
        </w:rPr>
        <w:t>For one thing</w:t>
      </w:r>
      <w:r w:rsidRPr="009A1394">
        <w:rPr>
          <w:lang w:val="en-CA"/>
        </w:rPr>
        <w:t xml:space="preserve">, </w:t>
      </w:r>
      <w:r w:rsidR="00CD1246" w:rsidRPr="009A1394">
        <w:rPr>
          <w:lang w:val="en-CA"/>
        </w:rPr>
        <w:t xml:space="preserve">the siding was occupied by </w:t>
      </w:r>
      <w:r w:rsidRPr="009A1394">
        <w:rPr>
          <w:lang w:val="en-CA"/>
        </w:rPr>
        <w:t xml:space="preserve">other cars </w:t>
      </w:r>
      <w:r w:rsidR="00CD1246" w:rsidRPr="009A1394">
        <w:rPr>
          <w:lang w:val="en-CA"/>
        </w:rPr>
        <w:t xml:space="preserve">that </w:t>
      </w:r>
      <w:r w:rsidRPr="009A1394">
        <w:rPr>
          <w:lang w:val="en-CA"/>
        </w:rPr>
        <w:t>had been left there.</w:t>
      </w:r>
      <w:r w:rsidR="008161A3" w:rsidRPr="009A1394">
        <w:rPr>
          <w:lang w:val="en-CA"/>
        </w:rPr>
        <w:t xml:space="preserve"> </w:t>
      </w:r>
      <w:r w:rsidR="00593BA3" w:rsidRPr="009A1394">
        <w:rPr>
          <w:lang w:val="en-CA"/>
        </w:rPr>
        <w:t>Moreover</w:t>
      </w:r>
      <w:r w:rsidRPr="009A1394">
        <w:rPr>
          <w:lang w:val="en-CA"/>
        </w:rPr>
        <w:t>, the presence of a second person aboard the train would have been required to carry out the manoeuvres necessary to back the train up.</w:t>
      </w:r>
      <w:r w:rsidR="008161A3" w:rsidRPr="009A1394">
        <w:rPr>
          <w:lang w:val="en-CA"/>
        </w:rPr>
        <w:t xml:space="preserve"> </w:t>
      </w:r>
      <w:r w:rsidRPr="009A1394">
        <w:rPr>
          <w:lang w:val="en-CA"/>
        </w:rPr>
        <w:t>Harding, however, was alone.</w:t>
      </w:r>
      <w:r w:rsidRPr="009A1394">
        <w:rPr>
          <w:rStyle w:val="Appelnotedebasdep"/>
          <w:lang w:val="en-CA"/>
        </w:rPr>
        <w:footnoteReference w:id="69"/>
      </w:r>
    </w:p>
    <w:p w14:paraId="061026EF" w14:textId="2F2FF4F2" w:rsidR="00CC66B8" w:rsidRPr="009A1394" w:rsidRDefault="00363C53" w:rsidP="004B1090">
      <w:pPr>
        <w:pStyle w:val="Paragraphe"/>
        <w:numPr>
          <w:ilvl w:val="0"/>
          <w:numId w:val="1"/>
        </w:numPr>
        <w:rPr>
          <w:lang w:val="en-CA"/>
        </w:rPr>
      </w:pPr>
      <w:r w:rsidRPr="009A1394">
        <w:rPr>
          <w:lang w:val="en-CA"/>
        </w:rPr>
        <w:t xml:space="preserve">Once in Nantes, Harding informed the MMA rail traffic controller, </w:t>
      </w:r>
      <w:r w:rsidR="00CD1246" w:rsidRPr="009A1394">
        <w:rPr>
          <w:lang w:val="en-CA"/>
        </w:rPr>
        <w:t>stationed</w:t>
      </w:r>
      <w:r w:rsidRPr="009A1394">
        <w:rPr>
          <w:lang w:val="en-CA"/>
        </w:rPr>
        <w:t xml:space="preserve"> in Bangor, Maine, in the United</w:t>
      </w:r>
      <w:r w:rsidR="00CD1246" w:rsidRPr="009A1394">
        <w:rPr>
          <w:lang w:val="en-CA"/>
        </w:rPr>
        <w:t xml:space="preserve"> </w:t>
      </w:r>
      <w:r w:rsidRPr="009A1394">
        <w:rPr>
          <w:lang w:val="en-CA"/>
        </w:rPr>
        <w:t>States, of the problems with the lead locomotive.</w:t>
      </w:r>
      <w:r w:rsidR="008161A3" w:rsidRPr="009A1394">
        <w:rPr>
          <w:lang w:val="en-CA"/>
        </w:rPr>
        <w:t xml:space="preserve"> </w:t>
      </w:r>
      <w:r w:rsidRPr="009A1394">
        <w:rPr>
          <w:lang w:val="en-CA"/>
        </w:rPr>
        <w:t>They agreed to speak again the next morning.</w:t>
      </w:r>
      <w:r w:rsidRPr="009A1394">
        <w:rPr>
          <w:vertAlign w:val="superscript"/>
          <w:lang w:val="en-CA"/>
        </w:rPr>
        <w:footnoteReference w:id="70"/>
      </w:r>
    </w:p>
    <w:p w14:paraId="34B251B4" w14:textId="53B9C933" w:rsidR="00CC66B8" w:rsidRPr="009A1394" w:rsidRDefault="00363C53" w:rsidP="003C6356">
      <w:pPr>
        <w:pStyle w:val="Paragraphe"/>
        <w:numPr>
          <w:ilvl w:val="0"/>
          <w:numId w:val="1"/>
        </w:numPr>
        <w:rPr>
          <w:lang w:val="en-CA"/>
        </w:rPr>
      </w:pPr>
      <w:r w:rsidRPr="009A1394">
        <w:rPr>
          <w:lang w:val="en-CA"/>
        </w:rPr>
        <w:t>Similarly, Harding informed MMA’s rail traffic controller in Farnham, Richard Labrie (</w:t>
      </w:r>
      <w:r w:rsidR="00B92C3A" w:rsidRPr="009A1394">
        <w:rPr>
          <w:lang w:val="en-CA"/>
        </w:rPr>
        <w:t>“</w:t>
      </w:r>
      <w:r w:rsidRPr="009A1394">
        <w:rPr>
          <w:b/>
          <w:lang w:val="en-CA"/>
        </w:rPr>
        <w:t>Labrie</w:t>
      </w:r>
      <w:r w:rsidRPr="009A1394">
        <w:rPr>
          <w:lang w:val="en-CA"/>
        </w:rPr>
        <w:t>”)</w:t>
      </w:r>
      <w:r w:rsidR="008E4167" w:rsidRPr="009A1394">
        <w:rPr>
          <w:lang w:val="en-CA"/>
        </w:rPr>
        <w:t>,</w:t>
      </w:r>
      <w:r w:rsidRPr="009A1394">
        <w:rPr>
          <w:lang w:val="en-CA"/>
        </w:rPr>
        <w:t xml:space="preserve"> that the train had been</w:t>
      </w:r>
      <w:r w:rsidR="00B92C3A" w:rsidRPr="009A1394">
        <w:rPr>
          <w:lang w:val="en-CA"/>
        </w:rPr>
        <w:t xml:space="preserve"> [</w:t>
      </w:r>
      <w:r w:rsidR="00B92C3A" w:rsidRPr="009A1394">
        <w:rPr>
          <w:smallCaps/>
          <w:lang w:val="en-CA"/>
        </w:rPr>
        <w:t>translation</w:t>
      </w:r>
      <w:r w:rsidR="00B92C3A" w:rsidRPr="009A1394">
        <w:rPr>
          <w:lang w:val="en-CA"/>
        </w:rPr>
        <w:t>]</w:t>
      </w:r>
      <w:r w:rsidRPr="009A1394">
        <w:rPr>
          <w:lang w:val="en-CA"/>
        </w:rPr>
        <w:t xml:space="preserve"> “immobilized and secured”.</w:t>
      </w:r>
      <w:r w:rsidRPr="009A1394">
        <w:rPr>
          <w:vertAlign w:val="superscript"/>
          <w:lang w:val="en-CA"/>
        </w:rPr>
        <w:footnoteReference w:id="71"/>
      </w:r>
      <w:r w:rsidR="008161A3" w:rsidRPr="009A1394">
        <w:rPr>
          <w:lang w:val="en-CA"/>
        </w:rPr>
        <w:t xml:space="preserve"> </w:t>
      </w:r>
      <w:r w:rsidRPr="009A1394">
        <w:rPr>
          <w:lang w:val="en-CA"/>
        </w:rPr>
        <w:t>He then went to take his mandatory break for the night in a hotel.</w:t>
      </w:r>
      <w:r w:rsidRPr="009A1394">
        <w:rPr>
          <w:vertAlign w:val="superscript"/>
          <w:lang w:val="en-CA"/>
        </w:rPr>
        <w:footnoteReference w:id="72"/>
      </w:r>
    </w:p>
    <w:p w14:paraId="37F526AE" w14:textId="45D1FE05" w:rsidR="00CC66B8" w:rsidRPr="009A1394" w:rsidRDefault="00363C53" w:rsidP="003C6356">
      <w:pPr>
        <w:pStyle w:val="Paragraphe"/>
        <w:numPr>
          <w:ilvl w:val="0"/>
          <w:numId w:val="1"/>
        </w:numPr>
        <w:rPr>
          <w:lang w:val="en-CA"/>
        </w:rPr>
      </w:pPr>
      <w:r w:rsidRPr="009A1394">
        <w:rPr>
          <w:lang w:val="en-CA"/>
        </w:rPr>
        <w:t xml:space="preserve">At 11:40 p.m., a 911 </w:t>
      </w:r>
      <w:r w:rsidR="004B22D8" w:rsidRPr="009A1394">
        <w:rPr>
          <w:lang w:val="en-CA"/>
        </w:rPr>
        <w:t>call</w:t>
      </w:r>
      <w:r w:rsidRPr="009A1394">
        <w:rPr>
          <w:lang w:val="en-CA"/>
        </w:rPr>
        <w:t xml:space="preserve"> report</w:t>
      </w:r>
      <w:r w:rsidR="004B22D8" w:rsidRPr="009A1394">
        <w:rPr>
          <w:lang w:val="en-CA"/>
        </w:rPr>
        <w:t>ed</w:t>
      </w:r>
      <w:r w:rsidRPr="009A1394">
        <w:rPr>
          <w:lang w:val="en-CA"/>
        </w:rPr>
        <w:t xml:space="preserve"> a fire that had broken out </w:t>
      </w:r>
      <w:r w:rsidR="00CE7852" w:rsidRPr="009A1394">
        <w:rPr>
          <w:lang w:val="en-CA"/>
        </w:rPr>
        <w:t xml:space="preserve">on </w:t>
      </w:r>
      <w:r w:rsidR="00CD1246" w:rsidRPr="009A1394">
        <w:rPr>
          <w:lang w:val="en-CA"/>
        </w:rPr>
        <w:t>board</w:t>
      </w:r>
      <w:r w:rsidRPr="009A1394">
        <w:rPr>
          <w:lang w:val="en-CA"/>
        </w:rPr>
        <w:t xml:space="preserve"> the train.</w:t>
      </w:r>
      <w:r w:rsidRPr="009A1394">
        <w:rPr>
          <w:vertAlign w:val="superscript"/>
          <w:lang w:val="en-CA"/>
        </w:rPr>
        <w:footnoteReference w:id="73"/>
      </w:r>
      <w:r w:rsidR="008161A3" w:rsidRPr="009A1394">
        <w:rPr>
          <w:lang w:val="en-CA"/>
        </w:rPr>
        <w:t xml:space="preserve"> </w:t>
      </w:r>
      <w:r w:rsidRPr="009A1394">
        <w:rPr>
          <w:lang w:val="en-CA"/>
        </w:rPr>
        <w:t xml:space="preserve">The Nantes firefighters </w:t>
      </w:r>
      <w:r w:rsidR="00B92C3A" w:rsidRPr="009A1394">
        <w:rPr>
          <w:lang w:val="en-CA"/>
        </w:rPr>
        <w:t>were dispatched</w:t>
      </w:r>
      <w:r w:rsidRPr="009A1394">
        <w:rPr>
          <w:lang w:val="en-CA"/>
        </w:rPr>
        <w:t>.</w:t>
      </w:r>
      <w:r w:rsidR="008161A3" w:rsidRPr="009A1394">
        <w:rPr>
          <w:lang w:val="en-CA"/>
        </w:rPr>
        <w:t xml:space="preserve"> </w:t>
      </w:r>
      <w:r w:rsidRPr="009A1394">
        <w:rPr>
          <w:lang w:val="en-CA"/>
        </w:rPr>
        <w:t xml:space="preserve">They </w:t>
      </w:r>
      <w:r w:rsidR="00AD595E" w:rsidRPr="009A1394">
        <w:rPr>
          <w:lang w:val="en-CA"/>
        </w:rPr>
        <w:t xml:space="preserve">got </w:t>
      </w:r>
      <w:r w:rsidRPr="009A1394">
        <w:rPr>
          <w:lang w:val="en-CA"/>
        </w:rPr>
        <w:t>the fire</w:t>
      </w:r>
      <w:r w:rsidR="00AD595E" w:rsidRPr="009A1394">
        <w:rPr>
          <w:lang w:val="en-CA"/>
        </w:rPr>
        <w:t xml:space="preserve"> under control</w:t>
      </w:r>
      <w:r w:rsidRPr="009A1394">
        <w:rPr>
          <w:lang w:val="en-CA"/>
        </w:rPr>
        <w:t xml:space="preserve"> by shutting down the lead locomotive’s </w:t>
      </w:r>
      <w:r w:rsidR="00AD595E" w:rsidRPr="009A1394">
        <w:rPr>
          <w:lang w:val="en-CA"/>
        </w:rPr>
        <w:t>engine</w:t>
      </w:r>
      <w:r w:rsidRPr="009A1394">
        <w:rPr>
          <w:lang w:val="en-CA"/>
        </w:rPr>
        <w:t>.</w:t>
      </w:r>
      <w:r w:rsidRPr="009A1394">
        <w:rPr>
          <w:vertAlign w:val="superscript"/>
          <w:lang w:val="en-CA"/>
        </w:rPr>
        <w:footnoteReference w:id="74"/>
      </w:r>
    </w:p>
    <w:p w14:paraId="52D9B534" w14:textId="240AD325" w:rsidR="00CC66B8" w:rsidRPr="009A1394" w:rsidRDefault="00363C53" w:rsidP="003C6356">
      <w:pPr>
        <w:pStyle w:val="Paragraphe"/>
        <w:numPr>
          <w:ilvl w:val="0"/>
          <w:numId w:val="1"/>
        </w:numPr>
        <w:rPr>
          <w:lang w:val="en-CA"/>
        </w:rPr>
      </w:pPr>
      <w:r w:rsidRPr="009A1394">
        <w:rPr>
          <w:lang w:val="en-CA"/>
        </w:rPr>
        <w:lastRenderedPageBreak/>
        <w:t>The Sûreté du Québec informed Labrie of the fire.</w:t>
      </w:r>
      <w:r w:rsidR="008161A3" w:rsidRPr="009A1394">
        <w:rPr>
          <w:lang w:val="en-CA"/>
        </w:rPr>
        <w:t xml:space="preserve"> </w:t>
      </w:r>
      <w:r w:rsidRPr="009A1394">
        <w:rPr>
          <w:lang w:val="en-CA"/>
        </w:rPr>
        <w:t>He sent an MMA foreman to the site.</w:t>
      </w:r>
      <w:r w:rsidR="008161A3" w:rsidRPr="009A1394">
        <w:rPr>
          <w:lang w:val="en-CA"/>
        </w:rPr>
        <w:t xml:space="preserve"> </w:t>
      </w:r>
      <w:r w:rsidRPr="009A1394">
        <w:rPr>
          <w:lang w:val="en-CA"/>
        </w:rPr>
        <w:t xml:space="preserve">Both the foreman and Labrie were informed that the lead locomotive’s </w:t>
      </w:r>
      <w:r w:rsidR="00AD595E" w:rsidRPr="009A1394">
        <w:rPr>
          <w:lang w:val="en-CA"/>
        </w:rPr>
        <w:t>engine</w:t>
      </w:r>
      <w:r w:rsidRPr="009A1394">
        <w:rPr>
          <w:lang w:val="en-CA"/>
        </w:rPr>
        <w:t xml:space="preserve"> had been shut down.</w:t>
      </w:r>
      <w:r w:rsidRPr="009A1394">
        <w:rPr>
          <w:vertAlign w:val="superscript"/>
          <w:lang w:val="en-CA"/>
        </w:rPr>
        <w:footnoteReference w:id="75"/>
      </w:r>
    </w:p>
    <w:p w14:paraId="05097D7C" w14:textId="2926BE29" w:rsidR="00CC66B8" w:rsidRPr="009A1394" w:rsidRDefault="00363C53" w:rsidP="003C6356">
      <w:pPr>
        <w:pStyle w:val="Paragraphe"/>
        <w:numPr>
          <w:ilvl w:val="0"/>
          <w:numId w:val="1"/>
        </w:numPr>
        <w:rPr>
          <w:lang w:val="en-CA"/>
        </w:rPr>
      </w:pPr>
      <w:r w:rsidRPr="009A1394">
        <w:rPr>
          <w:lang w:val="en-CA"/>
        </w:rPr>
        <w:t xml:space="preserve">Labrie communicated with Harding </w:t>
      </w:r>
      <w:r w:rsidR="00AD595E" w:rsidRPr="009A1394">
        <w:rPr>
          <w:lang w:val="en-CA"/>
        </w:rPr>
        <w:t>and apprised</w:t>
      </w:r>
      <w:r w:rsidRPr="009A1394">
        <w:rPr>
          <w:lang w:val="en-CA"/>
        </w:rPr>
        <w:t xml:space="preserve"> him </w:t>
      </w:r>
      <w:r w:rsidR="00AD595E" w:rsidRPr="009A1394">
        <w:rPr>
          <w:lang w:val="en-CA"/>
        </w:rPr>
        <w:t>of</w:t>
      </w:r>
      <w:r w:rsidRPr="009A1394">
        <w:rPr>
          <w:lang w:val="en-CA"/>
        </w:rPr>
        <w:t xml:space="preserve"> the events of the last hour.</w:t>
      </w:r>
      <w:r w:rsidRPr="009A1394">
        <w:rPr>
          <w:vertAlign w:val="superscript"/>
          <w:lang w:val="en-CA"/>
        </w:rPr>
        <w:footnoteReference w:id="76"/>
      </w:r>
      <w:r w:rsidR="008161A3" w:rsidRPr="009A1394">
        <w:rPr>
          <w:lang w:val="en-CA"/>
        </w:rPr>
        <w:t xml:space="preserve"> </w:t>
      </w:r>
      <w:r w:rsidRPr="009A1394">
        <w:rPr>
          <w:lang w:val="en-CA"/>
        </w:rPr>
        <w:t xml:space="preserve">Harding asked </w:t>
      </w:r>
      <w:r w:rsidR="00AD595E" w:rsidRPr="009A1394">
        <w:rPr>
          <w:lang w:val="en-CA"/>
        </w:rPr>
        <w:t>Labrie</w:t>
      </w:r>
      <w:r w:rsidRPr="009A1394">
        <w:rPr>
          <w:lang w:val="en-CA"/>
        </w:rPr>
        <w:t xml:space="preserve"> if he needed to return to the site to start up the </w:t>
      </w:r>
      <w:r w:rsidR="00AD595E" w:rsidRPr="009A1394">
        <w:rPr>
          <w:lang w:val="en-CA"/>
        </w:rPr>
        <w:t>engine</w:t>
      </w:r>
      <w:r w:rsidRPr="009A1394">
        <w:rPr>
          <w:lang w:val="en-CA"/>
        </w:rPr>
        <w:t xml:space="preserve"> of another locomotive; indeed, the only one he had left running was the one the firefighters</w:t>
      </w:r>
      <w:r w:rsidR="00AD595E" w:rsidRPr="009A1394">
        <w:rPr>
          <w:lang w:val="en-CA"/>
        </w:rPr>
        <w:t xml:space="preserve"> had</w:t>
      </w:r>
      <w:r w:rsidRPr="009A1394">
        <w:rPr>
          <w:lang w:val="en-CA"/>
        </w:rPr>
        <w:t xml:space="preserve"> shut down.</w:t>
      </w:r>
      <w:r w:rsidR="008161A3" w:rsidRPr="009A1394">
        <w:rPr>
          <w:lang w:val="en-CA"/>
        </w:rPr>
        <w:t xml:space="preserve"> </w:t>
      </w:r>
      <w:r w:rsidRPr="009A1394">
        <w:rPr>
          <w:lang w:val="en-CA"/>
        </w:rPr>
        <w:t xml:space="preserve">Not knowing that Harding had failed to follow the prescribed procedure for securing the train, that is applying </w:t>
      </w:r>
      <w:r w:rsidR="00AD595E" w:rsidRPr="009A1394">
        <w:rPr>
          <w:lang w:val="en-CA"/>
        </w:rPr>
        <w:t>enough</w:t>
      </w:r>
      <w:r w:rsidRPr="009A1394">
        <w:rPr>
          <w:lang w:val="en-CA"/>
        </w:rPr>
        <w:t xml:space="preserve"> hand</w:t>
      </w:r>
      <w:r w:rsidR="00AD595E" w:rsidRPr="009A1394">
        <w:rPr>
          <w:lang w:val="en-CA"/>
        </w:rPr>
        <w:t xml:space="preserve"> </w:t>
      </w:r>
      <w:r w:rsidRPr="009A1394">
        <w:rPr>
          <w:lang w:val="en-CA"/>
        </w:rPr>
        <w:t xml:space="preserve">brakes and performing a test to confirm their effectiveness, Labrie told him </w:t>
      </w:r>
      <w:r w:rsidR="00B92C3A" w:rsidRPr="009A1394">
        <w:rPr>
          <w:lang w:val="en-CA"/>
        </w:rPr>
        <w:t>that</w:t>
      </w:r>
      <w:r w:rsidRPr="009A1394">
        <w:rPr>
          <w:lang w:val="en-CA"/>
        </w:rPr>
        <w:t xml:space="preserve"> would not be necessary.</w:t>
      </w:r>
      <w:r w:rsidRPr="009A1394">
        <w:rPr>
          <w:vertAlign w:val="superscript"/>
          <w:lang w:val="en-CA"/>
        </w:rPr>
        <w:footnoteReference w:id="77"/>
      </w:r>
    </w:p>
    <w:p w14:paraId="581FBF9C" w14:textId="4E5A05DB" w:rsidR="00CC66B8" w:rsidRPr="009A1394" w:rsidRDefault="00363C53" w:rsidP="003C6356">
      <w:pPr>
        <w:pStyle w:val="Paragraphe"/>
        <w:numPr>
          <w:ilvl w:val="0"/>
          <w:numId w:val="1"/>
        </w:numPr>
        <w:rPr>
          <w:lang w:val="en-CA"/>
        </w:rPr>
      </w:pPr>
      <w:r w:rsidRPr="009A1394">
        <w:rPr>
          <w:lang w:val="en-CA"/>
        </w:rPr>
        <w:t xml:space="preserve">Once the fire was </w:t>
      </w:r>
      <w:r w:rsidR="00AD595E" w:rsidRPr="009A1394">
        <w:rPr>
          <w:lang w:val="en-CA"/>
        </w:rPr>
        <w:t>extinguished</w:t>
      </w:r>
      <w:r w:rsidRPr="009A1394">
        <w:rPr>
          <w:lang w:val="en-CA"/>
        </w:rPr>
        <w:t xml:space="preserve">, the firefighters and the MMA foreman left the scene of the fire, leaving the train </w:t>
      </w:r>
      <w:r w:rsidR="00990AF8" w:rsidRPr="009A1394">
        <w:rPr>
          <w:lang w:val="en-CA"/>
        </w:rPr>
        <w:t>unattended</w:t>
      </w:r>
      <w:r w:rsidRPr="009A1394">
        <w:rPr>
          <w:lang w:val="en-CA"/>
        </w:rPr>
        <w:t>.</w:t>
      </w:r>
      <w:r w:rsidRPr="009A1394">
        <w:rPr>
          <w:vertAlign w:val="superscript"/>
          <w:lang w:val="en-CA"/>
        </w:rPr>
        <w:footnoteReference w:id="78"/>
      </w:r>
    </w:p>
    <w:p w14:paraId="55069B0A" w14:textId="670099CB" w:rsidR="00CC66B8" w:rsidRPr="009A1394" w:rsidRDefault="00363C53" w:rsidP="003C6356">
      <w:pPr>
        <w:pStyle w:val="Paragraphe"/>
        <w:numPr>
          <w:ilvl w:val="0"/>
          <w:numId w:val="1"/>
        </w:numPr>
        <w:rPr>
          <w:lang w:val="en-CA"/>
        </w:rPr>
      </w:pPr>
      <w:r w:rsidRPr="009A1394">
        <w:rPr>
          <w:lang w:val="en-CA"/>
        </w:rPr>
        <w:t xml:space="preserve">Gradually, the pressure in the air brake system lessened because the compressor that was powering the system had stopped </w:t>
      </w:r>
      <w:r w:rsidR="00134240" w:rsidRPr="009A1394">
        <w:rPr>
          <w:lang w:val="en-CA"/>
        </w:rPr>
        <w:t>working</w:t>
      </w:r>
      <w:r w:rsidRPr="009A1394">
        <w:rPr>
          <w:lang w:val="en-CA"/>
        </w:rPr>
        <w:t xml:space="preserve"> when the lead locomotive’s </w:t>
      </w:r>
      <w:r w:rsidR="00DB4774" w:rsidRPr="009A1394">
        <w:rPr>
          <w:lang w:val="en-CA"/>
        </w:rPr>
        <w:t>engine</w:t>
      </w:r>
      <w:r w:rsidRPr="009A1394">
        <w:rPr>
          <w:lang w:val="en-CA"/>
        </w:rPr>
        <w:t xml:space="preserve"> </w:t>
      </w:r>
      <w:r w:rsidR="00A943B7" w:rsidRPr="009A1394">
        <w:rPr>
          <w:lang w:val="en-CA"/>
        </w:rPr>
        <w:t xml:space="preserve">had been </w:t>
      </w:r>
      <w:r w:rsidRPr="009A1394">
        <w:rPr>
          <w:lang w:val="en-CA"/>
        </w:rPr>
        <w:t xml:space="preserve">shut down by </w:t>
      </w:r>
      <w:r w:rsidR="00134240" w:rsidRPr="009A1394">
        <w:rPr>
          <w:lang w:val="en-CA"/>
        </w:rPr>
        <w:t>the</w:t>
      </w:r>
      <w:r w:rsidRPr="009A1394">
        <w:rPr>
          <w:lang w:val="en-CA"/>
        </w:rPr>
        <w:t xml:space="preserve"> firefighters.</w:t>
      </w:r>
      <w:r w:rsidRPr="009A1394">
        <w:rPr>
          <w:vertAlign w:val="superscript"/>
          <w:lang w:val="en-CA"/>
        </w:rPr>
        <w:footnoteReference w:id="79"/>
      </w:r>
    </w:p>
    <w:p w14:paraId="7976A087" w14:textId="450673A0" w:rsidR="00CC66B8" w:rsidRPr="009A1394" w:rsidRDefault="00363C53" w:rsidP="004B1090">
      <w:pPr>
        <w:pStyle w:val="Paragraphe"/>
        <w:numPr>
          <w:ilvl w:val="0"/>
          <w:numId w:val="1"/>
        </w:numPr>
        <w:rPr>
          <w:lang w:val="en-CA"/>
        </w:rPr>
      </w:pPr>
      <w:r w:rsidRPr="009A1394">
        <w:rPr>
          <w:lang w:val="en-CA"/>
        </w:rPr>
        <w:t xml:space="preserve">At about 1 a.m., on July 6, 2013, the train began its uncontrolled descent </w:t>
      </w:r>
      <w:r w:rsidR="008215F5" w:rsidRPr="009A1394">
        <w:rPr>
          <w:lang w:val="en-CA"/>
        </w:rPr>
        <w:t>towards</w:t>
      </w:r>
      <w:r w:rsidRPr="009A1394">
        <w:rPr>
          <w:lang w:val="en-CA"/>
        </w:rPr>
        <w:t xml:space="preserve"> Lac</w:t>
      </w:r>
      <w:r w:rsidR="00A943B7" w:rsidRPr="009A1394">
        <w:rPr>
          <w:rFonts w:cs="Arial"/>
          <w:lang w:val="en-CA"/>
        </w:rPr>
        <w:noBreakHyphen/>
      </w:r>
      <w:r w:rsidRPr="009A1394">
        <w:rPr>
          <w:lang w:val="en-CA"/>
        </w:rPr>
        <w:t>Mégantic.</w:t>
      </w:r>
      <w:r w:rsidR="008161A3" w:rsidRPr="009A1394">
        <w:rPr>
          <w:lang w:val="en-CA"/>
        </w:rPr>
        <w:t xml:space="preserve"> </w:t>
      </w:r>
      <w:r w:rsidRPr="009A1394">
        <w:rPr>
          <w:lang w:val="en-CA"/>
        </w:rPr>
        <w:t>At about 1:15 a.m., 63 tank cars and the two cabooses derailed in a cur</w:t>
      </w:r>
      <w:r w:rsidR="003B29B9" w:rsidRPr="009A1394">
        <w:rPr>
          <w:lang w:val="en-CA"/>
        </w:rPr>
        <w:t>ve</w:t>
      </w:r>
      <w:r w:rsidRPr="009A1394">
        <w:rPr>
          <w:lang w:val="en-CA"/>
        </w:rPr>
        <w:t xml:space="preserve"> at the </w:t>
      </w:r>
      <w:r w:rsidR="008215F5" w:rsidRPr="009A1394">
        <w:rPr>
          <w:lang w:val="en-CA"/>
        </w:rPr>
        <w:t>entrance</w:t>
      </w:r>
      <w:r w:rsidR="00134240" w:rsidRPr="009A1394">
        <w:rPr>
          <w:lang w:val="en-CA"/>
        </w:rPr>
        <w:t xml:space="preserve"> </w:t>
      </w:r>
      <w:r w:rsidR="00860ECE" w:rsidRPr="009A1394">
        <w:rPr>
          <w:lang w:val="en-CA"/>
        </w:rPr>
        <w:t xml:space="preserve">to </w:t>
      </w:r>
      <w:r w:rsidR="00134240" w:rsidRPr="009A1394">
        <w:rPr>
          <w:lang w:val="en-CA"/>
        </w:rPr>
        <w:t xml:space="preserve">the </w:t>
      </w:r>
      <w:r w:rsidRPr="009A1394">
        <w:rPr>
          <w:lang w:val="en-CA"/>
        </w:rPr>
        <w:t>downtown</w:t>
      </w:r>
      <w:r w:rsidR="00134240" w:rsidRPr="009A1394">
        <w:rPr>
          <w:lang w:val="en-CA"/>
        </w:rPr>
        <w:t xml:space="preserve"> area</w:t>
      </w:r>
      <w:r w:rsidRPr="009A1394">
        <w:rPr>
          <w:lang w:val="en-CA"/>
        </w:rPr>
        <w:t>.</w:t>
      </w:r>
      <w:r w:rsidRPr="009A1394">
        <w:rPr>
          <w:vertAlign w:val="superscript"/>
          <w:lang w:val="en-CA"/>
        </w:rPr>
        <w:footnoteReference w:id="80"/>
      </w:r>
      <w:r w:rsidR="008161A3" w:rsidRPr="009A1394">
        <w:rPr>
          <w:lang w:val="en-CA"/>
        </w:rPr>
        <w:t xml:space="preserve"> </w:t>
      </w:r>
      <w:r w:rsidRPr="009A1394">
        <w:rPr>
          <w:lang w:val="en-CA"/>
        </w:rPr>
        <w:t xml:space="preserve">The train was then </w:t>
      </w:r>
      <w:r w:rsidR="008215F5" w:rsidRPr="009A1394">
        <w:rPr>
          <w:lang w:val="en-CA"/>
        </w:rPr>
        <w:t>travelling</w:t>
      </w:r>
      <w:r w:rsidRPr="009A1394">
        <w:rPr>
          <w:lang w:val="en-CA"/>
        </w:rPr>
        <w:t xml:space="preserve"> at a speed of 65</w:t>
      </w:r>
      <w:r w:rsidR="00892987" w:rsidRPr="009A1394">
        <w:rPr>
          <w:lang w:val="en-CA"/>
        </w:rPr>
        <w:t> </w:t>
      </w:r>
      <w:r w:rsidR="00023D62" w:rsidRPr="009A1394">
        <w:rPr>
          <w:lang w:val="en-CA"/>
        </w:rPr>
        <w:t>mph</w:t>
      </w:r>
      <w:r w:rsidRPr="009A1394">
        <w:rPr>
          <w:lang w:val="en-CA"/>
        </w:rPr>
        <w:t xml:space="preserve"> (104.6 km</w:t>
      </w:r>
      <w:r w:rsidR="008215F5" w:rsidRPr="009A1394">
        <w:rPr>
          <w:lang w:val="en-CA"/>
        </w:rPr>
        <w:t>/</w:t>
      </w:r>
      <w:r w:rsidRPr="009A1394">
        <w:rPr>
          <w:lang w:val="en-CA"/>
        </w:rPr>
        <w:t xml:space="preserve">h), </w:t>
      </w:r>
      <w:r w:rsidR="008215F5" w:rsidRPr="009A1394">
        <w:rPr>
          <w:lang w:val="en-CA"/>
        </w:rPr>
        <w:t xml:space="preserve">i.e. </w:t>
      </w:r>
      <w:r w:rsidRPr="009A1394">
        <w:rPr>
          <w:lang w:val="en-CA"/>
        </w:rPr>
        <w:t>over three times the</w:t>
      </w:r>
      <w:r w:rsidR="008215F5" w:rsidRPr="009A1394">
        <w:rPr>
          <w:lang w:val="en-CA"/>
        </w:rPr>
        <w:t xml:space="preserve"> </w:t>
      </w:r>
      <w:r w:rsidRPr="009A1394">
        <w:rPr>
          <w:lang w:val="en-CA"/>
        </w:rPr>
        <w:t xml:space="preserve">speed limit </w:t>
      </w:r>
      <w:r w:rsidR="008215F5" w:rsidRPr="009A1394">
        <w:rPr>
          <w:lang w:val="en-CA"/>
        </w:rPr>
        <w:t>at that location</w:t>
      </w:r>
      <w:r w:rsidRPr="009A1394">
        <w:rPr>
          <w:lang w:val="en-CA"/>
        </w:rPr>
        <w:t>.</w:t>
      </w:r>
      <w:r w:rsidRPr="009A1394">
        <w:rPr>
          <w:vertAlign w:val="superscript"/>
          <w:lang w:val="en-CA"/>
        </w:rPr>
        <w:footnoteReference w:id="81"/>
      </w:r>
      <w:r w:rsidR="008161A3" w:rsidRPr="009A1394">
        <w:rPr>
          <w:lang w:val="en-CA"/>
        </w:rPr>
        <w:t xml:space="preserve"> </w:t>
      </w:r>
      <w:r w:rsidR="008215F5" w:rsidRPr="009A1394">
        <w:rPr>
          <w:lang w:val="en-CA"/>
        </w:rPr>
        <w:t>As for t</w:t>
      </w:r>
      <w:r w:rsidRPr="009A1394">
        <w:rPr>
          <w:lang w:val="en-CA"/>
        </w:rPr>
        <w:t>he locomotives</w:t>
      </w:r>
      <w:r w:rsidR="008215F5" w:rsidRPr="009A1394">
        <w:rPr>
          <w:lang w:val="en-CA"/>
        </w:rPr>
        <w:t>, they came to a stop</w:t>
      </w:r>
      <w:r w:rsidRPr="009A1394">
        <w:rPr>
          <w:lang w:val="en-CA"/>
        </w:rPr>
        <w:t xml:space="preserve"> about 4,440 feet (1.35 km) east of the </w:t>
      </w:r>
      <w:r w:rsidR="00D958B3" w:rsidRPr="009A1394">
        <w:rPr>
          <w:lang w:val="en-CA"/>
        </w:rPr>
        <w:t xml:space="preserve">derailment </w:t>
      </w:r>
      <w:r w:rsidR="000D5B53" w:rsidRPr="009A1394">
        <w:rPr>
          <w:lang w:val="en-CA"/>
        </w:rPr>
        <w:t>location</w:t>
      </w:r>
      <w:r w:rsidRPr="009A1394">
        <w:rPr>
          <w:lang w:val="en-CA"/>
        </w:rPr>
        <w:t>.</w:t>
      </w:r>
    </w:p>
    <w:p w14:paraId="56F94956" w14:textId="386456D9" w:rsidR="00CC66B8" w:rsidRPr="009A1394" w:rsidRDefault="00363C53" w:rsidP="003C6356">
      <w:pPr>
        <w:pStyle w:val="Paragraphe"/>
        <w:numPr>
          <w:ilvl w:val="0"/>
          <w:numId w:val="1"/>
        </w:numPr>
        <w:rPr>
          <w:lang w:val="en-CA"/>
        </w:rPr>
      </w:pPr>
      <w:r w:rsidRPr="009A1394">
        <w:rPr>
          <w:lang w:val="en-CA"/>
        </w:rPr>
        <w:t>Six million litres of crude oil spilled</w:t>
      </w:r>
      <w:r w:rsidR="00D958B3" w:rsidRPr="009A1394">
        <w:rPr>
          <w:lang w:val="en-CA"/>
        </w:rPr>
        <w:t xml:space="preserve"> out</w:t>
      </w:r>
      <w:r w:rsidRPr="009A1394">
        <w:rPr>
          <w:lang w:val="en-CA"/>
        </w:rPr>
        <w:t>.</w:t>
      </w:r>
      <w:r w:rsidR="00A3021C" w:rsidRPr="009A1394">
        <w:rPr>
          <w:lang w:val="en-CA"/>
        </w:rPr>
        <w:t xml:space="preserve"> </w:t>
      </w:r>
      <w:r w:rsidRPr="009A1394">
        <w:rPr>
          <w:lang w:val="en-CA"/>
        </w:rPr>
        <w:t>There were multiple explosions</w:t>
      </w:r>
      <w:r w:rsidR="00134240" w:rsidRPr="009A1394">
        <w:rPr>
          <w:lang w:val="en-CA"/>
        </w:rPr>
        <w:t>,</w:t>
      </w:r>
      <w:r w:rsidRPr="009A1394">
        <w:rPr>
          <w:lang w:val="en-CA"/>
        </w:rPr>
        <w:t xml:space="preserve"> causing a major blaze</w:t>
      </w:r>
      <w:r w:rsidR="00D958B3" w:rsidRPr="009A1394">
        <w:rPr>
          <w:lang w:val="en-CA"/>
        </w:rPr>
        <w:t>,</w:t>
      </w:r>
      <w:r w:rsidRPr="009A1394">
        <w:rPr>
          <w:lang w:val="en-CA"/>
        </w:rPr>
        <w:t xml:space="preserve"> as a result.</w:t>
      </w:r>
      <w:r w:rsidRPr="009A1394">
        <w:rPr>
          <w:vertAlign w:val="superscript"/>
          <w:lang w:val="en-CA"/>
        </w:rPr>
        <w:footnoteReference w:id="82"/>
      </w:r>
    </w:p>
    <w:p w14:paraId="347F5078" w14:textId="3416F063" w:rsidR="00CC66B8" w:rsidRPr="009A1394" w:rsidRDefault="00363C53" w:rsidP="003C6356">
      <w:pPr>
        <w:pStyle w:val="Paragraphe"/>
        <w:numPr>
          <w:ilvl w:val="0"/>
          <w:numId w:val="1"/>
        </w:numPr>
        <w:rPr>
          <w:lang w:val="en-CA"/>
        </w:rPr>
      </w:pPr>
      <w:r w:rsidRPr="009A1394">
        <w:rPr>
          <w:lang w:val="en-CA"/>
        </w:rPr>
        <w:t xml:space="preserve">The reason the train started rolling, </w:t>
      </w:r>
      <w:r w:rsidR="003B29B9" w:rsidRPr="009A1394">
        <w:rPr>
          <w:lang w:val="en-CA"/>
        </w:rPr>
        <w:t>on its own</w:t>
      </w:r>
      <w:r w:rsidRPr="009A1394">
        <w:rPr>
          <w:lang w:val="en-CA"/>
        </w:rPr>
        <w:t>, is not contested.</w:t>
      </w:r>
      <w:r w:rsidR="008161A3" w:rsidRPr="009A1394">
        <w:rPr>
          <w:lang w:val="en-CA"/>
        </w:rPr>
        <w:t xml:space="preserve"> </w:t>
      </w:r>
      <w:r w:rsidRPr="009A1394">
        <w:rPr>
          <w:lang w:val="en-CA"/>
        </w:rPr>
        <w:t xml:space="preserve">When Harding left the </w:t>
      </w:r>
      <w:r w:rsidR="00134240" w:rsidRPr="009A1394">
        <w:rPr>
          <w:lang w:val="en-CA"/>
        </w:rPr>
        <w:t>train</w:t>
      </w:r>
      <w:r w:rsidRPr="009A1394">
        <w:rPr>
          <w:lang w:val="en-CA"/>
        </w:rPr>
        <w:t xml:space="preserve"> at the end of his shift, </w:t>
      </w:r>
      <w:r w:rsidR="00134240" w:rsidRPr="009A1394">
        <w:rPr>
          <w:lang w:val="en-CA"/>
        </w:rPr>
        <w:t>its</w:t>
      </w:r>
      <w:r w:rsidRPr="009A1394">
        <w:rPr>
          <w:lang w:val="en-CA"/>
        </w:rPr>
        <w:t xml:space="preserve"> </w:t>
      </w:r>
      <w:r w:rsidR="00223954" w:rsidRPr="009A1394">
        <w:rPr>
          <w:lang w:val="en-CA"/>
        </w:rPr>
        <w:t>holding</w:t>
      </w:r>
      <w:r w:rsidRPr="009A1394">
        <w:rPr>
          <w:lang w:val="en-CA"/>
        </w:rPr>
        <w:t xml:space="preserve"> force was 264,000 lbs.</w:t>
      </w:r>
      <w:r w:rsidRPr="009A1394">
        <w:rPr>
          <w:vertAlign w:val="superscript"/>
          <w:lang w:val="en-CA"/>
        </w:rPr>
        <w:footnoteReference w:id="83"/>
      </w:r>
      <w:r w:rsidR="008161A3" w:rsidRPr="009A1394">
        <w:rPr>
          <w:lang w:val="en-CA"/>
        </w:rPr>
        <w:t xml:space="preserve"> </w:t>
      </w:r>
      <w:r w:rsidRPr="009A1394">
        <w:rPr>
          <w:lang w:val="en-CA"/>
        </w:rPr>
        <w:t>The air brake system accounted for 215,500 lbs</w:t>
      </w:r>
      <w:r w:rsidR="002241FD" w:rsidRPr="009A1394">
        <w:rPr>
          <w:lang w:val="en-CA"/>
        </w:rPr>
        <w:t xml:space="preserve"> </w:t>
      </w:r>
      <w:r w:rsidR="00B81830" w:rsidRPr="009A1394">
        <w:rPr>
          <w:lang w:val="en-CA"/>
        </w:rPr>
        <w:t>there</w:t>
      </w:r>
      <w:r w:rsidR="002241FD" w:rsidRPr="009A1394">
        <w:rPr>
          <w:lang w:val="en-CA"/>
        </w:rPr>
        <w:t>of</w:t>
      </w:r>
      <w:r w:rsidRPr="009A1394">
        <w:rPr>
          <w:lang w:val="en-CA"/>
        </w:rPr>
        <w:t>.</w:t>
      </w:r>
      <w:r w:rsidRPr="009A1394">
        <w:rPr>
          <w:vertAlign w:val="superscript"/>
          <w:lang w:val="en-CA"/>
        </w:rPr>
        <w:footnoteReference w:id="84"/>
      </w:r>
      <w:r w:rsidR="008161A3" w:rsidRPr="009A1394">
        <w:rPr>
          <w:lang w:val="en-CA"/>
        </w:rPr>
        <w:t xml:space="preserve"> </w:t>
      </w:r>
      <w:r w:rsidR="008C0C1F" w:rsidRPr="009A1394">
        <w:rPr>
          <w:lang w:val="en-CA"/>
        </w:rPr>
        <w:t>In other words,</w:t>
      </w:r>
      <w:r w:rsidRPr="009A1394">
        <w:rPr>
          <w:lang w:val="en-CA"/>
        </w:rPr>
        <w:t xml:space="preserve"> the seven hand brakes that were </w:t>
      </w:r>
      <w:r w:rsidRPr="009A1394">
        <w:rPr>
          <w:lang w:val="en-CA"/>
        </w:rPr>
        <w:lastRenderedPageBreak/>
        <w:t>applied contributed only 48,600 lbs</w:t>
      </w:r>
      <w:r w:rsidR="008C0C1F" w:rsidRPr="009A1394">
        <w:rPr>
          <w:lang w:val="en-CA"/>
        </w:rPr>
        <w:t xml:space="preserve"> to the holding force</w:t>
      </w:r>
      <w:r w:rsidRPr="009A1394">
        <w:rPr>
          <w:lang w:val="en-CA"/>
        </w:rPr>
        <w:t>,</w:t>
      </w:r>
      <w:r w:rsidRPr="009A1394">
        <w:rPr>
          <w:vertAlign w:val="superscript"/>
          <w:lang w:val="en-CA"/>
        </w:rPr>
        <w:footnoteReference w:id="85"/>
      </w:r>
      <w:r w:rsidRPr="009A1394">
        <w:rPr>
          <w:lang w:val="en-CA"/>
        </w:rPr>
        <w:t xml:space="preserve"> or about </w:t>
      </w:r>
      <w:r w:rsidR="001C580B" w:rsidRPr="009A1394">
        <w:rPr>
          <w:lang w:val="en-CA"/>
        </w:rPr>
        <w:t xml:space="preserve">one </w:t>
      </w:r>
      <w:r w:rsidRPr="009A1394">
        <w:rPr>
          <w:lang w:val="en-CA"/>
        </w:rPr>
        <w:t>third of the 146,700</w:t>
      </w:r>
      <w:r w:rsidR="00D942F3" w:rsidRPr="009A1394">
        <w:rPr>
          <w:lang w:val="en-CA"/>
        </w:rPr>
        <w:t> </w:t>
      </w:r>
      <w:r w:rsidRPr="009A1394">
        <w:rPr>
          <w:lang w:val="en-CA"/>
        </w:rPr>
        <w:t xml:space="preserve">lbs required to </w:t>
      </w:r>
      <w:r w:rsidR="00223954" w:rsidRPr="009A1394">
        <w:rPr>
          <w:lang w:val="en-CA"/>
        </w:rPr>
        <w:t>secure</w:t>
      </w:r>
      <w:r w:rsidRPr="009A1394">
        <w:rPr>
          <w:lang w:val="en-CA"/>
        </w:rPr>
        <w:t xml:space="preserve"> the train.</w:t>
      </w:r>
      <w:r w:rsidRPr="009A1394">
        <w:rPr>
          <w:vertAlign w:val="superscript"/>
          <w:lang w:val="en-CA"/>
        </w:rPr>
        <w:footnoteReference w:id="86"/>
      </w:r>
    </w:p>
    <w:p w14:paraId="133ED879" w14:textId="6A0E4AFB" w:rsidR="00CC66B8" w:rsidRPr="009A1394" w:rsidRDefault="00363C53" w:rsidP="003C6356">
      <w:pPr>
        <w:pStyle w:val="Paragraphe"/>
        <w:numPr>
          <w:ilvl w:val="0"/>
          <w:numId w:val="1"/>
        </w:numPr>
        <w:rPr>
          <w:lang w:val="en-CA"/>
        </w:rPr>
      </w:pPr>
      <w:r w:rsidRPr="009A1394">
        <w:rPr>
          <w:lang w:val="en-CA"/>
        </w:rPr>
        <w:t xml:space="preserve">When the air pressure </w:t>
      </w:r>
      <w:r w:rsidR="003B29B9" w:rsidRPr="009A1394">
        <w:rPr>
          <w:lang w:val="en-CA"/>
        </w:rPr>
        <w:t>fell</w:t>
      </w:r>
      <w:r w:rsidRPr="009A1394">
        <w:rPr>
          <w:lang w:val="en-CA"/>
        </w:rPr>
        <w:t xml:space="preserve"> to 97,400 lbs,</w:t>
      </w:r>
      <w:r w:rsidRPr="009A1394">
        <w:rPr>
          <w:vertAlign w:val="superscript"/>
          <w:lang w:val="en-CA"/>
        </w:rPr>
        <w:footnoteReference w:id="87"/>
      </w:r>
      <w:r w:rsidRPr="009A1394">
        <w:rPr>
          <w:lang w:val="en-CA"/>
        </w:rPr>
        <w:t xml:space="preserve"> the total </w:t>
      </w:r>
      <w:r w:rsidR="008C0C1F" w:rsidRPr="009A1394">
        <w:rPr>
          <w:lang w:val="en-CA"/>
        </w:rPr>
        <w:t xml:space="preserve">holding </w:t>
      </w:r>
      <w:r w:rsidRPr="009A1394">
        <w:rPr>
          <w:lang w:val="en-CA"/>
        </w:rPr>
        <w:t>force of 146,000 lbs (97,400 lbs + 48,600 lbs)</w:t>
      </w:r>
      <w:r w:rsidRPr="009A1394">
        <w:rPr>
          <w:vertAlign w:val="superscript"/>
          <w:lang w:val="en-CA"/>
        </w:rPr>
        <w:t xml:space="preserve"> </w:t>
      </w:r>
      <w:r w:rsidRPr="009A1394">
        <w:rPr>
          <w:vertAlign w:val="superscript"/>
          <w:lang w:val="en-CA"/>
        </w:rPr>
        <w:footnoteReference w:id="88"/>
      </w:r>
      <w:r w:rsidRPr="009A1394">
        <w:rPr>
          <w:lang w:val="en-CA"/>
        </w:rPr>
        <w:t xml:space="preserve"> became insufficient to </w:t>
      </w:r>
      <w:r w:rsidR="008C0C1F" w:rsidRPr="009A1394">
        <w:rPr>
          <w:lang w:val="en-CA"/>
        </w:rPr>
        <w:t>keep</w:t>
      </w:r>
      <w:r w:rsidRPr="009A1394">
        <w:rPr>
          <w:lang w:val="en-CA"/>
        </w:rPr>
        <w:t xml:space="preserve"> the train </w:t>
      </w:r>
      <w:r w:rsidR="008C0C1F" w:rsidRPr="009A1394">
        <w:rPr>
          <w:lang w:val="en-CA"/>
        </w:rPr>
        <w:t>stationary</w:t>
      </w:r>
      <w:r w:rsidRPr="009A1394">
        <w:rPr>
          <w:lang w:val="en-CA"/>
        </w:rPr>
        <w:t>.</w:t>
      </w:r>
      <w:r w:rsidRPr="009A1394">
        <w:rPr>
          <w:vertAlign w:val="superscript"/>
          <w:lang w:val="en-CA"/>
        </w:rPr>
        <w:footnoteReference w:id="89"/>
      </w:r>
      <w:r w:rsidR="008161A3" w:rsidRPr="009A1394">
        <w:rPr>
          <w:lang w:val="en-CA"/>
        </w:rPr>
        <w:t xml:space="preserve"> </w:t>
      </w:r>
      <w:r w:rsidR="00223954" w:rsidRPr="009A1394">
        <w:rPr>
          <w:lang w:val="en-CA"/>
        </w:rPr>
        <w:t>I</w:t>
      </w:r>
      <w:r w:rsidRPr="009A1394">
        <w:rPr>
          <w:lang w:val="en-CA"/>
        </w:rPr>
        <w:t>t therefore began to move.</w:t>
      </w:r>
      <w:r w:rsidR="008161A3" w:rsidRPr="009A1394">
        <w:rPr>
          <w:lang w:val="en-CA"/>
        </w:rPr>
        <w:t xml:space="preserve"> </w:t>
      </w:r>
      <w:r w:rsidRPr="009A1394">
        <w:rPr>
          <w:lang w:val="en-CA"/>
        </w:rPr>
        <w:t>It derailed due to the excessive speed it had</w:t>
      </w:r>
      <w:r w:rsidR="00223954" w:rsidRPr="009A1394">
        <w:rPr>
          <w:lang w:val="en-CA"/>
        </w:rPr>
        <w:t xml:space="preserve"> built up</w:t>
      </w:r>
      <w:r w:rsidRPr="009A1394">
        <w:rPr>
          <w:lang w:val="en-CA"/>
        </w:rPr>
        <w:t xml:space="preserve"> when it entered the curve at the </w:t>
      </w:r>
      <w:r w:rsidR="003B29B9" w:rsidRPr="009A1394">
        <w:rPr>
          <w:lang w:val="en-CA"/>
        </w:rPr>
        <w:t>entrance</w:t>
      </w:r>
      <w:r w:rsidRPr="009A1394">
        <w:rPr>
          <w:lang w:val="en-CA"/>
        </w:rPr>
        <w:t xml:space="preserve"> </w:t>
      </w:r>
      <w:r w:rsidR="00860ECE" w:rsidRPr="009A1394">
        <w:rPr>
          <w:lang w:val="en-CA"/>
        </w:rPr>
        <w:t xml:space="preserve">to the </w:t>
      </w:r>
      <w:r w:rsidRPr="009A1394">
        <w:rPr>
          <w:lang w:val="en-CA"/>
        </w:rPr>
        <w:t>downtown</w:t>
      </w:r>
      <w:r w:rsidR="00860ECE" w:rsidRPr="009A1394">
        <w:rPr>
          <w:lang w:val="en-CA"/>
        </w:rPr>
        <w:t xml:space="preserve"> area</w:t>
      </w:r>
      <w:r w:rsidRPr="009A1394">
        <w:rPr>
          <w:lang w:val="en-CA"/>
        </w:rPr>
        <w:t>.</w:t>
      </w:r>
      <w:r w:rsidRPr="009A1394">
        <w:rPr>
          <w:vertAlign w:val="superscript"/>
          <w:lang w:val="en-CA"/>
        </w:rPr>
        <w:footnoteReference w:id="90"/>
      </w:r>
    </w:p>
    <w:p w14:paraId="5757E189" w14:textId="4DEA0DE6" w:rsidR="007B50E3" w:rsidRPr="009A1394" w:rsidRDefault="00363C53" w:rsidP="007B50E3">
      <w:pPr>
        <w:pStyle w:val="Titre1"/>
        <w:rPr>
          <w:lang w:val="en-CA"/>
        </w:rPr>
      </w:pPr>
      <w:r w:rsidRPr="009A1394">
        <w:rPr>
          <w:lang w:val="en-CA"/>
        </w:rPr>
        <w:t>Rail transport in North America</w:t>
      </w:r>
    </w:p>
    <w:p w14:paraId="34D514F1" w14:textId="1CA13E64" w:rsidR="00CC66B8" w:rsidRPr="009A1394" w:rsidRDefault="002751E6" w:rsidP="003C6356">
      <w:pPr>
        <w:pStyle w:val="Paragraphe"/>
        <w:numPr>
          <w:ilvl w:val="0"/>
          <w:numId w:val="1"/>
        </w:numPr>
        <w:rPr>
          <w:lang w:val="en-CA"/>
        </w:rPr>
      </w:pPr>
      <w:r w:rsidRPr="009A1394">
        <w:rPr>
          <w:lang w:val="en-CA"/>
        </w:rPr>
        <w:t>In addition to the circumstances of the derailment, a substantial portion of the evidence concerned how the rail industry is organized in North America and, in particular, the</w:t>
      </w:r>
      <w:r w:rsidR="00223954" w:rsidRPr="009A1394">
        <w:rPr>
          <w:lang w:val="en-CA"/>
        </w:rPr>
        <w:t xml:space="preserve"> </w:t>
      </w:r>
      <w:r w:rsidRPr="009A1394">
        <w:rPr>
          <w:lang w:val="en-CA"/>
        </w:rPr>
        <w:t>significant changes it experienced following a wave of deregulation that began in the late 1970s in the United States</w:t>
      </w:r>
      <w:r w:rsidR="001E59BA" w:rsidRPr="009A1394">
        <w:rPr>
          <w:lang w:val="en-CA"/>
        </w:rPr>
        <w:t>,</w:t>
      </w:r>
      <w:r w:rsidRPr="009A1394">
        <w:rPr>
          <w:lang w:val="en-CA"/>
        </w:rPr>
        <w:t xml:space="preserve"> and </w:t>
      </w:r>
      <w:r w:rsidR="001E59BA" w:rsidRPr="009A1394">
        <w:rPr>
          <w:lang w:val="en-CA"/>
        </w:rPr>
        <w:t xml:space="preserve">a </w:t>
      </w:r>
      <w:r w:rsidR="00560FAF" w:rsidRPr="009A1394">
        <w:rPr>
          <w:lang w:val="en-CA"/>
        </w:rPr>
        <w:t>little</w:t>
      </w:r>
      <w:r w:rsidRPr="009A1394">
        <w:rPr>
          <w:lang w:val="en-CA"/>
        </w:rPr>
        <w:t xml:space="preserve"> later in Canada.</w:t>
      </w:r>
      <w:r w:rsidRPr="009A1394">
        <w:rPr>
          <w:vertAlign w:val="superscript"/>
          <w:lang w:val="en-CA"/>
        </w:rPr>
        <w:footnoteReference w:id="91"/>
      </w:r>
      <w:r w:rsidR="00A3021C" w:rsidRPr="009A1394">
        <w:rPr>
          <w:lang w:val="en-CA"/>
        </w:rPr>
        <w:t xml:space="preserve"> </w:t>
      </w:r>
      <w:bookmarkStart w:id="3" w:name="_Hlk186881861"/>
      <w:r w:rsidR="001E59BA" w:rsidRPr="009A1394">
        <w:rPr>
          <w:lang w:val="en-CA"/>
        </w:rPr>
        <w:t>Major</w:t>
      </w:r>
      <w:r w:rsidRPr="009A1394">
        <w:rPr>
          <w:lang w:val="en-CA"/>
        </w:rPr>
        <w:t xml:space="preserve"> rail</w:t>
      </w:r>
      <w:r w:rsidR="00223954" w:rsidRPr="009A1394">
        <w:rPr>
          <w:lang w:val="en-CA"/>
        </w:rPr>
        <w:t>way</w:t>
      </w:r>
      <w:r w:rsidRPr="009A1394">
        <w:rPr>
          <w:lang w:val="en-CA"/>
        </w:rPr>
        <w:t xml:space="preserve"> companies</w:t>
      </w:r>
      <w:r w:rsidR="005F6BD6" w:rsidRPr="009A1394">
        <w:rPr>
          <w:lang w:val="en-CA"/>
        </w:rPr>
        <w:t xml:space="preserve"> </w:t>
      </w:r>
      <w:r w:rsidRPr="009A1394">
        <w:rPr>
          <w:lang w:val="en-CA"/>
        </w:rPr>
        <w:t xml:space="preserve">in the </w:t>
      </w:r>
      <w:r w:rsidR="00FB398D" w:rsidRPr="009A1394">
        <w:rPr>
          <w:lang w:val="en-CA"/>
        </w:rPr>
        <w:t>C</w:t>
      </w:r>
      <w:r w:rsidRPr="009A1394">
        <w:rPr>
          <w:lang w:val="en-CA"/>
        </w:rPr>
        <w:t>lass 1 category,</w:t>
      </w:r>
      <w:r w:rsidRPr="009A1394">
        <w:rPr>
          <w:vertAlign w:val="superscript"/>
          <w:lang w:val="en-CA"/>
        </w:rPr>
        <w:footnoteReference w:id="92"/>
      </w:r>
      <w:r w:rsidRPr="009A1394">
        <w:rPr>
          <w:lang w:val="en-CA"/>
        </w:rPr>
        <w:t xml:space="preserve"> like CP</w:t>
      </w:r>
      <w:r w:rsidRPr="009A1394">
        <w:rPr>
          <w:vertAlign w:val="superscript"/>
          <w:lang w:val="en-CA"/>
        </w:rPr>
        <w:footnoteReference w:id="93"/>
      </w:r>
      <w:r w:rsidRPr="009A1394">
        <w:rPr>
          <w:lang w:val="en-CA"/>
        </w:rPr>
        <w:t xml:space="preserve"> and CN,</w:t>
      </w:r>
      <w:r w:rsidRPr="009A1394">
        <w:rPr>
          <w:vertAlign w:val="superscript"/>
          <w:lang w:val="en-CA"/>
        </w:rPr>
        <w:footnoteReference w:id="94"/>
      </w:r>
      <w:r w:rsidRPr="009A1394">
        <w:rPr>
          <w:lang w:val="en-CA"/>
        </w:rPr>
        <w:t xml:space="preserve"> saw</w:t>
      </w:r>
      <w:r w:rsidR="001E59BA" w:rsidRPr="009A1394">
        <w:rPr>
          <w:lang w:val="en-CA"/>
        </w:rPr>
        <w:t xml:space="preserve"> this as</w:t>
      </w:r>
      <w:r w:rsidRPr="009A1394">
        <w:rPr>
          <w:lang w:val="en-CA"/>
        </w:rPr>
        <w:t xml:space="preserve"> </w:t>
      </w:r>
      <w:r w:rsidR="001E59BA" w:rsidRPr="009A1394">
        <w:rPr>
          <w:lang w:val="en-CA"/>
        </w:rPr>
        <w:t>an opportunity</w:t>
      </w:r>
      <w:r w:rsidRPr="009A1394">
        <w:rPr>
          <w:lang w:val="en-CA"/>
        </w:rPr>
        <w:t xml:space="preserve"> to sell several less profitable </w:t>
      </w:r>
      <w:r w:rsidR="001E59BA" w:rsidRPr="009A1394">
        <w:rPr>
          <w:lang w:val="en-CA"/>
        </w:rPr>
        <w:t>and less</w:t>
      </w:r>
      <w:r w:rsidRPr="009A1394">
        <w:rPr>
          <w:lang w:val="en-CA"/>
        </w:rPr>
        <w:t xml:space="preserve"> interesting railroads;</w:t>
      </w:r>
      <w:r w:rsidRPr="009A1394">
        <w:rPr>
          <w:vertAlign w:val="superscript"/>
          <w:lang w:val="en-CA"/>
        </w:rPr>
        <w:footnoteReference w:id="95"/>
      </w:r>
      <w:r w:rsidRPr="009A1394">
        <w:rPr>
          <w:lang w:val="en-CA"/>
        </w:rPr>
        <w:t xml:space="preserve"> those who </w:t>
      </w:r>
      <w:r w:rsidR="001E59BA" w:rsidRPr="009A1394">
        <w:rPr>
          <w:lang w:val="en-CA"/>
        </w:rPr>
        <w:t>acquired</w:t>
      </w:r>
      <w:r w:rsidRPr="009A1394">
        <w:rPr>
          <w:lang w:val="en-CA"/>
        </w:rPr>
        <w:t xml:space="preserve"> them </w:t>
      </w:r>
      <w:r w:rsidR="001E59BA" w:rsidRPr="009A1394">
        <w:rPr>
          <w:lang w:val="en-CA"/>
        </w:rPr>
        <w:t>were confident that they could</w:t>
      </w:r>
      <w:r w:rsidRPr="009A1394">
        <w:rPr>
          <w:lang w:val="en-CA"/>
        </w:rPr>
        <w:t xml:space="preserve"> make them profitable.</w:t>
      </w:r>
      <w:r w:rsidRPr="009A1394">
        <w:rPr>
          <w:vertAlign w:val="superscript"/>
          <w:lang w:val="en-CA"/>
        </w:rPr>
        <w:footnoteReference w:id="96"/>
      </w:r>
      <w:r w:rsidR="008161A3" w:rsidRPr="009A1394">
        <w:rPr>
          <w:lang w:val="en-CA"/>
        </w:rPr>
        <w:t xml:space="preserve"> </w:t>
      </w:r>
      <w:r w:rsidRPr="009A1394">
        <w:rPr>
          <w:lang w:val="en-CA"/>
        </w:rPr>
        <w:t xml:space="preserve">Thus, many local </w:t>
      </w:r>
      <w:r w:rsidR="005F6BD6" w:rsidRPr="009A1394">
        <w:rPr>
          <w:lang w:val="en-CA"/>
        </w:rPr>
        <w:t xml:space="preserve">railways </w:t>
      </w:r>
      <w:r w:rsidRPr="009A1394">
        <w:rPr>
          <w:lang w:val="en-CA"/>
        </w:rPr>
        <w:t>(</w:t>
      </w:r>
      <w:r w:rsidR="001E59BA" w:rsidRPr="009A1394">
        <w:rPr>
          <w:lang w:val="en-CA"/>
        </w:rPr>
        <w:t>“</w:t>
      </w:r>
      <w:r w:rsidRPr="009A1394">
        <w:rPr>
          <w:b/>
          <w:lang w:val="en-CA"/>
        </w:rPr>
        <w:t>shortline railways</w:t>
      </w:r>
      <w:r w:rsidRPr="009A1394">
        <w:rPr>
          <w:lang w:val="en-CA"/>
        </w:rPr>
        <w:t xml:space="preserve">”) and regional railways </w:t>
      </w:r>
      <w:r w:rsidR="001E59BA" w:rsidRPr="009A1394">
        <w:rPr>
          <w:lang w:val="en-CA"/>
        </w:rPr>
        <w:t>came into being</w:t>
      </w:r>
      <w:r w:rsidRPr="009A1394">
        <w:rPr>
          <w:lang w:val="en-CA"/>
        </w:rPr>
        <w:t xml:space="preserve">, </w:t>
      </w:r>
      <w:r w:rsidR="005F6BD6" w:rsidRPr="009A1394">
        <w:rPr>
          <w:lang w:val="en-CA"/>
        </w:rPr>
        <w:t>to the point where</w:t>
      </w:r>
      <w:r w:rsidRPr="009A1394">
        <w:rPr>
          <w:lang w:val="en-CA"/>
        </w:rPr>
        <w:t xml:space="preserve"> in North America, hundreds of separate entities shared the business of rail transport.</w:t>
      </w:r>
      <w:r w:rsidR="008161A3" w:rsidRPr="009A1394">
        <w:rPr>
          <w:lang w:val="en-CA"/>
        </w:rPr>
        <w:t xml:space="preserve"> </w:t>
      </w:r>
      <w:r w:rsidR="00C37FB5" w:rsidRPr="009A1394">
        <w:rPr>
          <w:lang w:val="en-CA"/>
        </w:rPr>
        <w:t>I</w:t>
      </w:r>
      <w:r w:rsidRPr="009A1394">
        <w:rPr>
          <w:lang w:val="en-CA"/>
        </w:rPr>
        <w:t>n Canada</w:t>
      </w:r>
      <w:r w:rsidR="00C37FB5" w:rsidRPr="009A1394">
        <w:rPr>
          <w:lang w:val="en-CA"/>
        </w:rPr>
        <w:t xml:space="preserve"> alone</w:t>
      </w:r>
      <w:r w:rsidRPr="009A1394">
        <w:rPr>
          <w:lang w:val="en-CA"/>
        </w:rPr>
        <w:t>, there are over sixty.</w:t>
      </w:r>
      <w:r w:rsidRPr="009A1394">
        <w:rPr>
          <w:vertAlign w:val="superscript"/>
          <w:lang w:val="en-CA"/>
        </w:rPr>
        <w:footnoteReference w:id="97"/>
      </w:r>
      <w:r w:rsidR="008161A3" w:rsidRPr="009A1394">
        <w:rPr>
          <w:lang w:val="en-CA"/>
        </w:rPr>
        <w:t xml:space="preserve"> </w:t>
      </w:r>
      <w:r w:rsidRPr="009A1394">
        <w:rPr>
          <w:lang w:val="en-CA"/>
        </w:rPr>
        <w:t>All the stakeholders in the rail industry</w:t>
      </w:r>
      <w:r w:rsidR="00C37FB5" w:rsidRPr="009A1394">
        <w:rPr>
          <w:lang w:val="en-CA"/>
        </w:rPr>
        <w:t>,</w:t>
      </w:r>
      <w:r w:rsidRPr="009A1394">
        <w:rPr>
          <w:lang w:val="en-CA"/>
        </w:rPr>
        <w:t xml:space="preserve"> </w:t>
      </w:r>
      <w:r w:rsidR="00C37FB5" w:rsidRPr="009A1394">
        <w:rPr>
          <w:lang w:val="en-CA"/>
        </w:rPr>
        <w:t xml:space="preserve">large and small, </w:t>
      </w:r>
      <w:r w:rsidRPr="009A1394">
        <w:rPr>
          <w:lang w:val="en-CA"/>
        </w:rPr>
        <w:t>were happy with the emergence of these new carriers.</w:t>
      </w:r>
    </w:p>
    <w:bookmarkEnd w:id="3"/>
    <w:p w14:paraId="6D913BB0" w14:textId="619C4B90" w:rsidR="00CC66B8" w:rsidRPr="009A1394" w:rsidRDefault="002751E6" w:rsidP="003C6356">
      <w:pPr>
        <w:pStyle w:val="Paragraphe"/>
        <w:numPr>
          <w:ilvl w:val="0"/>
          <w:numId w:val="1"/>
        </w:numPr>
        <w:rPr>
          <w:lang w:val="en-CA"/>
        </w:rPr>
      </w:pPr>
      <w:r w:rsidRPr="009A1394">
        <w:rPr>
          <w:lang w:val="en-CA"/>
        </w:rPr>
        <w:t>It was in this context that CP sold part of its network to a smaller carrier.</w:t>
      </w:r>
      <w:r w:rsidR="00445D50" w:rsidRPr="009A1394">
        <w:rPr>
          <w:lang w:val="en-CA"/>
        </w:rPr>
        <w:t xml:space="preserve"> </w:t>
      </w:r>
      <w:r w:rsidRPr="009A1394">
        <w:rPr>
          <w:lang w:val="en-CA"/>
        </w:rPr>
        <w:t>After experiencing financial difficulties, this small carrier assigned it to MMA, a regional railway.</w:t>
      </w:r>
      <w:r w:rsidRPr="009A1394">
        <w:rPr>
          <w:vertAlign w:val="superscript"/>
          <w:lang w:val="en-CA"/>
        </w:rPr>
        <w:footnoteReference w:id="98"/>
      </w:r>
      <w:r w:rsidR="008161A3" w:rsidRPr="009A1394">
        <w:rPr>
          <w:lang w:val="en-CA"/>
        </w:rPr>
        <w:t xml:space="preserve"> </w:t>
      </w:r>
      <w:r w:rsidRPr="009A1394">
        <w:rPr>
          <w:rFonts w:cs="Arial"/>
          <w:lang w:val="en-CA"/>
        </w:rPr>
        <w:t xml:space="preserve">MMA </w:t>
      </w:r>
      <w:r w:rsidR="00B54764" w:rsidRPr="009A1394">
        <w:rPr>
          <w:rFonts w:cs="Arial"/>
          <w:lang w:val="en-CA"/>
        </w:rPr>
        <w:t>wa</w:t>
      </w:r>
      <w:r w:rsidRPr="009A1394">
        <w:rPr>
          <w:rFonts w:cs="Arial"/>
          <w:lang w:val="en-CA"/>
        </w:rPr>
        <w:t>s owned by Rail World Inc.,</w:t>
      </w:r>
      <w:r w:rsidRPr="009A1394">
        <w:rPr>
          <w:vertAlign w:val="superscript"/>
          <w:lang w:val="en-CA"/>
        </w:rPr>
        <w:footnoteReference w:id="99"/>
      </w:r>
      <w:r w:rsidRPr="009A1394">
        <w:rPr>
          <w:lang w:val="en-CA"/>
        </w:rPr>
        <w:t xml:space="preserve"> which the judge described as </w:t>
      </w:r>
      <w:r w:rsidR="002E3257" w:rsidRPr="009A1394">
        <w:rPr>
          <w:lang w:val="en-CA"/>
        </w:rPr>
        <w:t>[</w:t>
      </w:r>
      <w:r w:rsidR="002E3257" w:rsidRPr="009A1394">
        <w:rPr>
          <w:smallCaps/>
          <w:lang w:val="en-CA"/>
        </w:rPr>
        <w:t>translation</w:t>
      </w:r>
      <w:r w:rsidR="002E3257" w:rsidRPr="009A1394">
        <w:rPr>
          <w:lang w:val="en-CA"/>
        </w:rPr>
        <w:t>]</w:t>
      </w:r>
      <w:r w:rsidR="00793676" w:rsidRPr="009A1394">
        <w:rPr>
          <w:lang w:val="en-CA"/>
        </w:rPr>
        <w:t> </w:t>
      </w:r>
      <w:r w:rsidRPr="009A1394">
        <w:rPr>
          <w:lang w:val="en-CA"/>
        </w:rPr>
        <w:t xml:space="preserve">“an American conglomerate of some </w:t>
      </w:r>
      <w:r w:rsidR="002E3257" w:rsidRPr="009A1394">
        <w:rPr>
          <w:lang w:val="en-CA"/>
        </w:rPr>
        <w:t>importance</w:t>
      </w:r>
      <w:r w:rsidRPr="009A1394">
        <w:rPr>
          <w:lang w:val="en-CA"/>
        </w:rPr>
        <w:t xml:space="preserve"> </w:t>
      </w:r>
      <w:r w:rsidR="00793676" w:rsidRPr="009A1394">
        <w:rPr>
          <w:lang w:val="en-CA"/>
        </w:rPr>
        <w:t>[</w:t>
      </w:r>
      <w:r w:rsidRPr="009A1394">
        <w:rPr>
          <w:lang w:val="en-CA"/>
        </w:rPr>
        <w:t>...</w:t>
      </w:r>
      <w:r w:rsidR="00793676" w:rsidRPr="009A1394">
        <w:rPr>
          <w:lang w:val="en-CA"/>
        </w:rPr>
        <w:t>]</w:t>
      </w:r>
      <w:r w:rsidRPr="009A1394">
        <w:rPr>
          <w:lang w:val="en-CA"/>
        </w:rPr>
        <w:t xml:space="preserve"> [that] operates various regional railways” in the United States, Canada, and Europe.</w:t>
      </w:r>
      <w:r w:rsidRPr="009A1394">
        <w:rPr>
          <w:rFonts w:cs="Arial"/>
          <w:color w:val="000000"/>
          <w:vertAlign w:val="superscript"/>
          <w:lang w:val="en-CA"/>
        </w:rPr>
        <w:footnoteReference w:id="100"/>
      </w:r>
    </w:p>
    <w:p w14:paraId="77ABBC7B" w14:textId="1E2EDA98" w:rsidR="00CC66B8" w:rsidRPr="009A1394" w:rsidRDefault="002751E6" w:rsidP="003C6356">
      <w:pPr>
        <w:pStyle w:val="Paragraphe"/>
        <w:numPr>
          <w:ilvl w:val="0"/>
          <w:numId w:val="1"/>
        </w:numPr>
        <w:rPr>
          <w:lang w:val="en-CA"/>
        </w:rPr>
      </w:pPr>
      <w:r w:rsidRPr="009A1394">
        <w:rPr>
          <w:lang w:val="en-CA"/>
        </w:rPr>
        <w:lastRenderedPageBreak/>
        <w:t>A significant portion of the evidence also concern</w:t>
      </w:r>
      <w:r w:rsidR="002E3257" w:rsidRPr="009A1394">
        <w:rPr>
          <w:lang w:val="en-CA"/>
        </w:rPr>
        <w:t>ed</w:t>
      </w:r>
      <w:r w:rsidRPr="009A1394">
        <w:rPr>
          <w:lang w:val="en-CA"/>
        </w:rPr>
        <w:t xml:space="preserve"> the commercial relationships that exist between the rail</w:t>
      </w:r>
      <w:r w:rsidR="00F677DE" w:rsidRPr="009A1394">
        <w:rPr>
          <w:lang w:val="en-CA"/>
        </w:rPr>
        <w:t>way</w:t>
      </w:r>
      <w:r w:rsidRPr="009A1394">
        <w:rPr>
          <w:lang w:val="en-CA"/>
        </w:rPr>
        <w:t xml:space="preserve"> companies and</w:t>
      </w:r>
      <w:r w:rsidR="00F677DE" w:rsidRPr="009A1394">
        <w:rPr>
          <w:lang w:val="en-CA"/>
        </w:rPr>
        <w:t>,</w:t>
      </w:r>
      <w:r w:rsidRPr="009A1394">
        <w:rPr>
          <w:lang w:val="en-CA"/>
        </w:rPr>
        <w:t xml:space="preserve"> in particular, between the Class 1 carriers on the one </w:t>
      </w:r>
      <w:r w:rsidR="00F677DE" w:rsidRPr="009A1394">
        <w:rPr>
          <w:lang w:val="en-CA"/>
        </w:rPr>
        <w:t>hand</w:t>
      </w:r>
      <w:r w:rsidRPr="009A1394">
        <w:rPr>
          <w:lang w:val="en-CA"/>
        </w:rPr>
        <w:t xml:space="preserve"> and the shortline and regional railways on the other.</w:t>
      </w:r>
      <w:r w:rsidR="008161A3" w:rsidRPr="009A1394">
        <w:rPr>
          <w:lang w:val="en-CA"/>
        </w:rPr>
        <w:t xml:space="preserve"> </w:t>
      </w:r>
      <w:r w:rsidRPr="009A1394">
        <w:rPr>
          <w:lang w:val="en-CA"/>
        </w:rPr>
        <w:t>The judge stated that</w:t>
      </w:r>
      <w:r w:rsidR="00F677DE" w:rsidRPr="009A1394">
        <w:rPr>
          <w:lang w:val="en-CA"/>
        </w:rPr>
        <w:t xml:space="preserve"> [</w:t>
      </w:r>
      <w:r w:rsidR="00F677DE" w:rsidRPr="009A1394">
        <w:rPr>
          <w:smallCaps/>
          <w:lang w:val="en-CA"/>
        </w:rPr>
        <w:t>translation</w:t>
      </w:r>
      <w:r w:rsidR="00F677DE" w:rsidRPr="009A1394">
        <w:rPr>
          <w:lang w:val="en-CA"/>
        </w:rPr>
        <w:t>]</w:t>
      </w:r>
      <w:r w:rsidRPr="009A1394">
        <w:rPr>
          <w:lang w:val="en-CA"/>
        </w:rPr>
        <w:t xml:space="preserve"> “[t]he activities of these </w:t>
      </w:r>
      <w:r w:rsidR="003578D5" w:rsidRPr="009A1394">
        <w:rPr>
          <w:lang w:val="en-CA"/>
        </w:rPr>
        <w:t>C</w:t>
      </w:r>
      <w:r w:rsidRPr="009A1394">
        <w:rPr>
          <w:lang w:val="en-CA"/>
        </w:rPr>
        <w:t xml:space="preserve">lass 1 railway companies </w:t>
      </w:r>
      <w:r w:rsidR="004608A2" w:rsidRPr="009A1394">
        <w:rPr>
          <w:lang w:val="en-CA"/>
        </w:rPr>
        <w:t xml:space="preserve">when transporting goods </w:t>
      </w:r>
      <w:r w:rsidRPr="009A1394">
        <w:rPr>
          <w:lang w:val="en-CA"/>
        </w:rPr>
        <w:t xml:space="preserve">are, </w:t>
      </w:r>
      <w:r w:rsidR="0017055E" w:rsidRPr="009A1394">
        <w:rPr>
          <w:lang w:val="en-CA"/>
        </w:rPr>
        <w:t>very often</w:t>
      </w:r>
      <w:r w:rsidRPr="009A1394">
        <w:rPr>
          <w:lang w:val="en-CA"/>
        </w:rPr>
        <w:t xml:space="preserve">, preceded or followed by </w:t>
      </w:r>
      <w:r w:rsidR="004D2EDB" w:rsidRPr="009A1394">
        <w:rPr>
          <w:lang w:val="en-CA"/>
        </w:rPr>
        <w:t xml:space="preserve">those of </w:t>
      </w:r>
      <w:r w:rsidRPr="009A1394">
        <w:rPr>
          <w:lang w:val="en-CA"/>
        </w:rPr>
        <w:t>smaller entities”.</w:t>
      </w:r>
      <w:r w:rsidRPr="009A1394">
        <w:rPr>
          <w:vertAlign w:val="superscript"/>
          <w:lang w:val="en-CA"/>
        </w:rPr>
        <w:footnoteReference w:id="101"/>
      </w:r>
      <w:r w:rsidR="008161A3" w:rsidRPr="009A1394">
        <w:rPr>
          <w:lang w:val="en-CA"/>
        </w:rPr>
        <w:t xml:space="preserve"> </w:t>
      </w:r>
      <w:r w:rsidRPr="009A1394">
        <w:rPr>
          <w:lang w:val="en-CA"/>
        </w:rPr>
        <w:t xml:space="preserve">This </w:t>
      </w:r>
      <w:r w:rsidR="0017055E" w:rsidRPr="009A1394">
        <w:rPr>
          <w:lang w:val="en-CA"/>
        </w:rPr>
        <w:t>led</w:t>
      </w:r>
      <w:r w:rsidRPr="009A1394">
        <w:rPr>
          <w:lang w:val="en-CA"/>
        </w:rPr>
        <w:t xml:space="preserve"> him to say that </w:t>
      </w:r>
      <w:r w:rsidR="00FE646A" w:rsidRPr="009A1394">
        <w:rPr>
          <w:lang w:val="en-CA"/>
        </w:rPr>
        <w:t>C</w:t>
      </w:r>
      <w:r w:rsidRPr="009A1394">
        <w:rPr>
          <w:lang w:val="en-CA"/>
        </w:rPr>
        <w:t xml:space="preserve">lass 1 railroads </w:t>
      </w:r>
      <w:r w:rsidR="00F677DE" w:rsidRPr="009A1394">
        <w:rPr>
          <w:lang w:val="en-CA"/>
        </w:rPr>
        <w:t>[</w:t>
      </w:r>
      <w:r w:rsidR="00F677DE" w:rsidRPr="009A1394">
        <w:rPr>
          <w:smallCaps/>
          <w:lang w:val="en-CA"/>
        </w:rPr>
        <w:t>translation</w:t>
      </w:r>
      <w:r w:rsidR="00F677DE" w:rsidRPr="009A1394">
        <w:rPr>
          <w:lang w:val="en-CA"/>
        </w:rPr>
        <w:t xml:space="preserve">] </w:t>
      </w:r>
      <w:r w:rsidRPr="009A1394">
        <w:rPr>
          <w:lang w:val="en-CA"/>
        </w:rPr>
        <w:t xml:space="preserve">“cannot function without the </w:t>
      </w:r>
      <w:r w:rsidR="0017055E" w:rsidRPr="009A1394">
        <w:rPr>
          <w:lang w:val="en-CA"/>
        </w:rPr>
        <w:t>contribution</w:t>
      </w:r>
      <w:r w:rsidRPr="009A1394">
        <w:rPr>
          <w:lang w:val="en-CA"/>
        </w:rPr>
        <w:t xml:space="preserve"> of regional and shortline carriers”.</w:t>
      </w:r>
      <w:r w:rsidRPr="009A1394">
        <w:rPr>
          <w:vertAlign w:val="superscript"/>
          <w:lang w:val="en-CA"/>
        </w:rPr>
        <w:footnoteReference w:id="102"/>
      </w:r>
      <w:r w:rsidR="008161A3" w:rsidRPr="009A1394">
        <w:rPr>
          <w:lang w:val="en-CA"/>
        </w:rPr>
        <w:t xml:space="preserve"> </w:t>
      </w:r>
      <w:r w:rsidRPr="009A1394">
        <w:rPr>
          <w:lang w:val="en-CA"/>
        </w:rPr>
        <w:t>To meet the needs of their customers, who are spread</w:t>
      </w:r>
      <w:r w:rsidR="00FD7540" w:rsidRPr="009A1394">
        <w:rPr>
          <w:lang w:val="en-CA"/>
        </w:rPr>
        <w:t xml:space="preserve"> out</w:t>
      </w:r>
      <w:r w:rsidRPr="009A1394">
        <w:rPr>
          <w:lang w:val="en-CA"/>
        </w:rPr>
        <w:t xml:space="preserve"> </w:t>
      </w:r>
      <w:r w:rsidR="00F677DE" w:rsidRPr="009A1394">
        <w:rPr>
          <w:lang w:val="en-CA"/>
        </w:rPr>
        <w:t>across</w:t>
      </w:r>
      <w:r w:rsidRPr="009A1394">
        <w:rPr>
          <w:lang w:val="en-CA"/>
        </w:rPr>
        <w:t xml:space="preserve"> the North American continent, the first group, including CP, have no choice but to cooperate with those in the second group to ensure efficient interswitching between them.</w:t>
      </w:r>
      <w:r w:rsidRPr="009A1394">
        <w:rPr>
          <w:vertAlign w:val="superscript"/>
          <w:lang w:val="en-CA"/>
        </w:rPr>
        <w:footnoteReference w:id="103"/>
      </w:r>
    </w:p>
    <w:p w14:paraId="126AAA1B" w14:textId="7F7BE307" w:rsidR="00CC66B8" w:rsidRPr="009A1394" w:rsidRDefault="002751E6" w:rsidP="004B1090">
      <w:pPr>
        <w:pStyle w:val="Paragraphe"/>
        <w:numPr>
          <w:ilvl w:val="0"/>
          <w:numId w:val="1"/>
        </w:numPr>
        <w:rPr>
          <w:lang w:val="en-CA"/>
        </w:rPr>
      </w:pPr>
      <w:r w:rsidRPr="009A1394">
        <w:rPr>
          <w:lang w:val="en-CA"/>
        </w:rPr>
        <w:t xml:space="preserve">MMA </w:t>
      </w:r>
      <w:r w:rsidR="00B54764" w:rsidRPr="009A1394">
        <w:rPr>
          <w:lang w:val="en-CA"/>
        </w:rPr>
        <w:t>wa</w:t>
      </w:r>
      <w:r w:rsidRPr="009A1394">
        <w:rPr>
          <w:lang w:val="en-CA"/>
        </w:rPr>
        <w:t>s no exception</w:t>
      </w:r>
      <w:r w:rsidR="008A276F" w:rsidRPr="009A1394">
        <w:rPr>
          <w:lang w:val="en-CA"/>
        </w:rPr>
        <w:t>.</w:t>
      </w:r>
      <w:r w:rsidR="008A276F" w:rsidRPr="009A1394">
        <w:rPr>
          <w:iCs/>
          <w:lang w:val="en-CA"/>
        </w:rPr>
        <w:t xml:space="preserve"> Its</w:t>
      </w:r>
      <w:r w:rsidR="008A276F" w:rsidRPr="009A1394">
        <w:rPr>
          <w:lang w:val="en-CA"/>
        </w:rPr>
        <w:t xml:space="preserve"> commercial dealings with CP </w:t>
      </w:r>
      <w:r w:rsidR="00B54764" w:rsidRPr="009A1394">
        <w:rPr>
          <w:lang w:val="en-CA"/>
        </w:rPr>
        <w:t>were</w:t>
      </w:r>
      <w:r w:rsidR="008A276F" w:rsidRPr="009A1394">
        <w:rPr>
          <w:lang w:val="en-CA"/>
        </w:rPr>
        <w:t xml:space="preserve"> frequent because their respective tracks </w:t>
      </w:r>
      <w:r w:rsidR="00B54764" w:rsidRPr="009A1394">
        <w:rPr>
          <w:lang w:val="en-CA"/>
        </w:rPr>
        <w:t>were</w:t>
      </w:r>
      <w:r w:rsidR="008A276F" w:rsidRPr="009A1394">
        <w:rPr>
          <w:lang w:val="en-CA"/>
        </w:rPr>
        <w:t xml:space="preserve"> inter</w:t>
      </w:r>
      <w:r w:rsidR="0017055E" w:rsidRPr="009A1394">
        <w:rPr>
          <w:lang w:val="en-CA"/>
        </w:rPr>
        <w:t>connect</w:t>
      </w:r>
      <w:r w:rsidR="008A276F" w:rsidRPr="009A1394">
        <w:rPr>
          <w:lang w:val="en-CA"/>
        </w:rPr>
        <w:t>ed</w:t>
      </w:r>
      <w:r w:rsidRPr="009A1394">
        <w:rPr>
          <w:lang w:val="en-CA"/>
        </w:rPr>
        <w:t>.</w:t>
      </w:r>
      <w:r w:rsidR="008161A3" w:rsidRPr="009A1394">
        <w:rPr>
          <w:vertAlign w:val="superscript"/>
          <w:lang w:val="en-CA"/>
        </w:rPr>
        <w:footnoteReference w:id="104"/>
      </w:r>
      <w:r w:rsidR="008161A3" w:rsidRPr="009A1394">
        <w:rPr>
          <w:lang w:val="en-CA"/>
        </w:rPr>
        <w:t xml:space="preserve"> </w:t>
      </w:r>
      <w:r w:rsidRPr="009A1394">
        <w:rPr>
          <w:lang w:val="en-CA"/>
        </w:rPr>
        <w:t>MMA also ha</w:t>
      </w:r>
      <w:r w:rsidR="00B54764" w:rsidRPr="009A1394">
        <w:rPr>
          <w:lang w:val="en-CA"/>
        </w:rPr>
        <w:t>d</w:t>
      </w:r>
      <w:r w:rsidRPr="009A1394">
        <w:rPr>
          <w:lang w:val="en-CA"/>
        </w:rPr>
        <w:t xml:space="preserve"> commercial </w:t>
      </w:r>
      <w:r w:rsidR="008A276F" w:rsidRPr="009A1394">
        <w:rPr>
          <w:lang w:val="en-CA"/>
        </w:rPr>
        <w:t>dealings</w:t>
      </w:r>
      <w:r w:rsidRPr="009A1394">
        <w:rPr>
          <w:lang w:val="en-CA"/>
        </w:rPr>
        <w:t xml:space="preserve"> with other shortline railways and </w:t>
      </w:r>
      <w:r w:rsidR="006A129A" w:rsidRPr="009A1394">
        <w:rPr>
          <w:lang w:val="en-CA"/>
        </w:rPr>
        <w:t>C</w:t>
      </w:r>
      <w:r w:rsidRPr="009A1394">
        <w:rPr>
          <w:lang w:val="en-CA"/>
        </w:rPr>
        <w:t>lass 1 rail</w:t>
      </w:r>
      <w:r w:rsidR="008A276F" w:rsidRPr="009A1394">
        <w:rPr>
          <w:lang w:val="en-CA"/>
        </w:rPr>
        <w:t>way</w:t>
      </w:r>
      <w:r w:rsidRPr="009A1394">
        <w:rPr>
          <w:lang w:val="en-CA"/>
        </w:rPr>
        <w:t xml:space="preserve"> companies, like CN.</w:t>
      </w:r>
      <w:r w:rsidRPr="009A1394">
        <w:rPr>
          <w:vertAlign w:val="superscript"/>
          <w:lang w:val="en-CA"/>
        </w:rPr>
        <w:footnoteReference w:id="105"/>
      </w:r>
    </w:p>
    <w:p w14:paraId="210C852F" w14:textId="4CA08C4F" w:rsidR="00CC66B8" w:rsidRPr="009A1394" w:rsidRDefault="002751E6" w:rsidP="003C6356">
      <w:pPr>
        <w:pStyle w:val="Paragraphe"/>
        <w:numPr>
          <w:ilvl w:val="0"/>
          <w:numId w:val="1"/>
        </w:numPr>
        <w:rPr>
          <w:lang w:val="en-CA"/>
        </w:rPr>
      </w:pPr>
      <w:r w:rsidRPr="009A1394">
        <w:rPr>
          <w:lang w:val="en-CA"/>
        </w:rPr>
        <w:t xml:space="preserve">It also appears from this evidence that rail transport in North America is </w:t>
      </w:r>
      <w:r w:rsidR="00560FAF" w:rsidRPr="009A1394">
        <w:rPr>
          <w:lang w:val="en-CA"/>
        </w:rPr>
        <w:t xml:space="preserve">widely </w:t>
      </w:r>
      <w:r w:rsidRPr="009A1394">
        <w:rPr>
          <w:lang w:val="en-CA"/>
        </w:rPr>
        <w:t>regulated.</w:t>
      </w:r>
      <w:r w:rsidR="008161A3" w:rsidRPr="009A1394">
        <w:rPr>
          <w:lang w:val="en-CA"/>
        </w:rPr>
        <w:t xml:space="preserve"> </w:t>
      </w:r>
      <w:r w:rsidRPr="009A1394">
        <w:rPr>
          <w:lang w:val="en-CA"/>
        </w:rPr>
        <w:t>These regulations are intended to ensure efficiency and fluidity, but also safety,</w:t>
      </w:r>
      <w:r w:rsidRPr="009A1394">
        <w:rPr>
          <w:vertAlign w:val="superscript"/>
          <w:lang w:val="en-CA"/>
        </w:rPr>
        <w:footnoteReference w:id="106"/>
      </w:r>
      <w:r w:rsidRPr="009A1394">
        <w:rPr>
          <w:lang w:val="en-CA"/>
        </w:rPr>
        <w:t xml:space="preserve"> especially where dangerous goods are concerned.</w:t>
      </w:r>
      <w:r w:rsidRPr="009A1394">
        <w:rPr>
          <w:vertAlign w:val="superscript"/>
          <w:lang w:val="en-CA"/>
        </w:rPr>
        <w:footnoteReference w:id="107"/>
      </w:r>
      <w:r w:rsidR="008161A3" w:rsidRPr="009A1394">
        <w:rPr>
          <w:lang w:val="en-CA"/>
        </w:rPr>
        <w:t xml:space="preserve"> </w:t>
      </w:r>
      <w:r w:rsidRPr="009A1394">
        <w:rPr>
          <w:lang w:val="en-CA"/>
        </w:rPr>
        <w:t xml:space="preserve">In Canada, railway companies under federal jurisdiction, like CP and MMA, must </w:t>
      </w:r>
      <w:r w:rsidR="00D254B1" w:rsidRPr="009A1394">
        <w:rPr>
          <w:lang w:val="en-CA"/>
        </w:rPr>
        <w:t xml:space="preserve">develop </w:t>
      </w:r>
      <w:r w:rsidRPr="009A1394">
        <w:rPr>
          <w:lang w:val="en-CA"/>
        </w:rPr>
        <w:t>and implement</w:t>
      </w:r>
      <w:r w:rsidR="004D4460" w:rsidRPr="009A1394">
        <w:rPr>
          <w:lang w:val="en-CA"/>
        </w:rPr>
        <w:t>,</w:t>
      </w:r>
      <w:r w:rsidRPr="009A1394">
        <w:rPr>
          <w:lang w:val="en-CA"/>
        </w:rPr>
        <w:t xml:space="preserve"> </w:t>
      </w:r>
      <w:r w:rsidR="004D4460" w:rsidRPr="009A1394">
        <w:rPr>
          <w:lang w:val="en-CA"/>
        </w:rPr>
        <w:t xml:space="preserve">pursuant to the </w:t>
      </w:r>
      <w:r w:rsidR="004D4460" w:rsidRPr="009A1394">
        <w:rPr>
          <w:i/>
          <w:lang w:val="en-CA"/>
        </w:rPr>
        <w:t xml:space="preserve">Railway Safety Management System Regulations </w:t>
      </w:r>
      <w:r w:rsidR="004D4460" w:rsidRPr="009A1394">
        <w:rPr>
          <w:iCs/>
          <w:lang w:val="en-CA"/>
        </w:rPr>
        <w:t>(“</w:t>
      </w:r>
      <w:r w:rsidR="004D4460" w:rsidRPr="009A1394">
        <w:rPr>
          <w:b/>
          <w:bCs/>
          <w:i/>
          <w:lang w:val="en-CA"/>
        </w:rPr>
        <w:t>Regulations</w:t>
      </w:r>
      <w:r w:rsidR="004D4460" w:rsidRPr="009A1394">
        <w:rPr>
          <w:iCs/>
          <w:lang w:val="en-CA"/>
        </w:rPr>
        <w:t>”)</w:t>
      </w:r>
      <w:r w:rsidR="00452F4D" w:rsidRPr="009A1394">
        <w:rPr>
          <w:iCs/>
          <w:lang w:val="en-CA"/>
        </w:rPr>
        <w:t>,</w:t>
      </w:r>
      <w:r w:rsidRPr="009A1394">
        <w:rPr>
          <w:vertAlign w:val="superscript"/>
          <w:lang w:val="en-CA"/>
        </w:rPr>
        <w:footnoteReference w:id="108"/>
      </w:r>
      <w:r w:rsidR="00452F4D" w:rsidRPr="009A1394">
        <w:rPr>
          <w:lang w:val="en-CA"/>
        </w:rPr>
        <w:t xml:space="preserve"> </w:t>
      </w:r>
      <w:r w:rsidR="004D4460" w:rsidRPr="009A1394">
        <w:rPr>
          <w:lang w:val="en-CA"/>
        </w:rPr>
        <w:t>a safety management system (“</w:t>
      </w:r>
      <w:r w:rsidR="004D4460" w:rsidRPr="009A1394">
        <w:rPr>
          <w:b/>
          <w:bCs/>
          <w:lang w:val="en-CA"/>
        </w:rPr>
        <w:t>SMS</w:t>
      </w:r>
      <w:r w:rsidR="004D4460" w:rsidRPr="009A1394">
        <w:rPr>
          <w:lang w:val="en-CA"/>
        </w:rPr>
        <w:t>”)</w:t>
      </w:r>
      <w:r w:rsidR="00452F4D" w:rsidRPr="009A1394">
        <w:rPr>
          <w:lang w:val="en-CA"/>
        </w:rPr>
        <w:t>.</w:t>
      </w:r>
      <w:r w:rsidRPr="009A1394">
        <w:rPr>
          <w:rStyle w:val="Appelnotedebasdep"/>
          <w:iCs/>
          <w:color w:val="000000" w:themeColor="text1"/>
          <w:lang w:val="en-CA"/>
        </w:rPr>
        <w:footnoteReference w:id="109"/>
      </w:r>
      <w:r w:rsidR="008161A3" w:rsidRPr="009A1394">
        <w:rPr>
          <w:lang w:val="en-CA"/>
        </w:rPr>
        <w:t xml:space="preserve"> </w:t>
      </w:r>
      <w:r w:rsidRPr="009A1394">
        <w:rPr>
          <w:lang w:val="en-CA"/>
        </w:rPr>
        <w:t xml:space="preserve">The purpose of the SMS is to </w:t>
      </w:r>
      <w:r w:rsidR="00BD7FD4" w:rsidRPr="009A1394">
        <w:rPr>
          <w:lang w:val="en-CA"/>
        </w:rPr>
        <w:t>identify</w:t>
      </w:r>
      <w:r w:rsidRPr="009A1394">
        <w:rPr>
          <w:lang w:val="en-CA"/>
        </w:rPr>
        <w:t xml:space="preserve"> safety </w:t>
      </w:r>
      <w:r w:rsidR="004D4460" w:rsidRPr="009A1394">
        <w:rPr>
          <w:lang w:val="en-CA"/>
        </w:rPr>
        <w:t>risks</w:t>
      </w:r>
      <w:r w:rsidRPr="009A1394">
        <w:rPr>
          <w:lang w:val="en-CA"/>
        </w:rPr>
        <w:t xml:space="preserve"> to which the railway company might be </w:t>
      </w:r>
      <w:r w:rsidR="008A276F" w:rsidRPr="009A1394">
        <w:rPr>
          <w:lang w:val="en-CA"/>
        </w:rPr>
        <w:t>exposed</w:t>
      </w:r>
      <w:r w:rsidRPr="009A1394">
        <w:rPr>
          <w:lang w:val="en-CA"/>
        </w:rPr>
        <w:t xml:space="preserve"> and to implement appropriate mechanism</w:t>
      </w:r>
      <w:r w:rsidR="008A276F" w:rsidRPr="009A1394">
        <w:rPr>
          <w:lang w:val="en-CA"/>
        </w:rPr>
        <w:t>s</w:t>
      </w:r>
      <w:r w:rsidRPr="009A1394">
        <w:rPr>
          <w:lang w:val="en-CA"/>
        </w:rPr>
        <w:t xml:space="preserve"> to minimize </w:t>
      </w:r>
      <w:r w:rsidR="004D4460" w:rsidRPr="009A1394">
        <w:rPr>
          <w:lang w:val="en-CA"/>
        </w:rPr>
        <w:t>them</w:t>
      </w:r>
      <w:r w:rsidR="008A276F" w:rsidRPr="009A1394">
        <w:rPr>
          <w:lang w:val="en-CA"/>
        </w:rPr>
        <w:t>.</w:t>
      </w:r>
      <w:r w:rsidRPr="009A1394">
        <w:rPr>
          <w:vertAlign w:val="superscript"/>
          <w:lang w:val="en-CA"/>
        </w:rPr>
        <w:footnoteReference w:id="110"/>
      </w:r>
      <w:r w:rsidR="008161A3" w:rsidRPr="009A1394">
        <w:rPr>
          <w:lang w:val="en-CA"/>
        </w:rPr>
        <w:t xml:space="preserve"> </w:t>
      </w:r>
      <w:r w:rsidRPr="009A1394">
        <w:rPr>
          <w:lang w:val="en-CA"/>
        </w:rPr>
        <w:t xml:space="preserve">When a railway company significantly modifies its operations, it must </w:t>
      </w:r>
      <w:r w:rsidR="00640695" w:rsidRPr="009A1394">
        <w:rPr>
          <w:lang w:val="en-CA"/>
        </w:rPr>
        <w:t>conduct</w:t>
      </w:r>
      <w:r w:rsidRPr="009A1394">
        <w:rPr>
          <w:lang w:val="en-CA"/>
        </w:rPr>
        <w:t xml:space="preserve"> a</w:t>
      </w:r>
      <w:r w:rsidR="00D254B1" w:rsidRPr="009A1394">
        <w:rPr>
          <w:lang w:val="en-CA"/>
        </w:rPr>
        <w:t>n</w:t>
      </w:r>
      <w:r w:rsidRPr="009A1394">
        <w:rPr>
          <w:lang w:val="en-CA"/>
        </w:rPr>
        <w:t xml:space="preserve"> assessment </w:t>
      </w:r>
      <w:r w:rsidR="00D254B1" w:rsidRPr="009A1394">
        <w:rPr>
          <w:lang w:val="en-CA"/>
        </w:rPr>
        <w:t>of the risks associated</w:t>
      </w:r>
      <w:r w:rsidRPr="009A1394">
        <w:rPr>
          <w:lang w:val="en-CA"/>
        </w:rPr>
        <w:t xml:space="preserve"> with those modifications.</w:t>
      </w:r>
      <w:r w:rsidRPr="009A1394">
        <w:rPr>
          <w:vertAlign w:val="superscript"/>
          <w:lang w:val="en-CA"/>
        </w:rPr>
        <w:footnoteReference w:id="111"/>
      </w:r>
    </w:p>
    <w:p w14:paraId="7DE9B5BF" w14:textId="2FFE1BEF" w:rsidR="00E05A5F" w:rsidRPr="009A1394" w:rsidRDefault="002751E6" w:rsidP="00E05A5F">
      <w:pPr>
        <w:pStyle w:val="Titre1"/>
        <w:rPr>
          <w:lang w:val="en-CA"/>
        </w:rPr>
      </w:pPr>
      <w:r w:rsidRPr="009A1394">
        <w:rPr>
          <w:lang w:val="en-CA"/>
        </w:rPr>
        <w:t>The appellants’ cause of action at trial</w:t>
      </w:r>
    </w:p>
    <w:p w14:paraId="785E1877" w14:textId="3A04670B" w:rsidR="00CC66B8" w:rsidRPr="009A1394" w:rsidRDefault="00692EF7" w:rsidP="003C6356">
      <w:pPr>
        <w:pStyle w:val="Paragraphe"/>
        <w:numPr>
          <w:ilvl w:val="0"/>
          <w:numId w:val="1"/>
        </w:numPr>
        <w:rPr>
          <w:lang w:val="en-CA"/>
        </w:rPr>
      </w:pPr>
      <w:r w:rsidRPr="009A1394">
        <w:rPr>
          <w:lang w:val="en-CA"/>
        </w:rPr>
        <w:t>The cause of action the appellants argued at trial specifically raises safety issues. It turns on four main themes.</w:t>
      </w:r>
      <w:r w:rsidRPr="009A1394">
        <w:rPr>
          <w:vertAlign w:val="superscript"/>
          <w:lang w:val="en-CA"/>
        </w:rPr>
        <w:footnoteReference w:id="112"/>
      </w:r>
    </w:p>
    <w:p w14:paraId="4CDD7681" w14:textId="52C2689F" w:rsidR="00CC66B8" w:rsidRPr="009A1394" w:rsidRDefault="00692EF7" w:rsidP="003C6356">
      <w:pPr>
        <w:pStyle w:val="Paragraphe"/>
        <w:numPr>
          <w:ilvl w:val="0"/>
          <w:numId w:val="1"/>
        </w:numPr>
        <w:rPr>
          <w:lang w:val="en-CA"/>
        </w:rPr>
      </w:pPr>
      <w:r w:rsidRPr="009A1394">
        <w:rPr>
          <w:lang w:val="en-CA"/>
        </w:rPr>
        <w:lastRenderedPageBreak/>
        <w:t xml:space="preserve">The first is that the </w:t>
      </w:r>
      <w:r w:rsidR="00674A89" w:rsidRPr="009A1394">
        <w:rPr>
          <w:lang w:val="en-CA"/>
        </w:rPr>
        <w:t>significant</w:t>
      </w:r>
      <w:r w:rsidRPr="009A1394">
        <w:rPr>
          <w:lang w:val="en-CA"/>
        </w:rPr>
        <w:t xml:space="preserve"> increase in the volume of crude oil</w:t>
      </w:r>
      <w:r w:rsidR="0077780F" w:rsidRPr="009A1394">
        <w:rPr>
          <w:lang w:val="en-CA"/>
        </w:rPr>
        <w:t xml:space="preserve"> </w:t>
      </w:r>
      <w:r w:rsidRPr="009A1394">
        <w:rPr>
          <w:lang w:val="en-CA"/>
        </w:rPr>
        <w:t xml:space="preserve">from the Bakken </w:t>
      </w:r>
      <w:r w:rsidR="00676A6B" w:rsidRPr="009A1394">
        <w:rPr>
          <w:lang w:val="en-CA"/>
        </w:rPr>
        <w:t>Formation</w:t>
      </w:r>
      <w:r w:rsidRPr="009A1394">
        <w:rPr>
          <w:lang w:val="en-CA"/>
        </w:rPr>
        <w:t xml:space="preserve"> </w:t>
      </w:r>
      <w:r w:rsidR="00674A89" w:rsidRPr="009A1394">
        <w:rPr>
          <w:lang w:val="en-CA"/>
        </w:rPr>
        <w:t>transported</w:t>
      </w:r>
      <w:r w:rsidRPr="009A1394">
        <w:rPr>
          <w:lang w:val="en-CA"/>
        </w:rPr>
        <w:t xml:space="preserve"> by unit trains imposed on CP </w:t>
      </w:r>
      <w:r w:rsidR="00452F4D" w:rsidRPr="009A1394">
        <w:rPr>
          <w:lang w:val="en-CA"/>
        </w:rPr>
        <w:t xml:space="preserve">the obligation </w:t>
      </w:r>
      <w:r w:rsidRPr="009A1394">
        <w:rPr>
          <w:lang w:val="en-CA"/>
        </w:rPr>
        <w:t>to carry out a risk assessment.</w:t>
      </w:r>
      <w:r w:rsidR="008161A3" w:rsidRPr="009A1394">
        <w:rPr>
          <w:lang w:val="en-CA"/>
        </w:rPr>
        <w:t xml:space="preserve"> </w:t>
      </w:r>
      <w:r w:rsidRPr="009A1394">
        <w:rPr>
          <w:lang w:val="en-CA"/>
        </w:rPr>
        <w:t xml:space="preserve">This assessment should have </w:t>
      </w:r>
      <w:r w:rsidR="003867DE" w:rsidRPr="009A1394">
        <w:rPr>
          <w:lang w:val="en-CA"/>
        </w:rPr>
        <w:t xml:space="preserve">involved </w:t>
      </w:r>
      <w:r w:rsidRPr="009A1394">
        <w:rPr>
          <w:lang w:val="en-CA"/>
        </w:rPr>
        <w:t xml:space="preserve">not only its own network, but also </w:t>
      </w:r>
      <w:r w:rsidR="0077780F" w:rsidRPr="009A1394">
        <w:rPr>
          <w:lang w:val="en-CA"/>
        </w:rPr>
        <w:t xml:space="preserve">that of </w:t>
      </w:r>
      <w:r w:rsidRPr="009A1394">
        <w:rPr>
          <w:lang w:val="en-CA"/>
        </w:rPr>
        <w:t>MMA</w:t>
      </w:r>
      <w:r w:rsidR="0077780F" w:rsidRPr="009A1394">
        <w:rPr>
          <w:lang w:val="en-CA"/>
        </w:rPr>
        <w:t xml:space="preserve">. This would have </w:t>
      </w:r>
      <w:r w:rsidR="003867DE" w:rsidRPr="009A1394">
        <w:rPr>
          <w:lang w:val="en-CA"/>
        </w:rPr>
        <w:t xml:space="preserve">enabled </w:t>
      </w:r>
      <w:r w:rsidRPr="009A1394">
        <w:rPr>
          <w:lang w:val="en-CA"/>
        </w:rPr>
        <w:t>CP</w:t>
      </w:r>
      <w:r w:rsidR="00006797" w:rsidRPr="009A1394">
        <w:rPr>
          <w:lang w:val="en-CA"/>
        </w:rPr>
        <w:t xml:space="preserve"> to</w:t>
      </w:r>
      <w:r w:rsidRPr="009A1394">
        <w:rPr>
          <w:lang w:val="en-CA"/>
        </w:rPr>
        <w:t xml:space="preserve"> </w:t>
      </w:r>
      <w:r w:rsidR="003867DE" w:rsidRPr="009A1394">
        <w:rPr>
          <w:lang w:val="en-CA"/>
        </w:rPr>
        <w:t>become aware</w:t>
      </w:r>
      <w:r w:rsidRPr="009A1394">
        <w:rPr>
          <w:lang w:val="en-CA"/>
        </w:rPr>
        <w:t xml:space="preserve">, if </w:t>
      </w:r>
      <w:r w:rsidR="009071AA" w:rsidRPr="009A1394">
        <w:rPr>
          <w:lang w:val="en-CA"/>
        </w:rPr>
        <w:t xml:space="preserve">that were </w:t>
      </w:r>
      <w:r w:rsidR="003867DE" w:rsidRPr="009A1394">
        <w:rPr>
          <w:lang w:val="en-CA"/>
        </w:rPr>
        <w:t xml:space="preserve">not </w:t>
      </w:r>
      <w:r w:rsidRPr="009A1394">
        <w:rPr>
          <w:lang w:val="en-CA"/>
        </w:rPr>
        <w:t xml:space="preserve">already </w:t>
      </w:r>
      <w:r w:rsidR="009071AA" w:rsidRPr="009A1394">
        <w:rPr>
          <w:lang w:val="en-CA"/>
        </w:rPr>
        <w:t>the case</w:t>
      </w:r>
      <w:r w:rsidRPr="009A1394">
        <w:rPr>
          <w:lang w:val="en-CA"/>
        </w:rPr>
        <w:t xml:space="preserve">, </w:t>
      </w:r>
      <w:r w:rsidR="003867DE" w:rsidRPr="009A1394">
        <w:rPr>
          <w:lang w:val="en-CA"/>
        </w:rPr>
        <w:t xml:space="preserve">of </w:t>
      </w:r>
      <w:r w:rsidRPr="009A1394">
        <w:rPr>
          <w:lang w:val="en-CA"/>
        </w:rPr>
        <w:t xml:space="preserve">MMA’s poor practices, including the fact that its trains were often </w:t>
      </w:r>
      <w:r w:rsidR="00452F4D" w:rsidRPr="009A1394">
        <w:rPr>
          <w:lang w:val="en-CA"/>
        </w:rPr>
        <w:t>operated</w:t>
      </w:r>
      <w:r w:rsidRPr="009A1394">
        <w:rPr>
          <w:lang w:val="en-CA"/>
        </w:rPr>
        <w:t xml:space="preserve"> in SPTO mode, that they were regularly parked in Nantes at the top of a </w:t>
      </w:r>
      <w:r w:rsidR="00452F4D" w:rsidRPr="009A1394">
        <w:rPr>
          <w:lang w:val="en-CA"/>
        </w:rPr>
        <w:t>descending grade</w:t>
      </w:r>
      <w:r w:rsidRPr="009A1394">
        <w:rPr>
          <w:lang w:val="en-CA"/>
        </w:rPr>
        <w:t xml:space="preserve"> and </w:t>
      </w:r>
      <w:r w:rsidR="00544995" w:rsidRPr="009A1394">
        <w:rPr>
          <w:lang w:val="en-CA"/>
        </w:rPr>
        <w:t xml:space="preserve">that they were </w:t>
      </w:r>
      <w:r w:rsidRPr="009A1394">
        <w:rPr>
          <w:lang w:val="en-CA"/>
        </w:rPr>
        <w:t xml:space="preserve">left there </w:t>
      </w:r>
      <w:r w:rsidR="00990AF8" w:rsidRPr="009A1394">
        <w:rPr>
          <w:lang w:val="en-CA"/>
        </w:rPr>
        <w:t>unattended</w:t>
      </w:r>
      <w:r w:rsidRPr="009A1394">
        <w:rPr>
          <w:lang w:val="en-CA"/>
        </w:rPr>
        <w:t xml:space="preserve"> for several hours.</w:t>
      </w:r>
      <w:r w:rsidRPr="009A1394">
        <w:rPr>
          <w:vertAlign w:val="superscript"/>
          <w:lang w:val="en-CA"/>
        </w:rPr>
        <w:footnoteReference w:id="113"/>
      </w:r>
      <w:r w:rsidR="008161A3" w:rsidRPr="009A1394">
        <w:rPr>
          <w:lang w:val="en-CA"/>
        </w:rPr>
        <w:t xml:space="preserve"> </w:t>
      </w:r>
      <w:r w:rsidRPr="009A1394">
        <w:rPr>
          <w:lang w:val="en-CA"/>
        </w:rPr>
        <w:t xml:space="preserve">CP </w:t>
      </w:r>
      <w:r w:rsidR="00F4333E" w:rsidRPr="009A1394">
        <w:rPr>
          <w:lang w:val="en-CA"/>
        </w:rPr>
        <w:t xml:space="preserve">would then </w:t>
      </w:r>
      <w:r w:rsidRPr="009A1394">
        <w:rPr>
          <w:lang w:val="en-CA"/>
        </w:rPr>
        <w:t xml:space="preserve">have </w:t>
      </w:r>
      <w:r w:rsidR="00F4333E" w:rsidRPr="009A1394">
        <w:rPr>
          <w:lang w:val="en-CA"/>
        </w:rPr>
        <w:t>had to require</w:t>
      </w:r>
      <w:r w:rsidRPr="009A1394">
        <w:rPr>
          <w:lang w:val="en-CA"/>
        </w:rPr>
        <w:t xml:space="preserve"> MMA</w:t>
      </w:r>
      <w:r w:rsidR="00F4333E" w:rsidRPr="009A1394">
        <w:rPr>
          <w:lang w:val="en-CA"/>
        </w:rPr>
        <w:t xml:space="preserve"> to</w:t>
      </w:r>
      <w:r w:rsidRPr="009A1394">
        <w:rPr>
          <w:lang w:val="en-CA"/>
        </w:rPr>
        <w:t xml:space="preserve"> change its </w:t>
      </w:r>
      <w:r w:rsidR="003867DE" w:rsidRPr="009A1394">
        <w:rPr>
          <w:lang w:val="en-CA"/>
        </w:rPr>
        <w:t>practices</w:t>
      </w:r>
      <w:r w:rsidRPr="009A1394">
        <w:rPr>
          <w:lang w:val="en-CA"/>
        </w:rPr>
        <w:t xml:space="preserve"> or simply refuse to do business with it.</w:t>
      </w:r>
      <w:r w:rsidR="008161A3" w:rsidRPr="009A1394">
        <w:rPr>
          <w:lang w:val="en-CA"/>
        </w:rPr>
        <w:t xml:space="preserve"> </w:t>
      </w:r>
      <w:r w:rsidRPr="009A1394">
        <w:rPr>
          <w:lang w:val="en-CA"/>
        </w:rPr>
        <w:t xml:space="preserve">Had it done so, the tragedy </w:t>
      </w:r>
      <w:r w:rsidR="00452F4D" w:rsidRPr="009A1394">
        <w:rPr>
          <w:lang w:val="en-CA"/>
        </w:rPr>
        <w:t>w</w:t>
      </w:r>
      <w:r w:rsidRPr="009A1394">
        <w:rPr>
          <w:lang w:val="en-CA"/>
        </w:rPr>
        <w:t xml:space="preserve">ould have been </w:t>
      </w:r>
      <w:r w:rsidR="0077780F" w:rsidRPr="009A1394">
        <w:rPr>
          <w:lang w:val="en-CA"/>
        </w:rPr>
        <w:t>averted</w:t>
      </w:r>
      <w:r w:rsidRPr="009A1394">
        <w:rPr>
          <w:lang w:val="en-CA"/>
        </w:rPr>
        <w:t>.</w:t>
      </w:r>
    </w:p>
    <w:p w14:paraId="671814A5" w14:textId="1A426F8F" w:rsidR="00CC66B8" w:rsidRPr="009A1394" w:rsidRDefault="00692EF7" w:rsidP="003C6356">
      <w:pPr>
        <w:pStyle w:val="Paragraphe"/>
        <w:numPr>
          <w:ilvl w:val="0"/>
          <w:numId w:val="1"/>
        </w:numPr>
        <w:rPr>
          <w:lang w:val="en-CA"/>
        </w:rPr>
      </w:pPr>
      <w:r w:rsidRPr="009A1394">
        <w:rPr>
          <w:lang w:val="en-CA"/>
        </w:rPr>
        <w:t xml:space="preserve">The second </w:t>
      </w:r>
      <w:r w:rsidR="00006797" w:rsidRPr="009A1394">
        <w:rPr>
          <w:lang w:val="en-CA"/>
        </w:rPr>
        <w:t>wa</w:t>
      </w:r>
      <w:r w:rsidRPr="009A1394">
        <w:rPr>
          <w:lang w:val="en-CA"/>
        </w:rPr>
        <w:t xml:space="preserve">s CP’s decision to recommend MMA to WFS as a connecting carrier, even if </w:t>
      </w:r>
      <w:r w:rsidR="003867DE" w:rsidRPr="009A1394">
        <w:rPr>
          <w:lang w:val="en-CA"/>
        </w:rPr>
        <w:t xml:space="preserve">it was </w:t>
      </w:r>
      <w:r w:rsidR="0077780F" w:rsidRPr="009A1394">
        <w:rPr>
          <w:lang w:val="en-CA"/>
        </w:rPr>
        <w:t>aware of</w:t>
      </w:r>
      <w:r w:rsidRPr="009A1394">
        <w:rPr>
          <w:lang w:val="en-CA"/>
        </w:rPr>
        <w:t xml:space="preserve"> </w:t>
      </w:r>
      <w:r w:rsidR="0077780F" w:rsidRPr="009A1394">
        <w:rPr>
          <w:lang w:val="en-CA"/>
        </w:rPr>
        <w:t>the</w:t>
      </w:r>
      <w:r w:rsidRPr="009A1394">
        <w:rPr>
          <w:lang w:val="en-CA"/>
        </w:rPr>
        <w:t xml:space="preserve"> poor</w:t>
      </w:r>
      <w:r w:rsidR="00F4333E" w:rsidRPr="009A1394">
        <w:rPr>
          <w:lang w:val="en-CA"/>
        </w:rPr>
        <w:t xml:space="preserve"> </w:t>
      </w:r>
      <w:r w:rsidR="00006797" w:rsidRPr="009A1394">
        <w:rPr>
          <w:lang w:val="en-CA"/>
        </w:rPr>
        <w:t>quality of the</w:t>
      </w:r>
      <w:r w:rsidRPr="009A1394">
        <w:rPr>
          <w:lang w:val="en-CA"/>
        </w:rPr>
        <w:t xml:space="preserve"> management of its rail</w:t>
      </w:r>
      <w:r w:rsidR="001A2CE4" w:rsidRPr="009A1394">
        <w:rPr>
          <w:lang w:val="en-CA"/>
        </w:rPr>
        <w:t>way</w:t>
      </w:r>
      <w:r w:rsidRPr="009A1394">
        <w:rPr>
          <w:lang w:val="en-CA"/>
        </w:rPr>
        <w:t xml:space="preserve"> operations</w:t>
      </w:r>
      <w:r w:rsidR="00006797" w:rsidRPr="009A1394">
        <w:rPr>
          <w:lang w:val="en-CA"/>
        </w:rPr>
        <w:t xml:space="preserve"> in terms of safety</w:t>
      </w:r>
      <w:r w:rsidRPr="009A1394">
        <w:rPr>
          <w:lang w:val="en-CA"/>
        </w:rPr>
        <w:t>.</w:t>
      </w:r>
    </w:p>
    <w:p w14:paraId="21DCD95B" w14:textId="75224AF8" w:rsidR="00CC66B8" w:rsidRPr="009A1394" w:rsidRDefault="00692EF7" w:rsidP="003C6356">
      <w:pPr>
        <w:pStyle w:val="Paragraphe"/>
        <w:numPr>
          <w:ilvl w:val="0"/>
          <w:numId w:val="1"/>
        </w:numPr>
        <w:rPr>
          <w:lang w:val="en-CA"/>
        </w:rPr>
      </w:pPr>
      <w:r w:rsidRPr="009A1394">
        <w:rPr>
          <w:lang w:val="en-CA"/>
        </w:rPr>
        <w:t>The third concerns the erroneous classification of the crude oil transported.</w:t>
      </w:r>
      <w:r w:rsidR="008161A3" w:rsidRPr="009A1394">
        <w:rPr>
          <w:lang w:val="en-CA"/>
        </w:rPr>
        <w:t xml:space="preserve"> </w:t>
      </w:r>
      <w:r w:rsidR="0040690F" w:rsidRPr="009A1394">
        <w:rPr>
          <w:lang w:val="en-CA"/>
        </w:rPr>
        <w:t xml:space="preserve">According to the appellants, CP knew or should have known that the oil in question had been improperly classified </w:t>
      </w:r>
      <w:r w:rsidR="00AF0673" w:rsidRPr="009A1394">
        <w:rPr>
          <w:lang w:val="en-CA"/>
        </w:rPr>
        <w:t>and</w:t>
      </w:r>
      <w:r w:rsidR="0040690F" w:rsidRPr="009A1394">
        <w:rPr>
          <w:lang w:val="en-CA"/>
        </w:rPr>
        <w:t xml:space="preserve"> that it was more volatile, explosive, and flammable than </w:t>
      </w:r>
      <w:r w:rsidR="00AF0673" w:rsidRPr="009A1394">
        <w:rPr>
          <w:lang w:val="en-CA"/>
        </w:rPr>
        <w:t>[</w:t>
      </w:r>
      <w:r w:rsidR="00AF0673" w:rsidRPr="009A1394">
        <w:rPr>
          <w:smallCaps/>
          <w:lang w:val="en-CA"/>
        </w:rPr>
        <w:t>translation</w:t>
      </w:r>
      <w:r w:rsidR="00AF0673" w:rsidRPr="009A1394">
        <w:rPr>
          <w:lang w:val="en-CA"/>
        </w:rPr>
        <w:t xml:space="preserve">] </w:t>
      </w:r>
      <w:r w:rsidR="0040690F" w:rsidRPr="009A1394">
        <w:rPr>
          <w:lang w:val="en-CA"/>
        </w:rPr>
        <w:t>“</w:t>
      </w:r>
      <w:r w:rsidR="00F4333E" w:rsidRPr="009A1394">
        <w:rPr>
          <w:lang w:val="en-CA"/>
        </w:rPr>
        <w:t>C</w:t>
      </w:r>
      <w:r w:rsidR="0040690F" w:rsidRPr="009A1394">
        <w:rPr>
          <w:lang w:val="en-CA"/>
        </w:rPr>
        <w:t xml:space="preserve">lass 3 </w:t>
      </w:r>
      <w:r w:rsidR="00006797" w:rsidRPr="009A1394">
        <w:rPr>
          <w:lang w:val="en-CA"/>
        </w:rPr>
        <w:t>C</w:t>
      </w:r>
      <w:r w:rsidR="0040690F" w:rsidRPr="009A1394">
        <w:rPr>
          <w:lang w:val="en-CA"/>
        </w:rPr>
        <w:t>rude</w:t>
      </w:r>
      <w:r w:rsidR="00006797" w:rsidRPr="009A1394">
        <w:rPr>
          <w:lang w:val="en-CA"/>
        </w:rPr>
        <w:t xml:space="preserve"> O</w:t>
      </w:r>
      <w:r w:rsidR="0040690F" w:rsidRPr="009A1394">
        <w:rPr>
          <w:lang w:val="en-CA"/>
        </w:rPr>
        <w:t xml:space="preserve">il and </w:t>
      </w:r>
      <w:r w:rsidR="00006797" w:rsidRPr="009A1394">
        <w:rPr>
          <w:lang w:val="en-CA"/>
        </w:rPr>
        <w:t>P</w:t>
      </w:r>
      <w:r w:rsidR="0040690F" w:rsidRPr="009A1394">
        <w:rPr>
          <w:lang w:val="en-CA"/>
        </w:rPr>
        <w:t xml:space="preserve">acking </w:t>
      </w:r>
      <w:r w:rsidR="00006797" w:rsidRPr="009A1394">
        <w:rPr>
          <w:lang w:val="en-CA"/>
        </w:rPr>
        <w:t>G</w:t>
      </w:r>
      <w:r w:rsidR="0040690F" w:rsidRPr="009A1394">
        <w:rPr>
          <w:lang w:val="en-CA"/>
        </w:rPr>
        <w:t>roup III”.</w:t>
      </w:r>
      <w:r w:rsidR="0040690F" w:rsidRPr="009A1394">
        <w:rPr>
          <w:rFonts w:cs="Arial"/>
          <w:color w:val="000000"/>
          <w:vertAlign w:val="superscript"/>
          <w:lang w:val="en-CA"/>
        </w:rPr>
        <w:footnoteReference w:id="114"/>
      </w:r>
      <w:r w:rsidR="008161A3" w:rsidRPr="009A1394">
        <w:rPr>
          <w:lang w:val="en-CA"/>
        </w:rPr>
        <w:t xml:space="preserve"> </w:t>
      </w:r>
      <w:r w:rsidR="0040690F" w:rsidRPr="009A1394">
        <w:rPr>
          <w:lang w:val="en-CA"/>
        </w:rPr>
        <w:t>It should have complained about it to WFS and insist</w:t>
      </w:r>
      <w:r w:rsidR="00006797" w:rsidRPr="009A1394">
        <w:rPr>
          <w:lang w:val="en-CA"/>
        </w:rPr>
        <w:t>ed</w:t>
      </w:r>
      <w:r w:rsidR="0040690F" w:rsidRPr="009A1394">
        <w:rPr>
          <w:lang w:val="en-CA"/>
        </w:rPr>
        <w:t xml:space="preserve"> that its error be corrected.</w:t>
      </w:r>
      <w:r w:rsidR="008161A3" w:rsidRPr="009A1394">
        <w:rPr>
          <w:lang w:val="en-CA"/>
        </w:rPr>
        <w:t xml:space="preserve"> </w:t>
      </w:r>
      <w:r w:rsidR="0040690F" w:rsidRPr="009A1394">
        <w:rPr>
          <w:lang w:val="en-CA"/>
        </w:rPr>
        <w:t>According to the appellants, if MMA had known the actual classification of this oil, it would not have carried it in a</w:t>
      </w:r>
      <w:r w:rsidR="007A4007" w:rsidRPr="009A1394">
        <w:rPr>
          <w:lang w:val="en-CA"/>
        </w:rPr>
        <w:t>n</w:t>
      </w:r>
      <w:r w:rsidR="0040690F" w:rsidRPr="009A1394">
        <w:rPr>
          <w:lang w:val="en-CA"/>
        </w:rPr>
        <w:t xml:space="preserve"> SPTO train and would not have </w:t>
      </w:r>
      <w:r w:rsidR="00AF0673" w:rsidRPr="009A1394">
        <w:rPr>
          <w:lang w:val="en-CA"/>
        </w:rPr>
        <w:t>secured</w:t>
      </w:r>
      <w:r w:rsidR="0040690F" w:rsidRPr="009A1394">
        <w:rPr>
          <w:lang w:val="en-CA"/>
        </w:rPr>
        <w:t xml:space="preserve"> it</w:t>
      </w:r>
      <w:r w:rsidR="00990AF8" w:rsidRPr="009A1394">
        <w:rPr>
          <w:lang w:val="en-CA"/>
        </w:rPr>
        <w:t>,</w:t>
      </w:r>
      <w:r w:rsidR="0040690F" w:rsidRPr="009A1394">
        <w:rPr>
          <w:lang w:val="en-CA"/>
        </w:rPr>
        <w:t xml:space="preserve"> </w:t>
      </w:r>
      <w:r w:rsidR="00990AF8" w:rsidRPr="009A1394">
        <w:rPr>
          <w:lang w:val="en-CA"/>
        </w:rPr>
        <w:t>unattended</w:t>
      </w:r>
      <w:r w:rsidR="0040690F" w:rsidRPr="009A1394">
        <w:rPr>
          <w:lang w:val="en-CA"/>
        </w:rPr>
        <w:t xml:space="preserve">, on a main track, at the top of a </w:t>
      </w:r>
      <w:r w:rsidR="00006797" w:rsidRPr="009A1394">
        <w:rPr>
          <w:lang w:val="en-CA"/>
        </w:rPr>
        <w:t>descending grade</w:t>
      </w:r>
      <w:r w:rsidR="0040690F" w:rsidRPr="009A1394">
        <w:rPr>
          <w:lang w:val="en-CA"/>
        </w:rPr>
        <w:t xml:space="preserve"> for </w:t>
      </w:r>
      <w:r w:rsidR="007A4007" w:rsidRPr="009A1394">
        <w:rPr>
          <w:lang w:val="en-CA"/>
        </w:rPr>
        <w:t xml:space="preserve">an </w:t>
      </w:r>
      <w:r w:rsidR="00006797" w:rsidRPr="009A1394">
        <w:rPr>
          <w:lang w:val="en-CA"/>
        </w:rPr>
        <w:t>entire</w:t>
      </w:r>
      <w:r w:rsidR="0040690F" w:rsidRPr="009A1394">
        <w:rPr>
          <w:lang w:val="en-CA"/>
        </w:rPr>
        <w:t xml:space="preserve"> night.</w:t>
      </w:r>
      <w:r w:rsidR="008161A3" w:rsidRPr="009A1394">
        <w:rPr>
          <w:lang w:val="en-CA"/>
        </w:rPr>
        <w:t xml:space="preserve"> </w:t>
      </w:r>
      <w:r w:rsidR="00006797" w:rsidRPr="009A1394">
        <w:rPr>
          <w:lang w:val="en-CA"/>
        </w:rPr>
        <w:t>A</w:t>
      </w:r>
      <w:r w:rsidR="0040690F" w:rsidRPr="009A1394">
        <w:rPr>
          <w:lang w:val="en-CA"/>
        </w:rPr>
        <w:t xml:space="preserve">gain, the train derailment would have been </w:t>
      </w:r>
      <w:r w:rsidR="00AF0673" w:rsidRPr="009A1394">
        <w:rPr>
          <w:lang w:val="en-CA"/>
        </w:rPr>
        <w:t>averted</w:t>
      </w:r>
      <w:r w:rsidR="0040690F" w:rsidRPr="009A1394">
        <w:rPr>
          <w:lang w:val="en-CA"/>
        </w:rPr>
        <w:t>.</w:t>
      </w:r>
    </w:p>
    <w:p w14:paraId="308B429D" w14:textId="5485CE98" w:rsidR="00CC66B8" w:rsidRPr="009A1394" w:rsidRDefault="0040690F" w:rsidP="003C6356">
      <w:pPr>
        <w:pStyle w:val="Paragraphe"/>
        <w:numPr>
          <w:ilvl w:val="0"/>
          <w:numId w:val="1"/>
        </w:numPr>
        <w:rPr>
          <w:lang w:val="en-CA"/>
        </w:rPr>
      </w:pPr>
      <w:r w:rsidRPr="009A1394">
        <w:rPr>
          <w:lang w:val="en-CA"/>
        </w:rPr>
        <w:t xml:space="preserve">The fourth is CP’s </w:t>
      </w:r>
      <w:r w:rsidR="00D06A8A" w:rsidRPr="009A1394">
        <w:rPr>
          <w:lang w:val="en-CA"/>
        </w:rPr>
        <w:t xml:space="preserve">failure to </w:t>
      </w:r>
      <w:r w:rsidR="00B30A9F" w:rsidRPr="009A1394">
        <w:rPr>
          <w:lang w:val="en-CA"/>
        </w:rPr>
        <w:t xml:space="preserve">intervene with </w:t>
      </w:r>
      <w:r w:rsidR="00CB7B03" w:rsidRPr="009A1394">
        <w:rPr>
          <w:lang w:val="en-CA"/>
        </w:rPr>
        <w:t xml:space="preserve">respect </w:t>
      </w:r>
      <w:r w:rsidR="00B30A9F" w:rsidRPr="009A1394">
        <w:rPr>
          <w:lang w:val="en-CA"/>
        </w:rPr>
        <w:t>to</w:t>
      </w:r>
      <w:r w:rsidR="00CB7B03" w:rsidRPr="009A1394">
        <w:rPr>
          <w:lang w:val="en-CA"/>
        </w:rPr>
        <w:t xml:space="preserve"> </w:t>
      </w:r>
      <w:r w:rsidRPr="009A1394">
        <w:rPr>
          <w:lang w:val="en-CA"/>
        </w:rPr>
        <w:t xml:space="preserve">MMA when it </w:t>
      </w:r>
      <w:r w:rsidR="00006797" w:rsidRPr="009A1394">
        <w:rPr>
          <w:lang w:val="en-CA"/>
        </w:rPr>
        <w:t>was informed</w:t>
      </w:r>
      <w:r w:rsidRPr="009A1394">
        <w:rPr>
          <w:lang w:val="en-CA"/>
        </w:rPr>
        <w:t xml:space="preserve"> about its dangerous practices, especially leaving unit trains full of crude oil at the top of a </w:t>
      </w:r>
      <w:r w:rsidR="00006797" w:rsidRPr="009A1394">
        <w:rPr>
          <w:lang w:val="en-CA"/>
        </w:rPr>
        <w:t>descending grade</w:t>
      </w:r>
      <w:r w:rsidRPr="009A1394">
        <w:rPr>
          <w:lang w:val="en-CA"/>
        </w:rPr>
        <w:t xml:space="preserve">, for the night, </w:t>
      </w:r>
      <w:r w:rsidR="00990AF8" w:rsidRPr="009A1394">
        <w:rPr>
          <w:lang w:val="en-CA"/>
        </w:rPr>
        <w:t>unattended</w:t>
      </w:r>
      <w:r w:rsidRPr="009A1394">
        <w:rPr>
          <w:lang w:val="en-CA"/>
        </w:rPr>
        <w:t>.</w:t>
      </w:r>
    </w:p>
    <w:p w14:paraId="6987509B" w14:textId="0F17FAB4" w:rsidR="00CC66B8" w:rsidRPr="009A1394" w:rsidRDefault="0040690F" w:rsidP="00933643">
      <w:pPr>
        <w:pStyle w:val="Titre1"/>
        <w:rPr>
          <w:lang w:val="en-CA"/>
        </w:rPr>
      </w:pPr>
      <w:r w:rsidRPr="009A1394">
        <w:rPr>
          <w:lang w:val="en-CA"/>
        </w:rPr>
        <w:t>Judgment under appe</w:t>
      </w:r>
      <w:r w:rsidR="00AF0673" w:rsidRPr="009A1394">
        <w:rPr>
          <w:lang w:val="en-CA"/>
        </w:rPr>
        <w:t>a</w:t>
      </w:r>
      <w:r w:rsidRPr="009A1394">
        <w:rPr>
          <w:lang w:val="en-CA"/>
        </w:rPr>
        <w:t>l</w:t>
      </w:r>
    </w:p>
    <w:p w14:paraId="072C46C5" w14:textId="4DA8B26F" w:rsidR="00CC66B8" w:rsidRPr="009A1394" w:rsidRDefault="0040690F" w:rsidP="003C6356">
      <w:pPr>
        <w:pStyle w:val="Paragraphe"/>
        <w:numPr>
          <w:ilvl w:val="0"/>
          <w:numId w:val="1"/>
        </w:numPr>
        <w:rPr>
          <w:lang w:val="en-CA"/>
        </w:rPr>
      </w:pPr>
      <w:r w:rsidRPr="009A1394">
        <w:rPr>
          <w:lang w:val="en-CA"/>
        </w:rPr>
        <w:t>As already stated, the trial lasted just over 60 days.</w:t>
      </w:r>
      <w:r w:rsidR="00186FB1" w:rsidRPr="009A1394">
        <w:rPr>
          <w:lang w:val="en-CA"/>
        </w:rPr>
        <w:t xml:space="preserve"> </w:t>
      </w:r>
      <w:r w:rsidRPr="009A1394">
        <w:rPr>
          <w:lang w:val="en-CA"/>
        </w:rPr>
        <w:t>Fifty-five witnesses were heard, including 13 experts.</w:t>
      </w:r>
      <w:r w:rsidR="00186FB1" w:rsidRPr="009A1394">
        <w:rPr>
          <w:lang w:val="en-CA"/>
        </w:rPr>
        <w:t xml:space="preserve"> </w:t>
      </w:r>
      <w:r w:rsidRPr="009A1394">
        <w:rPr>
          <w:lang w:val="en-CA"/>
        </w:rPr>
        <w:t>Over 2,800 exhibits were filed.</w:t>
      </w:r>
      <w:r w:rsidR="00186FB1" w:rsidRPr="009A1394">
        <w:rPr>
          <w:lang w:val="en-CA"/>
        </w:rPr>
        <w:t xml:space="preserve"> </w:t>
      </w:r>
      <w:r w:rsidRPr="009A1394">
        <w:rPr>
          <w:lang w:val="en-CA"/>
        </w:rPr>
        <w:t xml:space="preserve">The parties agreed on </w:t>
      </w:r>
      <w:r w:rsidR="000864D3" w:rsidRPr="009A1394">
        <w:rPr>
          <w:lang w:val="en-CA"/>
        </w:rPr>
        <w:t>several</w:t>
      </w:r>
      <w:r w:rsidRPr="009A1394">
        <w:rPr>
          <w:lang w:val="en-CA"/>
        </w:rPr>
        <w:t xml:space="preserve"> admissions, the </w:t>
      </w:r>
      <w:r w:rsidR="000864D3" w:rsidRPr="009A1394">
        <w:rPr>
          <w:lang w:val="en-CA"/>
        </w:rPr>
        <w:t>text</w:t>
      </w:r>
      <w:r w:rsidRPr="009A1394">
        <w:rPr>
          <w:lang w:val="en-CA"/>
        </w:rPr>
        <w:t xml:space="preserve"> of which is </w:t>
      </w:r>
      <w:r w:rsidR="00035CE8" w:rsidRPr="009A1394">
        <w:rPr>
          <w:lang w:val="en-CA"/>
        </w:rPr>
        <w:t>appended</w:t>
      </w:r>
      <w:r w:rsidRPr="009A1394">
        <w:rPr>
          <w:lang w:val="en-CA"/>
        </w:rPr>
        <w:t xml:space="preserve"> to the judgment under appeal.</w:t>
      </w:r>
    </w:p>
    <w:p w14:paraId="48A39BBA" w14:textId="6A628CAB" w:rsidR="00CC66B8" w:rsidRPr="009A1394" w:rsidRDefault="000864D3" w:rsidP="003C6356">
      <w:pPr>
        <w:pStyle w:val="Paragraphe"/>
        <w:numPr>
          <w:ilvl w:val="0"/>
          <w:numId w:val="1"/>
        </w:numPr>
        <w:rPr>
          <w:lang w:val="en-CA"/>
        </w:rPr>
      </w:pPr>
      <w:r w:rsidRPr="009A1394">
        <w:rPr>
          <w:lang w:val="en-CA"/>
        </w:rPr>
        <w:t>The</w:t>
      </w:r>
      <w:r w:rsidR="0040690F" w:rsidRPr="009A1394">
        <w:rPr>
          <w:lang w:val="en-CA"/>
        </w:rPr>
        <w:t xml:space="preserve"> most highly anticipated testimony was</w:t>
      </w:r>
      <w:r w:rsidRPr="009A1394">
        <w:rPr>
          <w:lang w:val="en-CA"/>
        </w:rPr>
        <w:t>, without a doubt,</w:t>
      </w:r>
      <w:r w:rsidR="0040690F" w:rsidRPr="009A1394">
        <w:rPr>
          <w:lang w:val="en-CA"/>
        </w:rPr>
        <w:t xml:space="preserve"> that of Harding.</w:t>
      </w:r>
      <w:r w:rsidR="008161A3" w:rsidRPr="009A1394">
        <w:rPr>
          <w:lang w:val="en-CA"/>
        </w:rPr>
        <w:t xml:space="preserve"> </w:t>
      </w:r>
      <w:r w:rsidR="0040690F" w:rsidRPr="009A1394">
        <w:rPr>
          <w:lang w:val="en-CA"/>
        </w:rPr>
        <w:t xml:space="preserve">He </w:t>
      </w:r>
      <w:r w:rsidRPr="009A1394">
        <w:rPr>
          <w:lang w:val="en-CA"/>
        </w:rPr>
        <w:t>acknowl</w:t>
      </w:r>
      <w:r w:rsidR="0040690F" w:rsidRPr="009A1394">
        <w:rPr>
          <w:lang w:val="en-CA"/>
        </w:rPr>
        <w:t>e</w:t>
      </w:r>
      <w:r w:rsidRPr="009A1394">
        <w:rPr>
          <w:lang w:val="en-CA"/>
        </w:rPr>
        <w:t>dge</w:t>
      </w:r>
      <w:r w:rsidR="0040690F" w:rsidRPr="009A1394">
        <w:rPr>
          <w:lang w:val="en-CA"/>
        </w:rPr>
        <w:t xml:space="preserve">d, in no uncertain </w:t>
      </w:r>
      <w:r w:rsidR="00AF0673" w:rsidRPr="009A1394">
        <w:rPr>
          <w:lang w:val="en-CA"/>
        </w:rPr>
        <w:t>terms</w:t>
      </w:r>
      <w:r w:rsidR="0040690F" w:rsidRPr="009A1394">
        <w:rPr>
          <w:lang w:val="en-CA"/>
        </w:rPr>
        <w:t xml:space="preserve">, that he </w:t>
      </w:r>
      <w:r w:rsidRPr="009A1394">
        <w:rPr>
          <w:lang w:val="en-CA"/>
        </w:rPr>
        <w:t>had</w:t>
      </w:r>
      <w:r w:rsidR="0040690F" w:rsidRPr="009A1394">
        <w:rPr>
          <w:lang w:val="en-CA"/>
        </w:rPr>
        <w:t xml:space="preserve"> not </w:t>
      </w:r>
      <w:r w:rsidR="00AF0673" w:rsidRPr="009A1394">
        <w:rPr>
          <w:lang w:val="en-CA"/>
        </w:rPr>
        <w:t>secure</w:t>
      </w:r>
      <w:r w:rsidRPr="009A1394">
        <w:rPr>
          <w:lang w:val="en-CA"/>
        </w:rPr>
        <w:t>d</w:t>
      </w:r>
      <w:r w:rsidR="0040690F" w:rsidRPr="009A1394">
        <w:rPr>
          <w:lang w:val="en-CA"/>
        </w:rPr>
        <w:t xml:space="preserve"> the train as he should have.</w:t>
      </w:r>
      <w:r w:rsidR="008161A3" w:rsidRPr="009A1394">
        <w:rPr>
          <w:lang w:val="en-CA"/>
        </w:rPr>
        <w:t xml:space="preserve"> </w:t>
      </w:r>
      <w:r w:rsidR="0040690F" w:rsidRPr="009A1394">
        <w:rPr>
          <w:lang w:val="en-CA"/>
        </w:rPr>
        <w:t xml:space="preserve">Not only </w:t>
      </w:r>
      <w:r w:rsidR="00AF0673" w:rsidRPr="009A1394">
        <w:rPr>
          <w:lang w:val="en-CA"/>
        </w:rPr>
        <w:t>did</w:t>
      </w:r>
      <w:r w:rsidR="0040690F" w:rsidRPr="009A1394">
        <w:rPr>
          <w:lang w:val="en-CA"/>
        </w:rPr>
        <w:t xml:space="preserve"> he admit that applying seven </w:t>
      </w:r>
      <w:r w:rsidR="000A42A7" w:rsidRPr="009A1394">
        <w:rPr>
          <w:lang w:val="en-CA"/>
        </w:rPr>
        <w:t>hand brake</w:t>
      </w:r>
      <w:r w:rsidR="0040690F" w:rsidRPr="009A1394">
        <w:rPr>
          <w:lang w:val="en-CA"/>
        </w:rPr>
        <w:t xml:space="preserve">s was insufficient, he </w:t>
      </w:r>
      <w:r w:rsidR="00313542" w:rsidRPr="009A1394">
        <w:rPr>
          <w:lang w:val="en-CA"/>
        </w:rPr>
        <w:t xml:space="preserve">also </w:t>
      </w:r>
      <w:r w:rsidR="0040690F" w:rsidRPr="009A1394">
        <w:rPr>
          <w:lang w:val="en-CA"/>
        </w:rPr>
        <w:t>admit</w:t>
      </w:r>
      <w:r w:rsidR="00AF0673" w:rsidRPr="009A1394">
        <w:rPr>
          <w:lang w:val="en-CA"/>
        </w:rPr>
        <w:t>ted</w:t>
      </w:r>
      <w:r w:rsidR="0040690F" w:rsidRPr="009A1394">
        <w:rPr>
          <w:lang w:val="en-CA"/>
        </w:rPr>
        <w:t xml:space="preserve"> that he</w:t>
      </w:r>
      <w:r w:rsidRPr="009A1394">
        <w:rPr>
          <w:lang w:val="en-CA"/>
        </w:rPr>
        <w:t xml:space="preserve"> had</w:t>
      </w:r>
      <w:r w:rsidR="0040690F" w:rsidRPr="009A1394">
        <w:rPr>
          <w:lang w:val="en-CA"/>
        </w:rPr>
        <w:t xml:space="preserve"> neglected to perform the effectiveness test on them by first releasing all the air brakes.</w:t>
      </w:r>
      <w:r w:rsidR="008161A3" w:rsidRPr="009A1394">
        <w:rPr>
          <w:lang w:val="en-CA"/>
        </w:rPr>
        <w:t xml:space="preserve"> </w:t>
      </w:r>
      <w:r w:rsidR="0040690F" w:rsidRPr="009A1394">
        <w:rPr>
          <w:lang w:val="en-CA"/>
        </w:rPr>
        <w:t>He acknowledge</w:t>
      </w:r>
      <w:r w:rsidR="00AF0673" w:rsidRPr="009A1394">
        <w:rPr>
          <w:lang w:val="en-CA"/>
        </w:rPr>
        <w:t>d</w:t>
      </w:r>
      <w:r w:rsidR="0040690F" w:rsidRPr="009A1394">
        <w:rPr>
          <w:lang w:val="en-CA"/>
        </w:rPr>
        <w:t xml:space="preserve"> that he</w:t>
      </w:r>
      <w:r w:rsidRPr="009A1394">
        <w:rPr>
          <w:lang w:val="en-CA"/>
        </w:rPr>
        <w:t xml:space="preserve"> had</w:t>
      </w:r>
      <w:r w:rsidR="0040690F" w:rsidRPr="009A1394">
        <w:rPr>
          <w:lang w:val="en-CA"/>
        </w:rPr>
        <w:t xml:space="preserve"> infringed the applicable standards of conduct, </w:t>
      </w:r>
      <w:r w:rsidR="0040690F" w:rsidRPr="009A1394">
        <w:rPr>
          <w:lang w:val="en-CA"/>
        </w:rPr>
        <w:lastRenderedPageBreak/>
        <w:t xml:space="preserve">despite </w:t>
      </w:r>
      <w:r w:rsidR="00AF0673" w:rsidRPr="009A1394">
        <w:rPr>
          <w:lang w:val="en-CA"/>
        </w:rPr>
        <w:t>being</w:t>
      </w:r>
      <w:r w:rsidR="0040690F" w:rsidRPr="009A1394">
        <w:rPr>
          <w:lang w:val="en-CA"/>
        </w:rPr>
        <w:t xml:space="preserve"> aware of them and their mandatory nature.</w:t>
      </w:r>
      <w:r w:rsidR="008161A3" w:rsidRPr="009A1394">
        <w:rPr>
          <w:lang w:val="en-CA"/>
        </w:rPr>
        <w:t xml:space="preserve"> </w:t>
      </w:r>
      <w:r w:rsidR="0040690F" w:rsidRPr="009A1394">
        <w:rPr>
          <w:lang w:val="en-CA"/>
        </w:rPr>
        <w:t xml:space="preserve">He did not provide any explanation for his failure to </w:t>
      </w:r>
      <w:r w:rsidR="00FE4A63" w:rsidRPr="009A1394">
        <w:rPr>
          <w:lang w:val="en-CA"/>
        </w:rPr>
        <w:t xml:space="preserve">abide by </w:t>
      </w:r>
      <w:r w:rsidR="0040690F" w:rsidRPr="009A1394">
        <w:rPr>
          <w:lang w:val="en-CA"/>
        </w:rPr>
        <w:t>these standards.</w:t>
      </w:r>
      <w:r w:rsidR="0040690F" w:rsidRPr="009A1394">
        <w:rPr>
          <w:vertAlign w:val="superscript"/>
          <w:lang w:val="en-CA"/>
        </w:rPr>
        <w:footnoteReference w:id="115"/>
      </w:r>
    </w:p>
    <w:p w14:paraId="479A1632" w14:textId="3A7E85FA" w:rsidR="00CC66B8" w:rsidRPr="009A1394" w:rsidRDefault="0040690F" w:rsidP="003C6356">
      <w:pPr>
        <w:pStyle w:val="Paragraphe"/>
        <w:numPr>
          <w:ilvl w:val="0"/>
          <w:numId w:val="1"/>
        </w:numPr>
        <w:rPr>
          <w:lang w:val="en-CA"/>
        </w:rPr>
      </w:pPr>
      <w:r w:rsidRPr="009A1394">
        <w:rPr>
          <w:lang w:val="en-CA"/>
        </w:rPr>
        <w:t xml:space="preserve">The judge also </w:t>
      </w:r>
      <w:r w:rsidR="00B52B59" w:rsidRPr="009A1394">
        <w:rPr>
          <w:lang w:val="en-CA"/>
        </w:rPr>
        <w:t>found</w:t>
      </w:r>
      <w:r w:rsidRPr="009A1394">
        <w:rPr>
          <w:lang w:val="en-CA"/>
        </w:rPr>
        <w:t xml:space="preserve"> from the evidence that when Harding’s colleague, dispatcher Labrie, told him that a fire had broken out in the lead locomotive </w:t>
      </w:r>
      <w:r w:rsidR="00313542" w:rsidRPr="009A1394">
        <w:rPr>
          <w:lang w:val="en-CA"/>
        </w:rPr>
        <w:t>and</w:t>
      </w:r>
      <w:r w:rsidRPr="009A1394">
        <w:rPr>
          <w:lang w:val="en-CA"/>
        </w:rPr>
        <w:t xml:space="preserve"> that firefighters had shut down its </w:t>
      </w:r>
      <w:r w:rsidR="00DB4774" w:rsidRPr="009A1394">
        <w:rPr>
          <w:lang w:val="en-CA"/>
        </w:rPr>
        <w:t>engine</w:t>
      </w:r>
      <w:r w:rsidRPr="009A1394">
        <w:rPr>
          <w:lang w:val="en-CA"/>
        </w:rPr>
        <w:t xml:space="preserve">, Harding then had </w:t>
      </w:r>
      <w:r w:rsidR="00E14D4A" w:rsidRPr="009A1394">
        <w:rPr>
          <w:lang w:val="en-CA"/>
        </w:rPr>
        <w:t>enough</w:t>
      </w:r>
      <w:r w:rsidRPr="009A1394">
        <w:rPr>
          <w:lang w:val="en-CA"/>
        </w:rPr>
        <w:t xml:space="preserve"> time to leave the motel where he was staying overnight </w:t>
      </w:r>
      <w:r w:rsidR="008C743E" w:rsidRPr="009A1394">
        <w:rPr>
          <w:lang w:val="en-CA"/>
        </w:rPr>
        <w:t>and return to</w:t>
      </w:r>
      <w:r w:rsidRPr="009A1394">
        <w:rPr>
          <w:lang w:val="en-CA"/>
        </w:rPr>
        <w:t xml:space="preserve"> </w:t>
      </w:r>
      <w:r w:rsidR="00313542" w:rsidRPr="009A1394">
        <w:rPr>
          <w:lang w:val="en-CA"/>
        </w:rPr>
        <w:t>secure</w:t>
      </w:r>
      <w:r w:rsidRPr="009A1394">
        <w:rPr>
          <w:lang w:val="en-CA"/>
        </w:rPr>
        <w:t xml:space="preserve"> the train as it should have been </w:t>
      </w:r>
      <w:r w:rsidR="008C743E" w:rsidRPr="009A1394">
        <w:rPr>
          <w:lang w:val="en-CA"/>
        </w:rPr>
        <w:t>in the first place</w:t>
      </w:r>
      <w:r w:rsidRPr="009A1394">
        <w:rPr>
          <w:lang w:val="en-CA"/>
        </w:rPr>
        <w:t>.</w:t>
      </w:r>
      <w:r w:rsidRPr="009A1394">
        <w:rPr>
          <w:vertAlign w:val="superscript"/>
          <w:lang w:val="en-CA"/>
        </w:rPr>
        <w:footnoteReference w:id="116"/>
      </w:r>
      <w:r w:rsidR="00331D60" w:rsidRPr="009A1394">
        <w:rPr>
          <w:lang w:val="en-CA"/>
        </w:rPr>
        <w:t xml:space="preserve"> </w:t>
      </w:r>
      <w:r w:rsidRPr="009A1394">
        <w:rPr>
          <w:lang w:val="en-CA"/>
        </w:rPr>
        <w:t xml:space="preserve">Instead, he decided to go back to bed knowing that no one, except for him, knew that an insufficient number of </w:t>
      </w:r>
      <w:r w:rsidR="000A42A7" w:rsidRPr="009A1394">
        <w:rPr>
          <w:lang w:val="en-CA"/>
        </w:rPr>
        <w:t>hand brake</w:t>
      </w:r>
      <w:r w:rsidRPr="009A1394">
        <w:rPr>
          <w:lang w:val="en-CA"/>
        </w:rPr>
        <w:t>s had been applied.</w:t>
      </w:r>
      <w:r w:rsidRPr="009A1394">
        <w:rPr>
          <w:vertAlign w:val="superscript"/>
          <w:lang w:val="en-CA"/>
        </w:rPr>
        <w:footnoteReference w:id="117"/>
      </w:r>
    </w:p>
    <w:p w14:paraId="7D525E04" w14:textId="22E69526" w:rsidR="00CC66B8" w:rsidRPr="009A1394" w:rsidRDefault="0040690F" w:rsidP="003C6356">
      <w:pPr>
        <w:pStyle w:val="Paragraphe"/>
        <w:numPr>
          <w:ilvl w:val="0"/>
          <w:numId w:val="1"/>
        </w:numPr>
        <w:rPr>
          <w:lang w:val="en-CA"/>
        </w:rPr>
      </w:pPr>
      <w:r w:rsidRPr="009A1394">
        <w:rPr>
          <w:lang w:val="en-CA"/>
        </w:rPr>
        <w:t xml:space="preserve">The judge found that responsibility for this tragedy </w:t>
      </w:r>
      <w:r w:rsidR="00313542" w:rsidRPr="009A1394">
        <w:rPr>
          <w:lang w:val="en-CA"/>
        </w:rPr>
        <w:t>[</w:t>
      </w:r>
      <w:r w:rsidR="00313542" w:rsidRPr="009A1394">
        <w:rPr>
          <w:smallCaps/>
          <w:lang w:val="en-CA"/>
        </w:rPr>
        <w:t>translation</w:t>
      </w:r>
      <w:r w:rsidR="00313542" w:rsidRPr="009A1394">
        <w:rPr>
          <w:lang w:val="en-CA"/>
        </w:rPr>
        <w:t xml:space="preserve">] </w:t>
      </w:r>
      <w:r w:rsidRPr="009A1394">
        <w:rPr>
          <w:lang w:val="en-CA"/>
        </w:rPr>
        <w:t xml:space="preserve">“essentially </w:t>
      </w:r>
      <w:r w:rsidR="008C743E" w:rsidRPr="009A1394">
        <w:rPr>
          <w:lang w:val="en-CA"/>
        </w:rPr>
        <w:t>rest[ed]</w:t>
      </w:r>
      <w:r w:rsidRPr="009A1394">
        <w:rPr>
          <w:lang w:val="en-CA"/>
        </w:rPr>
        <w:t>” with Harding and MMA, as Harding’s employer and the person responsible for the train.</w:t>
      </w:r>
      <w:r w:rsidRPr="009A1394">
        <w:rPr>
          <w:vertAlign w:val="superscript"/>
          <w:lang w:val="en-CA"/>
        </w:rPr>
        <w:footnoteReference w:id="118"/>
      </w:r>
    </w:p>
    <w:p w14:paraId="5BB3F0E6" w14:textId="7E89BB58" w:rsidR="00313542" w:rsidRPr="009A1394" w:rsidRDefault="0040690F" w:rsidP="00313542">
      <w:pPr>
        <w:pStyle w:val="Paragraphe"/>
        <w:numPr>
          <w:ilvl w:val="0"/>
          <w:numId w:val="1"/>
        </w:numPr>
        <w:rPr>
          <w:lang w:val="en-CA"/>
        </w:rPr>
      </w:pPr>
      <w:r w:rsidRPr="009A1394">
        <w:rPr>
          <w:lang w:val="en-CA"/>
        </w:rPr>
        <w:t>Before ruling on the allegations of fault</w:t>
      </w:r>
      <w:r w:rsidR="008C743E" w:rsidRPr="009A1394">
        <w:rPr>
          <w:lang w:val="en-CA"/>
        </w:rPr>
        <w:t xml:space="preserve"> levelled</w:t>
      </w:r>
      <w:r w:rsidRPr="009A1394">
        <w:rPr>
          <w:lang w:val="en-CA"/>
        </w:rPr>
        <w:t xml:space="preserve"> against CP, the judge </w:t>
      </w:r>
      <w:r w:rsidR="00312B2D" w:rsidRPr="009A1394">
        <w:rPr>
          <w:lang w:val="en-CA"/>
        </w:rPr>
        <w:t xml:space="preserve">performed </w:t>
      </w:r>
      <w:r w:rsidRPr="009A1394">
        <w:rPr>
          <w:lang w:val="en-CA"/>
        </w:rPr>
        <w:t>a detailed analysis of the regulations and legislation that apply to rail transport in Canada and the United States.</w:t>
      </w:r>
      <w:r w:rsidR="008161A3" w:rsidRPr="009A1394">
        <w:rPr>
          <w:lang w:val="en-CA"/>
        </w:rPr>
        <w:t xml:space="preserve"> </w:t>
      </w:r>
      <w:r w:rsidR="001D73CB" w:rsidRPr="009A1394">
        <w:rPr>
          <w:lang w:val="en-CA"/>
        </w:rPr>
        <w:t>In that regard</w:t>
      </w:r>
      <w:r w:rsidRPr="009A1394">
        <w:rPr>
          <w:lang w:val="en-CA"/>
        </w:rPr>
        <w:t xml:space="preserve">, he </w:t>
      </w:r>
      <w:r w:rsidR="001D73CB" w:rsidRPr="009A1394">
        <w:rPr>
          <w:lang w:val="en-CA"/>
        </w:rPr>
        <w:t>had the benefit</w:t>
      </w:r>
      <w:r w:rsidRPr="009A1394">
        <w:rPr>
          <w:lang w:val="en-CA"/>
        </w:rPr>
        <w:t xml:space="preserve"> of expert</w:t>
      </w:r>
      <w:r w:rsidR="00DB4774" w:rsidRPr="009A1394">
        <w:rPr>
          <w:lang w:val="en-CA"/>
        </w:rPr>
        <w:t xml:space="preserve"> </w:t>
      </w:r>
      <w:r w:rsidR="009447DE" w:rsidRPr="009A1394">
        <w:rPr>
          <w:lang w:val="en-CA"/>
        </w:rPr>
        <w:t>testimony</w:t>
      </w:r>
      <w:r w:rsidRPr="009A1394">
        <w:rPr>
          <w:lang w:val="en-CA"/>
        </w:rPr>
        <w:t>.</w:t>
      </w:r>
    </w:p>
    <w:p w14:paraId="4C261309" w14:textId="717CFD97" w:rsidR="00CC66B8" w:rsidRPr="009A1394" w:rsidRDefault="0040690F" w:rsidP="00313542">
      <w:pPr>
        <w:pStyle w:val="Paragraphe"/>
        <w:numPr>
          <w:ilvl w:val="0"/>
          <w:numId w:val="1"/>
        </w:numPr>
        <w:rPr>
          <w:lang w:val="en-CA"/>
        </w:rPr>
      </w:pPr>
      <w:r w:rsidRPr="009A1394">
        <w:rPr>
          <w:lang w:val="en-CA"/>
        </w:rPr>
        <w:t xml:space="preserve">He </w:t>
      </w:r>
      <w:r w:rsidR="00313542" w:rsidRPr="009A1394">
        <w:rPr>
          <w:lang w:val="en-CA"/>
        </w:rPr>
        <w:t>wrote</w:t>
      </w:r>
      <w:r w:rsidRPr="009A1394">
        <w:rPr>
          <w:lang w:val="en-CA"/>
        </w:rPr>
        <w:t xml:space="preserve"> that the</w:t>
      </w:r>
      <w:r w:rsidR="009447DE" w:rsidRPr="009A1394">
        <w:rPr>
          <w:lang w:val="en-CA"/>
        </w:rPr>
        <w:t xml:space="preserve"> </w:t>
      </w:r>
      <w:r w:rsidR="00C87615" w:rsidRPr="009A1394">
        <w:rPr>
          <w:lang w:val="en-CA"/>
        </w:rPr>
        <w:t xml:space="preserve">relevant </w:t>
      </w:r>
      <w:r w:rsidRPr="009A1394">
        <w:rPr>
          <w:lang w:val="en-CA"/>
        </w:rPr>
        <w:t xml:space="preserve">rules </w:t>
      </w:r>
      <w:r w:rsidR="009447DE" w:rsidRPr="009A1394">
        <w:rPr>
          <w:lang w:val="en-CA"/>
        </w:rPr>
        <w:t>f</w:t>
      </w:r>
      <w:r w:rsidR="008C743E" w:rsidRPr="009A1394">
        <w:rPr>
          <w:lang w:val="en-CA"/>
        </w:rPr>
        <w:t>e</w:t>
      </w:r>
      <w:r w:rsidR="009447DE" w:rsidRPr="009A1394">
        <w:rPr>
          <w:lang w:val="en-CA"/>
        </w:rPr>
        <w:t>ll under</w:t>
      </w:r>
      <w:r w:rsidRPr="009A1394">
        <w:rPr>
          <w:lang w:val="en-CA"/>
        </w:rPr>
        <w:t xml:space="preserve"> two categories: those that </w:t>
      </w:r>
      <w:r w:rsidR="009447DE" w:rsidRPr="009A1394">
        <w:rPr>
          <w:lang w:val="en-CA"/>
        </w:rPr>
        <w:t>set forth</w:t>
      </w:r>
      <w:r w:rsidRPr="009A1394">
        <w:rPr>
          <w:lang w:val="en-CA"/>
        </w:rPr>
        <w:t xml:space="preserve"> a public carrier’s obligations, and </w:t>
      </w:r>
      <w:r w:rsidR="00D93C33" w:rsidRPr="009A1394">
        <w:rPr>
          <w:lang w:val="en-CA"/>
        </w:rPr>
        <w:t>those</w:t>
      </w:r>
      <w:r w:rsidRPr="009A1394">
        <w:rPr>
          <w:lang w:val="en-CA"/>
        </w:rPr>
        <w:t xml:space="preserve"> that apply to the </w:t>
      </w:r>
      <w:r w:rsidR="00C87615" w:rsidRPr="009A1394">
        <w:rPr>
          <w:lang w:val="en-CA"/>
        </w:rPr>
        <w:t>inter</w:t>
      </w:r>
      <w:r w:rsidRPr="009A1394">
        <w:rPr>
          <w:lang w:val="en-CA"/>
        </w:rPr>
        <w:t>changes between various carriers.</w:t>
      </w:r>
      <w:r w:rsidRPr="009A1394">
        <w:rPr>
          <w:vertAlign w:val="superscript"/>
          <w:lang w:val="en-CA"/>
        </w:rPr>
        <w:footnoteReference w:id="119"/>
      </w:r>
      <w:r w:rsidR="008161A3" w:rsidRPr="009A1394">
        <w:rPr>
          <w:lang w:val="en-CA"/>
        </w:rPr>
        <w:t xml:space="preserve"> </w:t>
      </w:r>
      <w:r w:rsidR="00C87615" w:rsidRPr="009A1394">
        <w:rPr>
          <w:rFonts w:cs="Arial"/>
          <w:color w:val="000000"/>
          <w:lang w:val="en-CA"/>
        </w:rPr>
        <w:t xml:space="preserve">The judge found that, under </w:t>
      </w:r>
      <w:r w:rsidRPr="009A1394">
        <w:rPr>
          <w:rFonts w:cs="Arial"/>
          <w:color w:val="000000"/>
          <w:lang w:val="en-CA"/>
        </w:rPr>
        <w:t xml:space="preserve">the rules in the first category, </w:t>
      </w:r>
      <w:r w:rsidR="00313542" w:rsidRPr="009A1394">
        <w:rPr>
          <w:rFonts w:cs="Arial"/>
          <w:color w:val="000000"/>
          <w:lang w:val="en-CA"/>
        </w:rPr>
        <w:t>[</w:t>
      </w:r>
      <w:r w:rsidR="00313542" w:rsidRPr="009A1394">
        <w:rPr>
          <w:rFonts w:cs="Arial"/>
          <w:smallCaps/>
          <w:color w:val="000000"/>
          <w:lang w:val="en-CA"/>
        </w:rPr>
        <w:t>translation</w:t>
      </w:r>
      <w:r w:rsidR="00313542" w:rsidRPr="009A1394">
        <w:rPr>
          <w:rFonts w:cs="Arial"/>
          <w:color w:val="000000"/>
          <w:lang w:val="en-CA"/>
        </w:rPr>
        <w:t xml:space="preserve">] </w:t>
      </w:r>
      <w:r w:rsidRPr="009A1394">
        <w:rPr>
          <w:rFonts w:cs="Arial"/>
          <w:color w:val="000000"/>
          <w:lang w:val="en-CA"/>
        </w:rPr>
        <w:t>“</w:t>
      </w:r>
      <w:r w:rsidR="004C598E" w:rsidRPr="009A1394">
        <w:rPr>
          <w:rFonts w:cs="Arial"/>
          <w:color w:val="000000"/>
          <w:lang w:val="en-CA"/>
        </w:rPr>
        <w:t xml:space="preserve">a </w:t>
      </w:r>
      <w:r w:rsidRPr="009A1394">
        <w:rPr>
          <w:rFonts w:cs="Arial"/>
          <w:color w:val="000000"/>
          <w:lang w:val="en-CA"/>
        </w:rPr>
        <w:t>rail</w:t>
      </w:r>
      <w:r w:rsidR="004C598E" w:rsidRPr="009A1394">
        <w:rPr>
          <w:rFonts w:cs="Arial"/>
          <w:color w:val="000000"/>
          <w:lang w:val="en-CA"/>
        </w:rPr>
        <w:t>way</w:t>
      </w:r>
      <w:r w:rsidRPr="009A1394">
        <w:rPr>
          <w:rFonts w:cs="Arial"/>
          <w:color w:val="000000"/>
          <w:lang w:val="en-CA"/>
        </w:rPr>
        <w:t xml:space="preserve"> company must carry any </w:t>
      </w:r>
      <w:r w:rsidR="00313542" w:rsidRPr="009A1394">
        <w:rPr>
          <w:rFonts w:cs="Arial"/>
          <w:color w:val="000000"/>
          <w:lang w:val="en-CA"/>
        </w:rPr>
        <w:t>goods</w:t>
      </w:r>
      <w:r w:rsidRPr="009A1394">
        <w:rPr>
          <w:rFonts w:cs="Arial"/>
          <w:color w:val="000000"/>
          <w:lang w:val="en-CA"/>
        </w:rPr>
        <w:t xml:space="preserve"> entrusted to it by a shipper as long as its request is reasonable”,</w:t>
      </w:r>
      <w:r w:rsidRPr="009A1394">
        <w:rPr>
          <w:rFonts w:cs="Arial"/>
          <w:color w:val="000000"/>
          <w:vertAlign w:val="superscript"/>
          <w:lang w:val="en-CA"/>
        </w:rPr>
        <w:footnoteReference w:id="120"/>
      </w:r>
      <w:r w:rsidRPr="009A1394">
        <w:rPr>
          <w:rFonts w:cs="Arial"/>
          <w:color w:val="000000"/>
          <w:lang w:val="en-CA"/>
        </w:rPr>
        <w:t xml:space="preserve"> even if these </w:t>
      </w:r>
      <w:r w:rsidR="00313542" w:rsidRPr="009A1394">
        <w:rPr>
          <w:rFonts w:cs="Arial"/>
          <w:color w:val="000000"/>
          <w:lang w:val="en-CA"/>
        </w:rPr>
        <w:t>goods</w:t>
      </w:r>
      <w:r w:rsidRPr="009A1394">
        <w:rPr>
          <w:rFonts w:cs="Arial"/>
          <w:color w:val="000000"/>
          <w:lang w:val="en-CA"/>
        </w:rPr>
        <w:t xml:space="preserve"> are toxic, explosive, and radioactive products.</w:t>
      </w:r>
      <w:r w:rsidRPr="009A1394">
        <w:rPr>
          <w:rFonts w:cs="Arial"/>
          <w:color w:val="000000"/>
          <w:vertAlign w:val="superscript"/>
          <w:lang w:val="en-CA"/>
        </w:rPr>
        <w:footnoteReference w:id="121"/>
      </w:r>
      <w:r w:rsidR="008161A3" w:rsidRPr="009A1394">
        <w:rPr>
          <w:rFonts w:cs="Arial"/>
          <w:color w:val="000000"/>
          <w:lang w:val="en-CA"/>
        </w:rPr>
        <w:t xml:space="preserve"> </w:t>
      </w:r>
      <w:r w:rsidRPr="009A1394">
        <w:rPr>
          <w:rFonts w:cs="Arial"/>
          <w:lang w:val="en-CA"/>
        </w:rPr>
        <w:t xml:space="preserve">As for those </w:t>
      </w:r>
      <w:r w:rsidR="00C87615" w:rsidRPr="009A1394">
        <w:rPr>
          <w:rFonts w:cs="Arial"/>
          <w:lang w:val="en-CA"/>
        </w:rPr>
        <w:t>in</w:t>
      </w:r>
      <w:r w:rsidRPr="009A1394">
        <w:rPr>
          <w:rFonts w:cs="Arial"/>
          <w:lang w:val="en-CA"/>
        </w:rPr>
        <w:t xml:space="preserve"> the second category, he </w:t>
      </w:r>
      <w:r w:rsidR="009447DE" w:rsidRPr="009A1394">
        <w:rPr>
          <w:rFonts w:cs="Arial"/>
          <w:lang w:val="en-CA"/>
        </w:rPr>
        <w:t>note</w:t>
      </w:r>
      <w:r w:rsidR="00313542" w:rsidRPr="009A1394">
        <w:rPr>
          <w:rFonts w:cs="Arial"/>
          <w:lang w:val="en-CA"/>
        </w:rPr>
        <w:t>d</w:t>
      </w:r>
      <w:r w:rsidRPr="009A1394">
        <w:rPr>
          <w:rFonts w:cs="Arial"/>
          <w:lang w:val="en-CA"/>
        </w:rPr>
        <w:t xml:space="preserve"> that </w:t>
      </w:r>
      <w:r w:rsidR="00313542" w:rsidRPr="009A1394">
        <w:rPr>
          <w:rFonts w:cs="Arial"/>
          <w:lang w:val="en-CA"/>
        </w:rPr>
        <w:t>[</w:t>
      </w:r>
      <w:r w:rsidR="00313542" w:rsidRPr="009A1394">
        <w:rPr>
          <w:rFonts w:cs="Arial"/>
          <w:smallCaps/>
          <w:lang w:val="en-CA"/>
        </w:rPr>
        <w:t>translation</w:t>
      </w:r>
      <w:r w:rsidR="00313542" w:rsidRPr="009A1394">
        <w:rPr>
          <w:rFonts w:cs="Arial"/>
          <w:lang w:val="en-CA"/>
        </w:rPr>
        <w:t xml:space="preserve">] </w:t>
      </w:r>
      <w:r w:rsidRPr="009A1394">
        <w:rPr>
          <w:rFonts w:cs="Arial"/>
          <w:lang w:val="en-CA"/>
        </w:rPr>
        <w:t>“rail</w:t>
      </w:r>
      <w:r w:rsidR="00313542" w:rsidRPr="009A1394">
        <w:rPr>
          <w:rFonts w:cs="Arial"/>
          <w:lang w:val="en-CA"/>
        </w:rPr>
        <w:t>way</w:t>
      </w:r>
      <w:r w:rsidRPr="009A1394">
        <w:rPr>
          <w:rFonts w:cs="Arial"/>
          <w:lang w:val="en-CA"/>
        </w:rPr>
        <w:t xml:space="preserve"> companies whose railroads </w:t>
      </w:r>
      <w:r w:rsidR="00F4026E" w:rsidRPr="009A1394">
        <w:rPr>
          <w:rFonts w:cs="Arial"/>
          <w:lang w:val="en-CA"/>
        </w:rPr>
        <w:t>run side-by-side</w:t>
      </w:r>
      <w:r w:rsidRPr="009A1394">
        <w:rPr>
          <w:rFonts w:cs="Arial"/>
          <w:lang w:val="en-CA"/>
        </w:rPr>
        <w:t xml:space="preserve"> or</w:t>
      </w:r>
      <w:r w:rsidR="00F4026E" w:rsidRPr="009A1394">
        <w:rPr>
          <w:rFonts w:cs="Arial"/>
          <w:lang w:val="en-CA"/>
        </w:rPr>
        <w:t xml:space="preserve"> are</w:t>
      </w:r>
      <w:r w:rsidRPr="009A1394">
        <w:rPr>
          <w:rFonts w:cs="Arial"/>
          <w:lang w:val="en-CA"/>
        </w:rPr>
        <w:t xml:space="preserve"> </w:t>
      </w:r>
      <w:r w:rsidR="00F4026E" w:rsidRPr="009A1394">
        <w:rPr>
          <w:rFonts w:cs="Arial"/>
          <w:lang w:val="en-CA"/>
        </w:rPr>
        <w:t>connected to each other</w:t>
      </w:r>
      <w:r w:rsidRPr="009A1394">
        <w:rPr>
          <w:rFonts w:cs="Arial"/>
          <w:lang w:val="en-CA"/>
        </w:rPr>
        <w:t xml:space="preserve">, must provide the </w:t>
      </w:r>
      <w:r w:rsidR="00F4026E" w:rsidRPr="009A1394">
        <w:rPr>
          <w:rFonts w:cs="Arial"/>
          <w:lang w:val="en-CA"/>
        </w:rPr>
        <w:t>facilities</w:t>
      </w:r>
      <w:r w:rsidRPr="009A1394">
        <w:rPr>
          <w:rFonts w:cs="Arial"/>
          <w:lang w:val="en-CA"/>
        </w:rPr>
        <w:t xml:space="preserve"> and services </w:t>
      </w:r>
      <w:r w:rsidR="00C87615" w:rsidRPr="009A1394">
        <w:rPr>
          <w:rFonts w:cs="Arial"/>
          <w:lang w:val="en-CA"/>
        </w:rPr>
        <w:t>allowing the interchange of</w:t>
      </w:r>
      <w:r w:rsidRPr="009A1394">
        <w:rPr>
          <w:rFonts w:cs="Arial"/>
          <w:lang w:val="en-CA"/>
        </w:rPr>
        <w:t xml:space="preserve"> the goods being transported”.</w:t>
      </w:r>
      <w:r w:rsidRPr="009A1394">
        <w:rPr>
          <w:rFonts w:cs="Arial"/>
          <w:color w:val="000000"/>
          <w:vertAlign w:val="superscript"/>
          <w:lang w:val="en-CA"/>
        </w:rPr>
        <w:footnoteReference w:id="122"/>
      </w:r>
    </w:p>
    <w:p w14:paraId="6BB5172F" w14:textId="2512654F" w:rsidR="00CC66B8" w:rsidRPr="009A1394" w:rsidRDefault="0040690F" w:rsidP="003C6356">
      <w:pPr>
        <w:pStyle w:val="Paragraphe"/>
        <w:numPr>
          <w:ilvl w:val="0"/>
          <w:numId w:val="1"/>
        </w:numPr>
        <w:rPr>
          <w:lang w:val="en-CA"/>
        </w:rPr>
      </w:pPr>
      <w:r w:rsidRPr="009A1394">
        <w:rPr>
          <w:lang w:val="en-CA"/>
        </w:rPr>
        <w:t xml:space="preserve">After analyzing the regulatory </w:t>
      </w:r>
      <w:r w:rsidR="008A3D05" w:rsidRPr="009A1394">
        <w:rPr>
          <w:lang w:val="en-CA"/>
        </w:rPr>
        <w:t>and</w:t>
      </w:r>
      <w:r w:rsidRPr="009A1394">
        <w:rPr>
          <w:lang w:val="en-CA"/>
        </w:rPr>
        <w:t xml:space="preserve"> legislative framework, the judge </w:t>
      </w:r>
      <w:r w:rsidR="00F45FBD" w:rsidRPr="009A1394">
        <w:rPr>
          <w:lang w:val="en-CA"/>
        </w:rPr>
        <w:t>set aside</w:t>
      </w:r>
      <w:r w:rsidR="00842335" w:rsidRPr="009A1394">
        <w:rPr>
          <w:lang w:val="en-CA"/>
        </w:rPr>
        <w:t xml:space="preserve"> the suggestion</w:t>
      </w:r>
      <w:r w:rsidRPr="009A1394">
        <w:rPr>
          <w:lang w:val="en-CA"/>
        </w:rPr>
        <w:t xml:space="preserve"> that the rules of vicarious liability set out in the </w:t>
      </w:r>
      <w:r w:rsidRPr="009A1394">
        <w:rPr>
          <w:i/>
          <w:lang w:val="en-CA"/>
        </w:rPr>
        <w:t>Civil Code of Québec</w:t>
      </w:r>
      <w:r w:rsidRPr="009A1394">
        <w:rPr>
          <w:lang w:val="en-CA"/>
        </w:rPr>
        <w:t xml:space="preserve"> (</w:t>
      </w:r>
      <w:r w:rsidR="008A3D05" w:rsidRPr="009A1394">
        <w:rPr>
          <w:lang w:val="en-CA"/>
        </w:rPr>
        <w:t>“</w:t>
      </w:r>
      <w:r w:rsidRPr="009A1394">
        <w:rPr>
          <w:b/>
          <w:i/>
          <w:lang w:val="en-CA"/>
        </w:rPr>
        <w:t>CCQ</w:t>
      </w:r>
      <w:r w:rsidRPr="009A1394">
        <w:rPr>
          <w:lang w:val="en-CA"/>
        </w:rPr>
        <w:t>”)</w:t>
      </w:r>
      <w:r w:rsidR="008161A3" w:rsidRPr="009A1394">
        <w:rPr>
          <w:lang w:val="en-CA"/>
        </w:rPr>
        <w:t> </w:t>
      </w:r>
      <w:r w:rsidR="00F4026E" w:rsidRPr="009A1394">
        <w:rPr>
          <w:lang w:val="en-CA"/>
        </w:rPr>
        <w:t>applied in this case</w:t>
      </w:r>
      <w:r w:rsidRPr="009A1394">
        <w:rPr>
          <w:lang w:val="en-CA"/>
        </w:rPr>
        <w:t>.</w:t>
      </w:r>
      <w:r w:rsidR="008161A3" w:rsidRPr="009A1394">
        <w:rPr>
          <w:lang w:val="en-CA"/>
        </w:rPr>
        <w:t xml:space="preserve"> </w:t>
      </w:r>
      <w:r w:rsidRPr="009A1394">
        <w:rPr>
          <w:lang w:val="en-CA"/>
        </w:rPr>
        <w:t xml:space="preserve">First, he </w:t>
      </w:r>
      <w:r w:rsidR="00573301" w:rsidRPr="009A1394">
        <w:rPr>
          <w:lang w:val="en-CA"/>
        </w:rPr>
        <w:t>rejected the proposition</w:t>
      </w:r>
      <w:r w:rsidRPr="009A1394">
        <w:rPr>
          <w:lang w:val="en-CA"/>
        </w:rPr>
        <w:t xml:space="preserve"> that CP could be liable for this tragedy as a principal or mandator </w:t>
      </w:r>
      <w:r w:rsidR="008A3D05" w:rsidRPr="009A1394">
        <w:rPr>
          <w:lang w:val="en-CA"/>
        </w:rPr>
        <w:t>of</w:t>
      </w:r>
      <w:r w:rsidRPr="009A1394">
        <w:rPr>
          <w:lang w:val="en-CA"/>
        </w:rPr>
        <w:t xml:space="preserve"> MMA.</w:t>
      </w:r>
      <w:r w:rsidRPr="009A1394">
        <w:rPr>
          <w:vertAlign w:val="superscript"/>
          <w:lang w:val="en-CA"/>
        </w:rPr>
        <w:footnoteReference w:id="123"/>
      </w:r>
      <w:r w:rsidR="008161A3" w:rsidRPr="009A1394">
        <w:rPr>
          <w:lang w:val="en-CA"/>
        </w:rPr>
        <w:t xml:space="preserve"> </w:t>
      </w:r>
      <w:r w:rsidRPr="009A1394">
        <w:rPr>
          <w:lang w:val="en-CA"/>
        </w:rPr>
        <w:t xml:space="preserve">He then </w:t>
      </w:r>
      <w:r w:rsidR="008A3D05" w:rsidRPr="009A1394">
        <w:rPr>
          <w:lang w:val="en-CA"/>
        </w:rPr>
        <w:t>considered</w:t>
      </w:r>
      <w:r w:rsidRPr="009A1394">
        <w:rPr>
          <w:lang w:val="en-CA"/>
        </w:rPr>
        <w:t xml:space="preserve"> whether CP’s liability could arise from the fact that it </w:t>
      </w:r>
      <w:r w:rsidR="008A3D05" w:rsidRPr="009A1394">
        <w:rPr>
          <w:lang w:val="en-CA"/>
        </w:rPr>
        <w:t xml:space="preserve">had </w:t>
      </w:r>
      <w:r w:rsidRPr="009A1394">
        <w:rPr>
          <w:lang w:val="en-CA"/>
        </w:rPr>
        <w:t>acted as the originating carrier.</w:t>
      </w:r>
      <w:r w:rsidRPr="009A1394">
        <w:rPr>
          <w:vertAlign w:val="superscript"/>
          <w:lang w:val="en-CA"/>
        </w:rPr>
        <w:footnoteReference w:id="124"/>
      </w:r>
      <w:r w:rsidR="008161A3" w:rsidRPr="009A1394">
        <w:rPr>
          <w:lang w:val="en-CA"/>
        </w:rPr>
        <w:t xml:space="preserve"> </w:t>
      </w:r>
      <w:r w:rsidRPr="009A1394">
        <w:rPr>
          <w:lang w:val="en-CA"/>
        </w:rPr>
        <w:t>He answered in the negative.</w:t>
      </w:r>
      <w:r w:rsidR="008161A3" w:rsidRPr="009A1394">
        <w:rPr>
          <w:lang w:val="en-CA"/>
        </w:rPr>
        <w:t xml:space="preserve"> </w:t>
      </w:r>
      <w:r w:rsidRPr="009A1394">
        <w:rPr>
          <w:lang w:val="en-CA"/>
        </w:rPr>
        <w:t>Admittedly, the originating carrier is responsible for the</w:t>
      </w:r>
      <w:r w:rsidR="008A3D05" w:rsidRPr="009A1394">
        <w:rPr>
          <w:lang w:val="en-CA"/>
        </w:rPr>
        <w:t xml:space="preserve"> </w:t>
      </w:r>
      <w:r w:rsidRPr="009A1394">
        <w:rPr>
          <w:lang w:val="en-CA"/>
        </w:rPr>
        <w:t>loss of transported go</w:t>
      </w:r>
      <w:r w:rsidR="008A3D05" w:rsidRPr="009A1394">
        <w:rPr>
          <w:lang w:val="en-CA"/>
        </w:rPr>
        <w:t>o</w:t>
      </w:r>
      <w:r w:rsidRPr="009A1394">
        <w:rPr>
          <w:lang w:val="en-CA"/>
        </w:rPr>
        <w:t xml:space="preserve">ds, even if they are under the custody of the connecting carrier, but it is not </w:t>
      </w:r>
      <w:r w:rsidRPr="009A1394">
        <w:rPr>
          <w:lang w:val="en-CA"/>
        </w:rPr>
        <w:lastRenderedPageBreak/>
        <w:t xml:space="preserve">responsible for the faults of the connecting carrier </w:t>
      </w:r>
      <w:r w:rsidR="008A3D05" w:rsidRPr="009A1394">
        <w:rPr>
          <w:lang w:val="en-CA"/>
        </w:rPr>
        <w:t>that</w:t>
      </w:r>
      <w:r w:rsidRPr="009A1394">
        <w:rPr>
          <w:lang w:val="en-CA"/>
        </w:rPr>
        <w:t xml:space="preserve"> caused harm to third parties.</w:t>
      </w:r>
      <w:r w:rsidRPr="009A1394">
        <w:rPr>
          <w:vertAlign w:val="superscript"/>
          <w:lang w:val="en-CA"/>
        </w:rPr>
        <w:footnoteReference w:id="125"/>
      </w:r>
      <w:r w:rsidR="008161A3" w:rsidRPr="009A1394">
        <w:rPr>
          <w:lang w:val="en-CA"/>
        </w:rPr>
        <w:t xml:space="preserve"> </w:t>
      </w:r>
      <w:r w:rsidR="00A82B15" w:rsidRPr="009A1394">
        <w:rPr>
          <w:lang w:val="en-CA"/>
        </w:rPr>
        <w:t>Additionally</w:t>
      </w:r>
      <w:r w:rsidRPr="009A1394">
        <w:rPr>
          <w:lang w:val="en-CA"/>
        </w:rPr>
        <w:t xml:space="preserve">, </w:t>
      </w:r>
      <w:r w:rsidR="00441EB4" w:rsidRPr="009A1394">
        <w:rPr>
          <w:lang w:val="en-CA"/>
        </w:rPr>
        <w:t xml:space="preserve">in his view, </w:t>
      </w:r>
      <w:r w:rsidRPr="009A1394">
        <w:rPr>
          <w:lang w:val="en-CA"/>
        </w:rPr>
        <w:t xml:space="preserve">CP’s liability </w:t>
      </w:r>
      <w:r w:rsidR="00A82B15" w:rsidRPr="009A1394">
        <w:rPr>
          <w:lang w:val="en-CA"/>
        </w:rPr>
        <w:t xml:space="preserve">could not </w:t>
      </w:r>
      <w:r w:rsidRPr="009A1394">
        <w:rPr>
          <w:lang w:val="en-CA"/>
        </w:rPr>
        <w:t>be based</w:t>
      </w:r>
      <w:r w:rsidR="00441EB4" w:rsidRPr="009A1394">
        <w:rPr>
          <w:lang w:val="en-CA"/>
        </w:rPr>
        <w:t xml:space="preserve"> </w:t>
      </w:r>
      <w:r w:rsidRPr="009A1394">
        <w:rPr>
          <w:lang w:val="en-CA"/>
        </w:rPr>
        <w:t>on the rules of undeclared partnership.</w:t>
      </w:r>
      <w:r w:rsidRPr="009A1394">
        <w:rPr>
          <w:vertAlign w:val="superscript"/>
          <w:lang w:val="en-CA"/>
        </w:rPr>
        <w:footnoteReference w:id="126"/>
      </w:r>
    </w:p>
    <w:p w14:paraId="1D475AE4" w14:textId="28965763" w:rsidR="00CC66B8" w:rsidRPr="009A1394" w:rsidRDefault="0040690F" w:rsidP="003C6356">
      <w:pPr>
        <w:pStyle w:val="Paragraphe"/>
        <w:numPr>
          <w:ilvl w:val="0"/>
          <w:numId w:val="1"/>
        </w:numPr>
        <w:rPr>
          <w:lang w:val="en-CA"/>
        </w:rPr>
      </w:pPr>
      <w:r w:rsidRPr="009A1394">
        <w:rPr>
          <w:lang w:val="en-CA"/>
        </w:rPr>
        <w:t xml:space="preserve">The judge therefore </w:t>
      </w:r>
      <w:r w:rsidR="00163CD7" w:rsidRPr="009A1394">
        <w:rPr>
          <w:lang w:val="en-CA"/>
        </w:rPr>
        <w:t>pursued his</w:t>
      </w:r>
      <w:r w:rsidRPr="009A1394">
        <w:rPr>
          <w:lang w:val="en-CA"/>
        </w:rPr>
        <w:t xml:space="preserve"> analysis </w:t>
      </w:r>
      <w:r w:rsidR="00163CD7" w:rsidRPr="009A1394">
        <w:rPr>
          <w:lang w:val="en-CA"/>
        </w:rPr>
        <w:t>through the lens</w:t>
      </w:r>
      <w:r w:rsidRPr="009A1394">
        <w:rPr>
          <w:lang w:val="en-CA"/>
        </w:rPr>
        <w:t xml:space="preserve"> of extracontractual civil fault within the meaning of article 1457 </w:t>
      </w:r>
      <w:r w:rsidRPr="009A1394">
        <w:rPr>
          <w:i/>
          <w:lang w:val="en-CA"/>
        </w:rPr>
        <w:t>CCQ</w:t>
      </w:r>
      <w:r w:rsidR="008A3D05" w:rsidRPr="009A1394">
        <w:rPr>
          <w:lang w:val="en-CA"/>
        </w:rPr>
        <w:t>.</w:t>
      </w:r>
      <w:r w:rsidR="001F7D14" w:rsidRPr="009A1394">
        <w:rPr>
          <w:lang w:val="en-CA"/>
        </w:rPr>
        <w:t xml:space="preserve"> </w:t>
      </w:r>
      <w:r w:rsidRPr="009A1394">
        <w:rPr>
          <w:lang w:val="en-CA"/>
        </w:rPr>
        <w:t xml:space="preserve">He </w:t>
      </w:r>
      <w:r w:rsidR="00441EB4" w:rsidRPr="009A1394">
        <w:rPr>
          <w:lang w:val="en-CA"/>
        </w:rPr>
        <w:t>parsed</w:t>
      </w:r>
      <w:r w:rsidRPr="009A1394">
        <w:rPr>
          <w:lang w:val="en-CA"/>
        </w:rPr>
        <w:t xml:space="preserve"> each of the four themes around which the appellants’ cause of action was articulated.</w:t>
      </w:r>
    </w:p>
    <w:p w14:paraId="55769732" w14:textId="51B21BB3" w:rsidR="00CC66B8" w:rsidRPr="009A1394" w:rsidRDefault="0040690F" w:rsidP="004D2F92">
      <w:pPr>
        <w:pStyle w:val="Titre3"/>
        <w:rPr>
          <w:lang w:val="en-CA"/>
        </w:rPr>
      </w:pPr>
      <w:r w:rsidRPr="009A1394">
        <w:rPr>
          <w:lang w:val="en-CA"/>
        </w:rPr>
        <w:t>Absence of risk assessment</w:t>
      </w:r>
    </w:p>
    <w:p w14:paraId="4193461C" w14:textId="571D8E05" w:rsidR="00CC66B8" w:rsidRPr="009A1394" w:rsidRDefault="00FF5FCE" w:rsidP="003C6356">
      <w:pPr>
        <w:pStyle w:val="Paragraphe"/>
        <w:keepNext/>
        <w:numPr>
          <w:ilvl w:val="0"/>
          <w:numId w:val="1"/>
        </w:numPr>
        <w:rPr>
          <w:lang w:val="en-CA"/>
        </w:rPr>
      </w:pPr>
      <w:r w:rsidRPr="009A1394">
        <w:rPr>
          <w:lang w:val="en-CA"/>
        </w:rPr>
        <w:t xml:space="preserve">The first argument submitted by </w:t>
      </w:r>
      <w:r w:rsidR="008A3D05" w:rsidRPr="009A1394">
        <w:rPr>
          <w:lang w:val="en-CA"/>
        </w:rPr>
        <w:t>the</w:t>
      </w:r>
      <w:r w:rsidRPr="009A1394">
        <w:rPr>
          <w:lang w:val="en-CA"/>
        </w:rPr>
        <w:t xml:space="preserve"> appellants at trial was that CP should have</w:t>
      </w:r>
      <w:r w:rsidR="00A82B15" w:rsidRPr="009A1394">
        <w:rPr>
          <w:lang w:val="en-CA"/>
        </w:rPr>
        <w:t>,</w:t>
      </w:r>
      <w:r w:rsidRPr="009A1394">
        <w:rPr>
          <w:lang w:val="en-CA"/>
        </w:rPr>
        <w:t xml:space="preserve"> </w:t>
      </w:r>
      <w:r w:rsidR="00644F99" w:rsidRPr="009A1394">
        <w:rPr>
          <w:lang w:val="en-CA"/>
        </w:rPr>
        <w:t>[</w:t>
      </w:r>
      <w:r w:rsidR="00644F99" w:rsidRPr="009A1394">
        <w:rPr>
          <w:smallCaps/>
          <w:lang w:val="en-CA"/>
        </w:rPr>
        <w:t>translation</w:t>
      </w:r>
      <w:r w:rsidR="00644F99" w:rsidRPr="009A1394">
        <w:rPr>
          <w:lang w:val="en-CA"/>
        </w:rPr>
        <w:t>] “</w:t>
      </w:r>
      <w:r w:rsidRPr="009A1394">
        <w:rPr>
          <w:lang w:val="en-CA"/>
        </w:rPr>
        <w:t xml:space="preserve">before </w:t>
      </w:r>
      <w:r w:rsidR="00F45FBD" w:rsidRPr="009A1394">
        <w:rPr>
          <w:lang w:val="en-CA"/>
        </w:rPr>
        <w:t xml:space="preserve">undertaking </w:t>
      </w:r>
      <w:r w:rsidRPr="009A1394">
        <w:rPr>
          <w:lang w:val="en-CA"/>
        </w:rPr>
        <w:t>its massive operation</w:t>
      </w:r>
      <w:r w:rsidR="00F45FBD" w:rsidRPr="009A1394">
        <w:rPr>
          <w:lang w:val="en-CA"/>
        </w:rPr>
        <w:t>s</w:t>
      </w:r>
      <w:r w:rsidRPr="009A1394">
        <w:rPr>
          <w:lang w:val="en-CA"/>
        </w:rPr>
        <w:t xml:space="preserve"> transporting crude oil from the Bakken </w:t>
      </w:r>
      <w:r w:rsidR="00676A6B" w:rsidRPr="009A1394">
        <w:rPr>
          <w:lang w:val="en-CA"/>
        </w:rPr>
        <w:t>Formation</w:t>
      </w:r>
      <w:r w:rsidRPr="009A1394">
        <w:rPr>
          <w:lang w:val="en-CA"/>
        </w:rPr>
        <w:t xml:space="preserve">, </w:t>
      </w:r>
      <w:r w:rsidR="00644F99" w:rsidRPr="009A1394">
        <w:rPr>
          <w:lang w:val="en-CA"/>
        </w:rPr>
        <w:t>carried out</w:t>
      </w:r>
      <w:r w:rsidRPr="009A1394">
        <w:rPr>
          <w:lang w:val="en-CA"/>
        </w:rPr>
        <w:t xml:space="preserve"> a risk assessment of its own network and </w:t>
      </w:r>
      <w:r w:rsidR="00644F99" w:rsidRPr="009A1394">
        <w:rPr>
          <w:lang w:val="en-CA"/>
        </w:rPr>
        <w:t xml:space="preserve">of that </w:t>
      </w:r>
      <w:r w:rsidRPr="009A1394">
        <w:rPr>
          <w:lang w:val="en-CA"/>
        </w:rPr>
        <w:t>of the connecting carrier, MMA”.</w:t>
      </w:r>
      <w:r w:rsidRPr="009A1394">
        <w:rPr>
          <w:vertAlign w:val="superscript"/>
          <w:lang w:val="en-CA"/>
        </w:rPr>
        <w:footnoteReference w:id="127"/>
      </w:r>
      <w:r w:rsidR="008161A3" w:rsidRPr="009A1394">
        <w:rPr>
          <w:lang w:val="en-CA"/>
        </w:rPr>
        <w:t xml:space="preserve"> </w:t>
      </w:r>
      <w:r w:rsidRPr="009A1394">
        <w:rPr>
          <w:lang w:val="en-CA"/>
        </w:rPr>
        <w:t xml:space="preserve">CP </w:t>
      </w:r>
      <w:r w:rsidR="00644F99" w:rsidRPr="009A1394">
        <w:rPr>
          <w:lang w:val="en-CA"/>
        </w:rPr>
        <w:t>refutes</w:t>
      </w:r>
      <w:r w:rsidRPr="009A1394">
        <w:rPr>
          <w:lang w:val="en-CA"/>
        </w:rPr>
        <w:t xml:space="preserve"> this </w:t>
      </w:r>
      <w:r w:rsidR="00E01115" w:rsidRPr="009A1394">
        <w:rPr>
          <w:lang w:val="en-CA"/>
        </w:rPr>
        <w:t>contention</w:t>
      </w:r>
      <w:r w:rsidR="00644F99" w:rsidRPr="009A1394">
        <w:rPr>
          <w:lang w:val="en-CA"/>
        </w:rPr>
        <w:t>, which</w:t>
      </w:r>
      <w:r w:rsidRPr="009A1394">
        <w:rPr>
          <w:lang w:val="en-CA"/>
        </w:rPr>
        <w:t xml:space="preserve">, it </w:t>
      </w:r>
      <w:r w:rsidR="00644F99" w:rsidRPr="009A1394">
        <w:rPr>
          <w:lang w:val="en-CA"/>
        </w:rPr>
        <w:t>argues</w:t>
      </w:r>
      <w:r w:rsidRPr="009A1394">
        <w:rPr>
          <w:lang w:val="en-CA"/>
        </w:rPr>
        <w:t xml:space="preserve">, </w:t>
      </w:r>
      <w:r w:rsidR="00E01115" w:rsidRPr="009A1394">
        <w:rPr>
          <w:lang w:val="en-CA"/>
        </w:rPr>
        <w:t>has no basis in</w:t>
      </w:r>
      <w:r w:rsidRPr="009A1394">
        <w:rPr>
          <w:lang w:val="en-CA"/>
        </w:rPr>
        <w:t xml:space="preserve"> </w:t>
      </w:r>
      <w:r w:rsidR="00E01115" w:rsidRPr="009A1394">
        <w:rPr>
          <w:lang w:val="en-CA"/>
        </w:rPr>
        <w:t xml:space="preserve">the </w:t>
      </w:r>
      <w:r w:rsidRPr="009A1394">
        <w:rPr>
          <w:lang w:val="en-CA"/>
        </w:rPr>
        <w:t xml:space="preserve">regulations, industry standards and practices, or </w:t>
      </w:r>
      <w:r w:rsidR="00A82B15" w:rsidRPr="009A1394">
        <w:rPr>
          <w:lang w:val="en-CA"/>
        </w:rPr>
        <w:t xml:space="preserve">the </w:t>
      </w:r>
      <w:r w:rsidRPr="009A1394">
        <w:rPr>
          <w:lang w:val="en-CA"/>
        </w:rPr>
        <w:t>case law.</w:t>
      </w:r>
      <w:r w:rsidRPr="009A1394">
        <w:rPr>
          <w:vertAlign w:val="superscript"/>
          <w:lang w:val="en-CA"/>
        </w:rPr>
        <w:footnoteReference w:id="128"/>
      </w:r>
    </w:p>
    <w:p w14:paraId="49F57E0F" w14:textId="68825203" w:rsidR="00CC66B8" w:rsidRPr="009A1394" w:rsidRDefault="00FF5FCE" w:rsidP="003C6356">
      <w:pPr>
        <w:pStyle w:val="Paragraphe"/>
        <w:numPr>
          <w:ilvl w:val="0"/>
          <w:numId w:val="1"/>
        </w:numPr>
        <w:rPr>
          <w:lang w:val="en-CA"/>
        </w:rPr>
      </w:pPr>
      <w:r w:rsidRPr="009A1394">
        <w:rPr>
          <w:lang w:val="en-CA"/>
        </w:rPr>
        <w:t>T</w:t>
      </w:r>
      <w:r w:rsidR="00585D8C" w:rsidRPr="009A1394">
        <w:rPr>
          <w:lang w:val="en-CA"/>
        </w:rPr>
        <w:t>o guide him, t</w:t>
      </w:r>
      <w:r w:rsidRPr="009A1394">
        <w:rPr>
          <w:lang w:val="en-CA"/>
        </w:rPr>
        <w:t xml:space="preserve">he judge </w:t>
      </w:r>
      <w:r w:rsidR="00585D8C" w:rsidRPr="009A1394">
        <w:rPr>
          <w:lang w:val="en-CA"/>
        </w:rPr>
        <w:t xml:space="preserve">had the </w:t>
      </w:r>
      <w:r w:rsidRPr="009A1394">
        <w:rPr>
          <w:lang w:val="en-CA"/>
        </w:rPr>
        <w:t>benefit of the appellants’ experts</w:t>
      </w:r>
      <w:r w:rsidR="00A82B15" w:rsidRPr="009A1394">
        <w:rPr>
          <w:lang w:val="en-CA"/>
        </w:rPr>
        <w:t>,</w:t>
      </w:r>
      <w:r w:rsidRPr="009A1394">
        <w:rPr>
          <w:lang w:val="en-CA"/>
        </w:rPr>
        <w:t xml:space="preserve"> Evans, Reilly, and Richard,</w:t>
      </w:r>
      <w:r w:rsidRPr="009A1394">
        <w:rPr>
          <w:vertAlign w:val="superscript"/>
          <w:lang w:val="en-CA"/>
        </w:rPr>
        <w:footnoteReference w:id="129"/>
      </w:r>
      <w:r w:rsidRPr="009A1394">
        <w:rPr>
          <w:lang w:val="en-CA"/>
        </w:rPr>
        <w:t xml:space="preserve"> and </w:t>
      </w:r>
      <w:r w:rsidR="00585D8C" w:rsidRPr="009A1394">
        <w:rPr>
          <w:lang w:val="en-CA"/>
        </w:rPr>
        <w:t xml:space="preserve">of </w:t>
      </w:r>
      <w:r w:rsidRPr="009A1394">
        <w:rPr>
          <w:lang w:val="en-CA"/>
        </w:rPr>
        <w:t>CP’s experts</w:t>
      </w:r>
      <w:r w:rsidR="00A82B15" w:rsidRPr="009A1394">
        <w:rPr>
          <w:lang w:val="en-CA"/>
        </w:rPr>
        <w:t>,</w:t>
      </w:r>
      <w:r w:rsidRPr="009A1394">
        <w:rPr>
          <w:lang w:val="en-CA"/>
        </w:rPr>
        <w:t xml:space="preserve"> Wo</w:t>
      </w:r>
      <w:r w:rsidR="00FC7144" w:rsidRPr="009A1394">
        <w:rPr>
          <w:lang w:val="en-CA"/>
        </w:rPr>
        <w:t>l</w:t>
      </w:r>
      <w:r w:rsidRPr="009A1394">
        <w:rPr>
          <w:lang w:val="en-CA"/>
        </w:rPr>
        <w:t>f and Marshall.</w:t>
      </w:r>
      <w:r w:rsidRPr="009A1394">
        <w:rPr>
          <w:vertAlign w:val="superscript"/>
          <w:lang w:val="en-CA"/>
        </w:rPr>
        <w:footnoteReference w:id="130"/>
      </w:r>
      <w:r w:rsidR="008161A3" w:rsidRPr="009A1394">
        <w:rPr>
          <w:lang w:val="en-CA"/>
        </w:rPr>
        <w:t xml:space="preserve"> </w:t>
      </w:r>
      <w:r w:rsidR="00DA7790" w:rsidRPr="009A1394">
        <w:rPr>
          <w:lang w:val="en-CA"/>
        </w:rPr>
        <w:t>T</w:t>
      </w:r>
      <w:r w:rsidRPr="009A1394">
        <w:rPr>
          <w:lang w:val="en-CA"/>
        </w:rPr>
        <w:t>he judge</w:t>
      </w:r>
      <w:r w:rsidR="00DA7790" w:rsidRPr="009A1394">
        <w:rPr>
          <w:lang w:val="en-CA"/>
        </w:rPr>
        <w:t>, however,</w:t>
      </w:r>
      <w:r w:rsidRPr="009A1394">
        <w:rPr>
          <w:lang w:val="en-CA"/>
        </w:rPr>
        <w:t xml:space="preserve"> </w:t>
      </w:r>
      <w:r w:rsidR="00585D8C" w:rsidRPr="009A1394">
        <w:rPr>
          <w:lang w:val="en-CA"/>
        </w:rPr>
        <w:t>rejected</w:t>
      </w:r>
      <w:r w:rsidRPr="009A1394">
        <w:rPr>
          <w:lang w:val="en-CA"/>
        </w:rPr>
        <w:t xml:space="preserve"> the opinion of the first group in favour of that of the second.</w:t>
      </w:r>
      <w:r w:rsidRPr="009A1394">
        <w:rPr>
          <w:vertAlign w:val="superscript"/>
          <w:lang w:val="en-CA"/>
        </w:rPr>
        <w:footnoteReference w:id="131"/>
      </w:r>
      <w:r w:rsidR="008161A3" w:rsidRPr="009A1394">
        <w:rPr>
          <w:lang w:val="en-CA"/>
        </w:rPr>
        <w:t xml:space="preserve"> </w:t>
      </w:r>
      <w:r w:rsidRPr="009A1394">
        <w:rPr>
          <w:lang w:val="en-CA"/>
        </w:rPr>
        <w:t xml:space="preserve">No rule or practice provides that a rail carrier must </w:t>
      </w:r>
      <w:r w:rsidR="00FC7144" w:rsidRPr="009A1394">
        <w:rPr>
          <w:lang w:val="en-CA"/>
        </w:rPr>
        <w:t>[</w:t>
      </w:r>
      <w:r w:rsidR="00FC7144" w:rsidRPr="009A1394">
        <w:rPr>
          <w:smallCaps/>
          <w:lang w:val="en-CA"/>
        </w:rPr>
        <w:t>translation</w:t>
      </w:r>
      <w:r w:rsidR="00FC7144" w:rsidRPr="009A1394">
        <w:rPr>
          <w:lang w:val="en-CA"/>
        </w:rPr>
        <w:t xml:space="preserve">] </w:t>
      </w:r>
      <w:r w:rsidRPr="009A1394">
        <w:rPr>
          <w:lang w:val="en-CA"/>
        </w:rPr>
        <w:t>“</w:t>
      </w:r>
      <w:r w:rsidR="00640695" w:rsidRPr="009A1394">
        <w:rPr>
          <w:lang w:val="en-CA"/>
        </w:rPr>
        <w:t>conduct</w:t>
      </w:r>
      <w:r w:rsidRPr="009A1394">
        <w:rPr>
          <w:lang w:val="en-CA"/>
        </w:rPr>
        <w:t xml:space="preserve"> a risk assessment before transporting crude oil, and even less so [</w:t>
      </w:r>
      <w:r w:rsidR="00FC7144" w:rsidRPr="009A1394">
        <w:rPr>
          <w:lang w:val="en-CA"/>
        </w:rPr>
        <w:t>when</w:t>
      </w:r>
      <w:r w:rsidRPr="009A1394">
        <w:rPr>
          <w:lang w:val="en-CA"/>
        </w:rPr>
        <w:t xml:space="preserve"> this analysis </w:t>
      </w:r>
      <w:r w:rsidR="00F45FBD" w:rsidRPr="009A1394">
        <w:rPr>
          <w:lang w:val="en-CA"/>
        </w:rPr>
        <w:t xml:space="preserve">involves </w:t>
      </w:r>
      <w:r w:rsidRPr="009A1394">
        <w:rPr>
          <w:lang w:val="en-CA"/>
        </w:rPr>
        <w:t xml:space="preserve">the] the </w:t>
      </w:r>
      <w:r w:rsidR="00585D8C" w:rsidRPr="009A1394">
        <w:rPr>
          <w:lang w:val="en-CA"/>
        </w:rPr>
        <w:t>railway</w:t>
      </w:r>
      <w:r w:rsidRPr="009A1394">
        <w:rPr>
          <w:lang w:val="en-CA"/>
        </w:rPr>
        <w:t xml:space="preserve"> tracks of other rail companies”.</w:t>
      </w:r>
      <w:r w:rsidRPr="009A1394">
        <w:rPr>
          <w:vertAlign w:val="superscript"/>
          <w:lang w:val="en-CA"/>
        </w:rPr>
        <w:footnoteReference w:id="132"/>
      </w:r>
      <w:r w:rsidR="008161A3" w:rsidRPr="009A1394">
        <w:rPr>
          <w:lang w:val="en-CA"/>
        </w:rPr>
        <w:t xml:space="preserve"> </w:t>
      </w:r>
      <w:r w:rsidRPr="009A1394">
        <w:rPr>
          <w:lang w:val="en-CA"/>
        </w:rPr>
        <w:t xml:space="preserve">On the contrary, </w:t>
      </w:r>
      <w:r w:rsidR="00F45FBD" w:rsidRPr="009A1394">
        <w:rPr>
          <w:lang w:val="en-CA"/>
        </w:rPr>
        <w:t xml:space="preserve">the judge noted, </w:t>
      </w:r>
      <w:r w:rsidRPr="009A1394">
        <w:rPr>
          <w:lang w:val="en-CA"/>
        </w:rPr>
        <w:t>an originating carrier must be able to</w:t>
      </w:r>
      <w:r w:rsidR="00F45FBD" w:rsidRPr="009A1394">
        <w:rPr>
          <w:lang w:val="en-CA"/>
        </w:rPr>
        <w:t xml:space="preserve"> </w:t>
      </w:r>
      <w:r w:rsidRPr="009A1394">
        <w:rPr>
          <w:lang w:val="en-CA"/>
        </w:rPr>
        <w:t xml:space="preserve">rely on the work performed by the governmental bodies </w:t>
      </w:r>
      <w:r w:rsidR="00585D8C" w:rsidRPr="009A1394">
        <w:rPr>
          <w:lang w:val="en-CA"/>
        </w:rPr>
        <w:t>responsible for</w:t>
      </w:r>
      <w:r w:rsidRPr="009A1394">
        <w:rPr>
          <w:lang w:val="en-CA"/>
        </w:rPr>
        <w:t xml:space="preserve"> inspecting and certifying the other rail carriers when it hands over </w:t>
      </w:r>
      <w:r w:rsidR="00FC7144" w:rsidRPr="009A1394">
        <w:rPr>
          <w:lang w:val="en-CA"/>
        </w:rPr>
        <w:t xml:space="preserve">to a connecting carrier </w:t>
      </w:r>
      <w:r w:rsidRPr="009A1394">
        <w:rPr>
          <w:lang w:val="en-CA"/>
        </w:rPr>
        <w:t>the goods with which it was entrusted.</w:t>
      </w:r>
      <w:r w:rsidRPr="009A1394">
        <w:rPr>
          <w:vertAlign w:val="superscript"/>
          <w:lang w:val="en-CA"/>
        </w:rPr>
        <w:footnoteReference w:id="133"/>
      </w:r>
      <w:r w:rsidR="008161A3" w:rsidRPr="009A1394">
        <w:rPr>
          <w:lang w:val="en-CA"/>
        </w:rPr>
        <w:t xml:space="preserve"> </w:t>
      </w:r>
      <w:r w:rsidRPr="009A1394">
        <w:rPr>
          <w:lang w:val="en-CA"/>
        </w:rPr>
        <w:t>The judge even went so far as to conclude</w:t>
      </w:r>
      <w:r w:rsidR="00585D8C" w:rsidRPr="009A1394">
        <w:rPr>
          <w:lang w:val="en-CA"/>
        </w:rPr>
        <w:t xml:space="preserve"> that</w:t>
      </w:r>
      <w:r w:rsidRPr="009A1394">
        <w:rPr>
          <w:lang w:val="en-CA"/>
        </w:rPr>
        <w:t xml:space="preserve"> </w:t>
      </w:r>
      <w:r w:rsidR="00FC7144" w:rsidRPr="009A1394">
        <w:rPr>
          <w:lang w:val="en-CA"/>
        </w:rPr>
        <w:t>[</w:t>
      </w:r>
      <w:r w:rsidR="00FC7144" w:rsidRPr="009A1394">
        <w:rPr>
          <w:smallCaps/>
          <w:lang w:val="en-CA"/>
        </w:rPr>
        <w:t>translation</w:t>
      </w:r>
      <w:r w:rsidR="00FC7144" w:rsidRPr="009A1394">
        <w:rPr>
          <w:lang w:val="en-CA"/>
        </w:rPr>
        <w:t>]</w:t>
      </w:r>
      <w:r w:rsidR="00A82B15" w:rsidRPr="009A1394">
        <w:rPr>
          <w:lang w:val="en-CA"/>
        </w:rPr>
        <w:t> </w:t>
      </w:r>
      <w:r w:rsidRPr="009A1394">
        <w:rPr>
          <w:lang w:val="en-CA"/>
        </w:rPr>
        <w:t>“the North-American rail system, and</w:t>
      </w:r>
      <w:r w:rsidR="00B31033" w:rsidRPr="009A1394">
        <w:rPr>
          <w:lang w:val="en-CA"/>
        </w:rPr>
        <w:t xml:space="preserve"> particularly</w:t>
      </w:r>
      <w:r w:rsidRPr="009A1394">
        <w:rPr>
          <w:lang w:val="en-CA"/>
        </w:rPr>
        <w:t xml:space="preserve"> the one</w:t>
      </w:r>
      <w:r w:rsidR="00B31033" w:rsidRPr="009A1394">
        <w:rPr>
          <w:lang w:val="en-CA"/>
        </w:rPr>
        <w:t xml:space="preserve"> that exists</w:t>
      </w:r>
      <w:r w:rsidRPr="009A1394">
        <w:rPr>
          <w:lang w:val="en-CA"/>
        </w:rPr>
        <w:t xml:space="preserve"> in Canada, is </w:t>
      </w:r>
      <w:r w:rsidR="00FC7144" w:rsidRPr="009A1394">
        <w:rPr>
          <w:lang w:val="en-CA"/>
        </w:rPr>
        <w:t>not</w:t>
      </w:r>
      <w:r w:rsidRPr="009A1394">
        <w:rPr>
          <w:lang w:val="en-CA"/>
        </w:rPr>
        <w:t xml:space="preserve"> devised, regulated or managed </w:t>
      </w:r>
      <w:r w:rsidR="00FC7144" w:rsidRPr="009A1394">
        <w:rPr>
          <w:lang w:val="en-CA"/>
        </w:rPr>
        <w:t xml:space="preserve">in </w:t>
      </w:r>
      <w:r w:rsidRPr="009A1394">
        <w:rPr>
          <w:lang w:val="en-CA"/>
        </w:rPr>
        <w:t>such</w:t>
      </w:r>
      <w:r w:rsidR="00FC7144" w:rsidRPr="009A1394">
        <w:rPr>
          <w:lang w:val="en-CA"/>
        </w:rPr>
        <w:t xml:space="preserve"> a way</w:t>
      </w:r>
      <w:r w:rsidRPr="009A1394">
        <w:rPr>
          <w:lang w:val="en-CA"/>
        </w:rPr>
        <w:t xml:space="preserve"> that risk assessments are carried out by one carrier on the network of another</w:t>
      </w:r>
      <w:r w:rsidR="00B31033" w:rsidRPr="009A1394">
        <w:rPr>
          <w:lang w:val="en-CA"/>
        </w:rPr>
        <w:t xml:space="preserve"> undertaking</w:t>
      </w:r>
      <w:r w:rsidRPr="009A1394">
        <w:rPr>
          <w:lang w:val="en-CA"/>
        </w:rPr>
        <w:t>”.</w:t>
      </w:r>
      <w:r w:rsidRPr="009A1394">
        <w:rPr>
          <w:vertAlign w:val="superscript"/>
          <w:lang w:val="en-CA"/>
        </w:rPr>
        <w:footnoteReference w:id="134"/>
      </w:r>
      <w:r w:rsidR="008161A3" w:rsidRPr="009A1394">
        <w:rPr>
          <w:lang w:val="en-CA"/>
        </w:rPr>
        <w:t xml:space="preserve"> </w:t>
      </w:r>
      <w:r w:rsidR="003E718C" w:rsidRPr="009A1394">
        <w:rPr>
          <w:lang w:val="en-CA"/>
        </w:rPr>
        <w:t>That said</w:t>
      </w:r>
      <w:r w:rsidRPr="009A1394">
        <w:rPr>
          <w:lang w:val="en-CA"/>
        </w:rPr>
        <w:t xml:space="preserve">, the judge did not deny an originating carrier’s obligation to take the required steps before interswitching with other carriers </w:t>
      </w:r>
      <w:r w:rsidR="00FC7144" w:rsidRPr="009A1394">
        <w:rPr>
          <w:lang w:val="en-CA"/>
        </w:rPr>
        <w:t>[</w:t>
      </w:r>
      <w:r w:rsidR="00FC7144" w:rsidRPr="009A1394">
        <w:rPr>
          <w:smallCaps/>
          <w:lang w:val="en-CA"/>
        </w:rPr>
        <w:t>translation</w:t>
      </w:r>
      <w:r w:rsidR="00FC7144" w:rsidRPr="009A1394">
        <w:rPr>
          <w:lang w:val="en-CA"/>
        </w:rPr>
        <w:t xml:space="preserve">] </w:t>
      </w:r>
      <w:r w:rsidRPr="009A1394">
        <w:rPr>
          <w:lang w:val="en-CA"/>
        </w:rPr>
        <w:t>“</w:t>
      </w:r>
      <w:r w:rsidR="00FC7144" w:rsidRPr="009A1394">
        <w:rPr>
          <w:lang w:val="en-CA"/>
        </w:rPr>
        <w:t>where</w:t>
      </w:r>
      <w:r w:rsidRPr="009A1394">
        <w:rPr>
          <w:lang w:val="en-CA"/>
        </w:rPr>
        <w:t xml:space="preserve"> there is a clear and obvious situation </w:t>
      </w:r>
      <w:r w:rsidR="00585D8C" w:rsidRPr="009A1394">
        <w:rPr>
          <w:lang w:val="en-CA"/>
        </w:rPr>
        <w:t>involving</w:t>
      </w:r>
      <w:r w:rsidRPr="009A1394">
        <w:rPr>
          <w:lang w:val="en-CA"/>
        </w:rPr>
        <w:t xml:space="preserve"> the presence of a serious and imminent risk”.</w:t>
      </w:r>
      <w:r w:rsidRPr="009A1394">
        <w:rPr>
          <w:vertAlign w:val="superscript"/>
          <w:lang w:val="en-CA"/>
        </w:rPr>
        <w:footnoteReference w:id="135"/>
      </w:r>
      <w:r w:rsidR="00445D50" w:rsidRPr="009A1394">
        <w:rPr>
          <w:lang w:val="en-CA"/>
        </w:rPr>
        <w:t xml:space="preserve"> </w:t>
      </w:r>
      <w:r w:rsidR="00DD73FC" w:rsidRPr="009A1394">
        <w:rPr>
          <w:lang w:val="en-CA"/>
        </w:rPr>
        <w:t>T</w:t>
      </w:r>
      <w:r w:rsidRPr="009A1394">
        <w:rPr>
          <w:lang w:val="en-CA"/>
        </w:rPr>
        <w:t>he judge</w:t>
      </w:r>
      <w:r w:rsidR="00DD73FC" w:rsidRPr="009A1394">
        <w:rPr>
          <w:lang w:val="en-CA"/>
        </w:rPr>
        <w:t>, however,</w:t>
      </w:r>
      <w:r w:rsidRPr="009A1394">
        <w:rPr>
          <w:lang w:val="en-CA"/>
        </w:rPr>
        <w:t xml:space="preserve"> </w:t>
      </w:r>
      <w:r w:rsidR="00B31033" w:rsidRPr="009A1394">
        <w:rPr>
          <w:lang w:val="en-CA"/>
        </w:rPr>
        <w:lastRenderedPageBreak/>
        <w:t>concluded</w:t>
      </w:r>
      <w:r w:rsidRPr="009A1394">
        <w:rPr>
          <w:lang w:val="en-CA"/>
        </w:rPr>
        <w:t xml:space="preserve"> that there was </w:t>
      </w:r>
      <w:r w:rsidR="00B31033" w:rsidRPr="009A1394">
        <w:rPr>
          <w:lang w:val="en-CA"/>
        </w:rPr>
        <w:t>no</w:t>
      </w:r>
      <w:r w:rsidRPr="009A1394">
        <w:rPr>
          <w:lang w:val="en-CA"/>
        </w:rPr>
        <w:t xml:space="preserve"> evidence that allowed CP to </w:t>
      </w:r>
      <w:r w:rsidR="00554A31" w:rsidRPr="009A1394">
        <w:rPr>
          <w:lang w:val="en-CA"/>
        </w:rPr>
        <w:t xml:space="preserve">foresee </w:t>
      </w:r>
      <w:r w:rsidRPr="009A1394">
        <w:rPr>
          <w:lang w:val="en-CA"/>
        </w:rPr>
        <w:t xml:space="preserve">that such a risk would </w:t>
      </w:r>
      <w:r w:rsidR="003578D5" w:rsidRPr="009A1394">
        <w:rPr>
          <w:lang w:val="en-CA"/>
        </w:rPr>
        <w:t>materialize</w:t>
      </w:r>
      <w:r w:rsidRPr="009A1394">
        <w:rPr>
          <w:lang w:val="en-CA"/>
        </w:rPr>
        <w:t xml:space="preserve"> here.</w:t>
      </w:r>
      <w:r w:rsidRPr="009A1394">
        <w:rPr>
          <w:vertAlign w:val="superscript"/>
          <w:lang w:val="en-CA"/>
        </w:rPr>
        <w:footnoteReference w:id="136"/>
      </w:r>
    </w:p>
    <w:p w14:paraId="69F1CFC7" w14:textId="00A393CA" w:rsidR="00CC66B8" w:rsidRPr="009A1394" w:rsidRDefault="007E5E2F" w:rsidP="003C6356">
      <w:pPr>
        <w:pStyle w:val="Paragraphe"/>
        <w:numPr>
          <w:ilvl w:val="0"/>
          <w:numId w:val="1"/>
        </w:numPr>
        <w:rPr>
          <w:lang w:val="en-CA"/>
        </w:rPr>
      </w:pPr>
      <w:r w:rsidRPr="009A1394">
        <w:rPr>
          <w:lang w:val="en-CA"/>
        </w:rPr>
        <w:t>Consequently, t</w:t>
      </w:r>
      <w:r w:rsidR="00FF5FCE" w:rsidRPr="009A1394">
        <w:rPr>
          <w:lang w:val="en-CA"/>
        </w:rPr>
        <w:t>he judge did not</w:t>
      </w:r>
      <w:r w:rsidR="00B31033" w:rsidRPr="009A1394">
        <w:rPr>
          <w:lang w:val="en-CA"/>
        </w:rPr>
        <w:t xml:space="preserve"> find</w:t>
      </w:r>
      <w:r w:rsidR="00FF5FCE" w:rsidRPr="009A1394">
        <w:rPr>
          <w:lang w:val="en-CA"/>
        </w:rPr>
        <w:t xml:space="preserve"> any fault </w:t>
      </w:r>
      <w:r w:rsidR="00554A31" w:rsidRPr="009A1394">
        <w:rPr>
          <w:lang w:val="en-CA"/>
        </w:rPr>
        <w:t xml:space="preserve">committed by </w:t>
      </w:r>
      <w:r w:rsidR="00FF5FCE" w:rsidRPr="009A1394">
        <w:rPr>
          <w:lang w:val="en-CA"/>
        </w:rPr>
        <w:t>CP in this respect.</w:t>
      </w:r>
      <w:r w:rsidR="00FF5FCE" w:rsidRPr="009A1394">
        <w:rPr>
          <w:vertAlign w:val="superscript"/>
          <w:lang w:val="en-CA"/>
        </w:rPr>
        <w:footnoteReference w:id="137"/>
      </w:r>
    </w:p>
    <w:p w14:paraId="7CBCE652" w14:textId="5BFB6EE2" w:rsidR="00CC66B8" w:rsidRPr="009A1394" w:rsidRDefault="00B31033" w:rsidP="004B1090">
      <w:pPr>
        <w:pStyle w:val="Titre3"/>
        <w:keepNext w:val="0"/>
        <w:rPr>
          <w:lang w:val="en-CA"/>
        </w:rPr>
      </w:pPr>
      <w:r w:rsidRPr="009A1394">
        <w:rPr>
          <w:lang w:val="en-CA"/>
        </w:rPr>
        <w:t>MMAs r</w:t>
      </w:r>
      <w:r w:rsidR="00FF5FCE" w:rsidRPr="009A1394">
        <w:rPr>
          <w:lang w:val="en-CA"/>
        </w:rPr>
        <w:t xml:space="preserve">ecommendation as </w:t>
      </w:r>
      <w:r w:rsidRPr="009A1394">
        <w:rPr>
          <w:lang w:val="en-CA"/>
        </w:rPr>
        <w:t xml:space="preserve">a </w:t>
      </w:r>
      <w:r w:rsidR="00FF5FCE" w:rsidRPr="009A1394">
        <w:rPr>
          <w:lang w:val="en-CA"/>
        </w:rPr>
        <w:t>connecting carrier</w:t>
      </w:r>
    </w:p>
    <w:p w14:paraId="75DCE09B" w14:textId="6FA78A21" w:rsidR="00CC66B8" w:rsidRPr="009A1394" w:rsidRDefault="00554A31" w:rsidP="004B1090">
      <w:pPr>
        <w:pStyle w:val="Paragraphe"/>
        <w:numPr>
          <w:ilvl w:val="0"/>
          <w:numId w:val="1"/>
        </w:numPr>
        <w:rPr>
          <w:lang w:val="en-CA"/>
        </w:rPr>
      </w:pPr>
      <w:r w:rsidRPr="009A1394">
        <w:rPr>
          <w:lang w:val="en-CA"/>
        </w:rPr>
        <w:t xml:space="preserve">Nor did the Court find </w:t>
      </w:r>
      <w:r w:rsidR="00FF5FCE" w:rsidRPr="009A1394">
        <w:rPr>
          <w:lang w:val="en-CA"/>
        </w:rPr>
        <w:t xml:space="preserve">CP’s conduct under this </w:t>
      </w:r>
      <w:r w:rsidR="00E06106" w:rsidRPr="009A1394">
        <w:rPr>
          <w:lang w:val="en-CA"/>
        </w:rPr>
        <w:t xml:space="preserve">facet </w:t>
      </w:r>
      <w:r w:rsidR="00FF5FCE" w:rsidRPr="009A1394">
        <w:rPr>
          <w:lang w:val="en-CA"/>
        </w:rPr>
        <w:t>to be</w:t>
      </w:r>
      <w:r w:rsidR="00B27CEF" w:rsidRPr="009A1394">
        <w:rPr>
          <w:lang w:val="en-CA"/>
        </w:rPr>
        <w:t xml:space="preserve"> wrongful</w:t>
      </w:r>
      <w:r w:rsidR="00FF5FCE" w:rsidRPr="009A1394">
        <w:rPr>
          <w:lang w:val="en-CA"/>
        </w:rPr>
        <w:t>.</w:t>
      </w:r>
      <w:r w:rsidR="00FF5FCE" w:rsidRPr="009A1394">
        <w:rPr>
          <w:vertAlign w:val="superscript"/>
          <w:lang w:val="en-CA"/>
        </w:rPr>
        <w:footnoteReference w:id="138"/>
      </w:r>
    </w:p>
    <w:p w14:paraId="35A18E39" w14:textId="715EB28F" w:rsidR="00CC66B8" w:rsidRPr="009A1394" w:rsidRDefault="00FF5FCE" w:rsidP="004B1090">
      <w:pPr>
        <w:pStyle w:val="Paragraphe"/>
        <w:numPr>
          <w:ilvl w:val="0"/>
          <w:numId w:val="1"/>
        </w:numPr>
        <w:rPr>
          <w:lang w:val="en-CA"/>
        </w:rPr>
      </w:pPr>
      <w:r w:rsidRPr="009A1394">
        <w:rPr>
          <w:lang w:val="en-CA"/>
        </w:rPr>
        <w:t xml:space="preserve">The judge </w:t>
      </w:r>
      <w:r w:rsidR="00D960AD" w:rsidRPr="009A1394">
        <w:rPr>
          <w:lang w:val="en-CA"/>
        </w:rPr>
        <w:t>noted</w:t>
      </w:r>
      <w:r w:rsidRPr="009A1394">
        <w:rPr>
          <w:lang w:val="en-CA"/>
        </w:rPr>
        <w:t xml:space="preserve"> that </w:t>
      </w:r>
      <w:r w:rsidR="00B04B87" w:rsidRPr="009A1394">
        <w:rPr>
          <w:lang w:val="en-CA"/>
        </w:rPr>
        <w:t xml:space="preserve">it was </w:t>
      </w:r>
      <w:r w:rsidRPr="009A1394">
        <w:rPr>
          <w:lang w:val="en-CA"/>
        </w:rPr>
        <w:t xml:space="preserve">WFS and Irving </w:t>
      </w:r>
      <w:r w:rsidR="00B04B87" w:rsidRPr="009A1394">
        <w:rPr>
          <w:lang w:val="en-CA"/>
        </w:rPr>
        <w:t xml:space="preserve">that </w:t>
      </w:r>
      <w:r w:rsidRPr="009A1394">
        <w:rPr>
          <w:lang w:val="en-CA"/>
        </w:rPr>
        <w:t xml:space="preserve">had </w:t>
      </w:r>
      <w:r w:rsidR="0024389F" w:rsidRPr="009A1394">
        <w:rPr>
          <w:lang w:val="en-CA"/>
        </w:rPr>
        <w:t xml:space="preserve">had </w:t>
      </w:r>
      <w:r w:rsidRPr="009A1394">
        <w:rPr>
          <w:lang w:val="en-CA"/>
        </w:rPr>
        <w:t xml:space="preserve">the </w:t>
      </w:r>
      <w:r w:rsidR="00FC7144" w:rsidRPr="009A1394">
        <w:rPr>
          <w:lang w:val="en-CA"/>
        </w:rPr>
        <w:t>final</w:t>
      </w:r>
      <w:r w:rsidRPr="009A1394">
        <w:rPr>
          <w:lang w:val="en-CA"/>
        </w:rPr>
        <w:t xml:space="preserve"> </w:t>
      </w:r>
      <w:r w:rsidR="00B04B87" w:rsidRPr="009A1394">
        <w:rPr>
          <w:lang w:val="en-CA"/>
        </w:rPr>
        <w:t>say</w:t>
      </w:r>
      <w:r w:rsidRPr="009A1394">
        <w:rPr>
          <w:lang w:val="en-CA"/>
        </w:rPr>
        <w:t xml:space="preserve"> in choosing the route, </w:t>
      </w:r>
      <w:r w:rsidR="00FC7144" w:rsidRPr="009A1394">
        <w:rPr>
          <w:lang w:val="en-CA"/>
        </w:rPr>
        <w:t>and</w:t>
      </w:r>
      <w:r w:rsidRPr="009A1394">
        <w:rPr>
          <w:lang w:val="en-CA"/>
        </w:rPr>
        <w:t xml:space="preserve"> </w:t>
      </w:r>
      <w:r w:rsidR="00D960AD" w:rsidRPr="009A1394">
        <w:rPr>
          <w:lang w:val="en-CA"/>
        </w:rPr>
        <w:t>consequently</w:t>
      </w:r>
      <w:r w:rsidRPr="009A1394">
        <w:rPr>
          <w:lang w:val="en-CA"/>
        </w:rPr>
        <w:t>, the connecting carrier.</w:t>
      </w:r>
      <w:r w:rsidRPr="009A1394">
        <w:rPr>
          <w:vertAlign w:val="superscript"/>
          <w:lang w:val="en-CA"/>
        </w:rPr>
        <w:footnoteReference w:id="139"/>
      </w:r>
      <w:r w:rsidR="008161A3" w:rsidRPr="009A1394">
        <w:rPr>
          <w:lang w:val="en-CA"/>
        </w:rPr>
        <w:t xml:space="preserve"> </w:t>
      </w:r>
      <w:r w:rsidRPr="009A1394">
        <w:rPr>
          <w:rFonts w:cs="Arial"/>
          <w:lang w:val="en-CA"/>
        </w:rPr>
        <w:t xml:space="preserve">Moreover, </w:t>
      </w:r>
      <w:r w:rsidR="00EC0680" w:rsidRPr="009A1394">
        <w:rPr>
          <w:rFonts w:cs="Arial"/>
          <w:lang w:val="en-CA"/>
        </w:rPr>
        <w:t xml:space="preserve">in his view, </w:t>
      </w:r>
      <w:r w:rsidRPr="009A1394">
        <w:rPr>
          <w:rFonts w:cs="Arial"/>
          <w:lang w:val="en-CA"/>
        </w:rPr>
        <w:t>nothing in the evidence indicate</w:t>
      </w:r>
      <w:r w:rsidR="00FC7144" w:rsidRPr="009A1394">
        <w:rPr>
          <w:rFonts w:cs="Arial"/>
          <w:lang w:val="en-CA"/>
        </w:rPr>
        <w:t>d</w:t>
      </w:r>
      <w:r w:rsidRPr="009A1394">
        <w:rPr>
          <w:rFonts w:cs="Arial"/>
          <w:lang w:val="en-CA"/>
        </w:rPr>
        <w:t xml:space="preserve"> that CP had access or could have</w:t>
      </w:r>
      <w:r w:rsidR="00FC7144" w:rsidRPr="009A1394">
        <w:rPr>
          <w:rFonts w:cs="Arial"/>
          <w:lang w:val="en-CA"/>
        </w:rPr>
        <w:t xml:space="preserve"> [</w:t>
      </w:r>
      <w:r w:rsidR="00FC7144" w:rsidRPr="009A1394">
        <w:rPr>
          <w:rFonts w:cs="Arial"/>
          <w:smallCaps/>
          <w:lang w:val="en-CA"/>
        </w:rPr>
        <w:t>translation</w:t>
      </w:r>
      <w:r w:rsidR="00FC7144" w:rsidRPr="009A1394">
        <w:rPr>
          <w:rFonts w:cs="Arial"/>
          <w:lang w:val="en-CA"/>
        </w:rPr>
        <w:t>]</w:t>
      </w:r>
      <w:r w:rsidRPr="009A1394">
        <w:rPr>
          <w:rFonts w:cs="Arial"/>
          <w:lang w:val="en-CA"/>
        </w:rPr>
        <w:t xml:space="preserve"> “</w:t>
      </w:r>
      <w:r w:rsidR="00B04B87" w:rsidRPr="009A1394">
        <w:rPr>
          <w:rFonts w:cs="Arial"/>
          <w:lang w:val="en-CA"/>
        </w:rPr>
        <w:t xml:space="preserve">easily had </w:t>
      </w:r>
      <w:r w:rsidRPr="009A1394">
        <w:rPr>
          <w:rFonts w:cs="Arial"/>
          <w:lang w:val="en-CA"/>
        </w:rPr>
        <w:t xml:space="preserve">access to troubling or </w:t>
      </w:r>
      <w:r w:rsidR="00D960AD" w:rsidRPr="009A1394">
        <w:rPr>
          <w:rFonts w:cs="Arial"/>
          <w:lang w:val="en-CA"/>
        </w:rPr>
        <w:t>unsettling</w:t>
      </w:r>
      <w:r w:rsidRPr="009A1394">
        <w:rPr>
          <w:rFonts w:cs="Arial"/>
          <w:lang w:val="en-CA"/>
        </w:rPr>
        <w:t xml:space="preserve"> information </w:t>
      </w:r>
      <w:r w:rsidR="00D960AD" w:rsidRPr="009A1394">
        <w:rPr>
          <w:rFonts w:cs="Arial"/>
          <w:lang w:val="en-CA"/>
        </w:rPr>
        <w:t xml:space="preserve">concerning </w:t>
      </w:r>
      <w:r w:rsidRPr="009A1394">
        <w:rPr>
          <w:rFonts w:cs="Arial"/>
          <w:lang w:val="en-CA"/>
        </w:rPr>
        <w:t xml:space="preserve">MMA’s </w:t>
      </w:r>
      <w:r w:rsidR="00D960AD" w:rsidRPr="009A1394">
        <w:rPr>
          <w:rFonts w:cs="Arial"/>
          <w:lang w:val="en-CA"/>
        </w:rPr>
        <w:t>operating</w:t>
      </w:r>
      <w:r w:rsidR="00C505D6" w:rsidRPr="009A1394">
        <w:rPr>
          <w:rFonts w:cs="Arial"/>
          <w:lang w:val="en-CA"/>
        </w:rPr>
        <w:t xml:space="preserve"> procedures</w:t>
      </w:r>
      <w:r w:rsidRPr="009A1394">
        <w:rPr>
          <w:rFonts w:cs="Arial"/>
          <w:lang w:val="en-CA"/>
        </w:rPr>
        <w:t>”.</w:t>
      </w:r>
      <w:r w:rsidRPr="009A1394">
        <w:rPr>
          <w:rFonts w:cs="Arial"/>
          <w:color w:val="000000"/>
          <w:vertAlign w:val="superscript"/>
          <w:lang w:val="en-CA"/>
        </w:rPr>
        <w:footnoteReference w:id="140"/>
      </w:r>
    </w:p>
    <w:p w14:paraId="11D9FA8D" w14:textId="3A4C52ED" w:rsidR="00CC66B8" w:rsidRPr="009A1394" w:rsidRDefault="00FF5FCE" w:rsidP="00503EB9">
      <w:pPr>
        <w:pStyle w:val="Titre3"/>
        <w:keepNext w:val="0"/>
        <w:rPr>
          <w:lang w:val="en-CA"/>
        </w:rPr>
      </w:pPr>
      <w:r w:rsidRPr="009A1394">
        <w:rPr>
          <w:lang w:val="en-CA"/>
        </w:rPr>
        <w:t>Improper classification</w:t>
      </w:r>
    </w:p>
    <w:p w14:paraId="726D9E87" w14:textId="0E4F6C3A" w:rsidR="00CC66B8" w:rsidRPr="009A1394" w:rsidRDefault="00FF5FCE" w:rsidP="00503EB9">
      <w:pPr>
        <w:pStyle w:val="Paragraphe"/>
        <w:numPr>
          <w:ilvl w:val="0"/>
          <w:numId w:val="1"/>
        </w:numPr>
        <w:rPr>
          <w:lang w:val="en-CA"/>
        </w:rPr>
      </w:pPr>
      <w:r w:rsidRPr="009A1394">
        <w:rPr>
          <w:lang w:val="en-CA"/>
        </w:rPr>
        <w:t>From this perspective, the judge wrote that</w:t>
      </w:r>
      <w:r w:rsidR="00A834D5" w:rsidRPr="009A1394">
        <w:rPr>
          <w:lang w:val="en-CA"/>
        </w:rPr>
        <w:t>,</w:t>
      </w:r>
      <w:r w:rsidRPr="009A1394">
        <w:rPr>
          <w:lang w:val="en-CA"/>
        </w:rPr>
        <w:t xml:space="preserve"> in the United States, dangerous goods are classified </w:t>
      </w:r>
      <w:r w:rsidR="00A834D5" w:rsidRPr="009A1394">
        <w:rPr>
          <w:lang w:val="en-CA"/>
        </w:rPr>
        <w:t xml:space="preserve">solely </w:t>
      </w:r>
      <w:r w:rsidRPr="009A1394">
        <w:rPr>
          <w:lang w:val="en-CA"/>
        </w:rPr>
        <w:t>by the shipper.</w:t>
      </w:r>
      <w:r w:rsidRPr="009A1394">
        <w:rPr>
          <w:vertAlign w:val="superscript"/>
          <w:lang w:val="en-CA"/>
        </w:rPr>
        <w:footnoteReference w:id="141"/>
      </w:r>
      <w:r w:rsidR="008161A3" w:rsidRPr="009A1394">
        <w:rPr>
          <w:lang w:val="en-CA"/>
        </w:rPr>
        <w:t xml:space="preserve"> </w:t>
      </w:r>
      <w:r w:rsidRPr="009A1394">
        <w:rPr>
          <w:lang w:val="en-CA"/>
        </w:rPr>
        <w:t>This is also the case in Canada, except that the importer is also responsible for doing so.</w:t>
      </w:r>
      <w:r w:rsidRPr="009A1394">
        <w:rPr>
          <w:vertAlign w:val="superscript"/>
          <w:lang w:val="en-CA"/>
        </w:rPr>
        <w:footnoteReference w:id="142"/>
      </w:r>
      <w:r w:rsidR="008161A3" w:rsidRPr="009A1394">
        <w:rPr>
          <w:lang w:val="en-CA"/>
        </w:rPr>
        <w:t xml:space="preserve"> </w:t>
      </w:r>
      <w:r w:rsidRPr="009A1394">
        <w:rPr>
          <w:lang w:val="en-CA"/>
        </w:rPr>
        <w:t xml:space="preserve">In </w:t>
      </w:r>
      <w:r w:rsidR="00D960AD" w:rsidRPr="009A1394">
        <w:rPr>
          <w:lang w:val="en-CA"/>
        </w:rPr>
        <w:t>both</w:t>
      </w:r>
      <w:r w:rsidRPr="009A1394">
        <w:rPr>
          <w:lang w:val="en-CA"/>
        </w:rPr>
        <w:t xml:space="preserve"> countr</w:t>
      </w:r>
      <w:r w:rsidR="00D960AD" w:rsidRPr="009A1394">
        <w:rPr>
          <w:lang w:val="en-CA"/>
        </w:rPr>
        <w:t>ies</w:t>
      </w:r>
      <w:r w:rsidRPr="009A1394">
        <w:rPr>
          <w:lang w:val="en-CA"/>
        </w:rPr>
        <w:t>, the carrier is entitled to rely on this classification.</w:t>
      </w:r>
      <w:r w:rsidRPr="009A1394">
        <w:rPr>
          <w:vertAlign w:val="superscript"/>
          <w:lang w:val="en-CA"/>
        </w:rPr>
        <w:footnoteReference w:id="143"/>
      </w:r>
      <w:r w:rsidR="008161A3" w:rsidRPr="009A1394">
        <w:rPr>
          <w:lang w:val="en-CA"/>
        </w:rPr>
        <w:t xml:space="preserve"> </w:t>
      </w:r>
      <w:r w:rsidRPr="009A1394">
        <w:rPr>
          <w:lang w:val="en-CA"/>
        </w:rPr>
        <w:t xml:space="preserve">This principle is </w:t>
      </w:r>
      <w:r w:rsidR="00D960AD" w:rsidRPr="009A1394">
        <w:rPr>
          <w:lang w:val="en-CA"/>
        </w:rPr>
        <w:t>qualified</w:t>
      </w:r>
      <w:r w:rsidRPr="009A1394">
        <w:rPr>
          <w:lang w:val="en-CA"/>
        </w:rPr>
        <w:t xml:space="preserve"> by one </w:t>
      </w:r>
      <w:r w:rsidR="00A834D5" w:rsidRPr="009A1394">
        <w:rPr>
          <w:lang w:val="en-CA"/>
        </w:rPr>
        <w:t>exception</w:t>
      </w:r>
      <w:r w:rsidRPr="009A1394">
        <w:rPr>
          <w:lang w:val="en-CA"/>
        </w:rPr>
        <w:t xml:space="preserve"> </w:t>
      </w:r>
      <w:r w:rsidR="00D960AD" w:rsidRPr="009A1394">
        <w:rPr>
          <w:lang w:val="en-CA"/>
        </w:rPr>
        <w:t xml:space="preserve">upon </w:t>
      </w:r>
      <w:r w:rsidR="00FE107F" w:rsidRPr="009A1394">
        <w:rPr>
          <w:lang w:val="en-CA"/>
        </w:rPr>
        <w:t>which</w:t>
      </w:r>
      <w:r w:rsidRPr="009A1394">
        <w:rPr>
          <w:lang w:val="en-CA"/>
        </w:rPr>
        <w:t xml:space="preserve"> the appellants</w:t>
      </w:r>
      <w:r w:rsidR="00FE107F" w:rsidRPr="009A1394">
        <w:rPr>
          <w:lang w:val="en-CA"/>
        </w:rPr>
        <w:t xml:space="preserve"> rely</w:t>
      </w:r>
      <w:r w:rsidRPr="009A1394">
        <w:rPr>
          <w:lang w:val="en-CA"/>
        </w:rPr>
        <w:t xml:space="preserve">, and which the </w:t>
      </w:r>
      <w:r w:rsidR="00A834D5" w:rsidRPr="009A1394">
        <w:rPr>
          <w:lang w:val="en-CA"/>
        </w:rPr>
        <w:t>judge</w:t>
      </w:r>
      <w:r w:rsidRPr="009A1394">
        <w:rPr>
          <w:lang w:val="en-CA"/>
        </w:rPr>
        <w:t xml:space="preserve"> summarized as follows:</w:t>
      </w:r>
    </w:p>
    <w:p w14:paraId="3A48A880" w14:textId="61278634" w:rsidR="00A834D5" w:rsidRPr="009A1394" w:rsidRDefault="00A834D5" w:rsidP="003C6356">
      <w:pPr>
        <w:pStyle w:val="Citationenretrait"/>
        <w:rPr>
          <w:lang w:val="en-CA"/>
        </w:rPr>
      </w:pPr>
      <w:r w:rsidRPr="009A1394">
        <w:rPr>
          <w:lang w:val="en-CA"/>
        </w:rPr>
        <w:t>[</w:t>
      </w:r>
      <w:r w:rsidRPr="009A1394">
        <w:rPr>
          <w:smallCaps/>
          <w:lang w:val="en-CA"/>
        </w:rPr>
        <w:t>translation</w:t>
      </w:r>
      <w:r w:rsidRPr="009A1394">
        <w:rPr>
          <w:lang w:val="en-CA"/>
        </w:rPr>
        <w:t>]</w:t>
      </w:r>
    </w:p>
    <w:p w14:paraId="7267A0CB" w14:textId="01D4730A" w:rsidR="00CC66B8" w:rsidRPr="009A1394" w:rsidRDefault="00FF5FCE" w:rsidP="003C6356">
      <w:pPr>
        <w:pStyle w:val="Citationenretrait"/>
        <w:rPr>
          <w:lang w:val="en-CA"/>
        </w:rPr>
      </w:pPr>
      <w:r w:rsidRPr="009A1394">
        <w:rPr>
          <w:lang w:val="en-CA"/>
        </w:rPr>
        <w:t xml:space="preserve">[I]f a reasonable person placed in similar circumstances and acting with reasonable diligence </w:t>
      </w:r>
      <w:r w:rsidR="00A834D5" w:rsidRPr="009A1394">
        <w:rPr>
          <w:lang w:val="en-CA"/>
        </w:rPr>
        <w:t>should</w:t>
      </w:r>
      <w:r w:rsidRPr="009A1394">
        <w:rPr>
          <w:lang w:val="en-CA"/>
        </w:rPr>
        <w:t xml:space="preserve"> know that the information provided is incorrect, the carrier must then</w:t>
      </w:r>
      <w:r w:rsidR="00FE107F" w:rsidRPr="009A1394">
        <w:rPr>
          <w:lang w:val="en-CA"/>
        </w:rPr>
        <w:t xml:space="preserve"> </w:t>
      </w:r>
      <w:r w:rsidRPr="009A1394">
        <w:rPr>
          <w:lang w:val="en-CA"/>
        </w:rPr>
        <w:t xml:space="preserve">stop the transport, </w:t>
      </w:r>
      <w:r w:rsidR="00FE107F" w:rsidRPr="009A1394">
        <w:rPr>
          <w:lang w:val="en-CA"/>
        </w:rPr>
        <w:t>notify</w:t>
      </w:r>
      <w:r w:rsidRPr="009A1394">
        <w:rPr>
          <w:lang w:val="en-CA"/>
        </w:rPr>
        <w:t xml:space="preserve"> the shipper of its suspicions </w:t>
      </w:r>
      <w:r w:rsidR="00FE107F" w:rsidRPr="009A1394">
        <w:rPr>
          <w:lang w:val="en-CA"/>
        </w:rPr>
        <w:t>as to</w:t>
      </w:r>
      <w:r w:rsidRPr="009A1394">
        <w:rPr>
          <w:lang w:val="en-CA"/>
        </w:rPr>
        <w:t xml:space="preserve"> the classification of the dangerous goods and ask that the shipper </w:t>
      </w:r>
      <w:r w:rsidR="00FE107F" w:rsidRPr="009A1394">
        <w:rPr>
          <w:lang w:val="en-CA"/>
        </w:rPr>
        <w:t>verify</w:t>
      </w:r>
      <w:r w:rsidRPr="009A1394">
        <w:rPr>
          <w:lang w:val="en-CA"/>
        </w:rPr>
        <w:t xml:space="preserve"> or correct the</w:t>
      </w:r>
      <w:r w:rsidR="00A834D5" w:rsidRPr="009A1394">
        <w:rPr>
          <w:lang w:val="en-CA"/>
        </w:rPr>
        <w:t xml:space="preserve"> </w:t>
      </w:r>
      <w:r w:rsidRPr="009A1394">
        <w:rPr>
          <w:lang w:val="en-CA"/>
        </w:rPr>
        <w:t>classification</w:t>
      </w:r>
      <w:r w:rsidR="00FE107F" w:rsidRPr="009A1394">
        <w:rPr>
          <w:lang w:val="en-CA"/>
        </w:rPr>
        <w:t xml:space="preserve"> suspected to be incorrect</w:t>
      </w:r>
      <w:r w:rsidRPr="009A1394">
        <w:rPr>
          <w:lang w:val="en-CA"/>
        </w:rPr>
        <w:t>.</w:t>
      </w:r>
      <w:r w:rsidR="008161A3" w:rsidRPr="009A1394">
        <w:rPr>
          <w:vertAlign w:val="superscript"/>
          <w:lang w:val="en-CA"/>
        </w:rPr>
        <w:footnoteReference w:id="144"/>
      </w:r>
    </w:p>
    <w:p w14:paraId="0C90806A" w14:textId="10080AB3" w:rsidR="00CC66B8" w:rsidRPr="009A1394" w:rsidRDefault="00FF5FCE" w:rsidP="00612682">
      <w:pPr>
        <w:pStyle w:val="Paragraphe"/>
        <w:numPr>
          <w:ilvl w:val="0"/>
          <w:numId w:val="1"/>
        </w:numPr>
        <w:rPr>
          <w:lang w:val="en-CA"/>
        </w:rPr>
      </w:pPr>
      <w:r w:rsidRPr="009A1394">
        <w:rPr>
          <w:lang w:val="en-CA"/>
        </w:rPr>
        <w:t xml:space="preserve">The </w:t>
      </w:r>
      <w:r w:rsidR="00A834D5" w:rsidRPr="009A1394">
        <w:rPr>
          <w:lang w:val="en-CA"/>
        </w:rPr>
        <w:t xml:space="preserve">judge </w:t>
      </w:r>
      <w:r w:rsidRPr="009A1394">
        <w:rPr>
          <w:lang w:val="en-CA"/>
        </w:rPr>
        <w:t>was of the view that this exception did not apply here.</w:t>
      </w:r>
      <w:r w:rsidR="008161A3" w:rsidRPr="009A1394">
        <w:rPr>
          <w:lang w:val="en-CA"/>
        </w:rPr>
        <w:t xml:space="preserve"> </w:t>
      </w:r>
      <w:r w:rsidRPr="009A1394">
        <w:rPr>
          <w:lang w:val="en-CA"/>
        </w:rPr>
        <w:t xml:space="preserve">He wrote that the appellants </w:t>
      </w:r>
      <w:r w:rsidR="00FE107F" w:rsidRPr="009A1394">
        <w:rPr>
          <w:lang w:val="en-CA"/>
        </w:rPr>
        <w:t xml:space="preserve">had </w:t>
      </w:r>
      <w:r w:rsidRPr="009A1394">
        <w:rPr>
          <w:lang w:val="en-CA"/>
        </w:rPr>
        <w:t xml:space="preserve">failed to discharge their burden of </w:t>
      </w:r>
      <w:r w:rsidR="00EC0680" w:rsidRPr="009A1394">
        <w:rPr>
          <w:lang w:val="en-CA"/>
        </w:rPr>
        <w:t xml:space="preserve">proving </w:t>
      </w:r>
      <w:r w:rsidRPr="009A1394">
        <w:rPr>
          <w:lang w:val="en-CA"/>
        </w:rPr>
        <w:t xml:space="preserve">on a balance of probabilities that CP knew or should have know that WFS’s classification was </w:t>
      </w:r>
      <w:r w:rsidR="004F1E0C" w:rsidRPr="009A1394">
        <w:rPr>
          <w:lang w:val="en-CA"/>
        </w:rPr>
        <w:t>incorrect</w:t>
      </w:r>
      <w:r w:rsidRPr="009A1394">
        <w:rPr>
          <w:lang w:val="en-CA"/>
        </w:rPr>
        <w:t>.</w:t>
      </w:r>
      <w:r w:rsidRPr="009A1394">
        <w:rPr>
          <w:vertAlign w:val="superscript"/>
          <w:lang w:val="en-CA"/>
        </w:rPr>
        <w:footnoteReference w:id="145"/>
      </w:r>
      <w:r w:rsidR="008161A3" w:rsidRPr="009A1394">
        <w:rPr>
          <w:lang w:val="en-CA"/>
        </w:rPr>
        <w:t xml:space="preserve"> </w:t>
      </w:r>
      <w:r w:rsidRPr="009A1394">
        <w:rPr>
          <w:lang w:val="en-CA"/>
        </w:rPr>
        <w:t xml:space="preserve">Therefore, the judge </w:t>
      </w:r>
      <w:r w:rsidR="004F1E0C" w:rsidRPr="009A1394">
        <w:rPr>
          <w:lang w:val="en-CA"/>
        </w:rPr>
        <w:t>found</w:t>
      </w:r>
      <w:r w:rsidRPr="009A1394">
        <w:rPr>
          <w:lang w:val="en-CA"/>
        </w:rPr>
        <w:t xml:space="preserve"> no </w:t>
      </w:r>
      <w:r w:rsidR="00B27CEF" w:rsidRPr="009A1394">
        <w:rPr>
          <w:lang w:val="en-CA"/>
        </w:rPr>
        <w:t>wrongful</w:t>
      </w:r>
      <w:r w:rsidRPr="009A1394">
        <w:rPr>
          <w:lang w:val="en-CA"/>
        </w:rPr>
        <w:t xml:space="preserve"> conduct by CP on this matter.</w:t>
      </w:r>
      <w:r w:rsidRPr="009A1394">
        <w:rPr>
          <w:vertAlign w:val="superscript"/>
          <w:lang w:val="en-CA"/>
        </w:rPr>
        <w:footnoteReference w:id="146"/>
      </w:r>
    </w:p>
    <w:p w14:paraId="1E9B0EF1" w14:textId="31610F4F" w:rsidR="00CC66B8" w:rsidRPr="009A1394" w:rsidRDefault="00EC32FB" w:rsidP="004D2F92">
      <w:pPr>
        <w:pStyle w:val="Titre3"/>
        <w:rPr>
          <w:lang w:val="en-CA"/>
        </w:rPr>
      </w:pPr>
      <w:r w:rsidRPr="009A1394">
        <w:rPr>
          <w:lang w:val="en-CA"/>
        </w:rPr>
        <w:lastRenderedPageBreak/>
        <w:t>Lack of intervention regarding MMA’s dangerous operational practices</w:t>
      </w:r>
    </w:p>
    <w:p w14:paraId="0A2FE9A9" w14:textId="1607720B" w:rsidR="00073967" w:rsidRPr="009A1394" w:rsidRDefault="00EC32FB" w:rsidP="003C6356">
      <w:pPr>
        <w:pStyle w:val="Paragraphe"/>
        <w:numPr>
          <w:ilvl w:val="0"/>
          <w:numId w:val="1"/>
        </w:numPr>
        <w:rPr>
          <w:lang w:val="en-CA"/>
        </w:rPr>
      </w:pPr>
      <w:r w:rsidRPr="009A1394">
        <w:rPr>
          <w:lang w:val="en-CA"/>
        </w:rPr>
        <w:t xml:space="preserve">The appellants </w:t>
      </w:r>
      <w:r w:rsidR="00914CE7" w:rsidRPr="009A1394">
        <w:rPr>
          <w:lang w:val="en-CA"/>
        </w:rPr>
        <w:t>alleged that</w:t>
      </w:r>
      <w:r w:rsidRPr="009A1394">
        <w:rPr>
          <w:lang w:val="en-CA"/>
        </w:rPr>
        <w:t xml:space="preserve"> CP </w:t>
      </w:r>
      <w:r w:rsidR="00914CE7" w:rsidRPr="009A1394">
        <w:rPr>
          <w:lang w:val="en-CA"/>
        </w:rPr>
        <w:t>had turned a blind eye</w:t>
      </w:r>
      <w:r w:rsidRPr="009A1394">
        <w:rPr>
          <w:vertAlign w:val="superscript"/>
          <w:lang w:val="en-CA"/>
        </w:rPr>
        <w:footnoteReference w:id="147"/>
      </w:r>
      <w:r w:rsidR="00914CE7" w:rsidRPr="009A1394">
        <w:rPr>
          <w:lang w:val="en-CA"/>
        </w:rPr>
        <w:t xml:space="preserve"> </w:t>
      </w:r>
      <w:r w:rsidR="0025681D" w:rsidRPr="009A1394">
        <w:rPr>
          <w:lang w:val="en-CA"/>
        </w:rPr>
        <w:t>to</w:t>
      </w:r>
      <w:r w:rsidRPr="009A1394">
        <w:rPr>
          <w:lang w:val="en-CA"/>
        </w:rPr>
        <w:t xml:space="preserve"> MMA’s dangerous operational practices.</w:t>
      </w:r>
      <w:r w:rsidR="008161A3" w:rsidRPr="009A1394">
        <w:rPr>
          <w:lang w:val="en-CA"/>
        </w:rPr>
        <w:t xml:space="preserve"> </w:t>
      </w:r>
      <w:r w:rsidR="00576187" w:rsidRPr="009A1394">
        <w:rPr>
          <w:lang w:val="en-CA"/>
        </w:rPr>
        <w:t xml:space="preserve">As the originating carrier </w:t>
      </w:r>
      <w:r w:rsidR="00924519" w:rsidRPr="009A1394">
        <w:rPr>
          <w:lang w:val="en-CA"/>
        </w:rPr>
        <w:t>that had</w:t>
      </w:r>
      <w:r w:rsidR="00576187" w:rsidRPr="009A1394">
        <w:rPr>
          <w:lang w:val="en-CA"/>
        </w:rPr>
        <w:t xml:space="preserve"> provided a through traffic rate, CP </w:t>
      </w:r>
      <w:r w:rsidR="0025681D" w:rsidRPr="009A1394">
        <w:rPr>
          <w:lang w:val="en-CA"/>
        </w:rPr>
        <w:t>should</w:t>
      </w:r>
      <w:r w:rsidR="00576187" w:rsidRPr="009A1394">
        <w:rPr>
          <w:lang w:val="en-CA"/>
        </w:rPr>
        <w:t xml:space="preserve"> have been concerned about </w:t>
      </w:r>
      <w:r w:rsidR="0025681D" w:rsidRPr="009A1394">
        <w:rPr>
          <w:lang w:val="en-CA"/>
        </w:rPr>
        <w:t>them</w:t>
      </w:r>
      <w:r w:rsidR="00576187" w:rsidRPr="009A1394">
        <w:rPr>
          <w:lang w:val="en-CA"/>
        </w:rPr>
        <w:t>.</w:t>
      </w:r>
      <w:r w:rsidR="00576187" w:rsidRPr="009A1394">
        <w:rPr>
          <w:vertAlign w:val="superscript"/>
          <w:lang w:val="en-CA"/>
        </w:rPr>
        <w:footnoteReference w:id="148"/>
      </w:r>
      <w:r w:rsidR="008161A3" w:rsidRPr="009A1394">
        <w:rPr>
          <w:lang w:val="en-CA"/>
        </w:rPr>
        <w:t xml:space="preserve"> </w:t>
      </w:r>
      <w:r w:rsidR="00576187" w:rsidRPr="009A1394">
        <w:rPr>
          <w:lang w:val="en-CA"/>
        </w:rPr>
        <w:t>For its part, CP claim</w:t>
      </w:r>
      <w:r w:rsidR="00914CE7" w:rsidRPr="009A1394">
        <w:rPr>
          <w:lang w:val="en-CA"/>
        </w:rPr>
        <w:t>ed</w:t>
      </w:r>
      <w:r w:rsidR="00576187" w:rsidRPr="009A1394">
        <w:rPr>
          <w:lang w:val="en-CA"/>
        </w:rPr>
        <w:t xml:space="preserve"> that prior to the tragedy, there </w:t>
      </w:r>
      <w:r w:rsidR="00914CE7" w:rsidRPr="009A1394">
        <w:rPr>
          <w:lang w:val="en-CA"/>
        </w:rPr>
        <w:t>had been</w:t>
      </w:r>
      <w:r w:rsidR="00576187" w:rsidRPr="009A1394">
        <w:rPr>
          <w:lang w:val="en-CA"/>
        </w:rPr>
        <w:t xml:space="preserve"> no serious cause to call into </w:t>
      </w:r>
      <w:r w:rsidR="0025681D" w:rsidRPr="009A1394">
        <w:rPr>
          <w:lang w:val="en-CA"/>
        </w:rPr>
        <w:t>question</w:t>
      </w:r>
      <w:r w:rsidR="00576187" w:rsidRPr="009A1394">
        <w:rPr>
          <w:lang w:val="en-CA"/>
        </w:rPr>
        <w:t xml:space="preserve"> the safety of MMA’s rail</w:t>
      </w:r>
      <w:r w:rsidR="001A2CE4" w:rsidRPr="009A1394">
        <w:rPr>
          <w:lang w:val="en-CA"/>
        </w:rPr>
        <w:t>way</w:t>
      </w:r>
      <w:r w:rsidR="001A27C3" w:rsidRPr="009A1394">
        <w:rPr>
          <w:lang w:val="en-CA"/>
        </w:rPr>
        <w:t xml:space="preserve"> </w:t>
      </w:r>
      <w:r w:rsidR="00576187" w:rsidRPr="009A1394">
        <w:rPr>
          <w:lang w:val="en-CA"/>
        </w:rPr>
        <w:t>operations.</w:t>
      </w:r>
      <w:r w:rsidR="00576187" w:rsidRPr="009A1394">
        <w:rPr>
          <w:vertAlign w:val="superscript"/>
          <w:lang w:val="en-CA"/>
        </w:rPr>
        <w:footnoteReference w:id="149"/>
      </w:r>
    </w:p>
    <w:p w14:paraId="31FCFA03" w14:textId="1381381B" w:rsidR="00CC66B8" w:rsidRPr="009A1394" w:rsidRDefault="00576187" w:rsidP="003C6356">
      <w:pPr>
        <w:pStyle w:val="Paragraphe"/>
        <w:numPr>
          <w:ilvl w:val="0"/>
          <w:numId w:val="1"/>
        </w:numPr>
        <w:rPr>
          <w:lang w:val="en-CA"/>
        </w:rPr>
      </w:pPr>
      <w:r w:rsidRPr="009A1394">
        <w:rPr>
          <w:lang w:val="en-CA"/>
        </w:rPr>
        <w:t>The judge agreed with CP.</w:t>
      </w:r>
    </w:p>
    <w:p w14:paraId="51101676" w14:textId="0CC810EC" w:rsidR="00CC66B8" w:rsidRPr="009A1394" w:rsidRDefault="00576187" w:rsidP="003C6356">
      <w:pPr>
        <w:pStyle w:val="Paragraphe"/>
        <w:numPr>
          <w:ilvl w:val="0"/>
          <w:numId w:val="1"/>
        </w:numPr>
        <w:rPr>
          <w:lang w:val="en-CA"/>
        </w:rPr>
      </w:pPr>
      <w:r w:rsidRPr="009A1394">
        <w:rPr>
          <w:lang w:val="en-CA"/>
        </w:rPr>
        <w:t xml:space="preserve">First, no law, regulation or precedent in Canada or the United States </w:t>
      </w:r>
      <w:r w:rsidR="0025681D" w:rsidRPr="009A1394">
        <w:rPr>
          <w:lang w:val="en-CA"/>
        </w:rPr>
        <w:t>[</w:t>
      </w:r>
      <w:r w:rsidR="0025681D" w:rsidRPr="009A1394">
        <w:rPr>
          <w:smallCaps/>
          <w:lang w:val="en-CA"/>
        </w:rPr>
        <w:t>translation</w:t>
      </w:r>
      <w:r w:rsidR="0025681D" w:rsidRPr="009A1394">
        <w:rPr>
          <w:lang w:val="en-CA"/>
        </w:rPr>
        <w:t>]</w:t>
      </w:r>
      <w:r w:rsidR="00B4605B" w:rsidRPr="009A1394">
        <w:rPr>
          <w:lang w:val="en-CA"/>
        </w:rPr>
        <w:t> </w:t>
      </w:r>
      <w:r w:rsidRPr="009A1394">
        <w:rPr>
          <w:lang w:val="en-CA"/>
        </w:rPr>
        <w:t>“</w:t>
      </w:r>
      <w:r w:rsidR="00C505D6" w:rsidRPr="009A1394">
        <w:rPr>
          <w:lang w:val="en-CA"/>
        </w:rPr>
        <w:t>provides</w:t>
      </w:r>
      <w:r w:rsidRPr="009A1394">
        <w:rPr>
          <w:lang w:val="en-CA"/>
        </w:rPr>
        <w:t xml:space="preserve"> in any way whatsoever </w:t>
      </w:r>
      <w:r w:rsidR="00C505D6" w:rsidRPr="009A1394">
        <w:rPr>
          <w:lang w:val="en-CA"/>
        </w:rPr>
        <w:t>a</w:t>
      </w:r>
      <w:r w:rsidRPr="009A1394">
        <w:rPr>
          <w:lang w:val="en-CA"/>
        </w:rPr>
        <w:t xml:space="preserve"> </w:t>
      </w:r>
      <w:r w:rsidR="00834DEC" w:rsidRPr="009A1394">
        <w:rPr>
          <w:lang w:val="en-CA"/>
        </w:rPr>
        <w:t>specific</w:t>
      </w:r>
      <w:r w:rsidRPr="009A1394">
        <w:rPr>
          <w:lang w:val="en-CA"/>
        </w:rPr>
        <w:t xml:space="preserve"> liability of </w:t>
      </w:r>
      <w:r w:rsidR="00834DEC" w:rsidRPr="009A1394">
        <w:rPr>
          <w:lang w:val="en-CA"/>
        </w:rPr>
        <w:t>an</w:t>
      </w:r>
      <w:r w:rsidRPr="009A1394">
        <w:rPr>
          <w:lang w:val="en-CA"/>
        </w:rPr>
        <w:t xml:space="preserve"> originating carrier </w:t>
      </w:r>
      <w:r w:rsidR="00C505D6" w:rsidRPr="009A1394">
        <w:rPr>
          <w:lang w:val="en-CA"/>
        </w:rPr>
        <w:t>as</w:t>
      </w:r>
      <w:r w:rsidRPr="009A1394">
        <w:rPr>
          <w:lang w:val="en-CA"/>
        </w:rPr>
        <w:t xml:space="preserve"> to the way a connecting carrier operates its rail</w:t>
      </w:r>
      <w:r w:rsidR="006C5B3D" w:rsidRPr="009A1394">
        <w:rPr>
          <w:lang w:val="en-CA"/>
        </w:rPr>
        <w:t>way</w:t>
      </w:r>
      <w:r w:rsidRPr="009A1394">
        <w:rPr>
          <w:lang w:val="en-CA"/>
        </w:rPr>
        <w:t xml:space="preserve"> network”.</w:t>
      </w:r>
      <w:r w:rsidRPr="009A1394">
        <w:rPr>
          <w:vertAlign w:val="superscript"/>
          <w:lang w:val="en-CA"/>
        </w:rPr>
        <w:footnoteReference w:id="150"/>
      </w:r>
      <w:r w:rsidR="008161A3" w:rsidRPr="009A1394">
        <w:rPr>
          <w:lang w:val="en-CA"/>
        </w:rPr>
        <w:t xml:space="preserve"> </w:t>
      </w:r>
      <w:r w:rsidRPr="009A1394">
        <w:rPr>
          <w:lang w:val="en-CA"/>
        </w:rPr>
        <w:t>In this respect, the judge found the testimony of the plaintiffs’ experts Reilly and Richard, to be unconvincing.</w:t>
      </w:r>
      <w:r w:rsidRPr="009A1394">
        <w:rPr>
          <w:vertAlign w:val="superscript"/>
          <w:lang w:val="en-CA"/>
        </w:rPr>
        <w:footnoteReference w:id="151"/>
      </w:r>
      <w:r w:rsidR="008161A3" w:rsidRPr="009A1394">
        <w:rPr>
          <w:lang w:val="en-CA"/>
        </w:rPr>
        <w:t xml:space="preserve"> </w:t>
      </w:r>
      <w:r w:rsidR="00914CE7" w:rsidRPr="009A1394">
        <w:rPr>
          <w:lang w:val="en-CA"/>
        </w:rPr>
        <w:t>In his</w:t>
      </w:r>
      <w:r w:rsidRPr="009A1394">
        <w:rPr>
          <w:lang w:val="en-CA"/>
        </w:rPr>
        <w:t xml:space="preserve"> </w:t>
      </w:r>
      <w:r w:rsidR="00914CE7" w:rsidRPr="009A1394">
        <w:rPr>
          <w:lang w:val="en-CA"/>
        </w:rPr>
        <w:t>view,</w:t>
      </w:r>
      <w:r w:rsidRPr="009A1394">
        <w:rPr>
          <w:lang w:val="en-CA"/>
        </w:rPr>
        <w:t xml:space="preserve"> </w:t>
      </w:r>
      <w:r w:rsidR="003D079C" w:rsidRPr="009A1394">
        <w:rPr>
          <w:lang w:val="en-CA"/>
        </w:rPr>
        <w:t xml:space="preserve">it is incumbent </w:t>
      </w:r>
      <w:r w:rsidR="00E954EA" w:rsidRPr="009A1394">
        <w:rPr>
          <w:lang w:val="en-CA"/>
        </w:rPr>
        <w:t xml:space="preserve">not on the originating carrier, but </w:t>
      </w:r>
      <w:r w:rsidR="003D079C" w:rsidRPr="009A1394">
        <w:rPr>
          <w:lang w:val="en-CA"/>
        </w:rPr>
        <w:t xml:space="preserve">on those who have the statutory </w:t>
      </w:r>
      <w:r w:rsidR="002C12D4" w:rsidRPr="009A1394">
        <w:rPr>
          <w:lang w:val="en-CA"/>
        </w:rPr>
        <w:t xml:space="preserve">responsibility for doing </w:t>
      </w:r>
      <w:r w:rsidR="00E954EA" w:rsidRPr="009A1394">
        <w:rPr>
          <w:lang w:val="en-CA"/>
        </w:rPr>
        <w:t xml:space="preserve">so to </w:t>
      </w:r>
      <w:r w:rsidR="003D079C" w:rsidRPr="009A1394">
        <w:rPr>
          <w:lang w:val="en-CA"/>
        </w:rPr>
        <w:t>ensure</w:t>
      </w:r>
      <w:r w:rsidRPr="009A1394">
        <w:rPr>
          <w:lang w:val="en-CA"/>
        </w:rPr>
        <w:t xml:space="preserve"> that the rail</w:t>
      </w:r>
      <w:r w:rsidR="001A2CE4" w:rsidRPr="009A1394">
        <w:rPr>
          <w:lang w:val="en-CA"/>
        </w:rPr>
        <w:t>way</w:t>
      </w:r>
      <w:r w:rsidRPr="009A1394">
        <w:rPr>
          <w:lang w:val="en-CA"/>
        </w:rPr>
        <w:t xml:space="preserve"> operations of a carrier are safe.</w:t>
      </w:r>
      <w:r w:rsidRPr="009A1394">
        <w:rPr>
          <w:vertAlign w:val="superscript"/>
          <w:lang w:val="en-CA"/>
        </w:rPr>
        <w:footnoteReference w:id="152"/>
      </w:r>
      <w:r w:rsidR="008161A3" w:rsidRPr="009A1394">
        <w:rPr>
          <w:lang w:val="en-CA"/>
        </w:rPr>
        <w:t xml:space="preserve"> </w:t>
      </w:r>
      <w:r w:rsidRPr="009A1394">
        <w:rPr>
          <w:lang w:val="en-CA"/>
        </w:rPr>
        <w:t xml:space="preserve">Second, the judge considered that the evidence did not </w:t>
      </w:r>
      <w:r w:rsidR="00914CE7" w:rsidRPr="009A1394">
        <w:rPr>
          <w:lang w:val="en-CA"/>
        </w:rPr>
        <w:t>show</w:t>
      </w:r>
      <w:r w:rsidRPr="009A1394">
        <w:rPr>
          <w:lang w:val="en-CA"/>
        </w:rPr>
        <w:t xml:space="preserve"> that CP knew or </w:t>
      </w:r>
      <w:r w:rsidR="00C505D6" w:rsidRPr="009A1394">
        <w:rPr>
          <w:lang w:val="en-CA"/>
        </w:rPr>
        <w:t>w</w:t>
      </w:r>
      <w:r w:rsidRPr="009A1394">
        <w:rPr>
          <w:lang w:val="en-CA"/>
        </w:rPr>
        <w:t xml:space="preserve">ould have </w:t>
      </w:r>
      <w:r w:rsidR="00C505D6" w:rsidRPr="009A1394">
        <w:rPr>
          <w:lang w:val="en-CA"/>
        </w:rPr>
        <w:t>had the means</w:t>
      </w:r>
      <w:r w:rsidRPr="009A1394">
        <w:rPr>
          <w:lang w:val="en-CA"/>
        </w:rPr>
        <w:t xml:space="preserve"> to </w:t>
      </w:r>
      <w:r w:rsidR="00914CE7" w:rsidRPr="009A1394">
        <w:rPr>
          <w:lang w:val="en-CA"/>
        </w:rPr>
        <w:t>know</w:t>
      </w:r>
      <w:r w:rsidRPr="009A1394">
        <w:rPr>
          <w:lang w:val="en-CA"/>
        </w:rPr>
        <w:t xml:space="preserve"> that MMA’s </w:t>
      </w:r>
      <w:r w:rsidR="00914CE7" w:rsidRPr="009A1394">
        <w:rPr>
          <w:lang w:val="en-CA"/>
        </w:rPr>
        <w:t>operating</w:t>
      </w:r>
      <w:r w:rsidR="00C505D6" w:rsidRPr="009A1394">
        <w:rPr>
          <w:lang w:val="en-CA"/>
        </w:rPr>
        <w:t xml:space="preserve"> procedure</w:t>
      </w:r>
      <w:r w:rsidRPr="009A1394">
        <w:rPr>
          <w:lang w:val="en-CA"/>
        </w:rPr>
        <w:t xml:space="preserve"> </w:t>
      </w:r>
      <w:r w:rsidR="00C505D6" w:rsidRPr="009A1394">
        <w:rPr>
          <w:lang w:val="en-CA"/>
        </w:rPr>
        <w:t>was</w:t>
      </w:r>
      <w:r w:rsidRPr="009A1394">
        <w:rPr>
          <w:lang w:val="en-CA"/>
        </w:rPr>
        <w:t xml:space="preserve"> deficient and its practices unsafe.</w:t>
      </w:r>
      <w:r w:rsidRPr="009A1394">
        <w:rPr>
          <w:vertAlign w:val="superscript"/>
          <w:lang w:val="en-CA"/>
        </w:rPr>
        <w:footnoteReference w:id="153"/>
      </w:r>
    </w:p>
    <w:p w14:paraId="713A90BE" w14:textId="6D4ED980" w:rsidR="00CC66B8" w:rsidRPr="009A1394" w:rsidRDefault="00576187" w:rsidP="003C6356">
      <w:pPr>
        <w:pStyle w:val="Paragraphe"/>
        <w:numPr>
          <w:ilvl w:val="0"/>
          <w:numId w:val="1"/>
        </w:numPr>
        <w:rPr>
          <w:lang w:val="en-CA"/>
        </w:rPr>
      </w:pPr>
      <w:r w:rsidRPr="009A1394">
        <w:rPr>
          <w:lang w:val="en-CA"/>
        </w:rPr>
        <w:t>The judge therefore set aside this fourth ground, as he did with the first three.</w:t>
      </w:r>
    </w:p>
    <w:p w14:paraId="6ECFCE18" w14:textId="63882BFA" w:rsidR="00CC66B8" w:rsidRPr="009A1394" w:rsidRDefault="00576187" w:rsidP="003C6356">
      <w:pPr>
        <w:pStyle w:val="Paragraphe"/>
        <w:numPr>
          <w:ilvl w:val="0"/>
          <w:numId w:val="1"/>
        </w:numPr>
        <w:rPr>
          <w:lang w:val="en-CA"/>
        </w:rPr>
      </w:pPr>
      <w:r w:rsidRPr="009A1394">
        <w:rPr>
          <w:lang w:val="en-CA"/>
        </w:rPr>
        <w:t xml:space="preserve">In </w:t>
      </w:r>
      <w:r w:rsidR="00BD59D8" w:rsidRPr="009A1394">
        <w:rPr>
          <w:lang w:val="en-CA"/>
        </w:rPr>
        <w:t>sum</w:t>
      </w:r>
      <w:r w:rsidRPr="009A1394">
        <w:rPr>
          <w:lang w:val="en-CA"/>
        </w:rPr>
        <w:t>, the judge concluded that CP had committed no fault.</w:t>
      </w:r>
      <w:r w:rsidRPr="009A1394">
        <w:rPr>
          <w:vertAlign w:val="superscript"/>
          <w:lang w:val="en-CA"/>
        </w:rPr>
        <w:footnoteReference w:id="154"/>
      </w:r>
    </w:p>
    <w:p w14:paraId="35225F56" w14:textId="750423D1" w:rsidR="00CC66B8" w:rsidRPr="009A1394" w:rsidRDefault="00576187" w:rsidP="004D2F92">
      <w:pPr>
        <w:pStyle w:val="Titre3"/>
        <w:rPr>
          <w:lang w:val="en-CA"/>
        </w:rPr>
      </w:pPr>
      <w:r w:rsidRPr="009A1394">
        <w:rPr>
          <w:lang w:val="en-CA"/>
        </w:rPr>
        <w:t>Causa</w:t>
      </w:r>
      <w:r w:rsidR="0025681D" w:rsidRPr="009A1394">
        <w:rPr>
          <w:lang w:val="en-CA"/>
        </w:rPr>
        <w:t>tion</w:t>
      </w:r>
    </w:p>
    <w:p w14:paraId="02B04063" w14:textId="30AF5124" w:rsidR="00CC66B8" w:rsidRPr="009A1394" w:rsidRDefault="00576187" w:rsidP="003C6356">
      <w:pPr>
        <w:pStyle w:val="Paragraphe"/>
        <w:keepNext/>
        <w:numPr>
          <w:ilvl w:val="0"/>
          <w:numId w:val="1"/>
        </w:numPr>
        <w:rPr>
          <w:lang w:val="en-CA"/>
        </w:rPr>
      </w:pPr>
      <w:r w:rsidRPr="009A1394">
        <w:rPr>
          <w:lang w:val="en-CA"/>
        </w:rPr>
        <w:t>The judge then considered causa</w:t>
      </w:r>
      <w:r w:rsidR="0025681D" w:rsidRPr="009A1394">
        <w:rPr>
          <w:lang w:val="en-CA"/>
        </w:rPr>
        <w:t>tion</w:t>
      </w:r>
      <w:r w:rsidRPr="009A1394">
        <w:rPr>
          <w:lang w:val="en-CA"/>
        </w:rPr>
        <w:t>.</w:t>
      </w:r>
      <w:r w:rsidR="008161A3" w:rsidRPr="009A1394">
        <w:rPr>
          <w:lang w:val="en-CA"/>
        </w:rPr>
        <w:t xml:space="preserve"> </w:t>
      </w:r>
      <w:r w:rsidRPr="009A1394">
        <w:rPr>
          <w:lang w:val="en-CA"/>
        </w:rPr>
        <w:t>His conclusion was categorical:</w:t>
      </w:r>
    </w:p>
    <w:p w14:paraId="3936B90F" w14:textId="3CA01D09" w:rsidR="0025681D" w:rsidRPr="009A1394" w:rsidRDefault="0025681D" w:rsidP="003C6356">
      <w:pPr>
        <w:pStyle w:val="Citationenretrait"/>
        <w:rPr>
          <w:lang w:val="en-CA" w:eastAsia="fr-CA"/>
        </w:rPr>
      </w:pPr>
      <w:r w:rsidRPr="009A1394">
        <w:rPr>
          <w:lang w:val="en-CA" w:eastAsia="fr-CA"/>
        </w:rPr>
        <w:t>[</w:t>
      </w:r>
      <w:r w:rsidRPr="009A1394">
        <w:rPr>
          <w:smallCaps/>
          <w:lang w:val="en-CA" w:eastAsia="fr-CA"/>
        </w:rPr>
        <w:t>translation</w:t>
      </w:r>
      <w:r w:rsidRPr="009A1394">
        <w:rPr>
          <w:lang w:val="en-CA" w:eastAsia="fr-CA"/>
        </w:rPr>
        <w:t>]</w:t>
      </w:r>
    </w:p>
    <w:p w14:paraId="3EA2B6C9" w14:textId="128DEA9A" w:rsidR="00CC66B8" w:rsidRPr="009A1394" w:rsidRDefault="00576187" w:rsidP="003C6356">
      <w:pPr>
        <w:pStyle w:val="Citationenretrait"/>
        <w:rPr>
          <w:lang w:val="en-CA" w:eastAsia="fr-CA"/>
        </w:rPr>
      </w:pPr>
      <w:r w:rsidRPr="009A1394">
        <w:rPr>
          <w:lang w:val="en-CA" w:eastAsia="fr-CA"/>
        </w:rPr>
        <w:t>[682]</w:t>
      </w:r>
      <w:r w:rsidR="008161A3" w:rsidRPr="009A1394">
        <w:rPr>
          <w:lang w:val="en-CA" w:eastAsia="fr-CA"/>
        </w:rPr>
        <w:tab/>
      </w:r>
      <w:r w:rsidRPr="009A1394">
        <w:rPr>
          <w:lang w:val="en-CA" w:eastAsia="fr-CA"/>
        </w:rPr>
        <w:t xml:space="preserve">The evidence unequivocally </w:t>
      </w:r>
      <w:r w:rsidR="00551703" w:rsidRPr="009A1394">
        <w:rPr>
          <w:lang w:val="en-CA" w:eastAsia="fr-CA"/>
        </w:rPr>
        <w:t xml:space="preserve">and </w:t>
      </w:r>
      <w:r w:rsidRPr="009A1394">
        <w:rPr>
          <w:lang w:val="en-CA" w:eastAsia="fr-CA"/>
        </w:rPr>
        <w:t xml:space="preserve">very clearly </w:t>
      </w:r>
      <w:r w:rsidR="00551703" w:rsidRPr="009A1394">
        <w:rPr>
          <w:lang w:val="en-CA" w:eastAsia="fr-CA"/>
        </w:rPr>
        <w:t xml:space="preserve">reveals </w:t>
      </w:r>
      <w:r w:rsidRPr="009A1394">
        <w:rPr>
          <w:lang w:val="en-CA" w:eastAsia="fr-CA"/>
        </w:rPr>
        <w:t xml:space="preserve">that if the train of tank cars moved </w:t>
      </w:r>
      <w:r w:rsidR="006C52C0" w:rsidRPr="009A1394">
        <w:rPr>
          <w:lang w:val="en-CA" w:eastAsia="fr-CA"/>
        </w:rPr>
        <w:t>on</w:t>
      </w:r>
      <w:r w:rsidRPr="009A1394">
        <w:rPr>
          <w:lang w:val="en-CA" w:eastAsia="fr-CA"/>
        </w:rPr>
        <w:t xml:space="preserve"> the night of July 6, 2013, it was because the locomotive engineer who was responsible for </w:t>
      </w:r>
      <w:r w:rsidR="00283E9E" w:rsidRPr="009A1394">
        <w:rPr>
          <w:lang w:val="en-CA" w:eastAsia="fr-CA"/>
        </w:rPr>
        <w:t>securing</w:t>
      </w:r>
      <w:r w:rsidRPr="009A1394">
        <w:rPr>
          <w:lang w:val="en-CA" w:eastAsia="fr-CA"/>
        </w:rPr>
        <w:t xml:space="preserve"> </w:t>
      </w:r>
      <w:r w:rsidR="00283E9E" w:rsidRPr="009A1394">
        <w:rPr>
          <w:lang w:val="en-CA" w:eastAsia="fr-CA"/>
        </w:rPr>
        <w:t>the train</w:t>
      </w:r>
      <w:r w:rsidRPr="009A1394">
        <w:rPr>
          <w:lang w:val="en-CA" w:eastAsia="fr-CA"/>
        </w:rPr>
        <w:t xml:space="preserve"> did not do his job </w:t>
      </w:r>
      <w:r w:rsidR="006C52C0" w:rsidRPr="009A1394">
        <w:rPr>
          <w:lang w:val="en-CA" w:eastAsia="fr-CA"/>
        </w:rPr>
        <w:t>properly</w:t>
      </w:r>
      <w:r w:rsidRPr="009A1394">
        <w:rPr>
          <w:lang w:val="en-CA" w:eastAsia="fr-CA"/>
        </w:rPr>
        <w:t xml:space="preserve"> and failed to apply a sufficient number of emergency brakes</w:t>
      </w:r>
      <w:r w:rsidRPr="009A1394">
        <w:rPr>
          <w:rStyle w:val="Appelnotedebasdep"/>
          <w:lang w:val="en-CA" w:eastAsia="fr-CA"/>
        </w:rPr>
        <w:footnoteReference w:id="155"/>
      </w:r>
      <w:r w:rsidRPr="009A1394">
        <w:rPr>
          <w:lang w:val="en-CA" w:eastAsia="fr-CA"/>
        </w:rPr>
        <w:t xml:space="preserve"> and</w:t>
      </w:r>
      <w:r w:rsidR="00305967" w:rsidRPr="009A1394">
        <w:rPr>
          <w:lang w:val="en-CA" w:eastAsia="fr-CA"/>
        </w:rPr>
        <w:t>,</w:t>
      </w:r>
      <w:r w:rsidRPr="009A1394">
        <w:rPr>
          <w:lang w:val="en-CA" w:eastAsia="fr-CA"/>
        </w:rPr>
        <w:t xml:space="preserve"> then, did not perform the mandatory and necessary tests to check and ensure that a sufficient number of </w:t>
      </w:r>
      <w:r w:rsidR="000A42A7" w:rsidRPr="009A1394">
        <w:rPr>
          <w:lang w:val="en-CA" w:eastAsia="fr-CA"/>
        </w:rPr>
        <w:lastRenderedPageBreak/>
        <w:t>hand brake</w:t>
      </w:r>
      <w:r w:rsidRPr="009A1394">
        <w:rPr>
          <w:lang w:val="en-CA" w:eastAsia="fr-CA"/>
        </w:rPr>
        <w:t>s had been applied.</w:t>
      </w:r>
      <w:r w:rsidR="008161A3" w:rsidRPr="009A1394">
        <w:rPr>
          <w:lang w:val="en-CA" w:eastAsia="fr-CA"/>
        </w:rPr>
        <w:t xml:space="preserve"> </w:t>
      </w:r>
      <w:r w:rsidRPr="009A1394">
        <w:rPr>
          <w:lang w:val="en-CA" w:eastAsia="fr-CA"/>
        </w:rPr>
        <w:t>Furthermore, by not returning to the train after being informed that the locomotive that was supplying the air brake system with the requisite pressure had been shut down, this employee wrongfully ignored the consequences of that situation.</w:t>
      </w:r>
    </w:p>
    <w:p w14:paraId="034B05EE" w14:textId="30BDD4B7" w:rsidR="00CC66B8" w:rsidRPr="009A1394" w:rsidRDefault="00576187" w:rsidP="003C6356">
      <w:pPr>
        <w:pStyle w:val="Citationenretrait"/>
        <w:keepNext/>
        <w:rPr>
          <w:lang w:val="en-CA" w:eastAsia="fr-CA"/>
        </w:rPr>
      </w:pPr>
      <w:r w:rsidRPr="009A1394">
        <w:rPr>
          <w:lang w:val="en-CA" w:eastAsia="fr-CA"/>
        </w:rPr>
        <w:t>[683]</w:t>
      </w:r>
      <w:r w:rsidR="008161A3" w:rsidRPr="009A1394">
        <w:rPr>
          <w:lang w:val="en-CA" w:eastAsia="fr-CA"/>
        </w:rPr>
        <w:tab/>
      </w:r>
      <w:r w:rsidRPr="009A1394">
        <w:rPr>
          <w:lang w:val="en-CA" w:eastAsia="fr-CA"/>
        </w:rPr>
        <w:t xml:space="preserve">The evidence also reveals that </w:t>
      </w:r>
      <w:r w:rsidR="00283E9E" w:rsidRPr="009A1394">
        <w:rPr>
          <w:lang w:val="en-CA" w:eastAsia="fr-CA"/>
        </w:rPr>
        <w:t xml:space="preserve">while it </w:t>
      </w:r>
      <w:r w:rsidR="006C52C0" w:rsidRPr="009A1394">
        <w:rPr>
          <w:lang w:val="en-CA" w:eastAsia="fr-CA"/>
        </w:rPr>
        <w:t>is certainly</w:t>
      </w:r>
      <w:r w:rsidR="00283E9E" w:rsidRPr="009A1394">
        <w:rPr>
          <w:lang w:val="en-CA" w:eastAsia="fr-CA"/>
        </w:rPr>
        <w:t xml:space="preserve"> </w:t>
      </w:r>
      <w:r w:rsidRPr="009A1394">
        <w:rPr>
          <w:lang w:val="en-CA" w:eastAsia="fr-CA"/>
        </w:rPr>
        <w:t xml:space="preserve">preferable not to leave trains </w:t>
      </w:r>
      <w:r w:rsidR="009B13F6" w:rsidRPr="009A1394">
        <w:rPr>
          <w:lang w:val="en-CA" w:eastAsia="fr-CA"/>
        </w:rPr>
        <w:t xml:space="preserve">parked </w:t>
      </w:r>
      <w:r w:rsidRPr="009A1394">
        <w:rPr>
          <w:lang w:val="en-CA" w:eastAsia="fr-CA"/>
        </w:rPr>
        <w:t xml:space="preserve">on </w:t>
      </w:r>
      <w:r w:rsidR="006C52C0" w:rsidRPr="009A1394">
        <w:rPr>
          <w:lang w:val="en-CA" w:eastAsia="fr-CA"/>
        </w:rPr>
        <w:t>a</w:t>
      </w:r>
      <w:r w:rsidRPr="009A1394">
        <w:rPr>
          <w:lang w:val="en-CA" w:eastAsia="fr-CA"/>
        </w:rPr>
        <w:t xml:space="preserve"> main track, particularly at the</w:t>
      </w:r>
      <w:r w:rsidR="00283E9E" w:rsidRPr="009A1394">
        <w:rPr>
          <w:lang w:val="en-CA" w:eastAsia="fr-CA"/>
        </w:rPr>
        <w:t xml:space="preserve"> </w:t>
      </w:r>
      <w:r w:rsidRPr="009A1394">
        <w:rPr>
          <w:lang w:val="en-CA" w:eastAsia="fr-CA"/>
        </w:rPr>
        <w:t xml:space="preserve">top of a </w:t>
      </w:r>
      <w:r w:rsidR="006C52C0" w:rsidRPr="009A1394">
        <w:rPr>
          <w:lang w:val="en-CA" w:eastAsia="fr-CA"/>
        </w:rPr>
        <w:t>descending grade</w:t>
      </w:r>
      <w:r w:rsidRPr="009A1394">
        <w:rPr>
          <w:lang w:val="en-CA" w:eastAsia="fr-CA"/>
        </w:rPr>
        <w:t xml:space="preserve">, this can be done </w:t>
      </w:r>
      <w:r w:rsidR="00283E9E" w:rsidRPr="009A1394">
        <w:rPr>
          <w:lang w:val="en-CA" w:eastAsia="fr-CA"/>
        </w:rPr>
        <w:t>safely</w:t>
      </w:r>
      <w:r w:rsidRPr="009A1394">
        <w:rPr>
          <w:lang w:val="en-CA" w:eastAsia="fr-CA"/>
        </w:rPr>
        <w:t xml:space="preserve"> if the appropriate safeguards are </w:t>
      </w:r>
      <w:r w:rsidR="006C52C0" w:rsidRPr="009A1394">
        <w:rPr>
          <w:lang w:val="en-CA" w:eastAsia="fr-CA"/>
        </w:rPr>
        <w:t>put it place</w:t>
      </w:r>
      <w:r w:rsidRPr="009A1394">
        <w:rPr>
          <w:lang w:val="en-CA" w:eastAsia="fr-CA"/>
        </w:rPr>
        <w:t xml:space="preserve"> to</w:t>
      </w:r>
      <w:r w:rsidR="006C52C0" w:rsidRPr="009A1394">
        <w:rPr>
          <w:lang w:val="en-CA" w:eastAsia="fr-CA"/>
        </w:rPr>
        <w:t xml:space="preserve"> ensure that the train is adequately secured and that it will remain so</w:t>
      </w:r>
      <w:r w:rsidRPr="009A1394">
        <w:rPr>
          <w:lang w:val="en-CA" w:eastAsia="fr-CA"/>
        </w:rPr>
        <w:t xml:space="preserve">, </w:t>
      </w:r>
      <w:r w:rsidR="006C52C0" w:rsidRPr="009A1394">
        <w:rPr>
          <w:lang w:val="en-CA" w:eastAsia="fr-CA"/>
        </w:rPr>
        <w:t>whatever the</w:t>
      </w:r>
      <w:r w:rsidRPr="009A1394">
        <w:rPr>
          <w:lang w:val="en-CA" w:eastAsia="fr-CA"/>
        </w:rPr>
        <w:t xml:space="preserve"> </w:t>
      </w:r>
      <w:r w:rsidR="00283E9E" w:rsidRPr="009A1394">
        <w:rPr>
          <w:lang w:val="en-CA" w:eastAsia="fr-CA"/>
        </w:rPr>
        <w:t>circumstances</w:t>
      </w:r>
      <w:r w:rsidRPr="009A1394">
        <w:rPr>
          <w:lang w:val="en-CA" w:eastAsia="fr-CA"/>
        </w:rPr>
        <w:t>.</w:t>
      </w:r>
    </w:p>
    <w:p w14:paraId="702F3BD2" w14:textId="6D50D6AC" w:rsidR="00CC66B8" w:rsidRPr="009A1394" w:rsidRDefault="00576187" w:rsidP="003C6356">
      <w:pPr>
        <w:keepNext/>
        <w:spacing w:before="120" w:after="120"/>
        <w:ind w:left="720" w:right="720"/>
        <w:jc w:val="right"/>
        <w:rPr>
          <w:kern w:val="24"/>
          <w:sz w:val="22"/>
          <w:lang w:val="en-CA" w:eastAsia="fr-CA"/>
        </w:rPr>
      </w:pPr>
      <w:r w:rsidRPr="009A1394">
        <w:rPr>
          <w:kern w:val="24"/>
          <w:sz w:val="22"/>
          <w:lang w:val="en-CA" w:eastAsia="fr-CA"/>
        </w:rPr>
        <w:t>[</w:t>
      </w:r>
      <w:r w:rsidR="00153E88" w:rsidRPr="009A1394">
        <w:rPr>
          <w:kern w:val="24"/>
          <w:sz w:val="22"/>
          <w:lang w:val="en-CA" w:eastAsia="fr-CA"/>
        </w:rPr>
        <w:t xml:space="preserve">References </w:t>
      </w:r>
      <w:r w:rsidRPr="009A1394">
        <w:rPr>
          <w:kern w:val="24"/>
          <w:sz w:val="22"/>
          <w:lang w:val="en-CA" w:eastAsia="fr-CA"/>
        </w:rPr>
        <w:t>omitted]</w:t>
      </w:r>
    </w:p>
    <w:p w14:paraId="5F16E89E" w14:textId="172E7B7A" w:rsidR="00CC66B8" w:rsidRPr="009A1394" w:rsidRDefault="00576187" w:rsidP="003C6356">
      <w:pPr>
        <w:pStyle w:val="Paragraphe"/>
        <w:numPr>
          <w:ilvl w:val="0"/>
          <w:numId w:val="1"/>
        </w:numPr>
        <w:rPr>
          <w:lang w:val="en-CA" w:eastAsia="fr-CA"/>
        </w:rPr>
      </w:pPr>
      <w:r w:rsidRPr="009A1394">
        <w:rPr>
          <w:lang w:val="en-CA"/>
        </w:rPr>
        <w:t xml:space="preserve">The judge found that the sole logical, direct, and immediate cause of the derailment and </w:t>
      </w:r>
      <w:r w:rsidR="002021B3" w:rsidRPr="009A1394">
        <w:rPr>
          <w:lang w:val="en-CA"/>
        </w:rPr>
        <w:t xml:space="preserve">the </w:t>
      </w:r>
      <w:r w:rsidRPr="009A1394">
        <w:rPr>
          <w:lang w:val="en-CA"/>
        </w:rPr>
        <w:t xml:space="preserve">ensuing damage </w:t>
      </w:r>
      <w:r w:rsidR="002021B3" w:rsidRPr="009A1394">
        <w:rPr>
          <w:lang w:val="en-CA"/>
        </w:rPr>
        <w:t>[</w:t>
      </w:r>
      <w:r w:rsidR="002021B3" w:rsidRPr="009A1394">
        <w:rPr>
          <w:smallCaps/>
          <w:lang w:val="en-CA"/>
        </w:rPr>
        <w:t>translation</w:t>
      </w:r>
      <w:r w:rsidR="002021B3" w:rsidRPr="009A1394">
        <w:rPr>
          <w:lang w:val="en-CA"/>
        </w:rPr>
        <w:t xml:space="preserve">] </w:t>
      </w:r>
      <w:r w:rsidRPr="009A1394">
        <w:rPr>
          <w:lang w:val="en-CA"/>
        </w:rPr>
        <w:t>“</w:t>
      </w:r>
      <w:r w:rsidR="00551703" w:rsidRPr="009A1394">
        <w:rPr>
          <w:lang w:val="en-CA"/>
        </w:rPr>
        <w:t xml:space="preserve">is </w:t>
      </w:r>
      <w:r w:rsidRPr="009A1394">
        <w:rPr>
          <w:lang w:val="en-CA"/>
        </w:rPr>
        <w:t>found in the faults committed by locomoti</w:t>
      </w:r>
      <w:r w:rsidR="002021B3" w:rsidRPr="009A1394">
        <w:rPr>
          <w:lang w:val="en-CA"/>
        </w:rPr>
        <w:t>v</w:t>
      </w:r>
      <w:r w:rsidRPr="009A1394">
        <w:rPr>
          <w:lang w:val="en-CA"/>
        </w:rPr>
        <w:t>e engineer Harding and his employers, MMA”.</w:t>
      </w:r>
      <w:r w:rsidRPr="009A1394">
        <w:rPr>
          <w:vertAlign w:val="superscript"/>
          <w:lang w:val="en-CA"/>
        </w:rPr>
        <w:footnoteReference w:id="156"/>
      </w:r>
      <w:r w:rsidR="008161A3" w:rsidRPr="009A1394">
        <w:rPr>
          <w:lang w:val="en-CA"/>
        </w:rPr>
        <w:t xml:space="preserve"> </w:t>
      </w:r>
      <w:r w:rsidRPr="009A1394">
        <w:rPr>
          <w:lang w:val="en-CA"/>
        </w:rPr>
        <w:t xml:space="preserve">The condition of MMA’s tracks and its equipment, the </w:t>
      </w:r>
      <w:r w:rsidR="00551703" w:rsidRPr="009A1394">
        <w:rPr>
          <w:lang w:val="en-CA"/>
        </w:rPr>
        <w:t>shortcom</w:t>
      </w:r>
      <w:r w:rsidR="00AB1C66" w:rsidRPr="009A1394">
        <w:rPr>
          <w:lang w:val="en-CA"/>
        </w:rPr>
        <w:t>i</w:t>
      </w:r>
      <w:r w:rsidR="00551703" w:rsidRPr="009A1394">
        <w:rPr>
          <w:lang w:val="en-CA"/>
        </w:rPr>
        <w:t xml:space="preserve">ngs </w:t>
      </w:r>
      <w:r w:rsidRPr="009A1394">
        <w:rPr>
          <w:lang w:val="en-CA"/>
        </w:rPr>
        <w:t xml:space="preserve">noted in the training of its employees, the fact that the train was being </w:t>
      </w:r>
      <w:r w:rsidR="00744A57" w:rsidRPr="009A1394">
        <w:rPr>
          <w:lang w:val="en-CA"/>
        </w:rPr>
        <w:t xml:space="preserve">operated </w:t>
      </w:r>
      <w:r w:rsidRPr="009A1394">
        <w:rPr>
          <w:lang w:val="en-CA"/>
        </w:rPr>
        <w:t xml:space="preserve">in SPTO mode, and the type of tank car used (DOT-111) did not appear to the judge to be causal, nor did the </w:t>
      </w:r>
      <w:r w:rsidR="002021B3" w:rsidRPr="009A1394">
        <w:rPr>
          <w:lang w:val="en-CA"/>
        </w:rPr>
        <w:t>issue</w:t>
      </w:r>
      <w:r w:rsidRPr="009A1394">
        <w:rPr>
          <w:lang w:val="en-CA"/>
        </w:rPr>
        <w:t xml:space="preserve"> of the improper classification of the oil </w:t>
      </w:r>
      <w:r w:rsidR="00744A57" w:rsidRPr="009A1394">
        <w:rPr>
          <w:lang w:val="en-CA"/>
        </w:rPr>
        <w:t xml:space="preserve">that was </w:t>
      </w:r>
      <w:r w:rsidRPr="009A1394">
        <w:rPr>
          <w:lang w:val="en-CA"/>
        </w:rPr>
        <w:t>being carried.</w:t>
      </w:r>
      <w:r w:rsidRPr="009A1394">
        <w:rPr>
          <w:vertAlign w:val="superscript"/>
          <w:lang w:val="en-CA"/>
        </w:rPr>
        <w:footnoteReference w:id="157"/>
      </w:r>
    </w:p>
    <w:p w14:paraId="0CE6D396" w14:textId="6ED56EEA" w:rsidR="00CC66B8" w:rsidRPr="009A1394" w:rsidRDefault="00576187" w:rsidP="003C6356">
      <w:pPr>
        <w:pStyle w:val="Paragraphe"/>
        <w:numPr>
          <w:ilvl w:val="0"/>
          <w:numId w:val="1"/>
        </w:numPr>
        <w:rPr>
          <w:lang w:val="en-CA" w:eastAsia="fr-CA"/>
        </w:rPr>
      </w:pPr>
      <w:r w:rsidRPr="009A1394">
        <w:rPr>
          <w:lang w:val="en-CA"/>
        </w:rPr>
        <w:t xml:space="preserve">Not only </w:t>
      </w:r>
      <w:r w:rsidR="002021B3" w:rsidRPr="009A1394">
        <w:rPr>
          <w:lang w:val="en-CA"/>
        </w:rPr>
        <w:t>was</w:t>
      </w:r>
      <w:r w:rsidRPr="009A1394">
        <w:rPr>
          <w:lang w:val="en-CA"/>
        </w:rPr>
        <w:t xml:space="preserve"> MMA held liable as Harding’s employer, but also as a result of its own failings in the operation of its network and its failure to implement measures to avoid an accident like the one </w:t>
      </w:r>
      <w:r w:rsidR="00A15FDD" w:rsidRPr="009A1394">
        <w:rPr>
          <w:lang w:val="en-CA"/>
        </w:rPr>
        <w:t>at issue</w:t>
      </w:r>
      <w:r w:rsidRPr="009A1394">
        <w:rPr>
          <w:lang w:val="en-CA"/>
        </w:rPr>
        <w:t xml:space="preserve"> from </w:t>
      </w:r>
      <w:r w:rsidR="004F29E1" w:rsidRPr="009A1394">
        <w:rPr>
          <w:lang w:val="en-CA"/>
        </w:rPr>
        <w:t>occurring</w:t>
      </w:r>
      <w:r w:rsidRPr="009A1394">
        <w:rPr>
          <w:lang w:val="en-CA"/>
        </w:rPr>
        <w:t>.</w:t>
      </w:r>
      <w:r w:rsidRPr="009A1394">
        <w:rPr>
          <w:vertAlign w:val="superscript"/>
          <w:lang w:val="en-CA"/>
        </w:rPr>
        <w:footnoteReference w:id="158"/>
      </w:r>
    </w:p>
    <w:p w14:paraId="0E4FE156" w14:textId="3FBD46FE" w:rsidR="00CC66B8" w:rsidRPr="009A1394" w:rsidRDefault="00576187" w:rsidP="003C6356">
      <w:pPr>
        <w:pStyle w:val="Paragraphe"/>
        <w:numPr>
          <w:ilvl w:val="0"/>
          <w:numId w:val="1"/>
        </w:numPr>
        <w:rPr>
          <w:lang w:val="en-CA" w:eastAsia="fr-CA"/>
        </w:rPr>
      </w:pPr>
      <w:r w:rsidRPr="009A1394">
        <w:rPr>
          <w:lang w:val="en-CA"/>
        </w:rPr>
        <w:t xml:space="preserve">The judge added that even if he had concluded that CP’s conduct was </w:t>
      </w:r>
      <w:r w:rsidR="00B27CEF" w:rsidRPr="009A1394">
        <w:rPr>
          <w:lang w:val="en-CA"/>
        </w:rPr>
        <w:t>wrongful</w:t>
      </w:r>
      <w:r w:rsidRPr="009A1394">
        <w:rPr>
          <w:lang w:val="en-CA"/>
        </w:rPr>
        <w:t xml:space="preserve">, there still </w:t>
      </w:r>
      <w:r w:rsidR="002021B3" w:rsidRPr="009A1394">
        <w:rPr>
          <w:lang w:val="en-CA"/>
        </w:rPr>
        <w:t xml:space="preserve">would not </w:t>
      </w:r>
      <w:r w:rsidRPr="009A1394">
        <w:rPr>
          <w:lang w:val="en-CA"/>
        </w:rPr>
        <w:t xml:space="preserve">be </w:t>
      </w:r>
      <w:r w:rsidR="002021B3" w:rsidRPr="009A1394">
        <w:rPr>
          <w:lang w:val="en-CA"/>
        </w:rPr>
        <w:t xml:space="preserve">a </w:t>
      </w:r>
      <w:r w:rsidRPr="009A1394">
        <w:rPr>
          <w:lang w:val="en-CA"/>
        </w:rPr>
        <w:t xml:space="preserve">causal connection between that conduct </w:t>
      </w:r>
      <w:r w:rsidR="002021B3" w:rsidRPr="009A1394">
        <w:rPr>
          <w:lang w:val="en-CA"/>
        </w:rPr>
        <w:t>and</w:t>
      </w:r>
      <w:r w:rsidRPr="009A1394">
        <w:rPr>
          <w:lang w:val="en-CA"/>
        </w:rPr>
        <w:t xml:space="preserve"> the </w:t>
      </w:r>
      <w:r w:rsidR="009B13F6" w:rsidRPr="009A1394">
        <w:rPr>
          <w:lang w:val="en-CA"/>
        </w:rPr>
        <w:t xml:space="preserve">injuries </w:t>
      </w:r>
      <w:r w:rsidRPr="009A1394">
        <w:rPr>
          <w:lang w:val="en-CA"/>
        </w:rPr>
        <w:t>suffered.</w:t>
      </w:r>
      <w:r w:rsidR="008161A3" w:rsidRPr="009A1394">
        <w:rPr>
          <w:lang w:val="en-CA"/>
        </w:rPr>
        <w:t xml:space="preserve"> </w:t>
      </w:r>
      <w:r w:rsidRPr="009A1394">
        <w:rPr>
          <w:lang w:val="en-CA"/>
        </w:rPr>
        <w:t xml:space="preserve">The actions of Harding and MMA, which the judge characterized as </w:t>
      </w:r>
      <w:r w:rsidR="002021B3" w:rsidRPr="009A1394">
        <w:rPr>
          <w:lang w:val="en-CA"/>
        </w:rPr>
        <w:t>[</w:t>
      </w:r>
      <w:r w:rsidR="002021B3" w:rsidRPr="009A1394">
        <w:rPr>
          <w:smallCaps/>
          <w:lang w:val="en-CA"/>
        </w:rPr>
        <w:t>translation</w:t>
      </w:r>
      <w:r w:rsidR="002021B3" w:rsidRPr="009A1394">
        <w:rPr>
          <w:lang w:val="en-CA"/>
        </w:rPr>
        <w:t xml:space="preserve">] </w:t>
      </w:r>
      <w:r w:rsidRPr="009A1394">
        <w:rPr>
          <w:lang w:val="en-CA"/>
        </w:rPr>
        <w:t>“gross</w:t>
      </w:r>
      <w:r w:rsidR="00A15FDD" w:rsidRPr="009A1394">
        <w:rPr>
          <w:lang w:val="en-CA"/>
        </w:rPr>
        <w:t>ly wrongful</w:t>
      </w:r>
      <w:r w:rsidRPr="009A1394">
        <w:rPr>
          <w:lang w:val="en-CA"/>
        </w:rPr>
        <w:t>”, constitute</w:t>
      </w:r>
      <w:r w:rsidR="002021B3" w:rsidRPr="009A1394">
        <w:rPr>
          <w:lang w:val="en-CA"/>
        </w:rPr>
        <w:t>d</w:t>
      </w:r>
      <w:r w:rsidRPr="009A1394">
        <w:rPr>
          <w:lang w:val="en-CA"/>
        </w:rPr>
        <w:t xml:space="preserve"> a </w:t>
      </w:r>
      <w:r w:rsidRPr="009A1394">
        <w:rPr>
          <w:i/>
          <w:lang w:val="en-CA"/>
        </w:rPr>
        <w:t>novus actus interveniens</w:t>
      </w:r>
      <w:r w:rsidRPr="009A1394">
        <w:rPr>
          <w:lang w:val="en-CA"/>
        </w:rPr>
        <w:t>.</w:t>
      </w:r>
      <w:r w:rsidRPr="009A1394">
        <w:rPr>
          <w:vertAlign w:val="superscript"/>
          <w:lang w:val="en-CA"/>
        </w:rPr>
        <w:footnoteReference w:id="159"/>
      </w:r>
      <w:r w:rsidR="008161A3" w:rsidRPr="009A1394">
        <w:rPr>
          <w:lang w:val="en-CA"/>
        </w:rPr>
        <w:t xml:space="preserve"> </w:t>
      </w:r>
      <w:r w:rsidRPr="009A1394">
        <w:rPr>
          <w:lang w:val="en-CA"/>
        </w:rPr>
        <w:t>In other words, these actions would have broken the causal connection between CP’s alleged faults and the damages suffered.</w:t>
      </w:r>
    </w:p>
    <w:p w14:paraId="29844A6E" w14:textId="44F442BB" w:rsidR="00CC66B8" w:rsidRPr="009A1394" w:rsidRDefault="00576187" w:rsidP="00CD698C">
      <w:pPr>
        <w:pStyle w:val="Titre1"/>
        <w:rPr>
          <w:lang w:val="en-CA" w:eastAsia="fr-CA"/>
        </w:rPr>
      </w:pPr>
      <w:r w:rsidRPr="009A1394">
        <w:rPr>
          <w:lang w:val="en-CA"/>
        </w:rPr>
        <w:t>Issues</w:t>
      </w:r>
    </w:p>
    <w:p w14:paraId="06A00DA6" w14:textId="1F0E9044" w:rsidR="002A3645" w:rsidRPr="009A1394" w:rsidRDefault="00576187" w:rsidP="003C6356">
      <w:pPr>
        <w:pStyle w:val="Paragraphe"/>
        <w:numPr>
          <w:ilvl w:val="0"/>
          <w:numId w:val="1"/>
        </w:numPr>
        <w:rPr>
          <w:lang w:val="en-CA"/>
        </w:rPr>
      </w:pPr>
      <w:r w:rsidRPr="009A1394">
        <w:rPr>
          <w:lang w:val="en-CA"/>
        </w:rPr>
        <w:t>Through their grounds of appeal, the appellants develop</w:t>
      </w:r>
      <w:r w:rsidR="0048119C" w:rsidRPr="009A1394">
        <w:rPr>
          <w:lang w:val="en-CA"/>
        </w:rPr>
        <w:t>ed</w:t>
      </w:r>
      <w:r w:rsidRPr="009A1394">
        <w:rPr>
          <w:lang w:val="en-CA"/>
        </w:rPr>
        <w:t xml:space="preserve"> five subjects: (i)</w:t>
      </w:r>
      <w:r w:rsidR="0048119C" w:rsidRPr="009A1394">
        <w:rPr>
          <w:lang w:val="en-CA"/>
        </w:rPr>
        <w:t> </w:t>
      </w:r>
      <w:r w:rsidRPr="009A1394">
        <w:rPr>
          <w:lang w:val="en-CA"/>
        </w:rPr>
        <w:t xml:space="preserve">the legal framework within which CP’s conduct should be evaluated, (ii) CP’s </w:t>
      </w:r>
      <w:r w:rsidR="00E7414C" w:rsidRPr="009A1394">
        <w:rPr>
          <w:lang w:val="en-CA"/>
        </w:rPr>
        <w:t>omissions regarding</w:t>
      </w:r>
      <w:r w:rsidRPr="009A1394">
        <w:rPr>
          <w:lang w:val="en-CA"/>
        </w:rPr>
        <w:t xml:space="preserve"> </w:t>
      </w:r>
      <w:r w:rsidR="00E7414C" w:rsidRPr="009A1394">
        <w:rPr>
          <w:lang w:val="en-CA"/>
        </w:rPr>
        <w:t xml:space="preserve">the assessment of </w:t>
      </w:r>
      <w:r w:rsidRPr="009A1394">
        <w:rPr>
          <w:lang w:val="en-CA"/>
        </w:rPr>
        <w:t xml:space="preserve">risks, (iii) CP’s </w:t>
      </w:r>
      <w:r w:rsidR="00E7414C" w:rsidRPr="009A1394">
        <w:rPr>
          <w:lang w:val="en-CA"/>
        </w:rPr>
        <w:t>omissions</w:t>
      </w:r>
      <w:r w:rsidRPr="009A1394">
        <w:rPr>
          <w:lang w:val="en-CA"/>
        </w:rPr>
        <w:t xml:space="preserve"> regarding the improper classification of the oil, (iv) CP’s decision to </w:t>
      </w:r>
      <w:r w:rsidR="00E7414C" w:rsidRPr="009A1394">
        <w:rPr>
          <w:lang w:val="en-CA"/>
        </w:rPr>
        <w:t>retain</w:t>
      </w:r>
      <w:r w:rsidRPr="009A1394">
        <w:rPr>
          <w:lang w:val="en-CA"/>
        </w:rPr>
        <w:t xml:space="preserve"> the services of MMA, and, finally, </w:t>
      </w:r>
      <w:r w:rsidRPr="009A1394">
        <w:rPr>
          <w:lang w:val="en-CA"/>
        </w:rPr>
        <w:lastRenderedPageBreak/>
        <w:t>(v)</w:t>
      </w:r>
      <w:r w:rsidR="00D5216F" w:rsidRPr="009A1394">
        <w:rPr>
          <w:lang w:val="en-CA"/>
        </w:rPr>
        <w:t> </w:t>
      </w:r>
      <w:r w:rsidRPr="009A1394">
        <w:rPr>
          <w:lang w:val="en-CA"/>
        </w:rPr>
        <w:t>causa</w:t>
      </w:r>
      <w:r w:rsidR="00307FC5" w:rsidRPr="009A1394">
        <w:rPr>
          <w:lang w:val="en-CA"/>
        </w:rPr>
        <w:t>tion</w:t>
      </w:r>
      <w:r w:rsidRPr="009A1394">
        <w:rPr>
          <w:lang w:val="en-CA"/>
        </w:rPr>
        <w:t>.</w:t>
      </w:r>
      <w:r w:rsidR="00CC66B8" w:rsidRPr="009A1394">
        <w:rPr>
          <w:lang w:val="en-CA"/>
        </w:rPr>
        <w:t xml:space="preserve"> </w:t>
      </w:r>
      <w:r w:rsidRPr="009A1394">
        <w:rPr>
          <w:lang w:val="en-CA"/>
        </w:rPr>
        <w:t>The appellants state</w:t>
      </w:r>
      <w:r w:rsidR="004B0E56" w:rsidRPr="009A1394">
        <w:rPr>
          <w:lang w:val="en-CA"/>
        </w:rPr>
        <w:t>d</w:t>
      </w:r>
      <w:r w:rsidRPr="009A1394">
        <w:rPr>
          <w:lang w:val="en-CA"/>
        </w:rPr>
        <w:t xml:space="preserve"> them in 14 separate questions</w:t>
      </w:r>
      <w:r w:rsidR="004B0E56" w:rsidRPr="009A1394">
        <w:rPr>
          <w:lang w:val="en-CA"/>
        </w:rPr>
        <w:t>,</w:t>
      </w:r>
      <w:r w:rsidRPr="009A1394">
        <w:rPr>
          <w:lang w:val="en-CA"/>
        </w:rPr>
        <w:t xml:space="preserve"> </w:t>
      </w:r>
      <w:r w:rsidR="004B0E56" w:rsidRPr="009A1394">
        <w:rPr>
          <w:lang w:val="en-CA"/>
        </w:rPr>
        <w:t xml:space="preserve">which </w:t>
      </w:r>
      <w:r w:rsidRPr="009A1394">
        <w:rPr>
          <w:lang w:val="en-CA"/>
        </w:rPr>
        <w:t xml:space="preserve">the Court </w:t>
      </w:r>
      <w:r w:rsidR="004B0E56" w:rsidRPr="009A1394">
        <w:rPr>
          <w:lang w:val="en-CA"/>
        </w:rPr>
        <w:t xml:space="preserve">has </w:t>
      </w:r>
      <w:r w:rsidRPr="009A1394">
        <w:rPr>
          <w:lang w:val="en-CA"/>
        </w:rPr>
        <w:t>group</w:t>
      </w:r>
      <w:r w:rsidR="004B0E56" w:rsidRPr="009A1394">
        <w:rPr>
          <w:lang w:val="en-CA"/>
        </w:rPr>
        <w:t>ed</w:t>
      </w:r>
      <w:r w:rsidRPr="009A1394">
        <w:rPr>
          <w:lang w:val="en-CA"/>
        </w:rPr>
        <w:t xml:space="preserve"> and </w:t>
      </w:r>
      <w:r w:rsidR="00E7414C" w:rsidRPr="009A1394">
        <w:rPr>
          <w:lang w:val="en-CA"/>
        </w:rPr>
        <w:t>reframe</w:t>
      </w:r>
      <w:r w:rsidR="004B0E56" w:rsidRPr="009A1394">
        <w:rPr>
          <w:lang w:val="en-CA"/>
        </w:rPr>
        <w:t>d</w:t>
      </w:r>
      <w:r w:rsidRPr="009A1394">
        <w:rPr>
          <w:lang w:val="en-CA"/>
        </w:rPr>
        <w:t xml:space="preserve"> as follows:</w:t>
      </w:r>
    </w:p>
    <w:p w14:paraId="18620E6C" w14:textId="03FD07A0" w:rsidR="00DF0E80" w:rsidRPr="009A1394" w:rsidRDefault="00576187" w:rsidP="003C6356">
      <w:pPr>
        <w:pStyle w:val="Listenumros"/>
        <w:spacing w:line="280" w:lineRule="exact"/>
        <w:rPr>
          <w:lang w:val="en-CA"/>
        </w:rPr>
      </w:pPr>
      <w:r w:rsidRPr="009A1394">
        <w:rPr>
          <w:lang w:val="en-CA"/>
        </w:rPr>
        <w:t xml:space="preserve">Did the judge err in his analysis of the </w:t>
      </w:r>
      <w:r w:rsidR="009B13F6" w:rsidRPr="009A1394">
        <w:rPr>
          <w:lang w:val="en-CA"/>
        </w:rPr>
        <w:t xml:space="preserve">applicable </w:t>
      </w:r>
      <w:r w:rsidRPr="009A1394">
        <w:rPr>
          <w:lang w:val="en-CA"/>
        </w:rPr>
        <w:t xml:space="preserve">principles </w:t>
      </w:r>
      <w:r w:rsidR="009B13F6" w:rsidRPr="009A1394">
        <w:rPr>
          <w:lang w:val="en-CA"/>
        </w:rPr>
        <w:t>of</w:t>
      </w:r>
      <w:r w:rsidRPr="009A1394">
        <w:rPr>
          <w:lang w:val="en-CA"/>
        </w:rPr>
        <w:t xml:space="preserve"> civil liability?</w:t>
      </w:r>
    </w:p>
    <w:p w14:paraId="22361B60" w14:textId="0F589EEF" w:rsidR="00DF0E80" w:rsidRPr="009A1394" w:rsidRDefault="00576187" w:rsidP="003C6356">
      <w:pPr>
        <w:pStyle w:val="Listenumros"/>
        <w:spacing w:line="280" w:lineRule="exact"/>
        <w:rPr>
          <w:lang w:val="en-CA"/>
        </w:rPr>
      </w:pPr>
      <w:bookmarkStart w:id="7" w:name="_Hlk206765416"/>
      <w:r w:rsidRPr="009A1394">
        <w:rPr>
          <w:lang w:val="en-CA"/>
        </w:rPr>
        <w:t xml:space="preserve">Did the judge </w:t>
      </w:r>
      <w:r w:rsidR="00B70784" w:rsidRPr="009A1394">
        <w:rPr>
          <w:lang w:val="en-CA"/>
        </w:rPr>
        <w:t>err in finding</w:t>
      </w:r>
      <w:r w:rsidRPr="009A1394">
        <w:rPr>
          <w:lang w:val="en-CA"/>
        </w:rPr>
        <w:t xml:space="preserve"> that CP did not have to </w:t>
      </w:r>
      <w:r w:rsidR="004D67FE" w:rsidRPr="009A1394">
        <w:rPr>
          <w:lang w:val="en-CA"/>
        </w:rPr>
        <w:t xml:space="preserve">perform </w:t>
      </w:r>
      <w:r w:rsidRPr="009A1394">
        <w:rPr>
          <w:lang w:val="en-CA"/>
        </w:rPr>
        <w:t>a risk assessment</w:t>
      </w:r>
      <w:bookmarkEnd w:id="7"/>
      <w:r w:rsidRPr="009A1394">
        <w:rPr>
          <w:lang w:val="en-CA"/>
        </w:rPr>
        <w:t>?</w:t>
      </w:r>
    </w:p>
    <w:p w14:paraId="60CF9BFD" w14:textId="1EA1259E" w:rsidR="002A3645" w:rsidRPr="009A1394" w:rsidRDefault="00576187" w:rsidP="003C6356">
      <w:pPr>
        <w:pStyle w:val="Listenumros"/>
        <w:spacing w:line="280" w:lineRule="exact"/>
        <w:rPr>
          <w:lang w:val="en-CA"/>
        </w:rPr>
      </w:pPr>
      <w:r w:rsidRPr="009A1394">
        <w:rPr>
          <w:lang w:val="en-CA"/>
        </w:rPr>
        <w:t xml:space="preserve">Did the judge </w:t>
      </w:r>
      <w:r w:rsidR="00B70784" w:rsidRPr="009A1394">
        <w:rPr>
          <w:lang w:val="en-CA"/>
        </w:rPr>
        <w:t>err in finding</w:t>
      </w:r>
      <w:r w:rsidRPr="009A1394">
        <w:rPr>
          <w:lang w:val="en-CA"/>
        </w:rPr>
        <w:t xml:space="preserve"> that CP </w:t>
      </w:r>
      <w:r w:rsidR="00307FC5" w:rsidRPr="009A1394">
        <w:rPr>
          <w:lang w:val="en-CA"/>
        </w:rPr>
        <w:t>committed</w:t>
      </w:r>
      <w:r w:rsidRPr="009A1394">
        <w:rPr>
          <w:lang w:val="en-CA"/>
        </w:rPr>
        <w:t xml:space="preserve"> no fault in </w:t>
      </w:r>
      <w:r w:rsidR="00E7414C" w:rsidRPr="009A1394">
        <w:rPr>
          <w:lang w:val="en-CA"/>
        </w:rPr>
        <w:t>retaining</w:t>
      </w:r>
      <w:r w:rsidRPr="009A1394">
        <w:rPr>
          <w:lang w:val="en-CA"/>
        </w:rPr>
        <w:t xml:space="preserve"> MMA as</w:t>
      </w:r>
      <w:r w:rsidR="00307FC5" w:rsidRPr="009A1394">
        <w:rPr>
          <w:lang w:val="en-CA"/>
        </w:rPr>
        <w:t xml:space="preserve"> a</w:t>
      </w:r>
      <w:r w:rsidRPr="009A1394">
        <w:rPr>
          <w:lang w:val="en-CA"/>
        </w:rPr>
        <w:t xml:space="preserve"> connecting carrier?</w:t>
      </w:r>
    </w:p>
    <w:p w14:paraId="026A70A3" w14:textId="22954027" w:rsidR="002A3645" w:rsidRPr="009A1394" w:rsidRDefault="00576187" w:rsidP="003C6356">
      <w:pPr>
        <w:pStyle w:val="Listenumros"/>
        <w:spacing w:line="280" w:lineRule="exact"/>
        <w:rPr>
          <w:lang w:val="en-CA"/>
        </w:rPr>
      </w:pPr>
      <w:bookmarkStart w:id="8" w:name="_Hlk207124342"/>
      <w:r w:rsidRPr="009A1394">
        <w:rPr>
          <w:kern w:val="28"/>
          <w:lang w:val="en-CA"/>
        </w:rPr>
        <w:t xml:space="preserve">Did the judge </w:t>
      </w:r>
      <w:r w:rsidR="00B70784" w:rsidRPr="009A1394">
        <w:rPr>
          <w:kern w:val="28"/>
          <w:lang w:val="en-CA"/>
        </w:rPr>
        <w:t>err in finding</w:t>
      </w:r>
      <w:r w:rsidRPr="009A1394">
        <w:rPr>
          <w:kern w:val="28"/>
          <w:lang w:val="en-CA"/>
        </w:rPr>
        <w:t xml:space="preserve"> that CP committed no fault </w:t>
      </w:r>
      <w:r w:rsidR="00E7414C" w:rsidRPr="009A1394">
        <w:rPr>
          <w:kern w:val="28"/>
          <w:lang w:val="en-CA"/>
        </w:rPr>
        <w:t>in failing to</w:t>
      </w:r>
      <w:r w:rsidRPr="009A1394">
        <w:rPr>
          <w:kern w:val="28"/>
          <w:lang w:val="en-CA"/>
        </w:rPr>
        <w:t xml:space="preserve"> require that WFS reclassify the crude oil</w:t>
      </w:r>
      <w:bookmarkEnd w:id="8"/>
      <w:r w:rsidRPr="009A1394">
        <w:rPr>
          <w:kern w:val="28"/>
          <w:lang w:val="en-CA"/>
        </w:rPr>
        <w:t>?</w:t>
      </w:r>
    </w:p>
    <w:p w14:paraId="71B0EDCD" w14:textId="68795E04" w:rsidR="00DF0E80" w:rsidRPr="009A1394" w:rsidRDefault="00576187" w:rsidP="003C6356">
      <w:pPr>
        <w:pStyle w:val="Listenumros"/>
        <w:spacing w:line="280" w:lineRule="exact"/>
        <w:rPr>
          <w:lang w:val="en-CA"/>
        </w:rPr>
      </w:pPr>
      <w:bookmarkStart w:id="9" w:name="_Hlk207203733"/>
      <w:r w:rsidRPr="009A1394">
        <w:rPr>
          <w:lang w:val="en-CA"/>
        </w:rPr>
        <w:t xml:space="preserve">Did the judge </w:t>
      </w:r>
      <w:r w:rsidR="00B70784" w:rsidRPr="009A1394">
        <w:rPr>
          <w:lang w:val="en-CA"/>
        </w:rPr>
        <w:t>err in finding</w:t>
      </w:r>
      <w:r w:rsidRPr="009A1394">
        <w:rPr>
          <w:lang w:val="en-CA"/>
        </w:rPr>
        <w:t xml:space="preserve"> that CP’s conduct, </w:t>
      </w:r>
      <w:r w:rsidR="00E7414C" w:rsidRPr="009A1394">
        <w:rPr>
          <w:lang w:val="en-CA"/>
        </w:rPr>
        <w:t>assuming</w:t>
      </w:r>
      <w:r w:rsidRPr="009A1394">
        <w:rPr>
          <w:lang w:val="en-CA"/>
        </w:rPr>
        <w:t xml:space="preserve"> it to be </w:t>
      </w:r>
      <w:r w:rsidR="00B27CEF" w:rsidRPr="009A1394">
        <w:rPr>
          <w:lang w:val="en-CA"/>
        </w:rPr>
        <w:t>wrongful</w:t>
      </w:r>
      <w:r w:rsidRPr="009A1394">
        <w:rPr>
          <w:lang w:val="en-CA"/>
        </w:rPr>
        <w:t>, was not the logical, direct and immediate cause of the train derailment</w:t>
      </w:r>
      <w:bookmarkEnd w:id="9"/>
      <w:r w:rsidRPr="009A1394">
        <w:rPr>
          <w:lang w:val="en-CA"/>
        </w:rPr>
        <w:t>?</w:t>
      </w:r>
    </w:p>
    <w:p w14:paraId="53281B8D" w14:textId="1B159353" w:rsidR="00CC66B8" w:rsidRPr="009A1394" w:rsidRDefault="00576187" w:rsidP="003C6356">
      <w:pPr>
        <w:pStyle w:val="Listenumros"/>
        <w:spacing w:line="280" w:lineRule="exact"/>
        <w:rPr>
          <w:lang w:val="en-CA"/>
        </w:rPr>
      </w:pPr>
      <w:bookmarkStart w:id="10" w:name="_Hlk207872710"/>
      <w:r w:rsidRPr="009A1394">
        <w:rPr>
          <w:lang w:val="en-CA"/>
        </w:rPr>
        <w:t xml:space="preserve">Did the judge </w:t>
      </w:r>
      <w:r w:rsidR="00B70784" w:rsidRPr="009A1394">
        <w:rPr>
          <w:lang w:val="en-CA"/>
        </w:rPr>
        <w:t>err in finding</w:t>
      </w:r>
      <w:r w:rsidRPr="009A1394">
        <w:rPr>
          <w:lang w:val="en-CA"/>
        </w:rPr>
        <w:t xml:space="preserve"> that the causal connection between the faults attributed to CP and</w:t>
      </w:r>
      <w:r w:rsidR="00307FC5" w:rsidRPr="009A1394">
        <w:rPr>
          <w:lang w:val="en-CA"/>
        </w:rPr>
        <w:t xml:space="preserve"> the</w:t>
      </w:r>
      <w:r w:rsidRPr="009A1394">
        <w:rPr>
          <w:lang w:val="en-CA"/>
        </w:rPr>
        <w:t xml:space="preserve"> </w:t>
      </w:r>
      <w:r w:rsidR="001309FD" w:rsidRPr="009A1394">
        <w:rPr>
          <w:lang w:val="en-CA"/>
        </w:rPr>
        <w:t xml:space="preserve">harm </w:t>
      </w:r>
      <w:r w:rsidRPr="009A1394">
        <w:rPr>
          <w:lang w:val="en-CA"/>
        </w:rPr>
        <w:t xml:space="preserve">that </w:t>
      </w:r>
      <w:r w:rsidR="00307FC5" w:rsidRPr="009A1394">
        <w:rPr>
          <w:lang w:val="en-CA"/>
        </w:rPr>
        <w:t>occurred</w:t>
      </w:r>
      <w:r w:rsidRPr="009A1394">
        <w:rPr>
          <w:lang w:val="en-CA"/>
        </w:rPr>
        <w:t xml:space="preserve"> </w:t>
      </w:r>
      <w:r w:rsidR="007408AE" w:rsidRPr="009A1394">
        <w:rPr>
          <w:lang w:val="en-CA"/>
        </w:rPr>
        <w:t>was</w:t>
      </w:r>
      <w:r w:rsidRPr="009A1394">
        <w:rPr>
          <w:lang w:val="en-CA"/>
        </w:rPr>
        <w:t xml:space="preserve"> broken </w:t>
      </w:r>
      <w:r w:rsidR="007408AE" w:rsidRPr="009A1394">
        <w:rPr>
          <w:lang w:val="en-CA"/>
        </w:rPr>
        <w:t>by</w:t>
      </w:r>
      <w:r w:rsidRPr="009A1394">
        <w:rPr>
          <w:lang w:val="en-CA"/>
        </w:rPr>
        <w:t xml:space="preserve"> the faults committed by Harding</w:t>
      </w:r>
      <w:bookmarkEnd w:id="10"/>
      <w:r w:rsidRPr="009A1394">
        <w:rPr>
          <w:lang w:val="en-CA"/>
        </w:rPr>
        <w:t>?</w:t>
      </w:r>
    </w:p>
    <w:p w14:paraId="4877F837" w14:textId="17A76496" w:rsidR="00BB4609" w:rsidRPr="009A1394" w:rsidRDefault="00576187" w:rsidP="0068193D">
      <w:pPr>
        <w:pStyle w:val="Titre1"/>
        <w:rPr>
          <w:lang w:val="en-CA"/>
        </w:rPr>
      </w:pPr>
      <w:r w:rsidRPr="009A1394">
        <w:rPr>
          <w:lang w:val="en-CA"/>
        </w:rPr>
        <w:t>Standard</w:t>
      </w:r>
      <w:r w:rsidR="001C4001" w:rsidRPr="009A1394">
        <w:rPr>
          <w:lang w:val="en-CA"/>
        </w:rPr>
        <w:t>s</w:t>
      </w:r>
      <w:r w:rsidRPr="009A1394">
        <w:rPr>
          <w:lang w:val="en-CA"/>
        </w:rPr>
        <w:t xml:space="preserve"> of </w:t>
      </w:r>
      <w:r w:rsidR="001C4001" w:rsidRPr="009A1394">
        <w:rPr>
          <w:lang w:val="en-CA"/>
        </w:rPr>
        <w:t>review</w:t>
      </w:r>
    </w:p>
    <w:p w14:paraId="47176130" w14:textId="1D921108" w:rsidR="00C63CAC" w:rsidRPr="009A1394" w:rsidRDefault="00C22D80" w:rsidP="00B84769">
      <w:pPr>
        <w:pStyle w:val="Paragraphe"/>
        <w:keepNext/>
        <w:numPr>
          <w:ilvl w:val="0"/>
          <w:numId w:val="1"/>
        </w:numPr>
        <w:rPr>
          <w:szCs w:val="24"/>
          <w:lang w:val="en-CA"/>
        </w:rPr>
      </w:pPr>
      <w:r w:rsidRPr="009A1394">
        <w:rPr>
          <w:szCs w:val="24"/>
          <w:lang w:val="en-CA"/>
        </w:rPr>
        <w:t xml:space="preserve">Before answering each of these </w:t>
      </w:r>
      <w:r w:rsidR="00307FC5" w:rsidRPr="009A1394">
        <w:rPr>
          <w:szCs w:val="24"/>
          <w:lang w:val="en-CA"/>
        </w:rPr>
        <w:t>questions</w:t>
      </w:r>
      <w:r w:rsidRPr="009A1394">
        <w:rPr>
          <w:szCs w:val="24"/>
          <w:lang w:val="en-CA"/>
        </w:rPr>
        <w:t xml:space="preserve">, it is appropriate to </w:t>
      </w:r>
      <w:r w:rsidR="001C4001" w:rsidRPr="009A1394">
        <w:rPr>
          <w:szCs w:val="24"/>
          <w:lang w:val="en-CA"/>
        </w:rPr>
        <w:t xml:space="preserve">set out </w:t>
      </w:r>
      <w:r w:rsidRPr="009A1394">
        <w:rPr>
          <w:szCs w:val="24"/>
          <w:lang w:val="en-CA"/>
        </w:rPr>
        <w:t>the applicable standard</w:t>
      </w:r>
      <w:r w:rsidR="00E7414C" w:rsidRPr="009A1394">
        <w:rPr>
          <w:szCs w:val="24"/>
          <w:lang w:val="en-CA"/>
        </w:rPr>
        <w:t>s</w:t>
      </w:r>
      <w:r w:rsidRPr="009A1394">
        <w:rPr>
          <w:szCs w:val="24"/>
          <w:lang w:val="en-CA"/>
        </w:rPr>
        <w:t xml:space="preserve"> of </w:t>
      </w:r>
      <w:r w:rsidR="001C4001" w:rsidRPr="009A1394">
        <w:rPr>
          <w:szCs w:val="24"/>
          <w:lang w:val="en-CA"/>
        </w:rPr>
        <w:t>review</w:t>
      </w:r>
      <w:r w:rsidRPr="009A1394">
        <w:rPr>
          <w:szCs w:val="24"/>
          <w:lang w:val="en-CA"/>
        </w:rPr>
        <w:t>.</w:t>
      </w:r>
    </w:p>
    <w:p w14:paraId="1019CA3E" w14:textId="2225E5DB" w:rsidR="003B3CC1" w:rsidRPr="009A1394" w:rsidRDefault="00C22D80" w:rsidP="00B84769">
      <w:pPr>
        <w:pStyle w:val="Paragraphe"/>
        <w:numPr>
          <w:ilvl w:val="0"/>
          <w:numId w:val="1"/>
        </w:numPr>
        <w:rPr>
          <w:szCs w:val="24"/>
          <w:lang w:val="en-CA"/>
        </w:rPr>
      </w:pPr>
      <w:r w:rsidRPr="009A1394">
        <w:rPr>
          <w:lang w:val="en-CA"/>
        </w:rPr>
        <w:t xml:space="preserve">To start, it is </w:t>
      </w:r>
      <w:r w:rsidR="00307FC5" w:rsidRPr="009A1394">
        <w:rPr>
          <w:lang w:val="en-CA"/>
        </w:rPr>
        <w:t>useful</w:t>
      </w:r>
      <w:r w:rsidRPr="009A1394">
        <w:rPr>
          <w:lang w:val="en-CA"/>
        </w:rPr>
        <w:t xml:space="preserve"> to recall this oft</w:t>
      </w:r>
      <w:r w:rsidR="001C4001" w:rsidRPr="009A1394">
        <w:rPr>
          <w:lang w:val="en-CA"/>
        </w:rPr>
        <w:t>-</w:t>
      </w:r>
      <w:r w:rsidRPr="009A1394">
        <w:rPr>
          <w:lang w:val="en-CA"/>
        </w:rPr>
        <w:t>rep</w:t>
      </w:r>
      <w:r w:rsidR="0021056A" w:rsidRPr="009A1394">
        <w:rPr>
          <w:lang w:val="en-CA"/>
        </w:rPr>
        <w:t>e</w:t>
      </w:r>
      <w:r w:rsidRPr="009A1394">
        <w:rPr>
          <w:lang w:val="en-CA"/>
        </w:rPr>
        <w:t>ated</w:t>
      </w:r>
      <w:r w:rsidR="0021056A" w:rsidRPr="009A1394">
        <w:rPr>
          <w:lang w:val="en-CA"/>
        </w:rPr>
        <w:t>,</w:t>
      </w:r>
      <w:r w:rsidRPr="009A1394">
        <w:rPr>
          <w:lang w:val="en-CA"/>
        </w:rPr>
        <w:t xml:space="preserve"> but all too often ignored rule</w:t>
      </w:r>
      <w:r w:rsidRPr="009A1394">
        <w:rPr>
          <w:rStyle w:val="Appelnotedebasdep"/>
          <w:lang w:val="en-CA"/>
        </w:rPr>
        <w:footnoteReference w:id="160"/>
      </w:r>
      <w:r w:rsidRPr="009A1394">
        <w:rPr>
          <w:lang w:val="en-CA"/>
        </w:rPr>
        <w:t xml:space="preserve"> that an appeal is not an opportunity to retry a case</w:t>
      </w:r>
      <w:r w:rsidRPr="009A1394">
        <w:rPr>
          <w:rStyle w:val="Appelnotedebasdep"/>
          <w:lang w:val="en-CA"/>
        </w:rPr>
        <w:footnoteReference w:id="161"/>
      </w:r>
      <w:r w:rsidRPr="009A1394">
        <w:rPr>
          <w:lang w:val="en-CA"/>
        </w:rPr>
        <w:t xml:space="preserve"> in the hope that the evidence adduced will be assessed or weighed differently, leading to a favourable outcome.</w:t>
      </w:r>
      <w:r w:rsidRPr="009A1394">
        <w:rPr>
          <w:rStyle w:val="Appelnotedebasdep"/>
          <w:lang w:val="en-CA"/>
        </w:rPr>
        <w:footnoteReference w:id="162"/>
      </w:r>
      <w:r w:rsidR="008161A3" w:rsidRPr="009A1394">
        <w:rPr>
          <w:lang w:val="en-CA"/>
        </w:rPr>
        <w:t xml:space="preserve"> </w:t>
      </w:r>
      <w:r w:rsidRPr="009A1394">
        <w:rPr>
          <w:lang w:val="en-CA"/>
        </w:rPr>
        <w:t>Expert evidence is no exception to this principle.</w:t>
      </w:r>
      <w:r w:rsidRPr="009A1394">
        <w:rPr>
          <w:rStyle w:val="Appelnotedebasdep"/>
          <w:lang w:val="en-CA"/>
        </w:rPr>
        <w:footnoteReference w:id="163"/>
      </w:r>
    </w:p>
    <w:p w14:paraId="4F6B78FD" w14:textId="5651F63A" w:rsidR="004E671C" w:rsidRPr="009A1394" w:rsidRDefault="00C22D80" w:rsidP="00B84769">
      <w:pPr>
        <w:pStyle w:val="Paragraphe"/>
        <w:numPr>
          <w:ilvl w:val="0"/>
          <w:numId w:val="1"/>
        </w:numPr>
        <w:rPr>
          <w:szCs w:val="24"/>
          <w:lang w:val="en-CA"/>
        </w:rPr>
      </w:pPr>
      <w:r w:rsidRPr="009A1394">
        <w:rPr>
          <w:lang w:val="en-CA"/>
        </w:rPr>
        <w:lastRenderedPageBreak/>
        <w:t xml:space="preserve">In fact, the Court will intervene to set aside or overrule a </w:t>
      </w:r>
      <w:r w:rsidR="00862AA7" w:rsidRPr="009A1394">
        <w:rPr>
          <w:lang w:val="en-CA"/>
        </w:rPr>
        <w:t>judgment</w:t>
      </w:r>
      <w:r w:rsidRPr="009A1394">
        <w:rPr>
          <w:lang w:val="en-CA"/>
        </w:rPr>
        <w:t xml:space="preserve"> only when </w:t>
      </w:r>
      <w:r w:rsidR="0021056A" w:rsidRPr="009A1394">
        <w:rPr>
          <w:lang w:val="en-CA"/>
        </w:rPr>
        <w:t xml:space="preserve">a </w:t>
      </w:r>
      <w:r w:rsidRPr="009A1394">
        <w:rPr>
          <w:lang w:val="en-CA"/>
        </w:rPr>
        <w:t>“</w:t>
      </w:r>
      <w:r w:rsidR="00862AA7" w:rsidRPr="009A1394">
        <w:rPr>
          <w:lang w:val="en-CA"/>
        </w:rPr>
        <w:t>crucial</w:t>
      </w:r>
      <w:r w:rsidRPr="009A1394">
        <w:rPr>
          <w:lang w:val="en-CA"/>
        </w:rPr>
        <w:t xml:space="preserve">” </w:t>
      </w:r>
      <w:r w:rsidR="0021056A" w:rsidRPr="009A1394">
        <w:rPr>
          <w:lang w:val="en-CA"/>
        </w:rPr>
        <w:t>flaw</w:t>
      </w:r>
      <w:r w:rsidR="00F00C92" w:rsidRPr="009A1394">
        <w:rPr>
          <w:lang w:val="en-CA"/>
        </w:rPr>
        <w:t xml:space="preserve"> has been shown to exist</w:t>
      </w:r>
      <w:r w:rsidRPr="009A1394">
        <w:rPr>
          <w:lang w:val="en-CA"/>
        </w:rPr>
        <w:t>.</w:t>
      </w:r>
      <w:r w:rsidRPr="009A1394">
        <w:rPr>
          <w:rStyle w:val="Appelnotedebasdep"/>
          <w:lang w:val="en-CA"/>
        </w:rPr>
        <w:footnoteReference w:id="164"/>
      </w:r>
      <w:r w:rsidR="002543F3" w:rsidRPr="009A1394">
        <w:rPr>
          <w:lang w:val="en-CA"/>
        </w:rPr>
        <w:t xml:space="preserve"> </w:t>
      </w:r>
      <w:r w:rsidRPr="009A1394">
        <w:rPr>
          <w:szCs w:val="24"/>
          <w:lang w:val="en-CA"/>
        </w:rPr>
        <w:t xml:space="preserve">In </w:t>
      </w:r>
      <w:r w:rsidRPr="009A1394">
        <w:rPr>
          <w:i/>
          <w:szCs w:val="24"/>
          <w:lang w:val="en-CA"/>
        </w:rPr>
        <w:t>Housen v. Nikolaisen</w:t>
      </w:r>
      <w:r w:rsidRPr="009A1394">
        <w:rPr>
          <w:szCs w:val="24"/>
          <w:lang w:val="en-CA"/>
        </w:rPr>
        <w:t>, the Supreme Court explained that this theory is “premised on the notion that finality is an important aim of litigation”.</w:t>
      </w:r>
      <w:r w:rsidRPr="009A1394">
        <w:rPr>
          <w:rStyle w:val="Appelnotedebasdep"/>
          <w:lang w:val="en-CA"/>
        </w:rPr>
        <w:footnoteReference w:id="165"/>
      </w:r>
    </w:p>
    <w:p w14:paraId="1CB43256" w14:textId="6DEB9A14" w:rsidR="004E671C" w:rsidRPr="009A1394" w:rsidRDefault="00C22D80" w:rsidP="00B84769">
      <w:pPr>
        <w:pStyle w:val="Paragraphe"/>
        <w:numPr>
          <w:ilvl w:val="0"/>
          <w:numId w:val="1"/>
        </w:numPr>
        <w:rPr>
          <w:lang w:val="en-CA"/>
        </w:rPr>
      </w:pPr>
      <w:r w:rsidRPr="009A1394">
        <w:rPr>
          <w:lang w:val="en-CA"/>
        </w:rPr>
        <w:t xml:space="preserve">Errors </w:t>
      </w:r>
      <w:r w:rsidR="00F12530" w:rsidRPr="009A1394">
        <w:rPr>
          <w:lang w:val="en-CA"/>
        </w:rPr>
        <w:t xml:space="preserve">that </w:t>
      </w:r>
      <w:r w:rsidR="001365C6" w:rsidRPr="009A1394">
        <w:rPr>
          <w:lang w:val="en-CA"/>
        </w:rPr>
        <w:t>could</w:t>
      </w:r>
      <w:r w:rsidRPr="009A1394">
        <w:rPr>
          <w:lang w:val="en-CA"/>
        </w:rPr>
        <w:t xml:space="preserve"> justify the Court’s intervention fall into three categories: error</w:t>
      </w:r>
      <w:r w:rsidR="001365C6" w:rsidRPr="009A1394">
        <w:rPr>
          <w:lang w:val="en-CA"/>
        </w:rPr>
        <w:t>s</w:t>
      </w:r>
      <w:r w:rsidRPr="009A1394">
        <w:rPr>
          <w:lang w:val="en-CA"/>
        </w:rPr>
        <w:t xml:space="preserve"> of law, error</w:t>
      </w:r>
      <w:r w:rsidR="001365C6" w:rsidRPr="009A1394">
        <w:rPr>
          <w:lang w:val="en-CA"/>
        </w:rPr>
        <w:t>s</w:t>
      </w:r>
      <w:r w:rsidRPr="009A1394">
        <w:rPr>
          <w:lang w:val="en-CA"/>
        </w:rPr>
        <w:t xml:space="preserve"> of </w:t>
      </w:r>
      <w:r w:rsidR="00862AA7" w:rsidRPr="009A1394">
        <w:rPr>
          <w:lang w:val="en-CA"/>
        </w:rPr>
        <w:t>f</w:t>
      </w:r>
      <w:r w:rsidRPr="009A1394">
        <w:rPr>
          <w:lang w:val="en-CA"/>
        </w:rPr>
        <w:t>act, and error</w:t>
      </w:r>
      <w:r w:rsidR="001365C6" w:rsidRPr="009A1394">
        <w:rPr>
          <w:lang w:val="en-CA"/>
        </w:rPr>
        <w:t>s</w:t>
      </w:r>
      <w:r w:rsidRPr="009A1394">
        <w:rPr>
          <w:lang w:val="en-CA"/>
        </w:rPr>
        <w:t xml:space="preserve"> of mixed fact and law.</w:t>
      </w:r>
      <w:r w:rsidRPr="009A1394">
        <w:rPr>
          <w:rStyle w:val="Appelnotedebasdep"/>
          <w:lang w:val="en-CA"/>
        </w:rPr>
        <w:footnoteReference w:id="166"/>
      </w:r>
    </w:p>
    <w:p w14:paraId="0BAD2B40" w14:textId="2FACDFE7" w:rsidR="00E5221D" w:rsidRPr="009A1394" w:rsidRDefault="00C22D80" w:rsidP="00B84769">
      <w:pPr>
        <w:pStyle w:val="Paragraphe"/>
        <w:numPr>
          <w:ilvl w:val="0"/>
          <w:numId w:val="1"/>
        </w:numPr>
        <w:rPr>
          <w:lang w:val="en-CA"/>
        </w:rPr>
      </w:pPr>
      <w:r w:rsidRPr="009A1394">
        <w:rPr>
          <w:lang w:val="en-CA"/>
        </w:rPr>
        <w:t xml:space="preserve">The applicable standard of </w:t>
      </w:r>
      <w:r w:rsidR="000F0A6C" w:rsidRPr="009A1394">
        <w:rPr>
          <w:lang w:val="en-CA"/>
        </w:rPr>
        <w:t xml:space="preserve">review </w:t>
      </w:r>
      <w:r w:rsidR="00862AA7" w:rsidRPr="009A1394">
        <w:rPr>
          <w:lang w:val="en-CA"/>
        </w:rPr>
        <w:t>for</w:t>
      </w:r>
      <w:r w:rsidRPr="009A1394">
        <w:rPr>
          <w:lang w:val="en-CA"/>
        </w:rPr>
        <w:t xml:space="preserve"> errors of law is that of correctness.</w:t>
      </w:r>
      <w:r w:rsidRPr="009A1394">
        <w:rPr>
          <w:rStyle w:val="Appelnotedebasdep"/>
          <w:lang w:val="en-CA"/>
        </w:rPr>
        <w:footnoteReference w:id="167"/>
      </w:r>
      <w:r w:rsidR="008161A3" w:rsidRPr="009A1394">
        <w:rPr>
          <w:lang w:val="en-CA"/>
        </w:rPr>
        <w:t xml:space="preserve"> </w:t>
      </w:r>
      <w:r w:rsidR="00A54759" w:rsidRPr="009A1394">
        <w:rPr>
          <w:lang w:val="en-CA"/>
        </w:rPr>
        <w:t>In</w:t>
      </w:r>
      <w:r w:rsidRPr="009A1394">
        <w:rPr>
          <w:lang w:val="en-CA"/>
        </w:rPr>
        <w:t xml:space="preserve"> </w:t>
      </w:r>
      <w:r w:rsidR="00121D84" w:rsidRPr="009A1394">
        <w:rPr>
          <w:lang w:val="en-CA"/>
        </w:rPr>
        <w:t>such situations</w:t>
      </w:r>
      <w:r w:rsidRPr="009A1394">
        <w:rPr>
          <w:lang w:val="en-CA"/>
        </w:rPr>
        <w:t>, the Court may therefore “replace the opinion of the trial judge</w:t>
      </w:r>
      <w:r w:rsidR="00A54759" w:rsidRPr="009A1394">
        <w:rPr>
          <w:lang w:val="en-CA"/>
        </w:rPr>
        <w:t xml:space="preserve"> with its own</w:t>
      </w:r>
      <w:r w:rsidRPr="009A1394">
        <w:rPr>
          <w:lang w:val="en-CA"/>
        </w:rPr>
        <w:t>”</w:t>
      </w:r>
      <w:r w:rsidRPr="009A1394">
        <w:rPr>
          <w:rStyle w:val="Appelnotedebasdep"/>
          <w:lang w:val="en-CA"/>
        </w:rPr>
        <w:footnoteReference w:id="168"/>
      </w:r>
      <w:r w:rsidRPr="009A1394">
        <w:rPr>
          <w:lang w:val="en-CA"/>
        </w:rPr>
        <w:t xml:space="preserve"> and </w:t>
      </w:r>
      <w:r w:rsidR="00A54759" w:rsidRPr="009A1394">
        <w:rPr>
          <w:lang w:val="en-CA"/>
        </w:rPr>
        <w:t>vary</w:t>
      </w:r>
      <w:r w:rsidRPr="009A1394">
        <w:rPr>
          <w:lang w:val="en-CA"/>
        </w:rPr>
        <w:t xml:space="preserve"> the </w:t>
      </w:r>
      <w:r w:rsidR="00A54759" w:rsidRPr="009A1394">
        <w:rPr>
          <w:lang w:val="en-CA"/>
        </w:rPr>
        <w:t>disposition</w:t>
      </w:r>
      <w:r w:rsidRPr="009A1394">
        <w:rPr>
          <w:lang w:val="en-CA"/>
        </w:rPr>
        <w:t xml:space="preserve"> of the judgment rendered if it is shown that</w:t>
      </w:r>
      <w:r w:rsidR="00E07409" w:rsidRPr="009A1394">
        <w:rPr>
          <w:lang w:val="en-CA"/>
        </w:rPr>
        <w:t xml:space="preserve"> [</w:t>
      </w:r>
      <w:r w:rsidR="00E07409" w:rsidRPr="009A1394">
        <w:rPr>
          <w:smallCaps/>
          <w:lang w:val="en-CA"/>
        </w:rPr>
        <w:t>translation</w:t>
      </w:r>
      <w:r w:rsidR="00E07409" w:rsidRPr="009A1394">
        <w:rPr>
          <w:lang w:val="en-CA"/>
        </w:rPr>
        <w:t>]</w:t>
      </w:r>
      <w:r w:rsidRPr="009A1394">
        <w:rPr>
          <w:lang w:val="en-CA"/>
        </w:rPr>
        <w:t xml:space="preserve"> “the error affected the outcome of the dispute”.</w:t>
      </w:r>
      <w:r w:rsidRPr="009A1394">
        <w:rPr>
          <w:rStyle w:val="Appelnotedebasdep"/>
          <w:lang w:val="en-CA"/>
        </w:rPr>
        <w:footnoteReference w:id="169"/>
      </w:r>
    </w:p>
    <w:p w14:paraId="038F8358" w14:textId="48682077" w:rsidR="004848C6" w:rsidRPr="009A1394" w:rsidRDefault="00C22D80" w:rsidP="00B84769">
      <w:pPr>
        <w:pStyle w:val="Paragraphe"/>
        <w:numPr>
          <w:ilvl w:val="0"/>
          <w:numId w:val="1"/>
        </w:numPr>
        <w:rPr>
          <w:lang w:val="en-CA"/>
        </w:rPr>
      </w:pPr>
      <w:r w:rsidRPr="009A1394">
        <w:rPr>
          <w:lang w:val="en-CA"/>
        </w:rPr>
        <w:t xml:space="preserve">By contrast, </w:t>
      </w:r>
      <w:r w:rsidR="00E07409" w:rsidRPr="009A1394">
        <w:rPr>
          <w:lang w:val="en-CA"/>
        </w:rPr>
        <w:t>an</w:t>
      </w:r>
      <w:r w:rsidRPr="009A1394">
        <w:rPr>
          <w:lang w:val="en-CA"/>
        </w:rPr>
        <w:t xml:space="preserve"> error of fact requires the demonstration of a palpable and overriding error in </w:t>
      </w:r>
      <w:r w:rsidR="00121D84" w:rsidRPr="009A1394">
        <w:rPr>
          <w:lang w:val="en-CA"/>
        </w:rPr>
        <w:t xml:space="preserve">the assessment of </w:t>
      </w:r>
      <w:r w:rsidRPr="009A1394">
        <w:rPr>
          <w:lang w:val="en-CA"/>
        </w:rPr>
        <w:t>the evidence.</w:t>
      </w:r>
      <w:r w:rsidRPr="009A1394">
        <w:rPr>
          <w:rStyle w:val="Appelnotedebasdep"/>
          <w:lang w:val="en-CA"/>
        </w:rPr>
        <w:footnoteReference w:id="170"/>
      </w:r>
      <w:r w:rsidR="002D7CB9" w:rsidRPr="009A1394">
        <w:rPr>
          <w:lang w:val="en-CA"/>
        </w:rPr>
        <w:t xml:space="preserve"> </w:t>
      </w:r>
      <w:r w:rsidRPr="009A1394">
        <w:rPr>
          <w:lang w:val="en-CA"/>
        </w:rPr>
        <w:t>This is also the standard that applies to findings and inferences of fact.</w:t>
      </w:r>
      <w:r w:rsidRPr="009A1394">
        <w:rPr>
          <w:rStyle w:val="Appelnotedebasdep"/>
          <w:lang w:val="en-CA"/>
        </w:rPr>
        <w:footnoteReference w:id="171"/>
      </w:r>
      <w:r w:rsidR="008161A3" w:rsidRPr="009A1394">
        <w:rPr>
          <w:lang w:val="en-CA"/>
        </w:rPr>
        <w:t xml:space="preserve"> </w:t>
      </w:r>
      <w:r w:rsidRPr="009A1394">
        <w:rPr>
          <w:lang w:val="en-CA"/>
        </w:rPr>
        <w:t>The standard is identical with respect to errors of mixed law and fact,</w:t>
      </w:r>
      <w:r w:rsidRPr="009A1394">
        <w:rPr>
          <w:rStyle w:val="Appelnotedebasdep"/>
          <w:lang w:val="en-CA"/>
        </w:rPr>
        <w:footnoteReference w:id="172"/>
      </w:r>
      <w:r w:rsidRPr="009A1394">
        <w:rPr>
          <w:lang w:val="en-CA"/>
        </w:rPr>
        <w:t xml:space="preserve"> unless the trial judge committed an extricable error in principle, in which case the standard of correctness will apply to that error.</w:t>
      </w:r>
      <w:r w:rsidRPr="009A1394">
        <w:rPr>
          <w:rStyle w:val="Appelnotedebasdep"/>
          <w:lang w:val="en-CA"/>
        </w:rPr>
        <w:footnoteReference w:id="173"/>
      </w:r>
    </w:p>
    <w:p w14:paraId="799945E3" w14:textId="65868498" w:rsidR="00BB4609" w:rsidRPr="009A1394" w:rsidRDefault="00C22D80" w:rsidP="000E395A">
      <w:pPr>
        <w:pStyle w:val="Paragraphe"/>
        <w:numPr>
          <w:ilvl w:val="0"/>
          <w:numId w:val="1"/>
        </w:numPr>
        <w:spacing w:before="160" w:after="160"/>
        <w:rPr>
          <w:lang w:val="en-CA"/>
        </w:rPr>
      </w:pPr>
      <w:r w:rsidRPr="009A1394">
        <w:rPr>
          <w:lang w:val="en-CA"/>
        </w:rPr>
        <w:lastRenderedPageBreak/>
        <w:t xml:space="preserve">A palpable error must be </w:t>
      </w:r>
      <w:r w:rsidR="00E07409" w:rsidRPr="009A1394">
        <w:rPr>
          <w:lang w:val="en-CA"/>
        </w:rPr>
        <w:t>obvious</w:t>
      </w:r>
      <w:r w:rsidR="000F68A6" w:rsidRPr="009A1394">
        <w:rPr>
          <w:lang w:val="en-CA"/>
        </w:rPr>
        <w:t xml:space="preserve"> </w:t>
      </w:r>
      <w:r w:rsidRPr="009A1394">
        <w:rPr>
          <w:lang w:val="en-CA"/>
        </w:rPr>
        <w:t xml:space="preserve">and </w:t>
      </w:r>
      <w:r w:rsidR="000F68A6" w:rsidRPr="009A1394">
        <w:rPr>
          <w:lang w:val="en-CA"/>
        </w:rPr>
        <w:t>be</w:t>
      </w:r>
      <w:r w:rsidRPr="009A1394">
        <w:rPr>
          <w:lang w:val="en-CA"/>
        </w:rPr>
        <w:t xml:space="preserve"> “</w:t>
      </w:r>
      <w:r w:rsidR="00E07409" w:rsidRPr="009A1394">
        <w:rPr>
          <w:lang w:val="en-CA"/>
        </w:rPr>
        <w:t>determinative</w:t>
      </w:r>
      <w:r w:rsidRPr="009A1394">
        <w:rPr>
          <w:lang w:val="en-CA"/>
        </w:rPr>
        <w:t xml:space="preserve"> o</w:t>
      </w:r>
      <w:r w:rsidR="00E07409" w:rsidRPr="009A1394">
        <w:rPr>
          <w:lang w:val="en-CA"/>
        </w:rPr>
        <w:t>f</w:t>
      </w:r>
      <w:r w:rsidRPr="009A1394">
        <w:rPr>
          <w:lang w:val="en-CA"/>
        </w:rPr>
        <w:t xml:space="preserve"> the outcome </w:t>
      </w:r>
      <w:r w:rsidR="00E07409" w:rsidRPr="009A1394">
        <w:rPr>
          <w:lang w:val="en-CA"/>
        </w:rPr>
        <w:t>of</w:t>
      </w:r>
      <w:r w:rsidRPr="009A1394">
        <w:rPr>
          <w:lang w:val="en-CA"/>
        </w:rPr>
        <w:t xml:space="preserve"> the case”.</w:t>
      </w:r>
      <w:r w:rsidRPr="009A1394">
        <w:rPr>
          <w:rStyle w:val="Appelnotedebasdep"/>
          <w:lang w:val="en-CA"/>
        </w:rPr>
        <w:footnoteReference w:id="174"/>
      </w:r>
      <w:r w:rsidR="008161A3" w:rsidRPr="009A1394">
        <w:rPr>
          <w:lang w:val="en-CA"/>
        </w:rPr>
        <w:t xml:space="preserve"> </w:t>
      </w:r>
      <w:r w:rsidRPr="009A1394">
        <w:rPr>
          <w:lang w:val="en-CA"/>
        </w:rPr>
        <w:t xml:space="preserve">In </w:t>
      </w:r>
      <w:r w:rsidRPr="009A1394">
        <w:rPr>
          <w:i/>
          <w:lang w:val="en-CA"/>
        </w:rPr>
        <w:t>J.G. c. Nadeau</w:t>
      </w:r>
      <w:r w:rsidRPr="009A1394">
        <w:rPr>
          <w:lang w:val="en-CA"/>
        </w:rPr>
        <w:t>,</w:t>
      </w:r>
      <w:r w:rsidRPr="009A1394">
        <w:rPr>
          <w:rStyle w:val="Appelnotedebasdep"/>
          <w:lang w:val="en-CA"/>
        </w:rPr>
        <w:footnoteReference w:id="175"/>
      </w:r>
      <w:r w:rsidRPr="009A1394">
        <w:rPr>
          <w:lang w:val="en-CA"/>
        </w:rPr>
        <w:t xml:space="preserve"> Morissette, J.A., on behalf of the Court, explained it </w:t>
      </w:r>
      <w:r w:rsidR="002E4DD1" w:rsidRPr="009A1394">
        <w:rPr>
          <w:lang w:val="en-CA"/>
        </w:rPr>
        <w:t xml:space="preserve">with </w:t>
      </w:r>
      <w:r w:rsidRPr="009A1394">
        <w:rPr>
          <w:lang w:val="en-CA"/>
        </w:rPr>
        <w:t>a</w:t>
      </w:r>
      <w:r w:rsidR="00642E30" w:rsidRPr="009A1394">
        <w:rPr>
          <w:lang w:val="en-CA"/>
        </w:rPr>
        <w:t>n</w:t>
      </w:r>
      <w:r w:rsidRPr="009A1394">
        <w:rPr>
          <w:lang w:val="en-CA"/>
        </w:rPr>
        <w:t xml:space="preserve"> </w:t>
      </w:r>
      <w:r w:rsidR="000F68A6" w:rsidRPr="009A1394">
        <w:rPr>
          <w:lang w:val="en-CA"/>
        </w:rPr>
        <w:t xml:space="preserve">oft-quoted </w:t>
      </w:r>
      <w:r w:rsidRPr="009A1394">
        <w:rPr>
          <w:lang w:val="en-CA"/>
        </w:rPr>
        <w:t>metaphor:</w:t>
      </w:r>
      <w:r w:rsidRPr="009A1394">
        <w:rPr>
          <w:rStyle w:val="Appelnotedebasdep"/>
          <w:lang w:val="en-CA"/>
        </w:rPr>
        <w:footnoteReference w:id="176"/>
      </w:r>
    </w:p>
    <w:p w14:paraId="75BF8AB8" w14:textId="35AF4343" w:rsidR="00E07409" w:rsidRPr="009A1394" w:rsidRDefault="00E07409" w:rsidP="000E395A">
      <w:pPr>
        <w:pStyle w:val="Citationenretrait"/>
        <w:spacing w:before="160" w:after="160"/>
        <w:rPr>
          <w:lang w:val="en-CA" w:eastAsia="fr-CA"/>
        </w:rPr>
      </w:pPr>
      <w:r w:rsidRPr="009A1394">
        <w:rPr>
          <w:lang w:val="en-CA" w:eastAsia="fr-CA"/>
        </w:rPr>
        <w:t>[</w:t>
      </w:r>
      <w:r w:rsidRPr="009A1394">
        <w:rPr>
          <w:smallCaps/>
          <w:lang w:val="en-CA" w:eastAsia="fr-CA"/>
        </w:rPr>
        <w:t>translation</w:t>
      </w:r>
      <w:r w:rsidRPr="009A1394">
        <w:rPr>
          <w:lang w:val="en-CA" w:eastAsia="fr-CA"/>
        </w:rPr>
        <w:t>]</w:t>
      </w:r>
    </w:p>
    <w:p w14:paraId="64FDE47C" w14:textId="24D34466" w:rsidR="00BB4609" w:rsidRPr="009A1394" w:rsidRDefault="00C22D80" w:rsidP="000E395A">
      <w:pPr>
        <w:pStyle w:val="Citationenretrait"/>
        <w:spacing w:before="160" w:after="160"/>
        <w:rPr>
          <w:lang w:val="en-CA" w:eastAsia="fr-CA"/>
        </w:rPr>
      </w:pPr>
      <w:r w:rsidRPr="009A1394">
        <w:rPr>
          <w:lang w:val="en-CA" w:eastAsia="fr-CA"/>
        </w:rPr>
        <w:t>[76]</w:t>
      </w:r>
      <w:r w:rsidR="008161A3" w:rsidRPr="009A1394">
        <w:rPr>
          <w:lang w:val="en-CA" w:eastAsia="fr-CA"/>
        </w:rPr>
        <w:tab/>
      </w:r>
      <w:r w:rsidR="009F7A8C" w:rsidRPr="009A1394">
        <w:rPr>
          <w:lang w:val="en-CA" w:eastAsia="fr-CA"/>
        </w:rPr>
        <w:t>[</w:t>
      </w:r>
      <w:r w:rsidR="009053D3" w:rsidRPr="009A1394">
        <w:rPr>
          <w:lang w:val="en-CA" w:eastAsia="fr-CA"/>
        </w:rPr>
        <w:t>...</w:t>
      </w:r>
      <w:r w:rsidR="009F7A8C" w:rsidRPr="009A1394">
        <w:rPr>
          <w:lang w:val="en-CA" w:eastAsia="fr-CA"/>
        </w:rPr>
        <w:t>]</w:t>
      </w:r>
      <w:r w:rsidR="009053D3" w:rsidRPr="009A1394">
        <w:rPr>
          <w:lang w:val="en-CA" w:eastAsia="fr-CA"/>
        </w:rPr>
        <w:t xml:space="preserve"> </w:t>
      </w:r>
      <w:r w:rsidR="0090588D" w:rsidRPr="009A1394">
        <w:rPr>
          <w:lang w:val="en-CA" w:eastAsia="fr-CA"/>
        </w:rPr>
        <w:t>Thus, the error must be one that can be identified without expending extensive resources, without provoking a long semantic debate and without requiring the review of great quantities of documentary or testimonial evidence that is divided and contradictory, as is quite regularly what happens in contentious cases of some difficulty that go to trial</w:t>
      </w:r>
      <w:r w:rsidR="009053D3" w:rsidRPr="009A1394">
        <w:rPr>
          <w:lang w:val="en-CA" w:eastAsia="fr-CA"/>
        </w:rPr>
        <w:t>.</w:t>
      </w:r>
    </w:p>
    <w:p w14:paraId="7B334415" w14:textId="4C59B062" w:rsidR="00BB4609" w:rsidRPr="009A1394" w:rsidRDefault="009053D3" w:rsidP="000E395A">
      <w:pPr>
        <w:pStyle w:val="Citationenretrait"/>
        <w:spacing w:before="160" w:after="160"/>
        <w:rPr>
          <w:lang w:val="en-CA" w:eastAsia="fr-CA"/>
        </w:rPr>
      </w:pPr>
      <w:r w:rsidRPr="009A1394">
        <w:rPr>
          <w:lang w:val="en-CA" w:eastAsia="fr-CA"/>
        </w:rPr>
        <w:t>[77]</w:t>
      </w:r>
      <w:r w:rsidR="008161A3" w:rsidRPr="009A1394">
        <w:rPr>
          <w:lang w:val="en-CA" w:eastAsia="fr-CA"/>
        </w:rPr>
        <w:tab/>
      </w:r>
      <w:r w:rsidR="0010038F" w:rsidRPr="009A1394">
        <w:rPr>
          <w:lang w:val="en-CA" w:eastAsia="fr-CA"/>
        </w:rPr>
        <w:t>[</w:t>
      </w:r>
      <w:r w:rsidR="0033683C" w:rsidRPr="009A1394">
        <w:rPr>
          <w:lang w:val="en-CA" w:eastAsia="fr-CA"/>
        </w:rPr>
        <w:t>...</w:t>
      </w:r>
      <w:r w:rsidR="0010038F" w:rsidRPr="009A1394">
        <w:rPr>
          <w:lang w:val="en-CA" w:eastAsia="fr-CA"/>
        </w:rPr>
        <w:t>]</w:t>
      </w:r>
      <w:r w:rsidR="0033683C" w:rsidRPr="009A1394">
        <w:rPr>
          <w:lang w:val="en-CA" w:eastAsia="fr-CA"/>
        </w:rPr>
        <w:t xml:space="preserve"> </w:t>
      </w:r>
      <w:r w:rsidR="00264D69" w:rsidRPr="009A1394">
        <w:rPr>
          <w:lang w:val="en-CA" w:eastAsia="fr-CA"/>
        </w:rPr>
        <w:t>[T]</w:t>
      </w:r>
      <w:r w:rsidR="0033683C" w:rsidRPr="009A1394">
        <w:rPr>
          <w:lang w:val="en-CA" w:eastAsia="fr-CA"/>
        </w:rPr>
        <w:t>he error must be obvious and, once identified, the whole tree must fall because of this error.</w:t>
      </w:r>
      <w:r w:rsidR="008161A3" w:rsidRPr="009A1394">
        <w:rPr>
          <w:lang w:val="en-CA" w:eastAsia="fr-CA"/>
        </w:rPr>
        <w:t xml:space="preserve"> </w:t>
      </w:r>
      <w:r w:rsidR="0033683C" w:rsidRPr="009A1394">
        <w:rPr>
          <w:lang w:val="en-CA" w:eastAsia="fr-CA"/>
        </w:rPr>
        <w:t>In other words, a palpable and o</w:t>
      </w:r>
      <w:r w:rsidR="00E07409" w:rsidRPr="009A1394">
        <w:rPr>
          <w:lang w:val="en-CA" w:eastAsia="fr-CA"/>
        </w:rPr>
        <w:t>v</w:t>
      </w:r>
      <w:r w:rsidR="0033683C" w:rsidRPr="009A1394">
        <w:rPr>
          <w:lang w:val="en-CA" w:eastAsia="fr-CA"/>
        </w:rPr>
        <w:t>erriding error is in the nature not of a needle in a haystack, but of a be</w:t>
      </w:r>
      <w:r w:rsidR="00E07409" w:rsidRPr="009A1394">
        <w:rPr>
          <w:lang w:val="en-CA" w:eastAsia="fr-CA"/>
        </w:rPr>
        <w:t>am</w:t>
      </w:r>
      <w:r w:rsidR="0033683C" w:rsidRPr="009A1394">
        <w:rPr>
          <w:lang w:val="en-CA" w:eastAsia="fr-CA"/>
        </w:rPr>
        <w:t xml:space="preserve"> in the eye.</w:t>
      </w:r>
      <w:r w:rsidR="008161A3" w:rsidRPr="009A1394">
        <w:rPr>
          <w:lang w:val="en-CA" w:eastAsia="fr-CA"/>
        </w:rPr>
        <w:t xml:space="preserve"> </w:t>
      </w:r>
      <w:r w:rsidR="0033683C" w:rsidRPr="009A1394">
        <w:rPr>
          <w:lang w:val="en-CA" w:eastAsia="fr-CA"/>
        </w:rPr>
        <w:t>It is impossible to confuse these last two notions.</w:t>
      </w:r>
    </w:p>
    <w:p w14:paraId="78C7CE10" w14:textId="261ABE90" w:rsidR="00BB4609" w:rsidRPr="009A1394" w:rsidRDefault="0033683C" w:rsidP="000E395A">
      <w:pPr>
        <w:pStyle w:val="Paragraphe"/>
        <w:numPr>
          <w:ilvl w:val="0"/>
          <w:numId w:val="1"/>
        </w:numPr>
        <w:spacing w:before="160" w:after="160"/>
        <w:rPr>
          <w:lang w:val="en-CA" w:eastAsia="fr-CA"/>
        </w:rPr>
      </w:pPr>
      <w:r w:rsidRPr="009A1394">
        <w:rPr>
          <w:lang w:val="en-CA" w:eastAsia="fr-CA"/>
        </w:rPr>
        <w:t xml:space="preserve">As he </w:t>
      </w:r>
      <w:r w:rsidR="0090588D" w:rsidRPr="009A1394">
        <w:rPr>
          <w:lang w:val="en-CA" w:eastAsia="fr-CA"/>
        </w:rPr>
        <w:t>noted</w:t>
      </w:r>
      <w:r w:rsidRPr="009A1394">
        <w:rPr>
          <w:lang w:val="en-CA" w:eastAsia="fr-CA"/>
        </w:rPr>
        <w:t xml:space="preserve">, this rule is </w:t>
      </w:r>
      <w:r w:rsidR="00E07409" w:rsidRPr="009A1394">
        <w:rPr>
          <w:lang w:val="en-CA" w:eastAsia="fr-CA"/>
        </w:rPr>
        <w:t xml:space="preserve">particularly </w:t>
      </w:r>
      <w:r w:rsidR="00E522F9" w:rsidRPr="009A1394">
        <w:rPr>
          <w:lang w:val="en-CA" w:eastAsia="fr-CA"/>
        </w:rPr>
        <w:t>important</w:t>
      </w:r>
      <w:r w:rsidRPr="009A1394">
        <w:rPr>
          <w:lang w:val="en-CA" w:eastAsia="fr-CA"/>
        </w:rPr>
        <w:t xml:space="preserve"> in cases where</w:t>
      </w:r>
      <w:r w:rsidR="00E522F9" w:rsidRPr="009A1394">
        <w:rPr>
          <w:lang w:val="en-CA" w:eastAsia="fr-CA"/>
        </w:rPr>
        <w:t xml:space="preserve"> extensive</w:t>
      </w:r>
      <w:r w:rsidRPr="009A1394">
        <w:rPr>
          <w:lang w:val="en-CA" w:eastAsia="fr-CA"/>
        </w:rPr>
        <w:t xml:space="preserve"> evidence</w:t>
      </w:r>
      <w:r w:rsidR="00E522F9" w:rsidRPr="009A1394">
        <w:rPr>
          <w:lang w:val="en-CA" w:eastAsia="fr-CA"/>
        </w:rPr>
        <w:t xml:space="preserve"> is adduced</w:t>
      </w:r>
      <w:r w:rsidRPr="009A1394">
        <w:rPr>
          <w:lang w:val="en-CA" w:eastAsia="fr-CA"/>
        </w:rPr>
        <w:t>:</w:t>
      </w:r>
    </w:p>
    <w:p w14:paraId="50F1100A" w14:textId="6D848ECA" w:rsidR="00E07409" w:rsidRPr="009A1394" w:rsidRDefault="00E07409" w:rsidP="000E395A">
      <w:pPr>
        <w:pStyle w:val="Citationenretrait"/>
        <w:spacing w:before="160" w:after="160"/>
        <w:rPr>
          <w:lang w:val="en-CA" w:eastAsia="fr-CA"/>
        </w:rPr>
      </w:pPr>
      <w:r w:rsidRPr="009A1394">
        <w:rPr>
          <w:lang w:val="en-CA" w:eastAsia="fr-CA"/>
        </w:rPr>
        <w:t>[</w:t>
      </w:r>
      <w:r w:rsidRPr="009A1394">
        <w:rPr>
          <w:smallCaps/>
          <w:lang w:val="en-CA" w:eastAsia="fr-CA"/>
        </w:rPr>
        <w:t>translation</w:t>
      </w:r>
      <w:r w:rsidRPr="009A1394">
        <w:rPr>
          <w:lang w:val="en-CA" w:eastAsia="fr-CA"/>
        </w:rPr>
        <w:t>]</w:t>
      </w:r>
    </w:p>
    <w:p w14:paraId="52127A01" w14:textId="02B5E3F2" w:rsidR="007B11F8" w:rsidRPr="009A1394" w:rsidRDefault="0033683C" w:rsidP="000E395A">
      <w:pPr>
        <w:pStyle w:val="Citationenretrait"/>
        <w:spacing w:before="160" w:after="160"/>
        <w:rPr>
          <w:lang w:val="en-CA" w:eastAsia="fr-CA"/>
        </w:rPr>
      </w:pPr>
      <w:r w:rsidRPr="009A1394">
        <w:rPr>
          <w:lang w:val="en-CA" w:eastAsia="fr-CA"/>
        </w:rPr>
        <w:t>[79]</w:t>
      </w:r>
      <w:r w:rsidR="009D0AE7" w:rsidRPr="009A1394">
        <w:rPr>
          <w:lang w:val="en-CA" w:eastAsia="fr-CA"/>
        </w:rPr>
        <w:tab/>
      </w:r>
      <w:r w:rsidR="00027A3C" w:rsidRPr="009A1394">
        <w:rPr>
          <w:lang w:val="en-CA" w:eastAsia="fr-CA"/>
        </w:rPr>
        <w:t xml:space="preserve">Also, as stated earlier, the evidence in </w:t>
      </w:r>
      <w:r w:rsidR="00E522F9" w:rsidRPr="009A1394">
        <w:rPr>
          <w:lang w:val="en-CA" w:eastAsia="fr-CA"/>
        </w:rPr>
        <w:t>cases</w:t>
      </w:r>
      <w:r w:rsidR="00027A3C" w:rsidRPr="009A1394">
        <w:rPr>
          <w:lang w:val="en-CA" w:eastAsia="fr-CA"/>
        </w:rPr>
        <w:t xml:space="preserve"> that result in a lengthy trial is often highly contradictory.</w:t>
      </w:r>
      <w:r w:rsidR="009D0AE7" w:rsidRPr="009A1394">
        <w:rPr>
          <w:lang w:val="en-CA" w:eastAsia="fr-CA"/>
        </w:rPr>
        <w:t xml:space="preserve"> </w:t>
      </w:r>
      <w:r w:rsidR="00027A3C" w:rsidRPr="009A1394">
        <w:rPr>
          <w:lang w:val="en-CA" w:eastAsia="fr-CA"/>
        </w:rPr>
        <w:t>That was assuredly the case here</w:t>
      </w:r>
      <w:r w:rsidR="00E522F9" w:rsidRPr="009A1394">
        <w:rPr>
          <w:lang w:val="en-CA" w:eastAsia="fr-CA"/>
        </w:rPr>
        <w:t>:</w:t>
      </w:r>
      <w:r w:rsidR="00027A3C" w:rsidRPr="009A1394">
        <w:rPr>
          <w:lang w:val="en-CA" w:eastAsia="fr-CA"/>
        </w:rPr>
        <w:t xml:space="preserve"> the experts called by the parties agreed on very </w:t>
      </w:r>
      <w:r w:rsidR="00E522F9" w:rsidRPr="009A1394">
        <w:rPr>
          <w:lang w:val="en-CA" w:eastAsia="fr-CA"/>
        </w:rPr>
        <w:t>few things</w:t>
      </w:r>
      <w:r w:rsidR="00027A3C" w:rsidRPr="009A1394">
        <w:rPr>
          <w:lang w:val="en-CA" w:eastAsia="fr-CA"/>
        </w:rPr>
        <w:t xml:space="preserve"> and contradicted each other </w:t>
      </w:r>
      <w:r w:rsidR="00E522F9" w:rsidRPr="009A1394">
        <w:rPr>
          <w:lang w:val="en-CA" w:eastAsia="fr-CA"/>
        </w:rPr>
        <w:t>on many others</w:t>
      </w:r>
      <w:r w:rsidR="00027A3C" w:rsidRPr="009A1394">
        <w:rPr>
          <w:lang w:val="en-CA" w:eastAsia="fr-CA"/>
        </w:rPr>
        <w:t>.</w:t>
      </w:r>
      <w:r w:rsidR="009D0AE7" w:rsidRPr="009A1394">
        <w:rPr>
          <w:lang w:val="en-CA" w:eastAsia="fr-CA"/>
        </w:rPr>
        <w:t xml:space="preserve"> </w:t>
      </w:r>
      <w:r w:rsidR="00E522F9" w:rsidRPr="009A1394">
        <w:rPr>
          <w:lang w:val="en-CA" w:eastAsia="fr-CA"/>
        </w:rPr>
        <w:t>In such</w:t>
      </w:r>
      <w:r w:rsidR="00027A3C" w:rsidRPr="009A1394">
        <w:rPr>
          <w:lang w:val="en-CA" w:eastAsia="fr-CA"/>
        </w:rPr>
        <w:t xml:space="preserve"> situations, the role of the Court of Appeal is not to entirely reassess, as if it </w:t>
      </w:r>
      <w:r w:rsidR="00807C75" w:rsidRPr="009A1394">
        <w:rPr>
          <w:lang w:val="en-CA" w:eastAsia="fr-CA"/>
        </w:rPr>
        <w:t xml:space="preserve">were its responsibility to </w:t>
      </w:r>
      <w:r w:rsidR="00027A3C" w:rsidRPr="009A1394">
        <w:rPr>
          <w:lang w:val="en-CA" w:eastAsia="fr-CA"/>
        </w:rPr>
        <w:t>take the trial judge’s place, the probative force of the respective testimon</w:t>
      </w:r>
      <w:r w:rsidR="002F2089" w:rsidRPr="009A1394">
        <w:rPr>
          <w:lang w:val="en-CA" w:eastAsia="fr-CA"/>
        </w:rPr>
        <w:t>ies</w:t>
      </w:r>
      <w:r w:rsidR="00027A3C" w:rsidRPr="009A1394">
        <w:rPr>
          <w:lang w:val="en-CA" w:eastAsia="fr-CA"/>
        </w:rPr>
        <w:t xml:space="preserve">, an arduous </w:t>
      </w:r>
      <w:r w:rsidR="00E522F9" w:rsidRPr="009A1394">
        <w:rPr>
          <w:lang w:val="en-CA" w:eastAsia="fr-CA"/>
        </w:rPr>
        <w:t xml:space="preserve">exercise </w:t>
      </w:r>
      <w:r w:rsidR="00027A3C" w:rsidRPr="009A1394">
        <w:rPr>
          <w:lang w:val="en-CA" w:eastAsia="fr-CA"/>
        </w:rPr>
        <w:t xml:space="preserve">the trial judge </w:t>
      </w:r>
      <w:r w:rsidR="002F2089" w:rsidRPr="009A1394">
        <w:rPr>
          <w:lang w:val="en-CA" w:eastAsia="fr-CA"/>
        </w:rPr>
        <w:t xml:space="preserve">must </w:t>
      </w:r>
      <w:r w:rsidR="00027A3C" w:rsidRPr="009A1394">
        <w:rPr>
          <w:lang w:val="en-CA" w:eastAsia="fr-CA"/>
        </w:rPr>
        <w:t>perform.</w:t>
      </w:r>
      <w:r w:rsidR="008161A3" w:rsidRPr="009A1394">
        <w:rPr>
          <w:rStyle w:val="Appelnotedebasdep"/>
          <w:lang w:val="en-CA" w:eastAsia="fr-CA"/>
        </w:rPr>
        <w:footnoteReference w:id="177"/>
      </w:r>
    </w:p>
    <w:p w14:paraId="59A9BB66" w14:textId="46596D86" w:rsidR="00BB4609" w:rsidRPr="009A1394" w:rsidRDefault="00027A3C" w:rsidP="000E395A">
      <w:pPr>
        <w:pStyle w:val="Paragraphe"/>
        <w:numPr>
          <w:ilvl w:val="0"/>
          <w:numId w:val="1"/>
        </w:numPr>
        <w:spacing w:before="160" w:after="160"/>
        <w:rPr>
          <w:lang w:val="en-CA"/>
        </w:rPr>
      </w:pPr>
      <w:r w:rsidRPr="009A1394">
        <w:rPr>
          <w:lang w:val="en-CA" w:eastAsia="fr-CA"/>
        </w:rPr>
        <w:t xml:space="preserve">It is </w:t>
      </w:r>
      <w:r w:rsidR="0060516A" w:rsidRPr="009A1394">
        <w:rPr>
          <w:lang w:val="en-CA" w:eastAsia="fr-CA"/>
        </w:rPr>
        <w:t>settled law</w:t>
      </w:r>
      <w:r w:rsidRPr="009A1394">
        <w:rPr>
          <w:lang w:val="en-CA" w:eastAsia="fr-CA"/>
        </w:rPr>
        <w:t xml:space="preserve"> that the attribution of fault is a question of mixed fact and law while causa</w:t>
      </w:r>
      <w:r w:rsidR="003A4B7E" w:rsidRPr="009A1394">
        <w:rPr>
          <w:lang w:val="en-CA" w:eastAsia="fr-CA"/>
        </w:rPr>
        <w:t>tion</w:t>
      </w:r>
      <w:r w:rsidRPr="009A1394">
        <w:rPr>
          <w:lang w:val="en-CA" w:eastAsia="fr-CA"/>
        </w:rPr>
        <w:t xml:space="preserve"> is a </w:t>
      </w:r>
      <w:r w:rsidR="003A4B7E" w:rsidRPr="009A1394">
        <w:rPr>
          <w:lang w:val="en-CA" w:eastAsia="fr-CA"/>
        </w:rPr>
        <w:t>question</w:t>
      </w:r>
      <w:r w:rsidRPr="009A1394">
        <w:rPr>
          <w:lang w:val="en-CA" w:eastAsia="fr-CA"/>
        </w:rPr>
        <w:t xml:space="preserve"> of fact.</w:t>
      </w:r>
      <w:r w:rsidRPr="009A1394">
        <w:rPr>
          <w:rStyle w:val="Appelnotedebasdep"/>
          <w:lang w:val="en-CA" w:eastAsia="fr-CA"/>
        </w:rPr>
        <w:footnoteReference w:id="178"/>
      </w:r>
      <w:r w:rsidR="008161A3" w:rsidRPr="009A1394">
        <w:rPr>
          <w:lang w:val="en-CA" w:eastAsia="fr-CA"/>
        </w:rPr>
        <w:t xml:space="preserve"> </w:t>
      </w:r>
      <w:r w:rsidRPr="009A1394">
        <w:rPr>
          <w:lang w:val="en-CA"/>
        </w:rPr>
        <w:t xml:space="preserve">Findings based on the assessment of the witnesses’ </w:t>
      </w:r>
      <w:r w:rsidRPr="009A1394">
        <w:rPr>
          <w:lang w:val="en-CA"/>
        </w:rPr>
        <w:lastRenderedPageBreak/>
        <w:t>credibility are also questions of fact.</w:t>
      </w:r>
      <w:r w:rsidR="00D97275" w:rsidRPr="009A1394">
        <w:rPr>
          <w:lang w:val="en-CA"/>
        </w:rPr>
        <w:t xml:space="preserve"> </w:t>
      </w:r>
      <w:r w:rsidRPr="009A1394">
        <w:rPr>
          <w:lang w:val="en-CA"/>
        </w:rPr>
        <w:t xml:space="preserve">They </w:t>
      </w:r>
      <w:r w:rsidR="0060516A" w:rsidRPr="009A1394">
        <w:rPr>
          <w:lang w:val="en-CA"/>
        </w:rPr>
        <w:t>are owed</w:t>
      </w:r>
      <w:r w:rsidRPr="009A1394">
        <w:rPr>
          <w:lang w:val="en-CA"/>
        </w:rPr>
        <w:t xml:space="preserve"> great deference, as</w:t>
      </w:r>
      <w:r w:rsidR="0060516A" w:rsidRPr="009A1394">
        <w:rPr>
          <w:lang w:val="en-CA"/>
        </w:rPr>
        <w:t xml:space="preserve"> </w:t>
      </w:r>
      <w:r w:rsidRPr="009A1394">
        <w:rPr>
          <w:lang w:val="en-CA"/>
        </w:rPr>
        <w:t>Kasirer,</w:t>
      </w:r>
      <w:r w:rsidR="003A4B7E" w:rsidRPr="009A1394">
        <w:rPr>
          <w:lang w:val="en-CA"/>
        </w:rPr>
        <w:t> </w:t>
      </w:r>
      <w:r w:rsidRPr="009A1394">
        <w:rPr>
          <w:lang w:val="en-CA"/>
        </w:rPr>
        <w:t>J.</w:t>
      </w:r>
      <w:r w:rsidR="0060516A" w:rsidRPr="009A1394">
        <w:rPr>
          <w:lang w:val="en-CA"/>
        </w:rPr>
        <w:t>A.</w:t>
      </w:r>
      <w:r w:rsidRPr="009A1394">
        <w:rPr>
          <w:lang w:val="en-CA"/>
        </w:rPr>
        <w:t xml:space="preserve"> </w:t>
      </w:r>
      <w:r w:rsidR="0060516A" w:rsidRPr="009A1394">
        <w:rPr>
          <w:lang w:val="en-CA"/>
        </w:rPr>
        <w:t>(as he then was)</w:t>
      </w:r>
      <w:r w:rsidR="000F3E1E" w:rsidRPr="009A1394">
        <w:rPr>
          <w:lang w:val="en-CA"/>
        </w:rPr>
        <w:t xml:space="preserve"> pointed out</w:t>
      </w:r>
      <w:r w:rsidRPr="009A1394">
        <w:rPr>
          <w:lang w:val="en-CA"/>
        </w:rPr>
        <w:t>:</w:t>
      </w:r>
    </w:p>
    <w:p w14:paraId="59B88AD3" w14:textId="17BFD9E6" w:rsidR="00D97275" w:rsidRPr="009A1394" w:rsidRDefault="00027A3C" w:rsidP="00085355">
      <w:pPr>
        <w:pStyle w:val="Citationenretrait"/>
        <w:rPr>
          <w:lang w:val="en-CA" w:eastAsia="fr-CA"/>
        </w:rPr>
      </w:pPr>
      <w:r w:rsidRPr="009A1394">
        <w:rPr>
          <w:lang w:val="en-CA" w:eastAsia="fr-CA"/>
        </w:rPr>
        <w:t xml:space="preserve">[55] </w:t>
      </w:r>
      <w:r w:rsidR="003C0218" w:rsidRPr="009A1394">
        <w:rPr>
          <w:lang w:val="en-CA" w:eastAsia="fr-CA"/>
        </w:rPr>
        <w:tab/>
      </w:r>
      <w:r w:rsidRPr="009A1394">
        <w:rPr>
          <w:lang w:val="en-CA" w:eastAsia="fr-CA"/>
        </w:rPr>
        <w:t>It is often said, and quite rightly so, that a court of appeal should tread cautiously before disturbing the findings of fact by a trial judge, especially when those findings are comforted by determinations bearing on the credibility of witnesses.</w:t>
      </w:r>
      <w:r w:rsidR="003C0218" w:rsidRPr="009A1394">
        <w:rPr>
          <w:lang w:val="en-CA" w:eastAsia="fr-CA"/>
        </w:rPr>
        <w:t xml:space="preserve"> </w:t>
      </w:r>
      <w:r w:rsidRPr="009A1394">
        <w:rPr>
          <w:lang w:val="en-CA" w:eastAsia="fr-CA"/>
        </w:rPr>
        <w:t>Only a palpable error committed by the judge that overrides his or her conclusions will do.</w:t>
      </w:r>
      <w:r w:rsidR="003C0218" w:rsidRPr="009A1394">
        <w:rPr>
          <w:lang w:val="en-CA" w:eastAsia="fr-CA"/>
        </w:rPr>
        <w:t xml:space="preserve"> </w:t>
      </w:r>
      <w:r w:rsidRPr="009A1394">
        <w:rPr>
          <w:lang w:val="en-CA" w:eastAsia="fr-CA"/>
        </w:rPr>
        <w:t xml:space="preserve">The onus is on the party </w:t>
      </w:r>
      <w:r w:rsidR="00807C75" w:rsidRPr="009A1394">
        <w:rPr>
          <w:lang w:val="en-CA" w:eastAsia="fr-CA"/>
        </w:rPr>
        <w:t>alleging</w:t>
      </w:r>
      <w:r w:rsidRPr="009A1394">
        <w:rPr>
          <w:lang w:val="en-CA" w:eastAsia="fr-CA"/>
        </w:rPr>
        <w:t xml:space="preserve"> the error of fact: an appellant bears what is generally seen as a heavy burden of identifying the mistake and showing how it had a conclusive effect on the outcome of the case.</w:t>
      </w:r>
      <w:r w:rsidR="008161A3" w:rsidRPr="009A1394">
        <w:rPr>
          <w:rStyle w:val="Appelnotedebasdep"/>
          <w:lang w:val="en-CA"/>
        </w:rPr>
        <w:footnoteReference w:id="179"/>
      </w:r>
    </w:p>
    <w:p w14:paraId="09FED4CA" w14:textId="6D1189D2" w:rsidR="002C7C9A" w:rsidRPr="009A1394" w:rsidRDefault="00027A3C" w:rsidP="00B84769">
      <w:pPr>
        <w:pStyle w:val="Citationenretrait"/>
        <w:jc w:val="right"/>
        <w:rPr>
          <w:lang w:val="en-CA" w:eastAsia="fr-CA"/>
        </w:rPr>
      </w:pPr>
      <w:r w:rsidRPr="009A1394">
        <w:rPr>
          <w:lang w:val="en-CA" w:eastAsia="fr-CA"/>
        </w:rPr>
        <w:t>[Reference omitted]</w:t>
      </w:r>
    </w:p>
    <w:p w14:paraId="12F3A33D" w14:textId="003A187E" w:rsidR="00947767" w:rsidRPr="009A1394" w:rsidRDefault="00027A3C" w:rsidP="00B84769">
      <w:pPr>
        <w:pStyle w:val="Paragraphe"/>
        <w:numPr>
          <w:ilvl w:val="0"/>
          <w:numId w:val="1"/>
        </w:numPr>
        <w:rPr>
          <w:lang w:val="en-CA" w:eastAsia="fr-CA"/>
        </w:rPr>
      </w:pPr>
      <w:r w:rsidRPr="009A1394">
        <w:rPr>
          <w:lang w:val="en-CA" w:eastAsia="fr-CA"/>
        </w:rPr>
        <w:t xml:space="preserve">In </w:t>
      </w:r>
      <w:r w:rsidR="00642E30" w:rsidRPr="009A1394">
        <w:rPr>
          <w:lang w:val="en-CA" w:eastAsia="fr-CA"/>
        </w:rPr>
        <w:t>sum</w:t>
      </w:r>
      <w:r w:rsidRPr="009A1394">
        <w:rPr>
          <w:lang w:val="en-CA" w:eastAsia="fr-CA"/>
        </w:rPr>
        <w:t>, the appeal is not a second chance for parties who w</w:t>
      </w:r>
      <w:r w:rsidR="003A4B7E" w:rsidRPr="009A1394">
        <w:rPr>
          <w:lang w:val="en-CA" w:eastAsia="fr-CA"/>
        </w:rPr>
        <w:t>ere</w:t>
      </w:r>
      <w:r w:rsidRPr="009A1394">
        <w:rPr>
          <w:lang w:val="en-CA" w:eastAsia="fr-CA"/>
        </w:rPr>
        <w:t xml:space="preserve"> </w:t>
      </w:r>
      <w:r w:rsidR="003A4B7E" w:rsidRPr="009A1394">
        <w:rPr>
          <w:lang w:val="en-CA" w:eastAsia="fr-CA"/>
        </w:rPr>
        <w:t>unsuccessful</w:t>
      </w:r>
      <w:r w:rsidRPr="009A1394">
        <w:rPr>
          <w:lang w:val="en-CA" w:eastAsia="fr-CA"/>
        </w:rPr>
        <w:t xml:space="preserve"> at trial to </w:t>
      </w:r>
      <w:r w:rsidR="00751C45" w:rsidRPr="009A1394">
        <w:rPr>
          <w:lang w:val="en-CA" w:eastAsia="fr-CA"/>
        </w:rPr>
        <w:t>re</w:t>
      </w:r>
      <w:r w:rsidRPr="009A1394">
        <w:rPr>
          <w:lang w:val="en-CA" w:eastAsia="fr-CA"/>
        </w:rPr>
        <w:t>argue their case.</w:t>
      </w:r>
      <w:r w:rsidR="000B71AB" w:rsidRPr="009A1394">
        <w:rPr>
          <w:lang w:val="en-CA" w:eastAsia="fr-CA"/>
        </w:rPr>
        <w:t xml:space="preserve"> </w:t>
      </w:r>
      <w:r w:rsidRPr="009A1394">
        <w:rPr>
          <w:lang w:val="en-CA" w:eastAsia="fr-CA"/>
        </w:rPr>
        <w:t xml:space="preserve">Absent an error of law that is determinative </w:t>
      </w:r>
      <w:r w:rsidR="00751C45" w:rsidRPr="009A1394">
        <w:rPr>
          <w:lang w:val="en-CA" w:eastAsia="fr-CA"/>
        </w:rPr>
        <w:t>of</w:t>
      </w:r>
      <w:r w:rsidRPr="009A1394">
        <w:rPr>
          <w:lang w:val="en-CA" w:eastAsia="fr-CA"/>
        </w:rPr>
        <w:t xml:space="preserve"> the outcome of the case, the role of the appellate court is to </w:t>
      </w:r>
      <w:r w:rsidR="003A7086" w:rsidRPr="009A1394">
        <w:rPr>
          <w:lang w:val="en-CA" w:eastAsia="fr-CA"/>
        </w:rPr>
        <w:t xml:space="preserve">verify </w:t>
      </w:r>
      <w:r w:rsidRPr="009A1394">
        <w:rPr>
          <w:lang w:val="en-CA" w:eastAsia="fr-CA"/>
        </w:rPr>
        <w:t>whether the findings of fact or of mixed fact and law are reasonabl</w:t>
      </w:r>
      <w:r w:rsidR="003A4B7E" w:rsidRPr="009A1394">
        <w:rPr>
          <w:lang w:val="en-CA" w:eastAsia="fr-CA"/>
        </w:rPr>
        <w:t>y</w:t>
      </w:r>
      <w:r w:rsidRPr="009A1394">
        <w:rPr>
          <w:lang w:val="en-CA" w:eastAsia="fr-CA"/>
        </w:rPr>
        <w:t xml:space="preserve"> grounded in the evidence.</w:t>
      </w:r>
      <w:r w:rsidRPr="009A1394">
        <w:rPr>
          <w:rStyle w:val="Appelnotedebasdep"/>
          <w:lang w:val="en-CA" w:eastAsia="fr-CA"/>
        </w:rPr>
        <w:footnoteReference w:id="180"/>
      </w:r>
    </w:p>
    <w:p w14:paraId="5E8627CE" w14:textId="41E8CFE7" w:rsidR="00702A59" w:rsidRPr="009A1394" w:rsidRDefault="00027A3C" w:rsidP="0068193D">
      <w:pPr>
        <w:pStyle w:val="Titre1"/>
        <w:rPr>
          <w:lang w:val="en-CA"/>
        </w:rPr>
      </w:pPr>
      <w:r w:rsidRPr="009A1394">
        <w:rPr>
          <w:lang w:val="en-CA"/>
        </w:rPr>
        <w:t>Analysis</w:t>
      </w:r>
    </w:p>
    <w:p w14:paraId="1F2AED65" w14:textId="147ED8D6" w:rsidR="00702A59" w:rsidRPr="009A1394" w:rsidRDefault="00576187" w:rsidP="007971BA">
      <w:pPr>
        <w:pStyle w:val="Titre2"/>
        <w:rPr>
          <w:lang w:val="en-CA"/>
        </w:rPr>
      </w:pPr>
      <w:r w:rsidRPr="009A1394">
        <w:rPr>
          <w:lang w:val="en-CA"/>
        </w:rPr>
        <w:t>Did the judge err in his analysis of the</w:t>
      </w:r>
      <w:r w:rsidR="00642E30" w:rsidRPr="009A1394">
        <w:rPr>
          <w:lang w:val="en-CA"/>
        </w:rPr>
        <w:t xml:space="preserve"> applicable</w:t>
      </w:r>
      <w:r w:rsidRPr="009A1394">
        <w:rPr>
          <w:lang w:val="en-CA"/>
        </w:rPr>
        <w:t xml:space="preserve"> principles</w:t>
      </w:r>
      <w:r w:rsidR="00642E30" w:rsidRPr="009A1394">
        <w:rPr>
          <w:lang w:val="en-CA"/>
        </w:rPr>
        <w:t xml:space="preserve"> of</w:t>
      </w:r>
      <w:r w:rsidRPr="009A1394">
        <w:rPr>
          <w:lang w:val="en-CA"/>
        </w:rPr>
        <w:t xml:space="preserve"> civil liability?</w:t>
      </w:r>
    </w:p>
    <w:p w14:paraId="36772B7B" w14:textId="19FA3747" w:rsidR="004B752A" w:rsidRPr="009A1394" w:rsidRDefault="00027A3C" w:rsidP="007B0327">
      <w:pPr>
        <w:pStyle w:val="Titre3"/>
        <w:rPr>
          <w:lang w:val="en-CA"/>
        </w:rPr>
      </w:pPr>
      <w:r w:rsidRPr="009A1394">
        <w:rPr>
          <w:lang w:val="en-CA"/>
        </w:rPr>
        <w:t>Appellants’ position</w:t>
      </w:r>
    </w:p>
    <w:p w14:paraId="4CE206B2" w14:textId="2B477AE7" w:rsidR="00702A59" w:rsidRPr="009A1394" w:rsidRDefault="006360BD" w:rsidP="004B1090">
      <w:pPr>
        <w:pStyle w:val="Paragraphe"/>
        <w:numPr>
          <w:ilvl w:val="0"/>
          <w:numId w:val="1"/>
        </w:numPr>
        <w:rPr>
          <w:color w:val="000000" w:themeColor="text1"/>
          <w:lang w:val="en-CA"/>
        </w:rPr>
      </w:pPr>
      <w:r w:rsidRPr="009A1394">
        <w:rPr>
          <w:color w:val="000000" w:themeColor="text1"/>
          <w:lang w:val="en-CA"/>
        </w:rPr>
        <w:t xml:space="preserve">The </w:t>
      </w:r>
      <w:r w:rsidR="002C64EF" w:rsidRPr="009A1394">
        <w:rPr>
          <w:color w:val="000000" w:themeColor="text1"/>
          <w:lang w:val="en-CA"/>
        </w:rPr>
        <w:t>correctness</w:t>
      </w:r>
      <w:r w:rsidRPr="009A1394">
        <w:rPr>
          <w:color w:val="000000" w:themeColor="text1"/>
          <w:lang w:val="en-CA"/>
        </w:rPr>
        <w:t xml:space="preserve"> of the legal framework within which</w:t>
      </w:r>
      <w:r w:rsidR="005A2DBC" w:rsidRPr="009A1394">
        <w:rPr>
          <w:color w:val="000000" w:themeColor="text1"/>
          <w:lang w:val="en-CA"/>
        </w:rPr>
        <w:t xml:space="preserve"> the judge analyzed</w:t>
      </w:r>
      <w:r w:rsidRPr="009A1394">
        <w:rPr>
          <w:color w:val="000000" w:themeColor="text1"/>
          <w:lang w:val="en-CA"/>
        </w:rPr>
        <w:t xml:space="preserve"> CP’s conduct is a theme that underlies all the questions concerning fault.</w:t>
      </w:r>
      <w:r w:rsidR="00113C97" w:rsidRPr="009A1394">
        <w:rPr>
          <w:color w:val="000000" w:themeColor="text1"/>
          <w:lang w:val="en-CA"/>
        </w:rPr>
        <w:t xml:space="preserve"> </w:t>
      </w:r>
      <w:r w:rsidRPr="009A1394">
        <w:rPr>
          <w:color w:val="000000" w:themeColor="text1"/>
          <w:lang w:val="en-CA"/>
        </w:rPr>
        <w:t>According to the appellants, the judge defined this framework too narrowly.</w:t>
      </w:r>
      <w:r w:rsidR="00113C97" w:rsidRPr="009A1394">
        <w:rPr>
          <w:color w:val="000000" w:themeColor="text1"/>
          <w:lang w:val="en-CA"/>
        </w:rPr>
        <w:t xml:space="preserve"> </w:t>
      </w:r>
      <w:r w:rsidRPr="009A1394">
        <w:rPr>
          <w:color w:val="000000" w:themeColor="text1"/>
          <w:lang w:val="en-CA"/>
        </w:rPr>
        <w:t xml:space="preserve">His analysis shows that he limited himself to asking whether CP had complied with the law and regulations that apply to the rail transport industry, as well as its </w:t>
      </w:r>
      <w:r w:rsidR="00664F0F" w:rsidRPr="009A1394">
        <w:rPr>
          <w:color w:val="000000" w:themeColor="text1"/>
          <w:lang w:val="en-CA"/>
        </w:rPr>
        <w:t>practices</w:t>
      </w:r>
      <w:r w:rsidRPr="009A1394">
        <w:rPr>
          <w:color w:val="000000" w:themeColor="text1"/>
          <w:lang w:val="en-CA"/>
        </w:rPr>
        <w:t xml:space="preserve"> and customs.</w:t>
      </w:r>
      <w:r w:rsidR="00113C97" w:rsidRPr="009A1394">
        <w:rPr>
          <w:color w:val="000000" w:themeColor="text1"/>
          <w:lang w:val="en-CA"/>
        </w:rPr>
        <w:t xml:space="preserve"> </w:t>
      </w:r>
      <w:r w:rsidR="008E174F" w:rsidRPr="009A1394">
        <w:rPr>
          <w:color w:val="000000" w:themeColor="text1"/>
          <w:lang w:val="en-CA"/>
        </w:rPr>
        <w:t xml:space="preserve">He should also have </w:t>
      </w:r>
      <w:r w:rsidR="00664F0F" w:rsidRPr="009A1394">
        <w:rPr>
          <w:color w:val="000000" w:themeColor="text1"/>
          <w:lang w:val="en-CA"/>
        </w:rPr>
        <w:t>questioned</w:t>
      </w:r>
      <w:r w:rsidR="008E174F" w:rsidRPr="009A1394">
        <w:rPr>
          <w:color w:val="000000" w:themeColor="text1"/>
          <w:lang w:val="en-CA"/>
        </w:rPr>
        <w:t xml:space="preserve"> whether CP’s conduct was that expected of a reasonable rail</w:t>
      </w:r>
      <w:r w:rsidR="00664F0F" w:rsidRPr="009A1394">
        <w:rPr>
          <w:color w:val="000000" w:themeColor="text1"/>
          <w:lang w:val="en-CA"/>
        </w:rPr>
        <w:t>way</w:t>
      </w:r>
      <w:r w:rsidR="008E174F" w:rsidRPr="009A1394">
        <w:rPr>
          <w:color w:val="000000" w:themeColor="text1"/>
          <w:lang w:val="en-CA"/>
        </w:rPr>
        <w:t xml:space="preserve"> company placed in the same circumstances.</w:t>
      </w:r>
    </w:p>
    <w:p w14:paraId="5AEE47FC" w14:textId="2CAEBF9C" w:rsidR="00DE2C85" w:rsidRPr="009A1394" w:rsidRDefault="005A364E" w:rsidP="00C85A7A">
      <w:pPr>
        <w:pStyle w:val="Paragraphe"/>
        <w:numPr>
          <w:ilvl w:val="0"/>
          <w:numId w:val="1"/>
        </w:numPr>
        <w:rPr>
          <w:color w:val="000000" w:themeColor="text1"/>
          <w:lang w:val="en-CA"/>
        </w:rPr>
      </w:pPr>
      <w:r w:rsidRPr="009A1394">
        <w:rPr>
          <w:iCs/>
          <w:color w:val="000000" w:themeColor="text1"/>
          <w:lang w:val="en-CA"/>
        </w:rPr>
        <w:t>The appellants argue that b</w:t>
      </w:r>
      <w:r w:rsidR="008E174F" w:rsidRPr="009A1394">
        <w:rPr>
          <w:iCs/>
          <w:color w:val="000000" w:themeColor="text1"/>
          <w:lang w:val="en-CA"/>
        </w:rPr>
        <w:t xml:space="preserve">y </w:t>
      </w:r>
      <w:r w:rsidRPr="009A1394">
        <w:rPr>
          <w:iCs/>
          <w:color w:val="000000" w:themeColor="text1"/>
          <w:lang w:val="en-CA"/>
        </w:rPr>
        <w:t xml:space="preserve">thus </w:t>
      </w:r>
      <w:r w:rsidR="008E174F" w:rsidRPr="009A1394">
        <w:rPr>
          <w:iCs/>
          <w:color w:val="000000" w:themeColor="text1"/>
          <w:lang w:val="en-CA"/>
        </w:rPr>
        <w:t xml:space="preserve">restricting his analytical framework, the judge ignored the teachings of </w:t>
      </w:r>
      <w:r w:rsidR="00664F0F" w:rsidRPr="009A1394">
        <w:rPr>
          <w:iCs/>
          <w:color w:val="000000" w:themeColor="text1"/>
          <w:lang w:val="en-CA"/>
        </w:rPr>
        <w:t>the</w:t>
      </w:r>
      <w:r w:rsidR="008E174F" w:rsidRPr="009A1394">
        <w:rPr>
          <w:iCs/>
          <w:color w:val="000000" w:themeColor="text1"/>
          <w:lang w:val="en-CA"/>
        </w:rPr>
        <w:t xml:space="preserve"> Supreme Court in </w:t>
      </w:r>
      <w:r w:rsidR="008E174F" w:rsidRPr="009A1394">
        <w:rPr>
          <w:i/>
          <w:iCs/>
          <w:color w:val="000000" w:themeColor="text1"/>
          <w:lang w:val="en-CA"/>
        </w:rPr>
        <w:t>Vincent</w:t>
      </w:r>
      <w:r w:rsidR="008E174F" w:rsidRPr="009A1394">
        <w:rPr>
          <w:iCs/>
          <w:color w:val="000000" w:themeColor="text1"/>
          <w:lang w:val="en-CA"/>
        </w:rPr>
        <w:t>,</w:t>
      </w:r>
      <w:r w:rsidR="008E174F" w:rsidRPr="009A1394">
        <w:rPr>
          <w:rStyle w:val="Appelnotedebasdep"/>
          <w:lang w:val="en-CA"/>
        </w:rPr>
        <w:footnoteReference w:id="181"/>
      </w:r>
      <w:r w:rsidR="008E174F" w:rsidRPr="009A1394">
        <w:rPr>
          <w:color w:val="000000" w:themeColor="text1"/>
          <w:lang w:val="en-CA"/>
        </w:rPr>
        <w:t xml:space="preserve"> </w:t>
      </w:r>
      <w:r w:rsidR="008E174F" w:rsidRPr="009A1394">
        <w:rPr>
          <w:i/>
          <w:color w:val="000000" w:themeColor="text1"/>
          <w:lang w:val="en-CA"/>
        </w:rPr>
        <w:t>Roberge</w:t>
      </w:r>
      <w:r w:rsidR="008E174F" w:rsidRPr="009A1394">
        <w:rPr>
          <w:color w:val="000000" w:themeColor="text1"/>
          <w:lang w:val="en-CA"/>
        </w:rPr>
        <w:t>,</w:t>
      </w:r>
      <w:r w:rsidR="008E174F" w:rsidRPr="009A1394">
        <w:rPr>
          <w:rStyle w:val="Appelnotedebasdep"/>
          <w:iCs/>
          <w:color w:val="000000" w:themeColor="text1"/>
          <w:lang w:val="en-CA"/>
        </w:rPr>
        <w:footnoteReference w:id="182"/>
      </w:r>
      <w:r w:rsidR="008E174F" w:rsidRPr="009A1394">
        <w:rPr>
          <w:iCs/>
          <w:color w:val="000000" w:themeColor="text1"/>
          <w:lang w:val="en-CA"/>
        </w:rPr>
        <w:t xml:space="preserve"> and </w:t>
      </w:r>
      <w:r w:rsidR="008E174F" w:rsidRPr="009A1394">
        <w:rPr>
          <w:i/>
          <w:iCs/>
          <w:color w:val="000000" w:themeColor="text1"/>
          <w:lang w:val="en-CA"/>
        </w:rPr>
        <w:t>Ryan</w:t>
      </w:r>
      <w:r w:rsidR="008E174F" w:rsidRPr="009A1394">
        <w:rPr>
          <w:iCs/>
          <w:color w:val="000000" w:themeColor="text1"/>
          <w:lang w:val="en-CA"/>
        </w:rPr>
        <w:t>,</w:t>
      </w:r>
      <w:r w:rsidR="008E174F" w:rsidRPr="009A1394">
        <w:rPr>
          <w:rStyle w:val="Appelnotedebasdep"/>
          <w:iCs/>
          <w:color w:val="000000" w:themeColor="text1"/>
          <w:lang w:val="en-CA"/>
        </w:rPr>
        <w:footnoteReference w:id="183"/>
      </w:r>
      <w:r w:rsidR="008E174F" w:rsidRPr="009A1394">
        <w:rPr>
          <w:iCs/>
          <w:color w:val="000000" w:themeColor="text1"/>
          <w:lang w:val="en-CA"/>
        </w:rPr>
        <w:t xml:space="preserve"> </w:t>
      </w:r>
      <w:r w:rsidR="00664F0F" w:rsidRPr="009A1394">
        <w:rPr>
          <w:iCs/>
          <w:color w:val="000000" w:themeColor="text1"/>
          <w:lang w:val="en-CA"/>
        </w:rPr>
        <w:t>as well as</w:t>
      </w:r>
      <w:r w:rsidR="008E174F" w:rsidRPr="009A1394">
        <w:rPr>
          <w:iCs/>
          <w:color w:val="000000" w:themeColor="text1"/>
          <w:lang w:val="en-CA"/>
        </w:rPr>
        <w:t xml:space="preserve"> those of the Court of Appeal for Ontario in </w:t>
      </w:r>
      <w:r w:rsidR="008E174F" w:rsidRPr="009A1394">
        <w:rPr>
          <w:i/>
          <w:iCs/>
          <w:color w:val="000000" w:themeColor="text1"/>
          <w:lang w:val="en-CA"/>
        </w:rPr>
        <w:t>Zsoldos</w:t>
      </w:r>
      <w:r w:rsidR="008E174F" w:rsidRPr="009A1394">
        <w:rPr>
          <w:iCs/>
          <w:color w:val="000000" w:themeColor="text1"/>
          <w:lang w:val="en-CA"/>
        </w:rPr>
        <w:t>,</w:t>
      </w:r>
      <w:r w:rsidR="008E174F" w:rsidRPr="009A1394">
        <w:rPr>
          <w:rStyle w:val="Appelnotedebasdep"/>
          <w:iCs/>
          <w:color w:val="000000" w:themeColor="text1"/>
          <w:lang w:val="en-CA"/>
        </w:rPr>
        <w:footnoteReference w:id="184"/>
      </w:r>
      <w:r w:rsidR="008E174F" w:rsidRPr="009A1394">
        <w:rPr>
          <w:iCs/>
          <w:color w:val="000000" w:themeColor="text1"/>
          <w:lang w:val="en-CA"/>
        </w:rPr>
        <w:t xml:space="preserve"> all </w:t>
      </w:r>
      <w:r w:rsidRPr="009A1394">
        <w:rPr>
          <w:iCs/>
          <w:color w:val="000000" w:themeColor="text1"/>
          <w:lang w:val="en-CA"/>
        </w:rPr>
        <w:t>of which concerned</w:t>
      </w:r>
      <w:r w:rsidR="008E174F" w:rsidRPr="009A1394">
        <w:rPr>
          <w:iCs/>
          <w:color w:val="000000" w:themeColor="text1"/>
          <w:lang w:val="en-CA"/>
        </w:rPr>
        <w:t xml:space="preserve"> rail transport, except for </w:t>
      </w:r>
      <w:r w:rsidR="008E174F" w:rsidRPr="009A1394">
        <w:rPr>
          <w:i/>
          <w:iCs/>
          <w:color w:val="000000" w:themeColor="text1"/>
          <w:lang w:val="en-CA"/>
        </w:rPr>
        <w:t>Roberge</w:t>
      </w:r>
      <w:r w:rsidR="008E174F" w:rsidRPr="009A1394">
        <w:rPr>
          <w:iCs/>
          <w:color w:val="000000" w:themeColor="text1"/>
          <w:lang w:val="en-CA"/>
        </w:rPr>
        <w:t xml:space="preserve">, which </w:t>
      </w:r>
      <w:r w:rsidR="000D7360" w:rsidRPr="009A1394">
        <w:rPr>
          <w:iCs/>
          <w:color w:val="000000" w:themeColor="text1"/>
          <w:lang w:val="en-CA"/>
        </w:rPr>
        <w:t>dealt with</w:t>
      </w:r>
      <w:r w:rsidR="008E174F" w:rsidRPr="009A1394">
        <w:rPr>
          <w:iCs/>
          <w:color w:val="000000" w:themeColor="text1"/>
          <w:lang w:val="en-CA"/>
        </w:rPr>
        <w:t xml:space="preserve"> notarial </w:t>
      </w:r>
      <w:r w:rsidR="00664F0F" w:rsidRPr="009A1394">
        <w:rPr>
          <w:iCs/>
          <w:color w:val="000000" w:themeColor="text1"/>
          <w:lang w:val="en-CA"/>
        </w:rPr>
        <w:t>liability</w:t>
      </w:r>
      <w:r w:rsidR="008E174F" w:rsidRPr="009A1394">
        <w:rPr>
          <w:iCs/>
          <w:color w:val="000000" w:themeColor="text1"/>
          <w:lang w:val="en-CA"/>
        </w:rPr>
        <w:t>.</w:t>
      </w:r>
      <w:r w:rsidR="005253FA" w:rsidRPr="009A1394">
        <w:rPr>
          <w:color w:val="000000" w:themeColor="text1"/>
          <w:lang w:val="en-CA"/>
        </w:rPr>
        <w:t xml:space="preserve"> </w:t>
      </w:r>
      <w:r w:rsidRPr="009A1394">
        <w:rPr>
          <w:color w:val="000000" w:themeColor="text1"/>
          <w:lang w:val="en-CA"/>
        </w:rPr>
        <w:t>Relying</w:t>
      </w:r>
      <w:r w:rsidR="00664F0F" w:rsidRPr="009A1394">
        <w:rPr>
          <w:color w:val="000000" w:themeColor="text1"/>
          <w:lang w:val="en-CA"/>
        </w:rPr>
        <w:t xml:space="preserve"> on these</w:t>
      </w:r>
      <w:r w:rsidRPr="009A1394">
        <w:rPr>
          <w:color w:val="000000" w:themeColor="text1"/>
          <w:lang w:val="en-CA"/>
        </w:rPr>
        <w:t xml:space="preserve"> </w:t>
      </w:r>
      <w:r w:rsidRPr="009A1394">
        <w:rPr>
          <w:color w:val="000000" w:themeColor="text1"/>
          <w:lang w:val="en-CA"/>
        </w:rPr>
        <w:lastRenderedPageBreak/>
        <w:t>precedents</w:t>
      </w:r>
      <w:r w:rsidR="00664F0F" w:rsidRPr="009A1394">
        <w:rPr>
          <w:color w:val="000000" w:themeColor="text1"/>
          <w:lang w:val="en-CA"/>
        </w:rPr>
        <w:t>, t</w:t>
      </w:r>
      <w:r w:rsidR="008E174F" w:rsidRPr="009A1394">
        <w:rPr>
          <w:color w:val="000000" w:themeColor="text1"/>
          <w:lang w:val="en-CA"/>
        </w:rPr>
        <w:t xml:space="preserve">he appellants </w:t>
      </w:r>
      <w:r w:rsidR="00664F0F" w:rsidRPr="009A1394">
        <w:rPr>
          <w:color w:val="000000" w:themeColor="text1"/>
          <w:lang w:val="en-CA"/>
        </w:rPr>
        <w:t>submit</w:t>
      </w:r>
      <w:r w:rsidR="008E174F" w:rsidRPr="009A1394">
        <w:rPr>
          <w:color w:val="000000" w:themeColor="text1"/>
          <w:lang w:val="en-CA"/>
        </w:rPr>
        <w:t xml:space="preserve"> that conduct may be characterized as </w:t>
      </w:r>
      <w:r w:rsidR="00B27CEF" w:rsidRPr="009A1394">
        <w:rPr>
          <w:color w:val="000000" w:themeColor="text1"/>
          <w:lang w:val="en-CA"/>
        </w:rPr>
        <w:t>wrongful</w:t>
      </w:r>
      <w:r w:rsidR="008E174F" w:rsidRPr="009A1394">
        <w:rPr>
          <w:color w:val="000000" w:themeColor="text1"/>
          <w:lang w:val="en-CA"/>
        </w:rPr>
        <w:t xml:space="preserve"> even if it does not stray from industry standard</w:t>
      </w:r>
      <w:r w:rsidRPr="009A1394">
        <w:rPr>
          <w:color w:val="000000" w:themeColor="text1"/>
          <w:lang w:val="en-CA"/>
        </w:rPr>
        <w:t>s</w:t>
      </w:r>
      <w:r w:rsidR="008E174F" w:rsidRPr="009A1394">
        <w:rPr>
          <w:color w:val="000000" w:themeColor="text1"/>
          <w:lang w:val="en-CA"/>
        </w:rPr>
        <w:t xml:space="preserve"> or professional practices in effect.</w:t>
      </w:r>
      <w:r w:rsidR="005253FA" w:rsidRPr="009A1394">
        <w:rPr>
          <w:color w:val="000000" w:themeColor="text1"/>
          <w:lang w:val="en-CA"/>
        </w:rPr>
        <w:t xml:space="preserve"> </w:t>
      </w:r>
      <w:r w:rsidR="008E174F" w:rsidRPr="009A1394">
        <w:rPr>
          <w:color w:val="000000" w:themeColor="text1"/>
          <w:lang w:val="en-CA"/>
        </w:rPr>
        <w:t xml:space="preserve">They insist that this rule is obviously necessary when the author of the fault, which is </w:t>
      </w:r>
      <w:r w:rsidR="0014375A" w:rsidRPr="009A1394">
        <w:rPr>
          <w:color w:val="000000" w:themeColor="text1"/>
          <w:lang w:val="en-CA"/>
        </w:rPr>
        <w:t xml:space="preserve">CP’s </w:t>
      </w:r>
      <w:r w:rsidR="008E174F" w:rsidRPr="009A1394">
        <w:rPr>
          <w:color w:val="000000" w:themeColor="text1"/>
          <w:lang w:val="en-CA"/>
        </w:rPr>
        <w:t>case here, defined or contributed to defining these standards or practices.</w:t>
      </w:r>
    </w:p>
    <w:p w14:paraId="0B3EF64F" w14:textId="130C3AB5" w:rsidR="00702A59" w:rsidRPr="009A1394" w:rsidRDefault="008E174F" w:rsidP="00C85A7A">
      <w:pPr>
        <w:pStyle w:val="Paragraphe"/>
        <w:numPr>
          <w:ilvl w:val="0"/>
          <w:numId w:val="1"/>
        </w:numPr>
        <w:rPr>
          <w:color w:val="000000" w:themeColor="text1"/>
          <w:lang w:val="en-CA"/>
        </w:rPr>
      </w:pPr>
      <w:r w:rsidRPr="009A1394">
        <w:rPr>
          <w:color w:val="000000" w:themeColor="text1"/>
          <w:lang w:val="en-CA"/>
        </w:rPr>
        <w:t xml:space="preserve">According to the appellants, this </w:t>
      </w:r>
      <w:r w:rsidR="000D7360" w:rsidRPr="009A1394">
        <w:rPr>
          <w:color w:val="000000" w:themeColor="text1"/>
          <w:lang w:val="en-CA"/>
        </w:rPr>
        <w:t xml:space="preserve">overly </w:t>
      </w:r>
      <w:r w:rsidRPr="009A1394">
        <w:rPr>
          <w:color w:val="000000" w:themeColor="text1"/>
          <w:lang w:val="en-CA"/>
        </w:rPr>
        <w:t xml:space="preserve">narrow framework skewed the judge’s analysis under article 1457 </w:t>
      </w:r>
      <w:r w:rsidRPr="009A1394">
        <w:rPr>
          <w:i/>
          <w:color w:val="000000" w:themeColor="text1"/>
          <w:lang w:val="en-CA"/>
        </w:rPr>
        <w:t>CCQ</w:t>
      </w:r>
      <w:r w:rsidR="000D7360" w:rsidRPr="009A1394">
        <w:rPr>
          <w:color w:val="000000" w:themeColor="text1"/>
          <w:lang w:val="en-CA"/>
        </w:rPr>
        <w:t>, as well as his analysis of</w:t>
      </w:r>
      <w:r w:rsidRPr="009A1394">
        <w:rPr>
          <w:color w:val="000000" w:themeColor="text1"/>
          <w:lang w:val="en-CA"/>
        </w:rPr>
        <w:t xml:space="preserve"> the provisions of the </w:t>
      </w:r>
      <w:r w:rsidRPr="009A1394">
        <w:rPr>
          <w:i/>
          <w:color w:val="000000" w:themeColor="text1"/>
          <w:lang w:val="en-CA"/>
        </w:rPr>
        <w:t>Railway Safety Act</w:t>
      </w:r>
      <w:r w:rsidRPr="009A1394">
        <w:rPr>
          <w:rStyle w:val="Appelnotedebasdep"/>
          <w:iCs/>
          <w:color w:val="000000" w:themeColor="text1"/>
          <w:lang w:val="en-CA"/>
        </w:rPr>
        <w:footnoteReference w:id="185"/>
      </w:r>
      <w:r w:rsidRPr="009A1394">
        <w:rPr>
          <w:color w:val="000000" w:themeColor="text1"/>
          <w:lang w:val="en-CA"/>
        </w:rPr>
        <w:t xml:space="preserve"> (</w:t>
      </w:r>
      <w:r w:rsidR="003258C0" w:rsidRPr="009A1394">
        <w:rPr>
          <w:color w:val="000000" w:themeColor="text1"/>
          <w:lang w:val="en-CA"/>
        </w:rPr>
        <w:t>“</w:t>
      </w:r>
      <w:r w:rsidRPr="009A1394">
        <w:rPr>
          <w:b/>
          <w:bCs/>
          <w:color w:val="000000" w:themeColor="text1"/>
          <w:lang w:val="en-CA"/>
        </w:rPr>
        <w:t>RSA</w:t>
      </w:r>
      <w:r w:rsidRPr="009A1394">
        <w:rPr>
          <w:color w:val="000000" w:themeColor="text1"/>
          <w:lang w:val="en-CA"/>
        </w:rPr>
        <w:t xml:space="preserve">”) and the </w:t>
      </w:r>
      <w:r w:rsidRPr="009A1394">
        <w:rPr>
          <w:i/>
          <w:color w:val="000000" w:themeColor="text1"/>
          <w:lang w:val="en-CA"/>
        </w:rPr>
        <w:t>Regulation</w:t>
      </w:r>
      <w:r w:rsidRPr="009A1394">
        <w:rPr>
          <w:rStyle w:val="Appelnotedebasdep"/>
          <w:color w:val="000000" w:themeColor="text1"/>
          <w:lang w:val="en-CA"/>
        </w:rPr>
        <w:footnoteReference w:id="186"/>
      </w:r>
      <w:r w:rsidRPr="009A1394">
        <w:rPr>
          <w:color w:val="000000" w:themeColor="text1"/>
          <w:lang w:val="en-CA"/>
        </w:rPr>
        <w:t xml:space="preserve"> on which they relied </w:t>
      </w:r>
      <w:r w:rsidR="007B6036" w:rsidRPr="009A1394">
        <w:rPr>
          <w:i/>
          <w:iCs/>
          <w:color w:val="000000" w:themeColor="text1"/>
          <w:lang w:val="en-CA"/>
        </w:rPr>
        <w:t>inter alia</w:t>
      </w:r>
      <w:r w:rsidR="007B6036" w:rsidRPr="009A1394">
        <w:rPr>
          <w:color w:val="000000" w:themeColor="text1"/>
          <w:lang w:val="en-CA"/>
        </w:rPr>
        <w:t xml:space="preserve"> </w:t>
      </w:r>
      <w:r w:rsidRPr="009A1394">
        <w:rPr>
          <w:color w:val="000000" w:themeColor="text1"/>
          <w:lang w:val="en-CA"/>
        </w:rPr>
        <w:t xml:space="preserve">to prove that CP’s conduct was </w:t>
      </w:r>
      <w:r w:rsidR="00B27CEF" w:rsidRPr="009A1394">
        <w:rPr>
          <w:color w:val="000000" w:themeColor="text1"/>
          <w:lang w:val="en-CA"/>
        </w:rPr>
        <w:t>wrongful</w:t>
      </w:r>
      <w:r w:rsidRPr="009A1394">
        <w:rPr>
          <w:color w:val="000000" w:themeColor="text1"/>
          <w:lang w:val="en-CA"/>
        </w:rPr>
        <w:t>.</w:t>
      </w:r>
    </w:p>
    <w:p w14:paraId="097BDF1D" w14:textId="08BD4C35" w:rsidR="00702A59" w:rsidRPr="009A1394" w:rsidRDefault="008E174F" w:rsidP="00C85A7A">
      <w:pPr>
        <w:pStyle w:val="Paragraphe"/>
        <w:numPr>
          <w:ilvl w:val="0"/>
          <w:numId w:val="1"/>
        </w:numPr>
        <w:rPr>
          <w:color w:val="000000" w:themeColor="text1"/>
          <w:lang w:val="en-CA"/>
        </w:rPr>
      </w:pPr>
      <w:r w:rsidRPr="009A1394">
        <w:rPr>
          <w:color w:val="000000" w:themeColor="text1"/>
          <w:lang w:val="en-CA"/>
        </w:rPr>
        <w:t xml:space="preserve">Two </w:t>
      </w:r>
      <w:r w:rsidR="007B6036" w:rsidRPr="009A1394">
        <w:rPr>
          <w:color w:val="000000" w:themeColor="text1"/>
          <w:lang w:val="en-CA"/>
        </w:rPr>
        <w:t>further</w:t>
      </w:r>
      <w:r w:rsidRPr="009A1394">
        <w:rPr>
          <w:color w:val="000000" w:themeColor="text1"/>
          <w:lang w:val="en-CA"/>
        </w:rPr>
        <w:t xml:space="preserve"> criticisms were levelled at the judge’s analytical framework.</w:t>
      </w:r>
      <w:r w:rsidR="008161A3" w:rsidRPr="009A1394">
        <w:rPr>
          <w:color w:val="000000" w:themeColor="text1"/>
          <w:lang w:val="en-CA"/>
        </w:rPr>
        <w:t xml:space="preserve"> </w:t>
      </w:r>
      <w:r w:rsidR="003258C0" w:rsidRPr="009A1394">
        <w:rPr>
          <w:color w:val="000000" w:themeColor="text1"/>
          <w:lang w:val="en-CA"/>
        </w:rPr>
        <w:t xml:space="preserve">First, </w:t>
      </w:r>
      <w:r w:rsidR="007B6036" w:rsidRPr="009A1394">
        <w:rPr>
          <w:color w:val="000000" w:themeColor="text1"/>
          <w:lang w:val="en-CA"/>
        </w:rPr>
        <w:t xml:space="preserve">it is alleged that </w:t>
      </w:r>
      <w:r w:rsidR="003258C0" w:rsidRPr="009A1394">
        <w:rPr>
          <w:color w:val="000000" w:themeColor="text1"/>
          <w:lang w:val="en-CA"/>
        </w:rPr>
        <w:t>h</w:t>
      </w:r>
      <w:r w:rsidRPr="009A1394">
        <w:rPr>
          <w:color w:val="000000" w:themeColor="text1"/>
          <w:lang w:val="en-CA"/>
        </w:rPr>
        <w:t>e failed to consider the duty to inform as a possible source of civil liability.</w:t>
      </w:r>
      <w:r w:rsidR="008161A3" w:rsidRPr="009A1394">
        <w:rPr>
          <w:color w:val="000000" w:themeColor="text1"/>
          <w:lang w:val="en-CA"/>
        </w:rPr>
        <w:t xml:space="preserve"> </w:t>
      </w:r>
      <w:r w:rsidR="007B6036" w:rsidRPr="009A1394">
        <w:rPr>
          <w:color w:val="000000" w:themeColor="text1"/>
          <w:lang w:val="en-CA"/>
        </w:rPr>
        <w:t>Next</w:t>
      </w:r>
      <w:r w:rsidR="005F2BEE" w:rsidRPr="009A1394">
        <w:rPr>
          <w:color w:val="000000" w:themeColor="text1"/>
          <w:lang w:val="en-CA"/>
        </w:rPr>
        <w:t>, he did not give enough importance to th</w:t>
      </w:r>
      <w:r w:rsidR="007B6036" w:rsidRPr="009A1394">
        <w:rPr>
          <w:color w:val="000000" w:themeColor="text1"/>
          <w:lang w:val="en-CA"/>
        </w:rPr>
        <w:t>at</w:t>
      </w:r>
      <w:r w:rsidR="005F2BEE" w:rsidRPr="009A1394">
        <w:rPr>
          <w:color w:val="000000" w:themeColor="text1"/>
          <w:lang w:val="en-CA"/>
        </w:rPr>
        <w:t xml:space="preserve"> part of article 1457 </w:t>
      </w:r>
      <w:r w:rsidR="005F2BEE" w:rsidRPr="009A1394">
        <w:rPr>
          <w:i/>
          <w:color w:val="000000" w:themeColor="text1"/>
          <w:lang w:val="en-CA"/>
        </w:rPr>
        <w:t>CCQ</w:t>
      </w:r>
      <w:r w:rsidR="005F2BEE" w:rsidRPr="009A1394">
        <w:rPr>
          <w:color w:val="000000" w:themeColor="text1"/>
          <w:lang w:val="en-CA"/>
        </w:rPr>
        <w:t xml:space="preserve"> that </w:t>
      </w:r>
      <w:r w:rsidR="007B6036" w:rsidRPr="009A1394">
        <w:rPr>
          <w:color w:val="000000" w:themeColor="text1"/>
          <w:lang w:val="en-CA"/>
        </w:rPr>
        <w:t>provides</w:t>
      </w:r>
      <w:r w:rsidR="005F2BEE" w:rsidRPr="009A1394">
        <w:rPr>
          <w:color w:val="000000" w:themeColor="text1"/>
          <w:lang w:val="en-CA"/>
        </w:rPr>
        <w:t xml:space="preserve"> that fault may arise from a failure to adopt the conduct dictated by the particular </w:t>
      </w:r>
      <w:r w:rsidR="003258C0" w:rsidRPr="009A1394">
        <w:rPr>
          <w:color w:val="000000" w:themeColor="text1"/>
          <w:lang w:val="en-CA"/>
        </w:rPr>
        <w:t>circumstances</w:t>
      </w:r>
      <w:r w:rsidR="005F2BEE" w:rsidRPr="009A1394">
        <w:rPr>
          <w:color w:val="000000" w:themeColor="text1"/>
          <w:lang w:val="en-CA"/>
        </w:rPr>
        <w:t xml:space="preserve"> of </w:t>
      </w:r>
      <w:r w:rsidR="003258C0" w:rsidRPr="009A1394">
        <w:rPr>
          <w:color w:val="000000" w:themeColor="text1"/>
          <w:lang w:val="en-CA"/>
        </w:rPr>
        <w:t>the</w:t>
      </w:r>
      <w:r w:rsidR="005F2BEE" w:rsidRPr="009A1394">
        <w:rPr>
          <w:color w:val="000000" w:themeColor="text1"/>
          <w:lang w:val="en-CA"/>
        </w:rPr>
        <w:t xml:space="preserve"> case. </w:t>
      </w:r>
    </w:p>
    <w:p w14:paraId="3962A5F6" w14:textId="5ADB8A94" w:rsidR="007F32C7" w:rsidRPr="009A1394" w:rsidRDefault="005F2BEE" w:rsidP="00C85A7A">
      <w:pPr>
        <w:pStyle w:val="Paragraphe"/>
        <w:numPr>
          <w:ilvl w:val="0"/>
          <w:numId w:val="1"/>
        </w:numPr>
        <w:rPr>
          <w:color w:val="000000" w:themeColor="text1"/>
          <w:lang w:val="en-CA"/>
        </w:rPr>
      </w:pPr>
      <w:r w:rsidRPr="009A1394">
        <w:rPr>
          <w:color w:val="000000" w:themeColor="text1"/>
          <w:lang w:val="en-CA"/>
        </w:rPr>
        <w:t xml:space="preserve">Thus, </w:t>
      </w:r>
      <w:r w:rsidR="006D41DA" w:rsidRPr="009A1394">
        <w:rPr>
          <w:color w:val="000000" w:themeColor="text1"/>
          <w:lang w:val="en-CA"/>
        </w:rPr>
        <w:t xml:space="preserve">it is alleged that </w:t>
      </w:r>
      <w:r w:rsidRPr="009A1394">
        <w:rPr>
          <w:color w:val="000000" w:themeColor="text1"/>
          <w:lang w:val="en-CA"/>
        </w:rPr>
        <w:t xml:space="preserve">the judge’s analysis </w:t>
      </w:r>
      <w:r w:rsidR="006D41DA" w:rsidRPr="009A1394">
        <w:rPr>
          <w:color w:val="000000" w:themeColor="text1"/>
          <w:lang w:val="en-CA"/>
        </w:rPr>
        <w:t>regarding</w:t>
      </w:r>
      <w:r w:rsidRPr="009A1394">
        <w:rPr>
          <w:color w:val="000000" w:themeColor="text1"/>
          <w:lang w:val="en-CA"/>
        </w:rPr>
        <w:t xml:space="preserve"> fault was </w:t>
      </w:r>
      <w:r w:rsidR="006D41DA" w:rsidRPr="009A1394">
        <w:rPr>
          <w:color w:val="000000" w:themeColor="text1"/>
          <w:lang w:val="en-CA"/>
        </w:rPr>
        <w:t>taint</w:t>
      </w:r>
      <w:r w:rsidRPr="009A1394">
        <w:rPr>
          <w:color w:val="000000" w:themeColor="text1"/>
          <w:lang w:val="en-CA"/>
        </w:rPr>
        <w:t>ed by an error of law vitiating his reasoning</w:t>
      </w:r>
      <w:r w:rsidR="006D41DA" w:rsidRPr="009A1394">
        <w:rPr>
          <w:color w:val="000000" w:themeColor="text1"/>
          <w:lang w:val="en-CA"/>
        </w:rPr>
        <w:t xml:space="preserve"> as a whole</w:t>
      </w:r>
      <w:r w:rsidRPr="009A1394">
        <w:rPr>
          <w:color w:val="000000" w:themeColor="text1"/>
          <w:lang w:val="en-CA"/>
        </w:rPr>
        <w:t>.</w:t>
      </w:r>
    </w:p>
    <w:p w14:paraId="25DAEC36" w14:textId="7ACE5BB9" w:rsidR="004B752A" w:rsidRPr="009A1394" w:rsidRDefault="005F2BEE" w:rsidP="000D0D0C">
      <w:pPr>
        <w:pStyle w:val="Titre3"/>
        <w:rPr>
          <w:lang w:val="en-CA"/>
        </w:rPr>
      </w:pPr>
      <w:r w:rsidRPr="009A1394">
        <w:rPr>
          <w:lang w:val="en-CA"/>
        </w:rPr>
        <w:t>Discussion</w:t>
      </w:r>
    </w:p>
    <w:p w14:paraId="3D0103F2" w14:textId="6C8501E2" w:rsidR="00702A59" w:rsidRPr="009A1394" w:rsidRDefault="00BE7CB9" w:rsidP="00B84769">
      <w:pPr>
        <w:pStyle w:val="Paragraphe"/>
        <w:numPr>
          <w:ilvl w:val="0"/>
          <w:numId w:val="1"/>
        </w:numPr>
        <w:rPr>
          <w:color w:val="000000" w:themeColor="text1"/>
          <w:lang w:val="en-CA"/>
        </w:rPr>
      </w:pPr>
      <w:r w:rsidRPr="009A1394">
        <w:rPr>
          <w:color w:val="000000" w:themeColor="text1"/>
          <w:lang w:val="en-CA"/>
        </w:rPr>
        <w:t>T</w:t>
      </w:r>
      <w:r w:rsidR="003F223C" w:rsidRPr="009A1394">
        <w:rPr>
          <w:color w:val="000000" w:themeColor="text1"/>
          <w:lang w:val="en-CA"/>
        </w:rPr>
        <w:t>he</w:t>
      </w:r>
      <w:r w:rsidR="0016592E" w:rsidRPr="009A1394">
        <w:rPr>
          <w:color w:val="000000" w:themeColor="text1"/>
          <w:lang w:val="en-CA"/>
        </w:rPr>
        <w:t xml:space="preserve"> judge</w:t>
      </w:r>
      <w:r w:rsidRPr="009A1394">
        <w:rPr>
          <w:color w:val="000000" w:themeColor="text1"/>
          <w:lang w:val="en-CA"/>
        </w:rPr>
        <w:t>’s</w:t>
      </w:r>
      <w:r w:rsidR="003F223C" w:rsidRPr="009A1394">
        <w:rPr>
          <w:color w:val="000000" w:themeColor="text1"/>
          <w:lang w:val="en-CA"/>
        </w:rPr>
        <w:t xml:space="preserve"> </w:t>
      </w:r>
      <w:r w:rsidRPr="009A1394">
        <w:rPr>
          <w:color w:val="000000" w:themeColor="text1"/>
          <w:lang w:val="en-CA"/>
        </w:rPr>
        <w:t>statement of</w:t>
      </w:r>
      <w:r w:rsidR="0016592E" w:rsidRPr="009A1394">
        <w:rPr>
          <w:color w:val="000000" w:themeColor="text1"/>
          <w:lang w:val="en-CA"/>
        </w:rPr>
        <w:t xml:space="preserve"> the principles of extracontractual civil liability </w:t>
      </w:r>
      <w:r w:rsidR="003F223C" w:rsidRPr="009A1394">
        <w:rPr>
          <w:color w:val="000000" w:themeColor="text1"/>
          <w:lang w:val="en-CA"/>
        </w:rPr>
        <w:t>that were to</w:t>
      </w:r>
      <w:r w:rsidR="002762B8" w:rsidRPr="009A1394">
        <w:rPr>
          <w:color w:val="000000" w:themeColor="text1"/>
          <w:lang w:val="en-CA"/>
        </w:rPr>
        <w:t xml:space="preserve"> guide</w:t>
      </w:r>
      <w:r w:rsidR="003F223C" w:rsidRPr="009A1394">
        <w:rPr>
          <w:color w:val="000000" w:themeColor="text1"/>
          <w:lang w:val="en-CA"/>
        </w:rPr>
        <w:t xml:space="preserve"> him</w:t>
      </w:r>
      <w:r w:rsidR="0016592E" w:rsidRPr="009A1394">
        <w:rPr>
          <w:color w:val="000000" w:themeColor="text1"/>
          <w:lang w:val="en-CA"/>
        </w:rPr>
        <w:t xml:space="preserve"> is unimpeachable.</w:t>
      </w:r>
      <w:r w:rsidR="008161A3" w:rsidRPr="009A1394">
        <w:rPr>
          <w:color w:val="000000" w:themeColor="text1"/>
          <w:lang w:val="en-CA"/>
        </w:rPr>
        <w:t xml:space="preserve"> </w:t>
      </w:r>
      <w:r w:rsidR="0016592E" w:rsidRPr="009A1394">
        <w:rPr>
          <w:color w:val="000000" w:themeColor="text1"/>
          <w:lang w:val="en-CA"/>
        </w:rPr>
        <w:t xml:space="preserve">He explained that the </w:t>
      </w:r>
      <w:r w:rsidR="003F223C" w:rsidRPr="009A1394">
        <w:rPr>
          <w:color w:val="000000" w:themeColor="text1"/>
          <w:lang w:val="en-CA"/>
        </w:rPr>
        <w:t>issue</w:t>
      </w:r>
      <w:r w:rsidR="0016592E" w:rsidRPr="009A1394">
        <w:rPr>
          <w:color w:val="000000" w:themeColor="text1"/>
          <w:lang w:val="en-CA"/>
        </w:rPr>
        <w:t xml:space="preserve"> of fault had to be analyzed </w:t>
      </w:r>
      <w:r w:rsidRPr="009A1394">
        <w:rPr>
          <w:color w:val="000000" w:themeColor="text1"/>
          <w:lang w:val="en-CA"/>
        </w:rPr>
        <w:t>primarily</w:t>
      </w:r>
      <w:r w:rsidR="0016592E" w:rsidRPr="009A1394">
        <w:rPr>
          <w:color w:val="000000" w:themeColor="text1"/>
          <w:lang w:val="en-CA"/>
        </w:rPr>
        <w:t xml:space="preserve"> </w:t>
      </w:r>
      <w:r w:rsidRPr="009A1394">
        <w:rPr>
          <w:color w:val="000000" w:themeColor="text1"/>
          <w:lang w:val="en-CA"/>
        </w:rPr>
        <w:t>under</w:t>
      </w:r>
      <w:r w:rsidR="0016592E" w:rsidRPr="009A1394">
        <w:rPr>
          <w:color w:val="000000" w:themeColor="text1"/>
          <w:lang w:val="en-CA"/>
        </w:rPr>
        <w:t xml:space="preserve"> article 1457 </w:t>
      </w:r>
      <w:r w:rsidR="0016592E" w:rsidRPr="009A1394">
        <w:rPr>
          <w:i/>
          <w:color w:val="000000" w:themeColor="text1"/>
          <w:lang w:val="en-CA"/>
        </w:rPr>
        <w:t>CCQ</w:t>
      </w:r>
      <w:r w:rsidR="0016592E" w:rsidRPr="009A1394">
        <w:rPr>
          <w:color w:val="000000" w:themeColor="text1"/>
          <w:lang w:val="en-CA"/>
        </w:rPr>
        <w:t>.</w:t>
      </w:r>
      <w:r w:rsidR="00884A4A" w:rsidRPr="009A1394">
        <w:rPr>
          <w:color w:val="000000" w:themeColor="text1"/>
          <w:lang w:val="en-CA"/>
        </w:rPr>
        <w:t xml:space="preserve"> </w:t>
      </w:r>
      <w:r w:rsidR="0016592E" w:rsidRPr="009A1394">
        <w:rPr>
          <w:color w:val="000000" w:themeColor="text1"/>
          <w:lang w:val="en-CA"/>
        </w:rPr>
        <w:t>He</w:t>
      </w:r>
      <w:r w:rsidR="003F223C" w:rsidRPr="009A1394">
        <w:rPr>
          <w:color w:val="000000" w:themeColor="text1"/>
          <w:lang w:val="en-CA"/>
        </w:rPr>
        <w:t xml:space="preserve"> thus</w:t>
      </w:r>
      <w:r w:rsidR="0016592E" w:rsidRPr="009A1394">
        <w:rPr>
          <w:color w:val="000000" w:themeColor="text1"/>
          <w:lang w:val="en-CA"/>
        </w:rPr>
        <w:t xml:space="preserve"> recognized that CP had the duty to abide by the rules of conduct incumbent on it, according to the circumstances, </w:t>
      </w:r>
      <w:r w:rsidR="003F223C" w:rsidRPr="009A1394">
        <w:rPr>
          <w:color w:val="000000" w:themeColor="text1"/>
          <w:lang w:val="en-CA"/>
        </w:rPr>
        <w:t xml:space="preserve">usage </w:t>
      </w:r>
      <w:r w:rsidR="0016592E" w:rsidRPr="009A1394">
        <w:rPr>
          <w:color w:val="000000" w:themeColor="text1"/>
          <w:lang w:val="en-CA"/>
        </w:rPr>
        <w:t>or law, so as not to cause injury to another.</w:t>
      </w:r>
      <w:r w:rsidR="0016592E" w:rsidRPr="009A1394">
        <w:rPr>
          <w:rStyle w:val="Appelnotedebasdep"/>
          <w:color w:val="000000" w:themeColor="text1"/>
          <w:lang w:val="en-CA"/>
        </w:rPr>
        <w:footnoteReference w:id="187"/>
      </w:r>
      <w:r w:rsidR="008161A3" w:rsidRPr="009A1394">
        <w:rPr>
          <w:color w:val="000000" w:themeColor="text1"/>
          <w:lang w:val="en-CA"/>
        </w:rPr>
        <w:t xml:space="preserve"> </w:t>
      </w:r>
      <w:r w:rsidR="0016592E" w:rsidRPr="009A1394">
        <w:rPr>
          <w:color w:val="000000" w:themeColor="text1"/>
          <w:lang w:val="en-CA"/>
        </w:rPr>
        <w:t xml:space="preserve">He never claimed that the rail industry was subject to its own civil liability scheme, to the exclusion of </w:t>
      </w:r>
      <w:r w:rsidRPr="009A1394">
        <w:rPr>
          <w:color w:val="000000" w:themeColor="text1"/>
          <w:lang w:val="en-CA"/>
        </w:rPr>
        <w:t xml:space="preserve">that of </w:t>
      </w:r>
      <w:r w:rsidR="0016592E" w:rsidRPr="009A1394">
        <w:rPr>
          <w:color w:val="000000" w:themeColor="text1"/>
          <w:lang w:val="en-CA"/>
        </w:rPr>
        <w:t xml:space="preserve">the </w:t>
      </w:r>
      <w:r w:rsidRPr="009A1394">
        <w:rPr>
          <w:color w:val="000000" w:themeColor="text1"/>
          <w:lang w:val="en-CA"/>
        </w:rPr>
        <w:t>general</w:t>
      </w:r>
      <w:r w:rsidR="0016592E" w:rsidRPr="009A1394">
        <w:rPr>
          <w:color w:val="000000" w:themeColor="text1"/>
          <w:lang w:val="en-CA"/>
        </w:rPr>
        <w:t xml:space="preserve"> law.</w:t>
      </w:r>
      <w:r w:rsidR="008161A3" w:rsidRPr="009A1394">
        <w:rPr>
          <w:color w:val="000000" w:themeColor="text1"/>
          <w:lang w:val="en-CA"/>
        </w:rPr>
        <w:t xml:space="preserve"> </w:t>
      </w:r>
      <w:r w:rsidRPr="009A1394">
        <w:rPr>
          <w:color w:val="000000" w:themeColor="text1"/>
          <w:lang w:val="en-CA"/>
        </w:rPr>
        <w:t xml:space="preserve">He did in fact </w:t>
      </w:r>
      <w:r w:rsidR="00515989" w:rsidRPr="009A1394">
        <w:rPr>
          <w:color w:val="000000" w:themeColor="text1"/>
          <w:lang w:val="en-CA"/>
        </w:rPr>
        <w:t xml:space="preserve">retrace the evolution of </w:t>
      </w:r>
      <w:r w:rsidRPr="009A1394">
        <w:rPr>
          <w:color w:val="000000" w:themeColor="text1"/>
          <w:lang w:val="en-CA"/>
        </w:rPr>
        <w:t xml:space="preserve">the </w:t>
      </w:r>
      <w:r w:rsidR="00515989" w:rsidRPr="009A1394">
        <w:rPr>
          <w:color w:val="000000" w:themeColor="text1"/>
          <w:lang w:val="en-CA"/>
        </w:rPr>
        <w:t xml:space="preserve">case law on this </w:t>
      </w:r>
      <w:r w:rsidRPr="009A1394">
        <w:rPr>
          <w:color w:val="000000" w:themeColor="text1"/>
          <w:lang w:val="en-CA"/>
        </w:rPr>
        <w:t>issue,</w:t>
      </w:r>
      <w:r w:rsidR="00515989" w:rsidRPr="009A1394">
        <w:rPr>
          <w:color w:val="000000" w:themeColor="text1"/>
          <w:lang w:val="en-CA"/>
        </w:rPr>
        <w:t xml:space="preserve"> referring in particular to </w:t>
      </w:r>
      <w:r w:rsidR="00515989" w:rsidRPr="009A1394">
        <w:rPr>
          <w:i/>
          <w:iCs/>
          <w:color w:val="000000" w:themeColor="text1"/>
          <w:lang w:val="en-CA"/>
        </w:rPr>
        <w:t>Vincent</w:t>
      </w:r>
      <w:r w:rsidR="00515989" w:rsidRPr="009A1394">
        <w:rPr>
          <w:color w:val="000000" w:themeColor="text1"/>
          <w:lang w:val="en-CA"/>
        </w:rPr>
        <w:t xml:space="preserve"> and </w:t>
      </w:r>
      <w:r w:rsidR="00515989" w:rsidRPr="009A1394">
        <w:rPr>
          <w:i/>
          <w:iCs/>
          <w:color w:val="000000" w:themeColor="text1"/>
          <w:lang w:val="en-CA"/>
        </w:rPr>
        <w:t>Ryan</w:t>
      </w:r>
      <w:r w:rsidR="00515989" w:rsidRPr="009A1394">
        <w:rPr>
          <w:color w:val="000000" w:themeColor="text1"/>
          <w:lang w:val="en-CA"/>
        </w:rPr>
        <w:t>, from which he quoted lengthy excerpts.</w:t>
      </w:r>
      <w:r w:rsidR="008161A3" w:rsidRPr="009A1394">
        <w:rPr>
          <w:color w:val="000000" w:themeColor="text1"/>
          <w:lang w:val="en-CA"/>
        </w:rPr>
        <w:t xml:space="preserve"> </w:t>
      </w:r>
      <w:r w:rsidRPr="009A1394">
        <w:rPr>
          <w:color w:val="000000" w:themeColor="text1"/>
          <w:lang w:val="en-CA"/>
        </w:rPr>
        <w:t>Relying on</w:t>
      </w:r>
      <w:r w:rsidR="00094A49" w:rsidRPr="009A1394">
        <w:rPr>
          <w:color w:val="000000" w:themeColor="text1"/>
          <w:lang w:val="en-CA"/>
        </w:rPr>
        <w:t xml:space="preserve"> these </w:t>
      </w:r>
      <w:r w:rsidRPr="009A1394">
        <w:rPr>
          <w:color w:val="000000" w:themeColor="text1"/>
          <w:lang w:val="en-CA"/>
        </w:rPr>
        <w:t>precedents</w:t>
      </w:r>
      <w:r w:rsidR="00094A49" w:rsidRPr="009A1394">
        <w:rPr>
          <w:color w:val="000000" w:themeColor="text1"/>
          <w:lang w:val="en-CA"/>
        </w:rPr>
        <w:t>, h</w:t>
      </w:r>
      <w:r w:rsidR="00515989" w:rsidRPr="009A1394">
        <w:rPr>
          <w:color w:val="000000" w:themeColor="text1"/>
          <w:lang w:val="en-CA"/>
        </w:rPr>
        <w:t>e accepted that the conduct of a rail</w:t>
      </w:r>
      <w:r w:rsidR="00094A49" w:rsidRPr="009A1394">
        <w:rPr>
          <w:color w:val="000000" w:themeColor="text1"/>
          <w:lang w:val="en-CA"/>
        </w:rPr>
        <w:t>way</w:t>
      </w:r>
      <w:r w:rsidR="00515989" w:rsidRPr="009A1394">
        <w:rPr>
          <w:color w:val="000000" w:themeColor="text1"/>
          <w:lang w:val="en-CA"/>
        </w:rPr>
        <w:t xml:space="preserve"> company </w:t>
      </w:r>
      <w:r w:rsidRPr="009A1394">
        <w:rPr>
          <w:color w:val="000000" w:themeColor="text1"/>
          <w:lang w:val="en-CA"/>
        </w:rPr>
        <w:t>can</w:t>
      </w:r>
      <w:r w:rsidR="00515989" w:rsidRPr="009A1394">
        <w:rPr>
          <w:color w:val="000000" w:themeColor="text1"/>
          <w:lang w:val="en-CA"/>
        </w:rPr>
        <w:t xml:space="preserve"> be </w:t>
      </w:r>
      <w:r w:rsidRPr="009A1394">
        <w:rPr>
          <w:color w:val="000000" w:themeColor="text1"/>
          <w:lang w:val="en-CA"/>
        </w:rPr>
        <w:t>held</w:t>
      </w:r>
      <w:r w:rsidR="00515989" w:rsidRPr="009A1394">
        <w:rPr>
          <w:color w:val="000000" w:themeColor="text1"/>
          <w:lang w:val="en-CA"/>
        </w:rPr>
        <w:t xml:space="preserve"> to be </w:t>
      </w:r>
      <w:r w:rsidR="00B27CEF" w:rsidRPr="009A1394">
        <w:rPr>
          <w:color w:val="000000" w:themeColor="text1"/>
          <w:lang w:val="en-CA"/>
        </w:rPr>
        <w:t>wrongful</w:t>
      </w:r>
      <w:r w:rsidR="00515989" w:rsidRPr="009A1394">
        <w:rPr>
          <w:color w:val="000000" w:themeColor="text1"/>
          <w:lang w:val="en-CA"/>
        </w:rPr>
        <w:t xml:space="preserve"> even if it </w:t>
      </w:r>
      <w:r w:rsidRPr="009A1394">
        <w:rPr>
          <w:color w:val="000000" w:themeColor="text1"/>
          <w:lang w:val="en-CA"/>
        </w:rPr>
        <w:t>is</w:t>
      </w:r>
      <w:r w:rsidR="00515989" w:rsidRPr="009A1394">
        <w:rPr>
          <w:color w:val="000000" w:themeColor="text1"/>
          <w:lang w:val="en-CA"/>
        </w:rPr>
        <w:t xml:space="preserve"> not </w:t>
      </w:r>
      <w:r w:rsidRPr="009A1394">
        <w:rPr>
          <w:color w:val="000000" w:themeColor="text1"/>
          <w:lang w:val="en-CA"/>
        </w:rPr>
        <w:t>contrary</w:t>
      </w:r>
      <w:r w:rsidR="00515989" w:rsidRPr="009A1394">
        <w:rPr>
          <w:color w:val="000000" w:themeColor="text1"/>
          <w:lang w:val="en-CA"/>
        </w:rPr>
        <w:t xml:space="preserve"> </w:t>
      </w:r>
      <w:r w:rsidRPr="009A1394">
        <w:rPr>
          <w:color w:val="000000" w:themeColor="text1"/>
          <w:lang w:val="en-CA"/>
        </w:rPr>
        <w:t xml:space="preserve">to </w:t>
      </w:r>
      <w:r w:rsidR="00515989" w:rsidRPr="009A1394">
        <w:rPr>
          <w:color w:val="000000" w:themeColor="text1"/>
          <w:lang w:val="en-CA"/>
        </w:rPr>
        <w:t xml:space="preserve">any law or </w:t>
      </w:r>
      <w:r w:rsidR="00094A49" w:rsidRPr="009A1394">
        <w:rPr>
          <w:color w:val="000000" w:themeColor="text1"/>
          <w:lang w:val="en-CA"/>
        </w:rPr>
        <w:t>regulation</w:t>
      </w:r>
      <w:r w:rsidR="00515989" w:rsidRPr="009A1394">
        <w:rPr>
          <w:color w:val="000000" w:themeColor="text1"/>
          <w:lang w:val="en-CA"/>
        </w:rPr>
        <w:t xml:space="preserve"> and</w:t>
      </w:r>
      <w:r w:rsidRPr="009A1394">
        <w:rPr>
          <w:color w:val="000000" w:themeColor="text1"/>
          <w:lang w:val="en-CA"/>
        </w:rPr>
        <w:t xml:space="preserve"> </w:t>
      </w:r>
      <w:r w:rsidR="00515989" w:rsidRPr="009A1394">
        <w:rPr>
          <w:color w:val="000000" w:themeColor="text1"/>
          <w:lang w:val="en-CA"/>
        </w:rPr>
        <w:t>complie</w:t>
      </w:r>
      <w:r w:rsidRPr="009A1394">
        <w:rPr>
          <w:color w:val="000000" w:themeColor="text1"/>
          <w:lang w:val="en-CA"/>
        </w:rPr>
        <w:t>s</w:t>
      </w:r>
      <w:r w:rsidR="00515989" w:rsidRPr="009A1394">
        <w:rPr>
          <w:color w:val="000000" w:themeColor="text1"/>
          <w:lang w:val="en-CA"/>
        </w:rPr>
        <w:t xml:space="preserve"> with industry practices.</w:t>
      </w:r>
      <w:r w:rsidR="00515989" w:rsidRPr="009A1394">
        <w:rPr>
          <w:rStyle w:val="Appelnotedebasdep"/>
          <w:color w:val="000000" w:themeColor="text1"/>
          <w:lang w:val="en-CA"/>
        </w:rPr>
        <w:footnoteReference w:id="188"/>
      </w:r>
    </w:p>
    <w:p w14:paraId="13E07E86" w14:textId="637F7F2B" w:rsidR="002B5E3B" w:rsidRPr="009A1394" w:rsidRDefault="00515989" w:rsidP="00977660">
      <w:pPr>
        <w:pStyle w:val="Paragraphe"/>
        <w:numPr>
          <w:ilvl w:val="0"/>
          <w:numId w:val="1"/>
        </w:numPr>
        <w:spacing w:before="160" w:after="160"/>
        <w:rPr>
          <w:color w:val="000000" w:themeColor="text1"/>
          <w:lang w:val="en-CA"/>
        </w:rPr>
      </w:pPr>
      <w:r w:rsidRPr="009A1394">
        <w:rPr>
          <w:color w:val="000000" w:themeColor="text1"/>
          <w:lang w:val="en-CA"/>
        </w:rPr>
        <w:t xml:space="preserve">The appellants concede that the </w:t>
      </w:r>
      <w:r w:rsidR="00094A49" w:rsidRPr="009A1394">
        <w:rPr>
          <w:color w:val="000000" w:themeColor="text1"/>
          <w:lang w:val="en-CA"/>
        </w:rPr>
        <w:t>judge</w:t>
      </w:r>
      <w:r w:rsidRPr="009A1394">
        <w:rPr>
          <w:color w:val="000000" w:themeColor="text1"/>
          <w:lang w:val="en-CA"/>
        </w:rPr>
        <w:t xml:space="preserve"> correctly </w:t>
      </w:r>
      <w:r w:rsidR="00176EB3" w:rsidRPr="009A1394">
        <w:rPr>
          <w:color w:val="000000" w:themeColor="text1"/>
          <w:lang w:val="en-CA"/>
        </w:rPr>
        <w:t>identifi</w:t>
      </w:r>
      <w:r w:rsidRPr="009A1394">
        <w:rPr>
          <w:color w:val="000000" w:themeColor="text1"/>
          <w:lang w:val="en-CA"/>
        </w:rPr>
        <w:t>ed the applicable legal rules.</w:t>
      </w:r>
      <w:r w:rsidR="00C45EE1" w:rsidRPr="009A1394">
        <w:rPr>
          <w:color w:val="000000" w:themeColor="text1"/>
          <w:lang w:val="en-CA"/>
        </w:rPr>
        <w:t xml:space="preserve"> </w:t>
      </w:r>
      <w:r w:rsidRPr="009A1394">
        <w:rPr>
          <w:color w:val="000000" w:themeColor="text1"/>
          <w:lang w:val="en-CA"/>
        </w:rPr>
        <w:t xml:space="preserve">However, </w:t>
      </w:r>
      <w:r w:rsidR="00BE7CB9" w:rsidRPr="009A1394">
        <w:rPr>
          <w:color w:val="000000" w:themeColor="text1"/>
          <w:lang w:val="en-CA"/>
        </w:rPr>
        <w:t xml:space="preserve">they claim that </w:t>
      </w:r>
      <w:r w:rsidRPr="009A1394">
        <w:rPr>
          <w:color w:val="000000" w:themeColor="text1"/>
          <w:lang w:val="en-CA"/>
        </w:rPr>
        <w:t>he erred in their application.</w:t>
      </w:r>
      <w:r w:rsidR="00C45EE1" w:rsidRPr="009A1394">
        <w:rPr>
          <w:color w:val="000000" w:themeColor="text1"/>
          <w:lang w:val="en-CA"/>
        </w:rPr>
        <w:t xml:space="preserve"> </w:t>
      </w:r>
      <w:r w:rsidRPr="009A1394">
        <w:rPr>
          <w:color w:val="000000" w:themeColor="text1"/>
          <w:lang w:val="en-CA"/>
        </w:rPr>
        <w:t xml:space="preserve">Thus, after stating </w:t>
      </w:r>
      <w:r w:rsidR="00094A49" w:rsidRPr="009A1394">
        <w:rPr>
          <w:color w:val="000000" w:themeColor="text1"/>
          <w:lang w:val="en-CA"/>
        </w:rPr>
        <w:t>them</w:t>
      </w:r>
      <w:r w:rsidRPr="009A1394">
        <w:rPr>
          <w:color w:val="000000" w:themeColor="text1"/>
          <w:lang w:val="en-CA"/>
        </w:rPr>
        <w:t xml:space="preserve"> correctly, he </w:t>
      </w:r>
      <w:r w:rsidR="00176EB3" w:rsidRPr="009A1394">
        <w:rPr>
          <w:color w:val="000000" w:themeColor="text1"/>
          <w:lang w:val="en-CA"/>
        </w:rPr>
        <w:t>is said to have excluded them</w:t>
      </w:r>
      <w:r w:rsidRPr="009A1394">
        <w:rPr>
          <w:color w:val="000000" w:themeColor="text1"/>
          <w:lang w:val="en-CA"/>
        </w:rPr>
        <w:t xml:space="preserve"> from his analysis</w:t>
      </w:r>
      <w:r w:rsidR="00176EB3" w:rsidRPr="009A1394">
        <w:rPr>
          <w:color w:val="000000" w:themeColor="text1"/>
          <w:lang w:val="en-CA"/>
        </w:rPr>
        <w:t>, relying instead on</w:t>
      </w:r>
      <w:r w:rsidRPr="009A1394">
        <w:rPr>
          <w:color w:val="000000" w:themeColor="text1"/>
          <w:lang w:val="en-CA"/>
        </w:rPr>
        <w:t xml:space="preserve"> legislative and regulatory texts specific to the rail industry and</w:t>
      </w:r>
      <w:r w:rsidR="00B65DDF" w:rsidRPr="009A1394">
        <w:rPr>
          <w:color w:val="000000" w:themeColor="text1"/>
          <w:lang w:val="en-CA"/>
        </w:rPr>
        <w:t xml:space="preserve"> the</w:t>
      </w:r>
      <w:r w:rsidRPr="009A1394">
        <w:rPr>
          <w:color w:val="000000" w:themeColor="text1"/>
          <w:lang w:val="en-CA"/>
        </w:rPr>
        <w:t xml:space="preserve"> </w:t>
      </w:r>
      <w:r w:rsidR="00B65DDF" w:rsidRPr="009A1394">
        <w:rPr>
          <w:color w:val="000000" w:themeColor="text1"/>
          <w:lang w:val="en-CA"/>
        </w:rPr>
        <w:t>practices</w:t>
      </w:r>
      <w:r w:rsidRPr="009A1394">
        <w:rPr>
          <w:color w:val="000000" w:themeColor="text1"/>
          <w:lang w:val="en-CA"/>
        </w:rPr>
        <w:t xml:space="preserve"> therein.</w:t>
      </w:r>
      <w:r w:rsidR="00C45EE1" w:rsidRPr="009A1394">
        <w:rPr>
          <w:color w:val="000000" w:themeColor="text1"/>
          <w:lang w:val="en-CA"/>
        </w:rPr>
        <w:t xml:space="preserve"> </w:t>
      </w:r>
      <w:r w:rsidR="00B65DDF" w:rsidRPr="009A1394">
        <w:rPr>
          <w:color w:val="000000" w:themeColor="text1"/>
          <w:lang w:val="en-CA"/>
        </w:rPr>
        <w:t>Undoubted</w:t>
      </w:r>
      <w:r w:rsidRPr="009A1394">
        <w:rPr>
          <w:color w:val="000000" w:themeColor="text1"/>
          <w:lang w:val="en-CA"/>
        </w:rPr>
        <w:t>ly, the judge devoted a significant part of his analysis to this.</w:t>
      </w:r>
      <w:r w:rsidR="00C45EE1" w:rsidRPr="009A1394">
        <w:rPr>
          <w:color w:val="000000" w:themeColor="text1"/>
          <w:lang w:val="en-CA"/>
        </w:rPr>
        <w:t xml:space="preserve"> </w:t>
      </w:r>
      <w:r w:rsidRPr="009A1394">
        <w:rPr>
          <w:lang w:val="en-CA"/>
        </w:rPr>
        <w:t>That said, the importance</w:t>
      </w:r>
      <w:r w:rsidR="00B65DDF" w:rsidRPr="009A1394">
        <w:rPr>
          <w:lang w:val="en-CA"/>
        </w:rPr>
        <w:t xml:space="preserve"> that</w:t>
      </w:r>
      <w:r w:rsidRPr="009A1394">
        <w:rPr>
          <w:lang w:val="en-CA"/>
        </w:rPr>
        <w:t xml:space="preserve"> he gave it </w:t>
      </w:r>
      <w:r w:rsidR="001C2F51" w:rsidRPr="009A1394">
        <w:rPr>
          <w:lang w:val="en-CA"/>
        </w:rPr>
        <w:t>was merely</w:t>
      </w:r>
      <w:r w:rsidRPr="009A1394">
        <w:rPr>
          <w:lang w:val="en-CA"/>
        </w:rPr>
        <w:t xml:space="preserve"> proportionate to the length of the evidence he heard </w:t>
      </w:r>
      <w:r w:rsidR="00094A49" w:rsidRPr="009A1394">
        <w:rPr>
          <w:lang w:val="en-CA"/>
        </w:rPr>
        <w:t>on</w:t>
      </w:r>
      <w:r w:rsidR="00B65DDF" w:rsidRPr="009A1394">
        <w:rPr>
          <w:lang w:val="en-CA"/>
        </w:rPr>
        <w:t xml:space="preserve"> the subject</w:t>
      </w:r>
      <w:r w:rsidRPr="009A1394">
        <w:rPr>
          <w:lang w:val="en-CA"/>
        </w:rPr>
        <w:t>.</w:t>
      </w:r>
      <w:r w:rsidR="00C45EE1" w:rsidRPr="009A1394">
        <w:rPr>
          <w:color w:val="000000" w:themeColor="text1"/>
          <w:lang w:val="en-CA"/>
        </w:rPr>
        <w:t xml:space="preserve"> </w:t>
      </w:r>
      <w:r w:rsidRPr="009A1394">
        <w:rPr>
          <w:color w:val="000000" w:themeColor="text1"/>
          <w:lang w:val="en-CA"/>
        </w:rPr>
        <w:t>His reasoning remain</w:t>
      </w:r>
      <w:r w:rsidR="00B65DDF" w:rsidRPr="009A1394">
        <w:rPr>
          <w:color w:val="000000" w:themeColor="text1"/>
          <w:lang w:val="en-CA"/>
        </w:rPr>
        <w:t>ed</w:t>
      </w:r>
      <w:r w:rsidRPr="009A1394">
        <w:rPr>
          <w:color w:val="000000" w:themeColor="text1"/>
          <w:lang w:val="en-CA"/>
        </w:rPr>
        <w:t xml:space="preserve"> solidly anchored in the general principles of civil liability.</w:t>
      </w:r>
      <w:r w:rsidR="00C45EE1" w:rsidRPr="009A1394">
        <w:rPr>
          <w:color w:val="000000" w:themeColor="text1"/>
          <w:lang w:val="en-CA"/>
        </w:rPr>
        <w:t xml:space="preserve"> </w:t>
      </w:r>
      <w:r w:rsidRPr="009A1394">
        <w:rPr>
          <w:color w:val="000000" w:themeColor="text1"/>
          <w:lang w:val="en-CA"/>
        </w:rPr>
        <w:t xml:space="preserve">Industry </w:t>
      </w:r>
      <w:r w:rsidRPr="009A1394">
        <w:rPr>
          <w:color w:val="000000" w:themeColor="text1"/>
          <w:lang w:val="en-CA"/>
        </w:rPr>
        <w:lastRenderedPageBreak/>
        <w:t xml:space="preserve">practices and the legislative and regulatory rules that govern the industry </w:t>
      </w:r>
      <w:r w:rsidR="00176EB3" w:rsidRPr="009A1394">
        <w:rPr>
          <w:color w:val="000000" w:themeColor="text1"/>
          <w:lang w:val="en-CA"/>
        </w:rPr>
        <w:t>were simply</w:t>
      </w:r>
      <w:r w:rsidRPr="009A1394">
        <w:rPr>
          <w:color w:val="000000" w:themeColor="text1"/>
          <w:lang w:val="en-CA"/>
        </w:rPr>
        <w:t xml:space="preserve"> elements</w:t>
      </w:r>
      <w:r w:rsidR="00176EB3" w:rsidRPr="009A1394">
        <w:rPr>
          <w:color w:val="000000" w:themeColor="text1"/>
          <w:lang w:val="en-CA"/>
        </w:rPr>
        <w:t xml:space="preserve"> that</w:t>
      </w:r>
      <w:r w:rsidRPr="009A1394">
        <w:rPr>
          <w:color w:val="000000" w:themeColor="text1"/>
          <w:lang w:val="en-CA"/>
        </w:rPr>
        <w:t xml:space="preserve"> he considered to</w:t>
      </w:r>
      <w:r w:rsidR="00176EB3" w:rsidRPr="009A1394">
        <w:rPr>
          <w:color w:val="000000" w:themeColor="text1"/>
          <w:lang w:val="en-CA"/>
        </w:rPr>
        <w:t xml:space="preserve"> help him</w:t>
      </w:r>
      <w:r w:rsidRPr="009A1394">
        <w:rPr>
          <w:color w:val="000000" w:themeColor="text1"/>
          <w:lang w:val="en-CA"/>
        </w:rPr>
        <w:t xml:space="preserve"> compare CP’s conduct to </w:t>
      </w:r>
      <w:r w:rsidR="001C2F51" w:rsidRPr="009A1394">
        <w:rPr>
          <w:color w:val="000000" w:themeColor="text1"/>
          <w:lang w:val="en-CA"/>
        </w:rPr>
        <w:t>that of a</w:t>
      </w:r>
      <w:r w:rsidRPr="009A1394">
        <w:rPr>
          <w:color w:val="000000" w:themeColor="text1"/>
          <w:lang w:val="en-CA"/>
        </w:rPr>
        <w:t xml:space="preserve"> </w:t>
      </w:r>
      <w:r w:rsidR="00094A49" w:rsidRPr="009A1394">
        <w:rPr>
          <w:color w:val="000000" w:themeColor="text1"/>
          <w:lang w:val="en-CA"/>
        </w:rPr>
        <w:t>[</w:t>
      </w:r>
      <w:r w:rsidR="00094A49" w:rsidRPr="009A1394">
        <w:rPr>
          <w:smallCaps/>
          <w:color w:val="000000" w:themeColor="text1"/>
          <w:lang w:val="en-CA"/>
        </w:rPr>
        <w:t>translation</w:t>
      </w:r>
      <w:r w:rsidR="00094A49" w:rsidRPr="009A1394">
        <w:rPr>
          <w:color w:val="000000" w:themeColor="text1"/>
          <w:lang w:val="en-CA"/>
        </w:rPr>
        <w:t>]</w:t>
      </w:r>
      <w:r w:rsidR="005D3520" w:rsidRPr="009A1394">
        <w:rPr>
          <w:color w:val="000000" w:themeColor="text1"/>
          <w:lang w:val="en-CA"/>
        </w:rPr>
        <w:t> </w:t>
      </w:r>
      <w:r w:rsidRPr="009A1394">
        <w:rPr>
          <w:color w:val="000000" w:themeColor="text1"/>
          <w:lang w:val="en-CA"/>
        </w:rPr>
        <w:t>“reasonable” rail carrier in similar circumstances.</w:t>
      </w:r>
    </w:p>
    <w:p w14:paraId="05E08D15" w14:textId="0148A7DB" w:rsidR="00702A59" w:rsidRPr="009A1394" w:rsidRDefault="00515989" w:rsidP="00977660">
      <w:pPr>
        <w:pStyle w:val="Paragraphe"/>
        <w:numPr>
          <w:ilvl w:val="0"/>
          <w:numId w:val="1"/>
        </w:numPr>
        <w:spacing w:before="160" w:after="160"/>
        <w:rPr>
          <w:color w:val="000000" w:themeColor="text1"/>
          <w:lang w:val="en-CA"/>
        </w:rPr>
      </w:pPr>
      <w:r w:rsidRPr="009A1394">
        <w:rPr>
          <w:color w:val="000000" w:themeColor="text1"/>
          <w:lang w:val="en-CA"/>
        </w:rPr>
        <w:t xml:space="preserve">This appears, for example, from his examination of CP’s conduct with respect to the classification of </w:t>
      </w:r>
      <w:r w:rsidR="00094A49" w:rsidRPr="009A1394">
        <w:rPr>
          <w:color w:val="000000" w:themeColor="text1"/>
          <w:lang w:val="en-CA"/>
        </w:rPr>
        <w:t>the</w:t>
      </w:r>
      <w:r w:rsidRPr="009A1394">
        <w:rPr>
          <w:color w:val="000000" w:themeColor="text1"/>
          <w:lang w:val="en-CA"/>
        </w:rPr>
        <w:t xml:space="preserve"> crude oil:</w:t>
      </w:r>
    </w:p>
    <w:p w14:paraId="7B6392AA" w14:textId="2F9056F1" w:rsidR="00094A49" w:rsidRPr="009A1394" w:rsidRDefault="00094A49" w:rsidP="00977660">
      <w:pPr>
        <w:pStyle w:val="Citationenretrait"/>
        <w:spacing w:before="160" w:after="160"/>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12911554" w14:textId="0B84C7B4" w:rsidR="00702A59" w:rsidRPr="009A1394" w:rsidRDefault="00515989" w:rsidP="00977660">
      <w:pPr>
        <w:pStyle w:val="Citationenretrait"/>
        <w:spacing w:before="160" w:after="160"/>
        <w:rPr>
          <w:color w:val="000000" w:themeColor="text1"/>
          <w:lang w:val="en-CA"/>
        </w:rPr>
      </w:pPr>
      <w:r w:rsidRPr="009A1394">
        <w:rPr>
          <w:color w:val="000000" w:themeColor="text1"/>
          <w:lang w:val="en-CA"/>
        </w:rPr>
        <w:t>[590]</w:t>
      </w:r>
      <w:r w:rsidR="008161A3" w:rsidRPr="009A1394">
        <w:rPr>
          <w:color w:val="000000" w:themeColor="text1"/>
          <w:lang w:val="en-CA"/>
        </w:rPr>
        <w:tab/>
      </w:r>
      <w:r w:rsidRPr="009A1394">
        <w:rPr>
          <w:lang w:val="en-CA"/>
        </w:rPr>
        <w:t xml:space="preserve">The Court reiterates that the </w:t>
      </w:r>
      <w:r w:rsidR="002527F4" w:rsidRPr="009A1394">
        <w:rPr>
          <w:lang w:val="en-CA"/>
        </w:rPr>
        <w:t>entire process</w:t>
      </w:r>
      <w:r w:rsidRPr="009A1394">
        <w:rPr>
          <w:lang w:val="en-CA"/>
        </w:rPr>
        <w:t xml:space="preserve"> of classifying crude oil requires a particular level of expertise </w:t>
      </w:r>
      <w:r w:rsidR="00B65DDF" w:rsidRPr="009A1394">
        <w:rPr>
          <w:lang w:val="en-CA"/>
        </w:rPr>
        <w:t>as well as</w:t>
      </w:r>
      <w:r w:rsidRPr="009A1394">
        <w:rPr>
          <w:lang w:val="en-CA"/>
        </w:rPr>
        <w:t xml:space="preserve"> analyses and tests based on </w:t>
      </w:r>
      <w:r w:rsidR="001A1CF9" w:rsidRPr="009A1394">
        <w:rPr>
          <w:lang w:val="en-CA"/>
        </w:rPr>
        <w:t>too many</w:t>
      </w:r>
      <w:r w:rsidRPr="009A1394">
        <w:rPr>
          <w:lang w:val="en-CA"/>
        </w:rPr>
        <w:t xml:space="preserve"> different and </w:t>
      </w:r>
      <w:r w:rsidR="00B65DDF" w:rsidRPr="009A1394">
        <w:rPr>
          <w:lang w:val="en-CA"/>
        </w:rPr>
        <w:t xml:space="preserve">very </w:t>
      </w:r>
      <w:r w:rsidRPr="009A1394">
        <w:rPr>
          <w:lang w:val="en-CA"/>
        </w:rPr>
        <w:t xml:space="preserve">complex elements to find that a reasonable carrier </w:t>
      </w:r>
      <w:r w:rsidR="00446E79" w:rsidRPr="009A1394">
        <w:rPr>
          <w:lang w:val="en-CA"/>
        </w:rPr>
        <w:t>must</w:t>
      </w:r>
      <w:r w:rsidRPr="009A1394">
        <w:rPr>
          <w:lang w:val="en-CA"/>
        </w:rPr>
        <w:t xml:space="preserve"> keep abreast of all the information on the subject.</w:t>
      </w:r>
    </w:p>
    <w:p w14:paraId="62EC01EB" w14:textId="20E1CC5F" w:rsidR="00702A59" w:rsidRPr="009A1394" w:rsidRDefault="00515989" w:rsidP="00977660">
      <w:pPr>
        <w:pStyle w:val="Citationenretrait"/>
        <w:keepNext/>
        <w:spacing w:before="160" w:after="160"/>
        <w:rPr>
          <w:b/>
          <w:bCs/>
          <w:color w:val="000000" w:themeColor="text1"/>
          <w:lang w:val="en-CA"/>
        </w:rPr>
      </w:pPr>
      <w:r w:rsidRPr="009A1394">
        <w:rPr>
          <w:b/>
          <w:bCs/>
          <w:color w:val="000000" w:themeColor="text1"/>
          <w:lang w:val="en-CA"/>
        </w:rPr>
        <w:t>[591]</w:t>
      </w:r>
      <w:r w:rsidR="008161A3" w:rsidRPr="009A1394">
        <w:rPr>
          <w:b/>
          <w:bCs/>
          <w:color w:val="000000" w:themeColor="text1"/>
          <w:lang w:val="en-CA"/>
        </w:rPr>
        <w:tab/>
      </w:r>
      <w:r w:rsidRPr="009A1394">
        <w:rPr>
          <w:b/>
          <w:bCs/>
          <w:lang w:val="en-CA"/>
        </w:rPr>
        <w:t xml:space="preserve">Furthermore, the Court </w:t>
      </w:r>
      <w:r w:rsidR="00446E79" w:rsidRPr="009A1394">
        <w:rPr>
          <w:b/>
          <w:bCs/>
          <w:lang w:val="en-CA"/>
        </w:rPr>
        <w:t xml:space="preserve">is unconvinced </w:t>
      </w:r>
      <w:r w:rsidRPr="009A1394">
        <w:rPr>
          <w:b/>
          <w:bCs/>
          <w:lang w:val="en-CA"/>
        </w:rPr>
        <w:t xml:space="preserve">that a </w:t>
      </w:r>
      <w:r w:rsidRPr="009A1394">
        <w:rPr>
          <w:b/>
          <w:bCs/>
          <w:color w:val="000000" w:themeColor="text1"/>
          <w:u w:val="single"/>
          <w:lang w:val="en-CA"/>
        </w:rPr>
        <w:t>reasonable carrier</w:t>
      </w:r>
      <w:r w:rsidRPr="009A1394">
        <w:rPr>
          <w:b/>
          <w:bCs/>
          <w:color w:val="000000" w:themeColor="text1"/>
          <w:lang w:val="en-CA"/>
        </w:rPr>
        <w:t xml:space="preserve"> must ensure that </w:t>
      </w:r>
      <w:r w:rsidR="00446E79" w:rsidRPr="009A1394">
        <w:rPr>
          <w:b/>
          <w:bCs/>
          <w:color w:val="000000" w:themeColor="text1"/>
          <w:lang w:val="en-CA"/>
        </w:rPr>
        <w:t>this entire</w:t>
      </w:r>
      <w:r w:rsidRPr="009A1394">
        <w:rPr>
          <w:b/>
          <w:bCs/>
          <w:color w:val="000000" w:themeColor="text1"/>
          <w:lang w:val="en-CA"/>
        </w:rPr>
        <w:t xml:space="preserve"> classification process, which obviously takes place before the </w:t>
      </w:r>
      <w:r w:rsidR="00CD203A" w:rsidRPr="009A1394">
        <w:rPr>
          <w:b/>
          <w:bCs/>
          <w:color w:val="000000" w:themeColor="text1"/>
          <w:lang w:val="en-CA"/>
        </w:rPr>
        <w:t>product is</w:t>
      </w:r>
      <w:r w:rsidRPr="009A1394">
        <w:rPr>
          <w:b/>
          <w:bCs/>
          <w:color w:val="000000" w:themeColor="text1"/>
          <w:lang w:val="en-CA"/>
        </w:rPr>
        <w:t xml:space="preserve"> packed and handed over to the carrier, must be checked or examined by the carrier by requiring specific proof from the shipper on its classification process.</w:t>
      </w:r>
    </w:p>
    <w:p w14:paraId="13127C60" w14:textId="15CB45A3" w:rsidR="00702A59" w:rsidRPr="009A1394" w:rsidRDefault="00515989" w:rsidP="00977660">
      <w:pPr>
        <w:pStyle w:val="Citationenretrait"/>
        <w:keepNext/>
        <w:spacing w:before="160" w:after="160"/>
        <w:jc w:val="right"/>
        <w:rPr>
          <w:color w:val="000000" w:themeColor="text1"/>
          <w:szCs w:val="22"/>
          <w:lang w:val="en-CA"/>
        </w:rPr>
      </w:pPr>
      <w:r w:rsidRPr="009A1394">
        <w:rPr>
          <w:color w:val="000000" w:themeColor="text1"/>
          <w:szCs w:val="22"/>
          <w:lang w:val="en-CA"/>
        </w:rPr>
        <w:t>[Bold</w:t>
      </w:r>
      <w:r w:rsidR="005D3520" w:rsidRPr="009A1394">
        <w:rPr>
          <w:color w:val="000000" w:themeColor="text1"/>
          <w:szCs w:val="22"/>
          <w:lang w:val="en-CA"/>
        </w:rPr>
        <w:t>face</w:t>
      </w:r>
      <w:r w:rsidRPr="009A1394">
        <w:rPr>
          <w:color w:val="000000" w:themeColor="text1"/>
          <w:szCs w:val="22"/>
          <w:lang w:val="en-CA"/>
        </w:rPr>
        <w:t xml:space="preserve"> in</w:t>
      </w:r>
      <w:r w:rsidR="002A1334" w:rsidRPr="009A1394">
        <w:rPr>
          <w:color w:val="000000" w:themeColor="text1"/>
          <w:szCs w:val="22"/>
          <w:lang w:val="en-CA"/>
        </w:rPr>
        <w:t xml:space="preserve"> the</w:t>
      </w:r>
      <w:r w:rsidRPr="009A1394">
        <w:rPr>
          <w:color w:val="000000" w:themeColor="text1"/>
          <w:szCs w:val="22"/>
          <w:lang w:val="en-CA"/>
        </w:rPr>
        <w:t xml:space="preserve"> original; underlining added]</w:t>
      </w:r>
    </w:p>
    <w:p w14:paraId="473A26D9" w14:textId="3B3D3502" w:rsidR="00702A59" w:rsidRPr="009A1394" w:rsidRDefault="00515989" w:rsidP="00977660">
      <w:pPr>
        <w:pStyle w:val="Paragraphe"/>
        <w:keepNext/>
        <w:numPr>
          <w:ilvl w:val="0"/>
          <w:numId w:val="1"/>
        </w:numPr>
        <w:spacing w:before="160" w:after="160"/>
        <w:rPr>
          <w:color w:val="000000" w:themeColor="text1"/>
          <w:lang w:val="en-CA"/>
        </w:rPr>
      </w:pPr>
      <w:r w:rsidRPr="009A1394">
        <w:rPr>
          <w:color w:val="000000" w:themeColor="text1"/>
          <w:lang w:val="en-CA"/>
        </w:rPr>
        <w:t xml:space="preserve">Similarly, </w:t>
      </w:r>
      <w:r w:rsidR="00446E79" w:rsidRPr="009A1394">
        <w:rPr>
          <w:color w:val="000000" w:themeColor="text1"/>
          <w:lang w:val="en-CA"/>
        </w:rPr>
        <w:t>in</w:t>
      </w:r>
      <w:r w:rsidRPr="009A1394">
        <w:rPr>
          <w:color w:val="000000" w:themeColor="text1"/>
          <w:lang w:val="en-CA"/>
        </w:rPr>
        <w:t xml:space="preserve"> examining CP’s obligation to </w:t>
      </w:r>
      <w:r w:rsidR="00640695" w:rsidRPr="009A1394">
        <w:rPr>
          <w:color w:val="000000" w:themeColor="text1"/>
          <w:lang w:val="en-CA"/>
        </w:rPr>
        <w:t>conduct</w:t>
      </w:r>
      <w:r w:rsidRPr="009A1394">
        <w:rPr>
          <w:color w:val="000000" w:themeColor="text1"/>
          <w:lang w:val="en-CA"/>
        </w:rPr>
        <w:t xml:space="preserve"> a risk assessment, the judge acknowledge</w:t>
      </w:r>
      <w:r w:rsidR="00963B2B" w:rsidRPr="009A1394">
        <w:rPr>
          <w:color w:val="000000" w:themeColor="text1"/>
          <w:lang w:val="en-CA"/>
        </w:rPr>
        <w:t>d</w:t>
      </w:r>
      <w:r w:rsidRPr="009A1394">
        <w:rPr>
          <w:color w:val="000000" w:themeColor="text1"/>
          <w:lang w:val="en-CA"/>
        </w:rPr>
        <w:t xml:space="preserve"> that a rail</w:t>
      </w:r>
      <w:r w:rsidR="00963B2B" w:rsidRPr="009A1394">
        <w:rPr>
          <w:color w:val="000000" w:themeColor="text1"/>
          <w:lang w:val="en-CA"/>
        </w:rPr>
        <w:t>way</w:t>
      </w:r>
      <w:r w:rsidRPr="009A1394">
        <w:rPr>
          <w:color w:val="000000" w:themeColor="text1"/>
          <w:lang w:val="en-CA"/>
        </w:rPr>
        <w:t xml:space="preserve"> company </w:t>
      </w:r>
      <w:r w:rsidR="00446E79" w:rsidRPr="009A1394">
        <w:rPr>
          <w:color w:val="000000" w:themeColor="text1"/>
          <w:lang w:val="en-CA"/>
        </w:rPr>
        <w:t>can</w:t>
      </w:r>
      <w:r w:rsidRPr="009A1394">
        <w:rPr>
          <w:color w:val="000000" w:themeColor="text1"/>
          <w:lang w:val="en-CA"/>
        </w:rPr>
        <w:t xml:space="preserve"> comply with its legal obligations and industry practices while having a duty to act.</w:t>
      </w:r>
      <w:r w:rsidR="008161A3" w:rsidRPr="009A1394">
        <w:rPr>
          <w:color w:val="000000" w:themeColor="text1"/>
          <w:lang w:val="en-CA"/>
        </w:rPr>
        <w:t xml:space="preserve"> </w:t>
      </w:r>
      <w:r w:rsidRPr="009A1394">
        <w:rPr>
          <w:color w:val="000000" w:themeColor="text1"/>
          <w:lang w:val="en-CA"/>
        </w:rPr>
        <w:t>At paragraph 418, he explain</w:t>
      </w:r>
      <w:r w:rsidR="00963B2B" w:rsidRPr="009A1394">
        <w:rPr>
          <w:color w:val="000000" w:themeColor="text1"/>
          <w:lang w:val="en-CA"/>
        </w:rPr>
        <w:t>ed</w:t>
      </w:r>
      <w:r w:rsidRPr="009A1394">
        <w:rPr>
          <w:color w:val="000000" w:themeColor="text1"/>
          <w:lang w:val="en-CA"/>
        </w:rPr>
        <w:t>:</w:t>
      </w:r>
    </w:p>
    <w:p w14:paraId="2C2D5480" w14:textId="73A9119C" w:rsidR="00963B2B" w:rsidRPr="009A1394" w:rsidRDefault="00963B2B" w:rsidP="00977660">
      <w:pPr>
        <w:pStyle w:val="Citationenretrait"/>
        <w:keepNext/>
        <w:spacing w:before="160" w:after="160"/>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1CF1209C" w14:textId="4B153B8C" w:rsidR="00702A59" w:rsidRPr="009A1394" w:rsidRDefault="00515989" w:rsidP="00977660">
      <w:pPr>
        <w:pStyle w:val="Citationenretrait"/>
        <w:keepNext/>
        <w:spacing w:before="160" w:after="160"/>
        <w:rPr>
          <w:color w:val="000000" w:themeColor="text1"/>
          <w:lang w:val="en-CA"/>
        </w:rPr>
      </w:pPr>
      <w:r w:rsidRPr="009A1394">
        <w:rPr>
          <w:color w:val="000000" w:themeColor="text1"/>
          <w:lang w:val="en-CA"/>
        </w:rPr>
        <w:t>[418]</w:t>
      </w:r>
      <w:r w:rsidR="008161A3" w:rsidRPr="009A1394">
        <w:rPr>
          <w:color w:val="000000" w:themeColor="text1"/>
          <w:lang w:val="en-CA"/>
        </w:rPr>
        <w:tab/>
      </w:r>
      <w:bookmarkStart w:id="11" w:name="_Hlk207008834"/>
      <w:r w:rsidR="00621C23" w:rsidRPr="009A1394">
        <w:rPr>
          <w:color w:val="000000" w:themeColor="text1"/>
          <w:lang w:val="en-CA"/>
        </w:rPr>
        <w:t>It is true that</w:t>
      </w:r>
      <w:r w:rsidRPr="009A1394">
        <w:rPr>
          <w:color w:val="000000" w:themeColor="text1"/>
          <w:lang w:val="en-CA"/>
        </w:rPr>
        <w:t xml:space="preserve"> where there is a clear and obvious situation </w:t>
      </w:r>
      <w:r w:rsidR="00C058F2" w:rsidRPr="009A1394">
        <w:rPr>
          <w:color w:val="000000" w:themeColor="text1"/>
          <w:lang w:val="en-CA"/>
        </w:rPr>
        <w:t>involving</w:t>
      </w:r>
      <w:r w:rsidRPr="009A1394">
        <w:rPr>
          <w:color w:val="000000" w:themeColor="text1"/>
          <w:lang w:val="en-CA"/>
        </w:rPr>
        <w:t xml:space="preserve"> the presence of an imminent and serious risk, no carrier can remain passive</w:t>
      </w:r>
      <w:r w:rsidR="00DE0026" w:rsidRPr="009A1394">
        <w:rPr>
          <w:color w:val="000000" w:themeColor="text1"/>
          <w:lang w:val="en-CA"/>
        </w:rPr>
        <w:t>,</w:t>
      </w:r>
      <w:r w:rsidRPr="009A1394">
        <w:rPr>
          <w:color w:val="000000" w:themeColor="text1"/>
          <w:lang w:val="en-CA"/>
        </w:rPr>
        <w:t xml:space="preserve"> and it is normal in such circumstances to consider that </w:t>
      </w:r>
      <w:r w:rsidR="00C058F2" w:rsidRPr="009A1394">
        <w:rPr>
          <w:color w:val="000000" w:themeColor="text1"/>
          <w:lang w:val="en-CA"/>
        </w:rPr>
        <w:t>it</w:t>
      </w:r>
      <w:r w:rsidRPr="009A1394">
        <w:rPr>
          <w:color w:val="000000" w:themeColor="text1"/>
          <w:lang w:val="en-CA"/>
        </w:rPr>
        <w:t xml:space="preserve"> </w:t>
      </w:r>
      <w:r w:rsidR="00DE0026" w:rsidRPr="009A1394">
        <w:rPr>
          <w:color w:val="000000" w:themeColor="text1"/>
          <w:lang w:val="en-CA"/>
        </w:rPr>
        <w:t>should</w:t>
      </w:r>
      <w:r w:rsidRPr="009A1394">
        <w:rPr>
          <w:color w:val="000000" w:themeColor="text1"/>
          <w:lang w:val="en-CA"/>
        </w:rPr>
        <w:t xml:space="preserve"> then denounce </w:t>
      </w:r>
      <w:r w:rsidR="00DE0026" w:rsidRPr="009A1394">
        <w:rPr>
          <w:color w:val="000000" w:themeColor="text1"/>
          <w:lang w:val="en-CA"/>
        </w:rPr>
        <w:t>these</w:t>
      </w:r>
      <w:r w:rsidRPr="009A1394">
        <w:rPr>
          <w:color w:val="000000" w:themeColor="text1"/>
          <w:lang w:val="en-CA"/>
        </w:rPr>
        <w:t xml:space="preserve"> situations.</w:t>
      </w:r>
      <w:r w:rsidR="008161A3" w:rsidRPr="009A1394">
        <w:rPr>
          <w:color w:val="000000" w:themeColor="text1"/>
          <w:lang w:val="en-CA"/>
        </w:rPr>
        <w:t xml:space="preserve"> </w:t>
      </w:r>
      <w:r w:rsidRPr="009A1394">
        <w:rPr>
          <w:color w:val="000000" w:themeColor="text1"/>
          <w:lang w:val="en-CA"/>
        </w:rPr>
        <w:t xml:space="preserve">However, this does not go so far as to require, as the plaintiffs allege, that a carrier </w:t>
      </w:r>
      <w:r w:rsidR="00640695" w:rsidRPr="009A1394">
        <w:rPr>
          <w:color w:val="000000" w:themeColor="text1"/>
          <w:lang w:val="en-CA"/>
        </w:rPr>
        <w:t>conduct</w:t>
      </w:r>
      <w:r w:rsidRPr="009A1394">
        <w:rPr>
          <w:color w:val="000000" w:themeColor="text1"/>
          <w:lang w:val="en-CA"/>
        </w:rPr>
        <w:t xml:space="preserve"> risk assessments </w:t>
      </w:r>
      <w:r w:rsidR="00C058F2" w:rsidRPr="009A1394">
        <w:rPr>
          <w:color w:val="000000" w:themeColor="text1"/>
          <w:lang w:val="en-CA"/>
        </w:rPr>
        <w:t>outside</w:t>
      </w:r>
      <w:r w:rsidR="00DE0026" w:rsidRPr="009A1394">
        <w:rPr>
          <w:color w:val="000000" w:themeColor="text1"/>
          <w:lang w:val="en-CA"/>
        </w:rPr>
        <w:t xml:space="preserve"> its</w:t>
      </w:r>
      <w:r w:rsidRPr="009A1394">
        <w:rPr>
          <w:color w:val="000000" w:themeColor="text1"/>
          <w:lang w:val="en-CA"/>
        </w:rPr>
        <w:t xml:space="preserve"> network, </w:t>
      </w:r>
      <w:r w:rsidR="00C058F2" w:rsidRPr="009A1394">
        <w:rPr>
          <w:color w:val="000000" w:themeColor="text1"/>
          <w:lang w:val="en-CA"/>
        </w:rPr>
        <w:t xml:space="preserve">and </w:t>
      </w:r>
      <w:r w:rsidRPr="009A1394">
        <w:rPr>
          <w:color w:val="000000" w:themeColor="text1"/>
          <w:lang w:val="en-CA"/>
        </w:rPr>
        <w:t>especially not when the operations</w:t>
      </w:r>
      <w:r w:rsidR="00DE0026" w:rsidRPr="009A1394">
        <w:rPr>
          <w:color w:val="000000" w:themeColor="text1"/>
          <w:lang w:val="en-CA"/>
        </w:rPr>
        <w:t xml:space="preserve"> it is</w:t>
      </w:r>
      <w:r w:rsidRPr="009A1394">
        <w:rPr>
          <w:color w:val="000000" w:themeColor="text1"/>
          <w:lang w:val="en-CA"/>
        </w:rPr>
        <w:t xml:space="preserve"> consider</w:t>
      </w:r>
      <w:r w:rsidR="00DE0026" w:rsidRPr="009A1394">
        <w:rPr>
          <w:color w:val="000000" w:themeColor="text1"/>
          <w:lang w:val="en-CA"/>
        </w:rPr>
        <w:t>ing</w:t>
      </w:r>
      <w:r w:rsidRPr="009A1394">
        <w:rPr>
          <w:color w:val="000000" w:themeColor="text1"/>
          <w:lang w:val="en-CA"/>
        </w:rPr>
        <w:t xml:space="preserve"> are not significant changes with respect to its own operations, but also, at first glance, with respect to the connecting carrier’s own operations</w:t>
      </w:r>
      <w:bookmarkEnd w:id="11"/>
      <w:r w:rsidRPr="009A1394">
        <w:rPr>
          <w:color w:val="000000" w:themeColor="text1"/>
          <w:lang w:val="en-CA"/>
        </w:rPr>
        <w:t>.</w:t>
      </w:r>
    </w:p>
    <w:p w14:paraId="697CC8FA" w14:textId="79743261" w:rsidR="00702A59" w:rsidRPr="009A1394" w:rsidRDefault="00515989" w:rsidP="00977660">
      <w:pPr>
        <w:pStyle w:val="Paragraphe"/>
        <w:numPr>
          <w:ilvl w:val="0"/>
          <w:numId w:val="1"/>
        </w:numPr>
        <w:spacing w:before="160" w:after="160"/>
        <w:rPr>
          <w:color w:val="000000" w:themeColor="text1"/>
          <w:lang w:val="en-CA"/>
        </w:rPr>
      </w:pPr>
      <w:r w:rsidRPr="009A1394">
        <w:rPr>
          <w:color w:val="000000" w:themeColor="text1"/>
          <w:lang w:val="en-CA"/>
        </w:rPr>
        <w:t xml:space="preserve">He came to a similar conclusion </w:t>
      </w:r>
      <w:r w:rsidR="00C058F2" w:rsidRPr="009A1394">
        <w:rPr>
          <w:color w:val="000000" w:themeColor="text1"/>
          <w:lang w:val="en-CA"/>
        </w:rPr>
        <w:t xml:space="preserve">when he </w:t>
      </w:r>
      <w:r w:rsidRPr="009A1394">
        <w:rPr>
          <w:color w:val="000000" w:themeColor="text1"/>
          <w:lang w:val="en-CA"/>
        </w:rPr>
        <w:t>consider</w:t>
      </w:r>
      <w:r w:rsidR="00C058F2" w:rsidRPr="009A1394">
        <w:rPr>
          <w:color w:val="000000" w:themeColor="text1"/>
          <w:lang w:val="en-CA"/>
        </w:rPr>
        <w:t>ed</w:t>
      </w:r>
      <w:r w:rsidRPr="009A1394">
        <w:rPr>
          <w:color w:val="000000" w:themeColor="text1"/>
          <w:lang w:val="en-CA"/>
        </w:rPr>
        <w:t xml:space="preserve"> to what extent a rail carrier </w:t>
      </w:r>
      <w:r w:rsidR="00C058F2" w:rsidRPr="009A1394">
        <w:rPr>
          <w:color w:val="000000" w:themeColor="text1"/>
          <w:lang w:val="en-CA"/>
        </w:rPr>
        <w:t xml:space="preserve">would </w:t>
      </w:r>
      <w:r w:rsidR="00B70784" w:rsidRPr="009A1394">
        <w:rPr>
          <w:color w:val="000000" w:themeColor="text1"/>
          <w:lang w:val="en-CA"/>
        </w:rPr>
        <w:t>be bound</w:t>
      </w:r>
      <w:r w:rsidRPr="009A1394">
        <w:rPr>
          <w:color w:val="000000" w:themeColor="text1"/>
          <w:lang w:val="en-CA"/>
        </w:rPr>
        <w:t xml:space="preserve"> to inter</w:t>
      </w:r>
      <w:r w:rsidR="00C058F2" w:rsidRPr="009A1394">
        <w:rPr>
          <w:color w:val="000000" w:themeColor="text1"/>
          <w:lang w:val="en-CA"/>
        </w:rPr>
        <w:t>vene</w:t>
      </w:r>
      <w:r w:rsidRPr="009A1394">
        <w:rPr>
          <w:color w:val="000000" w:themeColor="text1"/>
          <w:lang w:val="en-CA"/>
        </w:rPr>
        <w:t xml:space="preserve"> in the operations of a connecting carrier to ensure that the latter was complying with safety and security standards.</w:t>
      </w:r>
      <w:r w:rsidR="00FB0D78" w:rsidRPr="009A1394">
        <w:rPr>
          <w:color w:val="000000" w:themeColor="text1"/>
          <w:lang w:val="en-CA"/>
        </w:rPr>
        <w:t xml:space="preserve"> </w:t>
      </w:r>
      <w:r w:rsidR="002641A5" w:rsidRPr="009A1394">
        <w:rPr>
          <w:color w:val="000000" w:themeColor="text1"/>
          <w:lang w:val="en-CA"/>
        </w:rPr>
        <w:t xml:space="preserve">He found </w:t>
      </w:r>
      <w:r w:rsidR="00DE0026" w:rsidRPr="009A1394">
        <w:rPr>
          <w:color w:val="000000" w:themeColor="text1"/>
          <w:lang w:val="en-CA"/>
        </w:rPr>
        <w:t>that</w:t>
      </w:r>
      <w:r w:rsidR="002641A5" w:rsidRPr="009A1394">
        <w:rPr>
          <w:color w:val="000000" w:themeColor="text1"/>
          <w:lang w:val="en-CA"/>
        </w:rPr>
        <w:t xml:space="preserve"> in some </w:t>
      </w:r>
      <w:r w:rsidR="002641A5" w:rsidRPr="009A1394">
        <w:rPr>
          <w:color w:val="000000" w:themeColor="text1"/>
          <w:lang w:val="en-CA"/>
        </w:rPr>
        <w:lastRenderedPageBreak/>
        <w:t>circumstances, the duty to act reasonably would dictate that it intervene even if no rule provid</w:t>
      </w:r>
      <w:r w:rsidR="00C058F2" w:rsidRPr="009A1394">
        <w:rPr>
          <w:color w:val="000000" w:themeColor="text1"/>
          <w:lang w:val="en-CA"/>
        </w:rPr>
        <w:t>ed</w:t>
      </w:r>
      <w:r w:rsidR="002641A5" w:rsidRPr="009A1394">
        <w:rPr>
          <w:color w:val="000000" w:themeColor="text1"/>
          <w:lang w:val="en-CA"/>
        </w:rPr>
        <w:t xml:space="preserve"> for that and industry practices did </w:t>
      </w:r>
      <w:r w:rsidR="00DE0026" w:rsidRPr="009A1394">
        <w:rPr>
          <w:color w:val="000000" w:themeColor="text1"/>
          <w:lang w:val="en-CA"/>
        </w:rPr>
        <w:t>not</w:t>
      </w:r>
      <w:r w:rsidR="002641A5" w:rsidRPr="009A1394">
        <w:rPr>
          <w:color w:val="000000" w:themeColor="text1"/>
          <w:lang w:val="en-CA"/>
        </w:rPr>
        <w:t xml:space="preserve"> require it:</w:t>
      </w:r>
    </w:p>
    <w:p w14:paraId="5A1F9973" w14:textId="619917C5" w:rsidR="00DE0026" w:rsidRPr="009A1394" w:rsidRDefault="00DE0026" w:rsidP="00786F41">
      <w:pPr>
        <w:pStyle w:val="Citationenretrait"/>
        <w:keepNex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765E40C1" w14:textId="79BDA952" w:rsidR="00327E9F" w:rsidRPr="009A1394" w:rsidRDefault="002641A5" w:rsidP="00786F41">
      <w:pPr>
        <w:pStyle w:val="Citationenretrait"/>
        <w:keepNext/>
        <w:rPr>
          <w:color w:val="000000" w:themeColor="text1"/>
          <w:lang w:val="en-CA"/>
        </w:rPr>
      </w:pPr>
      <w:r w:rsidRPr="009A1394">
        <w:rPr>
          <w:color w:val="000000" w:themeColor="text1"/>
          <w:lang w:val="en-CA"/>
        </w:rPr>
        <w:t>[654]</w:t>
      </w:r>
      <w:r w:rsidR="008161A3" w:rsidRPr="009A1394">
        <w:rPr>
          <w:color w:val="000000" w:themeColor="text1"/>
          <w:lang w:val="en-CA"/>
        </w:rPr>
        <w:tab/>
      </w:r>
      <w:r w:rsidR="00621C23" w:rsidRPr="009A1394">
        <w:rPr>
          <w:color w:val="000000" w:themeColor="text1"/>
          <w:lang w:val="en-CA"/>
        </w:rPr>
        <w:t>It is true that</w:t>
      </w:r>
      <w:r w:rsidRPr="009A1394">
        <w:rPr>
          <w:color w:val="000000" w:themeColor="text1"/>
          <w:lang w:val="en-CA"/>
        </w:rPr>
        <w:t xml:space="preserve"> in flagrant cases</w:t>
      </w:r>
      <w:r w:rsidR="00DE0026" w:rsidRPr="009A1394">
        <w:rPr>
          <w:color w:val="000000" w:themeColor="text1"/>
          <w:lang w:val="en-CA"/>
        </w:rPr>
        <w:t>,</w:t>
      </w:r>
      <w:r w:rsidRPr="009A1394">
        <w:rPr>
          <w:color w:val="000000" w:themeColor="text1"/>
          <w:lang w:val="en-CA"/>
        </w:rPr>
        <w:t xml:space="preserve"> or where there are unequivocal </w:t>
      </w:r>
      <w:r w:rsidR="00DE0026" w:rsidRPr="009A1394">
        <w:rPr>
          <w:color w:val="000000" w:themeColor="text1"/>
          <w:lang w:val="en-CA"/>
        </w:rPr>
        <w:t>signs</w:t>
      </w:r>
      <w:r w:rsidRPr="009A1394">
        <w:rPr>
          <w:color w:val="000000" w:themeColor="text1"/>
          <w:lang w:val="en-CA"/>
        </w:rPr>
        <w:t xml:space="preserve">, or when </w:t>
      </w:r>
      <w:r w:rsidR="00DE0026" w:rsidRPr="009A1394">
        <w:rPr>
          <w:color w:val="000000" w:themeColor="text1"/>
          <w:lang w:val="en-CA"/>
        </w:rPr>
        <w:t>informed</w:t>
      </w:r>
      <w:r w:rsidRPr="009A1394">
        <w:rPr>
          <w:color w:val="000000" w:themeColor="text1"/>
          <w:lang w:val="en-CA"/>
        </w:rPr>
        <w:t xml:space="preserve"> of situations that are in and of themselves dangerous, any carrier, placed in that situation, m</w:t>
      </w:r>
      <w:r w:rsidR="00EF08EC" w:rsidRPr="009A1394">
        <w:rPr>
          <w:color w:val="000000" w:themeColor="text1"/>
          <w:lang w:val="en-CA"/>
        </w:rPr>
        <w:t>ay</w:t>
      </w:r>
      <w:r w:rsidRPr="009A1394">
        <w:rPr>
          <w:color w:val="000000" w:themeColor="text1"/>
          <w:lang w:val="en-CA"/>
        </w:rPr>
        <w:t xml:space="preserve"> have a certain obligation to intervene.</w:t>
      </w:r>
    </w:p>
    <w:p w14:paraId="208F0A51" w14:textId="526D6268" w:rsidR="00702A59" w:rsidRPr="009A1394" w:rsidRDefault="002641A5" w:rsidP="00B84769">
      <w:pPr>
        <w:pStyle w:val="Paragraphe"/>
        <w:numPr>
          <w:ilvl w:val="0"/>
          <w:numId w:val="1"/>
        </w:numPr>
        <w:rPr>
          <w:color w:val="000000" w:themeColor="text1"/>
          <w:lang w:val="en-CA"/>
        </w:rPr>
      </w:pPr>
      <w:r w:rsidRPr="009A1394">
        <w:rPr>
          <w:color w:val="000000" w:themeColor="text1"/>
          <w:lang w:val="en-CA"/>
        </w:rPr>
        <w:t xml:space="preserve">The judge in fact </w:t>
      </w:r>
      <w:r w:rsidR="007C5B64" w:rsidRPr="009A1394">
        <w:rPr>
          <w:color w:val="000000" w:themeColor="text1"/>
          <w:lang w:val="en-CA"/>
        </w:rPr>
        <w:t>asked himself</w:t>
      </w:r>
      <w:r w:rsidRPr="009A1394">
        <w:rPr>
          <w:color w:val="000000" w:themeColor="text1"/>
          <w:lang w:val="en-CA"/>
        </w:rPr>
        <w:t xml:space="preserve"> </w:t>
      </w:r>
      <w:r w:rsidR="007C5B64" w:rsidRPr="009A1394">
        <w:rPr>
          <w:color w:val="000000" w:themeColor="text1"/>
          <w:lang w:val="en-CA"/>
        </w:rPr>
        <w:t>whether</w:t>
      </w:r>
      <w:r w:rsidRPr="009A1394">
        <w:rPr>
          <w:color w:val="000000" w:themeColor="text1"/>
          <w:lang w:val="en-CA"/>
        </w:rPr>
        <w:t xml:space="preserve"> CP’s </w:t>
      </w:r>
      <w:r w:rsidR="007C5B64" w:rsidRPr="009A1394">
        <w:rPr>
          <w:color w:val="000000" w:themeColor="text1"/>
          <w:lang w:val="en-CA"/>
        </w:rPr>
        <w:t>knowledge</w:t>
      </w:r>
      <w:r w:rsidRPr="009A1394">
        <w:rPr>
          <w:color w:val="000000" w:themeColor="text1"/>
          <w:lang w:val="en-CA"/>
        </w:rPr>
        <w:t xml:space="preserve"> of MMA’s </w:t>
      </w:r>
      <w:r w:rsidR="00B70784" w:rsidRPr="009A1394">
        <w:rPr>
          <w:color w:val="000000" w:themeColor="text1"/>
          <w:lang w:val="en-CA"/>
        </w:rPr>
        <w:t>practices</w:t>
      </w:r>
      <w:r w:rsidRPr="009A1394">
        <w:rPr>
          <w:color w:val="000000" w:themeColor="text1"/>
          <w:lang w:val="en-CA"/>
        </w:rPr>
        <w:t xml:space="preserve"> could have </w:t>
      </w:r>
      <w:r w:rsidR="006A1712" w:rsidRPr="009A1394">
        <w:rPr>
          <w:color w:val="000000" w:themeColor="text1"/>
          <w:lang w:val="en-CA"/>
        </w:rPr>
        <w:t xml:space="preserve">given rise to a </w:t>
      </w:r>
      <w:r w:rsidRPr="009A1394">
        <w:rPr>
          <w:color w:val="000000" w:themeColor="text1"/>
          <w:lang w:val="en-CA"/>
        </w:rPr>
        <w:t>duty</w:t>
      </w:r>
      <w:r w:rsidR="006A1712" w:rsidRPr="009A1394">
        <w:rPr>
          <w:color w:val="000000" w:themeColor="text1"/>
          <w:lang w:val="en-CA"/>
        </w:rPr>
        <w:t xml:space="preserve"> on its part</w:t>
      </w:r>
      <w:r w:rsidRPr="009A1394">
        <w:rPr>
          <w:color w:val="000000" w:themeColor="text1"/>
          <w:lang w:val="en-CA"/>
        </w:rPr>
        <w:t xml:space="preserve"> to intervene in </w:t>
      </w:r>
      <w:r w:rsidR="006A1712" w:rsidRPr="009A1394">
        <w:rPr>
          <w:color w:val="000000" w:themeColor="text1"/>
          <w:lang w:val="en-CA"/>
        </w:rPr>
        <w:t>the latter’s</w:t>
      </w:r>
      <w:r w:rsidRPr="009A1394">
        <w:rPr>
          <w:color w:val="000000" w:themeColor="text1"/>
          <w:lang w:val="en-CA"/>
        </w:rPr>
        <w:t xml:space="preserve"> operations:</w:t>
      </w:r>
    </w:p>
    <w:p w14:paraId="5A8FDDC3" w14:textId="64905285" w:rsidR="00DE0026" w:rsidRPr="009A1394" w:rsidRDefault="00DE0026" w:rsidP="008E18C8">
      <w:pPr>
        <w:pStyle w:val="Citationenretrait"/>
        <w:keepNex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2A8B88CA" w14:textId="0986CAD9" w:rsidR="00702A59" w:rsidRPr="009A1394" w:rsidRDefault="002641A5" w:rsidP="008E18C8">
      <w:pPr>
        <w:pStyle w:val="Citationenretrait"/>
        <w:keepNext/>
        <w:rPr>
          <w:color w:val="000000" w:themeColor="text1"/>
          <w:lang w:val="en-CA"/>
        </w:rPr>
      </w:pPr>
      <w:r w:rsidRPr="009A1394">
        <w:rPr>
          <w:color w:val="000000" w:themeColor="text1"/>
          <w:lang w:val="en-CA"/>
        </w:rPr>
        <w:t>[672]</w:t>
      </w:r>
      <w:r w:rsidR="008161A3" w:rsidRPr="009A1394">
        <w:rPr>
          <w:color w:val="000000" w:themeColor="text1"/>
          <w:lang w:val="en-CA"/>
        </w:rPr>
        <w:tab/>
      </w:r>
      <w:r w:rsidR="00B60173" w:rsidRPr="009A1394">
        <w:rPr>
          <w:color w:val="000000" w:themeColor="text1"/>
          <w:lang w:val="en-CA"/>
        </w:rPr>
        <w:t xml:space="preserve">What must therefore be determined </w:t>
      </w:r>
      <w:r w:rsidR="006A1712" w:rsidRPr="009A1394">
        <w:rPr>
          <w:color w:val="000000" w:themeColor="text1"/>
          <w:lang w:val="en-CA"/>
        </w:rPr>
        <w:t>involves</w:t>
      </w:r>
      <w:r w:rsidR="00B60173" w:rsidRPr="009A1394">
        <w:rPr>
          <w:color w:val="000000" w:themeColor="text1"/>
          <w:lang w:val="en-CA"/>
        </w:rPr>
        <w:t xml:space="preserve"> CP’s </w:t>
      </w:r>
      <w:r w:rsidR="007C5B64" w:rsidRPr="009A1394">
        <w:rPr>
          <w:color w:val="000000" w:themeColor="text1"/>
          <w:lang w:val="en-CA"/>
        </w:rPr>
        <w:t>knowledge</w:t>
      </w:r>
      <w:r w:rsidR="00B60173" w:rsidRPr="009A1394">
        <w:rPr>
          <w:color w:val="000000" w:themeColor="text1"/>
          <w:lang w:val="en-CA"/>
        </w:rPr>
        <w:t xml:space="preserve"> of these actions alleged against MMA or its employees </w:t>
      </w:r>
      <w:r w:rsidR="00DE0026" w:rsidRPr="009A1394">
        <w:rPr>
          <w:color w:val="000000" w:themeColor="text1"/>
          <w:lang w:val="en-CA"/>
        </w:rPr>
        <w:t>and</w:t>
      </w:r>
      <w:r w:rsidR="00B60173" w:rsidRPr="009A1394">
        <w:rPr>
          <w:color w:val="000000" w:themeColor="text1"/>
          <w:lang w:val="en-CA"/>
        </w:rPr>
        <w:t xml:space="preserve"> </w:t>
      </w:r>
      <w:r w:rsidR="006A1712" w:rsidRPr="009A1394">
        <w:rPr>
          <w:color w:val="000000" w:themeColor="text1"/>
          <w:lang w:val="en-CA"/>
        </w:rPr>
        <w:t>assessing</w:t>
      </w:r>
      <w:r w:rsidR="00B60173" w:rsidRPr="009A1394">
        <w:rPr>
          <w:color w:val="000000" w:themeColor="text1"/>
          <w:lang w:val="en-CA"/>
        </w:rPr>
        <w:t xml:space="preserve">, </w:t>
      </w:r>
      <w:r w:rsidR="006A1712" w:rsidRPr="009A1394">
        <w:rPr>
          <w:color w:val="000000" w:themeColor="text1"/>
          <w:lang w:val="en-CA"/>
        </w:rPr>
        <w:t>in light of</w:t>
      </w:r>
      <w:r w:rsidR="00B60173" w:rsidRPr="009A1394">
        <w:rPr>
          <w:color w:val="000000" w:themeColor="text1"/>
          <w:lang w:val="en-CA"/>
        </w:rPr>
        <w:t xml:space="preserve"> all the circumstances, whether CP was negligent in failing to intervene.</w:t>
      </w:r>
    </w:p>
    <w:p w14:paraId="00CCEE4E" w14:textId="3512C0A6" w:rsidR="00FB0D78" w:rsidRPr="009A1394" w:rsidRDefault="00027475" w:rsidP="00B84769">
      <w:pPr>
        <w:pStyle w:val="Paragraphe"/>
        <w:numPr>
          <w:ilvl w:val="0"/>
          <w:numId w:val="1"/>
        </w:numPr>
        <w:rPr>
          <w:color w:val="000000" w:themeColor="text1"/>
          <w:lang w:val="en-CA"/>
        </w:rPr>
      </w:pPr>
      <w:r w:rsidRPr="009A1394">
        <w:rPr>
          <w:lang w:val="en-CA"/>
        </w:rPr>
        <w:t>Accordingly</w:t>
      </w:r>
      <w:r w:rsidR="00B60173" w:rsidRPr="009A1394">
        <w:rPr>
          <w:lang w:val="en-CA"/>
        </w:rPr>
        <w:t xml:space="preserve">, he applied the analytical framework under article 1457 </w:t>
      </w:r>
      <w:r w:rsidR="00B60173" w:rsidRPr="009A1394">
        <w:rPr>
          <w:i/>
          <w:lang w:val="en-CA"/>
        </w:rPr>
        <w:t>CCQ</w:t>
      </w:r>
      <w:r w:rsidR="00B60173" w:rsidRPr="009A1394">
        <w:rPr>
          <w:lang w:val="en-CA"/>
        </w:rPr>
        <w:t>.</w:t>
      </w:r>
    </w:p>
    <w:p w14:paraId="460B6C2C" w14:textId="663C89D1" w:rsidR="00702A59" w:rsidRPr="009A1394" w:rsidRDefault="00B60173" w:rsidP="00B84769">
      <w:pPr>
        <w:pStyle w:val="Paragraphe"/>
        <w:numPr>
          <w:ilvl w:val="0"/>
          <w:numId w:val="1"/>
        </w:numPr>
        <w:rPr>
          <w:color w:val="000000" w:themeColor="text1"/>
          <w:lang w:val="en-CA"/>
        </w:rPr>
      </w:pPr>
      <w:r w:rsidRPr="009A1394">
        <w:rPr>
          <w:color w:val="000000" w:themeColor="text1"/>
          <w:lang w:val="en-CA"/>
        </w:rPr>
        <w:t>The judge’s approach confirms that he correctly directed himself in law.</w:t>
      </w:r>
      <w:r w:rsidR="00C749CB" w:rsidRPr="009A1394">
        <w:rPr>
          <w:color w:val="000000" w:themeColor="text1"/>
          <w:lang w:val="en-CA"/>
        </w:rPr>
        <w:t xml:space="preserve"> </w:t>
      </w:r>
      <w:r w:rsidRPr="009A1394">
        <w:rPr>
          <w:color w:val="000000" w:themeColor="text1"/>
          <w:lang w:val="en-CA"/>
        </w:rPr>
        <w:t xml:space="preserve">The fact that he did not conclude each section of his analysis by </w:t>
      </w:r>
      <w:r w:rsidR="00DD7D47" w:rsidRPr="009A1394">
        <w:rPr>
          <w:color w:val="000000" w:themeColor="text1"/>
          <w:lang w:val="en-CA"/>
        </w:rPr>
        <w:t>explicitly</w:t>
      </w:r>
      <w:r w:rsidRPr="009A1394">
        <w:rPr>
          <w:color w:val="000000" w:themeColor="text1"/>
          <w:lang w:val="en-CA"/>
        </w:rPr>
        <w:t xml:space="preserve"> writing that CP did not commit a fault because its conduct </w:t>
      </w:r>
      <w:r w:rsidR="00DD7D47" w:rsidRPr="009A1394">
        <w:rPr>
          <w:color w:val="000000" w:themeColor="text1"/>
          <w:lang w:val="en-CA"/>
        </w:rPr>
        <w:t>was</w:t>
      </w:r>
      <w:r w:rsidRPr="009A1394">
        <w:rPr>
          <w:color w:val="000000" w:themeColor="text1"/>
          <w:lang w:val="en-CA"/>
        </w:rPr>
        <w:t xml:space="preserve"> that </w:t>
      </w:r>
      <w:r w:rsidR="00DD7D47" w:rsidRPr="009A1394">
        <w:rPr>
          <w:color w:val="000000" w:themeColor="text1"/>
          <w:lang w:val="en-CA"/>
        </w:rPr>
        <w:t>of</w:t>
      </w:r>
      <w:r w:rsidRPr="009A1394">
        <w:rPr>
          <w:color w:val="000000" w:themeColor="text1"/>
          <w:lang w:val="en-CA"/>
        </w:rPr>
        <w:t xml:space="preserve"> a reasonable rail</w:t>
      </w:r>
      <w:r w:rsidR="00DD7D47" w:rsidRPr="009A1394">
        <w:rPr>
          <w:color w:val="000000" w:themeColor="text1"/>
          <w:lang w:val="en-CA"/>
        </w:rPr>
        <w:t>way</w:t>
      </w:r>
      <w:r w:rsidRPr="009A1394">
        <w:rPr>
          <w:color w:val="000000" w:themeColor="text1"/>
          <w:lang w:val="en-CA"/>
        </w:rPr>
        <w:t xml:space="preserve"> company in similar </w:t>
      </w:r>
      <w:r w:rsidR="00DD7D47" w:rsidRPr="009A1394">
        <w:rPr>
          <w:color w:val="000000" w:themeColor="text1"/>
          <w:lang w:val="en-CA"/>
        </w:rPr>
        <w:t>circumstances</w:t>
      </w:r>
      <w:r w:rsidRPr="009A1394">
        <w:rPr>
          <w:color w:val="000000" w:themeColor="text1"/>
          <w:lang w:val="en-CA"/>
        </w:rPr>
        <w:t xml:space="preserve"> does not mean that the rules of civil liability were set aside.</w:t>
      </w:r>
      <w:r w:rsidR="00C749CB" w:rsidRPr="009A1394">
        <w:rPr>
          <w:color w:val="000000" w:themeColor="text1"/>
          <w:lang w:val="en-CA"/>
        </w:rPr>
        <w:t xml:space="preserve"> </w:t>
      </w:r>
      <w:r w:rsidRPr="009A1394">
        <w:rPr>
          <w:color w:val="000000" w:themeColor="text1"/>
          <w:lang w:val="en-CA"/>
        </w:rPr>
        <w:t xml:space="preserve">On the contrary, they appear </w:t>
      </w:r>
      <w:r w:rsidR="00FD3DF0" w:rsidRPr="009A1394">
        <w:rPr>
          <w:color w:val="000000" w:themeColor="text1"/>
          <w:lang w:val="en-CA"/>
        </w:rPr>
        <w:t>implicitly</w:t>
      </w:r>
      <w:r w:rsidRPr="009A1394">
        <w:rPr>
          <w:color w:val="000000" w:themeColor="text1"/>
          <w:lang w:val="en-CA"/>
        </w:rPr>
        <w:t xml:space="preserve"> throughout his</w:t>
      </w:r>
      <w:r w:rsidR="006A1712" w:rsidRPr="009A1394">
        <w:rPr>
          <w:color w:val="000000" w:themeColor="text1"/>
          <w:lang w:val="en-CA"/>
        </w:rPr>
        <w:t xml:space="preserve"> fault</w:t>
      </w:r>
      <w:r w:rsidRPr="009A1394">
        <w:rPr>
          <w:color w:val="000000" w:themeColor="text1"/>
          <w:lang w:val="en-CA"/>
        </w:rPr>
        <w:t xml:space="preserve"> analysis.</w:t>
      </w:r>
    </w:p>
    <w:p w14:paraId="7AFAF0EF" w14:textId="25311BA8" w:rsidR="00682665" w:rsidRPr="009A1394" w:rsidRDefault="00B60173" w:rsidP="00B84769">
      <w:pPr>
        <w:pStyle w:val="Paragraphe"/>
        <w:numPr>
          <w:ilvl w:val="0"/>
          <w:numId w:val="1"/>
        </w:numPr>
        <w:rPr>
          <w:color w:val="000000" w:themeColor="text1"/>
          <w:lang w:val="en-CA"/>
        </w:rPr>
      </w:pPr>
      <w:r w:rsidRPr="009A1394">
        <w:rPr>
          <w:color w:val="000000" w:themeColor="text1"/>
          <w:lang w:val="en-CA"/>
        </w:rPr>
        <w:t>This first ground of appeal must therefore fail.</w:t>
      </w:r>
    </w:p>
    <w:p w14:paraId="56F27B19" w14:textId="59DFBA9A" w:rsidR="00702A59" w:rsidRPr="009A1394" w:rsidRDefault="00FD3DF0" w:rsidP="00FD3DF0">
      <w:pPr>
        <w:pStyle w:val="Titre2"/>
        <w:rPr>
          <w:lang w:val="en-CA"/>
        </w:rPr>
      </w:pPr>
      <w:r w:rsidRPr="009A1394">
        <w:rPr>
          <w:lang w:val="en-CA"/>
        </w:rPr>
        <w:t xml:space="preserve">Did the judge </w:t>
      </w:r>
      <w:r w:rsidR="00B70784" w:rsidRPr="009A1394">
        <w:rPr>
          <w:lang w:val="en-CA"/>
        </w:rPr>
        <w:t>err in finding</w:t>
      </w:r>
      <w:r w:rsidRPr="009A1394">
        <w:rPr>
          <w:lang w:val="en-CA"/>
        </w:rPr>
        <w:t xml:space="preserve"> that CP did not have to </w:t>
      </w:r>
      <w:r w:rsidR="003A6F8F" w:rsidRPr="009A1394">
        <w:rPr>
          <w:lang w:val="en-CA"/>
        </w:rPr>
        <w:t xml:space="preserve">perform </w:t>
      </w:r>
      <w:r w:rsidRPr="009A1394">
        <w:rPr>
          <w:lang w:val="en-CA"/>
        </w:rPr>
        <w:t>a risk assessment</w:t>
      </w:r>
      <w:r w:rsidR="00576187" w:rsidRPr="009A1394">
        <w:rPr>
          <w:lang w:val="en-CA"/>
        </w:rPr>
        <w:t>?</w:t>
      </w:r>
    </w:p>
    <w:p w14:paraId="40DC287D" w14:textId="163228B6" w:rsidR="002B58BA" w:rsidRPr="009A1394" w:rsidRDefault="00027A3C" w:rsidP="004B1090">
      <w:pPr>
        <w:pStyle w:val="Titre3"/>
        <w:rPr>
          <w:lang w:val="en-CA"/>
        </w:rPr>
      </w:pPr>
      <w:r w:rsidRPr="009A1394">
        <w:rPr>
          <w:lang w:val="en-CA"/>
        </w:rPr>
        <w:t>Appellants’ position</w:t>
      </w:r>
    </w:p>
    <w:p w14:paraId="2F694E84" w14:textId="07AF159B" w:rsidR="00702A59" w:rsidRPr="009A1394" w:rsidRDefault="00EB1F5E" w:rsidP="00C85A7A">
      <w:pPr>
        <w:pStyle w:val="Paragraphe"/>
        <w:keepNext/>
        <w:numPr>
          <w:ilvl w:val="0"/>
          <w:numId w:val="1"/>
        </w:numPr>
        <w:rPr>
          <w:color w:val="000000" w:themeColor="text1"/>
          <w:szCs w:val="24"/>
          <w:lang w:val="en-CA"/>
        </w:rPr>
      </w:pPr>
      <w:r w:rsidRPr="009A1394">
        <w:rPr>
          <w:color w:val="000000" w:themeColor="text1"/>
          <w:szCs w:val="24"/>
          <w:lang w:val="en-CA"/>
        </w:rPr>
        <w:t xml:space="preserve">The appellants argue that the judge </w:t>
      </w:r>
      <w:r w:rsidR="00F07DE7" w:rsidRPr="009A1394">
        <w:rPr>
          <w:color w:val="000000" w:themeColor="text1"/>
          <w:szCs w:val="24"/>
          <w:lang w:val="en-CA"/>
        </w:rPr>
        <w:t>erred</w:t>
      </w:r>
      <w:r w:rsidRPr="009A1394">
        <w:rPr>
          <w:color w:val="000000" w:themeColor="text1"/>
          <w:szCs w:val="24"/>
          <w:lang w:val="en-CA"/>
        </w:rPr>
        <w:t xml:space="preserve"> in finding that CP did not have to </w:t>
      </w:r>
      <w:r w:rsidR="001B26E8" w:rsidRPr="009A1394">
        <w:rPr>
          <w:color w:val="000000" w:themeColor="text1"/>
          <w:szCs w:val="24"/>
          <w:lang w:val="en-CA"/>
        </w:rPr>
        <w:t xml:space="preserve">perform </w:t>
      </w:r>
      <w:r w:rsidRPr="009A1394">
        <w:rPr>
          <w:color w:val="000000" w:themeColor="text1"/>
          <w:szCs w:val="24"/>
          <w:lang w:val="en-CA"/>
        </w:rPr>
        <w:t xml:space="preserve">a risk </w:t>
      </w:r>
      <w:r w:rsidR="00F96A46" w:rsidRPr="009A1394">
        <w:rPr>
          <w:color w:val="000000" w:themeColor="text1"/>
          <w:szCs w:val="24"/>
          <w:lang w:val="en-CA"/>
        </w:rPr>
        <w:t>assessment</w:t>
      </w:r>
      <w:r w:rsidRPr="009A1394">
        <w:rPr>
          <w:color w:val="000000" w:themeColor="text1"/>
          <w:szCs w:val="24"/>
          <w:lang w:val="en-CA"/>
        </w:rPr>
        <w:t xml:space="preserve"> </w:t>
      </w:r>
      <w:r w:rsidR="00027475" w:rsidRPr="009A1394">
        <w:rPr>
          <w:color w:val="000000" w:themeColor="text1"/>
          <w:szCs w:val="24"/>
          <w:lang w:val="en-CA"/>
        </w:rPr>
        <w:t>t</w:t>
      </w:r>
      <w:r w:rsidRPr="009A1394">
        <w:rPr>
          <w:color w:val="000000" w:themeColor="text1"/>
          <w:szCs w:val="24"/>
          <w:lang w:val="en-CA"/>
        </w:rPr>
        <w:t>hat would have taken into consideration the fact that it would be using MMA as the connecting carrier.</w:t>
      </w:r>
    </w:p>
    <w:p w14:paraId="75F5EF06" w14:textId="7CC55973" w:rsidR="00702A59" w:rsidRPr="009A1394" w:rsidRDefault="00EB1F5E" w:rsidP="00C85A7A">
      <w:pPr>
        <w:pStyle w:val="Paragraphe"/>
        <w:numPr>
          <w:ilvl w:val="0"/>
          <w:numId w:val="1"/>
        </w:numPr>
        <w:rPr>
          <w:color w:val="000000" w:themeColor="text1"/>
          <w:szCs w:val="24"/>
          <w:lang w:val="en-CA"/>
        </w:rPr>
      </w:pPr>
      <w:r w:rsidRPr="009A1394">
        <w:rPr>
          <w:color w:val="000000" w:themeColor="text1"/>
          <w:szCs w:val="24"/>
          <w:lang w:val="en-CA"/>
        </w:rPr>
        <w:t xml:space="preserve">They argue that the transportation of crude oil from the Bakken </w:t>
      </w:r>
      <w:r w:rsidR="00676A6B" w:rsidRPr="009A1394">
        <w:rPr>
          <w:color w:val="000000" w:themeColor="text1"/>
          <w:szCs w:val="24"/>
          <w:lang w:val="en-CA"/>
        </w:rPr>
        <w:t>Formation</w:t>
      </w:r>
      <w:r w:rsidRPr="009A1394">
        <w:rPr>
          <w:color w:val="000000" w:themeColor="text1"/>
          <w:szCs w:val="24"/>
          <w:lang w:val="en-CA"/>
        </w:rPr>
        <w:t xml:space="preserve"> </w:t>
      </w:r>
      <w:r w:rsidR="00F07DE7" w:rsidRPr="009A1394">
        <w:rPr>
          <w:color w:val="000000" w:themeColor="text1"/>
          <w:szCs w:val="24"/>
          <w:lang w:val="en-CA"/>
        </w:rPr>
        <w:t>meant that</w:t>
      </w:r>
      <w:r w:rsidRPr="009A1394">
        <w:rPr>
          <w:color w:val="000000" w:themeColor="text1"/>
          <w:szCs w:val="24"/>
          <w:lang w:val="en-CA"/>
        </w:rPr>
        <w:t xml:space="preserve"> CP </w:t>
      </w:r>
      <w:r w:rsidR="00F07DE7" w:rsidRPr="009A1394">
        <w:rPr>
          <w:color w:val="000000" w:themeColor="text1"/>
          <w:szCs w:val="24"/>
          <w:lang w:val="en-CA"/>
        </w:rPr>
        <w:t>had to make</w:t>
      </w:r>
      <w:r w:rsidR="00027475" w:rsidRPr="009A1394">
        <w:rPr>
          <w:color w:val="000000" w:themeColor="text1"/>
          <w:szCs w:val="24"/>
          <w:lang w:val="en-CA"/>
        </w:rPr>
        <w:t xml:space="preserve"> </w:t>
      </w:r>
      <w:r w:rsidRPr="009A1394">
        <w:rPr>
          <w:color w:val="000000" w:themeColor="text1"/>
          <w:szCs w:val="24"/>
          <w:lang w:val="en-CA"/>
        </w:rPr>
        <w:t xml:space="preserve">significant changes to its operations </w:t>
      </w:r>
      <w:r w:rsidR="00F96A46" w:rsidRPr="009A1394">
        <w:rPr>
          <w:color w:val="000000" w:themeColor="text1"/>
          <w:szCs w:val="24"/>
          <w:lang w:val="en-CA"/>
        </w:rPr>
        <w:t>because</w:t>
      </w:r>
      <w:r w:rsidRPr="009A1394">
        <w:rPr>
          <w:color w:val="000000" w:themeColor="text1"/>
          <w:szCs w:val="24"/>
          <w:lang w:val="en-CA"/>
        </w:rPr>
        <w:t xml:space="preserve"> of the particular characteristics of that product.</w:t>
      </w:r>
      <w:r w:rsidR="008161A3" w:rsidRPr="009A1394">
        <w:rPr>
          <w:rStyle w:val="Appelnotedebasdep"/>
          <w:color w:val="000000" w:themeColor="text1"/>
          <w:szCs w:val="24"/>
          <w:lang w:val="en-CA"/>
        </w:rPr>
        <w:footnoteReference w:id="189"/>
      </w:r>
      <w:r w:rsidR="00F07DE7" w:rsidRPr="009A1394">
        <w:rPr>
          <w:color w:val="000000" w:themeColor="text1"/>
          <w:szCs w:val="24"/>
          <w:lang w:val="en-CA"/>
        </w:rPr>
        <w:t xml:space="preserve"> </w:t>
      </w:r>
      <w:r w:rsidRPr="009A1394">
        <w:rPr>
          <w:color w:val="000000" w:themeColor="text1"/>
          <w:szCs w:val="24"/>
          <w:lang w:val="en-CA"/>
        </w:rPr>
        <w:t xml:space="preserve">Section 2 of the </w:t>
      </w:r>
      <w:r w:rsidRPr="009A1394">
        <w:rPr>
          <w:i/>
          <w:iCs/>
          <w:color w:val="000000" w:themeColor="text1"/>
          <w:szCs w:val="24"/>
          <w:lang w:val="en-CA"/>
        </w:rPr>
        <w:t>Regulation</w:t>
      </w:r>
      <w:r w:rsidR="00F07DE7" w:rsidRPr="009A1394">
        <w:rPr>
          <w:i/>
          <w:iCs/>
          <w:color w:val="000000" w:themeColor="text1"/>
          <w:szCs w:val="24"/>
          <w:lang w:val="en-CA"/>
        </w:rPr>
        <w:t>s</w:t>
      </w:r>
      <w:r w:rsidRPr="009A1394">
        <w:rPr>
          <w:color w:val="000000" w:themeColor="text1"/>
          <w:szCs w:val="24"/>
          <w:lang w:val="en-CA"/>
        </w:rPr>
        <w:t xml:space="preserve">, and </w:t>
      </w:r>
      <w:r w:rsidR="00F96A46" w:rsidRPr="009A1394">
        <w:rPr>
          <w:color w:val="000000" w:themeColor="text1"/>
          <w:szCs w:val="24"/>
          <w:lang w:val="en-CA"/>
        </w:rPr>
        <w:t>CP’s</w:t>
      </w:r>
      <w:r w:rsidRPr="009A1394">
        <w:rPr>
          <w:color w:val="000000" w:themeColor="text1"/>
          <w:szCs w:val="24"/>
          <w:lang w:val="en-CA"/>
        </w:rPr>
        <w:t xml:space="preserve"> duty to act reasonably, </w:t>
      </w:r>
      <w:r w:rsidR="00B3023B" w:rsidRPr="009A1394">
        <w:rPr>
          <w:color w:val="000000" w:themeColor="text1"/>
          <w:szCs w:val="24"/>
          <w:lang w:val="en-CA"/>
        </w:rPr>
        <w:t xml:space="preserve">therefore </w:t>
      </w:r>
      <w:r w:rsidR="00F07DE7" w:rsidRPr="009A1394">
        <w:rPr>
          <w:color w:val="000000" w:themeColor="text1"/>
          <w:szCs w:val="24"/>
          <w:lang w:val="en-CA"/>
        </w:rPr>
        <w:t>required</w:t>
      </w:r>
      <w:r w:rsidRPr="009A1394">
        <w:rPr>
          <w:color w:val="000000" w:themeColor="text1"/>
          <w:szCs w:val="24"/>
          <w:lang w:val="en-CA"/>
        </w:rPr>
        <w:t xml:space="preserve"> that it </w:t>
      </w:r>
      <w:r w:rsidR="00640695" w:rsidRPr="009A1394">
        <w:rPr>
          <w:color w:val="000000" w:themeColor="text1"/>
          <w:szCs w:val="24"/>
          <w:lang w:val="en-CA"/>
        </w:rPr>
        <w:t>conduct</w:t>
      </w:r>
      <w:r w:rsidRPr="009A1394">
        <w:rPr>
          <w:color w:val="000000" w:themeColor="text1"/>
          <w:szCs w:val="24"/>
          <w:lang w:val="en-CA"/>
        </w:rPr>
        <w:t xml:space="preserve"> a risk assessment that would have allowed </w:t>
      </w:r>
      <w:r w:rsidRPr="009A1394">
        <w:rPr>
          <w:color w:val="000000" w:themeColor="text1"/>
          <w:szCs w:val="24"/>
          <w:lang w:val="en-CA"/>
        </w:rPr>
        <w:lastRenderedPageBreak/>
        <w:t xml:space="preserve">it </w:t>
      </w:r>
      <w:r w:rsidR="00B3023B" w:rsidRPr="009A1394">
        <w:rPr>
          <w:color w:val="000000" w:themeColor="text1"/>
          <w:szCs w:val="24"/>
          <w:lang w:val="en-CA"/>
        </w:rPr>
        <w:t xml:space="preserve">to </w:t>
      </w:r>
      <w:r w:rsidR="0022400B" w:rsidRPr="009A1394">
        <w:rPr>
          <w:color w:val="000000" w:themeColor="text1"/>
          <w:szCs w:val="24"/>
          <w:lang w:val="en-CA"/>
        </w:rPr>
        <w:t xml:space="preserve">identify </w:t>
      </w:r>
      <w:r w:rsidRPr="009A1394">
        <w:rPr>
          <w:color w:val="000000" w:themeColor="text1"/>
          <w:szCs w:val="24"/>
          <w:lang w:val="en-CA"/>
        </w:rPr>
        <w:t>those risks and mitigate them.</w:t>
      </w:r>
      <w:r w:rsidR="00E66F49" w:rsidRPr="009A1394">
        <w:rPr>
          <w:color w:val="000000" w:themeColor="text1"/>
          <w:szCs w:val="24"/>
          <w:lang w:val="en-CA"/>
        </w:rPr>
        <w:t xml:space="preserve"> </w:t>
      </w:r>
      <w:r w:rsidRPr="009A1394">
        <w:rPr>
          <w:color w:val="000000" w:themeColor="text1"/>
          <w:szCs w:val="24"/>
          <w:lang w:val="en-CA"/>
        </w:rPr>
        <w:t xml:space="preserve">To prove their point, the appellants </w:t>
      </w:r>
      <w:r w:rsidR="00F07DE7" w:rsidRPr="009A1394">
        <w:rPr>
          <w:color w:val="000000" w:themeColor="text1"/>
          <w:szCs w:val="24"/>
          <w:lang w:val="en-CA"/>
        </w:rPr>
        <w:t>highlighted</w:t>
      </w:r>
      <w:r w:rsidRPr="009A1394">
        <w:rPr>
          <w:color w:val="000000" w:themeColor="text1"/>
          <w:szCs w:val="24"/>
          <w:lang w:val="en-CA"/>
        </w:rPr>
        <w:t xml:space="preserve"> the following:</w:t>
      </w:r>
    </w:p>
    <w:p w14:paraId="76DFA78C" w14:textId="4D75A06A" w:rsidR="00702A59" w:rsidRPr="009A1394" w:rsidRDefault="00442F83" w:rsidP="00C85A7A">
      <w:pPr>
        <w:pStyle w:val="Listenumros2"/>
        <w:rPr>
          <w:lang w:val="en-CA"/>
        </w:rPr>
      </w:pPr>
      <w:r w:rsidRPr="009A1394">
        <w:rPr>
          <w:lang w:val="en-CA"/>
        </w:rPr>
        <w:t xml:space="preserve">Transportation of crude oil in </w:t>
      </w:r>
      <w:r w:rsidR="00F96A46" w:rsidRPr="009A1394">
        <w:rPr>
          <w:lang w:val="en-CA"/>
        </w:rPr>
        <w:t>[</w:t>
      </w:r>
      <w:r w:rsidR="00F96A46" w:rsidRPr="009A1394">
        <w:rPr>
          <w:smallCaps/>
          <w:lang w:val="en-CA"/>
        </w:rPr>
        <w:t>translation</w:t>
      </w:r>
      <w:r w:rsidR="00F96A46" w:rsidRPr="009A1394">
        <w:rPr>
          <w:lang w:val="en-CA"/>
        </w:rPr>
        <w:t xml:space="preserve">] </w:t>
      </w:r>
      <w:r w:rsidRPr="009A1394">
        <w:rPr>
          <w:lang w:val="en-CA"/>
        </w:rPr>
        <w:t xml:space="preserve">“unit trains” through </w:t>
      </w:r>
      <w:r w:rsidR="00F07DE7" w:rsidRPr="009A1394">
        <w:rPr>
          <w:lang w:val="en-CA"/>
        </w:rPr>
        <w:t xml:space="preserve">a </w:t>
      </w:r>
      <w:r w:rsidRPr="009A1394">
        <w:rPr>
          <w:lang w:val="en-CA"/>
        </w:rPr>
        <w:t>shortline railway or</w:t>
      </w:r>
      <w:r w:rsidR="00F07DE7" w:rsidRPr="009A1394">
        <w:rPr>
          <w:lang w:val="en-CA"/>
        </w:rPr>
        <w:t xml:space="preserve"> a</w:t>
      </w:r>
      <w:r w:rsidRPr="009A1394">
        <w:rPr>
          <w:lang w:val="en-CA"/>
        </w:rPr>
        <w:t xml:space="preserve"> regional carrier like MMA was a new practice;</w:t>
      </w:r>
    </w:p>
    <w:p w14:paraId="7D2B9520" w14:textId="257C7FD6" w:rsidR="00702A59" w:rsidRPr="009A1394" w:rsidRDefault="00BE574B" w:rsidP="00C85A7A">
      <w:pPr>
        <w:pStyle w:val="Listenumros2"/>
        <w:rPr>
          <w:lang w:val="en-CA"/>
        </w:rPr>
      </w:pPr>
      <w:r w:rsidRPr="009A1394">
        <w:rPr>
          <w:lang w:val="en-CA"/>
        </w:rPr>
        <w:t>T</w:t>
      </w:r>
      <w:r w:rsidR="00442F83" w:rsidRPr="009A1394">
        <w:rPr>
          <w:lang w:val="en-CA"/>
        </w:rPr>
        <w:t>he route chosen by CP was also new and went through urban centres;</w:t>
      </w:r>
    </w:p>
    <w:p w14:paraId="0C04E2CA" w14:textId="24816DBB" w:rsidR="00702A59" w:rsidRPr="009A1394" w:rsidRDefault="00BE574B" w:rsidP="00C85A7A">
      <w:pPr>
        <w:pStyle w:val="Listenumros2"/>
        <w:rPr>
          <w:lang w:val="en-CA"/>
        </w:rPr>
      </w:pPr>
      <w:r w:rsidRPr="009A1394">
        <w:rPr>
          <w:lang w:val="en-CA"/>
        </w:rPr>
        <w:t>W</w:t>
      </w:r>
      <w:r w:rsidR="00442F83" w:rsidRPr="009A1394">
        <w:rPr>
          <w:lang w:val="en-CA"/>
        </w:rPr>
        <w:t xml:space="preserve">hile CP </w:t>
      </w:r>
      <w:r w:rsidR="00F96A46" w:rsidRPr="009A1394">
        <w:rPr>
          <w:lang w:val="en-CA"/>
        </w:rPr>
        <w:t>and</w:t>
      </w:r>
      <w:r w:rsidR="00442F83" w:rsidRPr="009A1394">
        <w:rPr>
          <w:lang w:val="en-CA"/>
        </w:rPr>
        <w:t xml:space="preserve"> MMA had both transported dangerous goods in the past, crude oil from the Bakken </w:t>
      </w:r>
      <w:r w:rsidR="00676A6B" w:rsidRPr="009A1394">
        <w:rPr>
          <w:lang w:val="en-CA"/>
        </w:rPr>
        <w:t>Formation</w:t>
      </w:r>
      <w:r w:rsidR="00442F83" w:rsidRPr="009A1394">
        <w:rPr>
          <w:lang w:val="en-CA"/>
        </w:rPr>
        <w:t xml:space="preserve"> was a new </w:t>
      </w:r>
      <w:r w:rsidR="0022400B" w:rsidRPr="009A1394">
        <w:rPr>
          <w:lang w:val="en-CA"/>
        </w:rPr>
        <w:t xml:space="preserve">product </w:t>
      </w:r>
      <w:r w:rsidR="00442F83" w:rsidRPr="009A1394">
        <w:rPr>
          <w:lang w:val="en-CA"/>
        </w:rPr>
        <w:t xml:space="preserve">with unfamiliar properties that CP had never transported, </w:t>
      </w:r>
      <w:r w:rsidR="0022400B" w:rsidRPr="009A1394">
        <w:rPr>
          <w:lang w:val="en-CA"/>
        </w:rPr>
        <w:t>let alone</w:t>
      </w:r>
      <w:r w:rsidR="00442F83" w:rsidRPr="009A1394">
        <w:rPr>
          <w:lang w:val="en-CA"/>
        </w:rPr>
        <w:t xml:space="preserve"> in large quantities;</w:t>
      </w:r>
    </w:p>
    <w:p w14:paraId="327D2418" w14:textId="270B106E" w:rsidR="00702A59" w:rsidRPr="009A1394" w:rsidRDefault="00BE574B" w:rsidP="00C85A7A">
      <w:pPr>
        <w:pStyle w:val="Listenumros2"/>
        <w:rPr>
          <w:lang w:val="en-CA"/>
        </w:rPr>
      </w:pPr>
      <w:r w:rsidRPr="009A1394">
        <w:rPr>
          <w:lang w:val="en-CA"/>
        </w:rPr>
        <w:t>C</w:t>
      </w:r>
      <w:r w:rsidR="00442F83" w:rsidRPr="009A1394">
        <w:rPr>
          <w:lang w:val="en-CA"/>
        </w:rPr>
        <w:t xml:space="preserve">ontrary to what the judge </w:t>
      </w:r>
      <w:r w:rsidR="004B5313" w:rsidRPr="009A1394">
        <w:rPr>
          <w:lang w:val="en-CA"/>
        </w:rPr>
        <w:t>stated</w:t>
      </w:r>
      <w:r w:rsidR="00442F83" w:rsidRPr="009A1394">
        <w:rPr>
          <w:lang w:val="en-CA"/>
        </w:rPr>
        <w:t xml:space="preserve">, risk assessments are not rare; in fact, CP </w:t>
      </w:r>
      <w:r w:rsidR="00640695" w:rsidRPr="009A1394">
        <w:rPr>
          <w:lang w:val="en-CA"/>
        </w:rPr>
        <w:t>conduct</w:t>
      </w:r>
      <w:r w:rsidR="004B5313" w:rsidRPr="009A1394">
        <w:rPr>
          <w:lang w:val="en-CA"/>
        </w:rPr>
        <w:t>s</w:t>
      </w:r>
      <w:r w:rsidR="00442F83" w:rsidRPr="009A1394">
        <w:rPr>
          <w:lang w:val="en-CA"/>
        </w:rPr>
        <w:t xml:space="preserve"> them </w:t>
      </w:r>
      <w:r w:rsidR="004B5313" w:rsidRPr="009A1394">
        <w:rPr>
          <w:lang w:val="en-CA"/>
        </w:rPr>
        <w:t>daily</w:t>
      </w:r>
      <w:r w:rsidR="00442F83" w:rsidRPr="009A1394">
        <w:rPr>
          <w:lang w:val="en-CA"/>
        </w:rPr>
        <w:t>;</w:t>
      </w:r>
    </w:p>
    <w:p w14:paraId="05DE75DA" w14:textId="67F8D74E" w:rsidR="00702A59" w:rsidRPr="009A1394" w:rsidRDefault="00BE574B" w:rsidP="00C85A7A">
      <w:pPr>
        <w:pStyle w:val="Listenumros2"/>
        <w:rPr>
          <w:lang w:val="en-CA"/>
        </w:rPr>
      </w:pPr>
      <w:r w:rsidRPr="009A1394">
        <w:rPr>
          <w:lang w:val="en-CA"/>
        </w:rPr>
        <w:t>H</w:t>
      </w:r>
      <w:r w:rsidR="00442F83" w:rsidRPr="009A1394">
        <w:rPr>
          <w:lang w:val="en-CA"/>
        </w:rPr>
        <w:t xml:space="preserve">ere, CP had in fact begun to </w:t>
      </w:r>
      <w:r w:rsidR="00640695" w:rsidRPr="009A1394">
        <w:rPr>
          <w:lang w:val="en-CA"/>
        </w:rPr>
        <w:t>conduct</w:t>
      </w:r>
      <w:r w:rsidR="00442F83" w:rsidRPr="009A1394">
        <w:rPr>
          <w:lang w:val="en-CA"/>
        </w:rPr>
        <w:t xml:space="preserve"> a risk assessment without </w:t>
      </w:r>
      <w:r w:rsidR="004B5313" w:rsidRPr="009A1394">
        <w:rPr>
          <w:lang w:val="en-CA"/>
        </w:rPr>
        <w:t>however completing</w:t>
      </w:r>
      <w:r w:rsidR="00442F83" w:rsidRPr="009A1394">
        <w:rPr>
          <w:lang w:val="en-CA"/>
        </w:rPr>
        <w:t xml:space="preserve"> it, which the judge failed to mention;</w:t>
      </w:r>
    </w:p>
    <w:p w14:paraId="425BEA76" w14:textId="5852EABC" w:rsidR="00702A59" w:rsidRPr="009A1394" w:rsidRDefault="00442F83" w:rsidP="00C85A7A">
      <w:pPr>
        <w:pStyle w:val="Listenumros2"/>
        <w:rPr>
          <w:lang w:val="en-CA"/>
        </w:rPr>
      </w:pPr>
      <w:r w:rsidRPr="009A1394">
        <w:rPr>
          <w:lang w:val="en-CA"/>
        </w:rPr>
        <w:t xml:space="preserve">CP’s failure to </w:t>
      </w:r>
      <w:r w:rsidR="00640695" w:rsidRPr="009A1394">
        <w:rPr>
          <w:lang w:val="en-CA"/>
        </w:rPr>
        <w:t>conduct</w:t>
      </w:r>
      <w:r w:rsidRPr="009A1394">
        <w:rPr>
          <w:lang w:val="en-CA"/>
        </w:rPr>
        <w:t xml:space="preserve"> a risk assessment contradicts the way it depicted itself before the Canadian </w:t>
      </w:r>
      <w:r w:rsidR="004B5313" w:rsidRPr="009A1394">
        <w:rPr>
          <w:lang w:val="en-CA"/>
        </w:rPr>
        <w:t>S</w:t>
      </w:r>
      <w:r w:rsidRPr="009A1394">
        <w:rPr>
          <w:lang w:val="en-CA"/>
        </w:rPr>
        <w:t>enate in March 2013, when its representatives submitted that safety was of paramount concern to CP</w:t>
      </w:r>
      <w:r w:rsidR="00F96A46" w:rsidRPr="009A1394">
        <w:rPr>
          <w:lang w:val="en-CA"/>
        </w:rPr>
        <w:t>,</w:t>
      </w:r>
      <w:r w:rsidRPr="009A1394">
        <w:rPr>
          <w:lang w:val="en-CA"/>
        </w:rPr>
        <w:t xml:space="preserve"> and </w:t>
      </w:r>
      <w:r w:rsidR="006549AD" w:rsidRPr="009A1394">
        <w:rPr>
          <w:lang w:val="en-CA"/>
        </w:rPr>
        <w:t xml:space="preserve">that </w:t>
      </w:r>
      <w:r w:rsidRPr="009A1394">
        <w:rPr>
          <w:lang w:val="en-CA"/>
        </w:rPr>
        <w:t>it intended to subject its infrastructure to risk assessments;</w:t>
      </w:r>
    </w:p>
    <w:p w14:paraId="5B3E8888" w14:textId="0004037F" w:rsidR="00702A59" w:rsidRPr="009A1394" w:rsidRDefault="00442F83" w:rsidP="00C85A7A">
      <w:pPr>
        <w:pStyle w:val="Listenumros2"/>
        <w:rPr>
          <w:lang w:val="en-CA"/>
        </w:rPr>
      </w:pPr>
      <w:r w:rsidRPr="009A1394">
        <w:rPr>
          <w:lang w:val="en-CA"/>
        </w:rPr>
        <w:t xml:space="preserve">CP is a member of the Railway </w:t>
      </w:r>
      <w:r w:rsidR="004B5313" w:rsidRPr="009A1394">
        <w:rPr>
          <w:lang w:val="en-CA"/>
        </w:rPr>
        <w:t>A</w:t>
      </w:r>
      <w:r w:rsidRPr="009A1394">
        <w:rPr>
          <w:lang w:val="en-CA"/>
        </w:rPr>
        <w:t>ssociation of Canada, which encourages its members to share information;</w:t>
      </w:r>
    </w:p>
    <w:p w14:paraId="0908B72E" w14:textId="5C4C5224" w:rsidR="00702A59" w:rsidRPr="009A1394" w:rsidRDefault="00BE574B" w:rsidP="00C85A7A">
      <w:pPr>
        <w:pStyle w:val="Listenumros2"/>
        <w:rPr>
          <w:lang w:val="en-CA"/>
        </w:rPr>
      </w:pPr>
      <w:r w:rsidRPr="009A1394">
        <w:rPr>
          <w:lang w:val="en-CA"/>
        </w:rPr>
        <w:t>R</w:t>
      </w:r>
      <w:r w:rsidR="00442F83" w:rsidRPr="009A1394">
        <w:rPr>
          <w:lang w:val="en-CA"/>
        </w:rPr>
        <w:t xml:space="preserve">isk assessments similar to </w:t>
      </w:r>
      <w:r w:rsidR="004B5313" w:rsidRPr="009A1394">
        <w:rPr>
          <w:lang w:val="en-CA"/>
        </w:rPr>
        <w:t>those</w:t>
      </w:r>
      <w:r w:rsidR="00442F83" w:rsidRPr="009A1394">
        <w:rPr>
          <w:lang w:val="en-CA"/>
        </w:rPr>
        <w:t xml:space="preserve"> </w:t>
      </w:r>
      <w:r w:rsidR="004B5313" w:rsidRPr="009A1394">
        <w:rPr>
          <w:lang w:val="en-CA"/>
        </w:rPr>
        <w:t xml:space="preserve">that </w:t>
      </w:r>
      <w:r w:rsidR="00442F83" w:rsidRPr="009A1394">
        <w:rPr>
          <w:lang w:val="en-CA"/>
        </w:rPr>
        <w:t xml:space="preserve">the appellants </w:t>
      </w:r>
      <w:r w:rsidR="004B5313" w:rsidRPr="009A1394">
        <w:rPr>
          <w:lang w:val="en-CA"/>
        </w:rPr>
        <w:t>say</w:t>
      </w:r>
      <w:r w:rsidR="00442F83" w:rsidRPr="009A1394">
        <w:rPr>
          <w:lang w:val="en-CA"/>
        </w:rPr>
        <w:t xml:space="preserve"> CP </w:t>
      </w:r>
      <w:r w:rsidR="004B5313" w:rsidRPr="009A1394">
        <w:rPr>
          <w:lang w:val="en-CA"/>
        </w:rPr>
        <w:t xml:space="preserve">should have </w:t>
      </w:r>
      <w:r w:rsidR="00BB74CA" w:rsidRPr="009A1394">
        <w:rPr>
          <w:lang w:val="en-CA"/>
        </w:rPr>
        <w:t>carried out</w:t>
      </w:r>
      <w:r w:rsidR="00442F83" w:rsidRPr="009A1394">
        <w:rPr>
          <w:lang w:val="en-CA"/>
        </w:rPr>
        <w:t xml:space="preserve"> had been </w:t>
      </w:r>
      <w:r w:rsidR="00640695" w:rsidRPr="009A1394">
        <w:rPr>
          <w:lang w:val="en-CA"/>
        </w:rPr>
        <w:t>conduct</w:t>
      </w:r>
      <w:r w:rsidR="004B5313" w:rsidRPr="009A1394">
        <w:rPr>
          <w:lang w:val="en-CA"/>
        </w:rPr>
        <w:t>ed</w:t>
      </w:r>
      <w:r w:rsidR="00F96A46" w:rsidRPr="009A1394">
        <w:rPr>
          <w:lang w:val="en-CA"/>
        </w:rPr>
        <w:t xml:space="preserve"> in the past</w:t>
      </w:r>
      <w:r w:rsidR="00442F83" w:rsidRPr="009A1394">
        <w:rPr>
          <w:lang w:val="en-CA"/>
        </w:rPr>
        <w:t xml:space="preserve"> and the judge was</w:t>
      </w:r>
      <w:r w:rsidR="00EA2305" w:rsidRPr="009A1394">
        <w:rPr>
          <w:lang w:val="en-CA"/>
        </w:rPr>
        <w:t xml:space="preserve"> therefore</w:t>
      </w:r>
      <w:r w:rsidR="00442F83" w:rsidRPr="009A1394">
        <w:rPr>
          <w:lang w:val="en-CA"/>
        </w:rPr>
        <w:t xml:space="preserve"> wrong</w:t>
      </w:r>
      <w:r w:rsidR="00EA2305" w:rsidRPr="009A1394">
        <w:rPr>
          <w:lang w:val="en-CA"/>
        </w:rPr>
        <w:t xml:space="preserve"> </w:t>
      </w:r>
      <w:r w:rsidR="00442F83" w:rsidRPr="009A1394">
        <w:rPr>
          <w:lang w:val="en-CA"/>
        </w:rPr>
        <w:t xml:space="preserve">to </w:t>
      </w:r>
      <w:r w:rsidR="00EA2305" w:rsidRPr="009A1394">
        <w:rPr>
          <w:lang w:val="en-CA"/>
        </w:rPr>
        <w:t>reject</w:t>
      </w:r>
      <w:r w:rsidR="00442F83" w:rsidRPr="009A1394">
        <w:rPr>
          <w:lang w:val="en-CA"/>
        </w:rPr>
        <w:t xml:space="preserve"> </w:t>
      </w:r>
      <w:r w:rsidR="004B5313" w:rsidRPr="009A1394">
        <w:rPr>
          <w:lang w:val="en-CA"/>
        </w:rPr>
        <w:t>Rick Evans’</w:t>
      </w:r>
      <w:r w:rsidR="00442F83" w:rsidRPr="009A1394">
        <w:rPr>
          <w:lang w:val="en-CA"/>
        </w:rPr>
        <w:t xml:space="preserve"> testimony to that effect.</w:t>
      </w:r>
    </w:p>
    <w:p w14:paraId="0D9EE82F" w14:textId="6444B285" w:rsidR="00781DA6" w:rsidRPr="009A1394" w:rsidRDefault="00442F83" w:rsidP="00C85A7A">
      <w:pPr>
        <w:pStyle w:val="Paragraphe"/>
        <w:numPr>
          <w:ilvl w:val="0"/>
          <w:numId w:val="1"/>
        </w:numPr>
        <w:rPr>
          <w:color w:val="000000" w:themeColor="text1"/>
          <w:szCs w:val="24"/>
          <w:lang w:val="en-CA"/>
        </w:rPr>
      </w:pPr>
      <w:r w:rsidRPr="009A1394">
        <w:rPr>
          <w:color w:val="000000" w:themeColor="text1"/>
          <w:szCs w:val="24"/>
          <w:lang w:val="en-CA"/>
        </w:rPr>
        <w:t xml:space="preserve">All these reasons should have </w:t>
      </w:r>
      <w:r w:rsidR="00BB74CA" w:rsidRPr="009A1394">
        <w:rPr>
          <w:color w:val="000000" w:themeColor="text1"/>
          <w:szCs w:val="24"/>
          <w:lang w:val="en-CA"/>
        </w:rPr>
        <w:t xml:space="preserve">satisfied </w:t>
      </w:r>
      <w:r w:rsidRPr="009A1394">
        <w:rPr>
          <w:color w:val="000000" w:themeColor="text1"/>
          <w:szCs w:val="24"/>
          <w:lang w:val="en-CA"/>
        </w:rPr>
        <w:t xml:space="preserve">the judge that CP was </w:t>
      </w:r>
      <w:r w:rsidR="00F96A46" w:rsidRPr="009A1394">
        <w:rPr>
          <w:color w:val="000000" w:themeColor="text1"/>
          <w:szCs w:val="24"/>
          <w:lang w:val="en-CA"/>
        </w:rPr>
        <w:t xml:space="preserve">at fault </w:t>
      </w:r>
      <w:r w:rsidR="00EA2305" w:rsidRPr="009A1394">
        <w:rPr>
          <w:color w:val="000000" w:themeColor="text1"/>
          <w:szCs w:val="24"/>
          <w:lang w:val="en-CA"/>
        </w:rPr>
        <w:t>in</w:t>
      </w:r>
      <w:r w:rsidR="00F96A46" w:rsidRPr="009A1394">
        <w:rPr>
          <w:color w:val="000000" w:themeColor="text1"/>
          <w:szCs w:val="24"/>
          <w:lang w:val="en-CA"/>
        </w:rPr>
        <w:t xml:space="preserve"> fail</w:t>
      </w:r>
      <w:r w:rsidR="00EA2305" w:rsidRPr="009A1394">
        <w:rPr>
          <w:color w:val="000000" w:themeColor="text1"/>
          <w:szCs w:val="24"/>
          <w:lang w:val="en-CA"/>
        </w:rPr>
        <w:t>ing</w:t>
      </w:r>
      <w:r w:rsidR="00F96A46" w:rsidRPr="009A1394">
        <w:rPr>
          <w:color w:val="000000" w:themeColor="text1"/>
          <w:szCs w:val="24"/>
          <w:lang w:val="en-CA"/>
        </w:rPr>
        <w:t xml:space="preserve"> </w:t>
      </w:r>
      <w:r w:rsidRPr="009A1394">
        <w:rPr>
          <w:color w:val="000000" w:themeColor="text1"/>
          <w:szCs w:val="24"/>
          <w:lang w:val="en-CA"/>
        </w:rPr>
        <w:t xml:space="preserve">to </w:t>
      </w:r>
      <w:r w:rsidR="00640695" w:rsidRPr="009A1394">
        <w:rPr>
          <w:color w:val="000000" w:themeColor="text1"/>
          <w:szCs w:val="24"/>
          <w:lang w:val="en-CA"/>
        </w:rPr>
        <w:t>conduct</w:t>
      </w:r>
      <w:r w:rsidRPr="009A1394">
        <w:rPr>
          <w:color w:val="000000" w:themeColor="text1"/>
          <w:szCs w:val="24"/>
          <w:lang w:val="en-CA"/>
        </w:rPr>
        <w:t xml:space="preserve"> a risk assessment that would have taken into consideration the risks associated with </w:t>
      </w:r>
      <w:r w:rsidR="00EA2305" w:rsidRPr="009A1394">
        <w:rPr>
          <w:color w:val="000000" w:themeColor="text1"/>
          <w:szCs w:val="24"/>
          <w:lang w:val="en-CA"/>
        </w:rPr>
        <w:t xml:space="preserve">the </w:t>
      </w:r>
      <w:r w:rsidRPr="009A1394">
        <w:rPr>
          <w:color w:val="000000" w:themeColor="text1"/>
          <w:szCs w:val="24"/>
          <w:lang w:val="en-CA"/>
        </w:rPr>
        <w:t>transport</w:t>
      </w:r>
      <w:r w:rsidR="00EA2305" w:rsidRPr="009A1394">
        <w:rPr>
          <w:color w:val="000000" w:themeColor="text1"/>
          <w:szCs w:val="24"/>
          <w:lang w:val="en-CA"/>
        </w:rPr>
        <w:t>ation</w:t>
      </w:r>
      <w:r w:rsidRPr="009A1394">
        <w:rPr>
          <w:color w:val="000000" w:themeColor="text1"/>
          <w:szCs w:val="24"/>
          <w:lang w:val="en-CA"/>
        </w:rPr>
        <w:t xml:space="preserve"> </w:t>
      </w:r>
      <w:r w:rsidR="00BB74CA" w:rsidRPr="009A1394">
        <w:rPr>
          <w:color w:val="000000" w:themeColor="text1"/>
          <w:szCs w:val="24"/>
          <w:lang w:val="en-CA"/>
        </w:rPr>
        <w:t xml:space="preserve">of </w:t>
      </w:r>
      <w:r w:rsidRPr="009A1394">
        <w:rPr>
          <w:color w:val="000000" w:themeColor="text1"/>
          <w:szCs w:val="24"/>
          <w:lang w:val="en-CA"/>
        </w:rPr>
        <w:t xml:space="preserve">that type of </w:t>
      </w:r>
      <w:r w:rsidR="00EA2305" w:rsidRPr="009A1394">
        <w:rPr>
          <w:color w:val="000000" w:themeColor="text1"/>
          <w:szCs w:val="24"/>
          <w:lang w:val="en-CA"/>
        </w:rPr>
        <w:t>product</w:t>
      </w:r>
      <w:r w:rsidRPr="009A1394">
        <w:rPr>
          <w:color w:val="000000" w:themeColor="text1"/>
          <w:szCs w:val="24"/>
          <w:lang w:val="en-CA"/>
        </w:rPr>
        <w:t xml:space="preserve"> </w:t>
      </w:r>
      <w:r w:rsidR="00EA2305" w:rsidRPr="009A1394">
        <w:rPr>
          <w:color w:val="000000" w:themeColor="text1"/>
          <w:szCs w:val="24"/>
          <w:lang w:val="en-CA"/>
        </w:rPr>
        <w:t>as well as</w:t>
      </w:r>
      <w:r w:rsidRPr="009A1394">
        <w:rPr>
          <w:color w:val="000000" w:themeColor="text1"/>
          <w:szCs w:val="24"/>
          <w:lang w:val="en-CA"/>
        </w:rPr>
        <w:t xml:space="preserve"> MMA’s ability to take part </w:t>
      </w:r>
      <w:r w:rsidR="00F96A46" w:rsidRPr="009A1394">
        <w:rPr>
          <w:color w:val="000000" w:themeColor="text1"/>
          <w:szCs w:val="24"/>
          <w:lang w:val="en-CA"/>
        </w:rPr>
        <w:t xml:space="preserve">in </w:t>
      </w:r>
      <w:r w:rsidR="00EA2305" w:rsidRPr="009A1394">
        <w:rPr>
          <w:color w:val="000000" w:themeColor="text1"/>
          <w:szCs w:val="24"/>
          <w:lang w:val="en-CA"/>
        </w:rPr>
        <w:t>that activity</w:t>
      </w:r>
      <w:r w:rsidR="00F96A46" w:rsidRPr="009A1394">
        <w:rPr>
          <w:color w:val="000000" w:themeColor="text1"/>
          <w:szCs w:val="24"/>
          <w:lang w:val="en-CA"/>
        </w:rPr>
        <w:t xml:space="preserve"> </w:t>
      </w:r>
      <w:r w:rsidRPr="009A1394">
        <w:rPr>
          <w:color w:val="000000" w:themeColor="text1"/>
          <w:szCs w:val="24"/>
          <w:lang w:val="en-CA"/>
        </w:rPr>
        <w:t>as</w:t>
      </w:r>
      <w:r w:rsidR="00F96A46" w:rsidRPr="009A1394">
        <w:rPr>
          <w:color w:val="000000" w:themeColor="text1"/>
          <w:szCs w:val="24"/>
          <w:lang w:val="en-CA"/>
        </w:rPr>
        <w:t xml:space="preserve"> the</w:t>
      </w:r>
      <w:r w:rsidRPr="009A1394">
        <w:rPr>
          <w:color w:val="000000" w:themeColor="text1"/>
          <w:szCs w:val="24"/>
          <w:lang w:val="en-CA"/>
        </w:rPr>
        <w:t xml:space="preserve"> connecting carrier.</w:t>
      </w:r>
    </w:p>
    <w:p w14:paraId="6A4D4341" w14:textId="2C8BECE4" w:rsidR="00702A59" w:rsidRPr="009A1394" w:rsidRDefault="00442F83" w:rsidP="00C85A7A">
      <w:pPr>
        <w:pStyle w:val="Paragraphe"/>
        <w:numPr>
          <w:ilvl w:val="0"/>
          <w:numId w:val="1"/>
        </w:numPr>
        <w:rPr>
          <w:color w:val="000000" w:themeColor="text1"/>
          <w:szCs w:val="24"/>
          <w:lang w:val="en-CA"/>
        </w:rPr>
      </w:pPr>
      <w:r w:rsidRPr="009A1394">
        <w:rPr>
          <w:color w:val="000000" w:themeColor="text1"/>
          <w:szCs w:val="24"/>
          <w:lang w:val="en-CA"/>
        </w:rPr>
        <w:t xml:space="preserve">The appellants also </w:t>
      </w:r>
      <w:r w:rsidR="00EA2305" w:rsidRPr="009A1394">
        <w:rPr>
          <w:color w:val="000000" w:themeColor="text1"/>
          <w:szCs w:val="24"/>
          <w:lang w:val="en-CA"/>
        </w:rPr>
        <w:t>fault</w:t>
      </w:r>
      <w:r w:rsidRPr="009A1394">
        <w:rPr>
          <w:color w:val="000000" w:themeColor="text1"/>
          <w:szCs w:val="24"/>
          <w:lang w:val="en-CA"/>
        </w:rPr>
        <w:t xml:space="preserve"> the judge for concluding that, except in exceptional </w:t>
      </w:r>
      <w:r w:rsidR="00F96A46" w:rsidRPr="009A1394">
        <w:rPr>
          <w:color w:val="000000" w:themeColor="text1"/>
          <w:szCs w:val="24"/>
          <w:lang w:val="en-CA"/>
        </w:rPr>
        <w:t>circumstances</w:t>
      </w:r>
      <w:r w:rsidRPr="009A1394">
        <w:rPr>
          <w:color w:val="000000" w:themeColor="text1"/>
          <w:szCs w:val="24"/>
          <w:lang w:val="en-CA"/>
        </w:rPr>
        <w:t xml:space="preserve">, a </w:t>
      </w:r>
      <w:r w:rsidR="00EA2305" w:rsidRPr="009A1394">
        <w:rPr>
          <w:color w:val="000000" w:themeColor="text1"/>
          <w:szCs w:val="24"/>
          <w:lang w:val="en-CA"/>
        </w:rPr>
        <w:t>C</w:t>
      </w:r>
      <w:r w:rsidRPr="009A1394">
        <w:rPr>
          <w:color w:val="000000" w:themeColor="text1"/>
          <w:szCs w:val="24"/>
          <w:lang w:val="en-CA"/>
        </w:rPr>
        <w:t>lass 1 rail</w:t>
      </w:r>
      <w:r w:rsidR="00F96A46" w:rsidRPr="009A1394">
        <w:rPr>
          <w:color w:val="000000" w:themeColor="text1"/>
          <w:szCs w:val="24"/>
          <w:lang w:val="en-CA"/>
        </w:rPr>
        <w:t>way</w:t>
      </w:r>
      <w:r w:rsidRPr="009A1394">
        <w:rPr>
          <w:color w:val="000000" w:themeColor="text1"/>
          <w:szCs w:val="24"/>
          <w:lang w:val="en-CA"/>
        </w:rPr>
        <w:t xml:space="preserve"> company cannot be </w:t>
      </w:r>
      <w:r w:rsidR="00DE5AA3" w:rsidRPr="009A1394">
        <w:rPr>
          <w:color w:val="000000" w:themeColor="text1"/>
          <w:szCs w:val="24"/>
          <w:lang w:val="en-CA"/>
        </w:rPr>
        <w:t xml:space="preserve">required </w:t>
      </w:r>
      <w:r w:rsidRPr="009A1394">
        <w:rPr>
          <w:color w:val="000000" w:themeColor="text1"/>
          <w:szCs w:val="24"/>
          <w:lang w:val="en-CA"/>
        </w:rPr>
        <w:t xml:space="preserve">to </w:t>
      </w:r>
      <w:r w:rsidR="00640695" w:rsidRPr="009A1394">
        <w:rPr>
          <w:color w:val="000000" w:themeColor="text1"/>
          <w:szCs w:val="24"/>
          <w:lang w:val="en-CA"/>
        </w:rPr>
        <w:t>conduct</w:t>
      </w:r>
      <w:r w:rsidRPr="009A1394">
        <w:rPr>
          <w:color w:val="000000" w:themeColor="text1"/>
          <w:szCs w:val="24"/>
          <w:lang w:val="en-CA"/>
        </w:rPr>
        <w:t xml:space="preserve"> a risk </w:t>
      </w:r>
      <w:r w:rsidR="00F96A46" w:rsidRPr="009A1394">
        <w:rPr>
          <w:color w:val="000000" w:themeColor="text1"/>
          <w:szCs w:val="24"/>
          <w:lang w:val="en-CA"/>
        </w:rPr>
        <w:t>assessment</w:t>
      </w:r>
      <w:r w:rsidRPr="009A1394">
        <w:rPr>
          <w:color w:val="000000" w:themeColor="text1"/>
          <w:szCs w:val="24"/>
          <w:lang w:val="en-CA"/>
        </w:rPr>
        <w:t xml:space="preserve"> that covers the operations of a connecting carrier.</w:t>
      </w:r>
      <w:r w:rsidR="008161A3" w:rsidRPr="009A1394">
        <w:rPr>
          <w:color w:val="000000" w:themeColor="text1"/>
          <w:szCs w:val="24"/>
          <w:lang w:val="en-CA"/>
        </w:rPr>
        <w:t xml:space="preserve"> </w:t>
      </w:r>
      <w:r w:rsidRPr="009A1394">
        <w:rPr>
          <w:color w:val="000000" w:themeColor="text1"/>
          <w:szCs w:val="24"/>
          <w:lang w:val="en-CA"/>
        </w:rPr>
        <w:t xml:space="preserve">By doing so, the judge interpreted the </w:t>
      </w:r>
      <w:r w:rsidRPr="009A1394">
        <w:rPr>
          <w:i/>
          <w:iCs/>
          <w:color w:val="000000" w:themeColor="text1"/>
          <w:szCs w:val="24"/>
          <w:lang w:val="en-CA"/>
        </w:rPr>
        <w:t>Regulation</w:t>
      </w:r>
      <w:r w:rsidR="00EA2305" w:rsidRPr="009A1394">
        <w:rPr>
          <w:i/>
          <w:iCs/>
          <w:color w:val="000000" w:themeColor="text1"/>
          <w:szCs w:val="24"/>
          <w:lang w:val="en-CA"/>
        </w:rPr>
        <w:t>s</w:t>
      </w:r>
      <w:r w:rsidRPr="009A1394">
        <w:rPr>
          <w:color w:val="000000" w:themeColor="text1"/>
          <w:szCs w:val="24"/>
          <w:lang w:val="en-CA"/>
        </w:rPr>
        <w:t xml:space="preserve"> too narrowly and failed to take into account section 3 of the </w:t>
      </w:r>
      <w:r w:rsidRPr="009A1394">
        <w:rPr>
          <w:i/>
          <w:iCs/>
          <w:color w:val="000000" w:themeColor="text1"/>
          <w:szCs w:val="24"/>
          <w:lang w:val="en-CA"/>
        </w:rPr>
        <w:t>RSA</w:t>
      </w:r>
      <w:r w:rsidRPr="009A1394">
        <w:rPr>
          <w:color w:val="000000" w:themeColor="text1"/>
          <w:szCs w:val="24"/>
          <w:lang w:val="en-CA"/>
        </w:rPr>
        <w:t xml:space="preserve"> that make</w:t>
      </w:r>
      <w:r w:rsidR="00393C13" w:rsidRPr="009A1394">
        <w:rPr>
          <w:color w:val="000000" w:themeColor="text1"/>
          <w:szCs w:val="24"/>
          <w:lang w:val="en-CA"/>
        </w:rPr>
        <w:t>s</w:t>
      </w:r>
      <w:r w:rsidRPr="009A1394">
        <w:rPr>
          <w:color w:val="000000" w:themeColor="text1"/>
          <w:szCs w:val="24"/>
          <w:lang w:val="en-CA"/>
        </w:rPr>
        <w:t xml:space="preserve"> collaboration between interested parties in rail</w:t>
      </w:r>
      <w:r w:rsidR="00DA78D8" w:rsidRPr="009A1394">
        <w:rPr>
          <w:color w:val="000000" w:themeColor="text1"/>
          <w:szCs w:val="24"/>
          <w:lang w:val="en-CA"/>
        </w:rPr>
        <w:t>way</w:t>
      </w:r>
      <w:r w:rsidRPr="009A1394">
        <w:rPr>
          <w:color w:val="000000" w:themeColor="text1"/>
          <w:szCs w:val="24"/>
          <w:lang w:val="en-CA"/>
        </w:rPr>
        <w:t xml:space="preserve"> transportation a means of ensuring its safety. </w:t>
      </w:r>
    </w:p>
    <w:p w14:paraId="4C8FB649" w14:textId="3E785965" w:rsidR="00702A59" w:rsidRPr="009A1394" w:rsidRDefault="00D570B0" w:rsidP="00C85A7A">
      <w:pPr>
        <w:pStyle w:val="Paragraphe"/>
        <w:numPr>
          <w:ilvl w:val="0"/>
          <w:numId w:val="1"/>
        </w:numPr>
        <w:rPr>
          <w:color w:val="000000" w:themeColor="text1"/>
          <w:szCs w:val="24"/>
          <w:lang w:val="en-CA"/>
        </w:rPr>
      </w:pPr>
      <w:r w:rsidRPr="009A1394">
        <w:rPr>
          <w:szCs w:val="24"/>
          <w:lang w:val="en-CA"/>
        </w:rPr>
        <w:t>Furthermore</w:t>
      </w:r>
      <w:r w:rsidR="00442F83" w:rsidRPr="009A1394">
        <w:rPr>
          <w:szCs w:val="24"/>
          <w:lang w:val="en-CA"/>
        </w:rPr>
        <w:t xml:space="preserve">, the risk assessment that would have been required </w:t>
      </w:r>
      <w:r w:rsidRPr="009A1394">
        <w:rPr>
          <w:szCs w:val="24"/>
          <w:lang w:val="en-CA"/>
        </w:rPr>
        <w:t>on</w:t>
      </w:r>
      <w:r w:rsidR="00442F83" w:rsidRPr="009A1394">
        <w:rPr>
          <w:szCs w:val="24"/>
          <w:lang w:val="en-CA"/>
        </w:rPr>
        <w:t xml:space="preserve"> CP</w:t>
      </w:r>
      <w:r w:rsidRPr="009A1394">
        <w:rPr>
          <w:szCs w:val="24"/>
          <w:lang w:val="en-CA"/>
        </w:rPr>
        <w:t>’s part</w:t>
      </w:r>
      <w:r w:rsidR="00442F83" w:rsidRPr="009A1394">
        <w:rPr>
          <w:szCs w:val="24"/>
          <w:lang w:val="en-CA"/>
        </w:rPr>
        <w:t xml:space="preserve"> would not have been complicated to </w:t>
      </w:r>
      <w:r w:rsidR="00630313" w:rsidRPr="009A1394">
        <w:rPr>
          <w:szCs w:val="24"/>
          <w:lang w:val="en-CA"/>
        </w:rPr>
        <w:t>perform</w:t>
      </w:r>
      <w:r w:rsidR="00442F83" w:rsidRPr="009A1394">
        <w:rPr>
          <w:szCs w:val="24"/>
          <w:lang w:val="en-CA"/>
        </w:rPr>
        <w:t>.</w:t>
      </w:r>
      <w:r w:rsidR="008161A3" w:rsidRPr="009A1394">
        <w:rPr>
          <w:color w:val="000000" w:themeColor="text1"/>
          <w:szCs w:val="24"/>
          <w:lang w:val="en-CA"/>
        </w:rPr>
        <w:t xml:space="preserve"> </w:t>
      </w:r>
      <w:r w:rsidR="00442F83" w:rsidRPr="009A1394">
        <w:rPr>
          <w:color w:val="000000" w:themeColor="text1"/>
          <w:szCs w:val="24"/>
          <w:lang w:val="en-CA"/>
        </w:rPr>
        <w:t xml:space="preserve">It would have </w:t>
      </w:r>
      <w:r w:rsidRPr="009A1394">
        <w:rPr>
          <w:color w:val="000000" w:themeColor="text1"/>
          <w:szCs w:val="24"/>
          <w:lang w:val="en-CA"/>
        </w:rPr>
        <w:t>sufficed</w:t>
      </w:r>
      <w:r w:rsidR="00442F83" w:rsidRPr="009A1394">
        <w:rPr>
          <w:color w:val="000000" w:themeColor="text1"/>
          <w:szCs w:val="24"/>
          <w:lang w:val="en-CA"/>
        </w:rPr>
        <w:t xml:space="preserve"> to </w:t>
      </w:r>
      <w:r w:rsidRPr="009A1394">
        <w:rPr>
          <w:color w:val="000000" w:themeColor="text1"/>
          <w:szCs w:val="24"/>
          <w:lang w:val="en-CA"/>
        </w:rPr>
        <w:t>question</w:t>
      </w:r>
      <w:r w:rsidR="00442F83" w:rsidRPr="009A1394">
        <w:rPr>
          <w:color w:val="000000" w:themeColor="text1"/>
          <w:szCs w:val="24"/>
          <w:lang w:val="en-CA"/>
        </w:rPr>
        <w:t xml:space="preserve"> MMA </w:t>
      </w:r>
      <w:r w:rsidR="00442F83" w:rsidRPr="009A1394">
        <w:rPr>
          <w:color w:val="000000" w:themeColor="text1"/>
          <w:szCs w:val="24"/>
          <w:lang w:val="en-CA"/>
        </w:rPr>
        <w:lastRenderedPageBreak/>
        <w:t>about the way it intended to take charge of the crude oil cargo.</w:t>
      </w:r>
      <w:r w:rsidR="008161A3" w:rsidRPr="009A1394">
        <w:rPr>
          <w:color w:val="000000" w:themeColor="text1"/>
          <w:szCs w:val="24"/>
          <w:lang w:val="en-CA"/>
        </w:rPr>
        <w:t xml:space="preserve"> </w:t>
      </w:r>
      <w:r w:rsidR="00442F83" w:rsidRPr="009A1394">
        <w:rPr>
          <w:color w:val="000000" w:themeColor="text1"/>
          <w:szCs w:val="24"/>
          <w:lang w:val="en-CA"/>
        </w:rPr>
        <w:t xml:space="preserve">Instead, CP </w:t>
      </w:r>
      <w:r w:rsidRPr="009A1394">
        <w:rPr>
          <w:color w:val="000000" w:themeColor="text1"/>
          <w:szCs w:val="24"/>
          <w:lang w:val="en-CA"/>
        </w:rPr>
        <w:t>simply</w:t>
      </w:r>
      <w:r w:rsidR="00442F83" w:rsidRPr="009A1394">
        <w:rPr>
          <w:color w:val="000000" w:themeColor="text1"/>
          <w:szCs w:val="24"/>
          <w:lang w:val="en-CA"/>
        </w:rPr>
        <w:t xml:space="preserve"> </w:t>
      </w:r>
      <w:r w:rsidRPr="009A1394">
        <w:rPr>
          <w:color w:val="000000" w:themeColor="text1"/>
          <w:szCs w:val="24"/>
          <w:lang w:val="en-CA"/>
        </w:rPr>
        <w:t>turned a blind eye</w:t>
      </w:r>
      <w:r w:rsidR="00442F83" w:rsidRPr="009A1394">
        <w:rPr>
          <w:color w:val="000000" w:themeColor="text1"/>
          <w:szCs w:val="24"/>
          <w:lang w:val="en-CA"/>
        </w:rPr>
        <w:t xml:space="preserve"> </w:t>
      </w:r>
      <w:r w:rsidRPr="009A1394">
        <w:rPr>
          <w:color w:val="000000" w:themeColor="text1"/>
          <w:szCs w:val="24"/>
          <w:lang w:val="en-CA"/>
        </w:rPr>
        <w:t>to</w:t>
      </w:r>
      <w:r w:rsidR="00442F83" w:rsidRPr="009A1394">
        <w:rPr>
          <w:color w:val="000000" w:themeColor="text1"/>
          <w:szCs w:val="24"/>
          <w:lang w:val="en-CA"/>
        </w:rPr>
        <w:t xml:space="preserve"> MMA’s practices.</w:t>
      </w:r>
    </w:p>
    <w:p w14:paraId="31ABC7D3" w14:textId="2F9D89CA" w:rsidR="002B58BA" w:rsidRPr="009A1394" w:rsidRDefault="005F2BEE" w:rsidP="007B0327">
      <w:pPr>
        <w:pStyle w:val="Titre3"/>
        <w:rPr>
          <w:lang w:val="en-CA"/>
        </w:rPr>
      </w:pPr>
      <w:r w:rsidRPr="009A1394">
        <w:rPr>
          <w:lang w:val="en-CA"/>
        </w:rPr>
        <w:t>Discussion</w:t>
      </w:r>
    </w:p>
    <w:p w14:paraId="4050DF71" w14:textId="0EAF9DA5" w:rsidR="00702A59" w:rsidRPr="009A1394" w:rsidRDefault="00E31E7A" w:rsidP="00B84769">
      <w:pPr>
        <w:pStyle w:val="Paragraphe"/>
        <w:numPr>
          <w:ilvl w:val="0"/>
          <w:numId w:val="1"/>
        </w:numPr>
        <w:rPr>
          <w:color w:val="000000" w:themeColor="text1"/>
          <w:szCs w:val="24"/>
          <w:lang w:val="en-CA"/>
        </w:rPr>
      </w:pPr>
      <w:r w:rsidRPr="009A1394">
        <w:rPr>
          <w:color w:val="000000" w:themeColor="text1"/>
          <w:szCs w:val="24"/>
          <w:lang w:val="en-CA"/>
        </w:rPr>
        <w:t>The</w:t>
      </w:r>
      <w:r w:rsidR="00442F83" w:rsidRPr="009A1394">
        <w:rPr>
          <w:color w:val="000000" w:themeColor="text1"/>
          <w:szCs w:val="24"/>
          <w:lang w:val="en-CA"/>
        </w:rPr>
        <w:t xml:space="preserve"> </w:t>
      </w:r>
      <w:r w:rsidR="00442F83" w:rsidRPr="009A1394">
        <w:rPr>
          <w:i/>
          <w:iCs/>
          <w:color w:val="000000" w:themeColor="text1"/>
          <w:szCs w:val="24"/>
          <w:lang w:val="en-CA"/>
        </w:rPr>
        <w:t>Regulation</w:t>
      </w:r>
      <w:r w:rsidR="00880A7D" w:rsidRPr="009A1394">
        <w:rPr>
          <w:i/>
          <w:iCs/>
          <w:color w:val="000000" w:themeColor="text1"/>
          <w:szCs w:val="24"/>
          <w:lang w:val="en-CA"/>
        </w:rPr>
        <w:t>s</w:t>
      </w:r>
      <w:r w:rsidR="00442F83" w:rsidRPr="009A1394">
        <w:rPr>
          <w:color w:val="000000" w:themeColor="text1"/>
          <w:szCs w:val="24"/>
          <w:lang w:val="en-CA"/>
        </w:rPr>
        <w:t xml:space="preserve"> </w:t>
      </w:r>
      <w:r w:rsidRPr="009A1394">
        <w:rPr>
          <w:color w:val="000000" w:themeColor="text1"/>
          <w:szCs w:val="24"/>
          <w:lang w:val="en-CA"/>
        </w:rPr>
        <w:t xml:space="preserve">require that </w:t>
      </w:r>
      <w:r w:rsidR="00442F83" w:rsidRPr="009A1394">
        <w:rPr>
          <w:color w:val="000000" w:themeColor="text1"/>
          <w:szCs w:val="24"/>
          <w:lang w:val="en-CA"/>
        </w:rPr>
        <w:t>rail</w:t>
      </w:r>
      <w:r w:rsidR="00990AF8" w:rsidRPr="009A1394">
        <w:rPr>
          <w:color w:val="000000" w:themeColor="text1"/>
          <w:szCs w:val="24"/>
          <w:lang w:val="en-CA"/>
        </w:rPr>
        <w:t>way</w:t>
      </w:r>
      <w:r w:rsidR="00442F83" w:rsidRPr="009A1394">
        <w:rPr>
          <w:color w:val="000000" w:themeColor="text1"/>
          <w:szCs w:val="24"/>
          <w:lang w:val="en-CA"/>
        </w:rPr>
        <w:t xml:space="preserve"> companies prepar</w:t>
      </w:r>
      <w:r w:rsidRPr="009A1394">
        <w:rPr>
          <w:color w:val="000000" w:themeColor="text1"/>
          <w:szCs w:val="24"/>
          <w:lang w:val="en-CA"/>
        </w:rPr>
        <w:t>e</w:t>
      </w:r>
      <w:r w:rsidR="00442F83" w:rsidRPr="009A1394">
        <w:rPr>
          <w:color w:val="000000" w:themeColor="text1"/>
          <w:szCs w:val="24"/>
          <w:lang w:val="en-CA"/>
        </w:rPr>
        <w:t xml:space="preserve"> and implement a</w:t>
      </w:r>
      <w:r w:rsidRPr="009A1394">
        <w:rPr>
          <w:color w:val="000000" w:themeColor="text1"/>
          <w:szCs w:val="24"/>
          <w:lang w:val="en-CA"/>
        </w:rPr>
        <w:t>n</w:t>
      </w:r>
      <w:r w:rsidR="00442F83" w:rsidRPr="009A1394">
        <w:rPr>
          <w:color w:val="000000" w:themeColor="text1"/>
          <w:szCs w:val="24"/>
          <w:lang w:val="en-CA"/>
        </w:rPr>
        <w:t xml:space="preserve"> SMS.</w:t>
      </w:r>
      <w:r w:rsidR="00014750" w:rsidRPr="009A1394">
        <w:rPr>
          <w:color w:val="000000" w:themeColor="text1"/>
          <w:szCs w:val="24"/>
          <w:lang w:val="en-CA"/>
        </w:rPr>
        <w:t xml:space="preserve"> </w:t>
      </w:r>
      <w:r w:rsidR="00442F83" w:rsidRPr="009A1394">
        <w:rPr>
          <w:color w:val="000000" w:themeColor="text1"/>
          <w:szCs w:val="24"/>
          <w:lang w:val="en-CA"/>
        </w:rPr>
        <w:t xml:space="preserve">This </w:t>
      </w:r>
      <w:r w:rsidRPr="009A1394">
        <w:rPr>
          <w:color w:val="000000" w:themeColor="text1"/>
          <w:szCs w:val="24"/>
          <w:lang w:val="en-CA"/>
        </w:rPr>
        <w:t>involves</w:t>
      </w:r>
      <w:r w:rsidR="00442F83" w:rsidRPr="009A1394">
        <w:rPr>
          <w:color w:val="000000" w:themeColor="text1"/>
          <w:szCs w:val="24"/>
          <w:lang w:val="en-CA"/>
        </w:rPr>
        <w:t>, at the very least, the implementation of a process to determine the safety issues that occur, including those that arise from “significant changes to railway operations”, and assess</w:t>
      </w:r>
      <w:r w:rsidRPr="009A1394">
        <w:rPr>
          <w:color w:val="000000" w:themeColor="text1"/>
          <w:szCs w:val="24"/>
          <w:lang w:val="en-CA"/>
        </w:rPr>
        <w:t>ing</w:t>
      </w:r>
      <w:r w:rsidR="00442F83" w:rsidRPr="009A1394">
        <w:rPr>
          <w:color w:val="000000" w:themeColor="text1"/>
          <w:szCs w:val="24"/>
          <w:lang w:val="en-CA"/>
        </w:rPr>
        <w:t xml:space="preserve"> the risks associated therewith.</w:t>
      </w:r>
      <w:r w:rsidR="00442F83" w:rsidRPr="009A1394">
        <w:rPr>
          <w:rStyle w:val="Appelnotedebasdep"/>
          <w:color w:val="000000" w:themeColor="text1"/>
          <w:szCs w:val="24"/>
          <w:lang w:val="en-CA"/>
        </w:rPr>
        <w:footnoteReference w:id="190"/>
      </w:r>
    </w:p>
    <w:p w14:paraId="7998D27B" w14:textId="47D95403" w:rsidR="00702A59" w:rsidRPr="009A1394" w:rsidRDefault="00442F83" w:rsidP="00B84769">
      <w:pPr>
        <w:pStyle w:val="Paragraphe"/>
        <w:numPr>
          <w:ilvl w:val="0"/>
          <w:numId w:val="1"/>
        </w:numPr>
        <w:rPr>
          <w:color w:val="000000" w:themeColor="text1"/>
          <w:szCs w:val="24"/>
          <w:lang w:val="en-CA"/>
        </w:rPr>
      </w:pPr>
      <w:r w:rsidRPr="009A1394">
        <w:rPr>
          <w:color w:val="000000" w:themeColor="text1"/>
          <w:szCs w:val="24"/>
          <w:lang w:val="en-CA"/>
        </w:rPr>
        <w:t xml:space="preserve">The </w:t>
      </w:r>
      <w:r w:rsidRPr="009A1394">
        <w:rPr>
          <w:i/>
          <w:iCs/>
          <w:color w:val="000000" w:themeColor="text1"/>
          <w:szCs w:val="24"/>
          <w:lang w:val="en-CA"/>
        </w:rPr>
        <w:t>Regulation</w:t>
      </w:r>
      <w:r w:rsidR="00CE0242" w:rsidRPr="009A1394">
        <w:rPr>
          <w:i/>
          <w:iCs/>
          <w:color w:val="000000" w:themeColor="text1"/>
          <w:szCs w:val="24"/>
          <w:lang w:val="en-CA"/>
        </w:rPr>
        <w:t>s</w:t>
      </w:r>
      <w:r w:rsidRPr="009A1394">
        <w:rPr>
          <w:color w:val="000000" w:themeColor="text1"/>
          <w:szCs w:val="24"/>
          <w:lang w:val="en-CA"/>
        </w:rPr>
        <w:t xml:space="preserve">, as </w:t>
      </w:r>
      <w:r w:rsidR="00CE0242" w:rsidRPr="009A1394">
        <w:rPr>
          <w:color w:val="000000" w:themeColor="text1"/>
          <w:szCs w:val="24"/>
          <w:lang w:val="en-CA"/>
        </w:rPr>
        <w:t>they</w:t>
      </w:r>
      <w:r w:rsidRPr="009A1394">
        <w:rPr>
          <w:color w:val="000000" w:themeColor="text1"/>
          <w:szCs w:val="24"/>
          <w:lang w:val="en-CA"/>
        </w:rPr>
        <w:t xml:space="preserve"> existed at the time of the derailment, w</w:t>
      </w:r>
      <w:r w:rsidR="00496B25" w:rsidRPr="009A1394">
        <w:rPr>
          <w:color w:val="000000" w:themeColor="text1"/>
          <w:szCs w:val="24"/>
          <w:lang w:val="en-CA"/>
        </w:rPr>
        <w:t>ere</w:t>
      </w:r>
      <w:r w:rsidRPr="009A1394">
        <w:rPr>
          <w:color w:val="000000" w:themeColor="text1"/>
          <w:szCs w:val="24"/>
          <w:lang w:val="en-CA"/>
        </w:rPr>
        <w:t xml:space="preserve"> rather laconic as to the criteria to consider </w:t>
      </w:r>
      <w:r w:rsidR="00496B25" w:rsidRPr="009A1394">
        <w:rPr>
          <w:color w:val="000000" w:themeColor="text1"/>
          <w:szCs w:val="24"/>
          <w:lang w:val="en-CA"/>
        </w:rPr>
        <w:t>in</w:t>
      </w:r>
      <w:r w:rsidRPr="009A1394">
        <w:rPr>
          <w:color w:val="000000" w:themeColor="text1"/>
          <w:szCs w:val="24"/>
          <w:lang w:val="en-CA"/>
        </w:rPr>
        <w:t xml:space="preserve"> decid</w:t>
      </w:r>
      <w:r w:rsidR="00496B25" w:rsidRPr="009A1394">
        <w:rPr>
          <w:color w:val="000000" w:themeColor="text1"/>
          <w:szCs w:val="24"/>
          <w:lang w:val="en-CA"/>
        </w:rPr>
        <w:t>ing</w:t>
      </w:r>
      <w:r w:rsidRPr="009A1394">
        <w:rPr>
          <w:color w:val="000000" w:themeColor="text1"/>
          <w:szCs w:val="24"/>
          <w:lang w:val="en-CA"/>
        </w:rPr>
        <w:t xml:space="preserve"> </w:t>
      </w:r>
      <w:r w:rsidR="00496B25" w:rsidRPr="009A1394">
        <w:rPr>
          <w:color w:val="000000" w:themeColor="text1"/>
          <w:szCs w:val="24"/>
          <w:lang w:val="en-CA"/>
        </w:rPr>
        <w:t>if</w:t>
      </w:r>
      <w:r w:rsidRPr="009A1394">
        <w:rPr>
          <w:color w:val="000000" w:themeColor="text1"/>
          <w:szCs w:val="24"/>
          <w:lang w:val="en-CA"/>
        </w:rPr>
        <w:t xml:space="preserve"> a risk assessment was required.</w:t>
      </w:r>
      <w:r w:rsidRPr="009A1394">
        <w:rPr>
          <w:rStyle w:val="Appelnotedebasdep"/>
          <w:color w:val="000000" w:themeColor="text1"/>
          <w:szCs w:val="24"/>
          <w:lang w:val="en-CA"/>
        </w:rPr>
        <w:footnoteReference w:id="191"/>
      </w:r>
      <w:r w:rsidR="008161A3" w:rsidRPr="009A1394">
        <w:rPr>
          <w:color w:val="000000" w:themeColor="text1"/>
          <w:szCs w:val="24"/>
          <w:lang w:val="en-CA"/>
        </w:rPr>
        <w:t xml:space="preserve"> </w:t>
      </w:r>
      <w:r w:rsidR="00496B25" w:rsidRPr="009A1394">
        <w:rPr>
          <w:color w:val="000000" w:themeColor="text1"/>
          <w:szCs w:val="24"/>
          <w:lang w:val="en-CA"/>
        </w:rPr>
        <w:t>The issue of w</w:t>
      </w:r>
      <w:r w:rsidR="008A26A3" w:rsidRPr="009A1394">
        <w:rPr>
          <w:color w:val="000000" w:themeColor="text1"/>
          <w:szCs w:val="24"/>
          <w:lang w:val="en-CA"/>
        </w:rPr>
        <w:t xml:space="preserve">hether such an assessment should have been </w:t>
      </w:r>
      <w:r w:rsidR="00BC20DD" w:rsidRPr="009A1394">
        <w:rPr>
          <w:color w:val="000000" w:themeColor="text1"/>
          <w:szCs w:val="24"/>
          <w:lang w:val="en-CA"/>
        </w:rPr>
        <w:t xml:space="preserve">performed </w:t>
      </w:r>
      <w:r w:rsidR="008A26A3" w:rsidRPr="009A1394">
        <w:rPr>
          <w:color w:val="000000" w:themeColor="text1"/>
          <w:szCs w:val="24"/>
          <w:lang w:val="en-CA"/>
        </w:rPr>
        <w:t xml:space="preserve">here turns largely on the determination of whether the operational changes required to </w:t>
      </w:r>
      <w:r w:rsidR="00496B25" w:rsidRPr="009A1394">
        <w:rPr>
          <w:color w:val="000000" w:themeColor="text1"/>
          <w:szCs w:val="24"/>
          <w:lang w:val="en-CA"/>
        </w:rPr>
        <w:t>transport</w:t>
      </w:r>
      <w:r w:rsidR="008A26A3" w:rsidRPr="009A1394">
        <w:rPr>
          <w:color w:val="000000" w:themeColor="text1"/>
          <w:szCs w:val="24"/>
          <w:lang w:val="en-CA"/>
        </w:rPr>
        <w:t xml:space="preserve"> the crude oil cargo from the Bakken Formation</w:t>
      </w:r>
      <w:r w:rsidR="00BC20DD" w:rsidRPr="009A1394">
        <w:rPr>
          <w:color w:val="000000" w:themeColor="text1"/>
          <w:szCs w:val="24"/>
          <w:lang w:val="en-CA"/>
        </w:rPr>
        <w:t>,</w:t>
      </w:r>
      <w:r w:rsidR="008A26A3" w:rsidRPr="009A1394">
        <w:rPr>
          <w:color w:val="000000" w:themeColor="text1"/>
          <w:szCs w:val="24"/>
          <w:lang w:val="en-CA"/>
        </w:rPr>
        <w:t xml:space="preserve"> in North Dakota, to New Brunswick were significant</w:t>
      </w:r>
      <w:r w:rsidR="003A0A7F" w:rsidRPr="009A1394">
        <w:rPr>
          <w:color w:val="000000" w:themeColor="text1"/>
          <w:szCs w:val="24"/>
          <w:lang w:val="en-CA"/>
        </w:rPr>
        <w:t xml:space="preserve"> or not</w:t>
      </w:r>
      <w:r w:rsidR="008A26A3" w:rsidRPr="009A1394">
        <w:rPr>
          <w:color w:val="000000" w:themeColor="text1"/>
          <w:szCs w:val="24"/>
          <w:lang w:val="en-CA"/>
        </w:rPr>
        <w:t xml:space="preserve">. </w:t>
      </w:r>
    </w:p>
    <w:p w14:paraId="42718A2E" w14:textId="6744CA06" w:rsidR="0034520B" w:rsidRPr="009A1394" w:rsidRDefault="00442F83" w:rsidP="00B84769">
      <w:pPr>
        <w:pStyle w:val="Paragraphe"/>
        <w:numPr>
          <w:ilvl w:val="0"/>
          <w:numId w:val="1"/>
        </w:numPr>
        <w:rPr>
          <w:color w:val="000000" w:themeColor="text1"/>
          <w:szCs w:val="24"/>
          <w:lang w:val="en-CA"/>
        </w:rPr>
      </w:pPr>
      <w:r w:rsidRPr="009A1394">
        <w:rPr>
          <w:color w:val="000000" w:themeColor="text1"/>
          <w:szCs w:val="24"/>
          <w:lang w:val="en-CA"/>
        </w:rPr>
        <w:t xml:space="preserve">The appellants are right to claim that the </w:t>
      </w:r>
      <w:r w:rsidR="00BC20DD" w:rsidRPr="009A1394">
        <w:rPr>
          <w:color w:val="000000" w:themeColor="text1"/>
          <w:szCs w:val="24"/>
          <w:lang w:val="en-CA"/>
        </w:rPr>
        <w:t xml:space="preserve">proposed </w:t>
      </w:r>
      <w:r w:rsidRPr="009A1394">
        <w:rPr>
          <w:color w:val="000000" w:themeColor="text1"/>
          <w:szCs w:val="24"/>
          <w:lang w:val="en-CA"/>
        </w:rPr>
        <w:t xml:space="preserve">transport was </w:t>
      </w:r>
      <w:r w:rsidR="004A3E34" w:rsidRPr="009A1394">
        <w:rPr>
          <w:color w:val="000000" w:themeColor="text1"/>
          <w:szCs w:val="24"/>
          <w:lang w:val="en-CA"/>
        </w:rPr>
        <w:t xml:space="preserve">unprecedented, </w:t>
      </w:r>
      <w:r w:rsidRPr="009A1394">
        <w:rPr>
          <w:color w:val="000000" w:themeColor="text1"/>
          <w:szCs w:val="24"/>
          <w:lang w:val="en-CA"/>
        </w:rPr>
        <w:t xml:space="preserve">in that it had never been done in exactly the way it </w:t>
      </w:r>
      <w:r w:rsidR="004A3E34" w:rsidRPr="009A1394">
        <w:rPr>
          <w:color w:val="000000" w:themeColor="text1"/>
          <w:szCs w:val="24"/>
          <w:lang w:val="en-CA"/>
        </w:rPr>
        <w:t>was</w:t>
      </w:r>
      <w:r w:rsidRPr="009A1394">
        <w:rPr>
          <w:color w:val="000000" w:themeColor="text1"/>
          <w:szCs w:val="24"/>
          <w:lang w:val="en-CA"/>
        </w:rPr>
        <w:t xml:space="preserve"> planned.</w:t>
      </w:r>
      <w:r w:rsidR="008161A3" w:rsidRPr="009A1394">
        <w:rPr>
          <w:color w:val="000000" w:themeColor="text1"/>
          <w:szCs w:val="24"/>
          <w:lang w:val="en-CA"/>
        </w:rPr>
        <w:t xml:space="preserve"> </w:t>
      </w:r>
      <w:r w:rsidRPr="009A1394">
        <w:rPr>
          <w:color w:val="000000" w:themeColor="text1"/>
          <w:szCs w:val="24"/>
          <w:lang w:val="en-CA"/>
        </w:rPr>
        <w:t>T</w:t>
      </w:r>
      <w:r w:rsidR="00F53E7E" w:rsidRPr="009A1394">
        <w:rPr>
          <w:color w:val="000000" w:themeColor="text1"/>
          <w:szCs w:val="24"/>
          <w:lang w:val="en-CA"/>
        </w:rPr>
        <w:t>h</w:t>
      </w:r>
      <w:r w:rsidRPr="009A1394">
        <w:rPr>
          <w:color w:val="000000" w:themeColor="text1"/>
          <w:szCs w:val="24"/>
          <w:lang w:val="en-CA"/>
        </w:rPr>
        <w:t xml:space="preserve">e </w:t>
      </w:r>
      <w:r w:rsidR="003A0A7F" w:rsidRPr="009A1394">
        <w:rPr>
          <w:color w:val="000000" w:themeColor="text1"/>
          <w:szCs w:val="24"/>
          <w:lang w:val="en-CA"/>
        </w:rPr>
        <w:t>novelty</w:t>
      </w:r>
      <w:r w:rsidRPr="009A1394">
        <w:rPr>
          <w:color w:val="000000" w:themeColor="text1"/>
          <w:szCs w:val="24"/>
          <w:lang w:val="en-CA"/>
        </w:rPr>
        <w:t xml:space="preserve"> had to do with </w:t>
      </w:r>
      <w:r w:rsidR="00F53E7E" w:rsidRPr="009A1394">
        <w:rPr>
          <w:color w:val="000000" w:themeColor="text1"/>
          <w:szCs w:val="24"/>
          <w:lang w:val="en-CA"/>
        </w:rPr>
        <w:t xml:space="preserve">the </w:t>
      </w:r>
      <w:r w:rsidR="003A0A7F" w:rsidRPr="009A1394">
        <w:rPr>
          <w:color w:val="000000" w:themeColor="text1"/>
          <w:szCs w:val="24"/>
          <w:lang w:val="en-CA"/>
        </w:rPr>
        <w:t>source area</w:t>
      </w:r>
      <w:r w:rsidR="00F53E7E" w:rsidRPr="009A1394">
        <w:rPr>
          <w:color w:val="000000" w:themeColor="text1"/>
          <w:szCs w:val="24"/>
          <w:lang w:val="en-CA"/>
        </w:rPr>
        <w:t xml:space="preserve"> of</w:t>
      </w:r>
      <w:r w:rsidRPr="009A1394">
        <w:rPr>
          <w:color w:val="000000" w:themeColor="text1"/>
          <w:szCs w:val="24"/>
          <w:lang w:val="en-CA"/>
        </w:rPr>
        <w:t xml:space="preserve"> the crude oil, the quantities transported, and the composition of the cargo (</w:t>
      </w:r>
      <w:r w:rsidR="00F53E7E" w:rsidRPr="009A1394">
        <w:rPr>
          <w:color w:val="000000" w:themeColor="text1"/>
          <w:szCs w:val="24"/>
          <w:lang w:val="en-CA"/>
        </w:rPr>
        <w:t>[</w:t>
      </w:r>
      <w:r w:rsidR="00F53E7E" w:rsidRPr="009A1394">
        <w:rPr>
          <w:smallCaps/>
          <w:color w:val="000000" w:themeColor="text1"/>
          <w:szCs w:val="24"/>
          <w:lang w:val="en-CA"/>
        </w:rPr>
        <w:t>translation</w:t>
      </w:r>
      <w:r w:rsidR="00F53E7E" w:rsidRPr="009A1394">
        <w:rPr>
          <w:color w:val="000000" w:themeColor="text1"/>
          <w:szCs w:val="24"/>
          <w:lang w:val="en-CA"/>
        </w:rPr>
        <w:t>] “</w:t>
      </w:r>
      <w:r w:rsidRPr="009A1394">
        <w:rPr>
          <w:color w:val="000000" w:themeColor="text1"/>
          <w:szCs w:val="24"/>
          <w:lang w:val="en-CA"/>
        </w:rPr>
        <w:t xml:space="preserve">unit trains” </w:t>
      </w:r>
      <w:r w:rsidR="00F53E7E" w:rsidRPr="009A1394">
        <w:rPr>
          <w:color w:val="000000" w:themeColor="text1"/>
          <w:szCs w:val="24"/>
          <w:lang w:val="en-CA"/>
        </w:rPr>
        <w:t>rather than</w:t>
      </w:r>
      <w:r w:rsidRPr="009A1394">
        <w:rPr>
          <w:color w:val="000000" w:themeColor="text1"/>
          <w:szCs w:val="24"/>
          <w:lang w:val="en-CA"/>
        </w:rPr>
        <w:t xml:space="preserve"> </w:t>
      </w:r>
      <w:r w:rsidR="00F53E7E" w:rsidRPr="009A1394">
        <w:rPr>
          <w:color w:val="000000" w:themeColor="text1"/>
          <w:szCs w:val="24"/>
          <w:lang w:val="en-CA"/>
        </w:rPr>
        <w:t>[</w:t>
      </w:r>
      <w:r w:rsidR="00F53E7E" w:rsidRPr="009A1394">
        <w:rPr>
          <w:smallCaps/>
          <w:color w:val="000000" w:themeColor="text1"/>
          <w:szCs w:val="24"/>
          <w:lang w:val="en-CA"/>
        </w:rPr>
        <w:t>translation</w:t>
      </w:r>
      <w:r w:rsidR="00F53E7E" w:rsidRPr="009A1394">
        <w:rPr>
          <w:color w:val="000000" w:themeColor="text1"/>
          <w:szCs w:val="24"/>
          <w:lang w:val="en-CA"/>
        </w:rPr>
        <w:t xml:space="preserve">] </w:t>
      </w:r>
      <w:r w:rsidRPr="009A1394">
        <w:rPr>
          <w:color w:val="000000" w:themeColor="text1"/>
          <w:szCs w:val="24"/>
          <w:lang w:val="en-CA"/>
        </w:rPr>
        <w:t>“manifest trains”).</w:t>
      </w:r>
    </w:p>
    <w:p w14:paraId="18A45D6C" w14:textId="6F2E1ED0" w:rsidR="00702A59" w:rsidRPr="009A1394" w:rsidRDefault="00442F83" w:rsidP="00B84769">
      <w:pPr>
        <w:pStyle w:val="Paragraphe"/>
        <w:numPr>
          <w:ilvl w:val="0"/>
          <w:numId w:val="1"/>
        </w:numPr>
        <w:rPr>
          <w:color w:val="000000" w:themeColor="text1"/>
          <w:szCs w:val="24"/>
          <w:lang w:val="en-CA"/>
        </w:rPr>
      </w:pPr>
      <w:r w:rsidRPr="009A1394">
        <w:rPr>
          <w:color w:val="000000" w:themeColor="text1"/>
          <w:szCs w:val="24"/>
          <w:lang w:val="en-CA"/>
        </w:rPr>
        <w:t xml:space="preserve">To determine whether the operational changes required could be characterized as significant within the meaning of </w:t>
      </w:r>
      <w:r w:rsidR="00561D68" w:rsidRPr="009A1394">
        <w:rPr>
          <w:color w:val="000000" w:themeColor="text1"/>
          <w:szCs w:val="24"/>
          <w:lang w:val="en-CA"/>
        </w:rPr>
        <w:t>the</w:t>
      </w:r>
      <w:r w:rsidRPr="009A1394">
        <w:rPr>
          <w:color w:val="000000" w:themeColor="text1"/>
          <w:szCs w:val="24"/>
          <w:lang w:val="en-CA"/>
        </w:rPr>
        <w:t xml:space="preserve"> </w:t>
      </w:r>
      <w:r w:rsidRPr="009A1394">
        <w:rPr>
          <w:i/>
          <w:color w:val="000000" w:themeColor="text1"/>
          <w:szCs w:val="24"/>
          <w:lang w:val="en-CA"/>
        </w:rPr>
        <w:t>Regulation</w:t>
      </w:r>
      <w:r w:rsidR="003A0A7F" w:rsidRPr="009A1394">
        <w:rPr>
          <w:i/>
          <w:color w:val="000000" w:themeColor="text1"/>
          <w:szCs w:val="24"/>
          <w:lang w:val="en-CA"/>
        </w:rPr>
        <w:t>s</w:t>
      </w:r>
      <w:r w:rsidRPr="009A1394">
        <w:rPr>
          <w:color w:val="000000" w:themeColor="text1"/>
          <w:szCs w:val="24"/>
          <w:lang w:val="en-CA"/>
        </w:rPr>
        <w:t xml:space="preserve">, the </w:t>
      </w:r>
      <w:r w:rsidR="00561D68" w:rsidRPr="009A1394">
        <w:rPr>
          <w:color w:val="000000" w:themeColor="text1"/>
          <w:szCs w:val="24"/>
          <w:lang w:val="en-CA"/>
        </w:rPr>
        <w:t>judge</w:t>
      </w:r>
      <w:r w:rsidRPr="009A1394">
        <w:rPr>
          <w:color w:val="000000" w:themeColor="text1"/>
          <w:szCs w:val="24"/>
          <w:lang w:val="en-CA"/>
        </w:rPr>
        <w:t xml:space="preserve"> carefully weighed each of the new </w:t>
      </w:r>
      <w:r w:rsidR="00561D68" w:rsidRPr="009A1394">
        <w:rPr>
          <w:color w:val="000000" w:themeColor="text1"/>
          <w:szCs w:val="24"/>
          <w:lang w:val="en-CA"/>
        </w:rPr>
        <w:t>elements</w:t>
      </w:r>
      <w:r w:rsidRPr="009A1394">
        <w:rPr>
          <w:color w:val="000000" w:themeColor="text1"/>
          <w:szCs w:val="24"/>
          <w:lang w:val="en-CA"/>
        </w:rPr>
        <w:t>.</w:t>
      </w:r>
      <w:r w:rsidR="0034520B" w:rsidRPr="009A1394">
        <w:rPr>
          <w:color w:val="000000" w:themeColor="text1"/>
          <w:szCs w:val="24"/>
          <w:lang w:val="en-CA"/>
        </w:rPr>
        <w:t xml:space="preserve"> </w:t>
      </w:r>
      <w:r w:rsidRPr="009A1394">
        <w:rPr>
          <w:color w:val="000000" w:themeColor="text1"/>
          <w:szCs w:val="24"/>
          <w:lang w:val="en-CA"/>
        </w:rPr>
        <w:t xml:space="preserve">He found that CP and MMA each had the required experience to transport dangerous goods </w:t>
      </w:r>
      <w:r w:rsidR="003A0A7F" w:rsidRPr="009A1394">
        <w:rPr>
          <w:color w:val="000000" w:themeColor="text1"/>
          <w:szCs w:val="24"/>
          <w:lang w:val="en-CA"/>
        </w:rPr>
        <w:t>such as</w:t>
      </w:r>
      <w:r w:rsidRPr="009A1394">
        <w:rPr>
          <w:color w:val="000000" w:themeColor="text1"/>
          <w:szCs w:val="24"/>
          <w:lang w:val="en-CA"/>
        </w:rPr>
        <w:t xml:space="preserve"> crude oil.</w:t>
      </w:r>
      <w:r w:rsidR="0034520B" w:rsidRPr="009A1394">
        <w:rPr>
          <w:color w:val="000000" w:themeColor="text1"/>
          <w:szCs w:val="24"/>
          <w:lang w:val="en-CA"/>
        </w:rPr>
        <w:t xml:space="preserve"> </w:t>
      </w:r>
      <w:r w:rsidRPr="009A1394">
        <w:rPr>
          <w:color w:val="000000" w:themeColor="text1"/>
          <w:szCs w:val="24"/>
          <w:lang w:val="en-CA"/>
        </w:rPr>
        <w:t xml:space="preserve">He also found that transporting crude oil in </w:t>
      </w:r>
      <w:r w:rsidR="00561D68" w:rsidRPr="009A1394">
        <w:rPr>
          <w:color w:val="000000" w:themeColor="text1"/>
          <w:szCs w:val="24"/>
          <w:lang w:val="en-CA"/>
        </w:rPr>
        <w:t>[</w:t>
      </w:r>
      <w:r w:rsidR="00561D68" w:rsidRPr="009A1394">
        <w:rPr>
          <w:smallCaps/>
          <w:color w:val="000000" w:themeColor="text1"/>
          <w:szCs w:val="24"/>
          <w:lang w:val="en-CA"/>
        </w:rPr>
        <w:t>translation</w:t>
      </w:r>
      <w:r w:rsidR="00561D68" w:rsidRPr="009A1394">
        <w:rPr>
          <w:color w:val="000000" w:themeColor="text1"/>
          <w:szCs w:val="24"/>
          <w:lang w:val="en-CA"/>
        </w:rPr>
        <w:t xml:space="preserve">] </w:t>
      </w:r>
      <w:r w:rsidRPr="009A1394">
        <w:rPr>
          <w:color w:val="000000" w:themeColor="text1"/>
          <w:szCs w:val="24"/>
          <w:lang w:val="en-CA"/>
        </w:rPr>
        <w:t xml:space="preserve">“unit trains” was not intrinsically more dangerous than doing so by </w:t>
      </w:r>
      <w:r w:rsidR="00561D68" w:rsidRPr="009A1394">
        <w:rPr>
          <w:color w:val="000000" w:themeColor="text1"/>
          <w:szCs w:val="24"/>
          <w:lang w:val="en-CA"/>
        </w:rPr>
        <w:t>[</w:t>
      </w:r>
      <w:r w:rsidR="00561D68" w:rsidRPr="009A1394">
        <w:rPr>
          <w:smallCaps/>
          <w:color w:val="000000" w:themeColor="text1"/>
          <w:szCs w:val="24"/>
          <w:lang w:val="en-CA"/>
        </w:rPr>
        <w:t>translation</w:t>
      </w:r>
      <w:r w:rsidR="00561D68" w:rsidRPr="009A1394">
        <w:rPr>
          <w:color w:val="000000" w:themeColor="text1"/>
          <w:szCs w:val="24"/>
          <w:lang w:val="en-CA"/>
        </w:rPr>
        <w:t xml:space="preserve">] </w:t>
      </w:r>
      <w:r w:rsidRPr="009A1394">
        <w:rPr>
          <w:color w:val="000000" w:themeColor="text1"/>
          <w:szCs w:val="24"/>
          <w:lang w:val="en-CA"/>
        </w:rPr>
        <w:t xml:space="preserve">“manifest train” and did not constitute a significant change </w:t>
      </w:r>
      <w:r w:rsidR="00BB74CA" w:rsidRPr="009A1394">
        <w:rPr>
          <w:color w:val="000000" w:themeColor="text1"/>
          <w:szCs w:val="24"/>
          <w:lang w:val="en-CA"/>
        </w:rPr>
        <w:t xml:space="preserve">in </w:t>
      </w:r>
      <w:r w:rsidRPr="009A1394">
        <w:rPr>
          <w:color w:val="000000" w:themeColor="text1"/>
          <w:szCs w:val="24"/>
          <w:lang w:val="en-CA"/>
        </w:rPr>
        <w:t>rail</w:t>
      </w:r>
      <w:r w:rsidR="00EE0ED2" w:rsidRPr="009A1394">
        <w:rPr>
          <w:color w:val="000000" w:themeColor="text1"/>
          <w:szCs w:val="24"/>
          <w:lang w:val="en-CA"/>
        </w:rPr>
        <w:t>way</w:t>
      </w:r>
      <w:r w:rsidRPr="009A1394">
        <w:rPr>
          <w:color w:val="000000" w:themeColor="text1"/>
          <w:szCs w:val="24"/>
          <w:lang w:val="en-CA"/>
        </w:rPr>
        <w:t xml:space="preserve"> operations:</w:t>
      </w:r>
    </w:p>
    <w:p w14:paraId="3D3E74CE" w14:textId="2013D75B" w:rsidR="00561D68" w:rsidRPr="009A1394" w:rsidRDefault="00561D68" w:rsidP="00B84769">
      <w:pPr>
        <w:pStyle w:val="Citationenretrait"/>
        <w:rPr>
          <w:color w:val="000000" w:themeColor="text1"/>
          <w:lang w:val="en-CA"/>
        </w:rPr>
      </w:pPr>
      <w:r w:rsidRPr="009A1394">
        <w:rPr>
          <w:color w:val="000000" w:themeColor="text1"/>
          <w:szCs w:val="24"/>
          <w:lang w:val="en-CA"/>
        </w:rPr>
        <w:t>[</w:t>
      </w:r>
      <w:r w:rsidRPr="009A1394">
        <w:rPr>
          <w:smallCaps/>
          <w:color w:val="000000" w:themeColor="text1"/>
          <w:szCs w:val="24"/>
          <w:lang w:val="en-CA"/>
        </w:rPr>
        <w:t>translation</w:t>
      </w:r>
      <w:r w:rsidRPr="009A1394">
        <w:rPr>
          <w:color w:val="000000" w:themeColor="text1"/>
          <w:szCs w:val="24"/>
          <w:lang w:val="en-CA"/>
        </w:rPr>
        <w:t>]</w:t>
      </w:r>
    </w:p>
    <w:p w14:paraId="74A0A8B6" w14:textId="5C317EC0" w:rsidR="00702A59" w:rsidRPr="009A1394" w:rsidRDefault="00442F83" w:rsidP="00B84769">
      <w:pPr>
        <w:pStyle w:val="Citationenretrait"/>
        <w:rPr>
          <w:color w:val="000000" w:themeColor="text1"/>
          <w:u w:val="single"/>
          <w:lang w:val="en-CA"/>
        </w:rPr>
      </w:pPr>
      <w:r w:rsidRPr="009A1394">
        <w:rPr>
          <w:color w:val="000000" w:themeColor="text1"/>
          <w:lang w:val="en-CA"/>
        </w:rPr>
        <w:t>[399]</w:t>
      </w:r>
      <w:r w:rsidR="008161A3" w:rsidRPr="009A1394">
        <w:rPr>
          <w:color w:val="000000" w:themeColor="text1"/>
          <w:lang w:val="en-CA"/>
        </w:rPr>
        <w:tab/>
      </w:r>
      <w:r w:rsidR="00561D68" w:rsidRPr="009A1394">
        <w:rPr>
          <w:color w:val="000000" w:themeColor="text1"/>
          <w:lang w:val="en-CA"/>
        </w:rPr>
        <w:t>The</w:t>
      </w:r>
      <w:r w:rsidRPr="009A1394">
        <w:rPr>
          <w:color w:val="000000" w:themeColor="text1"/>
          <w:lang w:val="en-CA"/>
        </w:rPr>
        <w:t xml:space="preserve"> evidence </w:t>
      </w:r>
      <w:r w:rsidR="003A0A7F" w:rsidRPr="009A1394">
        <w:rPr>
          <w:color w:val="000000" w:themeColor="text1"/>
          <w:lang w:val="en-CA"/>
        </w:rPr>
        <w:t>in no way shows</w:t>
      </w:r>
      <w:r w:rsidRPr="009A1394">
        <w:rPr>
          <w:color w:val="000000" w:themeColor="text1"/>
          <w:lang w:val="en-CA"/>
        </w:rPr>
        <w:t xml:space="preserve"> that in the early 2010s, when the rail transport of crude oil grew significantly, rail</w:t>
      </w:r>
      <w:r w:rsidR="00561D68" w:rsidRPr="009A1394">
        <w:rPr>
          <w:color w:val="000000" w:themeColor="text1"/>
          <w:lang w:val="en-CA"/>
        </w:rPr>
        <w:t>way</w:t>
      </w:r>
      <w:r w:rsidRPr="009A1394">
        <w:rPr>
          <w:color w:val="000000" w:themeColor="text1"/>
          <w:lang w:val="en-CA"/>
        </w:rPr>
        <w:t xml:space="preserve"> companies </w:t>
      </w:r>
      <w:r w:rsidRPr="009A1394">
        <w:rPr>
          <w:color w:val="000000" w:themeColor="text1"/>
          <w:u w:val="single"/>
          <w:lang w:val="en-CA"/>
        </w:rPr>
        <w:t xml:space="preserve">considered that the use of unit trains to transport crude oil was a significant change in their operations </w:t>
      </w:r>
      <w:r w:rsidR="003A0A7F" w:rsidRPr="009A1394">
        <w:rPr>
          <w:color w:val="000000" w:themeColor="text1"/>
          <w:u w:val="single"/>
          <w:lang w:val="en-CA"/>
        </w:rPr>
        <w:t>n</w:t>
      </w:r>
      <w:r w:rsidRPr="009A1394">
        <w:rPr>
          <w:color w:val="000000" w:themeColor="text1"/>
          <w:u w:val="single"/>
          <w:lang w:val="en-CA"/>
        </w:rPr>
        <w:t>or even that it was, objectively speaking, a change</w:t>
      </w:r>
      <w:r w:rsidR="00561D68" w:rsidRPr="009A1394">
        <w:rPr>
          <w:color w:val="000000" w:themeColor="text1"/>
          <w:u w:val="single"/>
          <w:lang w:val="en-CA"/>
        </w:rPr>
        <w:t xml:space="preserve"> at all</w:t>
      </w:r>
      <w:r w:rsidRPr="009A1394">
        <w:rPr>
          <w:color w:val="000000" w:themeColor="text1"/>
          <w:lang w:val="en-CA"/>
        </w:rPr>
        <w:t>.</w:t>
      </w:r>
    </w:p>
    <w:p w14:paraId="52753BF6" w14:textId="4D9DBACC" w:rsidR="00702A59" w:rsidRPr="009A1394" w:rsidRDefault="00442F83" w:rsidP="00B84769">
      <w:pPr>
        <w:pStyle w:val="Citationenretrait"/>
        <w:jc w:val="right"/>
        <w:rPr>
          <w:color w:val="000000" w:themeColor="text1"/>
          <w:lang w:val="en-CA"/>
        </w:rPr>
      </w:pPr>
      <w:r w:rsidRPr="009A1394">
        <w:rPr>
          <w:color w:val="000000" w:themeColor="text1"/>
          <w:lang w:val="en-CA"/>
        </w:rPr>
        <w:t>[Emphasis added]</w:t>
      </w:r>
    </w:p>
    <w:p w14:paraId="768A314B" w14:textId="16B55868" w:rsidR="00702A59" w:rsidRPr="009A1394" w:rsidRDefault="00DB79CD" w:rsidP="00B84769">
      <w:pPr>
        <w:pStyle w:val="Paragraphe"/>
        <w:numPr>
          <w:ilvl w:val="0"/>
          <w:numId w:val="1"/>
        </w:numPr>
        <w:rPr>
          <w:color w:val="000000" w:themeColor="text1"/>
          <w:szCs w:val="24"/>
          <w:lang w:val="en-CA"/>
        </w:rPr>
      </w:pPr>
      <w:r w:rsidRPr="009A1394">
        <w:rPr>
          <w:color w:val="000000" w:themeColor="text1"/>
          <w:szCs w:val="24"/>
          <w:lang w:val="en-CA"/>
        </w:rPr>
        <w:lastRenderedPageBreak/>
        <w:t xml:space="preserve">The judge also expressed the opinion that the </w:t>
      </w:r>
      <w:r w:rsidR="0073408A" w:rsidRPr="009A1394">
        <w:rPr>
          <w:color w:val="000000" w:themeColor="text1"/>
          <w:szCs w:val="24"/>
          <w:lang w:val="en-CA"/>
        </w:rPr>
        <w:t xml:space="preserve">increase in the </w:t>
      </w:r>
      <w:r w:rsidRPr="009A1394">
        <w:rPr>
          <w:color w:val="000000" w:themeColor="text1"/>
          <w:szCs w:val="24"/>
          <w:lang w:val="en-CA"/>
        </w:rPr>
        <w:t xml:space="preserve">volume of crude oil transported by rail in 2010, and the ensuing organizational issues, did not </w:t>
      </w:r>
      <w:r w:rsidR="00640695" w:rsidRPr="009A1394">
        <w:rPr>
          <w:color w:val="000000" w:themeColor="text1"/>
          <w:szCs w:val="24"/>
          <w:lang w:val="en-CA"/>
        </w:rPr>
        <w:t>lead to</w:t>
      </w:r>
      <w:r w:rsidRPr="009A1394">
        <w:rPr>
          <w:color w:val="000000" w:themeColor="text1"/>
          <w:szCs w:val="24"/>
          <w:lang w:val="en-CA"/>
        </w:rPr>
        <w:t xml:space="preserve"> any significant changes to CP’s rail</w:t>
      </w:r>
      <w:r w:rsidR="0073408A" w:rsidRPr="009A1394">
        <w:rPr>
          <w:color w:val="000000" w:themeColor="text1"/>
          <w:szCs w:val="24"/>
          <w:lang w:val="en-CA"/>
        </w:rPr>
        <w:t>way</w:t>
      </w:r>
      <w:r w:rsidRPr="009A1394">
        <w:rPr>
          <w:color w:val="000000" w:themeColor="text1"/>
          <w:szCs w:val="24"/>
          <w:lang w:val="en-CA"/>
        </w:rPr>
        <w:t xml:space="preserve"> operations</w:t>
      </w:r>
      <w:r w:rsidR="00640695" w:rsidRPr="009A1394">
        <w:rPr>
          <w:color w:val="000000" w:themeColor="text1"/>
          <w:szCs w:val="24"/>
          <w:lang w:val="en-CA"/>
        </w:rPr>
        <w:t xml:space="preserve"> either</w:t>
      </w:r>
      <w:r w:rsidRPr="009A1394">
        <w:rPr>
          <w:color w:val="000000" w:themeColor="text1"/>
          <w:szCs w:val="24"/>
          <w:lang w:val="en-CA"/>
        </w:rPr>
        <w:t>:</w:t>
      </w:r>
    </w:p>
    <w:p w14:paraId="4B35342F" w14:textId="531FCB4F" w:rsidR="00501BE2" w:rsidRPr="009A1394" w:rsidRDefault="00501BE2" w:rsidP="00B84769">
      <w:pPr>
        <w:pStyle w:val="Citationenretrait"/>
        <w:rPr>
          <w:color w:val="000000" w:themeColor="text1"/>
          <w:lang w:val="en-CA"/>
        </w:rPr>
      </w:pPr>
      <w:r w:rsidRPr="009A1394">
        <w:rPr>
          <w:color w:val="000000" w:themeColor="text1"/>
          <w:szCs w:val="24"/>
          <w:lang w:val="en-CA"/>
        </w:rPr>
        <w:t>[</w:t>
      </w:r>
      <w:r w:rsidRPr="009A1394">
        <w:rPr>
          <w:smallCaps/>
          <w:color w:val="000000" w:themeColor="text1"/>
          <w:szCs w:val="24"/>
          <w:lang w:val="en-CA"/>
        </w:rPr>
        <w:t>translation</w:t>
      </w:r>
      <w:r w:rsidRPr="009A1394">
        <w:rPr>
          <w:color w:val="000000" w:themeColor="text1"/>
          <w:szCs w:val="24"/>
          <w:lang w:val="en-CA"/>
        </w:rPr>
        <w:t>]</w:t>
      </w:r>
    </w:p>
    <w:p w14:paraId="2E91FDC9" w14:textId="034759B6" w:rsidR="00702A59" w:rsidRPr="009A1394" w:rsidRDefault="00DB79CD" w:rsidP="00B84769">
      <w:pPr>
        <w:pStyle w:val="Citationenretrait"/>
        <w:rPr>
          <w:color w:val="000000" w:themeColor="text1"/>
          <w:lang w:val="en-CA"/>
        </w:rPr>
      </w:pPr>
      <w:r w:rsidRPr="009A1394">
        <w:rPr>
          <w:color w:val="000000" w:themeColor="text1"/>
          <w:lang w:val="en-CA"/>
        </w:rPr>
        <w:t>[404]</w:t>
      </w:r>
      <w:r w:rsidR="008161A3" w:rsidRPr="009A1394">
        <w:rPr>
          <w:color w:val="000000" w:themeColor="text1"/>
          <w:lang w:val="en-CA"/>
        </w:rPr>
        <w:tab/>
      </w:r>
      <w:r w:rsidR="00621C23" w:rsidRPr="009A1394">
        <w:rPr>
          <w:color w:val="000000" w:themeColor="text1"/>
          <w:lang w:val="en-CA"/>
        </w:rPr>
        <w:t>It is true that</w:t>
      </w:r>
      <w:r w:rsidRPr="009A1394">
        <w:rPr>
          <w:color w:val="000000" w:themeColor="text1"/>
          <w:lang w:val="en-CA"/>
        </w:rPr>
        <w:t xml:space="preserve"> this new market requires the </w:t>
      </w:r>
      <w:r w:rsidR="00501BE2" w:rsidRPr="009A1394">
        <w:rPr>
          <w:color w:val="000000" w:themeColor="text1"/>
          <w:lang w:val="en-CA"/>
        </w:rPr>
        <w:t>use</w:t>
      </w:r>
      <w:r w:rsidRPr="009A1394">
        <w:rPr>
          <w:color w:val="000000" w:themeColor="text1"/>
          <w:lang w:val="en-CA"/>
        </w:rPr>
        <w:t xml:space="preserve"> of a greater number of trains, the more frequent </w:t>
      </w:r>
      <w:r w:rsidR="00501BE2" w:rsidRPr="009A1394">
        <w:rPr>
          <w:color w:val="000000" w:themeColor="text1"/>
          <w:lang w:val="en-CA"/>
        </w:rPr>
        <w:t>movement</w:t>
      </w:r>
      <w:r w:rsidRPr="009A1394">
        <w:rPr>
          <w:color w:val="000000" w:themeColor="text1"/>
          <w:lang w:val="en-CA"/>
        </w:rPr>
        <w:t xml:space="preserve"> of tank cars on tracks, and imposes on rail companies, including CP and MMA, organizational issues </w:t>
      </w:r>
      <w:r w:rsidR="000F4B9B" w:rsidRPr="009A1394">
        <w:rPr>
          <w:color w:val="000000" w:themeColor="text1"/>
          <w:lang w:val="en-CA"/>
        </w:rPr>
        <w:t xml:space="preserve">in </w:t>
      </w:r>
      <w:r w:rsidRPr="009A1394">
        <w:rPr>
          <w:color w:val="000000" w:themeColor="text1"/>
          <w:lang w:val="en-CA"/>
        </w:rPr>
        <w:t>meet</w:t>
      </w:r>
      <w:r w:rsidR="000F4B9B" w:rsidRPr="009A1394">
        <w:rPr>
          <w:color w:val="000000" w:themeColor="text1"/>
          <w:lang w:val="en-CA"/>
        </w:rPr>
        <w:t>ing</w:t>
      </w:r>
      <w:r w:rsidRPr="009A1394">
        <w:rPr>
          <w:color w:val="000000" w:themeColor="text1"/>
          <w:lang w:val="en-CA"/>
        </w:rPr>
        <w:t xml:space="preserve"> their clients’ needs.</w:t>
      </w:r>
      <w:r w:rsidR="008161A3" w:rsidRPr="009A1394">
        <w:rPr>
          <w:color w:val="000000" w:themeColor="text1"/>
          <w:lang w:val="en-CA"/>
        </w:rPr>
        <w:t xml:space="preserve"> </w:t>
      </w:r>
      <w:r w:rsidR="00501BE2" w:rsidRPr="009A1394">
        <w:rPr>
          <w:color w:val="000000" w:themeColor="text1"/>
          <w:lang w:val="en-CA"/>
        </w:rPr>
        <w:t>However</w:t>
      </w:r>
      <w:r w:rsidRPr="009A1394">
        <w:rPr>
          <w:color w:val="000000" w:themeColor="text1"/>
          <w:lang w:val="en-CA"/>
        </w:rPr>
        <w:t xml:space="preserve">, in light of the legislation in force at the time, the rules and practices of the rail industry, and even in the eyes of the regulatory authorities, this increase of the market was not a significant change requiring a risk assessment within the meaning of the </w:t>
      </w:r>
      <w:r w:rsidRPr="009A1394">
        <w:rPr>
          <w:i/>
          <w:iCs/>
          <w:color w:val="000000" w:themeColor="text1"/>
          <w:lang w:val="en-CA"/>
        </w:rPr>
        <w:t>SMS Regulation</w:t>
      </w:r>
      <w:r w:rsidR="00646BE4" w:rsidRPr="009A1394">
        <w:rPr>
          <w:i/>
          <w:iCs/>
          <w:color w:val="000000" w:themeColor="text1"/>
          <w:lang w:val="en-CA"/>
        </w:rPr>
        <w:t>s</w:t>
      </w:r>
      <w:r w:rsidRPr="009A1394">
        <w:rPr>
          <w:color w:val="000000" w:themeColor="text1"/>
          <w:lang w:val="en-CA"/>
        </w:rPr>
        <w:t>.</w:t>
      </w:r>
    </w:p>
    <w:p w14:paraId="31C1E575" w14:textId="63495FC0" w:rsidR="00702A59" w:rsidRPr="009A1394" w:rsidRDefault="00DB79CD" w:rsidP="00B84769">
      <w:pPr>
        <w:pStyle w:val="Paragraphe"/>
        <w:numPr>
          <w:ilvl w:val="0"/>
          <w:numId w:val="1"/>
        </w:numPr>
        <w:rPr>
          <w:color w:val="000000" w:themeColor="text1"/>
          <w:szCs w:val="24"/>
          <w:lang w:val="en-CA"/>
        </w:rPr>
      </w:pPr>
      <w:r w:rsidRPr="009A1394">
        <w:rPr>
          <w:color w:val="000000" w:themeColor="text1"/>
          <w:szCs w:val="24"/>
          <w:lang w:val="en-CA"/>
        </w:rPr>
        <w:t>Furthermore, the judge noted that Transport Canada (</w:t>
      </w:r>
      <w:r w:rsidR="00646BE4" w:rsidRPr="009A1394">
        <w:rPr>
          <w:color w:val="000000" w:themeColor="text1"/>
          <w:szCs w:val="24"/>
          <w:lang w:val="en-CA"/>
        </w:rPr>
        <w:t>“</w:t>
      </w:r>
      <w:r w:rsidRPr="009A1394">
        <w:rPr>
          <w:b/>
          <w:color w:val="000000" w:themeColor="text1"/>
          <w:szCs w:val="24"/>
          <w:lang w:val="en-CA"/>
        </w:rPr>
        <w:t>TC</w:t>
      </w:r>
      <w:r w:rsidRPr="009A1394">
        <w:rPr>
          <w:color w:val="000000" w:themeColor="text1"/>
          <w:szCs w:val="24"/>
          <w:lang w:val="en-CA"/>
        </w:rPr>
        <w:t xml:space="preserve">”), whose principal responsibility is to </w:t>
      </w:r>
      <w:r w:rsidR="00501BE2" w:rsidRPr="009A1394">
        <w:rPr>
          <w:color w:val="000000" w:themeColor="text1"/>
          <w:szCs w:val="24"/>
          <w:lang w:val="en-CA"/>
        </w:rPr>
        <w:t>ensure</w:t>
      </w:r>
      <w:r w:rsidRPr="009A1394">
        <w:rPr>
          <w:color w:val="000000" w:themeColor="text1"/>
          <w:szCs w:val="24"/>
          <w:lang w:val="en-CA"/>
        </w:rPr>
        <w:t xml:space="preserve"> rail safety, did not find that this was a significant change.</w:t>
      </w:r>
      <w:r w:rsidRPr="009A1394">
        <w:rPr>
          <w:rStyle w:val="Appelnotedebasdep"/>
          <w:color w:val="000000" w:themeColor="text1"/>
          <w:szCs w:val="24"/>
          <w:lang w:val="en-CA"/>
        </w:rPr>
        <w:footnoteReference w:id="192"/>
      </w:r>
    </w:p>
    <w:p w14:paraId="5E0D8EB4" w14:textId="13126C78" w:rsidR="00702A59" w:rsidRPr="009A1394" w:rsidRDefault="00DB79CD" w:rsidP="00B84769">
      <w:pPr>
        <w:pStyle w:val="Paragraphe"/>
        <w:numPr>
          <w:ilvl w:val="0"/>
          <w:numId w:val="1"/>
        </w:numPr>
        <w:rPr>
          <w:color w:val="000000" w:themeColor="text1"/>
          <w:szCs w:val="24"/>
          <w:lang w:val="en-CA"/>
        </w:rPr>
      </w:pPr>
      <w:r w:rsidRPr="009A1394">
        <w:rPr>
          <w:color w:val="000000" w:themeColor="text1"/>
          <w:szCs w:val="24"/>
          <w:lang w:val="en-CA"/>
        </w:rPr>
        <w:t xml:space="preserve">The judge’s </w:t>
      </w:r>
      <w:r w:rsidR="000F4B9B" w:rsidRPr="009A1394">
        <w:rPr>
          <w:color w:val="000000" w:themeColor="text1"/>
          <w:szCs w:val="24"/>
          <w:lang w:val="en-CA"/>
        </w:rPr>
        <w:t xml:space="preserve">finding </w:t>
      </w:r>
      <w:r w:rsidRPr="009A1394">
        <w:rPr>
          <w:color w:val="000000" w:themeColor="text1"/>
          <w:szCs w:val="24"/>
          <w:lang w:val="en-CA"/>
        </w:rPr>
        <w:t xml:space="preserve">on the absence of significant changes rested on his assessment of </w:t>
      </w:r>
      <w:r w:rsidR="00B51A65" w:rsidRPr="009A1394">
        <w:rPr>
          <w:color w:val="000000" w:themeColor="text1"/>
          <w:szCs w:val="24"/>
          <w:lang w:val="en-CA"/>
        </w:rPr>
        <w:t>the</w:t>
      </w:r>
      <w:r w:rsidRPr="009A1394">
        <w:rPr>
          <w:color w:val="000000" w:themeColor="text1"/>
          <w:szCs w:val="24"/>
          <w:lang w:val="en-CA"/>
        </w:rPr>
        <w:t xml:space="preserve"> evidence, including the expert evidence.</w:t>
      </w:r>
      <w:r w:rsidR="008521A7" w:rsidRPr="009A1394">
        <w:rPr>
          <w:color w:val="000000" w:themeColor="text1"/>
          <w:szCs w:val="24"/>
          <w:lang w:val="en-CA"/>
        </w:rPr>
        <w:t xml:space="preserve"> </w:t>
      </w:r>
      <w:r w:rsidRPr="009A1394">
        <w:rPr>
          <w:color w:val="000000" w:themeColor="text1"/>
          <w:szCs w:val="24"/>
          <w:lang w:val="en-CA"/>
        </w:rPr>
        <w:t xml:space="preserve">To </w:t>
      </w:r>
      <w:r w:rsidR="00F7176D" w:rsidRPr="009A1394">
        <w:rPr>
          <w:color w:val="000000" w:themeColor="text1"/>
          <w:szCs w:val="24"/>
          <w:lang w:val="en-CA"/>
        </w:rPr>
        <w:t xml:space="preserve">persuade </w:t>
      </w:r>
      <w:r w:rsidRPr="009A1394">
        <w:rPr>
          <w:color w:val="000000" w:themeColor="text1"/>
          <w:szCs w:val="24"/>
          <w:lang w:val="en-CA"/>
        </w:rPr>
        <w:t>th</w:t>
      </w:r>
      <w:r w:rsidR="00B51A65" w:rsidRPr="009A1394">
        <w:rPr>
          <w:color w:val="000000" w:themeColor="text1"/>
          <w:szCs w:val="24"/>
          <w:lang w:val="en-CA"/>
        </w:rPr>
        <w:t>is</w:t>
      </w:r>
      <w:r w:rsidRPr="009A1394">
        <w:rPr>
          <w:color w:val="000000" w:themeColor="text1"/>
          <w:szCs w:val="24"/>
          <w:lang w:val="en-CA"/>
        </w:rPr>
        <w:t xml:space="preserve"> Court to intervene, it is not enough for the appellants to express their disagreement or for them to prove that a different </w:t>
      </w:r>
      <w:r w:rsidR="000F4B9B" w:rsidRPr="009A1394">
        <w:rPr>
          <w:color w:val="000000" w:themeColor="text1"/>
          <w:szCs w:val="24"/>
          <w:lang w:val="en-CA"/>
        </w:rPr>
        <w:t xml:space="preserve">finding </w:t>
      </w:r>
      <w:r w:rsidRPr="009A1394">
        <w:rPr>
          <w:color w:val="000000" w:themeColor="text1"/>
          <w:szCs w:val="24"/>
          <w:lang w:val="en-CA"/>
        </w:rPr>
        <w:t>was possible, even preferable.</w:t>
      </w:r>
      <w:r w:rsidR="008521A7" w:rsidRPr="009A1394">
        <w:rPr>
          <w:color w:val="000000" w:themeColor="text1"/>
          <w:szCs w:val="24"/>
          <w:lang w:val="en-CA"/>
        </w:rPr>
        <w:t xml:space="preserve"> </w:t>
      </w:r>
      <w:r w:rsidRPr="009A1394">
        <w:rPr>
          <w:color w:val="000000" w:themeColor="text1"/>
          <w:szCs w:val="24"/>
          <w:lang w:val="en-CA"/>
        </w:rPr>
        <w:t xml:space="preserve">At the risk of </w:t>
      </w:r>
      <w:r w:rsidR="00C86097" w:rsidRPr="009A1394">
        <w:rPr>
          <w:color w:val="000000" w:themeColor="text1"/>
          <w:szCs w:val="24"/>
          <w:lang w:val="en-CA"/>
        </w:rPr>
        <w:t xml:space="preserve">the Court </w:t>
      </w:r>
      <w:r w:rsidRPr="009A1394">
        <w:rPr>
          <w:color w:val="000000" w:themeColor="text1"/>
          <w:szCs w:val="24"/>
          <w:lang w:val="en-CA"/>
        </w:rPr>
        <w:t xml:space="preserve">repeating </w:t>
      </w:r>
      <w:r w:rsidR="00C86097" w:rsidRPr="009A1394">
        <w:rPr>
          <w:color w:val="000000" w:themeColor="text1"/>
          <w:szCs w:val="24"/>
          <w:lang w:val="en-CA"/>
        </w:rPr>
        <w:t>itself</w:t>
      </w:r>
      <w:r w:rsidRPr="009A1394">
        <w:rPr>
          <w:color w:val="000000" w:themeColor="text1"/>
          <w:szCs w:val="24"/>
          <w:lang w:val="en-CA"/>
        </w:rPr>
        <w:t xml:space="preserve">, their burden is </w:t>
      </w:r>
      <w:r w:rsidR="009A6DAD" w:rsidRPr="009A1394">
        <w:rPr>
          <w:color w:val="000000" w:themeColor="text1"/>
          <w:szCs w:val="24"/>
          <w:lang w:val="en-CA"/>
        </w:rPr>
        <w:t>entirely different</w:t>
      </w:r>
      <w:r w:rsidRPr="009A1394">
        <w:rPr>
          <w:color w:val="000000" w:themeColor="text1"/>
          <w:szCs w:val="24"/>
          <w:lang w:val="en-CA"/>
        </w:rPr>
        <w:t>.</w:t>
      </w:r>
      <w:r w:rsidR="008521A7" w:rsidRPr="009A1394">
        <w:rPr>
          <w:color w:val="000000" w:themeColor="text1"/>
          <w:szCs w:val="24"/>
          <w:lang w:val="en-CA"/>
        </w:rPr>
        <w:t xml:space="preserve"> </w:t>
      </w:r>
      <w:r w:rsidRPr="009A1394">
        <w:rPr>
          <w:color w:val="000000" w:themeColor="text1"/>
          <w:szCs w:val="24"/>
          <w:lang w:val="en-CA"/>
        </w:rPr>
        <w:t xml:space="preserve">They must prove that the judge’s </w:t>
      </w:r>
      <w:r w:rsidR="000F4B9B" w:rsidRPr="009A1394">
        <w:rPr>
          <w:color w:val="000000" w:themeColor="text1"/>
          <w:szCs w:val="24"/>
          <w:lang w:val="en-CA"/>
        </w:rPr>
        <w:t xml:space="preserve">finding </w:t>
      </w:r>
      <w:r w:rsidRPr="009A1394">
        <w:rPr>
          <w:color w:val="000000" w:themeColor="text1"/>
          <w:szCs w:val="24"/>
          <w:lang w:val="en-CA"/>
        </w:rPr>
        <w:t>is the result of a palpable and overriding error in the analysis that led to it.</w:t>
      </w:r>
      <w:r w:rsidR="008521A7" w:rsidRPr="009A1394">
        <w:rPr>
          <w:color w:val="000000" w:themeColor="text1"/>
          <w:szCs w:val="24"/>
          <w:lang w:val="en-CA"/>
        </w:rPr>
        <w:t xml:space="preserve"> </w:t>
      </w:r>
      <w:r w:rsidRPr="009A1394">
        <w:rPr>
          <w:color w:val="000000" w:themeColor="text1"/>
          <w:szCs w:val="24"/>
          <w:lang w:val="en-CA"/>
        </w:rPr>
        <w:t>The appellants have failed to do so.</w:t>
      </w:r>
      <w:r w:rsidR="008521A7" w:rsidRPr="009A1394">
        <w:rPr>
          <w:color w:val="000000" w:themeColor="text1"/>
          <w:szCs w:val="24"/>
          <w:lang w:val="en-CA"/>
        </w:rPr>
        <w:t xml:space="preserve"> </w:t>
      </w:r>
      <w:r w:rsidRPr="009A1394">
        <w:rPr>
          <w:color w:val="000000" w:themeColor="text1"/>
          <w:szCs w:val="24"/>
          <w:lang w:val="en-CA"/>
        </w:rPr>
        <w:t>They were unable to point to a single significant operational change that went unnoticed by the judge.</w:t>
      </w:r>
      <w:r w:rsidR="008521A7" w:rsidRPr="009A1394">
        <w:rPr>
          <w:color w:val="000000" w:themeColor="text1"/>
          <w:szCs w:val="24"/>
          <w:lang w:val="en-CA"/>
        </w:rPr>
        <w:t xml:space="preserve"> </w:t>
      </w:r>
      <w:r w:rsidRPr="009A1394">
        <w:rPr>
          <w:color w:val="000000" w:themeColor="text1"/>
          <w:szCs w:val="24"/>
          <w:lang w:val="en-CA"/>
        </w:rPr>
        <w:t>As the Court has previously pointed out, its role is not to retry</w:t>
      </w:r>
      <w:r w:rsidR="006C6E39" w:rsidRPr="009A1394">
        <w:rPr>
          <w:color w:val="000000" w:themeColor="text1"/>
          <w:szCs w:val="24"/>
          <w:lang w:val="en-CA"/>
        </w:rPr>
        <w:t xml:space="preserve"> the case</w:t>
      </w:r>
      <w:r w:rsidRPr="009A1394">
        <w:rPr>
          <w:color w:val="000000" w:themeColor="text1"/>
          <w:szCs w:val="24"/>
          <w:lang w:val="en-CA"/>
        </w:rPr>
        <w:t xml:space="preserve">, but merely to ensure that the judge’s impugned </w:t>
      </w:r>
      <w:r w:rsidR="000F4B9B" w:rsidRPr="009A1394">
        <w:rPr>
          <w:color w:val="000000" w:themeColor="text1"/>
          <w:szCs w:val="24"/>
          <w:lang w:val="en-CA"/>
        </w:rPr>
        <w:t xml:space="preserve">findings </w:t>
      </w:r>
      <w:r w:rsidRPr="009A1394">
        <w:rPr>
          <w:color w:val="000000" w:themeColor="text1"/>
          <w:szCs w:val="24"/>
          <w:lang w:val="en-CA"/>
        </w:rPr>
        <w:t>are reasonably anchored in the evidence adduced,</w:t>
      </w:r>
      <w:r w:rsidRPr="009A1394">
        <w:rPr>
          <w:rStyle w:val="Appelnotedebasdep"/>
          <w:color w:val="000000" w:themeColor="text1"/>
          <w:szCs w:val="24"/>
          <w:lang w:val="en-CA"/>
        </w:rPr>
        <w:footnoteReference w:id="193"/>
      </w:r>
      <w:r w:rsidRPr="009A1394">
        <w:rPr>
          <w:color w:val="000000" w:themeColor="text1"/>
          <w:szCs w:val="24"/>
          <w:lang w:val="en-CA"/>
        </w:rPr>
        <w:t xml:space="preserve"> as is the case here.</w:t>
      </w:r>
      <w:r w:rsidR="008161A3" w:rsidRPr="009A1394">
        <w:rPr>
          <w:color w:val="000000" w:themeColor="text1"/>
          <w:szCs w:val="24"/>
          <w:lang w:val="en-CA"/>
        </w:rPr>
        <w:t xml:space="preserve"> </w:t>
      </w:r>
      <w:r w:rsidRPr="009A1394">
        <w:rPr>
          <w:color w:val="000000" w:themeColor="text1"/>
          <w:szCs w:val="24"/>
          <w:lang w:val="en-CA"/>
        </w:rPr>
        <w:t xml:space="preserve">Deference for the judge’s findings of fact must be all the greater here because they follow a </w:t>
      </w:r>
      <w:r w:rsidR="00A847B4" w:rsidRPr="009A1394">
        <w:rPr>
          <w:color w:val="000000" w:themeColor="text1"/>
          <w:szCs w:val="24"/>
          <w:lang w:val="en-CA"/>
        </w:rPr>
        <w:t>lengthy</w:t>
      </w:r>
      <w:r w:rsidRPr="009A1394">
        <w:rPr>
          <w:color w:val="000000" w:themeColor="text1"/>
          <w:szCs w:val="24"/>
          <w:lang w:val="en-CA"/>
        </w:rPr>
        <w:t xml:space="preserve"> and complex trial.</w:t>
      </w:r>
      <w:r w:rsidRPr="009A1394">
        <w:rPr>
          <w:rStyle w:val="Appelnotedebasdep"/>
          <w:color w:val="000000" w:themeColor="text1"/>
          <w:szCs w:val="24"/>
          <w:lang w:val="en-CA"/>
        </w:rPr>
        <w:footnoteReference w:id="194"/>
      </w:r>
    </w:p>
    <w:p w14:paraId="74C600C3" w14:textId="79DF71F5" w:rsidR="009F248A" w:rsidRPr="009A1394" w:rsidRDefault="00DB79CD" w:rsidP="00B84769">
      <w:pPr>
        <w:pStyle w:val="Paragraphe"/>
        <w:numPr>
          <w:ilvl w:val="0"/>
          <w:numId w:val="1"/>
        </w:numPr>
        <w:rPr>
          <w:color w:val="000000" w:themeColor="text1"/>
          <w:szCs w:val="24"/>
          <w:lang w:val="en-CA"/>
        </w:rPr>
      </w:pPr>
      <w:r w:rsidRPr="009A1394">
        <w:rPr>
          <w:szCs w:val="24"/>
          <w:lang w:val="en-CA"/>
        </w:rPr>
        <w:t xml:space="preserve">That said, the judge did not </w:t>
      </w:r>
      <w:r w:rsidR="00AE3A04" w:rsidRPr="009A1394">
        <w:rPr>
          <w:szCs w:val="24"/>
          <w:lang w:val="en-CA"/>
        </w:rPr>
        <w:t>limit</w:t>
      </w:r>
      <w:r w:rsidRPr="009A1394">
        <w:rPr>
          <w:szCs w:val="24"/>
          <w:lang w:val="en-CA"/>
        </w:rPr>
        <w:t xml:space="preserve"> himself </w:t>
      </w:r>
      <w:r w:rsidR="00B51A65" w:rsidRPr="009A1394">
        <w:rPr>
          <w:szCs w:val="24"/>
          <w:lang w:val="en-CA"/>
        </w:rPr>
        <w:t>to</w:t>
      </w:r>
      <w:r w:rsidRPr="009A1394">
        <w:rPr>
          <w:szCs w:val="24"/>
          <w:lang w:val="en-CA"/>
        </w:rPr>
        <w:t xml:space="preserve"> </w:t>
      </w:r>
      <w:r w:rsidR="00B51A65" w:rsidRPr="009A1394">
        <w:rPr>
          <w:szCs w:val="24"/>
          <w:lang w:val="en-CA"/>
        </w:rPr>
        <w:t>deciding</w:t>
      </w:r>
      <w:r w:rsidRPr="009A1394">
        <w:rPr>
          <w:szCs w:val="24"/>
          <w:lang w:val="en-CA"/>
        </w:rPr>
        <w:t xml:space="preserve"> whether the quantity of crude oil and its transport in </w:t>
      </w:r>
      <w:r w:rsidR="00B51A65" w:rsidRPr="009A1394">
        <w:rPr>
          <w:color w:val="000000" w:themeColor="text1"/>
          <w:szCs w:val="24"/>
          <w:lang w:val="en-CA"/>
        </w:rPr>
        <w:t>[</w:t>
      </w:r>
      <w:r w:rsidR="00B51A65" w:rsidRPr="009A1394">
        <w:rPr>
          <w:smallCaps/>
          <w:color w:val="000000" w:themeColor="text1"/>
          <w:szCs w:val="24"/>
          <w:lang w:val="en-CA"/>
        </w:rPr>
        <w:t>translation</w:t>
      </w:r>
      <w:r w:rsidR="00B51A65" w:rsidRPr="009A1394">
        <w:rPr>
          <w:color w:val="000000" w:themeColor="text1"/>
          <w:szCs w:val="24"/>
          <w:lang w:val="en-CA"/>
        </w:rPr>
        <w:t xml:space="preserve">] </w:t>
      </w:r>
      <w:r w:rsidRPr="009A1394">
        <w:rPr>
          <w:szCs w:val="24"/>
          <w:lang w:val="en-CA"/>
        </w:rPr>
        <w:t xml:space="preserve">“unit trains” from the Bakken </w:t>
      </w:r>
      <w:r w:rsidR="00676A6B" w:rsidRPr="009A1394">
        <w:rPr>
          <w:szCs w:val="24"/>
          <w:lang w:val="en-CA"/>
        </w:rPr>
        <w:t>Formation</w:t>
      </w:r>
      <w:r w:rsidRPr="009A1394">
        <w:rPr>
          <w:szCs w:val="24"/>
          <w:lang w:val="en-CA"/>
        </w:rPr>
        <w:t xml:space="preserve"> had </w:t>
      </w:r>
      <w:r w:rsidR="00AE3A04" w:rsidRPr="009A1394">
        <w:rPr>
          <w:szCs w:val="24"/>
          <w:lang w:val="en-CA"/>
        </w:rPr>
        <w:t>led to</w:t>
      </w:r>
      <w:r w:rsidRPr="009A1394">
        <w:rPr>
          <w:szCs w:val="24"/>
          <w:lang w:val="en-CA"/>
        </w:rPr>
        <w:t xml:space="preserve"> significant operational changes for CP.</w:t>
      </w:r>
      <w:r w:rsidR="008161A3" w:rsidRPr="009A1394">
        <w:rPr>
          <w:color w:val="000000" w:themeColor="text1"/>
          <w:szCs w:val="24"/>
          <w:lang w:val="en-CA"/>
        </w:rPr>
        <w:t xml:space="preserve"> </w:t>
      </w:r>
      <w:r w:rsidRPr="009A1394">
        <w:rPr>
          <w:color w:val="000000" w:themeColor="text1"/>
          <w:szCs w:val="24"/>
          <w:lang w:val="en-CA"/>
        </w:rPr>
        <w:t xml:space="preserve">He also </w:t>
      </w:r>
      <w:r w:rsidR="00B51A65" w:rsidRPr="009A1394">
        <w:rPr>
          <w:color w:val="000000" w:themeColor="text1"/>
          <w:szCs w:val="24"/>
          <w:lang w:val="en-CA"/>
        </w:rPr>
        <w:t>questioned</w:t>
      </w:r>
      <w:r w:rsidRPr="009A1394">
        <w:rPr>
          <w:color w:val="000000" w:themeColor="text1"/>
          <w:szCs w:val="24"/>
          <w:lang w:val="en-CA"/>
        </w:rPr>
        <w:t xml:space="preserve"> </w:t>
      </w:r>
      <w:r w:rsidR="000F4B9B" w:rsidRPr="009A1394">
        <w:rPr>
          <w:color w:val="000000" w:themeColor="text1"/>
          <w:szCs w:val="24"/>
          <w:lang w:val="en-CA"/>
        </w:rPr>
        <w:t xml:space="preserve">whether </w:t>
      </w:r>
      <w:r w:rsidRPr="009A1394">
        <w:rPr>
          <w:color w:val="000000" w:themeColor="text1"/>
          <w:szCs w:val="24"/>
          <w:lang w:val="en-CA"/>
        </w:rPr>
        <w:t>it was realistic to expect a rail</w:t>
      </w:r>
      <w:r w:rsidR="00B51A65" w:rsidRPr="009A1394">
        <w:rPr>
          <w:color w:val="000000" w:themeColor="text1"/>
          <w:szCs w:val="24"/>
          <w:lang w:val="en-CA"/>
        </w:rPr>
        <w:t>way</w:t>
      </w:r>
      <w:r w:rsidRPr="009A1394">
        <w:rPr>
          <w:color w:val="000000" w:themeColor="text1"/>
          <w:szCs w:val="24"/>
          <w:lang w:val="en-CA"/>
        </w:rPr>
        <w:t xml:space="preserve"> company to </w:t>
      </w:r>
      <w:r w:rsidR="00AE3A04" w:rsidRPr="009A1394">
        <w:rPr>
          <w:color w:val="000000" w:themeColor="text1"/>
          <w:szCs w:val="24"/>
          <w:lang w:val="en-CA"/>
        </w:rPr>
        <w:t>conduct</w:t>
      </w:r>
      <w:r w:rsidRPr="009A1394">
        <w:rPr>
          <w:color w:val="000000" w:themeColor="text1"/>
          <w:szCs w:val="24"/>
          <w:lang w:val="en-CA"/>
        </w:rPr>
        <w:t xml:space="preserve"> a risk assessment of the connecting carrier’s network.</w:t>
      </w:r>
      <w:r w:rsidR="008161A3" w:rsidRPr="009A1394">
        <w:rPr>
          <w:color w:val="000000" w:themeColor="text1"/>
          <w:szCs w:val="24"/>
          <w:lang w:val="en-CA"/>
        </w:rPr>
        <w:t xml:space="preserve"> </w:t>
      </w:r>
      <w:r w:rsidRPr="009A1394">
        <w:rPr>
          <w:color w:val="000000" w:themeColor="text1"/>
          <w:szCs w:val="24"/>
          <w:lang w:val="en-CA"/>
        </w:rPr>
        <w:t xml:space="preserve">He answered </w:t>
      </w:r>
      <w:r w:rsidR="00AE3A04" w:rsidRPr="009A1394">
        <w:rPr>
          <w:color w:val="000000" w:themeColor="text1"/>
          <w:szCs w:val="24"/>
          <w:lang w:val="en-CA"/>
        </w:rPr>
        <w:t>that it was not</w:t>
      </w:r>
      <w:r w:rsidRPr="009A1394">
        <w:rPr>
          <w:color w:val="000000" w:themeColor="text1"/>
          <w:szCs w:val="24"/>
          <w:lang w:val="en-CA"/>
        </w:rPr>
        <w:t>.</w:t>
      </w:r>
      <w:r w:rsidRPr="009A1394">
        <w:rPr>
          <w:rStyle w:val="Appelnotedebasdep"/>
          <w:rFonts w:ascii="Helvetica" w:hAnsi="Helvetica" w:cs="Helvetica"/>
          <w:color w:val="000000" w:themeColor="text1"/>
          <w:shd w:val="clear" w:color="auto" w:fill="FFFFFF"/>
          <w:lang w:val="en-CA"/>
        </w:rPr>
        <w:footnoteReference w:id="195"/>
      </w:r>
      <w:r w:rsidR="00A97861" w:rsidRPr="009A1394">
        <w:rPr>
          <w:color w:val="000000" w:themeColor="text1"/>
          <w:szCs w:val="24"/>
          <w:lang w:val="en-CA"/>
        </w:rPr>
        <w:t xml:space="preserve"> </w:t>
      </w:r>
      <w:r w:rsidRPr="009A1394">
        <w:rPr>
          <w:color w:val="000000" w:themeColor="text1"/>
          <w:szCs w:val="24"/>
          <w:lang w:val="en-CA"/>
        </w:rPr>
        <w:t xml:space="preserve">Thus, even if the judge had </w:t>
      </w:r>
      <w:r w:rsidR="00AE3A04" w:rsidRPr="009A1394">
        <w:rPr>
          <w:color w:val="000000" w:themeColor="text1"/>
          <w:szCs w:val="24"/>
          <w:lang w:val="en-CA"/>
        </w:rPr>
        <w:t>erred in</w:t>
      </w:r>
      <w:r w:rsidRPr="009A1394">
        <w:rPr>
          <w:color w:val="000000" w:themeColor="text1"/>
          <w:szCs w:val="24"/>
          <w:lang w:val="en-CA"/>
        </w:rPr>
        <w:t xml:space="preserve"> </w:t>
      </w:r>
      <w:r w:rsidR="00AE3A04" w:rsidRPr="009A1394">
        <w:rPr>
          <w:color w:val="000000" w:themeColor="text1"/>
          <w:szCs w:val="24"/>
          <w:lang w:val="en-CA"/>
        </w:rPr>
        <w:t>finding</w:t>
      </w:r>
      <w:r w:rsidRPr="009A1394">
        <w:rPr>
          <w:color w:val="000000" w:themeColor="text1"/>
          <w:szCs w:val="24"/>
          <w:lang w:val="en-CA"/>
        </w:rPr>
        <w:t xml:space="preserve"> that there </w:t>
      </w:r>
      <w:r w:rsidR="00AE3A04" w:rsidRPr="009A1394">
        <w:rPr>
          <w:color w:val="000000" w:themeColor="text1"/>
          <w:szCs w:val="24"/>
          <w:lang w:val="en-CA"/>
        </w:rPr>
        <w:t>had been</w:t>
      </w:r>
      <w:r w:rsidRPr="009A1394">
        <w:rPr>
          <w:color w:val="000000" w:themeColor="text1"/>
          <w:szCs w:val="24"/>
          <w:lang w:val="en-CA"/>
        </w:rPr>
        <w:t xml:space="preserve"> no significant operational changes, the risk assessment that CP would have been bound to </w:t>
      </w:r>
      <w:r w:rsidR="00635CB8" w:rsidRPr="009A1394">
        <w:rPr>
          <w:color w:val="000000" w:themeColor="text1"/>
          <w:szCs w:val="24"/>
          <w:lang w:val="en-CA"/>
        </w:rPr>
        <w:t xml:space="preserve">perform </w:t>
      </w:r>
      <w:r w:rsidRPr="009A1394">
        <w:rPr>
          <w:color w:val="000000" w:themeColor="text1"/>
          <w:szCs w:val="24"/>
          <w:lang w:val="en-CA"/>
        </w:rPr>
        <w:t xml:space="preserve">would have </w:t>
      </w:r>
      <w:r w:rsidR="00AE3A04" w:rsidRPr="009A1394">
        <w:rPr>
          <w:color w:val="000000" w:themeColor="text1"/>
          <w:szCs w:val="24"/>
          <w:lang w:val="en-CA"/>
        </w:rPr>
        <w:t>involved</w:t>
      </w:r>
      <w:r w:rsidRPr="009A1394">
        <w:rPr>
          <w:color w:val="000000" w:themeColor="text1"/>
          <w:szCs w:val="24"/>
          <w:lang w:val="en-CA"/>
        </w:rPr>
        <w:t xml:space="preserve"> only its own </w:t>
      </w:r>
      <w:r w:rsidR="00B51A65" w:rsidRPr="009A1394">
        <w:rPr>
          <w:color w:val="000000" w:themeColor="text1"/>
          <w:szCs w:val="24"/>
          <w:lang w:val="en-CA"/>
        </w:rPr>
        <w:t>network</w:t>
      </w:r>
      <w:r w:rsidRPr="009A1394">
        <w:rPr>
          <w:color w:val="000000" w:themeColor="text1"/>
          <w:szCs w:val="24"/>
          <w:lang w:val="en-CA"/>
        </w:rPr>
        <w:t>, not MMA’s.</w:t>
      </w:r>
    </w:p>
    <w:p w14:paraId="30B29314" w14:textId="17DF226D" w:rsidR="00702A59" w:rsidRPr="009A1394" w:rsidRDefault="00DB79CD" w:rsidP="00B84769">
      <w:pPr>
        <w:pStyle w:val="Paragraphe"/>
        <w:numPr>
          <w:ilvl w:val="0"/>
          <w:numId w:val="1"/>
        </w:numPr>
        <w:rPr>
          <w:color w:val="000000" w:themeColor="text1"/>
          <w:szCs w:val="24"/>
          <w:lang w:val="en-CA"/>
        </w:rPr>
      </w:pPr>
      <w:r w:rsidRPr="009A1394">
        <w:rPr>
          <w:color w:val="000000" w:themeColor="text1"/>
          <w:szCs w:val="24"/>
          <w:lang w:val="en-CA"/>
        </w:rPr>
        <w:lastRenderedPageBreak/>
        <w:t xml:space="preserve">The appellants, however, </w:t>
      </w:r>
      <w:r w:rsidR="007A6A7C" w:rsidRPr="009A1394">
        <w:rPr>
          <w:color w:val="000000" w:themeColor="text1"/>
          <w:szCs w:val="24"/>
          <w:lang w:val="en-CA"/>
        </w:rPr>
        <w:t>challenge</w:t>
      </w:r>
      <w:r w:rsidRPr="009A1394">
        <w:rPr>
          <w:color w:val="000000" w:themeColor="text1"/>
          <w:szCs w:val="24"/>
          <w:lang w:val="en-CA"/>
        </w:rPr>
        <w:t xml:space="preserve"> </w:t>
      </w:r>
      <w:r w:rsidR="00B51A65" w:rsidRPr="009A1394">
        <w:rPr>
          <w:color w:val="000000" w:themeColor="text1"/>
          <w:szCs w:val="24"/>
          <w:lang w:val="en-CA"/>
        </w:rPr>
        <w:t>the</w:t>
      </w:r>
      <w:r w:rsidRPr="009A1394">
        <w:rPr>
          <w:color w:val="000000" w:themeColor="text1"/>
          <w:szCs w:val="24"/>
          <w:lang w:val="en-CA"/>
        </w:rPr>
        <w:t xml:space="preserve"> </w:t>
      </w:r>
      <w:r w:rsidR="007A6A7C" w:rsidRPr="009A1394">
        <w:rPr>
          <w:color w:val="000000" w:themeColor="text1"/>
          <w:szCs w:val="24"/>
          <w:lang w:val="en-CA"/>
        </w:rPr>
        <w:t>correctness</w:t>
      </w:r>
      <w:r w:rsidRPr="009A1394">
        <w:rPr>
          <w:color w:val="000000" w:themeColor="text1"/>
          <w:szCs w:val="24"/>
          <w:lang w:val="en-CA"/>
        </w:rPr>
        <w:t xml:space="preserve"> of this second </w:t>
      </w:r>
      <w:r w:rsidR="007A6A7C" w:rsidRPr="009A1394">
        <w:rPr>
          <w:color w:val="000000" w:themeColor="text1"/>
          <w:szCs w:val="24"/>
          <w:lang w:val="en-CA"/>
        </w:rPr>
        <w:t>finding</w:t>
      </w:r>
      <w:r w:rsidRPr="009A1394">
        <w:rPr>
          <w:color w:val="000000" w:themeColor="text1"/>
          <w:szCs w:val="24"/>
          <w:lang w:val="en-CA"/>
        </w:rPr>
        <w:t>.</w:t>
      </w:r>
      <w:r w:rsidR="008161A3" w:rsidRPr="009A1394">
        <w:rPr>
          <w:color w:val="000000" w:themeColor="text1"/>
          <w:szCs w:val="24"/>
          <w:lang w:val="en-CA"/>
        </w:rPr>
        <w:t xml:space="preserve"> </w:t>
      </w:r>
      <w:r w:rsidRPr="009A1394">
        <w:rPr>
          <w:color w:val="000000" w:themeColor="text1"/>
          <w:szCs w:val="24"/>
          <w:lang w:val="en-CA"/>
        </w:rPr>
        <w:t>They argue that it is the result of a</w:t>
      </w:r>
      <w:r w:rsidR="007A6A7C" w:rsidRPr="009A1394">
        <w:rPr>
          <w:color w:val="000000" w:themeColor="text1"/>
          <w:szCs w:val="24"/>
          <w:lang w:val="en-CA"/>
        </w:rPr>
        <w:t xml:space="preserve">n overly </w:t>
      </w:r>
      <w:r w:rsidRPr="009A1394">
        <w:rPr>
          <w:color w:val="000000" w:themeColor="text1"/>
          <w:szCs w:val="24"/>
          <w:lang w:val="en-CA"/>
        </w:rPr>
        <w:t xml:space="preserve">narrow interpretation of section 2(e) of the </w:t>
      </w:r>
      <w:r w:rsidRPr="009A1394">
        <w:rPr>
          <w:i/>
          <w:iCs/>
          <w:color w:val="000000" w:themeColor="text1"/>
          <w:szCs w:val="24"/>
          <w:lang w:val="en-CA"/>
        </w:rPr>
        <w:t>Regulation</w:t>
      </w:r>
      <w:r w:rsidR="007A6A7C" w:rsidRPr="009A1394">
        <w:rPr>
          <w:i/>
          <w:iCs/>
          <w:color w:val="000000" w:themeColor="text1"/>
          <w:szCs w:val="24"/>
          <w:lang w:val="en-CA"/>
        </w:rPr>
        <w:t>s</w:t>
      </w:r>
      <w:r w:rsidRPr="009A1394">
        <w:rPr>
          <w:color w:val="000000" w:themeColor="text1"/>
          <w:szCs w:val="24"/>
          <w:lang w:val="en-CA"/>
        </w:rPr>
        <w:t>.</w:t>
      </w:r>
      <w:r w:rsidR="008161A3" w:rsidRPr="009A1394">
        <w:rPr>
          <w:color w:val="000000" w:themeColor="text1"/>
          <w:szCs w:val="24"/>
          <w:lang w:val="en-CA"/>
        </w:rPr>
        <w:t xml:space="preserve"> </w:t>
      </w:r>
      <w:r w:rsidRPr="009A1394">
        <w:rPr>
          <w:color w:val="000000" w:themeColor="text1"/>
          <w:szCs w:val="24"/>
          <w:lang w:val="en-CA"/>
        </w:rPr>
        <w:t xml:space="preserve">In their view, </w:t>
      </w:r>
      <w:r w:rsidR="0055112C" w:rsidRPr="009A1394">
        <w:rPr>
          <w:color w:val="000000" w:themeColor="text1"/>
          <w:szCs w:val="24"/>
          <w:lang w:val="en-CA"/>
        </w:rPr>
        <w:t xml:space="preserve">section 2(e) </w:t>
      </w:r>
      <w:r w:rsidRPr="009A1394">
        <w:rPr>
          <w:color w:val="000000" w:themeColor="text1"/>
          <w:szCs w:val="24"/>
          <w:lang w:val="en-CA"/>
        </w:rPr>
        <w:t xml:space="preserve">should be interpreted in light of section 3 of the </w:t>
      </w:r>
      <w:r w:rsidRPr="009A1394">
        <w:rPr>
          <w:i/>
          <w:iCs/>
          <w:color w:val="000000" w:themeColor="text1"/>
          <w:szCs w:val="24"/>
          <w:lang w:val="en-CA"/>
        </w:rPr>
        <w:t>RSA</w:t>
      </w:r>
      <w:r w:rsidRPr="009A1394">
        <w:rPr>
          <w:color w:val="000000" w:themeColor="text1"/>
          <w:szCs w:val="24"/>
          <w:lang w:val="en-CA"/>
        </w:rPr>
        <w:t xml:space="preserve"> and its objective</w:t>
      </w:r>
      <w:r w:rsidR="0055112C" w:rsidRPr="009A1394">
        <w:rPr>
          <w:color w:val="000000" w:themeColor="text1"/>
          <w:szCs w:val="24"/>
          <w:lang w:val="en-CA"/>
        </w:rPr>
        <w:t>, which</w:t>
      </w:r>
      <w:r w:rsidRPr="009A1394">
        <w:rPr>
          <w:color w:val="000000" w:themeColor="text1"/>
          <w:szCs w:val="24"/>
          <w:lang w:val="en-CA"/>
        </w:rPr>
        <w:t xml:space="preserve"> is to encourage “collaboration and participation of interested parties in improving railway safety and security”.</w:t>
      </w:r>
      <w:r w:rsidR="008161A3" w:rsidRPr="009A1394">
        <w:rPr>
          <w:rFonts w:ascii="Helvetica" w:hAnsi="Helvetica" w:cs="Helvetica"/>
          <w:color w:val="000000" w:themeColor="text1"/>
          <w:shd w:val="clear" w:color="auto" w:fill="FFFFFF"/>
          <w:lang w:val="en-CA"/>
        </w:rPr>
        <w:t xml:space="preserve"> </w:t>
      </w:r>
      <w:r w:rsidRPr="009A1394">
        <w:rPr>
          <w:color w:val="000000" w:themeColor="text1"/>
          <w:szCs w:val="24"/>
          <w:lang w:val="en-CA"/>
        </w:rPr>
        <w:t xml:space="preserve">As such, the provision must necessarily </w:t>
      </w:r>
      <w:r w:rsidR="007A6A7C" w:rsidRPr="009A1394">
        <w:rPr>
          <w:color w:val="000000" w:themeColor="text1"/>
          <w:szCs w:val="24"/>
          <w:lang w:val="en-CA"/>
        </w:rPr>
        <w:t>require that an</w:t>
      </w:r>
      <w:r w:rsidRPr="009A1394">
        <w:rPr>
          <w:color w:val="000000" w:themeColor="text1"/>
          <w:szCs w:val="24"/>
          <w:lang w:val="en-CA"/>
        </w:rPr>
        <w:t xml:space="preserve"> originating carrier </w:t>
      </w:r>
      <w:r w:rsidR="007A6A7C" w:rsidRPr="009A1394">
        <w:rPr>
          <w:color w:val="000000" w:themeColor="text1"/>
          <w:szCs w:val="24"/>
          <w:lang w:val="en-CA"/>
        </w:rPr>
        <w:t xml:space="preserve">that </w:t>
      </w:r>
      <w:r w:rsidRPr="009A1394">
        <w:rPr>
          <w:color w:val="000000" w:themeColor="text1"/>
          <w:szCs w:val="24"/>
          <w:lang w:val="en-CA"/>
        </w:rPr>
        <w:t>intend</w:t>
      </w:r>
      <w:r w:rsidR="007A6A7C" w:rsidRPr="009A1394">
        <w:rPr>
          <w:color w:val="000000" w:themeColor="text1"/>
          <w:szCs w:val="24"/>
          <w:lang w:val="en-CA"/>
        </w:rPr>
        <w:t>s</w:t>
      </w:r>
      <w:r w:rsidRPr="009A1394">
        <w:rPr>
          <w:color w:val="000000" w:themeColor="text1"/>
          <w:szCs w:val="24"/>
          <w:lang w:val="en-CA"/>
        </w:rPr>
        <w:t xml:space="preserve"> to </w:t>
      </w:r>
      <w:r w:rsidR="007A6A7C" w:rsidRPr="009A1394">
        <w:rPr>
          <w:color w:val="000000" w:themeColor="text1"/>
          <w:szCs w:val="24"/>
          <w:lang w:val="en-CA"/>
        </w:rPr>
        <w:t>entrust</w:t>
      </w:r>
      <w:r w:rsidRPr="009A1394">
        <w:rPr>
          <w:color w:val="000000" w:themeColor="text1"/>
          <w:szCs w:val="24"/>
          <w:lang w:val="en-CA"/>
        </w:rPr>
        <w:t xml:space="preserve"> a stretch of the route to a connecting carrier with whom its tracks are interswitched </w:t>
      </w:r>
      <w:r w:rsidR="007A6A7C" w:rsidRPr="009A1394">
        <w:rPr>
          <w:color w:val="000000" w:themeColor="text1"/>
          <w:szCs w:val="24"/>
          <w:lang w:val="en-CA"/>
        </w:rPr>
        <w:t>ask itself</w:t>
      </w:r>
      <w:r w:rsidRPr="009A1394">
        <w:rPr>
          <w:color w:val="000000" w:themeColor="text1"/>
          <w:szCs w:val="24"/>
          <w:lang w:val="en-CA"/>
        </w:rPr>
        <w:t xml:space="preserve"> how that connecting carrier operates its network.</w:t>
      </w:r>
    </w:p>
    <w:p w14:paraId="071BDC22" w14:textId="1A798F5D" w:rsidR="00702A59" w:rsidRPr="009A1394" w:rsidRDefault="00DB79CD" w:rsidP="00B84769">
      <w:pPr>
        <w:pStyle w:val="Paragraphe"/>
        <w:numPr>
          <w:ilvl w:val="0"/>
          <w:numId w:val="1"/>
        </w:numPr>
        <w:rPr>
          <w:color w:val="000000" w:themeColor="text1"/>
          <w:szCs w:val="24"/>
          <w:lang w:val="en-CA"/>
        </w:rPr>
      </w:pPr>
      <w:r w:rsidRPr="009A1394">
        <w:rPr>
          <w:rFonts w:ascii="Helvetica" w:hAnsi="Helvetica" w:cs="Helvetica"/>
          <w:shd w:val="clear" w:color="auto" w:fill="FFFFFF"/>
          <w:lang w:val="en-CA"/>
        </w:rPr>
        <w:t>The Court d</w:t>
      </w:r>
      <w:r w:rsidR="0055112C" w:rsidRPr="009A1394">
        <w:rPr>
          <w:rFonts w:ascii="Helvetica" w:hAnsi="Helvetica" w:cs="Helvetica"/>
          <w:shd w:val="clear" w:color="auto" w:fill="FFFFFF"/>
          <w:lang w:val="en-CA"/>
        </w:rPr>
        <w:t>is</w:t>
      </w:r>
      <w:r w:rsidRPr="009A1394">
        <w:rPr>
          <w:rFonts w:ascii="Helvetica" w:hAnsi="Helvetica" w:cs="Helvetica"/>
          <w:shd w:val="clear" w:color="auto" w:fill="FFFFFF"/>
          <w:lang w:val="en-CA"/>
        </w:rPr>
        <w:t>agree</w:t>
      </w:r>
      <w:r w:rsidR="0055112C" w:rsidRPr="009A1394">
        <w:rPr>
          <w:rFonts w:ascii="Helvetica" w:hAnsi="Helvetica" w:cs="Helvetica"/>
          <w:shd w:val="clear" w:color="auto" w:fill="FFFFFF"/>
          <w:lang w:val="en-CA"/>
        </w:rPr>
        <w:t>s</w:t>
      </w:r>
      <w:r w:rsidRPr="009A1394">
        <w:rPr>
          <w:rFonts w:ascii="Helvetica" w:hAnsi="Helvetica" w:cs="Helvetica"/>
          <w:shd w:val="clear" w:color="auto" w:fill="FFFFFF"/>
          <w:lang w:val="en-CA"/>
        </w:rPr>
        <w:t>.</w:t>
      </w:r>
    </w:p>
    <w:p w14:paraId="52D8C8FC" w14:textId="27F2146C" w:rsidR="00702A59" w:rsidRPr="009A1394" w:rsidRDefault="007A6A7C" w:rsidP="00B84769">
      <w:pPr>
        <w:pStyle w:val="Paragraphe"/>
        <w:numPr>
          <w:ilvl w:val="0"/>
          <w:numId w:val="1"/>
        </w:numPr>
        <w:rPr>
          <w:color w:val="000000" w:themeColor="text1"/>
          <w:szCs w:val="24"/>
          <w:lang w:val="en-CA"/>
        </w:rPr>
      </w:pPr>
      <w:r w:rsidRPr="009A1394">
        <w:rPr>
          <w:rFonts w:ascii="Helvetica" w:hAnsi="Helvetica" w:cs="Helvetica"/>
          <w:color w:val="000000" w:themeColor="text1"/>
          <w:shd w:val="clear" w:color="auto" w:fill="FFFFFF"/>
          <w:lang w:val="en-CA"/>
        </w:rPr>
        <w:t>N</w:t>
      </w:r>
      <w:r w:rsidR="00DB79CD" w:rsidRPr="009A1394">
        <w:rPr>
          <w:rFonts w:ascii="Helvetica" w:hAnsi="Helvetica" w:cs="Helvetica"/>
          <w:color w:val="000000" w:themeColor="text1"/>
          <w:shd w:val="clear" w:color="auto" w:fill="FFFFFF"/>
          <w:lang w:val="en-CA"/>
        </w:rPr>
        <w:t xml:space="preserve">othing in the wording of section 2(e) of the </w:t>
      </w:r>
      <w:r w:rsidR="00DB79CD" w:rsidRPr="009A1394">
        <w:rPr>
          <w:rFonts w:ascii="Helvetica" w:hAnsi="Helvetica" w:cs="Helvetica"/>
          <w:i/>
          <w:iCs/>
          <w:color w:val="000000" w:themeColor="text1"/>
          <w:shd w:val="clear" w:color="auto" w:fill="FFFFFF"/>
          <w:lang w:val="en-CA"/>
        </w:rPr>
        <w:t>Regulation</w:t>
      </w:r>
      <w:r w:rsidRPr="009A1394">
        <w:rPr>
          <w:rFonts w:ascii="Helvetica" w:hAnsi="Helvetica" w:cs="Helvetica"/>
          <w:i/>
          <w:iCs/>
          <w:color w:val="000000" w:themeColor="text1"/>
          <w:shd w:val="clear" w:color="auto" w:fill="FFFFFF"/>
          <w:lang w:val="en-CA"/>
        </w:rPr>
        <w:t>s</w:t>
      </w:r>
      <w:r w:rsidR="00DB79CD" w:rsidRPr="009A1394">
        <w:rPr>
          <w:rFonts w:ascii="Helvetica" w:hAnsi="Helvetica" w:cs="Helvetica"/>
          <w:color w:val="000000" w:themeColor="text1"/>
          <w:shd w:val="clear" w:color="auto" w:fill="FFFFFF"/>
          <w:lang w:val="en-CA"/>
        </w:rPr>
        <w:t xml:space="preserve">, </w:t>
      </w:r>
      <w:r w:rsidR="001D6700" w:rsidRPr="009A1394">
        <w:rPr>
          <w:rFonts w:ascii="Helvetica" w:hAnsi="Helvetica" w:cs="Helvetica"/>
          <w:color w:val="000000" w:themeColor="text1"/>
          <w:shd w:val="clear" w:color="auto" w:fill="FFFFFF"/>
          <w:lang w:val="en-CA"/>
        </w:rPr>
        <w:t>n</w:t>
      </w:r>
      <w:r w:rsidR="00DB79CD" w:rsidRPr="009A1394">
        <w:rPr>
          <w:rFonts w:ascii="Helvetica" w:hAnsi="Helvetica" w:cs="Helvetica"/>
          <w:color w:val="000000" w:themeColor="text1"/>
          <w:shd w:val="clear" w:color="auto" w:fill="FFFFFF"/>
          <w:lang w:val="en-CA"/>
        </w:rPr>
        <w:t xml:space="preserve">or in any other provision of the </w:t>
      </w:r>
      <w:r w:rsidR="00DB79CD" w:rsidRPr="009A1394">
        <w:rPr>
          <w:rFonts w:ascii="Helvetica" w:hAnsi="Helvetica" w:cs="Helvetica"/>
          <w:i/>
          <w:iCs/>
          <w:color w:val="000000" w:themeColor="text1"/>
          <w:shd w:val="clear" w:color="auto" w:fill="FFFFFF"/>
          <w:lang w:val="en-CA"/>
        </w:rPr>
        <w:t>Regulation</w:t>
      </w:r>
      <w:r w:rsidRPr="009A1394">
        <w:rPr>
          <w:rFonts w:ascii="Helvetica" w:hAnsi="Helvetica" w:cs="Helvetica"/>
          <w:i/>
          <w:iCs/>
          <w:color w:val="000000" w:themeColor="text1"/>
          <w:shd w:val="clear" w:color="auto" w:fill="FFFFFF"/>
          <w:lang w:val="en-CA"/>
        </w:rPr>
        <w:t>s</w:t>
      </w:r>
      <w:r w:rsidR="00DB79CD" w:rsidRPr="009A1394">
        <w:rPr>
          <w:rFonts w:ascii="Helvetica" w:hAnsi="Helvetica" w:cs="Helvetica"/>
          <w:color w:val="000000" w:themeColor="text1"/>
          <w:shd w:val="clear" w:color="auto" w:fill="FFFFFF"/>
          <w:lang w:val="en-CA"/>
        </w:rPr>
        <w:t>, support</w:t>
      </w:r>
      <w:r w:rsidRPr="009A1394">
        <w:rPr>
          <w:rFonts w:ascii="Helvetica" w:hAnsi="Helvetica" w:cs="Helvetica"/>
          <w:color w:val="000000" w:themeColor="text1"/>
          <w:shd w:val="clear" w:color="auto" w:fill="FFFFFF"/>
          <w:lang w:val="en-CA"/>
        </w:rPr>
        <w:t>s</w:t>
      </w:r>
      <w:r w:rsidR="00DB79CD" w:rsidRPr="009A1394">
        <w:rPr>
          <w:rFonts w:ascii="Helvetica" w:hAnsi="Helvetica" w:cs="Helvetica"/>
          <w:color w:val="000000" w:themeColor="text1"/>
          <w:shd w:val="clear" w:color="auto" w:fill="FFFFFF"/>
          <w:lang w:val="en-CA"/>
        </w:rPr>
        <w:t xml:space="preserve"> the </w:t>
      </w:r>
      <w:r w:rsidR="001D6700" w:rsidRPr="009A1394">
        <w:rPr>
          <w:rFonts w:ascii="Helvetica" w:hAnsi="Helvetica" w:cs="Helvetica"/>
          <w:color w:val="000000" w:themeColor="text1"/>
          <w:shd w:val="clear" w:color="auto" w:fill="FFFFFF"/>
          <w:lang w:val="en-CA"/>
        </w:rPr>
        <w:t>notion</w:t>
      </w:r>
      <w:r w:rsidR="00DB79CD" w:rsidRPr="009A1394">
        <w:rPr>
          <w:rFonts w:ascii="Helvetica" w:hAnsi="Helvetica" w:cs="Helvetica"/>
          <w:color w:val="000000" w:themeColor="text1"/>
          <w:shd w:val="clear" w:color="auto" w:fill="FFFFFF"/>
          <w:lang w:val="en-CA"/>
        </w:rPr>
        <w:t xml:space="preserve"> that a rail</w:t>
      </w:r>
      <w:r w:rsidR="00E25BE2" w:rsidRPr="009A1394">
        <w:rPr>
          <w:rFonts w:ascii="Helvetica" w:hAnsi="Helvetica" w:cs="Helvetica"/>
          <w:color w:val="000000" w:themeColor="text1"/>
          <w:shd w:val="clear" w:color="auto" w:fill="FFFFFF"/>
          <w:lang w:val="en-CA"/>
        </w:rPr>
        <w:t>way</w:t>
      </w:r>
      <w:r w:rsidR="00DB79CD" w:rsidRPr="009A1394">
        <w:rPr>
          <w:rFonts w:ascii="Helvetica" w:hAnsi="Helvetica" w:cs="Helvetica"/>
          <w:color w:val="000000" w:themeColor="text1"/>
          <w:shd w:val="clear" w:color="auto" w:fill="FFFFFF"/>
          <w:lang w:val="en-CA"/>
        </w:rPr>
        <w:t xml:space="preserve"> company </w:t>
      </w:r>
      <w:r w:rsidR="00AC73D1" w:rsidRPr="009A1394">
        <w:rPr>
          <w:rFonts w:ascii="Helvetica" w:hAnsi="Helvetica" w:cs="Helvetica"/>
          <w:color w:val="000000" w:themeColor="text1"/>
          <w:shd w:val="clear" w:color="auto" w:fill="FFFFFF"/>
          <w:lang w:val="en-CA"/>
        </w:rPr>
        <w:t xml:space="preserve">could </w:t>
      </w:r>
      <w:r w:rsidR="00DB79CD" w:rsidRPr="009A1394">
        <w:rPr>
          <w:rFonts w:ascii="Helvetica" w:hAnsi="Helvetica" w:cs="Helvetica"/>
          <w:color w:val="000000" w:themeColor="text1"/>
          <w:shd w:val="clear" w:color="auto" w:fill="FFFFFF"/>
          <w:lang w:val="en-CA"/>
        </w:rPr>
        <w:t xml:space="preserve">be compelled to </w:t>
      </w:r>
      <w:r w:rsidRPr="009A1394">
        <w:rPr>
          <w:rFonts w:ascii="Helvetica" w:hAnsi="Helvetica" w:cs="Helvetica"/>
          <w:color w:val="000000" w:themeColor="text1"/>
          <w:shd w:val="clear" w:color="auto" w:fill="FFFFFF"/>
          <w:lang w:val="en-CA"/>
        </w:rPr>
        <w:t>conduct</w:t>
      </w:r>
      <w:r w:rsidR="00DB79CD" w:rsidRPr="009A1394">
        <w:rPr>
          <w:rFonts w:ascii="Helvetica" w:hAnsi="Helvetica" w:cs="Helvetica"/>
          <w:color w:val="000000" w:themeColor="text1"/>
          <w:shd w:val="clear" w:color="auto" w:fill="FFFFFF"/>
          <w:lang w:val="en-CA"/>
        </w:rPr>
        <w:t xml:space="preserve"> a risk assessment beyond its own network:</w:t>
      </w:r>
    </w:p>
    <w:tbl>
      <w:tblPr>
        <w:tblStyle w:val="Grilledutableau"/>
        <w:tblW w:w="765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7"/>
      </w:tblGrid>
      <w:tr w:rsidR="00DB79CD" w:rsidRPr="009A1394" w14:paraId="254D4A82" w14:textId="77777777" w:rsidTr="00DB79CD">
        <w:tc>
          <w:tcPr>
            <w:tcW w:w="3827" w:type="dxa"/>
          </w:tcPr>
          <w:p w14:paraId="4DBD958B" w14:textId="42AB563B" w:rsidR="00DB79CD" w:rsidRPr="009A1394" w:rsidRDefault="00DB79CD" w:rsidP="00DB79CD">
            <w:pPr>
              <w:pStyle w:val="section"/>
              <w:spacing w:before="120" w:beforeAutospacing="0" w:after="120" w:afterAutospacing="0" w:line="280" w:lineRule="exact"/>
              <w:jc w:val="both"/>
              <w:rPr>
                <w:rStyle w:val="canliisection"/>
                <w:rFonts w:ascii="Arial" w:hAnsi="Arial" w:cs="Arial"/>
                <w:b/>
                <w:bCs/>
                <w:color w:val="000000" w:themeColor="text1"/>
                <w:sz w:val="22"/>
                <w:szCs w:val="22"/>
                <w:lang w:val="en-CA"/>
              </w:rPr>
            </w:pPr>
            <w:r w:rsidRPr="009A1394">
              <w:rPr>
                <w:rStyle w:val="Accentuation"/>
                <w:rFonts w:ascii="Arial" w:hAnsi="Arial" w:cs="Arial"/>
                <w:b/>
                <w:bCs/>
                <w:i w:val="0"/>
                <w:iCs w:val="0"/>
                <w:color w:val="000000" w:themeColor="text1"/>
                <w:sz w:val="22"/>
                <w:szCs w:val="22"/>
                <w:lang w:val="en-CA"/>
              </w:rPr>
              <w:t>2.</w:t>
            </w:r>
            <w:r w:rsidRPr="009A1394">
              <w:rPr>
                <w:rStyle w:val="Accentuation"/>
                <w:rFonts w:ascii="Arial" w:hAnsi="Arial" w:cs="Arial"/>
                <w:bCs/>
                <w:i w:val="0"/>
                <w:iCs w:val="0"/>
                <w:color w:val="000000" w:themeColor="text1"/>
                <w:sz w:val="22"/>
                <w:szCs w:val="22"/>
                <w:lang w:val="en-CA"/>
              </w:rPr>
              <w:t> A railway company shall implement and maintain a safety management system that includes, at a minimum, the following components:</w:t>
            </w:r>
          </w:p>
        </w:tc>
        <w:tc>
          <w:tcPr>
            <w:tcW w:w="3827" w:type="dxa"/>
          </w:tcPr>
          <w:p w14:paraId="408FADD8" w14:textId="5667232F" w:rsidR="00DB79CD" w:rsidRPr="009A1394" w:rsidRDefault="00DB79CD" w:rsidP="00DB79CD">
            <w:pPr>
              <w:pStyle w:val="section"/>
              <w:spacing w:before="120" w:beforeAutospacing="0" w:after="120" w:afterAutospacing="0" w:line="280" w:lineRule="exact"/>
              <w:jc w:val="both"/>
              <w:rPr>
                <w:rFonts w:ascii="Arial" w:hAnsi="Arial" w:cs="Arial"/>
                <w:color w:val="000000" w:themeColor="text1"/>
                <w:sz w:val="22"/>
                <w:szCs w:val="22"/>
                <w:lang w:val="en-CA"/>
              </w:rPr>
            </w:pPr>
            <w:r w:rsidRPr="009A1394">
              <w:rPr>
                <w:rStyle w:val="canliisection"/>
                <w:rFonts w:ascii="Arial" w:hAnsi="Arial" w:cs="Arial"/>
                <w:b/>
                <w:bCs/>
                <w:color w:val="000000" w:themeColor="text1"/>
                <w:sz w:val="22"/>
                <w:szCs w:val="22"/>
                <w:lang w:val="en-CA"/>
              </w:rPr>
              <w:t>2.</w:t>
            </w:r>
            <w:r w:rsidRPr="009A1394">
              <w:rPr>
                <w:rFonts w:ascii="Arial" w:hAnsi="Arial" w:cs="Arial"/>
                <w:color w:val="000000" w:themeColor="text1"/>
                <w:sz w:val="22"/>
                <w:szCs w:val="22"/>
                <w:lang w:val="en-CA"/>
              </w:rPr>
              <w:t> Toute compagnie de chemin de fer doit mettre en œuvre et conserver un système de gestion de la sécurité qui comporte au moins les composantes suivantes :</w:t>
            </w:r>
          </w:p>
        </w:tc>
      </w:tr>
      <w:tr w:rsidR="00DB79CD" w:rsidRPr="009A1394" w14:paraId="5A8DC785" w14:textId="77777777" w:rsidTr="00DB79CD">
        <w:tc>
          <w:tcPr>
            <w:tcW w:w="3827" w:type="dxa"/>
          </w:tcPr>
          <w:p w14:paraId="240490E5" w14:textId="2C614D48" w:rsidR="00DB79CD" w:rsidRPr="009A1394" w:rsidRDefault="00635CB8" w:rsidP="00DB79CD">
            <w:pPr>
              <w:pStyle w:val="section"/>
              <w:spacing w:before="120" w:beforeAutospacing="0" w:after="120" w:afterAutospacing="0" w:line="280" w:lineRule="exact"/>
              <w:jc w:val="both"/>
              <w:rPr>
                <w:rStyle w:val="canliisection"/>
                <w:rFonts w:ascii="Arial" w:hAnsi="Arial" w:cs="Arial"/>
                <w:sz w:val="22"/>
                <w:szCs w:val="22"/>
                <w:lang w:val="en-CA"/>
              </w:rPr>
            </w:pPr>
            <w:r w:rsidRPr="009A1394">
              <w:rPr>
                <w:rStyle w:val="Accentuation"/>
                <w:rFonts w:ascii="Arial" w:hAnsi="Arial" w:cs="Arial"/>
                <w:i w:val="0"/>
                <w:iCs w:val="0"/>
                <w:sz w:val="22"/>
                <w:szCs w:val="22"/>
                <w:lang w:val="en-CA"/>
              </w:rPr>
              <w:t>[</w:t>
            </w:r>
            <w:r w:rsidR="00DB79CD" w:rsidRPr="009A1394">
              <w:rPr>
                <w:rStyle w:val="Accentuation"/>
                <w:rFonts w:ascii="Arial" w:hAnsi="Arial" w:cs="Arial"/>
                <w:i w:val="0"/>
                <w:iCs w:val="0"/>
                <w:sz w:val="22"/>
                <w:szCs w:val="22"/>
                <w:lang w:val="en-CA"/>
              </w:rPr>
              <w:t>…</w:t>
            </w:r>
            <w:r w:rsidRPr="009A1394">
              <w:rPr>
                <w:rStyle w:val="Accentuation"/>
                <w:rFonts w:ascii="Arial" w:hAnsi="Arial" w:cs="Arial"/>
                <w:i w:val="0"/>
                <w:iCs w:val="0"/>
                <w:sz w:val="22"/>
                <w:szCs w:val="22"/>
                <w:lang w:val="en-CA"/>
              </w:rPr>
              <w:t>]</w:t>
            </w:r>
          </w:p>
        </w:tc>
        <w:tc>
          <w:tcPr>
            <w:tcW w:w="3827" w:type="dxa"/>
          </w:tcPr>
          <w:p w14:paraId="4C07DAEF" w14:textId="0EB11EE3" w:rsidR="00DB79CD" w:rsidRPr="009A1394" w:rsidRDefault="00DB79CD" w:rsidP="00DB79CD">
            <w:pPr>
              <w:pStyle w:val="section"/>
              <w:spacing w:before="120" w:beforeAutospacing="0" w:after="120" w:afterAutospacing="0" w:line="280" w:lineRule="exact"/>
              <w:jc w:val="both"/>
              <w:rPr>
                <w:rStyle w:val="canliisection"/>
                <w:rFonts w:ascii="Arial" w:hAnsi="Arial" w:cs="Arial"/>
                <w:color w:val="000000" w:themeColor="text1"/>
                <w:sz w:val="22"/>
                <w:szCs w:val="22"/>
                <w:lang w:val="en-CA"/>
              </w:rPr>
            </w:pPr>
            <w:r w:rsidRPr="009A1394">
              <w:rPr>
                <w:rStyle w:val="canliisection"/>
                <w:rFonts w:ascii="Arial" w:hAnsi="Arial" w:cs="Arial"/>
                <w:sz w:val="22"/>
                <w:szCs w:val="22"/>
                <w:lang w:val="en-CA"/>
              </w:rPr>
              <w:t>(...)</w:t>
            </w:r>
          </w:p>
        </w:tc>
      </w:tr>
      <w:tr w:rsidR="00DB79CD" w:rsidRPr="009A1394" w14:paraId="07E64486" w14:textId="77777777" w:rsidTr="00DB79CD">
        <w:tc>
          <w:tcPr>
            <w:tcW w:w="3827" w:type="dxa"/>
          </w:tcPr>
          <w:p w14:paraId="10B43C60" w14:textId="2B06C4D2" w:rsidR="00DB79CD" w:rsidRPr="009A1394" w:rsidRDefault="00DB79CD" w:rsidP="00DB79CD">
            <w:pPr>
              <w:pStyle w:val="section"/>
              <w:spacing w:before="120" w:beforeAutospacing="0" w:after="120" w:afterAutospacing="0" w:line="280" w:lineRule="exact"/>
              <w:jc w:val="both"/>
              <w:rPr>
                <w:rStyle w:val="Accentuation"/>
                <w:rFonts w:ascii="Arial" w:hAnsi="Arial" w:cs="Arial"/>
                <w:color w:val="000000" w:themeColor="text1"/>
                <w:sz w:val="22"/>
                <w:szCs w:val="22"/>
                <w:lang w:val="en-CA"/>
              </w:rPr>
            </w:pPr>
            <w:r w:rsidRPr="009A1394">
              <w:rPr>
                <w:rStyle w:val="Accentuation"/>
                <w:rFonts w:ascii="Arial" w:hAnsi="Arial" w:cs="Arial"/>
                <w:color w:val="000000" w:themeColor="text1"/>
                <w:sz w:val="22"/>
                <w:szCs w:val="22"/>
                <w:lang w:val="en-CA"/>
              </w:rPr>
              <w:t>(e)</w:t>
            </w:r>
            <w:r w:rsidRPr="009A1394">
              <w:rPr>
                <w:rStyle w:val="Accentuation"/>
                <w:rFonts w:ascii="Arial" w:hAnsi="Arial" w:cs="Arial"/>
                <w:i w:val="0"/>
                <w:iCs w:val="0"/>
                <w:color w:val="000000" w:themeColor="text1"/>
                <w:sz w:val="22"/>
                <w:szCs w:val="22"/>
                <w:lang w:val="en-CA"/>
              </w:rPr>
              <w:t> a process for</w:t>
            </w:r>
          </w:p>
        </w:tc>
        <w:tc>
          <w:tcPr>
            <w:tcW w:w="3827" w:type="dxa"/>
          </w:tcPr>
          <w:p w14:paraId="5ED0DFE5" w14:textId="42832935" w:rsidR="00DB79CD" w:rsidRPr="009A1394" w:rsidRDefault="00DB79CD" w:rsidP="00DB79CD">
            <w:pPr>
              <w:pStyle w:val="section"/>
              <w:spacing w:before="120" w:beforeAutospacing="0" w:after="120" w:afterAutospacing="0" w:line="280" w:lineRule="exact"/>
              <w:jc w:val="both"/>
              <w:rPr>
                <w:rStyle w:val="canliisection"/>
                <w:rFonts w:ascii="Arial" w:hAnsi="Arial" w:cs="Arial"/>
                <w:color w:val="000000" w:themeColor="text1"/>
                <w:sz w:val="22"/>
                <w:szCs w:val="22"/>
                <w:lang w:val="en-CA"/>
              </w:rPr>
            </w:pPr>
            <w:r w:rsidRPr="009A1394">
              <w:rPr>
                <w:rStyle w:val="Accentuation"/>
                <w:rFonts w:ascii="Arial" w:hAnsi="Arial" w:cs="Arial"/>
                <w:color w:val="000000" w:themeColor="text1"/>
                <w:sz w:val="22"/>
                <w:szCs w:val="22"/>
                <w:lang w:val="en-CA"/>
              </w:rPr>
              <w:t>e</w:t>
            </w:r>
            <w:r w:rsidRPr="009A1394">
              <w:rPr>
                <w:rFonts w:ascii="Arial" w:hAnsi="Arial" w:cs="Arial"/>
                <w:color w:val="000000" w:themeColor="text1"/>
                <w:sz w:val="22"/>
                <w:szCs w:val="22"/>
                <w:lang w:val="en-CA"/>
              </w:rPr>
              <w:t xml:space="preserve">) un processus qui a pour objet : </w:t>
            </w:r>
          </w:p>
        </w:tc>
      </w:tr>
      <w:tr w:rsidR="00DB79CD" w:rsidRPr="009A1394" w14:paraId="5D78019E" w14:textId="77777777" w:rsidTr="00DB79CD">
        <w:tc>
          <w:tcPr>
            <w:tcW w:w="3827" w:type="dxa"/>
          </w:tcPr>
          <w:p w14:paraId="6CB394F7" w14:textId="595D841E" w:rsidR="00DB79CD" w:rsidRPr="009A1394" w:rsidRDefault="00DB79CD" w:rsidP="00DB79CD">
            <w:pPr>
              <w:pStyle w:val="subparagraph"/>
              <w:spacing w:before="120" w:beforeAutospacing="0" w:after="120" w:afterAutospacing="0" w:line="280" w:lineRule="exact"/>
              <w:ind w:left="318"/>
              <w:jc w:val="both"/>
              <w:rPr>
                <w:rFonts w:ascii="Arial" w:hAnsi="Arial" w:cs="Arial"/>
                <w:color w:val="000000" w:themeColor="text1"/>
                <w:sz w:val="22"/>
                <w:szCs w:val="22"/>
                <w:lang w:val="en-CA"/>
              </w:rPr>
            </w:pPr>
            <w:r w:rsidRPr="009A1394">
              <w:rPr>
                <w:rStyle w:val="Accentuation"/>
                <w:rFonts w:ascii="Arial" w:hAnsi="Arial" w:cs="Arial"/>
                <w:i w:val="0"/>
                <w:iCs w:val="0"/>
                <w:color w:val="000000" w:themeColor="text1"/>
                <w:sz w:val="22"/>
                <w:szCs w:val="22"/>
                <w:lang w:val="en-CA"/>
              </w:rPr>
              <w:t xml:space="preserve">(i) identifying safety issues and concerns, </w:t>
            </w:r>
            <w:bookmarkStart w:id="13" w:name="_Hlk179549212"/>
            <w:r w:rsidRPr="009A1394">
              <w:rPr>
                <w:rStyle w:val="Accentuation"/>
                <w:rFonts w:ascii="Arial" w:hAnsi="Arial" w:cs="Arial"/>
                <w:i w:val="0"/>
                <w:iCs w:val="0"/>
                <w:color w:val="000000" w:themeColor="text1"/>
                <w:sz w:val="22"/>
                <w:szCs w:val="22"/>
                <w:lang w:val="en-CA"/>
              </w:rPr>
              <w:t>including those associated with human factors, third-parties</w:t>
            </w:r>
            <w:r w:rsidR="001D6700" w:rsidRPr="009A1394">
              <w:rPr>
                <w:rStyle w:val="Accentuation"/>
                <w:rFonts w:ascii="Arial" w:hAnsi="Arial" w:cs="Arial"/>
                <w:i w:val="0"/>
                <w:iCs w:val="0"/>
                <w:color w:val="000000" w:themeColor="text1"/>
                <w:sz w:val="22"/>
                <w:szCs w:val="22"/>
                <w:lang w:val="en-CA"/>
              </w:rPr>
              <w:t xml:space="preserve"> </w:t>
            </w:r>
            <w:r w:rsidRPr="009A1394">
              <w:rPr>
                <w:rStyle w:val="Accentuation"/>
                <w:rFonts w:ascii="Arial" w:hAnsi="Arial" w:cs="Arial"/>
                <w:i w:val="0"/>
                <w:iCs w:val="0"/>
                <w:color w:val="000000" w:themeColor="text1"/>
                <w:sz w:val="22"/>
                <w:szCs w:val="22"/>
                <w:lang w:val="en-CA"/>
              </w:rPr>
              <w:t>and significant changes to railway operations, and</w:t>
            </w:r>
            <w:bookmarkEnd w:id="13"/>
          </w:p>
        </w:tc>
        <w:tc>
          <w:tcPr>
            <w:tcW w:w="3827" w:type="dxa"/>
          </w:tcPr>
          <w:p w14:paraId="2BBA50DD" w14:textId="6D7CED96" w:rsidR="00DB79CD" w:rsidRPr="009A1394" w:rsidRDefault="00DB79CD" w:rsidP="00DB79CD">
            <w:pPr>
              <w:pStyle w:val="subparagraph"/>
              <w:spacing w:before="120" w:beforeAutospacing="0" w:after="120" w:afterAutospacing="0" w:line="280" w:lineRule="exact"/>
              <w:ind w:left="318"/>
              <w:jc w:val="both"/>
              <w:rPr>
                <w:rStyle w:val="canliisection"/>
                <w:rFonts w:ascii="Arial" w:hAnsi="Arial" w:cs="Arial"/>
                <w:color w:val="000000" w:themeColor="text1"/>
                <w:sz w:val="22"/>
                <w:szCs w:val="22"/>
                <w:lang w:val="en-CA"/>
              </w:rPr>
            </w:pPr>
            <w:r w:rsidRPr="009A1394">
              <w:rPr>
                <w:rFonts w:ascii="Arial" w:hAnsi="Arial" w:cs="Arial"/>
                <w:color w:val="000000" w:themeColor="text1"/>
                <w:sz w:val="22"/>
                <w:szCs w:val="22"/>
                <w:lang w:val="en-CA"/>
              </w:rPr>
              <w:t>(i) d’une part, de déterminer les problèmes et préoccupations en matière de sécurité, y compris ceux qui sont associés aux facteurs humains, aux tiers et aux modifications d’importance apportées aux opérations ferroviaires;</w:t>
            </w:r>
          </w:p>
        </w:tc>
      </w:tr>
      <w:tr w:rsidR="00DB79CD" w:rsidRPr="009A1394" w14:paraId="2FF5D326" w14:textId="77777777" w:rsidTr="00DB79CD">
        <w:tc>
          <w:tcPr>
            <w:tcW w:w="3827" w:type="dxa"/>
          </w:tcPr>
          <w:p w14:paraId="4158F5D9" w14:textId="0D0303B6" w:rsidR="00DB79CD" w:rsidRPr="009A1394" w:rsidRDefault="00DB79CD" w:rsidP="00DB79CD">
            <w:pPr>
              <w:pStyle w:val="paragraph"/>
              <w:spacing w:before="120" w:beforeAutospacing="0" w:after="120" w:afterAutospacing="0" w:line="280" w:lineRule="exact"/>
              <w:ind w:left="318"/>
              <w:jc w:val="both"/>
              <w:rPr>
                <w:rFonts w:ascii="Arial" w:hAnsi="Arial" w:cs="Arial"/>
                <w:color w:val="000000" w:themeColor="text1"/>
                <w:sz w:val="22"/>
                <w:szCs w:val="22"/>
                <w:lang w:val="en-CA"/>
              </w:rPr>
            </w:pPr>
            <w:r w:rsidRPr="009A1394">
              <w:rPr>
                <w:rStyle w:val="Accentuation"/>
                <w:rFonts w:ascii="Arial" w:hAnsi="Arial" w:cs="Arial"/>
                <w:i w:val="0"/>
                <w:iCs w:val="0"/>
                <w:color w:val="000000" w:themeColor="text1"/>
                <w:sz w:val="22"/>
                <w:szCs w:val="22"/>
                <w:lang w:val="en-CA"/>
              </w:rPr>
              <w:t>(ii) evaluating and classifying risks by means of a risk assessment;</w:t>
            </w:r>
          </w:p>
        </w:tc>
        <w:tc>
          <w:tcPr>
            <w:tcW w:w="3827" w:type="dxa"/>
          </w:tcPr>
          <w:p w14:paraId="0F02E31A" w14:textId="4066C323" w:rsidR="00DB79CD" w:rsidRPr="009A1394" w:rsidRDefault="00DB79CD" w:rsidP="00DB79CD">
            <w:pPr>
              <w:pStyle w:val="paragraph"/>
              <w:spacing w:before="120" w:beforeAutospacing="0" w:after="120" w:afterAutospacing="0" w:line="280" w:lineRule="exact"/>
              <w:ind w:left="318"/>
              <w:jc w:val="both"/>
              <w:rPr>
                <w:rStyle w:val="Accentuation"/>
                <w:rFonts w:ascii="Arial" w:hAnsi="Arial" w:cs="Arial"/>
                <w:color w:val="000000" w:themeColor="text1"/>
                <w:sz w:val="22"/>
                <w:szCs w:val="22"/>
                <w:lang w:val="en-CA"/>
              </w:rPr>
            </w:pPr>
            <w:r w:rsidRPr="009A1394">
              <w:rPr>
                <w:rFonts w:ascii="Arial" w:hAnsi="Arial" w:cs="Arial"/>
                <w:color w:val="000000" w:themeColor="text1"/>
                <w:sz w:val="22"/>
                <w:szCs w:val="22"/>
                <w:lang w:val="en-CA"/>
              </w:rPr>
              <w:t xml:space="preserve">(ii) d’autre part, d’évaluer et de classer les risques au moyen d’une </w:t>
            </w:r>
            <w:r w:rsidRPr="009A1394">
              <w:rPr>
                <w:rFonts w:ascii="Arial" w:hAnsi="Arial" w:cs="Arial"/>
                <w:sz w:val="22"/>
                <w:szCs w:val="22"/>
                <w:lang w:val="en-CA"/>
              </w:rPr>
              <w:t>évaluation</w:t>
            </w:r>
            <w:r w:rsidRPr="009A1394">
              <w:rPr>
                <w:rFonts w:ascii="Arial" w:hAnsi="Arial" w:cs="Arial"/>
                <w:color w:val="000000" w:themeColor="text1"/>
                <w:sz w:val="22"/>
                <w:szCs w:val="22"/>
                <w:lang w:val="en-CA"/>
              </w:rPr>
              <w:t xml:space="preserve"> du risque;</w:t>
            </w:r>
          </w:p>
        </w:tc>
      </w:tr>
    </w:tbl>
    <w:p w14:paraId="21302B4E" w14:textId="3CD0B99C" w:rsidR="00702A59" w:rsidRPr="009A1394" w:rsidRDefault="00E25BE2" w:rsidP="00B84769">
      <w:pPr>
        <w:pStyle w:val="Paragraphe"/>
        <w:numPr>
          <w:ilvl w:val="0"/>
          <w:numId w:val="1"/>
        </w:numPr>
        <w:rPr>
          <w:color w:val="000000" w:themeColor="text1"/>
          <w:szCs w:val="24"/>
          <w:lang w:val="en-CA"/>
        </w:rPr>
      </w:pPr>
      <w:r w:rsidRPr="009A1394">
        <w:rPr>
          <w:color w:val="000000" w:themeColor="text1"/>
          <w:szCs w:val="24"/>
          <w:lang w:val="en-CA"/>
        </w:rPr>
        <w:t>In fact, a contextual interpretation</w:t>
      </w:r>
      <w:r w:rsidR="008161A3" w:rsidRPr="009A1394">
        <w:rPr>
          <w:rStyle w:val="Appelnotedebasdep"/>
          <w:color w:val="000000" w:themeColor="text1"/>
          <w:szCs w:val="24"/>
          <w:lang w:val="en-CA"/>
        </w:rPr>
        <w:footnoteReference w:id="196"/>
      </w:r>
      <w:r w:rsidR="0083413D" w:rsidRPr="009A1394">
        <w:rPr>
          <w:color w:val="000000" w:themeColor="text1"/>
          <w:szCs w:val="24"/>
          <w:lang w:val="en-CA"/>
        </w:rPr>
        <w:t xml:space="preserve"> of the </w:t>
      </w:r>
      <w:r w:rsidR="0083413D" w:rsidRPr="009A1394">
        <w:rPr>
          <w:i/>
          <w:iCs/>
          <w:color w:val="000000" w:themeColor="text1"/>
          <w:szCs w:val="24"/>
          <w:lang w:val="en-CA"/>
        </w:rPr>
        <w:t>Regulation</w:t>
      </w:r>
      <w:r w:rsidR="001D6700" w:rsidRPr="009A1394">
        <w:rPr>
          <w:i/>
          <w:iCs/>
          <w:color w:val="000000" w:themeColor="text1"/>
          <w:szCs w:val="24"/>
          <w:lang w:val="en-CA"/>
        </w:rPr>
        <w:t>s</w:t>
      </w:r>
      <w:r w:rsidR="0083413D" w:rsidRPr="009A1394">
        <w:rPr>
          <w:color w:val="000000" w:themeColor="text1"/>
          <w:szCs w:val="24"/>
          <w:lang w:val="en-CA"/>
        </w:rPr>
        <w:t xml:space="preserve"> confirms this.</w:t>
      </w:r>
      <w:r w:rsidR="008161A3" w:rsidRPr="009A1394">
        <w:rPr>
          <w:color w:val="000000" w:themeColor="text1"/>
          <w:szCs w:val="24"/>
          <w:lang w:val="en-CA"/>
        </w:rPr>
        <w:t xml:space="preserve"> </w:t>
      </w:r>
      <w:r w:rsidR="0083413D" w:rsidRPr="009A1394">
        <w:rPr>
          <w:color w:val="000000" w:themeColor="text1"/>
          <w:szCs w:val="24"/>
          <w:lang w:val="en-CA"/>
        </w:rPr>
        <w:t>For example, it is provided that a railway company must not only prepare and implement an SMS that includes a risk assessment process but must also account for its ability to achieve its safety targets (section 5(1)(</w:t>
      </w:r>
      <w:r w:rsidR="0083413D" w:rsidRPr="009A1394">
        <w:rPr>
          <w:i/>
          <w:iCs/>
          <w:color w:val="000000" w:themeColor="text1"/>
          <w:szCs w:val="24"/>
          <w:lang w:val="en-CA"/>
        </w:rPr>
        <w:t>b</w:t>
      </w:r>
      <w:r w:rsidR="0083413D" w:rsidRPr="009A1394">
        <w:rPr>
          <w:color w:val="000000" w:themeColor="text1"/>
          <w:szCs w:val="24"/>
          <w:lang w:val="en-CA"/>
        </w:rPr>
        <w:t>)</w:t>
      </w:r>
      <w:r w:rsidRPr="009A1394">
        <w:rPr>
          <w:color w:val="000000" w:themeColor="text1"/>
          <w:szCs w:val="24"/>
          <w:lang w:val="en-CA"/>
        </w:rPr>
        <w:t>)</w:t>
      </w:r>
      <w:r w:rsidR="0083413D" w:rsidRPr="009A1394">
        <w:rPr>
          <w:color w:val="000000" w:themeColor="text1"/>
          <w:szCs w:val="24"/>
          <w:lang w:val="en-CA"/>
        </w:rPr>
        <w:t xml:space="preserve"> and develop risk control strategies (section 4(1)(</w:t>
      </w:r>
      <w:r w:rsidR="0083413D" w:rsidRPr="009A1394">
        <w:rPr>
          <w:i/>
          <w:iCs/>
          <w:color w:val="000000" w:themeColor="text1"/>
          <w:szCs w:val="24"/>
          <w:lang w:val="en-CA"/>
        </w:rPr>
        <w:t>g</w:t>
      </w:r>
      <w:r w:rsidR="0083413D" w:rsidRPr="009A1394">
        <w:rPr>
          <w:color w:val="000000" w:themeColor="text1"/>
          <w:szCs w:val="24"/>
          <w:lang w:val="en-CA"/>
        </w:rPr>
        <w:t>)).</w:t>
      </w:r>
      <w:r w:rsidR="008161A3" w:rsidRPr="009A1394">
        <w:rPr>
          <w:color w:val="000000" w:themeColor="text1"/>
          <w:szCs w:val="24"/>
          <w:lang w:val="en-CA"/>
        </w:rPr>
        <w:t xml:space="preserve"> </w:t>
      </w:r>
      <w:r w:rsidR="0083413D" w:rsidRPr="009A1394">
        <w:rPr>
          <w:color w:val="000000" w:themeColor="text1"/>
          <w:szCs w:val="24"/>
          <w:lang w:val="en-CA"/>
        </w:rPr>
        <w:t xml:space="preserve">It is </w:t>
      </w:r>
      <w:r w:rsidR="0083413D" w:rsidRPr="009A1394">
        <w:rPr>
          <w:color w:val="000000" w:themeColor="text1"/>
          <w:szCs w:val="24"/>
          <w:lang w:val="en-CA"/>
        </w:rPr>
        <w:lastRenderedPageBreak/>
        <w:t xml:space="preserve">difficult to see how a railway company could be </w:t>
      </w:r>
      <w:r w:rsidRPr="009A1394">
        <w:rPr>
          <w:color w:val="000000" w:themeColor="text1"/>
          <w:szCs w:val="24"/>
          <w:lang w:val="en-CA"/>
        </w:rPr>
        <w:t>expected</w:t>
      </w:r>
      <w:r w:rsidR="0083413D" w:rsidRPr="009A1394">
        <w:rPr>
          <w:color w:val="000000" w:themeColor="text1"/>
          <w:szCs w:val="24"/>
          <w:lang w:val="en-CA"/>
        </w:rPr>
        <w:t xml:space="preserve"> to control risks outside its own network or how it could be compelled to account for an SMS that is not its own.</w:t>
      </w:r>
    </w:p>
    <w:p w14:paraId="4FFA0D27" w14:textId="1EEBCC7E" w:rsidR="00702A59" w:rsidRPr="009A1394" w:rsidRDefault="001D6700" w:rsidP="00B84769">
      <w:pPr>
        <w:pStyle w:val="Paragraphe"/>
        <w:numPr>
          <w:ilvl w:val="0"/>
          <w:numId w:val="1"/>
        </w:numPr>
        <w:rPr>
          <w:color w:val="000000" w:themeColor="text1"/>
          <w:szCs w:val="24"/>
          <w:lang w:val="en-CA"/>
        </w:rPr>
      </w:pPr>
      <w:r w:rsidRPr="009A1394">
        <w:rPr>
          <w:color w:val="000000" w:themeColor="text1"/>
          <w:szCs w:val="24"/>
          <w:lang w:val="en-CA"/>
        </w:rPr>
        <w:t>Moreover</w:t>
      </w:r>
      <w:r w:rsidR="0083413D" w:rsidRPr="009A1394">
        <w:rPr>
          <w:color w:val="000000" w:themeColor="text1"/>
          <w:szCs w:val="24"/>
          <w:lang w:val="en-CA"/>
        </w:rPr>
        <w:t xml:space="preserve">, contrary to </w:t>
      </w:r>
      <w:r w:rsidRPr="009A1394">
        <w:rPr>
          <w:color w:val="000000" w:themeColor="text1"/>
          <w:szCs w:val="24"/>
          <w:lang w:val="en-CA"/>
        </w:rPr>
        <w:t xml:space="preserve">what </w:t>
      </w:r>
      <w:r w:rsidR="0083413D" w:rsidRPr="009A1394">
        <w:rPr>
          <w:color w:val="000000" w:themeColor="text1"/>
          <w:szCs w:val="24"/>
          <w:lang w:val="en-CA"/>
        </w:rPr>
        <w:t>the appellants</w:t>
      </w:r>
      <w:r w:rsidRPr="009A1394">
        <w:rPr>
          <w:color w:val="000000" w:themeColor="text1"/>
          <w:szCs w:val="24"/>
          <w:lang w:val="en-CA"/>
        </w:rPr>
        <w:t xml:space="preserve"> claim</w:t>
      </w:r>
      <w:r w:rsidR="0083413D" w:rsidRPr="009A1394">
        <w:rPr>
          <w:color w:val="000000" w:themeColor="text1"/>
          <w:szCs w:val="24"/>
          <w:lang w:val="en-CA"/>
        </w:rPr>
        <w:t xml:space="preserve">, the judge’s interpretation of the </w:t>
      </w:r>
      <w:r w:rsidR="0083413D" w:rsidRPr="009A1394">
        <w:rPr>
          <w:i/>
          <w:iCs/>
          <w:color w:val="000000" w:themeColor="text1"/>
          <w:szCs w:val="24"/>
          <w:lang w:val="en-CA"/>
        </w:rPr>
        <w:t>Regulation</w:t>
      </w:r>
      <w:r w:rsidRPr="009A1394">
        <w:rPr>
          <w:i/>
          <w:iCs/>
          <w:color w:val="000000" w:themeColor="text1"/>
          <w:szCs w:val="24"/>
          <w:lang w:val="en-CA"/>
        </w:rPr>
        <w:t>s</w:t>
      </w:r>
      <w:r w:rsidR="0083413D" w:rsidRPr="009A1394">
        <w:rPr>
          <w:color w:val="000000" w:themeColor="text1"/>
          <w:szCs w:val="24"/>
          <w:lang w:val="en-CA"/>
        </w:rPr>
        <w:t xml:space="preserve"> is consistent with the </w:t>
      </w:r>
      <w:r w:rsidRPr="009A1394">
        <w:rPr>
          <w:i/>
          <w:iCs/>
          <w:color w:val="000000" w:themeColor="text1"/>
          <w:szCs w:val="24"/>
          <w:lang w:val="en-CA"/>
        </w:rPr>
        <w:t>RSA</w:t>
      </w:r>
      <w:r w:rsidRPr="009A1394">
        <w:rPr>
          <w:color w:val="000000" w:themeColor="text1"/>
          <w:szCs w:val="24"/>
          <w:lang w:val="en-CA"/>
        </w:rPr>
        <w:t xml:space="preserve">’s </w:t>
      </w:r>
      <w:r w:rsidR="0083413D" w:rsidRPr="009A1394">
        <w:rPr>
          <w:color w:val="000000" w:themeColor="text1"/>
          <w:szCs w:val="24"/>
          <w:lang w:val="en-CA"/>
        </w:rPr>
        <w:t>objectives, including those stated under section 3, reproduced below:</w:t>
      </w:r>
    </w:p>
    <w:tbl>
      <w:tblPr>
        <w:tblStyle w:val="Grilledutableau"/>
        <w:tblW w:w="765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7"/>
      </w:tblGrid>
      <w:tr w:rsidR="0083413D" w:rsidRPr="009A1394" w14:paraId="60B60132" w14:textId="77777777" w:rsidTr="0083413D">
        <w:tc>
          <w:tcPr>
            <w:tcW w:w="3827" w:type="dxa"/>
          </w:tcPr>
          <w:p w14:paraId="0BF65E60" w14:textId="1CA3DE48" w:rsidR="0083413D" w:rsidRPr="009A1394" w:rsidRDefault="0083413D" w:rsidP="0083413D">
            <w:pPr>
              <w:pStyle w:val="section"/>
              <w:spacing w:before="120" w:beforeAutospacing="0" w:after="120" w:afterAutospacing="0" w:line="280" w:lineRule="exact"/>
              <w:jc w:val="both"/>
              <w:rPr>
                <w:rStyle w:val="canliisection"/>
                <w:rFonts w:ascii="Arial" w:hAnsi="Arial" w:cs="Arial"/>
                <w:b/>
                <w:bCs/>
                <w:color w:val="000000" w:themeColor="text1"/>
                <w:sz w:val="22"/>
                <w:szCs w:val="22"/>
                <w:lang w:val="en-CA"/>
              </w:rPr>
            </w:pPr>
            <w:r w:rsidRPr="009A1394">
              <w:rPr>
                <w:rStyle w:val="canliisection"/>
                <w:rFonts w:ascii="Arial" w:hAnsi="Arial" w:cs="Arial"/>
                <w:b/>
                <w:bCs/>
                <w:color w:val="000000" w:themeColor="text1"/>
                <w:sz w:val="22"/>
                <w:szCs w:val="22"/>
                <w:lang w:val="en-CA"/>
              </w:rPr>
              <w:t>3.</w:t>
            </w:r>
            <w:r w:rsidRPr="009A1394">
              <w:rPr>
                <w:rStyle w:val="canliisection"/>
                <w:rFonts w:ascii="Arial" w:hAnsi="Arial" w:cs="Arial"/>
                <w:bCs/>
                <w:color w:val="000000" w:themeColor="text1"/>
                <w:sz w:val="22"/>
                <w:szCs w:val="22"/>
                <w:lang w:val="en-CA"/>
              </w:rPr>
              <w:t> The objectives of this Act are to</w:t>
            </w:r>
          </w:p>
        </w:tc>
        <w:tc>
          <w:tcPr>
            <w:tcW w:w="3827" w:type="dxa"/>
          </w:tcPr>
          <w:p w14:paraId="426160A8" w14:textId="61D6E404" w:rsidR="0083413D" w:rsidRPr="009A1394" w:rsidRDefault="0083413D" w:rsidP="0083413D">
            <w:pPr>
              <w:pStyle w:val="section"/>
              <w:spacing w:before="120" w:beforeAutospacing="0" w:after="120" w:afterAutospacing="0" w:line="280" w:lineRule="exact"/>
              <w:jc w:val="both"/>
              <w:rPr>
                <w:rStyle w:val="canliisection"/>
                <w:rFonts w:ascii="Arial" w:hAnsi="Arial" w:cs="Arial"/>
                <w:color w:val="000000" w:themeColor="text1"/>
                <w:sz w:val="22"/>
                <w:szCs w:val="22"/>
                <w:lang w:val="en-CA"/>
              </w:rPr>
            </w:pPr>
            <w:r w:rsidRPr="009A1394">
              <w:rPr>
                <w:rStyle w:val="canliisection"/>
                <w:rFonts w:ascii="Arial" w:hAnsi="Arial" w:cs="Arial"/>
                <w:b/>
                <w:bCs/>
                <w:color w:val="000000" w:themeColor="text1"/>
                <w:sz w:val="22"/>
                <w:szCs w:val="22"/>
                <w:lang w:val="en-CA"/>
              </w:rPr>
              <w:t>3.</w:t>
            </w:r>
            <w:r w:rsidRPr="009A1394">
              <w:rPr>
                <w:rStyle w:val="canliisection"/>
                <w:rFonts w:ascii="Arial" w:hAnsi="Arial" w:cs="Arial"/>
                <w:bCs/>
                <w:color w:val="000000" w:themeColor="text1"/>
                <w:sz w:val="22"/>
                <w:szCs w:val="22"/>
                <w:lang w:val="en-CA"/>
              </w:rPr>
              <w:t> </w:t>
            </w:r>
            <w:r w:rsidRPr="009A1394">
              <w:rPr>
                <w:rFonts w:ascii="Arial" w:hAnsi="Arial" w:cs="Arial"/>
                <w:color w:val="000000" w:themeColor="text1"/>
                <w:sz w:val="22"/>
                <w:szCs w:val="22"/>
                <w:lang w:val="en-CA"/>
              </w:rPr>
              <w:t xml:space="preserve">La </w:t>
            </w:r>
            <w:r w:rsidRPr="009A1394">
              <w:rPr>
                <w:rStyle w:val="canliisection"/>
                <w:rFonts w:ascii="Arial" w:hAnsi="Arial" w:cs="Arial"/>
                <w:color w:val="000000" w:themeColor="text1"/>
                <w:sz w:val="22"/>
                <w:szCs w:val="22"/>
                <w:lang w:val="en-CA"/>
              </w:rPr>
              <w:t xml:space="preserve">présente </w:t>
            </w:r>
            <w:r w:rsidRPr="009A1394">
              <w:rPr>
                <w:rStyle w:val="canliisection"/>
                <w:rFonts w:ascii="Arial" w:hAnsi="Arial" w:cs="Arial"/>
                <w:sz w:val="22"/>
                <w:szCs w:val="22"/>
                <w:lang w:val="en-CA"/>
              </w:rPr>
              <w:t>loi</w:t>
            </w:r>
            <w:r w:rsidRPr="009A1394">
              <w:rPr>
                <w:rStyle w:val="canliisection"/>
                <w:rFonts w:ascii="Arial" w:hAnsi="Arial" w:cs="Arial"/>
                <w:color w:val="000000" w:themeColor="text1"/>
                <w:sz w:val="22"/>
                <w:szCs w:val="22"/>
                <w:lang w:val="en-CA"/>
              </w:rPr>
              <w:t xml:space="preserve"> vise à la réalisation des objectifs suivants :</w:t>
            </w:r>
          </w:p>
        </w:tc>
      </w:tr>
      <w:tr w:rsidR="0083413D" w:rsidRPr="009A1394" w14:paraId="5101ED0D" w14:textId="77777777" w:rsidTr="0083413D">
        <w:tc>
          <w:tcPr>
            <w:tcW w:w="3827" w:type="dxa"/>
          </w:tcPr>
          <w:p w14:paraId="61814C15" w14:textId="55933397" w:rsidR="0083413D" w:rsidRPr="009A1394" w:rsidRDefault="0083413D" w:rsidP="0083413D">
            <w:pPr>
              <w:pStyle w:val="section"/>
              <w:spacing w:before="120" w:beforeAutospacing="0" w:after="120" w:afterAutospacing="0" w:line="280" w:lineRule="exact"/>
              <w:jc w:val="both"/>
              <w:rPr>
                <w:rStyle w:val="canliisection"/>
                <w:rFonts w:ascii="Arial" w:hAnsi="Arial" w:cs="Arial"/>
                <w:b/>
                <w:bCs/>
                <w:color w:val="000000" w:themeColor="text1"/>
                <w:sz w:val="22"/>
                <w:szCs w:val="22"/>
                <w:lang w:val="en-CA"/>
              </w:rPr>
            </w:pP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b/>
                <w:bCs/>
                <w:i/>
                <w:iCs/>
                <w:color w:val="000000" w:themeColor="text1"/>
                <w:sz w:val="22"/>
                <w:szCs w:val="22"/>
                <w:lang w:val="en-CA"/>
              </w:rPr>
              <w:t>a</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promote and provide for the safety and security of the public and personnel, and the protection of property and the environment, in railway operations;</w:t>
            </w:r>
          </w:p>
        </w:tc>
        <w:tc>
          <w:tcPr>
            <w:tcW w:w="3827" w:type="dxa"/>
          </w:tcPr>
          <w:p w14:paraId="6E9FAC6B" w14:textId="058F3217" w:rsidR="0083413D" w:rsidRPr="009A1394" w:rsidRDefault="0083413D" w:rsidP="0083413D">
            <w:pPr>
              <w:pStyle w:val="section"/>
              <w:spacing w:before="120" w:beforeAutospacing="0" w:after="120" w:afterAutospacing="0" w:line="280" w:lineRule="exact"/>
              <w:jc w:val="both"/>
              <w:rPr>
                <w:rStyle w:val="canliisection"/>
                <w:rFonts w:ascii="Arial" w:hAnsi="Arial" w:cs="Arial"/>
                <w:color w:val="000000" w:themeColor="text1"/>
                <w:sz w:val="22"/>
                <w:szCs w:val="22"/>
                <w:lang w:val="en-CA"/>
              </w:rPr>
            </w:pPr>
            <w:r w:rsidRPr="009A1394">
              <w:rPr>
                <w:rStyle w:val="canliisection"/>
                <w:rFonts w:ascii="Arial" w:hAnsi="Arial" w:cs="Arial"/>
                <w:b/>
                <w:bCs/>
                <w:i/>
                <w:iCs/>
                <w:color w:val="000000" w:themeColor="text1"/>
                <w:sz w:val="22"/>
                <w:szCs w:val="22"/>
                <w:lang w:val="en-CA"/>
              </w:rPr>
              <w:t>a</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pourvoir à la sécurité et à la sûreté du public et du personnel dans le cadre de l’exploitation ferroviaire et à la protection des biens et de l’environnement, et en faire la promotion;</w:t>
            </w:r>
          </w:p>
        </w:tc>
      </w:tr>
      <w:tr w:rsidR="0083413D" w:rsidRPr="009A1394" w14:paraId="2D673D99" w14:textId="77777777" w:rsidTr="0083413D">
        <w:tc>
          <w:tcPr>
            <w:tcW w:w="3827" w:type="dxa"/>
          </w:tcPr>
          <w:p w14:paraId="0B76CD95" w14:textId="0B2F13FB" w:rsidR="0083413D" w:rsidRPr="009A1394" w:rsidRDefault="0083413D" w:rsidP="0083413D">
            <w:pPr>
              <w:pStyle w:val="section"/>
              <w:spacing w:before="120" w:beforeAutospacing="0" w:after="120" w:afterAutospacing="0" w:line="280" w:lineRule="exact"/>
              <w:jc w:val="both"/>
              <w:rPr>
                <w:rStyle w:val="canliisection"/>
                <w:rFonts w:ascii="Arial" w:hAnsi="Arial" w:cs="Arial"/>
                <w:b/>
                <w:bCs/>
                <w:color w:val="000000" w:themeColor="text1"/>
                <w:sz w:val="22"/>
                <w:szCs w:val="22"/>
                <w:lang w:val="en-CA"/>
              </w:rPr>
            </w:pP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b/>
                <w:bCs/>
                <w:i/>
                <w:iCs/>
                <w:color w:val="000000" w:themeColor="text1"/>
                <w:sz w:val="22"/>
                <w:szCs w:val="22"/>
                <w:lang w:val="en-CA"/>
              </w:rPr>
              <w:t>b</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encourage the collaboration and participation of interested parties in improving railway safety and security;</w:t>
            </w:r>
          </w:p>
        </w:tc>
        <w:tc>
          <w:tcPr>
            <w:tcW w:w="3827" w:type="dxa"/>
          </w:tcPr>
          <w:p w14:paraId="24FB84A2" w14:textId="3850B685" w:rsidR="0083413D" w:rsidRPr="009A1394" w:rsidRDefault="0083413D" w:rsidP="0083413D">
            <w:pPr>
              <w:pStyle w:val="section"/>
              <w:spacing w:before="120" w:beforeAutospacing="0" w:after="120" w:afterAutospacing="0" w:line="280" w:lineRule="exact"/>
              <w:jc w:val="both"/>
              <w:rPr>
                <w:rStyle w:val="canliisection"/>
                <w:rFonts w:ascii="Arial" w:hAnsi="Arial" w:cs="Arial"/>
                <w:color w:val="000000" w:themeColor="text1"/>
                <w:sz w:val="22"/>
                <w:szCs w:val="22"/>
                <w:lang w:val="en-CA"/>
              </w:rPr>
            </w:pPr>
            <w:r w:rsidRPr="009A1394">
              <w:rPr>
                <w:rStyle w:val="canliisection"/>
                <w:rFonts w:ascii="Arial" w:hAnsi="Arial" w:cs="Arial"/>
                <w:b/>
                <w:bCs/>
                <w:i/>
                <w:iCs/>
                <w:color w:val="000000" w:themeColor="text1"/>
                <w:sz w:val="22"/>
                <w:szCs w:val="22"/>
                <w:lang w:val="en-CA"/>
              </w:rPr>
              <w:t>b</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encourager la collaboration et la participation des parties intéressées à l’amélioration de la sécurité et de la sûreté ferroviaires;</w:t>
            </w:r>
          </w:p>
        </w:tc>
      </w:tr>
      <w:tr w:rsidR="0083413D" w:rsidRPr="009A1394" w14:paraId="7309B51D" w14:textId="77777777" w:rsidTr="0083413D">
        <w:tc>
          <w:tcPr>
            <w:tcW w:w="3827" w:type="dxa"/>
          </w:tcPr>
          <w:p w14:paraId="53BB1E24" w14:textId="281E3BC8" w:rsidR="0083413D" w:rsidRPr="009A1394" w:rsidRDefault="0083413D" w:rsidP="0083413D">
            <w:pPr>
              <w:pStyle w:val="section"/>
              <w:spacing w:before="120" w:beforeAutospacing="0" w:after="120" w:afterAutospacing="0" w:line="280" w:lineRule="exact"/>
              <w:jc w:val="both"/>
              <w:rPr>
                <w:rStyle w:val="canliisection"/>
                <w:rFonts w:ascii="Arial" w:hAnsi="Arial" w:cs="Arial"/>
                <w:b/>
                <w:bCs/>
                <w:color w:val="00008B"/>
                <w:sz w:val="22"/>
                <w:szCs w:val="22"/>
                <w:u w:val="dotted"/>
                <w:lang w:val="en-CA"/>
              </w:rPr>
            </w:pP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b/>
                <w:bCs/>
                <w:i/>
                <w:iCs/>
                <w:sz w:val="22"/>
                <w:szCs w:val="22"/>
                <w:lang w:val="en-CA"/>
              </w:rPr>
              <w:t>c</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recognize the responsibility of companies to demonstrate, by using safety management systems and other means at their disposal, that they continuously manage risks related to safety matters; and</w:t>
            </w:r>
          </w:p>
        </w:tc>
        <w:tc>
          <w:tcPr>
            <w:tcW w:w="3827" w:type="dxa"/>
          </w:tcPr>
          <w:p w14:paraId="735B9C2C" w14:textId="67B9889F" w:rsidR="0083413D" w:rsidRPr="009A1394" w:rsidRDefault="0083413D" w:rsidP="0083413D">
            <w:pPr>
              <w:pStyle w:val="section"/>
              <w:spacing w:before="120" w:beforeAutospacing="0" w:after="120" w:afterAutospacing="0" w:line="280" w:lineRule="exact"/>
              <w:jc w:val="both"/>
              <w:rPr>
                <w:rStyle w:val="canliisection"/>
                <w:rFonts w:ascii="Arial" w:hAnsi="Arial" w:cs="Arial"/>
                <w:color w:val="000000" w:themeColor="text1"/>
                <w:sz w:val="22"/>
                <w:szCs w:val="22"/>
                <w:lang w:val="en-CA"/>
              </w:rPr>
            </w:pPr>
            <w:r w:rsidRPr="009A1394">
              <w:rPr>
                <w:rStyle w:val="canliisection"/>
                <w:rFonts w:ascii="Arial" w:hAnsi="Arial" w:cs="Arial"/>
                <w:b/>
                <w:bCs/>
                <w:i/>
                <w:iCs/>
                <w:sz w:val="22"/>
                <w:szCs w:val="22"/>
                <w:lang w:val="en-CA"/>
              </w:rPr>
              <w:t>c</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xml:space="preserve"> reconnaître la responsabilité qui incombe aux compagnies d’établir, par leurs systèmes de gestion de la sécurité et autres moyens à leur </w:t>
            </w:r>
            <w:r w:rsidRPr="009A1394">
              <w:rPr>
                <w:rStyle w:val="canliisection"/>
                <w:rFonts w:ascii="Arial" w:hAnsi="Arial" w:cs="Arial"/>
                <w:sz w:val="22"/>
                <w:szCs w:val="22"/>
                <w:lang w:val="en-CA"/>
              </w:rPr>
              <w:t>disposition</w:t>
            </w:r>
            <w:r w:rsidRPr="009A1394">
              <w:rPr>
                <w:rStyle w:val="canliisection"/>
                <w:rFonts w:ascii="Arial" w:hAnsi="Arial" w:cs="Arial"/>
                <w:color w:val="000000" w:themeColor="text1"/>
                <w:sz w:val="22"/>
                <w:szCs w:val="22"/>
                <w:lang w:val="en-CA"/>
              </w:rPr>
              <w:t>, qu’elles gèrent continuellement les risques en matière de sécurité;</w:t>
            </w:r>
          </w:p>
        </w:tc>
      </w:tr>
      <w:tr w:rsidR="0083413D" w:rsidRPr="009A1394" w14:paraId="4327B63F" w14:textId="77777777" w:rsidTr="0083413D">
        <w:tc>
          <w:tcPr>
            <w:tcW w:w="3827" w:type="dxa"/>
          </w:tcPr>
          <w:p w14:paraId="6DEC5C52" w14:textId="2AE838F4" w:rsidR="0083413D" w:rsidRPr="009A1394" w:rsidRDefault="0083413D" w:rsidP="0083413D">
            <w:pPr>
              <w:pStyle w:val="section"/>
              <w:spacing w:before="120" w:beforeAutospacing="0" w:after="120" w:afterAutospacing="0" w:line="280" w:lineRule="exact"/>
              <w:jc w:val="both"/>
              <w:rPr>
                <w:rStyle w:val="canliisection"/>
                <w:rFonts w:ascii="Arial" w:hAnsi="Arial" w:cs="Arial"/>
                <w:b/>
                <w:bCs/>
                <w:color w:val="000000" w:themeColor="text1"/>
                <w:sz w:val="22"/>
                <w:szCs w:val="22"/>
                <w:lang w:val="en-CA"/>
              </w:rPr>
            </w:pP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b/>
                <w:bCs/>
                <w:i/>
                <w:iCs/>
                <w:color w:val="000000" w:themeColor="text1"/>
                <w:sz w:val="22"/>
                <w:szCs w:val="22"/>
                <w:lang w:val="en-CA"/>
              </w:rPr>
              <w:t>d</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facilitate a modern, flexible and efficient regulatory scheme that will ensure the continuing enhancement of railway safety and security</w:t>
            </w:r>
            <w:r w:rsidRPr="009A1394">
              <w:rPr>
                <w:rFonts w:ascii="Arial" w:hAnsi="Arial" w:cs="Arial"/>
                <w:color w:val="000000" w:themeColor="text1"/>
                <w:sz w:val="22"/>
                <w:szCs w:val="22"/>
                <w:lang w:val="en-CA"/>
              </w:rPr>
              <w:t>.</w:t>
            </w:r>
          </w:p>
        </w:tc>
        <w:tc>
          <w:tcPr>
            <w:tcW w:w="3827" w:type="dxa"/>
          </w:tcPr>
          <w:p w14:paraId="0742F35A" w14:textId="4C8037E0" w:rsidR="0083413D" w:rsidRPr="009A1394" w:rsidRDefault="0083413D" w:rsidP="0083413D">
            <w:pPr>
              <w:pStyle w:val="section"/>
              <w:spacing w:before="120" w:beforeAutospacing="0" w:after="120" w:afterAutospacing="0" w:line="280" w:lineRule="exact"/>
              <w:jc w:val="both"/>
              <w:rPr>
                <w:rStyle w:val="canliisection"/>
                <w:rFonts w:ascii="Arial" w:hAnsi="Arial" w:cs="Arial"/>
                <w:color w:val="000000" w:themeColor="text1"/>
                <w:sz w:val="22"/>
                <w:szCs w:val="22"/>
                <w:lang w:val="en-CA"/>
              </w:rPr>
            </w:pPr>
            <w:r w:rsidRPr="009A1394">
              <w:rPr>
                <w:rStyle w:val="canliisection"/>
                <w:rFonts w:ascii="Arial" w:hAnsi="Arial" w:cs="Arial"/>
                <w:b/>
                <w:bCs/>
                <w:i/>
                <w:iCs/>
                <w:color w:val="000000" w:themeColor="text1"/>
                <w:sz w:val="22"/>
                <w:szCs w:val="22"/>
                <w:lang w:val="en-CA"/>
              </w:rPr>
              <w:t>d</w:t>
            </w:r>
            <w:r w:rsidRPr="009A1394">
              <w:rPr>
                <w:rStyle w:val="canliisection"/>
                <w:rFonts w:ascii="Arial" w:hAnsi="Arial" w:cs="Arial"/>
                <w:b/>
                <w:bCs/>
                <w:color w:val="000000" w:themeColor="text1"/>
                <w:sz w:val="22"/>
                <w:szCs w:val="22"/>
                <w:lang w:val="en-CA"/>
              </w:rPr>
              <w:t>)</w:t>
            </w:r>
            <w:r w:rsidRPr="009A1394">
              <w:rPr>
                <w:rStyle w:val="canliisection"/>
                <w:rFonts w:ascii="Arial" w:hAnsi="Arial" w:cs="Arial"/>
                <w:color w:val="000000" w:themeColor="text1"/>
                <w:sz w:val="22"/>
                <w:szCs w:val="22"/>
                <w:lang w:val="en-CA"/>
              </w:rPr>
              <w:t> favoriser la mise en place d’outils de réglementation modernes, flexibles et efficaces dans le but d’assurer l’amélioration continue de la sécurité et de la sûreté ferroviaires.</w:t>
            </w:r>
          </w:p>
        </w:tc>
      </w:tr>
    </w:tbl>
    <w:p w14:paraId="63DD0A89" w14:textId="0D5B15CF" w:rsidR="00702A59" w:rsidRPr="009A1394" w:rsidRDefault="0083413D" w:rsidP="00B84769">
      <w:pPr>
        <w:pStyle w:val="Paragraphe"/>
        <w:numPr>
          <w:ilvl w:val="0"/>
          <w:numId w:val="1"/>
        </w:numPr>
        <w:rPr>
          <w:color w:val="000000" w:themeColor="text1"/>
          <w:szCs w:val="24"/>
          <w:lang w:val="en-CA"/>
        </w:rPr>
      </w:pPr>
      <w:r w:rsidRPr="009A1394">
        <w:rPr>
          <w:color w:val="000000" w:themeColor="text1"/>
          <w:szCs w:val="24"/>
          <w:lang w:val="en-CA"/>
        </w:rPr>
        <w:t>The fact that Parliament encourages the collaboration and participation of interested parties in improving railway safety and security does not mean that railway companies have a duty to assess risk outside their own network.</w:t>
      </w:r>
      <w:r w:rsidR="00FE63A2" w:rsidRPr="009A1394">
        <w:rPr>
          <w:color w:val="000000" w:themeColor="text1"/>
          <w:szCs w:val="24"/>
          <w:lang w:val="en-CA"/>
        </w:rPr>
        <w:t xml:space="preserve"> </w:t>
      </w:r>
      <w:r w:rsidRPr="009A1394">
        <w:rPr>
          <w:color w:val="000000" w:themeColor="text1"/>
          <w:szCs w:val="24"/>
          <w:lang w:val="en-CA"/>
        </w:rPr>
        <w:t xml:space="preserve">Again, this is confirmed by a contextual interpretation of the </w:t>
      </w:r>
      <w:r w:rsidRPr="009A1394">
        <w:rPr>
          <w:i/>
          <w:iCs/>
          <w:color w:val="000000" w:themeColor="text1"/>
          <w:szCs w:val="24"/>
          <w:lang w:val="en-CA"/>
        </w:rPr>
        <w:t>RSA</w:t>
      </w:r>
      <w:r w:rsidRPr="009A1394">
        <w:rPr>
          <w:color w:val="000000" w:themeColor="text1"/>
          <w:szCs w:val="24"/>
          <w:lang w:val="en-CA"/>
        </w:rPr>
        <w:t>.</w:t>
      </w:r>
      <w:r w:rsidR="008161A3" w:rsidRPr="009A1394">
        <w:rPr>
          <w:color w:val="000000" w:themeColor="text1"/>
          <w:szCs w:val="24"/>
          <w:lang w:val="en-CA"/>
        </w:rPr>
        <w:t xml:space="preserve"> </w:t>
      </w:r>
      <w:r w:rsidRPr="009A1394">
        <w:rPr>
          <w:color w:val="000000" w:themeColor="text1"/>
          <w:szCs w:val="24"/>
          <w:lang w:val="en-CA"/>
        </w:rPr>
        <w:t>Thus, section 47.1(1)(a)(ii) indicates that</w:t>
      </w:r>
      <w:r w:rsidR="001D6700" w:rsidRPr="009A1394">
        <w:rPr>
          <w:color w:val="000000" w:themeColor="text1"/>
          <w:szCs w:val="24"/>
          <w:lang w:val="en-CA"/>
        </w:rPr>
        <w:t xml:space="preserve"> an</w:t>
      </w:r>
      <w:r w:rsidRPr="009A1394">
        <w:rPr>
          <w:color w:val="000000" w:themeColor="text1"/>
          <w:szCs w:val="24"/>
          <w:lang w:val="en-CA"/>
        </w:rPr>
        <w:t xml:space="preserve"> </w:t>
      </w:r>
      <w:r w:rsidR="00BC6256" w:rsidRPr="009A1394">
        <w:rPr>
          <w:color w:val="000000" w:themeColor="text1"/>
          <w:szCs w:val="24"/>
          <w:lang w:val="en-CA"/>
        </w:rPr>
        <w:t>SMS</w:t>
      </w:r>
      <w:r w:rsidRPr="009A1394">
        <w:rPr>
          <w:color w:val="000000" w:themeColor="text1"/>
          <w:szCs w:val="24"/>
          <w:lang w:val="en-CA"/>
        </w:rPr>
        <w:t xml:space="preserve"> must provide for remedial action in response to risks detected.</w:t>
      </w:r>
      <w:r w:rsidR="008161A3" w:rsidRPr="009A1394">
        <w:rPr>
          <w:color w:val="000000" w:themeColor="text1"/>
          <w:szCs w:val="24"/>
          <w:lang w:val="en-CA"/>
        </w:rPr>
        <w:t xml:space="preserve"> </w:t>
      </w:r>
      <w:r w:rsidR="001D6700" w:rsidRPr="009A1394">
        <w:rPr>
          <w:color w:val="000000" w:themeColor="text1"/>
          <w:szCs w:val="24"/>
          <w:lang w:val="en-CA"/>
        </w:rPr>
        <w:t>Because r</w:t>
      </w:r>
      <w:r w:rsidR="004C3264" w:rsidRPr="009A1394">
        <w:rPr>
          <w:color w:val="000000" w:themeColor="text1"/>
          <w:szCs w:val="24"/>
          <w:lang w:val="en-CA"/>
        </w:rPr>
        <w:t>ailway companies have no control over each other</w:t>
      </w:r>
      <w:r w:rsidR="001D6700" w:rsidRPr="009A1394">
        <w:rPr>
          <w:color w:val="000000" w:themeColor="text1"/>
          <w:szCs w:val="24"/>
          <w:lang w:val="en-CA"/>
        </w:rPr>
        <w:t xml:space="preserve">, </w:t>
      </w:r>
      <w:r w:rsidR="004C3264" w:rsidRPr="009A1394">
        <w:rPr>
          <w:color w:val="000000" w:themeColor="text1"/>
          <w:szCs w:val="24"/>
          <w:lang w:val="en-CA"/>
        </w:rPr>
        <w:t>they cannot</w:t>
      </w:r>
      <w:r w:rsidR="001D6700" w:rsidRPr="009A1394">
        <w:rPr>
          <w:color w:val="000000" w:themeColor="text1"/>
          <w:szCs w:val="24"/>
          <w:lang w:val="en-CA"/>
        </w:rPr>
        <w:t>, as</w:t>
      </w:r>
      <w:r w:rsidR="008B52DD" w:rsidRPr="009A1394">
        <w:rPr>
          <w:color w:val="000000" w:themeColor="text1"/>
          <w:szCs w:val="24"/>
          <w:lang w:val="en-CA"/>
        </w:rPr>
        <w:t xml:space="preserve"> a</w:t>
      </w:r>
      <w:r w:rsidR="001D6700" w:rsidRPr="009A1394">
        <w:rPr>
          <w:color w:val="000000" w:themeColor="text1"/>
          <w:szCs w:val="24"/>
          <w:lang w:val="en-CA"/>
        </w:rPr>
        <w:t xml:space="preserve"> matter of logic,</w:t>
      </w:r>
      <w:r w:rsidR="004C3264" w:rsidRPr="009A1394">
        <w:rPr>
          <w:color w:val="000000" w:themeColor="text1"/>
          <w:szCs w:val="24"/>
          <w:lang w:val="en-CA"/>
        </w:rPr>
        <w:t xml:space="preserve"> be compelled to implement such remedial actions </w:t>
      </w:r>
      <w:r w:rsidR="00BC6256" w:rsidRPr="009A1394">
        <w:rPr>
          <w:color w:val="000000" w:themeColor="text1"/>
          <w:szCs w:val="24"/>
          <w:lang w:val="en-CA"/>
        </w:rPr>
        <w:t>anywhere</w:t>
      </w:r>
      <w:r w:rsidR="001D6700" w:rsidRPr="009A1394">
        <w:rPr>
          <w:color w:val="000000" w:themeColor="text1"/>
          <w:szCs w:val="24"/>
          <w:lang w:val="en-CA"/>
        </w:rPr>
        <w:t xml:space="preserve"> else</w:t>
      </w:r>
      <w:r w:rsidR="00BC6256" w:rsidRPr="009A1394">
        <w:rPr>
          <w:color w:val="000000" w:themeColor="text1"/>
          <w:szCs w:val="24"/>
          <w:lang w:val="en-CA"/>
        </w:rPr>
        <w:t xml:space="preserve"> </w:t>
      </w:r>
      <w:r w:rsidR="001D6700" w:rsidRPr="009A1394">
        <w:rPr>
          <w:color w:val="000000" w:themeColor="text1"/>
          <w:szCs w:val="24"/>
          <w:lang w:val="en-CA"/>
        </w:rPr>
        <w:t>than</w:t>
      </w:r>
      <w:r w:rsidR="004C3264" w:rsidRPr="009A1394">
        <w:rPr>
          <w:color w:val="000000" w:themeColor="text1"/>
          <w:szCs w:val="24"/>
          <w:lang w:val="en-CA"/>
        </w:rPr>
        <w:t xml:space="preserve"> </w:t>
      </w:r>
      <w:r w:rsidR="00946B4A" w:rsidRPr="009A1394">
        <w:rPr>
          <w:color w:val="000000" w:themeColor="text1"/>
          <w:szCs w:val="24"/>
          <w:lang w:val="en-CA"/>
        </w:rPr>
        <w:t xml:space="preserve">in </w:t>
      </w:r>
      <w:r w:rsidR="004C3264" w:rsidRPr="009A1394">
        <w:rPr>
          <w:color w:val="000000" w:themeColor="text1"/>
          <w:szCs w:val="24"/>
          <w:lang w:val="en-CA"/>
        </w:rPr>
        <w:t>their own network.</w:t>
      </w:r>
    </w:p>
    <w:p w14:paraId="31EA24F4" w14:textId="650A3C8B" w:rsidR="00702A59" w:rsidRPr="009A1394" w:rsidRDefault="004C3264" w:rsidP="00B84769">
      <w:pPr>
        <w:pStyle w:val="Paragraphe"/>
        <w:numPr>
          <w:ilvl w:val="0"/>
          <w:numId w:val="1"/>
        </w:numPr>
        <w:rPr>
          <w:color w:val="000000" w:themeColor="text1"/>
          <w:szCs w:val="24"/>
          <w:lang w:val="en-CA"/>
        </w:rPr>
      </w:pPr>
      <w:r w:rsidRPr="009A1394">
        <w:rPr>
          <w:szCs w:val="24"/>
          <w:lang w:val="en-CA"/>
        </w:rPr>
        <w:lastRenderedPageBreak/>
        <w:t xml:space="preserve">In addition, the appellants have </w:t>
      </w:r>
      <w:r w:rsidR="001D6700" w:rsidRPr="009A1394">
        <w:rPr>
          <w:szCs w:val="24"/>
          <w:lang w:val="en-CA"/>
        </w:rPr>
        <w:t>not pointed to any</w:t>
      </w:r>
      <w:r w:rsidRPr="009A1394">
        <w:rPr>
          <w:szCs w:val="24"/>
          <w:lang w:val="en-CA"/>
        </w:rPr>
        <w:t xml:space="preserve"> reviewable error in the </w:t>
      </w:r>
      <w:r w:rsidR="00BC6256" w:rsidRPr="009A1394">
        <w:rPr>
          <w:szCs w:val="24"/>
          <w:lang w:val="en-CA"/>
        </w:rPr>
        <w:t>judge’s</w:t>
      </w:r>
      <w:r w:rsidRPr="009A1394">
        <w:rPr>
          <w:szCs w:val="24"/>
          <w:lang w:val="en-CA"/>
        </w:rPr>
        <w:t xml:space="preserve"> </w:t>
      </w:r>
      <w:r w:rsidR="001D6700" w:rsidRPr="009A1394">
        <w:rPr>
          <w:szCs w:val="24"/>
          <w:lang w:val="en-CA"/>
        </w:rPr>
        <w:t>finding</w:t>
      </w:r>
      <w:r w:rsidRPr="009A1394">
        <w:rPr>
          <w:szCs w:val="24"/>
          <w:lang w:val="en-CA"/>
        </w:rPr>
        <w:t xml:space="preserve"> that no rail industry custom or </w:t>
      </w:r>
      <w:r w:rsidR="00C3704A" w:rsidRPr="009A1394">
        <w:rPr>
          <w:szCs w:val="24"/>
          <w:lang w:val="en-CA"/>
        </w:rPr>
        <w:t>usage</w:t>
      </w:r>
      <w:r w:rsidRPr="009A1394">
        <w:rPr>
          <w:szCs w:val="24"/>
          <w:lang w:val="en-CA"/>
        </w:rPr>
        <w:t xml:space="preserve"> requires that a carrier assess the risks related to the operations of another carrier:</w:t>
      </w:r>
    </w:p>
    <w:p w14:paraId="4DD7B25D" w14:textId="6A05B2DE" w:rsidR="00FB513D" w:rsidRPr="009A1394" w:rsidRDefault="00FB513D" w:rsidP="009404D7">
      <w:pPr>
        <w:pStyle w:val="Citationenretrait"/>
        <w:keepNex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7E986FCA" w14:textId="731EA0F9" w:rsidR="00702A59" w:rsidRPr="009A1394" w:rsidRDefault="004C3264" w:rsidP="009404D7">
      <w:pPr>
        <w:pStyle w:val="Citationenretrait"/>
        <w:keepNext/>
        <w:rPr>
          <w:color w:val="000000" w:themeColor="text1"/>
          <w:lang w:val="en-CA"/>
        </w:rPr>
      </w:pPr>
      <w:r w:rsidRPr="009A1394">
        <w:rPr>
          <w:color w:val="000000" w:themeColor="text1"/>
          <w:lang w:val="en-CA"/>
        </w:rPr>
        <w:t>[396]</w:t>
      </w:r>
      <w:r w:rsidR="008161A3" w:rsidRPr="009A1394">
        <w:rPr>
          <w:color w:val="000000" w:themeColor="text1"/>
          <w:lang w:val="en-CA"/>
        </w:rPr>
        <w:tab/>
      </w:r>
      <w:r w:rsidR="00C3704A" w:rsidRPr="009A1394">
        <w:rPr>
          <w:color w:val="000000" w:themeColor="text1"/>
          <w:lang w:val="en-CA"/>
        </w:rPr>
        <w:t>Nothing in the record shows</w:t>
      </w:r>
      <w:r w:rsidRPr="009A1394">
        <w:rPr>
          <w:color w:val="000000" w:themeColor="text1"/>
          <w:lang w:val="en-CA"/>
        </w:rPr>
        <w:t xml:space="preserve">, despite the claims of experts Reilly </w:t>
      </w:r>
      <w:r w:rsidR="00FB513D" w:rsidRPr="009A1394">
        <w:rPr>
          <w:color w:val="000000" w:themeColor="text1"/>
          <w:lang w:val="en-CA"/>
        </w:rPr>
        <w:t>and</w:t>
      </w:r>
      <w:r w:rsidRPr="009A1394">
        <w:rPr>
          <w:color w:val="000000" w:themeColor="text1"/>
          <w:lang w:val="en-CA"/>
        </w:rPr>
        <w:t xml:space="preserve"> Evans, that there </w:t>
      </w:r>
      <w:r w:rsidR="00C3704A" w:rsidRPr="009A1394">
        <w:rPr>
          <w:color w:val="000000" w:themeColor="text1"/>
          <w:lang w:val="en-CA"/>
        </w:rPr>
        <w:t>exists</w:t>
      </w:r>
      <w:r w:rsidRPr="009A1394">
        <w:rPr>
          <w:color w:val="000000" w:themeColor="text1"/>
          <w:lang w:val="en-CA"/>
        </w:rPr>
        <w:t xml:space="preserve"> a rule or practice in the rail industry </w:t>
      </w:r>
      <w:r w:rsidR="00FB513D" w:rsidRPr="009A1394">
        <w:rPr>
          <w:color w:val="000000" w:themeColor="text1"/>
          <w:lang w:val="en-CA"/>
        </w:rPr>
        <w:t>stating that</w:t>
      </w:r>
      <w:r w:rsidRPr="009A1394">
        <w:rPr>
          <w:color w:val="000000" w:themeColor="text1"/>
          <w:lang w:val="en-CA"/>
        </w:rPr>
        <w:t xml:space="preserve"> a risk </w:t>
      </w:r>
      <w:r w:rsidR="00C3704A" w:rsidRPr="009A1394">
        <w:rPr>
          <w:color w:val="000000" w:themeColor="text1"/>
          <w:lang w:val="en-CA"/>
        </w:rPr>
        <w:t>analysis</w:t>
      </w:r>
      <w:r w:rsidR="00FB513D" w:rsidRPr="009A1394">
        <w:rPr>
          <w:color w:val="000000" w:themeColor="text1"/>
          <w:lang w:val="en-CA"/>
        </w:rPr>
        <w:t xml:space="preserve"> must be </w:t>
      </w:r>
      <w:r w:rsidR="00C3704A" w:rsidRPr="009A1394">
        <w:rPr>
          <w:color w:val="000000" w:themeColor="text1"/>
          <w:lang w:val="en-CA"/>
        </w:rPr>
        <w:t>conducted</w:t>
      </w:r>
      <w:r w:rsidRPr="009A1394">
        <w:rPr>
          <w:color w:val="000000" w:themeColor="text1"/>
          <w:lang w:val="en-CA"/>
        </w:rPr>
        <w:t xml:space="preserve"> before transporting crude oil, </w:t>
      </w:r>
      <w:r w:rsidR="00C3704A" w:rsidRPr="009A1394">
        <w:rPr>
          <w:color w:val="000000" w:themeColor="text1"/>
          <w:lang w:val="en-CA"/>
        </w:rPr>
        <w:t>let alone</w:t>
      </w:r>
      <w:r w:rsidRPr="009A1394">
        <w:rPr>
          <w:color w:val="000000" w:themeColor="text1"/>
          <w:lang w:val="en-CA"/>
        </w:rPr>
        <w:t xml:space="preserve"> that such an analysis be </w:t>
      </w:r>
      <w:r w:rsidR="00C3704A" w:rsidRPr="009A1394">
        <w:rPr>
          <w:color w:val="000000" w:themeColor="text1"/>
          <w:lang w:val="en-CA"/>
        </w:rPr>
        <w:t>conducted</w:t>
      </w:r>
      <w:r w:rsidRPr="009A1394">
        <w:rPr>
          <w:color w:val="000000" w:themeColor="text1"/>
          <w:lang w:val="en-CA"/>
        </w:rPr>
        <w:t xml:space="preserve"> with respect to the tracks of other railway companies.</w:t>
      </w:r>
    </w:p>
    <w:p w14:paraId="39059FB4" w14:textId="0A4D3289" w:rsidR="00702A59" w:rsidRPr="009A1394" w:rsidRDefault="00027A3C" w:rsidP="00B84769">
      <w:pPr>
        <w:pStyle w:val="Citationenretrait"/>
        <w:jc w:val="right"/>
        <w:rPr>
          <w:color w:val="000000" w:themeColor="text1"/>
          <w:lang w:val="en-CA"/>
        </w:rPr>
      </w:pPr>
      <w:r w:rsidRPr="009A1394">
        <w:rPr>
          <w:color w:val="000000" w:themeColor="text1"/>
          <w:lang w:val="en-CA"/>
        </w:rPr>
        <w:t>[Reference omitted</w:t>
      </w:r>
      <w:r w:rsidR="00FB513D" w:rsidRPr="009A1394">
        <w:rPr>
          <w:color w:val="000000" w:themeColor="text1"/>
          <w:lang w:val="en-CA"/>
        </w:rPr>
        <w:t>.</w:t>
      </w:r>
      <w:r w:rsidRPr="009A1394">
        <w:rPr>
          <w:color w:val="000000" w:themeColor="text1"/>
          <w:lang w:val="en-CA"/>
        </w:rPr>
        <w:t>]</w:t>
      </w:r>
    </w:p>
    <w:p w14:paraId="27CC9808" w14:textId="53BDD209" w:rsidR="00702A59" w:rsidRPr="009A1394" w:rsidRDefault="00766225" w:rsidP="00B84769">
      <w:pPr>
        <w:pStyle w:val="Paragraphe"/>
        <w:numPr>
          <w:ilvl w:val="0"/>
          <w:numId w:val="1"/>
        </w:numPr>
        <w:rPr>
          <w:color w:val="000000" w:themeColor="text1"/>
          <w:szCs w:val="24"/>
          <w:lang w:val="en-CA"/>
        </w:rPr>
      </w:pPr>
      <w:r w:rsidRPr="009A1394">
        <w:rPr>
          <w:color w:val="000000" w:themeColor="text1"/>
          <w:szCs w:val="24"/>
          <w:lang w:val="en-CA"/>
        </w:rPr>
        <w:t>In drawing</w:t>
      </w:r>
      <w:r w:rsidR="00B70990" w:rsidRPr="009A1394">
        <w:rPr>
          <w:color w:val="000000" w:themeColor="text1"/>
          <w:szCs w:val="24"/>
          <w:lang w:val="en-CA"/>
        </w:rPr>
        <w:t xml:space="preserve"> this conclusion, the judge </w:t>
      </w:r>
      <w:r w:rsidR="0022289E" w:rsidRPr="009A1394">
        <w:rPr>
          <w:color w:val="000000" w:themeColor="text1"/>
          <w:szCs w:val="24"/>
          <w:lang w:val="en-CA"/>
        </w:rPr>
        <w:t xml:space="preserve">rejected </w:t>
      </w:r>
      <w:r w:rsidR="00B70990" w:rsidRPr="009A1394">
        <w:rPr>
          <w:color w:val="000000" w:themeColor="text1"/>
          <w:szCs w:val="24"/>
          <w:lang w:val="en-CA"/>
        </w:rPr>
        <w:t xml:space="preserve">the opinions </w:t>
      </w:r>
      <w:r w:rsidRPr="009A1394">
        <w:rPr>
          <w:color w:val="000000" w:themeColor="text1"/>
          <w:szCs w:val="24"/>
          <w:lang w:val="en-CA"/>
        </w:rPr>
        <w:t>expressed by</w:t>
      </w:r>
      <w:r w:rsidR="00B70990" w:rsidRPr="009A1394">
        <w:rPr>
          <w:color w:val="000000" w:themeColor="text1"/>
          <w:szCs w:val="24"/>
          <w:lang w:val="en-CA"/>
        </w:rPr>
        <w:t xml:space="preserve"> </w:t>
      </w:r>
      <w:r w:rsidR="00DB6DA3" w:rsidRPr="009A1394">
        <w:rPr>
          <w:color w:val="000000" w:themeColor="text1"/>
          <w:szCs w:val="24"/>
          <w:lang w:val="en-CA"/>
        </w:rPr>
        <w:t>the</w:t>
      </w:r>
      <w:r w:rsidR="00B70990" w:rsidRPr="009A1394">
        <w:rPr>
          <w:color w:val="000000" w:themeColor="text1"/>
          <w:szCs w:val="24"/>
          <w:lang w:val="en-CA"/>
        </w:rPr>
        <w:t xml:space="preserve"> appellants’ experts.</w:t>
      </w:r>
      <w:r w:rsidR="008161A3" w:rsidRPr="009A1394">
        <w:rPr>
          <w:color w:val="000000" w:themeColor="text1"/>
          <w:szCs w:val="24"/>
          <w:lang w:val="en-CA"/>
        </w:rPr>
        <w:t xml:space="preserve"> </w:t>
      </w:r>
      <w:r w:rsidR="00B70990" w:rsidRPr="009A1394">
        <w:rPr>
          <w:color w:val="000000" w:themeColor="text1"/>
          <w:szCs w:val="24"/>
          <w:lang w:val="en-CA"/>
        </w:rPr>
        <w:t>His assessment of the probative value of their expert reports is entitled to deference on appeal, especially since he was presented with contradictory opinions.</w:t>
      </w:r>
      <w:r w:rsidR="00B70990" w:rsidRPr="009A1394">
        <w:rPr>
          <w:rStyle w:val="Appelnotedebasdep"/>
          <w:color w:val="000000" w:themeColor="text1"/>
          <w:szCs w:val="24"/>
          <w:lang w:val="en-CA"/>
        </w:rPr>
        <w:footnoteReference w:id="197"/>
      </w:r>
      <w:r w:rsidR="008161A3" w:rsidRPr="009A1394">
        <w:rPr>
          <w:color w:val="000000" w:themeColor="text1"/>
          <w:szCs w:val="24"/>
          <w:lang w:val="en-CA"/>
        </w:rPr>
        <w:t xml:space="preserve"> </w:t>
      </w:r>
      <w:r w:rsidR="00B70990" w:rsidRPr="009A1394">
        <w:rPr>
          <w:color w:val="000000" w:themeColor="text1"/>
          <w:szCs w:val="24"/>
          <w:lang w:val="en-CA"/>
        </w:rPr>
        <w:t xml:space="preserve">In addition, contrary to what the appellants </w:t>
      </w:r>
      <w:r w:rsidR="0022289E" w:rsidRPr="009A1394">
        <w:rPr>
          <w:color w:val="000000" w:themeColor="text1"/>
          <w:szCs w:val="24"/>
          <w:lang w:val="en-CA"/>
        </w:rPr>
        <w:t>submit</w:t>
      </w:r>
      <w:r w:rsidR="00B70990" w:rsidRPr="009A1394">
        <w:rPr>
          <w:color w:val="000000" w:themeColor="text1"/>
          <w:szCs w:val="24"/>
          <w:lang w:val="en-CA"/>
        </w:rPr>
        <w:t>, the industry practices listed by the experts were not only those of CP.</w:t>
      </w:r>
      <w:r w:rsidR="00B70990" w:rsidRPr="009A1394">
        <w:rPr>
          <w:rStyle w:val="Appelnotedebasdep"/>
          <w:color w:val="000000" w:themeColor="text1"/>
          <w:szCs w:val="24"/>
          <w:lang w:val="en-CA"/>
        </w:rPr>
        <w:footnoteReference w:id="198"/>
      </w:r>
    </w:p>
    <w:p w14:paraId="6EF12400" w14:textId="2B8A8714" w:rsidR="00702A59" w:rsidRPr="009A1394" w:rsidRDefault="00B70990" w:rsidP="00B84769">
      <w:pPr>
        <w:pStyle w:val="Paragraphe"/>
        <w:numPr>
          <w:ilvl w:val="0"/>
          <w:numId w:val="1"/>
        </w:numPr>
        <w:rPr>
          <w:color w:val="000000" w:themeColor="text1"/>
          <w:szCs w:val="24"/>
          <w:lang w:val="en-CA"/>
        </w:rPr>
      </w:pPr>
      <w:r w:rsidRPr="009A1394">
        <w:rPr>
          <w:color w:val="000000" w:themeColor="text1"/>
          <w:szCs w:val="24"/>
          <w:lang w:val="en-CA"/>
        </w:rPr>
        <w:t xml:space="preserve">Finally, the judge </w:t>
      </w:r>
      <w:r w:rsidR="00296D4D" w:rsidRPr="009A1394">
        <w:rPr>
          <w:color w:val="000000" w:themeColor="text1"/>
          <w:szCs w:val="24"/>
          <w:lang w:val="en-CA"/>
        </w:rPr>
        <w:t xml:space="preserve">considered </w:t>
      </w:r>
      <w:r w:rsidRPr="009A1394">
        <w:rPr>
          <w:color w:val="000000" w:themeColor="text1"/>
          <w:szCs w:val="24"/>
          <w:lang w:val="en-CA"/>
        </w:rPr>
        <w:t xml:space="preserve">whether a railway company </w:t>
      </w:r>
      <w:r w:rsidR="00367C20" w:rsidRPr="009A1394">
        <w:rPr>
          <w:color w:val="000000" w:themeColor="text1"/>
          <w:szCs w:val="24"/>
          <w:lang w:val="en-CA"/>
        </w:rPr>
        <w:t>could be bound</w:t>
      </w:r>
      <w:r w:rsidRPr="009A1394">
        <w:rPr>
          <w:color w:val="000000" w:themeColor="text1"/>
          <w:szCs w:val="24"/>
          <w:lang w:val="en-CA"/>
        </w:rPr>
        <w:t xml:space="preserve"> to </w:t>
      </w:r>
      <w:r w:rsidR="00766225" w:rsidRPr="009A1394">
        <w:rPr>
          <w:color w:val="000000" w:themeColor="text1"/>
          <w:szCs w:val="24"/>
          <w:lang w:val="en-CA"/>
        </w:rPr>
        <w:t>conduct</w:t>
      </w:r>
      <w:r w:rsidRPr="009A1394">
        <w:rPr>
          <w:color w:val="000000" w:themeColor="text1"/>
          <w:szCs w:val="24"/>
          <w:lang w:val="en-CA"/>
        </w:rPr>
        <w:t xml:space="preserve"> a risk assessment </w:t>
      </w:r>
      <w:r w:rsidR="00367C20" w:rsidRPr="009A1394">
        <w:rPr>
          <w:color w:val="000000" w:themeColor="text1"/>
          <w:szCs w:val="24"/>
          <w:lang w:val="en-CA"/>
        </w:rPr>
        <w:t>of</w:t>
      </w:r>
      <w:r w:rsidRPr="009A1394">
        <w:rPr>
          <w:color w:val="000000" w:themeColor="text1"/>
          <w:szCs w:val="24"/>
          <w:lang w:val="en-CA"/>
        </w:rPr>
        <w:t xml:space="preserve"> a different railway company, even if no law or practice </w:t>
      </w:r>
      <w:r w:rsidR="00766225" w:rsidRPr="009A1394">
        <w:rPr>
          <w:color w:val="000000" w:themeColor="text1"/>
          <w:szCs w:val="24"/>
          <w:lang w:val="en-CA"/>
        </w:rPr>
        <w:t>require</w:t>
      </w:r>
      <w:r w:rsidR="00C02E7B" w:rsidRPr="009A1394">
        <w:rPr>
          <w:color w:val="000000" w:themeColor="text1"/>
          <w:szCs w:val="24"/>
          <w:lang w:val="en-CA"/>
        </w:rPr>
        <w:t>s</w:t>
      </w:r>
      <w:r w:rsidR="00766225" w:rsidRPr="009A1394">
        <w:rPr>
          <w:color w:val="000000" w:themeColor="text1"/>
          <w:szCs w:val="24"/>
          <w:lang w:val="en-CA"/>
        </w:rPr>
        <w:t xml:space="preserve"> </w:t>
      </w:r>
      <w:r w:rsidR="00C02E7B" w:rsidRPr="009A1394">
        <w:rPr>
          <w:color w:val="000000" w:themeColor="text1"/>
          <w:szCs w:val="24"/>
          <w:lang w:val="en-CA"/>
        </w:rPr>
        <w:t>that it</w:t>
      </w:r>
      <w:r w:rsidR="00766225" w:rsidRPr="009A1394">
        <w:rPr>
          <w:color w:val="000000" w:themeColor="text1"/>
          <w:szCs w:val="24"/>
          <w:lang w:val="en-CA"/>
        </w:rPr>
        <w:t xml:space="preserve"> </w:t>
      </w:r>
      <w:r w:rsidRPr="009A1394">
        <w:rPr>
          <w:color w:val="000000" w:themeColor="text1"/>
          <w:szCs w:val="24"/>
          <w:lang w:val="en-CA"/>
        </w:rPr>
        <w:t xml:space="preserve">do so. </w:t>
      </w:r>
      <w:r w:rsidR="00296D4D" w:rsidRPr="009A1394">
        <w:rPr>
          <w:color w:val="000000" w:themeColor="text1"/>
          <w:szCs w:val="24"/>
          <w:lang w:val="en-CA"/>
        </w:rPr>
        <w:t>After careful</w:t>
      </w:r>
      <w:r w:rsidRPr="009A1394">
        <w:rPr>
          <w:color w:val="000000" w:themeColor="text1"/>
          <w:szCs w:val="24"/>
          <w:lang w:val="en-CA"/>
        </w:rPr>
        <w:t xml:space="preserve"> consideration, he concluded, in paragraph 418 of his reasons, that except in the presence of a serious and imminent risk, a railway company </w:t>
      </w:r>
      <w:r w:rsidR="00766225" w:rsidRPr="009A1394">
        <w:rPr>
          <w:color w:val="000000" w:themeColor="text1"/>
          <w:szCs w:val="24"/>
          <w:lang w:val="en-CA"/>
        </w:rPr>
        <w:t>i</w:t>
      </w:r>
      <w:r w:rsidR="00FE681C" w:rsidRPr="009A1394">
        <w:rPr>
          <w:color w:val="000000" w:themeColor="text1"/>
          <w:szCs w:val="24"/>
          <w:lang w:val="en-CA"/>
        </w:rPr>
        <w:t>s</w:t>
      </w:r>
      <w:r w:rsidR="00766225" w:rsidRPr="009A1394">
        <w:rPr>
          <w:color w:val="000000" w:themeColor="text1"/>
          <w:szCs w:val="24"/>
          <w:lang w:val="en-CA"/>
        </w:rPr>
        <w:t xml:space="preserve"> under no</w:t>
      </w:r>
      <w:r w:rsidRPr="009A1394">
        <w:rPr>
          <w:color w:val="000000" w:themeColor="text1"/>
          <w:szCs w:val="24"/>
          <w:lang w:val="en-CA"/>
        </w:rPr>
        <w:t xml:space="preserve"> duty to disclose the existence of a risk outside its network, </w:t>
      </w:r>
      <w:r w:rsidR="00766225" w:rsidRPr="009A1394">
        <w:rPr>
          <w:color w:val="000000" w:themeColor="text1"/>
          <w:szCs w:val="24"/>
          <w:lang w:val="en-CA"/>
        </w:rPr>
        <w:t>much</w:t>
      </w:r>
      <w:r w:rsidRPr="009A1394">
        <w:rPr>
          <w:color w:val="000000" w:themeColor="text1"/>
          <w:szCs w:val="24"/>
          <w:lang w:val="en-CA"/>
        </w:rPr>
        <w:t xml:space="preserve"> less </w:t>
      </w:r>
      <w:r w:rsidR="00766225" w:rsidRPr="009A1394">
        <w:rPr>
          <w:color w:val="000000" w:themeColor="text1"/>
          <w:szCs w:val="24"/>
          <w:lang w:val="en-CA"/>
        </w:rPr>
        <w:t>conduct</w:t>
      </w:r>
      <w:r w:rsidRPr="009A1394">
        <w:rPr>
          <w:color w:val="000000" w:themeColor="text1"/>
          <w:szCs w:val="24"/>
          <w:lang w:val="en-CA"/>
        </w:rPr>
        <w:t xml:space="preserve"> a risk assessment </w:t>
      </w:r>
      <w:r w:rsidR="00367C20" w:rsidRPr="009A1394">
        <w:rPr>
          <w:color w:val="000000" w:themeColor="text1"/>
          <w:szCs w:val="24"/>
          <w:lang w:val="en-CA"/>
        </w:rPr>
        <w:t>of</w:t>
      </w:r>
      <w:r w:rsidRPr="009A1394">
        <w:rPr>
          <w:color w:val="000000" w:themeColor="text1"/>
          <w:szCs w:val="24"/>
          <w:lang w:val="en-CA"/>
        </w:rPr>
        <w:t xml:space="preserve"> the operations of a different railway company.</w:t>
      </w:r>
      <w:r w:rsidR="008161A3" w:rsidRPr="009A1394">
        <w:rPr>
          <w:color w:val="000000" w:themeColor="text1"/>
          <w:szCs w:val="24"/>
          <w:lang w:val="en-CA"/>
        </w:rPr>
        <w:t xml:space="preserve"> </w:t>
      </w:r>
      <w:r w:rsidRPr="009A1394">
        <w:rPr>
          <w:color w:val="000000" w:themeColor="text1"/>
          <w:szCs w:val="24"/>
          <w:lang w:val="en-CA"/>
        </w:rPr>
        <w:t xml:space="preserve">For </w:t>
      </w:r>
      <w:r w:rsidR="00C02E7B" w:rsidRPr="009A1394">
        <w:rPr>
          <w:color w:val="000000" w:themeColor="text1"/>
          <w:szCs w:val="24"/>
          <w:lang w:val="en-CA"/>
        </w:rPr>
        <w:t>convenience</w:t>
      </w:r>
      <w:r w:rsidRPr="009A1394">
        <w:rPr>
          <w:color w:val="000000" w:themeColor="text1"/>
          <w:szCs w:val="24"/>
          <w:lang w:val="en-CA"/>
        </w:rPr>
        <w:t xml:space="preserve">, </w:t>
      </w:r>
      <w:r w:rsidR="00367C20" w:rsidRPr="009A1394">
        <w:rPr>
          <w:color w:val="000000" w:themeColor="text1"/>
          <w:szCs w:val="24"/>
          <w:lang w:val="en-CA"/>
        </w:rPr>
        <w:t>I</w:t>
      </w:r>
      <w:r w:rsidRPr="009A1394">
        <w:rPr>
          <w:color w:val="000000" w:themeColor="text1"/>
          <w:szCs w:val="24"/>
          <w:lang w:val="en-CA"/>
        </w:rPr>
        <w:t xml:space="preserve"> reproduce </w:t>
      </w:r>
      <w:r w:rsidR="00367C20" w:rsidRPr="009A1394">
        <w:rPr>
          <w:color w:val="000000" w:themeColor="text1"/>
          <w:szCs w:val="24"/>
          <w:lang w:val="en-CA"/>
        </w:rPr>
        <w:t>this paragraph</w:t>
      </w:r>
      <w:r w:rsidR="00C02E7B" w:rsidRPr="009A1394">
        <w:rPr>
          <w:color w:val="000000" w:themeColor="text1"/>
          <w:szCs w:val="24"/>
          <w:lang w:val="en-CA"/>
        </w:rPr>
        <w:t xml:space="preserve"> again</w:t>
      </w:r>
      <w:r w:rsidRPr="009A1394">
        <w:rPr>
          <w:color w:val="000000" w:themeColor="text1"/>
          <w:szCs w:val="24"/>
          <w:lang w:val="en-CA"/>
        </w:rPr>
        <w:t>:</w:t>
      </w:r>
    </w:p>
    <w:p w14:paraId="7EDAF1E7" w14:textId="6780171B" w:rsidR="00DB6DA3" w:rsidRPr="009A1394" w:rsidRDefault="00DB6DA3" w:rsidP="00B84769">
      <w:pPr>
        <w:pStyle w:val="Citationenretrai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33FEFD93" w14:textId="6EA20C36" w:rsidR="00702A59" w:rsidRPr="009A1394" w:rsidRDefault="00515989" w:rsidP="00B84769">
      <w:pPr>
        <w:pStyle w:val="Citationenretrait"/>
        <w:rPr>
          <w:color w:val="000000" w:themeColor="text1"/>
          <w:lang w:val="en-CA"/>
        </w:rPr>
      </w:pPr>
      <w:r w:rsidRPr="009A1394">
        <w:rPr>
          <w:color w:val="000000" w:themeColor="text1"/>
          <w:lang w:val="en-CA"/>
        </w:rPr>
        <w:t>[418]</w:t>
      </w:r>
      <w:r w:rsidR="008161A3" w:rsidRPr="009A1394">
        <w:rPr>
          <w:color w:val="000000" w:themeColor="text1"/>
          <w:lang w:val="en-CA"/>
        </w:rPr>
        <w:tab/>
      </w:r>
      <w:r w:rsidR="00621C23" w:rsidRPr="009A1394">
        <w:rPr>
          <w:color w:val="000000" w:themeColor="text1"/>
          <w:lang w:val="en-CA"/>
        </w:rPr>
        <w:t>It is true that</w:t>
      </w:r>
      <w:r w:rsidR="00A42A1A" w:rsidRPr="009A1394">
        <w:rPr>
          <w:color w:val="000000" w:themeColor="text1"/>
          <w:lang w:val="en-CA"/>
        </w:rPr>
        <w:t xml:space="preserve"> where there is a clear and obvious situation involving the presence of an imminent and serious risk, no carrier can remain passive, and it is normal in such circumstances to consider that it should then denounce these situations. However, this does not go so far as to require, as the plaintiffs allege, that a carrier conduct risk assessments outside its network, and especially not when the operations it is considering are not significant changes with respect to its own operations, but also, at first glance, with respect to the connecting carrier’s own operations</w:t>
      </w:r>
      <w:r w:rsidR="00DB6DA3" w:rsidRPr="009A1394">
        <w:rPr>
          <w:color w:val="000000" w:themeColor="text1"/>
          <w:lang w:val="en-CA"/>
        </w:rPr>
        <w:t>.</w:t>
      </w:r>
    </w:p>
    <w:p w14:paraId="5852C7B1" w14:textId="749335FB" w:rsidR="00702A59" w:rsidRPr="009A1394" w:rsidRDefault="005B257E" w:rsidP="00B84769">
      <w:pPr>
        <w:pStyle w:val="Paragraphe"/>
        <w:numPr>
          <w:ilvl w:val="0"/>
          <w:numId w:val="1"/>
        </w:numPr>
        <w:rPr>
          <w:color w:val="000000" w:themeColor="text1"/>
          <w:szCs w:val="24"/>
          <w:lang w:val="en-CA"/>
        </w:rPr>
      </w:pPr>
      <w:r w:rsidRPr="009A1394">
        <w:rPr>
          <w:color w:val="000000" w:themeColor="text1"/>
          <w:szCs w:val="24"/>
          <w:lang w:val="en-CA"/>
        </w:rPr>
        <w:t xml:space="preserve">According to the judge, railway companies do not have the means, </w:t>
      </w:r>
      <w:r w:rsidR="00AD1E92" w:rsidRPr="009A1394">
        <w:rPr>
          <w:color w:val="000000" w:themeColor="text1"/>
          <w:szCs w:val="24"/>
          <w:lang w:val="en-CA"/>
        </w:rPr>
        <w:t xml:space="preserve">the </w:t>
      </w:r>
      <w:r w:rsidRPr="009A1394">
        <w:rPr>
          <w:color w:val="000000" w:themeColor="text1"/>
          <w:szCs w:val="24"/>
          <w:lang w:val="en-CA"/>
        </w:rPr>
        <w:t xml:space="preserve">resources, or even the opportunity to </w:t>
      </w:r>
      <w:r w:rsidR="00C02E7B" w:rsidRPr="009A1394">
        <w:rPr>
          <w:color w:val="000000" w:themeColor="text1"/>
          <w:szCs w:val="24"/>
          <w:lang w:val="en-CA"/>
        </w:rPr>
        <w:t>conduct</w:t>
      </w:r>
      <w:r w:rsidRPr="009A1394">
        <w:rPr>
          <w:color w:val="000000" w:themeColor="text1"/>
          <w:szCs w:val="24"/>
          <w:lang w:val="en-CA"/>
        </w:rPr>
        <w:t xml:space="preserve"> risk assessments concerning the network or operations </w:t>
      </w:r>
      <w:r w:rsidRPr="009A1394">
        <w:rPr>
          <w:color w:val="000000" w:themeColor="text1"/>
          <w:szCs w:val="24"/>
          <w:lang w:val="en-CA"/>
        </w:rPr>
        <w:lastRenderedPageBreak/>
        <w:t>of a</w:t>
      </w:r>
      <w:r w:rsidR="00904367" w:rsidRPr="009A1394">
        <w:rPr>
          <w:color w:val="000000" w:themeColor="text1"/>
          <w:szCs w:val="24"/>
          <w:lang w:val="en-CA"/>
        </w:rPr>
        <w:t>nother</w:t>
      </w:r>
      <w:r w:rsidRPr="009A1394">
        <w:rPr>
          <w:color w:val="000000" w:themeColor="text1"/>
          <w:szCs w:val="24"/>
          <w:lang w:val="en-CA"/>
        </w:rPr>
        <w:t xml:space="preserve"> carrier.</w:t>
      </w:r>
      <w:r w:rsidRPr="009A1394">
        <w:rPr>
          <w:rStyle w:val="Appelnotedebasdep"/>
          <w:color w:val="000000" w:themeColor="text1"/>
          <w:szCs w:val="24"/>
          <w:lang w:val="en-CA"/>
        </w:rPr>
        <w:footnoteReference w:id="199"/>
      </w:r>
      <w:r w:rsidR="008161A3" w:rsidRPr="009A1394">
        <w:rPr>
          <w:color w:val="000000" w:themeColor="text1"/>
          <w:szCs w:val="24"/>
          <w:lang w:val="en-CA"/>
        </w:rPr>
        <w:t xml:space="preserve"> </w:t>
      </w:r>
      <w:r w:rsidRPr="009A1394">
        <w:rPr>
          <w:color w:val="000000" w:themeColor="text1"/>
          <w:szCs w:val="24"/>
          <w:lang w:val="en-CA"/>
        </w:rPr>
        <w:t>In fact, he added</w:t>
      </w:r>
      <w:r w:rsidR="005679A9" w:rsidRPr="009A1394">
        <w:rPr>
          <w:color w:val="000000" w:themeColor="text1"/>
          <w:szCs w:val="24"/>
          <w:lang w:val="en-CA"/>
        </w:rPr>
        <w:t>,</w:t>
      </w:r>
      <w:r w:rsidRPr="009A1394">
        <w:rPr>
          <w:color w:val="000000" w:themeColor="text1"/>
          <w:szCs w:val="24"/>
          <w:lang w:val="en-CA"/>
        </w:rPr>
        <w:t xml:space="preserve"> the North American rail industry, particularly in Canada, is </w:t>
      </w:r>
      <w:r w:rsidR="00D4585A" w:rsidRPr="009A1394">
        <w:rPr>
          <w:color w:val="000000" w:themeColor="text1"/>
          <w:szCs w:val="24"/>
          <w:lang w:val="en-CA"/>
        </w:rPr>
        <w:t>neither</w:t>
      </w:r>
      <w:r w:rsidRPr="009A1394">
        <w:rPr>
          <w:color w:val="000000" w:themeColor="text1"/>
          <w:szCs w:val="24"/>
          <w:lang w:val="en-CA"/>
        </w:rPr>
        <w:t xml:space="preserve"> structure</w:t>
      </w:r>
      <w:r w:rsidR="00D4585A" w:rsidRPr="009A1394">
        <w:rPr>
          <w:color w:val="000000" w:themeColor="text1"/>
          <w:szCs w:val="24"/>
          <w:lang w:val="en-CA"/>
        </w:rPr>
        <w:t>d</w:t>
      </w:r>
      <w:r w:rsidRPr="009A1394">
        <w:rPr>
          <w:color w:val="000000" w:themeColor="text1"/>
          <w:szCs w:val="24"/>
          <w:lang w:val="en-CA"/>
        </w:rPr>
        <w:t>, nor governed in a way that would allow it.</w:t>
      </w:r>
      <w:r w:rsidRPr="009A1394">
        <w:rPr>
          <w:rStyle w:val="Appelnotedebasdep"/>
          <w:color w:val="000000" w:themeColor="text1"/>
          <w:szCs w:val="24"/>
          <w:lang w:val="en-CA"/>
        </w:rPr>
        <w:footnoteReference w:id="200"/>
      </w:r>
      <w:r w:rsidR="00324B1A" w:rsidRPr="009A1394">
        <w:rPr>
          <w:color w:val="000000" w:themeColor="text1"/>
          <w:szCs w:val="24"/>
          <w:lang w:val="en-CA"/>
        </w:rPr>
        <w:t xml:space="preserve"> </w:t>
      </w:r>
      <w:r w:rsidRPr="009A1394">
        <w:rPr>
          <w:szCs w:val="24"/>
          <w:lang w:val="en-CA"/>
        </w:rPr>
        <w:t xml:space="preserve">In this respect, the judge </w:t>
      </w:r>
      <w:r w:rsidR="00904367" w:rsidRPr="009A1394">
        <w:rPr>
          <w:szCs w:val="24"/>
          <w:lang w:val="en-CA"/>
        </w:rPr>
        <w:t>wa</w:t>
      </w:r>
      <w:r w:rsidR="00D4585A" w:rsidRPr="009A1394">
        <w:rPr>
          <w:szCs w:val="24"/>
          <w:lang w:val="en-CA"/>
        </w:rPr>
        <w:t>s</w:t>
      </w:r>
      <w:r w:rsidRPr="009A1394">
        <w:rPr>
          <w:szCs w:val="24"/>
          <w:lang w:val="en-CA"/>
        </w:rPr>
        <w:t xml:space="preserve"> of the view that for the purpose of interswitching, a carrier is entitled to </w:t>
      </w:r>
      <w:r w:rsidR="00D4585A" w:rsidRPr="009A1394">
        <w:rPr>
          <w:szCs w:val="24"/>
          <w:lang w:val="en-CA"/>
        </w:rPr>
        <w:t>rely</w:t>
      </w:r>
      <w:r w:rsidRPr="009A1394">
        <w:rPr>
          <w:szCs w:val="24"/>
          <w:lang w:val="en-CA"/>
        </w:rPr>
        <w:t xml:space="preserve"> on the compliance certificates issued by the Canadian Transportation Agency (</w:t>
      </w:r>
      <w:r w:rsidR="00D4585A" w:rsidRPr="009A1394">
        <w:rPr>
          <w:szCs w:val="24"/>
          <w:lang w:val="en-CA"/>
        </w:rPr>
        <w:t>“</w:t>
      </w:r>
      <w:r w:rsidRPr="009A1394">
        <w:rPr>
          <w:b/>
          <w:color w:val="000000" w:themeColor="text1"/>
          <w:szCs w:val="24"/>
          <w:lang w:val="en-CA"/>
        </w:rPr>
        <w:t>CTA</w:t>
      </w:r>
      <w:r w:rsidRPr="009A1394">
        <w:rPr>
          <w:color w:val="000000" w:themeColor="text1"/>
          <w:szCs w:val="24"/>
          <w:lang w:val="en-CA"/>
        </w:rPr>
        <w:t xml:space="preserve">”) </w:t>
      </w:r>
      <w:r w:rsidR="00BD3B30" w:rsidRPr="009A1394">
        <w:rPr>
          <w:color w:val="000000" w:themeColor="text1"/>
          <w:szCs w:val="24"/>
          <w:lang w:val="en-CA"/>
        </w:rPr>
        <w:t>and</w:t>
      </w:r>
      <w:r w:rsidRPr="009A1394">
        <w:rPr>
          <w:color w:val="000000" w:themeColor="text1"/>
          <w:szCs w:val="24"/>
          <w:lang w:val="en-CA"/>
        </w:rPr>
        <w:t xml:space="preserve"> the inspections </w:t>
      </w:r>
      <w:r w:rsidR="005679A9" w:rsidRPr="009A1394">
        <w:rPr>
          <w:color w:val="000000" w:themeColor="text1"/>
          <w:szCs w:val="24"/>
          <w:lang w:val="en-CA"/>
        </w:rPr>
        <w:t xml:space="preserve">and </w:t>
      </w:r>
      <w:r w:rsidR="00904367" w:rsidRPr="009A1394">
        <w:rPr>
          <w:color w:val="000000" w:themeColor="text1"/>
          <w:szCs w:val="24"/>
          <w:lang w:val="en-CA"/>
        </w:rPr>
        <w:t>audits</w:t>
      </w:r>
      <w:r w:rsidR="005679A9" w:rsidRPr="009A1394">
        <w:rPr>
          <w:color w:val="000000" w:themeColor="text1"/>
          <w:szCs w:val="24"/>
          <w:lang w:val="en-CA"/>
        </w:rPr>
        <w:t xml:space="preserve"> </w:t>
      </w:r>
      <w:r w:rsidRPr="009A1394">
        <w:rPr>
          <w:color w:val="000000" w:themeColor="text1"/>
          <w:szCs w:val="24"/>
          <w:lang w:val="en-CA"/>
        </w:rPr>
        <w:t>carried out by TC.</w:t>
      </w:r>
      <w:r w:rsidR="003A6C6D" w:rsidRPr="009A1394">
        <w:rPr>
          <w:color w:val="000000" w:themeColor="text1"/>
          <w:szCs w:val="24"/>
          <w:lang w:val="en-CA"/>
        </w:rPr>
        <w:t xml:space="preserve"> </w:t>
      </w:r>
      <w:r w:rsidR="00C02E7B" w:rsidRPr="009A1394">
        <w:rPr>
          <w:color w:val="000000" w:themeColor="text1"/>
          <w:szCs w:val="24"/>
          <w:lang w:val="en-CA"/>
        </w:rPr>
        <w:t>It is under</w:t>
      </w:r>
      <w:r w:rsidRPr="009A1394">
        <w:rPr>
          <w:color w:val="000000" w:themeColor="text1"/>
          <w:szCs w:val="24"/>
          <w:lang w:val="en-CA"/>
        </w:rPr>
        <w:t xml:space="preserve"> no obligation to assess a rail network that is not its own </w:t>
      </w:r>
      <w:r w:rsidR="005D4F06" w:rsidRPr="009A1394">
        <w:rPr>
          <w:color w:val="000000" w:themeColor="text1"/>
          <w:szCs w:val="24"/>
          <w:lang w:val="en-CA"/>
        </w:rPr>
        <w:t xml:space="preserve">in order </w:t>
      </w:r>
      <w:r w:rsidRPr="009A1394">
        <w:rPr>
          <w:color w:val="000000" w:themeColor="text1"/>
          <w:szCs w:val="24"/>
          <w:lang w:val="en-CA"/>
        </w:rPr>
        <w:t xml:space="preserve">to </w:t>
      </w:r>
      <w:r w:rsidR="005679A9" w:rsidRPr="009A1394">
        <w:rPr>
          <w:color w:val="000000" w:themeColor="text1"/>
          <w:szCs w:val="24"/>
          <w:lang w:val="en-CA"/>
        </w:rPr>
        <w:t>determine</w:t>
      </w:r>
      <w:r w:rsidRPr="009A1394">
        <w:rPr>
          <w:color w:val="000000" w:themeColor="text1"/>
          <w:szCs w:val="24"/>
          <w:lang w:val="en-CA"/>
        </w:rPr>
        <w:t xml:space="preserve"> whether it is safe </w:t>
      </w:r>
      <w:r w:rsidR="00BF6B3A" w:rsidRPr="009A1394">
        <w:rPr>
          <w:color w:val="000000" w:themeColor="text1"/>
          <w:szCs w:val="24"/>
          <w:lang w:val="en-CA"/>
        </w:rPr>
        <w:t>to transport</w:t>
      </w:r>
      <w:r w:rsidRPr="009A1394">
        <w:rPr>
          <w:color w:val="000000" w:themeColor="text1"/>
          <w:szCs w:val="24"/>
          <w:lang w:val="en-CA"/>
        </w:rPr>
        <w:t xml:space="preserve"> goods</w:t>
      </w:r>
      <w:r w:rsidR="00BF6B3A" w:rsidRPr="009A1394">
        <w:rPr>
          <w:color w:val="000000" w:themeColor="text1"/>
          <w:szCs w:val="24"/>
          <w:lang w:val="en-CA"/>
        </w:rPr>
        <w:t xml:space="preserve"> on it</w:t>
      </w:r>
      <w:r w:rsidRPr="009A1394">
        <w:rPr>
          <w:color w:val="000000" w:themeColor="text1"/>
          <w:szCs w:val="24"/>
          <w:lang w:val="en-CA"/>
        </w:rPr>
        <w:t>.</w:t>
      </w:r>
      <w:r w:rsidRPr="009A1394">
        <w:rPr>
          <w:rStyle w:val="Appelnotedebasdep"/>
          <w:color w:val="000000" w:themeColor="text1"/>
          <w:szCs w:val="24"/>
          <w:lang w:val="en-CA"/>
        </w:rPr>
        <w:footnoteReference w:id="201"/>
      </w:r>
    </w:p>
    <w:p w14:paraId="7AC3C297" w14:textId="094E474D" w:rsidR="00702A59" w:rsidRPr="009A1394" w:rsidRDefault="005B257E" w:rsidP="00B84769">
      <w:pPr>
        <w:pStyle w:val="Paragraphe"/>
        <w:numPr>
          <w:ilvl w:val="0"/>
          <w:numId w:val="1"/>
        </w:numPr>
        <w:rPr>
          <w:color w:val="000000" w:themeColor="text1"/>
          <w:szCs w:val="24"/>
          <w:lang w:val="en-CA"/>
        </w:rPr>
      </w:pPr>
      <w:r w:rsidRPr="009A1394">
        <w:rPr>
          <w:color w:val="000000" w:themeColor="text1"/>
          <w:szCs w:val="24"/>
          <w:lang w:val="en-CA"/>
        </w:rPr>
        <w:t>Th</w:t>
      </w:r>
      <w:r w:rsidR="00BF6B3A" w:rsidRPr="009A1394">
        <w:rPr>
          <w:color w:val="000000" w:themeColor="text1"/>
          <w:szCs w:val="24"/>
          <w:lang w:val="en-CA"/>
        </w:rPr>
        <w:t>at finding by the</w:t>
      </w:r>
      <w:r w:rsidRPr="009A1394">
        <w:rPr>
          <w:color w:val="000000" w:themeColor="text1"/>
          <w:szCs w:val="24"/>
          <w:lang w:val="en-CA"/>
        </w:rPr>
        <w:t xml:space="preserve"> judge</w:t>
      </w:r>
      <w:r w:rsidR="00BF6B3A" w:rsidRPr="009A1394">
        <w:rPr>
          <w:color w:val="000000" w:themeColor="text1"/>
          <w:szCs w:val="24"/>
          <w:lang w:val="en-CA"/>
        </w:rPr>
        <w:t xml:space="preserve"> </w:t>
      </w:r>
      <w:r w:rsidR="008C3553" w:rsidRPr="009A1394">
        <w:rPr>
          <w:color w:val="000000" w:themeColor="text1"/>
          <w:szCs w:val="24"/>
          <w:lang w:val="en-CA"/>
        </w:rPr>
        <w:t>i</w:t>
      </w:r>
      <w:r w:rsidRPr="009A1394">
        <w:rPr>
          <w:color w:val="000000" w:themeColor="text1"/>
          <w:szCs w:val="24"/>
          <w:lang w:val="en-CA"/>
        </w:rPr>
        <w:t>s amply supported by the evidence.</w:t>
      </w:r>
      <w:r w:rsidR="008161A3" w:rsidRPr="009A1394">
        <w:rPr>
          <w:color w:val="000000" w:themeColor="text1"/>
          <w:szCs w:val="24"/>
          <w:lang w:val="en-CA"/>
        </w:rPr>
        <w:t xml:space="preserve"> </w:t>
      </w:r>
      <w:r w:rsidRPr="009A1394">
        <w:rPr>
          <w:color w:val="000000" w:themeColor="text1"/>
          <w:szCs w:val="24"/>
          <w:lang w:val="en-CA"/>
        </w:rPr>
        <w:t>Most of the information that TC can obtain about the operations and safety protocols of a carrier</w:t>
      </w:r>
      <w:r w:rsidR="008C3553" w:rsidRPr="009A1394">
        <w:rPr>
          <w:color w:val="000000" w:themeColor="text1"/>
          <w:szCs w:val="24"/>
          <w:lang w:val="en-CA"/>
        </w:rPr>
        <w:t>,</w:t>
      </w:r>
      <w:r w:rsidRPr="009A1394">
        <w:rPr>
          <w:color w:val="000000" w:themeColor="text1"/>
          <w:szCs w:val="24"/>
          <w:lang w:val="en-CA"/>
        </w:rPr>
        <w:t xml:space="preserve"> </w:t>
      </w:r>
      <w:r w:rsidR="008C3553" w:rsidRPr="009A1394">
        <w:rPr>
          <w:color w:val="000000" w:themeColor="text1"/>
          <w:szCs w:val="24"/>
          <w:lang w:val="en-CA"/>
        </w:rPr>
        <w:t>such as</w:t>
      </w:r>
      <w:r w:rsidRPr="009A1394">
        <w:rPr>
          <w:color w:val="000000" w:themeColor="text1"/>
          <w:szCs w:val="24"/>
          <w:lang w:val="en-CA"/>
        </w:rPr>
        <w:t xml:space="preserve"> MMA</w:t>
      </w:r>
      <w:r w:rsidR="008C3553" w:rsidRPr="009A1394">
        <w:rPr>
          <w:color w:val="000000" w:themeColor="text1"/>
          <w:szCs w:val="24"/>
          <w:lang w:val="en-CA"/>
        </w:rPr>
        <w:t>,</w:t>
      </w:r>
      <w:r w:rsidRPr="009A1394">
        <w:rPr>
          <w:color w:val="000000" w:themeColor="text1"/>
          <w:szCs w:val="24"/>
          <w:lang w:val="en-CA"/>
        </w:rPr>
        <w:t xml:space="preserve"> is not accessible to other carriers.</w:t>
      </w:r>
      <w:r w:rsidRPr="009A1394">
        <w:rPr>
          <w:rStyle w:val="Appelnotedebasdep"/>
          <w:color w:val="000000" w:themeColor="text1"/>
          <w:szCs w:val="24"/>
          <w:lang w:val="en-CA"/>
        </w:rPr>
        <w:footnoteReference w:id="202"/>
      </w:r>
      <w:r w:rsidR="008161A3" w:rsidRPr="009A1394">
        <w:rPr>
          <w:color w:val="000000" w:themeColor="text1"/>
          <w:szCs w:val="24"/>
          <w:lang w:val="en-CA"/>
        </w:rPr>
        <w:t xml:space="preserve"> </w:t>
      </w:r>
      <w:r w:rsidRPr="009A1394">
        <w:rPr>
          <w:color w:val="000000" w:themeColor="text1"/>
          <w:szCs w:val="24"/>
          <w:lang w:val="en-CA"/>
        </w:rPr>
        <w:t xml:space="preserve">Also, contrary to TC, which has the </w:t>
      </w:r>
      <w:r w:rsidR="00BF6B3A" w:rsidRPr="009A1394">
        <w:rPr>
          <w:color w:val="000000" w:themeColor="text1"/>
          <w:szCs w:val="24"/>
          <w:lang w:val="en-CA"/>
        </w:rPr>
        <w:t>authority</w:t>
      </w:r>
      <w:r w:rsidRPr="009A1394">
        <w:rPr>
          <w:color w:val="000000" w:themeColor="text1"/>
          <w:szCs w:val="24"/>
          <w:lang w:val="en-CA"/>
        </w:rPr>
        <w:t xml:space="preserve"> to carry out inspections and safety </w:t>
      </w:r>
      <w:r w:rsidR="00BF6B3A" w:rsidRPr="009A1394">
        <w:rPr>
          <w:color w:val="000000" w:themeColor="text1"/>
          <w:szCs w:val="24"/>
          <w:lang w:val="en-CA"/>
        </w:rPr>
        <w:t>audits</w:t>
      </w:r>
      <w:r w:rsidRPr="009A1394">
        <w:rPr>
          <w:color w:val="000000" w:themeColor="text1"/>
          <w:szCs w:val="24"/>
          <w:lang w:val="en-CA"/>
        </w:rPr>
        <w:t xml:space="preserve">, a carrier </w:t>
      </w:r>
      <w:r w:rsidR="008C3553" w:rsidRPr="009A1394">
        <w:rPr>
          <w:color w:val="000000" w:themeColor="text1"/>
          <w:szCs w:val="24"/>
          <w:lang w:val="en-CA"/>
        </w:rPr>
        <w:t>such as</w:t>
      </w:r>
      <w:r w:rsidRPr="009A1394">
        <w:rPr>
          <w:color w:val="000000" w:themeColor="text1"/>
          <w:szCs w:val="24"/>
          <w:lang w:val="en-CA"/>
        </w:rPr>
        <w:t xml:space="preserve"> CP does not have the </w:t>
      </w:r>
      <w:r w:rsidR="00BF6B3A" w:rsidRPr="009A1394">
        <w:rPr>
          <w:color w:val="000000" w:themeColor="text1"/>
          <w:szCs w:val="24"/>
          <w:lang w:val="en-CA"/>
        </w:rPr>
        <w:t>authority</w:t>
      </w:r>
      <w:r w:rsidRPr="009A1394">
        <w:rPr>
          <w:color w:val="000000" w:themeColor="text1"/>
          <w:szCs w:val="24"/>
          <w:lang w:val="en-CA"/>
        </w:rPr>
        <w:t xml:space="preserve"> to compel another carrier to provide</w:t>
      </w:r>
      <w:r w:rsidR="008C3553" w:rsidRPr="009A1394">
        <w:rPr>
          <w:color w:val="000000" w:themeColor="text1"/>
          <w:szCs w:val="24"/>
          <w:lang w:val="en-CA"/>
        </w:rPr>
        <w:t xml:space="preserve"> it with</w:t>
      </w:r>
      <w:r w:rsidRPr="009A1394">
        <w:rPr>
          <w:color w:val="000000" w:themeColor="text1"/>
          <w:szCs w:val="24"/>
          <w:lang w:val="en-CA"/>
        </w:rPr>
        <w:t xml:space="preserve"> information or to give it access to its </w:t>
      </w:r>
      <w:r w:rsidR="00BF6B3A" w:rsidRPr="009A1394">
        <w:rPr>
          <w:color w:val="000000" w:themeColor="text1"/>
          <w:szCs w:val="24"/>
          <w:lang w:val="en-CA"/>
        </w:rPr>
        <w:t>facilitie</w:t>
      </w:r>
      <w:r w:rsidRPr="009A1394">
        <w:rPr>
          <w:color w:val="000000" w:themeColor="text1"/>
          <w:szCs w:val="24"/>
          <w:lang w:val="en-CA"/>
        </w:rPr>
        <w:t xml:space="preserve">s to </w:t>
      </w:r>
      <w:r w:rsidR="00BF6B3A" w:rsidRPr="009A1394">
        <w:rPr>
          <w:color w:val="000000" w:themeColor="text1"/>
          <w:szCs w:val="24"/>
          <w:lang w:val="en-CA"/>
        </w:rPr>
        <w:t>conduct</w:t>
      </w:r>
      <w:r w:rsidRPr="009A1394">
        <w:rPr>
          <w:color w:val="000000" w:themeColor="text1"/>
          <w:szCs w:val="24"/>
          <w:lang w:val="en-CA"/>
        </w:rPr>
        <w:t xml:space="preserve"> its own risk assessment.</w:t>
      </w:r>
      <w:r w:rsidRPr="009A1394">
        <w:rPr>
          <w:rStyle w:val="Appelnotedebasdep"/>
          <w:color w:val="000000" w:themeColor="text1"/>
          <w:szCs w:val="24"/>
          <w:lang w:val="en-CA"/>
        </w:rPr>
        <w:footnoteReference w:id="203"/>
      </w:r>
      <w:r w:rsidR="008161A3" w:rsidRPr="009A1394">
        <w:rPr>
          <w:color w:val="000000" w:themeColor="text1"/>
          <w:szCs w:val="24"/>
          <w:lang w:val="en-CA"/>
        </w:rPr>
        <w:t xml:space="preserve"> </w:t>
      </w:r>
      <w:r w:rsidR="0031052A" w:rsidRPr="009A1394">
        <w:rPr>
          <w:color w:val="000000" w:themeColor="text1"/>
          <w:szCs w:val="24"/>
          <w:lang w:val="en-CA"/>
        </w:rPr>
        <w:t>On the contrary, the evidence indicate</w:t>
      </w:r>
      <w:r w:rsidR="00BF6B3A" w:rsidRPr="009A1394">
        <w:rPr>
          <w:color w:val="000000" w:themeColor="text1"/>
          <w:szCs w:val="24"/>
          <w:lang w:val="en-CA"/>
        </w:rPr>
        <w:t>s</w:t>
      </w:r>
      <w:r w:rsidR="0031052A" w:rsidRPr="009A1394">
        <w:rPr>
          <w:color w:val="000000" w:themeColor="text1"/>
          <w:szCs w:val="24"/>
          <w:lang w:val="en-CA"/>
        </w:rPr>
        <w:t xml:space="preserve"> that carriers, be they </w:t>
      </w:r>
      <w:r w:rsidR="006A129A" w:rsidRPr="009A1394">
        <w:rPr>
          <w:color w:val="000000" w:themeColor="text1"/>
          <w:szCs w:val="24"/>
          <w:lang w:val="en-CA"/>
        </w:rPr>
        <w:t>C</w:t>
      </w:r>
      <w:r w:rsidR="0031052A" w:rsidRPr="009A1394">
        <w:rPr>
          <w:color w:val="000000" w:themeColor="text1"/>
          <w:szCs w:val="24"/>
          <w:lang w:val="en-CA"/>
        </w:rPr>
        <w:t xml:space="preserve">lass 1 </w:t>
      </w:r>
      <w:r w:rsidR="008D39DB" w:rsidRPr="009A1394">
        <w:rPr>
          <w:color w:val="000000" w:themeColor="text1"/>
          <w:szCs w:val="24"/>
          <w:lang w:val="en-CA"/>
        </w:rPr>
        <w:t>carriers such as</w:t>
      </w:r>
      <w:r w:rsidR="0031052A" w:rsidRPr="009A1394">
        <w:rPr>
          <w:color w:val="000000" w:themeColor="text1"/>
          <w:szCs w:val="24"/>
          <w:lang w:val="en-CA"/>
        </w:rPr>
        <w:t xml:space="preserve"> CP or regional</w:t>
      </w:r>
      <w:r w:rsidR="008D39DB" w:rsidRPr="009A1394">
        <w:rPr>
          <w:color w:val="000000" w:themeColor="text1"/>
          <w:szCs w:val="24"/>
          <w:lang w:val="en-CA"/>
        </w:rPr>
        <w:t xml:space="preserve"> carriers</w:t>
      </w:r>
      <w:r w:rsidR="0031052A" w:rsidRPr="009A1394">
        <w:rPr>
          <w:color w:val="000000" w:themeColor="text1"/>
          <w:szCs w:val="24"/>
          <w:lang w:val="en-CA"/>
        </w:rPr>
        <w:t xml:space="preserve"> </w:t>
      </w:r>
      <w:r w:rsidR="008D39DB" w:rsidRPr="009A1394">
        <w:rPr>
          <w:color w:val="000000" w:themeColor="text1"/>
          <w:szCs w:val="24"/>
          <w:lang w:val="en-CA"/>
        </w:rPr>
        <w:t>such as</w:t>
      </w:r>
      <w:r w:rsidR="0031052A" w:rsidRPr="009A1394">
        <w:rPr>
          <w:color w:val="000000" w:themeColor="text1"/>
          <w:szCs w:val="24"/>
          <w:lang w:val="en-CA"/>
        </w:rPr>
        <w:t xml:space="preserve"> MMA, would consider such a request by another carrier to be inappropriate and </w:t>
      </w:r>
      <w:r w:rsidR="008C3553" w:rsidRPr="009A1394">
        <w:rPr>
          <w:color w:val="000000" w:themeColor="text1"/>
          <w:szCs w:val="24"/>
          <w:lang w:val="en-CA"/>
        </w:rPr>
        <w:t>improper</w:t>
      </w:r>
      <w:r w:rsidR="0031052A" w:rsidRPr="009A1394">
        <w:rPr>
          <w:color w:val="000000" w:themeColor="text1"/>
          <w:szCs w:val="24"/>
          <w:lang w:val="en-CA"/>
        </w:rPr>
        <w:t>.</w:t>
      </w:r>
      <w:r w:rsidR="0031052A" w:rsidRPr="009A1394">
        <w:rPr>
          <w:rStyle w:val="Appelnotedebasdep"/>
          <w:color w:val="000000" w:themeColor="text1"/>
          <w:szCs w:val="24"/>
          <w:lang w:val="en-CA"/>
        </w:rPr>
        <w:footnoteReference w:id="204"/>
      </w:r>
      <w:r w:rsidR="006D4836" w:rsidRPr="009A1394">
        <w:rPr>
          <w:color w:val="000000" w:themeColor="text1"/>
          <w:szCs w:val="24"/>
          <w:lang w:val="en-CA"/>
        </w:rPr>
        <w:t xml:space="preserve"> </w:t>
      </w:r>
      <w:r w:rsidR="00BD3B30" w:rsidRPr="009A1394">
        <w:rPr>
          <w:color w:val="000000" w:themeColor="text1"/>
          <w:szCs w:val="24"/>
          <w:lang w:val="en-CA"/>
        </w:rPr>
        <w:t>Finally, even if CP had access to the information on which it could base a risk assessment of MMA’s operations – and those of over 90 other regional carriers or shortline carriers with which its tracks are interswitched –</w:t>
      </w:r>
      <w:r w:rsidR="008C3553" w:rsidRPr="009A1394">
        <w:rPr>
          <w:color w:val="000000" w:themeColor="text1"/>
          <w:szCs w:val="24"/>
          <w:lang w:val="en-CA"/>
        </w:rPr>
        <w:t xml:space="preserve"> </w:t>
      </w:r>
      <w:r w:rsidR="00BD3B30" w:rsidRPr="009A1394">
        <w:rPr>
          <w:color w:val="000000" w:themeColor="text1"/>
          <w:szCs w:val="24"/>
          <w:lang w:val="en-CA"/>
        </w:rPr>
        <w:t>it would not have had</w:t>
      </w:r>
      <w:r w:rsidR="008D39DB" w:rsidRPr="009A1394">
        <w:rPr>
          <w:color w:val="000000" w:themeColor="text1"/>
          <w:szCs w:val="24"/>
          <w:lang w:val="en-CA"/>
        </w:rPr>
        <w:t>, by contrast with TC,</w:t>
      </w:r>
      <w:r w:rsidR="008C3553" w:rsidRPr="009A1394">
        <w:rPr>
          <w:color w:val="000000" w:themeColor="text1"/>
          <w:szCs w:val="24"/>
          <w:lang w:val="en-CA"/>
        </w:rPr>
        <w:t xml:space="preserve"> </w:t>
      </w:r>
      <w:r w:rsidR="00BD3B30" w:rsidRPr="009A1394">
        <w:rPr>
          <w:color w:val="000000" w:themeColor="text1"/>
          <w:szCs w:val="24"/>
          <w:lang w:val="en-CA"/>
        </w:rPr>
        <w:t>the legal means to compel them to adopt the necessary remedial measures</w:t>
      </w:r>
      <w:r w:rsidR="00066DAA" w:rsidRPr="009A1394">
        <w:rPr>
          <w:color w:val="000000" w:themeColor="text1"/>
          <w:szCs w:val="24"/>
          <w:lang w:val="en-CA"/>
        </w:rPr>
        <w:t>,</w:t>
      </w:r>
      <w:r w:rsidR="00BD3B30" w:rsidRPr="009A1394">
        <w:rPr>
          <w:color w:val="000000" w:themeColor="text1"/>
          <w:szCs w:val="24"/>
          <w:lang w:val="en-CA"/>
        </w:rPr>
        <w:t xml:space="preserve"> </w:t>
      </w:r>
      <w:r w:rsidR="00066DAA" w:rsidRPr="009A1394">
        <w:rPr>
          <w:color w:val="000000" w:themeColor="text1"/>
          <w:szCs w:val="24"/>
          <w:lang w:val="en-CA"/>
        </w:rPr>
        <w:t xml:space="preserve">such as </w:t>
      </w:r>
      <w:r w:rsidR="00BD3B30" w:rsidRPr="009A1394">
        <w:rPr>
          <w:color w:val="000000" w:themeColor="text1"/>
          <w:szCs w:val="24"/>
          <w:lang w:val="en-CA"/>
        </w:rPr>
        <w:t>sending letters of non-compliance, making orders</w:t>
      </w:r>
      <w:r w:rsidR="00BF6B3A" w:rsidRPr="009A1394">
        <w:rPr>
          <w:color w:val="000000" w:themeColor="text1"/>
          <w:szCs w:val="24"/>
          <w:lang w:val="en-CA"/>
        </w:rPr>
        <w:t xml:space="preserve"> in council</w:t>
      </w:r>
      <w:r w:rsidR="00BD3B30" w:rsidRPr="009A1394">
        <w:rPr>
          <w:color w:val="000000" w:themeColor="text1"/>
          <w:szCs w:val="24"/>
          <w:lang w:val="en-CA"/>
        </w:rPr>
        <w:t xml:space="preserve"> and issuing </w:t>
      </w:r>
      <w:r w:rsidR="00F03F80" w:rsidRPr="009A1394">
        <w:rPr>
          <w:color w:val="000000" w:themeColor="text1"/>
          <w:szCs w:val="24"/>
          <w:lang w:val="en-CA"/>
        </w:rPr>
        <w:t>guidelines</w:t>
      </w:r>
      <w:r w:rsidR="00BD3B30" w:rsidRPr="009A1394">
        <w:rPr>
          <w:color w:val="000000" w:themeColor="text1"/>
          <w:szCs w:val="24"/>
          <w:lang w:val="en-CA"/>
        </w:rPr>
        <w:t xml:space="preserve"> in the event of emergencies, </w:t>
      </w:r>
      <w:r w:rsidR="008D39DB" w:rsidRPr="009A1394">
        <w:rPr>
          <w:color w:val="000000" w:themeColor="text1"/>
          <w:szCs w:val="24"/>
          <w:lang w:val="en-CA"/>
        </w:rPr>
        <w:t>or</w:t>
      </w:r>
      <w:r w:rsidR="00BD3B30" w:rsidRPr="009A1394">
        <w:rPr>
          <w:color w:val="000000" w:themeColor="text1"/>
          <w:szCs w:val="24"/>
          <w:lang w:val="en-CA"/>
        </w:rPr>
        <w:t xml:space="preserve"> rendering orders.</w:t>
      </w:r>
      <w:r w:rsidR="00BD3B30" w:rsidRPr="009A1394">
        <w:rPr>
          <w:rStyle w:val="Appelnotedebasdep"/>
          <w:color w:val="000000" w:themeColor="text1"/>
          <w:szCs w:val="24"/>
          <w:lang w:val="en-CA"/>
        </w:rPr>
        <w:footnoteReference w:id="205"/>
      </w:r>
    </w:p>
    <w:p w14:paraId="430D0D45" w14:textId="7DC6AE48" w:rsidR="00702A59" w:rsidRPr="009A1394" w:rsidRDefault="00BD3B30" w:rsidP="00B84769">
      <w:pPr>
        <w:pStyle w:val="Paragraphe"/>
        <w:numPr>
          <w:ilvl w:val="0"/>
          <w:numId w:val="1"/>
        </w:numPr>
        <w:rPr>
          <w:color w:val="000000" w:themeColor="text1"/>
          <w:szCs w:val="24"/>
          <w:lang w:val="en-CA"/>
        </w:rPr>
      </w:pPr>
      <w:r w:rsidRPr="009A1394">
        <w:rPr>
          <w:color w:val="000000" w:themeColor="text1"/>
          <w:szCs w:val="24"/>
          <w:lang w:val="en-CA"/>
        </w:rPr>
        <w:t>The appellants also submit that the judge appears to have taken for granted that a risk assessment was necessarily a complex and formal process, whe</w:t>
      </w:r>
      <w:r w:rsidR="008D39DB" w:rsidRPr="009A1394">
        <w:rPr>
          <w:color w:val="000000" w:themeColor="text1"/>
          <w:szCs w:val="24"/>
          <w:lang w:val="en-CA"/>
        </w:rPr>
        <w:t>reas</w:t>
      </w:r>
      <w:r w:rsidRPr="009A1394">
        <w:rPr>
          <w:color w:val="000000" w:themeColor="text1"/>
          <w:szCs w:val="24"/>
          <w:lang w:val="en-CA"/>
        </w:rPr>
        <w:t xml:space="preserve"> it could be as simple as asking a series of specific </w:t>
      </w:r>
      <w:r w:rsidR="00812114" w:rsidRPr="009A1394">
        <w:rPr>
          <w:color w:val="000000" w:themeColor="text1"/>
          <w:szCs w:val="24"/>
          <w:lang w:val="en-CA"/>
        </w:rPr>
        <w:t>questions</w:t>
      </w:r>
      <w:r w:rsidRPr="009A1394">
        <w:rPr>
          <w:color w:val="000000" w:themeColor="text1"/>
          <w:szCs w:val="24"/>
          <w:lang w:val="en-CA"/>
        </w:rPr>
        <w:t>.</w:t>
      </w:r>
      <w:r w:rsidR="008161A3" w:rsidRPr="009A1394">
        <w:rPr>
          <w:color w:val="000000" w:themeColor="text1"/>
          <w:szCs w:val="24"/>
          <w:lang w:val="en-CA"/>
        </w:rPr>
        <w:t xml:space="preserve"> </w:t>
      </w:r>
      <w:r w:rsidRPr="009A1394">
        <w:rPr>
          <w:color w:val="000000" w:themeColor="text1"/>
          <w:szCs w:val="24"/>
          <w:lang w:val="en-CA"/>
        </w:rPr>
        <w:t xml:space="preserve">Whatever the form a risk assessment could have taken, the judge’s </w:t>
      </w:r>
      <w:r w:rsidR="00FC35DE" w:rsidRPr="009A1394">
        <w:rPr>
          <w:color w:val="000000" w:themeColor="text1"/>
          <w:szCs w:val="24"/>
          <w:lang w:val="en-CA"/>
        </w:rPr>
        <w:t>key findings</w:t>
      </w:r>
      <w:r w:rsidRPr="009A1394">
        <w:rPr>
          <w:color w:val="000000" w:themeColor="text1"/>
          <w:szCs w:val="24"/>
          <w:lang w:val="en-CA"/>
        </w:rPr>
        <w:t xml:space="preserve"> remain the same.</w:t>
      </w:r>
      <w:r w:rsidR="008161A3" w:rsidRPr="009A1394">
        <w:rPr>
          <w:color w:val="000000" w:themeColor="text1"/>
          <w:szCs w:val="24"/>
          <w:lang w:val="en-CA"/>
        </w:rPr>
        <w:t xml:space="preserve"> </w:t>
      </w:r>
      <w:r w:rsidRPr="009A1394">
        <w:rPr>
          <w:color w:val="000000" w:themeColor="text1"/>
          <w:szCs w:val="24"/>
          <w:lang w:val="en-CA"/>
        </w:rPr>
        <w:t xml:space="preserve">Neither the law, nor the industry practices or circumstances of </w:t>
      </w:r>
      <w:r w:rsidR="00812114" w:rsidRPr="009A1394">
        <w:rPr>
          <w:color w:val="000000" w:themeColor="text1"/>
          <w:szCs w:val="24"/>
          <w:lang w:val="en-CA"/>
        </w:rPr>
        <w:t>the</w:t>
      </w:r>
      <w:r w:rsidRPr="009A1394">
        <w:rPr>
          <w:color w:val="000000" w:themeColor="text1"/>
          <w:szCs w:val="24"/>
          <w:lang w:val="en-CA"/>
        </w:rPr>
        <w:t xml:space="preserve"> case </w:t>
      </w:r>
      <w:r w:rsidR="008D39DB" w:rsidRPr="009A1394">
        <w:rPr>
          <w:color w:val="000000" w:themeColor="text1"/>
          <w:szCs w:val="24"/>
          <w:lang w:val="en-CA"/>
        </w:rPr>
        <w:t>required</w:t>
      </w:r>
      <w:r w:rsidRPr="009A1394">
        <w:rPr>
          <w:color w:val="000000" w:themeColor="text1"/>
          <w:szCs w:val="24"/>
          <w:lang w:val="en-CA"/>
        </w:rPr>
        <w:t xml:space="preserve"> that CP </w:t>
      </w:r>
      <w:r w:rsidR="00640695" w:rsidRPr="009A1394">
        <w:rPr>
          <w:color w:val="000000" w:themeColor="text1"/>
          <w:szCs w:val="24"/>
          <w:lang w:val="en-CA"/>
        </w:rPr>
        <w:t>conduct</w:t>
      </w:r>
      <w:r w:rsidRPr="009A1394">
        <w:rPr>
          <w:color w:val="000000" w:themeColor="text1"/>
          <w:szCs w:val="24"/>
          <w:lang w:val="en-CA"/>
        </w:rPr>
        <w:t xml:space="preserve"> a risk </w:t>
      </w:r>
      <w:r w:rsidR="00812114" w:rsidRPr="009A1394">
        <w:rPr>
          <w:color w:val="000000" w:themeColor="text1"/>
          <w:szCs w:val="24"/>
          <w:lang w:val="en-CA"/>
        </w:rPr>
        <w:t>assessment</w:t>
      </w:r>
      <w:r w:rsidRPr="009A1394">
        <w:rPr>
          <w:color w:val="000000" w:themeColor="text1"/>
          <w:szCs w:val="24"/>
          <w:lang w:val="en-CA"/>
        </w:rPr>
        <w:t>, and particular</w:t>
      </w:r>
      <w:r w:rsidR="00FC35DE" w:rsidRPr="009A1394">
        <w:rPr>
          <w:color w:val="000000" w:themeColor="text1"/>
          <w:szCs w:val="24"/>
          <w:lang w:val="en-CA"/>
        </w:rPr>
        <w:t>ly</w:t>
      </w:r>
      <w:r w:rsidRPr="009A1394">
        <w:rPr>
          <w:color w:val="000000" w:themeColor="text1"/>
          <w:szCs w:val="24"/>
          <w:lang w:val="en-CA"/>
        </w:rPr>
        <w:t xml:space="preserve"> an assessment of MMA’s operations.</w:t>
      </w:r>
      <w:r w:rsidR="008161A3" w:rsidRPr="009A1394">
        <w:rPr>
          <w:color w:val="000000" w:themeColor="text1"/>
          <w:szCs w:val="24"/>
          <w:lang w:val="en-CA"/>
        </w:rPr>
        <w:t xml:space="preserve"> </w:t>
      </w:r>
      <w:r w:rsidRPr="009A1394">
        <w:rPr>
          <w:szCs w:val="24"/>
          <w:lang w:val="en-CA"/>
        </w:rPr>
        <w:t xml:space="preserve">Furthermore, the appellants remained extremely vague </w:t>
      </w:r>
      <w:r w:rsidR="008D39DB" w:rsidRPr="009A1394">
        <w:rPr>
          <w:szCs w:val="24"/>
          <w:lang w:val="en-CA"/>
        </w:rPr>
        <w:t>as to</w:t>
      </w:r>
      <w:r w:rsidRPr="009A1394">
        <w:rPr>
          <w:szCs w:val="24"/>
          <w:lang w:val="en-CA"/>
        </w:rPr>
        <w:t xml:space="preserve"> the content of the risk assessment they believe was required and the </w:t>
      </w:r>
      <w:r w:rsidR="00FC35DE" w:rsidRPr="009A1394">
        <w:rPr>
          <w:szCs w:val="24"/>
          <w:lang w:val="en-CA"/>
        </w:rPr>
        <w:t>impact</w:t>
      </w:r>
      <w:r w:rsidRPr="009A1394">
        <w:rPr>
          <w:szCs w:val="24"/>
          <w:lang w:val="en-CA"/>
        </w:rPr>
        <w:t xml:space="preserve"> of such an obligation on the rail industry</w:t>
      </w:r>
      <w:r w:rsidR="00FC35DE" w:rsidRPr="009A1394">
        <w:rPr>
          <w:szCs w:val="24"/>
          <w:lang w:val="en-CA"/>
        </w:rPr>
        <w:t xml:space="preserve"> at large</w:t>
      </w:r>
      <w:r w:rsidRPr="009A1394">
        <w:rPr>
          <w:szCs w:val="24"/>
          <w:lang w:val="en-CA"/>
        </w:rPr>
        <w:t>.</w:t>
      </w:r>
    </w:p>
    <w:p w14:paraId="66C2F7FD" w14:textId="67D0147E" w:rsidR="00702A59" w:rsidRPr="009A1394" w:rsidRDefault="00812114" w:rsidP="00B84769">
      <w:pPr>
        <w:pStyle w:val="Paragraphe"/>
        <w:numPr>
          <w:ilvl w:val="0"/>
          <w:numId w:val="1"/>
        </w:numPr>
        <w:rPr>
          <w:color w:val="000000" w:themeColor="text1"/>
          <w:szCs w:val="24"/>
          <w:lang w:val="en-CA"/>
        </w:rPr>
      </w:pPr>
      <w:r w:rsidRPr="009A1394">
        <w:rPr>
          <w:color w:val="000000" w:themeColor="text1"/>
          <w:szCs w:val="24"/>
          <w:lang w:val="en-CA"/>
        </w:rPr>
        <w:t xml:space="preserve">Finally, as the judge </w:t>
      </w:r>
      <w:r w:rsidR="000E72A4" w:rsidRPr="009A1394">
        <w:rPr>
          <w:color w:val="000000" w:themeColor="text1"/>
          <w:szCs w:val="24"/>
          <w:lang w:val="en-CA"/>
        </w:rPr>
        <w:t>no</w:t>
      </w:r>
      <w:r w:rsidRPr="009A1394">
        <w:rPr>
          <w:color w:val="000000" w:themeColor="text1"/>
          <w:szCs w:val="24"/>
          <w:lang w:val="en-CA"/>
        </w:rPr>
        <w:t>te</w:t>
      </w:r>
      <w:r w:rsidR="000E72A4" w:rsidRPr="009A1394">
        <w:rPr>
          <w:color w:val="000000" w:themeColor="text1"/>
          <w:szCs w:val="24"/>
          <w:lang w:val="en-CA"/>
        </w:rPr>
        <w:t>d</w:t>
      </w:r>
      <w:r w:rsidRPr="009A1394">
        <w:rPr>
          <w:color w:val="000000" w:themeColor="text1"/>
          <w:szCs w:val="24"/>
          <w:lang w:val="en-CA"/>
        </w:rPr>
        <w:t xml:space="preserve">, </w:t>
      </w:r>
      <w:r w:rsidR="000E72A4" w:rsidRPr="009A1394">
        <w:rPr>
          <w:color w:val="000000" w:themeColor="text1"/>
          <w:szCs w:val="24"/>
          <w:lang w:val="en-CA"/>
        </w:rPr>
        <w:t xml:space="preserve">there was </w:t>
      </w:r>
      <w:r w:rsidRPr="009A1394">
        <w:rPr>
          <w:color w:val="000000" w:themeColor="text1"/>
          <w:szCs w:val="24"/>
          <w:lang w:val="en-CA"/>
        </w:rPr>
        <w:t xml:space="preserve">nothing in the evidence </w:t>
      </w:r>
      <w:r w:rsidR="000E72A4" w:rsidRPr="009A1394">
        <w:rPr>
          <w:color w:val="000000" w:themeColor="text1"/>
          <w:szCs w:val="24"/>
          <w:lang w:val="en-CA"/>
        </w:rPr>
        <w:t>to suggest</w:t>
      </w:r>
      <w:r w:rsidRPr="009A1394">
        <w:rPr>
          <w:color w:val="000000" w:themeColor="text1"/>
          <w:szCs w:val="24"/>
          <w:lang w:val="en-CA"/>
        </w:rPr>
        <w:t xml:space="preserve"> that such an assessment would have </w:t>
      </w:r>
      <w:r w:rsidR="000E72A4" w:rsidRPr="009A1394">
        <w:rPr>
          <w:color w:val="000000" w:themeColor="text1"/>
          <w:szCs w:val="24"/>
          <w:lang w:val="en-CA"/>
        </w:rPr>
        <w:t>led</w:t>
      </w:r>
      <w:r w:rsidRPr="009A1394">
        <w:rPr>
          <w:color w:val="000000" w:themeColor="text1"/>
          <w:szCs w:val="24"/>
          <w:lang w:val="en-CA"/>
        </w:rPr>
        <w:t xml:space="preserve"> MMA </w:t>
      </w:r>
      <w:r w:rsidR="000E72A4" w:rsidRPr="009A1394">
        <w:rPr>
          <w:color w:val="000000" w:themeColor="text1"/>
          <w:szCs w:val="24"/>
          <w:lang w:val="en-CA"/>
        </w:rPr>
        <w:t xml:space="preserve">to </w:t>
      </w:r>
      <w:r w:rsidRPr="009A1394">
        <w:rPr>
          <w:color w:val="000000" w:themeColor="text1"/>
          <w:szCs w:val="24"/>
          <w:lang w:val="en-CA"/>
        </w:rPr>
        <w:t>chang</w:t>
      </w:r>
      <w:r w:rsidR="000E72A4" w:rsidRPr="009A1394">
        <w:rPr>
          <w:color w:val="000000" w:themeColor="text1"/>
          <w:szCs w:val="24"/>
          <w:lang w:val="en-CA"/>
        </w:rPr>
        <w:t>e</w:t>
      </w:r>
      <w:r w:rsidRPr="009A1394">
        <w:rPr>
          <w:color w:val="000000" w:themeColor="text1"/>
          <w:szCs w:val="24"/>
          <w:lang w:val="en-CA"/>
        </w:rPr>
        <w:t xml:space="preserve"> its </w:t>
      </w:r>
      <w:r w:rsidR="003867DE" w:rsidRPr="009A1394">
        <w:rPr>
          <w:color w:val="000000" w:themeColor="text1"/>
          <w:szCs w:val="24"/>
          <w:lang w:val="en-CA"/>
        </w:rPr>
        <w:t>practices</w:t>
      </w:r>
      <w:r w:rsidR="008161A3" w:rsidRPr="009A1394">
        <w:rPr>
          <w:rStyle w:val="Appelnotedebasdep"/>
          <w:color w:val="000000" w:themeColor="text1"/>
          <w:szCs w:val="24"/>
          <w:lang w:val="en-CA"/>
        </w:rPr>
        <w:footnoteReference w:id="206"/>
      </w:r>
      <w:r w:rsidR="00BD3B30" w:rsidRPr="009A1394">
        <w:rPr>
          <w:color w:val="000000" w:themeColor="text1"/>
          <w:szCs w:val="24"/>
          <w:lang w:val="en-CA"/>
        </w:rPr>
        <w:t xml:space="preserve"> or </w:t>
      </w:r>
      <w:r w:rsidR="00EF540B" w:rsidRPr="009A1394">
        <w:rPr>
          <w:color w:val="000000" w:themeColor="text1"/>
          <w:szCs w:val="24"/>
          <w:lang w:val="en-CA"/>
        </w:rPr>
        <w:t xml:space="preserve">cause </w:t>
      </w:r>
      <w:r w:rsidR="00BD3B30" w:rsidRPr="009A1394">
        <w:rPr>
          <w:color w:val="000000" w:themeColor="text1"/>
          <w:szCs w:val="24"/>
          <w:lang w:val="en-CA"/>
        </w:rPr>
        <w:t xml:space="preserve">CP </w:t>
      </w:r>
      <w:r w:rsidR="000E72A4" w:rsidRPr="009A1394">
        <w:rPr>
          <w:color w:val="000000" w:themeColor="text1"/>
          <w:szCs w:val="24"/>
          <w:lang w:val="en-CA"/>
        </w:rPr>
        <w:t xml:space="preserve">to </w:t>
      </w:r>
      <w:r w:rsidR="00EF540B" w:rsidRPr="009A1394">
        <w:rPr>
          <w:color w:val="000000" w:themeColor="text1"/>
          <w:szCs w:val="24"/>
          <w:lang w:val="en-CA"/>
        </w:rPr>
        <w:t xml:space="preserve">become </w:t>
      </w:r>
      <w:r w:rsidR="00EF540B" w:rsidRPr="009A1394">
        <w:rPr>
          <w:color w:val="000000" w:themeColor="text1"/>
          <w:szCs w:val="24"/>
          <w:lang w:val="en-CA"/>
        </w:rPr>
        <w:lastRenderedPageBreak/>
        <w:t>aware</w:t>
      </w:r>
      <w:r w:rsidR="00BD3B30" w:rsidRPr="009A1394">
        <w:rPr>
          <w:color w:val="000000" w:themeColor="text1"/>
          <w:szCs w:val="24"/>
          <w:lang w:val="en-CA"/>
        </w:rPr>
        <w:t xml:space="preserve"> of </w:t>
      </w:r>
      <w:r w:rsidR="000E72A4" w:rsidRPr="009A1394">
        <w:rPr>
          <w:color w:val="000000" w:themeColor="text1"/>
          <w:szCs w:val="24"/>
          <w:lang w:val="en-CA"/>
        </w:rPr>
        <w:t>the</w:t>
      </w:r>
      <w:r w:rsidR="00BD3B30" w:rsidRPr="009A1394">
        <w:rPr>
          <w:color w:val="000000" w:themeColor="text1"/>
          <w:szCs w:val="24"/>
          <w:lang w:val="en-CA"/>
        </w:rPr>
        <w:t xml:space="preserve"> risk </w:t>
      </w:r>
      <w:r w:rsidR="00EF540B" w:rsidRPr="009A1394">
        <w:rPr>
          <w:color w:val="000000" w:themeColor="text1"/>
          <w:szCs w:val="24"/>
          <w:lang w:val="en-CA"/>
        </w:rPr>
        <w:t>whose materialization</w:t>
      </w:r>
      <w:r w:rsidR="00BD3B30" w:rsidRPr="009A1394">
        <w:rPr>
          <w:color w:val="000000" w:themeColor="text1"/>
          <w:szCs w:val="24"/>
          <w:lang w:val="en-CA"/>
        </w:rPr>
        <w:t xml:space="preserve"> </w:t>
      </w:r>
      <w:r w:rsidR="000E72A4" w:rsidRPr="009A1394">
        <w:rPr>
          <w:color w:val="000000" w:themeColor="text1"/>
          <w:szCs w:val="24"/>
          <w:lang w:val="en-CA"/>
        </w:rPr>
        <w:t>caused</w:t>
      </w:r>
      <w:r w:rsidR="00BD3B30" w:rsidRPr="009A1394">
        <w:rPr>
          <w:color w:val="000000" w:themeColor="text1"/>
          <w:szCs w:val="24"/>
          <w:lang w:val="en-CA"/>
        </w:rPr>
        <w:t xml:space="preserve"> the </w:t>
      </w:r>
      <w:r w:rsidRPr="009A1394">
        <w:rPr>
          <w:color w:val="000000" w:themeColor="text1"/>
          <w:szCs w:val="24"/>
          <w:lang w:val="en-CA"/>
        </w:rPr>
        <w:t>tragedy</w:t>
      </w:r>
      <w:r w:rsidR="00BD3B30" w:rsidRPr="009A1394">
        <w:rPr>
          <w:color w:val="000000" w:themeColor="text1"/>
          <w:szCs w:val="24"/>
          <w:lang w:val="en-CA"/>
        </w:rPr>
        <w:t xml:space="preserve">, </w:t>
      </w:r>
      <w:r w:rsidR="00EF540B" w:rsidRPr="009A1394">
        <w:rPr>
          <w:color w:val="000000" w:themeColor="text1"/>
          <w:szCs w:val="24"/>
          <w:lang w:val="en-CA"/>
        </w:rPr>
        <w:t>i.e.</w:t>
      </w:r>
      <w:r w:rsidR="00BD3B30" w:rsidRPr="009A1394">
        <w:rPr>
          <w:color w:val="000000" w:themeColor="text1"/>
          <w:szCs w:val="24"/>
          <w:lang w:val="en-CA"/>
        </w:rPr>
        <w:t xml:space="preserve">, that an MMA employee, </w:t>
      </w:r>
      <w:r w:rsidR="000E72A4" w:rsidRPr="009A1394">
        <w:rPr>
          <w:color w:val="000000" w:themeColor="text1"/>
          <w:szCs w:val="24"/>
          <w:lang w:val="en-CA"/>
        </w:rPr>
        <w:t xml:space="preserve">in this case </w:t>
      </w:r>
      <w:r w:rsidR="00BD3B30" w:rsidRPr="009A1394">
        <w:rPr>
          <w:color w:val="000000" w:themeColor="text1"/>
          <w:szCs w:val="24"/>
          <w:lang w:val="en-CA"/>
        </w:rPr>
        <w:t xml:space="preserve">Harding, would ignore the basic rules </w:t>
      </w:r>
      <w:r w:rsidRPr="009A1394">
        <w:rPr>
          <w:color w:val="000000" w:themeColor="text1"/>
          <w:szCs w:val="24"/>
          <w:lang w:val="en-CA"/>
        </w:rPr>
        <w:t>for securing</w:t>
      </w:r>
      <w:r w:rsidR="00BD3B30" w:rsidRPr="009A1394">
        <w:rPr>
          <w:color w:val="000000" w:themeColor="text1"/>
          <w:szCs w:val="24"/>
          <w:lang w:val="en-CA"/>
        </w:rPr>
        <w:t xml:space="preserve"> a train:</w:t>
      </w:r>
    </w:p>
    <w:p w14:paraId="035D6B80" w14:textId="27024FB7" w:rsidR="00812114" w:rsidRPr="009A1394" w:rsidRDefault="00812114" w:rsidP="00B84769">
      <w:pPr>
        <w:pStyle w:val="Citationenretrai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60B0A2A3" w14:textId="0B8F4770" w:rsidR="00702A59" w:rsidRPr="009A1394" w:rsidRDefault="00BD3B30" w:rsidP="00B84769">
      <w:pPr>
        <w:pStyle w:val="Citationenretrait"/>
        <w:rPr>
          <w:color w:val="000000" w:themeColor="text1"/>
          <w:lang w:val="en-CA"/>
        </w:rPr>
      </w:pPr>
      <w:r w:rsidRPr="009A1394">
        <w:rPr>
          <w:color w:val="000000" w:themeColor="text1"/>
          <w:lang w:val="en-CA"/>
        </w:rPr>
        <w:t>[851]</w:t>
      </w:r>
      <w:r w:rsidR="008161A3" w:rsidRPr="009A1394">
        <w:rPr>
          <w:color w:val="000000" w:themeColor="text1"/>
          <w:lang w:val="en-CA"/>
        </w:rPr>
        <w:tab/>
      </w:r>
      <w:r w:rsidRPr="009A1394">
        <w:rPr>
          <w:color w:val="000000" w:themeColor="text1"/>
          <w:lang w:val="en-CA"/>
        </w:rPr>
        <w:t xml:space="preserve">The evidence adduced by the plaintiffs and the arguments subsequently raised </w:t>
      </w:r>
      <w:r w:rsidR="00677660" w:rsidRPr="009A1394">
        <w:rPr>
          <w:color w:val="000000" w:themeColor="text1"/>
          <w:lang w:val="en-CA"/>
        </w:rPr>
        <w:t>with regard to</w:t>
      </w:r>
      <w:r w:rsidRPr="009A1394">
        <w:rPr>
          <w:color w:val="000000" w:themeColor="text1"/>
          <w:lang w:val="en-CA"/>
        </w:rPr>
        <w:t xml:space="preserve"> CP’s lack of a risk assessment process before proceeding with the transport of crude oil from the American and Canadian West to New Brunswick, do not </w:t>
      </w:r>
      <w:r w:rsidR="00677660" w:rsidRPr="009A1394">
        <w:rPr>
          <w:color w:val="000000" w:themeColor="text1"/>
          <w:lang w:val="en-CA"/>
        </w:rPr>
        <w:t>support a finding</w:t>
      </w:r>
      <w:r w:rsidRPr="009A1394">
        <w:rPr>
          <w:color w:val="000000" w:themeColor="text1"/>
          <w:lang w:val="en-CA"/>
        </w:rPr>
        <w:t xml:space="preserve">, on a balance of </w:t>
      </w:r>
      <w:r w:rsidR="00BF30B7" w:rsidRPr="009A1394">
        <w:rPr>
          <w:color w:val="000000" w:themeColor="text1"/>
          <w:lang w:val="en-CA"/>
        </w:rPr>
        <w:t>probabilities</w:t>
      </w:r>
      <w:r w:rsidRPr="009A1394">
        <w:rPr>
          <w:color w:val="000000" w:themeColor="text1"/>
          <w:lang w:val="en-CA"/>
        </w:rPr>
        <w:t xml:space="preserve">, that such an assessment would </w:t>
      </w:r>
      <w:r w:rsidR="00BF30B7" w:rsidRPr="009A1394">
        <w:rPr>
          <w:color w:val="000000" w:themeColor="text1"/>
          <w:lang w:val="en-CA"/>
        </w:rPr>
        <w:t>have</w:t>
      </w:r>
      <w:r w:rsidRPr="009A1394">
        <w:rPr>
          <w:color w:val="000000" w:themeColor="text1"/>
          <w:lang w:val="en-CA"/>
        </w:rPr>
        <w:t xml:space="preserve"> allowed CP to </w:t>
      </w:r>
      <w:r w:rsidR="00677660" w:rsidRPr="009A1394">
        <w:rPr>
          <w:color w:val="000000" w:themeColor="text1"/>
          <w:lang w:val="en-CA"/>
        </w:rPr>
        <w:t>know</w:t>
      </w:r>
      <w:r w:rsidRPr="009A1394">
        <w:rPr>
          <w:color w:val="000000" w:themeColor="text1"/>
          <w:lang w:val="en-CA"/>
        </w:rPr>
        <w:t xml:space="preserve"> MMA’s </w:t>
      </w:r>
      <w:r w:rsidR="00BF30B7" w:rsidRPr="009A1394">
        <w:rPr>
          <w:color w:val="000000" w:themeColor="text1"/>
          <w:lang w:val="en-CA"/>
        </w:rPr>
        <w:t>specific</w:t>
      </w:r>
      <w:r w:rsidRPr="009A1394">
        <w:rPr>
          <w:color w:val="000000" w:themeColor="text1"/>
          <w:lang w:val="en-CA"/>
        </w:rPr>
        <w:t xml:space="preserve"> operational practices and </w:t>
      </w:r>
      <w:r w:rsidR="00677660" w:rsidRPr="009A1394">
        <w:rPr>
          <w:color w:val="000000" w:themeColor="text1"/>
          <w:lang w:val="en-CA"/>
        </w:rPr>
        <w:t>be apprised of</w:t>
      </w:r>
      <w:r w:rsidRPr="009A1394">
        <w:rPr>
          <w:color w:val="000000" w:themeColor="text1"/>
          <w:lang w:val="en-CA"/>
        </w:rPr>
        <w:t xml:space="preserve"> the risk that MMA employees </w:t>
      </w:r>
      <w:r w:rsidR="00677660" w:rsidRPr="009A1394">
        <w:rPr>
          <w:color w:val="000000" w:themeColor="text1"/>
          <w:lang w:val="en-CA"/>
        </w:rPr>
        <w:t>would</w:t>
      </w:r>
      <w:r w:rsidRPr="009A1394">
        <w:rPr>
          <w:color w:val="000000" w:themeColor="text1"/>
          <w:lang w:val="en-CA"/>
        </w:rPr>
        <w:t xml:space="preserve"> not follow the </w:t>
      </w:r>
      <w:r w:rsidR="00EF540B" w:rsidRPr="009A1394">
        <w:rPr>
          <w:color w:val="000000" w:themeColor="text1"/>
          <w:lang w:val="en-CA"/>
        </w:rPr>
        <w:t>basic safety</w:t>
      </w:r>
      <w:r w:rsidRPr="009A1394">
        <w:rPr>
          <w:color w:val="000000" w:themeColor="text1"/>
          <w:lang w:val="en-CA"/>
        </w:rPr>
        <w:t xml:space="preserve"> rules </w:t>
      </w:r>
      <w:r w:rsidR="00EF540B" w:rsidRPr="009A1394">
        <w:rPr>
          <w:color w:val="000000" w:themeColor="text1"/>
          <w:lang w:val="en-CA"/>
        </w:rPr>
        <w:t>as to</w:t>
      </w:r>
      <w:r w:rsidR="00D62C43" w:rsidRPr="009A1394">
        <w:rPr>
          <w:color w:val="000000" w:themeColor="text1"/>
          <w:lang w:val="en-CA"/>
        </w:rPr>
        <w:t xml:space="preserve"> the use of</w:t>
      </w:r>
      <w:r w:rsidRPr="009A1394">
        <w:rPr>
          <w:color w:val="000000" w:themeColor="text1"/>
          <w:lang w:val="en-CA"/>
        </w:rPr>
        <w:t xml:space="preserve"> </w:t>
      </w:r>
      <w:r w:rsidR="000A42A7" w:rsidRPr="009A1394">
        <w:rPr>
          <w:color w:val="000000" w:themeColor="text1"/>
          <w:lang w:val="en-CA"/>
        </w:rPr>
        <w:t>hand brake</w:t>
      </w:r>
      <w:r w:rsidRPr="009A1394">
        <w:rPr>
          <w:color w:val="000000" w:themeColor="text1"/>
          <w:lang w:val="en-CA"/>
        </w:rPr>
        <w:t>s.</w:t>
      </w:r>
    </w:p>
    <w:p w14:paraId="3D91741F" w14:textId="12B449B7" w:rsidR="00210C4B" w:rsidRPr="009A1394" w:rsidRDefault="00BD3B30" w:rsidP="00B84769">
      <w:pPr>
        <w:pStyle w:val="Paragraphe"/>
        <w:numPr>
          <w:ilvl w:val="0"/>
          <w:numId w:val="1"/>
        </w:numPr>
        <w:rPr>
          <w:color w:val="000000" w:themeColor="text1"/>
          <w:szCs w:val="24"/>
          <w:lang w:val="en-CA"/>
        </w:rPr>
      </w:pPr>
      <w:r w:rsidRPr="009A1394">
        <w:rPr>
          <w:color w:val="000000" w:themeColor="text1"/>
          <w:szCs w:val="24"/>
          <w:lang w:val="en-CA"/>
        </w:rPr>
        <w:t xml:space="preserve">Accordingly, even if the appellants had been able to show that the judge had erred in concluding that CP had no obligation to </w:t>
      </w:r>
      <w:r w:rsidR="00640695" w:rsidRPr="009A1394">
        <w:rPr>
          <w:color w:val="000000" w:themeColor="text1"/>
          <w:szCs w:val="24"/>
          <w:lang w:val="en-CA"/>
        </w:rPr>
        <w:t>conduct</w:t>
      </w:r>
      <w:r w:rsidR="00154E9B" w:rsidRPr="009A1394">
        <w:rPr>
          <w:color w:val="000000" w:themeColor="text1"/>
          <w:szCs w:val="24"/>
          <w:lang w:val="en-CA"/>
        </w:rPr>
        <w:t xml:space="preserve"> a</w:t>
      </w:r>
      <w:r w:rsidRPr="009A1394">
        <w:rPr>
          <w:color w:val="000000" w:themeColor="text1"/>
          <w:szCs w:val="24"/>
          <w:lang w:val="en-CA"/>
        </w:rPr>
        <w:t xml:space="preserve"> risk assessment </w:t>
      </w:r>
      <w:r w:rsidR="00154E9B" w:rsidRPr="009A1394">
        <w:rPr>
          <w:color w:val="000000" w:themeColor="text1"/>
          <w:szCs w:val="24"/>
          <w:lang w:val="en-CA"/>
        </w:rPr>
        <w:t>with respect to</w:t>
      </w:r>
      <w:r w:rsidRPr="009A1394">
        <w:rPr>
          <w:color w:val="000000" w:themeColor="text1"/>
          <w:szCs w:val="24"/>
          <w:lang w:val="en-CA"/>
        </w:rPr>
        <w:t xml:space="preserve"> MMA, this error would not have been determinative.</w:t>
      </w:r>
    </w:p>
    <w:p w14:paraId="5B1540A4" w14:textId="1B0C1651" w:rsidR="002C04D1" w:rsidRPr="009A1394" w:rsidRDefault="00677660" w:rsidP="007971BA">
      <w:pPr>
        <w:pStyle w:val="Titre2"/>
        <w:rPr>
          <w:lang w:val="en-CA"/>
        </w:rPr>
      </w:pPr>
      <w:r w:rsidRPr="009A1394">
        <w:rPr>
          <w:lang w:val="en-CA"/>
        </w:rPr>
        <w:t xml:space="preserve">Did the judge </w:t>
      </w:r>
      <w:r w:rsidR="00B70784" w:rsidRPr="009A1394">
        <w:rPr>
          <w:lang w:val="en-CA"/>
        </w:rPr>
        <w:t>err in finding</w:t>
      </w:r>
      <w:r w:rsidRPr="009A1394">
        <w:rPr>
          <w:lang w:val="en-CA"/>
        </w:rPr>
        <w:t xml:space="preserve"> that CP committed no fault in retaining MMA as a connecting carrier</w:t>
      </w:r>
      <w:r w:rsidR="00576187" w:rsidRPr="009A1394">
        <w:rPr>
          <w:lang w:val="en-CA"/>
        </w:rPr>
        <w:t>?</w:t>
      </w:r>
    </w:p>
    <w:p w14:paraId="792F7200" w14:textId="65E52C58" w:rsidR="002C04D1" w:rsidRPr="009A1394" w:rsidRDefault="00BD3B30" w:rsidP="009500E5">
      <w:pPr>
        <w:pStyle w:val="Paragraphe"/>
        <w:keepNext/>
        <w:numPr>
          <w:ilvl w:val="0"/>
          <w:numId w:val="1"/>
        </w:numPr>
        <w:rPr>
          <w:color w:val="000000" w:themeColor="text1"/>
          <w:szCs w:val="24"/>
          <w:lang w:val="en-CA"/>
        </w:rPr>
      </w:pPr>
      <w:r w:rsidRPr="009A1394">
        <w:rPr>
          <w:lang w:val="en-CA"/>
        </w:rPr>
        <w:t>The appellants</w:t>
      </w:r>
      <w:r w:rsidR="00FD08FD" w:rsidRPr="009A1394">
        <w:rPr>
          <w:lang w:val="en-CA"/>
        </w:rPr>
        <w:t xml:space="preserve"> </w:t>
      </w:r>
      <w:r w:rsidR="009D5EF3" w:rsidRPr="009A1394">
        <w:rPr>
          <w:lang w:val="en-CA"/>
        </w:rPr>
        <w:t>address</w:t>
      </w:r>
      <w:r w:rsidR="00154E9B" w:rsidRPr="009A1394">
        <w:rPr>
          <w:lang w:val="en-CA"/>
        </w:rPr>
        <w:t xml:space="preserve"> </w:t>
      </w:r>
      <w:r w:rsidRPr="009A1394">
        <w:rPr>
          <w:lang w:val="en-CA"/>
        </w:rPr>
        <w:t xml:space="preserve">this </w:t>
      </w:r>
      <w:r w:rsidR="00D66436" w:rsidRPr="009A1394">
        <w:rPr>
          <w:lang w:val="en-CA"/>
        </w:rPr>
        <w:t>question</w:t>
      </w:r>
      <w:r w:rsidRPr="009A1394">
        <w:rPr>
          <w:lang w:val="en-CA"/>
        </w:rPr>
        <w:t xml:space="preserve"> </w:t>
      </w:r>
      <w:r w:rsidR="008525E6" w:rsidRPr="009A1394">
        <w:rPr>
          <w:lang w:val="en-CA"/>
        </w:rPr>
        <w:t>under</w:t>
      </w:r>
      <w:r w:rsidR="00154E9B" w:rsidRPr="009A1394">
        <w:rPr>
          <w:lang w:val="en-CA"/>
        </w:rPr>
        <w:t xml:space="preserve"> </w:t>
      </w:r>
      <w:r w:rsidRPr="009A1394">
        <w:rPr>
          <w:lang w:val="en-CA"/>
        </w:rPr>
        <w:t>two</w:t>
      </w:r>
      <w:r w:rsidR="00FD08FD" w:rsidRPr="009A1394">
        <w:rPr>
          <w:lang w:val="en-CA"/>
        </w:rPr>
        <w:t xml:space="preserve"> </w:t>
      </w:r>
      <w:r w:rsidR="008525E6" w:rsidRPr="009A1394">
        <w:rPr>
          <w:lang w:val="en-CA"/>
        </w:rPr>
        <w:t>heading</w:t>
      </w:r>
      <w:r w:rsidR="009D5EF3" w:rsidRPr="009A1394">
        <w:rPr>
          <w:lang w:val="en-CA"/>
        </w:rPr>
        <w:t>s</w:t>
      </w:r>
      <w:r w:rsidRPr="009A1394">
        <w:rPr>
          <w:lang w:val="en-CA"/>
        </w:rPr>
        <w:t>:</w:t>
      </w:r>
    </w:p>
    <w:p w14:paraId="6C06BC28" w14:textId="6055C0BB" w:rsidR="002C04D1" w:rsidRPr="009A1394" w:rsidRDefault="00BD3B30" w:rsidP="004B1090">
      <w:pPr>
        <w:pStyle w:val="Paragraphe"/>
        <w:keepNext/>
        <w:numPr>
          <w:ilvl w:val="0"/>
          <w:numId w:val="17"/>
        </w:numPr>
        <w:tabs>
          <w:tab w:val="left" w:pos="1077"/>
        </w:tabs>
        <w:ind w:left="1077" w:hanging="357"/>
        <w:rPr>
          <w:color w:val="000000" w:themeColor="text1"/>
          <w:szCs w:val="24"/>
          <w:lang w:val="en-CA"/>
        </w:rPr>
      </w:pPr>
      <w:r w:rsidRPr="009A1394">
        <w:rPr>
          <w:color w:val="000000" w:themeColor="text1"/>
          <w:szCs w:val="24"/>
          <w:lang w:val="en-CA"/>
        </w:rPr>
        <w:t xml:space="preserve">Did the judge </w:t>
      </w:r>
      <w:r w:rsidR="00B70784" w:rsidRPr="009A1394">
        <w:rPr>
          <w:color w:val="000000" w:themeColor="text1"/>
          <w:szCs w:val="24"/>
          <w:lang w:val="en-CA"/>
        </w:rPr>
        <w:t>err in finding</w:t>
      </w:r>
      <w:r w:rsidRPr="009A1394">
        <w:rPr>
          <w:color w:val="000000" w:themeColor="text1"/>
          <w:szCs w:val="24"/>
          <w:lang w:val="en-CA"/>
        </w:rPr>
        <w:t xml:space="preserve"> that CP did not have to ensure that MMA was able </w:t>
      </w:r>
      <w:r w:rsidR="009D5EF3" w:rsidRPr="009A1394">
        <w:rPr>
          <w:color w:val="000000" w:themeColor="text1"/>
          <w:szCs w:val="24"/>
          <w:lang w:val="en-CA"/>
        </w:rPr>
        <w:t>to</w:t>
      </w:r>
      <w:r w:rsidRPr="009A1394">
        <w:rPr>
          <w:color w:val="000000" w:themeColor="text1"/>
          <w:szCs w:val="24"/>
          <w:lang w:val="en-CA"/>
        </w:rPr>
        <w:t xml:space="preserve"> safely and securely </w:t>
      </w:r>
      <w:r w:rsidR="009D5EF3" w:rsidRPr="009A1394">
        <w:rPr>
          <w:color w:val="000000" w:themeColor="text1"/>
          <w:szCs w:val="24"/>
          <w:lang w:val="en-CA"/>
        </w:rPr>
        <w:t>take charge of</w:t>
      </w:r>
      <w:r w:rsidRPr="009A1394">
        <w:rPr>
          <w:color w:val="000000" w:themeColor="text1"/>
          <w:szCs w:val="24"/>
          <w:lang w:val="en-CA"/>
        </w:rPr>
        <w:t xml:space="preserve"> the crude oil cargo that CP intended to entrust to </w:t>
      </w:r>
      <w:r w:rsidR="00296FB5" w:rsidRPr="009A1394">
        <w:rPr>
          <w:color w:val="000000" w:themeColor="text1"/>
          <w:szCs w:val="24"/>
          <w:lang w:val="en-CA"/>
        </w:rPr>
        <w:t>it</w:t>
      </w:r>
      <w:r w:rsidR="00D27136" w:rsidRPr="009A1394">
        <w:rPr>
          <w:color w:val="000000" w:themeColor="text1"/>
          <w:szCs w:val="24"/>
          <w:lang w:val="en-CA"/>
        </w:rPr>
        <w:t>?</w:t>
      </w:r>
    </w:p>
    <w:p w14:paraId="69ED3E49" w14:textId="54CFB606" w:rsidR="00D82855" w:rsidRPr="009A1394" w:rsidRDefault="00BD3B30" w:rsidP="004B1090">
      <w:pPr>
        <w:pStyle w:val="Paragraphe"/>
        <w:keepNext/>
        <w:numPr>
          <w:ilvl w:val="0"/>
          <w:numId w:val="17"/>
        </w:numPr>
        <w:tabs>
          <w:tab w:val="left" w:pos="1077"/>
        </w:tabs>
        <w:ind w:left="1077" w:hanging="357"/>
        <w:rPr>
          <w:color w:val="000000" w:themeColor="text1"/>
          <w:szCs w:val="24"/>
          <w:lang w:val="en-CA"/>
        </w:rPr>
      </w:pPr>
      <w:r w:rsidRPr="009A1394">
        <w:rPr>
          <w:color w:val="000000" w:themeColor="text1"/>
          <w:szCs w:val="24"/>
          <w:lang w:val="en-CA"/>
        </w:rPr>
        <w:t xml:space="preserve">Did the </w:t>
      </w:r>
      <w:r w:rsidR="00296FB5" w:rsidRPr="009A1394">
        <w:rPr>
          <w:color w:val="000000" w:themeColor="text1"/>
          <w:szCs w:val="24"/>
          <w:lang w:val="en-CA"/>
        </w:rPr>
        <w:t>judge</w:t>
      </w:r>
      <w:r w:rsidRPr="009A1394">
        <w:rPr>
          <w:color w:val="000000" w:themeColor="text1"/>
          <w:szCs w:val="24"/>
          <w:lang w:val="en-CA"/>
        </w:rPr>
        <w:t xml:space="preserve"> </w:t>
      </w:r>
      <w:r w:rsidR="00B70784" w:rsidRPr="009A1394">
        <w:rPr>
          <w:color w:val="000000" w:themeColor="text1"/>
          <w:szCs w:val="24"/>
          <w:lang w:val="en-CA"/>
        </w:rPr>
        <w:t>err in finding</w:t>
      </w:r>
      <w:r w:rsidRPr="009A1394">
        <w:rPr>
          <w:color w:val="000000" w:themeColor="text1"/>
          <w:szCs w:val="24"/>
          <w:lang w:val="en-CA"/>
        </w:rPr>
        <w:t xml:space="preserve"> that CP had no reason to doubt MMA’s ability to safely and securely take charge of </w:t>
      </w:r>
      <w:r w:rsidR="00296FB5" w:rsidRPr="009A1394">
        <w:rPr>
          <w:color w:val="000000" w:themeColor="text1"/>
          <w:szCs w:val="24"/>
          <w:lang w:val="en-CA"/>
        </w:rPr>
        <w:t>the</w:t>
      </w:r>
      <w:r w:rsidRPr="009A1394">
        <w:rPr>
          <w:color w:val="000000" w:themeColor="text1"/>
          <w:szCs w:val="24"/>
          <w:lang w:val="en-CA"/>
        </w:rPr>
        <w:t xml:space="preserve"> crude oil cargo?</w:t>
      </w:r>
    </w:p>
    <w:p w14:paraId="3F86EB98" w14:textId="3F86FA31" w:rsidR="003F6371" w:rsidRPr="009A1394" w:rsidRDefault="00BD3B30" w:rsidP="004B1090">
      <w:pPr>
        <w:pStyle w:val="Titre3"/>
        <w:keepNext w:val="0"/>
        <w:rPr>
          <w:lang w:val="en-CA"/>
        </w:rPr>
      </w:pPr>
      <w:r w:rsidRPr="009A1394">
        <w:rPr>
          <w:lang w:val="en-CA"/>
        </w:rPr>
        <w:t xml:space="preserve">Appellants’ position </w:t>
      </w:r>
      <w:r w:rsidR="008525E6" w:rsidRPr="009A1394">
        <w:rPr>
          <w:lang w:val="en-CA"/>
        </w:rPr>
        <w:t>on</w:t>
      </w:r>
      <w:r w:rsidRPr="009A1394">
        <w:rPr>
          <w:lang w:val="en-CA"/>
        </w:rPr>
        <w:t xml:space="preserve"> the first </w:t>
      </w:r>
      <w:r w:rsidR="008525E6" w:rsidRPr="009A1394">
        <w:rPr>
          <w:lang w:val="en-CA"/>
        </w:rPr>
        <w:t>heading</w:t>
      </w:r>
    </w:p>
    <w:p w14:paraId="686B1187" w14:textId="037845F1" w:rsidR="00702A59" w:rsidRPr="009A1394" w:rsidRDefault="00BD3B30" w:rsidP="004B1090">
      <w:pPr>
        <w:pStyle w:val="Paragraphe"/>
        <w:numPr>
          <w:ilvl w:val="0"/>
          <w:numId w:val="1"/>
        </w:numPr>
        <w:rPr>
          <w:color w:val="000000" w:themeColor="text1"/>
          <w:szCs w:val="24"/>
          <w:lang w:val="en-CA"/>
        </w:rPr>
      </w:pPr>
      <w:r w:rsidRPr="009A1394">
        <w:rPr>
          <w:color w:val="000000" w:themeColor="text1"/>
          <w:szCs w:val="24"/>
          <w:lang w:val="en-CA"/>
        </w:rPr>
        <w:t xml:space="preserve">The appellants argue that the judge </w:t>
      </w:r>
      <w:r w:rsidR="0088510A" w:rsidRPr="009A1394">
        <w:rPr>
          <w:color w:val="000000" w:themeColor="text1"/>
          <w:szCs w:val="24"/>
          <w:lang w:val="en-CA"/>
        </w:rPr>
        <w:t>erred in</w:t>
      </w:r>
      <w:r w:rsidRPr="009A1394">
        <w:rPr>
          <w:color w:val="000000" w:themeColor="text1"/>
          <w:szCs w:val="24"/>
          <w:lang w:val="en-CA"/>
        </w:rPr>
        <w:t xml:space="preserve"> failing to acknowledge that CP had a duty to ensure that MMA was able to safely and securely take charge of the crude oil cargo that CP intended to entrust to </w:t>
      </w:r>
      <w:r w:rsidR="008079A8" w:rsidRPr="009A1394">
        <w:rPr>
          <w:color w:val="000000" w:themeColor="text1"/>
          <w:szCs w:val="24"/>
          <w:lang w:val="en-CA"/>
        </w:rPr>
        <w:t>it</w:t>
      </w:r>
      <w:r w:rsidRPr="009A1394">
        <w:rPr>
          <w:color w:val="000000" w:themeColor="text1"/>
          <w:szCs w:val="24"/>
          <w:lang w:val="en-CA"/>
        </w:rPr>
        <w:t>.</w:t>
      </w:r>
      <w:r w:rsidR="008161A3" w:rsidRPr="009A1394">
        <w:rPr>
          <w:color w:val="000000" w:themeColor="text1"/>
          <w:szCs w:val="24"/>
          <w:lang w:val="en-CA"/>
        </w:rPr>
        <w:t xml:space="preserve"> </w:t>
      </w:r>
      <w:r w:rsidRPr="009A1394">
        <w:rPr>
          <w:color w:val="000000" w:themeColor="text1"/>
          <w:szCs w:val="24"/>
          <w:lang w:val="en-CA"/>
        </w:rPr>
        <w:t xml:space="preserve">They maintain that such a duty arises from section 114 of the </w:t>
      </w:r>
      <w:r w:rsidRPr="009A1394">
        <w:rPr>
          <w:i/>
          <w:iCs/>
          <w:color w:val="000000" w:themeColor="text1"/>
          <w:szCs w:val="24"/>
          <w:lang w:val="en-CA"/>
        </w:rPr>
        <w:t>Canada Transportation Act</w:t>
      </w:r>
      <w:r w:rsidRPr="009A1394">
        <w:rPr>
          <w:color w:val="000000" w:themeColor="text1"/>
          <w:szCs w:val="24"/>
          <w:lang w:val="en-CA"/>
        </w:rPr>
        <w:t xml:space="preserve"> (</w:t>
      </w:r>
      <w:r w:rsidR="008079A8" w:rsidRPr="009A1394">
        <w:rPr>
          <w:color w:val="000000" w:themeColor="text1"/>
          <w:szCs w:val="24"/>
          <w:lang w:val="en-CA"/>
        </w:rPr>
        <w:t>“</w:t>
      </w:r>
      <w:r w:rsidRPr="009A1394">
        <w:rPr>
          <w:b/>
          <w:bCs/>
          <w:i/>
          <w:iCs/>
          <w:color w:val="000000" w:themeColor="text1"/>
          <w:szCs w:val="24"/>
          <w:lang w:val="en-CA"/>
        </w:rPr>
        <w:t>Canada Transportation Act</w:t>
      </w:r>
      <w:r w:rsidRPr="009A1394">
        <w:rPr>
          <w:color w:val="000000" w:themeColor="text1"/>
          <w:szCs w:val="24"/>
          <w:lang w:val="en-CA"/>
        </w:rPr>
        <w:t>”).</w:t>
      </w:r>
      <w:r w:rsidRPr="009A1394">
        <w:rPr>
          <w:rStyle w:val="Appelnotedebasdep"/>
          <w:color w:val="000000" w:themeColor="text1"/>
          <w:szCs w:val="24"/>
          <w:lang w:val="en-CA"/>
        </w:rPr>
        <w:footnoteReference w:id="207"/>
      </w:r>
      <w:r w:rsidR="008161A3" w:rsidRPr="009A1394">
        <w:rPr>
          <w:color w:val="000000" w:themeColor="text1"/>
          <w:szCs w:val="24"/>
          <w:lang w:val="en-CA"/>
        </w:rPr>
        <w:t xml:space="preserve"> </w:t>
      </w:r>
      <w:r w:rsidRPr="009A1394">
        <w:rPr>
          <w:szCs w:val="24"/>
          <w:lang w:val="en-CA"/>
        </w:rPr>
        <w:t>In particular, they argue that by offering WFS a through traffic rate, CP took on the responsibility of ensuring a continuous</w:t>
      </w:r>
      <w:r w:rsidR="007E7AEA" w:rsidRPr="009A1394">
        <w:rPr>
          <w:szCs w:val="24"/>
          <w:lang w:val="en-CA"/>
        </w:rPr>
        <w:t xml:space="preserve"> and unobstructed</w:t>
      </w:r>
      <w:r w:rsidRPr="009A1394">
        <w:rPr>
          <w:szCs w:val="24"/>
          <w:lang w:val="en-CA"/>
        </w:rPr>
        <w:t xml:space="preserve"> transportation line from North Dakota to New Brunswick.</w:t>
      </w:r>
      <w:r w:rsidR="008161A3" w:rsidRPr="009A1394">
        <w:rPr>
          <w:color w:val="000000" w:themeColor="text1"/>
          <w:szCs w:val="24"/>
          <w:lang w:val="en-CA"/>
        </w:rPr>
        <w:t xml:space="preserve"> </w:t>
      </w:r>
      <w:r w:rsidRPr="009A1394">
        <w:rPr>
          <w:color w:val="000000" w:themeColor="text1"/>
          <w:szCs w:val="24"/>
          <w:lang w:val="en-CA"/>
        </w:rPr>
        <w:t xml:space="preserve">They say </w:t>
      </w:r>
      <w:r w:rsidR="008079A8" w:rsidRPr="009A1394">
        <w:rPr>
          <w:color w:val="000000" w:themeColor="text1"/>
          <w:szCs w:val="24"/>
          <w:lang w:val="en-CA"/>
        </w:rPr>
        <w:t>that</w:t>
      </w:r>
      <w:r w:rsidRPr="009A1394">
        <w:rPr>
          <w:color w:val="000000" w:themeColor="text1"/>
          <w:szCs w:val="24"/>
          <w:lang w:val="en-CA"/>
        </w:rPr>
        <w:t xml:space="preserve"> this responsibility </w:t>
      </w:r>
      <w:r w:rsidR="008079A8" w:rsidRPr="009A1394">
        <w:rPr>
          <w:color w:val="000000" w:themeColor="text1"/>
          <w:szCs w:val="24"/>
          <w:lang w:val="en-CA"/>
        </w:rPr>
        <w:t>meant that</w:t>
      </w:r>
      <w:r w:rsidRPr="009A1394">
        <w:rPr>
          <w:color w:val="000000" w:themeColor="text1"/>
          <w:szCs w:val="24"/>
          <w:lang w:val="en-CA"/>
        </w:rPr>
        <w:t xml:space="preserve"> CP ha</w:t>
      </w:r>
      <w:r w:rsidR="008079A8" w:rsidRPr="009A1394">
        <w:rPr>
          <w:color w:val="000000" w:themeColor="text1"/>
          <w:szCs w:val="24"/>
          <w:lang w:val="en-CA"/>
        </w:rPr>
        <w:t>d</w:t>
      </w:r>
      <w:r w:rsidRPr="009A1394">
        <w:rPr>
          <w:color w:val="000000" w:themeColor="text1"/>
          <w:szCs w:val="24"/>
          <w:lang w:val="en-CA"/>
        </w:rPr>
        <w:t xml:space="preserve"> the obligation </w:t>
      </w:r>
      <w:r w:rsidR="00C228B3" w:rsidRPr="009A1394">
        <w:rPr>
          <w:color w:val="000000" w:themeColor="text1"/>
          <w:szCs w:val="24"/>
          <w:lang w:val="en-CA"/>
        </w:rPr>
        <w:t>of</w:t>
      </w:r>
      <w:r w:rsidR="007E7AEA" w:rsidRPr="009A1394">
        <w:rPr>
          <w:color w:val="000000" w:themeColor="text1"/>
          <w:szCs w:val="24"/>
          <w:lang w:val="en-CA"/>
        </w:rPr>
        <w:t xml:space="preserve"> ensur</w:t>
      </w:r>
      <w:r w:rsidR="00C228B3" w:rsidRPr="009A1394">
        <w:rPr>
          <w:color w:val="000000" w:themeColor="text1"/>
          <w:szCs w:val="24"/>
          <w:lang w:val="en-CA"/>
        </w:rPr>
        <w:t>ing</w:t>
      </w:r>
      <w:r w:rsidR="007E7AEA" w:rsidRPr="009A1394">
        <w:rPr>
          <w:color w:val="000000" w:themeColor="text1"/>
          <w:szCs w:val="24"/>
          <w:lang w:val="en-CA"/>
        </w:rPr>
        <w:t xml:space="preserve"> </w:t>
      </w:r>
      <w:r w:rsidRPr="009A1394">
        <w:rPr>
          <w:color w:val="000000" w:themeColor="text1"/>
          <w:szCs w:val="24"/>
          <w:lang w:val="en-CA"/>
        </w:rPr>
        <w:t>that the cargo would be</w:t>
      </w:r>
      <w:r w:rsidR="0088510A" w:rsidRPr="009A1394">
        <w:rPr>
          <w:color w:val="000000" w:themeColor="text1"/>
          <w:szCs w:val="24"/>
          <w:lang w:val="en-CA"/>
        </w:rPr>
        <w:t xml:space="preserve"> </w:t>
      </w:r>
      <w:r w:rsidR="00E81BC8" w:rsidRPr="009A1394">
        <w:rPr>
          <w:color w:val="000000" w:themeColor="text1"/>
          <w:szCs w:val="24"/>
          <w:lang w:val="en-CA"/>
        </w:rPr>
        <w:t>handled</w:t>
      </w:r>
      <w:r w:rsidRPr="009A1394">
        <w:rPr>
          <w:color w:val="000000" w:themeColor="text1"/>
          <w:szCs w:val="24"/>
          <w:lang w:val="en-CA"/>
        </w:rPr>
        <w:t xml:space="preserve"> safely and securely </w:t>
      </w:r>
      <w:r w:rsidR="0088510A" w:rsidRPr="009A1394">
        <w:rPr>
          <w:color w:val="000000" w:themeColor="text1"/>
          <w:szCs w:val="24"/>
          <w:lang w:val="en-CA"/>
        </w:rPr>
        <w:t>along the entire route</w:t>
      </w:r>
      <w:r w:rsidRPr="009A1394">
        <w:rPr>
          <w:color w:val="000000" w:themeColor="text1"/>
          <w:szCs w:val="24"/>
          <w:lang w:val="en-CA"/>
        </w:rPr>
        <w:t>, including on MMA’s tracks.</w:t>
      </w:r>
      <w:r w:rsidR="008161A3" w:rsidRPr="009A1394">
        <w:rPr>
          <w:color w:val="000000" w:themeColor="text1"/>
          <w:szCs w:val="24"/>
          <w:lang w:val="en-CA"/>
        </w:rPr>
        <w:t xml:space="preserve"> </w:t>
      </w:r>
      <w:r w:rsidRPr="009A1394">
        <w:rPr>
          <w:color w:val="000000" w:themeColor="text1"/>
          <w:szCs w:val="24"/>
          <w:lang w:val="en-CA"/>
        </w:rPr>
        <w:t xml:space="preserve">In support of </w:t>
      </w:r>
      <w:r w:rsidR="007E7AEA" w:rsidRPr="009A1394">
        <w:rPr>
          <w:color w:val="000000" w:themeColor="text1"/>
          <w:szCs w:val="24"/>
          <w:lang w:val="en-CA"/>
        </w:rPr>
        <w:t xml:space="preserve">their </w:t>
      </w:r>
      <w:r w:rsidRPr="009A1394">
        <w:rPr>
          <w:color w:val="000000" w:themeColor="text1"/>
          <w:szCs w:val="24"/>
          <w:lang w:val="en-CA"/>
        </w:rPr>
        <w:t xml:space="preserve">position, they </w:t>
      </w:r>
      <w:r w:rsidR="007E7AEA" w:rsidRPr="009A1394">
        <w:rPr>
          <w:color w:val="000000" w:themeColor="text1"/>
          <w:szCs w:val="24"/>
          <w:lang w:val="en-CA"/>
        </w:rPr>
        <w:t xml:space="preserve">rely on </w:t>
      </w:r>
      <w:r w:rsidRPr="009A1394">
        <w:rPr>
          <w:color w:val="000000" w:themeColor="text1"/>
          <w:szCs w:val="24"/>
          <w:lang w:val="en-CA"/>
        </w:rPr>
        <w:t xml:space="preserve">section 5 of the </w:t>
      </w:r>
      <w:r w:rsidRPr="009A1394">
        <w:rPr>
          <w:i/>
          <w:iCs/>
          <w:color w:val="000000" w:themeColor="text1"/>
          <w:szCs w:val="24"/>
          <w:lang w:val="en-CA"/>
        </w:rPr>
        <w:t xml:space="preserve">Canada </w:t>
      </w:r>
      <w:r w:rsidRPr="009A1394">
        <w:rPr>
          <w:i/>
          <w:iCs/>
          <w:color w:val="000000" w:themeColor="text1"/>
          <w:szCs w:val="24"/>
          <w:lang w:val="en-CA"/>
        </w:rPr>
        <w:lastRenderedPageBreak/>
        <w:t>Transportation Act</w:t>
      </w:r>
      <w:r w:rsidRPr="009A1394">
        <w:rPr>
          <w:color w:val="000000" w:themeColor="text1"/>
          <w:szCs w:val="24"/>
          <w:lang w:val="en-CA"/>
        </w:rPr>
        <w:t xml:space="preserve"> </w:t>
      </w:r>
      <w:r w:rsidR="006B0853" w:rsidRPr="009A1394">
        <w:rPr>
          <w:color w:val="000000" w:themeColor="text1"/>
          <w:szCs w:val="24"/>
          <w:lang w:val="en-CA"/>
        </w:rPr>
        <w:t>and</w:t>
      </w:r>
      <w:r w:rsidRPr="009A1394">
        <w:rPr>
          <w:color w:val="000000" w:themeColor="text1"/>
          <w:szCs w:val="24"/>
          <w:lang w:val="en-CA"/>
        </w:rPr>
        <w:t xml:space="preserve"> highlight the importance it places on safety and security standards.</w:t>
      </w:r>
    </w:p>
    <w:p w14:paraId="6E8C4C12" w14:textId="3466DA83" w:rsidR="00702A59" w:rsidRPr="009A1394" w:rsidRDefault="00BD3B30" w:rsidP="00B84769">
      <w:pPr>
        <w:pStyle w:val="Paragraphe"/>
        <w:numPr>
          <w:ilvl w:val="0"/>
          <w:numId w:val="1"/>
        </w:numPr>
        <w:rPr>
          <w:color w:val="000000" w:themeColor="text1"/>
          <w:szCs w:val="24"/>
          <w:lang w:val="en-CA"/>
        </w:rPr>
      </w:pPr>
      <w:r w:rsidRPr="009A1394">
        <w:rPr>
          <w:color w:val="000000" w:themeColor="text1"/>
          <w:szCs w:val="24"/>
          <w:lang w:val="en-CA"/>
        </w:rPr>
        <w:t xml:space="preserve">The appellants also argue that to comply with its obligations under the </w:t>
      </w:r>
      <w:r w:rsidRPr="009A1394">
        <w:rPr>
          <w:i/>
          <w:iCs/>
          <w:color w:val="000000" w:themeColor="text1"/>
          <w:szCs w:val="24"/>
          <w:lang w:val="en-CA"/>
        </w:rPr>
        <w:t>Canada Transportation Act</w:t>
      </w:r>
      <w:r w:rsidRPr="009A1394">
        <w:rPr>
          <w:color w:val="000000" w:themeColor="text1"/>
          <w:szCs w:val="24"/>
          <w:lang w:val="en-CA"/>
        </w:rPr>
        <w:t>, CP had a duty to act as</w:t>
      </w:r>
      <w:r w:rsidR="006D3CC7" w:rsidRPr="009A1394">
        <w:rPr>
          <w:color w:val="000000" w:themeColor="text1"/>
          <w:szCs w:val="24"/>
          <w:lang w:val="en-CA"/>
        </w:rPr>
        <w:t xml:space="preserve"> </w:t>
      </w:r>
      <w:r w:rsidR="004821B5" w:rsidRPr="009A1394">
        <w:rPr>
          <w:color w:val="000000" w:themeColor="text1"/>
          <w:szCs w:val="24"/>
          <w:lang w:val="en-CA"/>
        </w:rPr>
        <w:t>a</w:t>
      </w:r>
      <w:r w:rsidRPr="009A1394">
        <w:rPr>
          <w:color w:val="000000" w:themeColor="text1"/>
          <w:szCs w:val="24"/>
          <w:lang w:val="en-CA"/>
        </w:rPr>
        <w:t xml:space="preserve"> prudent and diligent railway company.</w:t>
      </w:r>
      <w:r w:rsidR="008161A3" w:rsidRPr="009A1394">
        <w:rPr>
          <w:color w:val="000000" w:themeColor="text1"/>
          <w:szCs w:val="24"/>
          <w:lang w:val="en-CA"/>
        </w:rPr>
        <w:t xml:space="preserve"> </w:t>
      </w:r>
      <w:r w:rsidRPr="009A1394">
        <w:rPr>
          <w:color w:val="000000" w:themeColor="text1"/>
          <w:szCs w:val="24"/>
          <w:lang w:val="en-CA"/>
        </w:rPr>
        <w:t>The</w:t>
      </w:r>
      <w:r w:rsidR="005B4923" w:rsidRPr="009A1394">
        <w:rPr>
          <w:color w:val="000000" w:themeColor="text1"/>
          <w:szCs w:val="24"/>
          <w:lang w:val="en-CA"/>
        </w:rPr>
        <w:t>y</w:t>
      </w:r>
      <w:r w:rsidR="006D3CC7" w:rsidRPr="009A1394">
        <w:rPr>
          <w:color w:val="000000" w:themeColor="text1"/>
          <w:szCs w:val="24"/>
          <w:lang w:val="en-CA"/>
        </w:rPr>
        <w:t xml:space="preserve"> claim that the</w:t>
      </w:r>
      <w:r w:rsidRPr="009A1394">
        <w:rPr>
          <w:color w:val="000000" w:themeColor="text1"/>
          <w:szCs w:val="24"/>
          <w:lang w:val="en-CA"/>
        </w:rPr>
        <w:t xml:space="preserve"> </w:t>
      </w:r>
      <w:r w:rsidR="006B0853" w:rsidRPr="009A1394">
        <w:rPr>
          <w:color w:val="000000" w:themeColor="text1"/>
          <w:szCs w:val="24"/>
          <w:lang w:val="en-CA"/>
        </w:rPr>
        <w:t>judge</w:t>
      </w:r>
      <w:r w:rsidRPr="009A1394">
        <w:rPr>
          <w:color w:val="000000" w:themeColor="text1"/>
          <w:szCs w:val="24"/>
          <w:lang w:val="en-CA"/>
        </w:rPr>
        <w:t xml:space="preserve"> failed to recognize this </w:t>
      </w:r>
      <w:r w:rsidR="006B0853" w:rsidRPr="009A1394">
        <w:rPr>
          <w:color w:val="000000" w:themeColor="text1"/>
          <w:szCs w:val="24"/>
          <w:lang w:val="en-CA"/>
        </w:rPr>
        <w:t>possibility</w:t>
      </w:r>
      <w:r w:rsidRPr="009A1394">
        <w:rPr>
          <w:color w:val="000000" w:themeColor="text1"/>
          <w:szCs w:val="24"/>
          <w:lang w:val="en-CA"/>
        </w:rPr>
        <w:t xml:space="preserve"> as he considered that </w:t>
      </w:r>
      <w:r w:rsidR="005B4923" w:rsidRPr="009A1394">
        <w:rPr>
          <w:color w:val="000000" w:themeColor="text1"/>
          <w:szCs w:val="24"/>
          <w:lang w:val="en-CA"/>
        </w:rPr>
        <w:t>its</w:t>
      </w:r>
      <w:r w:rsidRPr="009A1394">
        <w:rPr>
          <w:color w:val="000000" w:themeColor="text1"/>
          <w:szCs w:val="24"/>
          <w:lang w:val="en-CA"/>
        </w:rPr>
        <w:t xml:space="preserve"> risk assessment </w:t>
      </w:r>
      <w:r w:rsidR="00D27136" w:rsidRPr="009A1394">
        <w:rPr>
          <w:color w:val="000000" w:themeColor="text1"/>
          <w:szCs w:val="24"/>
          <w:lang w:val="en-CA"/>
        </w:rPr>
        <w:t xml:space="preserve">would have </w:t>
      </w:r>
      <w:r w:rsidR="005B4923" w:rsidRPr="009A1394">
        <w:rPr>
          <w:color w:val="000000" w:themeColor="text1"/>
          <w:szCs w:val="24"/>
          <w:lang w:val="en-CA"/>
        </w:rPr>
        <w:t>focused</w:t>
      </w:r>
      <w:r w:rsidRPr="009A1394">
        <w:rPr>
          <w:color w:val="000000" w:themeColor="text1"/>
          <w:szCs w:val="24"/>
          <w:lang w:val="en-CA"/>
        </w:rPr>
        <w:t xml:space="preserve"> exclusively </w:t>
      </w:r>
      <w:r w:rsidR="005B4923" w:rsidRPr="009A1394">
        <w:rPr>
          <w:color w:val="000000" w:themeColor="text1"/>
          <w:szCs w:val="24"/>
          <w:lang w:val="en-CA"/>
        </w:rPr>
        <w:t xml:space="preserve">on </w:t>
      </w:r>
      <w:r w:rsidRPr="009A1394">
        <w:rPr>
          <w:color w:val="000000" w:themeColor="text1"/>
          <w:szCs w:val="24"/>
          <w:lang w:val="en-CA"/>
        </w:rPr>
        <w:t xml:space="preserve">the law and </w:t>
      </w:r>
      <w:r w:rsidR="005B4923" w:rsidRPr="009A1394">
        <w:rPr>
          <w:color w:val="000000" w:themeColor="text1"/>
          <w:szCs w:val="24"/>
          <w:lang w:val="en-CA"/>
        </w:rPr>
        <w:t>usage</w:t>
      </w:r>
      <w:r w:rsidRPr="009A1394">
        <w:rPr>
          <w:color w:val="000000" w:themeColor="text1"/>
          <w:szCs w:val="24"/>
          <w:lang w:val="en-CA"/>
        </w:rPr>
        <w:t>.</w:t>
      </w:r>
      <w:r w:rsidR="008161A3" w:rsidRPr="009A1394">
        <w:rPr>
          <w:color w:val="000000" w:themeColor="text1"/>
          <w:szCs w:val="24"/>
          <w:lang w:val="en-CA"/>
        </w:rPr>
        <w:t xml:space="preserve"> </w:t>
      </w:r>
      <w:r w:rsidRPr="009A1394">
        <w:rPr>
          <w:color w:val="000000" w:themeColor="text1"/>
          <w:szCs w:val="24"/>
          <w:lang w:val="en-CA"/>
        </w:rPr>
        <w:t>According to the appellants, subjecting carriers like CP to such a duty would not be tantamount to imposing an excessive burden on them</w:t>
      </w:r>
      <w:r w:rsidR="00723AC3" w:rsidRPr="009A1394">
        <w:rPr>
          <w:color w:val="000000" w:themeColor="text1"/>
          <w:szCs w:val="24"/>
          <w:lang w:val="en-CA"/>
        </w:rPr>
        <w:t xml:space="preserve"> that </w:t>
      </w:r>
      <w:r w:rsidRPr="009A1394">
        <w:rPr>
          <w:color w:val="000000" w:themeColor="text1"/>
          <w:szCs w:val="24"/>
          <w:lang w:val="en-CA"/>
        </w:rPr>
        <w:t>would only</w:t>
      </w:r>
      <w:r w:rsidR="00E6531B" w:rsidRPr="009A1394">
        <w:rPr>
          <w:color w:val="000000" w:themeColor="text1"/>
          <w:szCs w:val="24"/>
          <w:lang w:val="en-CA"/>
        </w:rPr>
        <w:t xml:space="preserve"> end up</w:t>
      </w:r>
      <w:r w:rsidRPr="009A1394">
        <w:rPr>
          <w:color w:val="000000" w:themeColor="text1"/>
          <w:szCs w:val="24"/>
          <w:lang w:val="en-CA"/>
        </w:rPr>
        <w:t xml:space="preserve"> creating more problems than it would solve.</w:t>
      </w:r>
      <w:r w:rsidR="008161A3" w:rsidRPr="009A1394">
        <w:rPr>
          <w:color w:val="000000" w:themeColor="text1"/>
          <w:szCs w:val="24"/>
          <w:lang w:val="en-CA"/>
        </w:rPr>
        <w:t xml:space="preserve"> </w:t>
      </w:r>
      <w:r w:rsidR="0088510A" w:rsidRPr="009A1394">
        <w:rPr>
          <w:color w:val="000000" w:themeColor="text1"/>
          <w:szCs w:val="24"/>
          <w:lang w:val="en-CA"/>
        </w:rPr>
        <w:t>T</w:t>
      </w:r>
      <w:r w:rsidRPr="009A1394">
        <w:rPr>
          <w:szCs w:val="24"/>
          <w:lang w:val="en-CA"/>
        </w:rPr>
        <w:t>hey</w:t>
      </w:r>
      <w:r w:rsidR="0088510A" w:rsidRPr="009A1394">
        <w:rPr>
          <w:szCs w:val="24"/>
          <w:lang w:val="en-CA"/>
        </w:rPr>
        <w:t xml:space="preserve"> also</w:t>
      </w:r>
      <w:r w:rsidRPr="009A1394">
        <w:rPr>
          <w:szCs w:val="24"/>
          <w:lang w:val="en-CA"/>
        </w:rPr>
        <w:t xml:space="preserve"> add that</w:t>
      </w:r>
      <w:r w:rsidR="0088510A" w:rsidRPr="009A1394">
        <w:rPr>
          <w:szCs w:val="24"/>
          <w:lang w:val="en-CA"/>
        </w:rPr>
        <w:t xml:space="preserve">, contrary to the judge’s conclusion, responsibility </w:t>
      </w:r>
      <w:r w:rsidR="005B4923" w:rsidRPr="009A1394">
        <w:rPr>
          <w:szCs w:val="24"/>
          <w:lang w:val="en-CA"/>
        </w:rPr>
        <w:t>for</w:t>
      </w:r>
      <w:r w:rsidR="0088510A" w:rsidRPr="009A1394">
        <w:rPr>
          <w:szCs w:val="24"/>
          <w:lang w:val="en-CA"/>
        </w:rPr>
        <w:t xml:space="preserve"> </w:t>
      </w:r>
      <w:r w:rsidR="005B4923" w:rsidRPr="009A1394">
        <w:rPr>
          <w:szCs w:val="24"/>
          <w:lang w:val="en-CA"/>
        </w:rPr>
        <w:t>requiring</w:t>
      </w:r>
      <w:r w:rsidR="00C228B3" w:rsidRPr="009A1394">
        <w:rPr>
          <w:szCs w:val="24"/>
          <w:lang w:val="en-CA"/>
        </w:rPr>
        <w:t xml:space="preserve"> simple assurances with respect to safety and security from carriers like MMA </w:t>
      </w:r>
      <w:r w:rsidR="005B4923" w:rsidRPr="009A1394">
        <w:rPr>
          <w:szCs w:val="24"/>
          <w:lang w:val="en-CA"/>
        </w:rPr>
        <w:t xml:space="preserve">did not </w:t>
      </w:r>
      <w:r w:rsidR="00E6531B" w:rsidRPr="009A1394">
        <w:rPr>
          <w:szCs w:val="24"/>
          <w:lang w:val="en-CA"/>
        </w:rPr>
        <w:t>lie</w:t>
      </w:r>
      <w:r w:rsidR="005B4923" w:rsidRPr="009A1394">
        <w:rPr>
          <w:szCs w:val="24"/>
          <w:lang w:val="en-CA"/>
        </w:rPr>
        <w:t xml:space="preserve"> exclusively </w:t>
      </w:r>
      <w:r w:rsidR="00E6531B" w:rsidRPr="009A1394">
        <w:rPr>
          <w:szCs w:val="24"/>
          <w:lang w:val="en-CA"/>
        </w:rPr>
        <w:t>with</w:t>
      </w:r>
      <w:r w:rsidR="005B4923" w:rsidRPr="009A1394">
        <w:rPr>
          <w:szCs w:val="24"/>
          <w:lang w:val="en-CA"/>
        </w:rPr>
        <w:t xml:space="preserve"> </w:t>
      </w:r>
      <w:r w:rsidR="0088510A" w:rsidRPr="009A1394">
        <w:rPr>
          <w:szCs w:val="24"/>
          <w:lang w:val="en-CA"/>
        </w:rPr>
        <w:t>TC or the CTA</w:t>
      </w:r>
      <w:r w:rsidRPr="009A1394">
        <w:rPr>
          <w:szCs w:val="24"/>
          <w:lang w:val="en-CA"/>
        </w:rPr>
        <w:t>.</w:t>
      </w:r>
    </w:p>
    <w:p w14:paraId="174F3B30" w14:textId="3ECAFD7E" w:rsidR="00702A59" w:rsidRPr="009A1394" w:rsidRDefault="00F5579C" w:rsidP="00B84769">
      <w:pPr>
        <w:pStyle w:val="Paragraphe"/>
        <w:numPr>
          <w:ilvl w:val="0"/>
          <w:numId w:val="1"/>
        </w:numPr>
        <w:rPr>
          <w:color w:val="000000" w:themeColor="text1"/>
          <w:szCs w:val="24"/>
          <w:lang w:val="en-CA"/>
        </w:rPr>
      </w:pPr>
      <w:r w:rsidRPr="009A1394">
        <w:rPr>
          <w:color w:val="000000" w:themeColor="text1"/>
          <w:szCs w:val="24"/>
          <w:lang w:val="en-CA"/>
        </w:rPr>
        <w:t xml:space="preserve">The appellants argue that the judge’s refusal to acknowledge that </w:t>
      </w:r>
      <w:r w:rsidR="00E6531B" w:rsidRPr="009A1394">
        <w:rPr>
          <w:color w:val="000000" w:themeColor="text1"/>
          <w:szCs w:val="24"/>
          <w:lang w:val="en-CA"/>
        </w:rPr>
        <w:t>C</w:t>
      </w:r>
      <w:r w:rsidRPr="009A1394">
        <w:rPr>
          <w:color w:val="000000" w:themeColor="text1"/>
          <w:szCs w:val="24"/>
          <w:lang w:val="en-CA"/>
        </w:rPr>
        <w:t xml:space="preserve">lass 1 railway companies have </w:t>
      </w:r>
      <w:r w:rsidR="006D3CC7" w:rsidRPr="009A1394">
        <w:rPr>
          <w:color w:val="000000" w:themeColor="text1"/>
          <w:szCs w:val="24"/>
          <w:lang w:val="en-CA"/>
        </w:rPr>
        <w:t>a</w:t>
      </w:r>
      <w:r w:rsidRPr="009A1394">
        <w:rPr>
          <w:color w:val="000000" w:themeColor="text1"/>
          <w:szCs w:val="24"/>
          <w:lang w:val="en-CA"/>
        </w:rPr>
        <w:t xml:space="preserve"> duty to make at least simple </w:t>
      </w:r>
      <w:r w:rsidR="00E6531B" w:rsidRPr="009A1394">
        <w:rPr>
          <w:color w:val="000000" w:themeColor="text1"/>
          <w:szCs w:val="24"/>
          <w:lang w:val="en-CA"/>
        </w:rPr>
        <w:t>enquiries</w:t>
      </w:r>
      <w:r w:rsidRPr="009A1394">
        <w:rPr>
          <w:color w:val="000000" w:themeColor="text1"/>
          <w:szCs w:val="24"/>
          <w:lang w:val="en-CA"/>
        </w:rPr>
        <w:t xml:space="preserve"> to ensure the safety and security of the operations of </w:t>
      </w:r>
      <w:r w:rsidR="006D3CC7" w:rsidRPr="009A1394">
        <w:rPr>
          <w:color w:val="000000" w:themeColor="text1"/>
          <w:szCs w:val="24"/>
          <w:lang w:val="en-CA"/>
        </w:rPr>
        <w:t xml:space="preserve">those </w:t>
      </w:r>
      <w:r w:rsidRPr="009A1394">
        <w:rPr>
          <w:color w:val="000000" w:themeColor="text1"/>
          <w:szCs w:val="24"/>
          <w:lang w:val="en-CA"/>
        </w:rPr>
        <w:t>regional and shortline carriers on which they call</w:t>
      </w:r>
      <w:r w:rsidR="00E6531B" w:rsidRPr="009A1394">
        <w:rPr>
          <w:color w:val="000000" w:themeColor="text1"/>
          <w:szCs w:val="24"/>
          <w:lang w:val="en-CA"/>
        </w:rPr>
        <w:t xml:space="preserve"> upon</w:t>
      </w:r>
      <w:r w:rsidRPr="009A1394">
        <w:rPr>
          <w:color w:val="000000" w:themeColor="text1"/>
          <w:szCs w:val="24"/>
          <w:lang w:val="en-CA"/>
        </w:rPr>
        <w:t xml:space="preserve"> </w:t>
      </w:r>
      <w:r w:rsidR="00E6531B" w:rsidRPr="009A1394">
        <w:rPr>
          <w:color w:val="000000" w:themeColor="text1"/>
          <w:szCs w:val="24"/>
          <w:lang w:val="en-CA"/>
        </w:rPr>
        <w:t>set</w:t>
      </w:r>
      <w:r w:rsidRPr="009A1394">
        <w:rPr>
          <w:color w:val="000000" w:themeColor="text1"/>
          <w:szCs w:val="24"/>
          <w:lang w:val="en-CA"/>
        </w:rPr>
        <w:t>s a dangerous precedent with respect to the rail industry and the public.</w:t>
      </w:r>
    </w:p>
    <w:p w14:paraId="3247C58D" w14:textId="0C6BADD5" w:rsidR="002B58BA" w:rsidRPr="009A1394" w:rsidRDefault="00F5579C" w:rsidP="00B84769">
      <w:pPr>
        <w:pStyle w:val="Titre3"/>
        <w:spacing w:after="120"/>
        <w:rPr>
          <w:lang w:val="en-CA"/>
        </w:rPr>
      </w:pPr>
      <w:r w:rsidRPr="009A1394">
        <w:rPr>
          <w:lang w:val="en-CA"/>
        </w:rPr>
        <w:t xml:space="preserve">Discussion on the first </w:t>
      </w:r>
      <w:r w:rsidR="008525E6" w:rsidRPr="009A1394">
        <w:rPr>
          <w:lang w:val="en-CA"/>
        </w:rPr>
        <w:t>heading</w:t>
      </w:r>
    </w:p>
    <w:p w14:paraId="38397055" w14:textId="6CD895B1" w:rsidR="00702A59" w:rsidRPr="009A1394" w:rsidRDefault="00F5579C" w:rsidP="00B84769">
      <w:pPr>
        <w:pStyle w:val="Paragraphe"/>
        <w:numPr>
          <w:ilvl w:val="0"/>
          <w:numId w:val="1"/>
        </w:numPr>
        <w:rPr>
          <w:color w:val="000000" w:themeColor="text1"/>
          <w:szCs w:val="24"/>
          <w:lang w:val="en-CA"/>
        </w:rPr>
      </w:pPr>
      <w:r w:rsidRPr="009A1394">
        <w:rPr>
          <w:szCs w:val="24"/>
          <w:lang w:val="en-CA"/>
        </w:rPr>
        <w:t xml:space="preserve">Section 114 of the </w:t>
      </w:r>
      <w:r w:rsidRPr="009A1394">
        <w:rPr>
          <w:i/>
          <w:iCs/>
          <w:szCs w:val="24"/>
          <w:lang w:val="en-CA"/>
        </w:rPr>
        <w:t>Canada Transportation Act</w:t>
      </w:r>
      <w:r w:rsidRPr="009A1394">
        <w:rPr>
          <w:szCs w:val="24"/>
          <w:lang w:val="en-CA"/>
        </w:rPr>
        <w:t xml:space="preserve">, </w:t>
      </w:r>
      <w:r w:rsidR="00E8142A" w:rsidRPr="009A1394">
        <w:rPr>
          <w:szCs w:val="24"/>
          <w:lang w:val="en-CA"/>
        </w:rPr>
        <w:t>relied upon</w:t>
      </w:r>
      <w:r w:rsidRPr="009A1394">
        <w:rPr>
          <w:szCs w:val="24"/>
          <w:lang w:val="en-CA"/>
        </w:rPr>
        <w:t xml:space="preserve"> by the appellants, </w:t>
      </w:r>
      <w:r w:rsidR="00E8142A" w:rsidRPr="009A1394">
        <w:rPr>
          <w:szCs w:val="24"/>
          <w:lang w:val="en-CA"/>
        </w:rPr>
        <w:t>reads</w:t>
      </w:r>
      <w:r w:rsidRPr="009A1394">
        <w:rPr>
          <w:szCs w:val="24"/>
          <w:lang w:val="en-CA"/>
        </w:rPr>
        <w:t xml:space="preserve"> as follows:</w:t>
      </w:r>
    </w:p>
    <w:tbl>
      <w:tblPr>
        <w:tblStyle w:val="Grilledutableau"/>
        <w:tblW w:w="765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7"/>
      </w:tblGrid>
      <w:tr w:rsidR="00F5579C" w:rsidRPr="009A1394" w14:paraId="0A69E190" w14:textId="77777777" w:rsidTr="00F5579C">
        <w:tc>
          <w:tcPr>
            <w:tcW w:w="3827" w:type="dxa"/>
          </w:tcPr>
          <w:p w14:paraId="3BE17A1F" w14:textId="08102ED9" w:rsidR="00F5579C" w:rsidRPr="009A1394" w:rsidRDefault="00F5579C" w:rsidP="00F5579C">
            <w:pPr>
              <w:pStyle w:val="section"/>
              <w:spacing w:before="120" w:beforeAutospacing="0" w:after="120" w:afterAutospacing="0"/>
              <w:jc w:val="both"/>
              <w:rPr>
                <w:rStyle w:val="canliisection"/>
                <w:rFonts w:ascii="Arial" w:hAnsi="Arial"/>
                <w:b/>
                <w:bCs/>
                <w:color w:val="000000" w:themeColor="text1"/>
                <w:sz w:val="22"/>
                <w:szCs w:val="22"/>
                <w:lang w:val="en-CA"/>
              </w:rPr>
            </w:pPr>
            <w:r w:rsidRPr="009A1394">
              <w:rPr>
                <w:rStyle w:val="canliisection"/>
                <w:rFonts w:ascii="Arial" w:hAnsi="Arial"/>
                <w:b/>
                <w:bCs/>
                <w:color w:val="000000" w:themeColor="text1"/>
                <w:sz w:val="22"/>
                <w:szCs w:val="22"/>
                <w:lang w:val="en-CA"/>
              </w:rPr>
              <w:t>114.</w:t>
            </w:r>
            <w:r w:rsidRPr="009A1394">
              <w:rPr>
                <w:rStyle w:val="canliisection"/>
                <w:rFonts w:ascii="Arial" w:hAnsi="Arial"/>
                <w:bCs/>
                <w:color w:val="000000" w:themeColor="text1"/>
                <w:sz w:val="22"/>
                <w:szCs w:val="22"/>
                <w:lang w:val="en-CA"/>
              </w:rPr>
              <w:t> (1) A railway company shall, according to its powers, afford to all persons and other companies all adequate and suitable accommodation for receiving, carrying and delivering traffic on and from its railway, for the transfer of traffic between its railway and other railways and for the return of rolling stock.</w:t>
            </w:r>
          </w:p>
        </w:tc>
        <w:tc>
          <w:tcPr>
            <w:tcW w:w="3827" w:type="dxa"/>
          </w:tcPr>
          <w:p w14:paraId="1716CB1E" w14:textId="195DBB27" w:rsidR="00F5579C" w:rsidRPr="009A1394" w:rsidRDefault="00F5579C" w:rsidP="00F5579C">
            <w:pPr>
              <w:pStyle w:val="section"/>
              <w:spacing w:before="120" w:beforeAutospacing="0" w:after="120" w:afterAutospacing="0"/>
              <w:jc w:val="both"/>
              <w:rPr>
                <w:rStyle w:val="canliisection"/>
                <w:rFonts w:ascii="Arial" w:hAnsi="Arial"/>
                <w:color w:val="000000" w:themeColor="text1"/>
                <w:sz w:val="22"/>
                <w:szCs w:val="22"/>
                <w:lang w:val="en-CA"/>
              </w:rPr>
            </w:pPr>
            <w:r w:rsidRPr="009A1394">
              <w:rPr>
                <w:rStyle w:val="canliisection"/>
                <w:rFonts w:ascii="Arial" w:hAnsi="Arial"/>
                <w:b/>
                <w:bCs/>
                <w:color w:val="000000" w:themeColor="text1"/>
                <w:sz w:val="22"/>
                <w:szCs w:val="22"/>
                <w:lang w:val="en-CA"/>
              </w:rPr>
              <w:t>114.</w:t>
            </w:r>
            <w:r w:rsidRPr="009A1394">
              <w:rPr>
                <w:rStyle w:val="canliisection"/>
                <w:rFonts w:ascii="Arial" w:hAnsi="Arial"/>
                <w:bCs/>
                <w:color w:val="000000" w:themeColor="text1"/>
                <w:sz w:val="22"/>
                <w:szCs w:val="22"/>
                <w:lang w:val="en-CA"/>
              </w:rPr>
              <w:t> </w:t>
            </w:r>
            <w:bookmarkStart w:id="15" w:name="art114par2"/>
            <w:bookmarkStart w:id="16" w:name="art114par3"/>
            <w:bookmarkStart w:id="17" w:name="art114par4"/>
            <w:bookmarkEnd w:id="15"/>
            <w:bookmarkEnd w:id="16"/>
            <w:bookmarkEnd w:id="17"/>
            <w:r w:rsidRPr="009A1394">
              <w:rPr>
                <w:rStyle w:val="canliisection"/>
                <w:rFonts w:ascii="Arial" w:hAnsi="Arial"/>
                <w:bCs/>
                <w:color w:val="000000" w:themeColor="text1"/>
                <w:sz w:val="22"/>
                <w:szCs w:val="22"/>
                <w:lang w:val="en-CA"/>
              </w:rPr>
              <w:t>(1) Chaque compagnie de chemin de fer doit, dans le cadre de ses attributions, fournir aux personnes et compagnies les aménagements convenables pour la réception, le transport et la livraison de marchandises sur son chemin de fer et en provenance de celui-ci, pour le transfert des marchandises entre son chemin de fer et d’autres chemins de fer ainsi que pour le renvoi du matériel roulant.</w:t>
            </w:r>
          </w:p>
        </w:tc>
        <w:bookmarkStart w:id="18" w:name="sec114subsec2"/>
        <w:bookmarkStart w:id="19" w:name="sec114subsec3"/>
        <w:bookmarkStart w:id="20" w:name="sec114subsec4"/>
        <w:bookmarkEnd w:id="18"/>
        <w:bookmarkEnd w:id="19"/>
        <w:bookmarkEnd w:id="20"/>
      </w:tr>
      <w:tr w:rsidR="00F5579C" w:rsidRPr="009A1394" w14:paraId="527280AF" w14:textId="77777777" w:rsidTr="00F5579C">
        <w:tc>
          <w:tcPr>
            <w:tcW w:w="3827" w:type="dxa"/>
          </w:tcPr>
          <w:p w14:paraId="0797C432" w14:textId="6FE1E610"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0"/>
                <w:szCs w:val="20"/>
                <w:lang w:val="en-CA"/>
              </w:rPr>
            </w:pPr>
            <w:r w:rsidRPr="009A1394">
              <w:rPr>
                <w:rStyle w:val="canliisection"/>
                <w:rFonts w:ascii="Arial" w:hAnsi="Arial"/>
                <w:color w:val="000000" w:themeColor="text1"/>
                <w:sz w:val="20"/>
                <w:szCs w:val="20"/>
                <w:lang w:val="en-CA"/>
              </w:rPr>
              <w:t>Through traffic</w:t>
            </w:r>
          </w:p>
        </w:tc>
        <w:tc>
          <w:tcPr>
            <w:tcW w:w="3827" w:type="dxa"/>
          </w:tcPr>
          <w:p w14:paraId="576FC85D" w14:textId="5416BE85"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0"/>
                <w:szCs w:val="20"/>
                <w:lang w:val="en-CA"/>
              </w:rPr>
              <w:t>Trafic d’entier parcours</w:t>
            </w:r>
          </w:p>
        </w:tc>
      </w:tr>
      <w:tr w:rsidR="00F5579C" w:rsidRPr="009A1394" w14:paraId="1C87D177" w14:textId="77777777" w:rsidTr="00F5579C">
        <w:tc>
          <w:tcPr>
            <w:tcW w:w="3827" w:type="dxa"/>
          </w:tcPr>
          <w:p w14:paraId="2C7BEED3" w14:textId="4843EC99"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2"/>
                <w:szCs w:val="22"/>
                <w:lang w:val="en-CA"/>
              </w:rPr>
              <w:t>(2) For the purposes of subsection (1), adequate and suitable accommodation includes reasonable facilities for the receiving, carriage and delivery by the company</w:t>
            </w:r>
          </w:p>
        </w:tc>
        <w:tc>
          <w:tcPr>
            <w:tcW w:w="3827" w:type="dxa"/>
          </w:tcPr>
          <w:p w14:paraId="6EE9F26B" w14:textId="644E5767"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2"/>
                <w:szCs w:val="22"/>
                <w:lang w:val="en-CA"/>
              </w:rPr>
              <w:t>(2) Pour l’application du paragraphe (1), les aménagements convenables comprennent des installations de réception, de transport et de livraison par la compagnie :</w:t>
            </w:r>
          </w:p>
        </w:tc>
      </w:tr>
      <w:tr w:rsidR="00F5579C" w:rsidRPr="009A1394" w14:paraId="7BF4FBA8" w14:textId="77777777" w:rsidTr="00F5579C">
        <w:tc>
          <w:tcPr>
            <w:tcW w:w="3827" w:type="dxa"/>
          </w:tcPr>
          <w:p w14:paraId="0EA5D148" w14:textId="70D87BED" w:rsidR="00F5579C" w:rsidRPr="009A1394" w:rsidRDefault="00F5579C" w:rsidP="00F5579C">
            <w:pPr>
              <w:pStyle w:val="section"/>
              <w:spacing w:before="120" w:beforeAutospacing="0" w:after="120" w:afterAutospacing="0" w:line="280" w:lineRule="exact"/>
              <w:jc w:val="both"/>
              <w:rPr>
                <w:rStyle w:val="canliisection"/>
                <w:rFonts w:ascii="Arial" w:hAnsi="Arial"/>
                <w:i/>
                <w:iCs/>
                <w:color w:val="000000" w:themeColor="text1"/>
                <w:sz w:val="22"/>
                <w:szCs w:val="22"/>
                <w:lang w:val="en-CA"/>
              </w:rPr>
            </w:pPr>
            <w:r w:rsidRPr="009A1394">
              <w:rPr>
                <w:rStyle w:val="canliisection"/>
                <w:rFonts w:ascii="Arial" w:hAnsi="Arial"/>
                <w:color w:val="000000" w:themeColor="text1"/>
                <w:sz w:val="22"/>
                <w:szCs w:val="22"/>
                <w:lang w:val="en-CA"/>
              </w:rPr>
              <w:lastRenderedPageBreak/>
              <w:t>(</w:t>
            </w:r>
            <w:r w:rsidRPr="009A1394">
              <w:rPr>
                <w:rStyle w:val="canliisection"/>
                <w:rFonts w:ascii="Arial" w:hAnsi="Arial"/>
                <w:i/>
                <w:iCs/>
                <w:color w:val="000000" w:themeColor="text1"/>
                <w:sz w:val="22"/>
                <w:szCs w:val="22"/>
                <w:lang w:val="en-CA"/>
              </w:rPr>
              <w:t>a</w:t>
            </w:r>
            <w:r w:rsidRPr="009A1394">
              <w:rPr>
                <w:rStyle w:val="canliisection"/>
                <w:rFonts w:ascii="Arial" w:hAnsi="Arial"/>
                <w:color w:val="000000" w:themeColor="text1"/>
                <w:sz w:val="22"/>
                <w:szCs w:val="22"/>
                <w:lang w:val="en-CA"/>
              </w:rPr>
              <w:t>) at the request of any other company, of through traffic and, in the case of goods shipped by carload, of the car with the goods shipped in it, to and from the railway of the other company, at a through rate; and</w:t>
            </w:r>
          </w:p>
        </w:tc>
        <w:tc>
          <w:tcPr>
            <w:tcW w:w="3827" w:type="dxa"/>
          </w:tcPr>
          <w:p w14:paraId="036902DD" w14:textId="43F1A557"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i/>
                <w:iCs/>
                <w:color w:val="000000" w:themeColor="text1"/>
                <w:sz w:val="22"/>
                <w:szCs w:val="22"/>
                <w:lang w:val="en-CA"/>
              </w:rPr>
              <w:t>a</w:t>
            </w:r>
            <w:r w:rsidRPr="009A1394">
              <w:rPr>
                <w:rStyle w:val="canliisection"/>
                <w:rFonts w:ascii="Arial" w:hAnsi="Arial"/>
                <w:iCs/>
                <w:color w:val="000000" w:themeColor="text1"/>
                <w:sz w:val="22"/>
                <w:szCs w:val="22"/>
                <w:lang w:val="en-CA"/>
              </w:rPr>
              <w:t xml:space="preserve">) à la </w:t>
            </w:r>
            <w:r w:rsidRPr="009A1394">
              <w:rPr>
                <w:rStyle w:val="canliisection"/>
                <w:rFonts w:ascii="Arial" w:hAnsi="Arial"/>
                <w:iCs/>
                <w:sz w:val="22"/>
                <w:szCs w:val="22"/>
                <w:lang w:val="en-CA"/>
              </w:rPr>
              <w:t>demande</w:t>
            </w:r>
            <w:r w:rsidRPr="009A1394">
              <w:rPr>
                <w:rStyle w:val="canliisection"/>
                <w:rFonts w:ascii="Arial" w:hAnsi="Arial"/>
                <w:iCs/>
                <w:color w:val="000000" w:themeColor="text1"/>
                <w:sz w:val="22"/>
                <w:szCs w:val="22"/>
                <w:lang w:val="en-CA"/>
              </w:rPr>
              <w:t xml:space="preserve"> d’une autre compagnie, de trafic d’entier parcours et, dans le cas de marchandises expédiées par wagons complets, du wagon et de son contenu à destination et en provenance du </w:t>
            </w:r>
            <w:r w:rsidRPr="009A1394">
              <w:rPr>
                <w:rStyle w:val="canliisection"/>
                <w:rFonts w:ascii="Arial" w:hAnsi="Arial"/>
                <w:iCs/>
                <w:sz w:val="22"/>
                <w:szCs w:val="22"/>
                <w:lang w:val="en-CA"/>
              </w:rPr>
              <w:t>chemin</w:t>
            </w:r>
            <w:r w:rsidR="002077BB" w:rsidRPr="009A1394">
              <w:rPr>
                <w:rStyle w:val="canliisection"/>
                <w:rFonts w:ascii="Arial" w:hAnsi="Arial"/>
                <w:iCs/>
                <w:sz w:val="22"/>
                <w:szCs w:val="22"/>
                <w:lang w:val="en-CA"/>
              </w:rPr>
              <w:t xml:space="preserve"> </w:t>
            </w:r>
            <w:r w:rsidRPr="009A1394">
              <w:rPr>
                <w:rStyle w:val="canliisection"/>
                <w:rFonts w:ascii="Arial" w:hAnsi="Arial"/>
                <w:iCs/>
                <w:sz w:val="22"/>
                <w:szCs w:val="22"/>
                <w:lang w:val="en-CA"/>
              </w:rPr>
              <w:t>de</w:t>
            </w:r>
            <w:r w:rsidR="002077BB" w:rsidRPr="009A1394">
              <w:rPr>
                <w:rStyle w:val="canliisection"/>
                <w:rFonts w:ascii="Arial" w:hAnsi="Arial"/>
                <w:iCs/>
                <w:sz w:val="22"/>
                <w:szCs w:val="22"/>
                <w:lang w:val="en-CA"/>
              </w:rPr>
              <w:t xml:space="preserve"> </w:t>
            </w:r>
            <w:r w:rsidRPr="009A1394">
              <w:rPr>
                <w:rStyle w:val="canliisection"/>
                <w:rFonts w:ascii="Arial" w:hAnsi="Arial"/>
                <w:iCs/>
                <w:sz w:val="22"/>
                <w:szCs w:val="22"/>
                <w:lang w:val="en-CA"/>
              </w:rPr>
              <w:t>fer</w:t>
            </w:r>
            <w:r w:rsidRPr="009A1394">
              <w:rPr>
                <w:rStyle w:val="canliisection"/>
                <w:rFonts w:ascii="Arial" w:hAnsi="Arial"/>
                <w:iCs/>
                <w:color w:val="000000" w:themeColor="text1"/>
                <w:sz w:val="22"/>
                <w:szCs w:val="22"/>
                <w:lang w:val="en-CA"/>
              </w:rPr>
              <w:t xml:space="preserve"> de cette autre compagnie, à un tarif d’entier parcours;</w:t>
            </w:r>
          </w:p>
        </w:tc>
      </w:tr>
      <w:tr w:rsidR="00F5579C" w:rsidRPr="009A1394" w14:paraId="79973D27" w14:textId="77777777" w:rsidTr="00F5579C">
        <w:tc>
          <w:tcPr>
            <w:tcW w:w="3827" w:type="dxa"/>
          </w:tcPr>
          <w:p w14:paraId="4A26D59C" w14:textId="3C1724D7" w:rsidR="00F5579C" w:rsidRPr="009A1394" w:rsidRDefault="00F5579C" w:rsidP="00F5579C">
            <w:pPr>
              <w:pStyle w:val="section"/>
              <w:spacing w:before="120" w:beforeAutospacing="0" w:after="120" w:afterAutospacing="0" w:line="280" w:lineRule="exact"/>
              <w:jc w:val="both"/>
              <w:rPr>
                <w:rStyle w:val="canliisection"/>
                <w:rFonts w:ascii="Arial" w:hAnsi="Arial"/>
                <w:i/>
                <w:iCs/>
                <w:color w:val="000000" w:themeColor="text1"/>
                <w:sz w:val="22"/>
                <w:szCs w:val="22"/>
                <w:lang w:val="en-CA"/>
              </w:rPr>
            </w:pPr>
            <w:r w:rsidRPr="009A1394">
              <w:rPr>
                <w:rStyle w:val="canliisection"/>
                <w:rFonts w:ascii="Arial" w:hAnsi="Arial"/>
                <w:color w:val="000000" w:themeColor="text1"/>
                <w:sz w:val="22"/>
                <w:szCs w:val="22"/>
                <w:lang w:val="en-CA"/>
              </w:rPr>
              <w:t>(</w:t>
            </w:r>
            <w:r w:rsidRPr="009A1394">
              <w:rPr>
                <w:rStyle w:val="canliisection"/>
                <w:rFonts w:ascii="Arial" w:hAnsi="Arial"/>
                <w:i/>
                <w:iCs/>
                <w:color w:val="000000" w:themeColor="text1"/>
                <w:sz w:val="22"/>
                <w:szCs w:val="22"/>
                <w:lang w:val="en-CA"/>
              </w:rPr>
              <w:t>b</w:t>
            </w:r>
            <w:r w:rsidRPr="009A1394">
              <w:rPr>
                <w:rStyle w:val="canliisection"/>
                <w:rFonts w:ascii="Arial" w:hAnsi="Arial"/>
                <w:color w:val="000000" w:themeColor="text1"/>
                <w:sz w:val="22"/>
                <w:szCs w:val="22"/>
                <w:lang w:val="en-CA"/>
              </w:rPr>
              <w:t>) at the request of any person interested in through traffic, of such traffic at through rates.</w:t>
            </w:r>
          </w:p>
        </w:tc>
        <w:tc>
          <w:tcPr>
            <w:tcW w:w="3827" w:type="dxa"/>
          </w:tcPr>
          <w:p w14:paraId="14C9FE35" w14:textId="0A5A6D7C"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i/>
                <w:iCs/>
                <w:color w:val="000000" w:themeColor="text1"/>
                <w:sz w:val="22"/>
                <w:szCs w:val="22"/>
                <w:lang w:val="en-CA"/>
              </w:rPr>
              <w:t>b</w:t>
            </w:r>
            <w:r w:rsidRPr="009A1394">
              <w:rPr>
                <w:rStyle w:val="canliisection"/>
                <w:rFonts w:ascii="Arial" w:hAnsi="Arial"/>
                <w:iCs/>
                <w:color w:val="000000" w:themeColor="text1"/>
                <w:sz w:val="22"/>
                <w:szCs w:val="22"/>
                <w:lang w:val="en-CA"/>
              </w:rPr>
              <w:t xml:space="preserve">) à la </w:t>
            </w:r>
            <w:r w:rsidRPr="009A1394">
              <w:rPr>
                <w:rStyle w:val="canliisection"/>
                <w:rFonts w:ascii="Arial" w:hAnsi="Arial"/>
                <w:iCs/>
                <w:sz w:val="22"/>
                <w:szCs w:val="22"/>
                <w:lang w:val="en-CA"/>
              </w:rPr>
              <w:t>demande</w:t>
            </w:r>
            <w:r w:rsidRPr="009A1394">
              <w:rPr>
                <w:rStyle w:val="canliisection"/>
                <w:rFonts w:ascii="Arial" w:hAnsi="Arial"/>
                <w:iCs/>
                <w:color w:val="000000" w:themeColor="text1"/>
                <w:sz w:val="22"/>
                <w:szCs w:val="22"/>
                <w:lang w:val="en-CA"/>
              </w:rPr>
              <w:t xml:space="preserve"> de tout </w:t>
            </w:r>
            <w:r w:rsidRPr="009A1394">
              <w:rPr>
                <w:rStyle w:val="canliisection"/>
                <w:rFonts w:ascii="Arial" w:hAnsi="Arial"/>
                <w:iCs/>
                <w:sz w:val="22"/>
                <w:szCs w:val="22"/>
                <w:lang w:val="en-CA"/>
              </w:rPr>
              <w:t>intéressé</w:t>
            </w:r>
            <w:r w:rsidRPr="009A1394">
              <w:rPr>
                <w:rStyle w:val="canliisection"/>
                <w:rFonts w:ascii="Arial" w:hAnsi="Arial"/>
                <w:iCs/>
                <w:color w:val="000000" w:themeColor="text1"/>
                <w:sz w:val="22"/>
                <w:szCs w:val="22"/>
                <w:lang w:val="en-CA"/>
              </w:rPr>
              <w:t xml:space="preserve"> au trafic d’entier parcours, de ce trafic à des tarifs d’entier parcours.</w:t>
            </w:r>
          </w:p>
        </w:tc>
      </w:tr>
      <w:tr w:rsidR="00F5579C" w:rsidRPr="009A1394" w14:paraId="6BF65E45" w14:textId="77777777" w:rsidTr="00F5579C">
        <w:tc>
          <w:tcPr>
            <w:tcW w:w="3827" w:type="dxa"/>
          </w:tcPr>
          <w:p w14:paraId="2619C879" w14:textId="5EED1BC1"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0"/>
                <w:szCs w:val="20"/>
                <w:highlight w:val="cyan"/>
                <w:lang w:val="en-CA"/>
              </w:rPr>
            </w:pPr>
            <w:r w:rsidRPr="009A1394">
              <w:rPr>
                <w:rStyle w:val="canliisection"/>
                <w:rFonts w:ascii="Arial" w:hAnsi="Arial"/>
                <w:color w:val="000000" w:themeColor="text1"/>
                <w:sz w:val="20"/>
                <w:szCs w:val="20"/>
                <w:lang w:val="en-CA"/>
              </w:rPr>
              <w:t>Connecting railway to reasonable facilities</w:t>
            </w:r>
          </w:p>
        </w:tc>
        <w:tc>
          <w:tcPr>
            <w:tcW w:w="3827" w:type="dxa"/>
          </w:tcPr>
          <w:p w14:paraId="129B01AA" w14:textId="4EDD97EA"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0"/>
                <w:szCs w:val="20"/>
                <w:lang w:val="en-CA"/>
              </w:rPr>
              <w:t xml:space="preserve">Installations </w:t>
            </w:r>
            <w:r w:rsidRPr="009A1394">
              <w:rPr>
                <w:rStyle w:val="canliisection"/>
                <w:rFonts w:ascii="Arial" w:hAnsi="Arial"/>
                <w:sz w:val="20"/>
                <w:szCs w:val="20"/>
                <w:lang w:val="en-CA"/>
              </w:rPr>
              <w:t>raisonnables</w:t>
            </w:r>
          </w:p>
        </w:tc>
      </w:tr>
      <w:tr w:rsidR="00F5579C" w:rsidRPr="009A1394" w14:paraId="420C3BF0" w14:textId="77777777" w:rsidTr="00F5579C">
        <w:tc>
          <w:tcPr>
            <w:tcW w:w="3827" w:type="dxa"/>
          </w:tcPr>
          <w:p w14:paraId="494E982D" w14:textId="77777777"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2"/>
                <w:szCs w:val="22"/>
                <w:lang w:val="en-CA"/>
              </w:rPr>
              <w:t>(3) Every railway company that has or operates a railway forming part of a continuous line of railway with or that intersects any other railway, or that has any terminus, station or wharf near to any terminus, station or wharf of another railway, shall afford all reasonable facilities for delivering to that other railway, or for receiving from or carrying by its railway, all the traffic arriving by that other railway without any unreasonable delay, so that</w:t>
            </w:r>
          </w:p>
          <w:p w14:paraId="6730C0C0" w14:textId="77777777" w:rsidR="00F5579C" w:rsidRPr="009A1394" w:rsidRDefault="00F5579C" w:rsidP="00F5579C">
            <w:pPr>
              <w:pStyle w:val="section"/>
              <w:spacing w:before="120" w:beforeAutospacing="0" w:after="120" w:afterAutospacing="0"/>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2"/>
                <w:szCs w:val="22"/>
                <w:lang w:val="en-CA"/>
              </w:rPr>
              <w:t>(</w:t>
            </w:r>
            <w:r w:rsidRPr="009A1394">
              <w:rPr>
                <w:rStyle w:val="canliisection"/>
                <w:rFonts w:ascii="Arial" w:hAnsi="Arial"/>
                <w:i/>
                <w:iCs/>
                <w:color w:val="000000" w:themeColor="text1"/>
                <w:sz w:val="22"/>
                <w:szCs w:val="22"/>
                <w:lang w:val="en-CA"/>
              </w:rPr>
              <w:t>a</w:t>
            </w:r>
            <w:r w:rsidRPr="009A1394">
              <w:rPr>
                <w:rStyle w:val="canliisection"/>
                <w:rFonts w:ascii="Arial" w:hAnsi="Arial"/>
                <w:color w:val="000000" w:themeColor="text1"/>
                <w:sz w:val="22"/>
                <w:szCs w:val="22"/>
                <w:lang w:val="en-CA"/>
              </w:rPr>
              <w:t>) no obstruction is offered to the public desirous of using those railways as a continuous line of communication; and</w:t>
            </w:r>
          </w:p>
          <w:p w14:paraId="34A9936D" w14:textId="545F6DC0"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2"/>
                <w:szCs w:val="22"/>
                <w:lang w:val="en-CA"/>
              </w:rPr>
              <w:t>(</w:t>
            </w:r>
            <w:r w:rsidRPr="009A1394">
              <w:rPr>
                <w:rStyle w:val="canliisection"/>
                <w:rFonts w:ascii="Arial" w:hAnsi="Arial"/>
                <w:i/>
                <w:iCs/>
                <w:color w:val="000000" w:themeColor="text1"/>
                <w:sz w:val="22"/>
                <w:szCs w:val="22"/>
                <w:lang w:val="en-CA"/>
              </w:rPr>
              <w:t>b</w:t>
            </w:r>
            <w:r w:rsidRPr="009A1394">
              <w:rPr>
                <w:rStyle w:val="canliisection"/>
                <w:rFonts w:ascii="Arial" w:hAnsi="Arial"/>
                <w:color w:val="000000" w:themeColor="text1"/>
                <w:sz w:val="22"/>
                <w:szCs w:val="22"/>
                <w:lang w:val="en-CA"/>
              </w:rPr>
              <w:t>) all reasonable accommodation, by means of the railways of those companies, is at all times afforded to the public for that purpose.</w:t>
            </w:r>
          </w:p>
        </w:tc>
        <w:tc>
          <w:tcPr>
            <w:tcW w:w="3827" w:type="dxa"/>
          </w:tcPr>
          <w:p w14:paraId="546FF3E6" w14:textId="678922FE"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r w:rsidRPr="009A1394">
              <w:rPr>
                <w:rStyle w:val="canliisection"/>
                <w:rFonts w:ascii="Arial" w:hAnsi="Arial"/>
                <w:color w:val="000000" w:themeColor="text1"/>
                <w:sz w:val="22"/>
                <w:szCs w:val="22"/>
                <w:lang w:val="en-CA"/>
              </w:rPr>
              <w:t xml:space="preserve">(3) Toute compagnie de </w:t>
            </w:r>
            <w:r w:rsidRPr="009A1394">
              <w:rPr>
                <w:rStyle w:val="canliisection"/>
                <w:rFonts w:ascii="Arial" w:hAnsi="Arial"/>
                <w:sz w:val="22"/>
                <w:szCs w:val="22"/>
                <w:lang w:val="en-CA"/>
              </w:rPr>
              <w:t>chemin</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possédant ou exploitant un </w:t>
            </w:r>
            <w:r w:rsidRPr="009A1394">
              <w:rPr>
                <w:rStyle w:val="canliisection"/>
                <w:rFonts w:ascii="Arial" w:hAnsi="Arial"/>
                <w:sz w:val="22"/>
                <w:szCs w:val="22"/>
                <w:lang w:val="en-CA"/>
              </w:rPr>
              <w:t>chemin</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qui, en se reliant à un autre </w:t>
            </w:r>
            <w:r w:rsidRPr="009A1394">
              <w:rPr>
                <w:rStyle w:val="canliisection"/>
                <w:rFonts w:ascii="Arial" w:hAnsi="Arial"/>
                <w:sz w:val="22"/>
                <w:szCs w:val="22"/>
                <w:lang w:val="en-CA"/>
              </w:rPr>
              <w:t>chemin</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ou en le croisant, fait partie d’un parcours ininterrompu de </w:t>
            </w:r>
            <w:r w:rsidRPr="009A1394">
              <w:rPr>
                <w:rStyle w:val="canliisection"/>
                <w:rFonts w:ascii="Arial" w:hAnsi="Arial"/>
                <w:sz w:val="22"/>
                <w:szCs w:val="22"/>
                <w:lang w:val="en-CA"/>
              </w:rPr>
              <w:t>chemin</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ou qui possède une tête de ligne, une gare ou un quai à proximité d’une tête de ligne, d’une gare ou d’un quai d’un autre </w:t>
            </w:r>
            <w:r w:rsidRPr="009A1394">
              <w:rPr>
                <w:rStyle w:val="canliisection"/>
                <w:rFonts w:ascii="Arial" w:hAnsi="Arial"/>
                <w:sz w:val="22"/>
                <w:szCs w:val="22"/>
                <w:lang w:val="en-CA"/>
              </w:rPr>
              <w:t>chemin</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doit accorder toutes les installations </w:t>
            </w:r>
            <w:r w:rsidRPr="009A1394">
              <w:rPr>
                <w:rStyle w:val="canliisection"/>
                <w:rFonts w:ascii="Arial" w:hAnsi="Arial"/>
                <w:sz w:val="22"/>
                <w:szCs w:val="22"/>
                <w:lang w:val="en-CA"/>
              </w:rPr>
              <w:t>raisonnables</w:t>
            </w:r>
            <w:r w:rsidRPr="009A1394">
              <w:rPr>
                <w:rStyle w:val="canliisection"/>
                <w:rFonts w:ascii="Arial" w:hAnsi="Arial"/>
                <w:color w:val="000000" w:themeColor="text1"/>
                <w:sz w:val="22"/>
                <w:szCs w:val="22"/>
                <w:lang w:val="en-CA"/>
              </w:rPr>
              <w:t xml:space="preserve"> et voulues pour livrer à cet autre </w:t>
            </w:r>
            <w:r w:rsidRPr="009A1394">
              <w:rPr>
                <w:rStyle w:val="canliisection"/>
                <w:rFonts w:ascii="Arial" w:hAnsi="Arial"/>
                <w:sz w:val="22"/>
                <w:szCs w:val="22"/>
                <w:lang w:val="en-CA"/>
              </w:rPr>
              <w:t>chemin</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ou pour en recevoir et expédier par sa propre voie, tout le trafic venant par cet autre </w:t>
            </w:r>
            <w:r w:rsidRPr="009A1394">
              <w:rPr>
                <w:rStyle w:val="canliisection"/>
                <w:rFonts w:ascii="Arial" w:hAnsi="Arial"/>
                <w:sz w:val="22"/>
                <w:szCs w:val="22"/>
                <w:lang w:val="en-CA"/>
              </w:rPr>
              <w:t>chemin</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sans retard </w:t>
            </w:r>
            <w:r w:rsidRPr="009A1394">
              <w:rPr>
                <w:rStyle w:val="canliisection"/>
                <w:rFonts w:ascii="Arial" w:hAnsi="Arial"/>
                <w:sz w:val="22"/>
                <w:szCs w:val="22"/>
                <w:lang w:val="en-CA"/>
              </w:rPr>
              <w:t>déraisonnable</w:t>
            </w:r>
            <w:r w:rsidRPr="009A1394">
              <w:rPr>
                <w:rStyle w:val="canliisection"/>
                <w:rFonts w:ascii="Arial" w:hAnsi="Arial"/>
                <w:color w:val="000000" w:themeColor="text1"/>
                <w:sz w:val="22"/>
                <w:szCs w:val="22"/>
                <w:lang w:val="en-CA"/>
              </w:rPr>
              <w:t xml:space="preserve">, et elle doit faire en sorte que le public désirant se servir de ces </w:t>
            </w:r>
            <w:r w:rsidRPr="009A1394">
              <w:rPr>
                <w:rStyle w:val="canliisection"/>
                <w:rFonts w:ascii="Arial" w:hAnsi="Arial"/>
                <w:sz w:val="22"/>
                <w:szCs w:val="22"/>
                <w:lang w:val="en-CA"/>
              </w:rPr>
              <w:t>chemins</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comme voie ininterrompue de communication n’y trouve pas d’obstacles à la circulation et puisse ainsi s’en servir en bénéficiant à tout moment de toutes les installations </w:t>
            </w:r>
            <w:r w:rsidRPr="009A1394">
              <w:rPr>
                <w:rStyle w:val="canliisection"/>
                <w:rFonts w:ascii="Arial" w:hAnsi="Arial"/>
                <w:sz w:val="22"/>
                <w:szCs w:val="22"/>
                <w:lang w:val="en-CA"/>
              </w:rPr>
              <w:t>raisonnables</w:t>
            </w:r>
            <w:r w:rsidRPr="009A1394">
              <w:rPr>
                <w:rStyle w:val="canliisection"/>
                <w:rFonts w:ascii="Arial" w:hAnsi="Arial"/>
                <w:color w:val="000000" w:themeColor="text1"/>
                <w:sz w:val="22"/>
                <w:szCs w:val="22"/>
                <w:lang w:val="en-CA"/>
              </w:rPr>
              <w:t xml:space="preserve"> de transport par les </w:t>
            </w:r>
            <w:r w:rsidRPr="009A1394">
              <w:rPr>
                <w:rStyle w:val="canliisection"/>
                <w:rFonts w:ascii="Arial" w:hAnsi="Arial"/>
                <w:sz w:val="22"/>
                <w:szCs w:val="22"/>
                <w:lang w:val="en-CA"/>
              </w:rPr>
              <w:t>chemins</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de</w:t>
            </w:r>
            <w:r w:rsidR="002077BB" w:rsidRPr="009A1394">
              <w:rPr>
                <w:rStyle w:val="canliisection"/>
                <w:rFonts w:ascii="Arial" w:hAnsi="Arial"/>
                <w:sz w:val="22"/>
                <w:szCs w:val="22"/>
                <w:lang w:val="en-CA"/>
              </w:rPr>
              <w:t xml:space="preserve"> </w:t>
            </w:r>
            <w:r w:rsidRPr="009A1394">
              <w:rPr>
                <w:rStyle w:val="canliisection"/>
                <w:rFonts w:ascii="Arial" w:hAnsi="Arial"/>
                <w:sz w:val="22"/>
                <w:szCs w:val="22"/>
                <w:lang w:val="en-CA"/>
              </w:rPr>
              <w:t>fer</w:t>
            </w:r>
            <w:r w:rsidRPr="009A1394">
              <w:rPr>
                <w:rStyle w:val="canliisection"/>
                <w:rFonts w:ascii="Arial" w:hAnsi="Arial"/>
                <w:color w:val="000000" w:themeColor="text1"/>
                <w:sz w:val="22"/>
                <w:szCs w:val="22"/>
                <w:lang w:val="en-CA"/>
              </w:rPr>
              <w:t xml:space="preserve"> de ces diverses compagnies.</w:t>
            </w:r>
          </w:p>
        </w:tc>
      </w:tr>
      <w:tr w:rsidR="00F5579C" w:rsidRPr="009A1394" w14:paraId="32F52ED2" w14:textId="77777777" w:rsidTr="00F5579C">
        <w:tc>
          <w:tcPr>
            <w:tcW w:w="3827" w:type="dxa"/>
          </w:tcPr>
          <w:p w14:paraId="019695C7" w14:textId="22D61E11"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p>
        </w:tc>
        <w:tc>
          <w:tcPr>
            <w:tcW w:w="3827" w:type="dxa"/>
          </w:tcPr>
          <w:p w14:paraId="5FA18AB4" w14:textId="4ADF6560" w:rsidR="00F5579C" w:rsidRPr="009A1394" w:rsidRDefault="00F5579C" w:rsidP="00F5579C">
            <w:pPr>
              <w:pStyle w:val="section"/>
              <w:spacing w:before="120" w:beforeAutospacing="0" w:after="120" w:afterAutospacing="0" w:line="280" w:lineRule="exact"/>
              <w:jc w:val="both"/>
              <w:rPr>
                <w:rStyle w:val="canliisection"/>
                <w:rFonts w:ascii="Arial" w:hAnsi="Arial"/>
                <w:color w:val="000000" w:themeColor="text1"/>
                <w:sz w:val="22"/>
                <w:szCs w:val="22"/>
                <w:lang w:val="en-CA"/>
              </w:rPr>
            </w:pPr>
          </w:p>
        </w:tc>
      </w:tr>
    </w:tbl>
    <w:p w14:paraId="7528BAC8" w14:textId="4BF3A39B" w:rsidR="0053739B" w:rsidRPr="009A1394" w:rsidRDefault="00106BC8" w:rsidP="00B84769">
      <w:pPr>
        <w:pStyle w:val="Paragraphe"/>
        <w:numPr>
          <w:ilvl w:val="0"/>
          <w:numId w:val="1"/>
        </w:numPr>
        <w:rPr>
          <w:color w:val="000000" w:themeColor="text1"/>
          <w:szCs w:val="24"/>
          <w:lang w:val="en-CA"/>
        </w:rPr>
      </w:pPr>
      <w:r w:rsidRPr="009A1394">
        <w:rPr>
          <w:color w:val="000000" w:themeColor="text1"/>
          <w:szCs w:val="24"/>
          <w:lang w:val="en-CA"/>
        </w:rPr>
        <w:t xml:space="preserve">The judge found that this provision did not support the appellants’ </w:t>
      </w:r>
      <w:r w:rsidR="00E46925" w:rsidRPr="009A1394">
        <w:rPr>
          <w:color w:val="000000" w:themeColor="text1"/>
          <w:szCs w:val="24"/>
          <w:lang w:val="en-CA"/>
        </w:rPr>
        <w:t>claims</w:t>
      </w:r>
      <w:r w:rsidRPr="009A1394">
        <w:rPr>
          <w:color w:val="000000" w:themeColor="text1"/>
          <w:szCs w:val="24"/>
          <w:lang w:val="en-CA"/>
        </w:rPr>
        <w:t>.</w:t>
      </w:r>
      <w:r w:rsidRPr="009A1394">
        <w:rPr>
          <w:rStyle w:val="Appelnotedebasdep"/>
          <w:color w:val="000000" w:themeColor="text1"/>
          <w:szCs w:val="24"/>
          <w:lang w:val="en-CA"/>
        </w:rPr>
        <w:footnoteReference w:id="208"/>
      </w:r>
    </w:p>
    <w:p w14:paraId="1AFEF4D5" w14:textId="5CD85855" w:rsidR="00702A59" w:rsidRPr="009A1394" w:rsidRDefault="00106BC8" w:rsidP="00B84769">
      <w:pPr>
        <w:pStyle w:val="Paragraphe"/>
        <w:numPr>
          <w:ilvl w:val="0"/>
          <w:numId w:val="1"/>
        </w:numPr>
        <w:rPr>
          <w:color w:val="000000" w:themeColor="text1"/>
          <w:szCs w:val="24"/>
          <w:lang w:val="en-CA"/>
        </w:rPr>
      </w:pPr>
      <w:r w:rsidRPr="009A1394">
        <w:rPr>
          <w:szCs w:val="24"/>
          <w:lang w:val="en-CA"/>
        </w:rPr>
        <w:t>Th</w:t>
      </w:r>
      <w:r w:rsidR="00E8142A" w:rsidRPr="009A1394">
        <w:rPr>
          <w:szCs w:val="24"/>
          <w:lang w:val="en-CA"/>
        </w:rPr>
        <w:t>e</w:t>
      </w:r>
      <w:r w:rsidRPr="009A1394">
        <w:rPr>
          <w:szCs w:val="24"/>
          <w:lang w:val="en-CA"/>
        </w:rPr>
        <w:t xml:space="preserve"> Court agrees.</w:t>
      </w:r>
    </w:p>
    <w:p w14:paraId="4203469A" w14:textId="48EAAEFD" w:rsidR="00702A59" w:rsidRPr="009A1394" w:rsidRDefault="00106BC8" w:rsidP="00B84769">
      <w:pPr>
        <w:pStyle w:val="Paragraphe"/>
        <w:numPr>
          <w:ilvl w:val="0"/>
          <w:numId w:val="1"/>
        </w:numPr>
        <w:rPr>
          <w:color w:val="000000" w:themeColor="text1"/>
          <w:szCs w:val="24"/>
          <w:lang w:val="en-CA"/>
        </w:rPr>
      </w:pPr>
      <w:r w:rsidRPr="009A1394">
        <w:rPr>
          <w:szCs w:val="24"/>
          <w:lang w:val="en-CA"/>
        </w:rPr>
        <w:t xml:space="preserve">The purpose of section 114 is to </w:t>
      </w:r>
      <w:r w:rsidR="00387302" w:rsidRPr="009A1394">
        <w:rPr>
          <w:szCs w:val="24"/>
          <w:lang w:val="en-CA"/>
        </w:rPr>
        <w:t>require</w:t>
      </w:r>
      <w:r w:rsidRPr="009A1394">
        <w:rPr>
          <w:szCs w:val="24"/>
          <w:lang w:val="en-CA"/>
        </w:rPr>
        <w:t xml:space="preserve"> railway companies to give each other access to their respective networks.</w:t>
      </w:r>
      <w:r w:rsidR="008161A3" w:rsidRPr="009A1394">
        <w:rPr>
          <w:color w:val="000000" w:themeColor="text1"/>
          <w:szCs w:val="24"/>
          <w:lang w:val="en-CA"/>
        </w:rPr>
        <w:t xml:space="preserve"> </w:t>
      </w:r>
      <w:r w:rsidRPr="009A1394">
        <w:rPr>
          <w:color w:val="000000" w:themeColor="text1"/>
          <w:szCs w:val="24"/>
          <w:lang w:val="en-CA"/>
        </w:rPr>
        <w:t xml:space="preserve">It does not impose on them, even on those offering a through traffic rate, </w:t>
      </w:r>
      <w:r w:rsidR="00387302" w:rsidRPr="009A1394">
        <w:rPr>
          <w:color w:val="000000" w:themeColor="text1"/>
          <w:szCs w:val="24"/>
          <w:lang w:val="en-CA"/>
        </w:rPr>
        <w:t>any</w:t>
      </w:r>
      <w:r w:rsidRPr="009A1394">
        <w:rPr>
          <w:color w:val="000000" w:themeColor="text1"/>
          <w:szCs w:val="24"/>
          <w:lang w:val="en-CA"/>
        </w:rPr>
        <w:t xml:space="preserve"> obligation to </w:t>
      </w:r>
      <w:r w:rsidR="00387302" w:rsidRPr="009A1394">
        <w:rPr>
          <w:color w:val="000000" w:themeColor="text1"/>
          <w:szCs w:val="24"/>
          <w:lang w:val="en-CA"/>
        </w:rPr>
        <w:t>verify</w:t>
      </w:r>
      <w:r w:rsidRPr="009A1394">
        <w:rPr>
          <w:color w:val="000000" w:themeColor="text1"/>
          <w:szCs w:val="24"/>
          <w:lang w:val="en-CA"/>
        </w:rPr>
        <w:t xml:space="preserve"> or ensure that the connecting carrier with which they wish to do business will be able to safely </w:t>
      </w:r>
      <w:r w:rsidR="00F32538" w:rsidRPr="009A1394">
        <w:rPr>
          <w:color w:val="000000" w:themeColor="text1"/>
          <w:szCs w:val="24"/>
          <w:lang w:val="en-CA"/>
        </w:rPr>
        <w:t>and</w:t>
      </w:r>
      <w:r w:rsidRPr="009A1394">
        <w:rPr>
          <w:color w:val="000000" w:themeColor="text1"/>
          <w:szCs w:val="24"/>
          <w:lang w:val="en-CA"/>
        </w:rPr>
        <w:t xml:space="preserve"> securely transport the cargo </w:t>
      </w:r>
      <w:r w:rsidR="00C22894" w:rsidRPr="009A1394">
        <w:rPr>
          <w:color w:val="000000" w:themeColor="text1"/>
          <w:szCs w:val="24"/>
          <w:lang w:val="en-CA"/>
        </w:rPr>
        <w:t xml:space="preserve">to </w:t>
      </w:r>
      <w:r w:rsidRPr="009A1394">
        <w:rPr>
          <w:color w:val="000000" w:themeColor="text1"/>
          <w:szCs w:val="24"/>
          <w:lang w:val="en-CA"/>
        </w:rPr>
        <w:t>be entrusted</w:t>
      </w:r>
      <w:r w:rsidR="00CC0B88" w:rsidRPr="009A1394">
        <w:rPr>
          <w:color w:val="000000" w:themeColor="text1"/>
          <w:szCs w:val="24"/>
          <w:lang w:val="en-CA"/>
        </w:rPr>
        <w:t xml:space="preserve"> to it</w:t>
      </w:r>
      <w:r w:rsidRPr="009A1394">
        <w:rPr>
          <w:color w:val="000000" w:themeColor="text1"/>
          <w:szCs w:val="24"/>
          <w:lang w:val="en-CA"/>
        </w:rPr>
        <w:t>.</w:t>
      </w:r>
    </w:p>
    <w:p w14:paraId="12B856C4" w14:textId="13F456BA" w:rsidR="00702A59" w:rsidRPr="009A1394" w:rsidRDefault="00106BC8" w:rsidP="00B84769">
      <w:pPr>
        <w:pStyle w:val="Paragraphe"/>
        <w:numPr>
          <w:ilvl w:val="0"/>
          <w:numId w:val="1"/>
        </w:numPr>
        <w:rPr>
          <w:color w:val="000000" w:themeColor="text1"/>
          <w:szCs w:val="24"/>
          <w:lang w:val="en-CA"/>
        </w:rPr>
      </w:pPr>
      <w:r w:rsidRPr="009A1394">
        <w:rPr>
          <w:color w:val="000000" w:themeColor="text1"/>
          <w:szCs w:val="24"/>
          <w:lang w:val="en-CA"/>
        </w:rPr>
        <w:t xml:space="preserve">CP is right to say that the appellants’ interpretation of section 114 of the </w:t>
      </w:r>
      <w:r w:rsidRPr="009A1394">
        <w:rPr>
          <w:i/>
          <w:iCs/>
          <w:color w:val="000000" w:themeColor="text1"/>
          <w:szCs w:val="24"/>
          <w:lang w:val="en-CA"/>
        </w:rPr>
        <w:t>Canada Transportation Act</w:t>
      </w:r>
      <w:r w:rsidRPr="009A1394">
        <w:rPr>
          <w:color w:val="000000" w:themeColor="text1"/>
          <w:szCs w:val="24"/>
          <w:lang w:val="en-CA"/>
        </w:rPr>
        <w:t xml:space="preserve"> is contrary to its purpose, which is to allow railway companies to use </w:t>
      </w:r>
      <w:r w:rsidR="00387302" w:rsidRPr="009A1394">
        <w:rPr>
          <w:color w:val="000000" w:themeColor="text1"/>
          <w:szCs w:val="24"/>
          <w:lang w:val="en-CA"/>
        </w:rPr>
        <w:t xml:space="preserve">another company’s </w:t>
      </w:r>
      <w:r w:rsidRPr="009A1394">
        <w:rPr>
          <w:color w:val="000000" w:themeColor="text1"/>
          <w:szCs w:val="24"/>
          <w:lang w:val="en-CA"/>
        </w:rPr>
        <w:t xml:space="preserve">network, not to prevent </w:t>
      </w:r>
      <w:r w:rsidR="00794932" w:rsidRPr="009A1394">
        <w:rPr>
          <w:color w:val="000000" w:themeColor="text1"/>
          <w:szCs w:val="24"/>
          <w:lang w:val="en-CA"/>
        </w:rPr>
        <w:t>them</w:t>
      </w:r>
      <w:r w:rsidRPr="009A1394">
        <w:rPr>
          <w:color w:val="000000" w:themeColor="text1"/>
          <w:szCs w:val="24"/>
          <w:lang w:val="en-CA"/>
        </w:rPr>
        <w:t xml:space="preserve"> from doing so.</w:t>
      </w:r>
      <w:r w:rsidR="008161A3" w:rsidRPr="009A1394">
        <w:rPr>
          <w:color w:val="000000" w:themeColor="text1"/>
          <w:szCs w:val="24"/>
          <w:lang w:val="en-CA"/>
        </w:rPr>
        <w:t xml:space="preserve"> </w:t>
      </w:r>
      <w:r w:rsidRPr="009A1394">
        <w:rPr>
          <w:color w:val="000000" w:themeColor="text1"/>
          <w:szCs w:val="24"/>
          <w:lang w:val="en-CA"/>
        </w:rPr>
        <w:t xml:space="preserve">It is worth pointing out that it is this provision that MMA </w:t>
      </w:r>
      <w:r w:rsidR="00794932" w:rsidRPr="009A1394">
        <w:rPr>
          <w:color w:val="000000" w:themeColor="text1"/>
          <w:szCs w:val="24"/>
          <w:lang w:val="en-CA"/>
        </w:rPr>
        <w:t xml:space="preserve">relied upon </w:t>
      </w:r>
      <w:r w:rsidRPr="009A1394">
        <w:rPr>
          <w:color w:val="000000" w:themeColor="text1"/>
          <w:szCs w:val="24"/>
          <w:lang w:val="en-CA"/>
        </w:rPr>
        <w:t xml:space="preserve">to </w:t>
      </w:r>
      <w:r w:rsidR="00F7176D" w:rsidRPr="009A1394">
        <w:rPr>
          <w:color w:val="000000" w:themeColor="text1"/>
          <w:szCs w:val="24"/>
          <w:lang w:val="en-CA"/>
        </w:rPr>
        <w:t xml:space="preserve">persuade </w:t>
      </w:r>
      <w:r w:rsidRPr="009A1394">
        <w:rPr>
          <w:color w:val="000000" w:themeColor="text1"/>
          <w:szCs w:val="24"/>
          <w:lang w:val="en-CA"/>
        </w:rPr>
        <w:t>the CTA to order CP to lift the embargo it had imposed on MMA after the derailment.</w:t>
      </w:r>
      <w:r w:rsidRPr="009A1394">
        <w:rPr>
          <w:rStyle w:val="Appelnotedebasdep"/>
          <w:color w:val="000000" w:themeColor="text1"/>
          <w:szCs w:val="24"/>
          <w:lang w:val="en-CA"/>
        </w:rPr>
        <w:footnoteReference w:id="209"/>
      </w:r>
    </w:p>
    <w:p w14:paraId="14418BF3" w14:textId="0E2ED11A" w:rsidR="00DB3D59" w:rsidRPr="009A1394" w:rsidRDefault="00A75EA6" w:rsidP="00B84769">
      <w:pPr>
        <w:pStyle w:val="Paragraphe"/>
        <w:numPr>
          <w:ilvl w:val="0"/>
          <w:numId w:val="1"/>
        </w:numPr>
        <w:rPr>
          <w:color w:val="000000" w:themeColor="text1"/>
          <w:szCs w:val="24"/>
          <w:lang w:val="en-CA"/>
        </w:rPr>
      </w:pPr>
      <w:r w:rsidRPr="009A1394">
        <w:rPr>
          <w:color w:val="000000" w:themeColor="text1"/>
          <w:szCs w:val="24"/>
          <w:lang w:val="en-CA"/>
        </w:rPr>
        <w:t xml:space="preserve">Even interpreted </w:t>
      </w:r>
      <w:r w:rsidR="00D92CA1" w:rsidRPr="009A1394">
        <w:rPr>
          <w:color w:val="000000" w:themeColor="text1"/>
          <w:szCs w:val="24"/>
          <w:lang w:val="en-CA"/>
        </w:rPr>
        <w:t>in accordance with</w:t>
      </w:r>
      <w:r w:rsidRPr="009A1394">
        <w:rPr>
          <w:color w:val="000000" w:themeColor="text1"/>
          <w:szCs w:val="24"/>
          <w:lang w:val="en-CA"/>
        </w:rPr>
        <w:t xml:space="preserve"> </w:t>
      </w:r>
      <w:r w:rsidR="00794932" w:rsidRPr="009A1394">
        <w:rPr>
          <w:color w:val="000000" w:themeColor="text1"/>
          <w:szCs w:val="24"/>
          <w:lang w:val="en-CA"/>
        </w:rPr>
        <w:t xml:space="preserve">the </w:t>
      </w:r>
      <w:r w:rsidRPr="009A1394">
        <w:rPr>
          <w:color w:val="000000" w:themeColor="text1"/>
          <w:szCs w:val="24"/>
          <w:lang w:val="en-CA"/>
        </w:rPr>
        <w:t xml:space="preserve">safety and security considerations found elsewhere in the </w:t>
      </w:r>
      <w:r w:rsidRPr="009A1394">
        <w:rPr>
          <w:i/>
          <w:iCs/>
          <w:color w:val="000000" w:themeColor="text1"/>
          <w:szCs w:val="24"/>
          <w:lang w:val="en-CA"/>
        </w:rPr>
        <w:t>Canada Transportation Act</w:t>
      </w:r>
      <w:r w:rsidRPr="009A1394">
        <w:rPr>
          <w:color w:val="000000" w:themeColor="text1"/>
          <w:szCs w:val="24"/>
          <w:lang w:val="en-CA"/>
        </w:rPr>
        <w:t>, the wording of section 114 does not support the appellants’ position.</w:t>
      </w:r>
    </w:p>
    <w:p w14:paraId="44E5685B" w14:textId="22D96995" w:rsidR="00702A59" w:rsidRPr="009A1394" w:rsidRDefault="00A75EA6" w:rsidP="00B84769">
      <w:pPr>
        <w:pStyle w:val="Paragraphe"/>
        <w:numPr>
          <w:ilvl w:val="0"/>
          <w:numId w:val="1"/>
        </w:numPr>
        <w:rPr>
          <w:color w:val="000000" w:themeColor="text1"/>
          <w:szCs w:val="24"/>
          <w:lang w:val="en-CA"/>
        </w:rPr>
      </w:pPr>
      <w:r w:rsidRPr="009A1394">
        <w:rPr>
          <w:szCs w:val="24"/>
          <w:lang w:val="en-CA"/>
        </w:rPr>
        <w:t xml:space="preserve">The Court therefore finds that the judge’s interpretation </w:t>
      </w:r>
      <w:r w:rsidR="00463099" w:rsidRPr="009A1394">
        <w:rPr>
          <w:szCs w:val="24"/>
          <w:lang w:val="en-CA"/>
        </w:rPr>
        <w:t>is free from error</w:t>
      </w:r>
      <w:r w:rsidRPr="009A1394">
        <w:rPr>
          <w:szCs w:val="24"/>
          <w:lang w:val="en-CA"/>
        </w:rPr>
        <w:t>.</w:t>
      </w:r>
    </w:p>
    <w:p w14:paraId="2FE14C04" w14:textId="4B09FFAC" w:rsidR="00702A59" w:rsidRPr="009A1394" w:rsidRDefault="00AC3166" w:rsidP="00B84769">
      <w:pPr>
        <w:pStyle w:val="Paragraphe"/>
        <w:numPr>
          <w:ilvl w:val="0"/>
          <w:numId w:val="1"/>
        </w:numPr>
        <w:rPr>
          <w:color w:val="000000" w:themeColor="text1"/>
          <w:szCs w:val="24"/>
          <w:lang w:val="en-CA"/>
        </w:rPr>
      </w:pPr>
      <w:r w:rsidRPr="009A1394">
        <w:rPr>
          <w:color w:val="000000" w:themeColor="text1"/>
          <w:szCs w:val="24"/>
          <w:lang w:val="en-CA"/>
        </w:rPr>
        <w:t xml:space="preserve">The judge also </w:t>
      </w:r>
      <w:r w:rsidR="00794932" w:rsidRPr="009A1394">
        <w:rPr>
          <w:color w:val="000000" w:themeColor="text1"/>
          <w:szCs w:val="24"/>
          <w:lang w:val="en-CA"/>
        </w:rPr>
        <w:t>found</w:t>
      </w:r>
      <w:r w:rsidRPr="009A1394">
        <w:rPr>
          <w:color w:val="000000" w:themeColor="text1"/>
          <w:szCs w:val="24"/>
          <w:lang w:val="en-CA"/>
        </w:rPr>
        <w:t xml:space="preserve"> that </w:t>
      </w:r>
      <w:r w:rsidR="004C5275" w:rsidRPr="009A1394">
        <w:rPr>
          <w:color w:val="000000" w:themeColor="text1"/>
          <w:szCs w:val="24"/>
          <w:lang w:val="en-CA"/>
        </w:rPr>
        <w:t xml:space="preserve">there was </w:t>
      </w:r>
      <w:r w:rsidR="005448EF" w:rsidRPr="009A1394">
        <w:rPr>
          <w:color w:val="000000" w:themeColor="text1"/>
          <w:szCs w:val="24"/>
          <w:lang w:val="en-CA"/>
        </w:rPr>
        <w:t>no</w:t>
      </w:r>
      <w:r w:rsidRPr="009A1394">
        <w:rPr>
          <w:color w:val="000000" w:themeColor="text1"/>
          <w:szCs w:val="24"/>
          <w:lang w:val="en-CA"/>
        </w:rPr>
        <w:t xml:space="preserve"> evidence </w:t>
      </w:r>
      <w:r w:rsidR="004C5275" w:rsidRPr="009A1394">
        <w:rPr>
          <w:color w:val="000000" w:themeColor="text1"/>
          <w:szCs w:val="24"/>
          <w:lang w:val="en-CA"/>
        </w:rPr>
        <w:t>before him</w:t>
      </w:r>
      <w:r w:rsidRPr="009A1394">
        <w:rPr>
          <w:color w:val="000000" w:themeColor="text1"/>
          <w:szCs w:val="24"/>
          <w:lang w:val="en-CA"/>
        </w:rPr>
        <w:t xml:space="preserve"> </w:t>
      </w:r>
      <w:r w:rsidR="004C5275" w:rsidRPr="009A1394">
        <w:rPr>
          <w:color w:val="000000" w:themeColor="text1"/>
          <w:szCs w:val="24"/>
          <w:lang w:val="en-CA"/>
        </w:rPr>
        <w:t>of any</w:t>
      </w:r>
      <w:r w:rsidRPr="009A1394">
        <w:rPr>
          <w:color w:val="000000" w:themeColor="text1"/>
          <w:szCs w:val="24"/>
          <w:lang w:val="en-CA"/>
        </w:rPr>
        <w:t xml:space="preserve"> </w:t>
      </w:r>
      <w:r w:rsidR="00794932" w:rsidRPr="009A1394">
        <w:rPr>
          <w:color w:val="000000" w:themeColor="text1"/>
          <w:szCs w:val="24"/>
          <w:lang w:val="en-CA"/>
        </w:rPr>
        <w:t xml:space="preserve">usage or </w:t>
      </w:r>
      <w:r w:rsidRPr="009A1394">
        <w:rPr>
          <w:color w:val="000000" w:themeColor="text1"/>
          <w:szCs w:val="24"/>
          <w:lang w:val="en-CA"/>
        </w:rPr>
        <w:t xml:space="preserve">practice that </w:t>
      </w:r>
      <w:r w:rsidR="004C5275" w:rsidRPr="009A1394">
        <w:rPr>
          <w:color w:val="000000" w:themeColor="text1"/>
          <w:szCs w:val="24"/>
          <w:lang w:val="en-CA"/>
        </w:rPr>
        <w:t>would require</w:t>
      </w:r>
      <w:r w:rsidRPr="009A1394">
        <w:rPr>
          <w:color w:val="000000" w:themeColor="text1"/>
          <w:szCs w:val="24"/>
          <w:lang w:val="en-CA"/>
        </w:rPr>
        <w:t xml:space="preserve"> the originating carrier, called upon to provide a through traffic rate, to ensure that </w:t>
      </w:r>
      <w:r w:rsidR="002E5FC7" w:rsidRPr="009A1394">
        <w:rPr>
          <w:color w:val="000000" w:themeColor="text1"/>
          <w:szCs w:val="24"/>
          <w:lang w:val="en-CA"/>
        </w:rPr>
        <w:t xml:space="preserve">all </w:t>
      </w:r>
      <w:r w:rsidR="005448EF" w:rsidRPr="009A1394">
        <w:rPr>
          <w:color w:val="000000" w:themeColor="text1"/>
          <w:szCs w:val="24"/>
          <w:lang w:val="en-CA"/>
        </w:rPr>
        <w:t>th</w:t>
      </w:r>
      <w:r w:rsidRPr="009A1394">
        <w:rPr>
          <w:color w:val="000000" w:themeColor="text1"/>
          <w:szCs w:val="24"/>
          <w:lang w:val="en-CA"/>
        </w:rPr>
        <w:t xml:space="preserve">e connecting carriers </w:t>
      </w:r>
      <w:r w:rsidR="004C5275" w:rsidRPr="009A1394">
        <w:rPr>
          <w:color w:val="000000" w:themeColor="text1"/>
          <w:szCs w:val="24"/>
          <w:lang w:val="en-CA"/>
        </w:rPr>
        <w:t>it</w:t>
      </w:r>
      <w:r w:rsidRPr="009A1394">
        <w:rPr>
          <w:color w:val="000000" w:themeColor="text1"/>
          <w:szCs w:val="24"/>
          <w:lang w:val="en-CA"/>
        </w:rPr>
        <w:t xml:space="preserve"> </w:t>
      </w:r>
      <w:r w:rsidR="00B413CD" w:rsidRPr="009A1394">
        <w:rPr>
          <w:color w:val="000000" w:themeColor="text1"/>
          <w:szCs w:val="24"/>
          <w:lang w:val="en-CA"/>
        </w:rPr>
        <w:t xml:space="preserve">will </w:t>
      </w:r>
      <w:r w:rsidR="00794932" w:rsidRPr="009A1394">
        <w:rPr>
          <w:color w:val="000000" w:themeColor="text1"/>
          <w:szCs w:val="24"/>
          <w:lang w:val="en-CA"/>
        </w:rPr>
        <w:t>have to retain</w:t>
      </w:r>
      <w:r w:rsidRPr="009A1394">
        <w:rPr>
          <w:color w:val="000000" w:themeColor="text1"/>
          <w:szCs w:val="24"/>
          <w:lang w:val="en-CA"/>
        </w:rPr>
        <w:t xml:space="preserve"> </w:t>
      </w:r>
      <w:r w:rsidR="00B413CD" w:rsidRPr="009A1394">
        <w:rPr>
          <w:color w:val="000000" w:themeColor="text1"/>
          <w:szCs w:val="24"/>
          <w:lang w:val="en-CA"/>
        </w:rPr>
        <w:t xml:space="preserve">will </w:t>
      </w:r>
      <w:r w:rsidRPr="009A1394">
        <w:rPr>
          <w:color w:val="000000" w:themeColor="text1"/>
          <w:szCs w:val="24"/>
          <w:lang w:val="en-CA"/>
        </w:rPr>
        <w:t xml:space="preserve">be able to </w:t>
      </w:r>
      <w:r w:rsidR="005448EF" w:rsidRPr="009A1394">
        <w:rPr>
          <w:color w:val="000000" w:themeColor="text1"/>
          <w:szCs w:val="24"/>
          <w:lang w:val="en-CA"/>
        </w:rPr>
        <w:t>safely</w:t>
      </w:r>
      <w:r w:rsidRPr="009A1394">
        <w:rPr>
          <w:color w:val="000000" w:themeColor="text1"/>
          <w:szCs w:val="24"/>
          <w:lang w:val="en-CA"/>
        </w:rPr>
        <w:t xml:space="preserve"> and securely transport the cargo. </w:t>
      </w:r>
      <w:r w:rsidR="00794932" w:rsidRPr="009A1394">
        <w:rPr>
          <w:color w:val="000000" w:themeColor="text1"/>
          <w:szCs w:val="24"/>
          <w:lang w:val="en-CA"/>
        </w:rPr>
        <w:t>A</w:t>
      </w:r>
      <w:r w:rsidR="004D1A95" w:rsidRPr="009A1394">
        <w:rPr>
          <w:color w:val="000000" w:themeColor="text1"/>
          <w:szCs w:val="24"/>
          <w:lang w:val="en-CA"/>
        </w:rPr>
        <w:t>gain, the expert evidence offered by the appellants failed to convince the judge</w:t>
      </w:r>
      <w:r w:rsidR="00794932" w:rsidRPr="009A1394">
        <w:rPr>
          <w:color w:val="000000" w:themeColor="text1"/>
          <w:szCs w:val="24"/>
          <w:lang w:val="en-CA"/>
        </w:rPr>
        <w:t>,</w:t>
      </w:r>
      <w:r w:rsidR="004D1A95" w:rsidRPr="009A1394">
        <w:rPr>
          <w:color w:val="000000" w:themeColor="text1"/>
          <w:szCs w:val="24"/>
          <w:lang w:val="en-CA"/>
        </w:rPr>
        <w:t xml:space="preserve"> as </w:t>
      </w:r>
      <w:r w:rsidR="00FA2E07" w:rsidRPr="009A1394">
        <w:rPr>
          <w:color w:val="000000" w:themeColor="text1"/>
          <w:szCs w:val="24"/>
          <w:lang w:val="en-CA"/>
        </w:rPr>
        <w:t xml:space="preserve">these experts </w:t>
      </w:r>
      <w:r w:rsidR="004D1A95" w:rsidRPr="009A1394">
        <w:rPr>
          <w:color w:val="000000" w:themeColor="text1"/>
          <w:szCs w:val="24"/>
          <w:lang w:val="en-CA"/>
        </w:rPr>
        <w:t>were unable to provide even a single instance of an originating carrier hav</w:t>
      </w:r>
      <w:r w:rsidR="002E5FC7" w:rsidRPr="009A1394">
        <w:rPr>
          <w:color w:val="000000" w:themeColor="text1"/>
          <w:szCs w:val="24"/>
          <w:lang w:val="en-CA"/>
        </w:rPr>
        <w:t>ing</w:t>
      </w:r>
      <w:r w:rsidR="004D1A95" w:rsidRPr="009A1394">
        <w:rPr>
          <w:color w:val="000000" w:themeColor="text1"/>
          <w:szCs w:val="24"/>
          <w:lang w:val="en-CA"/>
        </w:rPr>
        <w:t xml:space="preserve"> taken on such a responsibility.</w:t>
      </w:r>
      <w:r w:rsidR="004D1A95" w:rsidRPr="009A1394">
        <w:rPr>
          <w:rStyle w:val="Appelnotedebasdep"/>
          <w:color w:val="000000" w:themeColor="text1"/>
          <w:szCs w:val="24"/>
          <w:lang w:val="en-CA"/>
        </w:rPr>
        <w:footnoteReference w:id="210"/>
      </w:r>
      <w:r w:rsidR="008161A3" w:rsidRPr="009A1394">
        <w:rPr>
          <w:color w:val="000000" w:themeColor="text1"/>
          <w:szCs w:val="24"/>
          <w:lang w:val="en-CA"/>
        </w:rPr>
        <w:t xml:space="preserve"> </w:t>
      </w:r>
      <w:r w:rsidR="004D1A95" w:rsidRPr="009A1394">
        <w:rPr>
          <w:color w:val="000000" w:themeColor="text1"/>
          <w:szCs w:val="24"/>
          <w:lang w:val="en-CA"/>
        </w:rPr>
        <w:t>In fact, no other witness, including those for MMA, recognized the existence of such a practice in the industry:</w:t>
      </w:r>
    </w:p>
    <w:p w14:paraId="5AECC113" w14:textId="014C477B" w:rsidR="005448EF" w:rsidRPr="009A1394" w:rsidRDefault="005448EF" w:rsidP="00B84769">
      <w:pPr>
        <w:pStyle w:val="Citationenretrai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712E10F0" w14:textId="6ADA9D8E" w:rsidR="00702A59" w:rsidRPr="009A1394" w:rsidRDefault="004D1A95" w:rsidP="00B84769">
      <w:pPr>
        <w:pStyle w:val="Citationenretrait"/>
        <w:rPr>
          <w:color w:val="000000" w:themeColor="text1"/>
          <w:lang w:val="en-CA"/>
        </w:rPr>
      </w:pPr>
      <w:r w:rsidRPr="009A1394">
        <w:rPr>
          <w:color w:val="000000" w:themeColor="text1"/>
          <w:lang w:val="en-CA"/>
        </w:rPr>
        <w:t>[660]</w:t>
      </w:r>
      <w:r w:rsidR="008161A3" w:rsidRPr="009A1394">
        <w:rPr>
          <w:color w:val="000000" w:themeColor="text1"/>
          <w:lang w:val="en-CA"/>
        </w:rPr>
        <w:tab/>
      </w:r>
      <w:r w:rsidR="007D1ECA" w:rsidRPr="009A1394">
        <w:rPr>
          <w:lang w:val="en-CA"/>
        </w:rPr>
        <w:t xml:space="preserve">In fact, other that the </w:t>
      </w:r>
      <w:r w:rsidR="00F7176D" w:rsidRPr="009A1394">
        <w:rPr>
          <w:lang w:val="en-CA"/>
        </w:rPr>
        <w:t xml:space="preserve">unpersuasive </w:t>
      </w:r>
      <w:r w:rsidR="007D1ECA" w:rsidRPr="009A1394">
        <w:rPr>
          <w:lang w:val="en-CA"/>
        </w:rPr>
        <w:t>testimony of experts Reilly and Richard on the subject, who</w:t>
      </w:r>
      <w:r w:rsidR="004F7AC5" w:rsidRPr="009A1394">
        <w:rPr>
          <w:lang w:val="en-CA"/>
        </w:rPr>
        <w:t>, moreover,</w:t>
      </w:r>
      <w:r w:rsidR="007D1ECA" w:rsidRPr="009A1394">
        <w:rPr>
          <w:lang w:val="en-CA"/>
        </w:rPr>
        <w:t xml:space="preserve"> </w:t>
      </w:r>
      <w:r w:rsidR="004F7AC5" w:rsidRPr="009A1394">
        <w:rPr>
          <w:lang w:val="en-CA"/>
        </w:rPr>
        <w:t xml:space="preserve">did </w:t>
      </w:r>
      <w:r w:rsidR="007D1ECA" w:rsidRPr="009A1394">
        <w:rPr>
          <w:lang w:val="en-CA"/>
        </w:rPr>
        <w:t>not refer to</w:t>
      </w:r>
      <w:r w:rsidR="004C5275" w:rsidRPr="009A1394">
        <w:rPr>
          <w:lang w:val="en-CA"/>
        </w:rPr>
        <w:t xml:space="preserve"> any</w:t>
      </w:r>
      <w:r w:rsidR="007D1ECA" w:rsidRPr="009A1394">
        <w:rPr>
          <w:lang w:val="en-CA"/>
        </w:rPr>
        <w:t xml:space="preserve"> specific cases or examples in their reports, no witness or representative of other railway companies made any such claim </w:t>
      </w:r>
      <w:r w:rsidR="001013A4" w:rsidRPr="009A1394">
        <w:rPr>
          <w:lang w:val="en-CA"/>
        </w:rPr>
        <w:t>as part of the evidence</w:t>
      </w:r>
      <w:r w:rsidR="007D1ECA" w:rsidRPr="009A1394">
        <w:rPr>
          <w:lang w:val="en-CA"/>
        </w:rPr>
        <w:t>.</w:t>
      </w:r>
      <w:r w:rsidR="008161A3" w:rsidRPr="009A1394">
        <w:rPr>
          <w:color w:val="000000" w:themeColor="text1"/>
          <w:lang w:val="en-CA"/>
        </w:rPr>
        <w:t xml:space="preserve"> </w:t>
      </w:r>
      <w:r w:rsidR="007D1ECA" w:rsidRPr="009A1394">
        <w:rPr>
          <w:color w:val="000000" w:themeColor="text1"/>
          <w:lang w:val="en-CA"/>
        </w:rPr>
        <w:t>On the contrary, even MMA</w:t>
      </w:r>
      <w:r w:rsidR="001013A4" w:rsidRPr="009A1394">
        <w:rPr>
          <w:color w:val="000000" w:themeColor="text1"/>
          <w:lang w:val="en-CA"/>
        </w:rPr>
        <w:t>’s representatives</w:t>
      </w:r>
      <w:r w:rsidR="007D1ECA" w:rsidRPr="009A1394">
        <w:rPr>
          <w:color w:val="000000" w:themeColor="text1"/>
          <w:lang w:val="en-CA"/>
        </w:rPr>
        <w:t xml:space="preserve"> </w:t>
      </w:r>
      <w:r w:rsidR="007D1ECA" w:rsidRPr="009A1394">
        <w:rPr>
          <w:color w:val="000000" w:themeColor="text1"/>
          <w:lang w:val="en-CA"/>
        </w:rPr>
        <w:lastRenderedPageBreak/>
        <w:t xml:space="preserve">acknowledge that this way of </w:t>
      </w:r>
      <w:r w:rsidR="004C5275" w:rsidRPr="009A1394">
        <w:rPr>
          <w:color w:val="000000" w:themeColor="text1"/>
          <w:lang w:val="en-CA"/>
        </w:rPr>
        <w:t>operating</w:t>
      </w:r>
      <w:r w:rsidR="007D1ECA" w:rsidRPr="009A1394">
        <w:rPr>
          <w:color w:val="000000" w:themeColor="text1"/>
          <w:lang w:val="en-CA"/>
        </w:rPr>
        <w:t xml:space="preserve"> does not exist and is not applied in any way.</w:t>
      </w:r>
    </w:p>
    <w:p w14:paraId="0F4CBF13" w14:textId="40A8E341" w:rsidR="00702A59" w:rsidRPr="009A1394" w:rsidRDefault="00576187" w:rsidP="00B84769">
      <w:pPr>
        <w:pStyle w:val="Citationenretrait"/>
        <w:jc w:val="right"/>
        <w:rPr>
          <w:color w:val="000000" w:themeColor="text1"/>
          <w:lang w:val="en-CA"/>
        </w:rPr>
      </w:pPr>
      <w:r w:rsidRPr="009A1394">
        <w:rPr>
          <w:color w:val="000000" w:themeColor="text1"/>
          <w:lang w:val="en-CA"/>
        </w:rPr>
        <w:t>[</w:t>
      </w:r>
      <w:r w:rsidR="004F7AC5" w:rsidRPr="009A1394">
        <w:rPr>
          <w:color w:val="000000" w:themeColor="text1"/>
          <w:lang w:val="en-CA"/>
        </w:rPr>
        <w:t xml:space="preserve">References </w:t>
      </w:r>
      <w:r w:rsidRPr="009A1394">
        <w:rPr>
          <w:color w:val="000000" w:themeColor="text1"/>
          <w:lang w:val="en-CA"/>
        </w:rPr>
        <w:t>omitted]</w:t>
      </w:r>
    </w:p>
    <w:p w14:paraId="0E4B075C" w14:textId="79FA2644" w:rsidR="00702A59" w:rsidRPr="009A1394" w:rsidRDefault="007D1ECA" w:rsidP="00B84769">
      <w:pPr>
        <w:pStyle w:val="Paragraphe"/>
        <w:numPr>
          <w:ilvl w:val="0"/>
          <w:numId w:val="1"/>
        </w:numPr>
        <w:rPr>
          <w:color w:val="000000" w:themeColor="text1"/>
          <w:szCs w:val="24"/>
          <w:lang w:val="en-CA"/>
        </w:rPr>
      </w:pPr>
      <w:r w:rsidRPr="009A1394">
        <w:rPr>
          <w:color w:val="000000" w:themeColor="text1"/>
          <w:szCs w:val="24"/>
          <w:lang w:val="en-CA"/>
        </w:rPr>
        <w:t xml:space="preserve">As stated above, the judge’s assessment of </w:t>
      </w:r>
      <w:r w:rsidR="005448EF" w:rsidRPr="009A1394">
        <w:rPr>
          <w:color w:val="000000" w:themeColor="text1"/>
          <w:szCs w:val="24"/>
          <w:lang w:val="en-CA"/>
        </w:rPr>
        <w:t>the</w:t>
      </w:r>
      <w:r w:rsidRPr="009A1394">
        <w:rPr>
          <w:color w:val="000000" w:themeColor="text1"/>
          <w:szCs w:val="24"/>
          <w:lang w:val="en-CA"/>
        </w:rPr>
        <w:t xml:space="preserve"> probative value of the expert reports is entitled to deference on appeal.</w:t>
      </w:r>
      <w:r w:rsidRPr="009A1394">
        <w:rPr>
          <w:rStyle w:val="Appelnotedebasdep"/>
          <w:color w:val="000000" w:themeColor="text1"/>
          <w:szCs w:val="24"/>
          <w:lang w:val="en-CA"/>
        </w:rPr>
        <w:footnoteReference w:id="211"/>
      </w:r>
    </w:p>
    <w:p w14:paraId="6F660486" w14:textId="339BD78B" w:rsidR="00702A59" w:rsidRPr="009A1394" w:rsidRDefault="004C5275" w:rsidP="00B84769">
      <w:pPr>
        <w:pStyle w:val="Paragraphe"/>
        <w:numPr>
          <w:ilvl w:val="0"/>
          <w:numId w:val="1"/>
        </w:numPr>
        <w:rPr>
          <w:color w:val="000000" w:themeColor="text1"/>
          <w:szCs w:val="24"/>
          <w:lang w:val="en-CA"/>
        </w:rPr>
      </w:pPr>
      <w:r w:rsidRPr="009A1394">
        <w:rPr>
          <w:color w:val="000000" w:themeColor="text1"/>
          <w:szCs w:val="24"/>
          <w:lang w:val="en-CA"/>
        </w:rPr>
        <w:t>Finally</w:t>
      </w:r>
      <w:r w:rsidR="007D1ECA" w:rsidRPr="009A1394">
        <w:rPr>
          <w:color w:val="000000" w:themeColor="text1"/>
          <w:szCs w:val="24"/>
          <w:lang w:val="en-CA"/>
        </w:rPr>
        <w:t xml:space="preserve">, contrary to what the appellants claim, and as the Court </w:t>
      </w:r>
      <w:r w:rsidRPr="009A1394">
        <w:rPr>
          <w:color w:val="000000" w:themeColor="text1"/>
          <w:szCs w:val="24"/>
          <w:lang w:val="en-CA"/>
        </w:rPr>
        <w:t xml:space="preserve">has </w:t>
      </w:r>
      <w:r w:rsidR="007D1ECA" w:rsidRPr="009A1394">
        <w:rPr>
          <w:color w:val="000000" w:themeColor="text1"/>
          <w:szCs w:val="24"/>
          <w:lang w:val="en-CA"/>
        </w:rPr>
        <w:t xml:space="preserve">previously noted, the judge </w:t>
      </w:r>
      <w:r w:rsidR="00A71FC6" w:rsidRPr="009A1394">
        <w:rPr>
          <w:color w:val="000000" w:themeColor="text1"/>
          <w:szCs w:val="24"/>
          <w:lang w:val="en-CA"/>
        </w:rPr>
        <w:t>did not fail</w:t>
      </w:r>
      <w:r w:rsidR="007D1ECA" w:rsidRPr="009A1394">
        <w:rPr>
          <w:color w:val="000000" w:themeColor="text1"/>
          <w:szCs w:val="24"/>
          <w:lang w:val="en-CA"/>
        </w:rPr>
        <w:t xml:space="preserve"> to </w:t>
      </w:r>
      <w:r w:rsidR="00A71FC6" w:rsidRPr="009A1394">
        <w:rPr>
          <w:color w:val="000000" w:themeColor="text1"/>
          <w:szCs w:val="24"/>
          <w:lang w:val="en-CA"/>
        </w:rPr>
        <w:t>consider</w:t>
      </w:r>
      <w:r w:rsidR="007D1ECA" w:rsidRPr="009A1394">
        <w:rPr>
          <w:color w:val="000000" w:themeColor="text1"/>
          <w:szCs w:val="24"/>
          <w:lang w:val="en-CA"/>
        </w:rPr>
        <w:t xml:space="preserve"> whether the originating carrier had </w:t>
      </w:r>
      <w:r w:rsidR="00BD53BB" w:rsidRPr="009A1394">
        <w:rPr>
          <w:color w:val="000000" w:themeColor="text1"/>
          <w:szCs w:val="24"/>
          <w:lang w:val="en-CA"/>
        </w:rPr>
        <w:t xml:space="preserve">any </w:t>
      </w:r>
      <w:r w:rsidR="007D1ECA" w:rsidRPr="009A1394">
        <w:rPr>
          <w:color w:val="000000" w:themeColor="text1"/>
          <w:szCs w:val="24"/>
          <w:lang w:val="en-CA"/>
        </w:rPr>
        <w:t xml:space="preserve">obligations, in addition to those it </w:t>
      </w:r>
      <w:r w:rsidR="00BD53BB" w:rsidRPr="009A1394">
        <w:rPr>
          <w:color w:val="000000" w:themeColor="text1"/>
          <w:szCs w:val="24"/>
          <w:lang w:val="en-CA"/>
        </w:rPr>
        <w:t xml:space="preserve">had </w:t>
      </w:r>
      <w:r w:rsidR="007D1ECA" w:rsidRPr="009A1394">
        <w:rPr>
          <w:color w:val="000000" w:themeColor="text1"/>
          <w:szCs w:val="24"/>
          <w:lang w:val="en-CA"/>
        </w:rPr>
        <w:t xml:space="preserve">by operation of </w:t>
      </w:r>
      <w:r w:rsidR="00A71FC6" w:rsidRPr="009A1394">
        <w:rPr>
          <w:color w:val="000000" w:themeColor="text1"/>
          <w:szCs w:val="24"/>
          <w:lang w:val="en-CA"/>
        </w:rPr>
        <w:t xml:space="preserve">the </w:t>
      </w:r>
      <w:r w:rsidR="007D1ECA" w:rsidRPr="009A1394">
        <w:rPr>
          <w:color w:val="000000" w:themeColor="text1"/>
          <w:szCs w:val="24"/>
          <w:lang w:val="en-CA"/>
        </w:rPr>
        <w:t xml:space="preserve">law or </w:t>
      </w:r>
      <w:r w:rsidR="00A71FC6" w:rsidRPr="009A1394">
        <w:rPr>
          <w:color w:val="000000" w:themeColor="text1"/>
          <w:szCs w:val="24"/>
          <w:lang w:val="en-CA"/>
        </w:rPr>
        <w:t>usage</w:t>
      </w:r>
      <w:r w:rsidR="007D1ECA" w:rsidRPr="009A1394">
        <w:rPr>
          <w:color w:val="000000" w:themeColor="text1"/>
          <w:szCs w:val="24"/>
          <w:lang w:val="en-CA"/>
        </w:rPr>
        <w:t xml:space="preserve">, to </w:t>
      </w:r>
      <w:r w:rsidR="00A71FC6" w:rsidRPr="009A1394">
        <w:rPr>
          <w:color w:val="000000" w:themeColor="text1"/>
          <w:szCs w:val="24"/>
          <w:lang w:val="en-CA"/>
        </w:rPr>
        <w:t>determine</w:t>
      </w:r>
      <w:r w:rsidR="007D1ECA" w:rsidRPr="009A1394">
        <w:rPr>
          <w:color w:val="000000" w:themeColor="text1"/>
          <w:szCs w:val="24"/>
          <w:lang w:val="en-CA"/>
        </w:rPr>
        <w:t xml:space="preserve"> whether the connecting carrier was able to safely </w:t>
      </w:r>
      <w:r w:rsidR="006C7403" w:rsidRPr="009A1394">
        <w:rPr>
          <w:color w:val="000000" w:themeColor="text1"/>
          <w:szCs w:val="24"/>
          <w:lang w:val="en-CA"/>
        </w:rPr>
        <w:t>handle</w:t>
      </w:r>
      <w:r w:rsidR="007D1ECA" w:rsidRPr="009A1394">
        <w:rPr>
          <w:color w:val="000000" w:themeColor="text1"/>
          <w:szCs w:val="24"/>
          <w:lang w:val="en-CA"/>
        </w:rPr>
        <w:t xml:space="preserve"> </w:t>
      </w:r>
      <w:r w:rsidR="005448EF" w:rsidRPr="009A1394">
        <w:rPr>
          <w:color w:val="000000" w:themeColor="text1"/>
          <w:szCs w:val="24"/>
          <w:lang w:val="en-CA"/>
        </w:rPr>
        <w:t>the</w:t>
      </w:r>
      <w:r w:rsidR="007D1ECA" w:rsidRPr="009A1394">
        <w:rPr>
          <w:color w:val="000000" w:themeColor="text1"/>
          <w:szCs w:val="24"/>
          <w:lang w:val="en-CA"/>
        </w:rPr>
        <w:t xml:space="preserve"> cargo.</w:t>
      </w:r>
      <w:r w:rsidR="008161A3" w:rsidRPr="009A1394">
        <w:rPr>
          <w:color w:val="000000" w:themeColor="text1"/>
          <w:szCs w:val="24"/>
          <w:lang w:val="en-CA"/>
        </w:rPr>
        <w:t xml:space="preserve"> </w:t>
      </w:r>
      <w:r w:rsidR="007D1ECA" w:rsidRPr="009A1394">
        <w:rPr>
          <w:color w:val="000000" w:themeColor="text1"/>
          <w:szCs w:val="24"/>
          <w:lang w:val="en-CA"/>
        </w:rPr>
        <w:t xml:space="preserve">He recognized that a carrier may have </w:t>
      </w:r>
      <w:r w:rsidR="00CF1455" w:rsidRPr="009A1394">
        <w:rPr>
          <w:color w:val="000000" w:themeColor="text1"/>
          <w:szCs w:val="24"/>
          <w:lang w:val="en-CA"/>
        </w:rPr>
        <w:t>a</w:t>
      </w:r>
      <w:r w:rsidR="007D1ECA" w:rsidRPr="009A1394">
        <w:rPr>
          <w:color w:val="000000" w:themeColor="text1"/>
          <w:szCs w:val="24"/>
          <w:lang w:val="en-CA"/>
        </w:rPr>
        <w:t xml:space="preserve"> duty to intervene, but only in flagrant cases, when there are unequivocal signs or when informed of a clear, intrinsically dangerous situation.</w:t>
      </w:r>
      <w:r w:rsidR="007D1ECA" w:rsidRPr="009A1394">
        <w:rPr>
          <w:rStyle w:val="Appelnotedebasdep"/>
          <w:color w:val="000000" w:themeColor="text1"/>
          <w:szCs w:val="24"/>
          <w:lang w:val="en-CA"/>
        </w:rPr>
        <w:footnoteReference w:id="212"/>
      </w:r>
      <w:r w:rsidR="008161A3" w:rsidRPr="009A1394">
        <w:rPr>
          <w:color w:val="000000" w:themeColor="text1"/>
          <w:szCs w:val="24"/>
          <w:lang w:val="en-CA"/>
        </w:rPr>
        <w:t xml:space="preserve"> </w:t>
      </w:r>
      <w:r w:rsidR="007D1ECA" w:rsidRPr="009A1394">
        <w:rPr>
          <w:color w:val="000000" w:themeColor="text1"/>
          <w:szCs w:val="24"/>
          <w:lang w:val="en-CA"/>
        </w:rPr>
        <w:t>T</w:t>
      </w:r>
      <w:r w:rsidR="00CF1455" w:rsidRPr="009A1394">
        <w:rPr>
          <w:color w:val="000000" w:themeColor="text1"/>
          <w:szCs w:val="24"/>
          <w:lang w:val="en-CA"/>
        </w:rPr>
        <w:t>h</w:t>
      </w:r>
      <w:r w:rsidR="007D1ECA" w:rsidRPr="009A1394">
        <w:rPr>
          <w:color w:val="000000" w:themeColor="text1"/>
          <w:szCs w:val="24"/>
          <w:lang w:val="en-CA"/>
        </w:rPr>
        <w:t xml:space="preserve">at being said, as with the duty to </w:t>
      </w:r>
      <w:r w:rsidR="00B57BB6" w:rsidRPr="009A1394">
        <w:rPr>
          <w:color w:val="000000" w:themeColor="text1"/>
          <w:szCs w:val="24"/>
          <w:lang w:val="en-CA"/>
        </w:rPr>
        <w:t xml:space="preserve">perform </w:t>
      </w:r>
      <w:r w:rsidR="007D1ECA" w:rsidRPr="009A1394">
        <w:rPr>
          <w:color w:val="000000" w:themeColor="text1"/>
          <w:szCs w:val="24"/>
          <w:lang w:val="en-CA"/>
        </w:rPr>
        <w:t>a risk assessment, the judge determined that railway companies did not have the capacity or tools necessary to obtain information on the operational practices of those carriers with which their tracks are interswitched.</w:t>
      </w:r>
      <w:r w:rsidR="007D1ECA" w:rsidRPr="009A1394">
        <w:rPr>
          <w:rStyle w:val="Appelnotedebasdep"/>
          <w:color w:val="000000" w:themeColor="text1"/>
          <w:szCs w:val="24"/>
          <w:lang w:val="en-CA"/>
        </w:rPr>
        <w:footnoteReference w:id="213"/>
      </w:r>
      <w:r w:rsidR="008161A3" w:rsidRPr="009A1394">
        <w:rPr>
          <w:color w:val="000000" w:themeColor="text1"/>
          <w:szCs w:val="24"/>
          <w:lang w:val="en-CA"/>
        </w:rPr>
        <w:t xml:space="preserve"> </w:t>
      </w:r>
      <w:r w:rsidR="00BD53BB" w:rsidRPr="009A1394">
        <w:rPr>
          <w:color w:val="000000" w:themeColor="text1"/>
          <w:szCs w:val="24"/>
          <w:lang w:val="en-CA"/>
        </w:rPr>
        <w:t>In his view</w:t>
      </w:r>
      <w:r w:rsidR="007D1ECA" w:rsidRPr="009A1394">
        <w:rPr>
          <w:color w:val="000000" w:themeColor="text1"/>
          <w:szCs w:val="24"/>
          <w:lang w:val="en-CA"/>
        </w:rPr>
        <w:t xml:space="preserve">, </w:t>
      </w:r>
      <w:r w:rsidR="006C7403" w:rsidRPr="009A1394">
        <w:rPr>
          <w:color w:val="000000" w:themeColor="text1"/>
          <w:szCs w:val="24"/>
          <w:lang w:val="en-CA"/>
        </w:rPr>
        <w:t xml:space="preserve">TC </w:t>
      </w:r>
      <w:r w:rsidR="00BD53BB" w:rsidRPr="009A1394">
        <w:rPr>
          <w:color w:val="000000" w:themeColor="text1"/>
          <w:szCs w:val="24"/>
          <w:lang w:val="en-CA"/>
        </w:rPr>
        <w:t>was</w:t>
      </w:r>
      <w:r w:rsidR="006C7403" w:rsidRPr="009A1394">
        <w:rPr>
          <w:color w:val="000000" w:themeColor="text1"/>
          <w:szCs w:val="24"/>
          <w:lang w:val="en-CA"/>
        </w:rPr>
        <w:t xml:space="preserve"> responsible for </w:t>
      </w:r>
      <w:r w:rsidR="007D1ECA" w:rsidRPr="009A1394">
        <w:rPr>
          <w:color w:val="000000" w:themeColor="text1"/>
          <w:szCs w:val="24"/>
          <w:lang w:val="en-CA"/>
        </w:rPr>
        <w:t>ensuring that railway companies compl</w:t>
      </w:r>
      <w:r w:rsidR="00BD53BB" w:rsidRPr="009A1394">
        <w:rPr>
          <w:color w:val="000000" w:themeColor="text1"/>
          <w:szCs w:val="24"/>
          <w:lang w:val="en-CA"/>
        </w:rPr>
        <w:t>ied</w:t>
      </w:r>
      <w:r w:rsidR="007D1ECA" w:rsidRPr="009A1394">
        <w:rPr>
          <w:color w:val="000000" w:themeColor="text1"/>
          <w:szCs w:val="24"/>
          <w:lang w:val="en-CA"/>
        </w:rPr>
        <w:t xml:space="preserve"> with rules and regulations, in particular as they relate to safety.</w:t>
      </w:r>
      <w:r w:rsidR="007D1ECA" w:rsidRPr="009A1394">
        <w:rPr>
          <w:rStyle w:val="Appelnotedebasdep"/>
          <w:color w:val="000000" w:themeColor="text1"/>
          <w:szCs w:val="24"/>
          <w:lang w:val="en-CA"/>
        </w:rPr>
        <w:footnoteReference w:id="214"/>
      </w:r>
      <w:r w:rsidR="008161A3" w:rsidRPr="009A1394">
        <w:rPr>
          <w:color w:val="000000" w:themeColor="text1"/>
          <w:szCs w:val="24"/>
          <w:lang w:val="en-CA"/>
        </w:rPr>
        <w:t xml:space="preserve"> </w:t>
      </w:r>
      <w:r w:rsidR="007D1ECA" w:rsidRPr="009A1394">
        <w:rPr>
          <w:color w:val="000000" w:themeColor="text1"/>
          <w:szCs w:val="24"/>
          <w:lang w:val="en-CA"/>
        </w:rPr>
        <w:t>He added that if TC was struggling to fulfil its mandate, which seems to be borne out by the evidence,</w:t>
      </w:r>
      <w:r w:rsidR="007D1ECA" w:rsidRPr="009A1394">
        <w:rPr>
          <w:rStyle w:val="Appelnotedebasdep"/>
          <w:color w:val="000000" w:themeColor="text1"/>
          <w:szCs w:val="24"/>
          <w:lang w:val="en-CA"/>
        </w:rPr>
        <w:footnoteReference w:id="215"/>
      </w:r>
      <w:r w:rsidR="007D1ECA" w:rsidRPr="009A1394">
        <w:rPr>
          <w:color w:val="000000" w:themeColor="text1"/>
          <w:szCs w:val="24"/>
          <w:lang w:val="en-CA"/>
        </w:rPr>
        <w:t xml:space="preserve"> how could CP, </w:t>
      </w:r>
      <w:r w:rsidR="00A71FC6" w:rsidRPr="009A1394">
        <w:rPr>
          <w:color w:val="000000" w:themeColor="text1"/>
          <w:szCs w:val="24"/>
          <w:lang w:val="en-CA"/>
        </w:rPr>
        <w:t>which</w:t>
      </w:r>
      <w:r w:rsidR="007D1ECA" w:rsidRPr="009A1394">
        <w:rPr>
          <w:color w:val="000000" w:themeColor="text1"/>
          <w:szCs w:val="24"/>
          <w:lang w:val="en-CA"/>
        </w:rPr>
        <w:t xml:space="preserve"> does not have the same tools and </w:t>
      </w:r>
      <w:r w:rsidR="00A71FC6" w:rsidRPr="009A1394">
        <w:rPr>
          <w:color w:val="000000" w:themeColor="text1"/>
          <w:szCs w:val="24"/>
          <w:lang w:val="en-CA"/>
        </w:rPr>
        <w:t>authority</w:t>
      </w:r>
      <w:r w:rsidR="007D1ECA" w:rsidRPr="009A1394">
        <w:rPr>
          <w:color w:val="000000" w:themeColor="text1"/>
          <w:szCs w:val="24"/>
          <w:lang w:val="en-CA"/>
        </w:rPr>
        <w:t>, have done</w:t>
      </w:r>
      <w:r w:rsidR="00BD53BB" w:rsidRPr="009A1394">
        <w:rPr>
          <w:color w:val="000000" w:themeColor="text1"/>
          <w:szCs w:val="24"/>
          <w:lang w:val="en-CA"/>
        </w:rPr>
        <w:t xml:space="preserve"> any</w:t>
      </w:r>
      <w:r w:rsidR="007D1ECA" w:rsidRPr="009A1394">
        <w:rPr>
          <w:color w:val="000000" w:themeColor="text1"/>
          <w:szCs w:val="24"/>
          <w:lang w:val="en-CA"/>
        </w:rPr>
        <w:t xml:space="preserve"> better.</w:t>
      </w:r>
    </w:p>
    <w:p w14:paraId="7987EE43" w14:textId="6E29C1F8" w:rsidR="004D11AB" w:rsidRPr="009A1394" w:rsidRDefault="007D1ECA" w:rsidP="00B84769">
      <w:pPr>
        <w:pStyle w:val="Paragraphe"/>
        <w:numPr>
          <w:ilvl w:val="0"/>
          <w:numId w:val="1"/>
        </w:numPr>
        <w:rPr>
          <w:color w:val="000000" w:themeColor="text1"/>
          <w:szCs w:val="24"/>
          <w:lang w:val="en-CA"/>
        </w:rPr>
      </w:pPr>
      <w:r w:rsidRPr="009A1394">
        <w:rPr>
          <w:color w:val="000000" w:themeColor="text1"/>
          <w:szCs w:val="24"/>
          <w:lang w:val="en-CA"/>
        </w:rPr>
        <w:t xml:space="preserve">The appellants </w:t>
      </w:r>
      <w:r w:rsidR="00B57BB6" w:rsidRPr="009A1394">
        <w:rPr>
          <w:color w:val="000000" w:themeColor="text1"/>
          <w:szCs w:val="24"/>
          <w:lang w:val="en-CA"/>
        </w:rPr>
        <w:t xml:space="preserve">have </w:t>
      </w:r>
      <w:r w:rsidRPr="009A1394">
        <w:rPr>
          <w:color w:val="000000" w:themeColor="text1"/>
          <w:szCs w:val="24"/>
          <w:lang w:val="en-CA"/>
        </w:rPr>
        <w:t xml:space="preserve">failed to prove any error in the judge’s reasoning and analysis of </w:t>
      </w:r>
      <w:r w:rsidR="00CF1455" w:rsidRPr="009A1394">
        <w:rPr>
          <w:color w:val="000000" w:themeColor="text1"/>
          <w:szCs w:val="24"/>
          <w:lang w:val="en-CA"/>
        </w:rPr>
        <w:t>the</w:t>
      </w:r>
      <w:r w:rsidRPr="009A1394">
        <w:rPr>
          <w:color w:val="000000" w:themeColor="text1"/>
          <w:szCs w:val="24"/>
          <w:lang w:val="en-CA"/>
        </w:rPr>
        <w:t xml:space="preserve"> evidence, </w:t>
      </w:r>
      <w:r w:rsidR="00B57BB6" w:rsidRPr="009A1394">
        <w:rPr>
          <w:color w:val="000000" w:themeColor="text1"/>
          <w:szCs w:val="24"/>
          <w:lang w:val="en-CA"/>
        </w:rPr>
        <w:t xml:space="preserve">both of </w:t>
      </w:r>
      <w:r w:rsidRPr="009A1394">
        <w:rPr>
          <w:color w:val="000000" w:themeColor="text1"/>
          <w:szCs w:val="24"/>
          <w:lang w:val="en-CA"/>
        </w:rPr>
        <w:t xml:space="preserve">which the Court </w:t>
      </w:r>
      <w:r w:rsidR="0065691D" w:rsidRPr="009A1394">
        <w:rPr>
          <w:color w:val="000000" w:themeColor="text1"/>
          <w:szCs w:val="24"/>
          <w:lang w:val="en-CA"/>
        </w:rPr>
        <w:t>endorses</w:t>
      </w:r>
      <w:r w:rsidRPr="009A1394">
        <w:rPr>
          <w:color w:val="000000" w:themeColor="text1"/>
          <w:szCs w:val="24"/>
          <w:lang w:val="en-CA"/>
        </w:rPr>
        <w:t>.</w:t>
      </w:r>
    </w:p>
    <w:p w14:paraId="4EAB37D4" w14:textId="53418E90" w:rsidR="003F6371" w:rsidRPr="009A1394" w:rsidRDefault="007D1ECA" w:rsidP="007656DC">
      <w:pPr>
        <w:pStyle w:val="Titre3"/>
        <w:rPr>
          <w:lang w:val="en-CA"/>
        </w:rPr>
      </w:pPr>
      <w:r w:rsidRPr="009A1394">
        <w:rPr>
          <w:lang w:val="en-CA"/>
        </w:rPr>
        <w:t xml:space="preserve">Appellants’ position on the second </w:t>
      </w:r>
      <w:r w:rsidR="008525E6" w:rsidRPr="009A1394">
        <w:rPr>
          <w:lang w:val="en-CA"/>
        </w:rPr>
        <w:t>heading</w:t>
      </w:r>
    </w:p>
    <w:p w14:paraId="5D143A1B" w14:textId="735491AD" w:rsidR="00C673F2" w:rsidRPr="009A1394" w:rsidRDefault="002D15CF" w:rsidP="001348F7">
      <w:pPr>
        <w:pStyle w:val="Paragraphe"/>
        <w:numPr>
          <w:ilvl w:val="0"/>
          <w:numId w:val="1"/>
        </w:numPr>
        <w:rPr>
          <w:color w:val="000000" w:themeColor="text1"/>
          <w:szCs w:val="24"/>
          <w:lang w:val="en-CA"/>
        </w:rPr>
      </w:pPr>
      <w:r w:rsidRPr="009A1394">
        <w:rPr>
          <w:color w:val="000000" w:themeColor="text1"/>
          <w:szCs w:val="24"/>
          <w:lang w:val="en-CA"/>
        </w:rPr>
        <w:t xml:space="preserve">The judge then considered </w:t>
      </w:r>
      <w:r w:rsidR="00CF1455" w:rsidRPr="009A1394">
        <w:rPr>
          <w:color w:val="000000" w:themeColor="text1"/>
          <w:szCs w:val="24"/>
          <w:lang w:val="en-CA"/>
        </w:rPr>
        <w:t>whether</w:t>
      </w:r>
      <w:r w:rsidRPr="009A1394">
        <w:rPr>
          <w:color w:val="000000" w:themeColor="text1"/>
          <w:szCs w:val="24"/>
          <w:lang w:val="en-CA"/>
        </w:rPr>
        <w:t xml:space="preserve"> CP had </w:t>
      </w:r>
      <w:r w:rsidR="00CF1455" w:rsidRPr="009A1394">
        <w:rPr>
          <w:color w:val="000000" w:themeColor="text1"/>
          <w:szCs w:val="24"/>
          <w:lang w:val="en-CA"/>
        </w:rPr>
        <w:t xml:space="preserve">any </w:t>
      </w:r>
      <w:r w:rsidRPr="009A1394">
        <w:rPr>
          <w:color w:val="000000" w:themeColor="text1"/>
          <w:szCs w:val="24"/>
          <w:lang w:val="en-CA"/>
        </w:rPr>
        <w:t xml:space="preserve">reason to doubt MMA’s ability to safely and securely take charge of the crude oil </w:t>
      </w:r>
      <w:r w:rsidR="00CF1455" w:rsidRPr="009A1394">
        <w:rPr>
          <w:color w:val="000000" w:themeColor="text1"/>
          <w:szCs w:val="24"/>
          <w:lang w:val="en-CA"/>
        </w:rPr>
        <w:t>cargo</w:t>
      </w:r>
      <w:r w:rsidRPr="009A1394">
        <w:rPr>
          <w:color w:val="000000" w:themeColor="text1"/>
          <w:szCs w:val="24"/>
          <w:lang w:val="en-CA"/>
        </w:rPr>
        <w:t xml:space="preserve"> and, if so, whether it had the obligation to intervene.</w:t>
      </w:r>
    </w:p>
    <w:p w14:paraId="47AA14AE" w14:textId="2C87B41C" w:rsidR="00702A59" w:rsidRPr="009A1394" w:rsidRDefault="002D15CF" w:rsidP="001348F7">
      <w:pPr>
        <w:pStyle w:val="Paragraphe"/>
        <w:numPr>
          <w:ilvl w:val="0"/>
          <w:numId w:val="1"/>
        </w:numPr>
        <w:rPr>
          <w:color w:val="000000" w:themeColor="text1"/>
          <w:szCs w:val="24"/>
          <w:lang w:val="en-CA"/>
        </w:rPr>
      </w:pPr>
      <w:r w:rsidRPr="009A1394">
        <w:rPr>
          <w:color w:val="000000" w:themeColor="text1"/>
          <w:szCs w:val="24"/>
          <w:lang w:val="en-CA"/>
        </w:rPr>
        <w:t xml:space="preserve">He </w:t>
      </w:r>
      <w:r w:rsidR="00F7176D" w:rsidRPr="009A1394">
        <w:rPr>
          <w:color w:val="000000" w:themeColor="text1"/>
          <w:szCs w:val="24"/>
          <w:lang w:val="en-CA"/>
        </w:rPr>
        <w:t xml:space="preserve">found </w:t>
      </w:r>
      <w:r w:rsidRPr="009A1394">
        <w:rPr>
          <w:color w:val="000000" w:themeColor="text1"/>
          <w:szCs w:val="24"/>
          <w:lang w:val="en-CA"/>
        </w:rPr>
        <w:t>that CP had no reason to doubt, and therefore no obligation to intervene.</w:t>
      </w:r>
      <w:r w:rsidR="008161A3" w:rsidRPr="009A1394">
        <w:rPr>
          <w:color w:val="000000" w:themeColor="text1"/>
          <w:szCs w:val="24"/>
          <w:lang w:val="en-CA"/>
        </w:rPr>
        <w:t xml:space="preserve"> </w:t>
      </w:r>
      <w:r w:rsidRPr="009A1394">
        <w:rPr>
          <w:color w:val="000000" w:themeColor="text1"/>
          <w:szCs w:val="24"/>
          <w:lang w:val="en-CA"/>
        </w:rPr>
        <w:t xml:space="preserve">However, and at the risk of </w:t>
      </w:r>
      <w:r w:rsidR="00C86097" w:rsidRPr="009A1394">
        <w:rPr>
          <w:color w:val="000000" w:themeColor="text1"/>
          <w:szCs w:val="24"/>
          <w:lang w:val="en-CA"/>
        </w:rPr>
        <w:t xml:space="preserve">the Court </w:t>
      </w:r>
      <w:r w:rsidRPr="009A1394">
        <w:rPr>
          <w:color w:val="000000" w:themeColor="text1"/>
          <w:szCs w:val="24"/>
          <w:lang w:val="en-CA"/>
        </w:rPr>
        <w:t>repe</w:t>
      </w:r>
      <w:r w:rsidR="00626F8C" w:rsidRPr="009A1394">
        <w:rPr>
          <w:color w:val="000000" w:themeColor="text1"/>
          <w:szCs w:val="24"/>
          <w:lang w:val="en-CA"/>
        </w:rPr>
        <w:t xml:space="preserve">ating </w:t>
      </w:r>
      <w:r w:rsidR="00C86097" w:rsidRPr="009A1394">
        <w:rPr>
          <w:color w:val="000000" w:themeColor="text1"/>
          <w:szCs w:val="24"/>
          <w:lang w:val="en-CA"/>
        </w:rPr>
        <w:t>itself</w:t>
      </w:r>
      <w:r w:rsidRPr="009A1394">
        <w:rPr>
          <w:color w:val="000000" w:themeColor="text1"/>
          <w:szCs w:val="24"/>
          <w:lang w:val="en-CA"/>
        </w:rPr>
        <w:t xml:space="preserve">, he recognized that </w:t>
      </w:r>
      <w:r w:rsidR="00626F8C" w:rsidRPr="009A1394">
        <w:rPr>
          <w:color w:val="000000" w:themeColor="text1"/>
          <w:szCs w:val="24"/>
          <w:lang w:val="en-CA"/>
        </w:rPr>
        <w:t>had</w:t>
      </w:r>
      <w:r w:rsidRPr="009A1394">
        <w:rPr>
          <w:color w:val="000000" w:themeColor="text1"/>
          <w:szCs w:val="24"/>
          <w:lang w:val="en-CA"/>
        </w:rPr>
        <w:t xml:space="preserve"> there </w:t>
      </w:r>
      <w:r w:rsidR="00626F8C" w:rsidRPr="009A1394">
        <w:rPr>
          <w:color w:val="000000" w:themeColor="text1"/>
          <w:szCs w:val="24"/>
          <w:lang w:val="en-CA"/>
        </w:rPr>
        <w:t>been</w:t>
      </w:r>
      <w:r w:rsidRPr="009A1394">
        <w:rPr>
          <w:color w:val="000000" w:themeColor="text1"/>
          <w:szCs w:val="24"/>
          <w:lang w:val="en-CA"/>
        </w:rPr>
        <w:t xml:space="preserve"> flagrant signs of danger, </w:t>
      </w:r>
      <w:r w:rsidR="00626F8C" w:rsidRPr="009A1394">
        <w:rPr>
          <w:color w:val="000000" w:themeColor="text1"/>
          <w:szCs w:val="24"/>
          <w:lang w:val="en-CA"/>
        </w:rPr>
        <w:t>it would have had such</w:t>
      </w:r>
      <w:r w:rsidRPr="009A1394">
        <w:rPr>
          <w:color w:val="000000" w:themeColor="text1"/>
          <w:szCs w:val="24"/>
          <w:lang w:val="en-CA"/>
        </w:rPr>
        <w:t xml:space="preserve"> an obligation.</w:t>
      </w:r>
      <w:r w:rsidRPr="009A1394">
        <w:rPr>
          <w:rStyle w:val="Appelnotedebasdep"/>
          <w:color w:val="000000" w:themeColor="text1"/>
          <w:szCs w:val="24"/>
          <w:lang w:val="en-CA"/>
        </w:rPr>
        <w:footnoteReference w:id="216"/>
      </w:r>
      <w:r w:rsidR="002C1496" w:rsidRPr="009A1394">
        <w:rPr>
          <w:color w:val="000000" w:themeColor="text1"/>
          <w:szCs w:val="24"/>
          <w:lang w:val="en-CA"/>
        </w:rPr>
        <w:t xml:space="preserve"> </w:t>
      </w:r>
      <w:r w:rsidRPr="009A1394">
        <w:rPr>
          <w:color w:val="000000" w:themeColor="text1"/>
          <w:szCs w:val="24"/>
          <w:lang w:val="en-CA"/>
        </w:rPr>
        <w:t xml:space="preserve">According to the appellants, CP </w:t>
      </w:r>
      <w:r w:rsidR="00626F8C" w:rsidRPr="009A1394">
        <w:rPr>
          <w:color w:val="000000" w:themeColor="text1"/>
          <w:szCs w:val="24"/>
          <w:lang w:val="en-CA"/>
        </w:rPr>
        <w:t xml:space="preserve">was aware of strong </w:t>
      </w:r>
      <w:r w:rsidR="00C2537E" w:rsidRPr="009A1394">
        <w:rPr>
          <w:color w:val="000000" w:themeColor="text1"/>
          <w:szCs w:val="24"/>
          <w:lang w:val="en-CA"/>
        </w:rPr>
        <w:t xml:space="preserve">indicators </w:t>
      </w:r>
      <w:r w:rsidRPr="009A1394">
        <w:rPr>
          <w:color w:val="000000" w:themeColor="text1"/>
          <w:szCs w:val="24"/>
          <w:lang w:val="en-CA"/>
        </w:rPr>
        <w:t xml:space="preserve">of danger that </w:t>
      </w:r>
      <w:r w:rsidR="00CF1455" w:rsidRPr="009A1394">
        <w:rPr>
          <w:color w:val="000000" w:themeColor="text1"/>
          <w:szCs w:val="24"/>
          <w:lang w:val="en-CA"/>
        </w:rPr>
        <w:t>should</w:t>
      </w:r>
      <w:r w:rsidRPr="009A1394">
        <w:rPr>
          <w:color w:val="000000" w:themeColor="text1"/>
          <w:szCs w:val="24"/>
          <w:lang w:val="en-CA"/>
        </w:rPr>
        <w:t xml:space="preserve"> have </w:t>
      </w:r>
      <w:r w:rsidR="00CF1455" w:rsidRPr="009A1394">
        <w:rPr>
          <w:color w:val="000000" w:themeColor="text1"/>
          <w:szCs w:val="24"/>
          <w:lang w:val="en-CA"/>
        </w:rPr>
        <w:t xml:space="preserve">elicited a </w:t>
      </w:r>
      <w:r w:rsidR="00F7176D" w:rsidRPr="009A1394">
        <w:rPr>
          <w:color w:val="000000" w:themeColor="text1"/>
          <w:szCs w:val="24"/>
          <w:lang w:val="en-CA"/>
        </w:rPr>
        <w:lastRenderedPageBreak/>
        <w:t>response</w:t>
      </w:r>
      <w:r w:rsidRPr="009A1394">
        <w:rPr>
          <w:color w:val="000000" w:themeColor="text1"/>
          <w:szCs w:val="24"/>
          <w:lang w:val="en-CA"/>
        </w:rPr>
        <w:t>.</w:t>
      </w:r>
      <w:r w:rsidR="002C1496" w:rsidRPr="009A1394">
        <w:rPr>
          <w:color w:val="000000" w:themeColor="text1"/>
          <w:szCs w:val="24"/>
          <w:lang w:val="en-CA"/>
        </w:rPr>
        <w:t xml:space="preserve"> </w:t>
      </w:r>
      <w:r w:rsidR="00626F8C" w:rsidRPr="009A1394">
        <w:rPr>
          <w:color w:val="000000" w:themeColor="text1"/>
          <w:szCs w:val="24"/>
          <w:lang w:val="en-CA"/>
        </w:rPr>
        <w:t>In their view, t</w:t>
      </w:r>
      <w:r w:rsidRPr="009A1394">
        <w:rPr>
          <w:color w:val="000000" w:themeColor="text1"/>
          <w:szCs w:val="24"/>
          <w:lang w:val="en-CA"/>
        </w:rPr>
        <w:t xml:space="preserve">he judge </w:t>
      </w:r>
      <w:r w:rsidR="00626F8C" w:rsidRPr="009A1394">
        <w:rPr>
          <w:color w:val="000000" w:themeColor="text1"/>
          <w:szCs w:val="24"/>
          <w:lang w:val="en-CA"/>
        </w:rPr>
        <w:t>therefore</w:t>
      </w:r>
      <w:r w:rsidRPr="009A1394">
        <w:rPr>
          <w:color w:val="000000" w:themeColor="text1"/>
          <w:szCs w:val="24"/>
          <w:lang w:val="en-CA"/>
        </w:rPr>
        <w:t xml:space="preserve"> committed a palpable and overriding error of fact </w:t>
      </w:r>
      <w:r w:rsidR="00F7176D" w:rsidRPr="009A1394">
        <w:rPr>
          <w:color w:val="000000" w:themeColor="text1"/>
          <w:szCs w:val="24"/>
          <w:lang w:val="en-CA"/>
        </w:rPr>
        <w:t>in finding</w:t>
      </w:r>
      <w:r w:rsidRPr="009A1394">
        <w:rPr>
          <w:color w:val="000000" w:themeColor="text1"/>
          <w:szCs w:val="24"/>
          <w:lang w:val="en-CA"/>
        </w:rPr>
        <w:t xml:space="preserve"> that CP was not aware of MMA’s negligent safety practices and, more generally, of its operational deficiencies.</w:t>
      </w:r>
    </w:p>
    <w:p w14:paraId="62E83744" w14:textId="3B9EA9F0" w:rsidR="00702A59" w:rsidRPr="009A1394" w:rsidRDefault="002D15CF" w:rsidP="001348F7">
      <w:pPr>
        <w:pStyle w:val="Paragraphe"/>
        <w:numPr>
          <w:ilvl w:val="0"/>
          <w:numId w:val="1"/>
        </w:numPr>
        <w:rPr>
          <w:color w:val="000000" w:themeColor="text1"/>
          <w:szCs w:val="24"/>
          <w:lang w:val="en-CA"/>
        </w:rPr>
      </w:pPr>
      <w:r w:rsidRPr="009A1394">
        <w:rPr>
          <w:color w:val="000000" w:themeColor="text1"/>
          <w:szCs w:val="24"/>
          <w:lang w:val="en-CA"/>
        </w:rPr>
        <w:t>The appellants went on to point</w:t>
      </w:r>
      <w:r w:rsidR="00626F8C" w:rsidRPr="009A1394">
        <w:rPr>
          <w:color w:val="000000" w:themeColor="text1"/>
          <w:szCs w:val="24"/>
          <w:lang w:val="en-CA"/>
        </w:rPr>
        <w:t xml:space="preserve"> out</w:t>
      </w:r>
      <w:r w:rsidRPr="009A1394">
        <w:rPr>
          <w:color w:val="000000" w:themeColor="text1"/>
          <w:szCs w:val="24"/>
          <w:lang w:val="en-CA"/>
        </w:rPr>
        <w:t xml:space="preserve"> key </w:t>
      </w:r>
      <w:r w:rsidR="00AF4466" w:rsidRPr="009A1394">
        <w:rPr>
          <w:color w:val="000000" w:themeColor="text1"/>
          <w:szCs w:val="24"/>
          <w:lang w:val="en-CA"/>
        </w:rPr>
        <w:t xml:space="preserve">pieces of </w:t>
      </w:r>
      <w:r w:rsidRPr="009A1394">
        <w:rPr>
          <w:color w:val="000000" w:themeColor="text1"/>
          <w:szCs w:val="24"/>
          <w:lang w:val="en-CA"/>
        </w:rPr>
        <w:t>evidence</w:t>
      </w:r>
      <w:r w:rsidR="00AF4466" w:rsidRPr="009A1394">
        <w:rPr>
          <w:color w:val="000000" w:themeColor="text1"/>
          <w:szCs w:val="24"/>
          <w:lang w:val="en-CA"/>
        </w:rPr>
        <w:t xml:space="preserve"> that</w:t>
      </w:r>
      <w:r w:rsidR="00130E49" w:rsidRPr="009A1394">
        <w:rPr>
          <w:color w:val="000000" w:themeColor="text1"/>
          <w:szCs w:val="24"/>
          <w:lang w:val="en-CA"/>
        </w:rPr>
        <w:t xml:space="preserve"> they allege</w:t>
      </w:r>
      <w:r w:rsidRPr="009A1394">
        <w:rPr>
          <w:color w:val="000000" w:themeColor="text1"/>
          <w:szCs w:val="24"/>
          <w:lang w:val="en-CA"/>
        </w:rPr>
        <w:t xml:space="preserve"> the judge ignored</w:t>
      </w:r>
      <w:r w:rsidR="00AF4466" w:rsidRPr="009A1394">
        <w:rPr>
          <w:color w:val="000000" w:themeColor="text1"/>
          <w:szCs w:val="24"/>
          <w:lang w:val="en-CA"/>
        </w:rPr>
        <w:t>,</w:t>
      </w:r>
      <w:r w:rsidRPr="009A1394">
        <w:rPr>
          <w:color w:val="000000" w:themeColor="text1"/>
          <w:szCs w:val="24"/>
          <w:lang w:val="en-CA"/>
        </w:rPr>
        <w:t xml:space="preserve"> but that </w:t>
      </w:r>
      <w:r w:rsidR="00AF4466" w:rsidRPr="009A1394">
        <w:rPr>
          <w:color w:val="000000" w:themeColor="text1"/>
          <w:szCs w:val="24"/>
          <w:lang w:val="en-CA"/>
        </w:rPr>
        <w:t>show</w:t>
      </w:r>
      <w:r w:rsidRPr="009A1394">
        <w:rPr>
          <w:color w:val="000000" w:themeColor="text1"/>
          <w:szCs w:val="24"/>
          <w:lang w:val="en-CA"/>
        </w:rPr>
        <w:t>ed that CP was aware of MMA’s dangerous practices.</w:t>
      </w:r>
      <w:r w:rsidR="00E05B7D" w:rsidRPr="009A1394">
        <w:rPr>
          <w:color w:val="000000" w:themeColor="text1"/>
          <w:szCs w:val="24"/>
          <w:lang w:val="en-CA"/>
        </w:rPr>
        <w:t xml:space="preserve"> </w:t>
      </w:r>
      <w:r w:rsidR="00AF4466" w:rsidRPr="009A1394">
        <w:rPr>
          <w:color w:val="000000" w:themeColor="text1"/>
          <w:szCs w:val="24"/>
          <w:lang w:val="en-CA"/>
        </w:rPr>
        <w:t>These included</w:t>
      </w:r>
      <w:r w:rsidRPr="009A1394">
        <w:rPr>
          <w:color w:val="000000" w:themeColor="text1"/>
          <w:szCs w:val="24"/>
          <w:lang w:val="en-CA"/>
        </w:rPr>
        <w:t xml:space="preserve"> daily phone calls </w:t>
      </w:r>
      <w:r w:rsidR="00CF1455" w:rsidRPr="009A1394">
        <w:rPr>
          <w:color w:val="000000" w:themeColor="text1"/>
          <w:szCs w:val="24"/>
          <w:lang w:val="en-CA"/>
        </w:rPr>
        <w:t>between</w:t>
      </w:r>
      <w:r w:rsidRPr="009A1394">
        <w:rPr>
          <w:color w:val="000000" w:themeColor="text1"/>
          <w:szCs w:val="24"/>
          <w:lang w:val="en-CA"/>
        </w:rPr>
        <w:t xml:space="preserve"> MMA, CP, WFS, and Irving to discuss the train’s progress.</w:t>
      </w:r>
      <w:r w:rsidR="00E05B7D" w:rsidRPr="009A1394">
        <w:rPr>
          <w:color w:val="000000" w:themeColor="text1"/>
          <w:szCs w:val="24"/>
          <w:lang w:val="en-CA"/>
        </w:rPr>
        <w:t xml:space="preserve"> </w:t>
      </w:r>
      <w:r w:rsidRPr="009A1394">
        <w:rPr>
          <w:color w:val="000000" w:themeColor="text1"/>
          <w:szCs w:val="24"/>
          <w:lang w:val="en-CA"/>
        </w:rPr>
        <w:t>The appellants submit that it clearly appeared fr</w:t>
      </w:r>
      <w:r w:rsidR="00CF1455" w:rsidRPr="009A1394">
        <w:rPr>
          <w:color w:val="000000" w:themeColor="text1"/>
          <w:szCs w:val="24"/>
          <w:lang w:val="en-CA"/>
        </w:rPr>
        <w:t>o</w:t>
      </w:r>
      <w:r w:rsidRPr="009A1394">
        <w:rPr>
          <w:color w:val="000000" w:themeColor="text1"/>
          <w:szCs w:val="24"/>
          <w:lang w:val="en-CA"/>
        </w:rPr>
        <w:t xml:space="preserve">m these calls that CP knew or should have known that MMA was leaving the trains with which it had been entrusted </w:t>
      </w:r>
      <w:r w:rsidR="00990AF8" w:rsidRPr="009A1394">
        <w:rPr>
          <w:color w:val="000000" w:themeColor="text1"/>
          <w:szCs w:val="24"/>
          <w:lang w:val="en-CA"/>
        </w:rPr>
        <w:t>unattended</w:t>
      </w:r>
      <w:r w:rsidRPr="009A1394">
        <w:rPr>
          <w:color w:val="000000" w:themeColor="text1"/>
          <w:szCs w:val="24"/>
          <w:lang w:val="en-CA"/>
        </w:rPr>
        <w:t xml:space="preserve"> at the top of a steep </w:t>
      </w:r>
      <w:r w:rsidR="00AF4466" w:rsidRPr="009A1394">
        <w:rPr>
          <w:color w:val="000000" w:themeColor="text1"/>
          <w:szCs w:val="24"/>
          <w:lang w:val="en-CA"/>
        </w:rPr>
        <w:t>descending grade</w:t>
      </w:r>
      <w:r w:rsidRPr="009A1394">
        <w:rPr>
          <w:color w:val="000000" w:themeColor="text1"/>
          <w:szCs w:val="24"/>
          <w:lang w:val="en-CA"/>
        </w:rPr>
        <w:t>, just outside Lac-Mégantic.</w:t>
      </w:r>
      <w:r w:rsidR="00E05B7D" w:rsidRPr="009A1394">
        <w:rPr>
          <w:color w:val="000000" w:themeColor="text1"/>
          <w:szCs w:val="24"/>
          <w:lang w:val="en-CA"/>
        </w:rPr>
        <w:t xml:space="preserve"> </w:t>
      </w:r>
      <w:r w:rsidRPr="009A1394">
        <w:rPr>
          <w:szCs w:val="24"/>
          <w:lang w:val="en-CA"/>
        </w:rPr>
        <w:t>In addition, the appellants argue that CP knew the danger that such a practice represented.</w:t>
      </w:r>
      <w:r w:rsidR="00E05B7D" w:rsidRPr="009A1394">
        <w:rPr>
          <w:color w:val="000000" w:themeColor="text1"/>
          <w:szCs w:val="24"/>
          <w:lang w:val="en-CA"/>
        </w:rPr>
        <w:t xml:space="preserve"> </w:t>
      </w:r>
      <w:r w:rsidRPr="009A1394">
        <w:rPr>
          <w:color w:val="000000" w:themeColor="text1"/>
          <w:szCs w:val="24"/>
          <w:lang w:val="en-CA"/>
        </w:rPr>
        <w:t xml:space="preserve">It was, they argue, all the </w:t>
      </w:r>
      <w:r w:rsidR="00AF4466" w:rsidRPr="009A1394">
        <w:rPr>
          <w:color w:val="000000" w:themeColor="text1"/>
          <w:szCs w:val="24"/>
          <w:lang w:val="en-CA"/>
        </w:rPr>
        <w:t xml:space="preserve">more </w:t>
      </w:r>
      <w:r w:rsidR="00CF1455" w:rsidRPr="009A1394">
        <w:rPr>
          <w:color w:val="000000" w:themeColor="text1"/>
          <w:szCs w:val="24"/>
          <w:lang w:val="en-CA"/>
        </w:rPr>
        <w:t>true</w:t>
      </w:r>
      <w:r w:rsidRPr="009A1394">
        <w:rPr>
          <w:color w:val="000000" w:themeColor="text1"/>
          <w:szCs w:val="24"/>
          <w:lang w:val="en-CA"/>
        </w:rPr>
        <w:t xml:space="preserve"> in light of </w:t>
      </w:r>
      <w:r w:rsidR="00CF1455" w:rsidRPr="009A1394">
        <w:rPr>
          <w:color w:val="000000" w:themeColor="text1"/>
          <w:szCs w:val="24"/>
          <w:lang w:val="en-CA"/>
        </w:rPr>
        <w:t>the</w:t>
      </w:r>
      <w:r w:rsidRPr="009A1394">
        <w:rPr>
          <w:color w:val="000000" w:themeColor="text1"/>
          <w:szCs w:val="24"/>
          <w:lang w:val="en-CA"/>
        </w:rPr>
        <w:t xml:space="preserve"> evidence that </w:t>
      </w:r>
      <w:r w:rsidR="000A42A7" w:rsidRPr="009A1394">
        <w:rPr>
          <w:color w:val="000000" w:themeColor="text1"/>
          <w:szCs w:val="24"/>
          <w:lang w:val="en-CA"/>
        </w:rPr>
        <w:t>hand brake</w:t>
      </w:r>
      <w:r w:rsidRPr="009A1394">
        <w:rPr>
          <w:color w:val="000000" w:themeColor="text1"/>
          <w:szCs w:val="24"/>
          <w:lang w:val="en-CA"/>
        </w:rPr>
        <w:t xml:space="preserve">s are fundamentally unreliable and that </w:t>
      </w:r>
      <w:r w:rsidR="00CF1455" w:rsidRPr="009A1394">
        <w:rPr>
          <w:color w:val="000000" w:themeColor="text1"/>
          <w:szCs w:val="24"/>
          <w:lang w:val="en-CA"/>
        </w:rPr>
        <w:t>resorting</w:t>
      </w:r>
      <w:r w:rsidRPr="009A1394">
        <w:rPr>
          <w:color w:val="000000" w:themeColor="text1"/>
          <w:szCs w:val="24"/>
          <w:lang w:val="en-CA"/>
        </w:rPr>
        <w:t xml:space="preserve"> to air brakes to </w:t>
      </w:r>
      <w:r w:rsidR="00CF1455" w:rsidRPr="009A1394">
        <w:rPr>
          <w:color w:val="000000" w:themeColor="text1"/>
          <w:szCs w:val="24"/>
          <w:lang w:val="en-CA"/>
        </w:rPr>
        <w:t>secure</w:t>
      </w:r>
      <w:r w:rsidRPr="009A1394">
        <w:rPr>
          <w:color w:val="000000" w:themeColor="text1"/>
          <w:szCs w:val="24"/>
          <w:lang w:val="en-CA"/>
        </w:rPr>
        <w:t xml:space="preserve"> a train, which Harding did, while </w:t>
      </w:r>
      <w:r w:rsidR="00C4072A" w:rsidRPr="009A1394">
        <w:rPr>
          <w:color w:val="000000" w:themeColor="text1"/>
          <w:szCs w:val="24"/>
          <w:lang w:val="en-CA"/>
        </w:rPr>
        <w:t xml:space="preserve">a </w:t>
      </w:r>
      <w:r w:rsidRPr="009A1394">
        <w:rPr>
          <w:color w:val="000000" w:themeColor="text1"/>
          <w:szCs w:val="24"/>
          <w:lang w:val="en-CA"/>
        </w:rPr>
        <w:t>dangerous</w:t>
      </w:r>
      <w:r w:rsidR="00C4072A" w:rsidRPr="009A1394">
        <w:rPr>
          <w:color w:val="000000" w:themeColor="text1"/>
          <w:szCs w:val="24"/>
          <w:lang w:val="en-CA"/>
        </w:rPr>
        <w:t xml:space="preserve"> practice</w:t>
      </w:r>
      <w:r w:rsidRPr="009A1394">
        <w:rPr>
          <w:color w:val="000000" w:themeColor="text1"/>
          <w:szCs w:val="24"/>
          <w:lang w:val="en-CA"/>
        </w:rPr>
        <w:t xml:space="preserve">, was nevertheless a widespread </w:t>
      </w:r>
      <w:r w:rsidR="00C4072A" w:rsidRPr="009A1394">
        <w:rPr>
          <w:color w:val="000000" w:themeColor="text1"/>
          <w:szCs w:val="24"/>
          <w:lang w:val="en-CA"/>
        </w:rPr>
        <w:t xml:space="preserve">one </w:t>
      </w:r>
      <w:r w:rsidRPr="009A1394">
        <w:rPr>
          <w:color w:val="000000" w:themeColor="text1"/>
          <w:szCs w:val="24"/>
          <w:lang w:val="en-CA"/>
        </w:rPr>
        <w:t>in the industry.</w:t>
      </w:r>
      <w:r w:rsidR="00E05B7D" w:rsidRPr="009A1394">
        <w:rPr>
          <w:color w:val="000000" w:themeColor="text1"/>
          <w:szCs w:val="24"/>
          <w:lang w:val="en-CA"/>
        </w:rPr>
        <w:t xml:space="preserve"> </w:t>
      </w:r>
      <w:r w:rsidRPr="009A1394">
        <w:rPr>
          <w:color w:val="000000" w:themeColor="text1"/>
          <w:szCs w:val="24"/>
          <w:lang w:val="en-CA"/>
        </w:rPr>
        <w:t xml:space="preserve">Another element that </w:t>
      </w:r>
      <w:r w:rsidR="008E4A2D" w:rsidRPr="009A1394">
        <w:rPr>
          <w:color w:val="000000" w:themeColor="text1"/>
          <w:szCs w:val="24"/>
          <w:lang w:val="en-CA"/>
        </w:rPr>
        <w:t xml:space="preserve">allegedly </w:t>
      </w:r>
      <w:r w:rsidRPr="009A1394">
        <w:rPr>
          <w:color w:val="000000" w:themeColor="text1"/>
          <w:szCs w:val="24"/>
          <w:lang w:val="en-CA"/>
        </w:rPr>
        <w:t>escaped the judge’s notice was CP’s knowledge of the fact that the train was conducted in SPTO mode between Farnham and Lac-Mégantic, while CP prohibited such a practice on its own network.</w:t>
      </w:r>
    </w:p>
    <w:p w14:paraId="019D26AA" w14:textId="03DEF31F" w:rsidR="00702A59" w:rsidRPr="009A1394" w:rsidRDefault="002D15CF" w:rsidP="001348F7">
      <w:pPr>
        <w:pStyle w:val="Paragraphe"/>
        <w:numPr>
          <w:ilvl w:val="0"/>
          <w:numId w:val="1"/>
        </w:numPr>
        <w:rPr>
          <w:color w:val="000000" w:themeColor="text1"/>
          <w:szCs w:val="24"/>
          <w:lang w:val="en-CA"/>
        </w:rPr>
      </w:pPr>
      <w:r w:rsidRPr="009A1394">
        <w:rPr>
          <w:color w:val="000000" w:themeColor="text1"/>
          <w:szCs w:val="24"/>
          <w:lang w:val="en-CA"/>
        </w:rPr>
        <w:t xml:space="preserve">The appellants also argue that the judge failed to </w:t>
      </w:r>
      <w:r w:rsidR="00CF06D5" w:rsidRPr="009A1394">
        <w:rPr>
          <w:color w:val="000000" w:themeColor="text1"/>
          <w:szCs w:val="24"/>
          <w:lang w:val="en-CA"/>
        </w:rPr>
        <w:t>consider</w:t>
      </w:r>
      <w:r w:rsidR="00F7176D" w:rsidRPr="009A1394">
        <w:rPr>
          <w:color w:val="000000" w:themeColor="text1"/>
          <w:szCs w:val="24"/>
          <w:lang w:val="en-CA"/>
        </w:rPr>
        <w:t xml:space="preserve"> </w:t>
      </w:r>
      <w:r w:rsidRPr="009A1394">
        <w:rPr>
          <w:color w:val="000000" w:themeColor="text1"/>
          <w:szCs w:val="24"/>
          <w:lang w:val="en-CA"/>
        </w:rPr>
        <w:t>or</w:t>
      </w:r>
      <w:r w:rsidR="00F7176D" w:rsidRPr="009A1394">
        <w:rPr>
          <w:color w:val="000000" w:themeColor="text1"/>
          <w:szCs w:val="24"/>
          <w:lang w:val="en-CA"/>
        </w:rPr>
        <w:t>,</w:t>
      </w:r>
      <w:r w:rsidRPr="009A1394">
        <w:rPr>
          <w:color w:val="000000" w:themeColor="text1"/>
          <w:szCs w:val="24"/>
          <w:lang w:val="en-CA"/>
        </w:rPr>
        <w:t xml:space="preserve"> at least, failed to measure the imp</w:t>
      </w:r>
      <w:r w:rsidR="007D50B2" w:rsidRPr="009A1394">
        <w:rPr>
          <w:color w:val="000000" w:themeColor="text1"/>
          <w:szCs w:val="24"/>
          <w:lang w:val="en-CA"/>
        </w:rPr>
        <w:t>act</w:t>
      </w:r>
      <w:r w:rsidRPr="009A1394">
        <w:rPr>
          <w:color w:val="000000" w:themeColor="text1"/>
          <w:szCs w:val="24"/>
          <w:lang w:val="en-CA"/>
        </w:rPr>
        <w:t xml:space="preserve"> of MMA’s precarious financial situation on the </w:t>
      </w:r>
      <w:r w:rsidR="00D83310" w:rsidRPr="009A1394">
        <w:rPr>
          <w:color w:val="000000" w:themeColor="text1"/>
          <w:szCs w:val="24"/>
          <w:lang w:val="en-CA"/>
        </w:rPr>
        <w:t>maintenance</w:t>
      </w:r>
      <w:r w:rsidRPr="009A1394">
        <w:rPr>
          <w:color w:val="000000" w:themeColor="text1"/>
          <w:szCs w:val="24"/>
          <w:lang w:val="en-CA"/>
        </w:rPr>
        <w:t xml:space="preserve"> of its equipment and tracks.</w:t>
      </w:r>
      <w:r w:rsidR="000942C9" w:rsidRPr="009A1394">
        <w:rPr>
          <w:color w:val="000000" w:themeColor="text1"/>
          <w:szCs w:val="24"/>
          <w:lang w:val="en-CA"/>
        </w:rPr>
        <w:t xml:space="preserve"> </w:t>
      </w:r>
      <w:r w:rsidRPr="009A1394">
        <w:rPr>
          <w:color w:val="000000" w:themeColor="text1"/>
          <w:szCs w:val="24"/>
          <w:lang w:val="en-CA"/>
        </w:rPr>
        <w:t>Yet, it was a source of concern.</w:t>
      </w:r>
      <w:r w:rsidR="000942C9" w:rsidRPr="009A1394">
        <w:rPr>
          <w:color w:val="000000" w:themeColor="text1"/>
          <w:szCs w:val="24"/>
          <w:lang w:val="en-CA"/>
        </w:rPr>
        <w:t xml:space="preserve"> </w:t>
      </w:r>
      <w:r w:rsidR="004E397C" w:rsidRPr="009A1394">
        <w:rPr>
          <w:color w:val="000000" w:themeColor="text1"/>
          <w:szCs w:val="24"/>
          <w:lang w:val="en-CA"/>
        </w:rPr>
        <w:t>In their view</w:t>
      </w:r>
      <w:r w:rsidR="00D83310" w:rsidRPr="009A1394">
        <w:rPr>
          <w:color w:val="000000" w:themeColor="text1"/>
          <w:szCs w:val="24"/>
          <w:lang w:val="en-CA"/>
        </w:rPr>
        <w:t xml:space="preserve">, CP knew about the poor state of MMA’s tracks and locomotives, and about the terrain around Lac-Mégantic, which </w:t>
      </w:r>
      <w:r w:rsidR="004E397C" w:rsidRPr="009A1394">
        <w:rPr>
          <w:color w:val="000000" w:themeColor="text1"/>
          <w:szCs w:val="24"/>
          <w:lang w:val="en-CA"/>
        </w:rPr>
        <w:t>required that</w:t>
      </w:r>
      <w:r w:rsidR="00D83310" w:rsidRPr="009A1394">
        <w:rPr>
          <w:color w:val="000000" w:themeColor="text1"/>
          <w:szCs w:val="24"/>
          <w:lang w:val="en-CA"/>
        </w:rPr>
        <w:t xml:space="preserve"> the safety rules for </w:t>
      </w:r>
      <w:r w:rsidR="00CF06D5" w:rsidRPr="009A1394">
        <w:rPr>
          <w:color w:val="000000" w:themeColor="text1"/>
          <w:szCs w:val="24"/>
          <w:lang w:val="en-CA"/>
        </w:rPr>
        <w:t>securing</w:t>
      </w:r>
      <w:r w:rsidR="00D83310" w:rsidRPr="009A1394">
        <w:rPr>
          <w:color w:val="000000" w:themeColor="text1"/>
          <w:szCs w:val="24"/>
          <w:lang w:val="en-CA"/>
        </w:rPr>
        <w:t xml:space="preserve"> trains</w:t>
      </w:r>
      <w:r w:rsidR="004E397C" w:rsidRPr="009A1394">
        <w:rPr>
          <w:color w:val="000000" w:themeColor="text1"/>
          <w:szCs w:val="24"/>
          <w:lang w:val="en-CA"/>
        </w:rPr>
        <w:t xml:space="preserve"> be strictly adhered to</w:t>
      </w:r>
      <w:r w:rsidR="00D83310" w:rsidRPr="009A1394">
        <w:rPr>
          <w:color w:val="000000" w:themeColor="text1"/>
          <w:szCs w:val="24"/>
          <w:lang w:val="en-CA"/>
        </w:rPr>
        <w:t>.</w:t>
      </w:r>
      <w:r w:rsidR="000942C9" w:rsidRPr="009A1394">
        <w:rPr>
          <w:color w:val="000000" w:themeColor="text1"/>
          <w:szCs w:val="24"/>
          <w:lang w:val="en-CA"/>
        </w:rPr>
        <w:t xml:space="preserve"> </w:t>
      </w:r>
      <w:r w:rsidR="008553A7" w:rsidRPr="009A1394">
        <w:rPr>
          <w:color w:val="000000" w:themeColor="text1"/>
          <w:szCs w:val="24"/>
          <w:lang w:val="en-CA"/>
        </w:rPr>
        <w:t>All these</w:t>
      </w:r>
      <w:r w:rsidR="00D83310" w:rsidRPr="009A1394">
        <w:rPr>
          <w:color w:val="000000" w:themeColor="text1"/>
          <w:szCs w:val="24"/>
          <w:lang w:val="en-CA"/>
        </w:rPr>
        <w:t xml:space="preserve"> reasons should have </w:t>
      </w:r>
      <w:r w:rsidR="009671C2" w:rsidRPr="009A1394">
        <w:rPr>
          <w:color w:val="000000" w:themeColor="text1"/>
          <w:szCs w:val="24"/>
          <w:lang w:val="en-CA"/>
        </w:rPr>
        <w:t>prompted</w:t>
      </w:r>
      <w:r w:rsidR="00F7176D" w:rsidRPr="009A1394">
        <w:rPr>
          <w:color w:val="000000" w:themeColor="text1"/>
          <w:szCs w:val="24"/>
          <w:lang w:val="en-CA"/>
        </w:rPr>
        <w:t xml:space="preserve"> </w:t>
      </w:r>
      <w:r w:rsidR="00D83310" w:rsidRPr="009A1394">
        <w:rPr>
          <w:color w:val="000000" w:themeColor="text1"/>
          <w:szCs w:val="24"/>
          <w:lang w:val="en-CA"/>
        </w:rPr>
        <w:t xml:space="preserve">CP to look more </w:t>
      </w:r>
      <w:r w:rsidR="007D50B2" w:rsidRPr="009A1394">
        <w:rPr>
          <w:color w:val="000000" w:themeColor="text1"/>
          <w:szCs w:val="24"/>
          <w:lang w:val="en-CA"/>
        </w:rPr>
        <w:t>carefully</w:t>
      </w:r>
      <w:r w:rsidR="00D83310" w:rsidRPr="009A1394">
        <w:rPr>
          <w:color w:val="000000" w:themeColor="text1"/>
          <w:szCs w:val="24"/>
          <w:lang w:val="en-CA"/>
        </w:rPr>
        <w:t xml:space="preserve"> into MMA’s safety practices and to intervene with </w:t>
      </w:r>
      <w:r w:rsidR="00B12C26" w:rsidRPr="009A1394">
        <w:rPr>
          <w:color w:val="000000" w:themeColor="text1"/>
          <w:szCs w:val="24"/>
          <w:lang w:val="en-CA"/>
        </w:rPr>
        <w:t xml:space="preserve">respect to </w:t>
      </w:r>
      <w:r w:rsidR="00D83310" w:rsidRPr="009A1394">
        <w:rPr>
          <w:color w:val="000000" w:themeColor="text1"/>
          <w:szCs w:val="24"/>
          <w:lang w:val="en-CA"/>
        </w:rPr>
        <w:t xml:space="preserve">MMA </w:t>
      </w:r>
      <w:r w:rsidR="007D50B2" w:rsidRPr="009A1394">
        <w:rPr>
          <w:color w:val="000000" w:themeColor="text1"/>
          <w:szCs w:val="24"/>
          <w:lang w:val="en-CA"/>
        </w:rPr>
        <w:t>so as to correct</w:t>
      </w:r>
      <w:r w:rsidR="00D83310" w:rsidRPr="009A1394">
        <w:rPr>
          <w:color w:val="000000" w:themeColor="text1"/>
          <w:szCs w:val="24"/>
          <w:lang w:val="en-CA"/>
        </w:rPr>
        <w:t xml:space="preserve"> the deficient practices.</w:t>
      </w:r>
    </w:p>
    <w:p w14:paraId="04E0FE03" w14:textId="169967EC" w:rsidR="00702A59" w:rsidRPr="009A1394" w:rsidRDefault="004E397C" w:rsidP="001348F7">
      <w:pPr>
        <w:pStyle w:val="Paragraphe"/>
        <w:numPr>
          <w:ilvl w:val="0"/>
          <w:numId w:val="1"/>
        </w:numPr>
        <w:rPr>
          <w:color w:val="000000" w:themeColor="text1"/>
          <w:szCs w:val="24"/>
          <w:lang w:val="en-CA"/>
        </w:rPr>
      </w:pPr>
      <w:r w:rsidRPr="009A1394">
        <w:rPr>
          <w:color w:val="000000" w:themeColor="text1"/>
          <w:szCs w:val="24"/>
          <w:lang w:val="en-CA"/>
        </w:rPr>
        <w:t>In the</w:t>
      </w:r>
      <w:r w:rsidR="00D83310" w:rsidRPr="009A1394">
        <w:rPr>
          <w:color w:val="000000" w:themeColor="text1"/>
          <w:szCs w:val="24"/>
          <w:lang w:val="en-CA"/>
        </w:rPr>
        <w:t xml:space="preserve"> </w:t>
      </w:r>
      <w:r w:rsidRPr="009A1394">
        <w:rPr>
          <w:color w:val="000000" w:themeColor="text1"/>
          <w:szCs w:val="24"/>
          <w:lang w:val="en-CA"/>
        </w:rPr>
        <w:t>appellants’ view,</w:t>
      </w:r>
      <w:r w:rsidR="00D83310" w:rsidRPr="009A1394">
        <w:rPr>
          <w:color w:val="000000" w:themeColor="text1"/>
          <w:szCs w:val="24"/>
          <w:lang w:val="en-CA"/>
        </w:rPr>
        <w:t xml:space="preserve"> the evidence of MMA’s </w:t>
      </w:r>
      <w:r w:rsidR="00360417" w:rsidRPr="009A1394">
        <w:rPr>
          <w:color w:val="000000" w:themeColor="text1"/>
          <w:szCs w:val="24"/>
          <w:lang w:val="en-CA"/>
        </w:rPr>
        <w:t>numerous</w:t>
      </w:r>
      <w:r w:rsidR="00D83310" w:rsidRPr="009A1394">
        <w:rPr>
          <w:color w:val="000000" w:themeColor="text1"/>
          <w:szCs w:val="24"/>
          <w:lang w:val="en-CA"/>
        </w:rPr>
        <w:t xml:space="preserve"> safety and security deficiencies </w:t>
      </w:r>
      <w:r w:rsidRPr="009A1394">
        <w:rPr>
          <w:color w:val="000000" w:themeColor="text1"/>
          <w:szCs w:val="24"/>
          <w:lang w:val="en-CA"/>
        </w:rPr>
        <w:t>was</w:t>
      </w:r>
      <w:r w:rsidR="00D83310" w:rsidRPr="009A1394">
        <w:rPr>
          <w:color w:val="000000" w:themeColor="text1"/>
          <w:szCs w:val="24"/>
          <w:lang w:val="en-CA"/>
        </w:rPr>
        <w:t xml:space="preserve"> so flagrant that the judge should have </w:t>
      </w:r>
      <w:r w:rsidR="00360417" w:rsidRPr="009A1394">
        <w:rPr>
          <w:color w:val="000000" w:themeColor="text1"/>
          <w:szCs w:val="24"/>
          <w:lang w:val="en-CA"/>
        </w:rPr>
        <w:t>found a</w:t>
      </w:r>
      <w:r w:rsidR="00D83310" w:rsidRPr="009A1394">
        <w:rPr>
          <w:color w:val="000000" w:themeColor="text1"/>
          <w:szCs w:val="24"/>
          <w:lang w:val="en-CA"/>
        </w:rPr>
        <w:t xml:space="preserve"> </w:t>
      </w:r>
      <w:r w:rsidRPr="009A1394">
        <w:rPr>
          <w:color w:val="000000" w:themeColor="text1"/>
          <w:szCs w:val="24"/>
          <w:lang w:val="en-CA"/>
        </w:rPr>
        <w:t>fault of omission on</w:t>
      </w:r>
      <w:r w:rsidR="00D83310" w:rsidRPr="009A1394">
        <w:rPr>
          <w:color w:val="000000" w:themeColor="text1"/>
          <w:szCs w:val="24"/>
          <w:lang w:val="en-CA"/>
        </w:rPr>
        <w:t xml:space="preserve"> CP</w:t>
      </w:r>
      <w:r w:rsidRPr="009A1394">
        <w:rPr>
          <w:color w:val="000000" w:themeColor="text1"/>
          <w:szCs w:val="24"/>
          <w:lang w:val="en-CA"/>
        </w:rPr>
        <w:t>’s part</w:t>
      </w:r>
      <w:r w:rsidR="00D83310" w:rsidRPr="009A1394">
        <w:rPr>
          <w:color w:val="000000" w:themeColor="text1"/>
          <w:szCs w:val="24"/>
          <w:lang w:val="en-CA"/>
        </w:rPr>
        <w:t>.</w:t>
      </w:r>
      <w:r w:rsidR="008161A3" w:rsidRPr="009A1394">
        <w:rPr>
          <w:color w:val="000000" w:themeColor="text1"/>
          <w:szCs w:val="24"/>
          <w:lang w:val="en-CA"/>
        </w:rPr>
        <w:t xml:space="preserve"> </w:t>
      </w:r>
      <w:r w:rsidR="00D83310" w:rsidRPr="009A1394">
        <w:rPr>
          <w:color w:val="000000" w:themeColor="text1"/>
          <w:szCs w:val="24"/>
          <w:lang w:val="en-CA"/>
        </w:rPr>
        <w:t>His failure to do so constitute</w:t>
      </w:r>
      <w:r w:rsidRPr="009A1394">
        <w:rPr>
          <w:color w:val="000000" w:themeColor="text1"/>
          <w:szCs w:val="24"/>
          <w:lang w:val="en-CA"/>
        </w:rPr>
        <w:t>d</w:t>
      </w:r>
      <w:r w:rsidR="00D83310" w:rsidRPr="009A1394">
        <w:rPr>
          <w:color w:val="000000" w:themeColor="text1"/>
          <w:szCs w:val="24"/>
          <w:lang w:val="en-CA"/>
        </w:rPr>
        <w:t xml:space="preserve"> a palpable and </w:t>
      </w:r>
      <w:r w:rsidR="00CF06D5" w:rsidRPr="009A1394">
        <w:rPr>
          <w:color w:val="000000" w:themeColor="text1"/>
          <w:szCs w:val="24"/>
          <w:lang w:val="en-CA"/>
        </w:rPr>
        <w:t>overriding</w:t>
      </w:r>
      <w:r w:rsidR="00D83310" w:rsidRPr="009A1394">
        <w:rPr>
          <w:color w:val="000000" w:themeColor="text1"/>
          <w:szCs w:val="24"/>
          <w:lang w:val="en-CA"/>
        </w:rPr>
        <w:t xml:space="preserve"> error in assessing the evidence.</w:t>
      </w:r>
    </w:p>
    <w:p w14:paraId="047A2393" w14:textId="22EE2897" w:rsidR="00067B9E" w:rsidRPr="009A1394" w:rsidRDefault="00D83310" w:rsidP="001348F7">
      <w:pPr>
        <w:pStyle w:val="Paragraphe"/>
        <w:numPr>
          <w:ilvl w:val="0"/>
          <w:numId w:val="1"/>
        </w:numPr>
        <w:rPr>
          <w:color w:val="000000" w:themeColor="text1"/>
          <w:szCs w:val="24"/>
          <w:lang w:val="en-CA"/>
        </w:rPr>
      </w:pPr>
      <w:r w:rsidRPr="009A1394">
        <w:rPr>
          <w:color w:val="000000" w:themeColor="text1"/>
          <w:szCs w:val="24"/>
          <w:lang w:val="en-CA"/>
        </w:rPr>
        <w:t>The appellants add that the judge failed to analyze CP’s duty to inform as a source of liability.</w:t>
      </w:r>
      <w:r w:rsidR="008161A3" w:rsidRPr="009A1394">
        <w:rPr>
          <w:color w:val="000000" w:themeColor="text1"/>
          <w:szCs w:val="24"/>
          <w:lang w:val="en-CA"/>
        </w:rPr>
        <w:t xml:space="preserve"> </w:t>
      </w:r>
      <w:r w:rsidRPr="009A1394">
        <w:rPr>
          <w:color w:val="000000" w:themeColor="text1"/>
          <w:szCs w:val="24"/>
          <w:lang w:val="en-CA"/>
        </w:rPr>
        <w:t xml:space="preserve">They argue that CP had a duty to inform WFS, Irving, and TC of the safety and security issues affecting MMA, </w:t>
      </w:r>
      <w:r w:rsidR="00CF06D5" w:rsidRPr="009A1394">
        <w:rPr>
          <w:color w:val="000000" w:themeColor="text1"/>
          <w:szCs w:val="24"/>
          <w:lang w:val="en-CA"/>
        </w:rPr>
        <w:t>issues it knew about</w:t>
      </w:r>
      <w:r w:rsidRPr="009A1394">
        <w:rPr>
          <w:color w:val="000000" w:themeColor="text1"/>
          <w:szCs w:val="24"/>
          <w:lang w:val="en-CA"/>
        </w:rPr>
        <w:t>.</w:t>
      </w:r>
    </w:p>
    <w:p w14:paraId="7AA883A9" w14:textId="16347D30" w:rsidR="002B58BA" w:rsidRPr="009A1394" w:rsidRDefault="00D83310" w:rsidP="007B0327">
      <w:pPr>
        <w:pStyle w:val="Titre3"/>
        <w:rPr>
          <w:lang w:val="en-CA"/>
        </w:rPr>
      </w:pPr>
      <w:r w:rsidRPr="009A1394">
        <w:rPr>
          <w:lang w:val="en-CA"/>
        </w:rPr>
        <w:t xml:space="preserve">Discussion on the second </w:t>
      </w:r>
      <w:r w:rsidR="008525E6" w:rsidRPr="009A1394">
        <w:rPr>
          <w:lang w:val="en-CA"/>
        </w:rPr>
        <w:t>heading</w:t>
      </w:r>
    </w:p>
    <w:p w14:paraId="110DA975" w14:textId="599FEB70" w:rsidR="00702A59" w:rsidRPr="009A1394" w:rsidRDefault="00D83310" w:rsidP="001348F7">
      <w:pPr>
        <w:pStyle w:val="Paragraphe"/>
        <w:numPr>
          <w:ilvl w:val="0"/>
          <w:numId w:val="1"/>
        </w:numPr>
        <w:rPr>
          <w:color w:val="000000" w:themeColor="text1"/>
          <w:szCs w:val="24"/>
          <w:lang w:val="en-CA"/>
        </w:rPr>
      </w:pPr>
      <w:r w:rsidRPr="009A1394">
        <w:rPr>
          <w:color w:val="000000" w:themeColor="text1"/>
          <w:szCs w:val="24"/>
          <w:lang w:val="en-CA"/>
        </w:rPr>
        <w:t xml:space="preserve">To </w:t>
      </w:r>
      <w:r w:rsidR="00360417" w:rsidRPr="009A1394">
        <w:rPr>
          <w:color w:val="000000" w:themeColor="text1"/>
          <w:szCs w:val="24"/>
          <w:lang w:val="en-CA"/>
        </w:rPr>
        <w:t>succeed</w:t>
      </w:r>
      <w:r w:rsidRPr="009A1394">
        <w:rPr>
          <w:color w:val="000000" w:themeColor="text1"/>
          <w:szCs w:val="24"/>
          <w:lang w:val="en-CA"/>
        </w:rPr>
        <w:t xml:space="preserve"> on this ground of appeal, the appellants </w:t>
      </w:r>
      <w:r w:rsidR="00CF06D5" w:rsidRPr="009A1394">
        <w:rPr>
          <w:color w:val="000000" w:themeColor="text1"/>
          <w:szCs w:val="24"/>
          <w:lang w:val="en-CA"/>
        </w:rPr>
        <w:t>must</w:t>
      </w:r>
      <w:r w:rsidRPr="009A1394">
        <w:rPr>
          <w:color w:val="000000" w:themeColor="text1"/>
          <w:szCs w:val="24"/>
          <w:lang w:val="en-CA"/>
        </w:rPr>
        <w:t xml:space="preserve"> </w:t>
      </w:r>
      <w:r w:rsidR="00360417" w:rsidRPr="009A1394">
        <w:rPr>
          <w:color w:val="000000" w:themeColor="text1"/>
          <w:szCs w:val="24"/>
          <w:lang w:val="en-CA"/>
        </w:rPr>
        <w:t>show</w:t>
      </w:r>
      <w:r w:rsidRPr="009A1394">
        <w:rPr>
          <w:color w:val="000000" w:themeColor="text1"/>
          <w:szCs w:val="24"/>
          <w:lang w:val="en-CA"/>
        </w:rPr>
        <w:t xml:space="preserve"> that the judge committed a palpable and </w:t>
      </w:r>
      <w:r w:rsidR="00CF06D5" w:rsidRPr="009A1394">
        <w:rPr>
          <w:color w:val="000000" w:themeColor="text1"/>
          <w:szCs w:val="24"/>
          <w:lang w:val="en-CA"/>
        </w:rPr>
        <w:t>overriding</w:t>
      </w:r>
      <w:r w:rsidRPr="009A1394">
        <w:rPr>
          <w:color w:val="000000" w:themeColor="text1"/>
          <w:szCs w:val="24"/>
          <w:lang w:val="en-CA"/>
        </w:rPr>
        <w:t xml:space="preserve"> error.</w:t>
      </w:r>
      <w:r w:rsidR="008161A3" w:rsidRPr="009A1394">
        <w:rPr>
          <w:color w:val="000000" w:themeColor="text1"/>
          <w:szCs w:val="24"/>
          <w:lang w:val="en-CA"/>
        </w:rPr>
        <w:t xml:space="preserve"> </w:t>
      </w:r>
      <w:r w:rsidRPr="009A1394">
        <w:rPr>
          <w:color w:val="000000" w:themeColor="text1"/>
          <w:szCs w:val="24"/>
          <w:lang w:val="en-CA"/>
        </w:rPr>
        <w:t xml:space="preserve">As the Court has already pointed out, it is not enough for </w:t>
      </w:r>
      <w:r w:rsidR="00CF06D5" w:rsidRPr="009A1394">
        <w:rPr>
          <w:color w:val="000000" w:themeColor="text1"/>
          <w:szCs w:val="24"/>
          <w:lang w:val="en-CA"/>
        </w:rPr>
        <w:t>the</w:t>
      </w:r>
      <w:r w:rsidRPr="009A1394">
        <w:rPr>
          <w:color w:val="000000" w:themeColor="text1"/>
          <w:szCs w:val="24"/>
          <w:lang w:val="en-CA"/>
        </w:rPr>
        <w:t xml:space="preserve"> appellants to show that the judge could have reached a different conclusion.</w:t>
      </w:r>
      <w:r w:rsidR="008161A3" w:rsidRPr="009A1394">
        <w:rPr>
          <w:color w:val="000000" w:themeColor="text1"/>
          <w:szCs w:val="24"/>
          <w:lang w:val="en-CA"/>
        </w:rPr>
        <w:t xml:space="preserve"> </w:t>
      </w:r>
      <w:r w:rsidRPr="009A1394">
        <w:rPr>
          <w:color w:val="000000" w:themeColor="text1"/>
          <w:szCs w:val="24"/>
          <w:lang w:val="en-CA"/>
        </w:rPr>
        <w:t xml:space="preserve">The real question the Court must </w:t>
      </w:r>
      <w:r w:rsidR="00CF06D5" w:rsidRPr="009A1394">
        <w:rPr>
          <w:color w:val="000000" w:themeColor="text1"/>
          <w:szCs w:val="24"/>
          <w:lang w:val="en-CA"/>
        </w:rPr>
        <w:t xml:space="preserve">instead </w:t>
      </w:r>
      <w:r w:rsidRPr="009A1394">
        <w:rPr>
          <w:color w:val="000000" w:themeColor="text1"/>
          <w:szCs w:val="24"/>
          <w:lang w:val="en-CA"/>
        </w:rPr>
        <w:t xml:space="preserve">decide is whether the judge’s </w:t>
      </w:r>
      <w:r w:rsidR="009671C2" w:rsidRPr="009A1394">
        <w:rPr>
          <w:color w:val="000000" w:themeColor="text1"/>
          <w:szCs w:val="24"/>
          <w:lang w:val="en-CA"/>
        </w:rPr>
        <w:t xml:space="preserve">finding </w:t>
      </w:r>
      <w:r w:rsidRPr="009A1394">
        <w:rPr>
          <w:color w:val="000000" w:themeColor="text1"/>
          <w:szCs w:val="24"/>
          <w:lang w:val="en-CA"/>
        </w:rPr>
        <w:t>was reasonably supported by the evidence.</w:t>
      </w:r>
    </w:p>
    <w:p w14:paraId="542AACE4" w14:textId="52936BEF" w:rsidR="00702A59" w:rsidRPr="009A1394" w:rsidRDefault="00360417" w:rsidP="00720E8B">
      <w:pPr>
        <w:pStyle w:val="Paragraphe"/>
        <w:numPr>
          <w:ilvl w:val="0"/>
          <w:numId w:val="1"/>
        </w:numPr>
        <w:rPr>
          <w:color w:val="000000" w:themeColor="text1"/>
          <w:szCs w:val="24"/>
          <w:lang w:val="en-CA"/>
        </w:rPr>
      </w:pPr>
      <w:r w:rsidRPr="009A1394">
        <w:rPr>
          <w:color w:val="000000" w:themeColor="text1"/>
          <w:szCs w:val="24"/>
          <w:lang w:val="en-CA"/>
        </w:rPr>
        <w:lastRenderedPageBreak/>
        <w:t>One must</w:t>
      </w:r>
      <w:r w:rsidR="00D83310" w:rsidRPr="009A1394">
        <w:rPr>
          <w:color w:val="000000" w:themeColor="text1"/>
          <w:szCs w:val="24"/>
          <w:lang w:val="en-CA"/>
        </w:rPr>
        <w:t xml:space="preserve"> also </w:t>
      </w:r>
      <w:r w:rsidRPr="009A1394">
        <w:rPr>
          <w:color w:val="000000" w:themeColor="text1"/>
          <w:szCs w:val="24"/>
          <w:lang w:val="en-CA"/>
        </w:rPr>
        <w:t>keep</w:t>
      </w:r>
      <w:r w:rsidR="00D83310" w:rsidRPr="009A1394">
        <w:rPr>
          <w:color w:val="000000" w:themeColor="text1"/>
          <w:szCs w:val="24"/>
          <w:lang w:val="en-CA"/>
        </w:rPr>
        <w:t xml:space="preserve"> in mind that judge</w:t>
      </w:r>
      <w:r w:rsidR="00CF06D5" w:rsidRPr="009A1394">
        <w:rPr>
          <w:color w:val="000000" w:themeColor="text1"/>
          <w:szCs w:val="24"/>
          <w:lang w:val="en-CA"/>
        </w:rPr>
        <w:t>s</w:t>
      </w:r>
      <w:r w:rsidR="00D83310" w:rsidRPr="009A1394">
        <w:rPr>
          <w:color w:val="000000" w:themeColor="text1"/>
          <w:szCs w:val="24"/>
          <w:lang w:val="en-CA"/>
        </w:rPr>
        <w:t xml:space="preserve"> need not comment </w:t>
      </w:r>
      <w:r w:rsidR="007446F5" w:rsidRPr="009A1394">
        <w:rPr>
          <w:color w:val="000000" w:themeColor="text1"/>
          <w:szCs w:val="24"/>
          <w:lang w:val="en-CA"/>
        </w:rPr>
        <w:t xml:space="preserve">on </w:t>
      </w:r>
      <w:r w:rsidR="00D83310" w:rsidRPr="009A1394">
        <w:rPr>
          <w:color w:val="000000" w:themeColor="text1"/>
          <w:szCs w:val="24"/>
          <w:lang w:val="en-CA"/>
        </w:rPr>
        <w:t xml:space="preserve">each </w:t>
      </w:r>
      <w:r w:rsidRPr="009A1394">
        <w:rPr>
          <w:color w:val="000000" w:themeColor="text1"/>
          <w:szCs w:val="24"/>
          <w:lang w:val="en-CA"/>
        </w:rPr>
        <w:t>piece</w:t>
      </w:r>
      <w:r w:rsidR="00D83310" w:rsidRPr="009A1394">
        <w:rPr>
          <w:color w:val="000000" w:themeColor="text1"/>
          <w:szCs w:val="24"/>
          <w:lang w:val="en-CA"/>
        </w:rPr>
        <w:t xml:space="preserve"> of evidence in </w:t>
      </w:r>
      <w:r w:rsidR="00CF06D5" w:rsidRPr="009A1394">
        <w:rPr>
          <w:color w:val="000000" w:themeColor="text1"/>
          <w:szCs w:val="24"/>
          <w:lang w:val="en-CA"/>
        </w:rPr>
        <w:t>their</w:t>
      </w:r>
      <w:r w:rsidR="00D83310" w:rsidRPr="009A1394">
        <w:rPr>
          <w:color w:val="000000" w:themeColor="text1"/>
          <w:szCs w:val="24"/>
          <w:lang w:val="en-CA"/>
        </w:rPr>
        <w:t xml:space="preserve"> judgment.</w:t>
      </w:r>
      <w:r w:rsidR="00D83310" w:rsidRPr="009A1394">
        <w:rPr>
          <w:rStyle w:val="Appelnotedebasdep"/>
          <w:color w:val="000000" w:themeColor="text1"/>
          <w:szCs w:val="24"/>
          <w:lang w:val="en-CA"/>
        </w:rPr>
        <w:footnoteReference w:id="217"/>
      </w:r>
    </w:p>
    <w:p w14:paraId="04379A4C" w14:textId="28964996" w:rsidR="00702A59" w:rsidRPr="009A1394" w:rsidRDefault="00D83310" w:rsidP="00720E8B">
      <w:pPr>
        <w:pStyle w:val="Paragraphe"/>
        <w:numPr>
          <w:ilvl w:val="0"/>
          <w:numId w:val="1"/>
        </w:numPr>
        <w:rPr>
          <w:color w:val="000000" w:themeColor="text1"/>
          <w:szCs w:val="24"/>
          <w:lang w:val="en-CA"/>
        </w:rPr>
      </w:pPr>
      <w:r w:rsidRPr="009A1394">
        <w:rPr>
          <w:color w:val="000000" w:themeColor="text1"/>
          <w:szCs w:val="24"/>
          <w:lang w:val="en-CA"/>
        </w:rPr>
        <w:t>As he did for practically every other aspect of the judgment under appeal, the judge carefully assessed and analyzed the evidence on th</w:t>
      </w:r>
      <w:r w:rsidR="00360417" w:rsidRPr="009A1394">
        <w:rPr>
          <w:color w:val="000000" w:themeColor="text1"/>
          <w:szCs w:val="24"/>
          <w:lang w:val="en-CA"/>
        </w:rPr>
        <w:t>is</w:t>
      </w:r>
      <w:r w:rsidRPr="009A1394">
        <w:rPr>
          <w:color w:val="000000" w:themeColor="text1"/>
          <w:szCs w:val="24"/>
          <w:lang w:val="en-CA"/>
        </w:rPr>
        <w:t xml:space="preserve"> </w:t>
      </w:r>
      <w:r w:rsidR="00360417" w:rsidRPr="009A1394">
        <w:rPr>
          <w:color w:val="000000" w:themeColor="text1"/>
          <w:szCs w:val="24"/>
          <w:lang w:val="en-CA"/>
        </w:rPr>
        <w:t>issue</w:t>
      </w:r>
      <w:r w:rsidRPr="009A1394">
        <w:rPr>
          <w:color w:val="000000" w:themeColor="text1"/>
          <w:szCs w:val="24"/>
          <w:lang w:val="en-CA"/>
        </w:rPr>
        <w:t xml:space="preserve"> before drawing his own conclusions.</w:t>
      </w:r>
      <w:r w:rsidR="008161A3" w:rsidRPr="009A1394">
        <w:rPr>
          <w:color w:val="000000" w:themeColor="text1"/>
          <w:szCs w:val="24"/>
          <w:lang w:val="en-CA"/>
        </w:rPr>
        <w:t xml:space="preserve"> </w:t>
      </w:r>
      <w:r w:rsidRPr="009A1394">
        <w:rPr>
          <w:color w:val="000000" w:themeColor="text1"/>
          <w:szCs w:val="24"/>
          <w:lang w:val="en-CA"/>
        </w:rPr>
        <w:t xml:space="preserve">The appellants </w:t>
      </w:r>
      <w:r w:rsidR="00581E15" w:rsidRPr="009A1394">
        <w:rPr>
          <w:color w:val="000000" w:themeColor="text1"/>
          <w:szCs w:val="24"/>
          <w:lang w:val="en-CA"/>
        </w:rPr>
        <w:t xml:space="preserve">have </w:t>
      </w:r>
      <w:r w:rsidR="004514BF" w:rsidRPr="009A1394">
        <w:rPr>
          <w:color w:val="000000" w:themeColor="text1"/>
          <w:szCs w:val="24"/>
          <w:lang w:val="en-CA"/>
        </w:rPr>
        <w:t xml:space="preserve">once again </w:t>
      </w:r>
      <w:r w:rsidRPr="009A1394">
        <w:rPr>
          <w:color w:val="000000" w:themeColor="text1"/>
          <w:szCs w:val="24"/>
          <w:lang w:val="en-CA"/>
        </w:rPr>
        <w:t>fail</w:t>
      </w:r>
      <w:r w:rsidR="00581E15" w:rsidRPr="009A1394">
        <w:rPr>
          <w:color w:val="000000" w:themeColor="text1"/>
          <w:szCs w:val="24"/>
          <w:lang w:val="en-CA"/>
        </w:rPr>
        <w:t>ed</w:t>
      </w:r>
      <w:r w:rsidRPr="009A1394">
        <w:rPr>
          <w:color w:val="000000" w:themeColor="text1"/>
          <w:szCs w:val="24"/>
          <w:lang w:val="en-CA"/>
        </w:rPr>
        <w:t xml:space="preserve"> to show that the judge’s analysis was </w:t>
      </w:r>
      <w:r w:rsidR="00360417" w:rsidRPr="009A1394">
        <w:rPr>
          <w:color w:val="000000" w:themeColor="text1"/>
          <w:szCs w:val="24"/>
          <w:lang w:val="en-CA"/>
        </w:rPr>
        <w:t>tainted</w:t>
      </w:r>
      <w:r w:rsidR="008E6490" w:rsidRPr="009A1394">
        <w:rPr>
          <w:color w:val="000000" w:themeColor="text1"/>
          <w:szCs w:val="24"/>
          <w:lang w:val="en-CA"/>
        </w:rPr>
        <w:t xml:space="preserve"> </w:t>
      </w:r>
      <w:r w:rsidRPr="009A1394">
        <w:rPr>
          <w:color w:val="000000" w:themeColor="text1"/>
          <w:szCs w:val="24"/>
          <w:lang w:val="en-CA"/>
        </w:rPr>
        <w:t>by an</w:t>
      </w:r>
      <w:r w:rsidR="00311923" w:rsidRPr="009A1394">
        <w:rPr>
          <w:color w:val="000000" w:themeColor="text1"/>
          <w:szCs w:val="24"/>
          <w:lang w:val="en-CA"/>
        </w:rPr>
        <w:t>y</w:t>
      </w:r>
      <w:r w:rsidRPr="009A1394">
        <w:rPr>
          <w:color w:val="000000" w:themeColor="text1"/>
          <w:szCs w:val="24"/>
          <w:lang w:val="en-CA"/>
        </w:rPr>
        <w:t xml:space="preserve"> error, </w:t>
      </w:r>
      <w:r w:rsidR="00360417" w:rsidRPr="009A1394">
        <w:rPr>
          <w:color w:val="000000" w:themeColor="text1"/>
          <w:szCs w:val="24"/>
          <w:lang w:val="en-CA"/>
        </w:rPr>
        <w:t xml:space="preserve">be it </w:t>
      </w:r>
      <w:r w:rsidR="00311923" w:rsidRPr="009A1394">
        <w:rPr>
          <w:color w:val="000000" w:themeColor="text1"/>
          <w:szCs w:val="24"/>
          <w:lang w:val="en-CA"/>
        </w:rPr>
        <w:t>overriding</w:t>
      </w:r>
      <w:r w:rsidRPr="009A1394">
        <w:rPr>
          <w:color w:val="000000" w:themeColor="text1"/>
          <w:szCs w:val="24"/>
          <w:lang w:val="en-CA"/>
        </w:rPr>
        <w:t xml:space="preserve"> or not.</w:t>
      </w:r>
    </w:p>
    <w:p w14:paraId="64270590" w14:textId="7D6F5FAA" w:rsidR="00702A59" w:rsidRPr="009A1394" w:rsidRDefault="00D83310" w:rsidP="00720E8B">
      <w:pPr>
        <w:pStyle w:val="Paragraphe"/>
        <w:numPr>
          <w:ilvl w:val="0"/>
          <w:numId w:val="1"/>
        </w:numPr>
        <w:rPr>
          <w:color w:val="000000" w:themeColor="text1"/>
          <w:szCs w:val="24"/>
          <w:lang w:val="en-CA"/>
        </w:rPr>
      </w:pPr>
      <w:r w:rsidRPr="009A1394">
        <w:rPr>
          <w:color w:val="000000" w:themeColor="text1"/>
          <w:szCs w:val="24"/>
          <w:lang w:val="en-CA"/>
        </w:rPr>
        <w:t xml:space="preserve">To assess whether CP had the obligation to intervene, the </w:t>
      </w:r>
      <w:r w:rsidR="00311923" w:rsidRPr="009A1394">
        <w:rPr>
          <w:color w:val="000000" w:themeColor="text1"/>
          <w:szCs w:val="24"/>
          <w:lang w:val="en-CA"/>
        </w:rPr>
        <w:t>judge</w:t>
      </w:r>
      <w:r w:rsidRPr="009A1394">
        <w:rPr>
          <w:color w:val="000000" w:themeColor="text1"/>
          <w:szCs w:val="24"/>
          <w:lang w:val="en-CA"/>
        </w:rPr>
        <w:t xml:space="preserve"> first sought to establish </w:t>
      </w:r>
      <w:r w:rsidR="004514BF" w:rsidRPr="009A1394">
        <w:rPr>
          <w:color w:val="000000" w:themeColor="text1"/>
          <w:szCs w:val="24"/>
          <w:lang w:val="en-CA"/>
        </w:rPr>
        <w:t>what</w:t>
      </w:r>
      <w:r w:rsidRPr="009A1394">
        <w:rPr>
          <w:color w:val="000000" w:themeColor="text1"/>
          <w:szCs w:val="24"/>
          <w:lang w:val="en-CA"/>
        </w:rPr>
        <w:t xml:space="preserve"> CP </w:t>
      </w:r>
      <w:r w:rsidR="00311923" w:rsidRPr="009A1394">
        <w:rPr>
          <w:color w:val="000000" w:themeColor="text1"/>
          <w:szCs w:val="24"/>
          <w:lang w:val="en-CA"/>
        </w:rPr>
        <w:t>was aware of</w:t>
      </w:r>
      <w:r w:rsidR="004514BF" w:rsidRPr="009A1394">
        <w:rPr>
          <w:color w:val="000000" w:themeColor="text1"/>
          <w:szCs w:val="24"/>
          <w:lang w:val="en-CA"/>
        </w:rPr>
        <w:t>,</w:t>
      </w:r>
      <w:r w:rsidR="00311923" w:rsidRPr="009A1394">
        <w:rPr>
          <w:color w:val="000000" w:themeColor="text1"/>
          <w:szCs w:val="24"/>
          <w:lang w:val="en-CA"/>
        </w:rPr>
        <w:t xml:space="preserve"> </w:t>
      </w:r>
      <w:r w:rsidR="004514BF" w:rsidRPr="009A1394">
        <w:rPr>
          <w:color w:val="000000" w:themeColor="text1"/>
          <w:szCs w:val="24"/>
          <w:lang w:val="en-CA"/>
        </w:rPr>
        <w:t xml:space="preserve">prior to the derailment, regarding </w:t>
      </w:r>
      <w:r w:rsidRPr="009A1394">
        <w:rPr>
          <w:color w:val="000000" w:themeColor="text1"/>
          <w:szCs w:val="24"/>
          <w:lang w:val="en-CA"/>
        </w:rPr>
        <w:t xml:space="preserve">the way MMA </w:t>
      </w:r>
      <w:r w:rsidR="004514BF" w:rsidRPr="009A1394">
        <w:rPr>
          <w:color w:val="000000" w:themeColor="text1"/>
          <w:szCs w:val="24"/>
          <w:lang w:val="en-CA"/>
        </w:rPr>
        <w:t>carried out</w:t>
      </w:r>
      <w:r w:rsidRPr="009A1394">
        <w:rPr>
          <w:color w:val="000000" w:themeColor="text1"/>
          <w:szCs w:val="24"/>
          <w:lang w:val="en-CA"/>
        </w:rPr>
        <w:t xml:space="preserve"> its rail</w:t>
      </w:r>
      <w:r w:rsidR="00EE0ED2" w:rsidRPr="009A1394">
        <w:rPr>
          <w:color w:val="000000" w:themeColor="text1"/>
          <w:szCs w:val="24"/>
          <w:lang w:val="en-CA"/>
        </w:rPr>
        <w:t>way</w:t>
      </w:r>
      <w:r w:rsidRPr="009A1394">
        <w:rPr>
          <w:color w:val="000000" w:themeColor="text1"/>
          <w:szCs w:val="24"/>
          <w:lang w:val="en-CA"/>
        </w:rPr>
        <w:t xml:space="preserve"> operations </w:t>
      </w:r>
      <w:r w:rsidR="004514BF" w:rsidRPr="009A1394">
        <w:rPr>
          <w:color w:val="000000" w:themeColor="text1"/>
          <w:szCs w:val="24"/>
          <w:lang w:val="en-CA"/>
        </w:rPr>
        <w:t xml:space="preserve">and </w:t>
      </w:r>
      <w:r w:rsidR="00514575" w:rsidRPr="009A1394">
        <w:rPr>
          <w:color w:val="000000" w:themeColor="text1"/>
          <w:szCs w:val="24"/>
          <w:lang w:val="en-CA"/>
        </w:rPr>
        <w:t xml:space="preserve">regarding </w:t>
      </w:r>
      <w:r w:rsidR="004514BF" w:rsidRPr="009A1394">
        <w:rPr>
          <w:color w:val="000000" w:themeColor="text1"/>
          <w:szCs w:val="24"/>
          <w:lang w:val="en-CA"/>
        </w:rPr>
        <w:t xml:space="preserve">its adherence </w:t>
      </w:r>
      <w:r w:rsidRPr="009A1394">
        <w:rPr>
          <w:color w:val="000000" w:themeColor="text1"/>
          <w:szCs w:val="24"/>
          <w:lang w:val="en-CA"/>
        </w:rPr>
        <w:t>to safety and security rules.</w:t>
      </w:r>
    </w:p>
    <w:p w14:paraId="480D48BE" w14:textId="22B9E6AF" w:rsidR="00702A59" w:rsidRPr="009A1394" w:rsidRDefault="00D83310" w:rsidP="00720E8B">
      <w:pPr>
        <w:pStyle w:val="Paragraphe"/>
        <w:numPr>
          <w:ilvl w:val="0"/>
          <w:numId w:val="1"/>
        </w:numPr>
        <w:rPr>
          <w:color w:val="000000" w:themeColor="text1"/>
          <w:szCs w:val="24"/>
          <w:lang w:val="en-CA"/>
        </w:rPr>
      </w:pPr>
      <w:r w:rsidRPr="009A1394">
        <w:rPr>
          <w:color w:val="000000" w:themeColor="text1"/>
          <w:szCs w:val="24"/>
          <w:lang w:val="en-CA"/>
        </w:rPr>
        <w:t>The judge noted that at the</w:t>
      </w:r>
      <w:r w:rsidR="004514BF" w:rsidRPr="009A1394">
        <w:rPr>
          <w:color w:val="000000" w:themeColor="text1"/>
          <w:szCs w:val="24"/>
          <w:lang w:val="en-CA"/>
        </w:rPr>
        <w:t xml:space="preserve"> relevant</w:t>
      </w:r>
      <w:r w:rsidRPr="009A1394">
        <w:rPr>
          <w:color w:val="000000" w:themeColor="text1"/>
          <w:szCs w:val="24"/>
          <w:lang w:val="en-CA"/>
        </w:rPr>
        <w:t xml:space="preserve"> time, MMA appeared to be a credible and reliable company led by competent managers and backed by serious investors, including the Caisse de dépôt et placement du Québec.</w:t>
      </w:r>
      <w:r w:rsidRPr="009A1394">
        <w:rPr>
          <w:rStyle w:val="Appelnotedebasdep"/>
          <w:color w:val="000000" w:themeColor="text1"/>
          <w:szCs w:val="24"/>
          <w:lang w:val="en-CA"/>
        </w:rPr>
        <w:footnoteReference w:id="218"/>
      </w:r>
      <w:r w:rsidR="008161A3" w:rsidRPr="009A1394">
        <w:rPr>
          <w:color w:val="000000" w:themeColor="text1"/>
          <w:szCs w:val="24"/>
          <w:lang w:val="en-CA"/>
        </w:rPr>
        <w:t xml:space="preserve"> </w:t>
      </w:r>
      <w:r w:rsidRPr="009A1394">
        <w:rPr>
          <w:color w:val="000000" w:themeColor="text1"/>
          <w:szCs w:val="24"/>
          <w:lang w:val="en-CA"/>
        </w:rPr>
        <w:t xml:space="preserve">He also </w:t>
      </w:r>
      <w:r w:rsidR="004514BF" w:rsidRPr="009A1394">
        <w:rPr>
          <w:color w:val="000000" w:themeColor="text1"/>
          <w:szCs w:val="24"/>
          <w:lang w:val="en-CA"/>
        </w:rPr>
        <w:t>found</w:t>
      </w:r>
      <w:r w:rsidRPr="009A1394">
        <w:rPr>
          <w:color w:val="000000" w:themeColor="text1"/>
          <w:szCs w:val="24"/>
          <w:lang w:val="en-CA"/>
        </w:rPr>
        <w:t xml:space="preserve"> that MMA had the certificates authorizing it to </w:t>
      </w:r>
      <w:r w:rsidR="004514BF" w:rsidRPr="009A1394">
        <w:rPr>
          <w:color w:val="000000" w:themeColor="text1"/>
          <w:szCs w:val="24"/>
          <w:lang w:val="en-CA"/>
        </w:rPr>
        <w:t>carry out</w:t>
      </w:r>
      <w:r w:rsidRPr="009A1394">
        <w:rPr>
          <w:color w:val="000000" w:themeColor="text1"/>
          <w:szCs w:val="24"/>
          <w:lang w:val="en-CA"/>
        </w:rPr>
        <w:t xml:space="preserve"> its activities in the United States and Canada, its Canadian activities being under the supervision and authority of TC and the CTA.</w:t>
      </w:r>
      <w:r w:rsidRPr="009A1394">
        <w:rPr>
          <w:rStyle w:val="Appelnotedebasdep"/>
          <w:color w:val="000000" w:themeColor="text1"/>
          <w:szCs w:val="24"/>
          <w:lang w:val="en-CA"/>
        </w:rPr>
        <w:footnoteReference w:id="219"/>
      </w:r>
      <w:r w:rsidR="008161A3" w:rsidRPr="009A1394">
        <w:rPr>
          <w:color w:val="000000" w:themeColor="text1"/>
          <w:szCs w:val="24"/>
          <w:lang w:val="en-CA"/>
        </w:rPr>
        <w:t xml:space="preserve"> </w:t>
      </w:r>
      <w:r w:rsidRPr="009A1394">
        <w:rPr>
          <w:color w:val="000000" w:themeColor="text1"/>
          <w:szCs w:val="24"/>
          <w:lang w:val="en-CA"/>
        </w:rPr>
        <w:t xml:space="preserve">Finally, the judge noted that MMA had been conducting its activities for about ten years </w:t>
      </w:r>
      <w:r w:rsidR="00311923" w:rsidRPr="009A1394">
        <w:rPr>
          <w:color w:val="000000" w:themeColor="text1"/>
          <w:szCs w:val="24"/>
          <w:lang w:val="en-CA"/>
        </w:rPr>
        <w:t>and</w:t>
      </w:r>
      <w:r w:rsidRPr="009A1394">
        <w:rPr>
          <w:color w:val="000000" w:themeColor="text1"/>
          <w:szCs w:val="24"/>
          <w:lang w:val="en-CA"/>
        </w:rPr>
        <w:t xml:space="preserve"> had, over this period of time, regularly transported all types of goods, </w:t>
      </w:r>
      <w:r w:rsidR="00311923" w:rsidRPr="009A1394">
        <w:rPr>
          <w:color w:val="000000" w:themeColor="text1"/>
          <w:szCs w:val="24"/>
          <w:lang w:val="en-CA"/>
        </w:rPr>
        <w:t>including</w:t>
      </w:r>
      <w:r w:rsidRPr="009A1394">
        <w:rPr>
          <w:color w:val="000000" w:themeColor="text1"/>
          <w:szCs w:val="24"/>
          <w:lang w:val="en-CA"/>
        </w:rPr>
        <w:t xml:space="preserve"> dangerous goods, for CP, CN, and other </w:t>
      </w:r>
      <w:r w:rsidR="004514BF" w:rsidRPr="009A1394">
        <w:rPr>
          <w:color w:val="000000" w:themeColor="text1"/>
          <w:szCs w:val="24"/>
          <w:lang w:val="en-CA"/>
        </w:rPr>
        <w:t>C</w:t>
      </w:r>
      <w:r w:rsidRPr="009A1394">
        <w:rPr>
          <w:color w:val="000000" w:themeColor="text1"/>
          <w:szCs w:val="24"/>
          <w:lang w:val="en-CA"/>
        </w:rPr>
        <w:t>lass 1 railway companies.</w:t>
      </w:r>
      <w:r w:rsidRPr="009A1394">
        <w:rPr>
          <w:rStyle w:val="Appelnotedebasdep"/>
          <w:color w:val="000000" w:themeColor="text1"/>
          <w:szCs w:val="24"/>
          <w:lang w:val="en-CA"/>
        </w:rPr>
        <w:footnoteReference w:id="220"/>
      </w:r>
      <w:r w:rsidR="008161A3" w:rsidRPr="009A1394">
        <w:rPr>
          <w:color w:val="000000" w:themeColor="text1"/>
          <w:szCs w:val="24"/>
          <w:lang w:val="en-CA"/>
        </w:rPr>
        <w:t xml:space="preserve"> </w:t>
      </w:r>
      <w:r w:rsidRPr="009A1394">
        <w:rPr>
          <w:color w:val="000000" w:themeColor="text1"/>
          <w:szCs w:val="24"/>
          <w:lang w:val="en-CA"/>
        </w:rPr>
        <w:t>He wrote:</w:t>
      </w:r>
    </w:p>
    <w:p w14:paraId="75F9B03B" w14:textId="2EF6D7B9" w:rsidR="00311923" w:rsidRPr="009A1394" w:rsidRDefault="00311923" w:rsidP="00720E8B">
      <w:pPr>
        <w:pStyle w:val="Citationenretrai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40AC7C49" w14:textId="49D2B92C" w:rsidR="00702A59" w:rsidRPr="009A1394" w:rsidRDefault="00D83310" w:rsidP="00720E8B">
      <w:pPr>
        <w:pStyle w:val="Citationenretrait"/>
        <w:rPr>
          <w:color w:val="000000" w:themeColor="text1"/>
          <w:lang w:val="en-CA"/>
        </w:rPr>
      </w:pPr>
      <w:r w:rsidRPr="009A1394">
        <w:rPr>
          <w:color w:val="000000" w:themeColor="text1"/>
          <w:lang w:val="en-CA"/>
        </w:rPr>
        <w:t>[681]</w:t>
      </w:r>
      <w:r w:rsidR="008161A3" w:rsidRPr="009A1394">
        <w:rPr>
          <w:color w:val="000000" w:themeColor="text1"/>
          <w:lang w:val="en-CA"/>
        </w:rPr>
        <w:tab/>
      </w:r>
      <w:r w:rsidRPr="009A1394">
        <w:rPr>
          <w:lang w:val="en-CA"/>
        </w:rPr>
        <w:t xml:space="preserve">Furthermore, </w:t>
      </w:r>
      <w:r w:rsidR="002D38BF" w:rsidRPr="009A1394">
        <w:rPr>
          <w:lang w:val="en-CA"/>
        </w:rPr>
        <w:t>absent</w:t>
      </w:r>
      <w:r w:rsidRPr="009A1394">
        <w:rPr>
          <w:lang w:val="en-CA"/>
        </w:rPr>
        <w:t xml:space="preserve"> any clear indications, obvious </w:t>
      </w:r>
      <w:r w:rsidR="00311923" w:rsidRPr="009A1394">
        <w:rPr>
          <w:lang w:val="en-CA"/>
        </w:rPr>
        <w:t>signs</w:t>
      </w:r>
      <w:r w:rsidRPr="009A1394">
        <w:rPr>
          <w:lang w:val="en-CA"/>
        </w:rPr>
        <w:t xml:space="preserve">, or specific observations, </w:t>
      </w:r>
      <w:r w:rsidR="00311923" w:rsidRPr="009A1394">
        <w:rPr>
          <w:lang w:val="en-CA"/>
        </w:rPr>
        <w:t xml:space="preserve">CP </w:t>
      </w:r>
      <w:r w:rsidR="002D38BF" w:rsidRPr="009A1394">
        <w:rPr>
          <w:lang w:val="en-CA"/>
        </w:rPr>
        <w:t>was</w:t>
      </w:r>
      <w:r w:rsidRPr="009A1394">
        <w:rPr>
          <w:lang w:val="en-CA"/>
        </w:rPr>
        <w:t xml:space="preserve"> entitled to consider and expect that MMA’s managers and its railway employees ha</w:t>
      </w:r>
      <w:r w:rsidR="002D38BF" w:rsidRPr="009A1394">
        <w:rPr>
          <w:lang w:val="en-CA"/>
        </w:rPr>
        <w:t>d</w:t>
      </w:r>
      <w:r w:rsidRPr="009A1394">
        <w:rPr>
          <w:lang w:val="en-CA"/>
        </w:rPr>
        <w:t xml:space="preserve"> the appropriate knowledge to carry out their duties, that they </w:t>
      </w:r>
      <w:r w:rsidR="002D38BF" w:rsidRPr="009A1394">
        <w:rPr>
          <w:lang w:val="en-CA"/>
        </w:rPr>
        <w:t>we</w:t>
      </w:r>
      <w:r w:rsidRPr="009A1394">
        <w:rPr>
          <w:lang w:val="en-CA"/>
        </w:rPr>
        <w:t xml:space="preserve">re sufficiently trained, that they </w:t>
      </w:r>
      <w:r w:rsidR="002D38BF" w:rsidRPr="009A1394">
        <w:rPr>
          <w:lang w:val="en-CA"/>
        </w:rPr>
        <w:t>we</w:t>
      </w:r>
      <w:r w:rsidRPr="009A1394">
        <w:rPr>
          <w:lang w:val="en-CA"/>
        </w:rPr>
        <w:t xml:space="preserve">re properly supervised and that, on the whole, they </w:t>
      </w:r>
      <w:r w:rsidR="006C3ADE" w:rsidRPr="009A1394">
        <w:rPr>
          <w:lang w:val="en-CA"/>
        </w:rPr>
        <w:t>met</w:t>
      </w:r>
      <w:r w:rsidRPr="009A1394">
        <w:rPr>
          <w:lang w:val="en-CA"/>
        </w:rPr>
        <w:t xml:space="preserve"> safety standards, in particular those that </w:t>
      </w:r>
      <w:r w:rsidR="006C3ADE" w:rsidRPr="009A1394">
        <w:rPr>
          <w:lang w:val="en-CA"/>
        </w:rPr>
        <w:t>we</w:t>
      </w:r>
      <w:r w:rsidRPr="009A1394">
        <w:rPr>
          <w:lang w:val="en-CA"/>
        </w:rPr>
        <w:t xml:space="preserve">re </w:t>
      </w:r>
      <w:r w:rsidR="009671C2" w:rsidRPr="009A1394">
        <w:rPr>
          <w:lang w:val="en-CA"/>
        </w:rPr>
        <w:t xml:space="preserve">crucial </w:t>
      </w:r>
      <w:r w:rsidRPr="009A1394">
        <w:rPr>
          <w:lang w:val="en-CA"/>
        </w:rPr>
        <w:t xml:space="preserve">to daily operations, </w:t>
      </w:r>
      <w:r w:rsidR="006C3ADE" w:rsidRPr="009A1394">
        <w:rPr>
          <w:lang w:val="en-CA"/>
        </w:rPr>
        <w:t>such as</w:t>
      </w:r>
      <w:r w:rsidRPr="009A1394">
        <w:rPr>
          <w:lang w:val="en-CA"/>
        </w:rPr>
        <w:t xml:space="preserve"> properly parking and securing any train whatsoever</w:t>
      </w:r>
      <w:r w:rsidR="006C3ADE" w:rsidRPr="009A1394">
        <w:rPr>
          <w:lang w:val="en-CA"/>
        </w:rPr>
        <w:t>,</w:t>
      </w:r>
      <w:r w:rsidRPr="009A1394">
        <w:rPr>
          <w:lang w:val="en-CA"/>
        </w:rPr>
        <w:t xml:space="preserve"> and </w:t>
      </w:r>
      <w:r w:rsidR="006C3ADE" w:rsidRPr="009A1394">
        <w:rPr>
          <w:lang w:val="en-CA"/>
        </w:rPr>
        <w:t>especially</w:t>
      </w:r>
      <w:r w:rsidRPr="009A1394">
        <w:rPr>
          <w:lang w:val="en-CA"/>
        </w:rPr>
        <w:t xml:space="preserve"> where goods </w:t>
      </w:r>
      <w:r w:rsidR="002D38BF" w:rsidRPr="009A1394">
        <w:rPr>
          <w:lang w:val="en-CA"/>
        </w:rPr>
        <w:t>considered dangerous under</w:t>
      </w:r>
      <w:r w:rsidRPr="009A1394">
        <w:rPr>
          <w:lang w:val="en-CA"/>
        </w:rPr>
        <w:t xml:space="preserve"> </w:t>
      </w:r>
      <w:r w:rsidR="002D38BF" w:rsidRPr="009A1394">
        <w:rPr>
          <w:lang w:val="en-CA"/>
        </w:rPr>
        <w:t>relevant</w:t>
      </w:r>
      <w:r w:rsidRPr="009A1394">
        <w:rPr>
          <w:lang w:val="en-CA"/>
        </w:rPr>
        <w:t xml:space="preserve"> </w:t>
      </w:r>
      <w:r w:rsidR="006C3ADE" w:rsidRPr="009A1394">
        <w:rPr>
          <w:lang w:val="en-CA"/>
        </w:rPr>
        <w:t>statute</w:t>
      </w:r>
      <w:r w:rsidRPr="009A1394">
        <w:rPr>
          <w:lang w:val="en-CA"/>
        </w:rPr>
        <w:t>s and regulations</w:t>
      </w:r>
      <w:r w:rsidR="006C3ADE" w:rsidRPr="009A1394">
        <w:rPr>
          <w:lang w:val="en-CA"/>
        </w:rPr>
        <w:t xml:space="preserve"> were involved</w:t>
      </w:r>
      <w:r w:rsidRPr="009A1394">
        <w:rPr>
          <w:lang w:val="en-CA"/>
        </w:rPr>
        <w:t>.</w:t>
      </w:r>
    </w:p>
    <w:p w14:paraId="3428DF80" w14:textId="14F88F4B" w:rsidR="00702A59" w:rsidRPr="009A1394" w:rsidRDefault="00D83310" w:rsidP="00720E8B">
      <w:pPr>
        <w:pStyle w:val="Paragraphe"/>
        <w:numPr>
          <w:ilvl w:val="0"/>
          <w:numId w:val="1"/>
        </w:numPr>
        <w:rPr>
          <w:color w:val="000000" w:themeColor="text1"/>
          <w:szCs w:val="24"/>
          <w:lang w:val="en-CA"/>
        </w:rPr>
      </w:pPr>
      <w:r w:rsidRPr="009A1394">
        <w:rPr>
          <w:color w:val="000000" w:themeColor="text1"/>
          <w:szCs w:val="24"/>
          <w:lang w:val="en-CA"/>
        </w:rPr>
        <w:t>Thus, the judge concluded that, absen</w:t>
      </w:r>
      <w:r w:rsidR="009671C2" w:rsidRPr="009A1394">
        <w:rPr>
          <w:color w:val="000000" w:themeColor="text1"/>
          <w:szCs w:val="24"/>
          <w:lang w:val="en-CA"/>
        </w:rPr>
        <w:t>t</w:t>
      </w:r>
      <w:r w:rsidRPr="009A1394">
        <w:rPr>
          <w:color w:val="000000" w:themeColor="text1"/>
          <w:szCs w:val="24"/>
          <w:lang w:val="en-CA"/>
        </w:rPr>
        <w:t xml:space="preserve"> a</w:t>
      </w:r>
      <w:r w:rsidR="006C3ADE" w:rsidRPr="009A1394">
        <w:rPr>
          <w:color w:val="000000" w:themeColor="text1"/>
          <w:szCs w:val="24"/>
          <w:lang w:val="en-CA"/>
        </w:rPr>
        <w:t>ny</w:t>
      </w:r>
      <w:r w:rsidRPr="009A1394">
        <w:rPr>
          <w:color w:val="000000" w:themeColor="text1"/>
          <w:szCs w:val="24"/>
          <w:lang w:val="en-CA"/>
        </w:rPr>
        <w:t xml:space="preserve"> clear indication to the contrary, CP was entitled to consider MMA to be a competent company that knew </w:t>
      </w:r>
      <w:r w:rsidR="004F2725" w:rsidRPr="009A1394">
        <w:rPr>
          <w:color w:val="000000" w:themeColor="text1"/>
          <w:szCs w:val="24"/>
          <w:lang w:val="en-CA"/>
        </w:rPr>
        <w:t>and complied with</w:t>
      </w:r>
      <w:r w:rsidRPr="009A1394">
        <w:rPr>
          <w:color w:val="000000" w:themeColor="text1"/>
          <w:szCs w:val="24"/>
          <w:lang w:val="en-CA"/>
        </w:rPr>
        <w:t xml:space="preserve"> rail industry standards.</w:t>
      </w:r>
      <w:r w:rsidR="008161A3" w:rsidRPr="009A1394">
        <w:rPr>
          <w:color w:val="000000" w:themeColor="text1"/>
          <w:szCs w:val="24"/>
          <w:lang w:val="en-CA"/>
        </w:rPr>
        <w:t xml:space="preserve"> </w:t>
      </w:r>
      <w:r w:rsidRPr="009A1394">
        <w:rPr>
          <w:color w:val="000000" w:themeColor="text1"/>
          <w:szCs w:val="24"/>
          <w:lang w:val="en-CA"/>
        </w:rPr>
        <w:t xml:space="preserve">The appellants have not shown that this </w:t>
      </w:r>
      <w:r w:rsidR="009671C2" w:rsidRPr="009A1394">
        <w:rPr>
          <w:color w:val="000000" w:themeColor="text1"/>
          <w:szCs w:val="24"/>
          <w:lang w:val="en-CA"/>
        </w:rPr>
        <w:t xml:space="preserve">finding </w:t>
      </w:r>
      <w:r w:rsidRPr="009A1394">
        <w:rPr>
          <w:color w:val="000000" w:themeColor="text1"/>
          <w:szCs w:val="24"/>
          <w:lang w:val="en-CA"/>
        </w:rPr>
        <w:t xml:space="preserve">is </w:t>
      </w:r>
      <w:r w:rsidR="006C3ADE" w:rsidRPr="009A1394">
        <w:rPr>
          <w:color w:val="000000" w:themeColor="text1"/>
          <w:szCs w:val="24"/>
          <w:lang w:val="en-CA"/>
        </w:rPr>
        <w:t xml:space="preserve">tainted </w:t>
      </w:r>
      <w:r w:rsidRPr="009A1394">
        <w:rPr>
          <w:color w:val="000000" w:themeColor="text1"/>
          <w:szCs w:val="24"/>
          <w:lang w:val="en-CA"/>
        </w:rPr>
        <w:t>by a</w:t>
      </w:r>
      <w:r w:rsidR="006C3ADE" w:rsidRPr="009A1394">
        <w:rPr>
          <w:color w:val="000000" w:themeColor="text1"/>
          <w:szCs w:val="24"/>
          <w:lang w:val="en-CA"/>
        </w:rPr>
        <w:t>ny</w:t>
      </w:r>
      <w:r w:rsidRPr="009A1394">
        <w:rPr>
          <w:color w:val="000000" w:themeColor="text1"/>
          <w:szCs w:val="24"/>
          <w:lang w:val="en-CA"/>
        </w:rPr>
        <w:t xml:space="preserve"> palpable and overriding error.</w:t>
      </w:r>
      <w:r w:rsidR="008161A3" w:rsidRPr="009A1394">
        <w:rPr>
          <w:color w:val="000000" w:themeColor="text1"/>
          <w:szCs w:val="24"/>
          <w:lang w:val="en-CA"/>
        </w:rPr>
        <w:t xml:space="preserve"> </w:t>
      </w:r>
      <w:r w:rsidRPr="009A1394">
        <w:rPr>
          <w:color w:val="000000" w:themeColor="text1"/>
          <w:szCs w:val="24"/>
          <w:lang w:val="en-CA"/>
        </w:rPr>
        <w:t>On the contrary, it is supported by the evidence.</w:t>
      </w:r>
    </w:p>
    <w:p w14:paraId="1F130951" w14:textId="6F52CCFA" w:rsidR="00702A59" w:rsidRPr="009A1394" w:rsidRDefault="00B41425" w:rsidP="00720E8B">
      <w:pPr>
        <w:pStyle w:val="Paragraphe"/>
        <w:numPr>
          <w:ilvl w:val="0"/>
          <w:numId w:val="1"/>
        </w:numPr>
        <w:tabs>
          <w:tab w:val="num" w:pos="990"/>
        </w:tabs>
        <w:rPr>
          <w:color w:val="000000" w:themeColor="text1"/>
          <w:szCs w:val="24"/>
          <w:lang w:val="en-CA"/>
        </w:rPr>
      </w:pPr>
      <w:r w:rsidRPr="009A1394">
        <w:rPr>
          <w:color w:val="000000" w:themeColor="text1"/>
          <w:szCs w:val="24"/>
          <w:lang w:val="en-CA"/>
        </w:rPr>
        <w:lastRenderedPageBreak/>
        <w:t xml:space="preserve">The judge </w:t>
      </w:r>
      <w:r w:rsidR="0050483C" w:rsidRPr="009A1394">
        <w:rPr>
          <w:color w:val="000000" w:themeColor="text1"/>
          <w:szCs w:val="24"/>
          <w:lang w:val="en-CA"/>
        </w:rPr>
        <w:t>then turned to</w:t>
      </w:r>
      <w:r w:rsidRPr="009A1394">
        <w:rPr>
          <w:color w:val="000000" w:themeColor="text1"/>
          <w:szCs w:val="24"/>
          <w:lang w:val="en-CA"/>
        </w:rPr>
        <w:t xml:space="preserve"> the appellants’ </w:t>
      </w:r>
      <w:r w:rsidR="006C3ADE" w:rsidRPr="009A1394">
        <w:rPr>
          <w:color w:val="000000" w:themeColor="text1"/>
          <w:szCs w:val="24"/>
          <w:lang w:val="en-CA"/>
        </w:rPr>
        <w:t>submission</w:t>
      </w:r>
      <w:r w:rsidRPr="009A1394">
        <w:rPr>
          <w:color w:val="000000" w:themeColor="text1"/>
          <w:szCs w:val="24"/>
          <w:lang w:val="en-CA"/>
        </w:rPr>
        <w:t xml:space="preserve"> that CP</w:t>
      </w:r>
      <w:r w:rsidR="006C3ADE" w:rsidRPr="009A1394">
        <w:rPr>
          <w:color w:val="000000" w:themeColor="text1"/>
          <w:szCs w:val="24"/>
          <w:lang w:val="en-CA"/>
        </w:rPr>
        <w:t xml:space="preserve"> had</w:t>
      </w:r>
      <w:r w:rsidRPr="009A1394">
        <w:rPr>
          <w:color w:val="000000" w:themeColor="text1"/>
          <w:szCs w:val="24"/>
          <w:lang w:val="en-CA"/>
        </w:rPr>
        <w:t xml:space="preserve"> </w:t>
      </w:r>
      <w:r w:rsidR="0050483C" w:rsidRPr="009A1394">
        <w:rPr>
          <w:color w:val="000000" w:themeColor="text1"/>
          <w:szCs w:val="24"/>
          <w:lang w:val="en-CA"/>
        </w:rPr>
        <w:t>learned</w:t>
      </w:r>
      <w:r w:rsidRPr="009A1394">
        <w:rPr>
          <w:color w:val="000000" w:themeColor="text1"/>
          <w:szCs w:val="24"/>
          <w:lang w:val="en-CA"/>
        </w:rPr>
        <w:t xml:space="preserve">, during the daily calls it had with Irving, WFS, and MMA, that MMA </w:t>
      </w:r>
      <w:r w:rsidR="0050483C" w:rsidRPr="009A1394">
        <w:rPr>
          <w:color w:val="000000" w:themeColor="text1"/>
          <w:szCs w:val="24"/>
          <w:lang w:val="en-CA"/>
        </w:rPr>
        <w:t>parked</w:t>
      </w:r>
      <w:r w:rsidRPr="009A1394">
        <w:rPr>
          <w:color w:val="000000" w:themeColor="text1"/>
          <w:szCs w:val="24"/>
          <w:lang w:val="en-CA"/>
        </w:rPr>
        <w:t xml:space="preserve"> its trains at the</w:t>
      </w:r>
      <w:r w:rsidR="00990AF8" w:rsidRPr="009A1394">
        <w:rPr>
          <w:color w:val="000000" w:themeColor="text1"/>
          <w:szCs w:val="24"/>
          <w:lang w:val="en-CA"/>
        </w:rPr>
        <w:t xml:space="preserve"> </w:t>
      </w:r>
      <w:r w:rsidRPr="009A1394">
        <w:rPr>
          <w:color w:val="000000" w:themeColor="text1"/>
          <w:szCs w:val="24"/>
          <w:lang w:val="en-CA"/>
        </w:rPr>
        <w:t xml:space="preserve">top of a steep </w:t>
      </w:r>
      <w:r w:rsidR="00AF4466" w:rsidRPr="009A1394">
        <w:rPr>
          <w:color w:val="000000" w:themeColor="text1"/>
          <w:szCs w:val="24"/>
          <w:lang w:val="en-CA"/>
        </w:rPr>
        <w:t>descending grade</w:t>
      </w:r>
      <w:r w:rsidRPr="009A1394">
        <w:rPr>
          <w:color w:val="000000" w:themeColor="text1"/>
          <w:szCs w:val="24"/>
          <w:lang w:val="en-CA"/>
        </w:rPr>
        <w:t xml:space="preserve"> near Lac-Mégantic</w:t>
      </w:r>
      <w:r w:rsidR="0050483C" w:rsidRPr="009A1394">
        <w:rPr>
          <w:color w:val="000000" w:themeColor="text1"/>
          <w:szCs w:val="24"/>
          <w:lang w:val="en-CA"/>
        </w:rPr>
        <w:t xml:space="preserve"> </w:t>
      </w:r>
      <w:r w:rsidRPr="009A1394">
        <w:rPr>
          <w:color w:val="000000" w:themeColor="text1"/>
          <w:szCs w:val="24"/>
          <w:lang w:val="en-CA"/>
        </w:rPr>
        <w:t xml:space="preserve">and </w:t>
      </w:r>
      <w:r w:rsidR="004F2725" w:rsidRPr="009A1394">
        <w:rPr>
          <w:color w:val="000000" w:themeColor="text1"/>
          <w:szCs w:val="24"/>
          <w:lang w:val="en-CA"/>
        </w:rPr>
        <w:t>le</w:t>
      </w:r>
      <w:r w:rsidR="0050483C" w:rsidRPr="009A1394">
        <w:rPr>
          <w:color w:val="000000" w:themeColor="text1"/>
          <w:szCs w:val="24"/>
          <w:lang w:val="en-CA"/>
        </w:rPr>
        <w:t>ft</w:t>
      </w:r>
      <w:r w:rsidRPr="009A1394">
        <w:rPr>
          <w:color w:val="000000" w:themeColor="text1"/>
          <w:szCs w:val="24"/>
          <w:lang w:val="en-CA"/>
        </w:rPr>
        <w:t xml:space="preserve"> them </w:t>
      </w:r>
      <w:r w:rsidR="00990AF8" w:rsidRPr="009A1394">
        <w:rPr>
          <w:color w:val="000000" w:themeColor="text1"/>
          <w:szCs w:val="24"/>
          <w:lang w:val="en-CA"/>
        </w:rPr>
        <w:t>unattended</w:t>
      </w:r>
      <w:r w:rsidRPr="009A1394">
        <w:rPr>
          <w:color w:val="000000" w:themeColor="text1"/>
          <w:szCs w:val="24"/>
          <w:lang w:val="en-CA"/>
        </w:rPr>
        <w:t xml:space="preserve"> overnight.</w:t>
      </w:r>
      <w:r w:rsidR="0075399A" w:rsidRPr="009A1394">
        <w:rPr>
          <w:color w:val="000000" w:themeColor="text1"/>
          <w:szCs w:val="24"/>
          <w:lang w:val="en-CA"/>
        </w:rPr>
        <w:t xml:space="preserve"> </w:t>
      </w:r>
      <w:r w:rsidR="0050483C" w:rsidRPr="009A1394">
        <w:rPr>
          <w:color w:val="000000" w:themeColor="text1"/>
          <w:szCs w:val="24"/>
          <w:lang w:val="en-CA"/>
        </w:rPr>
        <w:t>However, t</w:t>
      </w:r>
      <w:r w:rsidRPr="009A1394">
        <w:rPr>
          <w:color w:val="000000" w:themeColor="text1"/>
          <w:szCs w:val="24"/>
          <w:lang w:val="en-CA"/>
        </w:rPr>
        <w:t xml:space="preserve">he judge concluded that the evidence </w:t>
      </w:r>
      <w:r w:rsidR="006C3ADE" w:rsidRPr="009A1394">
        <w:rPr>
          <w:color w:val="000000" w:themeColor="text1"/>
          <w:szCs w:val="24"/>
          <w:lang w:val="en-CA"/>
        </w:rPr>
        <w:t>did</w:t>
      </w:r>
      <w:r w:rsidRPr="009A1394">
        <w:rPr>
          <w:color w:val="000000" w:themeColor="text1"/>
          <w:szCs w:val="24"/>
          <w:lang w:val="en-CA"/>
        </w:rPr>
        <w:t xml:space="preserve"> not </w:t>
      </w:r>
      <w:r w:rsidR="006C3ADE" w:rsidRPr="009A1394">
        <w:rPr>
          <w:color w:val="000000" w:themeColor="text1"/>
          <w:szCs w:val="24"/>
          <w:lang w:val="en-CA"/>
        </w:rPr>
        <w:t>support such a</w:t>
      </w:r>
      <w:r w:rsidRPr="009A1394">
        <w:rPr>
          <w:color w:val="000000" w:themeColor="text1"/>
          <w:szCs w:val="24"/>
          <w:lang w:val="en-CA"/>
        </w:rPr>
        <w:t xml:space="preserve"> </w:t>
      </w:r>
      <w:r w:rsidR="0050483C" w:rsidRPr="009A1394">
        <w:rPr>
          <w:color w:val="000000" w:themeColor="text1"/>
          <w:szCs w:val="24"/>
          <w:lang w:val="en-CA"/>
        </w:rPr>
        <w:t>finding</w:t>
      </w:r>
      <w:r w:rsidRPr="009A1394">
        <w:rPr>
          <w:color w:val="000000" w:themeColor="text1"/>
          <w:szCs w:val="24"/>
          <w:lang w:val="en-CA"/>
        </w:rPr>
        <w:t>:</w:t>
      </w:r>
    </w:p>
    <w:p w14:paraId="686956D8" w14:textId="559C2236" w:rsidR="004F2725" w:rsidRPr="009A1394" w:rsidRDefault="004F2725" w:rsidP="00720E8B">
      <w:pPr>
        <w:pStyle w:val="Citationenretrai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38593DC5" w14:textId="44764438" w:rsidR="00702A59" w:rsidRPr="009A1394" w:rsidRDefault="00B41425" w:rsidP="00720E8B">
      <w:pPr>
        <w:pStyle w:val="Citationenretrait"/>
        <w:rPr>
          <w:color w:val="000000" w:themeColor="text1"/>
          <w:lang w:val="en-CA"/>
        </w:rPr>
      </w:pPr>
      <w:r w:rsidRPr="009A1394">
        <w:rPr>
          <w:color w:val="000000" w:themeColor="text1"/>
          <w:lang w:val="en-CA"/>
        </w:rPr>
        <w:t>[692]</w:t>
      </w:r>
      <w:r w:rsidR="008161A3" w:rsidRPr="009A1394">
        <w:rPr>
          <w:color w:val="000000" w:themeColor="text1"/>
          <w:lang w:val="en-CA"/>
        </w:rPr>
        <w:tab/>
      </w:r>
      <w:r w:rsidR="0050483C" w:rsidRPr="009A1394">
        <w:rPr>
          <w:color w:val="000000" w:themeColor="text1"/>
          <w:lang w:val="en-CA"/>
        </w:rPr>
        <w:t>However, t</w:t>
      </w:r>
      <w:r w:rsidRPr="009A1394">
        <w:rPr>
          <w:color w:val="000000" w:themeColor="text1"/>
          <w:lang w:val="en-CA"/>
        </w:rPr>
        <w:t>he</w:t>
      </w:r>
      <w:r w:rsidR="0050483C" w:rsidRPr="009A1394">
        <w:rPr>
          <w:color w:val="000000" w:themeColor="text1"/>
          <w:lang w:val="en-CA"/>
        </w:rPr>
        <w:t>re is absolutely nothing in the</w:t>
      </w:r>
      <w:r w:rsidRPr="009A1394">
        <w:rPr>
          <w:color w:val="000000" w:themeColor="text1"/>
          <w:lang w:val="en-CA"/>
        </w:rPr>
        <w:t xml:space="preserve"> evidence </w:t>
      </w:r>
      <w:r w:rsidR="0050483C" w:rsidRPr="009A1394">
        <w:rPr>
          <w:color w:val="000000" w:themeColor="text1"/>
          <w:lang w:val="en-CA"/>
        </w:rPr>
        <w:t>to suggest</w:t>
      </w:r>
      <w:r w:rsidRPr="009A1394">
        <w:rPr>
          <w:color w:val="000000" w:themeColor="text1"/>
          <w:lang w:val="en-CA"/>
        </w:rPr>
        <w:t xml:space="preserve"> that, in the context of almost daily conversations, operational processes or specific safety measures were discussed.</w:t>
      </w:r>
      <w:r w:rsidR="008161A3" w:rsidRPr="009A1394">
        <w:rPr>
          <w:color w:val="000000" w:themeColor="text1"/>
          <w:lang w:val="en-CA"/>
        </w:rPr>
        <w:t xml:space="preserve"> </w:t>
      </w:r>
      <w:r w:rsidRPr="009A1394">
        <w:rPr>
          <w:color w:val="000000" w:themeColor="text1"/>
          <w:lang w:val="en-CA"/>
        </w:rPr>
        <w:t>Instead, the</w:t>
      </w:r>
      <w:r w:rsidR="004F2725" w:rsidRPr="009A1394">
        <w:rPr>
          <w:color w:val="000000" w:themeColor="text1"/>
          <w:lang w:val="en-CA"/>
        </w:rPr>
        <w:t>se calls</w:t>
      </w:r>
      <w:r w:rsidRPr="009A1394">
        <w:rPr>
          <w:color w:val="000000" w:themeColor="text1"/>
          <w:lang w:val="en-CA"/>
        </w:rPr>
        <w:t xml:space="preserve"> </w:t>
      </w:r>
      <w:r w:rsidR="0050483C" w:rsidRPr="009A1394">
        <w:rPr>
          <w:color w:val="000000" w:themeColor="text1"/>
          <w:lang w:val="en-CA"/>
        </w:rPr>
        <w:t>essentially focussed on</w:t>
      </w:r>
      <w:r w:rsidRPr="009A1394">
        <w:rPr>
          <w:color w:val="000000" w:themeColor="text1"/>
          <w:lang w:val="en-CA"/>
        </w:rPr>
        <w:t xml:space="preserve"> the locations of the trains, schedules, adjustments for interswitching and delays.</w:t>
      </w:r>
    </w:p>
    <w:p w14:paraId="52A38422" w14:textId="67C972D4" w:rsidR="00702A59" w:rsidRPr="009A1394" w:rsidRDefault="00B41425" w:rsidP="00720E8B">
      <w:pPr>
        <w:pStyle w:val="Paragraphe"/>
        <w:numPr>
          <w:ilvl w:val="0"/>
          <w:numId w:val="1"/>
        </w:numPr>
        <w:rPr>
          <w:color w:val="000000" w:themeColor="text1"/>
          <w:szCs w:val="24"/>
          <w:lang w:val="en-CA"/>
        </w:rPr>
      </w:pPr>
      <w:r w:rsidRPr="009A1394">
        <w:rPr>
          <w:color w:val="000000" w:themeColor="text1"/>
          <w:szCs w:val="24"/>
          <w:lang w:val="en-CA"/>
        </w:rPr>
        <w:t xml:space="preserve">The appellants </w:t>
      </w:r>
      <w:r w:rsidR="0050483C" w:rsidRPr="009A1394">
        <w:rPr>
          <w:color w:val="000000" w:themeColor="text1"/>
          <w:szCs w:val="24"/>
          <w:lang w:val="en-CA"/>
        </w:rPr>
        <w:t>claim</w:t>
      </w:r>
      <w:r w:rsidRPr="009A1394">
        <w:rPr>
          <w:color w:val="000000" w:themeColor="text1"/>
          <w:szCs w:val="24"/>
          <w:lang w:val="en-CA"/>
        </w:rPr>
        <w:t xml:space="preserve"> that the judge </w:t>
      </w:r>
      <w:r w:rsidR="002242F6" w:rsidRPr="009A1394">
        <w:rPr>
          <w:color w:val="000000" w:themeColor="text1"/>
          <w:szCs w:val="24"/>
          <w:lang w:val="en-CA"/>
        </w:rPr>
        <w:t>erred in</w:t>
      </w:r>
      <w:r w:rsidRPr="009A1394">
        <w:rPr>
          <w:color w:val="000000" w:themeColor="text1"/>
          <w:szCs w:val="24"/>
          <w:lang w:val="en-CA"/>
        </w:rPr>
        <w:t xml:space="preserve"> drawing that conclusion.</w:t>
      </w:r>
      <w:r w:rsidR="008161A3" w:rsidRPr="009A1394">
        <w:rPr>
          <w:color w:val="000000" w:themeColor="text1"/>
          <w:szCs w:val="24"/>
          <w:lang w:val="en-CA"/>
        </w:rPr>
        <w:t xml:space="preserve"> </w:t>
      </w:r>
      <w:r w:rsidRPr="009A1394">
        <w:rPr>
          <w:color w:val="000000" w:themeColor="text1"/>
          <w:szCs w:val="24"/>
          <w:lang w:val="en-CA"/>
        </w:rPr>
        <w:t xml:space="preserve">In this respect, they rely on the testimony of Paul Budge, </w:t>
      </w:r>
      <w:r w:rsidR="00675507" w:rsidRPr="009A1394">
        <w:rPr>
          <w:color w:val="000000" w:themeColor="text1"/>
          <w:szCs w:val="24"/>
          <w:lang w:val="en-CA"/>
        </w:rPr>
        <w:t xml:space="preserve">from </w:t>
      </w:r>
      <w:r w:rsidRPr="009A1394">
        <w:rPr>
          <w:color w:val="000000" w:themeColor="text1"/>
          <w:szCs w:val="24"/>
          <w:lang w:val="en-CA"/>
        </w:rPr>
        <w:t>MMA, who declared that safety issues were discussed during these calls.</w:t>
      </w:r>
      <w:r w:rsidR="008161A3" w:rsidRPr="009A1394">
        <w:rPr>
          <w:color w:val="000000" w:themeColor="text1"/>
          <w:szCs w:val="24"/>
          <w:lang w:val="en-CA"/>
        </w:rPr>
        <w:t xml:space="preserve"> </w:t>
      </w:r>
      <w:r w:rsidRPr="009A1394">
        <w:rPr>
          <w:color w:val="000000" w:themeColor="text1"/>
          <w:szCs w:val="24"/>
          <w:lang w:val="en-CA"/>
        </w:rPr>
        <w:t>This argument is not persuasive</w:t>
      </w:r>
      <w:r w:rsidR="0050483C" w:rsidRPr="009A1394">
        <w:rPr>
          <w:color w:val="000000" w:themeColor="text1"/>
          <w:szCs w:val="24"/>
          <w:lang w:val="en-CA"/>
        </w:rPr>
        <w:t>.</w:t>
      </w:r>
      <w:r w:rsidR="00737FF8" w:rsidRPr="009A1394">
        <w:rPr>
          <w:color w:val="000000" w:themeColor="text1"/>
          <w:szCs w:val="24"/>
          <w:lang w:val="en-CA"/>
        </w:rPr>
        <w:t xml:space="preserve"> </w:t>
      </w:r>
      <w:r w:rsidR="0050483C" w:rsidRPr="009A1394">
        <w:rPr>
          <w:color w:val="000000" w:themeColor="text1"/>
          <w:szCs w:val="24"/>
          <w:lang w:val="en-CA"/>
        </w:rPr>
        <w:t>This is so be</w:t>
      </w:r>
      <w:r w:rsidR="00652588" w:rsidRPr="009A1394">
        <w:rPr>
          <w:color w:val="000000" w:themeColor="text1"/>
          <w:szCs w:val="24"/>
          <w:lang w:val="en-CA"/>
        </w:rPr>
        <w:t>cau</w:t>
      </w:r>
      <w:r w:rsidR="0050483C" w:rsidRPr="009A1394">
        <w:rPr>
          <w:color w:val="000000" w:themeColor="text1"/>
          <w:szCs w:val="24"/>
          <w:lang w:val="en-CA"/>
        </w:rPr>
        <w:t>se</w:t>
      </w:r>
      <w:r w:rsidR="00737FF8" w:rsidRPr="009A1394">
        <w:rPr>
          <w:color w:val="000000" w:themeColor="text1"/>
          <w:szCs w:val="24"/>
          <w:lang w:val="en-CA"/>
        </w:rPr>
        <w:t xml:space="preserve"> the judge’s conclusion is supported by the testimony of several other witnesses.</w:t>
      </w:r>
      <w:r w:rsidR="00737FF8" w:rsidRPr="009A1394">
        <w:rPr>
          <w:rStyle w:val="Appelnotedebasdep"/>
          <w:color w:val="000000" w:themeColor="text1"/>
          <w:szCs w:val="24"/>
          <w:lang w:val="en-CA"/>
        </w:rPr>
        <w:footnoteReference w:id="221"/>
      </w:r>
      <w:r w:rsidR="008161A3" w:rsidRPr="009A1394">
        <w:rPr>
          <w:color w:val="000000" w:themeColor="text1"/>
          <w:szCs w:val="24"/>
          <w:lang w:val="en-CA"/>
        </w:rPr>
        <w:t xml:space="preserve"> </w:t>
      </w:r>
      <w:r w:rsidR="00737FF8" w:rsidRPr="009A1394">
        <w:rPr>
          <w:color w:val="000000" w:themeColor="text1"/>
          <w:szCs w:val="24"/>
          <w:lang w:val="en-CA"/>
        </w:rPr>
        <w:t xml:space="preserve">At best, the appellants </w:t>
      </w:r>
      <w:r w:rsidR="0050483C" w:rsidRPr="009A1394">
        <w:rPr>
          <w:color w:val="000000" w:themeColor="text1"/>
          <w:szCs w:val="24"/>
          <w:lang w:val="en-CA"/>
        </w:rPr>
        <w:t xml:space="preserve">have </w:t>
      </w:r>
      <w:r w:rsidR="00737FF8" w:rsidRPr="009A1394">
        <w:rPr>
          <w:color w:val="000000" w:themeColor="text1"/>
          <w:szCs w:val="24"/>
          <w:lang w:val="en-CA"/>
        </w:rPr>
        <w:t xml:space="preserve">established that there </w:t>
      </w:r>
      <w:r w:rsidR="0050483C" w:rsidRPr="009A1394">
        <w:rPr>
          <w:color w:val="000000" w:themeColor="text1"/>
          <w:szCs w:val="24"/>
          <w:lang w:val="en-CA"/>
        </w:rPr>
        <w:t>wa</w:t>
      </w:r>
      <w:r w:rsidR="00737FF8" w:rsidRPr="009A1394">
        <w:rPr>
          <w:color w:val="000000" w:themeColor="text1"/>
          <w:szCs w:val="24"/>
          <w:lang w:val="en-CA"/>
        </w:rPr>
        <w:t>s contradictory evidence on the question, but that does not constitute a palpable and overriding error.</w:t>
      </w:r>
    </w:p>
    <w:p w14:paraId="6610F6D3" w14:textId="4EACBAA7" w:rsidR="00702A59" w:rsidRPr="009A1394" w:rsidRDefault="00737FF8" w:rsidP="00720E8B">
      <w:pPr>
        <w:pStyle w:val="Paragraphe"/>
        <w:numPr>
          <w:ilvl w:val="0"/>
          <w:numId w:val="1"/>
        </w:numPr>
        <w:rPr>
          <w:color w:val="000000" w:themeColor="text1"/>
          <w:szCs w:val="24"/>
          <w:lang w:val="en-CA"/>
        </w:rPr>
      </w:pPr>
      <w:r w:rsidRPr="009A1394">
        <w:rPr>
          <w:color w:val="000000" w:themeColor="text1"/>
          <w:szCs w:val="24"/>
          <w:lang w:val="en-CA"/>
        </w:rPr>
        <w:t xml:space="preserve">In </w:t>
      </w:r>
      <w:r w:rsidR="00463C9D" w:rsidRPr="009A1394">
        <w:rPr>
          <w:color w:val="000000" w:themeColor="text1"/>
          <w:szCs w:val="24"/>
          <w:lang w:val="en-CA"/>
        </w:rPr>
        <w:t>sum</w:t>
      </w:r>
      <w:r w:rsidRPr="009A1394">
        <w:rPr>
          <w:color w:val="000000" w:themeColor="text1"/>
          <w:szCs w:val="24"/>
          <w:lang w:val="en-CA"/>
        </w:rPr>
        <w:t>, the judge t</w:t>
      </w:r>
      <w:r w:rsidR="0050483C" w:rsidRPr="009A1394">
        <w:rPr>
          <w:color w:val="000000" w:themeColor="text1"/>
          <w:szCs w:val="24"/>
          <w:lang w:val="en-CA"/>
        </w:rPr>
        <w:t>hus</w:t>
      </w:r>
      <w:r w:rsidRPr="009A1394">
        <w:rPr>
          <w:color w:val="000000" w:themeColor="text1"/>
          <w:szCs w:val="24"/>
          <w:lang w:val="en-CA"/>
        </w:rPr>
        <w:t xml:space="preserve"> </w:t>
      </w:r>
      <w:r w:rsidR="00463C9D" w:rsidRPr="009A1394">
        <w:rPr>
          <w:color w:val="000000" w:themeColor="text1"/>
          <w:szCs w:val="24"/>
          <w:lang w:val="en-CA"/>
        </w:rPr>
        <w:t>characterized</w:t>
      </w:r>
      <w:r w:rsidRPr="009A1394">
        <w:rPr>
          <w:color w:val="000000" w:themeColor="text1"/>
          <w:szCs w:val="24"/>
          <w:lang w:val="en-CA"/>
        </w:rPr>
        <w:t xml:space="preserve"> CP’s conduct </w:t>
      </w:r>
      <w:r w:rsidR="00463C9D" w:rsidRPr="009A1394">
        <w:rPr>
          <w:color w:val="000000" w:themeColor="text1"/>
          <w:szCs w:val="24"/>
          <w:lang w:val="en-CA"/>
        </w:rPr>
        <w:t>as one</w:t>
      </w:r>
      <w:r w:rsidRPr="009A1394">
        <w:rPr>
          <w:color w:val="000000" w:themeColor="text1"/>
          <w:szCs w:val="24"/>
          <w:lang w:val="en-CA"/>
        </w:rPr>
        <w:t xml:space="preserve"> that</w:t>
      </w:r>
      <w:r w:rsidR="00463C9D" w:rsidRPr="009A1394">
        <w:rPr>
          <w:color w:val="000000" w:themeColor="text1"/>
          <w:szCs w:val="24"/>
          <w:lang w:val="en-CA"/>
        </w:rPr>
        <w:t xml:space="preserve"> </w:t>
      </w:r>
      <w:r w:rsidRPr="009A1394">
        <w:rPr>
          <w:color w:val="000000" w:themeColor="text1"/>
          <w:szCs w:val="24"/>
          <w:lang w:val="en-CA"/>
        </w:rPr>
        <w:t xml:space="preserve">a prudent railway company </w:t>
      </w:r>
      <w:r w:rsidR="00463C9D" w:rsidRPr="009A1394">
        <w:rPr>
          <w:color w:val="000000" w:themeColor="text1"/>
          <w:szCs w:val="24"/>
          <w:lang w:val="en-CA"/>
        </w:rPr>
        <w:t xml:space="preserve">would have had </w:t>
      </w:r>
      <w:r w:rsidRPr="009A1394">
        <w:rPr>
          <w:color w:val="000000" w:themeColor="text1"/>
          <w:szCs w:val="24"/>
          <w:lang w:val="en-CA"/>
        </w:rPr>
        <w:t xml:space="preserve">in the same circumstances because nothing </w:t>
      </w:r>
      <w:r w:rsidR="00463C9D" w:rsidRPr="009A1394">
        <w:rPr>
          <w:color w:val="000000" w:themeColor="text1"/>
          <w:szCs w:val="24"/>
          <w:lang w:val="en-CA"/>
        </w:rPr>
        <w:t xml:space="preserve">allowed </w:t>
      </w:r>
      <w:r w:rsidR="002C3BAC" w:rsidRPr="009A1394">
        <w:rPr>
          <w:color w:val="000000" w:themeColor="text1"/>
          <w:szCs w:val="24"/>
          <w:lang w:val="en-CA"/>
        </w:rPr>
        <w:t xml:space="preserve">it </w:t>
      </w:r>
      <w:r w:rsidR="00463C9D" w:rsidRPr="009A1394">
        <w:rPr>
          <w:color w:val="000000" w:themeColor="text1"/>
          <w:szCs w:val="24"/>
          <w:lang w:val="en-CA"/>
        </w:rPr>
        <w:t>to</w:t>
      </w:r>
      <w:r w:rsidR="00652588" w:rsidRPr="009A1394">
        <w:rPr>
          <w:color w:val="000000" w:themeColor="text1"/>
          <w:szCs w:val="24"/>
          <w:lang w:val="en-CA"/>
        </w:rPr>
        <w:t xml:space="preserve"> doubt</w:t>
      </w:r>
      <w:r w:rsidRPr="009A1394">
        <w:rPr>
          <w:color w:val="000000" w:themeColor="text1"/>
          <w:szCs w:val="24"/>
          <w:lang w:val="en-CA"/>
        </w:rPr>
        <w:t xml:space="preserve"> MMA’s ability to safely and securely transport crude oil.</w:t>
      </w:r>
      <w:r w:rsidR="008A17BE" w:rsidRPr="009A1394">
        <w:rPr>
          <w:color w:val="000000" w:themeColor="text1"/>
          <w:szCs w:val="24"/>
          <w:lang w:val="en-CA"/>
        </w:rPr>
        <w:t xml:space="preserve"> </w:t>
      </w:r>
      <w:r w:rsidR="00621C23" w:rsidRPr="009A1394">
        <w:rPr>
          <w:color w:val="000000" w:themeColor="text1"/>
          <w:szCs w:val="24"/>
          <w:lang w:val="en-CA"/>
        </w:rPr>
        <w:t>It is true that</w:t>
      </w:r>
      <w:r w:rsidRPr="009A1394">
        <w:rPr>
          <w:color w:val="000000" w:themeColor="text1"/>
          <w:szCs w:val="24"/>
          <w:lang w:val="en-CA"/>
        </w:rPr>
        <w:t xml:space="preserve"> the judge did not expressly rule on the issue of whether CP should have questioned MMA’s representatives on its </w:t>
      </w:r>
      <w:r w:rsidR="003867DE" w:rsidRPr="009A1394">
        <w:rPr>
          <w:color w:val="000000" w:themeColor="text1"/>
          <w:szCs w:val="24"/>
          <w:lang w:val="en-CA"/>
        </w:rPr>
        <w:t>practices</w:t>
      </w:r>
      <w:r w:rsidR="00463C9D" w:rsidRPr="009A1394">
        <w:rPr>
          <w:color w:val="000000" w:themeColor="text1"/>
          <w:szCs w:val="24"/>
          <w:lang w:val="en-CA"/>
        </w:rPr>
        <w:t xml:space="preserve"> </w:t>
      </w:r>
      <w:r w:rsidRPr="009A1394">
        <w:rPr>
          <w:color w:val="000000" w:themeColor="text1"/>
          <w:szCs w:val="24"/>
          <w:lang w:val="en-CA"/>
        </w:rPr>
        <w:t xml:space="preserve">to </w:t>
      </w:r>
      <w:r w:rsidR="007F0785" w:rsidRPr="009A1394">
        <w:rPr>
          <w:color w:val="000000" w:themeColor="text1"/>
          <w:szCs w:val="24"/>
          <w:lang w:val="en-CA"/>
        </w:rPr>
        <w:t>ascertain</w:t>
      </w:r>
      <w:r w:rsidRPr="009A1394">
        <w:rPr>
          <w:color w:val="000000" w:themeColor="text1"/>
          <w:szCs w:val="24"/>
          <w:lang w:val="en-CA"/>
        </w:rPr>
        <w:t xml:space="preserve"> its competence.</w:t>
      </w:r>
      <w:r w:rsidR="008A17BE" w:rsidRPr="009A1394">
        <w:rPr>
          <w:color w:val="000000" w:themeColor="text1"/>
          <w:szCs w:val="24"/>
          <w:lang w:val="en-CA"/>
        </w:rPr>
        <w:t xml:space="preserve"> </w:t>
      </w:r>
      <w:r w:rsidR="00463C9D" w:rsidRPr="009A1394">
        <w:rPr>
          <w:color w:val="000000" w:themeColor="text1"/>
          <w:szCs w:val="24"/>
          <w:lang w:val="en-CA"/>
        </w:rPr>
        <w:t>However</w:t>
      </w:r>
      <w:r w:rsidRPr="009A1394">
        <w:rPr>
          <w:color w:val="000000" w:themeColor="text1"/>
          <w:szCs w:val="24"/>
          <w:lang w:val="en-CA"/>
        </w:rPr>
        <w:t xml:space="preserve">, the answer to this question can be deduced from his </w:t>
      </w:r>
      <w:r w:rsidR="00652588" w:rsidRPr="009A1394">
        <w:rPr>
          <w:color w:val="000000" w:themeColor="text1"/>
          <w:szCs w:val="24"/>
          <w:lang w:val="en-CA"/>
        </w:rPr>
        <w:t xml:space="preserve">finding </w:t>
      </w:r>
      <w:r w:rsidRPr="009A1394">
        <w:rPr>
          <w:color w:val="000000" w:themeColor="text1"/>
          <w:szCs w:val="24"/>
          <w:lang w:val="en-CA"/>
        </w:rPr>
        <w:t xml:space="preserve">that CP’s conduct was that of a prudent and diligent </w:t>
      </w:r>
      <w:r w:rsidR="00804FB9" w:rsidRPr="009A1394">
        <w:rPr>
          <w:color w:val="000000" w:themeColor="text1"/>
          <w:szCs w:val="24"/>
          <w:lang w:val="en-CA"/>
        </w:rPr>
        <w:t>person</w:t>
      </w:r>
      <w:r w:rsidRPr="009A1394">
        <w:rPr>
          <w:color w:val="000000" w:themeColor="text1"/>
          <w:szCs w:val="24"/>
          <w:lang w:val="en-CA"/>
        </w:rPr>
        <w:t>.</w:t>
      </w:r>
    </w:p>
    <w:p w14:paraId="33D9DAC3" w14:textId="43D9D4B6" w:rsidR="00702A59" w:rsidRPr="009A1394" w:rsidRDefault="00737FF8" w:rsidP="00720E8B">
      <w:pPr>
        <w:pStyle w:val="Paragraphe"/>
        <w:numPr>
          <w:ilvl w:val="0"/>
          <w:numId w:val="1"/>
        </w:numPr>
        <w:rPr>
          <w:color w:val="000000" w:themeColor="text1"/>
          <w:szCs w:val="24"/>
          <w:lang w:val="en-CA"/>
        </w:rPr>
      </w:pPr>
      <w:r w:rsidRPr="009A1394">
        <w:rPr>
          <w:color w:val="000000" w:themeColor="text1"/>
          <w:szCs w:val="24"/>
          <w:lang w:val="en-CA"/>
        </w:rPr>
        <w:t xml:space="preserve">In any event, even if the judge erred in concluding that CP </w:t>
      </w:r>
      <w:r w:rsidR="00F8298C" w:rsidRPr="009A1394">
        <w:rPr>
          <w:color w:val="000000" w:themeColor="text1"/>
          <w:szCs w:val="24"/>
          <w:lang w:val="en-CA"/>
        </w:rPr>
        <w:t>was not aware of how</w:t>
      </w:r>
      <w:r w:rsidRPr="009A1394">
        <w:rPr>
          <w:color w:val="000000" w:themeColor="text1"/>
          <w:szCs w:val="24"/>
          <w:lang w:val="en-CA"/>
        </w:rPr>
        <w:t xml:space="preserve"> MMA parked its trains </w:t>
      </w:r>
      <w:r w:rsidR="007F0785" w:rsidRPr="009A1394">
        <w:rPr>
          <w:color w:val="000000" w:themeColor="text1"/>
          <w:szCs w:val="24"/>
          <w:lang w:val="en-CA"/>
        </w:rPr>
        <w:t>upon approaching</w:t>
      </w:r>
      <w:r w:rsidRPr="009A1394">
        <w:rPr>
          <w:color w:val="000000" w:themeColor="text1"/>
          <w:szCs w:val="24"/>
          <w:lang w:val="en-CA"/>
        </w:rPr>
        <w:t xml:space="preserve"> Lac-Mégantic, </w:t>
      </w:r>
      <w:r w:rsidR="007F0785" w:rsidRPr="009A1394">
        <w:rPr>
          <w:color w:val="000000" w:themeColor="text1"/>
          <w:szCs w:val="24"/>
          <w:lang w:val="en-CA"/>
        </w:rPr>
        <w:t>such an</w:t>
      </w:r>
      <w:r w:rsidRPr="009A1394">
        <w:rPr>
          <w:color w:val="000000" w:themeColor="text1"/>
          <w:szCs w:val="24"/>
          <w:lang w:val="en-CA"/>
        </w:rPr>
        <w:t xml:space="preserve"> error would not be overriding.</w:t>
      </w:r>
      <w:r w:rsidR="00270CA3" w:rsidRPr="009A1394">
        <w:rPr>
          <w:color w:val="000000" w:themeColor="text1"/>
          <w:szCs w:val="24"/>
          <w:lang w:val="en-CA"/>
        </w:rPr>
        <w:t xml:space="preserve"> </w:t>
      </w:r>
      <w:r w:rsidRPr="009A1394">
        <w:rPr>
          <w:color w:val="000000" w:themeColor="text1"/>
          <w:szCs w:val="24"/>
          <w:lang w:val="en-CA"/>
        </w:rPr>
        <w:t xml:space="preserve">From the evidence, the judge </w:t>
      </w:r>
      <w:r w:rsidR="007F0785" w:rsidRPr="009A1394">
        <w:rPr>
          <w:color w:val="000000" w:themeColor="text1"/>
          <w:szCs w:val="24"/>
          <w:lang w:val="en-CA"/>
        </w:rPr>
        <w:t>found</w:t>
      </w:r>
      <w:r w:rsidRPr="009A1394">
        <w:rPr>
          <w:color w:val="000000" w:themeColor="text1"/>
          <w:szCs w:val="24"/>
          <w:lang w:val="en-CA"/>
        </w:rPr>
        <w:t xml:space="preserve"> that this practice</w:t>
      </w:r>
      <w:r w:rsidR="007F0785" w:rsidRPr="009A1394">
        <w:rPr>
          <w:color w:val="000000" w:themeColor="text1"/>
          <w:szCs w:val="24"/>
          <w:lang w:val="en-CA"/>
        </w:rPr>
        <w:t>,</w:t>
      </w:r>
      <w:r w:rsidRPr="009A1394">
        <w:rPr>
          <w:color w:val="000000" w:themeColor="text1"/>
          <w:szCs w:val="24"/>
          <w:lang w:val="en-CA"/>
        </w:rPr>
        <w:t xml:space="preserve"> </w:t>
      </w:r>
      <w:r w:rsidR="007F0785" w:rsidRPr="009A1394">
        <w:rPr>
          <w:color w:val="000000" w:themeColor="text1"/>
          <w:szCs w:val="24"/>
          <w:lang w:val="en-CA"/>
        </w:rPr>
        <w:t>while</w:t>
      </w:r>
      <w:r w:rsidRPr="009A1394">
        <w:rPr>
          <w:color w:val="000000" w:themeColor="text1"/>
          <w:szCs w:val="24"/>
          <w:lang w:val="en-CA"/>
        </w:rPr>
        <w:t xml:space="preserve"> not ideal, especially at night </w:t>
      </w:r>
      <w:r w:rsidR="00420954" w:rsidRPr="009A1394">
        <w:rPr>
          <w:color w:val="000000" w:themeColor="text1"/>
          <w:szCs w:val="24"/>
          <w:lang w:val="en-CA"/>
        </w:rPr>
        <w:t>and</w:t>
      </w:r>
      <w:r w:rsidRPr="009A1394">
        <w:rPr>
          <w:color w:val="000000" w:themeColor="text1"/>
          <w:szCs w:val="24"/>
          <w:lang w:val="en-CA"/>
        </w:rPr>
        <w:t xml:space="preserve">, moreover, on a </w:t>
      </w:r>
      <w:r w:rsidR="00AF4466" w:rsidRPr="009A1394">
        <w:rPr>
          <w:color w:val="000000" w:themeColor="text1"/>
          <w:szCs w:val="24"/>
          <w:lang w:val="en-CA"/>
        </w:rPr>
        <w:t>descending grade</w:t>
      </w:r>
      <w:r w:rsidRPr="009A1394">
        <w:rPr>
          <w:color w:val="000000" w:themeColor="text1"/>
          <w:szCs w:val="24"/>
          <w:lang w:val="en-CA"/>
        </w:rPr>
        <w:t xml:space="preserve">, </w:t>
      </w:r>
      <w:r w:rsidR="00420954" w:rsidRPr="009A1394">
        <w:rPr>
          <w:color w:val="000000" w:themeColor="text1"/>
          <w:szCs w:val="24"/>
          <w:lang w:val="en-CA"/>
        </w:rPr>
        <w:t>was</w:t>
      </w:r>
      <w:r w:rsidRPr="009A1394">
        <w:rPr>
          <w:color w:val="000000" w:themeColor="text1"/>
          <w:szCs w:val="24"/>
          <w:lang w:val="en-CA"/>
        </w:rPr>
        <w:t xml:space="preserve"> not</w:t>
      </w:r>
      <w:r w:rsidR="007F0785" w:rsidRPr="009A1394">
        <w:rPr>
          <w:color w:val="000000" w:themeColor="text1"/>
          <w:szCs w:val="24"/>
          <w:lang w:val="en-CA"/>
        </w:rPr>
        <w:t xml:space="preserve"> </w:t>
      </w:r>
      <w:r w:rsidR="005E3EB7" w:rsidRPr="009A1394">
        <w:rPr>
          <w:color w:val="000000" w:themeColor="text1"/>
          <w:szCs w:val="24"/>
          <w:lang w:val="en-CA"/>
        </w:rPr>
        <w:t>necessarily</w:t>
      </w:r>
      <w:r w:rsidRPr="009A1394">
        <w:rPr>
          <w:color w:val="000000" w:themeColor="text1"/>
          <w:szCs w:val="24"/>
          <w:lang w:val="en-CA"/>
        </w:rPr>
        <w:t xml:space="preserve"> dangerous</w:t>
      </w:r>
      <w:r w:rsidR="007F0785" w:rsidRPr="009A1394">
        <w:rPr>
          <w:color w:val="000000" w:themeColor="text1"/>
          <w:szCs w:val="24"/>
          <w:lang w:val="en-CA"/>
        </w:rPr>
        <w:t>, provided that</w:t>
      </w:r>
      <w:r w:rsidRPr="009A1394">
        <w:rPr>
          <w:color w:val="000000" w:themeColor="text1"/>
          <w:szCs w:val="24"/>
          <w:lang w:val="en-CA"/>
        </w:rPr>
        <w:t xml:space="preserve"> the applicable rules for </w:t>
      </w:r>
      <w:r w:rsidR="00420954" w:rsidRPr="009A1394">
        <w:rPr>
          <w:color w:val="000000" w:themeColor="text1"/>
          <w:szCs w:val="24"/>
          <w:lang w:val="en-CA"/>
        </w:rPr>
        <w:t>securing</w:t>
      </w:r>
      <w:r w:rsidRPr="009A1394">
        <w:rPr>
          <w:color w:val="000000" w:themeColor="text1"/>
          <w:szCs w:val="24"/>
          <w:lang w:val="en-CA"/>
        </w:rPr>
        <w:t xml:space="preserve"> a train </w:t>
      </w:r>
      <w:r w:rsidR="00420954" w:rsidRPr="009A1394">
        <w:rPr>
          <w:color w:val="000000" w:themeColor="text1"/>
          <w:szCs w:val="24"/>
          <w:lang w:val="en-CA"/>
        </w:rPr>
        <w:t>were</w:t>
      </w:r>
      <w:r w:rsidRPr="009A1394">
        <w:rPr>
          <w:color w:val="000000" w:themeColor="text1"/>
          <w:szCs w:val="24"/>
          <w:lang w:val="en-CA"/>
        </w:rPr>
        <w:t xml:space="preserve"> followed.</w:t>
      </w:r>
      <w:r w:rsidRPr="009A1394">
        <w:rPr>
          <w:rStyle w:val="Appelnotedebasdep"/>
          <w:color w:val="000000" w:themeColor="text1"/>
          <w:szCs w:val="24"/>
          <w:lang w:val="en-CA"/>
        </w:rPr>
        <w:footnoteReference w:id="222"/>
      </w:r>
      <w:r w:rsidR="008161A3" w:rsidRPr="009A1394">
        <w:rPr>
          <w:color w:val="000000" w:themeColor="text1"/>
          <w:szCs w:val="24"/>
          <w:lang w:val="en-CA"/>
        </w:rPr>
        <w:t xml:space="preserve"> </w:t>
      </w:r>
      <w:r w:rsidRPr="009A1394">
        <w:rPr>
          <w:color w:val="000000" w:themeColor="text1"/>
          <w:szCs w:val="24"/>
          <w:lang w:val="en-CA"/>
        </w:rPr>
        <w:t>In his report, Gary Wolf, an expert quoted by CP, wrote the following:</w:t>
      </w:r>
    </w:p>
    <w:p w14:paraId="47AA4A13" w14:textId="65DCA2A3" w:rsidR="00702A59" w:rsidRPr="009A1394" w:rsidRDefault="00737FF8" w:rsidP="00720E8B">
      <w:pPr>
        <w:pStyle w:val="Citationenretrait"/>
        <w:keepNext/>
        <w:rPr>
          <w:color w:val="000000" w:themeColor="text1"/>
          <w:lang w:val="en-CA"/>
        </w:rPr>
      </w:pPr>
      <w:r w:rsidRPr="009A1394">
        <w:rPr>
          <w:color w:val="000000" w:themeColor="text1"/>
          <w:lang w:val="en-CA"/>
        </w:rPr>
        <w:t>83.</w:t>
      </w:r>
      <w:r w:rsidR="008161A3" w:rsidRPr="009A1394">
        <w:rPr>
          <w:color w:val="000000" w:themeColor="text1"/>
          <w:lang w:val="en-CA"/>
        </w:rPr>
        <w:tab/>
      </w:r>
      <w:r w:rsidRPr="009A1394">
        <w:rPr>
          <w:color w:val="000000" w:themeColor="text1"/>
          <w:lang w:val="en-CA"/>
        </w:rPr>
        <w:t>The gradient at Nantes is -0.92% eastbound.</w:t>
      </w:r>
      <w:r w:rsidR="008161A3" w:rsidRPr="009A1394">
        <w:rPr>
          <w:color w:val="000000" w:themeColor="text1"/>
          <w:lang w:val="en-CA"/>
        </w:rPr>
        <w:t xml:space="preserve"> </w:t>
      </w:r>
      <w:r w:rsidRPr="009A1394">
        <w:rPr>
          <w:color w:val="000000" w:themeColor="text1"/>
          <w:lang w:val="en-CA"/>
        </w:rPr>
        <w:t>A heavy grade is defined as greater than +/-1.0%.</w:t>
      </w:r>
      <w:r w:rsidR="008161A3" w:rsidRPr="009A1394">
        <w:rPr>
          <w:color w:val="000000" w:themeColor="text1"/>
          <w:lang w:val="en-CA"/>
        </w:rPr>
        <w:t xml:space="preserve"> </w:t>
      </w:r>
      <w:r w:rsidRPr="009A1394">
        <w:rPr>
          <w:color w:val="000000" w:themeColor="text1"/>
          <w:lang w:val="en-CA"/>
        </w:rPr>
        <w:t>Although the gradient at Nantes is “steep”, gradients of +/-</w:t>
      </w:r>
      <w:r w:rsidR="00386D79" w:rsidRPr="009A1394">
        <w:rPr>
          <w:color w:val="000000" w:themeColor="text1"/>
          <w:lang w:val="en-CA"/>
        </w:rPr>
        <w:t> </w:t>
      </w:r>
      <w:r w:rsidRPr="009A1394">
        <w:rPr>
          <w:color w:val="000000" w:themeColor="text1"/>
          <w:lang w:val="en-CA"/>
        </w:rPr>
        <w:t>2.20% and greater are common in North America.</w:t>
      </w:r>
      <w:r w:rsidR="008161A3" w:rsidRPr="009A1394">
        <w:rPr>
          <w:color w:val="000000" w:themeColor="text1"/>
          <w:lang w:val="en-CA"/>
        </w:rPr>
        <w:t xml:space="preserve"> </w:t>
      </w:r>
      <w:r w:rsidRPr="009A1394">
        <w:rPr>
          <w:color w:val="000000" w:themeColor="text1"/>
          <w:lang w:val="en-CA"/>
        </w:rPr>
        <w:t>All railways will park trains from time to time on significant grades due to operational needs and constraints.</w:t>
      </w:r>
      <w:r w:rsidR="008161A3" w:rsidRPr="009A1394">
        <w:rPr>
          <w:color w:val="000000" w:themeColor="text1"/>
          <w:lang w:val="en-CA"/>
        </w:rPr>
        <w:t xml:space="preserve"> </w:t>
      </w:r>
      <w:r w:rsidRPr="009A1394">
        <w:rPr>
          <w:color w:val="000000" w:themeColor="text1"/>
          <w:lang w:val="en-CA"/>
        </w:rPr>
        <w:t>This has been occurring for over 150 years.</w:t>
      </w:r>
      <w:r w:rsidR="008161A3" w:rsidRPr="009A1394">
        <w:rPr>
          <w:color w:val="000000" w:themeColor="text1"/>
          <w:lang w:val="en-CA"/>
        </w:rPr>
        <w:t xml:space="preserve"> </w:t>
      </w:r>
      <w:r w:rsidRPr="009A1394">
        <w:rPr>
          <w:color w:val="000000" w:themeColor="text1"/>
          <w:u w:val="single"/>
          <w:lang w:val="en-CA"/>
        </w:rPr>
        <w:t xml:space="preserve">Proper application of train securement rules, such as CROR 112 and MMA rules, enable a train to be safely parked on </w:t>
      </w:r>
      <w:r w:rsidRPr="009A1394">
        <w:rPr>
          <w:color w:val="000000" w:themeColor="text1"/>
          <w:u w:val="single"/>
          <w:lang w:val="en-CA"/>
        </w:rPr>
        <w:lastRenderedPageBreak/>
        <w:t>downhill grades such as at Nantes.</w:t>
      </w:r>
      <w:r w:rsidR="008161A3" w:rsidRPr="009A1394">
        <w:rPr>
          <w:color w:val="000000" w:themeColor="text1"/>
          <w:u w:val="single"/>
          <w:lang w:val="en-CA"/>
        </w:rPr>
        <w:t xml:space="preserve"> </w:t>
      </w:r>
      <w:r w:rsidRPr="009A1394">
        <w:rPr>
          <w:color w:val="000000" w:themeColor="text1"/>
          <w:u w:val="single"/>
          <w:lang w:val="en-CA"/>
        </w:rPr>
        <w:t>I do not agree that parking a train overnight on a steep incline on a main track is an unsafe practice, provided that train securement rules are followed</w:t>
      </w:r>
      <w:r w:rsidRPr="009A1394">
        <w:rPr>
          <w:color w:val="000000" w:themeColor="text1"/>
          <w:lang w:val="en-CA"/>
        </w:rPr>
        <w:t>.</w:t>
      </w:r>
      <w:r w:rsidR="008161A3" w:rsidRPr="009A1394">
        <w:rPr>
          <w:rStyle w:val="Appelnotedebasdep"/>
          <w:color w:val="000000" w:themeColor="text1"/>
          <w:lang w:val="en-CA"/>
        </w:rPr>
        <w:footnoteReference w:id="223"/>
      </w:r>
    </w:p>
    <w:p w14:paraId="6AE88F92" w14:textId="73F72706" w:rsidR="00702A59" w:rsidRPr="009A1394" w:rsidRDefault="00442F83" w:rsidP="00720E8B">
      <w:pPr>
        <w:pStyle w:val="Citationenretrait"/>
        <w:keepNext/>
        <w:jc w:val="right"/>
        <w:rPr>
          <w:color w:val="000000" w:themeColor="text1"/>
          <w:lang w:val="en-CA"/>
        </w:rPr>
      </w:pPr>
      <w:r w:rsidRPr="009A1394">
        <w:rPr>
          <w:color w:val="000000" w:themeColor="text1"/>
          <w:lang w:val="en-CA"/>
        </w:rPr>
        <w:t>[Emphasis added]</w:t>
      </w:r>
    </w:p>
    <w:p w14:paraId="76D8B79E" w14:textId="48E5F8C5" w:rsidR="00702A59" w:rsidRPr="009A1394" w:rsidRDefault="005A443A" w:rsidP="00720E8B">
      <w:pPr>
        <w:pStyle w:val="Paragraphe"/>
        <w:numPr>
          <w:ilvl w:val="0"/>
          <w:numId w:val="1"/>
        </w:numPr>
        <w:rPr>
          <w:color w:val="000000" w:themeColor="text1"/>
          <w:szCs w:val="24"/>
          <w:lang w:val="en-CA"/>
        </w:rPr>
      </w:pPr>
      <w:r w:rsidRPr="009A1394">
        <w:rPr>
          <w:color w:val="000000" w:themeColor="text1"/>
          <w:szCs w:val="24"/>
          <w:lang w:val="en-CA"/>
        </w:rPr>
        <w:t>Unfortunately, Harding ignored these safety rules.</w:t>
      </w:r>
      <w:r w:rsidR="008161A3" w:rsidRPr="009A1394">
        <w:rPr>
          <w:color w:val="000000" w:themeColor="text1"/>
          <w:szCs w:val="24"/>
          <w:lang w:val="en-CA"/>
        </w:rPr>
        <w:t xml:space="preserve"> </w:t>
      </w:r>
      <w:r w:rsidRPr="009A1394">
        <w:rPr>
          <w:color w:val="000000" w:themeColor="text1"/>
          <w:szCs w:val="24"/>
          <w:lang w:val="en-CA"/>
        </w:rPr>
        <w:t xml:space="preserve">He neither applied a sufficient number of </w:t>
      </w:r>
      <w:r w:rsidR="000A42A7" w:rsidRPr="009A1394">
        <w:rPr>
          <w:color w:val="000000" w:themeColor="text1"/>
          <w:szCs w:val="24"/>
          <w:lang w:val="en-CA"/>
        </w:rPr>
        <w:t>hand brake</w:t>
      </w:r>
      <w:r w:rsidRPr="009A1394">
        <w:rPr>
          <w:color w:val="000000" w:themeColor="text1"/>
          <w:szCs w:val="24"/>
          <w:lang w:val="en-CA"/>
        </w:rPr>
        <w:t xml:space="preserve">s to secure the train nor </w:t>
      </w:r>
      <w:r w:rsidR="00386D79" w:rsidRPr="009A1394">
        <w:rPr>
          <w:color w:val="000000" w:themeColor="text1"/>
          <w:szCs w:val="24"/>
          <w:lang w:val="en-CA"/>
        </w:rPr>
        <w:t xml:space="preserve">performed </w:t>
      </w:r>
      <w:r w:rsidRPr="009A1394">
        <w:rPr>
          <w:color w:val="000000" w:themeColor="text1"/>
          <w:szCs w:val="24"/>
          <w:lang w:val="en-CA"/>
        </w:rPr>
        <w:t xml:space="preserve">the mandatory test to ensure that it had been </w:t>
      </w:r>
      <w:r w:rsidR="00B6198C" w:rsidRPr="009A1394">
        <w:rPr>
          <w:color w:val="000000" w:themeColor="text1"/>
          <w:szCs w:val="24"/>
          <w:lang w:val="en-CA"/>
        </w:rPr>
        <w:t>properly secured</w:t>
      </w:r>
      <w:r w:rsidRPr="009A1394">
        <w:rPr>
          <w:color w:val="000000" w:themeColor="text1"/>
          <w:szCs w:val="24"/>
          <w:lang w:val="en-CA"/>
        </w:rPr>
        <w:t>.</w:t>
      </w:r>
      <w:r w:rsidR="008161A3" w:rsidRPr="009A1394">
        <w:rPr>
          <w:color w:val="000000" w:themeColor="text1"/>
          <w:szCs w:val="24"/>
          <w:lang w:val="en-CA"/>
        </w:rPr>
        <w:t xml:space="preserve"> </w:t>
      </w:r>
      <w:r w:rsidRPr="009A1394">
        <w:rPr>
          <w:color w:val="000000" w:themeColor="text1"/>
          <w:szCs w:val="24"/>
          <w:lang w:val="en-CA"/>
        </w:rPr>
        <w:t xml:space="preserve">He instead relied on the air brakes </w:t>
      </w:r>
      <w:r w:rsidR="00B6198C" w:rsidRPr="009A1394">
        <w:rPr>
          <w:color w:val="000000" w:themeColor="text1"/>
          <w:szCs w:val="24"/>
          <w:lang w:val="en-CA"/>
        </w:rPr>
        <w:t>and</w:t>
      </w:r>
      <w:r w:rsidRPr="009A1394">
        <w:rPr>
          <w:color w:val="000000" w:themeColor="text1"/>
          <w:szCs w:val="24"/>
          <w:lang w:val="en-CA"/>
        </w:rPr>
        <w:t xml:space="preserve"> did not return </w:t>
      </w:r>
      <w:r w:rsidR="00B6198C" w:rsidRPr="009A1394">
        <w:rPr>
          <w:color w:val="000000" w:themeColor="text1"/>
          <w:szCs w:val="24"/>
          <w:lang w:val="en-CA"/>
        </w:rPr>
        <w:t>to the</w:t>
      </w:r>
      <w:r w:rsidRPr="009A1394">
        <w:rPr>
          <w:color w:val="000000" w:themeColor="text1"/>
          <w:szCs w:val="24"/>
          <w:lang w:val="en-CA"/>
        </w:rPr>
        <w:t xml:space="preserve"> site, even after </w:t>
      </w:r>
      <w:r w:rsidR="005E3EB7" w:rsidRPr="009A1394">
        <w:rPr>
          <w:color w:val="000000" w:themeColor="text1"/>
          <w:szCs w:val="24"/>
          <w:lang w:val="en-CA"/>
        </w:rPr>
        <w:t>learning</w:t>
      </w:r>
      <w:r w:rsidRPr="009A1394">
        <w:rPr>
          <w:color w:val="000000" w:themeColor="text1"/>
          <w:szCs w:val="24"/>
          <w:lang w:val="en-CA"/>
        </w:rPr>
        <w:t xml:space="preserve"> that the </w:t>
      </w:r>
      <w:r w:rsidR="00DB4774" w:rsidRPr="009A1394">
        <w:rPr>
          <w:color w:val="000000" w:themeColor="text1"/>
          <w:szCs w:val="24"/>
          <w:lang w:val="en-CA"/>
        </w:rPr>
        <w:t>engine</w:t>
      </w:r>
      <w:r w:rsidRPr="009A1394">
        <w:rPr>
          <w:color w:val="000000" w:themeColor="text1"/>
          <w:szCs w:val="24"/>
          <w:lang w:val="en-CA"/>
        </w:rPr>
        <w:t xml:space="preserve"> of </w:t>
      </w:r>
      <w:r w:rsidR="00B6198C" w:rsidRPr="009A1394">
        <w:rPr>
          <w:color w:val="000000" w:themeColor="text1"/>
          <w:szCs w:val="24"/>
          <w:lang w:val="en-CA"/>
        </w:rPr>
        <w:t>the</w:t>
      </w:r>
      <w:r w:rsidRPr="009A1394">
        <w:rPr>
          <w:color w:val="000000" w:themeColor="text1"/>
          <w:szCs w:val="24"/>
          <w:lang w:val="en-CA"/>
        </w:rPr>
        <w:t xml:space="preserve"> locomoti</w:t>
      </w:r>
      <w:r w:rsidR="00B6198C" w:rsidRPr="009A1394">
        <w:rPr>
          <w:color w:val="000000" w:themeColor="text1"/>
          <w:szCs w:val="24"/>
          <w:lang w:val="en-CA"/>
        </w:rPr>
        <w:t>v</w:t>
      </w:r>
      <w:r w:rsidRPr="009A1394">
        <w:rPr>
          <w:color w:val="000000" w:themeColor="text1"/>
          <w:szCs w:val="24"/>
          <w:lang w:val="en-CA"/>
        </w:rPr>
        <w:t xml:space="preserve">e </w:t>
      </w:r>
      <w:r w:rsidR="005E3EB7" w:rsidRPr="009A1394">
        <w:rPr>
          <w:color w:val="000000" w:themeColor="text1"/>
          <w:szCs w:val="24"/>
          <w:lang w:val="en-CA"/>
        </w:rPr>
        <w:t>powering</w:t>
      </w:r>
      <w:r w:rsidR="00C72083" w:rsidRPr="009A1394">
        <w:rPr>
          <w:color w:val="000000" w:themeColor="text1"/>
          <w:szCs w:val="24"/>
          <w:lang w:val="en-CA"/>
        </w:rPr>
        <w:t xml:space="preserve"> </w:t>
      </w:r>
      <w:r w:rsidRPr="009A1394">
        <w:rPr>
          <w:color w:val="000000" w:themeColor="text1"/>
          <w:szCs w:val="24"/>
          <w:lang w:val="en-CA"/>
        </w:rPr>
        <w:t>these brakes had been shut down.</w:t>
      </w:r>
      <w:r w:rsidRPr="009A1394">
        <w:rPr>
          <w:rStyle w:val="Appelnotedebasdep"/>
          <w:color w:val="000000" w:themeColor="text1"/>
          <w:szCs w:val="24"/>
          <w:lang w:val="en-CA"/>
        </w:rPr>
        <w:footnoteReference w:id="224"/>
      </w:r>
      <w:r w:rsidR="002F3E82" w:rsidRPr="009A1394">
        <w:rPr>
          <w:color w:val="000000" w:themeColor="text1"/>
          <w:szCs w:val="24"/>
          <w:lang w:val="en-CA"/>
        </w:rPr>
        <w:t xml:space="preserve"> </w:t>
      </w:r>
      <w:r w:rsidRPr="009A1394">
        <w:rPr>
          <w:color w:val="000000" w:themeColor="text1"/>
          <w:szCs w:val="24"/>
          <w:lang w:val="en-CA"/>
        </w:rPr>
        <w:t xml:space="preserve">It </w:t>
      </w:r>
      <w:r w:rsidR="005E3EB7" w:rsidRPr="009A1394">
        <w:rPr>
          <w:color w:val="000000" w:themeColor="text1"/>
          <w:szCs w:val="24"/>
          <w:lang w:val="en-CA"/>
        </w:rPr>
        <w:t>was</w:t>
      </w:r>
      <w:r w:rsidRPr="009A1394">
        <w:rPr>
          <w:color w:val="000000" w:themeColor="text1"/>
          <w:szCs w:val="24"/>
          <w:lang w:val="en-CA"/>
        </w:rPr>
        <w:t xml:space="preserve"> Harding’s non-compliance with basic safety rules, not</w:t>
      </w:r>
      <w:r w:rsidR="005E3EB7" w:rsidRPr="009A1394">
        <w:rPr>
          <w:color w:val="000000" w:themeColor="text1"/>
          <w:szCs w:val="24"/>
          <w:lang w:val="en-CA"/>
        </w:rPr>
        <w:t xml:space="preserve"> </w:t>
      </w:r>
      <w:r w:rsidRPr="009A1394">
        <w:rPr>
          <w:color w:val="000000" w:themeColor="text1"/>
          <w:szCs w:val="24"/>
          <w:lang w:val="en-CA"/>
        </w:rPr>
        <w:t xml:space="preserve">parking the </w:t>
      </w:r>
      <w:r w:rsidR="00B6198C" w:rsidRPr="009A1394">
        <w:rPr>
          <w:color w:val="000000" w:themeColor="text1"/>
          <w:szCs w:val="24"/>
          <w:lang w:val="en-CA"/>
        </w:rPr>
        <w:t>train</w:t>
      </w:r>
      <w:r w:rsidRPr="009A1394">
        <w:rPr>
          <w:color w:val="000000" w:themeColor="text1"/>
          <w:szCs w:val="24"/>
          <w:lang w:val="en-CA"/>
        </w:rPr>
        <w:t xml:space="preserve"> overnight on a </w:t>
      </w:r>
      <w:r w:rsidR="00AF4466" w:rsidRPr="009A1394">
        <w:rPr>
          <w:color w:val="000000" w:themeColor="text1"/>
          <w:szCs w:val="24"/>
          <w:lang w:val="en-CA"/>
        </w:rPr>
        <w:t>descending grade</w:t>
      </w:r>
      <w:r w:rsidRPr="009A1394">
        <w:rPr>
          <w:color w:val="000000" w:themeColor="text1"/>
          <w:szCs w:val="24"/>
          <w:lang w:val="en-CA"/>
        </w:rPr>
        <w:t>, that was the source of the tragedy.</w:t>
      </w:r>
    </w:p>
    <w:p w14:paraId="730911AB" w14:textId="6AFED3B4" w:rsidR="00702A59" w:rsidRPr="009A1394" w:rsidRDefault="005A443A" w:rsidP="00720E8B">
      <w:pPr>
        <w:pStyle w:val="Paragraphe"/>
        <w:numPr>
          <w:ilvl w:val="0"/>
          <w:numId w:val="1"/>
        </w:numPr>
        <w:rPr>
          <w:color w:val="000000" w:themeColor="text1"/>
          <w:szCs w:val="24"/>
          <w:lang w:val="en-CA"/>
        </w:rPr>
      </w:pPr>
      <w:r w:rsidRPr="009A1394">
        <w:rPr>
          <w:color w:val="000000" w:themeColor="text1"/>
          <w:szCs w:val="24"/>
          <w:lang w:val="en-CA"/>
        </w:rPr>
        <w:t xml:space="preserve">What is more, as the judge noted, nothing in the evidence indicated that CP </w:t>
      </w:r>
      <w:r w:rsidR="005E3EB7" w:rsidRPr="009A1394">
        <w:rPr>
          <w:color w:val="000000" w:themeColor="text1"/>
          <w:szCs w:val="24"/>
          <w:lang w:val="en-CA"/>
        </w:rPr>
        <w:t>could</w:t>
      </w:r>
      <w:r w:rsidRPr="009A1394">
        <w:rPr>
          <w:color w:val="000000" w:themeColor="text1"/>
          <w:szCs w:val="24"/>
          <w:lang w:val="en-CA"/>
        </w:rPr>
        <w:t xml:space="preserve"> have expected that an MMA employee </w:t>
      </w:r>
      <w:r w:rsidR="00064BBF" w:rsidRPr="009A1394">
        <w:rPr>
          <w:color w:val="000000" w:themeColor="text1"/>
          <w:szCs w:val="24"/>
          <w:lang w:val="en-CA"/>
        </w:rPr>
        <w:t>would</w:t>
      </w:r>
      <w:r w:rsidRPr="009A1394">
        <w:rPr>
          <w:color w:val="000000" w:themeColor="text1"/>
          <w:szCs w:val="24"/>
          <w:lang w:val="en-CA"/>
        </w:rPr>
        <w:t xml:space="preserve"> neglect to comply with such basic safety and security rules</w:t>
      </w:r>
      <w:r w:rsidRPr="009A1394">
        <w:rPr>
          <w:rStyle w:val="Appelnotedebasdep"/>
          <w:color w:val="000000" w:themeColor="text1"/>
          <w:szCs w:val="24"/>
          <w:lang w:val="en-CA"/>
        </w:rPr>
        <w:footnoteReference w:id="225"/>
      </w:r>
      <w:r w:rsidRPr="009A1394">
        <w:rPr>
          <w:color w:val="000000" w:themeColor="text1"/>
          <w:szCs w:val="24"/>
          <w:lang w:val="en-CA"/>
        </w:rPr>
        <w:t xml:space="preserve"> or that CP </w:t>
      </w:r>
      <w:r w:rsidR="00C72083" w:rsidRPr="009A1394">
        <w:rPr>
          <w:color w:val="000000" w:themeColor="text1"/>
          <w:szCs w:val="24"/>
          <w:lang w:val="en-CA"/>
        </w:rPr>
        <w:t xml:space="preserve">was aware of </w:t>
      </w:r>
      <w:r w:rsidRPr="009A1394">
        <w:rPr>
          <w:color w:val="000000" w:themeColor="text1"/>
          <w:szCs w:val="24"/>
          <w:lang w:val="en-CA"/>
        </w:rPr>
        <w:t xml:space="preserve">MMA’s </w:t>
      </w:r>
      <w:r w:rsidR="00064BBF" w:rsidRPr="009A1394">
        <w:rPr>
          <w:color w:val="000000" w:themeColor="text1"/>
          <w:szCs w:val="24"/>
          <w:lang w:val="en-CA"/>
        </w:rPr>
        <w:t>weak</w:t>
      </w:r>
      <w:r w:rsidRPr="009A1394">
        <w:rPr>
          <w:color w:val="000000" w:themeColor="text1"/>
          <w:szCs w:val="24"/>
          <w:lang w:val="en-CA"/>
        </w:rPr>
        <w:t xml:space="preserve"> corporate culture with respect to safety.</w:t>
      </w:r>
      <w:r w:rsidRPr="009A1394">
        <w:rPr>
          <w:rStyle w:val="Appelnotedebasdep"/>
          <w:color w:val="000000" w:themeColor="text1"/>
          <w:szCs w:val="24"/>
          <w:lang w:val="en-CA"/>
        </w:rPr>
        <w:footnoteReference w:id="226"/>
      </w:r>
      <w:r w:rsidR="008161A3" w:rsidRPr="009A1394">
        <w:rPr>
          <w:color w:val="000000" w:themeColor="text1"/>
          <w:szCs w:val="24"/>
          <w:lang w:val="en-CA"/>
        </w:rPr>
        <w:t xml:space="preserve"> </w:t>
      </w:r>
      <w:r w:rsidRPr="009A1394">
        <w:rPr>
          <w:color w:val="000000" w:themeColor="text1"/>
          <w:szCs w:val="24"/>
          <w:lang w:val="en-CA"/>
        </w:rPr>
        <w:t xml:space="preserve">Similarly, the judge’s observation that MMA’s locomotives and tracks were </w:t>
      </w:r>
      <w:r w:rsidR="00F3329C" w:rsidRPr="009A1394">
        <w:rPr>
          <w:color w:val="000000" w:themeColor="text1"/>
          <w:szCs w:val="24"/>
          <w:lang w:val="en-CA"/>
        </w:rPr>
        <w:t>neither</w:t>
      </w:r>
      <w:r w:rsidRPr="009A1394">
        <w:rPr>
          <w:color w:val="000000" w:themeColor="text1"/>
          <w:szCs w:val="24"/>
          <w:lang w:val="en-CA"/>
        </w:rPr>
        <w:t xml:space="preserve"> the newest nor the best did not mean that it would be unable to </w:t>
      </w:r>
      <w:r w:rsidR="005E3EB7" w:rsidRPr="009A1394">
        <w:rPr>
          <w:color w:val="000000" w:themeColor="text1"/>
          <w:szCs w:val="24"/>
          <w:lang w:val="en-CA"/>
        </w:rPr>
        <w:t>meet</w:t>
      </w:r>
      <w:r w:rsidRPr="009A1394">
        <w:rPr>
          <w:color w:val="000000" w:themeColor="text1"/>
          <w:szCs w:val="24"/>
          <w:lang w:val="en-CA"/>
        </w:rPr>
        <w:t xml:space="preserve"> its obligations </w:t>
      </w:r>
      <w:r w:rsidR="00091A43" w:rsidRPr="009A1394">
        <w:rPr>
          <w:color w:val="000000" w:themeColor="text1"/>
          <w:szCs w:val="24"/>
          <w:lang w:val="en-CA"/>
        </w:rPr>
        <w:t>to</w:t>
      </w:r>
      <w:r w:rsidRPr="009A1394">
        <w:rPr>
          <w:color w:val="000000" w:themeColor="text1"/>
          <w:szCs w:val="24"/>
          <w:lang w:val="en-CA"/>
        </w:rPr>
        <w:t xml:space="preserve"> its clients and regulator</w:t>
      </w:r>
      <w:r w:rsidR="005E3EB7" w:rsidRPr="009A1394">
        <w:rPr>
          <w:color w:val="000000" w:themeColor="text1"/>
          <w:szCs w:val="24"/>
          <w:lang w:val="en-CA"/>
        </w:rPr>
        <w:t>y authorities</w:t>
      </w:r>
      <w:r w:rsidRPr="009A1394">
        <w:rPr>
          <w:color w:val="000000" w:themeColor="text1"/>
          <w:szCs w:val="24"/>
          <w:lang w:val="en-CA"/>
        </w:rPr>
        <w:t>.</w:t>
      </w:r>
      <w:r w:rsidRPr="009A1394">
        <w:rPr>
          <w:rStyle w:val="Appelnotedebasdep"/>
          <w:color w:val="000000" w:themeColor="text1"/>
          <w:szCs w:val="24"/>
          <w:lang w:val="en-CA"/>
        </w:rPr>
        <w:footnoteReference w:id="227"/>
      </w:r>
      <w:r w:rsidR="008161A3" w:rsidRPr="009A1394">
        <w:rPr>
          <w:color w:val="000000" w:themeColor="text1"/>
          <w:szCs w:val="24"/>
          <w:lang w:val="en-CA"/>
        </w:rPr>
        <w:t xml:space="preserve"> </w:t>
      </w:r>
      <w:r w:rsidRPr="009A1394">
        <w:rPr>
          <w:color w:val="000000" w:themeColor="text1"/>
          <w:szCs w:val="24"/>
          <w:lang w:val="en-CA"/>
        </w:rPr>
        <w:t xml:space="preserve">In this respect, the judge pointed out that even </w:t>
      </w:r>
      <w:r w:rsidR="00091A43" w:rsidRPr="009A1394">
        <w:rPr>
          <w:color w:val="000000" w:themeColor="text1"/>
          <w:szCs w:val="24"/>
          <w:lang w:val="en-CA"/>
        </w:rPr>
        <w:t xml:space="preserve">the </w:t>
      </w:r>
      <w:r w:rsidRPr="009A1394">
        <w:rPr>
          <w:color w:val="000000" w:themeColor="text1"/>
          <w:szCs w:val="24"/>
          <w:lang w:val="en-CA"/>
        </w:rPr>
        <w:t xml:space="preserve">regulatory </w:t>
      </w:r>
      <w:r w:rsidR="005E3EB7" w:rsidRPr="009A1394">
        <w:rPr>
          <w:color w:val="000000" w:themeColor="text1"/>
          <w:szCs w:val="24"/>
          <w:lang w:val="en-CA"/>
        </w:rPr>
        <w:t>authorities</w:t>
      </w:r>
      <w:r w:rsidRPr="009A1394">
        <w:rPr>
          <w:color w:val="000000" w:themeColor="text1"/>
          <w:szCs w:val="24"/>
          <w:lang w:val="en-CA"/>
        </w:rPr>
        <w:t xml:space="preserve">, whose role it was to supervise and control MMA’s operations, did not </w:t>
      </w:r>
      <w:r w:rsidR="005E3EB7" w:rsidRPr="009A1394">
        <w:rPr>
          <w:color w:val="000000" w:themeColor="text1"/>
          <w:szCs w:val="24"/>
          <w:lang w:val="en-CA"/>
        </w:rPr>
        <w:t>deem</w:t>
      </w:r>
      <w:r w:rsidRPr="009A1394">
        <w:rPr>
          <w:color w:val="000000" w:themeColor="text1"/>
          <w:szCs w:val="24"/>
          <w:lang w:val="en-CA"/>
        </w:rPr>
        <w:t xml:space="preserve"> it necessary to suspend its activities.</w:t>
      </w:r>
      <w:r w:rsidRPr="009A1394">
        <w:rPr>
          <w:rStyle w:val="Appelnotedebasdep"/>
          <w:color w:val="000000" w:themeColor="text1"/>
          <w:szCs w:val="24"/>
          <w:lang w:val="en-CA"/>
        </w:rPr>
        <w:footnoteReference w:id="228"/>
      </w:r>
    </w:p>
    <w:p w14:paraId="3DF7D544" w14:textId="77F57EE9" w:rsidR="00702A59" w:rsidRPr="009A1394" w:rsidRDefault="005A443A" w:rsidP="00720E8B">
      <w:pPr>
        <w:pStyle w:val="Paragraphe"/>
        <w:numPr>
          <w:ilvl w:val="0"/>
          <w:numId w:val="1"/>
        </w:numPr>
        <w:rPr>
          <w:color w:val="000000" w:themeColor="text1"/>
          <w:szCs w:val="24"/>
          <w:lang w:val="en-CA"/>
        </w:rPr>
      </w:pPr>
      <w:r w:rsidRPr="009A1394">
        <w:rPr>
          <w:color w:val="000000" w:themeColor="text1"/>
          <w:szCs w:val="24"/>
          <w:lang w:val="en-CA"/>
        </w:rPr>
        <w:t>Finally, the appellants argue that the judge failed to consider CP’s duty to inform as a separate source of liability.</w:t>
      </w:r>
      <w:r w:rsidR="008161A3" w:rsidRPr="009A1394">
        <w:rPr>
          <w:color w:val="000000" w:themeColor="text1"/>
          <w:szCs w:val="24"/>
          <w:lang w:val="en-CA"/>
        </w:rPr>
        <w:t xml:space="preserve"> </w:t>
      </w:r>
      <w:r w:rsidR="00335D96" w:rsidRPr="009A1394">
        <w:rPr>
          <w:color w:val="000000" w:themeColor="text1"/>
          <w:szCs w:val="24"/>
          <w:lang w:val="en-CA"/>
        </w:rPr>
        <w:t xml:space="preserve">They argue that CP had a duty to inform WFS, Irving, and TC of MMA’s safety and security </w:t>
      </w:r>
      <w:r w:rsidR="00F3329C" w:rsidRPr="009A1394">
        <w:rPr>
          <w:color w:val="000000" w:themeColor="text1"/>
          <w:szCs w:val="24"/>
          <w:lang w:val="en-CA"/>
        </w:rPr>
        <w:t>deficiencies,</w:t>
      </w:r>
      <w:r w:rsidR="00335D96" w:rsidRPr="009A1394">
        <w:rPr>
          <w:color w:val="000000" w:themeColor="text1"/>
          <w:szCs w:val="24"/>
          <w:lang w:val="en-CA"/>
        </w:rPr>
        <w:t xml:space="preserve"> and that the judge erred </w:t>
      </w:r>
      <w:r w:rsidR="00091A43" w:rsidRPr="009A1394">
        <w:rPr>
          <w:color w:val="000000" w:themeColor="text1"/>
          <w:szCs w:val="24"/>
          <w:lang w:val="en-CA"/>
        </w:rPr>
        <w:t>in failing to find</w:t>
      </w:r>
      <w:r w:rsidR="00335D96" w:rsidRPr="009A1394">
        <w:rPr>
          <w:color w:val="000000" w:themeColor="text1"/>
          <w:szCs w:val="24"/>
          <w:lang w:val="en-CA"/>
        </w:rPr>
        <w:t xml:space="preserve"> that CP had breached </w:t>
      </w:r>
      <w:r w:rsidR="00091A43" w:rsidRPr="009A1394">
        <w:rPr>
          <w:color w:val="000000" w:themeColor="text1"/>
          <w:szCs w:val="24"/>
          <w:lang w:val="en-CA"/>
        </w:rPr>
        <w:t>that duty</w:t>
      </w:r>
      <w:r w:rsidR="00335D96" w:rsidRPr="009A1394">
        <w:rPr>
          <w:color w:val="000000" w:themeColor="text1"/>
          <w:szCs w:val="24"/>
          <w:lang w:val="en-CA"/>
        </w:rPr>
        <w:t>.</w:t>
      </w:r>
    </w:p>
    <w:p w14:paraId="4D327CEA" w14:textId="2012B51F" w:rsidR="00091A43" w:rsidRPr="009A1394" w:rsidRDefault="00335D96" w:rsidP="00720E8B">
      <w:pPr>
        <w:pStyle w:val="Paragraphe"/>
        <w:numPr>
          <w:ilvl w:val="0"/>
          <w:numId w:val="1"/>
        </w:numPr>
        <w:rPr>
          <w:color w:val="000000" w:themeColor="text1"/>
          <w:szCs w:val="24"/>
          <w:lang w:val="en-CA"/>
        </w:rPr>
      </w:pPr>
      <w:r w:rsidRPr="009A1394">
        <w:rPr>
          <w:color w:val="000000" w:themeColor="text1"/>
          <w:szCs w:val="24"/>
          <w:lang w:val="en-CA"/>
        </w:rPr>
        <w:t>To prove that CP had a duty to inform in the circumstances, the appellants had to meet the criteria established by the case law, which this Court, quoting Baudo</w:t>
      </w:r>
      <w:r w:rsidR="002F1899" w:rsidRPr="009A1394">
        <w:rPr>
          <w:color w:val="000000" w:themeColor="text1"/>
          <w:szCs w:val="24"/>
          <w:lang w:val="en-CA"/>
        </w:rPr>
        <w:t>u</w:t>
      </w:r>
      <w:r w:rsidRPr="009A1394">
        <w:rPr>
          <w:color w:val="000000" w:themeColor="text1"/>
          <w:szCs w:val="24"/>
          <w:lang w:val="en-CA"/>
        </w:rPr>
        <w:t xml:space="preserve">in, Jobin, and Vézina in </w:t>
      </w:r>
      <w:r w:rsidRPr="009A1394">
        <w:rPr>
          <w:i/>
          <w:iCs/>
          <w:color w:val="000000" w:themeColor="text1"/>
          <w:szCs w:val="24"/>
          <w:lang w:val="en-CA"/>
        </w:rPr>
        <w:t>Les obligati</w:t>
      </w:r>
      <w:r w:rsidR="00F3329C" w:rsidRPr="009A1394">
        <w:rPr>
          <w:i/>
          <w:iCs/>
          <w:color w:val="000000" w:themeColor="text1"/>
          <w:szCs w:val="24"/>
          <w:lang w:val="en-CA"/>
        </w:rPr>
        <w:t>o</w:t>
      </w:r>
      <w:r w:rsidRPr="009A1394">
        <w:rPr>
          <w:i/>
          <w:iCs/>
          <w:color w:val="000000" w:themeColor="text1"/>
          <w:szCs w:val="24"/>
          <w:lang w:val="en-CA"/>
        </w:rPr>
        <w:t>ns</w:t>
      </w:r>
      <w:r w:rsidRPr="009A1394">
        <w:rPr>
          <w:color w:val="000000" w:themeColor="text1"/>
          <w:szCs w:val="24"/>
          <w:lang w:val="en-CA"/>
        </w:rPr>
        <w:t xml:space="preserve">, stated in the following terms in </w:t>
      </w:r>
      <w:r w:rsidRPr="009A1394">
        <w:rPr>
          <w:i/>
          <w:color w:val="000000" w:themeColor="text1"/>
          <w:szCs w:val="24"/>
          <w:lang w:val="en-CA"/>
        </w:rPr>
        <w:t>Daimler Canada ltée</w:t>
      </w:r>
      <w:r w:rsidRPr="009A1394">
        <w:rPr>
          <w:color w:val="000000" w:themeColor="text1"/>
          <w:szCs w:val="24"/>
          <w:lang w:val="en-CA"/>
        </w:rPr>
        <w:t>:</w:t>
      </w:r>
    </w:p>
    <w:p w14:paraId="67BD6D30" w14:textId="6EE96AFF" w:rsidR="00702A59" w:rsidRPr="009A1394" w:rsidRDefault="00091A43" w:rsidP="001F1387">
      <w:pPr>
        <w:pStyle w:val="Paragraphe"/>
        <w:ind w:left="709"/>
        <w:rPr>
          <w:color w:val="000000" w:themeColor="text1"/>
          <w:szCs w:val="24"/>
          <w:lang w:val="en-CA"/>
        </w:rPr>
      </w:pPr>
      <w:r w:rsidRPr="009A1394">
        <w:rPr>
          <w:smallCaps/>
          <w:lang w:val="en-CA"/>
        </w:rPr>
        <w:t>[translation</w:t>
      </w:r>
      <w:r w:rsidRPr="009A1394">
        <w:rPr>
          <w:color w:val="000000" w:themeColor="text1"/>
          <w:szCs w:val="24"/>
          <w:lang w:val="en-CA"/>
        </w:rPr>
        <w:t>]</w:t>
      </w:r>
      <w:r w:rsidR="00335D96" w:rsidRPr="009A1394">
        <w:rPr>
          <w:i/>
          <w:color w:val="000000" w:themeColor="text1"/>
          <w:szCs w:val="24"/>
          <w:lang w:val="en-CA"/>
        </w:rPr>
        <w:t> </w:t>
      </w:r>
      <w:r w:rsidR="00335D96" w:rsidRPr="009A1394">
        <w:rPr>
          <w:color w:val="000000" w:themeColor="text1"/>
          <w:szCs w:val="24"/>
          <w:lang w:val="en-CA"/>
        </w:rPr>
        <w:t xml:space="preserve"> </w:t>
      </w:r>
    </w:p>
    <w:p w14:paraId="6912C252" w14:textId="3144585B" w:rsidR="00702A59" w:rsidRPr="009A1394" w:rsidRDefault="00335D96" w:rsidP="00720E8B">
      <w:pPr>
        <w:pStyle w:val="Citationenretrait"/>
        <w:ind w:left="1276" w:hanging="567"/>
        <w:rPr>
          <w:color w:val="000000" w:themeColor="text1"/>
          <w:lang w:val="en-CA"/>
        </w:rPr>
      </w:pPr>
      <w:r w:rsidRPr="009A1394">
        <w:rPr>
          <w:color w:val="000000" w:themeColor="text1"/>
          <w:lang w:val="en-CA"/>
        </w:rPr>
        <w:t>1-</w:t>
      </w:r>
      <w:r w:rsidR="008161A3" w:rsidRPr="009A1394">
        <w:rPr>
          <w:color w:val="000000" w:themeColor="text1"/>
          <w:lang w:val="en-CA"/>
        </w:rPr>
        <w:tab/>
      </w:r>
      <w:r w:rsidR="00CB45AF" w:rsidRPr="009A1394">
        <w:rPr>
          <w:color w:val="000000" w:themeColor="text1"/>
          <w:lang w:val="en-CA"/>
        </w:rPr>
        <w:t xml:space="preserve">The information must be </w:t>
      </w:r>
      <w:r w:rsidR="00F3329C" w:rsidRPr="009A1394">
        <w:rPr>
          <w:color w:val="000000" w:themeColor="text1"/>
          <w:lang w:val="en-CA"/>
        </w:rPr>
        <w:t>of decisive importance</w:t>
      </w:r>
      <w:r w:rsidR="00CB45AF" w:rsidRPr="009A1394">
        <w:rPr>
          <w:color w:val="000000" w:themeColor="text1"/>
          <w:lang w:val="en-CA"/>
        </w:rPr>
        <w:t xml:space="preserve"> in the sense that it certainly played a role in a party’s decision;</w:t>
      </w:r>
    </w:p>
    <w:p w14:paraId="0FB5B59C" w14:textId="3B8D1366" w:rsidR="00702A59" w:rsidRPr="009A1394" w:rsidRDefault="00CB45AF" w:rsidP="00720E8B">
      <w:pPr>
        <w:pStyle w:val="Citationenretrait"/>
        <w:ind w:left="1276" w:hanging="567"/>
        <w:rPr>
          <w:color w:val="000000" w:themeColor="text1"/>
          <w:lang w:val="en-CA"/>
        </w:rPr>
      </w:pPr>
      <w:r w:rsidRPr="009A1394">
        <w:rPr>
          <w:color w:val="000000" w:themeColor="text1"/>
          <w:lang w:val="en-CA"/>
        </w:rPr>
        <w:lastRenderedPageBreak/>
        <w:t>2-</w:t>
      </w:r>
      <w:r w:rsidR="008161A3" w:rsidRPr="009A1394">
        <w:rPr>
          <w:color w:val="000000" w:themeColor="text1"/>
          <w:lang w:val="en-CA"/>
        </w:rPr>
        <w:tab/>
      </w:r>
      <w:r w:rsidR="0093578E" w:rsidRPr="009A1394">
        <w:rPr>
          <w:color w:val="000000" w:themeColor="text1"/>
          <w:lang w:val="en-CA"/>
        </w:rPr>
        <w:t>The</w:t>
      </w:r>
      <w:r w:rsidR="00F3329C" w:rsidRPr="009A1394">
        <w:rPr>
          <w:color w:val="000000" w:themeColor="text1"/>
          <w:lang w:val="en-CA"/>
        </w:rPr>
        <w:t xml:space="preserve"> information</w:t>
      </w:r>
      <w:r w:rsidR="0093578E" w:rsidRPr="009A1394">
        <w:rPr>
          <w:color w:val="000000" w:themeColor="text1"/>
          <w:lang w:val="en-CA"/>
        </w:rPr>
        <w:t xml:space="preserve"> must be known, or presumed to be known</w:t>
      </w:r>
      <w:r w:rsidR="00F3329C" w:rsidRPr="009A1394">
        <w:rPr>
          <w:color w:val="000000" w:themeColor="text1"/>
          <w:lang w:val="en-CA"/>
        </w:rPr>
        <w:t>, by the party that owes the obligation to inform</w:t>
      </w:r>
      <w:r w:rsidRPr="009A1394">
        <w:rPr>
          <w:color w:val="000000" w:themeColor="text1"/>
          <w:lang w:val="en-CA"/>
        </w:rPr>
        <w:t>;</w:t>
      </w:r>
    </w:p>
    <w:p w14:paraId="4904D1C7" w14:textId="79430DBA" w:rsidR="00702A59" w:rsidRPr="009A1394" w:rsidRDefault="00CB45AF" w:rsidP="00720E8B">
      <w:pPr>
        <w:pStyle w:val="Citationenretrait"/>
        <w:ind w:left="1276" w:hanging="567"/>
        <w:rPr>
          <w:color w:val="000000" w:themeColor="text1"/>
          <w:lang w:val="en-CA"/>
        </w:rPr>
      </w:pPr>
      <w:r w:rsidRPr="009A1394">
        <w:rPr>
          <w:color w:val="000000" w:themeColor="text1"/>
          <w:lang w:val="en-CA"/>
        </w:rPr>
        <w:t>3-</w:t>
      </w:r>
      <w:r w:rsidR="008161A3" w:rsidRPr="009A1394">
        <w:rPr>
          <w:color w:val="000000" w:themeColor="text1"/>
          <w:lang w:val="en-CA"/>
        </w:rPr>
        <w:tab/>
      </w:r>
      <w:r w:rsidRPr="009A1394">
        <w:rPr>
          <w:color w:val="000000" w:themeColor="text1"/>
          <w:lang w:val="en-CA"/>
        </w:rPr>
        <w:t xml:space="preserve">The </w:t>
      </w:r>
      <w:r w:rsidR="00F97BC6" w:rsidRPr="009A1394">
        <w:rPr>
          <w:color w:val="000000" w:themeColor="text1"/>
          <w:lang w:val="en-CA"/>
        </w:rPr>
        <w:t>party to whom</w:t>
      </w:r>
      <w:r w:rsidRPr="009A1394">
        <w:rPr>
          <w:color w:val="000000" w:themeColor="text1"/>
          <w:lang w:val="en-CA"/>
        </w:rPr>
        <w:t xml:space="preserve"> the information</w:t>
      </w:r>
      <w:r w:rsidR="00F97BC6" w:rsidRPr="009A1394">
        <w:rPr>
          <w:color w:val="000000" w:themeColor="text1"/>
          <w:lang w:val="en-CA"/>
        </w:rPr>
        <w:t xml:space="preserve"> is owed</w:t>
      </w:r>
      <w:r w:rsidRPr="009A1394">
        <w:rPr>
          <w:color w:val="000000" w:themeColor="text1"/>
          <w:lang w:val="en-CA"/>
        </w:rPr>
        <w:t xml:space="preserve"> must not know the information </w:t>
      </w:r>
      <w:r w:rsidR="008D10C6" w:rsidRPr="009A1394">
        <w:rPr>
          <w:color w:val="000000" w:themeColor="text1"/>
          <w:lang w:val="en-CA"/>
        </w:rPr>
        <w:t>n</w:t>
      </w:r>
      <w:r w:rsidRPr="009A1394">
        <w:rPr>
          <w:color w:val="000000" w:themeColor="text1"/>
          <w:lang w:val="en-CA"/>
        </w:rPr>
        <w:t>or be able to obtain it</w:t>
      </w:r>
      <w:r w:rsidR="008D10C6" w:rsidRPr="009A1394">
        <w:rPr>
          <w:color w:val="000000" w:themeColor="text1"/>
          <w:lang w:val="en-CA"/>
        </w:rPr>
        <w:t>,</w:t>
      </w:r>
      <w:r w:rsidRPr="009A1394">
        <w:rPr>
          <w:color w:val="000000" w:themeColor="text1"/>
          <w:lang w:val="en-CA"/>
        </w:rPr>
        <w:t xml:space="preserve"> or </w:t>
      </w:r>
      <w:r w:rsidR="008D10C6" w:rsidRPr="009A1394">
        <w:rPr>
          <w:color w:val="000000" w:themeColor="text1"/>
          <w:lang w:val="en-CA"/>
        </w:rPr>
        <w:t xml:space="preserve">it </w:t>
      </w:r>
      <w:r w:rsidRPr="009A1394">
        <w:rPr>
          <w:color w:val="000000" w:themeColor="text1"/>
          <w:lang w:val="en-CA"/>
        </w:rPr>
        <w:t xml:space="preserve">must have a relationship of trust with the </w:t>
      </w:r>
      <w:r w:rsidR="008D10C6" w:rsidRPr="009A1394">
        <w:rPr>
          <w:color w:val="000000" w:themeColor="text1"/>
          <w:lang w:val="en-CA"/>
        </w:rPr>
        <w:t>party which owes</w:t>
      </w:r>
      <w:r w:rsidRPr="009A1394">
        <w:rPr>
          <w:color w:val="000000" w:themeColor="text1"/>
          <w:lang w:val="en-CA"/>
        </w:rPr>
        <w:t xml:space="preserve"> the obligation</w:t>
      </w:r>
      <w:r w:rsidR="0093578E" w:rsidRPr="009A1394">
        <w:rPr>
          <w:color w:val="000000" w:themeColor="text1"/>
          <w:lang w:val="en-CA"/>
        </w:rPr>
        <w:t>,</w:t>
      </w:r>
      <w:r w:rsidRPr="009A1394">
        <w:rPr>
          <w:color w:val="000000" w:themeColor="text1"/>
          <w:lang w:val="en-CA"/>
        </w:rPr>
        <w:t xml:space="preserve"> such that </w:t>
      </w:r>
      <w:r w:rsidR="0093578E" w:rsidRPr="009A1394">
        <w:rPr>
          <w:color w:val="000000" w:themeColor="text1"/>
          <w:lang w:val="en-CA"/>
        </w:rPr>
        <w:t>it</w:t>
      </w:r>
      <w:r w:rsidRPr="009A1394">
        <w:rPr>
          <w:color w:val="000000" w:themeColor="text1"/>
          <w:lang w:val="en-CA"/>
        </w:rPr>
        <w:t xml:space="preserve"> </w:t>
      </w:r>
      <w:r w:rsidR="008D10C6" w:rsidRPr="009A1394">
        <w:rPr>
          <w:color w:val="000000" w:themeColor="text1"/>
          <w:lang w:val="en-CA"/>
        </w:rPr>
        <w:t>expects</w:t>
      </w:r>
      <w:r w:rsidR="00E46A07" w:rsidRPr="009A1394">
        <w:rPr>
          <w:color w:val="000000" w:themeColor="text1"/>
          <w:lang w:val="en-CA"/>
        </w:rPr>
        <w:t xml:space="preserve"> </w:t>
      </w:r>
      <w:r w:rsidR="0093578E" w:rsidRPr="009A1394">
        <w:rPr>
          <w:color w:val="000000" w:themeColor="text1"/>
          <w:lang w:val="en-CA"/>
        </w:rPr>
        <w:t>that the latter</w:t>
      </w:r>
      <w:r w:rsidRPr="009A1394">
        <w:rPr>
          <w:color w:val="000000" w:themeColor="text1"/>
          <w:lang w:val="en-CA"/>
        </w:rPr>
        <w:t xml:space="preserve"> </w:t>
      </w:r>
      <w:r w:rsidR="0093578E" w:rsidRPr="009A1394">
        <w:rPr>
          <w:color w:val="000000" w:themeColor="text1"/>
          <w:lang w:val="en-CA"/>
        </w:rPr>
        <w:t>will</w:t>
      </w:r>
      <w:r w:rsidRPr="009A1394">
        <w:rPr>
          <w:color w:val="000000" w:themeColor="text1"/>
          <w:lang w:val="en-CA"/>
        </w:rPr>
        <w:t xml:space="preserve"> reveal the information</w:t>
      </w:r>
      <w:r w:rsidR="008D10C6" w:rsidRPr="009A1394">
        <w:rPr>
          <w:color w:val="000000" w:themeColor="text1"/>
          <w:lang w:val="en-CA"/>
        </w:rPr>
        <w:t xml:space="preserve"> to </w:t>
      </w:r>
      <w:r w:rsidR="0093578E" w:rsidRPr="009A1394">
        <w:rPr>
          <w:color w:val="000000" w:themeColor="text1"/>
          <w:lang w:val="en-CA"/>
        </w:rPr>
        <w:t>it</w:t>
      </w:r>
      <w:r w:rsidRPr="009A1394">
        <w:rPr>
          <w:color w:val="000000" w:themeColor="text1"/>
          <w:lang w:val="en-CA"/>
        </w:rPr>
        <w:t>;</w:t>
      </w:r>
    </w:p>
    <w:p w14:paraId="58F08A4C" w14:textId="666E4917" w:rsidR="00702A59" w:rsidRPr="009A1394" w:rsidRDefault="00CB45AF" w:rsidP="00720E8B">
      <w:pPr>
        <w:pStyle w:val="Citationenretrait"/>
        <w:ind w:left="1276" w:hanging="567"/>
        <w:rPr>
          <w:color w:val="000000" w:themeColor="text1"/>
          <w:lang w:val="en-CA"/>
        </w:rPr>
      </w:pPr>
      <w:r w:rsidRPr="009A1394">
        <w:rPr>
          <w:color w:val="000000" w:themeColor="text1"/>
          <w:lang w:val="en-CA"/>
        </w:rPr>
        <w:t>4-</w:t>
      </w:r>
      <w:r w:rsidR="00031B78" w:rsidRPr="009A1394">
        <w:rPr>
          <w:color w:val="000000" w:themeColor="text1"/>
          <w:lang w:val="en-CA"/>
        </w:rPr>
        <w:tab/>
      </w:r>
      <w:r w:rsidRPr="009A1394">
        <w:rPr>
          <w:lang w:val="en-CA"/>
        </w:rPr>
        <w:t xml:space="preserve">The </w:t>
      </w:r>
      <w:r w:rsidR="0093578E" w:rsidRPr="009A1394">
        <w:rPr>
          <w:lang w:val="en-CA"/>
        </w:rPr>
        <w:t>obligation</w:t>
      </w:r>
      <w:r w:rsidRPr="009A1394">
        <w:rPr>
          <w:lang w:val="en-CA"/>
        </w:rPr>
        <w:t xml:space="preserve"> to inform does not extend to information that the </w:t>
      </w:r>
      <w:r w:rsidR="008D10C6" w:rsidRPr="009A1394">
        <w:rPr>
          <w:lang w:val="en-CA"/>
        </w:rPr>
        <w:t>person to whom this obligation is owed</w:t>
      </w:r>
      <w:r w:rsidRPr="009A1394">
        <w:rPr>
          <w:lang w:val="en-CA"/>
        </w:rPr>
        <w:t xml:space="preserve"> could access with “reasonable diligence and prudence: that is the duty to inform </w:t>
      </w:r>
      <w:r w:rsidR="0093578E" w:rsidRPr="009A1394">
        <w:rPr>
          <w:lang w:val="en-CA"/>
        </w:rPr>
        <w:t>it</w:t>
      </w:r>
      <w:r w:rsidRPr="009A1394">
        <w:rPr>
          <w:lang w:val="en-CA"/>
        </w:rPr>
        <w:t>self”.</w:t>
      </w:r>
      <w:r w:rsidR="008161A3" w:rsidRPr="009A1394">
        <w:rPr>
          <w:rStyle w:val="Appelnotedebasdep"/>
          <w:color w:val="000000" w:themeColor="text1"/>
          <w:szCs w:val="24"/>
          <w:lang w:val="en-CA"/>
        </w:rPr>
        <w:footnoteReference w:id="229"/>
      </w:r>
    </w:p>
    <w:p w14:paraId="1EF658A2" w14:textId="2CB2A698" w:rsidR="00702A59" w:rsidRPr="009A1394" w:rsidRDefault="00D8773E" w:rsidP="007009AA">
      <w:pPr>
        <w:pStyle w:val="Paragraphe"/>
        <w:numPr>
          <w:ilvl w:val="0"/>
          <w:numId w:val="1"/>
        </w:numPr>
        <w:rPr>
          <w:color w:val="000000" w:themeColor="text1"/>
          <w:szCs w:val="24"/>
          <w:lang w:val="en-CA"/>
        </w:rPr>
      </w:pPr>
      <w:r w:rsidRPr="009A1394">
        <w:rPr>
          <w:color w:val="000000" w:themeColor="text1"/>
          <w:szCs w:val="24"/>
          <w:lang w:val="en-CA"/>
        </w:rPr>
        <w:t>Because</w:t>
      </w:r>
      <w:r w:rsidR="00CB45AF" w:rsidRPr="009A1394">
        <w:rPr>
          <w:color w:val="000000" w:themeColor="text1"/>
          <w:szCs w:val="24"/>
          <w:lang w:val="en-CA"/>
        </w:rPr>
        <w:t xml:space="preserve"> the appellants failed to </w:t>
      </w:r>
      <w:r w:rsidRPr="009A1394">
        <w:rPr>
          <w:color w:val="000000" w:themeColor="text1"/>
          <w:szCs w:val="24"/>
          <w:lang w:val="en-CA"/>
        </w:rPr>
        <w:t>demonstrate</w:t>
      </w:r>
      <w:r w:rsidR="00CB45AF" w:rsidRPr="009A1394">
        <w:rPr>
          <w:color w:val="000000" w:themeColor="text1"/>
          <w:szCs w:val="24"/>
          <w:lang w:val="en-CA"/>
        </w:rPr>
        <w:t xml:space="preserve"> that the information in question was known or presumed to be known by CP, they failed to meet the most basic aspect of these criteria.</w:t>
      </w:r>
      <w:r w:rsidR="008161A3" w:rsidRPr="009A1394">
        <w:rPr>
          <w:color w:val="000000" w:themeColor="text1"/>
          <w:szCs w:val="24"/>
          <w:lang w:val="en-CA"/>
        </w:rPr>
        <w:t xml:space="preserve"> </w:t>
      </w:r>
      <w:r w:rsidR="00CB45AF" w:rsidRPr="009A1394">
        <w:rPr>
          <w:szCs w:val="24"/>
          <w:lang w:val="en-CA"/>
        </w:rPr>
        <w:t xml:space="preserve">In any event, they failed to establish that the information available to CP was not already known </w:t>
      </w:r>
      <w:r w:rsidR="007009AA" w:rsidRPr="009A1394">
        <w:rPr>
          <w:szCs w:val="24"/>
          <w:lang w:val="en-CA"/>
        </w:rPr>
        <w:t>by</w:t>
      </w:r>
      <w:r w:rsidR="00CB45AF" w:rsidRPr="009A1394">
        <w:rPr>
          <w:szCs w:val="24"/>
          <w:lang w:val="en-CA"/>
        </w:rPr>
        <w:t xml:space="preserve"> the other parties.</w:t>
      </w:r>
      <w:r w:rsidR="008161A3" w:rsidRPr="009A1394">
        <w:rPr>
          <w:color w:val="000000" w:themeColor="text1"/>
          <w:szCs w:val="24"/>
          <w:lang w:val="en-CA"/>
        </w:rPr>
        <w:t xml:space="preserve"> </w:t>
      </w:r>
      <w:r w:rsidR="00CB45AF" w:rsidRPr="009A1394">
        <w:rPr>
          <w:szCs w:val="24"/>
          <w:lang w:val="en-CA"/>
        </w:rPr>
        <w:t xml:space="preserve">In this respect, it is important to point out that Irving and WFS, who both took part in the daily calls on the train’s progress, had business </w:t>
      </w:r>
      <w:r w:rsidR="007009AA" w:rsidRPr="009A1394">
        <w:rPr>
          <w:szCs w:val="24"/>
          <w:lang w:val="en-CA"/>
        </w:rPr>
        <w:t>dealings</w:t>
      </w:r>
      <w:r w:rsidR="00CB45AF" w:rsidRPr="009A1394">
        <w:rPr>
          <w:szCs w:val="24"/>
          <w:lang w:val="en-CA"/>
        </w:rPr>
        <w:t xml:space="preserve"> with MMA that were separate f</w:t>
      </w:r>
      <w:r w:rsidR="007009AA" w:rsidRPr="009A1394">
        <w:rPr>
          <w:szCs w:val="24"/>
          <w:lang w:val="en-CA"/>
        </w:rPr>
        <w:t>r</w:t>
      </w:r>
      <w:r w:rsidR="00CB45AF" w:rsidRPr="009A1394">
        <w:rPr>
          <w:szCs w:val="24"/>
          <w:lang w:val="en-CA"/>
        </w:rPr>
        <w:t xml:space="preserve">om </w:t>
      </w:r>
      <w:r w:rsidR="007009AA" w:rsidRPr="009A1394">
        <w:rPr>
          <w:szCs w:val="24"/>
          <w:lang w:val="en-CA"/>
        </w:rPr>
        <w:t>those</w:t>
      </w:r>
      <w:r w:rsidR="00CB45AF" w:rsidRPr="009A1394">
        <w:rPr>
          <w:szCs w:val="24"/>
          <w:lang w:val="en-CA"/>
        </w:rPr>
        <w:t xml:space="preserve"> between MMA and CP.</w:t>
      </w:r>
      <w:r w:rsidR="008161A3" w:rsidRPr="009A1394">
        <w:rPr>
          <w:color w:val="000000" w:themeColor="text1"/>
          <w:szCs w:val="24"/>
          <w:lang w:val="en-CA"/>
        </w:rPr>
        <w:t xml:space="preserve"> </w:t>
      </w:r>
      <w:r w:rsidR="00CB45AF" w:rsidRPr="009A1394">
        <w:rPr>
          <w:szCs w:val="24"/>
          <w:lang w:val="en-CA"/>
        </w:rPr>
        <w:t xml:space="preserve">In addition, it is obvious that TC had much more </w:t>
      </w:r>
      <w:r w:rsidR="007009AA" w:rsidRPr="009A1394">
        <w:rPr>
          <w:szCs w:val="24"/>
          <w:lang w:val="en-CA"/>
        </w:rPr>
        <w:t>information</w:t>
      </w:r>
      <w:r w:rsidR="00CB45AF" w:rsidRPr="009A1394">
        <w:rPr>
          <w:szCs w:val="24"/>
          <w:lang w:val="en-CA"/>
        </w:rPr>
        <w:t xml:space="preserve"> than CP on MMA’s history with respect to safety and security.</w:t>
      </w:r>
      <w:r w:rsidR="008161A3" w:rsidRPr="009A1394">
        <w:rPr>
          <w:color w:val="000000" w:themeColor="text1"/>
          <w:szCs w:val="24"/>
          <w:lang w:val="en-CA"/>
        </w:rPr>
        <w:t xml:space="preserve"> </w:t>
      </w:r>
      <w:r w:rsidR="003E41E7" w:rsidRPr="009A1394">
        <w:rPr>
          <w:color w:val="000000" w:themeColor="text1"/>
          <w:szCs w:val="24"/>
          <w:lang w:val="en-CA"/>
        </w:rPr>
        <w:t>Finally</w:t>
      </w:r>
      <w:r w:rsidR="00CB45AF" w:rsidRPr="009A1394">
        <w:rPr>
          <w:color w:val="000000" w:themeColor="text1"/>
          <w:szCs w:val="24"/>
          <w:lang w:val="en-CA"/>
        </w:rPr>
        <w:t xml:space="preserve">, the appellants failed to </w:t>
      </w:r>
      <w:r w:rsidR="003E41E7" w:rsidRPr="009A1394">
        <w:rPr>
          <w:color w:val="000000" w:themeColor="text1"/>
          <w:szCs w:val="24"/>
          <w:lang w:val="en-CA"/>
        </w:rPr>
        <w:t>show</w:t>
      </w:r>
      <w:r w:rsidR="00CB45AF" w:rsidRPr="009A1394">
        <w:rPr>
          <w:color w:val="000000" w:themeColor="text1"/>
          <w:szCs w:val="24"/>
          <w:lang w:val="en-CA"/>
        </w:rPr>
        <w:t xml:space="preserve"> that</w:t>
      </w:r>
      <w:r w:rsidR="007E7A50" w:rsidRPr="009A1394">
        <w:rPr>
          <w:color w:val="000000" w:themeColor="text1"/>
          <w:szCs w:val="24"/>
          <w:lang w:val="en-CA"/>
        </w:rPr>
        <w:t xml:space="preserve"> the information in CP’s possession would have played a decisive role in the decision-making process of the other parties had CP sent it to them.</w:t>
      </w:r>
    </w:p>
    <w:p w14:paraId="4F376E8B" w14:textId="0D2D4C34" w:rsidR="00702A59" w:rsidRPr="009A1394" w:rsidRDefault="003E41E7" w:rsidP="003E41E7">
      <w:pPr>
        <w:pStyle w:val="Titre2"/>
        <w:rPr>
          <w:iCs/>
          <w:lang w:val="en-CA"/>
        </w:rPr>
      </w:pPr>
      <w:r w:rsidRPr="009A1394">
        <w:rPr>
          <w:lang w:val="en-CA"/>
        </w:rPr>
        <w:t xml:space="preserve">Did the judge </w:t>
      </w:r>
      <w:r w:rsidR="00B70784" w:rsidRPr="009A1394">
        <w:rPr>
          <w:lang w:val="en-CA"/>
        </w:rPr>
        <w:t>err in finding</w:t>
      </w:r>
      <w:r w:rsidRPr="009A1394">
        <w:rPr>
          <w:lang w:val="en-CA"/>
        </w:rPr>
        <w:t xml:space="preserve"> that CP committed no fault in failing to require that WFS reclassify the crude oil</w:t>
      </w:r>
      <w:r w:rsidR="00CB45AF" w:rsidRPr="009A1394">
        <w:rPr>
          <w:lang w:val="en-CA"/>
        </w:rPr>
        <w:t>?</w:t>
      </w:r>
    </w:p>
    <w:p w14:paraId="53755B0A" w14:textId="174F37DB" w:rsidR="006B7CCE" w:rsidRPr="009A1394" w:rsidRDefault="00E17D18" w:rsidP="00720E8B">
      <w:pPr>
        <w:pStyle w:val="Paragraphe"/>
        <w:numPr>
          <w:ilvl w:val="0"/>
          <w:numId w:val="1"/>
        </w:numPr>
        <w:rPr>
          <w:color w:val="000000" w:themeColor="text1"/>
          <w:lang w:val="en-CA"/>
        </w:rPr>
      </w:pPr>
      <w:r w:rsidRPr="009A1394">
        <w:rPr>
          <w:color w:val="000000" w:themeColor="text1"/>
          <w:lang w:val="en-CA"/>
        </w:rPr>
        <w:t xml:space="preserve">As with the </w:t>
      </w:r>
      <w:r w:rsidR="008525E6" w:rsidRPr="009A1394">
        <w:rPr>
          <w:color w:val="000000" w:themeColor="text1"/>
          <w:lang w:val="en-CA"/>
        </w:rPr>
        <w:t>previous</w:t>
      </w:r>
      <w:r w:rsidRPr="009A1394">
        <w:rPr>
          <w:color w:val="000000" w:themeColor="text1"/>
          <w:lang w:val="en-CA"/>
        </w:rPr>
        <w:t xml:space="preserve"> </w:t>
      </w:r>
      <w:r w:rsidR="00D66436" w:rsidRPr="009A1394">
        <w:rPr>
          <w:color w:val="000000" w:themeColor="text1"/>
          <w:lang w:val="en-CA"/>
        </w:rPr>
        <w:t>question</w:t>
      </w:r>
      <w:r w:rsidRPr="009A1394">
        <w:rPr>
          <w:color w:val="000000" w:themeColor="text1"/>
          <w:lang w:val="en-CA"/>
        </w:rPr>
        <w:t>, the appellants addres</w:t>
      </w:r>
      <w:r w:rsidR="00D66436" w:rsidRPr="009A1394">
        <w:rPr>
          <w:color w:val="000000" w:themeColor="text1"/>
          <w:lang w:val="en-CA"/>
        </w:rPr>
        <w:t>s</w:t>
      </w:r>
      <w:r w:rsidRPr="009A1394">
        <w:rPr>
          <w:color w:val="000000" w:themeColor="text1"/>
          <w:lang w:val="en-CA"/>
        </w:rPr>
        <w:t xml:space="preserve"> this fourth</w:t>
      </w:r>
      <w:r w:rsidR="008525E6" w:rsidRPr="009A1394">
        <w:rPr>
          <w:color w:val="000000" w:themeColor="text1"/>
          <w:lang w:val="en-CA"/>
        </w:rPr>
        <w:t xml:space="preserve"> question</w:t>
      </w:r>
      <w:r w:rsidRPr="009A1394">
        <w:rPr>
          <w:color w:val="000000" w:themeColor="text1"/>
          <w:lang w:val="en-CA"/>
        </w:rPr>
        <w:t xml:space="preserve"> </w:t>
      </w:r>
      <w:r w:rsidR="008525E6" w:rsidRPr="009A1394">
        <w:rPr>
          <w:color w:val="000000" w:themeColor="text1"/>
          <w:lang w:val="en-CA"/>
        </w:rPr>
        <w:t>under</w:t>
      </w:r>
      <w:r w:rsidRPr="009A1394">
        <w:rPr>
          <w:color w:val="000000" w:themeColor="text1"/>
          <w:lang w:val="en-CA"/>
        </w:rPr>
        <w:t xml:space="preserve"> two </w:t>
      </w:r>
      <w:r w:rsidR="008525E6" w:rsidRPr="009A1394">
        <w:rPr>
          <w:color w:val="000000" w:themeColor="text1"/>
          <w:lang w:val="en-CA"/>
        </w:rPr>
        <w:t>headings</w:t>
      </w:r>
      <w:r w:rsidRPr="009A1394">
        <w:rPr>
          <w:color w:val="000000" w:themeColor="text1"/>
          <w:lang w:val="en-CA"/>
        </w:rPr>
        <w:t>: first, the error of law, and second, the error of fact or of mixed fact and law.</w:t>
      </w:r>
    </w:p>
    <w:p w14:paraId="5C865EF5" w14:textId="6B298AE1" w:rsidR="006B7CCE" w:rsidRPr="009A1394" w:rsidRDefault="00E17D18" w:rsidP="007656DC">
      <w:pPr>
        <w:pStyle w:val="Titre3"/>
        <w:rPr>
          <w:lang w:val="en-CA"/>
        </w:rPr>
      </w:pPr>
      <w:r w:rsidRPr="009A1394">
        <w:rPr>
          <w:lang w:val="en-CA"/>
        </w:rPr>
        <w:t>Error of law</w:t>
      </w:r>
    </w:p>
    <w:p w14:paraId="28E7D1C4" w14:textId="551E79F7" w:rsidR="00702A59" w:rsidRPr="009A1394" w:rsidRDefault="00E17D18" w:rsidP="00720E8B">
      <w:pPr>
        <w:pStyle w:val="Paragraphe"/>
        <w:numPr>
          <w:ilvl w:val="0"/>
          <w:numId w:val="1"/>
        </w:numPr>
        <w:rPr>
          <w:color w:val="000000" w:themeColor="text1"/>
          <w:lang w:val="en-CA"/>
        </w:rPr>
      </w:pPr>
      <w:r w:rsidRPr="009A1394">
        <w:rPr>
          <w:color w:val="000000" w:themeColor="text1"/>
          <w:lang w:val="en-CA"/>
        </w:rPr>
        <w:t>It is</w:t>
      </w:r>
      <w:r w:rsidR="008B1A47" w:rsidRPr="009A1394">
        <w:rPr>
          <w:color w:val="000000" w:themeColor="text1"/>
          <w:lang w:val="en-CA"/>
        </w:rPr>
        <w:t xml:space="preserve"> a</w:t>
      </w:r>
      <w:r w:rsidRPr="009A1394">
        <w:rPr>
          <w:color w:val="000000" w:themeColor="text1"/>
          <w:lang w:val="en-CA"/>
        </w:rPr>
        <w:t xml:space="preserve"> </w:t>
      </w:r>
      <w:r w:rsidR="009847AF" w:rsidRPr="009A1394">
        <w:rPr>
          <w:color w:val="000000" w:themeColor="text1"/>
          <w:lang w:val="en-CA"/>
        </w:rPr>
        <w:t>known</w:t>
      </w:r>
      <w:r w:rsidR="008B1A47" w:rsidRPr="009A1394">
        <w:rPr>
          <w:color w:val="000000" w:themeColor="text1"/>
          <w:lang w:val="en-CA"/>
        </w:rPr>
        <w:t xml:space="preserve"> fact</w:t>
      </w:r>
      <w:r w:rsidRPr="009A1394">
        <w:rPr>
          <w:color w:val="000000" w:themeColor="text1"/>
          <w:lang w:val="en-CA"/>
        </w:rPr>
        <w:t xml:space="preserve"> that crude oil is a flammable liquid.</w:t>
      </w:r>
      <w:r w:rsidR="008161A3" w:rsidRPr="009A1394">
        <w:rPr>
          <w:color w:val="000000" w:themeColor="text1"/>
          <w:lang w:val="en-CA"/>
        </w:rPr>
        <w:t xml:space="preserve"> </w:t>
      </w:r>
      <w:r w:rsidRPr="009A1394">
        <w:rPr>
          <w:color w:val="000000" w:themeColor="text1"/>
          <w:lang w:val="en-CA"/>
        </w:rPr>
        <w:t xml:space="preserve">Its </w:t>
      </w:r>
      <w:r w:rsidR="00E8142A" w:rsidRPr="009A1394">
        <w:rPr>
          <w:color w:val="000000" w:themeColor="text1"/>
          <w:lang w:val="en-CA"/>
        </w:rPr>
        <w:t>transportation</w:t>
      </w:r>
      <w:r w:rsidRPr="009A1394">
        <w:rPr>
          <w:color w:val="000000" w:themeColor="text1"/>
          <w:lang w:val="en-CA"/>
        </w:rPr>
        <w:t xml:space="preserve"> is governed by dangerous goods legislation.</w:t>
      </w:r>
      <w:r w:rsidRPr="009A1394">
        <w:rPr>
          <w:rStyle w:val="Appelnotedebasdep"/>
          <w:color w:val="000000" w:themeColor="text1"/>
          <w:lang w:val="en-CA"/>
        </w:rPr>
        <w:footnoteReference w:id="230"/>
      </w:r>
      <w:r w:rsidR="008161A3" w:rsidRPr="009A1394">
        <w:rPr>
          <w:color w:val="000000" w:themeColor="text1"/>
          <w:lang w:val="en-CA"/>
        </w:rPr>
        <w:t xml:space="preserve"> </w:t>
      </w:r>
      <w:bookmarkStart w:id="21" w:name="_Hlk191457575"/>
      <w:r w:rsidRPr="009A1394">
        <w:rPr>
          <w:color w:val="000000" w:themeColor="text1"/>
          <w:lang w:val="en-CA"/>
        </w:rPr>
        <w:t xml:space="preserve">As the Court has </w:t>
      </w:r>
      <w:r w:rsidR="008525E6" w:rsidRPr="009A1394">
        <w:rPr>
          <w:color w:val="000000" w:themeColor="text1"/>
          <w:lang w:val="en-CA"/>
        </w:rPr>
        <w:t>already noted</w:t>
      </w:r>
      <w:r w:rsidRPr="009A1394">
        <w:rPr>
          <w:color w:val="000000" w:themeColor="text1"/>
          <w:lang w:val="en-CA"/>
        </w:rPr>
        <w:t xml:space="preserve">, </w:t>
      </w:r>
      <w:r w:rsidR="003118C4" w:rsidRPr="009A1394">
        <w:rPr>
          <w:color w:val="000000" w:themeColor="text1"/>
          <w:lang w:val="en-CA"/>
        </w:rPr>
        <w:t>crude oil</w:t>
      </w:r>
      <w:r w:rsidRPr="009A1394">
        <w:rPr>
          <w:color w:val="000000" w:themeColor="text1"/>
          <w:lang w:val="en-CA"/>
        </w:rPr>
        <w:t xml:space="preserve"> </w:t>
      </w:r>
      <w:r w:rsidR="00B63084" w:rsidRPr="009A1394">
        <w:rPr>
          <w:color w:val="000000" w:themeColor="text1"/>
          <w:lang w:val="en-CA"/>
        </w:rPr>
        <w:t xml:space="preserve">is classified </w:t>
      </w:r>
      <w:r w:rsidRPr="009A1394">
        <w:rPr>
          <w:color w:val="000000" w:themeColor="text1"/>
          <w:lang w:val="en-CA"/>
        </w:rPr>
        <w:t xml:space="preserve">for </w:t>
      </w:r>
      <w:r w:rsidR="00E8142A" w:rsidRPr="009A1394">
        <w:rPr>
          <w:color w:val="000000" w:themeColor="text1"/>
          <w:lang w:val="en-CA"/>
        </w:rPr>
        <w:t>transportation</w:t>
      </w:r>
      <w:r w:rsidRPr="009A1394">
        <w:rPr>
          <w:color w:val="000000" w:themeColor="text1"/>
          <w:lang w:val="en-CA"/>
        </w:rPr>
        <w:t xml:space="preserve"> based on its degree of dangerousness.</w:t>
      </w:r>
      <w:r w:rsidRPr="009A1394">
        <w:rPr>
          <w:rStyle w:val="Appelnotedebasdep"/>
          <w:color w:val="000000" w:themeColor="text1"/>
          <w:lang w:val="en-CA"/>
        </w:rPr>
        <w:footnoteReference w:id="231"/>
      </w:r>
    </w:p>
    <w:bookmarkEnd w:id="21"/>
    <w:p w14:paraId="60671CD3" w14:textId="54D55B9B" w:rsidR="00702A59" w:rsidRPr="009A1394" w:rsidRDefault="00E17D18" w:rsidP="00720E8B">
      <w:pPr>
        <w:pStyle w:val="Paragraphe"/>
        <w:numPr>
          <w:ilvl w:val="0"/>
          <w:numId w:val="1"/>
        </w:numPr>
        <w:rPr>
          <w:color w:val="000000" w:themeColor="text1"/>
          <w:lang w:val="en-CA"/>
        </w:rPr>
      </w:pPr>
      <w:r w:rsidRPr="009A1394">
        <w:rPr>
          <w:color w:val="000000" w:themeColor="text1"/>
          <w:lang w:val="en-CA"/>
        </w:rPr>
        <w:t xml:space="preserve">It is not contested that the crude oil at issue here was </w:t>
      </w:r>
      <w:r w:rsidR="003118C4" w:rsidRPr="009A1394">
        <w:rPr>
          <w:color w:val="000000" w:themeColor="text1"/>
          <w:lang w:val="en-CA"/>
        </w:rPr>
        <w:t>improperly</w:t>
      </w:r>
      <w:r w:rsidRPr="009A1394">
        <w:rPr>
          <w:color w:val="000000" w:themeColor="text1"/>
          <w:lang w:val="en-CA"/>
        </w:rPr>
        <w:t xml:space="preserve"> </w:t>
      </w:r>
      <w:r w:rsidR="003118C4" w:rsidRPr="009A1394">
        <w:rPr>
          <w:color w:val="000000" w:themeColor="text1"/>
          <w:lang w:val="en-CA"/>
        </w:rPr>
        <w:t>classified</w:t>
      </w:r>
      <w:r w:rsidRPr="009A1394">
        <w:rPr>
          <w:color w:val="000000" w:themeColor="text1"/>
          <w:lang w:val="en-CA"/>
        </w:rPr>
        <w:t xml:space="preserve"> </w:t>
      </w:r>
      <w:r w:rsidR="00B63084" w:rsidRPr="009A1394">
        <w:rPr>
          <w:color w:val="000000" w:themeColor="text1"/>
          <w:lang w:val="en-CA"/>
        </w:rPr>
        <w:t>in the</w:t>
      </w:r>
      <w:r w:rsidRPr="009A1394">
        <w:rPr>
          <w:color w:val="000000" w:themeColor="text1"/>
          <w:lang w:val="en-CA"/>
        </w:rPr>
        <w:t xml:space="preserve"> PG-III</w:t>
      </w:r>
      <w:r w:rsidR="00B63084" w:rsidRPr="009A1394">
        <w:rPr>
          <w:color w:val="000000" w:themeColor="text1"/>
          <w:lang w:val="en-CA"/>
        </w:rPr>
        <w:t xml:space="preserve"> group</w:t>
      </w:r>
      <w:r w:rsidRPr="009A1394">
        <w:rPr>
          <w:color w:val="000000" w:themeColor="text1"/>
          <w:lang w:val="en-CA"/>
        </w:rPr>
        <w:t>, when it should have been designated as PG-I or PG-II.</w:t>
      </w:r>
      <w:r w:rsidR="00087A87" w:rsidRPr="009A1394">
        <w:rPr>
          <w:color w:val="000000" w:themeColor="text1"/>
          <w:lang w:val="en-CA"/>
        </w:rPr>
        <w:t xml:space="preserve"> </w:t>
      </w:r>
      <w:r w:rsidRPr="009A1394">
        <w:rPr>
          <w:color w:val="000000" w:themeColor="text1"/>
          <w:lang w:val="en-CA"/>
        </w:rPr>
        <w:t xml:space="preserve">The appellants argue </w:t>
      </w:r>
      <w:r w:rsidRPr="009A1394">
        <w:rPr>
          <w:color w:val="000000" w:themeColor="text1"/>
          <w:lang w:val="en-CA"/>
        </w:rPr>
        <w:lastRenderedPageBreak/>
        <w:t xml:space="preserve">that CP had a duty to </w:t>
      </w:r>
      <w:r w:rsidR="009847AF" w:rsidRPr="009A1394">
        <w:rPr>
          <w:color w:val="000000" w:themeColor="text1"/>
          <w:lang w:val="en-CA"/>
        </w:rPr>
        <w:t>detect</w:t>
      </w:r>
      <w:r w:rsidRPr="009A1394">
        <w:rPr>
          <w:color w:val="000000" w:themeColor="text1"/>
          <w:lang w:val="en-CA"/>
        </w:rPr>
        <w:t xml:space="preserve"> this error and </w:t>
      </w:r>
      <w:r w:rsidR="003118C4" w:rsidRPr="009A1394">
        <w:rPr>
          <w:color w:val="000000" w:themeColor="text1"/>
          <w:lang w:val="en-CA"/>
        </w:rPr>
        <w:t>en</w:t>
      </w:r>
      <w:r w:rsidRPr="009A1394">
        <w:rPr>
          <w:color w:val="000000" w:themeColor="text1"/>
          <w:lang w:val="en-CA"/>
        </w:rPr>
        <w:t>sure that it was corrected.</w:t>
      </w:r>
      <w:r w:rsidR="00087A87" w:rsidRPr="009A1394">
        <w:rPr>
          <w:color w:val="000000" w:themeColor="text1"/>
          <w:lang w:val="en-CA"/>
        </w:rPr>
        <w:t xml:space="preserve"> </w:t>
      </w:r>
      <w:r w:rsidRPr="009A1394">
        <w:rPr>
          <w:color w:val="000000" w:themeColor="text1"/>
          <w:lang w:val="en-CA"/>
        </w:rPr>
        <w:t xml:space="preserve">They argue that the judge erred in </w:t>
      </w:r>
      <w:r w:rsidR="008B1A47" w:rsidRPr="009A1394">
        <w:rPr>
          <w:color w:val="000000" w:themeColor="text1"/>
          <w:lang w:val="en-CA"/>
        </w:rPr>
        <w:t>finding otherwise</w:t>
      </w:r>
      <w:r w:rsidRPr="009A1394">
        <w:rPr>
          <w:color w:val="000000" w:themeColor="text1"/>
          <w:lang w:val="en-CA"/>
        </w:rPr>
        <w:t xml:space="preserve">. </w:t>
      </w:r>
    </w:p>
    <w:p w14:paraId="6EC9B593" w14:textId="42D3D8DA" w:rsidR="00702A59" w:rsidRPr="009A1394" w:rsidRDefault="00E17D18" w:rsidP="00720E8B">
      <w:pPr>
        <w:pStyle w:val="Paragraphe"/>
        <w:numPr>
          <w:ilvl w:val="0"/>
          <w:numId w:val="1"/>
        </w:numPr>
        <w:rPr>
          <w:color w:val="000000" w:themeColor="text1"/>
          <w:lang w:val="en-CA"/>
        </w:rPr>
      </w:pPr>
      <w:r w:rsidRPr="009A1394">
        <w:rPr>
          <w:color w:val="000000" w:themeColor="text1"/>
          <w:lang w:val="en-CA"/>
        </w:rPr>
        <w:t xml:space="preserve">The judge </w:t>
      </w:r>
      <w:r w:rsidR="00DD4448" w:rsidRPr="009A1394">
        <w:rPr>
          <w:color w:val="000000" w:themeColor="text1"/>
          <w:lang w:val="en-CA"/>
        </w:rPr>
        <w:t>considered</w:t>
      </w:r>
      <w:r w:rsidRPr="009A1394">
        <w:rPr>
          <w:color w:val="000000" w:themeColor="text1"/>
          <w:lang w:val="en-CA"/>
        </w:rPr>
        <w:t xml:space="preserve"> this question in paragraphs 506 to 592 of the judgment under appeal.</w:t>
      </w:r>
      <w:r w:rsidR="00C5313F" w:rsidRPr="009A1394">
        <w:rPr>
          <w:color w:val="000000" w:themeColor="text1"/>
          <w:lang w:val="en-CA"/>
        </w:rPr>
        <w:t xml:space="preserve"> </w:t>
      </w:r>
      <w:r w:rsidR="00DD4448" w:rsidRPr="009A1394">
        <w:rPr>
          <w:color w:val="000000" w:themeColor="text1"/>
          <w:lang w:val="en-CA"/>
        </w:rPr>
        <w:t>He began by</w:t>
      </w:r>
      <w:r w:rsidRPr="009A1394">
        <w:rPr>
          <w:color w:val="000000" w:themeColor="text1"/>
          <w:lang w:val="en-CA"/>
        </w:rPr>
        <w:t xml:space="preserve"> defin</w:t>
      </w:r>
      <w:r w:rsidR="00DD4448" w:rsidRPr="009A1394">
        <w:rPr>
          <w:color w:val="000000" w:themeColor="text1"/>
          <w:lang w:val="en-CA"/>
        </w:rPr>
        <w:t>ing</w:t>
      </w:r>
      <w:r w:rsidRPr="009A1394">
        <w:rPr>
          <w:color w:val="000000" w:themeColor="text1"/>
          <w:lang w:val="en-CA"/>
        </w:rPr>
        <w:t xml:space="preserve"> the legislative and regulatory framework that applied to the transportation of dangerous goods by train in Canada and the United States and </w:t>
      </w:r>
      <w:r w:rsidR="00DD4448" w:rsidRPr="009A1394">
        <w:rPr>
          <w:color w:val="000000" w:themeColor="text1"/>
          <w:lang w:val="en-CA"/>
        </w:rPr>
        <w:t>set out</w:t>
      </w:r>
      <w:r w:rsidRPr="009A1394">
        <w:rPr>
          <w:color w:val="000000" w:themeColor="text1"/>
          <w:lang w:val="en-CA"/>
        </w:rPr>
        <w:t xml:space="preserve"> the evidence he heard on </w:t>
      </w:r>
      <w:r w:rsidR="00C33965" w:rsidRPr="009A1394">
        <w:rPr>
          <w:color w:val="000000" w:themeColor="text1"/>
          <w:lang w:val="en-CA"/>
        </w:rPr>
        <w:t>usage</w:t>
      </w:r>
      <w:r w:rsidRPr="009A1394">
        <w:rPr>
          <w:color w:val="000000" w:themeColor="text1"/>
          <w:lang w:val="en-CA"/>
        </w:rPr>
        <w:t xml:space="preserve"> and customs.</w:t>
      </w:r>
      <w:r w:rsidR="00C5313F" w:rsidRPr="009A1394">
        <w:rPr>
          <w:color w:val="000000" w:themeColor="text1"/>
          <w:lang w:val="en-CA"/>
        </w:rPr>
        <w:t xml:space="preserve"> </w:t>
      </w:r>
      <w:r w:rsidRPr="009A1394">
        <w:rPr>
          <w:color w:val="000000" w:themeColor="text1"/>
          <w:lang w:val="en-CA"/>
        </w:rPr>
        <w:t xml:space="preserve">He explained that, </w:t>
      </w:r>
      <w:r w:rsidR="00C33965" w:rsidRPr="009A1394">
        <w:rPr>
          <w:color w:val="000000" w:themeColor="text1"/>
          <w:lang w:val="en-CA"/>
        </w:rPr>
        <w:t>although</w:t>
      </w:r>
      <w:r w:rsidRPr="009A1394">
        <w:rPr>
          <w:color w:val="000000" w:themeColor="text1"/>
          <w:lang w:val="en-CA"/>
        </w:rPr>
        <w:t xml:space="preserve"> the derailment </w:t>
      </w:r>
      <w:r w:rsidR="00C33965" w:rsidRPr="009A1394">
        <w:rPr>
          <w:color w:val="000000" w:themeColor="text1"/>
          <w:lang w:val="en-CA"/>
        </w:rPr>
        <w:t>occurr</w:t>
      </w:r>
      <w:r w:rsidRPr="009A1394">
        <w:rPr>
          <w:color w:val="000000" w:themeColor="text1"/>
          <w:lang w:val="en-CA"/>
        </w:rPr>
        <w:t xml:space="preserve">ed in Canada, it </w:t>
      </w:r>
      <w:r w:rsidR="00C33965" w:rsidRPr="009A1394">
        <w:rPr>
          <w:color w:val="000000" w:themeColor="text1"/>
          <w:lang w:val="en-CA"/>
        </w:rPr>
        <w:t>was</w:t>
      </w:r>
      <w:r w:rsidRPr="009A1394">
        <w:rPr>
          <w:color w:val="000000" w:themeColor="text1"/>
          <w:lang w:val="en-CA"/>
        </w:rPr>
        <w:t xml:space="preserve"> relevant to </w:t>
      </w:r>
      <w:r w:rsidR="00DD4448" w:rsidRPr="009A1394">
        <w:rPr>
          <w:color w:val="000000" w:themeColor="text1"/>
          <w:lang w:val="en-CA"/>
        </w:rPr>
        <w:t>look briefly</w:t>
      </w:r>
      <w:r w:rsidRPr="009A1394">
        <w:rPr>
          <w:color w:val="000000" w:themeColor="text1"/>
          <w:lang w:val="en-CA"/>
        </w:rPr>
        <w:t xml:space="preserve"> at the rules that appl</w:t>
      </w:r>
      <w:r w:rsidR="00DD4448" w:rsidRPr="009A1394">
        <w:rPr>
          <w:color w:val="000000" w:themeColor="text1"/>
          <w:lang w:val="en-CA"/>
        </w:rPr>
        <w:t>ied</w:t>
      </w:r>
      <w:r w:rsidRPr="009A1394">
        <w:rPr>
          <w:color w:val="000000" w:themeColor="text1"/>
          <w:lang w:val="en-CA"/>
        </w:rPr>
        <w:t xml:space="preserve"> in the United States as that was the </w:t>
      </w:r>
      <w:r w:rsidR="00C91917" w:rsidRPr="009A1394">
        <w:rPr>
          <w:color w:val="000000" w:themeColor="text1"/>
          <w:lang w:val="en-CA"/>
        </w:rPr>
        <w:t xml:space="preserve">train’s point of </w:t>
      </w:r>
      <w:r w:rsidRPr="009A1394">
        <w:rPr>
          <w:color w:val="000000" w:themeColor="text1"/>
          <w:lang w:val="en-CA"/>
        </w:rPr>
        <w:t>origin.</w:t>
      </w:r>
      <w:r w:rsidR="00C5313F" w:rsidRPr="009A1394">
        <w:rPr>
          <w:color w:val="000000" w:themeColor="text1"/>
          <w:lang w:val="en-CA"/>
        </w:rPr>
        <w:t xml:space="preserve"> </w:t>
      </w:r>
      <w:r w:rsidRPr="009A1394">
        <w:rPr>
          <w:color w:val="000000" w:themeColor="text1"/>
          <w:lang w:val="en-CA"/>
        </w:rPr>
        <w:t>Moreover</w:t>
      </w:r>
      <w:r w:rsidR="003118C4" w:rsidRPr="009A1394">
        <w:rPr>
          <w:color w:val="000000" w:themeColor="text1"/>
          <w:lang w:val="en-CA"/>
        </w:rPr>
        <w:t>,</w:t>
      </w:r>
      <w:r w:rsidRPr="009A1394">
        <w:rPr>
          <w:color w:val="000000" w:themeColor="text1"/>
          <w:lang w:val="en-CA"/>
        </w:rPr>
        <w:t xml:space="preserve"> and as all the parties agree, these rules </w:t>
      </w:r>
      <w:r w:rsidR="00DD4448" w:rsidRPr="009A1394">
        <w:rPr>
          <w:color w:val="000000" w:themeColor="text1"/>
          <w:lang w:val="en-CA"/>
        </w:rPr>
        <w:t>a</w:t>
      </w:r>
      <w:r w:rsidRPr="009A1394">
        <w:rPr>
          <w:color w:val="000000" w:themeColor="text1"/>
          <w:lang w:val="en-CA"/>
        </w:rPr>
        <w:t xml:space="preserve">re similar </w:t>
      </w:r>
      <w:r w:rsidR="009847AF" w:rsidRPr="009A1394">
        <w:rPr>
          <w:color w:val="000000" w:themeColor="text1"/>
          <w:lang w:val="en-CA"/>
        </w:rPr>
        <w:t>in both</w:t>
      </w:r>
      <w:r w:rsidRPr="009A1394">
        <w:rPr>
          <w:color w:val="000000" w:themeColor="text1"/>
          <w:lang w:val="en-CA"/>
        </w:rPr>
        <w:t xml:space="preserve"> countr</w:t>
      </w:r>
      <w:r w:rsidR="009847AF" w:rsidRPr="009A1394">
        <w:rPr>
          <w:color w:val="000000" w:themeColor="text1"/>
          <w:lang w:val="en-CA"/>
        </w:rPr>
        <w:t>ies</w:t>
      </w:r>
      <w:r w:rsidRPr="009A1394">
        <w:rPr>
          <w:color w:val="000000" w:themeColor="text1"/>
          <w:lang w:val="en-CA"/>
        </w:rPr>
        <w:t>.</w:t>
      </w:r>
    </w:p>
    <w:p w14:paraId="088429EA" w14:textId="2EB9198E" w:rsidR="004F1854" w:rsidRPr="009A1394" w:rsidRDefault="00E17D18" w:rsidP="00720E8B">
      <w:pPr>
        <w:pStyle w:val="Paragraphe"/>
        <w:numPr>
          <w:ilvl w:val="0"/>
          <w:numId w:val="1"/>
        </w:numPr>
        <w:rPr>
          <w:color w:val="000000" w:themeColor="text1"/>
          <w:lang w:val="en-CA"/>
        </w:rPr>
      </w:pPr>
      <w:r w:rsidRPr="009A1394">
        <w:rPr>
          <w:color w:val="000000" w:themeColor="text1"/>
          <w:lang w:val="en-CA"/>
        </w:rPr>
        <w:t xml:space="preserve">Under the scheme </w:t>
      </w:r>
      <w:r w:rsidR="008B1471" w:rsidRPr="009A1394">
        <w:rPr>
          <w:color w:val="000000" w:themeColor="text1"/>
          <w:lang w:val="en-CA"/>
        </w:rPr>
        <w:t xml:space="preserve">that </w:t>
      </w:r>
      <w:r w:rsidRPr="009A1394">
        <w:rPr>
          <w:color w:val="000000" w:themeColor="text1"/>
          <w:lang w:val="en-CA"/>
        </w:rPr>
        <w:t xml:space="preserve">the parties refer to </w:t>
      </w:r>
      <w:r w:rsidR="00C17819" w:rsidRPr="009A1394">
        <w:rPr>
          <w:color w:val="000000" w:themeColor="text1"/>
          <w:lang w:val="en-CA"/>
        </w:rPr>
        <w:t>as the “Offeror Rule”, as it is called in</w:t>
      </w:r>
      <w:r w:rsidRPr="009A1394">
        <w:rPr>
          <w:color w:val="000000" w:themeColor="text1"/>
          <w:lang w:val="en-CA"/>
        </w:rPr>
        <w:t xml:space="preserve"> </w:t>
      </w:r>
      <w:r w:rsidR="00C17819" w:rsidRPr="009A1394">
        <w:rPr>
          <w:color w:val="000000" w:themeColor="text1"/>
          <w:lang w:val="en-CA"/>
        </w:rPr>
        <w:t>the United States</w:t>
      </w:r>
      <w:r w:rsidRPr="009A1394">
        <w:rPr>
          <w:color w:val="000000" w:themeColor="text1"/>
          <w:lang w:val="en-CA"/>
        </w:rPr>
        <w:t xml:space="preserve">, the shipper, </w:t>
      </w:r>
      <w:r w:rsidR="008B1471" w:rsidRPr="009A1394">
        <w:rPr>
          <w:color w:val="000000" w:themeColor="text1"/>
          <w:lang w:val="en-CA"/>
        </w:rPr>
        <w:t xml:space="preserve">in this case </w:t>
      </w:r>
      <w:r w:rsidRPr="009A1394">
        <w:rPr>
          <w:color w:val="000000" w:themeColor="text1"/>
          <w:lang w:val="en-CA"/>
        </w:rPr>
        <w:t xml:space="preserve">WFS, </w:t>
      </w:r>
      <w:r w:rsidR="008B1471" w:rsidRPr="009A1394">
        <w:rPr>
          <w:color w:val="000000" w:themeColor="text1"/>
          <w:lang w:val="en-CA"/>
        </w:rPr>
        <w:t>is responsible for</w:t>
      </w:r>
      <w:r w:rsidRPr="009A1394">
        <w:rPr>
          <w:color w:val="000000" w:themeColor="text1"/>
          <w:lang w:val="en-CA"/>
        </w:rPr>
        <w:t xml:space="preserve"> classify</w:t>
      </w:r>
      <w:r w:rsidR="008B1471" w:rsidRPr="009A1394">
        <w:rPr>
          <w:color w:val="000000" w:themeColor="text1"/>
          <w:lang w:val="en-CA"/>
        </w:rPr>
        <w:t>ing</w:t>
      </w:r>
      <w:r w:rsidRPr="009A1394">
        <w:rPr>
          <w:color w:val="000000" w:themeColor="text1"/>
          <w:lang w:val="en-CA"/>
        </w:rPr>
        <w:t xml:space="preserve"> the crude oil in one of the three packing groups referred to above.</w:t>
      </w:r>
      <w:r w:rsidR="00C5313F" w:rsidRPr="009A1394">
        <w:rPr>
          <w:color w:val="000000" w:themeColor="text1"/>
          <w:lang w:val="en-CA"/>
        </w:rPr>
        <w:t xml:space="preserve"> </w:t>
      </w:r>
      <w:r w:rsidR="00914CC3" w:rsidRPr="009A1394">
        <w:rPr>
          <w:color w:val="000000" w:themeColor="text1"/>
          <w:lang w:val="en-CA"/>
        </w:rPr>
        <w:t>The</w:t>
      </w:r>
      <w:r w:rsidRPr="009A1394">
        <w:rPr>
          <w:color w:val="000000" w:themeColor="text1"/>
          <w:lang w:val="en-CA"/>
        </w:rPr>
        <w:t xml:space="preserve"> originating carrier </w:t>
      </w:r>
      <w:r w:rsidR="00914CC3" w:rsidRPr="009A1394">
        <w:rPr>
          <w:color w:val="000000" w:themeColor="text1"/>
          <w:lang w:val="en-CA"/>
        </w:rPr>
        <w:t>and</w:t>
      </w:r>
      <w:r w:rsidRPr="009A1394">
        <w:rPr>
          <w:color w:val="000000" w:themeColor="text1"/>
          <w:lang w:val="en-CA"/>
        </w:rPr>
        <w:t xml:space="preserve"> the connecting carrier are authorized, subject to exceptions, to rely on this classification.</w:t>
      </w:r>
      <w:r w:rsidRPr="009A1394">
        <w:rPr>
          <w:rStyle w:val="Appelnotedebasdep"/>
          <w:color w:val="000000" w:themeColor="text1"/>
          <w:lang w:val="en-CA"/>
        </w:rPr>
        <w:footnoteReference w:id="232"/>
      </w:r>
    </w:p>
    <w:p w14:paraId="17500907" w14:textId="2A7F7CA6" w:rsidR="00702A59" w:rsidRPr="009A1394" w:rsidRDefault="00E17D18" w:rsidP="00720E8B">
      <w:pPr>
        <w:pStyle w:val="Paragraphe"/>
        <w:numPr>
          <w:ilvl w:val="0"/>
          <w:numId w:val="1"/>
        </w:numPr>
        <w:rPr>
          <w:color w:val="000000" w:themeColor="text1"/>
          <w:lang w:val="en-CA"/>
        </w:rPr>
      </w:pPr>
      <w:r w:rsidRPr="009A1394">
        <w:rPr>
          <w:color w:val="000000" w:themeColor="text1"/>
          <w:lang w:val="en-CA"/>
        </w:rPr>
        <w:t>The question raised by the appellants is whether</w:t>
      </w:r>
      <w:r w:rsidR="00C17819" w:rsidRPr="009A1394">
        <w:rPr>
          <w:color w:val="000000" w:themeColor="text1"/>
          <w:lang w:val="en-CA"/>
        </w:rPr>
        <w:t xml:space="preserve"> CP, given</w:t>
      </w:r>
      <w:r w:rsidR="00613A24" w:rsidRPr="009A1394">
        <w:rPr>
          <w:color w:val="000000" w:themeColor="text1"/>
          <w:lang w:val="en-CA"/>
        </w:rPr>
        <w:t xml:space="preserve"> the circumstances </w:t>
      </w:r>
      <w:r w:rsidR="00E359BE" w:rsidRPr="009A1394">
        <w:rPr>
          <w:color w:val="000000" w:themeColor="text1"/>
          <w:lang w:val="en-CA"/>
        </w:rPr>
        <w:t>specific to</w:t>
      </w:r>
      <w:r w:rsidR="00613A24" w:rsidRPr="009A1394">
        <w:rPr>
          <w:color w:val="000000" w:themeColor="text1"/>
          <w:lang w:val="en-CA"/>
        </w:rPr>
        <w:t xml:space="preserve"> the case</w:t>
      </w:r>
      <w:r w:rsidR="00E359BE" w:rsidRPr="009A1394">
        <w:rPr>
          <w:color w:val="000000" w:themeColor="text1"/>
          <w:lang w:val="en-CA"/>
        </w:rPr>
        <w:t>,</w:t>
      </w:r>
      <w:r w:rsidR="00613A24" w:rsidRPr="009A1394">
        <w:rPr>
          <w:color w:val="000000" w:themeColor="text1"/>
          <w:lang w:val="en-CA"/>
        </w:rPr>
        <w:t xml:space="preserve"> </w:t>
      </w:r>
      <w:r w:rsidR="00C17819" w:rsidRPr="009A1394">
        <w:rPr>
          <w:color w:val="000000" w:themeColor="text1"/>
          <w:lang w:val="en-CA"/>
        </w:rPr>
        <w:t>should have</w:t>
      </w:r>
      <w:r w:rsidRPr="009A1394">
        <w:rPr>
          <w:color w:val="000000" w:themeColor="text1"/>
          <w:lang w:val="en-CA"/>
        </w:rPr>
        <w:t xml:space="preserve"> refuse</w:t>
      </w:r>
      <w:r w:rsidR="00C17819" w:rsidRPr="009A1394">
        <w:rPr>
          <w:color w:val="000000" w:themeColor="text1"/>
          <w:lang w:val="en-CA"/>
        </w:rPr>
        <w:t>d</w:t>
      </w:r>
      <w:r w:rsidRPr="009A1394">
        <w:rPr>
          <w:color w:val="000000" w:themeColor="text1"/>
          <w:lang w:val="en-CA"/>
        </w:rPr>
        <w:t xml:space="preserve"> to transport the crude oil in </w:t>
      </w:r>
      <w:r w:rsidR="00705131" w:rsidRPr="009A1394">
        <w:rPr>
          <w:color w:val="000000" w:themeColor="text1"/>
          <w:lang w:val="en-CA"/>
        </w:rPr>
        <w:t>question</w:t>
      </w:r>
      <w:r w:rsidRPr="009A1394">
        <w:rPr>
          <w:color w:val="000000" w:themeColor="text1"/>
          <w:lang w:val="en-CA"/>
        </w:rPr>
        <w:t xml:space="preserve"> or </w:t>
      </w:r>
      <w:r w:rsidR="00705131" w:rsidRPr="009A1394">
        <w:rPr>
          <w:color w:val="000000" w:themeColor="text1"/>
          <w:lang w:val="en-CA"/>
        </w:rPr>
        <w:t>demanded</w:t>
      </w:r>
      <w:r w:rsidRPr="009A1394">
        <w:rPr>
          <w:color w:val="000000" w:themeColor="text1"/>
          <w:lang w:val="en-CA"/>
        </w:rPr>
        <w:t xml:space="preserve"> that WFS </w:t>
      </w:r>
      <w:r w:rsidR="00705131" w:rsidRPr="009A1394">
        <w:rPr>
          <w:color w:val="000000" w:themeColor="text1"/>
          <w:lang w:val="en-CA"/>
        </w:rPr>
        <w:t>double-check</w:t>
      </w:r>
      <w:r w:rsidRPr="009A1394">
        <w:rPr>
          <w:color w:val="000000" w:themeColor="text1"/>
          <w:lang w:val="en-CA"/>
        </w:rPr>
        <w:t xml:space="preserve"> its classification.</w:t>
      </w:r>
      <w:r w:rsidR="008161A3" w:rsidRPr="009A1394">
        <w:rPr>
          <w:color w:val="000000" w:themeColor="text1"/>
          <w:lang w:val="en-CA"/>
        </w:rPr>
        <w:t xml:space="preserve"> </w:t>
      </w:r>
      <w:r w:rsidRPr="009A1394">
        <w:rPr>
          <w:color w:val="000000" w:themeColor="text1"/>
          <w:lang w:val="en-CA"/>
        </w:rPr>
        <w:t xml:space="preserve">The appellants argue that the judge </w:t>
      </w:r>
      <w:r w:rsidR="00E359BE" w:rsidRPr="009A1394">
        <w:rPr>
          <w:color w:val="000000" w:themeColor="text1"/>
          <w:lang w:val="en-CA"/>
        </w:rPr>
        <w:t>adopt</w:t>
      </w:r>
      <w:r w:rsidRPr="009A1394">
        <w:rPr>
          <w:color w:val="000000" w:themeColor="text1"/>
          <w:lang w:val="en-CA"/>
        </w:rPr>
        <w:t xml:space="preserve">ed </w:t>
      </w:r>
      <w:r w:rsidR="00E359BE" w:rsidRPr="009A1394">
        <w:rPr>
          <w:color w:val="000000" w:themeColor="text1"/>
          <w:lang w:val="en-CA"/>
        </w:rPr>
        <w:t>an overly</w:t>
      </w:r>
      <w:r w:rsidRPr="009A1394">
        <w:rPr>
          <w:color w:val="000000" w:themeColor="text1"/>
          <w:lang w:val="en-CA"/>
        </w:rPr>
        <w:t xml:space="preserve"> narrow interpretation of </w:t>
      </w:r>
      <w:r w:rsidR="00705131" w:rsidRPr="009A1394">
        <w:rPr>
          <w:color w:val="000000" w:themeColor="text1"/>
          <w:lang w:val="en-CA"/>
        </w:rPr>
        <w:t>the</w:t>
      </w:r>
      <w:r w:rsidRPr="009A1394">
        <w:rPr>
          <w:color w:val="000000" w:themeColor="text1"/>
          <w:lang w:val="en-CA"/>
        </w:rPr>
        <w:t xml:space="preserve"> Offeror Rule.</w:t>
      </w:r>
      <w:r w:rsidR="008161A3" w:rsidRPr="009A1394">
        <w:rPr>
          <w:color w:val="000000" w:themeColor="text1"/>
          <w:lang w:val="en-CA"/>
        </w:rPr>
        <w:t xml:space="preserve"> </w:t>
      </w:r>
      <w:r w:rsidR="00952C40" w:rsidRPr="009A1394">
        <w:rPr>
          <w:color w:val="000000" w:themeColor="text1"/>
          <w:lang w:val="en-CA"/>
        </w:rPr>
        <w:t>They submit that h</w:t>
      </w:r>
      <w:r w:rsidRPr="009A1394">
        <w:rPr>
          <w:color w:val="000000" w:themeColor="text1"/>
          <w:lang w:val="en-CA"/>
        </w:rPr>
        <w:t xml:space="preserve">e erred in concluding that the carrier’s obligation under </w:t>
      </w:r>
      <w:r w:rsidR="00705131" w:rsidRPr="009A1394">
        <w:rPr>
          <w:color w:val="000000" w:themeColor="text1"/>
          <w:lang w:val="en-CA"/>
        </w:rPr>
        <w:t>the</w:t>
      </w:r>
      <w:r w:rsidRPr="009A1394">
        <w:rPr>
          <w:color w:val="000000" w:themeColor="text1"/>
          <w:lang w:val="en-CA"/>
        </w:rPr>
        <w:t xml:space="preserve"> Offeror Rule </w:t>
      </w:r>
      <w:r w:rsidR="00705131" w:rsidRPr="009A1394">
        <w:rPr>
          <w:color w:val="000000" w:themeColor="text1"/>
          <w:lang w:val="en-CA"/>
        </w:rPr>
        <w:t>scheme</w:t>
      </w:r>
      <w:r w:rsidRPr="009A1394">
        <w:rPr>
          <w:color w:val="000000" w:themeColor="text1"/>
          <w:lang w:val="en-CA"/>
        </w:rPr>
        <w:t xml:space="preserve"> </w:t>
      </w:r>
      <w:r w:rsidR="008B1471" w:rsidRPr="009A1394">
        <w:rPr>
          <w:color w:val="000000" w:themeColor="text1"/>
          <w:lang w:val="en-CA"/>
        </w:rPr>
        <w:t>was</w:t>
      </w:r>
      <w:r w:rsidRPr="009A1394">
        <w:rPr>
          <w:color w:val="000000" w:themeColor="text1"/>
          <w:lang w:val="en-CA"/>
        </w:rPr>
        <w:t xml:space="preserve"> limited to visually comparing the information </w:t>
      </w:r>
      <w:r w:rsidR="00E359BE" w:rsidRPr="009A1394">
        <w:rPr>
          <w:color w:val="000000" w:themeColor="text1"/>
          <w:lang w:val="en-CA"/>
        </w:rPr>
        <w:t>regarding</w:t>
      </w:r>
      <w:r w:rsidRPr="009A1394">
        <w:rPr>
          <w:color w:val="000000" w:themeColor="text1"/>
          <w:lang w:val="en-CA"/>
        </w:rPr>
        <w:t xml:space="preserve"> </w:t>
      </w:r>
      <w:r w:rsidR="009120E6" w:rsidRPr="009A1394">
        <w:rPr>
          <w:color w:val="000000" w:themeColor="text1"/>
          <w:lang w:val="en-CA"/>
        </w:rPr>
        <w:t xml:space="preserve">the </w:t>
      </w:r>
      <w:r w:rsidRPr="009A1394">
        <w:rPr>
          <w:color w:val="000000" w:themeColor="text1"/>
          <w:lang w:val="en-CA"/>
        </w:rPr>
        <w:t>packing group that appear</w:t>
      </w:r>
      <w:r w:rsidR="008B1471" w:rsidRPr="009A1394">
        <w:rPr>
          <w:color w:val="000000" w:themeColor="text1"/>
          <w:lang w:val="en-CA"/>
        </w:rPr>
        <w:t>ed</w:t>
      </w:r>
      <w:r w:rsidRPr="009A1394">
        <w:rPr>
          <w:color w:val="000000" w:themeColor="text1"/>
          <w:lang w:val="en-CA"/>
        </w:rPr>
        <w:t xml:space="preserve"> on the </w:t>
      </w:r>
      <w:r w:rsidR="00533ED7" w:rsidRPr="009A1394">
        <w:rPr>
          <w:color w:val="000000" w:themeColor="text1"/>
          <w:lang w:val="en-CA"/>
        </w:rPr>
        <w:t xml:space="preserve">bill of </w:t>
      </w:r>
      <w:r w:rsidRPr="009A1394">
        <w:rPr>
          <w:color w:val="000000" w:themeColor="text1"/>
          <w:lang w:val="en-CA"/>
        </w:rPr>
        <w:t xml:space="preserve">lading </w:t>
      </w:r>
      <w:r w:rsidR="00E359BE" w:rsidRPr="009A1394">
        <w:rPr>
          <w:color w:val="000000" w:themeColor="text1"/>
          <w:lang w:val="en-CA"/>
        </w:rPr>
        <w:t>with</w:t>
      </w:r>
      <w:r w:rsidRPr="009A1394">
        <w:rPr>
          <w:color w:val="000000" w:themeColor="text1"/>
          <w:lang w:val="en-CA"/>
        </w:rPr>
        <w:t xml:space="preserve"> the information that appear</w:t>
      </w:r>
      <w:r w:rsidR="00533ED7" w:rsidRPr="009A1394">
        <w:rPr>
          <w:color w:val="000000" w:themeColor="text1"/>
          <w:lang w:val="en-CA"/>
        </w:rPr>
        <w:t>ed</w:t>
      </w:r>
      <w:r w:rsidRPr="009A1394">
        <w:rPr>
          <w:color w:val="000000" w:themeColor="text1"/>
          <w:lang w:val="en-CA"/>
        </w:rPr>
        <w:t xml:space="preserve"> on the </w:t>
      </w:r>
      <w:r w:rsidR="00533ED7" w:rsidRPr="009A1394">
        <w:rPr>
          <w:color w:val="000000" w:themeColor="text1"/>
          <w:lang w:val="en-CA"/>
        </w:rPr>
        <w:t>placards</w:t>
      </w:r>
      <w:r w:rsidRPr="009A1394">
        <w:rPr>
          <w:color w:val="000000" w:themeColor="text1"/>
          <w:lang w:val="en-CA"/>
        </w:rPr>
        <w:t xml:space="preserve"> </w:t>
      </w:r>
      <w:r w:rsidR="00533ED7" w:rsidRPr="009A1394">
        <w:rPr>
          <w:color w:val="000000" w:themeColor="text1"/>
          <w:lang w:val="en-CA"/>
        </w:rPr>
        <w:t>affixed</w:t>
      </w:r>
      <w:r w:rsidRPr="009A1394">
        <w:rPr>
          <w:color w:val="000000" w:themeColor="text1"/>
          <w:lang w:val="en-CA"/>
        </w:rPr>
        <w:t xml:space="preserve"> </w:t>
      </w:r>
      <w:r w:rsidR="00533ED7" w:rsidRPr="009A1394">
        <w:rPr>
          <w:color w:val="000000" w:themeColor="text1"/>
          <w:lang w:val="en-CA"/>
        </w:rPr>
        <w:t>to</w:t>
      </w:r>
      <w:r w:rsidRPr="009A1394">
        <w:rPr>
          <w:color w:val="000000" w:themeColor="text1"/>
          <w:lang w:val="en-CA"/>
        </w:rPr>
        <w:t xml:space="preserve"> the tank cars </w:t>
      </w:r>
      <w:r w:rsidR="001B22CC" w:rsidRPr="009A1394">
        <w:rPr>
          <w:color w:val="000000" w:themeColor="text1"/>
          <w:lang w:val="en-CA"/>
        </w:rPr>
        <w:t xml:space="preserve">in order </w:t>
      </w:r>
      <w:r w:rsidRPr="009A1394">
        <w:rPr>
          <w:color w:val="000000" w:themeColor="text1"/>
          <w:lang w:val="en-CA"/>
        </w:rPr>
        <w:t xml:space="preserve">to </w:t>
      </w:r>
      <w:r w:rsidR="00533ED7" w:rsidRPr="009A1394">
        <w:rPr>
          <w:color w:val="000000" w:themeColor="text1"/>
          <w:lang w:val="en-CA"/>
        </w:rPr>
        <w:t>determine</w:t>
      </w:r>
      <w:r w:rsidRPr="009A1394">
        <w:rPr>
          <w:color w:val="000000" w:themeColor="text1"/>
          <w:lang w:val="en-CA"/>
        </w:rPr>
        <w:t xml:space="preserve"> whether they </w:t>
      </w:r>
      <w:r w:rsidR="00C17819" w:rsidRPr="009A1394">
        <w:rPr>
          <w:color w:val="000000" w:themeColor="text1"/>
          <w:lang w:val="en-CA"/>
        </w:rPr>
        <w:t>matched</w:t>
      </w:r>
      <w:r w:rsidRPr="009A1394">
        <w:rPr>
          <w:color w:val="000000" w:themeColor="text1"/>
          <w:lang w:val="en-CA"/>
        </w:rPr>
        <w:t>.</w:t>
      </w:r>
      <w:r w:rsidR="008161A3" w:rsidRPr="009A1394">
        <w:rPr>
          <w:color w:val="000000" w:themeColor="text1"/>
          <w:lang w:val="en-CA"/>
        </w:rPr>
        <w:t xml:space="preserve"> </w:t>
      </w:r>
      <w:r w:rsidR="00C17819" w:rsidRPr="009A1394">
        <w:rPr>
          <w:color w:val="000000" w:themeColor="text1"/>
          <w:lang w:val="en-CA"/>
        </w:rPr>
        <w:t>Moreover</w:t>
      </w:r>
      <w:r w:rsidRPr="009A1394">
        <w:rPr>
          <w:color w:val="000000" w:themeColor="text1"/>
          <w:lang w:val="en-CA"/>
        </w:rPr>
        <w:t>, according to the appellants, the judge mis</w:t>
      </w:r>
      <w:r w:rsidR="00533ED7" w:rsidRPr="009A1394">
        <w:rPr>
          <w:color w:val="000000" w:themeColor="text1"/>
          <w:lang w:val="en-CA"/>
        </w:rPr>
        <w:t>apprehended</w:t>
      </w:r>
      <w:r w:rsidRPr="009A1394">
        <w:rPr>
          <w:color w:val="000000" w:themeColor="text1"/>
          <w:lang w:val="en-CA"/>
        </w:rPr>
        <w:t xml:space="preserve"> their arguments about the Offeror Rule, believing their position </w:t>
      </w:r>
      <w:r w:rsidR="00E359BE" w:rsidRPr="009A1394">
        <w:rPr>
          <w:color w:val="000000" w:themeColor="text1"/>
          <w:lang w:val="en-CA"/>
        </w:rPr>
        <w:t>to be</w:t>
      </w:r>
      <w:r w:rsidRPr="009A1394">
        <w:rPr>
          <w:color w:val="000000" w:themeColor="text1"/>
          <w:lang w:val="en-CA"/>
        </w:rPr>
        <w:t xml:space="preserve"> that CP had a duty to test the crude oil to determine whether it had been properly classified. </w:t>
      </w:r>
      <w:r w:rsidR="00C17819" w:rsidRPr="009A1394">
        <w:rPr>
          <w:color w:val="000000" w:themeColor="text1"/>
          <w:lang w:val="en-CA"/>
        </w:rPr>
        <w:t xml:space="preserve">The appellants argue that </w:t>
      </w:r>
      <w:r w:rsidR="00E359BE" w:rsidRPr="009A1394">
        <w:rPr>
          <w:color w:val="000000" w:themeColor="text1"/>
          <w:lang w:val="en-CA"/>
        </w:rPr>
        <w:t>the judge</w:t>
      </w:r>
      <w:r w:rsidRPr="009A1394">
        <w:rPr>
          <w:color w:val="000000" w:themeColor="text1"/>
          <w:lang w:val="en-CA"/>
        </w:rPr>
        <w:t xml:space="preserve"> then focused a </w:t>
      </w:r>
      <w:r w:rsidR="009120E6" w:rsidRPr="009A1394">
        <w:rPr>
          <w:color w:val="000000" w:themeColor="text1"/>
          <w:lang w:val="en-CA"/>
        </w:rPr>
        <w:t xml:space="preserve">large </w:t>
      </w:r>
      <w:r w:rsidRPr="009A1394">
        <w:rPr>
          <w:color w:val="000000" w:themeColor="text1"/>
          <w:lang w:val="en-CA"/>
        </w:rPr>
        <w:t xml:space="preserve">part of his analysis on CP’s inability to perform such tests, rather than on whether CP should have reacted given the </w:t>
      </w:r>
      <w:r w:rsidR="00533ED7" w:rsidRPr="009A1394">
        <w:rPr>
          <w:color w:val="000000" w:themeColor="text1"/>
          <w:lang w:val="en-CA"/>
        </w:rPr>
        <w:t xml:space="preserve">strong </w:t>
      </w:r>
      <w:r w:rsidR="00C2537E" w:rsidRPr="009A1394">
        <w:rPr>
          <w:color w:val="000000" w:themeColor="text1"/>
          <w:lang w:val="en-CA"/>
        </w:rPr>
        <w:t xml:space="preserve">indicators </w:t>
      </w:r>
      <w:r w:rsidRPr="009A1394">
        <w:rPr>
          <w:color w:val="000000" w:themeColor="text1"/>
          <w:lang w:val="en-CA"/>
        </w:rPr>
        <w:t>brought to its attention, which allegedly allowed it to suspect that there was a classification error.</w:t>
      </w:r>
    </w:p>
    <w:p w14:paraId="2CBC0156" w14:textId="5C8978E7" w:rsidR="00D52314" w:rsidRPr="009A1394" w:rsidRDefault="00E17D18" w:rsidP="007B0327">
      <w:pPr>
        <w:pStyle w:val="Titre3"/>
        <w:rPr>
          <w:lang w:val="en-CA"/>
        </w:rPr>
      </w:pPr>
      <w:r w:rsidRPr="009A1394">
        <w:rPr>
          <w:lang w:val="en-CA"/>
        </w:rPr>
        <w:t>Discussion on the error of law argument</w:t>
      </w:r>
    </w:p>
    <w:p w14:paraId="16AEEF7B" w14:textId="66B2FE11" w:rsidR="00702A59" w:rsidRPr="009A1394" w:rsidRDefault="00E17D18" w:rsidP="00720E8B">
      <w:pPr>
        <w:pStyle w:val="Paragraphe"/>
        <w:numPr>
          <w:ilvl w:val="0"/>
          <w:numId w:val="1"/>
        </w:numPr>
        <w:rPr>
          <w:color w:val="000000" w:themeColor="text1"/>
          <w:lang w:val="en-CA"/>
        </w:rPr>
      </w:pPr>
      <w:r w:rsidRPr="009A1394">
        <w:rPr>
          <w:lang w:val="en-CA"/>
        </w:rPr>
        <w:t xml:space="preserve">The Court is of the view that the judge did not commit an error of law by </w:t>
      </w:r>
      <w:r w:rsidR="00705131" w:rsidRPr="009A1394">
        <w:rPr>
          <w:lang w:val="en-CA"/>
        </w:rPr>
        <w:t>defining</w:t>
      </w:r>
      <w:r w:rsidR="00D958A9" w:rsidRPr="009A1394">
        <w:rPr>
          <w:lang w:val="en-CA"/>
        </w:rPr>
        <w:t>,</w:t>
      </w:r>
      <w:r w:rsidRPr="009A1394">
        <w:rPr>
          <w:lang w:val="en-CA"/>
        </w:rPr>
        <w:t xml:space="preserve"> as he did</w:t>
      </w:r>
      <w:r w:rsidR="00D958A9" w:rsidRPr="009A1394">
        <w:rPr>
          <w:lang w:val="en-CA"/>
        </w:rPr>
        <w:t>,</w:t>
      </w:r>
      <w:r w:rsidRPr="009A1394">
        <w:rPr>
          <w:lang w:val="en-CA"/>
        </w:rPr>
        <w:t xml:space="preserve"> the scope of CP’s obligations under the Offeror Rule.</w:t>
      </w:r>
      <w:r w:rsidR="00662FCB" w:rsidRPr="009A1394">
        <w:rPr>
          <w:color w:val="000000" w:themeColor="text1"/>
          <w:lang w:val="en-CA"/>
        </w:rPr>
        <w:t xml:space="preserve"> </w:t>
      </w:r>
      <w:r w:rsidRPr="009A1394">
        <w:rPr>
          <w:color w:val="000000" w:themeColor="text1"/>
          <w:lang w:val="en-CA"/>
        </w:rPr>
        <w:t xml:space="preserve">It finds, moreover, that </w:t>
      </w:r>
      <w:r w:rsidR="009120E6" w:rsidRPr="009A1394">
        <w:rPr>
          <w:color w:val="000000" w:themeColor="text1"/>
          <w:lang w:val="en-CA"/>
        </w:rPr>
        <w:t xml:space="preserve">the appellants cited </w:t>
      </w:r>
      <w:r w:rsidRPr="009A1394">
        <w:rPr>
          <w:color w:val="000000" w:themeColor="text1"/>
          <w:lang w:val="en-CA"/>
        </w:rPr>
        <w:t xml:space="preserve">some of the excerpts of his analysis </w:t>
      </w:r>
      <w:r w:rsidR="00705131" w:rsidRPr="009A1394">
        <w:rPr>
          <w:color w:val="000000" w:themeColor="text1"/>
          <w:lang w:val="en-CA"/>
        </w:rPr>
        <w:t>out of context</w:t>
      </w:r>
      <w:r w:rsidRPr="009A1394">
        <w:rPr>
          <w:color w:val="000000" w:themeColor="text1"/>
          <w:lang w:val="en-CA"/>
        </w:rPr>
        <w:t>.</w:t>
      </w:r>
      <w:r w:rsidR="00662FCB" w:rsidRPr="009A1394">
        <w:rPr>
          <w:color w:val="000000" w:themeColor="text1"/>
          <w:lang w:val="en-CA"/>
        </w:rPr>
        <w:t xml:space="preserve"> </w:t>
      </w:r>
      <w:r w:rsidRPr="009A1394">
        <w:rPr>
          <w:color w:val="000000" w:themeColor="text1"/>
          <w:lang w:val="en-CA"/>
        </w:rPr>
        <w:t xml:space="preserve">Contrary to what the appellants suggest, the judge did not indicate that a carrier’s obligation in the presence </w:t>
      </w:r>
      <w:r w:rsidRPr="009A1394">
        <w:rPr>
          <w:color w:val="000000" w:themeColor="text1"/>
          <w:lang w:val="en-CA"/>
        </w:rPr>
        <w:lastRenderedPageBreak/>
        <w:t xml:space="preserve">of a possible classification error was limited to making a visual comparison between the bill of lading and the </w:t>
      </w:r>
      <w:r w:rsidR="005C4D9C" w:rsidRPr="009A1394">
        <w:rPr>
          <w:color w:val="000000" w:themeColor="text1"/>
          <w:lang w:val="en-CA"/>
        </w:rPr>
        <w:t>placards affixed to</w:t>
      </w:r>
      <w:r w:rsidRPr="009A1394">
        <w:rPr>
          <w:color w:val="000000" w:themeColor="text1"/>
          <w:lang w:val="en-CA"/>
        </w:rPr>
        <w:t xml:space="preserve"> the tank cars </w:t>
      </w:r>
      <w:r w:rsidR="00B92246" w:rsidRPr="009A1394">
        <w:rPr>
          <w:color w:val="000000" w:themeColor="text1"/>
          <w:lang w:val="en-CA"/>
        </w:rPr>
        <w:t xml:space="preserve">in order </w:t>
      </w:r>
      <w:r w:rsidRPr="009A1394">
        <w:rPr>
          <w:color w:val="000000" w:themeColor="text1"/>
          <w:lang w:val="en-CA"/>
        </w:rPr>
        <w:t xml:space="preserve">to discover any possible </w:t>
      </w:r>
      <w:r w:rsidR="00705131" w:rsidRPr="009A1394">
        <w:rPr>
          <w:color w:val="000000" w:themeColor="text1"/>
          <w:lang w:val="en-CA"/>
        </w:rPr>
        <w:t>discrepancy</w:t>
      </w:r>
      <w:r w:rsidRPr="009A1394">
        <w:rPr>
          <w:color w:val="000000" w:themeColor="text1"/>
          <w:lang w:val="en-CA"/>
        </w:rPr>
        <w:t xml:space="preserve">. While he did give such an example, it was </w:t>
      </w:r>
      <w:r w:rsidR="005C4D9C" w:rsidRPr="009A1394">
        <w:rPr>
          <w:color w:val="000000" w:themeColor="text1"/>
          <w:lang w:val="en-CA"/>
        </w:rPr>
        <w:t>simply</w:t>
      </w:r>
      <w:r w:rsidRPr="009A1394">
        <w:rPr>
          <w:color w:val="000000" w:themeColor="text1"/>
          <w:lang w:val="en-CA"/>
        </w:rPr>
        <w:t xml:space="preserve"> to describe an obvious case where the carrier could </w:t>
      </w:r>
      <w:r w:rsidR="00705131" w:rsidRPr="009A1394">
        <w:rPr>
          <w:color w:val="000000" w:themeColor="text1"/>
          <w:lang w:val="en-CA"/>
        </w:rPr>
        <w:t>not</w:t>
      </w:r>
      <w:r w:rsidRPr="009A1394">
        <w:rPr>
          <w:color w:val="000000" w:themeColor="text1"/>
          <w:lang w:val="en-CA"/>
        </w:rPr>
        <w:t xml:space="preserve"> remain passive.</w:t>
      </w:r>
      <w:r w:rsidRPr="009A1394">
        <w:rPr>
          <w:rStyle w:val="Appelnotedebasdep"/>
          <w:color w:val="000000" w:themeColor="text1"/>
          <w:lang w:val="en-CA"/>
        </w:rPr>
        <w:footnoteReference w:id="233"/>
      </w:r>
      <w:r w:rsidR="008161A3" w:rsidRPr="009A1394">
        <w:rPr>
          <w:color w:val="000000" w:themeColor="text1"/>
          <w:lang w:val="en-CA"/>
        </w:rPr>
        <w:t xml:space="preserve"> </w:t>
      </w:r>
      <w:r w:rsidRPr="009A1394">
        <w:rPr>
          <w:color w:val="000000" w:themeColor="text1"/>
          <w:lang w:val="en-CA"/>
        </w:rPr>
        <w:t xml:space="preserve">In any event, it is clearly not from this perspective that the judge </w:t>
      </w:r>
      <w:r w:rsidR="00705131" w:rsidRPr="009A1394">
        <w:rPr>
          <w:color w:val="000000" w:themeColor="text1"/>
          <w:lang w:val="en-CA"/>
        </w:rPr>
        <w:t>addressed</w:t>
      </w:r>
      <w:r w:rsidRPr="009A1394">
        <w:rPr>
          <w:color w:val="000000" w:themeColor="text1"/>
          <w:lang w:val="en-CA"/>
        </w:rPr>
        <w:t xml:space="preserve"> </w:t>
      </w:r>
      <w:r w:rsidR="005C4D9C" w:rsidRPr="009A1394">
        <w:rPr>
          <w:color w:val="000000" w:themeColor="text1"/>
          <w:lang w:val="en-CA"/>
        </w:rPr>
        <w:t>this issue</w:t>
      </w:r>
      <w:r w:rsidRPr="009A1394">
        <w:rPr>
          <w:color w:val="000000" w:themeColor="text1"/>
          <w:lang w:val="en-CA"/>
        </w:rPr>
        <w:t>.</w:t>
      </w:r>
      <w:r w:rsidR="008161A3" w:rsidRPr="009A1394">
        <w:rPr>
          <w:color w:val="000000" w:themeColor="text1"/>
          <w:lang w:val="en-CA"/>
        </w:rPr>
        <w:t xml:space="preserve"> </w:t>
      </w:r>
      <w:r w:rsidR="004B4D41" w:rsidRPr="009A1394">
        <w:rPr>
          <w:color w:val="000000" w:themeColor="text1"/>
          <w:lang w:val="en-CA"/>
        </w:rPr>
        <w:t>T</w:t>
      </w:r>
      <w:r w:rsidR="005C4D9C" w:rsidRPr="009A1394">
        <w:rPr>
          <w:color w:val="000000" w:themeColor="text1"/>
          <w:lang w:val="en-CA"/>
        </w:rPr>
        <w:t xml:space="preserve">hough </w:t>
      </w:r>
      <w:r w:rsidRPr="009A1394">
        <w:rPr>
          <w:color w:val="000000" w:themeColor="text1"/>
          <w:lang w:val="en-CA"/>
        </w:rPr>
        <w:t>he did</w:t>
      </w:r>
      <w:r w:rsidR="005C4D9C" w:rsidRPr="009A1394">
        <w:rPr>
          <w:color w:val="000000" w:themeColor="text1"/>
          <w:lang w:val="en-CA"/>
        </w:rPr>
        <w:t xml:space="preserve"> indeed</w:t>
      </w:r>
      <w:r w:rsidRPr="009A1394">
        <w:rPr>
          <w:color w:val="000000" w:themeColor="text1"/>
          <w:lang w:val="en-CA"/>
        </w:rPr>
        <w:t xml:space="preserve"> write that</w:t>
      </w:r>
      <w:r w:rsidR="005C4D9C" w:rsidRPr="009A1394">
        <w:rPr>
          <w:color w:val="000000" w:themeColor="text1"/>
          <w:lang w:val="en-CA"/>
        </w:rPr>
        <w:t xml:space="preserve"> one </w:t>
      </w:r>
      <w:r w:rsidR="004B4D41" w:rsidRPr="009A1394">
        <w:rPr>
          <w:color w:val="000000" w:themeColor="text1"/>
          <w:lang w:val="en-CA"/>
        </w:rPr>
        <w:t xml:space="preserve">could not </w:t>
      </w:r>
      <w:r w:rsidR="005C4D9C" w:rsidRPr="009A1394">
        <w:rPr>
          <w:color w:val="000000" w:themeColor="text1"/>
          <w:lang w:val="en-CA"/>
        </w:rPr>
        <w:t xml:space="preserve">expect a rail carrier to question </w:t>
      </w:r>
      <w:r w:rsidRPr="009A1394">
        <w:rPr>
          <w:color w:val="000000" w:themeColor="text1"/>
          <w:lang w:val="en-CA"/>
        </w:rPr>
        <w:t xml:space="preserve">the extraction process, treatment and classification of crude oil, the fact remains that this was </w:t>
      </w:r>
      <w:r w:rsidR="00705131" w:rsidRPr="009A1394">
        <w:rPr>
          <w:color w:val="000000" w:themeColor="text1"/>
          <w:lang w:val="en-CA"/>
        </w:rPr>
        <w:t xml:space="preserve">not </w:t>
      </w:r>
      <w:r w:rsidRPr="009A1394">
        <w:rPr>
          <w:color w:val="000000" w:themeColor="text1"/>
          <w:lang w:val="en-CA"/>
        </w:rPr>
        <w:t xml:space="preserve">the </w:t>
      </w:r>
      <w:r w:rsidR="005C4D9C" w:rsidRPr="009A1394">
        <w:rPr>
          <w:color w:val="000000" w:themeColor="text1"/>
          <w:lang w:val="en-CA"/>
        </w:rPr>
        <w:t>key focus</w:t>
      </w:r>
      <w:r w:rsidRPr="009A1394">
        <w:rPr>
          <w:color w:val="000000" w:themeColor="text1"/>
          <w:lang w:val="en-CA"/>
        </w:rPr>
        <w:t xml:space="preserve"> of his analysis.</w:t>
      </w:r>
      <w:r w:rsidRPr="009A1394">
        <w:rPr>
          <w:rStyle w:val="Appelnotedebasdep"/>
          <w:color w:val="000000" w:themeColor="text1"/>
          <w:lang w:val="en-CA"/>
        </w:rPr>
        <w:footnoteReference w:id="234"/>
      </w:r>
    </w:p>
    <w:p w14:paraId="5025FCCD" w14:textId="7DFDD548" w:rsidR="00702A59" w:rsidRPr="009A1394" w:rsidRDefault="004B4D41" w:rsidP="00720E8B">
      <w:pPr>
        <w:pStyle w:val="Paragraphe"/>
        <w:numPr>
          <w:ilvl w:val="0"/>
          <w:numId w:val="1"/>
        </w:numPr>
        <w:rPr>
          <w:color w:val="000000" w:themeColor="text1"/>
          <w:lang w:val="en-CA"/>
        </w:rPr>
      </w:pPr>
      <w:r w:rsidRPr="009A1394">
        <w:rPr>
          <w:color w:val="000000" w:themeColor="text1"/>
          <w:lang w:val="en-CA"/>
        </w:rPr>
        <w:t>While</w:t>
      </w:r>
      <w:r w:rsidR="00E17D18" w:rsidRPr="009A1394">
        <w:rPr>
          <w:color w:val="000000" w:themeColor="text1"/>
          <w:lang w:val="en-CA"/>
        </w:rPr>
        <w:t xml:space="preserve"> the appellants </w:t>
      </w:r>
      <w:r w:rsidRPr="009A1394">
        <w:rPr>
          <w:color w:val="000000" w:themeColor="text1"/>
          <w:lang w:val="en-CA"/>
        </w:rPr>
        <w:t xml:space="preserve">engaged in </w:t>
      </w:r>
      <w:r w:rsidR="00E17D18" w:rsidRPr="009A1394">
        <w:rPr>
          <w:color w:val="000000" w:themeColor="text1"/>
          <w:lang w:val="en-CA"/>
        </w:rPr>
        <w:t>a</w:t>
      </w:r>
      <w:r w:rsidRPr="009A1394">
        <w:rPr>
          <w:color w:val="000000" w:themeColor="text1"/>
          <w:lang w:val="en-CA"/>
        </w:rPr>
        <w:t xml:space="preserve"> painstaking</w:t>
      </w:r>
      <w:r w:rsidR="00E17D18" w:rsidRPr="009A1394">
        <w:rPr>
          <w:color w:val="000000" w:themeColor="text1"/>
          <w:lang w:val="en-CA"/>
        </w:rPr>
        <w:t xml:space="preserve"> comparison of</w:t>
      </w:r>
      <w:r w:rsidRPr="009A1394">
        <w:rPr>
          <w:color w:val="000000" w:themeColor="text1"/>
          <w:lang w:val="en-CA"/>
        </w:rPr>
        <w:t xml:space="preserve"> the</w:t>
      </w:r>
      <w:r w:rsidR="00E17D18" w:rsidRPr="009A1394">
        <w:rPr>
          <w:color w:val="000000" w:themeColor="text1"/>
          <w:lang w:val="en-CA"/>
        </w:rPr>
        <w:t xml:space="preserve"> American </w:t>
      </w:r>
      <w:r w:rsidR="00705131" w:rsidRPr="009A1394">
        <w:rPr>
          <w:color w:val="000000" w:themeColor="text1"/>
          <w:lang w:val="en-CA"/>
        </w:rPr>
        <w:t>and</w:t>
      </w:r>
      <w:r w:rsidR="00E17D18" w:rsidRPr="009A1394">
        <w:rPr>
          <w:color w:val="000000" w:themeColor="text1"/>
          <w:lang w:val="en-CA"/>
        </w:rPr>
        <w:t xml:space="preserve"> Canadian rules regarding </w:t>
      </w:r>
      <w:r w:rsidR="00705131" w:rsidRPr="009A1394">
        <w:rPr>
          <w:color w:val="000000" w:themeColor="text1"/>
          <w:lang w:val="en-CA"/>
        </w:rPr>
        <w:t>classification</w:t>
      </w:r>
      <w:r w:rsidR="00E17D18" w:rsidRPr="009A1394">
        <w:rPr>
          <w:color w:val="000000" w:themeColor="text1"/>
          <w:lang w:val="en-CA"/>
        </w:rPr>
        <w:t xml:space="preserve">, </w:t>
      </w:r>
      <w:r w:rsidR="00705131" w:rsidRPr="009A1394">
        <w:rPr>
          <w:color w:val="000000" w:themeColor="text1"/>
          <w:lang w:val="en-CA"/>
        </w:rPr>
        <w:t>it</w:t>
      </w:r>
      <w:r w:rsidR="00E17D18" w:rsidRPr="009A1394">
        <w:rPr>
          <w:color w:val="000000" w:themeColor="text1"/>
          <w:lang w:val="en-CA"/>
        </w:rPr>
        <w:t xml:space="preserve"> </w:t>
      </w:r>
      <w:r w:rsidR="00705131" w:rsidRPr="009A1394">
        <w:rPr>
          <w:color w:val="000000" w:themeColor="text1"/>
          <w:lang w:val="en-CA"/>
        </w:rPr>
        <w:t>remains</w:t>
      </w:r>
      <w:r w:rsidR="00E17D18" w:rsidRPr="009A1394">
        <w:rPr>
          <w:color w:val="000000" w:themeColor="text1"/>
          <w:lang w:val="en-CA"/>
        </w:rPr>
        <w:t xml:space="preserve"> that the conclusion they </w:t>
      </w:r>
      <w:r w:rsidR="00404958" w:rsidRPr="009A1394">
        <w:rPr>
          <w:color w:val="000000" w:themeColor="text1"/>
          <w:lang w:val="en-CA"/>
        </w:rPr>
        <w:t xml:space="preserve">drew from </w:t>
      </w:r>
      <w:r w:rsidR="00CD5F30" w:rsidRPr="009A1394">
        <w:rPr>
          <w:color w:val="000000" w:themeColor="text1"/>
          <w:lang w:val="en-CA"/>
        </w:rPr>
        <w:t>that exercise</w:t>
      </w:r>
      <w:r w:rsidR="00404958" w:rsidRPr="009A1394">
        <w:rPr>
          <w:color w:val="000000" w:themeColor="text1"/>
          <w:lang w:val="en-CA"/>
        </w:rPr>
        <w:t xml:space="preserve"> </w:t>
      </w:r>
      <w:r w:rsidR="00E17D18" w:rsidRPr="009A1394">
        <w:rPr>
          <w:color w:val="000000" w:themeColor="text1"/>
          <w:lang w:val="en-CA"/>
        </w:rPr>
        <w:t xml:space="preserve">is practically identical </w:t>
      </w:r>
      <w:r w:rsidR="00705131" w:rsidRPr="009A1394">
        <w:rPr>
          <w:color w:val="000000" w:themeColor="text1"/>
          <w:lang w:val="en-CA"/>
        </w:rPr>
        <w:t xml:space="preserve">to </w:t>
      </w:r>
      <w:r w:rsidR="00E17D18" w:rsidRPr="009A1394">
        <w:rPr>
          <w:color w:val="000000" w:themeColor="text1"/>
          <w:lang w:val="en-CA"/>
        </w:rPr>
        <w:t xml:space="preserve">that of </w:t>
      </w:r>
      <w:r w:rsidR="00705131" w:rsidRPr="009A1394">
        <w:rPr>
          <w:color w:val="000000" w:themeColor="text1"/>
          <w:lang w:val="en-CA"/>
        </w:rPr>
        <w:t>the</w:t>
      </w:r>
      <w:r w:rsidR="00E17D18" w:rsidRPr="009A1394">
        <w:rPr>
          <w:color w:val="000000" w:themeColor="text1"/>
          <w:lang w:val="en-CA"/>
        </w:rPr>
        <w:t xml:space="preserve"> </w:t>
      </w:r>
      <w:r w:rsidR="00705131" w:rsidRPr="009A1394">
        <w:rPr>
          <w:color w:val="000000" w:themeColor="text1"/>
          <w:lang w:val="en-CA"/>
        </w:rPr>
        <w:t>judge</w:t>
      </w:r>
      <w:r w:rsidR="00E17D18" w:rsidRPr="009A1394">
        <w:rPr>
          <w:color w:val="000000" w:themeColor="text1"/>
          <w:lang w:val="en-CA"/>
        </w:rPr>
        <w:t>:</w:t>
      </w:r>
    </w:p>
    <w:p w14:paraId="4C5FAF67" w14:textId="53C5AACC" w:rsidR="00705131" w:rsidRPr="009A1394" w:rsidRDefault="00705131" w:rsidP="00720E8B">
      <w:pPr>
        <w:pStyle w:val="Citationenretrai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5C602A60" w14:textId="0DEC255E" w:rsidR="00702A59" w:rsidRPr="009A1394" w:rsidRDefault="00E17D18" w:rsidP="00720E8B">
      <w:pPr>
        <w:pStyle w:val="Citationenretrait"/>
        <w:rPr>
          <w:color w:val="000000" w:themeColor="text1"/>
          <w:lang w:val="en-CA"/>
        </w:rPr>
      </w:pPr>
      <w:r w:rsidRPr="009A1394">
        <w:rPr>
          <w:color w:val="000000" w:themeColor="text1"/>
          <w:lang w:val="en-CA"/>
        </w:rPr>
        <w:t>[585]</w:t>
      </w:r>
      <w:r w:rsidR="008161A3" w:rsidRPr="009A1394">
        <w:rPr>
          <w:color w:val="000000" w:themeColor="text1"/>
          <w:lang w:val="en-CA"/>
        </w:rPr>
        <w:tab/>
      </w:r>
      <w:r w:rsidRPr="009A1394">
        <w:rPr>
          <w:color w:val="000000" w:themeColor="text1"/>
          <w:lang w:val="en-CA"/>
        </w:rPr>
        <w:t xml:space="preserve">Generally, the carrier may rely on the information provided by the shipper of dangerous goods, or by </w:t>
      </w:r>
      <w:r w:rsidR="00CD5F30" w:rsidRPr="009A1394">
        <w:rPr>
          <w:color w:val="000000" w:themeColor="text1"/>
          <w:lang w:val="en-CA"/>
        </w:rPr>
        <w:t>a prior</w:t>
      </w:r>
      <w:r w:rsidRPr="009A1394">
        <w:rPr>
          <w:color w:val="000000" w:themeColor="text1"/>
          <w:lang w:val="en-CA"/>
        </w:rPr>
        <w:t xml:space="preserve"> carrier, unless it knows, or a reasonable person acting in the same circumstances and exercising reasonable </w:t>
      </w:r>
      <w:r w:rsidR="006824D2" w:rsidRPr="009A1394">
        <w:rPr>
          <w:color w:val="000000" w:themeColor="text1"/>
          <w:lang w:val="en-CA"/>
        </w:rPr>
        <w:t>diligence</w:t>
      </w:r>
      <w:r w:rsidRPr="009A1394">
        <w:rPr>
          <w:color w:val="000000" w:themeColor="text1"/>
          <w:lang w:val="en-CA"/>
        </w:rPr>
        <w:t xml:space="preserve"> should have known</w:t>
      </w:r>
      <w:r w:rsidR="00952C40" w:rsidRPr="009A1394">
        <w:rPr>
          <w:color w:val="000000" w:themeColor="text1"/>
          <w:lang w:val="en-CA"/>
        </w:rPr>
        <w:t>,</w:t>
      </w:r>
      <w:r w:rsidRPr="009A1394">
        <w:rPr>
          <w:color w:val="000000" w:themeColor="text1"/>
          <w:lang w:val="en-CA"/>
        </w:rPr>
        <w:t xml:space="preserve"> </w:t>
      </w:r>
      <w:r w:rsidR="006824D2" w:rsidRPr="009A1394">
        <w:rPr>
          <w:color w:val="000000" w:themeColor="text1"/>
          <w:lang w:val="en-CA"/>
        </w:rPr>
        <w:t xml:space="preserve">about </w:t>
      </w:r>
      <w:r w:rsidRPr="009A1394">
        <w:rPr>
          <w:color w:val="000000" w:themeColor="text1"/>
          <w:lang w:val="en-CA"/>
        </w:rPr>
        <w:t>this improper classification or, at the very least, should have reasonably suspected that it was incorrect.</w:t>
      </w:r>
    </w:p>
    <w:p w14:paraId="781071CB" w14:textId="0F203F23" w:rsidR="00802ED0" w:rsidRPr="009A1394" w:rsidRDefault="00E17D18" w:rsidP="00720E8B">
      <w:pPr>
        <w:pStyle w:val="Paragraphe"/>
        <w:numPr>
          <w:ilvl w:val="0"/>
          <w:numId w:val="1"/>
        </w:numPr>
        <w:rPr>
          <w:color w:val="000000" w:themeColor="text1"/>
          <w:lang w:val="en-CA"/>
        </w:rPr>
      </w:pPr>
      <w:r w:rsidRPr="009A1394">
        <w:rPr>
          <w:color w:val="000000" w:themeColor="text1"/>
          <w:lang w:val="en-CA"/>
        </w:rPr>
        <w:t xml:space="preserve">Insofar as the appellants’ theory </w:t>
      </w:r>
      <w:r w:rsidR="00CD5F30" w:rsidRPr="009A1394">
        <w:rPr>
          <w:color w:val="000000" w:themeColor="text1"/>
          <w:lang w:val="en-CA"/>
        </w:rPr>
        <w:t>regarding</w:t>
      </w:r>
      <w:r w:rsidRPr="009A1394">
        <w:rPr>
          <w:color w:val="000000" w:themeColor="text1"/>
          <w:lang w:val="en-CA"/>
        </w:rPr>
        <w:t xml:space="preserve"> the carrier’s obligations in the event of improper classification tru</w:t>
      </w:r>
      <w:r w:rsidR="00A3015D" w:rsidRPr="009A1394">
        <w:rPr>
          <w:color w:val="000000" w:themeColor="text1"/>
          <w:lang w:val="en-CA"/>
        </w:rPr>
        <w:t>l</w:t>
      </w:r>
      <w:r w:rsidRPr="009A1394">
        <w:rPr>
          <w:color w:val="000000" w:themeColor="text1"/>
          <w:lang w:val="en-CA"/>
        </w:rPr>
        <w:t>y differs from th</w:t>
      </w:r>
      <w:r w:rsidR="00CD5F30" w:rsidRPr="009A1394">
        <w:rPr>
          <w:color w:val="000000" w:themeColor="text1"/>
          <w:lang w:val="en-CA"/>
        </w:rPr>
        <w:t>at set out by th</w:t>
      </w:r>
      <w:r w:rsidRPr="009A1394">
        <w:rPr>
          <w:color w:val="000000" w:themeColor="text1"/>
          <w:lang w:val="en-CA"/>
        </w:rPr>
        <w:t>e judge, which is far from</w:t>
      </w:r>
      <w:r w:rsidR="00A3015D" w:rsidRPr="009A1394">
        <w:rPr>
          <w:color w:val="000000" w:themeColor="text1"/>
          <w:lang w:val="en-CA"/>
        </w:rPr>
        <w:t xml:space="preserve"> </w:t>
      </w:r>
      <w:r w:rsidRPr="009A1394">
        <w:rPr>
          <w:color w:val="000000" w:themeColor="text1"/>
          <w:lang w:val="en-CA"/>
        </w:rPr>
        <w:t xml:space="preserve">obvious, it appears that the </w:t>
      </w:r>
      <w:r w:rsidR="00A3015D" w:rsidRPr="009A1394">
        <w:rPr>
          <w:color w:val="000000" w:themeColor="text1"/>
          <w:lang w:val="en-CA"/>
        </w:rPr>
        <w:t>threshold</w:t>
      </w:r>
      <w:r w:rsidRPr="009A1394">
        <w:rPr>
          <w:color w:val="000000" w:themeColor="text1"/>
          <w:lang w:val="en-CA"/>
        </w:rPr>
        <w:t xml:space="preserve"> set by the </w:t>
      </w:r>
      <w:r w:rsidR="00A3015D" w:rsidRPr="009A1394">
        <w:rPr>
          <w:color w:val="000000" w:themeColor="text1"/>
          <w:lang w:val="en-CA"/>
        </w:rPr>
        <w:t>judge</w:t>
      </w:r>
      <w:r w:rsidRPr="009A1394">
        <w:rPr>
          <w:color w:val="000000" w:themeColor="text1"/>
          <w:lang w:val="en-CA"/>
        </w:rPr>
        <w:t xml:space="preserve"> (</w:t>
      </w:r>
      <w:r w:rsidR="00CD5F30" w:rsidRPr="009A1394">
        <w:rPr>
          <w:color w:val="000000" w:themeColor="text1"/>
          <w:lang w:val="en-CA"/>
        </w:rPr>
        <w:t>i.e.</w:t>
      </w:r>
      <w:r w:rsidRPr="009A1394">
        <w:rPr>
          <w:color w:val="000000" w:themeColor="text1"/>
          <w:lang w:val="en-CA"/>
        </w:rPr>
        <w:t>,</w:t>
      </w:r>
      <w:r w:rsidR="00A3015D" w:rsidRPr="009A1394">
        <w:rPr>
          <w:color w:val="000000" w:themeColor="text1"/>
          <w:lang w:val="en-CA"/>
        </w:rPr>
        <w:t xml:space="preserve"> [</w:t>
      </w:r>
      <w:r w:rsidR="00A3015D" w:rsidRPr="009A1394">
        <w:rPr>
          <w:smallCaps/>
          <w:color w:val="000000" w:themeColor="text1"/>
          <w:lang w:val="en-CA"/>
        </w:rPr>
        <w:t>translation</w:t>
      </w:r>
      <w:r w:rsidR="00A3015D" w:rsidRPr="009A1394">
        <w:rPr>
          <w:color w:val="000000" w:themeColor="text1"/>
          <w:lang w:val="en-CA"/>
        </w:rPr>
        <w:t>]</w:t>
      </w:r>
      <w:r w:rsidRPr="009A1394">
        <w:rPr>
          <w:color w:val="000000" w:themeColor="text1"/>
          <w:lang w:val="en-CA"/>
        </w:rPr>
        <w:t xml:space="preserve"> “</w:t>
      </w:r>
      <w:r w:rsidR="00A3015D" w:rsidRPr="009A1394">
        <w:rPr>
          <w:color w:val="000000" w:themeColor="text1"/>
          <w:lang w:val="en-CA"/>
        </w:rPr>
        <w:t>reasonably</w:t>
      </w:r>
      <w:r w:rsidRPr="009A1394">
        <w:rPr>
          <w:color w:val="000000" w:themeColor="text1"/>
          <w:lang w:val="en-CA"/>
        </w:rPr>
        <w:t xml:space="preserve"> suspect</w:t>
      </w:r>
      <w:r w:rsidR="00A3015D" w:rsidRPr="009A1394">
        <w:rPr>
          <w:color w:val="000000" w:themeColor="text1"/>
          <w:lang w:val="en-CA"/>
        </w:rPr>
        <w:t>ed</w:t>
      </w:r>
      <w:r w:rsidRPr="009A1394">
        <w:rPr>
          <w:color w:val="000000" w:themeColor="text1"/>
          <w:lang w:val="en-CA"/>
        </w:rPr>
        <w:t>”) is at least as low as the one they propose.</w:t>
      </w:r>
      <w:r w:rsidR="005931D5" w:rsidRPr="009A1394">
        <w:rPr>
          <w:color w:val="000000" w:themeColor="text1"/>
          <w:lang w:val="en-CA"/>
        </w:rPr>
        <w:t xml:space="preserve"> </w:t>
      </w:r>
      <w:r w:rsidRPr="009A1394">
        <w:rPr>
          <w:lang w:val="en-CA"/>
        </w:rPr>
        <w:t xml:space="preserve">Furthermore, and above all, his analysis </w:t>
      </w:r>
      <w:r w:rsidR="00CD5F30" w:rsidRPr="009A1394">
        <w:rPr>
          <w:lang w:val="en-CA"/>
        </w:rPr>
        <w:t>wa</w:t>
      </w:r>
      <w:r w:rsidRPr="009A1394">
        <w:rPr>
          <w:lang w:val="en-CA"/>
        </w:rPr>
        <w:t xml:space="preserve">s not limited to the statutory </w:t>
      </w:r>
      <w:r w:rsidR="00A3015D" w:rsidRPr="009A1394">
        <w:rPr>
          <w:lang w:val="en-CA"/>
        </w:rPr>
        <w:t>provisions</w:t>
      </w:r>
      <w:r w:rsidRPr="009A1394">
        <w:rPr>
          <w:lang w:val="en-CA"/>
        </w:rPr>
        <w:t xml:space="preserve"> as the appellants argue.</w:t>
      </w:r>
      <w:r w:rsidR="005931D5" w:rsidRPr="009A1394">
        <w:rPr>
          <w:color w:val="000000" w:themeColor="text1"/>
          <w:lang w:val="en-CA"/>
        </w:rPr>
        <w:t xml:space="preserve"> </w:t>
      </w:r>
      <w:r w:rsidRPr="009A1394">
        <w:rPr>
          <w:color w:val="000000" w:themeColor="text1"/>
          <w:lang w:val="en-CA"/>
        </w:rPr>
        <w:t xml:space="preserve">Indeed, the </w:t>
      </w:r>
      <w:r w:rsidR="00A3015D" w:rsidRPr="009A1394">
        <w:rPr>
          <w:color w:val="000000" w:themeColor="text1"/>
          <w:lang w:val="en-CA"/>
        </w:rPr>
        <w:t>judge</w:t>
      </w:r>
      <w:r w:rsidRPr="009A1394">
        <w:rPr>
          <w:color w:val="000000" w:themeColor="text1"/>
          <w:lang w:val="en-CA"/>
        </w:rPr>
        <w:t xml:space="preserve"> considered whether CP had acted reasonably, which demonstrates once again that article 1457 </w:t>
      </w:r>
      <w:r w:rsidRPr="009A1394">
        <w:rPr>
          <w:i/>
          <w:color w:val="000000" w:themeColor="text1"/>
          <w:lang w:val="en-CA"/>
        </w:rPr>
        <w:t>CCQ</w:t>
      </w:r>
      <w:r w:rsidRPr="009A1394">
        <w:rPr>
          <w:color w:val="000000" w:themeColor="text1"/>
          <w:lang w:val="en-CA"/>
        </w:rPr>
        <w:t xml:space="preserve"> was always at the </w:t>
      </w:r>
      <w:r w:rsidR="00CD5F30" w:rsidRPr="009A1394">
        <w:rPr>
          <w:color w:val="000000" w:themeColor="text1"/>
          <w:lang w:val="en-CA"/>
        </w:rPr>
        <w:t>forefront</w:t>
      </w:r>
      <w:r w:rsidRPr="009A1394">
        <w:rPr>
          <w:color w:val="000000" w:themeColor="text1"/>
          <w:lang w:val="en-CA"/>
        </w:rPr>
        <w:t xml:space="preserve"> of his concerns.</w:t>
      </w:r>
    </w:p>
    <w:p w14:paraId="37C9AB16" w14:textId="718A9A03" w:rsidR="00D47D93" w:rsidRPr="009A1394" w:rsidRDefault="00E17D18" w:rsidP="00720E8B">
      <w:pPr>
        <w:pStyle w:val="Paragraphe"/>
        <w:numPr>
          <w:ilvl w:val="0"/>
          <w:numId w:val="1"/>
        </w:numPr>
        <w:rPr>
          <w:color w:val="000000" w:themeColor="text1"/>
          <w:lang w:val="en-CA"/>
        </w:rPr>
      </w:pPr>
      <w:r w:rsidRPr="009A1394">
        <w:rPr>
          <w:color w:val="000000" w:themeColor="text1"/>
          <w:lang w:val="en-CA"/>
        </w:rPr>
        <w:t xml:space="preserve">Accordingly, the appellants </w:t>
      </w:r>
      <w:r w:rsidR="00D958A9" w:rsidRPr="009A1394">
        <w:rPr>
          <w:color w:val="000000" w:themeColor="text1"/>
          <w:lang w:val="en-CA"/>
        </w:rPr>
        <w:t xml:space="preserve">have </w:t>
      </w:r>
      <w:r w:rsidRPr="009A1394">
        <w:rPr>
          <w:color w:val="000000" w:themeColor="text1"/>
          <w:lang w:val="en-CA"/>
        </w:rPr>
        <w:t>failed to demonstrate that</w:t>
      </w:r>
      <w:r w:rsidR="00B243CD" w:rsidRPr="009A1394">
        <w:rPr>
          <w:lang w:val="en-CA"/>
        </w:rPr>
        <w:t xml:space="preserve"> </w:t>
      </w:r>
      <w:r w:rsidR="00B243CD" w:rsidRPr="009A1394">
        <w:rPr>
          <w:color w:val="000000" w:themeColor="text1"/>
          <w:lang w:val="en-CA"/>
        </w:rPr>
        <w:t>in stating CP’s obligations with respect to classification as he did,</w:t>
      </w:r>
      <w:r w:rsidRPr="009A1394">
        <w:rPr>
          <w:color w:val="000000" w:themeColor="text1"/>
          <w:lang w:val="en-CA"/>
        </w:rPr>
        <w:t xml:space="preserve"> the judge erred in law.</w:t>
      </w:r>
    </w:p>
    <w:p w14:paraId="0AAAC3F6" w14:textId="070768C9" w:rsidR="00702A59" w:rsidRPr="009A1394" w:rsidRDefault="00E17D18" w:rsidP="007656DC">
      <w:pPr>
        <w:pStyle w:val="Titre3"/>
        <w:rPr>
          <w:lang w:val="en-CA"/>
        </w:rPr>
      </w:pPr>
      <w:r w:rsidRPr="009A1394">
        <w:rPr>
          <w:lang w:val="en-CA"/>
        </w:rPr>
        <w:t>Error of fact or of mixed fact and law</w:t>
      </w:r>
    </w:p>
    <w:p w14:paraId="542C7029" w14:textId="1262CEF9" w:rsidR="00702A59" w:rsidRPr="009A1394" w:rsidRDefault="00670746" w:rsidP="00720E8B">
      <w:pPr>
        <w:pStyle w:val="Paragraphe"/>
        <w:keepNext/>
        <w:numPr>
          <w:ilvl w:val="0"/>
          <w:numId w:val="1"/>
        </w:numPr>
        <w:rPr>
          <w:color w:val="000000" w:themeColor="text1"/>
          <w:lang w:val="en-CA"/>
        </w:rPr>
      </w:pPr>
      <w:r w:rsidRPr="009A1394">
        <w:rPr>
          <w:color w:val="000000" w:themeColor="text1"/>
          <w:lang w:val="en-CA"/>
        </w:rPr>
        <w:t xml:space="preserve">The appellants argue that CP had several reasons to doubt the accuracy of the crude oil’s classification by WFS, and its failure to inform MMA of this </w:t>
      </w:r>
      <w:r w:rsidR="006D4A6F" w:rsidRPr="009A1394">
        <w:rPr>
          <w:color w:val="000000" w:themeColor="text1"/>
          <w:lang w:val="en-CA"/>
        </w:rPr>
        <w:t xml:space="preserve">constituted </w:t>
      </w:r>
      <w:r w:rsidRPr="009A1394">
        <w:rPr>
          <w:color w:val="000000" w:themeColor="text1"/>
          <w:lang w:val="en-CA"/>
        </w:rPr>
        <w:t>a fault.</w:t>
      </w:r>
      <w:r w:rsidR="008161A3" w:rsidRPr="009A1394">
        <w:rPr>
          <w:color w:val="000000" w:themeColor="text1"/>
          <w:lang w:val="en-CA"/>
        </w:rPr>
        <w:t xml:space="preserve"> </w:t>
      </w:r>
      <w:r w:rsidR="00A834C2" w:rsidRPr="009A1394">
        <w:rPr>
          <w:color w:val="000000" w:themeColor="text1"/>
          <w:lang w:val="en-CA"/>
        </w:rPr>
        <w:t>They</w:t>
      </w:r>
      <w:r w:rsidRPr="009A1394">
        <w:rPr>
          <w:color w:val="000000" w:themeColor="text1"/>
          <w:lang w:val="en-CA"/>
        </w:rPr>
        <w:t xml:space="preserve"> claim that the facts that demonstrate this are so overwhelming that the judge’s </w:t>
      </w:r>
      <w:r w:rsidRPr="009A1394">
        <w:rPr>
          <w:color w:val="000000" w:themeColor="text1"/>
          <w:lang w:val="en-CA"/>
        </w:rPr>
        <w:lastRenderedPageBreak/>
        <w:t>refusal to recognize CP’s fault is a palpable and overriding error.</w:t>
      </w:r>
      <w:r w:rsidR="008161A3" w:rsidRPr="009A1394">
        <w:rPr>
          <w:color w:val="000000" w:themeColor="text1"/>
          <w:lang w:val="en-CA"/>
        </w:rPr>
        <w:t xml:space="preserve"> </w:t>
      </w:r>
      <w:r w:rsidRPr="009A1394">
        <w:rPr>
          <w:color w:val="000000" w:themeColor="text1"/>
          <w:lang w:val="en-CA"/>
        </w:rPr>
        <w:t>The facts at issue, which they characterize as</w:t>
      </w:r>
      <w:r w:rsidR="00A834C2" w:rsidRPr="009A1394">
        <w:rPr>
          <w:color w:val="000000" w:themeColor="text1"/>
          <w:lang w:val="en-CA"/>
        </w:rPr>
        <w:t xml:space="preserve"> [</w:t>
      </w:r>
      <w:r w:rsidR="00A834C2" w:rsidRPr="009A1394">
        <w:rPr>
          <w:smallCaps/>
          <w:color w:val="000000" w:themeColor="text1"/>
          <w:lang w:val="en-CA"/>
        </w:rPr>
        <w:t>translation</w:t>
      </w:r>
      <w:r w:rsidR="00A834C2" w:rsidRPr="009A1394">
        <w:rPr>
          <w:color w:val="000000" w:themeColor="text1"/>
          <w:lang w:val="en-CA"/>
        </w:rPr>
        <w:t>]</w:t>
      </w:r>
      <w:r w:rsidRPr="009A1394">
        <w:rPr>
          <w:color w:val="000000" w:themeColor="text1"/>
          <w:lang w:val="en-CA"/>
        </w:rPr>
        <w:t xml:space="preserve"> “red flags” are the following:</w:t>
      </w:r>
    </w:p>
    <w:p w14:paraId="380C7755" w14:textId="449B426B" w:rsidR="00702A59" w:rsidRPr="009A1394" w:rsidRDefault="00670746" w:rsidP="00720E8B">
      <w:pPr>
        <w:pStyle w:val="Listenumros2"/>
        <w:numPr>
          <w:ilvl w:val="0"/>
          <w:numId w:val="19"/>
        </w:numPr>
        <w:ind w:left="1440" w:hanging="720"/>
        <w:rPr>
          <w:lang w:val="en-CA"/>
        </w:rPr>
      </w:pPr>
      <w:r w:rsidRPr="009A1394">
        <w:rPr>
          <w:lang w:val="en-CA"/>
        </w:rPr>
        <w:t>CP’s internal documents classified Bakken crude oil in the PG-I or PG-II packing groups, but never PG-III;</w:t>
      </w:r>
      <w:r w:rsidRPr="009A1394">
        <w:rPr>
          <w:rStyle w:val="Appelnotedebasdep"/>
          <w:rFonts w:eastAsiaTheme="majorEastAsia"/>
          <w:color w:val="000000" w:themeColor="text1"/>
          <w:szCs w:val="24"/>
          <w:lang w:val="en-CA"/>
        </w:rPr>
        <w:footnoteReference w:id="235"/>
      </w:r>
    </w:p>
    <w:p w14:paraId="3D1A6000" w14:textId="6628DE0F" w:rsidR="00702A59" w:rsidRPr="009A1394" w:rsidRDefault="00670746" w:rsidP="00720E8B">
      <w:pPr>
        <w:pStyle w:val="Listenumros2"/>
        <w:numPr>
          <w:ilvl w:val="0"/>
          <w:numId w:val="19"/>
        </w:numPr>
        <w:ind w:left="1440" w:hanging="720"/>
        <w:rPr>
          <w:lang w:val="en-CA"/>
        </w:rPr>
      </w:pPr>
      <w:r w:rsidRPr="009A1394">
        <w:rPr>
          <w:lang w:val="en-CA"/>
        </w:rPr>
        <w:t xml:space="preserve">the </w:t>
      </w:r>
      <w:r w:rsidR="00A834C2" w:rsidRPr="009A1394">
        <w:rPr>
          <w:lang w:val="en-CA"/>
        </w:rPr>
        <w:t>information</w:t>
      </w:r>
      <w:r w:rsidRPr="009A1394">
        <w:rPr>
          <w:lang w:val="en-CA"/>
        </w:rPr>
        <w:t xml:space="preserve"> at CP’s disposal that the crude oil was from the Bakken </w:t>
      </w:r>
      <w:r w:rsidR="00676A6B" w:rsidRPr="009A1394">
        <w:rPr>
          <w:lang w:val="en-CA"/>
        </w:rPr>
        <w:t>Formation</w:t>
      </w:r>
      <w:r w:rsidRPr="009A1394">
        <w:rPr>
          <w:lang w:val="en-CA"/>
        </w:rPr>
        <w:t xml:space="preserve"> was inconsistent with the PG-III packing group;</w:t>
      </w:r>
    </w:p>
    <w:p w14:paraId="69BFFD7B" w14:textId="1C8A9A7D" w:rsidR="00702A59" w:rsidRPr="009A1394" w:rsidRDefault="00670746" w:rsidP="00720E8B">
      <w:pPr>
        <w:pStyle w:val="Listenumros2"/>
        <w:numPr>
          <w:ilvl w:val="0"/>
          <w:numId w:val="19"/>
        </w:numPr>
        <w:ind w:left="1440" w:hanging="720"/>
        <w:rPr>
          <w:lang w:val="en-CA"/>
        </w:rPr>
      </w:pPr>
      <w:r w:rsidRPr="009A1394">
        <w:rPr>
          <w:lang w:val="en-CA"/>
        </w:rPr>
        <w:t xml:space="preserve">CP’s knowledge of the fact that crude oil from various wells </w:t>
      </w:r>
      <w:r w:rsidR="00F91C7C" w:rsidRPr="009A1394">
        <w:rPr>
          <w:lang w:val="en-CA"/>
        </w:rPr>
        <w:t xml:space="preserve">in </w:t>
      </w:r>
      <w:r w:rsidRPr="009A1394">
        <w:rPr>
          <w:lang w:val="en-CA"/>
        </w:rPr>
        <w:t xml:space="preserve">the Bakken </w:t>
      </w:r>
      <w:r w:rsidR="00676A6B" w:rsidRPr="009A1394">
        <w:rPr>
          <w:lang w:val="en-CA"/>
        </w:rPr>
        <w:t>Formation</w:t>
      </w:r>
      <w:r w:rsidRPr="009A1394">
        <w:rPr>
          <w:lang w:val="en-CA"/>
        </w:rPr>
        <w:t xml:space="preserve"> had been mixed in New </w:t>
      </w:r>
      <w:r w:rsidR="00A834C2" w:rsidRPr="009A1394">
        <w:rPr>
          <w:lang w:val="en-CA"/>
        </w:rPr>
        <w:t>Town</w:t>
      </w:r>
      <w:r w:rsidRPr="009A1394">
        <w:rPr>
          <w:lang w:val="en-CA"/>
        </w:rPr>
        <w:t xml:space="preserve"> made a PG-III packing group classification unlikely;</w:t>
      </w:r>
    </w:p>
    <w:p w14:paraId="27F5F6D4" w14:textId="13D43AC8" w:rsidR="00702A59" w:rsidRPr="009A1394" w:rsidRDefault="00670746" w:rsidP="00720E8B">
      <w:pPr>
        <w:pStyle w:val="Listenumros2"/>
        <w:numPr>
          <w:ilvl w:val="0"/>
          <w:numId w:val="19"/>
        </w:numPr>
        <w:ind w:left="1440" w:hanging="720"/>
        <w:rPr>
          <w:lang w:val="en-CA"/>
        </w:rPr>
      </w:pPr>
      <w:r w:rsidRPr="009A1394">
        <w:rPr>
          <w:lang w:val="en-CA"/>
        </w:rPr>
        <w:t xml:space="preserve">it is well known in the industry that light crude oil, </w:t>
      </w:r>
      <w:r w:rsidR="00066D35" w:rsidRPr="009A1394">
        <w:rPr>
          <w:lang w:val="en-CA"/>
        </w:rPr>
        <w:t>such as</w:t>
      </w:r>
      <w:r w:rsidRPr="009A1394">
        <w:rPr>
          <w:lang w:val="en-CA"/>
        </w:rPr>
        <w:t xml:space="preserve"> the product from the Bakken </w:t>
      </w:r>
      <w:r w:rsidR="00676A6B" w:rsidRPr="009A1394">
        <w:rPr>
          <w:lang w:val="en-CA"/>
        </w:rPr>
        <w:t>Formation</w:t>
      </w:r>
      <w:r w:rsidR="00066D35" w:rsidRPr="009A1394">
        <w:rPr>
          <w:lang w:val="en-CA"/>
        </w:rPr>
        <w:t>,</w:t>
      </w:r>
      <w:r w:rsidRPr="009A1394">
        <w:rPr>
          <w:lang w:val="en-CA"/>
        </w:rPr>
        <w:t xml:space="preserve"> is </w:t>
      </w:r>
      <w:r w:rsidR="00A834C2" w:rsidRPr="009A1394">
        <w:rPr>
          <w:lang w:val="en-CA"/>
        </w:rPr>
        <w:t>volatile</w:t>
      </w:r>
      <w:r w:rsidRPr="009A1394">
        <w:rPr>
          <w:lang w:val="en-CA"/>
        </w:rPr>
        <w:t xml:space="preserve"> and highly flammable</w:t>
      </w:r>
      <w:r w:rsidR="00A834C2" w:rsidRPr="009A1394">
        <w:rPr>
          <w:lang w:val="en-CA"/>
        </w:rPr>
        <w:t>.</w:t>
      </w:r>
      <w:r w:rsidRPr="009A1394">
        <w:rPr>
          <w:lang w:val="en-CA"/>
        </w:rPr>
        <w:t xml:space="preserve"> </w:t>
      </w:r>
      <w:r w:rsidR="00A834C2" w:rsidRPr="009A1394">
        <w:rPr>
          <w:lang w:val="en-CA"/>
        </w:rPr>
        <w:t>This</w:t>
      </w:r>
      <w:r w:rsidRPr="009A1394">
        <w:rPr>
          <w:lang w:val="en-CA"/>
        </w:rPr>
        <w:t xml:space="preserve"> was known </w:t>
      </w:r>
      <w:r w:rsidR="006B11AE" w:rsidRPr="009A1394">
        <w:rPr>
          <w:lang w:val="en-CA"/>
        </w:rPr>
        <w:t xml:space="preserve">to </w:t>
      </w:r>
      <w:r w:rsidRPr="009A1394">
        <w:rPr>
          <w:lang w:val="en-CA"/>
        </w:rPr>
        <w:t>CP, who had, in fact, done research to understand its properties;</w:t>
      </w:r>
    </w:p>
    <w:p w14:paraId="18EF821D" w14:textId="525BF425" w:rsidR="00702A59" w:rsidRPr="009A1394" w:rsidRDefault="00670746" w:rsidP="00720E8B">
      <w:pPr>
        <w:pStyle w:val="Listenumros2"/>
        <w:numPr>
          <w:ilvl w:val="0"/>
          <w:numId w:val="19"/>
        </w:numPr>
        <w:ind w:left="1440" w:hanging="720"/>
        <w:rPr>
          <w:lang w:val="en-CA"/>
        </w:rPr>
      </w:pPr>
      <w:r w:rsidRPr="009A1394">
        <w:rPr>
          <w:lang w:val="en-CA"/>
        </w:rPr>
        <w:t>CP had in its possession Material Safety Data Sheets (</w:t>
      </w:r>
      <w:r w:rsidR="00066D35" w:rsidRPr="009A1394">
        <w:rPr>
          <w:lang w:val="en-CA"/>
        </w:rPr>
        <w:t>“</w:t>
      </w:r>
      <w:r w:rsidRPr="009A1394">
        <w:rPr>
          <w:b/>
          <w:lang w:val="en-CA"/>
        </w:rPr>
        <w:t>MSDS</w:t>
      </w:r>
      <w:r w:rsidRPr="009A1394">
        <w:rPr>
          <w:lang w:val="en-CA"/>
        </w:rPr>
        <w:t>”) and internal emails indicat</w:t>
      </w:r>
      <w:r w:rsidR="00066D35" w:rsidRPr="009A1394">
        <w:rPr>
          <w:lang w:val="en-CA"/>
        </w:rPr>
        <w:t>ing</w:t>
      </w:r>
      <w:r w:rsidRPr="009A1394">
        <w:rPr>
          <w:lang w:val="en-CA"/>
        </w:rPr>
        <w:t xml:space="preserve"> that crude oil from the Bakken </w:t>
      </w:r>
      <w:r w:rsidR="00676A6B" w:rsidRPr="009A1394">
        <w:rPr>
          <w:lang w:val="en-CA"/>
        </w:rPr>
        <w:t>Formation</w:t>
      </w:r>
      <w:r w:rsidRPr="009A1394">
        <w:rPr>
          <w:lang w:val="en-CA"/>
        </w:rPr>
        <w:t xml:space="preserve"> </w:t>
      </w:r>
      <w:r w:rsidR="00066D35" w:rsidRPr="009A1394">
        <w:rPr>
          <w:lang w:val="en-CA"/>
        </w:rPr>
        <w:t>wa</w:t>
      </w:r>
      <w:r w:rsidR="00E7320B" w:rsidRPr="009A1394">
        <w:rPr>
          <w:lang w:val="en-CA"/>
        </w:rPr>
        <w:t xml:space="preserve">s </w:t>
      </w:r>
      <w:r w:rsidRPr="009A1394">
        <w:rPr>
          <w:lang w:val="en-CA"/>
        </w:rPr>
        <w:t>not part of the PG-III packing group;</w:t>
      </w:r>
    </w:p>
    <w:p w14:paraId="60EA8646" w14:textId="2CB203F6" w:rsidR="00702A59" w:rsidRPr="009A1394" w:rsidRDefault="00670746" w:rsidP="00720E8B">
      <w:pPr>
        <w:pStyle w:val="Listenumros2"/>
        <w:numPr>
          <w:ilvl w:val="0"/>
          <w:numId w:val="19"/>
        </w:numPr>
        <w:ind w:left="1440" w:hanging="720"/>
        <w:rPr>
          <w:lang w:val="en-CA"/>
        </w:rPr>
      </w:pPr>
      <w:r w:rsidRPr="009A1394">
        <w:rPr>
          <w:lang w:val="en-CA"/>
        </w:rPr>
        <w:t xml:space="preserve">CP knew that the packing group for crude oil from the Bakken </w:t>
      </w:r>
      <w:r w:rsidR="00676A6B" w:rsidRPr="009A1394">
        <w:rPr>
          <w:lang w:val="en-CA"/>
        </w:rPr>
        <w:t>Formation</w:t>
      </w:r>
      <w:r w:rsidRPr="009A1394">
        <w:rPr>
          <w:lang w:val="en-CA"/>
        </w:rPr>
        <w:t xml:space="preserve"> </w:t>
      </w:r>
      <w:r w:rsidR="00066D35" w:rsidRPr="009A1394">
        <w:rPr>
          <w:lang w:val="en-CA"/>
        </w:rPr>
        <w:t>wa</w:t>
      </w:r>
      <w:r w:rsidR="00E7320B" w:rsidRPr="009A1394">
        <w:rPr>
          <w:lang w:val="en-CA"/>
        </w:rPr>
        <w:t xml:space="preserve">s </w:t>
      </w:r>
      <w:r w:rsidRPr="009A1394">
        <w:rPr>
          <w:lang w:val="en-CA"/>
        </w:rPr>
        <w:t>the same as for ethanol, that is, PG-I or PG-II;</w:t>
      </w:r>
    </w:p>
    <w:p w14:paraId="20C0B76A" w14:textId="444ECA03" w:rsidR="00702A59" w:rsidRPr="009A1394" w:rsidRDefault="00670746" w:rsidP="00720E8B">
      <w:pPr>
        <w:pStyle w:val="Listenumros2"/>
        <w:numPr>
          <w:ilvl w:val="0"/>
          <w:numId w:val="19"/>
        </w:numPr>
        <w:ind w:left="1440" w:hanging="720"/>
        <w:rPr>
          <w:lang w:val="en-CA"/>
        </w:rPr>
      </w:pPr>
      <w:r w:rsidRPr="009A1394">
        <w:rPr>
          <w:lang w:val="en-CA"/>
        </w:rPr>
        <w:t xml:space="preserve">almost all the trucks used to transport </w:t>
      </w:r>
      <w:r w:rsidR="00DE70EB" w:rsidRPr="009A1394">
        <w:rPr>
          <w:lang w:val="en-CA"/>
        </w:rPr>
        <w:t xml:space="preserve">the </w:t>
      </w:r>
      <w:r w:rsidRPr="009A1394">
        <w:rPr>
          <w:lang w:val="en-CA"/>
        </w:rPr>
        <w:t xml:space="preserve">crude oil to the train in New Town had a </w:t>
      </w:r>
      <w:r w:rsidR="00DE70EB" w:rsidRPr="009A1394">
        <w:rPr>
          <w:lang w:val="en-CA"/>
        </w:rPr>
        <w:t xml:space="preserve">bill of </w:t>
      </w:r>
      <w:r w:rsidRPr="009A1394">
        <w:rPr>
          <w:lang w:val="en-CA"/>
        </w:rPr>
        <w:t>lading indicating a PG-II category.</w:t>
      </w:r>
      <w:r w:rsidR="00746237" w:rsidRPr="009A1394">
        <w:rPr>
          <w:lang w:val="en-CA"/>
        </w:rPr>
        <w:t xml:space="preserve"> </w:t>
      </w:r>
      <w:r w:rsidRPr="009A1394">
        <w:rPr>
          <w:lang w:val="en-CA"/>
        </w:rPr>
        <w:t>In fact, Eli Jasso (</w:t>
      </w:r>
      <w:r w:rsidR="00066D35" w:rsidRPr="009A1394">
        <w:rPr>
          <w:lang w:val="en-CA"/>
        </w:rPr>
        <w:t>“</w:t>
      </w:r>
      <w:r w:rsidRPr="009A1394">
        <w:rPr>
          <w:b/>
          <w:lang w:val="en-CA"/>
        </w:rPr>
        <w:t>Jasso</w:t>
      </w:r>
      <w:r w:rsidRPr="009A1394">
        <w:rPr>
          <w:lang w:val="en-CA"/>
        </w:rPr>
        <w:t>”), from SST, testified to this effect and the judge was wrong to reject his testimony;</w:t>
      </w:r>
    </w:p>
    <w:p w14:paraId="3A6DE199" w14:textId="1DA8A02C" w:rsidR="00702A59" w:rsidRPr="009A1394" w:rsidRDefault="00670746" w:rsidP="00720E8B">
      <w:pPr>
        <w:pStyle w:val="Listenumros2"/>
        <w:numPr>
          <w:ilvl w:val="0"/>
          <w:numId w:val="19"/>
        </w:numPr>
        <w:ind w:left="1440" w:hanging="720"/>
        <w:rPr>
          <w:lang w:val="en-CA"/>
        </w:rPr>
      </w:pPr>
      <w:r w:rsidRPr="009A1394">
        <w:rPr>
          <w:lang w:val="en-CA"/>
        </w:rPr>
        <w:t xml:space="preserve">the MSDS that could be consulted in New Town confirmed that the packing group for crude oil from the Bakken </w:t>
      </w:r>
      <w:r w:rsidR="00676A6B" w:rsidRPr="009A1394">
        <w:rPr>
          <w:lang w:val="en-CA"/>
        </w:rPr>
        <w:t>Formation</w:t>
      </w:r>
      <w:r w:rsidRPr="009A1394">
        <w:rPr>
          <w:lang w:val="en-CA"/>
        </w:rPr>
        <w:t xml:space="preserve"> was PG-I or PG-II and all CP had to do to </w:t>
      </w:r>
      <w:r w:rsidR="00066D35" w:rsidRPr="009A1394">
        <w:rPr>
          <w:lang w:val="en-CA"/>
        </w:rPr>
        <w:t>obtain knowledge of</w:t>
      </w:r>
      <w:r w:rsidRPr="009A1394">
        <w:rPr>
          <w:lang w:val="en-CA"/>
        </w:rPr>
        <w:t xml:space="preserve"> this would have been to ask for access to </w:t>
      </w:r>
      <w:r w:rsidR="00E7320B" w:rsidRPr="009A1394">
        <w:rPr>
          <w:lang w:val="en-CA"/>
        </w:rPr>
        <w:t>them</w:t>
      </w:r>
      <w:r w:rsidRPr="009A1394">
        <w:rPr>
          <w:lang w:val="en-CA"/>
        </w:rPr>
        <w:t>;</w:t>
      </w:r>
    </w:p>
    <w:p w14:paraId="24EC3634" w14:textId="2DB815CB" w:rsidR="00702A59" w:rsidRPr="009A1394" w:rsidRDefault="00670746" w:rsidP="00720E8B">
      <w:pPr>
        <w:pStyle w:val="Listenumros2"/>
        <w:numPr>
          <w:ilvl w:val="0"/>
          <w:numId w:val="19"/>
        </w:numPr>
        <w:ind w:left="1440" w:hanging="720"/>
        <w:rPr>
          <w:lang w:val="en-CA"/>
        </w:rPr>
      </w:pPr>
      <w:r w:rsidRPr="009A1394">
        <w:rPr>
          <w:lang w:val="en-CA"/>
        </w:rPr>
        <w:t xml:space="preserve">CP did not follow up on Jasso’s request </w:t>
      </w:r>
      <w:r w:rsidR="008578B3" w:rsidRPr="009A1394">
        <w:rPr>
          <w:lang w:val="en-CA"/>
        </w:rPr>
        <w:t xml:space="preserve">to change </w:t>
      </w:r>
      <w:r w:rsidRPr="009A1394">
        <w:rPr>
          <w:lang w:val="en-CA"/>
        </w:rPr>
        <w:t>the designation of the crude oil’s packing group;</w:t>
      </w:r>
    </w:p>
    <w:p w14:paraId="27F10FAF" w14:textId="737842E5" w:rsidR="00702A59" w:rsidRPr="009A1394" w:rsidRDefault="00670746" w:rsidP="00720E8B">
      <w:pPr>
        <w:pStyle w:val="Listenumros2"/>
        <w:numPr>
          <w:ilvl w:val="0"/>
          <w:numId w:val="19"/>
        </w:numPr>
        <w:ind w:left="1440" w:hanging="720"/>
        <w:rPr>
          <w:lang w:val="en-CA"/>
        </w:rPr>
      </w:pPr>
      <w:r w:rsidRPr="009A1394">
        <w:rPr>
          <w:lang w:val="en-CA"/>
        </w:rPr>
        <w:t xml:space="preserve">crude oil from the Bakken </w:t>
      </w:r>
      <w:r w:rsidR="00676A6B" w:rsidRPr="009A1394">
        <w:rPr>
          <w:lang w:val="en-CA"/>
        </w:rPr>
        <w:t>Formation</w:t>
      </w:r>
      <w:r w:rsidRPr="009A1394">
        <w:rPr>
          <w:lang w:val="en-CA"/>
        </w:rPr>
        <w:t xml:space="preserve"> from shippers other than WFS was classified PG-I or PG-II.</w:t>
      </w:r>
    </w:p>
    <w:p w14:paraId="65F3752E" w14:textId="2712EEA4" w:rsidR="00702A59" w:rsidRPr="009A1394" w:rsidRDefault="00670746" w:rsidP="00720E8B">
      <w:pPr>
        <w:pStyle w:val="Paragraphe"/>
        <w:numPr>
          <w:ilvl w:val="0"/>
          <w:numId w:val="1"/>
        </w:numPr>
        <w:rPr>
          <w:color w:val="000000" w:themeColor="text1"/>
          <w:lang w:val="en-CA"/>
        </w:rPr>
      </w:pPr>
      <w:r w:rsidRPr="009A1394">
        <w:rPr>
          <w:color w:val="000000" w:themeColor="text1"/>
          <w:lang w:val="en-CA"/>
        </w:rPr>
        <w:lastRenderedPageBreak/>
        <w:t>The appellants</w:t>
      </w:r>
      <w:r w:rsidR="00A2504F" w:rsidRPr="009A1394">
        <w:rPr>
          <w:color w:val="000000" w:themeColor="text1"/>
          <w:lang w:val="en-CA"/>
        </w:rPr>
        <w:t>’</w:t>
      </w:r>
      <w:r w:rsidRPr="009A1394">
        <w:rPr>
          <w:color w:val="000000" w:themeColor="text1"/>
          <w:lang w:val="en-CA"/>
        </w:rPr>
        <w:t xml:space="preserve"> </w:t>
      </w:r>
      <w:r w:rsidR="00A2504F" w:rsidRPr="009A1394">
        <w:rPr>
          <w:color w:val="000000" w:themeColor="text1"/>
          <w:lang w:val="en-CA"/>
        </w:rPr>
        <w:t xml:space="preserve">conclusion is </w:t>
      </w:r>
      <w:r w:rsidRPr="009A1394">
        <w:rPr>
          <w:color w:val="000000" w:themeColor="text1"/>
          <w:lang w:val="en-CA"/>
        </w:rPr>
        <w:t>that CP</w:t>
      </w:r>
      <w:r w:rsidR="00D93774" w:rsidRPr="009A1394">
        <w:rPr>
          <w:color w:val="000000" w:themeColor="text1"/>
          <w:lang w:val="en-CA"/>
        </w:rPr>
        <w:t xml:space="preserve"> </w:t>
      </w:r>
      <w:r w:rsidRPr="009A1394">
        <w:rPr>
          <w:color w:val="000000" w:themeColor="text1"/>
          <w:lang w:val="en-CA"/>
        </w:rPr>
        <w:t xml:space="preserve">misled MMA </w:t>
      </w:r>
      <w:r w:rsidR="00D93774" w:rsidRPr="009A1394">
        <w:rPr>
          <w:color w:val="000000" w:themeColor="text1"/>
          <w:lang w:val="en-CA"/>
        </w:rPr>
        <w:t>regarding</w:t>
      </w:r>
      <w:r w:rsidRPr="009A1394">
        <w:rPr>
          <w:color w:val="000000" w:themeColor="text1"/>
          <w:lang w:val="en-CA"/>
        </w:rPr>
        <w:t xml:space="preserve"> the dangerous nature of </w:t>
      </w:r>
      <w:r w:rsidR="00A834C2" w:rsidRPr="009A1394">
        <w:rPr>
          <w:color w:val="000000" w:themeColor="text1"/>
          <w:lang w:val="en-CA"/>
        </w:rPr>
        <w:t>the</w:t>
      </w:r>
      <w:r w:rsidRPr="009A1394">
        <w:rPr>
          <w:color w:val="000000" w:themeColor="text1"/>
          <w:lang w:val="en-CA"/>
        </w:rPr>
        <w:t xml:space="preserve"> crude oil in question and therefore failed to meet its </w:t>
      </w:r>
      <w:r w:rsidR="008578B3" w:rsidRPr="009A1394">
        <w:rPr>
          <w:color w:val="000000" w:themeColor="text1"/>
          <w:lang w:val="en-CA"/>
        </w:rPr>
        <w:t xml:space="preserve">obligation </w:t>
      </w:r>
      <w:r w:rsidRPr="009A1394">
        <w:rPr>
          <w:color w:val="000000" w:themeColor="text1"/>
          <w:lang w:val="en-CA"/>
        </w:rPr>
        <w:t>to inform.</w:t>
      </w:r>
    </w:p>
    <w:p w14:paraId="76B819C5" w14:textId="75CE1F47" w:rsidR="00D52314" w:rsidRPr="009A1394" w:rsidRDefault="00670746" w:rsidP="007B0327">
      <w:pPr>
        <w:pStyle w:val="Titre3"/>
        <w:rPr>
          <w:lang w:val="en-CA"/>
        </w:rPr>
      </w:pPr>
      <w:r w:rsidRPr="009A1394">
        <w:rPr>
          <w:lang w:val="en-CA"/>
        </w:rPr>
        <w:t>Discussion on the error of fact or of mixed fact and law</w:t>
      </w:r>
      <w:r w:rsidR="00D93774" w:rsidRPr="009A1394">
        <w:rPr>
          <w:lang w:val="en-CA"/>
        </w:rPr>
        <w:t xml:space="preserve"> argument</w:t>
      </w:r>
    </w:p>
    <w:p w14:paraId="5FBF9D08" w14:textId="0A8473FE" w:rsidR="00702A59" w:rsidRPr="009A1394" w:rsidRDefault="00670746" w:rsidP="00720E8B">
      <w:pPr>
        <w:pStyle w:val="Paragraphe"/>
        <w:numPr>
          <w:ilvl w:val="0"/>
          <w:numId w:val="1"/>
        </w:numPr>
        <w:rPr>
          <w:color w:val="000000" w:themeColor="text1"/>
          <w:lang w:val="en-CA"/>
        </w:rPr>
      </w:pPr>
      <w:r w:rsidRPr="009A1394">
        <w:rPr>
          <w:color w:val="000000" w:themeColor="text1"/>
          <w:lang w:val="en-CA"/>
        </w:rPr>
        <w:t xml:space="preserve">To </w:t>
      </w:r>
      <w:r w:rsidR="00D93774" w:rsidRPr="009A1394">
        <w:rPr>
          <w:color w:val="000000" w:themeColor="text1"/>
          <w:lang w:val="en-CA"/>
        </w:rPr>
        <w:t>succeed</w:t>
      </w:r>
      <w:r w:rsidRPr="009A1394">
        <w:rPr>
          <w:color w:val="000000" w:themeColor="text1"/>
          <w:lang w:val="en-CA"/>
        </w:rPr>
        <w:t xml:space="preserve"> on this ground of appeal, the appellants ha</w:t>
      </w:r>
      <w:r w:rsidR="00A834C2" w:rsidRPr="009A1394">
        <w:rPr>
          <w:color w:val="000000" w:themeColor="text1"/>
          <w:lang w:val="en-CA"/>
        </w:rPr>
        <w:t>d</w:t>
      </w:r>
      <w:r w:rsidRPr="009A1394">
        <w:rPr>
          <w:color w:val="000000" w:themeColor="text1"/>
          <w:lang w:val="en-CA"/>
        </w:rPr>
        <w:t xml:space="preserve"> to </w:t>
      </w:r>
      <w:r w:rsidR="00D93774" w:rsidRPr="009A1394">
        <w:rPr>
          <w:color w:val="000000" w:themeColor="text1"/>
          <w:lang w:val="en-CA"/>
        </w:rPr>
        <w:t>show</w:t>
      </w:r>
      <w:r w:rsidRPr="009A1394">
        <w:rPr>
          <w:color w:val="000000" w:themeColor="text1"/>
          <w:lang w:val="en-CA"/>
        </w:rPr>
        <w:t xml:space="preserve"> the existence of a palpable and overriding error in the judge’s analysis.</w:t>
      </w:r>
      <w:r w:rsidR="008161A3" w:rsidRPr="009A1394">
        <w:rPr>
          <w:color w:val="000000" w:themeColor="text1"/>
          <w:lang w:val="en-CA"/>
        </w:rPr>
        <w:t xml:space="preserve"> </w:t>
      </w:r>
      <w:r w:rsidR="00621C23" w:rsidRPr="009A1394">
        <w:rPr>
          <w:color w:val="000000" w:themeColor="text1"/>
          <w:lang w:val="en-CA"/>
        </w:rPr>
        <w:t>It is true that</w:t>
      </w:r>
      <w:r w:rsidRPr="009A1394">
        <w:rPr>
          <w:color w:val="000000" w:themeColor="text1"/>
          <w:lang w:val="en-CA"/>
        </w:rPr>
        <w:t xml:space="preserve"> the appellants have </w:t>
      </w:r>
      <w:r w:rsidR="006B11AE" w:rsidRPr="009A1394">
        <w:rPr>
          <w:color w:val="000000" w:themeColor="text1"/>
          <w:lang w:val="en-CA"/>
        </w:rPr>
        <w:t xml:space="preserve">compiled </w:t>
      </w:r>
      <w:r w:rsidRPr="009A1394">
        <w:rPr>
          <w:color w:val="000000" w:themeColor="text1"/>
          <w:lang w:val="en-CA"/>
        </w:rPr>
        <w:t xml:space="preserve">a long list of </w:t>
      </w:r>
      <w:r w:rsidR="006B11AE" w:rsidRPr="009A1394">
        <w:rPr>
          <w:color w:val="000000" w:themeColor="text1"/>
          <w:lang w:val="en-CA"/>
        </w:rPr>
        <w:t>clues</w:t>
      </w:r>
      <w:r w:rsidRPr="009A1394">
        <w:rPr>
          <w:color w:val="000000" w:themeColor="text1"/>
          <w:lang w:val="en-CA"/>
        </w:rPr>
        <w:t xml:space="preserve"> that should</w:t>
      </w:r>
      <w:r w:rsidR="00433782" w:rsidRPr="009A1394">
        <w:rPr>
          <w:color w:val="000000" w:themeColor="text1"/>
          <w:lang w:val="en-CA"/>
        </w:rPr>
        <w:t xml:space="preserve"> have</w:t>
      </w:r>
      <w:r w:rsidRPr="009A1394">
        <w:rPr>
          <w:color w:val="000000" w:themeColor="text1"/>
          <w:lang w:val="en-CA"/>
        </w:rPr>
        <w:t xml:space="preserve">, in their view, </w:t>
      </w:r>
      <w:r w:rsidR="00A834C2" w:rsidRPr="009A1394">
        <w:rPr>
          <w:color w:val="000000" w:themeColor="text1"/>
          <w:lang w:val="en-CA"/>
        </w:rPr>
        <w:t xml:space="preserve">elicited a </w:t>
      </w:r>
      <w:r w:rsidR="006B11AE" w:rsidRPr="009A1394">
        <w:rPr>
          <w:color w:val="000000" w:themeColor="text1"/>
          <w:lang w:val="en-CA"/>
        </w:rPr>
        <w:t xml:space="preserve">response </w:t>
      </w:r>
      <w:r w:rsidR="00A834C2" w:rsidRPr="009A1394">
        <w:rPr>
          <w:color w:val="000000" w:themeColor="text1"/>
          <w:lang w:val="en-CA"/>
        </w:rPr>
        <w:t>from</w:t>
      </w:r>
      <w:r w:rsidRPr="009A1394">
        <w:rPr>
          <w:color w:val="000000" w:themeColor="text1"/>
          <w:lang w:val="en-CA"/>
        </w:rPr>
        <w:t xml:space="preserve"> CP.</w:t>
      </w:r>
      <w:r w:rsidR="008161A3" w:rsidRPr="009A1394">
        <w:rPr>
          <w:color w:val="000000" w:themeColor="text1"/>
          <w:lang w:val="en-CA"/>
        </w:rPr>
        <w:t xml:space="preserve"> </w:t>
      </w:r>
      <w:r w:rsidRPr="009A1394">
        <w:rPr>
          <w:color w:val="000000" w:themeColor="text1"/>
          <w:lang w:val="en-CA"/>
        </w:rPr>
        <w:t xml:space="preserve">However, </w:t>
      </w:r>
      <w:r w:rsidR="00433782" w:rsidRPr="009A1394">
        <w:rPr>
          <w:color w:val="000000" w:themeColor="text1"/>
          <w:lang w:val="en-CA"/>
        </w:rPr>
        <w:t xml:space="preserve">it is not enough for them to show that the judge </w:t>
      </w:r>
      <w:r w:rsidRPr="009A1394">
        <w:rPr>
          <w:color w:val="000000" w:themeColor="text1"/>
          <w:lang w:val="en-CA"/>
        </w:rPr>
        <w:t xml:space="preserve">had enough evidence to support a different </w:t>
      </w:r>
      <w:r w:rsidR="006B11AE" w:rsidRPr="009A1394">
        <w:rPr>
          <w:color w:val="000000" w:themeColor="text1"/>
          <w:lang w:val="en-CA"/>
        </w:rPr>
        <w:t>finding</w:t>
      </w:r>
      <w:r w:rsidRPr="009A1394">
        <w:rPr>
          <w:color w:val="000000" w:themeColor="text1"/>
          <w:lang w:val="en-CA"/>
        </w:rPr>
        <w:t>.</w:t>
      </w:r>
      <w:r w:rsidRPr="009A1394">
        <w:rPr>
          <w:rStyle w:val="Appelnotedebasdep"/>
          <w:color w:val="000000" w:themeColor="text1"/>
          <w:lang w:val="en-CA"/>
        </w:rPr>
        <w:footnoteReference w:id="236"/>
      </w:r>
      <w:r w:rsidR="008161A3" w:rsidRPr="009A1394">
        <w:rPr>
          <w:color w:val="000000" w:themeColor="text1"/>
          <w:lang w:val="en-CA"/>
        </w:rPr>
        <w:t xml:space="preserve"> </w:t>
      </w:r>
      <w:r w:rsidRPr="009A1394">
        <w:rPr>
          <w:lang w:val="en-CA"/>
        </w:rPr>
        <w:t xml:space="preserve">The Court recalls that the appellants have the burden of </w:t>
      </w:r>
      <w:r w:rsidR="00433782" w:rsidRPr="009A1394">
        <w:rPr>
          <w:lang w:val="en-CA"/>
        </w:rPr>
        <w:t xml:space="preserve">showing </w:t>
      </w:r>
      <w:r w:rsidRPr="009A1394">
        <w:rPr>
          <w:lang w:val="en-CA"/>
        </w:rPr>
        <w:t xml:space="preserve">that the judge’s </w:t>
      </w:r>
      <w:r w:rsidR="006B11AE" w:rsidRPr="009A1394">
        <w:rPr>
          <w:lang w:val="en-CA"/>
        </w:rPr>
        <w:t xml:space="preserve">finding </w:t>
      </w:r>
      <w:r w:rsidRPr="009A1394">
        <w:rPr>
          <w:lang w:val="en-CA"/>
        </w:rPr>
        <w:t>contained a palpable and overriding error, which they</w:t>
      </w:r>
      <w:r w:rsidR="00D93774" w:rsidRPr="009A1394">
        <w:rPr>
          <w:lang w:val="en-CA"/>
        </w:rPr>
        <w:t xml:space="preserve"> have</w:t>
      </w:r>
      <w:r w:rsidRPr="009A1394">
        <w:rPr>
          <w:lang w:val="en-CA"/>
        </w:rPr>
        <w:t xml:space="preserve"> failed to do.</w:t>
      </w:r>
    </w:p>
    <w:p w14:paraId="54F83284" w14:textId="6EBBC4FC" w:rsidR="00702A59" w:rsidRPr="009A1394" w:rsidRDefault="00670746" w:rsidP="00720E8B">
      <w:pPr>
        <w:pStyle w:val="Paragraphe"/>
        <w:numPr>
          <w:ilvl w:val="0"/>
          <w:numId w:val="1"/>
        </w:numPr>
        <w:rPr>
          <w:color w:val="000000" w:themeColor="text1"/>
          <w:lang w:val="en-CA"/>
        </w:rPr>
      </w:pPr>
      <w:r w:rsidRPr="009A1394">
        <w:rPr>
          <w:color w:val="000000" w:themeColor="text1"/>
          <w:lang w:val="en-CA"/>
        </w:rPr>
        <w:t xml:space="preserve">The </w:t>
      </w:r>
      <w:r w:rsidR="00A834C2" w:rsidRPr="009A1394">
        <w:rPr>
          <w:color w:val="000000" w:themeColor="text1"/>
          <w:lang w:val="en-CA"/>
        </w:rPr>
        <w:t>judge</w:t>
      </w:r>
      <w:r w:rsidRPr="009A1394">
        <w:rPr>
          <w:color w:val="000000" w:themeColor="text1"/>
          <w:lang w:val="en-CA"/>
        </w:rPr>
        <w:t xml:space="preserve"> considered each </w:t>
      </w:r>
      <w:r w:rsidR="00433782" w:rsidRPr="009A1394">
        <w:rPr>
          <w:color w:val="000000" w:themeColor="text1"/>
          <w:lang w:val="en-CA"/>
        </w:rPr>
        <w:t>piece</w:t>
      </w:r>
      <w:r w:rsidRPr="009A1394">
        <w:rPr>
          <w:color w:val="000000" w:themeColor="text1"/>
          <w:lang w:val="en-CA"/>
        </w:rPr>
        <w:t xml:space="preserve"> of evidence </w:t>
      </w:r>
      <w:r w:rsidR="00375143" w:rsidRPr="009A1394">
        <w:rPr>
          <w:color w:val="000000" w:themeColor="text1"/>
          <w:lang w:val="en-CA"/>
        </w:rPr>
        <w:t xml:space="preserve">that </w:t>
      </w:r>
      <w:r w:rsidRPr="009A1394">
        <w:rPr>
          <w:color w:val="000000" w:themeColor="text1"/>
          <w:lang w:val="en-CA"/>
        </w:rPr>
        <w:t xml:space="preserve">the appellants </w:t>
      </w:r>
      <w:r w:rsidR="00375143" w:rsidRPr="009A1394">
        <w:rPr>
          <w:color w:val="000000" w:themeColor="text1"/>
          <w:lang w:val="en-CA"/>
        </w:rPr>
        <w:t xml:space="preserve">had </w:t>
      </w:r>
      <w:r w:rsidRPr="009A1394">
        <w:rPr>
          <w:color w:val="000000" w:themeColor="text1"/>
          <w:lang w:val="en-CA"/>
        </w:rPr>
        <w:t>characteriz</w:t>
      </w:r>
      <w:r w:rsidR="00B74679" w:rsidRPr="009A1394">
        <w:rPr>
          <w:color w:val="000000" w:themeColor="text1"/>
          <w:lang w:val="en-CA"/>
        </w:rPr>
        <w:t>ed</w:t>
      </w:r>
      <w:r w:rsidRPr="009A1394">
        <w:rPr>
          <w:color w:val="000000" w:themeColor="text1"/>
          <w:lang w:val="en-CA"/>
        </w:rPr>
        <w:t xml:space="preserve"> as </w:t>
      </w:r>
      <w:r w:rsidR="00A834C2" w:rsidRPr="009A1394">
        <w:rPr>
          <w:color w:val="000000" w:themeColor="text1"/>
          <w:lang w:val="en-CA"/>
        </w:rPr>
        <w:t>[</w:t>
      </w:r>
      <w:r w:rsidR="00A834C2" w:rsidRPr="009A1394">
        <w:rPr>
          <w:smallCaps/>
          <w:color w:val="000000" w:themeColor="text1"/>
          <w:lang w:val="en-CA"/>
        </w:rPr>
        <w:t>translation</w:t>
      </w:r>
      <w:r w:rsidR="00A834C2" w:rsidRPr="009A1394">
        <w:rPr>
          <w:color w:val="000000" w:themeColor="text1"/>
          <w:lang w:val="en-CA"/>
        </w:rPr>
        <w:t xml:space="preserve">] </w:t>
      </w:r>
      <w:r w:rsidRPr="009A1394">
        <w:rPr>
          <w:color w:val="000000" w:themeColor="text1"/>
          <w:lang w:val="en-CA"/>
        </w:rPr>
        <w:t>“red flags”.</w:t>
      </w:r>
      <w:r w:rsidRPr="009A1394">
        <w:rPr>
          <w:rStyle w:val="Appelnotedebasdep"/>
          <w:color w:val="000000" w:themeColor="text1"/>
          <w:lang w:val="en-CA"/>
        </w:rPr>
        <w:footnoteReference w:id="237"/>
      </w:r>
      <w:r w:rsidR="0060501F" w:rsidRPr="009A1394">
        <w:rPr>
          <w:color w:val="000000" w:themeColor="text1"/>
          <w:lang w:val="en-CA"/>
        </w:rPr>
        <w:t xml:space="preserve"> </w:t>
      </w:r>
      <w:r w:rsidR="00433782" w:rsidRPr="009A1394">
        <w:rPr>
          <w:color w:val="000000" w:themeColor="text1"/>
          <w:lang w:val="en-CA"/>
        </w:rPr>
        <w:t>With regard to</w:t>
      </w:r>
      <w:r w:rsidRPr="009A1394">
        <w:rPr>
          <w:color w:val="000000" w:themeColor="text1"/>
          <w:lang w:val="en-CA"/>
        </w:rPr>
        <w:t xml:space="preserve"> some</w:t>
      </w:r>
      <w:r w:rsidR="00433782" w:rsidRPr="009A1394">
        <w:rPr>
          <w:color w:val="000000" w:themeColor="text1"/>
          <w:lang w:val="en-CA"/>
        </w:rPr>
        <w:t xml:space="preserve"> of these</w:t>
      </w:r>
      <w:r w:rsidRPr="009A1394">
        <w:rPr>
          <w:color w:val="000000" w:themeColor="text1"/>
          <w:lang w:val="en-CA"/>
        </w:rPr>
        <w:t xml:space="preserve">, he explained how they were not </w:t>
      </w:r>
      <w:r w:rsidR="00433782" w:rsidRPr="009A1394">
        <w:rPr>
          <w:color w:val="000000" w:themeColor="text1"/>
          <w:lang w:val="en-CA"/>
        </w:rPr>
        <w:t xml:space="preserve">strong </w:t>
      </w:r>
      <w:r w:rsidR="00DD784C" w:rsidRPr="009A1394">
        <w:rPr>
          <w:color w:val="000000" w:themeColor="text1"/>
          <w:lang w:val="en-CA"/>
        </w:rPr>
        <w:t xml:space="preserve">indicators </w:t>
      </w:r>
      <w:r w:rsidRPr="009A1394">
        <w:rPr>
          <w:color w:val="000000" w:themeColor="text1"/>
          <w:lang w:val="en-CA"/>
        </w:rPr>
        <w:t>of proper or improper classification.</w:t>
      </w:r>
      <w:r w:rsidR="0060501F" w:rsidRPr="009A1394">
        <w:rPr>
          <w:color w:val="000000" w:themeColor="text1"/>
          <w:lang w:val="en-CA"/>
        </w:rPr>
        <w:t xml:space="preserve"> </w:t>
      </w:r>
      <w:r w:rsidRPr="009A1394">
        <w:rPr>
          <w:color w:val="000000" w:themeColor="text1"/>
          <w:lang w:val="en-CA"/>
        </w:rPr>
        <w:t>For example, he noted that MSDS</w:t>
      </w:r>
      <w:r w:rsidR="00375143" w:rsidRPr="009A1394">
        <w:rPr>
          <w:color w:val="000000" w:themeColor="text1"/>
          <w:lang w:val="en-CA"/>
        </w:rPr>
        <w:t>s</w:t>
      </w:r>
      <w:r w:rsidRPr="009A1394">
        <w:rPr>
          <w:color w:val="000000" w:themeColor="text1"/>
          <w:lang w:val="en-CA"/>
        </w:rPr>
        <w:t xml:space="preserve">—which are prepared for the purpose of workplace safety </w:t>
      </w:r>
      <w:r w:rsidR="00B74679" w:rsidRPr="009A1394">
        <w:rPr>
          <w:color w:val="000000" w:themeColor="text1"/>
          <w:lang w:val="en-CA"/>
        </w:rPr>
        <w:t>and</w:t>
      </w:r>
      <w:r w:rsidRPr="009A1394">
        <w:rPr>
          <w:color w:val="000000" w:themeColor="text1"/>
          <w:lang w:val="en-CA"/>
        </w:rPr>
        <w:t xml:space="preserve"> are not </w:t>
      </w:r>
      <w:r w:rsidR="00B74679" w:rsidRPr="009A1394">
        <w:rPr>
          <w:color w:val="000000" w:themeColor="text1"/>
          <w:lang w:val="en-CA"/>
        </w:rPr>
        <w:t>included with</w:t>
      </w:r>
      <w:r w:rsidRPr="009A1394">
        <w:rPr>
          <w:color w:val="000000" w:themeColor="text1"/>
          <w:lang w:val="en-CA"/>
        </w:rPr>
        <w:t xml:space="preserve"> the shipping documentation— are not reliable with respect to classification because they are established </w:t>
      </w:r>
      <w:r w:rsidR="00C05070" w:rsidRPr="009A1394">
        <w:rPr>
          <w:color w:val="000000" w:themeColor="text1"/>
          <w:lang w:val="en-CA"/>
        </w:rPr>
        <w:t>in a general way</w:t>
      </w:r>
      <w:r w:rsidRPr="009A1394">
        <w:rPr>
          <w:color w:val="000000" w:themeColor="text1"/>
          <w:lang w:val="en-CA"/>
        </w:rPr>
        <w:t xml:space="preserve"> and often by type of product.</w:t>
      </w:r>
      <w:r w:rsidRPr="009A1394">
        <w:rPr>
          <w:rStyle w:val="Appelnotedebasdep"/>
          <w:color w:val="000000" w:themeColor="text1"/>
          <w:lang w:val="en-CA"/>
        </w:rPr>
        <w:footnoteReference w:id="238"/>
      </w:r>
      <w:r w:rsidR="00004641" w:rsidRPr="009A1394">
        <w:rPr>
          <w:color w:val="000000" w:themeColor="text1"/>
          <w:lang w:val="en-CA"/>
        </w:rPr>
        <w:t xml:space="preserve"> </w:t>
      </w:r>
      <w:r w:rsidRPr="009A1394">
        <w:rPr>
          <w:lang w:val="en-CA"/>
        </w:rPr>
        <w:t xml:space="preserve">In this respect, it is important to add that no MSDS specifically </w:t>
      </w:r>
      <w:r w:rsidR="00375143" w:rsidRPr="009A1394">
        <w:rPr>
          <w:lang w:val="en-CA"/>
        </w:rPr>
        <w:t>relating</w:t>
      </w:r>
      <w:r w:rsidR="006B11AE" w:rsidRPr="009A1394">
        <w:rPr>
          <w:lang w:val="en-CA"/>
        </w:rPr>
        <w:t xml:space="preserve"> to</w:t>
      </w:r>
      <w:r w:rsidRPr="009A1394">
        <w:rPr>
          <w:lang w:val="en-CA"/>
        </w:rPr>
        <w:t xml:space="preserve"> the crude oil cargo on the trai</w:t>
      </w:r>
      <w:r w:rsidR="00BD1B2E" w:rsidRPr="009A1394">
        <w:rPr>
          <w:lang w:val="en-CA"/>
        </w:rPr>
        <w:t>n</w:t>
      </w:r>
      <w:r w:rsidRPr="009A1394">
        <w:rPr>
          <w:lang w:val="en-CA"/>
        </w:rPr>
        <w:t xml:space="preserve"> that derailed was adduced into evidence.</w:t>
      </w:r>
      <w:r w:rsidR="00004641" w:rsidRPr="009A1394">
        <w:rPr>
          <w:color w:val="000000" w:themeColor="text1"/>
          <w:lang w:val="en-CA"/>
        </w:rPr>
        <w:t xml:space="preserve"> </w:t>
      </w:r>
      <w:r w:rsidR="006B11AE" w:rsidRPr="009A1394">
        <w:rPr>
          <w:color w:val="000000" w:themeColor="text1"/>
          <w:lang w:val="en-CA"/>
        </w:rPr>
        <w:t xml:space="preserve">As for </w:t>
      </w:r>
      <w:r w:rsidR="00B74679" w:rsidRPr="009A1394">
        <w:rPr>
          <w:color w:val="000000" w:themeColor="text1"/>
          <w:lang w:val="en-CA"/>
        </w:rPr>
        <w:t>the</w:t>
      </w:r>
      <w:r w:rsidRPr="009A1394">
        <w:rPr>
          <w:color w:val="000000" w:themeColor="text1"/>
          <w:lang w:val="en-CA"/>
        </w:rPr>
        <w:t xml:space="preserve"> trucking bills of lading to which the appellants refer</w:t>
      </w:r>
      <w:r w:rsidR="006B11AE" w:rsidRPr="009A1394">
        <w:rPr>
          <w:color w:val="000000" w:themeColor="text1"/>
          <w:lang w:val="en-CA"/>
        </w:rPr>
        <w:t>, these were not</w:t>
      </w:r>
      <w:r w:rsidR="00431E11" w:rsidRPr="009A1394">
        <w:rPr>
          <w:color w:val="000000" w:themeColor="text1"/>
          <w:lang w:val="en-CA"/>
        </w:rPr>
        <w:t xml:space="preserve"> </w:t>
      </w:r>
      <w:r w:rsidRPr="009A1394">
        <w:rPr>
          <w:color w:val="000000" w:themeColor="text1"/>
          <w:lang w:val="en-CA"/>
        </w:rPr>
        <w:t>shipping documents.</w:t>
      </w:r>
      <w:r w:rsidR="00004641" w:rsidRPr="009A1394">
        <w:rPr>
          <w:color w:val="000000" w:themeColor="text1"/>
          <w:lang w:val="en-CA"/>
        </w:rPr>
        <w:t xml:space="preserve"> </w:t>
      </w:r>
      <w:r w:rsidRPr="009A1394">
        <w:rPr>
          <w:color w:val="000000" w:themeColor="text1"/>
          <w:lang w:val="en-CA"/>
        </w:rPr>
        <w:t xml:space="preserve">The judge </w:t>
      </w:r>
      <w:r w:rsidR="00097EC0" w:rsidRPr="009A1394">
        <w:rPr>
          <w:color w:val="000000" w:themeColor="text1"/>
          <w:lang w:val="en-CA"/>
        </w:rPr>
        <w:t xml:space="preserve">found </w:t>
      </w:r>
      <w:r w:rsidRPr="009A1394">
        <w:rPr>
          <w:color w:val="000000" w:themeColor="text1"/>
          <w:lang w:val="en-CA"/>
        </w:rPr>
        <w:t xml:space="preserve">that while some of </w:t>
      </w:r>
      <w:r w:rsidR="00097EC0" w:rsidRPr="009A1394">
        <w:rPr>
          <w:color w:val="000000" w:themeColor="text1"/>
          <w:lang w:val="en-CA"/>
        </w:rPr>
        <w:t xml:space="preserve">these </w:t>
      </w:r>
      <w:r w:rsidRPr="009A1394">
        <w:rPr>
          <w:color w:val="000000" w:themeColor="text1"/>
          <w:lang w:val="en-CA"/>
        </w:rPr>
        <w:t xml:space="preserve">may have </w:t>
      </w:r>
      <w:r w:rsidR="00431E11" w:rsidRPr="009A1394">
        <w:rPr>
          <w:color w:val="000000" w:themeColor="text1"/>
          <w:lang w:val="en-CA"/>
        </w:rPr>
        <w:t>been marked</w:t>
      </w:r>
      <w:r w:rsidRPr="009A1394">
        <w:rPr>
          <w:color w:val="000000" w:themeColor="text1"/>
          <w:lang w:val="en-CA"/>
        </w:rPr>
        <w:t xml:space="preserve"> PG-I or PG-II, many others indicated a PG</w:t>
      </w:r>
      <w:r w:rsidR="009307A9" w:rsidRPr="009A1394">
        <w:rPr>
          <w:color w:val="000000" w:themeColor="text1"/>
          <w:lang w:val="en-CA"/>
        </w:rPr>
        <w:noBreakHyphen/>
      </w:r>
      <w:r w:rsidRPr="009A1394">
        <w:rPr>
          <w:color w:val="000000" w:themeColor="text1"/>
          <w:lang w:val="en-CA"/>
        </w:rPr>
        <w:t xml:space="preserve">III </w:t>
      </w:r>
      <w:r w:rsidR="00B74679" w:rsidRPr="009A1394">
        <w:rPr>
          <w:color w:val="000000" w:themeColor="text1"/>
          <w:lang w:val="en-CA"/>
        </w:rPr>
        <w:t>classification</w:t>
      </w:r>
      <w:r w:rsidRPr="009A1394">
        <w:rPr>
          <w:color w:val="000000" w:themeColor="text1"/>
          <w:lang w:val="en-CA"/>
        </w:rPr>
        <w:t>, which attests to the difficulty laype</w:t>
      </w:r>
      <w:r w:rsidR="00B74679" w:rsidRPr="009A1394">
        <w:rPr>
          <w:color w:val="000000" w:themeColor="text1"/>
          <w:lang w:val="en-CA"/>
        </w:rPr>
        <w:t>ople</w:t>
      </w:r>
      <w:r w:rsidRPr="009A1394">
        <w:rPr>
          <w:color w:val="000000" w:themeColor="text1"/>
          <w:lang w:val="en-CA"/>
        </w:rPr>
        <w:t xml:space="preserve"> may have intervening in the classification process.</w:t>
      </w:r>
      <w:r w:rsidRPr="009A1394">
        <w:rPr>
          <w:rStyle w:val="Appelnotedebasdep"/>
          <w:color w:val="000000" w:themeColor="text1"/>
          <w:lang w:val="en-CA"/>
        </w:rPr>
        <w:footnoteReference w:id="239"/>
      </w:r>
      <w:r w:rsidR="008161A3" w:rsidRPr="009A1394">
        <w:rPr>
          <w:color w:val="000000" w:themeColor="text1"/>
          <w:lang w:val="en-CA"/>
        </w:rPr>
        <w:t xml:space="preserve"> </w:t>
      </w:r>
      <w:r w:rsidRPr="009A1394">
        <w:rPr>
          <w:color w:val="000000" w:themeColor="text1"/>
          <w:lang w:val="en-CA"/>
        </w:rPr>
        <w:t>Finally, the judge analy</w:t>
      </w:r>
      <w:r w:rsidR="00DA76E3" w:rsidRPr="009A1394">
        <w:rPr>
          <w:color w:val="000000" w:themeColor="text1"/>
          <w:lang w:val="en-CA"/>
        </w:rPr>
        <w:t>z</w:t>
      </w:r>
      <w:r w:rsidRPr="009A1394">
        <w:rPr>
          <w:color w:val="000000" w:themeColor="text1"/>
          <w:lang w:val="en-CA"/>
        </w:rPr>
        <w:t xml:space="preserve">ed </w:t>
      </w:r>
      <w:r w:rsidR="00375143" w:rsidRPr="009A1394">
        <w:rPr>
          <w:color w:val="000000" w:themeColor="text1"/>
          <w:lang w:val="en-CA"/>
        </w:rPr>
        <w:t xml:space="preserve">Jasso’s </w:t>
      </w:r>
      <w:r w:rsidR="00B74679" w:rsidRPr="009A1394">
        <w:rPr>
          <w:color w:val="000000" w:themeColor="text1"/>
          <w:lang w:val="en-CA"/>
        </w:rPr>
        <w:t>testimony</w:t>
      </w:r>
      <w:r w:rsidRPr="009A1394">
        <w:rPr>
          <w:color w:val="000000" w:themeColor="text1"/>
          <w:lang w:val="en-CA"/>
        </w:rPr>
        <w:t xml:space="preserve"> in detail and, essentially, rejected it, pointing out that a large portion of his version of the facts was contradictory and inconsistent with the evidence.</w:t>
      </w:r>
      <w:r w:rsidRPr="009A1394">
        <w:rPr>
          <w:rStyle w:val="Appelnotedebasdep"/>
          <w:color w:val="000000" w:themeColor="text1"/>
          <w:lang w:val="en-CA"/>
        </w:rPr>
        <w:footnoteReference w:id="240"/>
      </w:r>
      <w:r w:rsidR="008161A3" w:rsidRPr="009A1394">
        <w:rPr>
          <w:color w:val="000000" w:themeColor="text1"/>
          <w:lang w:val="en-CA"/>
        </w:rPr>
        <w:t xml:space="preserve"> </w:t>
      </w:r>
      <w:r w:rsidRPr="009A1394">
        <w:rPr>
          <w:color w:val="000000" w:themeColor="text1"/>
          <w:lang w:val="en-CA"/>
        </w:rPr>
        <w:t xml:space="preserve">In any event, he noted that Jasso, </w:t>
      </w:r>
      <w:r w:rsidR="00B74679" w:rsidRPr="009A1394">
        <w:rPr>
          <w:color w:val="000000" w:themeColor="text1"/>
          <w:lang w:val="en-CA"/>
        </w:rPr>
        <w:t>comforted</w:t>
      </w:r>
      <w:r w:rsidRPr="009A1394">
        <w:rPr>
          <w:color w:val="000000" w:themeColor="text1"/>
          <w:lang w:val="en-CA"/>
        </w:rPr>
        <w:t xml:space="preserve"> by WFS’s </w:t>
      </w:r>
      <w:r w:rsidR="00B74679" w:rsidRPr="009A1394">
        <w:rPr>
          <w:color w:val="000000" w:themeColor="text1"/>
          <w:lang w:val="en-CA"/>
        </w:rPr>
        <w:t>statements</w:t>
      </w:r>
      <w:r w:rsidRPr="009A1394">
        <w:rPr>
          <w:color w:val="000000" w:themeColor="text1"/>
          <w:lang w:val="en-CA"/>
        </w:rPr>
        <w:t xml:space="preserve">, ultimately certified the PG-III classification indicated on the bill of lading for </w:t>
      </w:r>
      <w:r w:rsidR="00B74679" w:rsidRPr="009A1394">
        <w:rPr>
          <w:color w:val="000000" w:themeColor="text1"/>
          <w:lang w:val="en-CA"/>
        </w:rPr>
        <w:t>the</w:t>
      </w:r>
      <w:r w:rsidRPr="009A1394">
        <w:rPr>
          <w:color w:val="000000" w:themeColor="text1"/>
          <w:lang w:val="en-CA"/>
        </w:rPr>
        <w:t xml:space="preserve"> crude oil.</w:t>
      </w:r>
      <w:r w:rsidRPr="009A1394">
        <w:rPr>
          <w:rStyle w:val="Appelnotedebasdep"/>
          <w:color w:val="000000" w:themeColor="text1"/>
          <w:lang w:val="en-CA"/>
        </w:rPr>
        <w:footnoteReference w:id="241"/>
      </w:r>
    </w:p>
    <w:p w14:paraId="12CB78DB" w14:textId="10F46AB6" w:rsidR="00702A59" w:rsidRPr="009A1394" w:rsidRDefault="00670746" w:rsidP="00720E8B">
      <w:pPr>
        <w:pStyle w:val="Paragraphe"/>
        <w:numPr>
          <w:ilvl w:val="0"/>
          <w:numId w:val="1"/>
        </w:numPr>
        <w:rPr>
          <w:color w:val="000000" w:themeColor="text1"/>
          <w:lang w:val="en-CA"/>
        </w:rPr>
      </w:pPr>
      <w:r w:rsidRPr="009A1394">
        <w:rPr>
          <w:color w:val="000000" w:themeColor="text1"/>
          <w:lang w:val="en-CA"/>
        </w:rPr>
        <w:t xml:space="preserve">The judge devoted most of his analysis to the way CP </w:t>
      </w:r>
      <w:r w:rsidR="00375143" w:rsidRPr="009A1394">
        <w:rPr>
          <w:color w:val="000000" w:themeColor="text1"/>
          <w:lang w:val="en-CA"/>
        </w:rPr>
        <w:t xml:space="preserve">had </w:t>
      </w:r>
      <w:r w:rsidR="00CA5710" w:rsidRPr="009A1394">
        <w:rPr>
          <w:color w:val="000000" w:themeColor="text1"/>
          <w:lang w:val="en-CA"/>
        </w:rPr>
        <w:t>dealt with</w:t>
      </w:r>
      <w:r w:rsidRPr="009A1394">
        <w:rPr>
          <w:color w:val="000000" w:themeColor="text1"/>
          <w:lang w:val="en-CA"/>
        </w:rPr>
        <w:t xml:space="preserve"> and understood the information </w:t>
      </w:r>
      <w:r w:rsidR="00CA5710" w:rsidRPr="009A1394">
        <w:rPr>
          <w:color w:val="000000" w:themeColor="text1"/>
          <w:lang w:val="en-CA"/>
        </w:rPr>
        <w:t>in its possession</w:t>
      </w:r>
      <w:r w:rsidRPr="009A1394">
        <w:rPr>
          <w:color w:val="000000" w:themeColor="text1"/>
          <w:lang w:val="en-CA"/>
        </w:rPr>
        <w:t>.</w:t>
      </w:r>
      <w:r w:rsidR="008161A3" w:rsidRPr="009A1394">
        <w:rPr>
          <w:color w:val="000000" w:themeColor="text1"/>
          <w:lang w:val="en-CA"/>
        </w:rPr>
        <w:t xml:space="preserve"> </w:t>
      </w:r>
      <w:r w:rsidRPr="009A1394">
        <w:rPr>
          <w:lang w:val="en-CA"/>
        </w:rPr>
        <w:t xml:space="preserve">In this respect, the appellants </w:t>
      </w:r>
      <w:r w:rsidR="00CA5710" w:rsidRPr="009A1394">
        <w:rPr>
          <w:lang w:val="en-CA"/>
        </w:rPr>
        <w:t>focus on</w:t>
      </w:r>
      <w:r w:rsidRPr="009A1394">
        <w:rPr>
          <w:lang w:val="en-CA"/>
        </w:rPr>
        <w:t xml:space="preserve"> the knowledge </w:t>
      </w:r>
      <w:r w:rsidR="00CA5710" w:rsidRPr="009A1394">
        <w:rPr>
          <w:lang w:val="en-CA"/>
        </w:rPr>
        <w:t xml:space="preserve">that </w:t>
      </w:r>
      <w:r w:rsidRPr="009A1394">
        <w:rPr>
          <w:lang w:val="en-CA"/>
        </w:rPr>
        <w:t xml:space="preserve">some CP </w:t>
      </w:r>
      <w:r w:rsidR="00431E11" w:rsidRPr="009A1394">
        <w:rPr>
          <w:lang w:val="en-CA"/>
        </w:rPr>
        <w:t>employees</w:t>
      </w:r>
      <w:r w:rsidR="00D91B4C" w:rsidRPr="009A1394">
        <w:rPr>
          <w:lang w:val="en-CA"/>
        </w:rPr>
        <w:t xml:space="preserve"> </w:t>
      </w:r>
      <w:r w:rsidRPr="009A1394">
        <w:rPr>
          <w:lang w:val="en-CA"/>
        </w:rPr>
        <w:t xml:space="preserve">had, including those in its dangerous goods department, </w:t>
      </w:r>
      <w:r w:rsidR="00CA5710" w:rsidRPr="009A1394">
        <w:rPr>
          <w:lang w:val="en-CA"/>
        </w:rPr>
        <w:t>about</w:t>
      </w:r>
      <w:r w:rsidRPr="009A1394">
        <w:rPr>
          <w:lang w:val="en-CA"/>
        </w:rPr>
        <w:t xml:space="preserve"> the volatility of crude oil from the Bakken </w:t>
      </w:r>
      <w:r w:rsidR="00676A6B" w:rsidRPr="009A1394">
        <w:rPr>
          <w:lang w:val="en-CA"/>
        </w:rPr>
        <w:t>Formation</w:t>
      </w:r>
      <w:r w:rsidRPr="009A1394">
        <w:rPr>
          <w:lang w:val="en-CA"/>
        </w:rPr>
        <w:t xml:space="preserve">, and the many facts that strongly suggested that the crude oil it had </w:t>
      </w:r>
      <w:r w:rsidR="00CA5710" w:rsidRPr="009A1394">
        <w:rPr>
          <w:lang w:val="en-CA"/>
        </w:rPr>
        <w:t>been entrusted with</w:t>
      </w:r>
      <w:r w:rsidRPr="009A1394">
        <w:rPr>
          <w:lang w:val="en-CA"/>
        </w:rPr>
        <w:t xml:space="preserve"> had been improperly classified.</w:t>
      </w:r>
      <w:r w:rsidR="008161A3" w:rsidRPr="009A1394">
        <w:rPr>
          <w:color w:val="000000" w:themeColor="text1"/>
          <w:lang w:val="en-CA"/>
        </w:rPr>
        <w:t xml:space="preserve"> </w:t>
      </w:r>
      <w:r w:rsidRPr="009A1394">
        <w:rPr>
          <w:color w:val="000000" w:themeColor="text1"/>
          <w:lang w:val="en-CA"/>
        </w:rPr>
        <w:t xml:space="preserve">Yet, this information was not relayed to those who would have </w:t>
      </w:r>
      <w:r w:rsidRPr="009A1394">
        <w:rPr>
          <w:color w:val="000000" w:themeColor="text1"/>
          <w:lang w:val="en-CA"/>
        </w:rPr>
        <w:lastRenderedPageBreak/>
        <w:t>understood its significance.</w:t>
      </w:r>
      <w:r w:rsidR="008161A3" w:rsidRPr="009A1394">
        <w:rPr>
          <w:color w:val="000000" w:themeColor="text1"/>
          <w:lang w:val="en-CA"/>
        </w:rPr>
        <w:t xml:space="preserve"> </w:t>
      </w:r>
      <w:r w:rsidRPr="009A1394">
        <w:rPr>
          <w:color w:val="000000" w:themeColor="text1"/>
          <w:lang w:val="en-CA"/>
        </w:rPr>
        <w:t xml:space="preserve">This </w:t>
      </w:r>
      <w:r w:rsidR="00CA5710" w:rsidRPr="009A1394">
        <w:rPr>
          <w:color w:val="000000" w:themeColor="text1"/>
          <w:lang w:val="en-CA"/>
        </w:rPr>
        <w:t>leads</w:t>
      </w:r>
      <w:r w:rsidRPr="009A1394">
        <w:rPr>
          <w:color w:val="000000" w:themeColor="text1"/>
          <w:lang w:val="en-CA"/>
        </w:rPr>
        <w:t xml:space="preserve"> the appellants</w:t>
      </w:r>
      <w:r w:rsidR="00CA5710" w:rsidRPr="009A1394">
        <w:rPr>
          <w:color w:val="000000" w:themeColor="text1"/>
          <w:lang w:val="en-CA"/>
        </w:rPr>
        <w:t xml:space="preserve"> to say</w:t>
      </w:r>
      <w:r w:rsidRPr="009A1394">
        <w:rPr>
          <w:color w:val="000000" w:themeColor="text1"/>
          <w:lang w:val="en-CA"/>
        </w:rPr>
        <w:t xml:space="preserve"> that CP had everything it needed to call into question WFS’s PG-III classification.</w:t>
      </w:r>
      <w:r w:rsidR="008161A3" w:rsidRPr="009A1394">
        <w:rPr>
          <w:color w:val="000000" w:themeColor="text1"/>
          <w:lang w:val="en-CA"/>
        </w:rPr>
        <w:t xml:space="preserve"> </w:t>
      </w:r>
      <w:r w:rsidRPr="009A1394">
        <w:rPr>
          <w:color w:val="000000" w:themeColor="text1"/>
          <w:lang w:val="en-CA"/>
        </w:rPr>
        <w:t>Thus, the judge should have held CP liable for this erroneous classification.</w:t>
      </w:r>
      <w:r w:rsidR="008161A3" w:rsidRPr="009A1394">
        <w:rPr>
          <w:color w:val="000000" w:themeColor="text1"/>
          <w:lang w:val="en-CA"/>
        </w:rPr>
        <w:t xml:space="preserve"> </w:t>
      </w:r>
      <w:r w:rsidR="003A0742" w:rsidRPr="009A1394">
        <w:rPr>
          <w:color w:val="000000" w:themeColor="text1"/>
          <w:lang w:val="en-CA"/>
        </w:rPr>
        <w:t>Instead</w:t>
      </w:r>
      <w:r w:rsidR="00CA5710" w:rsidRPr="009A1394">
        <w:rPr>
          <w:color w:val="000000" w:themeColor="text1"/>
          <w:lang w:val="en-CA"/>
        </w:rPr>
        <w:t>, h</w:t>
      </w:r>
      <w:r w:rsidR="00794E65" w:rsidRPr="009A1394">
        <w:rPr>
          <w:color w:val="000000" w:themeColor="text1"/>
          <w:lang w:val="en-CA"/>
        </w:rPr>
        <w:t xml:space="preserve">e allowed </w:t>
      </w:r>
      <w:r w:rsidR="003A0742" w:rsidRPr="009A1394">
        <w:rPr>
          <w:color w:val="000000" w:themeColor="text1"/>
          <w:lang w:val="en-CA"/>
        </w:rPr>
        <w:t>CP</w:t>
      </w:r>
      <w:r w:rsidR="00794E65" w:rsidRPr="009A1394">
        <w:rPr>
          <w:color w:val="000000" w:themeColor="text1"/>
          <w:lang w:val="en-CA"/>
        </w:rPr>
        <w:t xml:space="preserve"> to profit from a structure that does not promote the exchange of information and </w:t>
      </w:r>
      <w:r w:rsidR="003A0742" w:rsidRPr="009A1394">
        <w:rPr>
          <w:color w:val="000000" w:themeColor="text1"/>
          <w:lang w:val="en-CA"/>
        </w:rPr>
        <w:t xml:space="preserve">from </w:t>
      </w:r>
      <w:r w:rsidR="00794E65" w:rsidRPr="009A1394">
        <w:rPr>
          <w:color w:val="000000" w:themeColor="text1"/>
          <w:lang w:val="en-CA"/>
        </w:rPr>
        <w:t xml:space="preserve">the fact that it had </w:t>
      </w:r>
      <w:r w:rsidR="00CA5710" w:rsidRPr="009A1394">
        <w:rPr>
          <w:color w:val="000000" w:themeColor="text1"/>
          <w:lang w:val="en-CA"/>
        </w:rPr>
        <w:t>entrusted</w:t>
      </w:r>
      <w:r w:rsidR="00794E65" w:rsidRPr="009A1394">
        <w:rPr>
          <w:color w:val="000000" w:themeColor="text1"/>
          <w:lang w:val="en-CA"/>
        </w:rPr>
        <w:t xml:space="preserve"> no one and no department </w:t>
      </w:r>
      <w:r w:rsidR="00375143" w:rsidRPr="009A1394">
        <w:rPr>
          <w:color w:val="000000" w:themeColor="text1"/>
          <w:lang w:val="en-CA"/>
        </w:rPr>
        <w:t xml:space="preserve">with </w:t>
      </w:r>
      <w:r w:rsidR="00794E65" w:rsidRPr="009A1394">
        <w:rPr>
          <w:color w:val="000000" w:themeColor="text1"/>
          <w:lang w:val="en-CA"/>
        </w:rPr>
        <w:t xml:space="preserve">the responsibility </w:t>
      </w:r>
      <w:r w:rsidR="003A0742" w:rsidRPr="009A1394">
        <w:rPr>
          <w:color w:val="000000" w:themeColor="text1"/>
          <w:lang w:val="en-CA"/>
        </w:rPr>
        <w:t xml:space="preserve">for </w:t>
      </w:r>
      <w:r w:rsidR="00375143" w:rsidRPr="009A1394">
        <w:rPr>
          <w:color w:val="000000" w:themeColor="text1"/>
          <w:lang w:val="en-CA"/>
        </w:rPr>
        <w:t>monitoring</w:t>
      </w:r>
      <w:r w:rsidR="00794E65" w:rsidRPr="009A1394">
        <w:rPr>
          <w:color w:val="000000" w:themeColor="text1"/>
          <w:lang w:val="en-CA"/>
        </w:rPr>
        <w:t xml:space="preserve"> the classification of dangerous goods it </w:t>
      </w:r>
      <w:r w:rsidR="00375143" w:rsidRPr="009A1394">
        <w:rPr>
          <w:color w:val="000000" w:themeColor="text1"/>
          <w:lang w:val="en-CA"/>
        </w:rPr>
        <w:t>was</w:t>
      </w:r>
      <w:r w:rsidR="00794E65" w:rsidRPr="009A1394">
        <w:rPr>
          <w:color w:val="000000" w:themeColor="text1"/>
          <w:lang w:val="en-CA"/>
        </w:rPr>
        <w:t xml:space="preserve"> called upon to transport.</w:t>
      </w:r>
    </w:p>
    <w:p w14:paraId="22E82E32" w14:textId="6C060797" w:rsidR="00702A59" w:rsidRPr="009A1394" w:rsidRDefault="00794E65" w:rsidP="00720E8B">
      <w:pPr>
        <w:pStyle w:val="Paragraphe"/>
        <w:numPr>
          <w:ilvl w:val="0"/>
          <w:numId w:val="1"/>
        </w:numPr>
        <w:rPr>
          <w:color w:val="000000" w:themeColor="text1"/>
          <w:lang w:val="en-CA"/>
        </w:rPr>
      </w:pPr>
      <w:r w:rsidRPr="009A1394">
        <w:rPr>
          <w:lang w:val="en-CA"/>
        </w:rPr>
        <w:t>The Court disagrees.</w:t>
      </w:r>
    </w:p>
    <w:p w14:paraId="1736B6E8" w14:textId="725A9886" w:rsidR="00702A59" w:rsidRPr="009A1394" w:rsidRDefault="002772E0" w:rsidP="00720E8B">
      <w:pPr>
        <w:pStyle w:val="Paragraphe"/>
        <w:numPr>
          <w:ilvl w:val="0"/>
          <w:numId w:val="1"/>
        </w:numPr>
        <w:rPr>
          <w:color w:val="000000" w:themeColor="text1"/>
          <w:lang w:val="en-CA"/>
        </w:rPr>
      </w:pPr>
      <w:r w:rsidRPr="009A1394">
        <w:rPr>
          <w:color w:val="000000" w:themeColor="text1"/>
          <w:lang w:val="en-CA"/>
        </w:rPr>
        <w:t xml:space="preserve">The judge </w:t>
      </w:r>
      <w:r w:rsidR="00D91B4C" w:rsidRPr="009A1394">
        <w:rPr>
          <w:color w:val="000000" w:themeColor="text1"/>
          <w:lang w:val="en-CA"/>
        </w:rPr>
        <w:t xml:space="preserve">recognized </w:t>
      </w:r>
      <w:r w:rsidRPr="009A1394">
        <w:rPr>
          <w:color w:val="000000" w:themeColor="text1"/>
          <w:lang w:val="en-CA"/>
        </w:rPr>
        <w:t xml:space="preserve">that several CP employees in its various departments gathered relevant information on the classification of crude oil from the Bakken </w:t>
      </w:r>
      <w:r w:rsidR="00676A6B" w:rsidRPr="009A1394">
        <w:rPr>
          <w:color w:val="000000" w:themeColor="text1"/>
          <w:lang w:val="en-CA"/>
        </w:rPr>
        <w:t>Formation</w:t>
      </w:r>
      <w:r w:rsidRPr="009A1394">
        <w:rPr>
          <w:color w:val="000000" w:themeColor="text1"/>
          <w:lang w:val="en-CA"/>
        </w:rPr>
        <w:t>.</w:t>
      </w:r>
      <w:r w:rsidR="00470E8D" w:rsidRPr="009A1394">
        <w:rPr>
          <w:color w:val="000000" w:themeColor="text1"/>
          <w:lang w:val="en-CA"/>
        </w:rPr>
        <w:t xml:space="preserve"> </w:t>
      </w:r>
      <w:r w:rsidRPr="009A1394">
        <w:rPr>
          <w:color w:val="000000" w:themeColor="text1"/>
          <w:lang w:val="en-CA"/>
        </w:rPr>
        <w:t xml:space="preserve">He also noted that, </w:t>
      </w:r>
      <w:r w:rsidR="00D91B4C" w:rsidRPr="009A1394">
        <w:rPr>
          <w:color w:val="000000" w:themeColor="text1"/>
          <w:lang w:val="en-CA"/>
        </w:rPr>
        <w:t xml:space="preserve">to </w:t>
      </w:r>
      <w:r w:rsidRPr="009A1394">
        <w:rPr>
          <w:color w:val="000000" w:themeColor="text1"/>
          <w:lang w:val="en-CA"/>
        </w:rPr>
        <w:t xml:space="preserve">an expert, such information could have </w:t>
      </w:r>
      <w:r w:rsidR="00097EC0" w:rsidRPr="009A1394">
        <w:rPr>
          <w:color w:val="000000" w:themeColor="text1"/>
          <w:lang w:val="en-CA"/>
        </w:rPr>
        <w:t xml:space="preserve">suggested </w:t>
      </w:r>
      <w:r w:rsidRPr="009A1394">
        <w:rPr>
          <w:color w:val="000000" w:themeColor="text1"/>
          <w:lang w:val="en-CA"/>
        </w:rPr>
        <w:t>that the crude oil had been improperly classified.</w:t>
      </w:r>
      <w:r w:rsidRPr="009A1394">
        <w:rPr>
          <w:rStyle w:val="Appelnotedebasdep"/>
          <w:color w:val="000000" w:themeColor="text1"/>
          <w:lang w:val="en-CA"/>
        </w:rPr>
        <w:footnoteReference w:id="242"/>
      </w:r>
    </w:p>
    <w:p w14:paraId="6F03498B" w14:textId="7319C51F" w:rsidR="00702A59" w:rsidRPr="009A1394" w:rsidRDefault="002772E0" w:rsidP="00720E8B">
      <w:pPr>
        <w:pStyle w:val="Paragraphe"/>
        <w:numPr>
          <w:ilvl w:val="0"/>
          <w:numId w:val="1"/>
        </w:numPr>
        <w:rPr>
          <w:color w:val="000000" w:themeColor="text1"/>
          <w:lang w:val="en-CA"/>
        </w:rPr>
      </w:pPr>
      <w:r w:rsidRPr="009A1394">
        <w:rPr>
          <w:color w:val="000000" w:themeColor="text1"/>
          <w:lang w:val="en-CA"/>
        </w:rPr>
        <w:t>However, in the judge’s opinion, the individuals who gathered this information did not have the necessary expertise to determine whether the crude oil at issue was properly or improperly classified.</w:t>
      </w:r>
      <w:r w:rsidR="008161A3" w:rsidRPr="009A1394">
        <w:rPr>
          <w:color w:val="000000" w:themeColor="text1"/>
          <w:lang w:val="en-CA"/>
        </w:rPr>
        <w:t xml:space="preserve"> </w:t>
      </w:r>
      <w:r w:rsidRPr="009A1394">
        <w:rPr>
          <w:color w:val="000000" w:themeColor="text1"/>
          <w:lang w:val="en-CA"/>
        </w:rPr>
        <w:t xml:space="preserve">Their </w:t>
      </w:r>
      <w:r w:rsidR="00097EC0" w:rsidRPr="009A1394">
        <w:rPr>
          <w:color w:val="000000" w:themeColor="text1"/>
          <w:lang w:val="en-CA"/>
        </w:rPr>
        <w:t xml:space="preserve">duties </w:t>
      </w:r>
      <w:r w:rsidRPr="009A1394">
        <w:rPr>
          <w:color w:val="000000" w:themeColor="text1"/>
          <w:lang w:val="en-CA"/>
        </w:rPr>
        <w:t xml:space="preserve">within CP did not </w:t>
      </w:r>
      <w:r w:rsidR="00141D52" w:rsidRPr="009A1394">
        <w:rPr>
          <w:color w:val="000000" w:themeColor="text1"/>
          <w:lang w:val="en-CA"/>
        </w:rPr>
        <w:t>require them to be</w:t>
      </w:r>
      <w:r w:rsidRPr="009A1394">
        <w:rPr>
          <w:color w:val="000000" w:themeColor="text1"/>
          <w:lang w:val="en-CA"/>
        </w:rPr>
        <w:t xml:space="preserve"> capable of </w:t>
      </w:r>
      <w:r w:rsidR="00E91D41" w:rsidRPr="009A1394">
        <w:rPr>
          <w:color w:val="000000" w:themeColor="text1"/>
          <w:lang w:val="en-CA"/>
        </w:rPr>
        <w:t>determining</w:t>
      </w:r>
      <w:r w:rsidRPr="009A1394">
        <w:rPr>
          <w:color w:val="000000" w:themeColor="text1"/>
          <w:lang w:val="en-CA"/>
        </w:rPr>
        <w:t xml:space="preserve"> those cases where the classification would need to be checked, except </w:t>
      </w:r>
      <w:r w:rsidR="00141D52" w:rsidRPr="009A1394">
        <w:rPr>
          <w:color w:val="000000" w:themeColor="text1"/>
          <w:lang w:val="en-CA"/>
        </w:rPr>
        <w:t xml:space="preserve">in cases of </w:t>
      </w:r>
      <w:r w:rsidR="00E91D41" w:rsidRPr="009A1394">
        <w:rPr>
          <w:color w:val="000000" w:themeColor="text1"/>
          <w:lang w:val="en-CA"/>
        </w:rPr>
        <w:t>an obvious</w:t>
      </w:r>
      <w:r w:rsidRPr="009A1394">
        <w:rPr>
          <w:color w:val="000000" w:themeColor="text1"/>
          <w:lang w:val="en-CA"/>
        </w:rPr>
        <w:t xml:space="preserve"> error.</w:t>
      </w:r>
      <w:r w:rsidR="008161A3" w:rsidRPr="009A1394">
        <w:rPr>
          <w:color w:val="000000" w:themeColor="text1"/>
          <w:lang w:val="en-CA"/>
        </w:rPr>
        <w:t xml:space="preserve"> </w:t>
      </w:r>
      <w:r w:rsidRPr="009A1394">
        <w:rPr>
          <w:color w:val="000000" w:themeColor="text1"/>
          <w:lang w:val="en-CA"/>
        </w:rPr>
        <w:t xml:space="preserve">The judge carefully analyzed not only the information that was in the possession of the various CP representatives, but more importantly, the context in which they </w:t>
      </w:r>
      <w:r w:rsidR="00B94B7A" w:rsidRPr="009A1394">
        <w:rPr>
          <w:color w:val="000000" w:themeColor="text1"/>
          <w:lang w:val="en-CA"/>
        </w:rPr>
        <w:t>held</w:t>
      </w:r>
      <w:r w:rsidRPr="009A1394">
        <w:rPr>
          <w:color w:val="000000" w:themeColor="text1"/>
          <w:lang w:val="en-CA"/>
        </w:rPr>
        <w:t xml:space="preserve"> this information.</w:t>
      </w:r>
      <w:r w:rsidRPr="009A1394">
        <w:rPr>
          <w:rStyle w:val="Appelnotedebasdep"/>
          <w:color w:val="000000" w:themeColor="text1"/>
          <w:lang w:val="en-CA"/>
        </w:rPr>
        <w:footnoteReference w:id="243"/>
      </w:r>
    </w:p>
    <w:p w14:paraId="303F7EAD" w14:textId="7346B17F" w:rsidR="00F70BAB" w:rsidRPr="009A1394" w:rsidRDefault="00BE3E2D" w:rsidP="00720E8B">
      <w:pPr>
        <w:pStyle w:val="Paragraphe"/>
        <w:numPr>
          <w:ilvl w:val="0"/>
          <w:numId w:val="1"/>
        </w:numPr>
        <w:rPr>
          <w:color w:val="000000" w:themeColor="text1"/>
          <w:lang w:val="en-CA"/>
        </w:rPr>
      </w:pPr>
      <w:r w:rsidRPr="009A1394">
        <w:rPr>
          <w:color w:val="000000" w:themeColor="text1"/>
          <w:lang w:val="en-CA"/>
        </w:rPr>
        <w:t>For reasons that were solidly supported by the evidence, t</w:t>
      </w:r>
      <w:r w:rsidR="002772E0" w:rsidRPr="009A1394">
        <w:rPr>
          <w:color w:val="000000" w:themeColor="text1"/>
          <w:lang w:val="en-CA"/>
        </w:rPr>
        <w:t>he judge also rejected the argument that the communications structure was deficient.</w:t>
      </w:r>
      <w:r w:rsidR="005E27D7" w:rsidRPr="009A1394">
        <w:rPr>
          <w:color w:val="000000" w:themeColor="text1"/>
          <w:lang w:val="en-CA"/>
        </w:rPr>
        <w:t xml:space="preserve"> </w:t>
      </w:r>
      <w:r w:rsidR="002772E0" w:rsidRPr="009A1394">
        <w:rPr>
          <w:color w:val="000000" w:themeColor="text1"/>
          <w:lang w:val="en-CA"/>
        </w:rPr>
        <w:t xml:space="preserve">He noted that no one </w:t>
      </w:r>
      <w:r w:rsidR="00B94B7A" w:rsidRPr="009A1394">
        <w:rPr>
          <w:color w:val="000000" w:themeColor="text1"/>
          <w:lang w:val="en-CA"/>
        </w:rPr>
        <w:t>employed by</w:t>
      </w:r>
      <w:r w:rsidR="002772E0" w:rsidRPr="009A1394">
        <w:rPr>
          <w:color w:val="000000" w:themeColor="text1"/>
          <w:lang w:val="en-CA"/>
        </w:rPr>
        <w:t xml:space="preserve"> CP </w:t>
      </w:r>
      <w:r w:rsidR="00097EC0" w:rsidRPr="009A1394">
        <w:rPr>
          <w:color w:val="000000" w:themeColor="text1"/>
          <w:lang w:val="en-CA"/>
        </w:rPr>
        <w:t>was</w:t>
      </w:r>
      <w:r w:rsidR="002772E0" w:rsidRPr="009A1394">
        <w:rPr>
          <w:color w:val="000000" w:themeColor="text1"/>
          <w:lang w:val="en-CA"/>
        </w:rPr>
        <w:t xml:space="preserve"> </w:t>
      </w:r>
      <w:r w:rsidR="00B94B7A" w:rsidRPr="009A1394">
        <w:rPr>
          <w:color w:val="000000" w:themeColor="text1"/>
          <w:lang w:val="en-CA"/>
        </w:rPr>
        <w:t>responsible for</w:t>
      </w:r>
      <w:r w:rsidR="002772E0" w:rsidRPr="009A1394">
        <w:rPr>
          <w:color w:val="000000" w:themeColor="text1"/>
          <w:lang w:val="en-CA"/>
        </w:rPr>
        <w:t xml:space="preserve"> checking or validating the classification of dangerous goods being transported; the </w:t>
      </w:r>
      <w:r w:rsidR="004252FB" w:rsidRPr="009A1394">
        <w:rPr>
          <w:color w:val="000000" w:themeColor="text1"/>
          <w:lang w:val="en-CA"/>
        </w:rPr>
        <w:t>situation</w:t>
      </w:r>
      <w:r w:rsidR="00B94B7A" w:rsidRPr="009A1394">
        <w:rPr>
          <w:color w:val="000000" w:themeColor="text1"/>
          <w:lang w:val="en-CA"/>
        </w:rPr>
        <w:t xml:space="preserve"> with</w:t>
      </w:r>
      <w:r w:rsidR="002772E0" w:rsidRPr="009A1394">
        <w:rPr>
          <w:color w:val="000000" w:themeColor="text1"/>
          <w:lang w:val="en-CA"/>
        </w:rPr>
        <w:t>in all the other railway companies</w:t>
      </w:r>
      <w:r w:rsidR="004252FB" w:rsidRPr="009A1394">
        <w:rPr>
          <w:color w:val="000000" w:themeColor="text1"/>
          <w:lang w:val="en-CA"/>
        </w:rPr>
        <w:t xml:space="preserve"> was identical</w:t>
      </w:r>
      <w:r w:rsidR="002772E0" w:rsidRPr="009A1394">
        <w:rPr>
          <w:color w:val="000000" w:themeColor="text1"/>
          <w:lang w:val="en-CA"/>
        </w:rPr>
        <w:t>.</w:t>
      </w:r>
    </w:p>
    <w:p w14:paraId="07521193" w14:textId="4E303338" w:rsidR="00702A59" w:rsidRPr="009A1394" w:rsidRDefault="002772E0" w:rsidP="00720E8B">
      <w:pPr>
        <w:pStyle w:val="Paragraphe"/>
        <w:numPr>
          <w:ilvl w:val="0"/>
          <w:numId w:val="1"/>
        </w:numPr>
        <w:rPr>
          <w:color w:val="000000" w:themeColor="text1"/>
          <w:lang w:val="en-CA"/>
        </w:rPr>
      </w:pPr>
      <w:r w:rsidRPr="009A1394">
        <w:rPr>
          <w:color w:val="000000" w:themeColor="text1"/>
          <w:lang w:val="en-CA"/>
        </w:rPr>
        <w:t xml:space="preserve">The judge’s analysis </w:t>
      </w:r>
      <w:r w:rsidR="00C304F7" w:rsidRPr="009A1394">
        <w:rPr>
          <w:color w:val="000000" w:themeColor="text1"/>
          <w:lang w:val="en-CA"/>
        </w:rPr>
        <w:t>did</w:t>
      </w:r>
      <w:r w:rsidRPr="009A1394">
        <w:rPr>
          <w:color w:val="000000" w:themeColor="text1"/>
          <w:lang w:val="en-CA"/>
        </w:rPr>
        <w:t xml:space="preserve"> not end there.</w:t>
      </w:r>
      <w:r w:rsidR="008161A3" w:rsidRPr="009A1394">
        <w:rPr>
          <w:color w:val="000000" w:themeColor="text1"/>
          <w:lang w:val="en-CA"/>
        </w:rPr>
        <w:t xml:space="preserve"> </w:t>
      </w:r>
      <w:r w:rsidRPr="009A1394">
        <w:rPr>
          <w:color w:val="000000" w:themeColor="text1"/>
          <w:lang w:val="en-CA"/>
        </w:rPr>
        <w:t xml:space="preserve">He also </w:t>
      </w:r>
      <w:r w:rsidR="00CD5759" w:rsidRPr="009A1394">
        <w:rPr>
          <w:color w:val="000000" w:themeColor="text1"/>
          <w:lang w:val="en-CA"/>
        </w:rPr>
        <w:t>noted</w:t>
      </w:r>
      <w:r w:rsidRPr="009A1394">
        <w:rPr>
          <w:color w:val="000000" w:themeColor="text1"/>
          <w:lang w:val="en-CA"/>
        </w:rPr>
        <w:t xml:space="preserve"> that CP’s conduct </w:t>
      </w:r>
      <w:r w:rsidR="004252FB" w:rsidRPr="009A1394">
        <w:rPr>
          <w:color w:val="000000" w:themeColor="text1"/>
          <w:lang w:val="en-CA"/>
        </w:rPr>
        <w:t>was</w:t>
      </w:r>
      <w:r w:rsidRPr="009A1394">
        <w:rPr>
          <w:color w:val="000000" w:themeColor="text1"/>
          <w:lang w:val="en-CA"/>
        </w:rPr>
        <w:t xml:space="preserve"> </w:t>
      </w:r>
      <w:r w:rsidR="00CD5759" w:rsidRPr="009A1394">
        <w:rPr>
          <w:color w:val="000000" w:themeColor="text1"/>
          <w:lang w:val="en-CA"/>
        </w:rPr>
        <w:t>fully in line</w:t>
      </w:r>
      <w:r w:rsidRPr="009A1394">
        <w:rPr>
          <w:color w:val="000000" w:themeColor="text1"/>
          <w:lang w:val="en-CA"/>
        </w:rPr>
        <w:t xml:space="preserve"> with the legislative and regulatory scheme </w:t>
      </w:r>
      <w:r w:rsidR="00CD5759" w:rsidRPr="009A1394">
        <w:rPr>
          <w:color w:val="000000" w:themeColor="text1"/>
          <w:lang w:val="en-CA"/>
        </w:rPr>
        <w:t>governing</w:t>
      </w:r>
      <w:r w:rsidRPr="009A1394">
        <w:rPr>
          <w:color w:val="000000" w:themeColor="text1"/>
          <w:lang w:val="en-CA"/>
        </w:rPr>
        <w:t xml:space="preserve"> the transportation of this type of goods.</w:t>
      </w:r>
      <w:r w:rsidR="008161A3" w:rsidRPr="009A1394">
        <w:rPr>
          <w:color w:val="000000" w:themeColor="text1"/>
          <w:lang w:val="en-CA"/>
        </w:rPr>
        <w:t xml:space="preserve"> </w:t>
      </w:r>
      <w:r w:rsidRPr="009A1394">
        <w:rPr>
          <w:color w:val="000000" w:themeColor="text1"/>
          <w:lang w:val="en-CA"/>
        </w:rPr>
        <w:t xml:space="preserve">The </w:t>
      </w:r>
      <w:r w:rsidR="00CD5759" w:rsidRPr="009A1394">
        <w:rPr>
          <w:color w:val="000000" w:themeColor="text1"/>
          <w:lang w:val="en-CA"/>
        </w:rPr>
        <w:t>usage</w:t>
      </w:r>
      <w:r w:rsidRPr="009A1394">
        <w:rPr>
          <w:color w:val="000000" w:themeColor="text1"/>
          <w:lang w:val="en-CA"/>
        </w:rPr>
        <w:t xml:space="preserve"> that has developed in the rail industry is </w:t>
      </w:r>
      <w:r w:rsidR="004252FB" w:rsidRPr="009A1394">
        <w:rPr>
          <w:color w:val="000000" w:themeColor="text1"/>
          <w:lang w:val="en-CA"/>
        </w:rPr>
        <w:t>consistent</w:t>
      </w:r>
      <w:r w:rsidRPr="009A1394">
        <w:rPr>
          <w:color w:val="000000" w:themeColor="text1"/>
          <w:lang w:val="en-CA"/>
        </w:rPr>
        <w:t xml:space="preserve"> with the American and </w:t>
      </w:r>
      <w:r w:rsidR="004252FB" w:rsidRPr="009A1394">
        <w:rPr>
          <w:color w:val="000000" w:themeColor="text1"/>
          <w:lang w:val="en-CA"/>
        </w:rPr>
        <w:t>Canadian</w:t>
      </w:r>
      <w:r w:rsidRPr="009A1394">
        <w:rPr>
          <w:color w:val="000000" w:themeColor="text1"/>
          <w:lang w:val="en-CA"/>
        </w:rPr>
        <w:t xml:space="preserve"> regulatory authorities’ decision to entrust the burden of classifying dangerous goods, </w:t>
      </w:r>
      <w:r w:rsidR="00CD5759" w:rsidRPr="009A1394">
        <w:rPr>
          <w:color w:val="000000" w:themeColor="text1"/>
          <w:lang w:val="en-CA"/>
        </w:rPr>
        <w:t>such as</w:t>
      </w:r>
      <w:r w:rsidRPr="009A1394">
        <w:rPr>
          <w:color w:val="000000" w:themeColor="text1"/>
          <w:lang w:val="en-CA"/>
        </w:rPr>
        <w:t xml:space="preserve"> crude oil, to the party who has the expertise to analyse them and the </w:t>
      </w:r>
      <w:r w:rsidR="00CD5759" w:rsidRPr="009A1394">
        <w:rPr>
          <w:color w:val="000000" w:themeColor="text1"/>
          <w:lang w:val="en-CA"/>
        </w:rPr>
        <w:t>opportunity</w:t>
      </w:r>
      <w:r w:rsidRPr="009A1394">
        <w:rPr>
          <w:color w:val="000000" w:themeColor="text1"/>
          <w:lang w:val="en-CA"/>
        </w:rPr>
        <w:t xml:space="preserve"> to do so, </w:t>
      </w:r>
      <w:r w:rsidR="00C304F7" w:rsidRPr="009A1394">
        <w:rPr>
          <w:color w:val="000000" w:themeColor="text1"/>
          <w:lang w:val="en-CA"/>
        </w:rPr>
        <w:t>i.e.</w:t>
      </w:r>
      <w:r w:rsidRPr="009A1394">
        <w:rPr>
          <w:color w:val="000000" w:themeColor="text1"/>
          <w:lang w:val="en-CA"/>
        </w:rPr>
        <w:t>, the shipper (and</w:t>
      </w:r>
      <w:r w:rsidR="00CD5759" w:rsidRPr="009A1394">
        <w:rPr>
          <w:color w:val="000000" w:themeColor="text1"/>
          <w:lang w:val="en-CA"/>
        </w:rPr>
        <w:t>,</w:t>
      </w:r>
      <w:r w:rsidRPr="009A1394">
        <w:rPr>
          <w:color w:val="000000" w:themeColor="text1"/>
          <w:lang w:val="en-CA"/>
        </w:rPr>
        <w:t xml:space="preserve"> in Canada, the importer).</w:t>
      </w:r>
      <w:r w:rsidR="008161A3" w:rsidRPr="009A1394">
        <w:rPr>
          <w:color w:val="000000" w:themeColor="text1"/>
          <w:lang w:val="en-CA"/>
        </w:rPr>
        <w:t xml:space="preserve"> </w:t>
      </w:r>
      <w:r w:rsidRPr="009A1394">
        <w:rPr>
          <w:color w:val="000000" w:themeColor="text1"/>
          <w:lang w:val="en-CA"/>
        </w:rPr>
        <w:t>This is how he put it:</w:t>
      </w:r>
    </w:p>
    <w:p w14:paraId="1CC64304" w14:textId="515165C7" w:rsidR="004252FB" w:rsidRPr="009A1394" w:rsidRDefault="004252FB" w:rsidP="00720E8B">
      <w:pPr>
        <w:pStyle w:val="Citationenretrait"/>
        <w:rPr>
          <w:color w:val="000000" w:themeColor="text1"/>
          <w:lang w:val="en-CA"/>
        </w:rPr>
      </w:pPr>
      <w:r w:rsidRPr="009A1394">
        <w:rPr>
          <w:color w:val="000000" w:themeColor="text1"/>
          <w:lang w:val="en-CA"/>
        </w:rPr>
        <w:t>[</w:t>
      </w:r>
      <w:r w:rsidRPr="009A1394">
        <w:rPr>
          <w:smallCaps/>
          <w:color w:val="000000" w:themeColor="text1"/>
          <w:lang w:val="en-CA"/>
        </w:rPr>
        <w:t>translation</w:t>
      </w:r>
      <w:r w:rsidRPr="009A1394">
        <w:rPr>
          <w:color w:val="000000" w:themeColor="text1"/>
          <w:lang w:val="en-CA"/>
        </w:rPr>
        <w:t>]</w:t>
      </w:r>
    </w:p>
    <w:p w14:paraId="7278E57A" w14:textId="6516C78D" w:rsidR="00702A59" w:rsidRPr="009A1394" w:rsidRDefault="002772E0" w:rsidP="00720E8B">
      <w:pPr>
        <w:pStyle w:val="Citationenretrait"/>
        <w:rPr>
          <w:color w:val="000000" w:themeColor="text1"/>
          <w:lang w:val="en-CA"/>
        </w:rPr>
      </w:pPr>
      <w:r w:rsidRPr="009A1394">
        <w:rPr>
          <w:color w:val="000000" w:themeColor="text1"/>
          <w:lang w:val="en-CA"/>
        </w:rPr>
        <w:t>[566]</w:t>
      </w:r>
      <w:r w:rsidR="008161A3" w:rsidRPr="009A1394">
        <w:rPr>
          <w:color w:val="000000" w:themeColor="text1"/>
          <w:lang w:val="en-CA"/>
        </w:rPr>
        <w:tab/>
      </w:r>
      <w:r w:rsidR="004339D1" w:rsidRPr="009A1394">
        <w:rPr>
          <w:lang w:val="en-CA"/>
        </w:rPr>
        <w:t xml:space="preserve">The Court considers that the evidence clearly </w:t>
      </w:r>
      <w:r w:rsidR="00C304F7" w:rsidRPr="009A1394">
        <w:rPr>
          <w:lang w:val="en-CA"/>
        </w:rPr>
        <w:t>reveal</w:t>
      </w:r>
      <w:r w:rsidR="007720AC" w:rsidRPr="009A1394">
        <w:rPr>
          <w:lang w:val="en-CA"/>
        </w:rPr>
        <w:t>s</w:t>
      </w:r>
      <w:r w:rsidR="004339D1" w:rsidRPr="009A1394">
        <w:rPr>
          <w:lang w:val="en-CA"/>
        </w:rPr>
        <w:t xml:space="preserve"> that it was, </w:t>
      </w:r>
      <w:r w:rsidR="00C304F7" w:rsidRPr="009A1394">
        <w:rPr>
          <w:i/>
          <w:iCs/>
          <w:lang w:val="en-CA"/>
        </w:rPr>
        <w:t>inter alia</w:t>
      </w:r>
      <w:r w:rsidR="004339D1" w:rsidRPr="009A1394">
        <w:rPr>
          <w:lang w:val="en-CA"/>
        </w:rPr>
        <w:t xml:space="preserve">, for </w:t>
      </w:r>
      <w:r w:rsidR="009174EA" w:rsidRPr="009A1394">
        <w:rPr>
          <w:lang w:val="en-CA"/>
        </w:rPr>
        <w:t xml:space="preserve">these </w:t>
      </w:r>
      <w:r w:rsidR="004339D1" w:rsidRPr="009A1394">
        <w:rPr>
          <w:lang w:val="en-CA"/>
        </w:rPr>
        <w:t>type</w:t>
      </w:r>
      <w:r w:rsidR="009174EA" w:rsidRPr="009A1394">
        <w:rPr>
          <w:lang w:val="en-CA"/>
        </w:rPr>
        <w:t>s</w:t>
      </w:r>
      <w:r w:rsidR="004339D1" w:rsidRPr="009A1394">
        <w:rPr>
          <w:lang w:val="en-CA"/>
        </w:rPr>
        <w:t xml:space="preserve"> of reasons that the American </w:t>
      </w:r>
      <w:r w:rsidR="004252FB" w:rsidRPr="009A1394">
        <w:rPr>
          <w:lang w:val="en-CA"/>
        </w:rPr>
        <w:t>and</w:t>
      </w:r>
      <w:r w:rsidR="004339D1" w:rsidRPr="009A1394">
        <w:rPr>
          <w:lang w:val="en-CA"/>
        </w:rPr>
        <w:t xml:space="preserve"> Canadian </w:t>
      </w:r>
      <w:r w:rsidR="00C304F7" w:rsidRPr="009A1394">
        <w:rPr>
          <w:lang w:val="en-CA"/>
        </w:rPr>
        <w:t>statutory</w:t>
      </w:r>
      <w:r w:rsidR="004339D1" w:rsidRPr="009A1394">
        <w:rPr>
          <w:lang w:val="en-CA"/>
        </w:rPr>
        <w:t xml:space="preserve"> and </w:t>
      </w:r>
      <w:r w:rsidR="004339D1" w:rsidRPr="009A1394">
        <w:rPr>
          <w:lang w:val="en-CA"/>
        </w:rPr>
        <w:lastRenderedPageBreak/>
        <w:t xml:space="preserve">regulatory authorities </w:t>
      </w:r>
      <w:r w:rsidR="00C304F7" w:rsidRPr="009A1394">
        <w:rPr>
          <w:lang w:val="en-CA"/>
        </w:rPr>
        <w:t>placed</w:t>
      </w:r>
      <w:r w:rsidR="004339D1" w:rsidRPr="009A1394">
        <w:rPr>
          <w:lang w:val="en-CA"/>
        </w:rPr>
        <w:t xml:space="preserve"> the </w:t>
      </w:r>
      <w:r w:rsidR="004252FB" w:rsidRPr="009A1394">
        <w:rPr>
          <w:lang w:val="en-CA"/>
        </w:rPr>
        <w:t>responsibility</w:t>
      </w:r>
      <w:r w:rsidR="004339D1" w:rsidRPr="009A1394">
        <w:rPr>
          <w:lang w:val="en-CA"/>
        </w:rPr>
        <w:t xml:space="preserve"> of classifying, packing, and labelling dangerous goods on the shoulders of the shipper.</w:t>
      </w:r>
    </w:p>
    <w:p w14:paraId="2308788D" w14:textId="57C99D9C" w:rsidR="00702A59" w:rsidRPr="009A1394" w:rsidRDefault="004339D1" w:rsidP="00720E8B">
      <w:pPr>
        <w:pStyle w:val="Citationenretrait"/>
        <w:rPr>
          <w:color w:val="000000" w:themeColor="text1"/>
          <w:lang w:val="en-CA"/>
        </w:rPr>
      </w:pPr>
      <w:r w:rsidRPr="009A1394">
        <w:rPr>
          <w:color w:val="000000" w:themeColor="text1"/>
          <w:lang w:val="en-CA"/>
        </w:rPr>
        <w:t>[567]</w:t>
      </w:r>
      <w:r w:rsidR="008161A3" w:rsidRPr="009A1394">
        <w:rPr>
          <w:color w:val="000000" w:themeColor="text1"/>
          <w:lang w:val="en-CA"/>
        </w:rPr>
        <w:tab/>
      </w:r>
      <w:r w:rsidRPr="009A1394">
        <w:rPr>
          <w:lang w:val="en-CA"/>
        </w:rPr>
        <w:t xml:space="preserve">Furthermore, the evidence also </w:t>
      </w:r>
      <w:r w:rsidR="00C304F7" w:rsidRPr="009A1394">
        <w:rPr>
          <w:lang w:val="en-CA"/>
        </w:rPr>
        <w:t>reveals</w:t>
      </w:r>
      <w:r w:rsidRPr="009A1394">
        <w:rPr>
          <w:lang w:val="en-CA"/>
        </w:rPr>
        <w:t xml:space="preserve"> on a balance of </w:t>
      </w:r>
      <w:r w:rsidR="004252FB" w:rsidRPr="009A1394">
        <w:rPr>
          <w:lang w:val="en-CA"/>
        </w:rPr>
        <w:t>probabilities</w:t>
      </w:r>
      <w:r w:rsidRPr="009A1394">
        <w:rPr>
          <w:lang w:val="en-CA"/>
        </w:rPr>
        <w:t xml:space="preserve"> that this </w:t>
      </w:r>
      <w:r w:rsidR="00C304F7" w:rsidRPr="009A1394">
        <w:rPr>
          <w:lang w:val="en-CA"/>
        </w:rPr>
        <w:t>i</w:t>
      </w:r>
      <w:r w:rsidRPr="009A1394">
        <w:rPr>
          <w:lang w:val="en-CA"/>
        </w:rPr>
        <w:t>s how the transportation of dangerous goods essentially work</w:t>
      </w:r>
      <w:r w:rsidR="00C304F7" w:rsidRPr="009A1394">
        <w:rPr>
          <w:lang w:val="en-CA"/>
        </w:rPr>
        <w:t>s</w:t>
      </w:r>
      <w:r w:rsidRPr="009A1394">
        <w:rPr>
          <w:lang w:val="en-CA"/>
        </w:rPr>
        <w:t xml:space="preserve">, not only in the rail industry, but in all </w:t>
      </w:r>
      <w:r w:rsidR="00C304F7" w:rsidRPr="009A1394">
        <w:rPr>
          <w:lang w:val="en-CA"/>
        </w:rPr>
        <w:t>industries</w:t>
      </w:r>
      <w:r w:rsidRPr="009A1394">
        <w:rPr>
          <w:lang w:val="en-CA"/>
        </w:rPr>
        <w:t xml:space="preserve">, and that it </w:t>
      </w:r>
      <w:r w:rsidR="00C304F7" w:rsidRPr="009A1394">
        <w:rPr>
          <w:lang w:val="en-CA"/>
        </w:rPr>
        <w:t>i</w:t>
      </w:r>
      <w:r w:rsidRPr="009A1394">
        <w:rPr>
          <w:lang w:val="en-CA"/>
        </w:rPr>
        <w:t>s also through this lens that all those involved in the transportation of dangerous goods underst</w:t>
      </w:r>
      <w:r w:rsidR="00C304F7" w:rsidRPr="009A1394">
        <w:rPr>
          <w:lang w:val="en-CA"/>
        </w:rPr>
        <w:t>an</w:t>
      </w:r>
      <w:r w:rsidRPr="009A1394">
        <w:rPr>
          <w:lang w:val="en-CA"/>
        </w:rPr>
        <w:t xml:space="preserve">d their roles and </w:t>
      </w:r>
      <w:r w:rsidR="004252FB" w:rsidRPr="009A1394">
        <w:rPr>
          <w:lang w:val="en-CA"/>
        </w:rPr>
        <w:t>responsibilities</w:t>
      </w:r>
      <w:r w:rsidRPr="009A1394">
        <w:rPr>
          <w:lang w:val="en-CA"/>
        </w:rPr>
        <w:t>.</w:t>
      </w:r>
    </w:p>
    <w:p w14:paraId="17057D2F" w14:textId="158B08BA" w:rsidR="00702A59" w:rsidRPr="009A1394" w:rsidRDefault="004339D1" w:rsidP="00720E8B">
      <w:pPr>
        <w:pStyle w:val="Paragraphe"/>
        <w:numPr>
          <w:ilvl w:val="0"/>
          <w:numId w:val="1"/>
        </w:numPr>
        <w:rPr>
          <w:color w:val="000000" w:themeColor="text1"/>
          <w:lang w:val="en-CA"/>
        </w:rPr>
      </w:pPr>
      <w:r w:rsidRPr="009A1394">
        <w:rPr>
          <w:color w:val="000000" w:themeColor="text1"/>
          <w:lang w:val="en-CA"/>
        </w:rPr>
        <w:t>The arguments submitted by the appellants suppose that it should have been obvious to CP that the crude oil had been improperly classified and could not therefore belong to the PG-III packing group.</w:t>
      </w:r>
      <w:r w:rsidR="00BF77E8" w:rsidRPr="009A1394">
        <w:rPr>
          <w:color w:val="000000" w:themeColor="text1"/>
          <w:lang w:val="en-CA"/>
        </w:rPr>
        <w:t xml:space="preserve"> </w:t>
      </w:r>
      <w:r w:rsidRPr="009A1394">
        <w:rPr>
          <w:color w:val="000000" w:themeColor="text1"/>
          <w:lang w:val="en-CA"/>
        </w:rPr>
        <w:t xml:space="preserve">The judge was aware of </w:t>
      </w:r>
      <w:r w:rsidR="0084157C" w:rsidRPr="009A1394">
        <w:rPr>
          <w:color w:val="000000" w:themeColor="text1"/>
          <w:lang w:val="en-CA"/>
        </w:rPr>
        <w:t>the</w:t>
      </w:r>
      <w:r w:rsidRPr="009A1394">
        <w:rPr>
          <w:color w:val="000000" w:themeColor="text1"/>
          <w:lang w:val="en-CA"/>
        </w:rPr>
        <w:t xml:space="preserve"> risk of analyzing CP’s conduct with the </w:t>
      </w:r>
      <w:r w:rsidR="0047052E" w:rsidRPr="009A1394">
        <w:rPr>
          <w:color w:val="000000" w:themeColor="text1"/>
          <w:lang w:val="en-CA"/>
        </w:rPr>
        <w:t>[</w:t>
      </w:r>
      <w:r w:rsidR="0047052E" w:rsidRPr="009A1394">
        <w:rPr>
          <w:smallCaps/>
          <w:color w:val="000000" w:themeColor="text1"/>
          <w:lang w:val="en-CA"/>
        </w:rPr>
        <w:t>translation</w:t>
      </w:r>
      <w:r w:rsidR="0047052E" w:rsidRPr="009A1394">
        <w:rPr>
          <w:color w:val="000000" w:themeColor="text1"/>
          <w:lang w:val="en-CA"/>
        </w:rPr>
        <w:t xml:space="preserve">] </w:t>
      </w:r>
      <w:r w:rsidRPr="009A1394">
        <w:rPr>
          <w:color w:val="000000" w:themeColor="text1"/>
          <w:lang w:val="en-CA"/>
        </w:rPr>
        <w:t xml:space="preserve">“perfect </w:t>
      </w:r>
      <w:r w:rsidR="0084157C" w:rsidRPr="009A1394">
        <w:rPr>
          <w:color w:val="000000" w:themeColor="text1"/>
          <w:lang w:val="en-CA"/>
        </w:rPr>
        <w:t>vision</w:t>
      </w:r>
      <w:r w:rsidRPr="009A1394">
        <w:rPr>
          <w:color w:val="000000" w:themeColor="text1"/>
          <w:lang w:val="en-CA"/>
        </w:rPr>
        <w:t xml:space="preserve"> afforded by hindsight”.</w:t>
      </w:r>
      <w:r w:rsidRPr="009A1394">
        <w:rPr>
          <w:rStyle w:val="Appelnotedebasdep"/>
          <w:color w:val="000000" w:themeColor="text1"/>
          <w:lang w:val="en-CA"/>
        </w:rPr>
        <w:footnoteReference w:id="244"/>
      </w:r>
      <w:r w:rsidR="008161A3" w:rsidRPr="009A1394">
        <w:rPr>
          <w:color w:val="000000" w:themeColor="text1"/>
          <w:lang w:val="en-CA"/>
        </w:rPr>
        <w:t xml:space="preserve"> </w:t>
      </w:r>
      <w:r w:rsidRPr="009A1394">
        <w:rPr>
          <w:lang w:val="en-CA"/>
        </w:rPr>
        <w:t xml:space="preserve">In this respect, he noted that the evidence did not support the argument that prior </w:t>
      </w:r>
      <w:r w:rsidR="0084157C" w:rsidRPr="009A1394">
        <w:rPr>
          <w:lang w:val="en-CA"/>
        </w:rPr>
        <w:t>to</w:t>
      </w:r>
      <w:r w:rsidRPr="009A1394">
        <w:rPr>
          <w:lang w:val="en-CA"/>
        </w:rPr>
        <w:t xml:space="preserve"> the derailment, it was generally accepted that it was more dangerous to transport crude oil from the Bakken </w:t>
      </w:r>
      <w:r w:rsidR="00676A6B" w:rsidRPr="009A1394">
        <w:rPr>
          <w:lang w:val="en-CA"/>
        </w:rPr>
        <w:t>Formation</w:t>
      </w:r>
      <w:r w:rsidRPr="009A1394">
        <w:rPr>
          <w:lang w:val="en-CA"/>
        </w:rPr>
        <w:t xml:space="preserve"> than crude oil from another area.</w:t>
      </w:r>
      <w:r w:rsidR="008161A3" w:rsidRPr="009A1394">
        <w:rPr>
          <w:color w:val="000000" w:themeColor="text1"/>
          <w:lang w:val="en-CA"/>
        </w:rPr>
        <w:t xml:space="preserve"> </w:t>
      </w:r>
      <w:r w:rsidR="00387D2B" w:rsidRPr="009A1394">
        <w:rPr>
          <w:color w:val="000000" w:themeColor="text1"/>
          <w:lang w:val="en-CA"/>
        </w:rPr>
        <w:t>Furthermore, t</w:t>
      </w:r>
      <w:r w:rsidRPr="009A1394">
        <w:rPr>
          <w:color w:val="000000" w:themeColor="text1"/>
          <w:lang w:val="en-CA"/>
        </w:rPr>
        <w:t xml:space="preserve">he evidence did not support </w:t>
      </w:r>
      <w:r w:rsidR="0084157C" w:rsidRPr="009A1394">
        <w:rPr>
          <w:color w:val="000000" w:themeColor="text1"/>
          <w:lang w:val="en-CA"/>
        </w:rPr>
        <w:t>the</w:t>
      </w:r>
      <w:r w:rsidRPr="009A1394">
        <w:rPr>
          <w:color w:val="000000" w:themeColor="text1"/>
          <w:lang w:val="en-CA"/>
        </w:rPr>
        <w:t xml:space="preserve"> fact that a railway company, acting reasonably, would necessarily have held this opinion.</w:t>
      </w:r>
      <w:r w:rsidR="008161A3" w:rsidRPr="009A1394">
        <w:rPr>
          <w:color w:val="000000" w:themeColor="text1"/>
          <w:lang w:val="en-CA"/>
        </w:rPr>
        <w:t xml:space="preserve"> </w:t>
      </w:r>
      <w:r w:rsidRPr="009A1394">
        <w:rPr>
          <w:color w:val="000000" w:themeColor="text1"/>
          <w:lang w:val="en-CA"/>
        </w:rPr>
        <w:t xml:space="preserve">From the evidence heard, he accepted that the composition of </w:t>
      </w:r>
      <w:r w:rsidR="0084157C" w:rsidRPr="009A1394">
        <w:rPr>
          <w:color w:val="000000" w:themeColor="text1"/>
          <w:lang w:val="en-CA"/>
        </w:rPr>
        <w:t>the</w:t>
      </w:r>
      <w:r w:rsidRPr="009A1394">
        <w:rPr>
          <w:color w:val="000000" w:themeColor="text1"/>
          <w:lang w:val="en-CA"/>
        </w:rPr>
        <w:t xml:space="preserve"> crude oil varies and that its classification is not a simple thing.</w:t>
      </w:r>
      <w:r w:rsidR="008161A3" w:rsidRPr="009A1394">
        <w:rPr>
          <w:color w:val="000000" w:themeColor="text1"/>
          <w:lang w:val="en-CA"/>
        </w:rPr>
        <w:t xml:space="preserve"> </w:t>
      </w:r>
      <w:r w:rsidRPr="009A1394">
        <w:rPr>
          <w:color w:val="000000" w:themeColor="text1"/>
          <w:lang w:val="en-CA"/>
        </w:rPr>
        <w:t>In fact, it requires that several factors be taken into account.</w:t>
      </w:r>
      <w:r w:rsidR="008161A3" w:rsidRPr="009A1394">
        <w:rPr>
          <w:color w:val="000000" w:themeColor="text1"/>
          <w:lang w:val="en-CA"/>
        </w:rPr>
        <w:t xml:space="preserve"> </w:t>
      </w:r>
      <w:r w:rsidRPr="009A1394">
        <w:rPr>
          <w:color w:val="000000" w:themeColor="text1"/>
          <w:lang w:val="en-CA"/>
        </w:rPr>
        <w:t>As he point</w:t>
      </w:r>
      <w:r w:rsidR="0084157C" w:rsidRPr="009A1394">
        <w:rPr>
          <w:color w:val="000000" w:themeColor="text1"/>
          <w:lang w:val="en-CA"/>
        </w:rPr>
        <w:t>ed</w:t>
      </w:r>
      <w:r w:rsidRPr="009A1394">
        <w:rPr>
          <w:color w:val="000000" w:themeColor="text1"/>
          <w:lang w:val="en-CA"/>
        </w:rPr>
        <w:t xml:space="preserve"> out, the crude oil from the Bakken </w:t>
      </w:r>
      <w:r w:rsidR="00676A6B" w:rsidRPr="009A1394">
        <w:rPr>
          <w:color w:val="000000" w:themeColor="text1"/>
          <w:lang w:val="en-CA"/>
        </w:rPr>
        <w:t>Formation</w:t>
      </w:r>
      <w:r w:rsidRPr="009A1394">
        <w:rPr>
          <w:color w:val="000000" w:themeColor="text1"/>
          <w:lang w:val="en-CA"/>
        </w:rPr>
        <w:t xml:space="preserve"> does not come from a single well, or even a single</w:t>
      </w:r>
      <w:r w:rsidR="0047052E" w:rsidRPr="009A1394">
        <w:rPr>
          <w:color w:val="000000" w:themeColor="text1"/>
          <w:lang w:val="en-CA"/>
        </w:rPr>
        <w:t xml:space="preserve"> geographical</w:t>
      </w:r>
      <w:r w:rsidRPr="009A1394">
        <w:rPr>
          <w:color w:val="000000" w:themeColor="text1"/>
          <w:lang w:val="en-CA"/>
        </w:rPr>
        <w:t xml:space="preserve"> </w:t>
      </w:r>
      <w:r w:rsidR="0047052E" w:rsidRPr="009A1394">
        <w:rPr>
          <w:color w:val="000000" w:themeColor="text1"/>
          <w:lang w:val="en-CA"/>
        </w:rPr>
        <w:t>area</w:t>
      </w:r>
      <w:r w:rsidRPr="009A1394">
        <w:rPr>
          <w:color w:val="000000" w:themeColor="text1"/>
          <w:lang w:val="en-CA"/>
        </w:rPr>
        <w:t xml:space="preserve">, </w:t>
      </w:r>
      <w:r w:rsidR="00E940DC" w:rsidRPr="009A1394">
        <w:rPr>
          <w:color w:val="000000" w:themeColor="text1"/>
          <w:lang w:val="en-CA"/>
        </w:rPr>
        <w:t xml:space="preserve">such </w:t>
      </w:r>
      <w:r w:rsidRPr="009A1394">
        <w:rPr>
          <w:color w:val="000000" w:themeColor="text1"/>
          <w:lang w:val="en-CA"/>
        </w:rPr>
        <w:t xml:space="preserve">that its characteristics are </w:t>
      </w:r>
      <w:r w:rsidR="0084157C" w:rsidRPr="009A1394">
        <w:rPr>
          <w:color w:val="000000" w:themeColor="text1"/>
          <w:lang w:val="en-CA"/>
        </w:rPr>
        <w:t>likely</w:t>
      </w:r>
      <w:r w:rsidRPr="009A1394">
        <w:rPr>
          <w:color w:val="000000" w:themeColor="text1"/>
          <w:lang w:val="en-CA"/>
        </w:rPr>
        <w:t xml:space="preserve"> to vary depending on the extraction site from which it was drawn.</w:t>
      </w:r>
      <w:r w:rsidR="008161A3" w:rsidRPr="009A1394">
        <w:rPr>
          <w:color w:val="000000" w:themeColor="text1"/>
          <w:lang w:val="en-CA"/>
        </w:rPr>
        <w:t xml:space="preserve"> </w:t>
      </w:r>
      <w:r w:rsidRPr="009A1394">
        <w:rPr>
          <w:color w:val="000000" w:themeColor="text1"/>
          <w:lang w:val="en-CA"/>
        </w:rPr>
        <w:t xml:space="preserve">The crude oil extracted at different times from </w:t>
      </w:r>
      <w:r w:rsidR="00CB5A69" w:rsidRPr="009A1394">
        <w:rPr>
          <w:color w:val="000000" w:themeColor="text1"/>
          <w:lang w:val="en-CA"/>
        </w:rPr>
        <w:t xml:space="preserve">the same </w:t>
      </w:r>
      <w:r w:rsidRPr="009A1394">
        <w:rPr>
          <w:color w:val="000000" w:themeColor="text1"/>
          <w:lang w:val="en-CA"/>
        </w:rPr>
        <w:t>well is likely to belong to different groups.</w:t>
      </w:r>
      <w:r w:rsidR="008161A3" w:rsidRPr="009A1394">
        <w:rPr>
          <w:color w:val="000000" w:themeColor="text1"/>
          <w:lang w:val="en-CA"/>
        </w:rPr>
        <w:t xml:space="preserve"> </w:t>
      </w:r>
      <w:r w:rsidRPr="009A1394">
        <w:rPr>
          <w:color w:val="000000" w:themeColor="text1"/>
          <w:lang w:val="en-CA"/>
        </w:rPr>
        <w:t xml:space="preserve">Accordingly, while it may be accurate that the crude oil from the Bakken </w:t>
      </w:r>
      <w:r w:rsidR="00676A6B" w:rsidRPr="009A1394">
        <w:rPr>
          <w:color w:val="000000" w:themeColor="text1"/>
          <w:lang w:val="en-CA"/>
        </w:rPr>
        <w:t>Formation</w:t>
      </w:r>
      <w:r w:rsidRPr="009A1394">
        <w:rPr>
          <w:color w:val="000000" w:themeColor="text1"/>
          <w:lang w:val="en-CA"/>
        </w:rPr>
        <w:t xml:space="preserve"> is typically classified in the PG-I or PG-II packing groups, that is not always the case.</w:t>
      </w:r>
      <w:r w:rsidR="008161A3" w:rsidRPr="009A1394">
        <w:rPr>
          <w:color w:val="000000" w:themeColor="text1"/>
          <w:lang w:val="en-CA"/>
        </w:rPr>
        <w:t xml:space="preserve"> </w:t>
      </w:r>
      <w:r w:rsidRPr="009A1394">
        <w:rPr>
          <w:color w:val="000000" w:themeColor="text1"/>
          <w:lang w:val="en-CA"/>
        </w:rPr>
        <w:t xml:space="preserve">Moreover, there is no evidence that the crude oil from </w:t>
      </w:r>
      <w:r w:rsidR="0084157C" w:rsidRPr="009A1394">
        <w:rPr>
          <w:color w:val="000000" w:themeColor="text1"/>
          <w:lang w:val="en-CA"/>
        </w:rPr>
        <w:t>the</w:t>
      </w:r>
      <w:r w:rsidRPr="009A1394">
        <w:rPr>
          <w:color w:val="000000" w:themeColor="text1"/>
          <w:lang w:val="en-CA"/>
        </w:rPr>
        <w:t xml:space="preserve"> Bakken </w:t>
      </w:r>
      <w:r w:rsidR="00676A6B" w:rsidRPr="009A1394">
        <w:rPr>
          <w:color w:val="000000" w:themeColor="text1"/>
          <w:lang w:val="en-CA"/>
        </w:rPr>
        <w:t>Formation</w:t>
      </w:r>
      <w:r w:rsidRPr="009A1394">
        <w:rPr>
          <w:color w:val="000000" w:themeColor="text1"/>
          <w:lang w:val="en-CA"/>
        </w:rPr>
        <w:t xml:space="preserve"> can never fall under the PG-III packing group.</w:t>
      </w:r>
    </w:p>
    <w:p w14:paraId="47670C5D" w14:textId="1CE31B4D" w:rsidR="00702A59" w:rsidRPr="009A1394" w:rsidRDefault="00774764" w:rsidP="00720E8B">
      <w:pPr>
        <w:pStyle w:val="Paragraphe"/>
        <w:numPr>
          <w:ilvl w:val="0"/>
          <w:numId w:val="1"/>
        </w:numPr>
        <w:rPr>
          <w:color w:val="000000" w:themeColor="text1"/>
          <w:lang w:val="en-CA"/>
        </w:rPr>
      </w:pPr>
      <w:r w:rsidRPr="009A1394">
        <w:rPr>
          <w:lang w:val="en-CA"/>
        </w:rPr>
        <w:t>In addition</w:t>
      </w:r>
      <w:r w:rsidR="004339D1" w:rsidRPr="009A1394">
        <w:rPr>
          <w:lang w:val="en-CA"/>
        </w:rPr>
        <w:t>, the evidence reveals that the WFS’s decision to classify the crude oil as belonging to the PG-III packing group was based on the recommendations it had received from experts.</w:t>
      </w:r>
      <w:r w:rsidR="00BA77D4" w:rsidRPr="009A1394">
        <w:rPr>
          <w:color w:val="000000" w:themeColor="text1"/>
          <w:lang w:val="en-CA"/>
        </w:rPr>
        <w:t xml:space="preserve"> </w:t>
      </w:r>
      <w:r w:rsidR="004339D1" w:rsidRPr="009A1394">
        <w:rPr>
          <w:color w:val="000000" w:themeColor="text1"/>
          <w:lang w:val="en-CA"/>
        </w:rPr>
        <w:t>Furthermore, its decision did not change when American regulatory bodies expressed the view that a PG-II classification would be more appropriate.</w:t>
      </w:r>
      <w:r w:rsidR="004339D1" w:rsidRPr="009A1394">
        <w:rPr>
          <w:rStyle w:val="Appelnotedebasdep"/>
          <w:color w:val="000000" w:themeColor="text1"/>
          <w:lang w:val="en-CA"/>
        </w:rPr>
        <w:footnoteReference w:id="245"/>
      </w:r>
      <w:r w:rsidR="00BA77D4" w:rsidRPr="009A1394">
        <w:rPr>
          <w:color w:val="000000" w:themeColor="text1"/>
          <w:lang w:val="en-CA"/>
        </w:rPr>
        <w:t xml:space="preserve"> </w:t>
      </w:r>
      <w:r w:rsidR="004339D1" w:rsidRPr="009A1394">
        <w:rPr>
          <w:color w:val="000000" w:themeColor="text1"/>
          <w:lang w:val="en-CA"/>
        </w:rPr>
        <w:t xml:space="preserve">In that context, it was reasonable for the judge to </w:t>
      </w:r>
      <w:r w:rsidR="00387D2B" w:rsidRPr="009A1394">
        <w:rPr>
          <w:color w:val="000000" w:themeColor="text1"/>
          <w:lang w:val="en-CA"/>
        </w:rPr>
        <w:t xml:space="preserve">find </w:t>
      </w:r>
      <w:r w:rsidR="004339D1" w:rsidRPr="009A1394">
        <w:rPr>
          <w:color w:val="000000" w:themeColor="text1"/>
          <w:lang w:val="en-CA"/>
        </w:rPr>
        <w:t xml:space="preserve">that nothing more could </w:t>
      </w:r>
      <w:r w:rsidRPr="009A1394">
        <w:rPr>
          <w:color w:val="000000" w:themeColor="text1"/>
          <w:lang w:val="en-CA"/>
        </w:rPr>
        <w:t>have been</w:t>
      </w:r>
      <w:r w:rsidR="004339D1" w:rsidRPr="009A1394">
        <w:rPr>
          <w:color w:val="000000" w:themeColor="text1"/>
          <w:lang w:val="en-CA"/>
        </w:rPr>
        <w:t xml:space="preserve"> expected from CP</w:t>
      </w:r>
      <w:r w:rsidR="00717153" w:rsidRPr="009A1394">
        <w:rPr>
          <w:color w:val="000000" w:themeColor="text1"/>
          <w:lang w:val="en-CA"/>
        </w:rPr>
        <w:t>,</w:t>
      </w:r>
      <w:r w:rsidR="004339D1" w:rsidRPr="009A1394">
        <w:rPr>
          <w:color w:val="000000" w:themeColor="text1"/>
          <w:lang w:val="en-CA"/>
        </w:rPr>
        <w:t xml:space="preserve"> </w:t>
      </w:r>
      <w:r w:rsidR="00717153" w:rsidRPr="009A1394">
        <w:rPr>
          <w:color w:val="000000" w:themeColor="text1"/>
          <w:lang w:val="en-CA"/>
        </w:rPr>
        <w:t xml:space="preserve">which </w:t>
      </w:r>
      <w:r w:rsidR="004339D1" w:rsidRPr="009A1394">
        <w:rPr>
          <w:color w:val="000000" w:themeColor="text1"/>
          <w:lang w:val="en-CA"/>
        </w:rPr>
        <w:t>had neither expertise in the matter nor access to all the data that would have allowed it to contest WFS’s decision.</w:t>
      </w:r>
      <w:r w:rsidR="004339D1" w:rsidRPr="009A1394">
        <w:rPr>
          <w:rStyle w:val="Appelnotedebasdep"/>
          <w:color w:val="000000" w:themeColor="text1"/>
          <w:lang w:val="en-CA"/>
        </w:rPr>
        <w:footnoteReference w:id="246"/>
      </w:r>
    </w:p>
    <w:p w14:paraId="101FBEC5" w14:textId="2C1DCD37" w:rsidR="0052524F" w:rsidRPr="009A1394" w:rsidRDefault="00774764" w:rsidP="00720E8B">
      <w:pPr>
        <w:pStyle w:val="Paragraphe"/>
        <w:numPr>
          <w:ilvl w:val="0"/>
          <w:numId w:val="1"/>
        </w:numPr>
        <w:rPr>
          <w:color w:val="000000" w:themeColor="text1"/>
          <w:lang w:val="en-CA"/>
        </w:rPr>
      </w:pPr>
      <w:r w:rsidRPr="009A1394">
        <w:rPr>
          <w:lang w:val="en-CA"/>
        </w:rPr>
        <w:t>T</w:t>
      </w:r>
      <w:r w:rsidR="00CB5A69" w:rsidRPr="009A1394">
        <w:rPr>
          <w:lang w:val="en-CA"/>
        </w:rPr>
        <w:t xml:space="preserve">he </w:t>
      </w:r>
      <w:r w:rsidR="001E48F6" w:rsidRPr="009A1394">
        <w:rPr>
          <w:lang w:val="en-CA"/>
        </w:rPr>
        <w:t>Court</w:t>
      </w:r>
      <w:r w:rsidRPr="009A1394">
        <w:rPr>
          <w:lang w:val="en-CA"/>
        </w:rPr>
        <w:t xml:space="preserve"> being of the opinion</w:t>
      </w:r>
      <w:r w:rsidR="001E48F6" w:rsidRPr="009A1394">
        <w:rPr>
          <w:lang w:val="en-CA"/>
        </w:rPr>
        <w:t xml:space="preserve"> that the judge did not </w:t>
      </w:r>
      <w:r w:rsidR="00B70784" w:rsidRPr="009A1394">
        <w:rPr>
          <w:lang w:val="en-CA"/>
        </w:rPr>
        <w:t>err in finding</w:t>
      </w:r>
      <w:r w:rsidR="001E48F6" w:rsidRPr="009A1394">
        <w:rPr>
          <w:lang w:val="en-CA"/>
        </w:rPr>
        <w:t xml:space="preserve"> that CP had no reasonable grounds to suspect that the crude oil had been improperly classified</w:t>
      </w:r>
      <w:r w:rsidRPr="009A1394">
        <w:rPr>
          <w:lang w:val="en-CA"/>
        </w:rPr>
        <w:t>, it follows</w:t>
      </w:r>
      <w:r w:rsidR="001E48F6" w:rsidRPr="009A1394">
        <w:rPr>
          <w:lang w:val="en-CA"/>
        </w:rPr>
        <w:t xml:space="preserve"> that CP’s conduct cannot be characterized as wrong</w:t>
      </w:r>
      <w:r w:rsidR="00186DE2" w:rsidRPr="009A1394">
        <w:rPr>
          <w:lang w:val="en-CA"/>
        </w:rPr>
        <w:t>ful</w:t>
      </w:r>
      <w:r w:rsidR="001E48F6" w:rsidRPr="009A1394">
        <w:rPr>
          <w:lang w:val="en-CA"/>
        </w:rPr>
        <w:t xml:space="preserve"> </w:t>
      </w:r>
      <w:r w:rsidR="00387D2B" w:rsidRPr="009A1394">
        <w:rPr>
          <w:lang w:val="en-CA"/>
        </w:rPr>
        <w:t>with respect to</w:t>
      </w:r>
      <w:r w:rsidR="001E48F6" w:rsidRPr="009A1394">
        <w:rPr>
          <w:lang w:val="en-CA"/>
        </w:rPr>
        <w:t xml:space="preserve"> MMA.</w:t>
      </w:r>
    </w:p>
    <w:p w14:paraId="57521FB4" w14:textId="7F12B14B" w:rsidR="00702A59" w:rsidRPr="009A1394" w:rsidRDefault="001E48F6" w:rsidP="00720E8B">
      <w:pPr>
        <w:pStyle w:val="Paragraphe"/>
        <w:numPr>
          <w:ilvl w:val="0"/>
          <w:numId w:val="1"/>
        </w:numPr>
        <w:rPr>
          <w:color w:val="000000" w:themeColor="text1"/>
          <w:lang w:val="en-CA"/>
        </w:rPr>
      </w:pPr>
      <w:r w:rsidRPr="009A1394">
        <w:rPr>
          <w:color w:val="000000" w:themeColor="text1"/>
          <w:lang w:val="en-CA"/>
        </w:rPr>
        <w:lastRenderedPageBreak/>
        <w:t xml:space="preserve">Moreover, contrary to what the appellants submit, the judge committed no palpable and overriding error in </w:t>
      </w:r>
      <w:r w:rsidR="00387D2B" w:rsidRPr="009A1394">
        <w:rPr>
          <w:color w:val="000000" w:themeColor="text1"/>
          <w:lang w:val="en-CA"/>
        </w:rPr>
        <w:t xml:space="preserve">finding </w:t>
      </w:r>
      <w:r w:rsidRPr="009A1394">
        <w:rPr>
          <w:color w:val="000000" w:themeColor="text1"/>
          <w:lang w:val="en-CA"/>
        </w:rPr>
        <w:t>that MMA’s employees knew that the crude oil they were transporting was dangerous.</w:t>
      </w:r>
      <w:r w:rsidRPr="009A1394">
        <w:rPr>
          <w:rStyle w:val="Appelnotedebasdep"/>
          <w:color w:val="000000" w:themeColor="text1"/>
          <w:lang w:val="en-CA"/>
        </w:rPr>
        <w:footnoteReference w:id="247"/>
      </w:r>
      <w:r w:rsidR="008161A3" w:rsidRPr="009A1394">
        <w:rPr>
          <w:color w:val="000000" w:themeColor="text1"/>
          <w:lang w:val="en-CA"/>
        </w:rPr>
        <w:t xml:space="preserve"> </w:t>
      </w:r>
      <w:r w:rsidRPr="009A1394">
        <w:rPr>
          <w:color w:val="000000" w:themeColor="text1"/>
          <w:lang w:val="en-CA"/>
        </w:rPr>
        <w:t xml:space="preserve">This </w:t>
      </w:r>
      <w:r w:rsidR="00387D2B" w:rsidRPr="009A1394">
        <w:rPr>
          <w:color w:val="000000" w:themeColor="text1"/>
          <w:lang w:val="en-CA"/>
        </w:rPr>
        <w:t xml:space="preserve">finding </w:t>
      </w:r>
      <w:r w:rsidRPr="009A1394">
        <w:rPr>
          <w:color w:val="000000" w:themeColor="text1"/>
          <w:lang w:val="en-CA"/>
        </w:rPr>
        <w:t>is largely supported by the testimony of several MMA employees, including Harding</w:t>
      </w:r>
      <w:r w:rsidR="006A7737" w:rsidRPr="009A1394">
        <w:rPr>
          <w:color w:val="000000" w:themeColor="text1"/>
          <w:lang w:val="en-CA"/>
        </w:rPr>
        <w:t xml:space="preserve"> himself</w:t>
      </w:r>
      <w:r w:rsidRPr="009A1394">
        <w:rPr>
          <w:color w:val="000000" w:themeColor="text1"/>
          <w:lang w:val="en-CA"/>
        </w:rPr>
        <w:t xml:space="preserve">, who had, at the very least, seen the </w:t>
      </w:r>
      <w:r w:rsidR="00774764" w:rsidRPr="009A1394">
        <w:rPr>
          <w:color w:val="000000" w:themeColor="text1"/>
          <w:lang w:val="en-CA"/>
        </w:rPr>
        <w:t>placards affixed to</w:t>
      </w:r>
      <w:r w:rsidRPr="009A1394">
        <w:rPr>
          <w:color w:val="000000" w:themeColor="text1"/>
          <w:lang w:val="en-CA"/>
        </w:rPr>
        <w:t xml:space="preserve"> the tank cars, which </w:t>
      </w:r>
      <w:r w:rsidR="006A7737" w:rsidRPr="009A1394">
        <w:rPr>
          <w:color w:val="000000" w:themeColor="text1"/>
          <w:lang w:val="en-CA"/>
        </w:rPr>
        <w:t xml:space="preserve">all </w:t>
      </w:r>
      <w:r w:rsidRPr="009A1394">
        <w:rPr>
          <w:color w:val="000000" w:themeColor="text1"/>
          <w:lang w:val="en-CA"/>
        </w:rPr>
        <w:t>indicated that the contents of the tank cars in question w</w:t>
      </w:r>
      <w:r w:rsidR="00774764" w:rsidRPr="009A1394">
        <w:rPr>
          <w:color w:val="000000" w:themeColor="text1"/>
          <w:lang w:val="en-CA"/>
        </w:rPr>
        <w:t>ere</w:t>
      </w:r>
      <w:r w:rsidRPr="009A1394">
        <w:rPr>
          <w:color w:val="000000" w:themeColor="text1"/>
          <w:lang w:val="en-CA"/>
        </w:rPr>
        <w:t xml:space="preserve"> flammable.</w:t>
      </w:r>
      <w:r w:rsidRPr="009A1394">
        <w:rPr>
          <w:rStyle w:val="Appelnotedebasdep"/>
          <w:color w:val="000000" w:themeColor="text1"/>
          <w:lang w:val="en-CA"/>
        </w:rPr>
        <w:footnoteReference w:id="248"/>
      </w:r>
      <w:r w:rsidR="00537591" w:rsidRPr="009A1394">
        <w:rPr>
          <w:color w:val="000000" w:themeColor="text1"/>
          <w:lang w:val="en-CA"/>
        </w:rPr>
        <w:t xml:space="preserve"> </w:t>
      </w:r>
      <w:r w:rsidRPr="009A1394">
        <w:rPr>
          <w:color w:val="000000" w:themeColor="text1"/>
          <w:lang w:val="en-CA"/>
        </w:rPr>
        <w:t xml:space="preserve">Furthermore, the evidence </w:t>
      </w:r>
      <w:r w:rsidR="0056791D" w:rsidRPr="009A1394">
        <w:rPr>
          <w:color w:val="000000" w:themeColor="text1"/>
          <w:lang w:val="en-CA"/>
        </w:rPr>
        <w:t>revealed</w:t>
      </w:r>
      <w:r w:rsidRPr="009A1394">
        <w:rPr>
          <w:color w:val="000000" w:themeColor="text1"/>
          <w:lang w:val="en-CA"/>
        </w:rPr>
        <w:t xml:space="preserve"> that MMA had had </w:t>
      </w:r>
      <w:r w:rsidR="006A7737" w:rsidRPr="009A1394">
        <w:rPr>
          <w:color w:val="000000" w:themeColor="text1"/>
          <w:lang w:val="en-CA"/>
        </w:rPr>
        <w:t>exchanges</w:t>
      </w:r>
      <w:r w:rsidRPr="009A1394">
        <w:rPr>
          <w:color w:val="000000" w:themeColor="text1"/>
          <w:lang w:val="en-CA"/>
        </w:rPr>
        <w:t xml:space="preserve"> with WFS and Irving, separate from CP, and that it had </w:t>
      </w:r>
      <w:r w:rsidR="00774764" w:rsidRPr="009A1394">
        <w:rPr>
          <w:color w:val="000000" w:themeColor="text1"/>
          <w:lang w:val="en-CA"/>
        </w:rPr>
        <w:t>questioned</w:t>
      </w:r>
      <w:r w:rsidRPr="009A1394">
        <w:rPr>
          <w:color w:val="000000" w:themeColor="text1"/>
          <w:lang w:val="en-CA"/>
        </w:rPr>
        <w:t xml:space="preserve"> them about the crude oil at issue here.</w:t>
      </w:r>
      <w:r w:rsidRPr="009A1394">
        <w:rPr>
          <w:rStyle w:val="Appelnotedebasdep"/>
          <w:color w:val="000000" w:themeColor="text1"/>
          <w:lang w:val="en-CA"/>
        </w:rPr>
        <w:footnoteReference w:id="249"/>
      </w:r>
    </w:p>
    <w:p w14:paraId="35C08A23" w14:textId="43EE8F68" w:rsidR="00702A59" w:rsidRPr="009A1394" w:rsidRDefault="007F0B03" w:rsidP="00720E8B">
      <w:pPr>
        <w:pStyle w:val="Paragraphe"/>
        <w:numPr>
          <w:ilvl w:val="0"/>
          <w:numId w:val="1"/>
        </w:numPr>
        <w:rPr>
          <w:color w:val="000000" w:themeColor="text1"/>
          <w:lang w:val="en-CA"/>
        </w:rPr>
      </w:pPr>
      <w:r w:rsidRPr="009A1394">
        <w:rPr>
          <w:color w:val="000000" w:themeColor="text1"/>
          <w:lang w:val="en-CA"/>
        </w:rPr>
        <w:t xml:space="preserve">In any event, even if the judge had committed an error on this </w:t>
      </w:r>
      <w:r w:rsidR="006A7737" w:rsidRPr="009A1394">
        <w:rPr>
          <w:color w:val="000000" w:themeColor="text1"/>
          <w:lang w:val="en-CA"/>
        </w:rPr>
        <w:t>issue</w:t>
      </w:r>
      <w:r w:rsidRPr="009A1394">
        <w:rPr>
          <w:color w:val="000000" w:themeColor="text1"/>
          <w:lang w:val="en-CA"/>
        </w:rPr>
        <w:t xml:space="preserve">, it would not have been overriding because the evidence shows that </w:t>
      </w:r>
      <w:r w:rsidR="006A7737" w:rsidRPr="009A1394">
        <w:rPr>
          <w:color w:val="000000" w:themeColor="text1"/>
          <w:lang w:val="en-CA"/>
        </w:rPr>
        <w:t>varying</w:t>
      </w:r>
      <w:r w:rsidRPr="009A1394">
        <w:rPr>
          <w:color w:val="000000" w:themeColor="text1"/>
          <w:lang w:val="en-CA"/>
        </w:rPr>
        <w:t xml:space="preserve"> the classification from PG-III to PG-I or PG-II would not have changed </w:t>
      </w:r>
      <w:r w:rsidR="0056791D" w:rsidRPr="009A1394">
        <w:rPr>
          <w:color w:val="000000" w:themeColor="text1"/>
          <w:lang w:val="en-CA"/>
        </w:rPr>
        <w:t>how</w:t>
      </w:r>
      <w:r w:rsidRPr="009A1394">
        <w:rPr>
          <w:color w:val="000000" w:themeColor="text1"/>
          <w:lang w:val="en-CA"/>
        </w:rPr>
        <w:t xml:space="preserve"> MMA </w:t>
      </w:r>
      <w:r w:rsidR="0056791D" w:rsidRPr="009A1394">
        <w:rPr>
          <w:color w:val="000000" w:themeColor="text1"/>
          <w:lang w:val="en-CA"/>
        </w:rPr>
        <w:t xml:space="preserve">should have </w:t>
      </w:r>
      <w:r w:rsidR="006455B3" w:rsidRPr="009A1394">
        <w:rPr>
          <w:color w:val="000000" w:themeColor="text1"/>
          <w:lang w:val="en-CA"/>
        </w:rPr>
        <w:t>handled</w:t>
      </w:r>
      <w:r w:rsidRPr="009A1394">
        <w:rPr>
          <w:color w:val="000000" w:themeColor="text1"/>
          <w:lang w:val="en-CA"/>
        </w:rPr>
        <w:t xml:space="preserve"> </w:t>
      </w:r>
      <w:r w:rsidR="0056791D" w:rsidRPr="009A1394">
        <w:rPr>
          <w:color w:val="000000" w:themeColor="text1"/>
          <w:lang w:val="en-CA"/>
        </w:rPr>
        <w:t>the</w:t>
      </w:r>
      <w:r w:rsidRPr="009A1394">
        <w:rPr>
          <w:color w:val="000000" w:themeColor="text1"/>
          <w:lang w:val="en-CA"/>
        </w:rPr>
        <w:t xml:space="preserve"> cargo. This </w:t>
      </w:r>
      <w:r w:rsidR="006A7737" w:rsidRPr="009A1394">
        <w:rPr>
          <w:color w:val="000000" w:themeColor="text1"/>
          <w:lang w:val="en-CA"/>
        </w:rPr>
        <w:t>issue</w:t>
      </w:r>
      <w:r w:rsidRPr="009A1394">
        <w:rPr>
          <w:color w:val="000000" w:themeColor="text1"/>
          <w:lang w:val="en-CA"/>
        </w:rPr>
        <w:t xml:space="preserve"> will be examined in greater depth </w:t>
      </w:r>
      <w:r w:rsidR="006A7737" w:rsidRPr="009A1394">
        <w:rPr>
          <w:color w:val="000000" w:themeColor="text1"/>
          <w:lang w:val="en-CA"/>
        </w:rPr>
        <w:t>in</w:t>
      </w:r>
      <w:r w:rsidRPr="009A1394">
        <w:rPr>
          <w:color w:val="000000" w:themeColor="text1"/>
          <w:lang w:val="en-CA"/>
        </w:rPr>
        <w:t xml:space="preserve"> our analysis of causa</w:t>
      </w:r>
      <w:r w:rsidR="0056791D" w:rsidRPr="009A1394">
        <w:rPr>
          <w:color w:val="000000" w:themeColor="text1"/>
          <w:lang w:val="en-CA"/>
        </w:rPr>
        <w:t>tion</w:t>
      </w:r>
      <w:r w:rsidRPr="009A1394">
        <w:rPr>
          <w:color w:val="000000" w:themeColor="text1"/>
          <w:lang w:val="en-CA"/>
        </w:rPr>
        <w:t>.</w:t>
      </w:r>
    </w:p>
    <w:p w14:paraId="6BB3BE21" w14:textId="0ABE956B" w:rsidR="00C23468" w:rsidRPr="009A1394" w:rsidRDefault="006A7737" w:rsidP="007971BA">
      <w:pPr>
        <w:pStyle w:val="Titre2"/>
        <w:rPr>
          <w:lang w:val="en-CA"/>
        </w:rPr>
      </w:pPr>
      <w:r w:rsidRPr="009A1394">
        <w:rPr>
          <w:lang w:val="en-CA"/>
        </w:rPr>
        <w:t xml:space="preserve">Did the judge </w:t>
      </w:r>
      <w:r w:rsidR="00B70784" w:rsidRPr="009A1394">
        <w:rPr>
          <w:lang w:val="en-CA"/>
        </w:rPr>
        <w:t>err in finding</w:t>
      </w:r>
      <w:r w:rsidRPr="009A1394">
        <w:rPr>
          <w:lang w:val="en-CA"/>
        </w:rPr>
        <w:t xml:space="preserve"> that CP’s conduct, assuming it to be wrongful, was not the logical, direct and immediate cause of the train derailment</w:t>
      </w:r>
      <w:r w:rsidR="00576187" w:rsidRPr="009A1394">
        <w:rPr>
          <w:lang w:val="en-CA"/>
        </w:rPr>
        <w:t>?</w:t>
      </w:r>
    </w:p>
    <w:p w14:paraId="1FDDE220" w14:textId="5004B3F5" w:rsidR="00702A59" w:rsidRPr="009A1394" w:rsidRDefault="007F0B03" w:rsidP="00B84769">
      <w:pPr>
        <w:pStyle w:val="Paragraphe"/>
        <w:numPr>
          <w:ilvl w:val="0"/>
          <w:numId w:val="1"/>
        </w:numPr>
        <w:rPr>
          <w:lang w:val="en-CA"/>
        </w:rPr>
      </w:pPr>
      <w:r w:rsidRPr="009A1394">
        <w:rPr>
          <w:lang w:val="en-CA"/>
        </w:rPr>
        <w:t xml:space="preserve">Although </w:t>
      </w:r>
      <w:r w:rsidR="00697853" w:rsidRPr="009A1394">
        <w:rPr>
          <w:lang w:val="en-CA"/>
        </w:rPr>
        <w:t xml:space="preserve">the Court </w:t>
      </w:r>
      <w:r w:rsidRPr="009A1394">
        <w:rPr>
          <w:lang w:val="en-CA"/>
        </w:rPr>
        <w:t>conclude</w:t>
      </w:r>
      <w:r w:rsidR="00697853" w:rsidRPr="009A1394">
        <w:rPr>
          <w:lang w:val="en-CA"/>
        </w:rPr>
        <w:t>s</w:t>
      </w:r>
      <w:r w:rsidRPr="009A1394">
        <w:rPr>
          <w:lang w:val="en-CA"/>
        </w:rPr>
        <w:t xml:space="preserve"> that the grounds of appeal concerning fault must be rejected, </w:t>
      </w:r>
      <w:r w:rsidR="00697853" w:rsidRPr="009A1394">
        <w:rPr>
          <w:lang w:val="en-CA"/>
        </w:rPr>
        <w:t xml:space="preserve">it </w:t>
      </w:r>
      <w:r w:rsidRPr="009A1394">
        <w:rPr>
          <w:lang w:val="en-CA"/>
        </w:rPr>
        <w:t xml:space="preserve">finds it appropriate to consider the </w:t>
      </w:r>
      <w:r w:rsidR="006A7737" w:rsidRPr="009A1394">
        <w:rPr>
          <w:lang w:val="en-CA"/>
        </w:rPr>
        <w:t>issue</w:t>
      </w:r>
      <w:r w:rsidRPr="009A1394">
        <w:rPr>
          <w:lang w:val="en-CA"/>
        </w:rPr>
        <w:t xml:space="preserve"> of causa</w:t>
      </w:r>
      <w:r w:rsidR="00031A24" w:rsidRPr="009A1394">
        <w:rPr>
          <w:lang w:val="en-CA"/>
        </w:rPr>
        <w:t>tion</w:t>
      </w:r>
      <w:r w:rsidRPr="009A1394">
        <w:rPr>
          <w:lang w:val="en-CA"/>
        </w:rPr>
        <w:t xml:space="preserve">. </w:t>
      </w:r>
    </w:p>
    <w:p w14:paraId="1E38B9FF" w14:textId="02410045" w:rsidR="00702A59" w:rsidRPr="009A1394" w:rsidRDefault="007F0B03" w:rsidP="00B84769">
      <w:pPr>
        <w:pStyle w:val="Paragraphe"/>
        <w:numPr>
          <w:ilvl w:val="0"/>
          <w:numId w:val="1"/>
        </w:numPr>
        <w:rPr>
          <w:lang w:val="en-CA"/>
        </w:rPr>
      </w:pPr>
      <w:r w:rsidRPr="009A1394">
        <w:rPr>
          <w:lang w:val="en-CA"/>
        </w:rPr>
        <w:t>The judge wrote that even if the appellants had succe</w:t>
      </w:r>
      <w:r w:rsidR="003351FB" w:rsidRPr="009A1394">
        <w:rPr>
          <w:lang w:val="en-CA"/>
        </w:rPr>
        <w:t>eded</w:t>
      </w:r>
      <w:r w:rsidRPr="009A1394">
        <w:rPr>
          <w:lang w:val="en-CA"/>
        </w:rPr>
        <w:t xml:space="preserve"> in demonstrating that CP’s conduct was </w:t>
      </w:r>
      <w:r w:rsidR="00B27CEF" w:rsidRPr="009A1394">
        <w:rPr>
          <w:lang w:val="en-CA"/>
        </w:rPr>
        <w:t>wrongful</w:t>
      </w:r>
      <w:r w:rsidRPr="009A1394">
        <w:rPr>
          <w:lang w:val="en-CA"/>
        </w:rPr>
        <w:t xml:space="preserve">, he would nonetheless </w:t>
      </w:r>
      <w:r w:rsidR="0090176F" w:rsidRPr="009A1394">
        <w:rPr>
          <w:lang w:val="en-CA"/>
        </w:rPr>
        <w:t>have</w:t>
      </w:r>
      <w:r w:rsidRPr="009A1394">
        <w:rPr>
          <w:lang w:val="en-CA"/>
        </w:rPr>
        <w:t xml:space="preserve"> concluded that the faults committed were not causal.</w:t>
      </w:r>
      <w:r w:rsidR="008161A3" w:rsidRPr="009A1394">
        <w:rPr>
          <w:lang w:val="en-CA"/>
        </w:rPr>
        <w:t xml:space="preserve"> </w:t>
      </w:r>
      <w:r w:rsidRPr="009A1394">
        <w:rPr>
          <w:lang w:val="en-CA"/>
        </w:rPr>
        <w:t>He went even further.</w:t>
      </w:r>
      <w:r w:rsidR="008161A3" w:rsidRPr="009A1394">
        <w:rPr>
          <w:lang w:val="en-CA"/>
        </w:rPr>
        <w:t xml:space="preserve"> </w:t>
      </w:r>
      <w:r w:rsidRPr="009A1394">
        <w:rPr>
          <w:lang w:val="en-CA"/>
        </w:rPr>
        <w:t xml:space="preserve">He </w:t>
      </w:r>
      <w:r w:rsidR="003351FB" w:rsidRPr="009A1394">
        <w:rPr>
          <w:lang w:val="en-CA"/>
        </w:rPr>
        <w:t>mentioned</w:t>
      </w:r>
      <w:r w:rsidRPr="009A1394">
        <w:rPr>
          <w:lang w:val="en-CA"/>
        </w:rPr>
        <w:t xml:space="preserve"> that if they had been</w:t>
      </w:r>
      <w:r w:rsidR="003067DC" w:rsidRPr="009A1394">
        <w:rPr>
          <w:lang w:val="en-CA"/>
        </w:rPr>
        <w:t xml:space="preserve"> causal</w:t>
      </w:r>
      <w:r w:rsidRPr="009A1394">
        <w:rPr>
          <w:lang w:val="en-CA"/>
        </w:rPr>
        <w:t xml:space="preserve">, the faults committed by Harding and MMA, </w:t>
      </w:r>
      <w:r w:rsidR="003067DC" w:rsidRPr="009A1394">
        <w:rPr>
          <w:lang w:val="en-CA"/>
        </w:rPr>
        <w:t xml:space="preserve">faults that </w:t>
      </w:r>
      <w:r w:rsidRPr="009A1394">
        <w:rPr>
          <w:lang w:val="en-CA"/>
        </w:rPr>
        <w:t xml:space="preserve">no one, </w:t>
      </w:r>
      <w:r w:rsidR="003351FB" w:rsidRPr="009A1394">
        <w:rPr>
          <w:lang w:val="en-CA"/>
        </w:rPr>
        <w:t>for that matter</w:t>
      </w:r>
      <w:r w:rsidRPr="009A1394">
        <w:rPr>
          <w:lang w:val="en-CA"/>
        </w:rPr>
        <w:t xml:space="preserve">, is calling into question, would have constituted a </w:t>
      </w:r>
      <w:r w:rsidRPr="009A1394">
        <w:rPr>
          <w:i/>
          <w:lang w:val="en-CA"/>
        </w:rPr>
        <w:t>novus actus interveniens</w:t>
      </w:r>
      <w:r w:rsidRPr="009A1394">
        <w:rPr>
          <w:lang w:val="en-CA"/>
        </w:rPr>
        <w:t>.</w:t>
      </w:r>
      <w:r w:rsidR="008161A3" w:rsidRPr="009A1394">
        <w:rPr>
          <w:i/>
          <w:iCs/>
          <w:lang w:val="en-CA"/>
        </w:rPr>
        <w:t xml:space="preserve"> </w:t>
      </w:r>
      <w:r w:rsidRPr="009A1394">
        <w:rPr>
          <w:lang w:val="en-CA"/>
        </w:rPr>
        <w:t xml:space="preserve">In other words, they would have broken the causal connection between </w:t>
      </w:r>
      <w:r w:rsidR="003351FB" w:rsidRPr="009A1394">
        <w:rPr>
          <w:lang w:val="en-CA"/>
        </w:rPr>
        <w:t xml:space="preserve">the faults imputed to </w:t>
      </w:r>
      <w:r w:rsidRPr="009A1394">
        <w:rPr>
          <w:lang w:val="en-CA"/>
        </w:rPr>
        <w:t>CP</w:t>
      </w:r>
      <w:r w:rsidR="003351FB" w:rsidRPr="009A1394">
        <w:rPr>
          <w:lang w:val="en-CA"/>
        </w:rPr>
        <w:t xml:space="preserve"> </w:t>
      </w:r>
      <w:r w:rsidRPr="009A1394">
        <w:rPr>
          <w:lang w:val="en-CA"/>
        </w:rPr>
        <w:t xml:space="preserve">and the </w:t>
      </w:r>
      <w:r w:rsidR="003351FB" w:rsidRPr="009A1394">
        <w:rPr>
          <w:lang w:val="en-CA"/>
        </w:rPr>
        <w:t>injury</w:t>
      </w:r>
      <w:r w:rsidRPr="009A1394">
        <w:rPr>
          <w:lang w:val="en-CA"/>
        </w:rPr>
        <w:t xml:space="preserve"> suffered.</w:t>
      </w:r>
    </w:p>
    <w:p w14:paraId="01443359" w14:textId="45B3734A" w:rsidR="00702A59" w:rsidRPr="009A1394" w:rsidRDefault="007F0B03" w:rsidP="00B84769">
      <w:pPr>
        <w:pStyle w:val="Paragraphe"/>
        <w:numPr>
          <w:ilvl w:val="0"/>
          <w:numId w:val="1"/>
        </w:numPr>
        <w:rPr>
          <w:lang w:val="en-CA"/>
        </w:rPr>
      </w:pPr>
      <w:r w:rsidRPr="009A1394">
        <w:rPr>
          <w:lang w:val="en-CA"/>
        </w:rPr>
        <w:t>The crux of his reasoning is found in these few paragraphs:</w:t>
      </w:r>
    </w:p>
    <w:p w14:paraId="39E8E1C9" w14:textId="5EA44DF7" w:rsidR="0090176F" w:rsidRPr="009A1394" w:rsidRDefault="0090176F" w:rsidP="00B84769">
      <w:pPr>
        <w:pStyle w:val="Citationenretrait"/>
        <w:rPr>
          <w:lang w:val="en-CA"/>
        </w:rPr>
      </w:pPr>
      <w:r w:rsidRPr="009A1394">
        <w:rPr>
          <w:lang w:val="en-CA"/>
        </w:rPr>
        <w:t>[</w:t>
      </w:r>
      <w:r w:rsidRPr="009A1394">
        <w:rPr>
          <w:smallCaps/>
          <w:lang w:val="en-CA"/>
        </w:rPr>
        <w:t>translation</w:t>
      </w:r>
      <w:r w:rsidRPr="009A1394">
        <w:rPr>
          <w:lang w:val="en-CA"/>
        </w:rPr>
        <w:t>]</w:t>
      </w:r>
    </w:p>
    <w:p w14:paraId="30728A4A" w14:textId="5C1B5034" w:rsidR="00702A59" w:rsidRPr="009A1394" w:rsidRDefault="007F0B03" w:rsidP="00B84769">
      <w:pPr>
        <w:pStyle w:val="Citationenretrait"/>
        <w:rPr>
          <w:lang w:val="en-CA"/>
        </w:rPr>
      </w:pPr>
      <w:r w:rsidRPr="009A1394">
        <w:rPr>
          <w:lang w:val="en-CA"/>
        </w:rPr>
        <w:t>[834]</w:t>
      </w:r>
      <w:r w:rsidR="008161A3" w:rsidRPr="009A1394">
        <w:rPr>
          <w:lang w:val="en-CA"/>
        </w:rPr>
        <w:tab/>
      </w:r>
      <w:r w:rsidR="00A84E96" w:rsidRPr="009A1394">
        <w:rPr>
          <w:lang w:val="en-CA"/>
        </w:rPr>
        <w:t>On this whole aspect of causa</w:t>
      </w:r>
      <w:r w:rsidR="0090176F" w:rsidRPr="009A1394">
        <w:rPr>
          <w:lang w:val="en-CA"/>
        </w:rPr>
        <w:t>tion</w:t>
      </w:r>
      <w:r w:rsidR="00A84E96" w:rsidRPr="009A1394">
        <w:rPr>
          <w:lang w:val="en-CA"/>
        </w:rPr>
        <w:t xml:space="preserve"> and the impact </w:t>
      </w:r>
      <w:r w:rsidR="00EA15F7" w:rsidRPr="009A1394">
        <w:rPr>
          <w:lang w:val="en-CA"/>
        </w:rPr>
        <w:t>that</w:t>
      </w:r>
      <w:r w:rsidR="0090176F" w:rsidRPr="009A1394">
        <w:rPr>
          <w:lang w:val="en-CA"/>
        </w:rPr>
        <w:t xml:space="preserve"> the v</w:t>
      </w:r>
      <w:r w:rsidR="00A84E96" w:rsidRPr="009A1394">
        <w:rPr>
          <w:lang w:val="en-CA"/>
        </w:rPr>
        <w:t>arious faults, breaches</w:t>
      </w:r>
      <w:r w:rsidR="00F66B8F" w:rsidRPr="009A1394">
        <w:rPr>
          <w:lang w:val="en-CA"/>
        </w:rPr>
        <w:t xml:space="preserve"> </w:t>
      </w:r>
      <w:r w:rsidR="00A84E96" w:rsidRPr="009A1394">
        <w:rPr>
          <w:lang w:val="en-CA"/>
        </w:rPr>
        <w:t xml:space="preserve">or </w:t>
      </w:r>
      <w:r w:rsidR="00EA15F7" w:rsidRPr="009A1394">
        <w:rPr>
          <w:lang w:val="en-CA"/>
        </w:rPr>
        <w:t>negl</w:t>
      </w:r>
      <w:r w:rsidR="00F66B8F" w:rsidRPr="009A1394">
        <w:rPr>
          <w:lang w:val="en-CA"/>
        </w:rPr>
        <w:t>igence</w:t>
      </w:r>
      <w:r w:rsidR="00A84E96" w:rsidRPr="009A1394">
        <w:rPr>
          <w:lang w:val="en-CA"/>
        </w:rPr>
        <w:t xml:space="preserve"> </w:t>
      </w:r>
      <w:r w:rsidR="00F66B8F" w:rsidRPr="009A1394">
        <w:rPr>
          <w:lang w:val="en-CA"/>
        </w:rPr>
        <w:t>alleged</w:t>
      </w:r>
      <w:r w:rsidR="0090176F" w:rsidRPr="009A1394">
        <w:rPr>
          <w:lang w:val="en-CA"/>
        </w:rPr>
        <w:t xml:space="preserve"> against</w:t>
      </w:r>
      <w:r w:rsidR="00A84E96" w:rsidRPr="009A1394">
        <w:rPr>
          <w:lang w:val="en-CA"/>
        </w:rPr>
        <w:t xml:space="preserve"> either </w:t>
      </w:r>
      <w:r w:rsidR="006455B3" w:rsidRPr="009A1394">
        <w:rPr>
          <w:lang w:val="en-CA"/>
        </w:rPr>
        <w:t>party</w:t>
      </w:r>
      <w:r w:rsidR="00A84E96" w:rsidRPr="009A1394">
        <w:rPr>
          <w:lang w:val="en-CA"/>
        </w:rPr>
        <w:t xml:space="preserve"> at trial</w:t>
      </w:r>
      <w:r w:rsidR="00EA15F7" w:rsidRPr="009A1394">
        <w:rPr>
          <w:lang w:val="en-CA"/>
        </w:rPr>
        <w:t xml:space="preserve"> </w:t>
      </w:r>
      <w:r w:rsidR="00F66B8F" w:rsidRPr="009A1394">
        <w:rPr>
          <w:lang w:val="en-CA"/>
        </w:rPr>
        <w:t>may</w:t>
      </w:r>
      <w:r w:rsidR="00EA15F7" w:rsidRPr="009A1394">
        <w:rPr>
          <w:lang w:val="en-CA"/>
        </w:rPr>
        <w:t xml:space="preserve"> have had</w:t>
      </w:r>
      <w:r w:rsidR="00A84E96" w:rsidRPr="009A1394">
        <w:rPr>
          <w:lang w:val="en-CA"/>
        </w:rPr>
        <w:t xml:space="preserve">, the Court considers and </w:t>
      </w:r>
      <w:r w:rsidR="00DD3866" w:rsidRPr="009A1394">
        <w:rPr>
          <w:lang w:val="en-CA"/>
        </w:rPr>
        <w:t xml:space="preserve">finds </w:t>
      </w:r>
      <w:r w:rsidR="00A84E96" w:rsidRPr="009A1394">
        <w:rPr>
          <w:lang w:val="en-CA"/>
        </w:rPr>
        <w:t>that ultimately, the only logical,</w:t>
      </w:r>
      <w:r w:rsidR="00EA15F7" w:rsidRPr="009A1394">
        <w:rPr>
          <w:lang w:val="en-CA"/>
        </w:rPr>
        <w:t xml:space="preserve"> direct and</w:t>
      </w:r>
      <w:r w:rsidR="00A84E96" w:rsidRPr="009A1394">
        <w:rPr>
          <w:lang w:val="en-CA"/>
        </w:rPr>
        <w:t xml:space="preserve"> immediate cause of </w:t>
      </w:r>
      <w:r w:rsidR="00EA15F7" w:rsidRPr="009A1394">
        <w:rPr>
          <w:lang w:val="en-CA"/>
        </w:rPr>
        <w:t xml:space="preserve">the derailment of </w:t>
      </w:r>
      <w:r w:rsidR="00A84E96" w:rsidRPr="009A1394">
        <w:rPr>
          <w:lang w:val="en-CA"/>
        </w:rPr>
        <w:t>train MMA-002, and consequently of the i</w:t>
      </w:r>
      <w:r w:rsidR="00EA15F7" w:rsidRPr="009A1394">
        <w:rPr>
          <w:lang w:val="en-CA"/>
        </w:rPr>
        <w:t>mmeasurable</w:t>
      </w:r>
      <w:r w:rsidR="00A84E96" w:rsidRPr="009A1394">
        <w:rPr>
          <w:lang w:val="en-CA"/>
        </w:rPr>
        <w:t xml:space="preserve"> damage arising therefrom, can be found in the faults of its locomotive engineer</w:t>
      </w:r>
      <w:r w:rsidR="00DA6F16" w:rsidRPr="009A1394">
        <w:rPr>
          <w:lang w:val="en-CA"/>
        </w:rPr>
        <w:t>,</w:t>
      </w:r>
      <w:r w:rsidR="00A84E96" w:rsidRPr="009A1394">
        <w:rPr>
          <w:lang w:val="en-CA"/>
        </w:rPr>
        <w:t xml:space="preserve"> Thomas Harding</w:t>
      </w:r>
      <w:r w:rsidR="00DA6F16" w:rsidRPr="009A1394">
        <w:rPr>
          <w:lang w:val="en-CA"/>
        </w:rPr>
        <w:t>,</w:t>
      </w:r>
      <w:r w:rsidR="00A84E96" w:rsidRPr="009A1394">
        <w:rPr>
          <w:lang w:val="en-CA"/>
        </w:rPr>
        <w:t xml:space="preserve"> and </w:t>
      </w:r>
      <w:r w:rsidR="00DA6F16" w:rsidRPr="009A1394">
        <w:rPr>
          <w:lang w:val="en-CA"/>
        </w:rPr>
        <w:t xml:space="preserve">the latter’s </w:t>
      </w:r>
      <w:r w:rsidR="006455B3" w:rsidRPr="009A1394">
        <w:rPr>
          <w:lang w:val="en-CA"/>
        </w:rPr>
        <w:t>employers</w:t>
      </w:r>
      <w:r w:rsidR="00DA6F16" w:rsidRPr="009A1394">
        <w:rPr>
          <w:lang w:val="en-CA"/>
        </w:rPr>
        <w:t>,</w:t>
      </w:r>
      <w:r w:rsidR="00A84E96" w:rsidRPr="009A1394">
        <w:rPr>
          <w:lang w:val="en-CA"/>
        </w:rPr>
        <w:t xml:space="preserve"> MMA.</w:t>
      </w:r>
    </w:p>
    <w:p w14:paraId="35301220" w14:textId="08FE2E0E" w:rsidR="00702A59" w:rsidRPr="009A1394" w:rsidRDefault="00A84E96" w:rsidP="00B84769">
      <w:pPr>
        <w:pStyle w:val="Citationenretrait"/>
        <w:rPr>
          <w:lang w:val="en-CA"/>
        </w:rPr>
      </w:pPr>
      <w:r w:rsidRPr="009A1394">
        <w:rPr>
          <w:lang w:val="en-CA"/>
        </w:rPr>
        <w:lastRenderedPageBreak/>
        <w:t xml:space="preserve">[835] </w:t>
      </w:r>
      <w:r w:rsidR="008161A3" w:rsidRPr="009A1394">
        <w:rPr>
          <w:lang w:val="en-CA"/>
        </w:rPr>
        <w:tab/>
      </w:r>
      <w:r w:rsidR="00D13878" w:rsidRPr="009A1394">
        <w:rPr>
          <w:lang w:val="en-CA"/>
        </w:rPr>
        <w:t xml:space="preserve">The other </w:t>
      </w:r>
      <w:r w:rsidR="00DF3C2E" w:rsidRPr="009A1394">
        <w:rPr>
          <w:lang w:val="en-CA"/>
        </w:rPr>
        <w:t>things that</w:t>
      </w:r>
      <w:r w:rsidRPr="009A1394">
        <w:rPr>
          <w:lang w:val="en-CA"/>
        </w:rPr>
        <w:t xml:space="preserve"> WFS, IOL, TC, and CP</w:t>
      </w:r>
      <w:r w:rsidR="00DF3C2E" w:rsidRPr="009A1394">
        <w:rPr>
          <w:lang w:val="en-CA"/>
        </w:rPr>
        <w:t xml:space="preserve"> were criticized for</w:t>
      </w:r>
      <w:r w:rsidRPr="009A1394">
        <w:rPr>
          <w:lang w:val="en-CA"/>
        </w:rPr>
        <w:t xml:space="preserve">, whether or not they are accepted and considered by the Court </w:t>
      </w:r>
      <w:r w:rsidR="00090882" w:rsidRPr="009A1394">
        <w:rPr>
          <w:lang w:val="en-CA"/>
        </w:rPr>
        <w:t>to be</w:t>
      </w:r>
      <w:r w:rsidRPr="009A1394">
        <w:rPr>
          <w:lang w:val="en-CA"/>
        </w:rPr>
        <w:t xml:space="preserve"> </w:t>
      </w:r>
      <w:r w:rsidR="00090882" w:rsidRPr="009A1394">
        <w:rPr>
          <w:lang w:val="en-CA"/>
        </w:rPr>
        <w:t>genuine</w:t>
      </w:r>
      <w:r w:rsidRPr="009A1394">
        <w:rPr>
          <w:lang w:val="en-CA"/>
        </w:rPr>
        <w:t xml:space="preserve"> faults, </w:t>
      </w:r>
      <w:r w:rsidR="00DF3C2E" w:rsidRPr="009A1394">
        <w:rPr>
          <w:lang w:val="en-CA"/>
        </w:rPr>
        <w:t>we</w:t>
      </w:r>
      <w:r w:rsidR="00090882" w:rsidRPr="009A1394">
        <w:rPr>
          <w:lang w:val="en-CA"/>
        </w:rPr>
        <w:t>re merely</w:t>
      </w:r>
      <w:r w:rsidRPr="009A1394">
        <w:rPr>
          <w:lang w:val="en-CA"/>
        </w:rPr>
        <w:t xml:space="preserve"> </w:t>
      </w:r>
      <w:r w:rsidR="00CD40F1" w:rsidRPr="009A1394">
        <w:rPr>
          <w:lang w:val="en-CA"/>
        </w:rPr>
        <w:t>the occasion of</w:t>
      </w:r>
      <w:r w:rsidRPr="009A1394">
        <w:rPr>
          <w:lang w:val="en-CA"/>
        </w:rPr>
        <w:t xml:space="preserve"> this tragedy or </w:t>
      </w:r>
      <w:r w:rsidR="00DF3C2E" w:rsidRPr="009A1394">
        <w:rPr>
          <w:lang w:val="en-CA"/>
        </w:rPr>
        <w:t>we</w:t>
      </w:r>
      <w:r w:rsidRPr="009A1394">
        <w:rPr>
          <w:lang w:val="en-CA"/>
        </w:rPr>
        <w:t xml:space="preserve">re part of </w:t>
      </w:r>
      <w:r w:rsidR="00C7071F" w:rsidRPr="009A1394">
        <w:rPr>
          <w:lang w:val="en-CA"/>
        </w:rPr>
        <w:t xml:space="preserve">the </w:t>
      </w:r>
      <w:r w:rsidRPr="009A1394">
        <w:rPr>
          <w:lang w:val="en-CA"/>
        </w:rPr>
        <w:t xml:space="preserve">circumstances that </w:t>
      </w:r>
      <w:r w:rsidR="00D06AC8" w:rsidRPr="009A1394">
        <w:rPr>
          <w:lang w:val="en-CA"/>
        </w:rPr>
        <w:t>we</w:t>
      </w:r>
      <w:r w:rsidRPr="009A1394">
        <w:rPr>
          <w:lang w:val="en-CA"/>
        </w:rPr>
        <w:t>re not the direct cause of the accident.</w:t>
      </w:r>
    </w:p>
    <w:p w14:paraId="1034216B" w14:textId="48D0A049" w:rsidR="00702A59" w:rsidRPr="009A1394" w:rsidRDefault="00027A3C" w:rsidP="00B84769">
      <w:pPr>
        <w:pStyle w:val="Citationenretrait"/>
        <w:rPr>
          <w:lang w:val="en-CA"/>
        </w:rPr>
      </w:pPr>
      <w:r w:rsidRPr="009A1394">
        <w:rPr>
          <w:lang w:val="en-CA"/>
        </w:rPr>
        <w:t>...</w:t>
      </w:r>
    </w:p>
    <w:p w14:paraId="0E0F1DD0" w14:textId="1938CB9B" w:rsidR="00702A59" w:rsidRPr="009A1394" w:rsidRDefault="00A84E96" w:rsidP="00B84769">
      <w:pPr>
        <w:pStyle w:val="Citationenretrait"/>
        <w:rPr>
          <w:lang w:val="en-CA"/>
        </w:rPr>
      </w:pPr>
      <w:r w:rsidRPr="009A1394">
        <w:rPr>
          <w:lang w:val="en-CA"/>
        </w:rPr>
        <w:t>[837]</w:t>
      </w:r>
      <w:r w:rsidR="008161A3" w:rsidRPr="009A1394">
        <w:rPr>
          <w:lang w:val="en-CA"/>
        </w:rPr>
        <w:tab/>
      </w:r>
      <w:r w:rsidRPr="009A1394">
        <w:rPr>
          <w:lang w:val="en-CA"/>
        </w:rPr>
        <w:t xml:space="preserve">The Court considers that all the </w:t>
      </w:r>
      <w:r w:rsidR="0091250B" w:rsidRPr="009A1394">
        <w:rPr>
          <w:lang w:val="en-CA"/>
        </w:rPr>
        <w:t>following</w:t>
      </w:r>
      <w:r w:rsidRPr="009A1394">
        <w:rPr>
          <w:lang w:val="en-CA"/>
        </w:rPr>
        <w:t xml:space="preserve"> elements, whether analyzed individually or </w:t>
      </w:r>
      <w:r w:rsidR="00363CEE" w:rsidRPr="009A1394">
        <w:rPr>
          <w:lang w:val="en-CA"/>
        </w:rPr>
        <w:t>as a whole</w:t>
      </w:r>
      <w:r w:rsidRPr="009A1394">
        <w:rPr>
          <w:lang w:val="en-CA"/>
        </w:rPr>
        <w:t xml:space="preserve">, cannot be considered </w:t>
      </w:r>
      <w:r w:rsidR="00363CEE" w:rsidRPr="009A1394">
        <w:rPr>
          <w:lang w:val="en-CA"/>
        </w:rPr>
        <w:t>to be</w:t>
      </w:r>
      <w:r w:rsidRPr="009A1394">
        <w:rPr>
          <w:lang w:val="en-CA"/>
        </w:rPr>
        <w:t xml:space="preserve"> the real cause of </w:t>
      </w:r>
      <w:r w:rsidR="0091250B" w:rsidRPr="009A1394">
        <w:rPr>
          <w:lang w:val="en-CA"/>
        </w:rPr>
        <w:t>the</w:t>
      </w:r>
      <w:r w:rsidRPr="009A1394">
        <w:rPr>
          <w:lang w:val="en-CA"/>
        </w:rPr>
        <w:t xml:space="preserve"> accident and the resulting </w:t>
      </w:r>
      <w:r w:rsidR="00363CEE" w:rsidRPr="009A1394">
        <w:rPr>
          <w:lang w:val="en-CA"/>
        </w:rPr>
        <w:t>injuries</w:t>
      </w:r>
      <w:r w:rsidRPr="009A1394">
        <w:rPr>
          <w:lang w:val="en-CA"/>
        </w:rPr>
        <w:t>.</w:t>
      </w:r>
      <w:r w:rsidR="008161A3" w:rsidRPr="009A1394">
        <w:rPr>
          <w:lang w:val="en-CA"/>
        </w:rPr>
        <w:t xml:space="preserve"> </w:t>
      </w:r>
      <w:r w:rsidRPr="009A1394">
        <w:rPr>
          <w:lang w:val="en-CA"/>
        </w:rPr>
        <w:t xml:space="preserve">Rather, they are </w:t>
      </w:r>
      <w:r w:rsidR="00F81EE4" w:rsidRPr="009A1394">
        <w:rPr>
          <w:lang w:val="en-CA"/>
        </w:rPr>
        <w:t>circumstance</w:t>
      </w:r>
      <w:r w:rsidR="00363CEE" w:rsidRPr="009A1394">
        <w:rPr>
          <w:lang w:val="en-CA"/>
        </w:rPr>
        <w:t>s</w:t>
      </w:r>
      <w:r w:rsidR="00F81EE4" w:rsidRPr="009A1394">
        <w:rPr>
          <w:lang w:val="en-CA"/>
        </w:rPr>
        <w:t xml:space="preserve"> or occasion</w:t>
      </w:r>
      <w:r w:rsidR="00363CEE" w:rsidRPr="009A1394">
        <w:rPr>
          <w:lang w:val="en-CA"/>
        </w:rPr>
        <w:t>s having</w:t>
      </w:r>
      <w:r w:rsidRPr="009A1394">
        <w:rPr>
          <w:lang w:val="en-CA"/>
        </w:rPr>
        <w:t xml:space="preserve"> no direct and immediate connection to the accident.</w:t>
      </w:r>
      <w:r w:rsidR="008161A3" w:rsidRPr="009A1394">
        <w:rPr>
          <w:lang w:val="en-CA"/>
        </w:rPr>
        <w:t xml:space="preserve"> </w:t>
      </w:r>
      <w:r w:rsidR="003B7FEC" w:rsidRPr="009A1394">
        <w:rPr>
          <w:lang w:val="en-CA"/>
        </w:rPr>
        <w:t>While they may be negligent actions or inappropriate</w:t>
      </w:r>
      <w:r w:rsidR="0091250B" w:rsidRPr="009A1394">
        <w:rPr>
          <w:lang w:val="en-CA"/>
        </w:rPr>
        <w:t xml:space="preserve"> </w:t>
      </w:r>
      <w:r w:rsidR="003B7FEC" w:rsidRPr="009A1394">
        <w:rPr>
          <w:lang w:val="en-CA"/>
        </w:rPr>
        <w:t xml:space="preserve">or </w:t>
      </w:r>
      <w:r w:rsidR="00B27CEF" w:rsidRPr="009A1394">
        <w:rPr>
          <w:lang w:val="en-CA"/>
        </w:rPr>
        <w:t>wrongful</w:t>
      </w:r>
      <w:r w:rsidR="003B7FEC" w:rsidRPr="009A1394">
        <w:rPr>
          <w:lang w:val="en-CA"/>
        </w:rPr>
        <w:t xml:space="preserve"> </w:t>
      </w:r>
      <w:r w:rsidR="0091250B" w:rsidRPr="009A1394">
        <w:rPr>
          <w:lang w:val="en-CA"/>
        </w:rPr>
        <w:t>behaviours</w:t>
      </w:r>
      <w:r w:rsidR="003B7FEC" w:rsidRPr="009A1394">
        <w:rPr>
          <w:lang w:val="en-CA"/>
        </w:rPr>
        <w:t>, these elements are absolutely not the cause of the derailment.</w:t>
      </w:r>
    </w:p>
    <w:p w14:paraId="74F762DE" w14:textId="17CA6C29" w:rsidR="00702A59" w:rsidRPr="009A1394" w:rsidRDefault="003B7FEC" w:rsidP="00B84769">
      <w:pPr>
        <w:pStyle w:val="Citationenretrait"/>
        <w:rPr>
          <w:lang w:val="en-CA" w:eastAsia="fr-CA"/>
        </w:rPr>
      </w:pPr>
      <w:r w:rsidRPr="009A1394">
        <w:rPr>
          <w:lang w:val="en-CA" w:eastAsia="fr-CA"/>
        </w:rPr>
        <w:t>[838]</w:t>
      </w:r>
      <w:r w:rsidR="008161A3" w:rsidRPr="009A1394">
        <w:rPr>
          <w:lang w:val="en-CA" w:eastAsia="fr-CA"/>
        </w:rPr>
        <w:tab/>
      </w:r>
      <w:r w:rsidRPr="009A1394">
        <w:rPr>
          <w:lang w:val="en-CA" w:eastAsia="fr-CA"/>
        </w:rPr>
        <w:t xml:space="preserve">The Court </w:t>
      </w:r>
      <w:r w:rsidR="00792423" w:rsidRPr="009A1394">
        <w:rPr>
          <w:lang w:val="en-CA" w:eastAsia="fr-CA"/>
        </w:rPr>
        <w:t>is referring</w:t>
      </w:r>
      <w:r w:rsidR="00F07296" w:rsidRPr="009A1394">
        <w:rPr>
          <w:lang w:val="en-CA" w:eastAsia="fr-CA"/>
        </w:rPr>
        <w:t xml:space="preserve"> here</w:t>
      </w:r>
      <w:r w:rsidR="00792423" w:rsidRPr="009A1394">
        <w:rPr>
          <w:lang w:val="en-CA" w:eastAsia="fr-CA"/>
        </w:rPr>
        <w:t xml:space="preserve"> </w:t>
      </w:r>
      <w:r w:rsidRPr="009A1394">
        <w:rPr>
          <w:lang w:val="en-CA" w:eastAsia="fr-CA"/>
        </w:rPr>
        <w:t xml:space="preserve">to the </w:t>
      </w:r>
      <w:r w:rsidR="002D3287" w:rsidRPr="009A1394">
        <w:rPr>
          <w:lang w:val="en-CA" w:eastAsia="fr-CA"/>
        </w:rPr>
        <w:t>condition</w:t>
      </w:r>
      <w:r w:rsidRPr="009A1394">
        <w:rPr>
          <w:lang w:val="en-CA" w:eastAsia="fr-CA"/>
        </w:rPr>
        <w:t xml:space="preserve"> of MMA’s tracks </w:t>
      </w:r>
      <w:r w:rsidR="0091250B" w:rsidRPr="009A1394">
        <w:rPr>
          <w:lang w:val="en-CA" w:eastAsia="fr-CA"/>
        </w:rPr>
        <w:t>and</w:t>
      </w:r>
      <w:r w:rsidRPr="009A1394">
        <w:rPr>
          <w:lang w:val="en-CA" w:eastAsia="fr-CA"/>
        </w:rPr>
        <w:t xml:space="preserve"> the speed restrictions that appl</w:t>
      </w:r>
      <w:r w:rsidR="002D3287" w:rsidRPr="009A1394">
        <w:rPr>
          <w:lang w:val="en-CA" w:eastAsia="fr-CA"/>
        </w:rPr>
        <w:t>ied</w:t>
      </w:r>
      <w:r w:rsidRPr="009A1394">
        <w:rPr>
          <w:lang w:val="en-CA" w:eastAsia="fr-CA"/>
        </w:rPr>
        <w:t xml:space="preserve"> </w:t>
      </w:r>
      <w:r w:rsidR="004B353B" w:rsidRPr="009A1394">
        <w:rPr>
          <w:lang w:val="en-CA" w:eastAsia="fr-CA"/>
        </w:rPr>
        <w:t>thereto</w:t>
      </w:r>
      <w:r w:rsidRPr="009A1394">
        <w:rPr>
          <w:lang w:val="en-CA" w:eastAsia="fr-CA"/>
        </w:rPr>
        <w:t>.</w:t>
      </w:r>
      <w:r w:rsidR="008161A3" w:rsidRPr="009A1394">
        <w:rPr>
          <w:lang w:val="en-CA" w:eastAsia="fr-CA"/>
        </w:rPr>
        <w:t xml:space="preserve"> </w:t>
      </w:r>
      <w:r w:rsidR="004B353B" w:rsidRPr="009A1394">
        <w:rPr>
          <w:lang w:val="en-CA" w:eastAsia="fr-CA"/>
        </w:rPr>
        <w:t xml:space="preserve">There is also </w:t>
      </w:r>
      <w:r w:rsidR="00F07296" w:rsidRPr="009A1394">
        <w:rPr>
          <w:lang w:val="en-CA" w:eastAsia="fr-CA"/>
        </w:rPr>
        <w:t>the</w:t>
      </w:r>
      <w:r w:rsidRPr="009A1394">
        <w:rPr>
          <w:lang w:val="en-CA" w:eastAsia="fr-CA"/>
        </w:rPr>
        <w:t xml:space="preserve"> fact that there </w:t>
      </w:r>
      <w:r w:rsidR="004B353B" w:rsidRPr="009A1394">
        <w:rPr>
          <w:lang w:val="en-CA" w:eastAsia="fr-CA"/>
        </w:rPr>
        <w:t>was</w:t>
      </w:r>
      <w:r w:rsidR="00F07296" w:rsidRPr="009A1394">
        <w:rPr>
          <w:lang w:val="en-CA" w:eastAsia="fr-CA"/>
        </w:rPr>
        <w:t xml:space="preserve"> no signaling along those tracks </w:t>
      </w:r>
      <w:r w:rsidR="002D3287" w:rsidRPr="009A1394">
        <w:rPr>
          <w:lang w:val="en-CA" w:eastAsia="fr-CA"/>
        </w:rPr>
        <w:t>(</w:t>
      </w:r>
      <w:r w:rsidR="00F07296" w:rsidRPr="009A1394">
        <w:rPr>
          <w:lang w:val="en-CA" w:eastAsia="fr-CA"/>
        </w:rPr>
        <w:t xml:space="preserve">so-called dark territory) </w:t>
      </w:r>
      <w:r w:rsidR="004B353B" w:rsidRPr="009A1394">
        <w:rPr>
          <w:lang w:val="en-CA" w:eastAsia="fr-CA"/>
        </w:rPr>
        <w:t>and</w:t>
      </w:r>
      <w:r w:rsidRPr="009A1394">
        <w:rPr>
          <w:lang w:val="en-CA" w:eastAsia="fr-CA"/>
        </w:rPr>
        <w:t xml:space="preserve"> that MMA had difficulties procuring material resources or staff for its operations.</w:t>
      </w:r>
      <w:r w:rsidR="008161A3" w:rsidRPr="009A1394">
        <w:rPr>
          <w:lang w:val="en-CA" w:eastAsia="fr-CA"/>
        </w:rPr>
        <w:t xml:space="preserve"> </w:t>
      </w:r>
      <w:r w:rsidRPr="009A1394">
        <w:rPr>
          <w:lang w:val="en-CA" w:eastAsia="fr-CA"/>
        </w:rPr>
        <w:t xml:space="preserve">The same observations can be made about the criticisms levelled at MMA and the shortcomings in the training of its employees </w:t>
      </w:r>
      <w:r w:rsidR="0091250B" w:rsidRPr="009A1394">
        <w:rPr>
          <w:lang w:val="en-CA" w:eastAsia="fr-CA"/>
        </w:rPr>
        <w:t>because</w:t>
      </w:r>
      <w:r w:rsidRPr="009A1394">
        <w:rPr>
          <w:lang w:val="en-CA" w:eastAsia="fr-CA"/>
        </w:rPr>
        <w:t xml:space="preserve"> Harding acknowledged, </w:t>
      </w:r>
      <w:r w:rsidR="00363CEE" w:rsidRPr="009A1394">
        <w:rPr>
          <w:lang w:val="en-CA" w:eastAsia="fr-CA"/>
        </w:rPr>
        <w:t>in</w:t>
      </w:r>
      <w:r w:rsidRPr="009A1394">
        <w:rPr>
          <w:lang w:val="en-CA" w:eastAsia="fr-CA"/>
        </w:rPr>
        <w:t xml:space="preserve"> his testimony, that </w:t>
      </w:r>
      <w:r w:rsidR="00792423" w:rsidRPr="009A1394">
        <w:rPr>
          <w:lang w:val="en-CA" w:eastAsia="fr-CA"/>
        </w:rPr>
        <w:t xml:space="preserve">he </w:t>
      </w:r>
      <w:r w:rsidRPr="009A1394">
        <w:rPr>
          <w:lang w:val="en-CA" w:eastAsia="fr-CA"/>
        </w:rPr>
        <w:t>knew the rules and had received the appropriate training.</w:t>
      </w:r>
    </w:p>
    <w:p w14:paraId="5198C23A" w14:textId="35F6DB42" w:rsidR="00702A59" w:rsidRPr="009A1394" w:rsidRDefault="003B7FEC" w:rsidP="00B84769">
      <w:pPr>
        <w:pStyle w:val="Citationenretrait"/>
        <w:rPr>
          <w:lang w:val="en-CA" w:eastAsia="fr-CA"/>
        </w:rPr>
      </w:pPr>
      <w:r w:rsidRPr="009A1394">
        <w:rPr>
          <w:lang w:val="en-CA" w:eastAsia="fr-CA"/>
        </w:rPr>
        <w:t>[839]</w:t>
      </w:r>
      <w:r w:rsidR="008161A3" w:rsidRPr="009A1394">
        <w:rPr>
          <w:lang w:val="en-CA" w:eastAsia="fr-CA"/>
        </w:rPr>
        <w:tab/>
      </w:r>
      <w:r w:rsidRPr="009A1394">
        <w:rPr>
          <w:lang w:val="en-CA" w:eastAsia="fr-CA"/>
        </w:rPr>
        <w:t xml:space="preserve">The Court is also of the </w:t>
      </w:r>
      <w:r w:rsidR="00792423" w:rsidRPr="009A1394">
        <w:rPr>
          <w:lang w:val="en-CA" w:eastAsia="fr-CA"/>
        </w:rPr>
        <w:t xml:space="preserve">view </w:t>
      </w:r>
      <w:r w:rsidRPr="009A1394">
        <w:rPr>
          <w:lang w:val="en-CA" w:eastAsia="fr-CA"/>
        </w:rPr>
        <w:t xml:space="preserve">that MMA’s use of a single employee’s services (SPTO) to </w:t>
      </w:r>
      <w:r w:rsidR="00DB1ADE" w:rsidRPr="009A1394">
        <w:rPr>
          <w:lang w:val="en-CA" w:eastAsia="fr-CA"/>
        </w:rPr>
        <w:t xml:space="preserve">operate </w:t>
      </w:r>
      <w:r w:rsidRPr="009A1394">
        <w:rPr>
          <w:lang w:val="en-CA" w:eastAsia="fr-CA"/>
        </w:rPr>
        <w:t>its trains is not a cause, but a circumstance of this accident.</w:t>
      </w:r>
    </w:p>
    <w:p w14:paraId="6C601458" w14:textId="4BA40E60" w:rsidR="00702A59" w:rsidRPr="009A1394" w:rsidRDefault="003B7FEC" w:rsidP="00B84769">
      <w:pPr>
        <w:pStyle w:val="Citationenretrait"/>
        <w:rPr>
          <w:lang w:val="en-CA" w:eastAsia="fr-CA"/>
        </w:rPr>
      </w:pPr>
      <w:r w:rsidRPr="009A1394">
        <w:rPr>
          <w:lang w:val="en-CA" w:eastAsia="fr-CA"/>
        </w:rPr>
        <w:t>[840]</w:t>
      </w:r>
      <w:r w:rsidR="008161A3" w:rsidRPr="009A1394">
        <w:rPr>
          <w:lang w:val="en-CA" w:eastAsia="fr-CA"/>
        </w:rPr>
        <w:tab/>
      </w:r>
      <w:r w:rsidR="00D06AC8" w:rsidRPr="009A1394">
        <w:rPr>
          <w:lang w:val="en-CA" w:eastAsia="fr-CA"/>
        </w:rPr>
        <w:t>Further</w:t>
      </w:r>
      <w:r w:rsidRPr="009A1394">
        <w:rPr>
          <w:lang w:val="en-CA" w:eastAsia="fr-CA"/>
        </w:rPr>
        <w:t>more, the problems related to the age or maintenance of the equipment used by MMA, while they are part of the circumstances or conditions related to the accident, are not elements that might be considered as its cause.</w:t>
      </w:r>
    </w:p>
    <w:p w14:paraId="3CF955AD" w14:textId="291EF634" w:rsidR="00702A59" w:rsidRPr="009A1394" w:rsidRDefault="003B7FEC" w:rsidP="00B84769">
      <w:pPr>
        <w:pStyle w:val="Citationenretrait"/>
        <w:rPr>
          <w:lang w:val="en-CA" w:eastAsia="fr-CA"/>
        </w:rPr>
      </w:pPr>
      <w:r w:rsidRPr="009A1394">
        <w:rPr>
          <w:lang w:val="en-CA" w:eastAsia="fr-CA"/>
        </w:rPr>
        <w:t>[841]</w:t>
      </w:r>
      <w:r w:rsidR="008161A3" w:rsidRPr="009A1394">
        <w:rPr>
          <w:lang w:val="en-CA" w:eastAsia="fr-CA"/>
        </w:rPr>
        <w:tab/>
      </w:r>
      <w:r w:rsidR="00D06AC8" w:rsidRPr="009A1394">
        <w:rPr>
          <w:lang w:val="en-CA" w:eastAsia="fr-CA"/>
        </w:rPr>
        <w:t>In addition</w:t>
      </w:r>
      <w:r w:rsidRPr="009A1394">
        <w:rPr>
          <w:lang w:val="en-CA" w:eastAsia="fr-CA"/>
        </w:rPr>
        <w:t xml:space="preserve">, everything </w:t>
      </w:r>
      <w:r w:rsidR="007F531E" w:rsidRPr="009A1394">
        <w:rPr>
          <w:lang w:val="en-CA" w:eastAsia="fr-CA"/>
        </w:rPr>
        <w:t>having to do with</w:t>
      </w:r>
      <w:r w:rsidRPr="009A1394">
        <w:rPr>
          <w:lang w:val="en-CA" w:eastAsia="fr-CA"/>
        </w:rPr>
        <w:t xml:space="preserve"> the type of tank car used, the classification and </w:t>
      </w:r>
      <w:r w:rsidR="007F531E" w:rsidRPr="009A1394">
        <w:rPr>
          <w:lang w:val="en-CA" w:eastAsia="fr-CA"/>
        </w:rPr>
        <w:t xml:space="preserve">the </w:t>
      </w:r>
      <w:r w:rsidRPr="009A1394">
        <w:rPr>
          <w:lang w:val="en-CA" w:eastAsia="fr-CA"/>
        </w:rPr>
        <w:t>packing group</w:t>
      </w:r>
      <w:r w:rsidR="00DD3866" w:rsidRPr="009A1394">
        <w:rPr>
          <w:lang w:val="en-CA" w:eastAsia="fr-CA"/>
        </w:rPr>
        <w:t xml:space="preserve"> erroneously</w:t>
      </w:r>
      <w:r w:rsidRPr="009A1394">
        <w:rPr>
          <w:lang w:val="en-CA" w:eastAsia="fr-CA"/>
        </w:rPr>
        <w:t xml:space="preserve"> used for the crude oil </w:t>
      </w:r>
      <w:r w:rsidR="007F531E" w:rsidRPr="009A1394">
        <w:rPr>
          <w:lang w:val="en-CA" w:eastAsia="fr-CA"/>
        </w:rPr>
        <w:t>we</w:t>
      </w:r>
      <w:r w:rsidRPr="009A1394">
        <w:rPr>
          <w:lang w:val="en-CA" w:eastAsia="fr-CA"/>
        </w:rPr>
        <w:t xml:space="preserve">re also </w:t>
      </w:r>
      <w:r w:rsidR="0091250B" w:rsidRPr="009A1394">
        <w:rPr>
          <w:lang w:val="en-CA" w:eastAsia="fr-CA"/>
        </w:rPr>
        <w:t>circumstantial</w:t>
      </w:r>
      <w:r w:rsidRPr="009A1394">
        <w:rPr>
          <w:lang w:val="en-CA" w:eastAsia="fr-CA"/>
        </w:rPr>
        <w:t xml:space="preserve"> elements that </w:t>
      </w:r>
      <w:r w:rsidR="007F531E" w:rsidRPr="009A1394">
        <w:rPr>
          <w:lang w:val="en-CA" w:eastAsia="fr-CA"/>
        </w:rPr>
        <w:t>we</w:t>
      </w:r>
      <w:r w:rsidRPr="009A1394">
        <w:rPr>
          <w:lang w:val="en-CA" w:eastAsia="fr-CA"/>
        </w:rPr>
        <w:t xml:space="preserve">re absolutely not </w:t>
      </w:r>
      <w:r w:rsidR="003E0C6D" w:rsidRPr="009A1394">
        <w:rPr>
          <w:lang w:val="en-CA" w:eastAsia="fr-CA"/>
        </w:rPr>
        <w:t>causal</w:t>
      </w:r>
      <w:r w:rsidRPr="009A1394">
        <w:rPr>
          <w:lang w:val="en-CA" w:eastAsia="fr-CA"/>
        </w:rPr>
        <w:t>.</w:t>
      </w:r>
    </w:p>
    <w:p w14:paraId="4458A24B" w14:textId="3CDC3F82" w:rsidR="00702A59" w:rsidRPr="009A1394" w:rsidRDefault="003B7FEC" w:rsidP="00B84769">
      <w:pPr>
        <w:pStyle w:val="Citationenretrait"/>
        <w:rPr>
          <w:lang w:val="en-CA"/>
        </w:rPr>
      </w:pPr>
      <w:r w:rsidRPr="009A1394">
        <w:rPr>
          <w:lang w:val="en-CA"/>
        </w:rPr>
        <w:t>[842]</w:t>
      </w:r>
      <w:r w:rsidR="008161A3" w:rsidRPr="009A1394">
        <w:rPr>
          <w:lang w:val="en-CA"/>
        </w:rPr>
        <w:tab/>
      </w:r>
      <w:r w:rsidRPr="009A1394">
        <w:rPr>
          <w:lang w:val="en-CA"/>
        </w:rPr>
        <w:t xml:space="preserve">The Court is of the view, however, that </w:t>
      </w:r>
      <w:r w:rsidR="007F531E" w:rsidRPr="009A1394">
        <w:rPr>
          <w:lang w:val="en-CA"/>
        </w:rPr>
        <w:t>certain</w:t>
      </w:r>
      <w:r w:rsidRPr="009A1394">
        <w:rPr>
          <w:lang w:val="en-CA"/>
        </w:rPr>
        <w:t xml:space="preserve"> elements of MMA’s conduct</w:t>
      </w:r>
      <w:r w:rsidR="00DE65FF" w:rsidRPr="009A1394">
        <w:rPr>
          <w:lang w:val="en-CA"/>
        </w:rPr>
        <w:t xml:space="preserve"> constituted</w:t>
      </w:r>
      <w:r w:rsidRPr="009A1394">
        <w:rPr>
          <w:lang w:val="en-CA"/>
        </w:rPr>
        <w:t xml:space="preserve">, </w:t>
      </w:r>
      <w:r w:rsidR="00DE65FF" w:rsidRPr="009A1394">
        <w:rPr>
          <w:lang w:val="en-CA"/>
        </w:rPr>
        <w:t>as did</w:t>
      </w:r>
      <w:r w:rsidRPr="009A1394">
        <w:rPr>
          <w:lang w:val="en-CA"/>
        </w:rPr>
        <w:t xml:space="preserve"> the faults committed by Harding </w:t>
      </w:r>
      <w:r w:rsidR="007F531E" w:rsidRPr="009A1394">
        <w:rPr>
          <w:lang w:val="en-CA"/>
        </w:rPr>
        <w:t xml:space="preserve">and </w:t>
      </w:r>
      <w:r w:rsidRPr="009A1394">
        <w:rPr>
          <w:lang w:val="en-CA"/>
        </w:rPr>
        <w:t>described</w:t>
      </w:r>
      <w:r w:rsidR="00DE65FF" w:rsidRPr="009A1394">
        <w:rPr>
          <w:lang w:val="en-CA"/>
        </w:rPr>
        <w:t xml:space="preserve"> previously</w:t>
      </w:r>
      <w:r w:rsidRPr="009A1394">
        <w:rPr>
          <w:lang w:val="en-CA"/>
        </w:rPr>
        <w:t>, wrongful acts that ha</w:t>
      </w:r>
      <w:r w:rsidR="007F531E" w:rsidRPr="009A1394">
        <w:rPr>
          <w:lang w:val="en-CA"/>
        </w:rPr>
        <w:t>d</w:t>
      </w:r>
      <w:r w:rsidRPr="009A1394">
        <w:rPr>
          <w:lang w:val="en-CA"/>
        </w:rPr>
        <w:t xml:space="preserve"> a direct </w:t>
      </w:r>
      <w:r w:rsidR="0091250B" w:rsidRPr="009A1394">
        <w:rPr>
          <w:lang w:val="en-CA"/>
        </w:rPr>
        <w:t>and</w:t>
      </w:r>
      <w:r w:rsidRPr="009A1394">
        <w:rPr>
          <w:lang w:val="en-CA"/>
        </w:rPr>
        <w:t xml:space="preserve"> immediate impact on the accident.</w:t>
      </w:r>
      <w:r w:rsidR="008161A3" w:rsidRPr="009A1394">
        <w:rPr>
          <w:lang w:val="en-CA"/>
        </w:rPr>
        <w:t xml:space="preserve"> </w:t>
      </w:r>
      <w:r w:rsidR="00DE65FF" w:rsidRPr="009A1394">
        <w:rPr>
          <w:lang w:val="en-CA"/>
        </w:rPr>
        <w:t xml:space="preserve">This included </w:t>
      </w:r>
      <w:r w:rsidRPr="009A1394">
        <w:rPr>
          <w:lang w:val="en-CA"/>
        </w:rPr>
        <w:t>MMA’s failure to implement additional and appropriate safety measures to ensure that</w:t>
      </w:r>
      <w:r w:rsidR="00B92982" w:rsidRPr="009A1394">
        <w:rPr>
          <w:lang w:val="en-CA"/>
        </w:rPr>
        <w:t xml:space="preserve"> the train would remain secured</w:t>
      </w:r>
      <w:r w:rsidRPr="009A1394">
        <w:rPr>
          <w:lang w:val="en-CA"/>
        </w:rPr>
        <w:t xml:space="preserve"> in the event of human error committed by the sole employee</w:t>
      </w:r>
      <w:r w:rsidR="0091250B" w:rsidRPr="009A1394">
        <w:rPr>
          <w:lang w:val="en-CA"/>
        </w:rPr>
        <w:t xml:space="preserve"> </w:t>
      </w:r>
      <w:r w:rsidR="003E0C6D" w:rsidRPr="009A1394">
        <w:rPr>
          <w:lang w:val="en-CA"/>
        </w:rPr>
        <w:t>on duty</w:t>
      </w:r>
      <w:r w:rsidRPr="009A1394">
        <w:rPr>
          <w:lang w:val="en-CA"/>
        </w:rPr>
        <w:t xml:space="preserve"> when</w:t>
      </w:r>
      <w:r w:rsidR="0091250B" w:rsidRPr="009A1394">
        <w:rPr>
          <w:lang w:val="en-CA"/>
        </w:rPr>
        <w:t xml:space="preserve"> performing the</w:t>
      </w:r>
      <w:r w:rsidRPr="009A1394">
        <w:rPr>
          <w:lang w:val="en-CA"/>
        </w:rPr>
        <w:t xml:space="preserve"> </w:t>
      </w:r>
      <w:r w:rsidR="00B92982" w:rsidRPr="009A1394">
        <w:rPr>
          <w:lang w:val="en-CA"/>
        </w:rPr>
        <w:t>procedure</w:t>
      </w:r>
      <w:r w:rsidR="0079080E" w:rsidRPr="009A1394">
        <w:rPr>
          <w:lang w:val="en-CA"/>
        </w:rPr>
        <w:t>s</w:t>
      </w:r>
      <w:r w:rsidR="00B92982" w:rsidRPr="009A1394">
        <w:rPr>
          <w:lang w:val="en-CA"/>
        </w:rPr>
        <w:t xml:space="preserve"> </w:t>
      </w:r>
      <w:r w:rsidR="0079080E" w:rsidRPr="009A1394">
        <w:rPr>
          <w:lang w:val="en-CA"/>
        </w:rPr>
        <w:t xml:space="preserve">of </w:t>
      </w:r>
      <w:r w:rsidRPr="009A1394">
        <w:rPr>
          <w:lang w:val="en-CA"/>
        </w:rPr>
        <w:t xml:space="preserve">parking and </w:t>
      </w:r>
      <w:r w:rsidR="0091250B" w:rsidRPr="009A1394">
        <w:rPr>
          <w:lang w:val="en-CA"/>
        </w:rPr>
        <w:t>securing</w:t>
      </w:r>
      <w:r w:rsidRPr="009A1394">
        <w:rPr>
          <w:lang w:val="en-CA"/>
        </w:rPr>
        <w:t xml:space="preserve"> </w:t>
      </w:r>
      <w:r w:rsidR="0091250B" w:rsidRPr="009A1394">
        <w:rPr>
          <w:lang w:val="en-CA"/>
        </w:rPr>
        <w:t>the train</w:t>
      </w:r>
      <w:r w:rsidR="00B92982" w:rsidRPr="009A1394">
        <w:rPr>
          <w:lang w:val="en-CA"/>
        </w:rPr>
        <w:t>.</w:t>
      </w:r>
      <w:r w:rsidRPr="009A1394">
        <w:rPr>
          <w:lang w:val="en-CA"/>
        </w:rPr>
        <w:t xml:space="preserve"> </w:t>
      </w:r>
    </w:p>
    <w:p w14:paraId="7783736F" w14:textId="5ACC40F1" w:rsidR="00702A59" w:rsidRPr="009A1394" w:rsidRDefault="003B7FEC" w:rsidP="00B84769">
      <w:pPr>
        <w:pStyle w:val="Citationenretrait"/>
        <w:jc w:val="right"/>
        <w:rPr>
          <w:lang w:val="en-CA"/>
        </w:rPr>
      </w:pPr>
      <w:r w:rsidRPr="009A1394">
        <w:rPr>
          <w:lang w:val="en-CA"/>
        </w:rPr>
        <w:t>[</w:t>
      </w:r>
      <w:r w:rsidR="00582C5C" w:rsidRPr="009A1394">
        <w:rPr>
          <w:lang w:val="en-CA"/>
        </w:rPr>
        <w:t>Emphasis</w:t>
      </w:r>
      <w:r w:rsidRPr="009A1394">
        <w:rPr>
          <w:lang w:val="en-CA"/>
        </w:rPr>
        <w:t xml:space="preserve"> and references omitted]</w:t>
      </w:r>
    </w:p>
    <w:p w14:paraId="66FB1A78" w14:textId="336C5C96" w:rsidR="00451477" w:rsidRPr="009A1394" w:rsidRDefault="003B7FEC" w:rsidP="00B84769">
      <w:pPr>
        <w:pStyle w:val="Citationenretrait"/>
        <w:jc w:val="center"/>
        <w:rPr>
          <w:lang w:val="en-CA"/>
        </w:rPr>
      </w:pPr>
      <w:r w:rsidRPr="009A1394">
        <w:rPr>
          <w:lang w:val="en-CA"/>
        </w:rPr>
        <w:lastRenderedPageBreak/>
        <w:t>* * *</w:t>
      </w:r>
    </w:p>
    <w:p w14:paraId="07E9875A" w14:textId="6D670401" w:rsidR="0046373F" w:rsidRPr="009A1394" w:rsidRDefault="003B7FEC" w:rsidP="00B84769">
      <w:pPr>
        <w:pStyle w:val="Titre3"/>
        <w:spacing w:after="120"/>
        <w:rPr>
          <w:lang w:val="en-CA"/>
        </w:rPr>
      </w:pPr>
      <w:r w:rsidRPr="009A1394">
        <w:rPr>
          <w:lang w:val="en-CA"/>
        </w:rPr>
        <w:t>Appellants’ positions</w:t>
      </w:r>
    </w:p>
    <w:p w14:paraId="56DF7415" w14:textId="231A8F05" w:rsidR="0046373F" w:rsidRPr="009A1394" w:rsidRDefault="00B92982" w:rsidP="00B84769">
      <w:pPr>
        <w:pStyle w:val="Titre3"/>
        <w:spacing w:after="120"/>
        <w:rPr>
          <w:lang w:val="en-CA"/>
        </w:rPr>
      </w:pPr>
      <w:r w:rsidRPr="009A1394">
        <w:rPr>
          <w:lang w:val="en-CA"/>
        </w:rPr>
        <w:t>A</w:t>
      </w:r>
      <w:r w:rsidR="003B7FEC" w:rsidRPr="009A1394">
        <w:rPr>
          <w:lang w:val="en-CA"/>
        </w:rPr>
        <w:t>GQ’s position</w:t>
      </w:r>
    </w:p>
    <w:p w14:paraId="2AD30646" w14:textId="5FF4429B" w:rsidR="00702A59" w:rsidRPr="009A1394" w:rsidRDefault="005F7AD6" w:rsidP="00B84769">
      <w:pPr>
        <w:pStyle w:val="Paragraphe"/>
        <w:numPr>
          <w:ilvl w:val="0"/>
          <w:numId w:val="1"/>
        </w:numPr>
        <w:rPr>
          <w:lang w:val="en-CA"/>
        </w:rPr>
      </w:pPr>
      <w:r w:rsidRPr="009A1394">
        <w:rPr>
          <w:lang w:val="en-CA"/>
        </w:rPr>
        <w:t xml:space="preserve">The AGQ argues that the </w:t>
      </w:r>
      <w:r w:rsidR="00A34BBF" w:rsidRPr="009A1394">
        <w:rPr>
          <w:lang w:val="en-CA"/>
        </w:rPr>
        <w:t>judge’s</w:t>
      </w:r>
      <w:r w:rsidRPr="009A1394">
        <w:rPr>
          <w:lang w:val="en-CA"/>
        </w:rPr>
        <w:t xml:space="preserve"> </w:t>
      </w:r>
      <w:r w:rsidR="00DD3866" w:rsidRPr="009A1394">
        <w:rPr>
          <w:lang w:val="en-CA"/>
        </w:rPr>
        <w:t xml:space="preserve">finding </w:t>
      </w:r>
      <w:r w:rsidRPr="009A1394">
        <w:rPr>
          <w:lang w:val="en-CA"/>
        </w:rPr>
        <w:t>on causa</w:t>
      </w:r>
      <w:r w:rsidR="00A34BBF" w:rsidRPr="009A1394">
        <w:rPr>
          <w:lang w:val="en-CA"/>
        </w:rPr>
        <w:t>tion</w:t>
      </w:r>
      <w:r w:rsidRPr="009A1394">
        <w:rPr>
          <w:lang w:val="en-CA"/>
        </w:rPr>
        <w:t xml:space="preserve"> is </w:t>
      </w:r>
      <w:r w:rsidR="00582C5C" w:rsidRPr="009A1394">
        <w:rPr>
          <w:lang w:val="en-CA"/>
        </w:rPr>
        <w:t>tainted</w:t>
      </w:r>
      <w:r w:rsidRPr="009A1394">
        <w:rPr>
          <w:lang w:val="en-CA"/>
        </w:rPr>
        <w:t xml:space="preserve"> by an error of mixed fact and law.</w:t>
      </w:r>
      <w:r w:rsidR="008161A3" w:rsidRPr="009A1394">
        <w:rPr>
          <w:lang w:val="en-CA"/>
        </w:rPr>
        <w:t xml:space="preserve"> </w:t>
      </w:r>
      <w:r w:rsidR="00582C5C" w:rsidRPr="009A1394">
        <w:rPr>
          <w:lang w:val="en-CA"/>
        </w:rPr>
        <w:t>In its view</w:t>
      </w:r>
      <w:r w:rsidRPr="009A1394">
        <w:rPr>
          <w:lang w:val="en-CA"/>
        </w:rPr>
        <w:t xml:space="preserve">, the </w:t>
      </w:r>
      <w:r w:rsidR="00A34BBF" w:rsidRPr="009A1394">
        <w:rPr>
          <w:lang w:val="en-CA"/>
        </w:rPr>
        <w:t>judge</w:t>
      </w:r>
      <w:r w:rsidRPr="009A1394">
        <w:rPr>
          <w:lang w:val="en-CA"/>
        </w:rPr>
        <w:t xml:space="preserve"> should have </w:t>
      </w:r>
      <w:r w:rsidR="00F875E4" w:rsidRPr="009A1394">
        <w:rPr>
          <w:lang w:val="en-CA"/>
        </w:rPr>
        <w:t>rel</w:t>
      </w:r>
      <w:r w:rsidR="00582C5C" w:rsidRPr="009A1394">
        <w:rPr>
          <w:lang w:val="en-CA"/>
        </w:rPr>
        <w:t>ied</w:t>
      </w:r>
      <w:r w:rsidRPr="009A1394">
        <w:rPr>
          <w:lang w:val="en-CA"/>
        </w:rPr>
        <w:t xml:space="preserve">, at least in part, </w:t>
      </w:r>
      <w:r w:rsidR="00DB6BE2" w:rsidRPr="009A1394">
        <w:rPr>
          <w:lang w:val="en-CA"/>
        </w:rPr>
        <w:t xml:space="preserve">on </w:t>
      </w:r>
      <w:r w:rsidRPr="009A1394">
        <w:rPr>
          <w:lang w:val="en-CA"/>
        </w:rPr>
        <w:t xml:space="preserve">the theory of reasonable </w:t>
      </w:r>
      <w:r w:rsidR="00A34BBF" w:rsidRPr="009A1394">
        <w:rPr>
          <w:lang w:val="en-CA"/>
        </w:rPr>
        <w:t>foreseeability</w:t>
      </w:r>
      <w:r w:rsidRPr="009A1394">
        <w:rPr>
          <w:lang w:val="en-CA"/>
        </w:rPr>
        <w:t>.</w:t>
      </w:r>
      <w:r w:rsidR="008161A3" w:rsidRPr="009A1394">
        <w:rPr>
          <w:lang w:val="en-CA"/>
        </w:rPr>
        <w:t xml:space="preserve"> </w:t>
      </w:r>
      <w:r w:rsidRPr="009A1394">
        <w:rPr>
          <w:lang w:val="en-CA"/>
        </w:rPr>
        <w:t>Had he done so, he would have concluded that CP’s faults were causal.</w:t>
      </w:r>
    </w:p>
    <w:p w14:paraId="7CA468DE" w14:textId="3EBD02B6" w:rsidR="00702A59" w:rsidRPr="009A1394" w:rsidRDefault="005F7AD6" w:rsidP="00B84769">
      <w:pPr>
        <w:pStyle w:val="Paragraphe"/>
        <w:numPr>
          <w:ilvl w:val="0"/>
          <w:numId w:val="1"/>
        </w:numPr>
        <w:rPr>
          <w:lang w:val="en-CA"/>
        </w:rPr>
      </w:pPr>
      <w:r w:rsidRPr="009A1394">
        <w:rPr>
          <w:lang w:val="en-CA"/>
        </w:rPr>
        <w:t xml:space="preserve">The AGQ </w:t>
      </w:r>
      <w:r w:rsidR="00CA5851" w:rsidRPr="009A1394">
        <w:rPr>
          <w:lang w:val="en-CA"/>
        </w:rPr>
        <w:t>points out</w:t>
      </w:r>
      <w:r w:rsidRPr="009A1394">
        <w:rPr>
          <w:lang w:val="en-CA"/>
        </w:rPr>
        <w:t xml:space="preserve"> </w:t>
      </w:r>
      <w:r w:rsidR="00A34BBF" w:rsidRPr="009A1394">
        <w:rPr>
          <w:lang w:val="en-CA"/>
        </w:rPr>
        <w:t>[</w:t>
      </w:r>
      <w:r w:rsidR="00A34BBF" w:rsidRPr="009A1394">
        <w:rPr>
          <w:smallCaps/>
          <w:lang w:val="en-CA"/>
        </w:rPr>
        <w:t>translation</w:t>
      </w:r>
      <w:r w:rsidR="00A34BBF" w:rsidRPr="009A1394">
        <w:rPr>
          <w:lang w:val="en-CA"/>
        </w:rPr>
        <w:t xml:space="preserve">] </w:t>
      </w:r>
      <w:r w:rsidRPr="009A1394">
        <w:rPr>
          <w:lang w:val="en-CA"/>
        </w:rPr>
        <w:t xml:space="preserve">“that as the originating carrier and organizer of </w:t>
      </w:r>
      <w:r w:rsidR="00A34BBF" w:rsidRPr="009A1394">
        <w:rPr>
          <w:lang w:val="en-CA"/>
        </w:rPr>
        <w:t>the</w:t>
      </w:r>
      <w:r w:rsidRPr="009A1394">
        <w:rPr>
          <w:lang w:val="en-CA"/>
        </w:rPr>
        <w:t xml:space="preserve"> train”, CP was </w:t>
      </w:r>
      <w:r w:rsidR="00A34BBF" w:rsidRPr="009A1394">
        <w:rPr>
          <w:lang w:val="en-CA"/>
        </w:rPr>
        <w:t>[</w:t>
      </w:r>
      <w:r w:rsidR="00A34BBF" w:rsidRPr="009A1394">
        <w:rPr>
          <w:smallCaps/>
          <w:lang w:val="en-CA"/>
        </w:rPr>
        <w:t>translation</w:t>
      </w:r>
      <w:r w:rsidR="00A34BBF" w:rsidRPr="009A1394">
        <w:rPr>
          <w:lang w:val="en-CA"/>
        </w:rPr>
        <w:t xml:space="preserve">] </w:t>
      </w:r>
      <w:r w:rsidRPr="009A1394">
        <w:rPr>
          <w:lang w:val="en-CA"/>
        </w:rPr>
        <w:t xml:space="preserve">“the actor </w:t>
      </w:r>
      <w:r w:rsidR="00CA5851" w:rsidRPr="009A1394">
        <w:rPr>
          <w:lang w:val="en-CA"/>
        </w:rPr>
        <w:t>having</w:t>
      </w:r>
      <w:r w:rsidRPr="009A1394">
        <w:rPr>
          <w:lang w:val="en-CA"/>
        </w:rPr>
        <w:t xml:space="preserve"> the most </w:t>
      </w:r>
      <w:r w:rsidR="00CA5851" w:rsidRPr="009A1394">
        <w:rPr>
          <w:lang w:val="en-CA"/>
        </w:rPr>
        <w:t>pivotal</w:t>
      </w:r>
      <w:r w:rsidRPr="009A1394">
        <w:rPr>
          <w:lang w:val="en-CA"/>
        </w:rPr>
        <w:t xml:space="preserve"> role there is in the transport” at issue.</w:t>
      </w:r>
      <w:r w:rsidR="008161A3" w:rsidRPr="009A1394">
        <w:rPr>
          <w:lang w:val="en-CA"/>
        </w:rPr>
        <w:t xml:space="preserve"> </w:t>
      </w:r>
      <w:r w:rsidRPr="009A1394">
        <w:rPr>
          <w:lang w:val="en-CA"/>
        </w:rPr>
        <w:t xml:space="preserve">As such, CP </w:t>
      </w:r>
      <w:r w:rsidR="00582C5C" w:rsidRPr="009A1394">
        <w:rPr>
          <w:lang w:val="en-CA"/>
        </w:rPr>
        <w:t>was bound</w:t>
      </w:r>
      <w:r w:rsidRPr="009A1394">
        <w:rPr>
          <w:lang w:val="en-CA"/>
        </w:rPr>
        <w:t xml:space="preserve"> to </w:t>
      </w:r>
      <w:r w:rsidR="00094127" w:rsidRPr="009A1394">
        <w:rPr>
          <w:lang w:val="en-CA"/>
        </w:rPr>
        <w:t xml:space="preserve">perform </w:t>
      </w:r>
      <w:r w:rsidRPr="009A1394">
        <w:rPr>
          <w:lang w:val="en-CA"/>
        </w:rPr>
        <w:t xml:space="preserve">a risk assessment for this transport and to </w:t>
      </w:r>
      <w:r w:rsidR="00A34BBF" w:rsidRPr="009A1394">
        <w:rPr>
          <w:lang w:val="en-CA"/>
        </w:rPr>
        <w:t xml:space="preserve">then </w:t>
      </w:r>
      <w:r w:rsidRPr="009A1394">
        <w:rPr>
          <w:lang w:val="en-CA"/>
        </w:rPr>
        <w:t>communicate the results to MMA with all the information it already had on the dangerous nature of the goods being transported.</w:t>
      </w:r>
    </w:p>
    <w:p w14:paraId="4A580AC1" w14:textId="75DE7C33" w:rsidR="00702A59" w:rsidRPr="009A1394" w:rsidRDefault="005F7AD6" w:rsidP="00B84769">
      <w:pPr>
        <w:pStyle w:val="Paragraphe"/>
        <w:numPr>
          <w:ilvl w:val="0"/>
          <w:numId w:val="1"/>
        </w:numPr>
        <w:rPr>
          <w:lang w:val="en-CA"/>
        </w:rPr>
      </w:pPr>
      <w:r w:rsidRPr="009A1394">
        <w:rPr>
          <w:lang w:val="en-CA"/>
        </w:rPr>
        <w:t>The AGQ add</w:t>
      </w:r>
      <w:r w:rsidR="00CA5851" w:rsidRPr="009A1394">
        <w:rPr>
          <w:lang w:val="en-CA"/>
        </w:rPr>
        <w:t>s</w:t>
      </w:r>
      <w:r w:rsidRPr="009A1394">
        <w:rPr>
          <w:lang w:val="en-CA"/>
        </w:rPr>
        <w:t xml:space="preserve"> that </w:t>
      </w:r>
      <w:r w:rsidR="00222276" w:rsidRPr="009A1394">
        <w:rPr>
          <w:lang w:val="en-CA"/>
        </w:rPr>
        <w:t xml:space="preserve">the faults committed by </w:t>
      </w:r>
      <w:r w:rsidR="00CA5851" w:rsidRPr="009A1394">
        <w:rPr>
          <w:lang w:val="en-CA"/>
        </w:rPr>
        <w:t>Harding and MMA</w:t>
      </w:r>
      <w:r w:rsidRPr="009A1394">
        <w:rPr>
          <w:lang w:val="en-CA"/>
        </w:rPr>
        <w:t xml:space="preserve"> </w:t>
      </w:r>
      <w:r w:rsidR="00A34BBF" w:rsidRPr="009A1394">
        <w:rPr>
          <w:lang w:val="en-CA"/>
        </w:rPr>
        <w:t>[</w:t>
      </w:r>
      <w:r w:rsidR="00A34BBF" w:rsidRPr="009A1394">
        <w:rPr>
          <w:smallCaps/>
          <w:lang w:val="en-CA"/>
        </w:rPr>
        <w:t>translation</w:t>
      </w:r>
      <w:r w:rsidR="00A34BBF" w:rsidRPr="009A1394">
        <w:rPr>
          <w:lang w:val="en-CA"/>
        </w:rPr>
        <w:t xml:space="preserve">] </w:t>
      </w:r>
      <w:r w:rsidRPr="009A1394">
        <w:rPr>
          <w:lang w:val="en-CA"/>
        </w:rPr>
        <w:t>“</w:t>
      </w:r>
      <w:r w:rsidR="00CA5851" w:rsidRPr="009A1394">
        <w:rPr>
          <w:lang w:val="en-CA"/>
        </w:rPr>
        <w:t>were rooted in CP’s</w:t>
      </w:r>
      <w:r w:rsidRPr="009A1394">
        <w:rPr>
          <w:lang w:val="en-CA"/>
        </w:rPr>
        <w:t xml:space="preserve"> </w:t>
      </w:r>
      <w:r w:rsidR="00CA5851" w:rsidRPr="009A1394">
        <w:rPr>
          <w:lang w:val="en-CA"/>
        </w:rPr>
        <w:t xml:space="preserve">equally </w:t>
      </w:r>
      <w:r w:rsidR="00B27CEF" w:rsidRPr="009A1394">
        <w:rPr>
          <w:lang w:val="en-CA"/>
        </w:rPr>
        <w:t>wrongful</w:t>
      </w:r>
      <w:r w:rsidRPr="009A1394">
        <w:rPr>
          <w:lang w:val="en-CA"/>
        </w:rPr>
        <w:t xml:space="preserve"> and</w:t>
      </w:r>
      <w:r w:rsidR="00A34BBF" w:rsidRPr="009A1394">
        <w:rPr>
          <w:lang w:val="en-CA"/>
        </w:rPr>
        <w:t>,</w:t>
      </w:r>
      <w:r w:rsidRPr="009A1394">
        <w:rPr>
          <w:lang w:val="en-CA"/>
        </w:rPr>
        <w:t xml:space="preserve"> </w:t>
      </w:r>
      <w:r w:rsidR="00A34BBF" w:rsidRPr="009A1394">
        <w:rPr>
          <w:lang w:val="en-CA"/>
        </w:rPr>
        <w:t>above</w:t>
      </w:r>
      <w:r w:rsidRPr="009A1394">
        <w:rPr>
          <w:lang w:val="en-CA"/>
        </w:rPr>
        <w:t xml:space="preserve"> all</w:t>
      </w:r>
      <w:r w:rsidR="00A34BBF" w:rsidRPr="009A1394">
        <w:rPr>
          <w:lang w:val="en-CA"/>
        </w:rPr>
        <w:t>,</w:t>
      </w:r>
      <w:r w:rsidRPr="009A1394">
        <w:rPr>
          <w:lang w:val="en-CA"/>
        </w:rPr>
        <w:t xml:space="preserve"> prior omissions”.</w:t>
      </w:r>
      <w:r w:rsidR="008161A3" w:rsidRPr="009A1394">
        <w:rPr>
          <w:lang w:val="en-CA"/>
        </w:rPr>
        <w:t xml:space="preserve"> </w:t>
      </w:r>
      <w:r w:rsidR="00222276" w:rsidRPr="009A1394">
        <w:rPr>
          <w:lang w:val="en-CA"/>
        </w:rPr>
        <w:t xml:space="preserve">Were it not </w:t>
      </w:r>
      <w:r w:rsidRPr="009A1394">
        <w:rPr>
          <w:lang w:val="en-CA"/>
        </w:rPr>
        <w:t xml:space="preserve">for </w:t>
      </w:r>
      <w:r w:rsidR="00CA5851" w:rsidRPr="009A1394">
        <w:rPr>
          <w:lang w:val="en-CA"/>
        </w:rPr>
        <w:t>these</w:t>
      </w:r>
      <w:r w:rsidR="00222276" w:rsidRPr="009A1394">
        <w:rPr>
          <w:lang w:val="en-CA"/>
        </w:rPr>
        <w:t xml:space="preserve"> faults</w:t>
      </w:r>
      <w:r w:rsidRPr="009A1394">
        <w:rPr>
          <w:lang w:val="en-CA"/>
        </w:rPr>
        <w:t xml:space="preserve">, MMA would have changed its </w:t>
      </w:r>
      <w:r w:rsidR="003867DE" w:rsidRPr="009A1394">
        <w:rPr>
          <w:lang w:val="en-CA"/>
        </w:rPr>
        <w:t>practice</w:t>
      </w:r>
      <w:r w:rsidRPr="009A1394">
        <w:rPr>
          <w:lang w:val="en-CA"/>
        </w:rPr>
        <w:t>.</w:t>
      </w:r>
      <w:r w:rsidR="008161A3" w:rsidRPr="009A1394">
        <w:rPr>
          <w:lang w:val="en-CA"/>
        </w:rPr>
        <w:t xml:space="preserve"> </w:t>
      </w:r>
      <w:r w:rsidRPr="009A1394">
        <w:rPr>
          <w:lang w:val="en-CA"/>
        </w:rPr>
        <w:t xml:space="preserve">The train would not have been left </w:t>
      </w:r>
      <w:r w:rsidR="00A34BBF" w:rsidRPr="009A1394">
        <w:rPr>
          <w:lang w:val="en-CA"/>
        </w:rPr>
        <w:t>unattended</w:t>
      </w:r>
      <w:r w:rsidRPr="009A1394">
        <w:rPr>
          <w:lang w:val="en-CA"/>
        </w:rPr>
        <w:t xml:space="preserve"> overnight on a part of the track that was on a </w:t>
      </w:r>
      <w:r w:rsidR="00AF4466" w:rsidRPr="009A1394">
        <w:rPr>
          <w:lang w:val="en-CA"/>
        </w:rPr>
        <w:t>descending grade</w:t>
      </w:r>
      <w:r w:rsidRPr="009A1394">
        <w:rPr>
          <w:lang w:val="en-CA"/>
        </w:rPr>
        <w:t>.</w:t>
      </w:r>
    </w:p>
    <w:p w14:paraId="2EA15C91" w14:textId="31402A7A" w:rsidR="00702A59" w:rsidRPr="009A1394" w:rsidRDefault="005F7AD6" w:rsidP="00B84769">
      <w:pPr>
        <w:pStyle w:val="Paragraphe"/>
        <w:numPr>
          <w:ilvl w:val="0"/>
          <w:numId w:val="1"/>
        </w:numPr>
        <w:rPr>
          <w:lang w:val="en-CA"/>
        </w:rPr>
      </w:pPr>
      <w:r w:rsidRPr="009A1394">
        <w:rPr>
          <w:lang w:val="en-CA"/>
        </w:rPr>
        <w:t>Th</w:t>
      </w:r>
      <w:r w:rsidR="00CA5851" w:rsidRPr="009A1394">
        <w:rPr>
          <w:lang w:val="en-CA"/>
        </w:rPr>
        <w:t>is submission</w:t>
      </w:r>
      <w:r w:rsidRPr="009A1394">
        <w:rPr>
          <w:lang w:val="en-CA"/>
        </w:rPr>
        <w:t xml:space="preserve"> </w:t>
      </w:r>
      <w:r w:rsidR="00CA5851" w:rsidRPr="009A1394">
        <w:rPr>
          <w:lang w:val="en-CA"/>
        </w:rPr>
        <w:t xml:space="preserve">by the </w:t>
      </w:r>
      <w:r w:rsidRPr="009A1394">
        <w:rPr>
          <w:lang w:val="en-CA"/>
        </w:rPr>
        <w:t>AGQ</w:t>
      </w:r>
      <w:r w:rsidR="00CA5851" w:rsidRPr="009A1394">
        <w:rPr>
          <w:lang w:val="en-CA"/>
        </w:rPr>
        <w:t xml:space="preserve"> </w:t>
      </w:r>
      <w:r w:rsidRPr="009A1394">
        <w:rPr>
          <w:lang w:val="en-CA"/>
        </w:rPr>
        <w:t xml:space="preserve">is based on </w:t>
      </w:r>
      <w:r w:rsidR="00A34BBF" w:rsidRPr="009A1394">
        <w:rPr>
          <w:lang w:val="en-CA"/>
        </w:rPr>
        <w:t>the</w:t>
      </w:r>
      <w:r w:rsidRPr="009A1394">
        <w:rPr>
          <w:lang w:val="en-CA"/>
        </w:rPr>
        <w:t xml:space="preserve"> testimony </w:t>
      </w:r>
      <w:r w:rsidR="00B92982" w:rsidRPr="009A1394">
        <w:rPr>
          <w:lang w:val="en-CA"/>
        </w:rPr>
        <w:t xml:space="preserve">of </w:t>
      </w:r>
      <w:r w:rsidRPr="009A1394">
        <w:rPr>
          <w:lang w:val="en-CA"/>
        </w:rPr>
        <w:t>MMA’s president, Robert Grindrod (</w:t>
      </w:r>
      <w:r w:rsidR="00CA5851" w:rsidRPr="009A1394">
        <w:rPr>
          <w:lang w:val="en-CA"/>
        </w:rPr>
        <w:t>“</w:t>
      </w:r>
      <w:r w:rsidRPr="009A1394">
        <w:rPr>
          <w:b/>
          <w:lang w:val="en-CA"/>
        </w:rPr>
        <w:t>Grindrod</w:t>
      </w:r>
      <w:r w:rsidRPr="009A1394">
        <w:rPr>
          <w:lang w:val="en-CA"/>
        </w:rPr>
        <w:t>”)</w:t>
      </w:r>
      <w:r w:rsidR="00542BEF" w:rsidRPr="009A1394">
        <w:rPr>
          <w:lang w:val="en-CA"/>
        </w:rPr>
        <w:t>,</w:t>
      </w:r>
      <w:r w:rsidRPr="009A1394">
        <w:rPr>
          <w:lang w:val="en-CA"/>
        </w:rPr>
        <w:t xml:space="preserve"> during his pre-trial examination</w:t>
      </w:r>
      <w:r w:rsidR="00527519" w:rsidRPr="009A1394">
        <w:rPr>
          <w:lang w:val="en-CA"/>
        </w:rPr>
        <w:t>. H</w:t>
      </w:r>
      <w:r w:rsidR="00A34BBF" w:rsidRPr="009A1394">
        <w:rPr>
          <w:lang w:val="en-CA"/>
        </w:rPr>
        <w:t>e</w:t>
      </w:r>
      <w:r w:rsidRPr="009A1394">
        <w:rPr>
          <w:lang w:val="en-CA"/>
        </w:rPr>
        <w:t xml:space="preserve"> </w:t>
      </w:r>
      <w:r w:rsidR="00527519" w:rsidRPr="009A1394">
        <w:rPr>
          <w:lang w:val="en-CA"/>
        </w:rPr>
        <w:t xml:space="preserve">had </w:t>
      </w:r>
      <w:r w:rsidRPr="009A1394">
        <w:rPr>
          <w:lang w:val="en-CA"/>
        </w:rPr>
        <w:t>declared</w:t>
      </w:r>
      <w:r w:rsidR="00527519" w:rsidRPr="009A1394">
        <w:rPr>
          <w:lang w:val="en-CA"/>
        </w:rPr>
        <w:t xml:space="preserve"> then </w:t>
      </w:r>
      <w:r w:rsidRPr="009A1394">
        <w:rPr>
          <w:lang w:val="en-CA"/>
        </w:rPr>
        <w:t>that had</w:t>
      </w:r>
      <w:r w:rsidR="00527519" w:rsidRPr="009A1394">
        <w:rPr>
          <w:lang w:val="en-CA"/>
        </w:rPr>
        <w:t xml:space="preserve"> it been brought to</w:t>
      </w:r>
      <w:r w:rsidRPr="009A1394">
        <w:rPr>
          <w:lang w:val="en-CA"/>
        </w:rPr>
        <w:t xml:space="preserve"> </w:t>
      </w:r>
      <w:r w:rsidR="00527519" w:rsidRPr="009A1394">
        <w:rPr>
          <w:lang w:val="en-CA"/>
        </w:rPr>
        <w:t>MMA’s attention</w:t>
      </w:r>
      <w:r w:rsidRPr="009A1394">
        <w:rPr>
          <w:lang w:val="en-CA"/>
        </w:rPr>
        <w:t xml:space="preserve"> that the train was transporting a highly explosive product rather than what </w:t>
      </w:r>
      <w:r w:rsidR="00527519" w:rsidRPr="009A1394">
        <w:rPr>
          <w:lang w:val="en-CA"/>
        </w:rPr>
        <w:t>it</w:t>
      </w:r>
      <w:r w:rsidRPr="009A1394">
        <w:rPr>
          <w:lang w:val="en-CA"/>
        </w:rPr>
        <w:t xml:space="preserve"> believed to be a less flammable product, </w:t>
      </w:r>
      <w:r w:rsidR="00527519" w:rsidRPr="009A1394">
        <w:rPr>
          <w:lang w:val="en-CA"/>
        </w:rPr>
        <w:t>such as</w:t>
      </w:r>
      <w:r w:rsidRPr="009A1394">
        <w:rPr>
          <w:lang w:val="en-CA"/>
        </w:rPr>
        <w:t xml:space="preserve"> tar, a crew change would have </w:t>
      </w:r>
      <w:r w:rsidR="00527519" w:rsidRPr="009A1394">
        <w:rPr>
          <w:lang w:val="en-CA"/>
        </w:rPr>
        <w:t>been made</w:t>
      </w:r>
      <w:r w:rsidRPr="009A1394">
        <w:rPr>
          <w:lang w:val="en-CA"/>
        </w:rPr>
        <w:t xml:space="preserve"> </w:t>
      </w:r>
      <w:r w:rsidR="00527519" w:rsidRPr="009A1394">
        <w:rPr>
          <w:lang w:val="en-CA"/>
        </w:rPr>
        <w:t>at the end of</w:t>
      </w:r>
      <w:r w:rsidRPr="009A1394">
        <w:rPr>
          <w:lang w:val="en-CA"/>
        </w:rPr>
        <w:t xml:space="preserve"> Harding’s shift.</w:t>
      </w:r>
      <w:r w:rsidR="008161A3" w:rsidRPr="009A1394">
        <w:rPr>
          <w:lang w:val="en-CA"/>
        </w:rPr>
        <w:t xml:space="preserve"> </w:t>
      </w:r>
      <w:r w:rsidRPr="009A1394">
        <w:rPr>
          <w:lang w:val="en-CA"/>
        </w:rPr>
        <w:t xml:space="preserve">Thus, the train would not have been </w:t>
      </w:r>
      <w:r w:rsidR="004D3777" w:rsidRPr="009A1394">
        <w:rPr>
          <w:lang w:val="en-CA"/>
        </w:rPr>
        <w:t>park</w:t>
      </w:r>
      <w:r w:rsidR="00527519" w:rsidRPr="009A1394">
        <w:rPr>
          <w:lang w:val="en-CA"/>
        </w:rPr>
        <w:t>ed</w:t>
      </w:r>
      <w:r w:rsidRPr="009A1394">
        <w:rPr>
          <w:lang w:val="en-CA"/>
        </w:rPr>
        <w:t xml:space="preserve"> and, consequently, the derailment would never have </w:t>
      </w:r>
      <w:r w:rsidR="004D3777" w:rsidRPr="009A1394">
        <w:rPr>
          <w:lang w:val="en-CA"/>
        </w:rPr>
        <w:t>occurred</w:t>
      </w:r>
      <w:r w:rsidRPr="009A1394">
        <w:rPr>
          <w:lang w:val="en-CA"/>
        </w:rPr>
        <w:t>.</w:t>
      </w:r>
    </w:p>
    <w:p w14:paraId="7F68E0F7" w14:textId="2A1B509E" w:rsidR="00702A59" w:rsidRPr="009A1394" w:rsidRDefault="005F7AD6" w:rsidP="00B84769">
      <w:pPr>
        <w:pStyle w:val="Paragraphe"/>
        <w:numPr>
          <w:ilvl w:val="0"/>
          <w:numId w:val="1"/>
        </w:numPr>
        <w:rPr>
          <w:lang w:val="en-CA"/>
        </w:rPr>
      </w:pPr>
      <w:r w:rsidRPr="009A1394">
        <w:rPr>
          <w:lang w:val="en-CA"/>
        </w:rPr>
        <w:t xml:space="preserve">In the alternative, the AGQ argues that even if the </w:t>
      </w:r>
      <w:r w:rsidR="00A34BBF" w:rsidRPr="009A1394">
        <w:rPr>
          <w:lang w:val="en-CA"/>
        </w:rPr>
        <w:t>judge</w:t>
      </w:r>
      <w:r w:rsidRPr="009A1394">
        <w:rPr>
          <w:lang w:val="en-CA"/>
        </w:rPr>
        <w:t xml:space="preserve"> was right </w:t>
      </w:r>
      <w:r w:rsidR="007D14D0" w:rsidRPr="009A1394">
        <w:rPr>
          <w:lang w:val="en-CA"/>
        </w:rPr>
        <w:t>to</w:t>
      </w:r>
      <w:r w:rsidRPr="009A1394">
        <w:rPr>
          <w:lang w:val="en-CA"/>
        </w:rPr>
        <w:t xml:space="preserve"> </w:t>
      </w:r>
      <w:r w:rsidR="007D14D0" w:rsidRPr="009A1394">
        <w:rPr>
          <w:lang w:val="en-CA"/>
        </w:rPr>
        <w:t>reject</w:t>
      </w:r>
      <w:r w:rsidRPr="009A1394">
        <w:rPr>
          <w:lang w:val="en-CA"/>
        </w:rPr>
        <w:t xml:space="preserve"> Grindrod’s testimony due to his lack of credibility, he should still have </w:t>
      </w:r>
      <w:r w:rsidR="004D3777" w:rsidRPr="009A1394">
        <w:rPr>
          <w:lang w:val="en-CA"/>
        </w:rPr>
        <w:t xml:space="preserve">found </w:t>
      </w:r>
      <w:r w:rsidRPr="009A1394">
        <w:rPr>
          <w:lang w:val="en-CA"/>
        </w:rPr>
        <w:t xml:space="preserve">that CP </w:t>
      </w:r>
      <w:r w:rsidR="007D14D0" w:rsidRPr="009A1394">
        <w:rPr>
          <w:lang w:val="en-CA"/>
        </w:rPr>
        <w:t xml:space="preserve">had </w:t>
      </w:r>
      <w:r w:rsidRPr="009A1394">
        <w:rPr>
          <w:lang w:val="en-CA"/>
        </w:rPr>
        <w:t xml:space="preserve">to show that MMA would not have changed its methods had </w:t>
      </w:r>
      <w:r w:rsidR="00B92982" w:rsidRPr="009A1394">
        <w:rPr>
          <w:lang w:val="en-CA"/>
        </w:rPr>
        <w:t xml:space="preserve">it </w:t>
      </w:r>
      <w:r w:rsidRPr="009A1394">
        <w:rPr>
          <w:lang w:val="en-CA"/>
        </w:rPr>
        <w:t>been told of the actual characteristics of the goods being transported.</w:t>
      </w:r>
      <w:r w:rsidR="008161A3" w:rsidRPr="009A1394">
        <w:rPr>
          <w:lang w:val="en-CA"/>
        </w:rPr>
        <w:t xml:space="preserve"> </w:t>
      </w:r>
      <w:r w:rsidRPr="009A1394">
        <w:rPr>
          <w:lang w:val="en-CA"/>
        </w:rPr>
        <w:t xml:space="preserve">Because CP </w:t>
      </w:r>
      <w:r w:rsidR="00A34BBF" w:rsidRPr="009A1394">
        <w:rPr>
          <w:lang w:val="en-CA"/>
        </w:rPr>
        <w:t xml:space="preserve">failed to prove this, </w:t>
      </w:r>
      <w:r w:rsidRPr="009A1394">
        <w:rPr>
          <w:lang w:val="en-CA"/>
        </w:rPr>
        <w:t xml:space="preserve">the existence of a causal connection between CP’s faults and the </w:t>
      </w:r>
      <w:r w:rsidR="007D14D0" w:rsidRPr="009A1394">
        <w:rPr>
          <w:lang w:val="en-CA"/>
        </w:rPr>
        <w:t>injury</w:t>
      </w:r>
      <w:r w:rsidRPr="009A1394">
        <w:rPr>
          <w:lang w:val="en-CA"/>
        </w:rPr>
        <w:t xml:space="preserve"> should have been recognized.</w:t>
      </w:r>
    </w:p>
    <w:p w14:paraId="758B7011" w14:textId="0ED3E961" w:rsidR="00702A59" w:rsidRPr="009A1394" w:rsidRDefault="005F7AD6" w:rsidP="00B84769">
      <w:pPr>
        <w:pStyle w:val="Paragraphe"/>
        <w:numPr>
          <w:ilvl w:val="0"/>
          <w:numId w:val="1"/>
        </w:numPr>
        <w:rPr>
          <w:lang w:val="en-CA"/>
        </w:rPr>
      </w:pPr>
      <w:r w:rsidRPr="009A1394">
        <w:rPr>
          <w:lang w:val="en-CA"/>
        </w:rPr>
        <w:t xml:space="preserve">In </w:t>
      </w:r>
      <w:r w:rsidR="007D14D0" w:rsidRPr="009A1394">
        <w:rPr>
          <w:lang w:val="en-CA"/>
        </w:rPr>
        <w:t>sum</w:t>
      </w:r>
      <w:r w:rsidRPr="009A1394">
        <w:rPr>
          <w:lang w:val="en-CA"/>
        </w:rPr>
        <w:t xml:space="preserve">, according to the AGQ, CP’s faults </w:t>
      </w:r>
      <w:r w:rsidR="007D14D0" w:rsidRPr="009A1394">
        <w:rPr>
          <w:lang w:val="en-CA"/>
        </w:rPr>
        <w:t>we</w:t>
      </w:r>
      <w:r w:rsidRPr="009A1394">
        <w:rPr>
          <w:lang w:val="en-CA"/>
        </w:rPr>
        <w:t xml:space="preserve">re intrinsically linked to </w:t>
      </w:r>
      <w:r w:rsidR="00542BEF" w:rsidRPr="009A1394">
        <w:rPr>
          <w:lang w:val="en-CA"/>
        </w:rPr>
        <w:t xml:space="preserve">the faults </w:t>
      </w:r>
      <w:r w:rsidR="004308C9" w:rsidRPr="009A1394">
        <w:rPr>
          <w:lang w:val="en-CA"/>
        </w:rPr>
        <w:t xml:space="preserve">of </w:t>
      </w:r>
      <w:r w:rsidRPr="009A1394">
        <w:rPr>
          <w:lang w:val="en-CA"/>
        </w:rPr>
        <w:t>Harding and MMA.</w:t>
      </w:r>
      <w:r w:rsidR="008161A3" w:rsidRPr="009A1394">
        <w:rPr>
          <w:lang w:val="en-CA"/>
        </w:rPr>
        <w:t xml:space="preserve"> </w:t>
      </w:r>
      <w:r w:rsidR="00860CB7" w:rsidRPr="009A1394">
        <w:rPr>
          <w:lang w:val="en-CA"/>
        </w:rPr>
        <w:t>They all form</w:t>
      </w:r>
      <w:r w:rsidR="007D14D0" w:rsidRPr="009A1394">
        <w:rPr>
          <w:lang w:val="en-CA"/>
        </w:rPr>
        <w:t>ed</w:t>
      </w:r>
      <w:r w:rsidR="00860CB7" w:rsidRPr="009A1394">
        <w:rPr>
          <w:lang w:val="en-CA"/>
        </w:rPr>
        <w:t xml:space="preserve"> a single continuum such that the judge committed a reviewable error by characterizing the second as </w:t>
      </w:r>
      <w:r w:rsidR="004308C9" w:rsidRPr="009A1394">
        <w:rPr>
          <w:lang w:val="en-CA"/>
        </w:rPr>
        <w:t xml:space="preserve">a </w:t>
      </w:r>
      <w:r w:rsidR="00860CB7" w:rsidRPr="009A1394">
        <w:rPr>
          <w:i/>
          <w:lang w:val="en-CA"/>
        </w:rPr>
        <w:t>novus actus interveniens</w:t>
      </w:r>
      <w:r w:rsidR="00860CB7" w:rsidRPr="009A1394">
        <w:rPr>
          <w:lang w:val="en-CA"/>
        </w:rPr>
        <w:t>.</w:t>
      </w:r>
      <w:r w:rsidR="008161A3" w:rsidRPr="009A1394">
        <w:rPr>
          <w:lang w:val="en-CA"/>
        </w:rPr>
        <w:t xml:space="preserve"> </w:t>
      </w:r>
    </w:p>
    <w:p w14:paraId="090C0308" w14:textId="4D7F3095" w:rsidR="0046373F" w:rsidRPr="009A1394" w:rsidRDefault="00860CB7" w:rsidP="007B0327">
      <w:pPr>
        <w:pStyle w:val="Titre3"/>
        <w:rPr>
          <w:lang w:val="en-CA"/>
        </w:rPr>
      </w:pPr>
      <w:r w:rsidRPr="009A1394">
        <w:rPr>
          <w:lang w:val="en-CA"/>
        </w:rPr>
        <w:lastRenderedPageBreak/>
        <w:t>Promotuel’s position</w:t>
      </w:r>
    </w:p>
    <w:p w14:paraId="0BF058C3" w14:textId="082A5566" w:rsidR="00702A59" w:rsidRPr="009A1394" w:rsidRDefault="00F440C2" w:rsidP="00720E8B">
      <w:pPr>
        <w:pStyle w:val="Paragraphe"/>
        <w:numPr>
          <w:ilvl w:val="0"/>
          <w:numId w:val="1"/>
        </w:numPr>
        <w:rPr>
          <w:lang w:val="en-CA"/>
        </w:rPr>
      </w:pPr>
      <w:r w:rsidRPr="009A1394">
        <w:rPr>
          <w:lang w:val="en-CA"/>
        </w:rPr>
        <w:t>Promutuel Centre</w:t>
      </w:r>
      <w:r w:rsidR="00C97DB2" w:rsidRPr="009A1394">
        <w:rPr>
          <w:lang w:val="en-CA"/>
        </w:rPr>
        <w:t xml:space="preserve"> </w:t>
      </w:r>
      <w:r w:rsidRPr="009A1394">
        <w:rPr>
          <w:lang w:val="en-CA"/>
        </w:rPr>
        <w:t>Sud and the other appellants in appeal no.</w:t>
      </w:r>
      <w:r w:rsidR="001353DD" w:rsidRPr="009A1394">
        <w:rPr>
          <w:lang w:val="en-CA"/>
        </w:rPr>
        <w:t> </w:t>
      </w:r>
      <w:r w:rsidRPr="009A1394">
        <w:rPr>
          <w:lang w:val="en-CA"/>
        </w:rPr>
        <w:t>500-09-030363-238 (</w:t>
      </w:r>
      <w:r w:rsidR="00FD7C6A" w:rsidRPr="009A1394">
        <w:rPr>
          <w:lang w:val="en-CA"/>
        </w:rPr>
        <w:t>“</w:t>
      </w:r>
      <w:r w:rsidRPr="009A1394">
        <w:rPr>
          <w:b/>
          <w:lang w:val="en-CA"/>
        </w:rPr>
        <w:t>Promutuel</w:t>
      </w:r>
      <w:r w:rsidRPr="009A1394">
        <w:rPr>
          <w:lang w:val="en-CA"/>
        </w:rPr>
        <w:t xml:space="preserve">”) also call into </w:t>
      </w:r>
      <w:r w:rsidR="00C97DB2" w:rsidRPr="009A1394">
        <w:rPr>
          <w:lang w:val="en-CA"/>
        </w:rPr>
        <w:t>question</w:t>
      </w:r>
      <w:r w:rsidRPr="009A1394">
        <w:rPr>
          <w:lang w:val="en-CA"/>
        </w:rPr>
        <w:t xml:space="preserve"> the </w:t>
      </w:r>
      <w:r w:rsidR="00FD7C6A" w:rsidRPr="009A1394">
        <w:rPr>
          <w:lang w:val="en-CA"/>
        </w:rPr>
        <w:t>correctness</w:t>
      </w:r>
      <w:r w:rsidRPr="009A1394">
        <w:rPr>
          <w:lang w:val="en-CA"/>
        </w:rPr>
        <w:t xml:space="preserve"> of the </w:t>
      </w:r>
      <w:r w:rsidR="00C97DB2" w:rsidRPr="009A1394">
        <w:rPr>
          <w:lang w:val="en-CA"/>
        </w:rPr>
        <w:t>judge’s</w:t>
      </w:r>
      <w:r w:rsidRPr="009A1394">
        <w:rPr>
          <w:lang w:val="en-CA"/>
        </w:rPr>
        <w:t xml:space="preserve"> </w:t>
      </w:r>
      <w:r w:rsidR="004D3777" w:rsidRPr="009A1394">
        <w:rPr>
          <w:lang w:val="en-CA"/>
        </w:rPr>
        <w:t xml:space="preserve">finding </w:t>
      </w:r>
      <w:r w:rsidRPr="009A1394">
        <w:rPr>
          <w:lang w:val="en-CA"/>
        </w:rPr>
        <w:t>on causa</w:t>
      </w:r>
      <w:r w:rsidR="00C97DB2" w:rsidRPr="009A1394">
        <w:rPr>
          <w:lang w:val="en-CA"/>
        </w:rPr>
        <w:t>tion</w:t>
      </w:r>
      <w:r w:rsidRPr="009A1394">
        <w:rPr>
          <w:lang w:val="en-CA"/>
        </w:rPr>
        <w:t>.</w:t>
      </w:r>
      <w:r w:rsidR="008161A3" w:rsidRPr="009A1394">
        <w:rPr>
          <w:lang w:val="en-CA"/>
        </w:rPr>
        <w:t xml:space="preserve"> </w:t>
      </w:r>
      <w:r w:rsidRPr="009A1394">
        <w:rPr>
          <w:lang w:val="en-CA"/>
        </w:rPr>
        <w:t>Their arguments are similar to those presented by the AGQ.</w:t>
      </w:r>
    </w:p>
    <w:p w14:paraId="1E89F1E2" w14:textId="3F984FA3" w:rsidR="00702A59" w:rsidRPr="009A1394" w:rsidRDefault="00F440C2" w:rsidP="00720E8B">
      <w:pPr>
        <w:pStyle w:val="Paragraphe"/>
        <w:numPr>
          <w:ilvl w:val="0"/>
          <w:numId w:val="1"/>
        </w:numPr>
        <w:rPr>
          <w:lang w:val="en-CA"/>
        </w:rPr>
      </w:pPr>
      <w:r w:rsidRPr="009A1394">
        <w:rPr>
          <w:lang w:val="en-CA"/>
        </w:rPr>
        <w:t xml:space="preserve">Promutuel argues that beyond the </w:t>
      </w:r>
      <w:r w:rsidR="00F875E4" w:rsidRPr="009A1394">
        <w:rPr>
          <w:lang w:val="en-CA"/>
        </w:rPr>
        <w:t>language</w:t>
      </w:r>
      <w:r w:rsidRPr="009A1394">
        <w:rPr>
          <w:lang w:val="en-CA"/>
        </w:rPr>
        <w:t xml:space="preserve"> used by the judge, it was by </w:t>
      </w:r>
      <w:r w:rsidR="00F875E4" w:rsidRPr="009A1394">
        <w:rPr>
          <w:lang w:val="en-CA"/>
        </w:rPr>
        <w:t>relying</w:t>
      </w:r>
      <w:r w:rsidRPr="009A1394">
        <w:rPr>
          <w:lang w:val="en-CA"/>
        </w:rPr>
        <w:t xml:space="preserve"> </w:t>
      </w:r>
      <w:r w:rsidR="00F875E4" w:rsidRPr="009A1394">
        <w:rPr>
          <w:lang w:val="en-CA"/>
        </w:rPr>
        <w:t xml:space="preserve">upon </w:t>
      </w:r>
      <w:r w:rsidRPr="009A1394">
        <w:rPr>
          <w:lang w:val="en-CA"/>
        </w:rPr>
        <w:t xml:space="preserve">the </w:t>
      </w:r>
      <w:r w:rsidRPr="009A1394">
        <w:rPr>
          <w:i/>
          <w:lang w:val="en-CA"/>
        </w:rPr>
        <w:t>causa proxima</w:t>
      </w:r>
      <w:r w:rsidRPr="009A1394">
        <w:rPr>
          <w:lang w:val="en-CA"/>
        </w:rPr>
        <w:t xml:space="preserve"> theory, </w:t>
      </w:r>
      <w:r w:rsidR="00521D0A" w:rsidRPr="009A1394">
        <w:rPr>
          <w:lang w:val="en-CA"/>
        </w:rPr>
        <w:t xml:space="preserve">and not </w:t>
      </w:r>
      <w:r w:rsidR="00F875E4" w:rsidRPr="009A1394">
        <w:rPr>
          <w:lang w:val="en-CA"/>
        </w:rPr>
        <w:t xml:space="preserve">upon </w:t>
      </w:r>
      <w:r w:rsidR="00521D0A" w:rsidRPr="009A1394">
        <w:rPr>
          <w:lang w:val="en-CA"/>
        </w:rPr>
        <w:t xml:space="preserve">that of </w:t>
      </w:r>
      <w:r w:rsidRPr="009A1394">
        <w:rPr>
          <w:lang w:val="en-CA"/>
        </w:rPr>
        <w:t>adequate causation</w:t>
      </w:r>
      <w:r w:rsidR="00521D0A" w:rsidRPr="009A1394">
        <w:rPr>
          <w:lang w:val="en-CA"/>
        </w:rPr>
        <w:t>,</w:t>
      </w:r>
      <w:r w:rsidRPr="009A1394">
        <w:rPr>
          <w:lang w:val="en-CA"/>
        </w:rPr>
        <w:t xml:space="preserve"> that he actually ruled on causa</w:t>
      </w:r>
      <w:r w:rsidR="00290241" w:rsidRPr="009A1394">
        <w:rPr>
          <w:lang w:val="en-CA"/>
        </w:rPr>
        <w:t>tion</w:t>
      </w:r>
      <w:r w:rsidRPr="009A1394">
        <w:rPr>
          <w:lang w:val="en-CA"/>
        </w:rPr>
        <w:t>.</w:t>
      </w:r>
      <w:r w:rsidR="008161A3" w:rsidRPr="009A1394">
        <w:rPr>
          <w:lang w:val="en-CA"/>
        </w:rPr>
        <w:t xml:space="preserve"> </w:t>
      </w:r>
      <w:r w:rsidRPr="009A1394">
        <w:rPr>
          <w:lang w:val="en-CA"/>
        </w:rPr>
        <w:t xml:space="preserve">The judge </w:t>
      </w:r>
      <w:r w:rsidR="00FD7C6A" w:rsidRPr="009A1394">
        <w:rPr>
          <w:lang w:val="en-CA"/>
        </w:rPr>
        <w:t>erroneously focussed his attention</w:t>
      </w:r>
      <w:r w:rsidRPr="009A1394">
        <w:rPr>
          <w:lang w:val="en-CA"/>
        </w:rPr>
        <w:t xml:space="preserve"> on the last fault committed in the sequence of events and ignored those that</w:t>
      </w:r>
      <w:r w:rsidR="00F875E4" w:rsidRPr="009A1394">
        <w:rPr>
          <w:lang w:val="en-CA"/>
        </w:rPr>
        <w:t xml:space="preserve"> had</w:t>
      </w:r>
      <w:r w:rsidRPr="009A1394">
        <w:rPr>
          <w:lang w:val="en-CA"/>
        </w:rPr>
        <w:t xml:space="preserve"> </w:t>
      </w:r>
      <w:r w:rsidR="00FD7C6A" w:rsidRPr="009A1394">
        <w:rPr>
          <w:lang w:val="en-CA"/>
        </w:rPr>
        <w:t>occur</w:t>
      </w:r>
      <w:r w:rsidR="00F875E4" w:rsidRPr="009A1394">
        <w:rPr>
          <w:lang w:val="en-CA"/>
        </w:rPr>
        <w:t>r</w:t>
      </w:r>
      <w:r w:rsidR="00FD7C6A" w:rsidRPr="009A1394">
        <w:rPr>
          <w:lang w:val="en-CA"/>
        </w:rPr>
        <w:t>ed</w:t>
      </w:r>
      <w:r w:rsidRPr="009A1394">
        <w:rPr>
          <w:lang w:val="en-CA"/>
        </w:rPr>
        <w:t xml:space="preserve"> before, without which the </w:t>
      </w:r>
      <w:r w:rsidR="00FD7C6A" w:rsidRPr="009A1394">
        <w:rPr>
          <w:lang w:val="en-CA"/>
        </w:rPr>
        <w:t>injury</w:t>
      </w:r>
      <w:r w:rsidRPr="009A1394">
        <w:rPr>
          <w:lang w:val="en-CA"/>
        </w:rPr>
        <w:t xml:space="preserve"> would not have </w:t>
      </w:r>
      <w:r w:rsidR="00FD7C6A" w:rsidRPr="009A1394">
        <w:rPr>
          <w:lang w:val="en-CA"/>
        </w:rPr>
        <w:t>materialized</w:t>
      </w:r>
      <w:r w:rsidRPr="009A1394">
        <w:rPr>
          <w:lang w:val="en-CA"/>
        </w:rPr>
        <w:t>.</w:t>
      </w:r>
      <w:r w:rsidR="008161A3" w:rsidRPr="009A1394">
        <w:rPr>
          <w:lang w:val="en-CA"/>
        </w:rPr>
        <w:t xml:space="preserve"> </w:t>
      </w:r>
      <w:r w:rsidR="00F875E4" w:rsidRPr="009A1394">
        <w:rPr>
          <w:lang w:val="en-CA"/>
        </w:rPr>
        <w:t>Rather, h</w:t>
      </w:r>
      <w:r w:rsidRPr="009A1394">
        <w:rPr>
          <w:lang w:val="en-CA"/>
        </w:rPr>
        <w:t xml:space="preserve">e should have adopted a global view and noted that the faults committed by CP were part of a </w:t>
      </w:r>
      <w:r w:rsidR="00521D0A" w:rsidRPr="009A1394">
        <w:rPr>
          <w:lang w:val="en-CA"/>
        </w:rPr>
        <w:t>chain</w:t>
      </w:r>
      <w:r w:rsidRPr="009A1394">
        <w:rPr>
          <w:lang w:val="en-CA"/>
        </w:rPr>
        <w:t xml:space="preserve"> of wrongful acts that culminated in the train’s derailment.</w:t>
      </w:r>
      <w:r w:rsidR="008161A3" w:rsidRPr="009A1394">
        <w:rPr>
          <w:lang w:val="en-CA"/>
        </w:rPr>
        <w:t xml:space="preserve"> </w:t>
      </w:r>
      <w:r w:rsidR="002610D3" w:rsidRPr="009A1394">
        <w:rPr>
          <w:lang w:val="en-CA"/>
        </w:rPr>
        <w:t xml:space="preserve">Also, to fully </w:t>
      </w:r>
      <w:r w:rsidR="00F875E4" w:rsidRPr="009A1394">
        <w:rPr>
          <w:lang w:val="en-CA"/>
        </w:rPr>
        <w:t>appreciate</w:t>
      </w:r>
      <w:r w:rsidR="002610D3" w:rsidRPr="009A1394">
        <w:rPr>
          <w:lang w:val="en-CA"/>
        </w:rPr>
        <w:t xml:space="preserve"> CP’s faults, he would have had to give </w:t>
      </w:r>
      <w:r w:rsidR="004D3777" w:rsidRPr="009A1394">
        <w:rPr>
          <w:lang w:val="en-CA"/>
        </w:rPr>
        <w:t xml:space="preserve">further </w:t>
      </w:r>
      <w:r w:rsidR="002610D3" w:rsidRPr="009A1394">
        <w:rPr>
          <w:lang w:val="en-CA"/>
        </w:rPr>
        <w:t xml:space="preserve">consideration to the dangerousness of crude oil from the Bakken </w:t>
      </w:r>
      <w:r w:rsidR="00676A6B" w:rsidRPr="009A1394">
        <w:rPr>
          <w:lang w:val="en-CA"/>
        </w:rPr>
        <w:t>Formation</w:t>
      </w:r>
      <w:r w:rsidR="002610D3" w:rsidRPr="009A1394">
        <w:rPr>
          <w:lang w:val="en-CA"/>
        </w:rPr>
        <w:t xml:space="preserve"> and to CP’s knowledge of MMA’s practices, which exacerbated the risks related to the transportation of such a </w:t>
      </w:r>
      <w:r w:rsidR="002C53E7" w:rsidRPr="009A1394">
        <w:rPr>
          <w:lang w:val="en-CA"/>
        </w:rPr>
        <w:t>product</w:t>
      </w:r>
      <w:r w:rsidR="002610D3" w:rsidRPr="009A1394">
        <w:rPr>
          <w:lang w:val="en-CA"/>
        </w:rPr>
        <w:t>.</w:t>
      </w:r>
      <w:r w:rsidR="008161A3" w:rsidRPr="009A1394">
        <w:rPr>
          <w:lang w:val="en-CA"/>
        </w:rPr>
        <w:t xml:space="preserve"> </w:t>
      </w:r>
      <w:r w:rsidR="002C53E7" w:rsidRPr="009A1394">
        <w:rPr>
          <w:lang w:val="en-CA"/>
        </w:rPr>
        <w:t>E</w:t>
      </w:r>
      <w:r w:rsidR="00290241" w:rsidRPr="009A1394">
        <w:rPr>
          <w:lang w:val="en-CA"/>
        </w:rPr>
        <w:t>ssentially</w:t>
      </w:r>
      <w:r w:rsidR="002C53E7" w:rsidRPr="009A1394">
        <w:rPr>
          <w:lang w:val="en-CA"/>
        </w:rPr>
        <w:t xml:space="preserve">, these included the fact </w:t>
      </w:r>
      <w:r w:rsidR="002610D3" w:rsidRPr="009A1394">
        <w:rPr>
          <w:lang w:val="en-CA"/>
        </w:rPr>
        <w:t xml:space="preserve">that MMA was </w:t>
      </w:r>
      <w:r w:rsidR="004D3777" w:rsidRPr="009A1394">
        <w:rPr>
          <w:lang w:val="en-CA"/>
        </w:rPr>
        <w:t xml:space="preserve">operating </w:t>
      </w:r>
      <w:r w:rsidR="002610D3" w:rsidRPr="009A1394">
        <w:rPr>
          <w:lang w:val="en-CA"/>
        </w:rPr>
        <w:t xml:space="preserve">its trains in SPTO mode and that it </w:t>
      </w:r>
      <w:r w:rsidR="002C53E7" w:rsidRPr="009A1394">
        <w:rPr>
          <w:lang w:val="en-CA"/>
        </w:rPr>
        <w:t>was parking</w:t>
      </w:r>
      <w:r w:rsidR="002610D3" w:rsidRPr="009A1394">
        <w:rPr>
          <w:lang w:val="en-CA"/>
        </w:rPr>
        <w:t xml:space="preserve"> them in Nantes overnight on a</w:t>
      </w:r>
      <w:r w:rsidR="00F875E4" w:rsidRPr="009A1394">
        <w:rPr>
          <w:lang w:val="en-CA"/>
        </w:rPr>
        <w:t xml:space="preserve"> </w:t>
      </w:r>
      <w:r w:rsidR="00FD7C6A" w:rsidRPr="009A1394">
        <w:rPr>
          <w:lang w:val="en-CA"/>
        </w:rPr>
        <w:t>descending grade</w:t>
      </w:r>
      <w:r w:rsidR="002610D3" w:rsidRPr="009A1394">
        <w:rPr>
          <w:lang w:val="en-CA"/>
        </w:rPr>
        <w:t>, until a new crew took over the next day.</w:t>
      </w:r>
    </w:p>
    <w:p w14:paraId="2D111D31" w14:textId="51ED29A5" w:rsidR="00702A59" w:rsidRPr="009A1394" w:rsidRDefault="002610D3" w:rsidP="00720E8B">
      <w:pPr>
        <w:pStyle w:val="Paragraphe"/>
        <w:numPr>
          <w:ilvl w:val="0"/>
          <w:numId w:val="1"/>
        </w:numPr>
        <w:rPr>
          <w:lang w:val="en-CA"/>
        </w:rPr>
      </w:pPr>
      <w:r w:rsidRPr="009A1394">
        <w:rPr>
          <w:lang w:val="en-CA"/>
        </w:rPr>
        <w:t xml:space="preserve">In fact, as the organizer of the </w:t>
      </w:r>
      <w:r w:rsidR="004D3777" w:rsidRPr="009A1394">
        <w:rPr>
          <w:lang w:val="en-CA"/>
        </w:rPr>
        <w:t xml:space="preserve">entire </w:t>
      </w:r>
      <w:r w:rsidRPr="009A1394">
        <w:rPr>
          <w:lang w:val="en-CA"/>
        </w:rPr>
        <w:t xml:space="preserve">route, CP had access to all the relevant information and had every means of fully </w:t>
      </w:r>
      <w:r w:rsidR="002C53E7" w:rsidRPr="009A1394">
        <w:rPr>
          <w:lang w:val="en-CA"/>
        </w:rPr>
        <w:t>appreciating</w:t>
      </w:r>
      <w:r w:rsidRPr="009A1394">
        <w:rPr>
          <w:lang w:val="en-CA"/>
        </w:rPr>
        <w:t xml:space="preserve"> the risks to which it was exposing MMA and third parties along the train’s route.</w:t>
      </w:r>
      <w:r w:rsidR="008161A3" w:rsidRPr="009A1394">
        <w:rPr>
          <w:lang w:val="en-CA"/>
        </w:rPr>
        <w:t xml:space="preserve"> </w:t>
      </w:r>
      <w:r w:rsidRPr="009A1394">
        <w:rPr>
          <w:lang w:val="en-CA"/>
        </w:rPr>
        <w:t>Its faults of omission should not have been excused.</w:t>
      </w:r>
    </w:p>
    <w:p w14:paraId="0499B7D5" w14:textId="7DDB1D6F" w:rsidR="00702A59" w:rsidRPr="009A1394" w:rsidRDefault="002610D3" w:rsidP="00720E8B">
      <w:pPr>
        <w:pStyle w:val="Paragraphe"/>
        <w:numPr>
          <w:ilvl w:val="0"/>
          <w:numId w:val="1"/>
        </w:numPr>
        <w:rPr>
          <w:lang w:val="en-CA"/>
        </w:rPr>
      </w:pPr>
      <w:r w:rsidRPr="009A1394">
        <w:rPr>
          <w:lang w:val="en-CA"/>
        </w:rPr>
        <w:t xml:space="preserve">In the same vein, Promutuel argues that the judge </w:t>
      </w:r>
      <w:r w:rsidR="00EC36F7" w:rsidRPr="009A1394">
        <w:rPr>
          <w:lang w:val="en-CA"/>
        </w:rPr>
        <w:t>erred in relying on</w:t>
      </w:r>
      <w:r w:rsidRPr="009A1394">
        <w:rPr>
          <w:lang w:val="en-CA"/>
        </w:rPr>
        <w:t xml:space="preserve"> the </w:t>
      </w:r>
      <w:r w:rsidRPr="009A1394">
        <w:rPr>
          <w:i/>
          <w:lang w:val="en-CA"/>
        </w:rPr>
        <w:t>novus actus interveniens</w:t>
      </w:r>
      <w:r w:rsidRPr="009A1394">
        <w:rPr>
          <w:lang w:val="en-CA"/>
        </w:rPr>
        <w:t xml:space="preserve"> doctrine.</w:t>
      </w:r>
      <w:r w:rsidR="008161A3" w:rsidRPr="009A1394">
        <w:rPr>
          <w:lang w:val="en-CA"/>
        </w:rPr>
        <w:t xml:space="preserve"> </w:t>
      </w:r>
      <w:r w:rsidRPr="009A1394">
        <w:rPr>
          <w:lang w:val="en-CA"/>
        </w:rPr>
        <w:t xml:space="preserve">Nothing justified its use since CP’s faults were </w:t>
      </w:r>
      <w:r w:rsidR="00A14FEC">
        <w:rPr>
          <w:lang w:val="en-CA"/>
        </w:rPr>
        <w:t xml:space="preserve">entirely </w:t>
      </w:r>
      <w:r w:rsidRPr="009A1394">
        <w:rPr>
          <w:lang w:val="en-CA"/>
        </w:rPr>
        <w:t>separate from those of Harding and MMA.</w:t>
      </w:r>
      <w:r w:rsidR="008161A3" w:rsidRPr="009A1394">
        <w:rPr>
          <w:lang w:val="en-CA"/>
        </w:rPr>
        <w:t xml:space="preserve"> </w:t>
      </w:r>
      <w:r w:rsidRPr="009A1394">
        <w:rPr>
          <w:lang w:val="en-CA"/>
        </w:rPr>
        <w:t xml:space="preserve">The first </w:t>
      </w:r>
      <w:r w:rsidR="00EC36F7" w:rsidRPr="009A1394">
        <w:rPr>
          <w:lang w:val="en-CA"/>
        </w:rPr>
        <w:t>involved</w:t>
      </w:r>
      <w:r w:rsidRPr="009A1394">
        <w:rPr>
          <w:lang w:val="en-CA"/>
        </w:rPr>
        <w:t xml:space="preserve"> the absence of a risk assessment, while the second </w:t>
      </w:r>
      <w:r w:rsidR="00EC36F7" w:rsidRPr="009A1394">
        <w:rPr>
          <w:lang w:val="en-CA"/>
        </w:rPr>
        <w:t>involved</w:t>
      </w:r>
      <w:r w:rsidRPr="009A1394">
        <w:rPr>
          <w:lang w:val="en-CA"/>
        </w:rPr>
        <w:t xml:space="preserve"> the method used to </w:t>
      </w:r>
      <w:r w:rsidR="000B625D" w:rsidRPr="009A1394">
        <w:rPr>
          <w:lang w:val="en-CA"/>
        </w:rPr>
        <w:t>secure</w:t>
      </w:r>
      <w:r w:rsidRPr="009A1394">
        <w:rPr>
          <w:lang w:val="en-CA"/>
        </w:rPr>
        <w:t xml:space="preserve"> the train.</w:t>
      </w:r>
      <w:r w:rsidR="008161A3" w:rsidRPr="009A1394">
        <w:rPr>
          <w:lang w:val="en-CA"/>
        </w:rPr>
        <w:t xml:space="preserve"> </w:t>
      </w:r>
      <w:r w:rsidR="004D3777" w:rsidRPr="009A1394">
        <w:rPr>
          <w:lang w:val="en-CA"/>
        </w:rPr>
        <w:t>To be sure,</w:t>
      </w:r>
      <w:r w:rsidRPr="009A1394">
        <w:rPr>
          <w:lang w:val="en-CA"/>
        </w:rPr>
        <w:t xml:space="preserve"> the faults are entirely </w:t>
      </w:r>
      <w:r w:rsidR="000B625D" w:rsidRPr="009A1394">
        <w:rPr>
          <w:lang w:val="en-CA"/>
        </w:rPr>
        <w:t>separate</w:t>
      </w:r>
      <w:r w:rsidRPr="009A1394">
        <w:rPr>
          <w:lang w:val="en-CA"/>
        </w:rPr>
        <w:t xml:space="preserve"> from each other</w:t>
      </w:r>
      <w:r w:rsidR="004D3777" w:rsidRPr="009A1394">
        <w:rPr>
          <w:lang w:val="en-CA"/>
        </w:rPr>
        <w:t>,</w:t>
      </w:r>
      <w:r w:rsidRPr="009A1394">
        <w:rPr>
          <w:lang w:val="en-CA"/>
        </w:rPr>
        <w:t xml:space="preserve"> but they both contributed to the </w:t>
      </w:r>
      <w:r w:rsidR="00EC36F7" w:rsidRPr="009A1394">
        <w:rPr>
          <w:lang w:val="en-CA"/>
        </w:rPr>
        <w:t>materia</w:t>
      </w:r>
      <w:r w:rsidRPr="009A1394">
        <w:rPr>
          <w:lang w:val="en-CA"/>
        </w:rPr>
        <w:t xml:space="preserve">lization of a single </w:t>
      </w:r>
      <w:r w:rsidR="00EC36F7" w:rsidRPr="009A1394">
        <w:rPr>
          <w:lang w:val="en-CA"/>
        </w:rPr>
        <w:t>injury</w:t>
      </w:r>
      <w:r w:rsidRPr="009A1394">
        <w:rPr>
          <w:lang w:val="en-CA"/>
        </w:rPr>
        <w:t>.</w:t>
      </w:r>
      <w:r w:rsidR="008161A3" w:rsidRPr="009A1394">
        <w:rPr>
          <w:lang w:val="en-CA"/>
        </w:rPr>
        <w:t xml:space="preserve"> </w:t>
      </w:r>
      <w:r w:rsidR="00621C23" w:rsidRPr="009A1394">
        <w:rPr>
          <w:lang w:val="en-CA"/>
        </w:rPr>
        <w:t>Absent</w:t>
      </w:r>
      <w:r w:rsidRPr="009A1394">
        <w:rPr>
          <w:lang w:val="en-CA"/>
        </w:rPr>
        <w:t xml:space="preserve"> one of these, the train would not have derailed.</w:t>
      </w:r>
    </w:p>
    <w:p w14:paraId="182E2C1A" w14:textId="5C5DF2BF" w:rsidR="00702A59" w:rsidRPr="009A1394" w:rsidRDefault="002610D3" w:rsidP="00720E8B">
      <w:pPr>
        <w:pStyle w:val="Paragraphe"/>
        <w:numPr>
          <w:ilvl w:val="0"/>
          <w:numId w:val="1"/>
        </w:numPr>
        <w:rPr>
          <w:lang w:val="en-CA"/>
        </w:rPr>
      </w:pPr>
      <w:r w:rsidRPr="009A1394">
        <w:rPr>
          <w:lang w:val="en-CA"/>
        </w:rPr>
        <w:t>In s</w:t>
      </w:r>
      <w:r w:rsidR="00621C23" w:rsidRPr="009A1394">
        <w:rPr>
          <w:lang w:val="en-CA"/>
        </w:rPr>
        <w:t>um</w:t>
      </w:r>
      <w:r w:rsidRPr="009A1394">
        <w:rPr>
          <w:lang w:val="en-CA"/>
        </w:rPr>
        <w:t>, Prom</w:t>
      </w:r>
      <w:r w:rsidR="000D3DD4">
        <w:rPr>
          <w:lang w:val="en-CA"/>
        </w:rPr>
        <w:t>u</w:t>
      </w:r>
      <w:r w:rsidRPr="009A1394">
        <w:rPr>
          <w:lang w:val="en-CA"/>
        </w:rPr>
        <w:t xml:space="preserve">tuel submits that </w:t>
      </w:r>
      <w:r w:rsidR="00A77494" w:rsidRPr="009A1394">
        <w:rPr>
          <w:lang w:val="en-CA"/>
        </w:rPr>
        <w:t>had the</w:t>
      </w:r>
      <w:r w:rsidRPr="009A1394">
        <w:rPr>
          <w:lang w:val="en-CA"/>
        </w:rPr>
        <w:t xml:space="preserve"> judge</w:t>
      </w:r>
      <w:r w:rsidR="000B625D" w:rsidRPr="009A1394">
        <w:rPr>
          <w:lang w:val="en-CA"/>
        </w:rPr>
        <w:t xml:space="preserve"> </w:t>
      </w:r>
      <w:r w:rsidRPr="009A1394">
        <w:rPr>
          <w:lang w:val="en-CA"/>
        </w:rPr>
        <w:t xml:space="preserve">applied the theories of </w:t>
      </w:r>
      <w:r w:rsidR="000B625D" w:rsidRPr="009A1394">
        <w:rPr>
          <w:lang w:val="en-CA"/>
        </w:rPr>
        <w:t>adequate</w:t>
      </w:r>
      <w:r w:rsidRPr="009A1394">
        <w:rPr>
          <w:lang w:val="en-CA"/>
        </w:rPr>
        <w:t xml:space="preserve"> causation and reasonable foreseeability, as he should have, he could have reached only one conclusion: CP’s faults </w:t>
      </w:r>
      <w:r w:rsidR="000B625D" w:rsidRPr="009A1394">
        <w:rPr>
          <w:lang w:val="en-CA"/>
        </w:rPr>
        <w:t>should</w:t>
      </w:r>
      <w:r w:rsidRPr="009A1394">
        <w:rPr>
          <w:lang w:val="en-CA"/>
        </w:rPr>
        <w:t xml:space="preserve"> have been characterized as contributory to those committed by Harding and MMA.</w:t>
      </w:r>
    </w:p>
    <w:p w14:paraId="468D61EE" w14:textId="27223603" w:rsidR="0046373F" w:rsidRPr="009A1394" w:rsidRDefault="002610D3" w:rsidP="007B0327">
      <w:pPr>
        <w:pStyle w:val="Titre3"/>
        <w:rPr>
          <w:lang w:val="en-CA"/>
        </w:rPr>
      </w:pPr>
      <w:r w:rsidRPr="009A1394">
        <w:rPr>
          <w:lang w:val="en-CA"/>
        </w:rPr>
        <w:t>Class action representatives’ position</w:t>
      </w:r>
    </w:p>
    <w:p w14:paraId="507C4133" w14:textId="5E0AE80D" w:rsidR="00702A59" w:rsidRPr="009A1394" w:rsidRDefault="002610D3" w:rsidP="00720E8B">
      <w:pPr>
        <w:pStyle w:val="Paragraphe"/>
        <w:numPr>
          <w:ilvl w:val="0"/>
          <w:numId w:val="1"/>
        </w:numPr>
        <w:rPr>
          <w:lang w:val="en-CA"/>
        </w:rPr>
      </w:pPr>
      <w:r w:rsidRPr="009A1394">
        <w:rPr>
          <w:lang w:val="en-CA"/>
        </w:rPr>
        <w:t xml:space="preserve">The </w:t>
      </w:r>
      <w:r w:rsidR="000B625D" w:rsidRPr="009A1394">
        <w:rPr>
          <w:lang w:val="en-CA"/>
        </w:rPr>
        <w:t>arguments</w:t>
      </w:r>
      <w:r w:rsidRPr="009A1394">
        <w:rPr>
          <w:lang w:val="en-CA"/>
        </w:rPr>
        <w:t xml:space="preserve"> submitted by the </w:t>
      </w:r>
      <w:r w:rsidR="00E02939" w:rsidRPr="009A1394">
        <w:rPr>
          <w:lang w:val="en-CA"/>
        </w:rPr>
        <w:t xml:space="preserve">class action </w:t>
      </w:r>
      <w:r w:rsidRPr="009A1394">
        <w:rPr>
          <w:lang w:val="en-CA"/>
        </w:rPr>
        <w:t xml:space="preserve">representatives are in line with those of </w:t>
      </w:r>
      <w:r w:rsidR="000B625D" w:rsidRPr="009A1394">
        <w:rPr>
          <w:lang w:val="en-CA"/>
        </w:rPr>
        <w:t>the</w:t>
      </w:r>
      <w:r w:rsidRPr="009A1394">
        <w:rPr>
          <w:lang w:val="en-CA"/>
        </w:rPr>
        <w:t xml:space="preserve"> other appellants.</w:t>
      </w:r>
      <w:r w:rsidR="008161A3" w:rsidRPr="009A1394">
        <w:rPr>
          <w:lang w:val="en-CA"/>
        </w:rPr>
        <w:t xml:space="preserve"> </w:t>
      </w:r>
      <w:r w:rsidRPr="009A1394">
        <w:rPr>
          <w:lang w:val="en-CA"/>
        </w:rPr>
        <w:t xml:space="preserve">In </w:t>
      </w:r>
      <w:r w:rsidR="004B20AF" w:rsidRPr="009A1394">
        <w:rPr>
          <w:lang w:val="en-CA"/>
        </w:rPr>
        <w:t xml:space="preserve">finding </w:t>
      </w:r>
      <w:r w:rsidRPr="009A1394">
        <w:rPr>
          <w:lang w:val="en-CA"/>
        </w:rPr>
        <w:t xml:space="preserve">that only </w:t>
      </w:r>
      <w:r w:rsidR="00526B57" w:rsidRPr="009A1394">
        <w:rPr>
          <w:lang w:val="en-CA"/>
        </w:rPr>
        <w:t xml:space="preserve">the faults of </w:t>
      </w:r>
      <w:r w:rsidRPr="009A1394">
        <w:rPr>
          <w:lang w:val="en-CA"/>
        </w:rPr>
        <w:t xml:space="preserve">Harding and MMA were causal, the judge applied the </w:t>
      </w:r>
      <w:r w:rsidRPr="009A1394">
        <w:rPr>
          <w:i/>
          <w:lang w:val="en-CA"/>
        </w:rPr>
        <w:t>causa proxima</w:t>
      </w:r>
      <w:r w:rsidRPr="009A1394">
        <w:rPr>
          <w:lang w:val="en-CA"/>
        </w:rPr>
        <w:t xml:space="preserve"> theory, without </w:t>
      </w:r>
      <w:r w:rsidR="000B625D" w:rsidRPr="009A1394">
        <w:rPr>
          <w:lang w:val="en-CA"/>
        </w:rPr>
        <w:t>explicitly</w:t>
      </w:r>
      <w:r w:rsidRPr="009A1394">
        <w:rPr>
          <w:lang w:val="en-CA"/>
        </w:rPr>
        <w:t xml:space="preserve"> stating it, </w:t>
      </w:r>
      <w:r w:rsidR="00496313" w:rsidRPr="009A1394">
        <w:rPr>
          <w:lang w:val="en-CA"/>
        </w:rPr>
        <w:t>whereas</w:t>
      </w:r>
      <w:r w:rsidRPr="009A1394">
        <w:rPr>
          <w:lang w:val="en-CA"/>
        </w:rPr>
        <w:t xml:space="preserve"> </w:t>
      </w:r>
      <w:r w:rsidR="00496313" w:rsidRPr="009A1394">
        <w:rPr>
          <w:lang w:val="en-CA"/>
        </w:rPr>
        <w:t>court decisions</w:t>
      </w:r>
      <w:r w:rsidRPr="009A1394">
        <w:rPr>
          <w:lang w:val="en-CA"/>
        </w:rPr>
        <w:t xml:space="preserve"> and </w:t>
      </w:r>
      <w:r w:rsidR="00496313" w:rsidRPr="009A1394">
        <w:rPr>
          <w:lang w:val="en-CA"/>
        </w:rPr>
        <w:t xml:space="preserve">legal </w:t>
      </w:r>
      <w:r w:rsidR="00380B10" w:rsidRPr="009A1394">
        <w:rPr>
          <w:lang w:val="en-CA"/>
        </w:rPr>
        <w:t xml:space="preserve">commentary </w:t>
      </w:r>
      <w:r w:rsidR="00496313" w:rsidRPr="009A1394">
        <w:rPr>
          <w:lang w:val="en-CA"/>
        </w:rPr>
        <w:t xml:space="preserve">have </w:t>
      </w:r>
      <w:r w:rsidRPr="009A1394">
        <w:rPr>
          <w:lang w:val="en-CA"/>
        </w:rPr>
        <w:t>set it aside in favour of adequate causa</w:t>
      </w:r>
      <w:r w:rsidR="000B625D" w:rsidRPr="009A1394">
        <w:rPr>
          <w:lang w:val="en-CA"/>
        </w:rPr>
        <w:t>tion</w:t>
      </w:r>
      <w:r w:rsidRPr="009A1394">
        <w:rPr>
          <w:lang w:val="en-CA"/>
        </w:rPr>
        <w:t xml:space="preserve"> and</w:t>
      </w:r>
      <w:r w:rsidR="00496313" w:rsidRPr="009A1394">
        <w:rPr>
          <w:lang w:val="en-CA"/>
        </w:rPr>
        <w:t>,</w:t>
      </w:r>
      <w:r w:rsidRPr="009A1394">
        <w:rPr>
          <w:lang w:val="en-CA"/>
        </w:rPr>
        <w:t xml:space="preserve"> </w:t>
      </w:r>
      <w:r w:rsidR="00496313" w:rsidRPr="009A1394">
        <w:rPr>
          <w:lang w:val="en-CA"/>
        </w:rPr>
        <w:t>in some cases</w:t>
      </w:r>
      <w:r w:rsidRPr="009A1394">
        <w:rPr>
          <w:lang w:val="en-CA"/>
        </w:rPr>
        <w:t>, reasonable foreseeability.</w:t>
      </w:r>
      <w:r w:rsidR="008161A3" w:rsidRPr="009A1394">
        <w:rPr>
          <w:lang w:val="en-CA"/>
        </w:rPr>
        <w:t xml:space="preserve"> </w:t>
      </w:r>
      <w:r w:rsidRPr="009A1394">
        <w:rPr>
          <w:lang w:val="en-CA"/>
        </w:rPr>
        <w:t xml:space="preserve">They allege that the error of law committed by the judge </w:t>
      </w:r>
      <w:r w:rsidR="00496313" w:rsidRPr="009A1394">
        <w:rPr>
          <w:lang w:val="en-CA"/>
        </w:rPr>
        <w:t>wa</w:t>
      </w:r>
      <w:r w:rsidRPr="009A1394">
        <w:rPr>
          <w:lang w:val="en-CA"/>
        </w:rPr>
        <w:t>s overriding.</w:t>
      </w:r>
    </w:p>
    <w:p w14:paraId="49DE1E4A" w14:textId="6F4028AE" w:rsidR="00702A59" w:rsidRPr="009A1394" w:rsidRDefault="002610D3" w:rsidP="00AB7779">
      <w:pPr>
        <w:pStyle w:val="Paragraphe"/>
        <w:numPr>
          <w:ilvl w:val="0"/>
          <w:numId w:val="1"/>
        </w:numPr>
        <w:spacing w:before="80" w:after="80"/>
        <w:rPr>
          <w:lang w:val="en-CA"/>
        </w:rPr>
      </w:pPr>
      <w:r w:rsidRPr="009A1394">
        <w:rPr>
          <w:lang w:val="en-CA"/>
        </w:rPr>
        <w:lastRenderedPageBreak/>
        <w:t xml:space="preserve">If all the </w:t>
      </w:r>
      <w:r w:rsidR="00113C84" w:rsidRPr="009A1394">
        <w:rPr>
          <w:lang w:val="en-CA"/>
        </w:rPr>
        <w:t>stakeholders in</w:t>
      </w:r>
      <w:r w:rsidRPr="009A1394">
        <w:rPr>
          <w:lang w:val="en-CA"/>
        </w:rPr>
        <w:t xml:space="preserve"> this train carrying crude oil from the Bakken </w:t>
      </w:r>
      <w:r w:rsidR="00676A6B" w:rsidRPr="009A1394">
        <w:rPr>
          <w:lang w:val="en-CA"/>
        </w:rPr>
        <w:t>Formation</w:t>
      </w:r>
      <w:r w:rsidRPr="009A1394">
        <w:rPr>
          <w:lang w:val="en-CA"/>
        </w:rPr>
        <w:t>, including regulatory bodies, had been</w:t>
      </w:r>
      <w:r w:rsidR="00113C84" w:rsidRPr="009A1394">
        <w:rPr>
          <w:lang w:val="en-CA"/>
        </w:rPr>
        <w:t xml:space="preserve"> made</w:t>
      </w:r>
      <w:r w:rsidRPr="009A1394">
        <w:rPr>
          <w:lang w:val="en-CA"/>
        </w:rPr>
        <w:t xml:space="preserve"> aware of MMA’s </w:t>
      </w:r>
      <w:r w:rsidR="003867DE" w:rsidRPr="009A1394">
        <w:rPr>
          <w:lang w:val="en-CA"/>
        </w:rPr>
        <w:t>practices</w:t>
      </w:r>
      <w:r w:rsidRPr="009A1394">
        <w:rPr>
          <w:lang w:val="en-CA"/>
        </w:rPr>
        <w:t xml:space="preserve">, MMA would have </w:t>
      </w:r>
      <w:r w:rsidR="00113C84" w:rsidRPr="009A1394">
        <w:rPr>
          <w:lang w:val="en-CA"/>
        </w:rPr>
        <w:t>been forced</w:t>
      </w:r>
      <w:r w:rsidRPr="009A1394">
        <w:rPr>
          <w:lang w:val="en-CA"/>
        </w:rPr>
        <w:t xml:space="preserve"> to act </w:t>
      </w:r>
      <w:r w:rsidR="00113C84" w:rsidRPr="009A1394">
        <w:rPr>
          <w:lang w:val="en-CA"/>
        </w:rPr>
        <w:t>otherwise</w:t>
      </w:r>
      <w:r w:rsidRPr="009A1394">
        <w:rPr>
          <w:lang w:val="en-CA"/>
        </w:rPr>
        <w:t xml:space="preserve"> by</w:t>
      </w:r>
      <w:r w:rsidR="00113C84" w:rsidRPr="009A1394">
        <w:rPr>
          <w:lang w:val="en-CA"/>
        </w:rPr>
        <w:t xml:space="preserve"> proceeding</w:t>
      </w:r>
      <w:r w:rsidRPr="009A1394">
        <w:rPr>
          <w:lang w:val="en-CA"/>
        </w:rPr>
        <w:t xml:space="preserve">, for example, </w:t>
      </w:r>
      <w:r w:rsidR="00113C84" w:rsidRPr="009A1394">
        <w:rPr>
          <w:lang w:val="en-CA"/>
        </w:rPr>
        <w:t xml:space="preserve">to an </w:t>
      </w:r>
      <w:r w:rsidR="002C1B01" w:rsidRPr="009A1394">
        <w:rPr>
          <w:lang w:val="en-CA"/>
        </w:rPr>
        <w:t>immediate</w:t>
      </w:r>
      <w:r w:rsidRPr="009A1394">
        <w:rPr>
          <w:lang w:val="en-CA"/>
        </w:rPr>
        <w:t xml:space="preserve"> crew</w:t>
      </w:r>
      <w:r w:rsidR="00113C84" w:rsidRPr="009A1394">
        <w:rPr>
          <w:lang w:val="en-CA"/>
        </w:rPr>
        <w:t xml:space="preserve"> change</w:t>
      </w:r>
      <w:r w:rsidRPr="009A1394">
        <w:rPr>
          <w:lang w:val="en-CA"/>
        </w:rPr>
        <w:t xml:space="preserve"> </w:t>
      </w:r>
      <w:r w:rsidR="00113C84" w:rsidRPr="009A1394">
        <w:rPr>
          <w:lang w:val="en-CA"/>
        </w:rPr>
        <w:t>once</w:t>
      </w:r>
      <w:r w:rsidRPr="009A1394">
        <w:rPr>
          <w:lang w:val="en-CA"/>
        </w:rPr>
        <w:t xml:space="preserve"> the train reached Farnham. Thus, the train would not have been </w:t>
      </w:r>
      <w:r w:rsidR="004B20AF" w:rsidRPr="009A1394">
        <w:rPr>
          <w:lang w:val="en-CA"/>
        </w:rPr>
        <w:t>parked</w:t>
      </w:r>
      <w:r w:rsidRPr="009A1394">
        <w:rPr>
          <w:lang w:val="en-CA"/>
        </w:rPr>
        <w:t xml:space="preserve"> in Nantes in the circumstances</w:t>
      </w:r>
      <w:r w:rsidR="00113C84" w:rsidRPr="009A1394">
        <w:rPr>
          <w:lang w:val="en-CA"/>
        </w:rPr>
        <w:t xml:space="preserve"> </w:t>
      </w:r>
      <w:r w:rsidR="002C1B01" w:rsidRPr="009A1394">
        <w:rPr>
          <w:lang w:val="en-CA"/>
        </w:rPr>
        <w:t xml:space="preserve">we </w:t>
      </w:r>
      <w:r w:rsidR="001E4555" w:rsidRPr="009A1394">
        <w:rPr>
          <w:lang w:val="en-CA"/>
        </w:rPr>
        <w:t xml:space="preserve">now </w:t>
      </w:r>
      <w:r w:rsidR="00113C84" w:rsidRPr="009A1394">
        <w:rPr>
          <w:lang w:val="en-CA"/>
        </w:rPr>
        <w:t>know</w:t>
      </w:r>
      <w:r w:rsidRPr="009A1394">
        <w:rPr>
          <w:lang w:val="en-CA"/>
        </w:rPr>
        <w:t>.</w:t>
      </w:r>
    </w:p>
    <w:p w14:paraId="693CD1C6" w14:textId="7F3FEADF" w:rsidR="00702A59" w:rsidRPr="009A1394" w:rsidRDefault="002610D3" w:rsidP="00AB7779">
      <w:pPr>
        <w:pStyle w:val="Paragraphe"/>
        <w:numPr>
          <w:ilvl w:val="0"/>
          <w:numId w:val="1"/>
        </w:numPr>
        <w:spacing w:before="80" w:after="80"/>
        <w:rPr>
          <w:lang w:val="en-CA"/>
        </w:rPr>
      </w:pPr>
      <w:r w:rsidRPr="009A1394">
        <w:rPr>
          <w:lang w:val="en-CA"/>
        </w:rPr>
        <w:t xml:space="preserve">Similarly, if CP had required WFS </w:t>
      </w:r>
      <w:r w:rsidR="00113C84" w:rsidRPr="009A1394">
        <w:rPr>
          <w:lang w:val="en-CA"/>
        </w:rPr>
        <w:t xml:space="preserve">to </w:t>
      </w:r>
      <w:r w:rsidRPr="009A1394">
        <w:rPr>
          <w:lang w:val="en-CA"/>
        </w:rPr>
        <w:t xml:space="preserve">correct the improper classification of the cargo, the </w:t>
      </w:r>
      <w:r w:rsidR="00CF09D2" w:rsidRPr="009A1394">
        <w:rPr>
          <w:lang w:val="en-CA"/>
        </w:rPr>
        <w:t>train</w:t>
      </w:r>
      <w:r w:rsidRPr="009A1394">
        <w:rPr>
          <w:lang w:val="en-CA"/>
        </w:rPr>
        <w:t xml:space="preserve"> would have had to </w:t>
      </w:r>
      <w:r w:rsidR="00113C84" w:rsidRPr="009A1394">
        <w:rPr>
          <w:lang w:val="en-CA"/>
        </w:rPr>
        <w:t>be</w:t>
      </w:r>
      <w:r w:rsidRPr="009A1394">
        <w:rPr>
          <w:lang w:val="en-CA"/>
        </w:rPr>
        <w:t xml:space="preserve"> </w:t>
      </w:r>
      <w:r w:rsidR="00113C84" w:rsidRPr="009A1394">
        <w:rPr>
          <w:lang w:val="en-CA"/>
        </w:rPr>
        <w:t>secured</w:t>
      </w:r>
      <w:r w:rsidRPr="009A1394">
        <w:rPr>
          <w:lang w:val="en-CA"/>
        </w:rPr>
        <w:t xml:space="preserve"> until the correction had been </w:t>
      </w:r>
      <w:r w:rsidR="00CF09D2" w:rsidRPr="009A1394">
        <w:rPr>
          <w:lang w:val="en-CA"/>
        </w:rPr>
        <w:t>brought</w:t>
      </w:r>
      <w:r w:rsidRPr="009A1394">
        <w:rPr>
          <w:lang w:val="en-CA"/>
        </w:rPr>
        <w:t>.</w:t>
      </w:r>
      <w:r w:rsidR="008161A3" w:rsidRPr="009A1394">
        <w:rPr>
          <w:lang w:val="en-CA"/>
        </w:rPr>
        <w:t xml:space="preserve"> </w:t>
      </w:r>
      <w:r w:rsidR="00B3505F" w:rsidRPr="009A1394">
        <w:rPr>
          <w:lang w:val="en-CA"/>
        </w:rPr>
        <w:t xml:space="preserve">Had </w:t>
      </w:r>
      <w:r w:rsidR="00880375" w:rsidRPr="009A1394">
        <w:rPr>
          <w:lang w:val="en-CA"/>
        </w:rPr>
        <w:t>MMA been i</w:t>
      </w:r>
      <w:r w:rsidRPr="009A1394">
        <w:rPr>
          <w:lang w:val="en-CA"/>
        </w:rPr>
        <w:t xml:space="preserve">nformed of the actual classification, </w:t>
      </w:r>
      <w:r w:rsidR="00880375" w:rsidRPr="009A1394">
        <w:rPr>
          <w:lang w:val="en-CA"/>
        </w:rPr>
        <w:t xml:space="preserve">it </w:t>
      </w:r>
      <w:r w:rsidRPr="009A1394">
        <w:rPr>
          <w:lang w:val="en-CA"/>
        </w:rPr>
        <w:t xml:space="preserve">would have changed its </w:t>
      </w:r>
      <w:r w:rsidR="004B20AF" w:rsidRPr="009A1394">
        <w:rPr>
          <w:lang w:val="en-CA"/>
        </w:rPr>
        <w:t>methods</w:t>
      </w:r>
      <w:r w:rsidRPr="009A1394">
        <w:rPr>
          <w:lang w:val="en-CA"/>
        </w:rPr>
        <w:t xml:space="preserve"> and the catastrophe would have been </w:t>
      </w:r>
      <w:r w:rsidR="00CF09D2" w:rsidRPr="009A1394">
        <w:rPr>
          <w:lang w:val="en-CA"/>
        </w:rPr>
        <w:t>averted</w:t>
      </w:r>
      <w:r w:rsidRPr="009A1394">
        <w:rPr>
          <w:lang w:val="en-CA"/>
        </w:rPr>
        <w:t>.</w:t>
      </w:r>
    </w:p>
    <w:p w14:paraId="5D48916A" w14:textId="5435ED9E" w:rsidR="00702A59" w:rsidRPr="009A1394" w:rsidRDefault="002610D3" w:rsidP="00AB7779">
      <w:pPr>
        <w:pStyle w:val="Paragraphe"/>
        <w:numPr>
          <w:ilvl w:val="0"/>
          <w:numId w:val="1"/>
        </w:numPr>
        <w:spacing w:before="80" w:after="80"/>
        <w:rPr>
          <w:lang w:val="en-CA"/>
        </w:rPr>
      </w:pPr>
      <w:r w:rsidRPr="009A1394">
        <w:rPr>
          <w:lang w:val="en-CA"/>
        </w:rPr>
        <w:t>Thus, liability should have been apportioned between CP, on the one hand, and Harding and MMA, on the other.</w:t>
      </w:r>
    </w:p>
    <w:p w14:paraId="2B6EE46E" w14:textId="482C5082" w:rsidR="0046373F" w:rsidRPr="009A1394" w:rsidRDefault="005F2BEE" w:rsidP="007B0327">
      <w:pPr>
        <w:pStyle w:val="Titre3"/>
        <w:rPr>
          <w:lang w:val="en-CA"/>
        </w:rPr>
      </w:pPr>
      <w:r w:rsidRPr="009A1394">
        <w:rPr>
          <w:lang w:val="en-CA"/>
        </w:rPr>
        <w:t>Discussion</w:t>
      </w:r>
    </w:p>
    <w:p w14:paraId="38BF5A73" w14:textId="18259EEB" w:rsidR="00702A59" w:rsidRPr="009A1394" w:rsidRDefault="00F507D8" w:rsidP="00720E8B">
      <w:pPr>
        <w:pStyle w:val="Paragraphe"/>
        <w:numPr>
          <w:ilvl w:val="0"/>
          <w:numId w:val="1"/>
        </w:numPr>
        <w:rPr>
          <w:lang w:val="en-CA"/>
        </w:rPr>
      </w:pPr>
      <w:r w:rsidRPr="009A1394">
        <w:rPr>
          <w:lang w:val="en-CA"/>
        </w:rPr>
        <w:t xml:space="preserve">Legal </w:t>
      </w:r>
      <w:r w:rsidR="00264EC6" w:rsidRPr="009A1394">
        <w:rPr>
          <w:lang w:val="en-CA"/>
        </w:rPr>
        <w:t xml:space="preserve">commentary </w:t>
      </w:r>
      <w:r w:rsidR="002610D3" w:rsidRPr="009A1394">
        <w:rPr>
          <w:lang w:val="en-CA"/>
        </w:rPr>
        <w:t xml:space="preserve">lists a myriad of criteria </w:t>
      </w:r>
      <w:r w:rsidR="00481D11" w:rsidRPr="009A1394">
        <w:rPr>
          <w:lang w:val="en-CA"/>
        </w:rPr>
        <w:t xml:space="preserve">for </w:t>
      </w:r>
      <w:r w:rsidR="002610D3" w:rsidRPr="009A1394">
        <w:rPr>
          <w:lang w:val="en-CA"/>
        </w:rPr>
        <w:t>establish</w:t>
      </w:r>
      <w:r w:rsidR="00481D11" w:rsidRPr="009A1394">
        <w:rPr>
          <w:lang w:val="en-CA"/>
        </w:rPr>
        <w:t>ing</w:t>
      </w:r>
      <w:r w:rsidR="002610D3" w:rsidRPr="009A1394">
        <w:rPr>
          <w:lang w:val="en-CA"/>
        </w:rPr>
        <w:t xml:space="preserve"> a causal connection between a fault and a</w:t>
      </w:r>
      <w:r w:rsidRPr="009A1394">
        <w:rPr>
          <w:lang w:val="en-CA"/>
        </w:rPr>
        <w:t>n</w:t>
      </w:r>
      <w:r w:rsidR="002610D3" w:rsidRPr="009A1394">
        <w:rPr>
          <w:lang w:val="en-CA"/>
        </w:rPr>
        <w:t xml:space="preserve"> </w:t>
      </w:r>
      <w:r w:rsidRPr="009A1394">
        <w:rPr>
          <w:lang w:val="en-CA"/>
        </w:rPr>
        <w:t>injury</w:t>
      </w:r>
      <w:r w:rsidR="002610D3" w:rsidRPr="009A1394">
        <w:rPr>
          <w:lang w:val="en-CA"/>
        </w:rPr>
        <w:t xml:space="preserve">: </w:t>
      </w:r>
      <w:r w:rsidR="00FC10A1" w:rsidRPr="009A1394">
        <w:rPr>
          <w:lang w:val="en-CA"/>
        </w:rPr>
        <w:t>[</w:t>
      </w:r>
      <w:r w:rsidR="00FC10A1" w:rsidRPr="009A1394">
        <w:rPr>
          <w:smallCaps/>
          <w:lang w:val="en-CA"/>
        </w:rPr>
        <w:t>translation</w:t>
      </w:r>
      <w:r w:rsidR="00FC10A1" w:rsidRPr="009A1394">
        <w:rPr>
          <w:lang w:val="en-CA"/>
        </w:rPr>
        <w:t xml:space="preserve">] </w:t>
      </w:r>
      <w:r w:rsidR="002610D3" w:rsidRPr="009A1394">
        <w:rPr>
          <w:lang w:val="en-CA"/>
        </w:rPr>
        <w:t>“effective cause, necessary cause, proximate cause, decisive cause, determinative cause, certain, immediate, remote, scientific, legal, material, juridical, behavioural cause, and so on</w:t>
      </w:r>
      <w:r w:rsidR="00FC10A1" w:rsidRPr="009A1394">
        <w:rPr>
          <w:lang w:val="en-CA"/>
        </w:rPr>
        <w:t>”</w:t>
      </w:r>
      <w:r w:rsidR="002610D3" w:rsidRPr="009A1394">
        <w:rPr>
          <w:lang w:val="en-CA"/>
        </w:rPr>
        <w:t>.</w:t>
      </w:r>
      <w:r w:rsidR="002610D3" w:rsidRPr="009A1394">
        <w:rPr>
          <w:rStyle w:val="Appelnotedebasdep"/>
          <w:lang w:val="en-CA"/>
        </w:rPr>
        <w:footnoteReference w:id="250"/>
      </w:r>
      <w:r w:rsidR="008161A3" w:rsidRPr="009A1394">
        <w:rPr>
          <w:lang w:val="en-CA"/>
        </w:rPr>
        <w:t xml:space="preserve"> </w:t>
      </w:r>
      <w:r w:rsidR="002610D3" w:rsidRPr="009A1394">
        <w:rPr>
          <w:lang w:val="en-CA"/>
        </w:rPr>
        <w:t xml:space="preserve">What is truly important is that the </w:t>
      </w:r>
      <w:r w:rsidRPr="009A1394">
        <w:rPr>
          <w:lang w:val="en-CA"/>
        </w:rPr>
        <w:t>injury</w:t>
      </w:r>
      <w:r w:rsidR="002610D3" w:rsidRPr="009A1394">
        <w:rPr>
          <w:lang w:val="en-CA"/>
        </w:rPr>
        <w:t xml:space="preserve"> must be a logical, direct, and immediate consequence of the fault.</w:t>
      </w:r>
      <w:r w:rsidR="002610D3" w:rsidRPr="009A1394">
        <w:rPr>
          <w:rStyle w:val="Appelnotedebasdep"/>
          <w:lang w:val="en-CA"/>
        </w:rPr>
        <w:footnoteReference w:id="251"/>
      </w:r>
      <w:r w:rsidR="008161A3" w:rsidRPr="009A1394">
        <w:rPr>
          <w:lang w:val="en-CA"/>
        </w:rPr>
        <w:t xml:space="preserve"> </w:t>
      </w:r>
      <w:r w:rsidR="002610D3" w:rsidRPr="009A1394">
        <w:rPr>
          <w:lang w:val="en-CA"/>
        </w:rPr>
        <w:t xml:space="preserve">In other words, any fact without which the </w:t>
      </w:r>
      <w:r w:rsidRPr="009A1394">
        <w:rPr>
          <w:lang w:val="en-CA"/>
        </w:rPr>
        <w:t>injury</w:t>
      </w:r>
      <w:r w:rsidR="002610D3" w:rsidRPr="009A1394">
        <w:rPr>
          <w:lang w:val="en-CA"/>
        </w:rPr>
        <w:t xml:space="preserve"> would not have </w:t>
      </w:r>
      <w:r w:rsidR="00FC10A1" w:rsidRPr="009A1394">
        <w:rPr>
          <w:lang w:val="en-CA"/>
        </w:rPr>
        <w:t>occurred</w:t>
      </w:r>
      <w:r w:rsidR="002610D3" w:rsidRPr="009A1394">
        <w:rPr>
          <w:lang w:val="en-CA"/>
        </w:rPr>
        <w:t xml:space="preserve"> must be considered causal.</w:t>
      </w:r>
      <w:r w:rsidR="002610D3" w:rsidRPr="009A1394">
        <w:rPr>
          <w:rStyle w:val="Appelnotedebasdep"/>
          <w:lang w:val="en-CA"/>
        </w:rPr>
        <w:footnoteReference w:id="252"/>
      </w:r>
    </w:p>
    <w:p w14:paraId="1FFDC61F" w14:textId="0E7E3EF6" w:rsidR="00702A59" w:rsidRPr="009A1394" w:rsidRDefault="00065216" w:rsidP="00720E8B">
      <w:pPr>
        <w:pStyle w:val="Paragraphe"/>
        <w:numPr>
          <w:ilvl w:val="0"/>
          <w:numId w:val="1"/>
        </w:numPr>
        <w:rPr>
          <w:lang w:val="en-CA"/>
        </w:rPr>
      </w:pPr>
      <w:r w:rsidRPr="009A1394">
        <w:rPr>
          <w:lang w:val="en-CA"/>
        </w:rPr>
        <w:t xml:space="preserve">Many causation theories </w:t>
      </w:r>
      <w:r w:rsidR="004520E5" w:rsidRPr="009A1394">
        <w:rPr>
          <w:lang w:val="en-CA"/>
        </w:rPr>
        <w:t>have been</w:t>
      </w:r>
      <w:r w:rsidRPr="009A1394">
        <w:rPr>
          <w:lang w:val="en-CA"/>
        </w:rPr>
        <w:t xml:space="preserve"> suggested, but the case law generally accepts the theory of adequate causa</w:t>
      </w:r>
      <w:r w:rsidR="003D3CA2" w:rsidRPr="009A1394">
        <w:rPr>
          <w:lang w:val="en-CA"/>
        </w:rPr>
        <w:t>tion</w:t>
      </w:r>
      <w:r w:rsidRPr="009A1394">
        <w:rPr>
          <w:lang w:val="en-CA"/>
        </w:rPr>
        <w:t>.</w:t>
      </w:r>
      <w:r w:rsidR="008161A3" w:rsidRPr="009A1394">
        <w:rPr>
          <w:lang w:val="en-CA"/>
        </w:rPr>
        <w:t xml:space="preserve"> </w:t>
      </w:r>
      <w:r w:rsidRPr="009A1394">
        <w:rPr>
          <w:lang w:val="en-CA"/>
        </w:rPr>
        <w:t>Under this theory, only th</w:t>
      </w:r>
      <w:r w:rsidR="004520E5" w:rsidRPr="009A1394">
        <w:rPr>
          <w:lang w:val="en-CA"/>
        </w:rPr>
        <w:t>ose</w:t>
      </w:r>
      <w:r w:rsidRPr="009A1394">
        <w:rPr>
          <w:lang w:val="en-CA"/>
        </w:rPr>
        <w:t xml:space="preserve"> causes that objectively </w:t>
      </w:r>
      <w:r w:rsidR="00663D15" w:rsidRPr="009A1394">
        <w:rPr>
          <w:lang w:val="en-CA"/>
        </w:rPr>
        <w:t>allowed</w:t>
      </w:r>
      <w:r w:rsidRPr="009A1394">
        <w:rPr>
          <w:lang w:val="en-CA"/>
        </w:rPr>
        <w:t xml:space="preserve"> the </w:t>
      </w:r>
      <w:r w:rsidR="004520E5" w:rsidRPr="009A1394">
        <w:rPr>
          <w:lang w:val="en-CA"/>
        </w:rPr>
        <w:t>injury</w:t>
      </w:r>
      <w:r w:rsidRPr="009A1394">
        <w:rPr>
          <w:lang w:val="en-CA"/>
        </w:rPr>
        <w:t xml:space="preserve"> </w:t>
      </w:r>
      <w:r w:rsidR="00DD1E69" w:rsidRPr="009A1394">
        <w:rPr>
          <w:lang w:val="en-CA"/>
        </w:rPr>
        <w:t xml:space="preserve">to materialize </w:t>
      </w:r>
      <w:r w:rsidR="00663D15" w:rsidRPr="009A1394">
        <w:rPr>
          <w:lang w:val="en-CA"/>
        </w:rPr>
        <w:t>are to</w:t>
      </w:r>
      <w:r w:rsidRPr="009A1394">
        <w:rPr>
          <w:lang w:val="en-CA"/>
        </w:rPr>
        <w:t xml:space="preserve"> be </w:t>
      </w:r>
      <w:r w:rsidR="00663D15" w:rsidRPr="009A1394">
        <w:rPr>
          <w:lang w:val="en-CA"/>
        </w:rPr>
        <w:t>consider</w:t>
      </w:r>
      <w:r w:rsidRPr="009A1394">
        <w:rPr>
          <w:lang w:val="en-CA"/>
        </w:rPr>
        <w:t>ed.</w:t>
      </w:r>
      <w:r w:rsidR="008161A3" w:rsidRPr="009A1394">
        <w:rPr>
          <w:lang w:val="en-CA"/>
        </w:rPr>
        <w:t xml:space="preserve"> </w:t>
      </w:r>
      <w:r w:rsidRPr="009A1394">
        <w:rPr>
          <w:lang w:val="en-CA"/>
        </w:rPr>
        <w:t xml:space="preserve">Thus, </w:t>
      </w:r>
      <w:r w:rsidR="00663D15" w:rsidRPr="009A1394">
        <w:rPr>
          <w:lang w:val="en-CA"/>
        </w:rPr>
        <w:t xml:space="preserve">mere </w:t>
      </w:r>
      <w:r w:rsidR="0049653F" w:rsidRPr="009A1394">
        <w:rPr>
          <w:lang w:val="en-CA"/>
        </w:rPr>
        <w:t>occasion</w:t>
      </w:r>
      <w:r w:rsidR="00663D15" w:rsidRPr="009A1394">
        <w:rPr>
          <w:lang w:val="en-CA"/>
        </w:rPr>
        <w:t>s</w:t>
      </w:r>
      <w:r w:rsidR="00F81EE4" w:rsidRPr="009A1394">
        <w:rPr>
          <w:lang w:val="en-CA"/>
        </w:rPr>
        <w:t xml:space="preserve"> </w:t>
      </w:r>
      <w:r w:rsidR="004520E5" w:rsidRPr="009A1394">
        <w:rPr>
          <w:lang w:val="en-CA"/>
        </w:rPr>
        <w:t xml:space="preserve">for </w:t>
      </w:r>
      <w:r w:rsidR="00663D15" w:rsidRPr="009A1394">
        <w:rPr>
          <w:lang w:val="en-CA"/>
        </w:rPr>
        <w:t xml:space="preserve">the </w:t>
      </w:r>
      <w:r w:rsidR="004520E5" w:rsidRPr="009A1394">
        <w:rPr>
          <w:lang w:val="en-CA"/>
        </w:rPr>
        <w:t>injury to materialize</w:t>
      </w:r>
      <w:r w:rsidRPr="009A1394">
        <w:rPr>
          <w:lang w:val="en-CA"/>
        </w:rPr>
        <w:t xml:space="preserve"> or </w:t>
      </w:r>
      <w:r w:rsidRPr="009A1394">
        <w:rPr>
          <w:i/>
          <w:lang w:val="en-CA"/>
        </w:rPr>
        <w:t>sine qua non</w:t>
      </w:r>
      <w:r w:rsidRPr="009A1394">
        <w:rPr>
          <w:lang w:val="en-CA"/>
        </w:rPr>
        <w:t xml:space="preserve"> that are not of this nature are </w:t>
      </w:r>
      <w:r w:rsidR="00261D6B" w:rsidRPr="009A1394">
        <w:rPr>
          <w:lang w:val="en-CA"/>
        </w:rPr>
        <w:t>irrelevant</w:t>
      </w:r>
      <w:r w:rsidRPr="009A1394">
        <w:rPr>
          <w:lang w:val="en-CA"/>
        </w:rPr>
        <w:t>.</w:t>
      </w:r>
      <w:r w:rsidRPr="009A1394">
        <w:rPr>
          <w:rStyle w:val="Appelnotedebasdep"/>
          <w:lang w:val="en-CA"/>
        </w:rPr>
        <w:footnoteReference w:id="253"/>
      </w:r>
    </w:p>
    <w:p w14:paraId="65A64CA8" w14:textId="25D6CCE5" w:rsidR="00702A59" w:rsidRPr="009A1394" w:rsidRDefault="009002B8" w:rsidP="00720E8B">
      <w:pPr>
        <w:pStyle w:val="Paragraphe"/>
        <w:numPr>
          <w:ilvl w:val="0"/>
          <w:numId w:val="1"/>
        </w:numPr>
        <w:rPr>
          <w:lang w:val="en-CA"/>
        </w:rPr>
      </w:pPr>
      <w:r w:rsidRPr="009A1394">
        <w:rPr>
          <w:lang w:val="en-CA"/>
        </w:rPr>
        <w:t>The</w:t>
      </w:r>
      <w:r w:rsidR="00065216" w:rsidRPr="009A1394">
        <w:rPr>
          <w:lang w:val="en-CA"/>
        </w:rPr>
        <w:t xml:space="preserve"> theory of adequate causa</w:t>
      </w:r>
      <w:r w:rsidR="003D3CA2" w:rsidRPr="009A1394">
        <w:rPr>
          <w:lang w:val="en-CA"/>
        </w:rPr>
        <w:t>tion</w:t>
      </w:r>
      <w:r w:rsidR="00065216" w:rsidRPr="009A1394">
        <w:rPr>
          <w:lang w:val="en-CA"/>
        </w:rPr>
        <w:t xml:space="preserve"> </w:t>
      </w:r>
      <w:r w:rsidR="006702D6" w:rsidRPr="009A1394">
        <w:rPr>
          <w:lang w:val="en-CA"/>
        </w:rPr>
        <w:t xml:space="preserve">can </w:t>
      </w:r>
      <w:r w:rsidRPr="009A1394">
        <w:rPr>
          <w:lang w:val="en-CA"/>
        </w:rPr>
        <w:t xml:space="preserve">sometimes </w:t>
      </w:r>
      <w:r w:rsidR="00065216" w:rsidRPr="009A1394">
        <w:rPr>
          <w:lang w:val="en-CA"/>
        </w:rPr>
        <w:t xml:space="preserve">be </w:t>
      </w:r>
      <w:r w:rsidR="00261D6B" w:rsidRPr="009A1394">
        <w:rPr>
          <w:lang w:val="en-CA"/>
        </w:rPr>
        <w:t>combined with</w:t>
      </w:r>
      <w:r w:rsidR="00065216" w:rsidRPr="009A1394">
        <w:rPr>
          <w:lang w:val="en-CA"/>
        </w:rPr>
        <w:t xml:space="preserve"> that of reasonable foreseeability, even if they are of </w:t>
      </w:r>
      <w:r w:rsidR="00261D6B" w:rsidRPr="009A1394">
        <w:rPr>
          <w:lang w:val="en-CA"/>
        </w:rPr>
        <w:t xml:space="preserve">a </w:t>
      </w:r>
      <w:r w:rsidR="00065216" w:rsidRPr="009A1394">
        <w:rPr>
          <w:lang w:val="en-CA"/>
        </w:rPr>
        <w:t>different nature.</w:t>
      </w:r>
      <w:r w:rsidR="00065216" w:rsidRPr="009A1394">
        <w:rPr>
          <w:rStyle w:val="Appelnotedebasdep"/>
          <w:lang w:val="en-CA"/>
        </w:rPr>
        <w:footnoteReference w:id="254"/>
      </w:r>
      <w:r w:rsidR="008161A3" w:rsidRPr="009A1394">
        <w:rPr>
          <w:lang w:val="en-CA"/>
        </w:rPr>
        <w:t xml:space="preserve"> </w:t>
      </w:r>
      <w:r w:rsidR="00065216" w:rsidRPr="009A1394">
        <w:rPr>
          <w:lang w:val="en-CA"/>
        </w:rPr>
        <w:t xml:space="preserve">The Court’s judgment in </w:t>
      </w:r>
      <w:r w:rsidR="00065216" w:rsidRPr="009A1394">
        <w:rPr>
          <w:i/>
          <w:lang w:val="en-CA"/>
        </w:rPr>
        <w:t>Ville de</w:t>
      </w:r>
      <w:r w:rsidR="00065216" w:rsidRPr="009A1394">
        <w:rPr>
          <w:lang w:val="en-CA"/>
        </w:rPr>
        <w:t xml:space="preserve"> </w:t>
      </w:r>
      <w:r w:rsidR="00065216" w:rsidRPr="009A1394">
        <w:rPr>
          <w:i/>
          <w:lang w:val="en-CA"/>
        </w:rPr>
        <w:t>Laval c. Ducharme</w:t>
      </w:r>
      <w:r w:rsidR="00065216" w:rsidRPr="009A1394">
        <w:rPr>
          <w:lang w:val="en-CA"/>
        </w:rPr>
        <w:t> </w:t>
      </w:r>
      <w:r w:rsidR="00261D6B" w:rsidRPr="009A1394">
        <w:rPr>
          <w:lang w:val="en-CA"/>
        </w:rPr>
        <w:t>illustrates</w:t>
      </w:r>
      <w:r w:rsidR="00065216" w:rsidRPr="009A1394">
        <w:rPr>
          <w:lang w:val="en-CA"/>
        </w:rPr>
        <w:t xml:space="preserve"> this:</w:t>
      </w:r>
    </w:p>
    <w:p w14:paraId="03FCF794" w14:textId="24F21F7B" w:rsidR="003D3CA2" w:rsidRPr="009A1394" w:rsidRDefault="003D3CA2" w:rsidP="001B713F">
      <w:pPr>
        <w:pStyle w:val="Citationenretrait"/>
        <w:keepNext/>
        <w:rPr>
          <w:lang w:val="en-CA"/>
        </w:rPr>
      </w:pPr>
      <w:r w:rsidRPr="009A1394">
        <w:rPr>
          <w:lang w:val="en-CA"/>
        </w:rPr>
        <w:t>[</w:t>
      </w:r>
      <w:r w:rsidRPr="009A1394">
        <w:rPr>
          <w:smallCaps/>
          <w:lang w:val="en-CA"/>
        </w:rPr>
        <w:t>translation</w:t>
      </w:r>
      <w:r w:rsidRPr="009A1394">
        <w:rPr>
          <w:lang w:val="en-CA"/>
        </w:rPr>
        <w:t>]</w:t>
      </w:r>
    </w:p>
    <w:p w14:paraId="37D7A81E" w14:textId="545D2085" w:rsidR="00702A59" w:rsidRPr="009A1394" w:rsidRDefault="00065216" w:rsidP="001B713F">
      <w:pPr>
        <w:pStyle w:val="Citationenretrait"/>
        <w:keepNext/>
        <w:rPr>
          <w:lang w:val="en-CA"/>
        </w:rPr>
      </w:pPr>
      <w:r w:rsidRPr="009A1394">
        <w:rPr>
          <w:lang w:val="en-CA"/>
        </w:rPr>
        <w:t>[156]</w:t>
      </w:r>
      <w:r w:rsidR="008161A3" w:rsidRPr="009A1394">
        <w:rPr>
          <w:lang w:val="en-CA"/>
        </w:rPr>
        <w:tab/>
      </w:r>
      <w:r w:rsidR="007F3CAE" w:rsidRPr="009A1394">
        <w:rPr>
          <w:lang w:val="en-CA"/>
        </w:rPr>
        <w:t>First, h</w:t>
      </w:r>
      <w:r w:rsidRPr="009A1394">
        <w:rPr>
          <w:lang w:val="en-CA"/>
        </w:rPr>
        <w:t xml:space="preserve">e correctly </w:t>
      </w:r>
      <w:r w:rsidR="007F3CAE" w:rsidRPr="009A1394">
        <w:rPr>
          <w:lang w:val="en-CA"/>
        </w:rPr>
        <w:t>found</w:t>
      </w:r>
      <w:r w:rsidRPr="009A1394">
        <w:rPr>
          <w:lang w:val="en-CA"/>
        </w:rPr>
        <w:t xml:space="preserve"> that police officers’ liability </w:t>
      </w:r>
      <w:r w:rsidR="004E4931" w:rsidRPr="009A1394">
        <w:rPr>
          <w:lang w:val="en-CA"/>
        </w:rPr>
        <w:t>is</w:t>
      </w:r>
      <w:r w:rsidRPr="009A1394">
        <w:rPr>
          <w:lang w:val="en-CA"/>
        </w:rPr>
        <w:t xml:space="preserve"> incurred only if </w:t>
      </w:r>
      <w:r w:rsidR="003D3CA2" w:rsidRPr="009A1394">
        <w:rPr>
          <w:lang w:val="en-CA"/>
        </w:rPr>
        <w:t>the</w:t>
      </w:r>
      <w:r w:rsidRPr="009A1394">
        <w:rPr>
          <w:lang w:val="en-CA"/>
        </w:rPr>
        <w:t xml:space="preserve"> </w:t>
      </w:r>
      <w:r w:rsidR="004E4931" w:rsidRPr="009A1394">
        <w:rPr>
          <w:lang w:val="en-CA"/>
        </w:rPr>
        <w:t>injury</w:t>
      </w:r>
      <w:r w:rsidRPr="009A1394">
        <w:rPr>
          <w:lang w:val="en-CA"/>
        </w:rPr>
        <w:t xml:space="preserve"> </w:t>
      </w:r>
      <w:r w:rsidR="004E4931" w:rsidRPr="009A1394">
        <w:rPr>
          <w:lang w:val="en-CA"/>
        </w:rPr>
        <w:t>is</w:t>
      </w:r>
      <w:r w:rsidRPr="009A1394">
        <w:rPr>
          <w:lang w:val="en-CA"/>
        </w:rPr>
        <w:t xml:space="preserve"> an immediate and direct consequence of the fault.</w:t>
      </w:r>
      <w:r w:rsidR="008161A3" w:rsidRPr="009A1394">
        <w:rPr>
          <w:lang w:val="en-CA"/>
        </w:rPr>
        <w:t xml:space="preserve"> </w:t>
      </w:r>
      <w:r w:rsidRPr="009A1394">
        <w:rPr>
          <w:lang w:val="en-CA"/>
        </w:rPr>
        <w:t xml:space="preserve">He </w:t>
      </w:r>
      <w:r w:rsidR="007F3CAE" w:rsidRPr="009A1394">
        <w:rPr>
          <w:lang w:val="en-CA"/>
        </w:rPr>
        <w:t>not</w:t>
      </w:r>
      <w:r w:rsidRPr="009A1394">
        <w:rPr>
          <w:lang w:val="en-CA"/>
        </w:rPr>
        <w:t xml:space="preserve">ed that the </w:t>
      </w:r>
      <w:r w:rsidRPr="009A1394">
        <w:rPr>
          <w:lang w:val="en-CA"/>
        </w:rPr>
        <w:lastRenderedPageBreak/>
        <w:t xml:space="preserve">analysis of this </w:t>
      </w:r>
      <w:r w:rsidR="004E4931" w:rsidRPr="009A1394">
        <w:rPr>
          <w:lang w:val="en-CA"/>
        </w:rPr>
        <w:t>nexus</w:t>
      </w:r>
      <w:r w:rsidRPr="009A1394">
        <w:rPr>
          <w:lang w:val="en-CA"/>
        </w:rPr>
        <w:t xml:space="preserve"> </w:t>
      </w:r>
      <w:r w:rsidR="003D3CA2" w:rsidRPr="009A1394">
        <w:rPr>
          <w:lang w:val="en-CA"/>
        </w:rPr>
        <w:t>t</w:t>
      </w:r>
      <w:r w:rsidR="004E4931" w:rsidRPr="009A1394">
        <w:rPr>
          <w:lang w:val="en-CA"/>
        </w:rPr>
        <w:t>akes</w:t>
      </w:r>
      <w:r w:rsidRPr="009A1394">
        <w:rPr>
          <w:lang w:val="en-CA"/>
        </w:rPr>
        <w:t xml:space="preserve"> into account the criteria </w:t>
      </w:r>
      <w:r w:rsidR="009E5785" w:rsidRPr="009A1394">
        <w:rPr>
          <w:lang w:val="en-CA"/>
        </w:rPr>
        <w:t>of</w:t>
      </w:r>
      <w:r w:rsidRPr="009A1394">
        <w:rPr>
          <w:lang w:val="en-CA"/>
        </w:rPr>
        <w:t xml:space="preserve"> adequate causa</w:t>
      </w:r>
      <w:r w:rsidR="003D3CA2" w:rsidRPr="009A1394">
        <w:rPr>
          <w:lang w:val="en-CA"/>
        </w:rPr>
        <w:t>tion</w:t>
      </w:r>
      <w:r w:rsidRPr="009A1394">
        <w:rPr>
          <w:lang w:val="en-CA"/>
        </w:rPr>
        <w:t xml:space="preserve"> and reasonable foreseeability.</w:t>
      </w:r>
      <w:r w:rsidR="008161A3" w:rsidRPr="009A1394">
        <w:rPr>
          <w:lang w:val="en-CA"/>
        </w:rPr>
        <w:t xml:space="preserve"> </w:t>
      </w:r>
      <w:r w:rsidR="009E5785" w:rsidRPr="009A1394">
        <w:rPr>
          <w:lang w:val="en-CA"/>
        </w:rPr>
        <w:t>In his words,</w:t>
      </w:r>
      <w:r w:rsidR="007F3CAE" w:rsidRPr="009A1394">
        <w:rPr>
          <w:lang w:val="en-CA"/>
        </w:rPr>
        <w:t xml:space="preserve"> </w:t>
      </w:r>
      <w:r w:rsidR="009E5785" w:rsidRPr="009A1394">
        <w:rPr>
          <w:lang w:val="en-CA"/>
        </w:rPr>
        <w:t xml:space="preserve">this </w:t>
      </w:r>
      <w:r w:rsidR="00980163" w:rsidRPr="009A1394">
        <w:rPr>
          <w:lang w:val="en-CA"/>
        </w:rPr>
        <w:t>involves</w:t>
      </w:r>
      <w:r w:rsidRPr="009A1394">
        <w:rPr>
          <w:lang w:val="en-CA"/>
        </w:rPr>
        <w:t>: (1) ensur</w:t>
      </w:r>
      <w:r w:rsidR="009E5785" w:rsidRPr="009A1394">
        <w:rPr>
          <w:lang w:val="en-CA"/>
        </w:rPr>
        <w:t>ing</w:t>
      </w:r>
      <w:r w:rsidRPr="009A1394">
        <w:rPr>
          <w:lang w:val="en-CA"/>
        </w:rPr>
        <w:t xml:space="preserve"> that the </w:t>
      </w:r>
      <w:r w:rsidR="00843DEF" w:rsidRPr="009A1394">
        <w:rPr>
          <w:lang w:val="en-CA"/>
        </w:rPr>
        <w:t>damage</w:t>
      </w:r>
      <w:r w:rsidRPr="009A1394">
        <w:rPr>
          <w:lang w:val="en-CA"/>
        </w:rPr>
        <w:t xml:space="preserve"> cause</w:t>
      </w:r>
      <w:r w:rsidR="00843DEF" w:rsidRPr="009A1394">
        <w:rPr>
          <w:lang w:val="en-CA"/>
        </w:rPr>
        <w:t>d</w:t>
      </w:r>
      <w:r w:rsidRPr="009A1394">
        <w:rPr>
          <w:lang w:val="en-CA"/>
        </w:rPr>
        <w:t xml:space="preserve"> is a logical, direct, and immediate consequence of the alleged fault; (2) </w:t>
      </w:r>
      <w:r w:rsidR="00843DEF" w:rsidRPr="009A1394">
        <w:rPr>
          <w:lang w:val="en-CA"/>
        </w:rPr>
        <w:t>at the same time</w:t>
      </w:r>
      <w:r w:rsidRPr="009A1394">
        <w:rPr>
          <w:lang w:val="en-CA"/>
        </w:rPr>
        <w:t>, ensur</w:t>
      </w:r>
      <w:r w:rsidR="009E5785" w:rsidRPr="009A1394">
        <w:rPr>
          <w:lang w:val="en-CA"/>
        </w:rPr>
        <w:t>ing</w:t>
      </w:r>
      <w:r w:rsidRPr="009A1394">
        <w:rPr>
          <w:lang w:val="en-CA"/>
        </w:rPr>
        <w:t xml:space="preserve"> reasonable foreseeability, </w:t>
      </w:r>
      <w:r w:rsidR="009E5785" w:rsidRPr="009A1394">
        <w:rPr>
          <w:lang w:val="en-CA"/>
        </w:rPr>
        <w:t>i.e.</w:t>
      </w:r>
      <w:r w:rsidRPr="009A1394">
        <w:rPr>
          <w:lang w:val="en-CA"/>
        </w:rPr>
        <w:t xml:space="preserve">, that the </w:t>
      </w:r>
      <w:r w:rsidR="00874763" w:rsidRPr="009A1394">
        <w:rPr>
          <w:lang w:val="en-CA"/>
        </w:rPr>
        <w:t>wron</w:t>
      </w:r>
      <w:r w:rsidR="006702D6" w:rsidRPr="009A1394">
        <w:rPr>
          <w:lang w:val="en-CA"/>
        </w:rPr>
        <w:t>g</w:t>
      </w:r>
      <w:r w:rsidR="00874763" w:rsidRPr="009A1394">
        <w:rPr>
          <w:lang w:val="en-CA"/>
        </w:rPr>
        <w:t>doer</w:t>
      </w:r>
      <w:r w:rsidRPr="009A1394">
        <w:rPr>
          <w:lang w:val="en-CA"/>
        </w:rPr>
        <w:t xml:space="preserve"> could reasonably have foreseen that the </w:t>
      </w:r>
      <w:r w:rsidR="00843DEF" w:rsidRPr="009A1394">
        <w:rPr>
          <w:lang w:val="en-CA"/>
        </w:rPr>
        <w:t>damage</w:t>
      </w:r>
      <w:r w:rsidRPr="009A1394">
        <w:rPr>
          <w:lang w:val="en-CA"/>
        </w:rPr>
        <w:t xml:space="preserve"> would occur ... .</w:t>
      </w:r>
      <w:r w:rsidR="008161A3" w:rsidRPr="009A1394">
        <w:rPr>
          <w:rStyle w:val="Appelnotedebasdep"/>
          <w:lang w:val="en-CA"/>
        </w:rPr>
        <w:footnoteReference w:id="255"/>
      </w:r>
    </w:p>
    <w:p w14:paraId="67594DA1" w14:textId="596E3851" w:rsidR="00702A59" w:rsidRPr="009A1394" w:rsidRDefault="00065216" w:rsidP="00720E8B">
      <w:pPr>
        <w:pStyle w:val="Paragraphe"/>
        <w:numPr>
          <w:ilvl w:val="0"/>
          <w:numId w:val="1"/>
        </w:numPr>
        <w:rPr>
          <w:lang w:val="en-CA"/>
        </w:rPr>
      </w:pPr>
      <w:r w:rsidRPr="009A1394">
        <w:rPr>
          <w:lang w:val="en-CA"/>
        </w:rPr>
        <w:t xml:space="preserve">In </w:t>
      </w:r>
      <w:r w:rsidR="00980163" w:rsidRPr="009A1394">
        <w:rPr>
          <w:lang w:val="en-CA"/>
        </w:rPr>
        <w:t>sum</w:t>
      </w:r>
      <w:r w:rsidRPr="009A1394">
        <w:rPr>
          <w:lang w:val="en-CA"/>
        </w:rPr>
        <w:t xml:space="preserve">, a fault will be considered causal only when the </w:t>
      </w:r>
      <w:r w:rsidR="005917FD" w:rsidRPr="009A1394">
        <w:rPr>
          <w:lang w:val="en-CA"/>
        </w:rPr>
        <w:t xml:space="preserve">injury </w:t>
      </w:r>
      <w:r w:rsidRPr="009A1394">
        <w:rPr>
          <w:lang w:val="en-CA"/>
        </w:rPr>
        <w:t xml:space="preserve">is the logical, </w:t>
      </w:r>
      <w:r w:rsidR="00843DEF" w:rsidRPr="009A1394">
        <w:rPr>
          <w:lang w:val="en-CA"/>
        </w:rPr>
        <w:t>direct</w:t>
      </w:r>
      <w:r w:rsidRPr="009A1394">
        <w:rPr>
          <w:lang w:val="en-CA"/>
        </w:rPr>
        <w:t>, and immediate consequence of that fault.</w:t>
      </w:r>
      <w:r w:rsidR="008161A3" w:rsidRPr="009A1394">
        <w:rPr>
          <w:lang w:val="en-CA"/>
        </w:rPr>
        <w:t xml:space="preserve"> </w:t>
      </w:r>
      <w:r w:rsidRPr="009A1394">
        <w:rPr>
          <w:lang w:val="en-CA"/>
        </w:rPr>
        <w:t xml:space="preserve">The </w:t>
      </w:r>
      <w:r w:rsidR="00B27CEF" w:rsidRPr="009A1394">
        <w:rPr>
          <w:lang w:val="en-CA"/>
        </w:rPr>
        <w:t>wrongful</w:t>
      </w:r>
      <w:r w:rsidRPr="009A1394">
        <w:rPr>
          <w:lang w:val="en-CA"/>
        </w:rPr>
        <w:t xml:space="preserve"> behaviour must have </w:t>
      </w:r>
      <w:r w:rsidR="006702D6" w:rsidRPr="009A1394">
        <w:rPr>
          <w:lang w:val="en-CA"/>
        </w:rPr>
        <w:t xml:space="preserve">actually </w:t>
      </w:r>
      <w:r w:rsidRPr="009A1394">
        <w:rPr>
          <w:lang w:val="en-CA"/>
        </w:rPr>
        <w:t>caused the injury,</w:t>
      </w:r>
      <w:r w:rsidRPr="009A1394">
        <w:rPr>
          <w:rStyle w:val="Appelnotedebasdep"/>
          <w:lang w:val="en-CA"/>
        </w:rPr>
        <w:footnoteReference w:id="256"/>
      </w:r>
      <w:r w:rsidRPr="009A1394">
        <w:rPr>
          <w:lang w:val="en-CA"/>
        </w:rPr>
        <w:t xml:space="preserve"> or</w:t>
      </w:r>
      <w:r w:rsidR="00980163" w:rsidRPr="009A1394">
        <w:rPr>
          <w:lang w:val="en-CA"/>
        </w:rPr>
        <w:t>,</w:t>
      </w:r>
      <w:r w:rsidRPr="009A1394">
        <w:rPr>
          <w:lang w:val="en-CA"/>
        </w:rPr>
        <w:t xml:space="preserve"> in other </w:t>
      </w:r>
      <w:r w:rsidR="00843DEF" w:rsidRPr="009A1394">
        <w:rPr>
          <w:lang w:val="en-CA"/>
        </w:rPr>
        <w:t>words</w:t>
      </w:r>
      <w:r w:rsidRPr="009A1394">
        <w:rPr>
          <w:lang w:val="en-CA"/>
        </w:rPr>
        <w:t xml:space="preserve">, </w:t>
      </w:r>
      <w:r w:rsidR="0049653F" w:rsidRPr="009A1394">
        <w:rPr>
          <w:lang w:val="en-CA"/>
        </w:rPr>
        <w:t xml:space="preserve">it </w:t>
      </w:r>
      <w:r w:rsidRPr="009A1394">
        <w:rPr>
          <w:lang w:val="en-CA"/>
        </w:rPr>
        <w:t xml:space="preserve">must be its </w:t>
      </w:r>
      <w:r w:rsidR="0089301E" w:rsidRPr="009A1394">
        <w:rPr>
          <w:lang w:val="en-CA"/>
        </w:rPr>
        <w:t>true</w:t>
      </w:r>
      <w:r w:rsidRPr="009A1394">
        <w:rPr>
          <w:lang w:val="en-CA"/>
        </w:rPr>
        <w:t xml:space="preserve"> cause.</w:t>
      </w:r>
      <w:r w:rsidRPr="009A1394">
        <w:rPr>
          <w:rStyle w:val="Appelnotedebasdep"/>
          <w:lang w:val="en-CA"/>
        </w:rPr>
        <w:footnoteReference w:id="257"/>
      </w:r>
    </w:p>
    <w:p w14:paraId="6804054F" w14:textId="31FA1092" w:rsidR="00702A59" w:rsidRPr="009A1394" w:rsidRDefault="00065216" w:rsidP="00720E8B">
      <w:pPr>
        <w:pStyle w:val="Paragraphe"/>
        <w:numPr>
          <w:ilvl w:val="0"/>
          <w:numId w:val="1"/>
        </w:numPr>
        <w:rPr>
          <w:lang w:val="en-CA"/>
        </w:rPr>
      </w:pPr>
      <w:r w:rsidRPr="009A1394">
        <w:rPr>
          <w:lang w:val="en-CA"/>
        </w:rPr>
        <w:t>The theory of adequate causa</w:t>
      </w:r>
      <w:r w:rsidR="00843DEF" w:rsidRPr="009A1394">
        <w:rPr>
          <w:lang w:val="en-CA"/>
        </w:rPr>
        <w:t>tion</w:t>
      </w:r>
      <w:r w:rsidRPr="009A1394">
        <w:rPr>
          <w:lang w:val="en-CA"/>
        </w:rPr>
        <w:t xml:space="preserve"> does not </w:t>
      </w:r>
      <w:r w:rsidR="00980163" w:rsidRPr="009A1394">
        <w:rPr>
          <w:lang w:val="en-CA"/>
        </w:rPr>
        <w:t>however preclude</w:t>
      </w:r>
      <w:r w:rsidRPr="009A1394">
        <w:rPr>
          <w:lang w:val="en-CA"/>
        </w:rPr>
        <w:t xml:space="preserve"> the possibility of </w:t>
      </w:r>
      <w:r w:rsidR="00980163" w:rsidRPr="009A1394">
        <w:rPr>
          <w:lang w:val="en-CA"/>
        </w:rPr>
        <w:t>finding</w:t>
      </w:r>
      <w:r w:rsidRPr="009A1394">
        <w:rPr>
          <w:lang w:val="en-CA"/>
        </w:rPr>
        <w:t xml:space="preserve"> more than one causal fault:</w:t>
      </w:r>
    </w:p>
    <w:p w14:paraId="49282299" w14:textId="23257CBA" w:rsidR="00843DEF" w:rsidRPr="009A1394" w:rsidRDefault="00843DEF" w:rsidP="00E30275">
      <w:pPr>
        <w:pStyle w:val="Citationenretrait"/>
        <w:rPr>
          <w:lang w:val="en-CA"/>
        </w:rPr>
      </w:pPr>
      <w:r w:rsidRPr="009A1394">
        <w:rPr>
          <w:lang w:val="en-CA"/>
        </w:rPr>
        <w:t>[</w:t>
      </w:r>
      <w:r w:rsidRPr="009A1394">
        <w:rPr>
          <w:smallCaps/>
          <w:lang w:val="en-CA"/>
        </w:rPr>
        <w:t>translation</w:t>
      </w:r>
      <w:r w:rsidRPr="009A1394">
        <w:rPr>
          <w:lang w:val="en-CA"/>
        </w:rPr>
        <w:t>]</w:t>
      </w:r>
    </w:p>
    <w:p w14:paraId="7D4C9025" w14:textId="57C81664" w:rsidR="00702A59" w:rsidRPr="009A1394" w:rsidRDefault="00980163" w:rsidP="00E30275">
      <w:pPr>
        <w:pStyle w:val="Citationenretrait"/>
        <w:rPr>
          <w:lang w:val="en-CA"/>
        </w:rPr>
      </w:pPr>
      <w:r w:rsidRPr="009A1394">
        <w:rPr>
          <w:lang w:val="en-CA"/>
        </w:rPr>
        <w:t>Indeed, one</w:t>
      </w:r>
      <w:r w:rsidR="00065216" w:rsidRPr="009A1394">
        <w:rPr>
          <w:lang w:val="en-CA"/>
        </w:rPr>
        <w:t xml:space="preserve"> </w:t>
      </w:r>
      <w:r w:rsidRPr="009A1394">
        <w:rPr>
          <w:lang w:val="en-CA"/>
        </w:rPr>
        <w:t xml:space="preserve">can </w:t>
      </w:r>
      <w:r w:rsidR="0089301E" w:rsidRPr="009A1394">
        <w:rPr>
          <w:lang w:val="en-CA"/>
        </w:rPr>
        <w:t>abide by the broad tenets of the</w:t>
      </w:r>
      <w:r w:rsidR="00065216" w:rsidRPr="009A1394">
        <w:rPr>
          <w:lang w:val="en-CA"/>
        </w:rPr>
        <w:t xml:space="preserve"> adequate causa</w:t>
      </w:r>
      <w:r w:rsidR="00843DEF" w:rsidRPr="009A1394">
        <w:rPr>
          <w:lang w:val="en-CA"/>
        </w:rPr>
        <w:t>tion</w:t>
      </w:r>
      <w:r w:rsidR="00065216" w:rsidRPr="009A1394">
        <w:rPr>
          <w:lang w:val="en-CA"/>
        </w:rPr>
        <w:t xml:space="preserve"> theory while</w:t>
      </w:r>
      <w:r w:rsidR="0089301E" w:rsidRPr="009A1394">
        <w:rPr>
          <w:lang w:val="en-CA"/>
        </w:rPr>
        <w:t xml:space="preserve"> nevertheless</w:t>
      </w:r>
      <w:r w:rsidR="00065216" w:rsidRPr="009A1394">
        <w:rPr>
          <w:lang w:val="en-CA"/>
        </w:rPr>
        <w:t xml:space="preserve"> </w:t>
      </w:r>
      <w:r w:rsidR="0089301E" w:rsidRPr="009A1394">
        <w:rPr>
          <w:lang w:val="en-CA"/>
        </w:rPr>
        <w:t>finding</w:t>
      </w:r>
      <w:r w:rsidR="00065216" w:rsidRPr="009A1394">
        <w:rPr>
          <w:lang w:val="en-CA"/>
        </w:rPr>
        <w:t xml:space="preserve"> that several </w:t>
      </w:r>
      <w:r w:rsidR="00567ACE" w:rsidRPr="009A1394">
        <w:rPr>
          <w:lang w:val="en-CA"/>
        </w:rPr>
        <w:t>events</w:t>
      </w:r>
      <w:r w:rsidR="00065216" w:rsidRPr="009A1394">
        <w:rPr>
          <w:lang w:val="en-CA"/>
        </w:rPr>
        <w:t xml:space="preserve"> may be the cause of the </w:t>
      </w:r>
      <w:r w:rsidR="0089301E" w:rsidRPr="009A1394">
        <w:rPr>
          <w:lang w:val="en-CA"/>
        </w:rPr>
        <w:t>injury</w:t>
      </w:r>
      <w:r w:rsidR="00065216" w:rsidRPr="009A1394">
        <w:rPr>
          <w:lang w:val="en-CA"/>
        </w:rPr>
        <w:t xml:space="preserve">, </w:t>
      </w:r>
      <w:r w:rsidRPr="009A1394">
        <w:rPr>
          <w:lang w:val="en-CA"/>
        </w:rPr>
        <w:t>provided</w:t>
      </w:r>
      <w:r w:rsidR="00065216" w:rsidRPr="009A1394">
        <w:rPr>
          <w:lang w:val="en-CA"/>
        </w:rPr>
        <w:t xml:space="preserve"> that each of these </w:t>
      </w:r>
      <w:r w:rsidR="00567ACE" w:rsidRPr="009A1394">
        <w:rPr>
          <w:lang w:val="en-CA"/>
        </w:rPr>
        <w:t>events</w:t>
      </w:r>
      <w:r w:rsidR="00065216" w:rsidRPr="009A1394">
        <w:rPr>
          <w:lang w:val="en-CA"/>
        </w:rPr>
        <w:t xml:space="preserve"> </w:t>
      </w:r>
      <w:r w:rsidRPr="009A1394">
        <w:rPr>
          <w:lang w:val="en-CA"/>
        </w:rPr>
        <w:t>can</w:t>
      </w:r>
      <w:r w:rsidR="00065216" w:rsidRPr="009A1394">
        <w:rPr>
          <w:lang w:val="en-CA"/>
        </w:rPr>
        <w:t xml:space="preserve"> be characterized as </w:t>
      </w:r>
      <w:r w:rsidR="0089301E" w:rsidRPr="009A1394">
        <w:rPr>
          <w:lang w:val="en-CA"/>
        </w:rPr>
        <w:t>a true</w:t>
      </w:r>
      <w:r w:rsidR="00065216" w:rsidRPr="009A1394">
        <w:rPr>
          <w:lang w:val="en-CA"/>
        </w:rPr>
        <w:t xml:space="preserve"> cause, </w:t>
      </w:r>
      <w:r w:rsidR="0049653F" w:rsidRPr="009A1394">
        <w:rPr>
          <w:lang w:val="en-CA"/>
        </w:rPr>
        <w:t xml:space="preserve">and </w:t>
      </w:r>
      <w:r w:rsidR="00065216" w:rsidRPr="009A1394">
        <w:rPr>
          <w:lang w:val="en-CA"/>
        </w:rPr>
        <w:t xml:space="preserve">not merely </w:t>
      </w:r>
      <w:r w:rsidR="0049653F" w:rsidRPr="009A1394">
        <w:rPr>
          <w:lang w:val="en-CA"/>
        </w:rPr>
        <w:t>an</w:t>
      </w:r>
      <w:r w:rsidR="00F81EE4" w:rsidRPr="009A1394">
        <w:rPr>
          <w:lang w:val="en-CA"/>
        </w:rPr>
        <w:t xml:space="preserve"> occasion</w:t>
      </w:r>
      <w:r w:rsidR="00567ACE" w:rsidRPr="009A1394">
        <w:rPr>
          <w:lang w:val="en-CA"/>
        </w:rPr>
        <w:t xml:space="preserve"> or circumstan</w:t>
      </w:r>
      <w:r w:rsidR="00F81EE4" w:rsidRPr="009A1394">
        <w:rPr>
          <w:lang w:val="en-CA"/>
        </w:rPr>
        <w:t>ce</w:t>
      </w:r>
      <w:r w:rsidR="00065216" w:rsidRPr="009A1394">
        <w:rPr>
          <w:lang w:val="en-CA"/>
        </w:rPr>
        <w:t>.</w:t>
      </w:r>
      <w:r w:rsidR="00065216" w:rsidRPr="009A1394">
        <w:rPr>
          <w:rStyle w:val="Appelnotedebasdep"/>
          <w:lang w:val="en-CA"/>
        </w:rPr>
        <w:footnoteReference w:id="258"/>
      </w:r>
    </w:p>
    <w:p w14:paraId="7D42E395" w14:textId="55CF33C7" w:rsidR="00702A59" w:rsidRPr="009A1394" w:rsidRDefault="00125F44" w:rsidP="00E30275">
      <w:pPr>
        <w:pStyle w:val="Paragraphe"/>
        <w:numPr>
          <w:ilvl w:val="0"/>
          <w:numId w:val="1"/>
        </w:numPr>
        <w:rPr>
          <w:lang w:val="en-CA"/>
        </w:rPr>
      </w:pPr>
      <w:r w:rsidRPr="009A1394">
        <w:rPr>
          <w:lang w:val="en-CA"/>
        </w:rPr>
        <w:t xml:space="preserve">These </w:t>
      </w:r>
      <w:r w:rsidR="00065216" w:rsidRPr="009A1394">
        <w:rPr>
          <w:lang w:val="en-CA"/>
        </w:rPr>
        <w:t>are</w:t>
      </w:r>
      <w:r w:rsidR="0049653F" w:rsidRPr="009A1394">
        <w:rPr>
          <w:lang w:val="en-CA"/>
        </w:rPr>
        <w:t xml:space="preserve"> then</w:t>
      </w:r>
      <w:r w:rsidR="00065216" w:rsidRPr="009A1394">
        <w:rPr>
          <w:lang w:val="en-CA"/>
        </w:rPr>
        <w:t xml:space="preserve"> </w:t>
      </w:r>
      <w:r w:rsidR="0049653F" w:rsidRPr="009A1394">
        <w:rPr>
          <w:lang w:val="en-CA"/>
        </w:rPr>
        <w:t>said to be</w:t>
      </w:r>
      <w:r w:rsidR="00065216" w:rsidRPr="009A1394">
        <w:rPr>
          <w:lang w:val="en-CA"/>
        </w:rPr>
        <w:t xml:space="preserve"> contributory faults.</w:t>
      </w:r>
    </w:p>
    <w:p w14:paraId="0A21CCFC" w14:textId="7A772C37" w:rsidR="00702A59" w:rsidRPr="009A1394" w:rsidRDefault="00065216" w:rsidP="00E30275">
      <w:pPr>
        <w:pStyle w:val="Paragraphe"/>
        <w:numPr>
          <w:ilvl w:val="0"/>
          <w:numId w:val="1"/>
        </w:numPr>
        <w:rPr>
          <w:lang w:val="en-CA"/>
        </w:rPr>
      </w:pPr>
      <w:r w:rsidRPr="009A1394">
        <w:rPr>
          <w:lang w:val="en-CA"/>
        </w:rPr>
        <w:t xml:space="preserve">A second fault may </w:t>
      </w:r>
      <w:r w:rsidR="0049653F" w:rsidRPr="009A1394">
        <w:rPr>
          <w:lang w:val="en-CA"/>
        </w:rPr>
        <w:t xml:space="preserve">at </w:t>
      </w:r>
      <w:r w:rsidRPr="009A1394">
        <w:rPr>
          <w:lang w:val="en-CA"/>
        </w:rPr>
        <w:t xml:space="preserve">times break the causal connection between an initial fault and the </w:t>
      </w:r>
      <w:r w:rsidR="0049653F" w:rsidRPr="009A1394">
        <w:rPr>
          <w:lang w:val="en-CA"/>
        </w:rPr>
        <w:t>injury</w:t>
      </w:r>
      <w:r w:rsidRPr="009A1394">
        <w:rPr>
          <w:lang w:val="en-CA"/>
        </w:rPr>
        <w:t xml:space="preserve"> suffered.</w:t>
      </w:r>
      <w:r w:rsidR="008161A3" w:rsidRPr="009A1394">
        <w:rPr>
          <w:lang w:val="en-CA"/>
        </w:rPr>
        <w:t xml:space="preserve"> </w:t>
      </w:r>
      <w:r w:rsidRPr="009A1394">
        <w:rPr>
          <w:lang w:val="en-CA"/>
        </w:rPr>
        <w:t xml:space="preserve">It is then characterized as a </w:t>
      </w:r>
      <w:r w:rsidRPr="009A1394">
        <w:rPr>
          <w:i/>
          <w:lang w:val="en-CA"/>
        </w:rPr>
        <w:t>novus actus interveniens</w:t>
      </w:r>
      <w:r w:rsidRPr="009A1394">
        <w:rPr>
          <w:lang w:val="en-CA"/>
        </w:rPr>
        <w:t>.</w:t>
      </w:r>
    </w:p>
    <w:p w14:paraId="4DC18AC8" w14:textId="5020FF34" w:rsidR="00702A59" w:rsidRPr="009A1394" w:rsidRDefault="00065216" w:rsidP="00E30275">
      <w:pPr>
        <w:pStyle w:val="Paragraphe"/>
        <w:numPr>
          <w:ilvl w:val="0"/>
          <w:numId w:val="1"/>
        </w:numPr>
        <w:rPr>
          <w:lang w:val="en-CA"/>
        </w:rPr>
      </w:pPr>
      <w:r w:rsidRPr="009A1394">
        <w:rPr>
          <w:lang w:val="en-CA"/>
        </w:rPr>
        <w:t xml:space="preserve">This notion of </w:t>
      </w:r>
      <w:r w:rsidRPr="009A1394">
        <w:rPr>
          <w:i/>
          <w:iCs/>
          <w:lang w:val="en-CA"/>
        </w:rPr>
        <w:t>novus actus interveniens</w:t>
      </w:r>
      <w:r w:rsidRPr="009A1394">
        <w:rPr>
          <w:lang w:val="en-CA"/>
        </w:rPr>
        <w:t xml:space="preserve"> applies only when an </w:t>
      </w:r>
      <w:r w:rsidR="00D03E24" w:rsidRPr="009A1394">
        <w:rPr>
          <w:lang w:val="en-CA"/>
        </w:rPr>
        <w:t xml:space="preserve">event </w:t>
      </w:r>
      <w:r w:rsidRPr="009A1394">
        <w:rPr>
          <w:lang w:val="en-CA"/>
        </w:rPr>
        <w:t xml:space="preserve">subsequent to the initial fault breaks the causal connection between it and the </w:t>
      </w:r>
      <w:r w:rsidR="00E17EFA" w:rsidRPr="009A1394">
        <w:rPr>
          <w:lang w:val="en-CA"/>
        </w:rPr>
        <w:t>injury</w:t>
      </w:r>
      <w:r w:rsidRPr="009A1394">
        <w:rPr>
          <w:lang w:val="en-CA"/>
        </w:rPr>
        <w:t>:</w:t>
      </w:r>
    </w:p>
    <w:p w14:paraId="4E19212C" w14:textId="6EAB9734" w:rsidR="00567ACE" w:rsidRPr="009A1394" w:rsidRDefault="00567ACE" w:rsidP="001B713F">
      <w:pPr>
        <w:pStyle w:val="Citationenretrait"/>
        <w:keepNext/>
        <w:rPr>
          <w:lang w:val="en-CA"/>
        </w:rPr>
      </w:pPr>
      <w:r w:rsidRPr="009A1394">
        <w:rPr>
          <w:lang w:val="en-CA"/>
        </w:rPr>
        <w:t>[</w:t>
      </w:r>
      <w:r w:rsidRPr="009A1394">
        <w:rPr>
          <w:smallCaps/>
          <w:lang w:val="en-CA"/>
        </w:rPr>
        <w:t>translation</w:t>
      </w:r>
      <w:r w:rsidRPr="009A1394">
        <w:rPr>
          <w:lang w:val="en-CA"/>
        </w:rPr>
        <w:t>]</w:t>
      </w:r>
    </w:p>
    <w:p w14:paraId="14F5ED15" w14:textId="22523C5B" w:rsidR="00702A59" w:rsidRPr="009A1394" w:rsidRDefault="00065216" w:rsidP="001B713F">
      <w:pPr>
        <w:pStyle w:val="Citationenretrait"/>
        <w:keepNext/>
        <w:rPr>
          <w:lang w:val="en-CA"/>
        </w:rPr>
      </w:pPr>
      <w:r w:rsidRPr="009A1394">
        <w:rPr>
          <w:lang w:val="en-CA"/>
        </w:rPr>
        <w:t>For this principle to apply, two essential conditions</w:t>
      </w:r>
      <w:r w:rsidR="00E17EFA" w:rsidRPr="009A1394">
        <w:rPr>
          <w:lang w:val="en-CA"/>
        </w:rPr>
        <w:t xml:space="preserve"> are required</w:t>
      </w:r>
      <w:r w:rsidRPr="009A1394">
        <w:rPr>
          <w:lang w:val="en-CA"/>
        </w:rPr>
        <w:t>.</w:t>
      </w:r>
      <w:r w:rsidR="008161A3" w:rsidRPr="009A1394">
        <w:rPr>
          <w:lang w:val="en-CA"/>
        </w:rPr>
        <w:t xml:space="preserve"> </w:t>
      </w:r>
      <w:r w:rsidR="009002B8" w:rsidRPr="009A1394">
        <w:rPr>
          <w:lang w:val="en-CA"/>
        </w:rPr>
        <w:t>First</w:t>
      </w:r>
      <w:r w:rsidRPr="009A1394">
        <w:rPr>
          <w:lang w:val="en-CA"/>
        </w:rPr>
        <w:t xml:space="preserve">, the connection between the initial fault and the </w:t>
      </w:r>
      <w:r w:rsidR="00AF53A1" w:rsidRPr="009A1394">
        <w:rPr>
          <w:lang w:val="en-CA"/>
        </w:rPr>
        <w:t>damage</w:t>
      </w:r>
      <w:r w:rsidRPr="009A1394">
        <w:rPr>
          <w:lang w:val="en-CA"/>
        </w:rPr>
        <w:t xml:space="preserve"> suffered</w:t>
      </w:r>
      <w:r w:rsidR="005713D1" w:rsidRPr="009A1394">
        <w:rPr>
          <w:lang w:val="en-CA"/>
        </w:rPr>
        <w:t xml:space="preserve"> must have totally disappeared</w:t>
      </w:r>
      <w:r w:rsidRPr="009A1394">
        <w:rPr>
          <w:lang w:val="en-CA"/>
        </w:rPr>
        <w:t>.</w:t>
      </w:r>
      <w:r w:rsidR="008161A3" w:rsidRPr="009A1394">
        <w:rPr>
          <w:lang w:val="en-CA"/>
        </w:rPr>
        <w:t xml:space="preserve"> </w:t>
      </w:r>
      <w:r w:rsidR="009002B8" w:rsidRPr="009A1394">
        <w:rPr>
          <w:lang w:val="en-CA"/>
        </w:rPr>
        <w:t>Second</w:t>
      </w:r>
      <w:r w:rsidRPr="009A1394">
        <w:rPr>
          <w:lang w:val="en-CA"/>
        </w:rPr>
        <w:t xml:space="preserve">, this connection </w:t>
      </w:r>
      <w:r w:rsidR="00AF53A1" w:rsidRPr="009A1394">
        <w:rPr>
          <w:lang w:val="en-CA"/>
        </w:rPr>
        <w:t>m</w:t>
      </w:r>
      <w:r w:rsidRPr="009A1394">
        <w:rPr>
          <w:lang w:val="en-CA"/>
        </w:rPr>
        <w:t xml:space="preserve">ust </w:t>
      </w:r>
      <w:r w:rsidR="001B713F" w:rsidRPr="009A1394">
        <w:rPr>
          <w:lang w:val="en-CA"/>
        </w:rPr>
        <w:t>re</w:t>
      </w:r>
      <w:r w:rsidRPr="009A1394">
        <w:rPr>
          <w:lang w:val="en-CA"/>
        </w:rPr>
        <w:t>appear, but this time, because of the existence of an act that is wholly unrelated to the initial fault.</w:t>
      </w:r>
      <w:r w:rsidR="008161A3" w:rsidRPr="009A1394">
        <w:rPr>
          <w:lang w:val="en-CA"/>
        </w:rPr>
        <w:t xml:space="preserve"> </w:t>
      </w:r>
      <w:r w:rsidRPr="009A1394">
        <w:rPr>
          <w:lang w:val="en-CA"/>
        </w:rPr>
        <w:t xml:space="preserve">In the other </w:t>
      </w:r>
      <w:r w:rsidR="005713D1" w:rsidRPr="009A1394">
        <w:rPr>
          <w:lang w:val="en-CA"/>
        </w:rPr>
        <w:t>cas</w:t>
      </w:r>
      <w:r w:rsidRPr="009A1394">
        <w:rPr>
          <w:lang w:val="en-CA"/>
        </w:rPr>
        <w:t xml:space="preserve">es, </w:t>
      </w:r>
      <w:r w:rsidRPr="009A1394">
        <w:rPr>
          <w:lang w:val="en-CA"/>
        </w:rPr>
        <w:lastRenderedPageBreak/>
        <w:t xml:space="preserve">there is </w:t>
      </w:r>
      <w:r w:rsidR="005713D1" w:rsidRPr="009A1394">
        <w:rPr>
          <w:lang w:val="en-CA"/>
        </w:rPr>
        <w:t xml:space="preserve">merely </w:t>
      </w:r>
      <w:r w:rsidRPr="009A1394">
        <w:rPr>
          <w:lang w:val="en-CA"/>
        </w:rPr>
        <w:t xml:space="preserve">a continuation of a single process that can lead, in some cases, to </w:t>
      </w:r>
      <w:r w:rsidR="00E17EFA" w:rsidRPr="009A1394">
        <w:rPr>
          <w:lang w:val="en-CA"/>
        </w:rPr>
        <w:t>an apportionment of</w:t>
      </w:r>
      <w:r w:rsidRPr="009A1394">
        <w:rPr>
          <w:lang w:val="en-CA"/>
        </w:rPr>
        <w:t xml:space="preserve"> liability.</w:t>
      </w:r>
      <w:r w:rsidR="008161A3" w:rsidRPr="009A1394">
        <w:rPr>
          <w:rStyle w:val="Appelnotedebasdep"/>
          <w:lang w:val="en-CA"/>
        </w:rPr>
        <w:footnoteReference w:id="259"/>
      </w:r>
    </w:p>
    <w:p w14:paraId="3994EA9D" w14:textId="6076337B" w:rsidR="00702A59" w:rsidRPr="009A1394" w:rsidRDefault="00065216" w:rsidP="00E30275">
      <w:pPr>
        <w:pStyle w:val="Paragraphe"/>
        <w:numPr>
          <w:ilvl w:val="0"/>
          <w:numId w:val="1"/>
        </w:numPr>
        <w:rPr>
          <w:lang w:val="en-CA"/>
        </w:rPr>
      </w:pPr>
      <w:r w:rsidRPr="009A1394">
        <w:rPr>
          <w:lang w:val="en-CA"/>
        </w:rPr>
        <w:t xml:space="preserve">This </w:t>
      </w:r>
      <w:r w:rsidR="005713D1" w:rsidRPr="009A1394">
        <w:rPr>
          <w:lang w:val="en-CA"/>
        </w:rPr>
        <w:t>ev</w:t>
      </w:r>
      <w:r w:rsidRPr="009A1394">
        <w:rPr>
          <w:lang w:val="en-CA"/>
        </w:rPr>
        <w:t xml:space="preserve">ent will </w:t>
      </w:r>
      <w:r w:rsidR="008A5B77" w:rsidRPr="009A1394">
        <w:rPr>
          <w:lang w:val="en-CA"/>
        </w:rPr>
        <w:t xml:space="preserve">consist </w:t>
      </w:r>
      <w:r w:rsidRPr="009A1394">
        <w:rPr>
          <w:lang w:val="en-CA"/>
        </w:rPr>
        <w:t xml:space="preserve">of a fault that is subsequent to the first one, </w:t>
      </w:r>
      <w:r w:rsidR="008A5B77" w:rsidRPr="009A1394">
        <w:rPr>
          <w:lang w:val="en-CA"/>
        </w:rPr>
        <w:t xml:space="preserve">is </w:t>
      </w:r>
      <w:r w:rsidRPr="009A1394">
        <w:rPr>
          <w:lang w:val="en-CA"/>
        </w:rPr>
        <w:t xml:space="preserve">committed by the victim or a third party, </w:t>
      </w:r>
      <w:r w:rsidR="008A5B77" w:rsidRPr="009A1394">
        <w:rPr>
          <w:lang w:val="en-CA"/>
        </w:rPr>
        <w:t xml:space="preserve">and </w:t>
      </w:r>
      <w:r w:rsidRPr="009A1394">
        <w:rPr>
          <w:lang w:val="en-CA"/>
        </w:rPr>
        <w:t>break</w:t>
      </w:r>
      <w:r w:rsidR="008A5B77" w:rsidRPr="009A1394">
        <w:rPr>
          <w:lang w:val="en-CA"/>
        </w:rPr>
        <w:t>s</w:t>
      </w:r>
      <w:r w:rsidRPr="009A1394">
        <w:rPr>
          <w:lang w:val="en-CA"/>
        </w:rPr>
        <w:t xml:space="preserve"> the causal connection between the initial fault and the </w:t>
      </w:r>
      <w:r w:rsidR="005713D1" w:rsidRPr="009A1394">
        <w:rPr>
          <w:lang w:val="en-CA"/>
        </w:rPr>
        <w:t>injury</w:t>
      </w:r>
      <w:r w:rsidRPr="009A1394">
        <w:rPr>
          <w:lang w:val="en-CA"/>
        </w:rPr>
        <w:t>.</w:t>
      </w:r>
      <w:r w:rsidR="008161A3" w:rsidRPr="009A1394">
        <w:rPr>
          <w:lang w:val="en-CA"/>
        </w:rPr>
        <w:t xml:space="preserve"> </w:t>
      </w:r>
      <w:r w:rsidR="00DC6736" w:rsidRPr="009A1394">
        <w:rPr>
          <w:lang w:val="en-CA"/>
        </w:rPr>
        <w:t>I</w:t>
      </w:r>
      <w:r w:rsidRPr="009A1394">
        <w:rPr>
          <w:lang w:val="en-CA"/>
        </w:rPr>
        <w:t xml:space="preserve">n </w:t>
      </w:r>
      <w:r w:rsidRPr="009A1394">
        <w:rPr>
          <w:i/>
          <w:lang w:val="en-CA"/>
        </w:rPr>
        <w:t>Gargantiel c. Québec (Procureure générale)</w:t>
      </w:r>
      <w:r w:rsidRPr="009A1394">
        <w:rPr>
          <w:lang w:val="en-CA"/>
        </w:rPr>
        <w:t xml:space="preserve">, </w:t>
      </w:r>
      <w:r w:rsidR="00DC6736" w:rsidRPr="009A1394">
        <w:rPr>
          <w:lang w:val="en-CA"/>
        </w:rPr>
        <w:t>this Court cautioned against too</w:t>
      </w:r>
      <w:r w:rsidRPr="009A1394">
        <w:rPr>
          <w:lang w:val="en-CA"/>
        </w:rPr>
        <w:t xml:space="preserve"> </w:t>
      </w:r>
      <w:r w:rsidR="00DC6736" w:rsidRPr="009A1394">
        <w:rPr>
          <w:lang w:val="en-CA"/>
        </w:rPr>
        <w:t>read</w:t>
      </w:r>
      <w:r w:rsidRPr="009A1394">
        <w:rPr>
          <w:lang w:val="en-CA"/>
        </w:rPr>
        <w:t>ily equat</w:t>
      </w:r>
      <w:r w:rsidR="00DC6736" w:rsidRPr="009A1394">
        <w:rPr>
          <w:lang w:val="en-CA"/>
        </w:rPr>
        <w:t xml:space="preserve">ing </w:t>
      </w:r>
      <w:r w:rsidRPr="009A1394">
        <w:rPr>
          <w:lang w:val="en-CA"/>
        </w:rPr>
        <w:t xml:space="preserve">a subsequent fault with an actual </w:t>
      </w:r>
      <w:r w:rsidRPr="009A1394">
        <w:rPr>
          <w:i/>
          <w:lang w:val="en-CA"/>
        </w:rPr>
        <w:t>novus actus interveniens</w:t>
      </w:r>
      <w:r w:rsidRPr="009A1394">
        <w:rPr>
          <w:lang w:val="en-CA"/>
        </w:rPr>
        <w:t>:</w:t>
      </w:r>
    </w:p>
    <w:p w14:paraId="65865694" w14:textId="745374A0" w:rsidR="00AF53A1" w:rsidRPr="009A1394" w:rsidRDefault="00AF53A1" w:rsidP="00E30275">
      <w:pPr>
        <w:pStyle w:val="Citationenretrait"/>
        <w:rPr>
          <w:lang w:val="en-CA"/>
        </w:rPr>
      </w:pPr>
      <w:r w:rsidRPr="009A1394">
        <w:rPr>
          <w:lang w:val="en-CA"/>
        </w:rPr>
        <w:t>[</w:t>
      </w:r>
      <w:r w:rsidRPr="009A1394">
        <w:rPr>
          <w:smallCaps/>
          <w:lang w:val="en-CA"/>
        </w:rPr>
        <w:t>translation</w:t>
      </w:r>
      <w:r w:rsidRPr="009A1394">
        <w:rPr>
          <w:lang w:val="en-CA"/>
        </w:rPr>
        <w:t>]</w:t>
      </w:r>
    </w:p>
    <w:p w14:paraId="20F9546A" w14:textId="3E307B5B" w:rsidR="00702A59" w:rsidRPr="009A1394" w:rsidRDefault="00065216" w:rsidP="00E30275">
      <w:pPr>
        <w:pStyle w:val="Citationenretrait"/>
        <w:rPr>
          <w:lang w:val="en-CA"/>
        </w:rPr>
      </w:pPr>
      <w:r w:rsidRPr="009A1394">
        <w:rPr>
          <w:lang w:val="en-CA"/>
        </w:rPr>
        <w:t>[28]</w:t>
      </w:r>
      <w:r w:rsidR="008161A3" w:rsidRPr="009A1394">
        <w:rPr>
          <w:lang w:val="en-CA"/>
        </w:rPr>
        <w:tab/>
      </w:r>
      <w:r w:rsidRPr="009A1394">
        <w:rPr>
          <w:lang w:val="en-CA"/>
        </w:rPr>
        <w:t>In</w:t>
      </w:r>
      <w:r w:rsidR="00DC6736" w:rsidRPr="009A1394">
        <w:rPr>
          <w:lang w:val="en-CA"/>
        </w:rPr>
        <w:t>deed</w:t>
      </w:r>
      <w:r w:rsidRPr="009A1394">
        <w:rPr>
          <w:lang w:val="en-CA"/>
        </w:rPr>
        <w:t xml:space="preserve">, within the </w:t>
      </w:r>
      <w:r w:rsidR="00355B12" w:rsidRPr="009A1394">
        <w:rPr>
          <w:lang w:val="en-CA"/>
        </w:rPr>
        <w:t>body</w:t>
      </w:r>
      <w:r w:rsidRPr="009A1394">
        <w:rPr>
          <w:lang w:val="en-CA"/>
        </w:rPr>
        <w:t xml:space="preserve"> of case law referring to </w:t>
      </w:r>
      <w:r w:rsidRPr="009A1394">
        <w:rPr>
          <w:i/>
          <w:lang w:val="en-CA"/>
        </w:rPr>
        <w:t>novus actus interveniens</w:t>
      </w:r>
      <w:r w:rsidRPr="009A1394">
        <w:rPr>
          <w:lang w:val="en-CA"/>
        </w:rPr>
        <w:t xml:space="preserve">, one </w:t>
      </w:r>
      <w:r w:rsidR="00355B12" w:rsidRPr="009A1394">
        <w:rPr>
          <w:lang w:val="en-CA"/>
        </w:rPr>
        <w:t>must</w:t>
      </w:r>
      <w:r w:rsidRPr="009A1394">
        <w:rPr>
          <w:lang w:val="en-CA"/>
        </w:rPr>
        <w:t xml:space="preserve"> be wary of a t</w:t>
      </w:r>
      <w:r w:rsidR="00355B12" w:rsidRPr="009A1394">
        <w:rPr>
          <w:lang w:val="en-CA"/>
        </w:rPr>
        <w:t>end</w:t>
      </w:r>
      <w:r w:rsidR="007E1B8B" w:rsidRPr="009A1394">
        <w:rPr>
          <w:lang w:val="en-CA"/>
        </w:rPr>
        <w:t>e</w:t>
      </w:r>
      <w:r w:rsidR="00355B12" w:rsidRPr="009A1394">
        <w:rPr>
          <w:lang w:val="en-CA"/>
        </w:rPr>
        <w:t xml:space="preserve">ncy to </w:t>
      </w:r>
      <w:r w:rsidRPr="009A1394">
        <w:rPr>
          <w:lang w:val="en-CA"/>
        </w:rPr>
        <w:t xml:space="preserve">treat situations </w:t>
      </w:r>
      <w:r w:rsidR="00355B12" w:rsidRPr="009A1394">
        <w:rPr>
          <w:lang w:val="en-CA"/>
        </w:rPr>
        <w:t>involving</w:t>
      </w:r>
      <w:r w:rsidRPr="009A1394">
        <w:rPr>
          <w:lang w:val="en-CA"/>
        </w:rPr>
        <w:t xml:space="preserve"> contributory faults or </w:t>
      </w:r>
      <w:r w:rsidR="00355B12" w:rsidRPr="009A1394">
        <w:rPr>
          <w:lang w:val="en-CA"/>
        </w:rPr>
        <w:t>apportionment of</w:t>
      </w:r>
      <w:r w:rsidRPr="009A1394">
        <w:rPr>
          <w:lang w:val="en-CA"/>
        </w:rPr>
        <w:t xml:space="preserve"> liability as if they were cases of </w:t>
      </w:r>
      <w:r w:rsidRPr="009A1394">
        <w:rPr>
          <w:i/>
          <w:lang w:val="en-CA"/>
        </w:rPr>
        <w:t>novus actus interveniens</w:t>
      </w:r>
      <w:r w:rsidRPr="009A1394">
        <w:rPr>
          <w:lang w:val="en-CA"/>
        </w:rPr>
        <w:t>.</w:t>
      </w:r>
      <w:r w:rsidR="008161A3" w:rsidRPr="009A1394">
        <w:rPr>
          <w:lang w:val="en-CA"/>
        </w:rPr>
        <w:t xml:space="preserve"> </w:t>
      </w:r>
      <w:r w:rsidRPr="009A1394">
        <w:rPr>
          <w:lang w:val="en-CA"/>
        </w:rPr>
        <w:t xml:space="preserve">In </w:t>
      </w:r>
      <w:r w:rsidRPr="009A1394">
        <w:rPr>
          <w:i/>
          <w:lang w:val="en-CA"/>
        </w:rPr>
        <w:t>Lacombe c. André</w:t>
      </w:r>
      <w:r w:rsidRPr="009A1394">
        <w:rPr>
          <w:lang w:val="en-CA"/>
        </w:rPr>
        <w:t>, Baudouin</w:t>
      </w:r>
      <w:r w:rsidR="007C1B5C" w:rsidRPr="009A1394">
        <w:rPr>
          <w:lang w:val="en-CA"/>
        </w:rPr>
        <w:t>,</w:t>
      </w:r>
      <w:r w:rsidRPr="009A1394">
        <w:rPr>
          <w:lang w:val="en-CA"/>
        </w:rPr>
        <w:t xml:space="preserve"> J.A. warn</w:t>
      </w:r>
      <w:r w:rsidR="00AF53A1" w:rsidRPr="009A1394">
        <w:rPr>
          <w:lang w:val="en-CA"/>
        </w:rPr>
        <w:t>s</w:t>
      </w:r>
      <w:r w:rsidRPr="009A1394">
        <w:rPr>
          <w:lang w:val="en-CA"/>
        </w:rPr>
        <w:t xml:space="preserve"> us</w:t>
      </w:r>
      <w:r w:rsidR="007E1B8B" w:rsidRPr="009A1394">
        <w:rPr>
          <w:lang w:val="en-CA"/>
        </w:rPr>
        <w:t xml:space="preserve"> of this</w:t>
      </w:r>
      <w:r w:rsidRPr="009A1394">
        <w:rPr>
          <w:lang w:val="en-CA"/>
        </w:rPr>
        <w:t xml:space="preserve">, recalling once again the first </w:t>
      </w:r>
      <w:r w:rsidR="007E1B8B" w:rsidRPr="009A1394">
        <w:rPr>
          <w:lang w:val="en-CA"/>
        </w:rPr>
        <w:t>and essential</w:t>
      </w:r>
      <w:r w:rsidRPr="009A1394">
        <w:rPr>
          <w:lang w:val="en-CA"/>
        </w:rPr>
        <w:t xml:space="preserve"> condition </w:t>
      </w:r>
      <w:r w:rsidR="00965769" w:rsidRPr="009A1394">
        <w:rPr>
          <w:lang w:val="en-CA"/>
        </w:rPr>
        <w:t>for</w:t>
      </w:r>
      <w:r w:rsidRPr="009A1394">
        <w:rPr>
          <w:lang w:val="en-CA"/>
        </w:rPr>
        <w:t xml:space="preserve"> apply</w:t>
      </w:r>
      <w:r w:rsidR="00965769" w:rsidRPr="009A1394">
        <w:rPr>
          <w:lang w:val="en-CA"/>
        </w:rPr>
        <w:t>ing</w:t>
      </w:r>
      <w:r w:rsidRPr="009A1394">
        <w:rPr>
          <w:lang w:val="en-CA"/>
        </w:rPr>
        <w:t xml:space="preserve"> this theory, </w:t>
      </w:r>
      <w:r w:rsidR="007E1B8B" w:rsidRPr="009A1394">
        <w:rPr>
          <w:lang w:val="en-CA"/>
        </w:rPr>
        <w:t>i.e.</w:t>
      </w:r>
      <w:r w:rsidRPr="009A1394">
        <w:rPr>
          <w:lang w:val="en-CA"/>
        </w:rPr>
        <w:t xml:space="preserve">, a complete and actual </w:t>
      </w:r>
      <w:r w:rsidR="00874763" w:rsidRPr="009A1394">
        <w:rPr>
          <w:lang w:val="en-CA"/>
        </w:rPr>
        <w:t>break</w:t>
      </w:r>
      <w:r w:rsidR="00355B12" w:rsidRPr="009A1394">
        <w:rPr>
          <w:lang w:val="en-CA"/>
        </w:rPr>
        <w:t xml:space="preserve"> </w:t>
      </w:r>
      <w:r w:rsidRPr="009A1394">
        <w:rPr>
          <w:lang w:val="en-CA"/>
        </w:rPr>
        <w:t xml:space="preserve">of the causal connection between the first incident (or fault) and the </w:t>
      </w:r>
      <w:r w:rsidR="00355B12" w:rsidRPr="009A1394">
        <w:rPr>
          <w:lang w:val="en-CA"/>
        </w:rPr>
        <w:t>injury</w:t>
      </w:r>
      <w:r w:rsidRPr="009A1394">
        <w:rPr>
          <w:lang w:val="en-CA"/>
        </w:rPr>
        <w:t xml:space="preserve"> ... .</w:t>
      </w:r>
      <w:r w:rsidR="008161A3" w:rsidRPr="009A1394">
        <w:rPr>
          <w:rStyle w:val="Appelnotedebasdep"/>
          <w:lang w:val="en-CA"/>
        </w:rPr>
        <w:footnoteReference w:id="260"/>
      </w:r>
    </w:p>
    <w:p w14:paraId="18283602" w14:textId="4785D7AC" w:rsidR="00702A59" w:rsidRPr="009A1394" w:rsidRDefault="00065216" w:rsidP="0066793F">
      <w:pPr>
        <w:pStyle w:val="Paragraphe"/>
        <w:keepNext/>
        <w:numPr>
          <w:ilvl w:val="0"/>
          <w:numId w:val="1"/>
        </w:numPr>
        <w:rPr>
          <w:lang w:val="en-CA"/>
        </w:rPr>
      </w:pPr>
      <w:r w:rsidRPr="009A1394">
        <w:rPr>
          <w:lang w:val="en-CA"/>
        </w:rPr>
        <w:t xml:space="preserve">In </w:t>
      </w:r>
      <w:r w:rsidRPr="009A1394">
        <w:rPr>
          <w:i/>
          <w:lang w:val="en-CA"/>
        </w:rPr>
        <w:t>Lacombe c. André</w:t>
      </w:r>
      <w:r w:rsidRPr="009A1394">
        <w:rPr>
          <w:lang w:val="en-CA"/>
        </w:rPr>
        <w:t>,</w:t>
      </w:r>
      <w:r w:rsidRPr="009A1394">
        <w:rPr>
          <w:rStyle w:val="Appelnotedebasdep"/>
          <w:lang w:val="en-CA"/>
        </w:rPr>
        <w:footnoteReference w:id="261"/>
      </w:r>
      <w:r w:rsidRPr="009A1394">
        <w:rPr>
          <w:lang w:val="en-CA"/>
        </w:rPr>
        <w:t xml:space="preserve"> Baudouin</w:t>
      </w:r>
      <w:r w:rsidR="007C1B5C" w:rsidRPr="009A1394">
        <w:rPr>
          <w:lang w:val="en-CA"/>
        </w:rPr>
        <w:t>,</w:t>
      </w:r>
      <w:r w:rsidRPr="009A1394">
        <w:rPr>
          <w:lang w:val="en-CA"/>
        </w:rPr>
        <w:t xml:space="preserve"> J.A. described </w:t>
      </w:r>
      <w:r w:rsidR="00BB0A67" w:rsidRPr="009A1394">
        <w:rPr>
          <w:iCs/>
          <w:lang w:val="en-CA"/>
        </w:rPr>
        <w:t>as follows</w:t>
      </w:r>
      <w:r w:rsidR="00BB0A67" w:rsidRPr="009A1394">
        <w:rPr>
          <w:lang w:val="en-CA"/>
        </w:rPr>
        <w:t xml:space="preserve"> </w:t>
      </w:r>
      <w:r w:rsidRPr="009A1394">
        <w:rPr>
          <w:lang w:val="en-CA"/>
        </w:rPr>
        <w:t>th</w:t>
      </w:r>
      <w:r w:rsidR="007E1B8B" w:rsidRPr="009A1394">
        <w:rPr>
          <w:lang w:val="en-CA"/>
        </w:rPr>
        <w:t>e</w:t>
      </w:r>
      <w:r w:rsidRPr="009A1394">
        <w:rPr>
          <w:lang w:val="en-CA"/>
        </w:rPr>
        <w:t xml:space="preserve"> </w:t>
      </w:r>
      <w:r w:rsidR="00874763" w:rsidRPr="009A1394">
        <w:rPr>
          <w:lang w:val="en-CA"/>
        </w:rPr>
        <w:t>break</w:t>
      </w:r>
      <w:r w:rsidRPr="009A1394">
        <w:rPr>
          <w:lang w:val="en-CA"/>
        </w:rPr>
        <w:t xml:space="preserve"> required for there to truly be a </w:t>
      </w:r>
      <w:r w:rsidRPr="009A1394">
        <w:rPr>
          <w:i/>
          <w:lang w:val="en-CA"/>
        </w:rPr>
        <w:t>novus actus interveniens</w:t>
      </w:r>
      <w:r w:rsidRPr="009A1394">
        <w:rPr>
          <w:lang w:val="en-CA"/>
        </w:rPr>
        <w:t>:</w:t>
      </w:r>
    </w:p>
    <w:p w14:paraId="1B915E2C" w14:textId="609090C7" w:rsidR="007C1B5C" w:rsidRPr="009A1394" w:rsidRDefault="007C1B5C" w:rsidP="0066793F">
      <w:pPr>
        <w:pStyle w:val="Citationenretrait"/>
        <w:keepNext/>
        <w:rPr>
          <w:lang w:val="en-CA"/>
        </w:rPr>
      </w:pPr>
      <w:r w:rsidRPr="009A1394">
        <w:rPr>
          <w:lang w:val="en-CA"/>
        </w:rPr>
        <w:t>[</w:t>
      </w:r>
      <w:r w:rsidRPr="009A1394">
        <w:rPr>
          <w:smallCaps/>
          <w:lang w:val="en-CA"/>
        </w:rPr>
        <w:t>translation</w:t>
      </w:r>
      <w:r w:rsidRPr="009A1394">
        <w:rPr>
          <w:lang w:val="en-CA"/>
        </w:rPr>
        <w:t>]</w:t>
      </w:r>
    </w:p>
    <w:p w14:paraId="59ACB9D9" w14:textId="040FC3C0" w:rsidR="00702A59" w:rsidRPr="009A1394" w:rsidRDefault="00065216" w:rsidP="0066793F">
      <w:pPr>
        <w:pStyle w:val="Citationenretrait"/>
        <w:keepNext/>
        <w:rPr>
          <w:lang w:val="en-CA"/>
        </w:rPr>
      </w:pPr>
      <w:r w:rsidRPr="009A1394">
        <w:rPr>
          <w:lang w:val="en-CA"/>
        </w:rPr>
        <w:t>[59]</w:t>
      </w:r>
      <w:r w:rsidR="008161A3" w:rsidRPr="009A1394">
        <w:rPr>
          <w:lang w:val="en-CA"/>
        </w:rPr>
        <w:tab/>
      </w:r>
      <w:r w:rsidR="007E1B8B" w:rsidRPr="009A1394">
        <w:rPr>
          <w:lang w:val="en-CA"/>
        </w:rPr>
        <w:t>As a matter of</w:t>
      </w:r>
      <w:r w:rsidRPr="009A1394">
        <w:rPr>
          <w:lang w:val="en-CA"/>
        </w:rPr>
        <w:t xml:space="preserve"> law, </w:t>
      </w:r>
      <w:r w:rsidR="00874763" w:rsidRPr="009A1394">
        <w:rPr>
          <w:lang w:val="en-CA"/>
        </w:rPr>
        <w:t>for there to be true break of</w:t>
      </w:r>
      <w:r w:rsidRPr="009A1394">
        <w:rPr>
          <w:lang w:val="en-CA"/>
        </w:rPr>
        <w:t xml:space="preserve"> the causal </w:t>
      </w:r>
      <w:r w:rsidR="007C1B5C" w:rsidRPr="009A1394">
        <w:rPr>
          <w:lang w:val="en-CA"/>
        </w:rPr>
        <w:t>connection</w:t>
      </w:r>
      <w:r w:rsidR="007E1B8B" w:rsidRPr="009A1394">
        <w:rPr>
          <w:lang w:val="en-CA"/>
        </w:rPr>
        <w:t xml:space="preserve">, </w:t>
      </w:r>
      <w:r w:rsidR="005D3A25" w:rsidRPr="009A1394">
        <w:rPr>
          <w:lang w:val="en-CA"/>
        </w:rPr>
        <w:t xml:space="preserve">which </w:t>
      </w:r>
      <w:r w:rsidRPr="009A1394">
        <w:rPr>
          <w:lang w:val="en-CA"/>
        </w:rPr>
        <w:t>thereby justif</w:t>
      </w:r>
      <w:r w:rsidR="005D3A25" w:rsidRPr="009A1394">
        <w:rPr>
          <w:lang w:val="en-CA"/>
        </w:rPr>
        <w:t>ies</w:t>
      </w:r>
      <w:r w:rsidRPr="009A1394">
        <w:rPr>
          <w:lang w:val="en-CA"/>
        </w:rPr>
        <w:t xml:space="preserve"> exonerat</w:t>
      </w:r>
      <w:r w:rsidR="00874763" w:rsidRPr="009A1394">
        <w:rPr>
          <w:lang w:val="en-CA"/>
        </w:rPr>
        <w:t>i</w:t>
      </w:r>
      <w:r w:rsidR="005D3A25" w:rsidRPr="009A1394">
        <w:rPr>
          <w:lang w:val="en-CA"/>
        </w:rPr>
        <w:t>ng</w:t>
      </w:r>
      <w:r w:rsidR="00524872" w:rsidRPr="009A1394">
        <w:rPr>
          <w:lang w:val="en-CA"/>
        </w:rPr>
        <w:t xml:space="preserve"> </w:t>
      </w:r>
      <w:r w:rsidRPr="009A1394">
        <w:rPr>
          <w:lang w:val="en-CA"/>
        </w:rPr>
        <w:t xml:space="preserve">the first </w:t>
      </w:r>
      <w:r w:rsidR="00874763" w:rsidRPr="009A1394">
        <w:rPr>
          <w:lang w:val="en-CA"/>
        </w:rPr>
        <w:t>wrongdoer</w:t>
      </w:r>
      <w:r w:rsidRPr="009A1394">
        <w:rPr>
          <w:lang w:val="en-CA"/>
        </w:rPr>
        <w:t xml:space="preserve"> </w:t>
      </w:r>
      <w:r w:rsidR="005D3A25" w:rsidRPr="009A1394">
        <w:rPr>
          <w:lang w:val="en-CA"/>
        </w:rPr>
        <w:t xml:space="preserve">and </w:t>
      </w:r>
      <w:r w:rsidRPr="009A1394">
        <w:rPr>
          <w:lang w:val="en-CA"/>
        </w:rPr>
        <w:t>retain</w:t>
      </w:r>
      <w:r w:rsidR="005D3A25" w:rsidRPr="009A1394">
        <w:rPr>
          <w:lang w:val="en-CA"/>
        </w:rPr>
        <w:t>ing</w:t>
      </w:r>
      <w:r w:rsidRPr="009A1394">
        <w:rPr>
          <w:lang w:val="en-CA"/>
        </w:rPr>
        <w:t xml:space="preserve"> only the</w:t>
      </w:r>
      <w:r w:rsidR="0035565C" w:rsidRPr="009A1394">
        <w:rPr>
          <w:lang w:val="en-CA"/>
        </w:rPr>
        <w:t xml:space="preserve"> liability of the</w:t>
      </w:r>
      <w:r w:rsidRPr="009A1394">
        <w:rPr>
          <w:lang w:val="en-CA"/>
        </w:rPr>
        <w:t xml:space="preserve"> second</w:t>
      </w:r>
      <w:r w:rsidR="007E1B8B" w:rsidRPr="009A1394">
        <w:rPr>
          <w:lang w:val="en-CA"/>
        </w:rPr>
        <w:t>, an essential condition</w:t>
      </w:r>
      <w:r w:rsidR="00874763" w:rsidRPr="009A1394">
        <w:rPr>
          <w:lang w:val="en-CA"/>
        </w:rPr>
        <w:t xml:space="preserve"> must</w:t>
      </w:r>
      <w:r w:rsidR="007E1B8B" w:rsidRPr="009A1394">
        <w:rPr>
          <w:lang w:val="en-CA"/>
        </w:rPr>
        <w:t xml:space="preserve"> be met</w:t>
      </w:r>
      <w:r w:rsidRPr="009A1394">
        <w:rPr>
          <w:lang w:val="en-CA"/>
        </w:rPr>
        <w:t>.</w:t>
      </w:r>
      <w:r w:rsidR="008161A3" w:rsidRPr="009A1394">
        <w:rPr>
          <w:lang w:val="en-CA"/>
        </w:rPr>
        <w:t xml:space="preserve"> </w:t>
      </w:r>
      <w:r w:rsidR="00D1062D" w:rsidRPr="009A1394">
        <w:rPr>
          <w:lang w:val="en-CA"/>
        </w:rPr>
        <w:t>One</w:t>
      </w:r>
      <w:r w:rsidRPr="009A1394">
        <w:rPr>
          <w:lang w:val="en-CA"/>
        </w:rPr>
        <w:t xml:space="preserve"> must first </w:t>
      </w:r>
      <w:r w:rsidR="00D1062D" w:rsidRPr="009A1394">
        <w:rPr>
          <w:lang w:val="en-CA"/>
        </w:rPr>
        <w:t>find</w:t>
      </w:r>
      <w:r w:rsidRPr="009A1394">
        <w:rPr>
          <w:lang w:val="en-CA"/>
        </w:rPr>
        <w:t xml:space="preserve"> that the </w:t>
      </w:r>
      <w:r w:rsidR="007C1B5C" w:rsidRPr="009A1394">
        <w:rPr>
          <w:lang w:val="en-CA"/>
        </w:rPr>
        <w:t>connection</w:t>
      </w:r>
      <w:r w:rsidRPr="009A1394">
        <w:rPr>
          <w:lang w:val="en-CA"/>
        </w:rPr>
        <w:t xml:space="preserve"> between the initial fault and the </w:t>
      </w:r>
      <w:r w:rsidR="00874763" w:rsidRPr="009A1394">
        <w:rPr>
          <w:lang w:val="en-CA"/>
        </w:rPr>
        <w:t>injury</w:t>
      </w:r>
      <w:r w:rsidRPr="009A1394">
        <w:rPr>
          <w:lang w:val="en-CA"/>
        </w:rPr>
        <w:t xml:space="preserve"> ha</w:t>
      </w:r>
      <w:r w:rsidR="007C1B5C" w:rsidRPr="009A1394">
        <w:rPr>
          <w:lang w:val="en-CA"/>
        </w:rPr>
        <w:t>s</w:t>
      </w:r>
      <w:r w:rsidRPr="009A1394">
        <w:rPr>
          <w:lang w:val="en-CA"/>
        </w:rPr>
        <w:t xml:space="preserve"> completely </w:t>
      </w:r>
      <w:r w:rsidR="00874763" w:rsidRPr="009A1394">
        <w:rPr>
          <w:lang w:val="en-CA"/>
        </w:rPr>
        <w:t>ceased to exist</w:t>
      </w:r>
      <w:r w:rsidRPr="009A1394">
        <w:rPr>
          <w:lang w:val="en-CA"/>
        </w:rPr>
        <w:t xml:space="preserve"> and, second, </w:t>
      </w:r>
      <w:r w:rsidR="00D1062D" w:rsidRPr="009A1394">
        <w:rPr>
          <w:lang w:val="en-CA"/>
        </w:rPr>
        <w:t xml:space="preserve">that </w:t>
      </w:r>
      <w:r w:rsidRPr="009A1394">
        <w:rPr>
          <w:lang w:val="en-CA"/>
        </w:rPr>
        <w:t xml:space="preserve">the </w:t>
      </w:r>
      <w:r w:rsidR="00874763" w:rsidRPr="009A1394">
        <w:rPr>
          <w:lang w:val="en-CA"/>
        </w:rPr>
        <w:t>injury</w:t>
      </w:r>
      <w:r w:rsidRPr="009A1394">
        <w:rPr>
          <w:lang w:val="en-CA"/>
        </w:rPr>
        <w:t xml:space="preserve"> </w:t>
      </w:r>
      <w:r w:rsidR="00D1062D" w:rsidRPr="009A1394">
        <w:rPr>
          <w:lang w:val="en-CA"/>
        </w:rPr>
        <w:t>has resumed</w:t>
      </w:r>
      <w:r w:rsidRPr="009A1394">
        <w:rPr>
          <w:lang w:val="en-CA"/>
        </w:rPr>
        <w:t xml:space="preserve"> or </w:t>
      </w:r>
      <w:r w:rsidR="00D1062D" w:rsidRPr="009A1394">
        <w:rPr>
          <w:lang w:val="en-CA"/>
        </w:rPr>
        <w:t>restarted</w:t>
      </w:r>
      <w:r w:rsidR="0035565C" w:rsidRPr="009A1394">
        <w:rPr>
          <w:lang w:val="en-CA"/>
        </w:rPr>
        <w:t xml:space="preserve"> </w:t>
      </w:r>
      <w:r w:rsidR="00874763" w:rsidRPr="009A1394">
        <w:rPr>
          <w:lang w:val="en-CA"/>
        </w:rPr>
        <w:t>by reason</w:t>
      </w:r>
      <w:r w:rsidRPr="009A1394">
        <w:rPr>
          <w:lang w:val="en-CA"/>
        </w:rPr>
        <w:t xml:space="preserve"> </w:t>
      </w:r>
      <w:r w:rsidR="000976C6" w:rsidRPr="009A1394">
        <w:rPr>
          <w:lang w:val="en-CA"/>
        </w:rPr>
        <w:t xml:space="preserve">of </w:t>
      </w:r>
      <w:r w:rsidRPr="009A1394">
        <w:rPr>
          <w:lang w:val="en-CA"/>
        </w:rPr>
        <w:t>an act that is not directly related to the initial fault.</w:t>
      </w:r>
      <w:r w:rsidR="008161A3" w:rsidRPr="009A1394">
        <w:rPr>
          <w:lang w:val="en-CA"/>
        </w:rPr>
        <w:t xml:space="preserve"> </w:t>
      </w:r>
      <w:r w:rsidR="000976C6" w:rsidRPr="009A1394">
        <w:rPr>
          <w:lang w:val="en-CA"/>
        </w:rPr>
        <w:t>Logically</w:t>
      </w:r>
      <w:r w:rsidRPr="009A1394">
        <w:rPr>
          <w:lang w:val="en-CA"/>
        </w:rPr>
        <w:t xml:space="preserve">, there can be no </w:t>
      </w:r>
      <w:r w:rsidR="00874763" w:rsidRPr="009A1394">
        <w:rPr>
          <w:lang w:val="en-CA"/>
        </w:rPr>
        <w:t>break</w:t>
      </w:r>
      <w:r w:rsidRPr="009A1394">
        <w:rPr>
          <w:lang w:val="en-CA"/>
        </w:rPr>
        <w:t xml:space="preserve"> where there is continuity in time and therefore a</w:t>
      </w:r>
      <w:r w:rsidR="00D1062D" w:rsidRPr="009A1394">
        <w:rPr>
          <w:lang w:val="en-CA"/>
        </w:rPr>
        <w:t xml:space="preserve"> causal</w:t>
      </w:r>
      <w:r w:rsidRPr="009A1394">
        <w:rPr>
          <w:lang w:val="en-CA"/>
        </w:rPr>
        <w:t xml:space="preserve"> </w:t>
      </w:r>
      <w:r w:rsidR="00D1062D" w:rsidRPr="009A1394">
        <w:rPr>
          <w:lang w:val="en-CA"/>
        </w:rPr>
        <w:t>nexus</w:t>
      </w:r>
      <w:r w:rsidRPr="009A1394">
        <w:rPr>
          <w:lang w:val="en-CA"/>
        </w:rPr>
        <w:t xml:space="preserve"> between the faults.</w:t>
      </w:r>
    </w:p>
    <w:p w14:paraId="5262B2D7" w14:textId="08469447" w:rsidR="00702A59" w:rsidRPr="009A1394" w:rsidRDefault="00264E90" w:rsidP="00E30275">
      <w:pPr>
        <w:pStyle w:val="Paragraphe"/>
        <w:numPr>
          <w:ilvl w:val="0"/>
          <w:numId w:val="1"/>
        </w:numPr>
        <w:rPr>
          <w:lang w:val="en-CA"/>
        </w:rPr>
      </w:pPr>
      <w:r w:rsidRPr="009A1394">
        <w:rPr>
          <w:lang w:val="en-CA"/>
        </w:rPr>
        <w:t xml:space="preserve">For example, it has been </w:t>
      </w:r>
      <w:r w:rsidR="004141E4" w:rsidRPr="009A1394">
        <w:rPr>
          <w:lang w:val="en-CA"/>
        </w:rPr>
        <w:t>held</w:t>
      </w:r>
      <w:r w:rsidRPr="009A1394">
        <w:rPr>
          <w:lang w:val="en-CA"/>
        </w:rPr>
        <w:t xml:space="preserve"> that the </w:t>
      </w:r>
      <w:r w:rsidR="003234C0" w:rsidRPr="009A1394">
        <w:rPr>
          <w:lang w:val="en-CA"/>
        </w:rPr>
        <w:t xml:space="preserve">recklessness </w:t>
      </w:r>
      <w:r w:rsidRPr="009A1394">
        <w:rPr>
          <w:lang w:val="en-CA"/>
        </w:rPr>
        <w:t xml:space="preserve">of a campground </w:t>
      </w:r>
      <w:r w:rsidR="00EE3440" w:rsidRPr="009A1394">
        <w:rPr>
          <w:lang w:val="en-CA"/>
        </w:rPr>
        <w:t>guest</w:t>
      </w:r>
      <w:r w:rsidRPr="009A1394">
        <w:rPr>
          <w:lang w:val="en-CA"/>
        </w:rPr>
        <w:t xml:space="preserve"> who ventured onto a rock mid-stream in a river near the campground, fell in the water and drowned, was insufficient to break the causal connection between the injury resulting from this </w:t>
      </w:r>
      <w:r w:rsidR="003234C0" w:rsidRPr="009A1394">
        <w:rPr>
          <w:lang w:val="en-CA"/>
        </w:rPr>
        <w:t xml:space="preserve">recklessness </w:t>
      </w:r>
      <w:r w:rsidRPr="009A1394">
        <w:rPr>
          <w:lang w:val="en-CA"/>
        </w:rPr>
        <w:t>and the fault of the campground operator who had failed to put life buoys along the edge of the river.</w:t>
      </w:r>
      <w:r w:rsidRPr="009A1394">
        <w:rPr>
          <w:rStyle w:val="Appelnotedebasdep"/>
          <w:lang w:val="en-CA"/>
        </w:rPr>
        <w:footnoteReference w:id="262"/>
      </w:r>
      <w:r w:rsidR="008161A3" w:rsidRPr="009A1394">
        <w:rPr>
          <w:lang w:val="en-CA"/>
        </w:rPr>
        <w:t xml:space="preserve"> </w:t>
      </w:r>
      <w:r w:rsidRPr="009A1394">
        <w:rPr>
          <w:lang w:val="en-CA"/>
        </w:rPr>
        <w:t xml:space="preserve">It was also </w:t>
      </w:r>
      <w:r w:rsidR="004141E4" w:rsidRPr="009A1394">
        <w:rPr>
          <w:lang w:val="en-CA"/>
        </w:rPr>
        <w:t>determined</w:t>
      </w:r>
      <w:r w:rsidRPr="009A1394">
        <w:rPr>
          <w:lang w:val="en-CA"/>
        </w:rPr>
        <w:t xml:space="preserve"> that </w:t>
      </w:r>
      <w:r w:rsidR="004141E4" w:rsidRPr="009A1394">
        <w:rPr>
          <w:lang w:val="en-CA"/>
        </w:rPr>
        <w:t xml:space="preserve">a car </w:t>
      </w:r>
      <w:r w:rsidRPr="009A1394">
        <w:rPr>
          <w:lang w:val="en-CA"/>
        </w:rPr>
        <w:t xml:space="preserve">manufacturer </w:t>
      </w:r>
      <w:r w:rsidR="00BB0A67" w:rsidRPr="009A1394">
        <w:rPr>
          <w:lang w:val="en-CA"/>
        </w:rPr>
        <w:t xml:space="preserve">whose </w:t>
      </w:r>
      <w:r w:rsidR="00BB0A67" w:rsidRPr="009A1394">
        <w:rPr>
          <w:lang w:val="en-CA"/>
        </w:rPr>
        <w:lastRenderedPageBreak/>
        <w:t xml:space="preserve">vehicles </w:t>
      </w:r>
      <w:r w:rsidRPr="009A1394">
        <w:rPr>
          <w:lang w:val="en-CA"/>
        </w:rPr>
        <w:t xml:space="preserve">had been made easier to </w:t>
      </w:r>
      <w:r w:rsidR="00965769" w:rsidRPr="009A1394">
        <w:rPr>
          <w:lang w:val="en-CA"/>
        </w:rPr>
        <w:t xml:space="preserve">steal </w:t>
      </w:r>
      <w:r w:rsidRPr="009A1394">
        <w:rPr>
          <w:lang w:val="en-CA"/>
        </w:rPr>
        <w:t xml:space="preserve">because of a design flaw affecting their security system could not defend itself by arguing that the theft itself was a </w:t>
      </w:r>
      <w:r w:rsidRPr="009A1394">
        <w:rPr>
          <w:i/>
          <w:lang w:val="en-CA"/>
        </w:rPr>
        <w:t>novus actus interveniens</w:t>
      </w:r>
      <w:r w:rsidRPr="009A1394">
        <w:rPr>
          <w:lang w:val="en-CA"/>
        </w:rPr>
        <w:t>.</w:t>
      </w:r>
      <w:r w:rsidRPr="009A1394">
        <w:rPr>
          <w:rStyle w:val="Appelnotedebasdep"/>
          <w:lang w:val="en-CA"/>
        </w:rPr>
        <w:footnoteReference w:id="263"/>
      </w:r>
      <w:r w:rsidR="008161A3" w:rsidRPr="009A1394">
        <w:rPr>
          <w:lang w:val="en-CA"/>
        </w:rPr>
        <w:t xml:space="preserve"> </w:t>
      </w:r>
      <w:r w:rsidR="00112A12" w:rsidRPr="009A1394">
        <w:rPr>
          <w:lang w:val="en-CA"/>
        </w:rPr>
        <w:t>In addition</w:t>
      </w:r>
      <w:r w:rsidRPr="009A1394">
        <w:rPr>
          <w:lang w:val="en-CA"/>
        </w:rPr>
        <w:t xml:space="preserve">, it was </w:t>
      </w:r>
      <w:r w:rsidR="004141E4" w:rsidRPr="009A1394">
        <w:rPr>
          <w:lang w:val="en-CA"/>
        </w:rPr>
        <w:t>considered</w:t>
      </w:r>
      <w:r w:rsidRPr="009A1394">
        <w:rPr>
          <w:lang w:val="en-CA"/>
        </w:rPr>
        <w:t xml:space="preserve"> that the fraud of an investment advisor had not broken the causal connection between the losses suffered by his client and the fault of that client’s lawyer who had </w:t>
      </w:r>
      <w:r w:rsidR="00EE3440" w:rsidRPr="009A1394">
        <w:rPr>
          <w:lang w:val="en-CA"/>
        </w:rPr>
        <w:t>[</w:t>
      </w:r>
      <w:r w:rsidR="00EE3440" w:rsidRPr="009A1394">
        <w:rPr>
          <w:smallCaps/>
          <w:lang w:val="en-CA"/>
        </w:rPr>
        <w:t>translation</w:t>
      </w:r>
      <w:r w:rsidR="00EE3440" w:rsidRPr="009A1394">
        <w:rPr>
          <w:lang w:val="en-CA"/>
        </w:rPr>
        <w:t xml:space="preserve">] </w:t>
      </w:r>
      <w:r w:rsidRPr="009A1394">
        <w:rPr>
          <w:lang w:val="en-CA"/>
        </w:rPr>
        <w:t xml:space="preserve">“made every effort to convince </w:t>
      </w:r>
      <w:r w:rsidR="00112A12" w:rsidRPr="009A1394">
        <w:rPr>
          <w:lang w:val="en-CA"/>
        </w:rPr>
        <w:t>[</w:t>
      </w:r>
      <w:r w:rsidRPr="009A1394">
        <w:rPr>
          <w:lang w:val="en-CA"/>
        </w:rPr>
        <w:t>her</w:t>
      </w:r>
      <w:r w:rsidR="00112A12" w:rsidRPr="009A1394">
        <w:rPr>
          <w:lang w:val="en-CA"/>
        </w:rPr>
        <w:t>]</w:t>
      </w:r>
      <w:r w:rsidRPr="009A1394">
        <w:rPr>
          <w:lang w:val="en-CA"/>
        </w:rPr>
        <w:t xml:space="preserve"> to make—and keep—her investments with this advisor”.</w:t>
      </w:r>
      <w:r w:rsidRPr="009A1394">
        <w:rPr>
          <w:rStyle w:val="Appelnotedebasdep"/>
          <w:lang w:val="en-CA"/>
        </w:rPr>
        <w:footnoteReference w:id="264"/>
      </w:r>
    </w:p>
    <w:p w14:paraId="2F73C95C" w14:textId="0CF5790E" w:rsidR="00702A59" w:rsidRPr="009A1394" w:rsidRDefault="00264E90" w:rsidP="00E30275">
      <w:pPr>
        <w:pStyle w:val="Paragraphe"/>
        <w:numPr>
          <w:ilvl w:val="0"/>
          <w:numId w:val="1"/>
        </w:numPr>
        <w:rPr>
          <w:lang w:val="en-CA"/>
        </w:rPr>
      </w:pPr>
      <w:r w:rsidRPr="009A1394">
        <w:rPr>
          <w:lang w:val="en-CA"/>
        </w:rPr>
        <w:t xml:space="preserve">Thus, a </w:t>
      </w:r>
      <w:r w:rsidR="00EE3440" w:rsidRPr="009A1394">
        <w:rPr>
          <w:lang w:val="en-CA"/>
        </w:rPr>
        <w:t>subsequent</w:t>
      </w:r>
      <w:r w:rsidRPr="009A1394">
        <w:rPr>
          <w:lang w:val="en-CA"/>
        </w:rPr>
        <w:t xml:space="preserve"> fault does not always break the causal connection between the initial fault </w:t>
      </w:r>
      <w:r w:rsidR="00EE3440" w:rsidRPr="009A1394">
        <w:rPr>
          <w:lang w:val="en-CA"/>
        </w:rPr>
        <w:t>and</w:t>
      </w:r>
      <w:r w:rsidRPr="009A1394">
        <w:rPr>
          <w:lang w:val="en-CA"/>
        </w:rPr>
        <w:t xml:space="preserve"> the resulting </w:t>
      </w:r>
      <w:r w:rsidR="004141E4" w:rsidRPr="009A1394">
        <w:rPr>
          <w:lang w:val="en-CA"/>
        </w:rPr>
        <w:t>injury</w:t>
      </w:r>
      <w:r w:rsidRPr="009A1394">
        <w:rPr>
          <w:lang w:val="en-CA"/>
        </w:rPr>
        <w:t>.</w:t>
      </w:r>
      <w:r w:rsidR="008161A3" w:rsidRPr="009A1394">
        <w:rPr>
          <w:lang w:val="en-CA"/>
        </w:rPr>
        <w:t xml:space="preserve"> </w:t>
      </w:r>
      <w:r w:rsidRPr="009A1394">
        <w:rPr>
          <w:lang w:val="en-CA"/>
        </w:rPr>
        <w:t xml:space="preserve">When a logical connection continues to exist between the initial fault and the injury, or when the two faults are part of a single series of events, it </w:t>
      </w:r>
      <w:r w:rsidR="006A2E8F" w:rsidRPr="009A1394">
        <w:rPr>
          <w:lang w:val="en-CA"/>
        </w:rPr>
        <w:t>is found</w:t>
      </w:r>
      <w:r w:rsidRPr="009A1394">
        <w:rPr>
          <w:lang w:val="en-CA"/>
        </w:rPr>
        <w:t xml:space="preserve"> instead that </w:t>
      </w:r>
      <w:r w:rsidR="006A2E8F" w:rsidRPr="009A1394">
        <w:rPr>
          <w:lang w:val="en-CA"/>
        </w:rPr>
        <w:t>there</w:t>
      </w:r>
      <w:r w:rsidRPr="009A1394">
        <w:rPr>
          <w:lang w:val="en-CA"/>
        </w:rPr>
        <w:t xml:space="preserve"> </w:t>
      </w:r>
      <w:r w:rsidR="006A2E8F" w:rsidRPr="009A1394">
        <w:rPr>
          <w:lang w:val="en-CA"/>
        </w:rPr>
        <w:t>were</w:t>
      </w:r>
      <w:r w:rsidRPr="009A1394">
        <w:rPr>
          <w:lang w:val="en-CA"/>
        </w:rPr>
        <w:t xml:space="preserve"> contributory faults.</w:t>
      </w:r>
    </w:p>
    <w:p w14:paraId="08008D71" w14:textId="39F839BE" w:rsidR="00702A59" w:rsidRPr="009A1394" w:rsidRDefault="00264E90" w:rsidP="00E30275">
      <w:pPr>
        <w:pStyle w:val="Paragraphe"/>
        <w:numPr>
          <w:ilvl w:val="0"/>
          <w:numId w:val="1"/>
        </w:numPr>
        <w:rPr>
          <w:lang w:val="en-CA"/>
        </w:rPr>
      </w:pPr>
      <w:r w:rsidRPr="009A1394">
        <w:rPr>
          <w:lang w:val="en-CA"/>
        </w:rPr>
        <w:t>Determining a causal connection is a question of fact:</w:t>
      </w:r>
    </w:p>
    <w:p w14:paraId="183ED250" w14:textId="6101EE45" w:rsidR="00702A59" w:rsidRPr="009A1394" w:rsidRDefault="00264E90" w:rsidP="00E30275">
      <w:pPr>
        <w:pStyle w:val="Citationenretrait"/>
        <w:rPr>
          <w:lang w:val="en-CA"/>
        </w:rPr>
      </w:pPr>
      <w:r w:rsidRPr="009A1394">
        <w:rPr>
          <w:lang w:val="en-CA"/>
        </w:rPr>
        <w:t>[104]</w:t>
      </w:r>
      <w:r w:rsidR="008161A3" w:rsidRPr="009A1394">
        <w:rPr>
          <w:lang w:val="en-CA"/>
        </w:rPr>
        <w:tab/>
      </w:r>
      <w:r w:rsidRPr="009A1394">
        <w:rPr>
          <w:lang w:val="en-CA"/>
        </w:rPr>
        <w:t xml:space="preserve">In </w:t>
      </w:r>
      <w:r w:rsidR="00FD2D1C" w:rsidRPr="009A1394">
        <w:rPr>
          <w:lang w:val="en-CA"/>
        </w:rPr>
        <w:t xml:space="preserve">the determination of </w:t>
      </w:r>
      <w:r w:rsidRPr="009A1394">
        <w:rPr>
          <w:lang w:val="en-CA"/>
        </w:rPr>
        <w:t>fault one applies norms of behaviour required by law to a set of facts.</w:t>
      </w:r>
      <w:r w:rsidR="008161A3" w:rsidRPr="009A1394">
        <w:rPr>
          <w:lang w:val="en-CA"/>
        </w:rPr>
        <w:t xml:space="preserve"> </w:t>
      </w:r>
      <w:r w:rsidRPr="009A1394">
        <w:rPr>
          <w:lang w:val="en-CA"/>
        </w:rPr>
        <w:t>This obviously makes the question one of mixed fact</w:t>
      </w:r>
      <w:r w:rsidR="00457EBD" w:rsidRPr="009A1394">
        <w:rPr>
          <w:lang w:val="en-CA"/>
        </w:rPr>
        <w:t xml:space="preserve"> and law</w:t>
      </w:r>
      <w:r w:rsidRPr="009A1394">
        <w:rPr>
          <w:lang w:val="en-CA"/>
        </w:rPr>
        <w:t>.</w:t>
      </w:r>
      <w:r w:rsidR="008161A3" w:rsidRPr="009A1394">
        <w:rPr>
          <w:lang w:val="en-CA"/>
        </w:rPr>
        <w:t xml:space="preserve"> </w:t>
      </w:r>
      <w:r w:rsidRPr="009A1394">
        <w:rPr>
          <w:lang w:val="en-CA"/>
        </w:rPr>
        <w:t xml:space="preserve">In contrast, in </w:t>
      </w:r>
      <w:r w:rsidR="00FD2D1C" w:rsidRPr="009A1394">
        <w:rPr>
          <w:lang w:val="en-CA"/>
        </w:rPr>
        <w:t xml:space="preserve">the determination of </w:t>
      </w:r>
      <w:r w:rsidRPr="009A1394">
        <w:rPr>
          <w:lang w:val="en-CA"/>
        </w:rPr>
        <w:t>causation</w:t>
      </w:r>
      <w:r w:rsidR="001506E8" w:rsidRPr="009A1394">
        <w:rPr>
          <w:lang w:val="en-CA"/>
        </w:rPr>
        <w:t>,</w:t>
      </w:r>
      <w:r w:rsidRPr="009A1394">
        <w:rPr>
          <w:lang w:val="en-CA"/>
        </w:rPr>
        <w:t xml:space="preserve"> one is inquiring into whether something happened between the fault and the damage suffered so as to link the two.</w:t>
      </w:r>
      <w:r w:rsidR="008161A3" w:rsidRPr="009A1394">
        <w:rPr>
          <w:lang w:val="en-CA"/>
        </w:rPr>
        <w:t xml:space="preserve"> </w:t>
      </w:r>
      <w:r w:rsidRPr="009A1394">
        <w:rPr>
          <w:lang w:val="en-CA"/>
        </w:rPr>
        <w:t>That link must be legally significant in an evidentiary sense, but it is rendered no less a question of fact.</w:t>
      </w:r>
      <w:r w:rsidR="008161A3" w:rsidRPr="009A1394">
        <w:rPr>
          <w:rStyle w:val="Appelnotedebasdep"/>
          <w:lang w:val="en-CA"/>
        </w:rPr>
        <w:footnoteReference w:id="265"/>
      </w:r>
    </w:p>
    <w:p w14:paraId="3D170B9F" w14:textId="7CEBC1A3" w:rsidR="00702A59" w:rsidRPr="009A1394" w:rsidRDefault="00687D3E" w:rsidP="00E30275">
      <w:pPr>
        <w:pStyle w:val="Paragraphe"/>
        <w:numPr>
          <w:ilvl w:val="0"/>
          <w:numId w:val="1"/>
        </w:numPr>
        <w:rPr>
          <w:lang w:val="en-CA"/>
        </w:rPr>
      </w:pPr>
      <w:r w:rsidRPr="009A1394">
        <w:rPr>
          <w:lang w:val="en-CA"/>
        </w:rPr>
        <w:t>The Supreme Court has often reiterated t</w:t>
      </w:r>
      <w:r w:rsidR="00D00748" w:rsidRPr="009A1394">
        <w:rPr>
          <w:lang w:val="en-CA"/>
        </w:rPr>
        <w:t xml:space="preserve">hese teachings, including recently in </w:t>
      </w:r>
      <w:r w:rsidR="00D00748" w:rsidRPr="009A1394">
        <w:rPr>
          <w:i/>
          <w:lang w:val="en-CA"/>
        </w:rPr>
        <w:t>Lonardi</w:t>
      </w:r>
      <w:r w:rsidR="00D00748" w:rsidRPr="009A1394">
        <w:rPr>
          <w:lang w:val="en-CA"/>
        </w:rPr>
        <w:t xml:space="preserve">, </w:t>
      </w:r>
      <w:r w:rsidRPr="009A1394">
        <w:rPr>
          <w:lang w:val="en-CA"/>
        </w:rPr>
        <w:t xml:space="preserve">in </w:t>
      </w:r>
      <w:r w:rsidR="00D00748" w:rsidRPr="009A1394">
        <w:rPr>
          <w:lang w:val="en-CA"/>
        </w:rPr>
        <w:t xml:space="preserve">which </w:t>
      </w:r>
      <w:r w:rsidRPr="009A1394">
        <w:rPr>
          <w:lang w:val="en-CA"/>
        </w:rPr>
        <w:t xml:space="preserve">it </w:t>
      </w:r>
      <w:r w:rsidR="00D00748" w:rsidRPr="009A1394">
        <w:rPr>
          <w:lang w:val="en-CA"/>
        </w:rPr>
        <w:t>state</w:t>
      </w:r>
      <w:r w:rsidRPr="009A1394">
        <w:rPr>
          <w:lang w:val="en-CA"/>
        </w:rPr>
        <w:t>d</w:t>
      </w:r>
      <w:r w:rsidR="00D00748" w:rsidRPr="009A1394">
        <w:rPr>
          <w:lang w:val="en-CA"/>
        </w:rPr>
        <w:t xml:space="preserve"> that “the question whether there is a causal connection between a fault and damage is one of fact”.</w:t>
      </w:r>
      <w:r w:rsidR="00D00748" w:rsidRPr="009A1394">
        <w:rPr>
          <w:rStyle w:val="Appelnotedebasdep"/>
          <w:lang w:val="en-CA"/>
        </w:rPr>
        <w:footnoteReference w:id="266"/>
      </w:r>
      <w:r w:rsidR="008161A3" w:rsidRPr="009A1394">
        <w:rPr>
          <w:lang w:val="en-CA"/>
        </w:rPr>
        <w:t xml:space="preserve"> </w:t>
      </w:r>
      <w:r w:rsidR="00D00748" w:rsidRPr="009A1394">
        <w:rPr>
          <w:lang w:val="en-CA"/>
        </w:rPr>
        <w:t xml:space="preserve">The Court of Appeal repeated this in </w:t>
      </w:r>
      <w:r w:rsidR="00D00748" w:rsidRPr="009A1394">
        <w:rPr>
          <w:i/>
          <w:lang w:val="en-CA"/>
        </w:rPr>
        <w:t>Constructions Concreate ltée</w:t>
      </w:r>
      <w:r w:rsidR="00D00748" w:rsidRPr="009A1394">
        <w:rPr>
          <w:lang w:val="en-CA"/>
        </w:rPr>
        <w:t>:</w:t>
      </w:r>
    </w:p>
    <w:p w14:paraId="40A4EBF4" w14:textId="0034E4AD" w:rsidR="00FE290E" w:rsidRPr="009A1394" w:rsidRDefault="00FE290E" w:rsidP="00E30275">
      <w:pPr>
        <w:pStyle w:val="Citationenretrait"/>
        <w:rPr>
          <w:lang w:val="en-CA"/>
        </w:rPr>
      </w:pPr>
      <w:r w:rsidRPr="009A1394">
        <w:rPr>
          <w:lang w:val="en-CA"/>
        </w:rPr>
        <w:t>[</w:t>
      </w:r>
      <w:r w:rsidRPr="009A1394">
        <w:rPr>
          <w:smallCaps/>
          <w:lang w:val="en-CA"/>
        </w:rPr>
        <w:t>translation</w:t>
      </w:r>
      <w:r w:rsidRPr="009A1394">
        <w:rPr>
          <w:lang w:val="en-CA"/>
        </w:rPr>
        <w:t>]</w:t>
      </w:r>
    </w:p>
    <w:p w14:paraId="3825B452" w14:textId="32B6D9A4" w:rsidR="00702A59" w:rsidRPr="009A1394" w:rsidRDefault="00D00748" w:rsidP="00E30275">
      <w:pPr>
        <w:pStyle w:val="Citationenretrait"/>
        <w:rPr>
          <w:lang w:val="en-CA"/>
        </w:rPr>
      </w:pPr>
      <w:r w:rsidRPr="009A1394">
        <w:rPr>
          <w:lang w:val="en-CA"/>
        </w:rPr>
        <w:t>[50]</w:t>
      </w:r>
      <w:r w:rsidR="008161A3" w:rsidRPr="009A1394">
        <w:rPr>
          <w:lang w:val="en-CA"/>
        </w:rPr>
        <w:tab/>
      </w:r>
      <w:r w:rsidR="00E10651" w:rsidRPr="009A1394">
        <w:rPr>
          <w:lang w:val="en-CA"/>
        </w:rPr>
        <w:t xml:space="preserve">Determining the cause of the damage, particularly when the judge is faced with multiple faults by more than one </w:t>
      </w:r>
      <w:r w:rsidR="00457EBD" w:rsidRPr="009A1394">
        <w:rPr>
          <w:lang w:val="en-CA"/>
        </w:rPr>
        <w:t>actor</w:t>
      </w:r>
      <w:r w:rsidR="00E10651" w:rsidRPr="009A1394">
        <w:rPr>
          <w:lang w:val="en-CA"/>
        </w:rPr>
        <w:t xml:space="preserve">, spread over time, related or unrelated to each other, is a </w:t>
      </w:r>
      <w:r w:rsidR="00457EBD" w:rsidRPr="009A1394">
        <w:rPr>
          <w:lang w:val="en-CA"/>
        </w:rPr>
        <w:t>question</w:t>
      </w:r>
      <w:r w:rsidR="00E10651" w:rsidRPr="009A1394">
        <w:rPr>
          <w:lang w:val="en-CA"/>
        </w:rPr>
        <w:t xml:space="preserve"> of fact, or at most of mixed fact and law.</w:t>
      </w:r>
      <w:r w:rsidR="008161A3" w:rsidRPr="009A1394">
        <w:rPr>
          <w:lang w:val="en-CA"/>
        </w:rPr>
        <w:t xml:space="preserve"> </w:t>
      </w:r>
      <w:r w:rsidR="00E10651" w:rsidRPr="009A1394">
        <w:rPr>
          <w:lang w:val="en-CA"/>
        </w:rPr>
        <w:t xml:space="preserve">It is therefore entitled to appellate deference and </w:t>
      </w:r>
      <w:r w:rsidR="00CD7E6D" w:rsidRPr="009A1394">
        <w:rPr>
          <w:lang w:val="en-CA"/>
        </w:rPr>
        <w:t xml:space="preserve">to </w:t>
      </w:r>
      <w:r w:rsidR="00E10651" w:rsidRPr="009A1394">
        <w:rPr>
          <w:lang w:val="en-CA"/>
        </w:rPr>
        <w:t xml:space="preserve">the application </w:t>
      </w:r>
      <w:r w:rsidR="00CD40F1" w:rsidRPr="009A1394">
        <w:rPr>
          <w:lang w:val="en-CA"/>
        </w:rPr>
        <w:t>of</w:t>
      </w:r>
      <w:r w:rsidR="00E10651" w:rsidRPr="009A1394">
        <w:rPr>
          <w:lang w:val="en-CA"/>
        </w:rPr>
        <w:t xml:space="preserve"> the </w:t>
      </w:r>
      <w:r w:rsidR="002A4E15" w:rsidRPr="009A1394">
        <w:rPr>
          <w:lang w:val="en-CA"/>
        </w:rPr>
        <w:t xml:space="preserve">standard of </w:t>
      </w:r>
      <w:r w:rsidR="00E10651" w:rsidRPr="009A1394">
        <w:rPr>
          <w:lang w:val="en-CA"/>
        </w:rPr>
        <w:t xml:space="preserve">palpable and overriding </w:t>
      </w:r>
      <w:r w:rsidR="002A4E15" w:rsidRPr="009A1394">
        <w:rPr>
          <w:lang w:val="en-CA"/>
        </w:rPr>
        <w:t>error</w:t>
      </w:r>
      <w:r w:rsidR="00E10651" w:rsidRPr="009A1394">
        <w:rPr>
          <w:lang w:val="en-CA"/>
        </w:rPr>
        <w:t>.</w:t>
      </w:r>
    </w:p>
    <w:p w14:paraId="1983744D" w14:textId="5230268D" w:rsidR="00702A59" w:rsidRPr="009A1394" w:rsidRDefault="00E10651" w:rsidP="00E30275">
      <w:pPr>
        <w:pStyle w:val="Citationenretrait"/>
        <w:rPr>
          <w:lang w:val="en-CA"/>
        </w:rPr>
      </w:pPr>
      <w:r w:rsidRPr="009A1394">
        <w:rPr>
          <w:lang w:val="en-CA"/>
        </w:rPr>
        <w:t>[51]</w:t>
      </w:r>
      <w:r w:rsidR="008161A3" w:rsidRPr="009A1394">
        <w:rPr>
          <w:lang w:val="en-CA"/>
        </w:rPr>
        <w:tab/>
      </w:r>
      <w:r w:rsidR="00EE720C" w:rsidRPr="009A1394">
        <w:rPr>
          <w:lang w:val="en-CA"/>
        </w:rPr>
        <w:t>In</w:t>
      </w:r>
      <w:r w:rsidR="006A2E8F" w:rsidRPr="009A1394">
        <w:rPr>
          <w:lang w:val="en-CA"/>
        </w:rPr>
        <w:t>deed, in</w:t>
      </w:r>
      <w:r w:rsidR="00EE720C" w:rsidRPr="009A1394">
        <w:rPr>
          <w:lang w:val="en-CA"/>
        </w:rPr>
        <w:t xml:space="preserve"> such cases, events or faults that preceded the </w:t>
      </w:r>
      <w:r w:rsidR="006A2E8F" w:rsidRPr="009A1394">
        <w:rPr>
          <w:lang w:val="en-CA"/>
        </w:rPr>
        <w:t>injury</w:t>
      </w:r>
      <w:r w:rsidR="00EE720C" w:rsidRPr="009A1394">
        <w:rPr>
          <w:lang w:val="en-CA"/>
        </w:rPr>
        <w:t xml:space="preserve"> must be assessed, </w:t>
      </w:r>
      <w:r w:rsidR="00CD40F1" w:rsidRPr="009A1394">
        <w:rPr>
          <w:lang w:val="en-CA"/>
        </w:rPr>
        <w:t xml:space="preserve">as </w:t>
      </w:r>
      <w:r w:rsidR="00F80084" w:rsidRPr="009A1394">
        <w:rPr>
          <w:lang w:val="en-CA"/>
        </w:rPr>
        <w:t xml:space="preserve">must </w:t>
      </w:r>
      <w:r w:rsidR="00D908A6" w:rsidRPr="009A1394">
        <w:rPr>
          <w:lang w:val="en-CA"/>
        </w:rPr>
        <w:t>their</w:t>
      </w:r>
      <w:r w:rsidR="00EE720C" w:rsidRPr="009A1394">
        <w:rPr>
          <w:lang w:val="en-CA"/>
        </w:rPr>
        <w:t xml:space="preserve"> </w:t>
      </w:r>
      <w:r w:rsidR="00D908A6" w:rsidRPr="009A1394">
        <w:rPr>
          <w:lang w:val="en-CA"/>
        </w:rPr>
        <w:t>sequence and their causal connection with the injury suffered</w:t>
      </w:r>
      <w:r w:rsidR="00EE720C" w:rsidRPr="009A1394">
        <w:rPr>
          <w:lang w:val="en-CA"/>
        </w:rPr>
        <w:t>.</w:t>
      </w:r>
      <w:r w:rsidR="008161A3" w:rsidRPr="009A1394">
        <w:rPr>
          <w:lang w:val="en-CA"/>
        </w:rPr>
        <w:t xml:space="preserve"> </w:t>
      </w:r>
      <w:r w:rsidR="0011185B" w:rsidRPr="009A1394">
        <w:rPr>
          <w:lang w:val="en-CA"/>
        </w:rPr>
        <w:t xml:space="preserve">The </w:t>
      </w:r>
      <w:r w:rsidR="006A2E8F" w:rsidRPr="009A1394">
        <w:rPr>
          <w:lang w:val="en-CA"/>
        </w:rPr>
        <w:t>approach</w:t>
      </w:r>
      <w:r w:rsidR="0011185B" w:rsidRPr="009A1394">
        <w:rPr>
          <w:lang w:val="en-CA"/>
        </w:rPr>
        <w:t xml:space="preserve"> consists in separating the </w:t>
      </w:r>
      <w:r w:rsidR="0049653F" w:rsidRPr="009A1394">
        <w:rPr>
          <w:lang w:val="en-CA"/>
        </w:rPr>
        <w:t>true</w:t>
      </w:r>
      <w:r w:rsidR="0011185B" w:rsidRPr="009A1394">
        <w:rPr>
          <w:lang w:val="en-CA"/>
        </w:rPr>
        <w:t xml:space="preserve"> cause(s) from mere </w:t>
      </w:r>
      <w:r w:rsidR="0011185B" w:rsidRPr="009A1394">
        <w:rPr>
          <w:lang w:val="en-CA"/>
        </w:rPr>
        <w:lastRenderedPageBreak/>
        <w:t xml:space="preserve">circumstances or occasions of the damage, </w:t>
      </w:r>
      <w:r w:rsidR="00D908A6" w:rsidRPr="009A1394">
        <w:rPr>
          <w:lang w:val="en-CA"/>
        </w:rPr>
        <w:t>which is obviously</w:t>
      </w:r>
      <w:r w:rsidR="0011185B" w:rsidRPr="009A1394">
        <w:rPr>
          <w:lang w:val="en-CA"/>
        </w:rPr>
        <w:t xml:space="preserve"> not always </w:t>
      </w:r>
      <w:r w:rsidR="00D908A6" w:rsidRPr="009A1394">
        <w:rPr>
          <w:lang w:val="en-CA"/>
        </w:rPr>
        <w:t>an easy task</w:t>
      </w:r>
      <w:r w:rsidR="0011185B" w:rsidRPr="009A1394">
        <w:rPr>
          <w:lang w:val="en-CA"/>
        </w:rPr>
        <w:t xml:space="preserve">, not to mention that the very admission that a fact is a condition that might have caused the </w:t>
      </w:r>
      <w:r w:rsidR="00992C73" w:rsidRPr="009A1394">
        <w:rPr>
          <w:lang w:val="en-CA"/>
        </w:rPr>
        <w:t xml:space="preserve">injury </w:t>
      </w:r>
      <w:r w:rsidR="0011185B" w:rsidRPr="009A1394">
        <w:rPr>
          <w:lang w:val="en-CA"/>
        </w:rPr>
        <w:t>is not enough, by itself, to make it a determin</w:t>
      </w:r>
      <w:r w:rsidR="00D908A6" w:rsidRPr="009A1394">
        <w:rPr>
          <w:lang w:val="en-CA"/>
        </w:rPr>
        <w:t>ing</w:t>
      </w:r>
      <w:r w:rsidR="0011185B" w:rsidRPr="009A1394">
        <w:rPr>
          <w:lang w:val="en-CA"/>
        </w:rPr>
        <w:t xml:space="preserve"> cause of the </w:t>
      </w:r>
      <w:r w:rsidR="006A2E8F" w:rsidRPr="009A1394">
        <w:rPr>
          <w:lang w:val="en-CA"/>
        </w:rPr>
        <w:t>injury</w:t>
      </w:r>
      <w:r w:rsidR="0011185B" w:rsidRPr="009A1394">
        <w:rPr>
          <w:lang w:val="en-CA"/>
        </w:rPr>
        <w:t xml:space="preserve"> actually suffered.</w:t>
      </w:r>
      <w:r w:rsidR="008161A3" w:rsidRPr="009A1394">
        <w:rPr>
          <w:rStyle w:val="Appelnotedebasdep"/>
          <w:lang w:val="en-CA"/>
        </w:rPr>
        <w:footnoteReference w:id="267"/>
      </w:r>
    </w:p>
    <w:p w14:paraId="65AC3E64" w14:textId="1FCFBD0E" w:rsidR="00576EF3" w:rsidRPr="009A1394" w:rsidRDefault="00576EF3" w:rsidP="00576EF3">
      <w:pPr>
        <w:pStyle w:val="Paragraphe"/>
        <w:keepNext/>
        <w:numPr>
          <w:ilvl w:val="0"/>
          <w:numId w:val="1"/>
        </w:numPr>
        <w:spacing w:line="240" w:lineRule="auto"/>
        <w:rPr>
          <w:lang w:val="en-CA"/>
        </w:rPr>
      </w:pPr>
      <w:r w:rsidRPr="009A1394">
        <w:rPr>
          <w:lang w:val="en-CA"/>
        </w:rPr>
        <w:t>It follows that calling into question, on appeal, the determination of the causal connection will be subject to the palpable and overriding error standard of review of palpable and overriding error.</w:t>
      </w:r>
      <w:r w:rsidRPr="009A1394">
        <w:rPr>
          <w:rStyle w:val="Citationintgre"/>
          <w:lang w:val="en-CA"/>
        </w:rPr>
        <w:t xml:space="preserve"> </w:t>
      </w:r>
      <w:r w:rsidRPr="009A1394">
        <w:rPr>
          <w:rStyle w:val="Appelnotedebasdep"/>
          <w:lang w:val="en-CA"/>
        </w:rPr>
        <w:footnoteReference w:id="268"/>
      </w:r>
      <w:r w:rsidRPr="009A1394">
        <w:rPr>
          <w:lang w:val="en-CA"/>
        </w:rPr>
        <w:t xml:space="preserve"> As a reminder, this standard is applied even more strictly in cases where the evidence is particularly complex. The case law instructs that an appellate court must show great deference to the trier of fact’s finding</w:t>
      </w:r>
      <w:r w:rsidR="00BE6211" w:rsidRPr="009A1394">
        <w:rPr>
          <w:lang w:val="en-CA"/>
        </w:rPr>
        <w:t>:</w:t>
      </w:r>
    </w:p>
    <w:p w14:paraId="6DC486A9" w14:textId="0C8706E6" w:rsidR="008354C6" w:rsidRPr="009A1394" w:rsidRDefault="008354C6" w:rsidP="001B713F">
      <w:pPr>
        <w:pStyle w:val="Citationenretrait"/>
        <w:keepNext/>
        <w:rPr>
          <w:lang w:val="en-CA"/>
        </w:rPr>
      </w:pPr>
      <w:r w:rsidRPr="009A1394">
        <w:rPr>
          <w:lang w:val="en-CA"/>
        </w:rPr>
        <w:t>[</w:t>
      </w:r>
      <w:r w:rsidRPr="009A1394">
        <w:rPr>
          <w:smallCaps/>
          <w:lang w:val="en-CA"/>
        </w:rPr>
        <w:t>translation</w:t>
      </w:r>
      <w:r w:rsidRPr="009A1394">
        <w:rPr>
          <w:lang w:val="en-CA"/>
        </w:rPr>
        <w:t>]</w:t>
      </w:r>
    </w:p>
    <w:p w14:paraId="2C642F7F" w14:textId="5DACECA0" w:rsidR="00702A59" w:rsidRPr="009A1394" w:rsidRDefault="0011185B" w:rsidP="001B713F">
      <w:pPr>
        <w:pStyle w:val="Citationenretrait"/>
        <w:keepNext/>
        <w:rPr>
          <w:lang w:val="en-CA"/>
        </w:rPr>
      </w:pPr>
      <w:r w:rsidRPr="009A1394">
        <w:rPr>
          <w:lang w:val="en-CA"/>
        </w:rPr>
        <w:t>[41]</w:t>
      </w:r>
      <w:r w:rsidR="008161A3" w:rsidRPr="009A1394">
        <w:rPr>
          <w:lang w:val="en-CA"/>
        </w:rPr>
        <w:tab/>
      </w:r>
      <w:r w:rsidRPr="009A1394">
        <w:rPr>
          <w:lang w:val="en-CA"/>
        </w:rPr>
        <w:t xml:space="preserve">The importance for an appellate court to </w:t>
      </w:r>
      <w:r w:rsidR="00FB0918" w:rsidRPr="009A1394">
        <w:rPr>
          <w:lang w:val="en-CA"/>
        </w:rPr>
        <w:t>show restraint</w:t>
      </w:r>
      <w:r w:rsidRPr="009A1394">
        <w:rPr>
          <w:lang w:val="en-CA"/>
        </w:rPr>
        <w:t xml:space="preserve"> in complex cases was also reiterated on a few occasions by the Supreme Court, including in </w:t>
      </w:r>
      <w:r w:rsidRPr="009A1394">
        <w:rPr>
          <w:i/>
          <w:lang w:val="en-CA"/>
        </w:rPr>
        <w:t>Benhaim v. St-Germain</w:t>
      </w:r>
      <w:r w:rsidRPr="009A1394">
        <w:rPr>
          <w:lang w:val="en-CA"/>
        </w:rPr>
        <w:t>.</w:t>
      </w:r>
    </w:p>
    <w:p w14:paraId="1A7ED56F" w14:textId="5D7DBDE5" w:rsidR="00702A59" w:rsidRPr="009A1394" w:rsidRDefault="0011185B" w:rsidP="00E30275">
      <w:pPr>
        <w:pStyle w:val="Citationenretrait"/>
        <w:rPr>
          <w:lang w:val="en-CA"/>
        </w:rPr>
      </w:pPr>
      <w:r w:rsidRPr="009A1394">
        <w:rPr>
          <w:lang w:val="en-CA"/>
        </w:rPr>
        <w:t>[42]</w:t>
      </w:r>
      <w:r w:rsidR="008161A3" w:rsidRPr="009A1394">
        <w:rPr>
          <w:lang w:val="en-CA"/>
        </w:rPr>
        <w:tab/>
      </w:r>
      <w:r w:rsidRPr="009A1394">
        <w:rPr>
          <w:lang w:val="en-CA"/>
        </w:rPr>
        <w:t>This is undeniably one of those factually complex cases where deference is particularly called for on appeal.</w:t>
      </w:r>
      <w:r w:rsidR="008161A3" w:rsidRPr="009A1394">
        <w:rPr>
          <w:lang w:val="en-CA"/>
        </w:rPr>
        <w:t xml:space="preserve"> </w:t>
      </w:r>
      <w:r w:rsidRPr="009A1394">
        <w:rPr>
          <w:lang w:val="en-CA"/>
        </w:rPr>
        <w:t>The hearing on the merits last</w:t>
      </w:r>
      <w:r w:rsidR="008354C6" w:rsidRPr="009A1394">
        <w:rPr>
          <w:lang w:val="en-CA"/>
        </w:rPr>
        <w:t>ed</w:t>
      </w:r>
      <w:r w:rsidRPr="009A1394">
        <w:rPr>
          <w:lang w:val="en-CA"/>
        </w:rPr>
        <w:t xml:space="preserve"> about fifty days.</w:t>
      </w:r>
      <w:r w:rsidR="008161A3" w:rsidRPr="009A1394">
        <w:rPr>
          <w:lang w:val="en-CA"/>
        </w:rPr>
        <w:t xml:space="preserve"> </w:t>
      </w:r>
      <w:r w:rsidRPr="009A1394">
        <w:rPr>
          <w:lang w:val="en-CA"/>
        </w:rPr>
        <w:t>The appellants relied on the testimony of over one hundred residents of the Zone.</w:t>
      </w:r>
      <w:r w:rsidR="008161A3" w:rsidRPr="009A1394">
        <w:rPr>
          <w:lang w:val="en-CA"/>
        </w:rPr>
        <w:t xml:space="preserve"> </w:t>
      </w:r>
      <w:r w:rsidRPr="009A1394">
        <w:rPr>
          <w:lang w:val="en-CA"/>
        </w:rPr>
        <w:t xml:space="preserve">The many exhibits adduced </w:t>
      </w:r>
      <w:r w:rsidR="004106DA" w:rsidRPr="009A1394">
        <w:rPr>
          <w:lang w:val="en-CA"/>
        </w:rPr>
        <w:t>include</w:t>
      </w:r>
      <w:r w:rsidRPr="009A1394">
        <w:rPr>
          <w:lang w:val="en-CA"/>
        </w:rPr>
        <w:t xml:space="preserve"> thousands of pages and the record on appeal totals about 50,000 </w:t>
      </w:r>
      <w:r w:rsidR="00EA3846" w:rsidRPr="009A1394">
        <w:rPr>
          <w:lang w:val="en-CA"/>
        </w:rPr>
        <w:t>pages</w:t>
      </w:r>
      <w:r w:rsidRPr="009A1394">
        <w:rPr>
          <w:lang w:val="en-CA"/>
        </w:rPr>
        <w:t>.</w:t>
      </w:r>
    </w:p>
    <w:p w14:paraId="339AA5A3" w14:textId="3F58F7DB" w:rsidR="00911F8F" w:rsidRPr="009A1394" w:rsidRDefault="0011185B" w:rsidP="00E30275">
      <w:pPr>
        <w:pStyle w:val="Citationenretrait"/>
        <w:rPr>
          <w:lang w:val="en-CA"/>
        </w:rPr>
      </w:pPr>
      <w:r w:rsidRPr="009A1394">
        <w:rPr>
          <w:lang w:val="en-CA"/>
        </w:rPr>
        <w:t>[43]</w:t>
      </w:r>
      <w:r w:rsidR="008161A3" w:rsidRPr="009A1394">
        <w:rPr>
          <w:lang w:val="en-CA"/>
        </w:rPr>
        <w:tab/>
      </w:r>
      <w:r w:rsidRPr="009A1394">
        <w:rPr>
          <w:lang w:val="en-CA"/>
        </w:rPr>
        <w:t xml:space="preserve">It bears recalling, moreover, that the Court must show the same deference when the debate on appeal concerns the trial </w:t>
      </w:r>
      <w:r w:rsidR="008354C6" w:rsidRPr="009A1394">
        <w:rPr>
          <w:lang w:val="en-CA"/>
        </w:rPr>
        <w:t>judge’s</w:t>
      </w:r>
      <w:r w:rsidRPr="009A1394">
        <w:rPr>
          <w:lang w:val="en-CA"/>
        </w:rPr>
        <w:t xml:space="preserve"> assessment of the expert reports adduced by the parties, especially when they are contradictory, as in this case.</w:t>
      </w:r>
      <w:r w:rsidR="008161A3" w:rsidRPr="009A1394">
        <w:rPr>
          <w:lang w:val="en-CA"/>
        </w:rPr>
        <w:t xml:space="preserve"> </w:t>
      </w:r>
      <w:r w:rsidRPr="009A1394">
        <w:rPr>
          <w:lang w:val="en-CA"/>
        </w:rPr>
        <w:t xml:space="preserve">As the </w:t>
      </w:r>
      <w:r w:rsidR="008354C6" w:rsidRPr="009A1394">
        <w:rPr>
          <w:lang w:val="en-CA"/>
        </w:rPr>
        <w:t>Court</w:t>
      </w:r>
      <w:r w:rsidRPr="009A1394">
        <w:rPr>
          <w:lang w:val="en-CA"/>
        </w:rPr>
        <w:t xml:space="preserve"> recently recalled, the trial judge is “free to believe one expert </w:t>
      </w:r>
      <w:r w:rsidR="008354C6" w:rsidRPr="009A1394">
        <w:rPr>
          <w:lang w:val="en-CA"/>
        </w:rPr>
        <w:t>over</w:t>
      </w:r>
      <w:r w:rsidRPr="009A1394">
        <w:rPr>
          <w:lang w:val="en-CA"/>
        </w:rPr>
        <w:t xml:space="preserve"> another because only the judge may claim the privilege of having seen and heard them, and only the </w:t>
      </w:r>
      <w:r w:rsidR="008354C6" w:rsidRPr="009A1394">
        <w:rPr>
          <w:lang w:val="en-CA"/>
        </w:rPr>
        <w:t>judge</w:t>
      </w:r>
      <w:r w:rsidRPr="009A1394">
        <w:rPr>
          <w:lang w:val="en-CA"/>
        </w:rPr>
        <w:t xml:space="preserve"> may </w:t>
      </w:r>
      <w:r w:rsidR="00DF2C5A" w:rsidRPr="009A1394">
        <w:rPr>
          <w:lang w:val="en-CA"/>
        </w:rPr>
        <w:t>properly determine</w:t>
      </w:r>
      <w:r w:rsidRPr="009A1394">
        <w:rPr>
          <w:lang w:val="en-CA"/>
        </w:rPr>
        <w:t xml:space="preserve"> </w:t>
      </w:r>
      <w:r w:rsidR="00DF2C5A" w:rsidRPr="009A1394">
        <w:rPr>
          <w:lang w:val="en-CA"/>
        </w:rPr>
        <w:t>their</w:t>
      </w:r>
      <w:r w:rsidRPr="009A1394">
        <w:rPr>
          <w:lang w:val="en-CA"/>
        </w:rPr>
        <w:t xml:space="preserve"> credibility”.</w:t>
      </w:r>
      <w:r w:rsidR="008161A3" w:rsidRPr="009A1394">
        <w:rPr>
          <w:rStyle w:val="Appelnotedebasdep"/>
          <w:lang w:val="en-CA"/>
        </w:rPr>
        <w:footnoteReference w:id="269"/>
      </w:r>
    </w:p>
    <w:p w14:paraId="2D195332" w14:textId="153135E8" w:rsidR="00702A59" w:rsidRPr="009A1394" w:rsidRDefault="00370C51" w:rsidP="00E30275">
      <w:pPr>
        <w:pStyle w:val="Paragraphe"/>
        <w:numPr>
          <w:ilvl w:val="0"/>
          <w:numId w:val="1"/>
        </w:numPr>
        <w:rPr>
          <w:lang w:val="en-CA"/>
        </w:rPr>
      </w:pPr>
      <w:r w:rsidRPr="009A1394">
        <w:rPr>
          <w:lang w:val="en-CA"/>
        </w:rPr>
        <w:t>The case at bar is in fact one where</w:t>
      </w:r>
      <w:r w:rsidR="003570BD" w:rsidRPr="009A1394">
        <w:rPr>
          <w:lang w:val="en-CA"/>
        </w:rPr>
        <w:t xml:space="preserve"> the evidence adduced was</w:t>
      </w:r>
      <w:r w:rsidR="00624E49" w:rsidRPr="009A1394">
        <w:rPr>
          <w:lang w:val="en-CA"/>
        </w:rPr>
        <w:t xml:space="preserve"> </w:t>
      </w:r>
      <w:r w:rsidR="003570BD" w:rsidRPr="009A1394">
        <w:rPr>
          <w:lang w:val="en-CA"/>
        </w:rPr>
        <w:t xml:space="preserve">highly complex in addition to being voluminous, the trial </w:t>
      </w:r>
      <w:r w:rsidR="00412E9B" w:rsidRPr="009A1394">
        <w:rPr>
          <w:lang w:val="en-CA"/>
        </w:rPr>
        <w:t xml:space="preserve">having </w:t>
      </w:r>
      <w:r w:rsidR="003570BD" w:rsidRPr="009A1394">
        <w:rPr>
          <w:lang w:val="en-CA"/>
        </w:rPr>
        <w:t>las</w:t>
      </w:r>
      <w:r w:rsidR="008354C6" w:rsidRPr="009A1394">
        <w:rPr>
          <w:lang w:val="en-CA"/>
        </w:rPr>
        <w:t>t</w:t>
      </w:r>
      <w:r w:rsidR="00412E9B" w:rsidRPr="009A1394">
        <w:rPr>
          <w:lang w:val="en-CA"/>
        </w:rPr>
        <w:t>ed</w:t>
      </w:r>
      <w:r w:rsidR="003570BD" w:rsidRPr="009A1394">
        <w:rPr>
          <w:lang w:val="en-CA"/>
        </w:rPr>
        <w:t xml:space="preserve"> over 60 days and several experts </w:t>
      </w:r>
      <w:r w:rsidR="00412E9B" w:rsidRPr="009A1394">
        <w:rPr>
          <w:lang w:val="en-CA"/>
        </w:rPr>
        <w:t xml:space="preserve">having been </w:t>
      </w:r>
      <w:r w:rsidR="003570BD" w:rsidRPr="009A1394">
        <w:rPr>
          <w:lang w:val="en-CA"/>
        </w:rPr>
        <w:t>heard.</w:t>
      </w:r>
      <w:r w:rsidR="00DD6F6D" w:rsidRPr="009A1394">
        <w:rPr>
          <w:lang w:val="en-CA"/>
        </w:rPr>
        <w:t xml:space="preserve"> </w:t>
      </w:r>
      <w:r w:rsidR="003570BD" w:rsidRPr="009A1394">
        <w:rPr>
          <w:lang w:val="en-CA"/>
        </w:rPr>
        <w:t xml:space="preserve">The demonstration </w:t>
      </w:r>
      <w:r w:rsidR="00B958F1" w:rsidRPr="009A1394">
        <w:rPr>
          <w:lang w:val="en-CA"/>
        </w:rPr>
        <w:t>that</w:t>
      </w:r>
      <w:r w:rsidR="003570BD" w:rsidRPr="009A1394">
        <w:rPr>
          <w:lang w:val="en-CA"/>
        </w:rPr>
        <w:t xml:space="preserve"> the </w:t>
      </w:r>
      <w:r w:rsidR="00B958F1" w:rsidRPr="009A1394">
        <w:rPr>
          <w:lang w:val="en-CA"/>
        </w:rPr>
        <w:t>judge’s</w:t>
      </w:r>
      <w:r w:rsidR="003570BD" w:rsidRPr="009A1394">
        <w:rPr>
          <w:lang w:val="en-CA"/>
        </w:rPr>
        <w:t xml:space="preserve"> conclusions are </w:t>
      </w:r>
      <w:r w:rsidR="00624E49" w:rsidRPr="009A1394">
        <w:rPr>
          <w:lang w:val="en-CA"/>
        </w:rPr>
        <w:t>tainted</w:t>
      </w:r>
      <w:r w:rsidR="003570BD" w:rsidRPr="009A1394">
        <w:rPr>
          <w:lang w:val="en-CA"/>
        </w:rPr>
        <w:t xml:space="preserve"> by a palpable and overriding error must therefore be </w:t>
      </w:r>
      <w:r w:rsidR="00624E49" w:rsidRPr="009A1394">
        <w:rPr>
          <w:lang w:val="en-CA"/>
        </w:rPr>
        <w:t>persuasive.</w:t>
      </w:r>
    </w:p>
    <w:p w14:paraId="3D6C045D" w14:textId="378FE3C3" w:rsidR="00C25296" w:rsidRPr="009A1394" w:rsidRDefault="003B7FEC" w:rsidP="00E30275">
      <w:pPr>
        <w:pStyle w:val="Paragraphe"/>
        <w:jc w:val="center"/>
        <w:rPr>
          <w:lang w:val="en-CA"/>
        </w:rPr>
      </w:pPr>
      <w:r w:rsidRPr="009A1394">
        <w:rPr>
          <w:lang w:val="en-CA"/>
        </w:rPr>
        <w:t>* * *</w:t>
      </w:r>
    </w:p>
    <w:p w14:paraId="7C48B673" w14:textId="61F457E2" w:rsidR="00702A59" w:rsidRPr="009A1394" w:rsidRDefault="003F3019" w:rsidP="00E30275">
      <w:pPr>
        <w:pStyle w:val="Paragraphe"/>
        <w:numPr>
          <w:ilvl w:val="0"/>
          <w:numId w:val="1"/>
        </w:numPr>
        <w:rPr>
          <w:lang w:val="en-CA"/>
        </w:rPr>
      </w:pPr>
      <w:r w:rsidRPr="009A1394">
        <w:rPr>
          <w:lang w:val="en-CA"/>
        </w:rPr>
        <w:lastRenderedPageBreak/>
        <w:t xml:space="preserve">The </w:t>
      </w:r>
      <w:r w:rsidR="00370C51" w:rsidRPr="009A1394">
        <w:rPr>
          <w:lang w:val="en-CA"/>
        </w:rPr>
        <w:t>issue</w:t>
      </w:r>
      <w:r w:rsidRPr="009A1394">
        <w:rPr>
          <w:lang w:val="en-CA"/>
        </w:rPr>
        <w:t xml:space="preserve"> raised by the appellants </w:t>
      </w:r>
      <w:r w:rsidR="00C47334" w:rsidRPr="009A1394">
        <w:rPr>
          <w:lang w:val="en-CA"/>
        </w:rPr>
        <w:t>is</w:t>
      </w:r>
      <w:r w:rsidR="003B5B2B" w:rsidRPr="009A1394">
        <w:rPr>
          <w:lang w:val="en-CA"/>
        </w:rPr>
        <w:t xml:space="preserve"> primarily </w:t>
      </w:r>
      <w:r w:rsidR="004D2A11" w:rsidRPr="009A1394">
        <w:rPr>
          <w:lang w:val="en-CA"/>
        </w:rPr>
        <w:t>one</w:t>
      </w:r>
      <w:r w:rsidR="00C47334" w:rsidRPr="009A1394">
        <w:rPr>
          <w:lang w:val="en-CA"/>
        </w:rPr>
        <w:t xml:space="preserve"> of</w:t>
      </w:r>
      <w:r w:rsidRPr="009A1394">
        <w:rPr>
          <w:lang w:val="en-CA"/>
        </w:rPr>
        <w:t xml:space="preserve"> classification.</w:t>
      </w:r>
      <w:r w:rsidR="008161A3" w:rsidRPr="009A1394">
        <w:rPr>
          <w:lang w:val="en-CA"/>
        </w:rPr>
        <w:t xml:space="preserve"> </w:t>
      </w:r>
      <w:r w:rsidRPr="009A1394">
        <w:rPr>
          <w:lang w:val="en-CA"/>
        </w:rPr>
        <w:t xml:space="preserve">On this subject, the judge wrote that even if CP had committed a fault by failing to require the proper </w:t>
      </w:r>
      <w:r w:rsidR="00B958F1" w:rsidRPr="009A1394">
        <w:rPr>
          <w:lang w:val="en-CA"/>
        </w:rPr>
        <w:t>reclassification</w:t>
      </w:r>
      <w:r w:rsidRPr="009A1394">
        <w:rPr>
          <w:lang w:val="en-CA"/>
        </w:rPr>
        <w:t xml:space="preserve"> of the transported goods, this fault would not be causal.</w:t>
      </w:r>
    </w:p>
    <w:p w14:paraId="0C8C50D8" w14:textId="714BD714" w:rsidR="00702A59" w:rsidRPr="009A1394" w:rsidRDefault="00665063" w:rsidP="00E30275">
      <w:pPr>
        <w:pStyle w:val="Paragraphe"/>
        <w:numPr>
          <w:ilvl w:val="0"/>
          <w:numId w:val="1"/>
        </w:numPr>
        <w:rPr>
          <w:lang w:val="en-CA"/>
        </w:rPr>
      </w:pPr>
      <w:r w:rsidRPr="009A1394">
        <w:rPr>
          <w:lang w:val="en-CA"/>
        </w:rPr>
        <w:t>As mentioned above</w:t>
      </w:r>
      <w:r w:rsidR="003F3019" w:rsidRPr="009A1394">
        <w:rPr>
          <w:lang w:val="en-CA"/>
        </w:rPr>
        <w:t xml:space="preserve">, the appellants’ main </w:t>
      </w:r>
      <w:r w:rsidR="009700C6" w:rsidRPr="009A1394">
        <w:rPr>
          <w:lang w:val="en-CA"/>
        </w:rPr>
        <w:t>theory of</w:t>
      </w:r>
      <w:r w:rsidR="003F3019" w:rsidRPr="009A1394">
        <w:rPr>
          <w:lang w:val="en-CA"/>
        </w:rPr>
        <w:t xml:space="preserve"> causation on this </w:t>
      </w:r>
      <w:r w:rsidR="009700C6" w:rsidRPr="009A1394">
        <w:rPr>
          <w:lang w:val="en-CA"/>
        </w:rPr>
        <w:t>issue</w:t>
      </w:r>
      <w:r w:rsidR="003F3019" w:rsidRPr="009A1394">
        <w:rPr>
          <w:lang w:val="en-CA"/>
        </w:rPr>
        <w:t xml:space="preserve"> can be summed </w:t>
      </w:r>
      <w:r w:rsidR="009700C6" w:rsidRPr="009A1394">
        <w:rPr>
          <w:lang w:val="en-CA"/>
        </w:rPr>
        <w:t xml:space="preserve">up </w:t>
      </w:r>
      <w:r w:rsidR="003F3019" w:rsidRPr="009A1394">
        <w:rPr>
          <w:lang w:val="en-CA"/>
        </w:rPr>
        <w:t>as</w:t>
      </w:r>
      <w:r w:rsidR="009700C6" w:rsidRPr="009A1394">
        <w:rPr>
          <w:lang w:val="en-CA"/>
        </w:rPr>
        <w:t xml:space="preserve"> followed</w:t>
      </w:r>
      <w:r w:rsidR="003F3019" w:rsidRPr="009A1394">
        <w:rPr>
          <w:lang w:val="en-CA"/>
        </w:rPr>
        <w:t xml:space="preserve">: had CP required a </w:t>
      </w:r>
      <w:r w:rsidR="00B958F1" w:rsidRPr="009A1394">
        <w:rPr>
          <w:lang w:val="en-CA"/>
        </w:rPr>
        <w:t>reclassification</w:t>
      </w:r>
      <w:r w:rsidR="003F3019" w:rsidRPr="009A1394">
        <w:rPr>
          <w:lang w:val="en-CA"/>
        </w:rPr>
        <w:t xml:space="preserve">, MMA would then have become aware of </w:t>
      </w:r>
      <w:r w:rsidR="00B958F1" w:rsidRPr="009A1394">
        <w:rPr>
          <w:lang w:val="en-CA"/>
        </w:rPr>
        <w:t>the</w:t>
      </w:r>
      <w:r w:rsidR="003F3019" w:rsidRPr="009A1394">
        <w:rPr>
          <w:lang w:val="en-CA"/>
        </w:rPr>
        <w:t xml:space="preserve"> particularly dangerous nature of </w:t>
      </w:r>
      <w:r w:rsidR="00B958F1" w:rsidRPr="009A1394">
        <w:rPr>
          <w:lang w:val="en-CA"/>
        </w:rPr>
        <w:t>the</w:t>
      </w:r>
      <w:r w:rsidR="003F3019" w:rsidRPr="009A1394">
        <w:rPr>
          <w:lang w:val="en-CA"/>
        </w:rPr>
        <w:t xml:space="preserve"> cargo and</w:t>
      </w:r>
      <w:r w:rsidR="002F231C" w:rsidRPr="009A1394">
        <w:rPr>
          <w:lang w:val="en-CA"/>
        </w:rPr>
        <w:t>,</w:t>
      </w:r>
      <w:r w:rsidR="003F3019" w:rsidRPr="009A1394">
        <w:rPr>
          <w:lang w:val="en-CA"/>
        </w:rPr>
        <w:t xml:space="preserve"> </w:t>
      </w:r>
      <w:r w:rsidR="002F231C" w:rsidRPr="009A1394">
        <w:rPr>
          <w:lang w:val="en-CA"/>
        </w:rPr>
        <w:t>consequently</w:t>
      </w:r>
      <w:r w:rsidR="003F3019" w:rsidRPr="009A1394">
        <w:rPr>
          <w:lang w:val="en-CA"/>
        </w:rPr>
        <w:t>, would have adopted practices to mitigate the risks of transporting it.</w:t>
      </w:r>
    </w:p>
    <w:p w14:paraId="7E0613B4" w14:textId="266269B8" w:rsidR="00702A59" w:rsidRPr="009A1394" w:rsidRDefault="003F3019" w:rsidP="00E30275">
      <w:pPr>
        <w:pStyle w:val="Paragraphe"/>
        <w:numPr>
          <w:ilvl w:val="0"/>
          <w:numId w:val="1"/>
        </w:numPr>
        <w:rPr>
          <w:lang w:val="en-CA"/>
        </w:rPr>
      </w:pPr>
      <w:r w:rsidRPr="009A1394">
        <w:rPr>
          <w:lang w:val="en-CA"/>
        </w:rPr>
        <w:t xml:space="preserve">As the Court has already indicated, this ground essentially relies on </w:t>
      </w:r>
      <w:r w:rsidR="00B958F1" w:rsidRPr="009A1394">
        <w:rPr>
          <w:lang w:val="en-CA"/>
        </w:rPr>
        <w:t>Grindrod’s</w:t>
      </w:r>
      <w:r w:rsidRPr="009A1394">
        <w:rPr>
          <w:lang w:val="en-CA"/>
        </w:rPr>
        <w:t xml:space="preserve"> testimony during his pre-trial examination.</w:t>
      </w:r>
      <w:r w:rsidR="005D33FC" w:rsidRPr="009A1394">
        <w:rPr>
          <w:lang w:val="en-CA"/>
        </w:rPr>
        <w:t xml:space="preserve"> </w:t>
      </w:r>
      <w:r w:rsidR="00C62D4B" w:rsidRPr="009A1394">
        <w:rPr>
          <w:lang w:val="en-CA"/>
        </w:rPr>
        <w:t>At that time</w:t>
      </w:r>
      <w:r w:rsidR="004D2A11" w:rsidRPr="009A1394">
        <w:rPr>
          <w:lang w:val="en-CA"/>
        </w:rPr>
        <w:t>,</w:t>
      </w:r>
      <w:r w:rsidR="00C62D4B" w:rsidRPr="009A1394">
        <w:rPr>
          <w:lang w:val="en-CA"/>
        </w:rPr>
        <w:t xml:space="preserve"> he</w:t>
      </w:r>
      <w:r w:rsidR="004D2A11" w:rsidRPr="009A1394">
        <w:rPr>
          <w:lang w:val="en-CA"/>
        </w:rPr>
        <w:t xml:space="preserve"> </w:t>
      </w:r>
      <w:r w:rsidRPr="009A1394">
        <w:rPr>
          <w:lang w:val="en-CA"/>
        </w:rPr>
        <w:t xml:space="preserve">claimed that had he been informed of the actual </w:t>
      </w:r>
      <w:r w:rsidR="004D2A11" w:rsidRPr="009A1394">
        <w:rPr>
          <w:lang w:val="en-CA"/>
        </w:rPr>
        <w:t>degree</w:t>
      </w:r>
      <w:r w:rsidRPr="009A1394">
        <w:rPr>
          <w:lang w:val="en-CA"/>
        </w:rPr>
        <w:t xml:space="preserve"> of volatility of the oil being transported and the associated risks, he would have changed the crew immediately at the end of Harding’s shift and the </w:t>
      </w:r>
      <w:r w:rsidR="00B958F1" w:rsidRPr="009A1394">
        <w:rPr>
          <w:lang w:val="en-CA"/>
        </w:rPr>
        <w:t>train</w:t>
      </w:r>
      <w:r w:rsidRPr="009A1394">
        <w:rPr>
          <w:lang w:val="en-CA"/>
        </w:rPr>
        <w:t xml:space="preserve"> would not have been </w:t>
      </w:r>
      <w:r w:rsidR="004D2A11" w:rsidRPr="009A1394">
        <w:rPr>
          <w:lang w:val="en-CA"/>
        </w:rPr>
        <w:t>left</w:t>
      </w:r>
      <w:r w:rsidRPr="009A1394">
        <w:rPr>
          <w:lang w:val="en-CA"/>
        </w:rPr>
        <w:t xml:space="preserve"> </w:t>
      </w:r>
      <w:r w:rsidR="00B958F1" w:rsidRPr="009A1394">
        <w:rPr>
          <w:lang w:val="en-CA"/>
        </w:rPr>
        <w:t>unattended</w:t>
      </w:r>
      <w:r w:rsidR="004D2A11" w:rsidRPr="009A1394">
        <w:rPr>
          <w:lang w:val="en-CA"/>
        </w:rPr>
        <w:t xml:space="preserve"> and, m</w:t>
      </w:r>
      <w:r w:rsidRPr="009A1394">
        <w:rPr>
          <w:lang w:val="en-CA"/>
        </w:rPr>
        <w:t>ost of all, for such a long time.</w:t>
      </w:r>
      <w:r w:rsidRPr="009A1394">
        <w:rPr>
          <w:rStyle w:val="Appelnotedebasdep"/>
          <w:lang w:val="en-CA"/>
        </w:rPr>
        <w:footnoteReference w:id="270"/>
      </w:r>
    </w:p>
    <w:p w14:paraId="4A2EEB28" w14:textId="6D90D7EE" w:rsidR="00702A59" w:rsidRPr="009A1394" w:rsidRDefault="003F3019" w:rsidP="00E30275">
      <w:pPr>
        <w:pStyle w:val="Paragraphe"/>
        <w:numPr>
          <w:ilvl w:val="0"/>
          <w:numId w:val="1"/>
        </w:numPr>
        <w:rPr>
          <w:lang w:val="en-CA"/>
        </w:rPr>
      </w:pPr>
      <w:r w:rsidRPr="009A1394">
        <w:rPr>
          <w:lang w:val="en-CA"/>
        </w:rPr>
        <w:t xml:space="preserve">The judge doubted the </w:t>
      </w:r>
      <w:r w:rsidR="004F382F" w:rsidRPr="009A1394">
        <w:rPr>
          <w:lang w:val="en-CA"/>
        </w:rPr>
        <w:t>veracity</w:t>
      </w:r>
      <w:r w:rsidRPr="009A1394">
        <w:rPr>
          <w:lang w:val="en-CA"/>
        </w:rPr>
        <w:t xml:space="preserve"> of Grindrod’s testimony and </w:t>
      </w:r>
      <w:r w:rsidR="004F382F" w:rsidRPr="009A1394">
        <w:rPr>
          <w:lang w:val="en-CA"/>
        </w:rPr>
        <w:t>rejected it</w:t>
      </w:r>
      <w:r w:rsidRPr="009A1394">
        <w:rPr>
          <w:lang w:val="en-CA"/>
        </w:rPr>
        <w:t xml:space="preserve"> entirely.</w:t>
      </w:r>
      <w:r w:rsidRPr="009A1394">
        <w:rPr>
          <w:rStyle w:val="Appelnotedebasdep"/>
          <w:lang w:val="en-CA"/>
        </w:rPr>
        <w:footnoteReference w:id="271"/>
      </w:r>
      <w:r w:rsidR="008161A3" w:rsidRPr="009A1394">
        <w:rPr>
          <w:lang w:val="en-CA"/>
        </w:rPr>
        <w:t xml:space="preserve"> </w:t>
      </w:r>
      <w:r w:rsidRPr="009A1394">
        <w:rPr>
          <w:lang w:val="en-CA"/>
        </w:rPr>
        <w:t xml:space="preserve">He </w:t>
      </w:r>
      <w:r w:rsidR="004F382F" w:rsidRPr="009A1394">
        <w:rPr>
          <w:lang w:val="en-CA"/>
        </w:rPr>
        <w:t>noted</w:t>
      </w:r>
      <w:r w:rsidRPr="009A1394">
        <w:rPr>
          <w:lang w:val="en-CA"/>
        </w:rPr>
        <w:t xml:space="preserve"> that Grindrod had previously claimed that MMA</w:t>
      </w:r>
      <w:r w:rsidR="004F382F" w:rsidRPr="009A1394">
        <w:rPr>
          <w:lang w:val="en-CA"/>
        </w:rPr>
        <w:t xml:space="preserve">’s </w:t>
      </w:r>
      <w:r w:rsidR="003867DE" w:rsidRPr="009A1394">
        <w:rPr>
          <w:lang w:val="en-CA"/>
        </w:rPr>
        <w:t>practices</w:t>
      </w:r>
      <w:r w:rsidRPr="009A1394">
        <w:rPr>
          <w:lang w:val="en-CA"/>
        </w:rPr>
        <w:t xml:space="preserve"> did not depend on the packing group of the crude oil being transported.</w:t>
      </w:r>
    </w:p>
    <w:p w14:paraId="3150EE5E" w14:textId="52D1CABB" w:rsidR="00253D54" w:rsidRPr="009A1394" w:rsidRDefault="003F3019" w:rsidP="00E30275">
      <w:pPr>
        <w:pStyle w:val="Paragraphe"/>
        <w:numPr>
          <w:ilvl w:val="0"/>
          <w:numId w:val="1"/>
        </w:numPr>
        <w:rPr>
          <w:lang w:val="en-CA"/>
        </w:rPr>
      </w:pPr>
      <w:r w:rsidRPr="009A1394">
        <w:rPr>
          <w:lang w:val="en-CA"/>
        </w:rPr>
        <w:t xml:space="preserve">The judge was also careful to explain that Grindrod’s assertion that MMA would have changed its practices </w:t>
      </w:r>
      <w:r w:rsidR="00FB1D48" w:rsidRPr="009A1394">
        <w:rPr>
          <w:lang w:val="en-CA"/>
        </w:rPr>
        <w:t>[</w:t>
      </w:r>
      <w:r w:rsidR="00FB1D48" w:rsidRPr="009A1394">
        <w:rPr>
          <w:smallCaps/>
          <w:lang w:val="en-CA"/>
        </w:rPr>
        <w:t>translation</w:t>
      </w:r>
      <w:r w:rsidR="00FB1D48" w:rsidRPr="009A1394">
        <w:rPr>
          <w:lang w:val="en-CA"/>
        </w:rPr>
        <w:t xml:space="preserve">] </w:t>
      </w:r>
      <w:r w:rsidRPr="009A1394">
        <w:rPr>
          <w:lang w:val="en-CA"/>
        </w:rPr>
        <w:t>“is not adequately supported by the overall circumstances [or] the rest of the evidence on MMA’s overall conduct</w:t>
      </w:r>
      <w:r w:rsidR="00FB1D48" w:rsidRPr="009A1394">
        <w:rPr>
          <w:lang w:val="en-CA"/>
        </w:rPr>
        <w:t>”</w:t>
      </w:r>
      <w:r w:rsidRPr="009A1394">
        <w:rPr>
          <w:lang w:val="en-CA"/>
        </w:rPr>
        <w:t>.</w:t>
      </w:r>
      <w:r w:rsidRPr="009A1394">
        <w:rPr>
          <w:rStyle w:val="Appelnotedebasdep"/>
          <w:lang w:val="en-CA"/>
        </w:rPr>
        <w:footnoteReference w:id="272"/>
      </w:r>
      <w:r w:rsidR="008161A3" w:rsidRPr="009A1394">
        <w:rPr>
          <w:lang w:val="en-CA"/>
        </w:rPr>
        <w:t xml:space="preserve"> </w:t>
      </w:r>
      <w:r w:rsidR="00B40E67" w:rsidRPr="009A1394">
        <w:rPr>
          <w:lang w:val="en-CA"/>
        </w:rPr>
        <w:t>In addition</w:t>
      </w:r>
      <w:r w:rsidR="001817F2" w:rsidRPr="009A1394">
        <w:rPr>
          <w:lang w:val="en-CA"/>
        </w:rPr>
        <w:t xml:space="preserve">, </w:t>
      </w:r>
      <w:r w:rsidRPr="009A1394">
        <w:rPr>
          <w:lang w:val="en-CA"/>
        </w:rPr>
        <w:t>Grindrod admitted that nothing in MMA’s internal regulations provid</w:t>
      </w:r>
      <w:r w:rsidR="004F382F" w:rsidRPr="009A1394">
        <w:rPr>
          <w:lang w:val="en-CA"/>
        </w:rPr>
        <w:t>ed</w:t>
      </w:r>
      <w:r w:rsidRPr="009A1394">
        <w:rPr>
          <w:lang w:val="en-CA"/>
        </w:rPr>
        <w:t xml:space="preserve"> a procedure for each of the PG-I, PG-II, and PG-III packing groups.</w:t>
      </w:r>
    </w:p>
    <w:p w14:paraId="76A36ECC" w14:textId="592D13F5" w:rsidR="00702A59" w:rsidRPr="009A1394" w:rsidRDefault="003F3019" w:rsidP="00E30275">
      <w:pPr>
        <w:pStyle w:val="Paragraphe"/>
        <w:numPr>
          <w:ilvl w:val="0"/>
          <w:numId w:val="1"/>
        </w:numPr>
        <w:rPr>
          <w:lang w:val="en-CA"/>
        </w:rPr>
      </w:pPr>
      <w:r w:rsidRPr="009A1394">
        <w:rPr>
          <w:lang w:val="en-CA"/>
        </w:rPr>
        <w:t xml:space="preserve">The </w:t>
      </w:r>
      <w:r w:rsidR="00FB1D48" w:rsidRPr="009A1394">
        <w:rPr>
          <w:lang w:val="en-CA"/>
        </w:rPr>
        <w:t>appellants</w:t>
      </w:r>
      <w:r w:rsidRPr="009A1394">
        <w:rPr>
          <w:lang w:val="en-CA"/>
        </w:rPr>
        <w:t xml:space="preserve"> have not shown that this conclusion is </w:t>
      </w:r>
      <w:r w:rsidR="004F382F" w:rsidRPr="009A1394">
        <w:rPr>
          <w:lang w:val="en-CA"/>
        </w:rPr>
        <w:t>tainted</w:t>
      </w:r>
      <w:r w:rsidRPr="009A1394">
        <w:rPr>
          <w:lang w:val="en-CA"/>
        </w:rPr>
        <w:t xml:space="preserve"> by a reviewable error.</w:t>
      </w:r>
      <w:r w:rsidR="008161A3" w:rsidRPr="009A1394">
        <w:rPr>
          <w:lang w:val="en-CA"/>
        </w:rPr>
        <w:t xml:space="preserve"> </w:t>
      </w:r>
      <w:r w:rsidR="004F382F" w:rsidRPr="009A1394">
        <w:rPr>
          <w:lang w:val="en-CA"/>
        </w:rPr>
        <w:t xml:space="preserve">Moreover, </w:t>
      </w:r>
      <w:r w:rsidR="009C7199" w:rsidRPr="009A1394">
        <w:rPr>
          <w:lang w:val="en-CA"/>
        </w:rPr>
        <w:t xml:space="preserve">one must </w:t>
      </w:r>
      <w:r w:rsidR="00CD3F95" w:rsidRPr="009A1394">
        <w:rPr>
          <w:lang w:val="en-CA"/>
        </w:rPr>
        <w:t>recall</w:t>
      </w:r>
      <w:r w:rsidRPr="009A1394">
        <w:rPr>
          <w:lang w:val="en-CA"/>
        </w:rPr>
        <w:t xml:space="preserve"> that the </w:t>
      </w:r>
      <w:r w:rsidR="00FB1D48" w:rsidRPr="009A1394">
        <w:rPr>
          <w:lang w:val="en-CA"/>
        </w:rPr>
        <w:t>judge</w:t>
      </w:r>
      <w:r w:rsidRPr="009A1394">
        <w:rPr>
          <w:lang w:val="en-CA"/>
        </w:rPr>
        <w:t xml:space="preserve"> concluded that </w:t>
      </w:r>
      <w:r w:rsidR="004F382F" w:rsidRPr="009A1394">
        <w:rPr>
          <w:lang w:val="en-CA"/>
        </w:rPr>
        <w:t>t</w:t>
      </w:r>
      <w:r w:rsidRPr="009A1394">
        <w:rPr>
          <w:lang w:val="en-CA"/>
        </w:rPr>
        <w:t xml:space="preserve">he dangerousness of the </w:t>
      </w:r>
      <w:r w:rsidR="004F382F" w:rsidRPr="009A1394">
        <w:rPr>
          <w:lang w:val="en-CA"/>
        </w:rPr>
        <w:t>product</w:t>
      </w:r>
      <w:r w:rsidRPr="009A1394">
        <w:rPr>
          <w:lang w:val="en-CA"/>
        </w:rPr>
        <w:t xml:space="preserve"> being transported</w:t>
      </w:r>
      <w:r w:rsidR="00CD3F95" w:rsidRPr="009A1394">
        <w:rPr>
          <w:lang w:val="en-CA"/>
        </w:rPr>
        <w:t xml:space="preserve"> was known to all</w:t>
      </w:r>
      <w:r w:rsidRPr="009A1394">
        <w:rPr>
          <w:lang w:val="en-CA"/>
        </w:rPr>
        <w:t>, including MMA’s employees.</w:t>
      </w:r>
    </w:p>
    <w:p w14:paraId="17573B7B" w14:textId="35E0503C" w:rsidR="00702A59" w:rsidRPr="009A1394" w:rsidRDefault="00FB1D48" w:rsidP="00E30275">
      <w:pPr>
        <w:pStyle w:val="Paragraphe"/>
        <w:numPr>
          <w:ilvl w:val="0"/>
          <w:numId w:val="1"/>
        </w:numPr>
        <w:rPr>
          <w:lang w:val="en-CA"/>
        </w:rPr>
      </w:pPr>
      <w:r w:rsidRPr="009A1394">
        <w:rPr>
          <w:lang w:val="en-CA"/>
        </w:rPr>
        <w:t>The</w:t>
      </w:r>
      <w:r w:rsidR="003F3019" w:rsidRPr="009A1394">
        <w:rPr>
          <w:lang w:val="en-CA"/>
        </w:rPr>
        <w:t xml:space="preserve"> appellants also </w:t>
      </w:r>
      <w:r w:rsidR="00CD3F95" w:rsidRPr="009A1394">
        <w:rPr>
          <w:lang w:val="en-CA"/>
        </w:rPr>
        <w:t>argue</w:t>
      </w:r>
      <w:r w:rsidR="003F3019" w:rsidRPr="009A1394">
        <w:rPr>
          <w:lang w:val="en-CA"/>
        </w:rPr>
        <w:t xml:space="preserve"> </w:t>
      </w:r>
      <w:r w:rsidR="00CD3F95" w:rsidRPr="009A1394">
        <w:rPr>
          <w:lang w:val="en-CA"/>
        </w:rPr>
        <w:t xml:space="preserve">that </w:t>
      </w:r>
      <w:r w:rsidR="003F3019" w:rsidRPr="009A1394">
        <w:rPr>
          <w:lang w:val="en-CA"/>
        </w:rPr>
        <w:t xml:space="preserve">the </w:t>
      </w:r>
      <w:r w:rsidRPr="009A1394">
        <w:rPr>
          <w:lang w:val="en-CA"/>
        </w:rPr>
        <w:t>judge</w:t>
      </w:r>
      <w:r w:rsidR="003F3019" w:rsidRPr="009A1394">
        <w:rPr>
          <w:lang w:val="en-CA"/>
        </w:rPr>
        <w:t xml:space="preserve"> </w:t>
      </w:r>
      <w:r w:rsidR="00CD3F95" w:rsidRPr="009A1394">
        <w:rPr>
          <w:lang w:val="en-CA"/>
        </w:rPr>
        <w:t>erred in</w:t>
      </w:r>
      <w:r w:rsidR="003F3019" w:rsidRPr="009A1394">
        <w:rPr>
          <w:lang w:val="en-CA"/>
        </w:rPr>
        <w:t xml:space="preserve"> setting aside other</w:t>
      </w:r>
      <w:r w:rsidR="00CD3F95" w:rsidRPr="009A1394">
        <w:rPr>
          <w:lang w:val="en-CA"/>
        </w:rPr>
        <w:t xml:space="preserve"> pieces of</w:t>
      </w:r>
      <w:r w:rsidR="003F3019" w:rsidRPr="009A1394">
        <w:rPr>
          <w:lang w:val="en-CA"/>
        </w:rPr>
        <w:t xml:space="preserve"> evidence that proved that MMA had been misled on the actual nature of </w:t>
      </w:r>
      <w:r w:rsidRPr="009A1394">
        <w:rPr>
          <w:lang w:val="en-CA"/>
        </w:rPr>
        <w:t>the</w:t>
      </w:r>
      <w:r w:rsidR="003F3019" w:rsidRPr="009A1394">
        <w:rPr>
          <w:lang w:val="en-CA"/>
        </w:rPr>
        <w:t xml:space="preserve"> crude oil that CP had entrusted to it </w:t>
      </w:r>
      <w:r w:rsidRPr="009A1394">
        <w:rPr>
          <w:lang w:val="en-CA"/>
        </w:rPr>
        <w:t>for</w:t>
      </w:r>
      <w:r w:rsidR="003F3019" w:rsidRPr="009A1394">
        <w:rPr>
          <w:lang w:val="en-CA"/>
        </w:rPr>
        <w:t xml:space="preserve"> transport.</w:t>
      </w:r>
      <w:r w:rsidR="00EB0ACC" w:rsidRPr="009A1394">
        <w:rPr>
          <w:lang w:val="en-CA"/>
        </w:rPr>
        <w:t xml:space="preserve"> </w:t>
      </w:r>
      <w:r w:rsidR="00CD3F95" w:rsidRPr="009A1394">
        <w:rPr>
          <w:lang w:val="en-CA"/>
        </w:rPr>
        <w:t>T</w:t>
      </w:r>
      <w:r w:rsidR="003F3019" w:rsidRPr="009A1394">
        <w:rPr>
          <w:lang w:val="en-CA"/>
        </w:rPr>
        <w:t xml:space="preserve">he appellants </w:t>
      </w:r>
      <w:r w:rsidR="00CD3F95" w:rsidRPr="009A1394">
        <w:rPr>
          <w:lang w:val="en-CA"/>
        </w:rPr>
        <w:t xml:space="preserve">are </w:t>
      </w:r>
      <w:r w:rsidR="003F3019" w:rsidRPr="009A1394">
        <w:rPr>
          <w:lang w:val="en-CA"/>
        </w:rPr>
        <w:t>refer</w:t>
      </w:r>
      <w:r w:rsidR="00CD3F95" w:rsidRPr="009A1394">
        <w:rPr>
          <w:lang w:val="en-CA"/>
        </w:rPr>
        <w:t>ring here</w:t>
      </w:r>
      <w:r w:rsidR="003F3019" w:rsidRPr="009A1394">
        <w:rPr>
          <w:lang w:val="en-CA"/>
        </w:rPr>
        <w:t xml:space="preserve"> to the fact that some MMA employees compared the train to a “mud train”.</w:t>
      </w:r>
      <w:r w:rsidR="008161A3" w:rsidRPr="009A1394">
        <w:rPr>
          <w:lang w:val="en-CA"/>
        </w:rPr>
        <w:t xml:space="preserve"> </w:t>
      </w:r>
      <w:r w:rsidR="00CD3F95" w:rsidRPr="009A1394">
        <w:rPr>
          <w:lang w:val="en-CA"/>
        </w:rPr>
        <w:t>Based on this, t</w:t>
      </w:r>
      <w:r w:rsidR="003F3019" w:rsidRPr="009A1394">
        <w:rPr>
          <w:lang w:val="en-CA"/>
        </w:rPr>
        <w:t xml:space="preserve">he appellants draw the conclusion that they were unaware of the actual nature of the </w:t>
      </w:r>
      <w:r w:rsidR="00B30813" w:rsidRPr="009A1394">
        <w:rPr>
          <w:lang w:val="en-CA"/>
        </w:rPr>
        <w:t xml:space="preserve">commodity </w:t>
      </w:r>
      <w:r w:rsidRPr="009A1394">
        <w:rPr>
          <w:lang w:val="en-CA"/>
        </w:rPr>
        <w:t>being</w:t>
      </w:r>
      <w:r w:rsidR="003F3019" w:rsidRPr="009A1394">
        <w:rPr>
          <w:lang w:val="en-CA"/>
        </w:rPr>
        <w:t xml:space="preserve"> transported.</w:t>
      </w:r>
    </w:p>
    <w:p w14:paraId="089196A2" w14:textId="3F1A91C1" w:rsidR="00702A59" w:rsidRPr="009A1394" w:rsidRDefault="003F3019" w:rsidP="00E30275">
      <w:pPr>
        <w:pStyle w:val="Paragraphe"/>
        <w:numPr>
          <w:ilvl w:val="0"/>
          <w:numId w:val="1"/>
        </w:numPr>
        <w:rPr>
          <w:lang w:val="en-CA"/>
        </w:rPr>
      </w:pPr>
      <w:r w:rsidRPr="009A1394">
        <w:rPr>
          <w:lang w:val="en-CA"/>
        </w:rPr>
        <w:t>The judge did not as</w:t>
      </w:r>
      <w:r w:rsidR="005855B8" w:rsidRPr="009A1394">
        <w:rPr>
          <w:lang w:val="en-CA"/>
        </w:rPr>
        <w:t>cribe</w:t>
      </w:r>
      <w:r w:rsidRPr="009A1394">
        <w:rPr>
          <w:lang w:val="en-CA"/>
        </w:rPr>
        <w:t xml:space="preserve"> the same significance to this evidence as</w:t>
      </w:r>
      <w:r w:rsidR="005855B8" w:rsidRPr="009A1394">
        <w:rPr>
          <w:lang w:val="en-CA"/>
        </w:rPr>
        <w:t xml:space="preserve"> do</w:t>
      </w:r>
      <w:r w:rsidRPr="009A1394">
        <w:rPr>
          <w:lang w:val="en-CA"/>
        </w:rPr>
        <w:t xml:space="preserve"> the appellants, and for good reason.</w:t>
      </w:r>
      <w:r w:rsidR="008161A3" w:rsidRPr="009A1394">
        <w:rPr>
          <w:lang w:val="en-CA"/>
        </w:rPr>
        <w:t xml:space="preserve"> </w:t>
      </w:r>
      <w:r w:rsidRPr="009A1394">
        <w:rPr>
          <w:lang w:val="en-CA"/>
        </w:rPr>
        <w:t xml:space="preserve">He noted that those who used the expression “mud train”, like Jonathan Couture, acknowledged that they had noted the presence of a </w:t>
      </w:r>
      <w:r w:rsidR="004106DA" w:rsidRPr="009A1394">
        <w:rPr>
          <w:lang w:val="en-CA"/>
        </w:rPr>
        <w:t xml:space="preserve">placard affixed </w:t>
      </w:r>
      <w:r w:rsidRPr="009A1394">
        <w:rPr>
          <w:lang w:val="en-CA"/>
        </w:rPr>
        <w:t xml:space="preserve">on each car indicating that the </w:t>
      </w:r>
      <w:r w:rsidR="00B30813" w:rsidRPr="009A1394">
        <w:rPr>
          <w:lang w:val="en-CA"/>
        </w:rPr>
        <w:t xml:space="preserve">commodity </w:t>
      </w:r>
      <w:r w:rsidRPr="009A1394">
        <w:rPr>
          <w:lang w:val="en-CA"/>
        </w:rPr>
        <w:t xml:space="preserve">being transported </w:t>
      </w:r>
      <w:r w:rsidR="00B30813" w:rsidRPr="009A1394">
        <w:rPr>
          <w:lang w:val="en-CA"/>
        </w:rPr>
        <w:t xml:space="preserve">was </w:t>
      </w:r>
      <w:r w:rsidRPr="009A1394">
        <w:rPr>
          <w:lang w:val="en-CA"/>
        </w:rPr>
        <w:lastRenderedPageBreak/>
        <w:t>flammable.</w:t>
      </w:r>
      <w:r w:rsidRPr="009A1394">
        <w:rPr>
          <w:rStyle w:val="Appelnotedebasdep"/>
          <w:lang w:val="en-CA"/>
        </w:rPr>
        <w:footnoteReference w:id="273"/>
      </w:r>
      <w:r w:rsidR="008161A3" w:rsidRPr="009A1394">
        <w:rPr>
          <w:lang w:val="en-CA"/>
        </w:rPr>
        <w:t xml:space="preserve"> </w:t>
      </w:r>
      <w:r w:rsidRPr="009A1394">
        <w:rPr>
          <w:lang w:val="en-CA"/>
        </w:rPr>
        <w:t>Meanwhile, MMA’s vice-president of marketing, Christopher Caldwell, testified that he had never heard that expression.</w:t>
      </w:r>
    </w:p>
    <w:p w14:paraId="544C7A20" w14:textId="0D2C51DD" w:rsidR="00702A59" w:rsidRPr="009A1394" w:rsidRDefault="003F3019" w:rsidP="00E30275">
      <w:pPr>
        <w:pStyle w:val="Paragraphe"/>
        <w:numPr>
          <w:ilvl w:val="0"/>
          <w:numId w:val="1"/>
        </w:numPr>
        <w:rPr>
          <w:lang w:val="en-CA"/>
        </w:rPr>
      </w:pPr>
      <w:r w:rsidRPr="009A1394">
        <w:rPr>
          <w:lang w:val="en-CA"/>
        </w:rPr>
        <w:t>In any event, it appears form Harding’s testimony that the expression “mud train” did not have the connotation give</w:t>
      </w:r>
      <w:r w:rsidR="00FB1D48" w:rsidRPr="009A1394">
        <w:rPr>
          <w:lang w:val="en-CA"/>
        </w:rPr>
        <w:t>n</w:t>
      </w:r>
      <w:r w:rsidRPr="009A1394">
        <w:rPr>
          <w:lang w:val="en-CA"/>
        </w:rPr>
        <w:t xml:space="preserve"> to it by the appellants:</w:t>
      </w:r>
    </w:p>
    <w:p w14:paraId="14F5FD16" w14:textId="2CFA113F" w:rsidR="00702A59" w:rsidRPr="009A1394" w:rsidRDefault="003F3019" w:rsidP="00E30275">
      <w:pPr>
        <w:pStyle w:val="Citationenretrait"/>
        <w:rPr>
          <w:lang w:val="en-CA"/>
        </w:rPr>
      </w:pPr>
      <w:r w:rsidRPr="009A1394">
        <w:rPr>
          <w:lang w:val="en-CA"/>
        </w:rPr>
        <w:t>Q.</w:t>
      </w:r>
      <w:r w:rsidR="008161A3" w:rsidRPr="009A1394">
        <w:rPr>
          <w:lang w:val="en-CA"/>
        </w:rPr>
        <w:tab/>
      </w:r>
      <w:r w:rsidRPr="009A1394">
        <w:rPr>
          <w:lang w:val="en-CA"/>
        </w:rPr>
        <w:t>And why would you refer to it as the mud train?</w:t>
      </w:r>
    </w:p>
    <w:p w14:paraId="3BFAF834" w14:textId="66632495" w:rsidR="00702A59" w:rsidRPr="009A1394" w:rsidRDefault="003F3019" w:rsidP="00E30275">
      <w:pPr>
        <w:pStyle w:val="Citationenretrait"/>
        <w:rPr>
          <w:lang w:val="en-CA"/>
        </w:rPr>
      </w:pPr>
      <w:r w:rsidRPr="009A1394">
        <w:rPr>
          <w:lang w:val="en-CA"/>
        </w:rPr>
        <w:t>A.</w:t>
      </w:r>
      <w:r w:rsidR="008161A3" w:rsidRPr="009A1394">
        <w:rPr>
          <w:lang w:val="en-CA"/>
        </w:rPr>
        <w:tab/>
      </w:r>
      <w:r w:rsidRPr="009A1394">
        <w:rPr>
          <w:lang w:val="en-CA"/>
        </w:rPr>
        <w:t>One of the first fuel trains I picked up in Saint-Luc yard, the car department who is the people who do the brake tests on my train on the night shift, refer to it as the mud.</w:t>
      </w:r>
      <w:r w:rsidR="008161A3" w:rsidRPr="009A1394">
        <w:rPr>
          <w:lang w:val="en-CA"/>
        </w:rPr>
        <w:t xml:space="preserve"> </w:t>
      </w:r>
      <w:r w:rsidRPr="009A1394">
        <w:rPr>
          <w:u w:val="single"/>
          <w:lang w:val="en-CA"/>
        </w:rPr>
        <w:t>We all took it kind of as a joke</w:t>
      </w:r>
      <w:r w:rsidRPr="009A1394">
        <w:rPr>
          <w:lang w:val="en-CA"/>
        </w:rPr>
        <w:t xml:space="preserve"> and we just continued with calling it the mud train.</w:t>
      </w:r>
    </w:p>
    <w:p w14:paraId="2610BA1C" w14:textId="6218B928" w:rsidR="00702A59" w:rsidRPr="009A1394" w:rsidRDefault="00442F83" w:rsidP="00E30275">
      <w:pPr>
        <w:pStyle w:val="Citationenretrait"/>
        <w:jc w:val="right"/>
        <w:rPr>
          <w:lang w:val="en-CA"/>
        </w:rPr>
      </w:pPr>
      <w:r w:rsidRPr="009A1394">
        <w:rPr>
          <w:lang w:val="en-CA"/>
        </w:rPr>
        <w:t>[Emphasis added.]</w:t>
      </w:r>
    </w:p>
    <w:p w14:paraId="6AC08821" w14:textId="36C29A05" w:rsidR="00702A59" w:rsidRPr="009A1394" w:rsidRDefault="003F3019" w:rsidP="00E30275">
      <w:pPr>
        <w:pStyle w:val="Paragraphe"/>
        <w:numPr>
          <w:ilvl w:val="0"/>
          <w:numId w:val="1"/>
        </w:numPr>
        <w:rPr>
          <w:lang w:val="en-CA"/>
        </w:rPr>
      </w:pPr>
      <w:r w:rsidRPr="009A1394">
        <w:rPr>
          <w:lang w:val="en-CA"/>
        </w:rPr>
        <w:t xml:space="preserve">Moreover, the evidence on this </w:t>
      </w:r>
      <w:r w:rsidR="00FB1D48" w:rsidRPr="009A1394">
        <w:rPr>
          <w:lang w:val="en-CA"/>
        </w:rPr>
        <w:t>question</w:t>
      </w:r>
      <w:r w:rsidRPr="009A1394">
        <w:rPr>
          <w:lang w:val="en-CA"/>
        </w:rPr>
        <w:t xml:space="preserve"> was contradictory at best because other MMA </w:t>
      </w:r>
      <w:r w:rsidR="00FB1D48" w:rsidRPr="009A1394">
        <w:rPr>
          <w:lang w:val="en-CA"/>
        </w:rPr>
        <w:t>employees</w:t>
      </w:r>
      <w:r w:rsidRPr="009A1394">
        <w:rPr>
          <w:lang w:val="en-CA"/>
        </w:rPr>
        <w:t xml:space="preserve"> characterized the train transporting crude oil from </w:t>
      </w:r>
      <w:r w:rsidR="00FB1D48" w:rsidRPr="009A1394">
        <w:rPr>
          <w:lang w:val="en-CA"/>
        </w:rPr>
        <w:t>the</w:t>
      </w:r>
      <w:r w:rsidRPr="009A1394">
        <w:rPr>
          <w:lang w:val="en-CA"/>
        </w:rPr>
        <w:t xml:space="preserve"> Bakken </w:t>
      </w:r>
      <w:r w:rsidR="00676A6B" w:rsidRPr="009A1394">
        <w:rPr>
          <w:lang w:val="en-CA"/>
        </w:rPr>
        <w:t>Formation</w:t>
      </w:r>
      <w:r w:rsidRPr="009A1394">
        <w:rPr>
          <w:lang w:val="en-CA"/>
        </w:rPr>
        <w:t xml:space="preserve"> as a </w:t>
      </w:r>
      <w:r w:rsidR="00FB1D48" w:rsidRPr="009A1394">
        <w:rPr>
          <w:lang w:val="en-CA"/>
        </w:rPr>
        <w:t>[</w:t>
      </w:r>
      <w:r w:rsidR="00FB1D48" w:rsidRPr="009A1394">
        <w:rPr>
          <w:smallCaps/>
          <w:lang w:val="en-CA"/>
        </w:rPr>
        <w:t>translation</w:t>
      </w:r>
      <w:r w:rsidR="00FB1D48" w:rsidRPr="009A1394">
        <w:rPr>
          <w:lang w:val="en-CA"/>
        </w:rPr>
        <w:t xml:space="preserve">] </w:t>
      </w:r>
      <w:r w:rsidRPr="009A1394">
        <w:rPr>
          <w:lang w:val="en-CA"/>
        </w:rPr>
        <w:t>“</w:t>
      </w:r>
      <w:r w:rsidR="00B30813" w:rsidRPr="009A1394">
        <w:rPr>
          <w:lang w:val="en-CA"/>
        </w:rPr>
        <w:t xml:space="preserve">ticking </w:t>
      </w:r>
      <w:r w:rsidRPr="009A1394">
        <w:rPr>
          <w:lang w:val="en-CA"/>
        </w:rPr>
        <w:t>time bomb”.</w:t>
      </w:r>
      <w:r w:rsidRPr="009A1394">
        <w:rPr>
          <w:rStyle w:val="Appelnotedebasdep"/>
          <w:lang w:val="en-CA"/>
        </w:rPr>
        <w:footnoteReference w:id="274"/>
      </w:r>
    </w:p>
    <w:p w14:paraId="77335086" w14:textId="784D42E1" w:rsidR="00702A59" w:rsidRPr="009A1394" w:rsidRDefault="003F3019" w:rsidP="00E30275">
      <w:pPr>
        <w:pStyle w:val="Paragraphe"/>
        <w:numPr>
          <w:ilvl w:val="0"/>
          <w:numId w:val="1"/>
        </w:numPr>
        <w:rPr>
          <w:lang w:val="en-CA"/>
        </w:rPr>
      </w:pPr>
      <w:r w:rsidRPr="009A1394">
        <w:rPr>
          <w:lang w:val="en-CA"/>
        </w:rPr>
        <w:t xml:space="preserve">The judge also noted that a document had been given to MMA staff indicating that the dangerous goods in the PG-I, PG-II, or PG-III packing groups were highly flammable, that their flash point could be very low and that they </w:t>
      </w:r>
      <w:r w:rsidR="005855B8" w:rsidRPr="009A1394">
        <w:rPr>
          <w:lang w:val="en-CA"/>
        </w:rPr>
        <w:t>could</w:t>
      </w:r>
      <w:r w:rsidRPr="009A1394">
        <w:rPr>
          <w:lang w:val="en-CA"/>
        </w:rPr>
        <w:t xml:space="preserve"> explode or catch fire if they were exposed to heat sources.</w:t>
      </w:r>
      <w:r w:rsidRPr="009A1394">
        <w:rPr>
          <w:rStyle w:val="Appelnotedebasdep"/>
          <w:lang w:val="en-CA"/>
        </w:rPr>
        <w:footnoteReference w:id="275"/>
      </w:r>
    </w:p>
    <w:p w14:paraId="06A50C29" w14:textId="256E8B0B" w:rsidR="00702A59" w:rsidRPr="009A1394" w:rsidRDefault="003F3019" w:rsidP="00E30275">
      <w:pPr>
        <w:pStyle w:val="Paragraphe"/>
        <w:numPr>
          <w:ilvl w:val="0"/>
          <w:numId w:val="1"/>
        </w:numPr>
        <w:rPr>
          <w:lang w:val="en-CA"/>
        </w:rPr>
      </w:pPr>
      <w:r w:rsidRPr="009A1394">
        <w:rPr>
          <w:lang w:val="en-CA"/>
        </w:rPr>
        <w:t xml:space="preserve">The judge could infer from this evidence that MMA employees were well aware of the dangerousness of </w:t>
      </w:r>
      <w:r w:rsidR="00F86680" w:rsidRPr="009A1394">
        <w:rPr>
          <w:lang w:val="en-CA"/>
        </w:rPr>
        <w:t>the</w:t>
      </w:r>
      <w:r w:rsidRPr="009A1394">
        <w:rPr>
          <w:lang w:val="en-CA"/>
        </w:rPr>
        <w:t xml:space="preserve"> </w:t>
      </w:r>
      <w:r w:rsidR="005855B8" w:rsidRPr="009A1394">
        <w:rPr>
          <w:lang w:val="en-CA"/>
        </w:rPr>
        <w:t>product that</w:t>
      </w:r>
      <w:r w:rsidR="00DE7070" w:rsidRPr="009A1394">
        <w:rPr>
          <w:lang w:val="en-CA"/>
        </w:rPr>
        <w:t xml:space="preserve"> </w:t>
      </w:r>
      <w:r w:rsidRPr="009A1394">
        <w:rPr>
          <w:lang w:val="en-CA"/>
        </w:rPr>
        <w:t>the train was transporting on the day of the tragedy.</w:t>
      </w:r>
      <w:r w:rsidR="008161A3" w:rsidRPr="009A1394">
        <w:rPr>
          <w:lang w:val="en-CA"/>
        </w:rPr>
        <w:t xml:space="preserve"> </w:t>
      </w:r>
      <w:r w:rsidRPr="009A1394">
        <w:rPr>
          <w:lang w:val="en-CA"/>
        </w:rPr>
        <w:t xml:space="preserve">His conclusion is not </w:t>
      </w:r>
      <w:r w:rsidR="005855B8" w:rsidRPr="009A1394">
        <w:rPr>
          <w:lang w:val="en-CA"/>
        </w:rPr>
        <w:t>tainted</w:t>
      </w:r>
      <w:r w:rsidRPr="009A1394">
        <w:rPr>
          <w:lang w:val="en-CA"/>
        </w:rPr>
        <w:t xml:space="preserve"> by any palpable and overriding error.</w:t>
      </w:r>
    </w:p>
    <w:p w14:paraId="04D02E88" w14:textId="1CD8E86F" w:rsidR="00702A59" w:rsidRPr="009A1394" w:rsidRDefault="005855B8" w:rsidP="00E30275">
      <w:pPr>
        <w:pStyle w:val="Paragraphe"/>
        <w:numPr>
          <w:ilvl w:val="0"/>
          <w:numId w:val="1"/>
        </w:numPr>
        <w:rPr>
          <w:lang w:val="en-CA"/>
        </w:rPr>
      </w:pPr>
      <w:r w:rsidRPr="009A1394">
        <w:rPr>
          <w:lang w:val="en-CA"/>
        </w:rPr>
        <w:t>But t</w:t>
      </w:r>
      <w:r w:rsidR="003F3019" w:rsidRPr="009A1394">
        <w:rPr>
          <w:lang w:val="en-CA"/>
        </w:rPr>
        <w:t>here is more.</w:t>
      </w:r>
    </w:p>
    <w:p w14:paraId="4195BC45" w14:textId="5A85B8EC" w:rsidR="00702A59" w:rsidRPr="009A1394" w:rsidRDefault="006C6534" w:rsidP="00E30275">
      <w:pPr>
        <w:pStyle w:val="Paragraphe"/>
        <w:numPr>
          <w:ilvl w:val="0"/>
          <w:numId w:val="1"/>
        </w:numPr>
        <w:rPr>
          <w:lang w:val="en-CA"/>
        </w:rPr>
      </w:pPr>
      <w:r w:rsidRPr="009A1394">
        <w:rPr>
          <w:lang w:val="en-CA"/>
        </w:rPr>
        <w:t xml:space="preserve">An email sent shortly after the tragedy by the head of security at MMA, </w:t>
      </w:r>
      <w:r w:rsidR="00A756D6" w:rsidRPr="009A1394">
        <w:rPr>
          <w:lang w:val="en-CA"/>
        </w:rPr>
        <w:t>Ken</w:t>
      </w:r>
      <w:r w:rsidRPr="009A1394">
        <w:rPr>
          <w:lang w:val="en-CA"/>
        </w:rPr>
        <w:t xml:space="preserve"> Strout, stated that the improper packing group assignation had no impact on the way MMA transported the crude oil on its network:</w:t>
      </w:r>
    </w:p>
    <w:p w14:paraId="353F8233" w14:textId="5DE93B4A" w:rsidR="00A22823" w:rsidRPr="009A1394" w:rsidRDefault="006C6534" w:rsidP="0082111D">
      <w:pPr>
        <w:pStyle w:val="Citationenretrait"/>
        <w:rPr>
          <w:rFonts w:cs="Arial"/>
          <w:szCs w:val="22"/>
          <w:lang w:val="en-CA"/>
        </w:rPr>
      </w:pPr>
      <w:r w:rsidRPr="009A1394">
        <w:rPr>
          <w:rFonts w:cs="Arial"/>
          <w:szCs w:val="22"/>
          <w:lang w:val="en-CA"/>
        </w:rPr>
        <w:t>The difference between packing groups of crude oil would not have changed the already in place requirement to expedite handling of dangerous goods.</w:t>
      </w:r>
      <w:r w:rsidR="008161A3" w:rsidRPr="009A1394">
        <w:rPr>
          <w:rFonts w:cs="Arial"/>
          <w:spacing w:val="32"/>
          <w:szCs w:val="22"/>
          <w:lang w:val="en-CA"/>
        </w:rPr>
        <w:t xml:space="preserve"> </w:t>
      </w:r>
      <w:r w:rsidRPr="009A1394">
        <w:rPr>
          <w:rFonts w:cs="Arial"/>
          <w:szCs w:val="22"/>
          <w:lang w:val="en-CA"/>
        </w:rPr>
        <w:t xml:space="preserve">In the US, AAR OT55 also </w:t>
      </w:r>
      <w:r w:rsidRPr="009A1394">
        <w:rPr>
          <w:rFonts w:cs="Arial"/>
          <w:szCs w:val="22"/>
          <w:u w:val="single"/>
          <w:lang w:val="en-CA"/>
        </w:rPr>
        <w:t>would not</w:t>
      </w:r>
      <w:r w:rsidRPr="009A1394">
        <w:rPr>
          <w:rFonts w:cs="Arial"/>
          <w:szCs w:val="22"/>
          <w:lang w:val="en-CA"/>
        </w:rPr>
        <w:t xml:space="preserve"> have required different handling of trains based on packing group numbers.</w:t>
      </w:r>
      <w:r w:rsidR="008161A3" w:rsidRPr="009A1394">
        <w:rPr>
          <w:rFonts w:cs="Arial"/>
          <w:spacing w:val="40"/>
          <w:szCs w:val="22"/>
          <w:lang w:val="en-CA"/>
        </w:rPr>
        <w:t xml:space="preserve"> </w:t>
      </w:r>
      <w:r w:rsidRPr="009A1394">
        <w:rPr>
          <w:rFonts w:cs="Arial"/>
          <w:szCs w:val="22"/>
          <w:lang w:val="en-CA"/>
        </w:rPr>
        <w:t>Maybe, packing group level I vs.</w:t>
      </w:r>
      <w:r w:rsidR="008161A3" w:rsidRPr="009A1394">
        <w:rPr>
          <w:rFonts w:cs="Arial"/>
          <w:spacing w:val="-15"/>
          <w:szCs w:val="22"/>
          <w:lang w:val="en-CA"/>
        </w:rPr>
        <w:t xml:space="preserve"> </w:t>
      </w:r>
      <w:r w:rsidRPr="009A1394">
        <w:rPr>
          <w:rFonts w:cs="Arial"/>
          <w:szCs w:val="22"/>
          <w:lang w:val="en-CA"/>
        </w:rPr>
        <w:t>III would have affected the shipping rates but I’m not sure of that.</w:t>
      </w:r>
    </w:p>
    <w:p w14:paraId="6072C015" w14:textId="2B8D281E" w:rsidR="00A22823" w:rsidRPr="009A1394" w:rsidRDefault="006C6534" w:rsidP="0082111D">
      <w:pPr>
        <w:pStyle w:val="Citationenretrait"/>
        <w:rPr>
          <w:rFonts w:cs="Arial"/>
          <w:szCs w:val="22"/>
          <w:lang w:val="en-CA"/>
        </w:rPr>
      </w:pPr>
      <w:r w:rsidRPr="009A1394">
        <w:rPr>
          <w:rFonts w:cs="Arial"/>
          <w:szCs w:val="22"/>
          <w:lang w:val="en-CA"/>
        </w:rPr>
        <w:lastRenderedPageBreak/>
        <w:t>In the US trains containing TIH/PIH, radioactive material or 20 or more loads of explosives, environmental sensitive chemicals, flammable gas 2.1 would have been elevated to a key train which requires some restrictions none of which contain live crew to crew requirements or over normal hazardous material expedited handling.</w:t>
      </w:r>
      <w:r w:rsidR="008161A3" w:rsidRPr="009A1394">
        <w:rPr>
          <w:rFonts w:cs="Arial"/>
          <w:spacing w:val="40"/>
          <w:szCs w:val="22"/>
          <w:lang w:val="en-CA"/>
        </w:rPr>
        <w:t xml:space="preserve"> </w:t>
      </w:r>
      <w:r w:rsidRPr="009A1394">
        <w:rPr>
          <w:rFonts w:cs="Arial"/>
          <w:spacing w:val="-4"/>
          <w:szCs w:val="22"/>
          <w:lang w:val="en-CA"/>
        </w:rPr>
        <w:t>In Canada, there are higher restrictions for environmental sensitive chemicals and special dangerous, i.e.</w:t>
      </w:r>
      <w:r w:rsidR="008161A3" w:rsidRPr="009A1394">
        <w:rPr>
          <w:rFonts w:cs="Arial"/>
          <w:spacing w:val="-7"/>
          <w:szCs w:val="22"/>
          <w:lang w:val="en-CA"/>
        </w:rPr>
        <w:t xml:space="preserve"> </w:t>
      </w:r>
      <w:r w:rsidRPr="009A1394">
        <w:rPr>
          <w:rFonts w:cs="Arial"/>
          <w:spacing w:val="-6"/>
          <w:szCs w:val="22"/>
          <w:lang w:val="en-CA"/>
        </w:rPr>
        <w:t>TIH/PIH none of which contain live crew to crew requirements or over normal hazardous material expedited handling.</w:t>
      </w:r>
    </w:p>
    <w:p w14:paraId="0075F8D4" w14:textId="3EDABE45" w:rsidR="00253D54" w:rsidRPr="009A1394" w:rsidRDefault="006C6534" w:rsidP="0082111D">
      <w:pPr>
        <w:pStyle w:val="Citationenretrait"/>
        <w:rPr>
          <w:rFonts w:cs="Arial"/>
          <w:spacing w:val="-2"/>
          <w:szCs w:val="22"/>
          <w:lang w:val="en-CA"/>
        </w:rPr>
      </w:pPr>
      <w:r w:rsidRPr="009A1394">
        <w:rPr>
          <w:rFonts w:cs="Arial"/>
          <w:spacing w:val="-6"/>
          <w:szCs w:val="22"/>
          <w:lang w:val="en-CA"/>
        </w:rPr>
        <w:t>In summary, crude oil packing group differences would not change our already elevated priority to move dangerous goods.</w:t>
      </w:r>
    </w:p>
    <w:p w14:paraId="25950B3C" w14:textId="0D54A0E8" w:rsidR="00A041C2" w:rsidRPr="009A1394" w:rsidRDefault="00442F83" w:rsidP="0072752E">
      <w:pPr>
        <w:pStyle w:val="Citationenretrait"/>
        <w:jc w:val="right"/>
        <w:rPr>
          <w:rFonts w:cs="Arial"/>
          <w:szCs w:val="22"/>
          <w:lang w:val="en-CA"/>
        </w:rPr>
      </w:pPr>
      <w:r w:rsidRPr="009A1394">
        <w:rPr>
          <w:rFonts w:cs="Arial"/>
          <w:spacing w:val="-2"/>
          <w:szCs w:val="22"/>
          <w:lang w:val="en-CA"/>
        </w:rPr>
        <w:t>[Emphasis added.]</w:t>
      </w:r>
    </w:p>
    <w:p w14:paraId="343509A4" w14:textId="0C756FE7" w:rsidR="00702A59" w:rsidRPr="009A1394" w:rsidRDefault="006F7E9F" w:rsidP="00E30275">
      <w:pPr>
        <w:pStyle w:val="Paragraphe"/>
        <w:numPr>
          <w:ilvl w:val="0"/>
          <w:numId w:val="1"/>
        </w:numPr>
        <w:rPr>
          <w:lang w:val="en-CA"/>
        </w:rPr>
      </w:pPr>
      <w:r w:rsidRPr="009A1394">
        <w:rPr>
          <w:lang w:val="en-CA"/>
        </w:rPr>
        <w:t xml:space="preserve">Moreover, nothing in the evidence </w:t>
      </w:r>
      <w:r w:rsidR="00214DD4" w:rsidRPr="009A1394">
        <w:rPr>
          <w:lang w:val="en-CA"/>
        </w:rPr>
        <w:t>suggests</w:t>
      </w:r>
      <w:r w:rsidRPr="009A1394">
        <w:rPr>
          <w:lang w:val="en-CA"/>
        </w:rPr>
        <w:t xml:space="preserve"> that MMA would have parked the train elsewhere had CP told it that</w:t>
      </w:r>
      <w:r w:rsidR="00053340" w:rsidRPr="009A1394">
        <w:rPr>
          <w:lang w:val="en-CA"/>
        </w:rPr>
        <w:t>, in its opinion,</w:t>
      </w:r>
      <w:r w:rsidRPr="009A1394">
        <w:rPr>
          <w:lang w:val="en-CA"/>
        </w:rPr>
        <w:t xml:space="preserve"> leaving </w:t>
      </w:r>
      <w:r w:rsidR="00214DD4" w:rsidRPr="009A1394">
        <w:rPr>
          <w:lang w:val="en-CA"/>
        </w:rPr>
        <w:t>the train</w:t>
      </w:r>
      <w:r w:rsidRPr="009A1394">
        <w:rPr>
          <w:lang w:val="en-CA"/>
        </w:rPr>
        <w:t xml:space="preserve"> in Nantes, </w:t>
      </w:r>
      <w:r w:rsidR="00990AF8" w:rsidRPr="009A1394">
        <w:rPr>
          <w:lang w:val="en-CA"/>
        </w:rPr>
        <w:t>unattended</w:t>
      </w:r>
      <w:r w:rsidRPr="009A1394">
        <w:rPr>
          <w:lang w:val="en-CA"/>
        </w:rPr>
        <w:t>, seemed dangerous</w:t>
      </w:r>
      <w:r w:rsidR="00824112" w:rsidRPr="009A1394">
        <w:rPr>
          <w:lang w:val="en-CA"/>
        </w:rPr>
        <w:t xml:space="preserve"> in light of </w:t>
      </w:r>
      <w:r w:rsidRPr="009A1394">
        <w:rPr>
          <w:lang w:val="en-CA"/>
        </w:rPr>
        <w:t xml:space="preserve">the </w:t>
      </w:r>
      <w:r w:rsidR="00053340" w:rsidRPr="009A1394">
        <w:rPr>
          <w:lang w:val="en-CA"/>
        </w:rPr>
        <w:t>landscape</w:t>
      </w:r>
      <w:r w:rsidRPr="009A1394">
        <w:rPr>
          <w:lang w:val="en-CA"/>
        </w:rPr>
        <w:t>.</w:t>
      </w:r>
      <w:r w:rsidR="000A0A57" w:rsidRPr="009A1394">
        <w:rPr>
          <w:lang w:val="en-CA"/>
        </w:rPr>
        <w:t xml:space="preserve"> </w:t>
      </w:r>
      <w:r w:rsidRPr="009A1394">
        <w:rPr>
          <w:lang w:val="en-CA"/>
        </w:rPr>
        <w:t>On the contrary, Edward A. Burkhardt (</w:t>
      </w:r>
      <w:r w:rsidR="00214DD4" w:rsidRPr="009A1394">
        <w:rPr>
          <w:lang w:val="en-CA"/>
        </w:rPr>
        <w:t>“</w:t>
      </w:r>
      <w:r w:rsidRPr="009A1394">
        <w:rPr>
          <w:b/>
          <w:lang w:val="en-CA"/>
        </w:rPr>
        <w:t>Burkhardt</w:t>
      </w:r>
      <w:r w:rsidRPr="009A1394">
        <w:rPr>
          <w:lang w:val="en-CA"/>
        </w:rPr>
        <w:t xml:space="preserve">”), president of MMAR, MMA’s sister company, testified that any interference by CP in MMA’s operations would have been </w:t>
      </w:r>
      <w:r w:rsidR="00214DD4" w:rsidRPr="009A1394">
        <w:rPr>
          <w:lang w:val="en-CA"/>
        </w:rPr>
        <w:t xml:space="preserve">very badly </w:t>
      </w:r>
      <w:r w:rsidRPr="009A1394">
        <w:rPr>
          <w:lang w:val="en-CA"/>
        </w:rPr>
        <w:t>received: “It was none of their business</w:t>
      </w:r>
      <w:r w:rsidR="00A07202" w:rsidRPr="009A1394">
        <w:rPr>
          <w:lang w:val="en-CA"/>
        </w:rPr>
        <w:t>.</w:t>
      </w:r>
      <w:r w:rsidRPr="009A1394">
        <w:rPr>
          <w:lang w:val="en-CA"/>
        </w:rPr>
        <w:t>”</w:t>
      </w:r>
      <w:r w:rsidRPr="009A1394">
        <w:rPr>
          <w:rStyle w:val="Appelnotedebasdep"/>
          <w:lang w:val="en-CA"/>
        </w:rPr>
        <w:footnoteReference w:id="276"/>
      </w:r>
      <w:r w:rsidR="008161A3" w:rsidRPr="009A1394">
        <w:rPr>
          <w:lang w:val="en-CA"/>
        </w:rPr>
        <w:t xml:space="preserve"> </w:t>
      </w:r>
      <w:r w:rsidRPr="009A1394">
        <w:rPr>
          <w:lang w:val="en-CA"/>
        </w:rPr>
        <w:t xml:space="preserve">The appellants </w:t>
      </w:r>
      <w:r w:rsidR="001E53DA" w:rsidRPr="009A1394">
        <w:rPr>
          <w:lang w:val="en-CA"/>
        </w:rPr>
        <w:t xml:space="preserve">have </w:t>
      </w:r>
      <w:r w:rsidRPr="009A1394">
        <w:rPr>
          <w:lang w:val="en-CA"/>
        </w:rPr>
        <w:t xml:space="preserve">also failed to </w:t>
      </w:r>
      <w:r w:rsidR="00214DD4" w:rsidRPr="009A1394">
        <w:rPr>
          <w:lang w:val="en-CA"/>
        </w:rPr>
        <w:t>satisfy</w:t>
      </w:r>
      <w:r w:rsidRPr="009A1394">
        <w:rPr>
          <w:lang w:val="en-CA"/>
        </w:rPr>
        <w:t xml:space="preserve"> the Court that the judge committed a palpable and overriding error in this respect.</w:t>
      </w:r>
    </w:p>
    <w:p w14:paraId="60FBD240" w14:textId="005F25EA" w:rsidR="00702A59" w:rsidRPr="009A1394" w:rsidRDefault="00287AAD" w:rsidP="00E30275">
      <w:pPr>
        <w:pStyle w:val="Paragraphe"/>
        <w:numPr>
          <w:ilvl w:val="0"/>
          <w:numId w:val="1"/>
        </w:numPr>
        <w:rPr>
          <w:lang w:val="en-CA"/>
        </w:rPr>
      </w:pPr>
      <w:r w:rsidRPr="009A1394">
        <w:rPr>
          <w:lang w:val="en-CA"/>
        </w:rPr>
        <w:t xml:space="preserve">The appellants also argue that had CP </w:t>
      </w:r>
      <w:r w:rsidR="00886D69" w:rsidRPr="009A1394">
        <w:rPr>
          <w:lang w:val="en-CA"/>
        </w:rPr>
        <w:t>required</w:t>
      </w:r>
      <w:r w:rsidRPr="009A1394">
        <w:rPr>
          <w:lang w:val="en-CA"/>
        </w:rPr>
        <w:t xml:space="preserve"> that WFS</w:t>
      </w:r>
      <w:r w:rsidR="00053340" w:rsidRPr="009A1394">
        <w:rPr>
          <w:lang w:val="en-CA"/>
        </w:rPr>
        <w:t xml:space="preserve"> </w:t>
      </w:r>
      <w:r w:rsidR="009C1819" w:rsidRPr="009A1394">
        <w:rPr>
          <w:lang w:val="en-CA"/>
        </w:rPr>
        <w:t>carry out checks as to</w:t>
      </w:r>
      <w:r w:rsidRPr="009A1394">
        <w:rPr>
          <w:lang w:val="en-CA"/>
        </w:rPr>
        <w:t xml:space="preserve"> the classification of the crude oil it had entrusted to CP, the train’s arrival in Nantes would have been </w:t>
      </w:r>
      <w:r w:rsidR="00886D69" w:rsidRPr="009A1394">
        <w:rPr>
          <w:lang w:val="en-CA"/>
        </w:rPr>
        <w:t>delayed</w:t>
      </w:r>
      <w:r w:rsidRPr="009A1394">
        <w:rPr>
          <w:lang w:val="en-CA"/>
        </w:rPr>
        <w:t>.</w:t>
      </w:r>
      <w:r w:rsidR="008161A3" w:rsidRPr="009A1394">
        <w:rPr>
          <w:lang w:val="en-CA"/>
        </w:rPr>
        <w:t xml:space="preserve"> </w:t>
      </w:r>
      <w:r w:rsidR="00B12DAB" w:rsidRPr="009A1394">
        <w:rPr>
          <w:lang w:val="en-CA"/>
        </w:rPr>
        <w:t>Thus</w:t>
      </w:r>
      <w:r w:rsidRPr="009A1394">
        <w:rPr>
          <w:lang w:val="en-CA"/>
        </w:rPr>
        <w:t xml:space="preserve">, the derailment would not have </w:t>
      </w:r>
      <w:r w:rsidR="009C1819" w:rsidRPr="009A1394">
        <w:rPr>
          <w:lang w:val="en-CA"/>
        </w:rPr>
        <w:t>occurred</w:t>
      </w:r>
      <w:r w:rsidRPr="009A1394">
        <w:rPr>
          <w:lang w:val="en-CA"/>
        </w:rPr>
        <w:t xml:space="preserve"> on July 6, 2013.</w:t>
      </w:r>
      <w:r w:rsidR="008161A3" w:rsidRPr="009A1394">
        <w:rPr>
          <w:lang w:val="en-CA"/>
        </w:rPr>
        <w:t xml:space="preserve"> </w:t>
      </w:r>
      <w:r w:rsidRPr="009A1394">
        <w:rPr>
          <w:lang w:val="en-CA"/>
        </w:rPr>
        <w:t xml:space="preserve">However, the appellants fail to explain how the derailment would have been avoided </w:t>
      </w:r>
      <w:r w:rsidR="009C1819" w:rsidRPr="009A1394">
        <w:rPr>
          <w:lang w:val="en-CA"/>
        </w:rPr>
        <w:t>had</w:t>
      </w:r>
      <w:r w:rsidRPr="009A1394">
        <w:rPr>
          <w:lang w:val="en-CA"/>
        </w:rPr>
        <w:t xml:space="preserve"> the train</w:t>
      </w:r>
      <w:r w:rsidR="009C1819" w:rsidRPr="009A1394">
        <w:rPr>
          <w:lang w:val="en-CA"/>
        </w:rPr>
        <w:t xml:space="preserve"> moved</w:t>
      </w:r>
      <w:r w:rsidRPr="009A1394">
        <w:rPr>
          <w:lang w:val="en-CA"/>
        </w:rPr>
        <w:t xml:space="preserve"> at a different </w:t>
      </w:r>
      <w:r w:rsidR="00B12DAB" w:rsidRPr="009A1394">
        <w:rPr>
          <w:lang w:val="en-CA"/>
        </w:rPr>
        <w:t>time</w:t>
      </w:r>
      <w:r w:rsidRPr="009A1394">
        <w:rPr>
          <w:lang w:val="en-CA"/>
        </w:rPr>
        <w:t>.</w:t>
      </w:r>
      <w:r w:rsidR="008161A3" w:rsidRPr="009A1394">
        <w:rPr>
          <w:lang w:val="en-CA"/>
        </w:rPr>
        <w:t xml:space="preserve"> </w:t>
      </w:r>
      <w:r w:rsidR="009C1819" w:rsidRPr="009A1394">
        <w:rPr>
          <w:lang w:val="en-CA"/>
        </w:rPr>
        <w:t xml:space="preserve">In the </w:t>
      </w:r>
      <w:r w:rsidRPr="009A1394">
        <w:rPr>
          <w:lang w:val="en-CA"/>
        </w:rPr>
        <w:t>Court</w:t>
      </w:r>
      <w:r w:rsidR="009C1819" w:rsidRPr="009A1394">
        <w:rPr>
          <w:lang w:val="en-CA"/>
        </w:rPr>
        <w:t>’s</w:t>
      </w:r>
      <w:r w:rsidRPr="009A1394">
        <w:rPr>
          <w:lang w:val="en-CA"/>
        </w:rPr>
        <w:t xml:space="preserve"> opinion</w:t>
      </w:r>
      <w:r w:rsidR="009C1819" w:rsidRPr="009A1394">
        <w:rPr>
          <w:lang w:val="en-CA"/>
        </w:rPr>
        <w:t>,</w:t>
      </w:r>
      <w:r w:rsidRPr="009A1394">
        <w:rPr>
          <w:lang w:val="en-CA"/>
        </w:rPr>
        <w:t xml:space="preserve"> this argument is speculative.</w:t>
      </w:r>
      <w:r w:rsidR="008161A3" w:rsidRPr="009A1394">
        <w:rPr>
          <w:lang w:val="en-CA"/>
        </w:rPr>
        <w:t xml:space="preserve"> </w:t>
      </w:r>
      <w:r w:rsidRPr="009A1394">
        <w:rPr>
          <w:lang w:val="en-CA"/>
        </w:rPr>
        <w:t xml:space="preserve">Nothing in the evidence </w:t>
      </w:r>
      <w:r w:rsidR="009C1819" w:rsidRPr="009A1394">
        <w:rPr>
          <w:lang w:val="en-CA"/>
        </w:rPr>
        <w:t>suggest</w:t>
      </w:r>
      <w:r w:rsidRPr="009A1394">
        <w:rPr>
          <w:lang w:val="en-CA"/>
        </w:rPr>
        <w:t xml:space="preserve">s that the way in which the train was secured would have been different had its arrival in Nantes been </w:t>
      </w:r>
      <w:r w:rsidR="009C1819" w:rsidRPr="009A1394">
        <w:rPr>
          <w:lang w:val="en-CA"/>
        </w:rPr>
        <w:t>delayed</w:t>
      </w:r>
      <w:r w:rsidRPr="009A1394">
        <w:rPr>
          <w:lang w:val="en-CA"/>
        </w:rPr>
        <w:t xml:space="preserve">, </w:t>
      </w:r>
      <w:r w:rsidR="0055764B" w:rsidRPr="009A1394">
        <w:rPr>
          <w:lang w:val="en-CA"/>
        </w:rPr>
        <w:t xml:space="preserve">a point </w:t>
      </w:r>
      <w:r w:rsidRPr="009A1394">
        <w:rPr>
          <w:lang w:val="en-CA"/>
        </w:rPr>
        <w:t xml:space="preserve">the judge </w:t>
      </w:r>
      <w:r w:rsidR="0055764B" w:rsidRPr="009A1394">
        <w:rPr>
          <w:lang w:val="en-CA"/>
        </w:rPr>
        <w:t xml:space="preserve">also </w:t>
      </w:r>
      <w:r w:rsidRPr="009A1394">
        <w:rPr>
          <w:lang w:val="en-CA"/>
        </w:rPr>
        <w:t>noted.</w:t>
      </w:r>
      <w:r w:rsidRPr="009A1394">
        <w:rPr>
          <w:rStyle w:val="Appelnotedebasdep"/>
          <w:lang w:val="en-CA"/>
        </w:rPr>
        <w:footnoteReference w:id="277"/>
      </w:r>
    </w:p>
    <w:p w14:paraId="06E71A33" w14:textId="561319EE" w:rsidR="00702A59" w:rsidRPr="009A1394" w:rsidRDefault="00287AAD" w:rsidP="00E30275">
      <w:pPr>
        <w:pStyle w:val="Paragraphe"/>
        <w:numPr>
          <w:ilvl w:val="0"/>
          <w:numId w:val="1"/>
        </w:numPr>
        <w:rPr>
          <w:lang w:val="en-CA"/>
        </w:rPr>
      </w:pPr>
      <w:r w:rsidRPr="009A1394">
        <w:rPr>
          <w:lang w:val="en-CA"/>
        </w:rPr>
        <w:t xml:space="preserve">The judge concluded that the derailment was caused by Harding’s failure to </w:t>
      </w:r>
      <w:r w:rsidR="00BC5701" w:rsidRPr="009A1394">
        <w:rPr>
          <w:lang w:val="en-CA"/>
        </w:rPr>
        <w:t xml:space="preserve">properly </w:t>
      </w:r>
      <w:r w:rsidRPr="009A1394">
        <w:rPr>
          <w:lang w:val="en-CA"/>
        </w:rPr>
        <w:t>secure the train.</w:t>
      </w:r>
      <w:r w:rsidR="008161A3" w:rsidRPr="009A1394">
        <w:rPr>
          <w:lang w:val="en-CA"/>
        </w:rPr>
        <w:t xml:space="preserve"> </w:t>
      </w:r>
      <w:r w:rsidRPr="009A1394">
        <w:rPr>
          <w:lang w:val="en-CA"/>
        </w:rPr>
        <w:t xml:space="preserve">His negligence </w:t>
      </w:r>
      <w:r w:rsidR="00B12DAB" w:rsidRPr="009A1394">
        <w:rPr>
          <w:lang w:val="en-CA"/>
        </w:rPr>
        <w:t>occurred</w:t>
      </w:r>
      <w:r w:rsidRPr="009A1394">
        <w:rPr>
          <w:lang w:val="en-CA"/>
        </w:rPr>
        <w:t xml:space="preserve"> irrespective of the risk assessment </w:t>
      </w:r>
      <w:r w:rsidR="00657FC2" w:rsidRPr="009A1394">
        <w:rPr>
          <w:lang w:val="en-CA"/>
        </w:rPr>
        <w:t>issue</w:t>
      </w:r>
      <w:r w:rsidRPr="009A1394">
        <w:rPr>
          <w:lang w:val="en-CA"/>
        </w:rPr>
        <w:t>.</w:t>
      </w:r>
      <w:r w:rsidR="008161A3" w:rsidRPr="009A1394">
        <w:rPr>
          <w:lang w:val="en-CA"/>
        </w:rPr>
        <w:t xml:space="preserve"> </w:t>
      </w:r>
      <w:r w:rsidRPr="009A1394">
        <w:rPr>
          <w:lang w:val="en-CA"/>
        </w:rPr>
        <w:t xml:space="preserve">There is no connection between CP’s lack of risk assessment and Harding’s failure to perform his duty to </w:t>
      </w:r>
      <w:r w:rsidR="00657FC2" w:rsidRPr="009A1394">
        <w:rPr>
          <w:lang w:val="en-CA"/>
        </w:rPr>
        <w:t xml:space="preserve">set </w:t>
      </w:r>
      <w:r w:rsidRPr="009A1394">
        <w:rPr>
          <w:lang w:val="en-CA"/>
        </w:rPr>
        <w:t xml:space="preserve">a sufficient number of </w:t>
      </w:r>
      <w:r w:rsidR="000A42A7" w:rsidRPr="009A1394">
        <w:rPr>
          <w:lang w:val="en-CA"/>
        </w:rPr>
        <w:t>hand brake</w:t>
      </w:r>
      <w:r w:rsidRPr="009A1394">
        <w:rPr>
          <w:lang w:val="en-CA"/>
        </w:rPr>
        <w:t xml:space="preserve">s, which existed independently from the type of cargo and </w:t>
      </w:r>
      <w:r w:rsidR="00BC5701" w:rsidRPr="009A1394">
        <w:rPr>
          <w:lang w:val="en-CA"/>
        </w:rPr>
        <w:t xml:space="preserve">the </w:t>
      </w:r>
      <w:r w:rsidRPr="009A1394">
        <w:rPr>
          <w:lang w:val="en-CA"/>
        </w:rPr>
        <w:t>assessment</w:t>
      </w:r>
      <w:r w:rsidR="00BC5701" w:rsidRPr="009A1394">
        <w:rPr>
          <w:lang w:val="en-CA"/>
        </w:rPr>
        <w:t xml:space="preserve"> of the</w:t>
      </w:r>
      <w:r w:rsidRPr="009A1394">
        <w:rPr>
          <w:lang w:val="en-CA"/>
        </w:rPr>
        <w:t xml:space="preserve"> </w:t>
      </w:r>
      <w:r w:rsidR="00BC5701" w:rsidRPr="009A1394">
        <w:rPr>
          <w:lang w:val="en-CA"/>
        </w:rPr>
        <w:t xml:space="preserve">risks </w:t>
      </w:r>
      <w:r w:rsidRPr="009A1394">
        <w:rPr>
          <w:lang w:val="en-CA"/>
        </w:rPr>
        <w:t>that might be associated therewith.</w:t>
      </w:r>
    </w:p>
    <w:p w14:paraId="6AE4D7F0" w14:textId="44487F15" w:rsidR="00702A59" w:rsidRPr="009A1394" w:rsidRDefault="00287AAD" w:rsidP="00E30275">
      <w:pPr>
        <w:pStyle w:val="Paragraphe"/>
        <w:numPr>
          <w:ilvl w:val="0"/>
          <w:numId w:val="1"/>
        </w:numPr>
        <w:rPr>
          <w:lang w:val="en-CA"/>
        </w:rPr>
      </w:pPr>
      <w:r w:rsidRPr="009A1394">
        <w:rPr>
          <w:rFonts w:cs="Arial"/>
          <w:szCs w:val="24"/>
          <w:lang w:val="en-CA"/>
        </w:rPr>
        <w:t xml:space="preserve">The judge determined the </w:t>
      </w:r>
      <w:r w:rsidR="00B12DAB" w:rsidRPr="009A1394">
        <w:rPr>
          <w:lang w:val="en-CA"/>
        </w:rPr>
        <w:t>[</w:t>
      </w:r>
      <w:r w:rsidR="00B12DAB" w:rsidRPr="009A1394">
        <w:rPr>
          <w:smallCaps/>
          <w:lang w:val="en-CA"/>
        </w:rPr>
        <w:t>translation</w:t>
      </w:r>
      <w:r w:rsidR="00B12DAB" w:rsidRPr="009A1394">
        <w:rPr>
          <w:lang w:val="en-CA"/>
        </w:rPr>
        <w:t xml:space="preserve">] </w:t>
      </w:r>
      <w:r w:rsidRPr="009A1394">
        <w:rPr>
          <w:rFonts w:cs="Arial"/>
          <w:szCs w:val="24"/>
          <w:lang w:val="en-CA"/>
        </w:rPr>
        <w:t>“</w:t>
      </w:r>
      <w:r w:rsidR="0049653F" w:rsidRPr="009A1394">
        <w:rPr>
          <w:rFonts w:cs="Arial"/>
          <w:szCs w:val="24"/>
          <w:lang w:val="en-CA"/>
        </w:rPr>
        <w:t>true</w:t>
      </w:r>
      <w:r w:rsidRPr="009A1394">
        <w:rPr>
          <w:rFonts w:cs="Arial"/>
          <w:szCs w:val="24"/>
          <w:lang w:val="en-CA"/>
        </w:rPr>
        <w:t xml:space="preserve"> cause” of the derailment by applying what common law jurists refer to as the “</w:t>
      </w:r>
      <w:r w:rsidR="00657FC2" w:rsidRPr="009A1394">
        <w:rPr>
          <w:rFonts w:cs="Arial"/>
          <w:szCs w:val="24"/>
          <w:lang w:val="en-CA"/>
        </w:rPr>
        <w:t>but</w:t>
      </w:r>
      <w:r w:rsidR="00BC5701" w:rsidRPr="009A1394">
        <w:rPr>
          <w:rFonts w:cs="Arial"/>
          <w:szCs w:val="24"/>
          <w:lang w:val="en-CA"/>
        </w:rPr>
        <w:t xml:space="preserve"> </w:t>
      </w:r>
      <w:r w:rsidRPr="009A1394">
        <w:rPr>
          <w:rFonts w:cs="Arial"/>
          <w:szCs w:val="24"/>
          <w:lang w:val="en-CA"/>
        </w:rPr>
        <w:t>for test”.</w:t>
      </w:r>
      <w:r w:rsidRPr="009A1394">
        <w:rPr>
          <w:rStyle w:val="Appelnotedebasdep"/>
          <w:rFonts w:cs="Arial"/>
          <w:szCs w:val="24"/>
          <w:lang w:val="en-CA"/>
        </w:rPr>
        <w:footnoteReference w:id="278"/>
      </w:r>
      <w:r w:rsidR="001E4CE6" w:rsidRPr="009A1394">
        <w:rPr>
          <w:rFonts w:cs="Arial"/>
          <w:szCs w:val="24"/>
          <w:lang w:val="en-CA"/>
        </w:rPr>
        <w:t xml:space="preserve"> </w:t>
      </w:r>
      <w:r w:rsidRPr="009A1394">
        <w:rPr>
          <w:rStyle w:val="cf01"/>
          <w:rFonts w:ascii="Arial" w:hAnsi="Arial" w:cs="Arial"/>
          <w:sz w:val="24"/>
          <w:szCs w:val="24"/>
          <w:lang w:val="en-CA"/>
        </w:rPr>
        <w:t>He</w:t>
      </w:r>
      <w:r w:rsidR="00BC5701" w:rsidRPr="009A1394">
        <w:rPr>
          <w:rStyle w:val="cf01"/>
          <w:rFonts w:ascii="Arial" w:hAnsi="Arial" w:cs="Arial"/>
          <w:sz w:val="24"/>
          <w:szCs w:val="24"/>
          <w:lang w:val="en-CA"/>
        </w:rPr>
        <w:t xml:space="preserve"> then</w:t>
      </w:r>
      <w:r w:rsidRPr="009A1394">
        <w:rPr>
          <w:rStyle w:val="cf01"/>
          <w:rFonts w:ascii="Arial" w:hAnsi="Arial" w:cs="Arial"/>
          <w:sz w:val="24"/>
          <w:szCs w:val="24"/>
          <w:lang w:val="en-CA"/>
        </w:rPr>
        <w:t xml:space="preserve"> concluded that this </w:t>
      </w:r>
      <w:r w:rsidR="00B12DAB" w:rsidRPr="009A1394">
        <w:rPr>
          <w:lang w:val="en-CA"/>
        </w:rPr>
        <w:t>[</w:t>
      </w:r>
      <w:r w:rsidR="00B12DAB" w:rsidRPr="009A1394">
        <w:rPr>
          <w:smallCaps/>
          <w:lang w:val="en-CA"/>
        </w:rPr>
        <w:t>translation</w:t>
      </w:r>
      <w:r w:rsidR="00B12DAB" w:rsidRPr="009A1394">
        <w:rPr>
          <w:lang w:val="en-CA"/>
        </w:rPr>
        <w:t xml:space="preserve">] </w:t>
      </w:r>
      <w:r w:rsidRPr="009A1394">
        <w:rPr>
          <w:rStyle w:val="cf01"/>
          <w:rFonts w:ascii="Arial" w:hAnsi="Arial" w:cs="Arial"/>
          <w:sz w:val="24"/>
          <w:szCs w:val="24"/>
          <w:lang w:val="en-CA"/>
        </w:rPr>
        <w:t>“</w:t>
      </w:r>
      <w:r w:rsidR="0049653F" w:rsidRPr="009A1394">
        <w:rPr>
          <w:rStyle w:val="cf01"/>
          <w:rFonts w:ascii="Arial" w:hAnsi="Arial" w:cs="Arial"/>
          <w:sz w:val="24"/>
          <w:szCs w:val="24"/>
          <w:lang w:val="en-CA"/>
        </w:rPr>
        <w:t>true</w:t>
      </w:r>
      <w:r w:rsidRPr="009A1394">
        <w:rPr>
          <w:rStyle w:val="cf01"/>
          <w:rFonts w:ascii="Arial" w:hAnsi="Arial" w:cs="Arial"/>
          <w:sz w:val="24"/>
          <w:szCs w:val="24"/>
          <w:lang w:val="en-CA"/>
        </w:rPr>
        <w:t xml:space="preserve"> </w:t>
      </w:r>
      <w:r w:rsidR="00B12DAB" w:rsidRPr="009A1394">
        <w:rPr>
          <w:rStyle w:val="cf01"/>
          <w:rFonts w:ascii="Arial" w:hAnsi="Arial" w:cs="Arial"/>
          <w:sz w:val="24"/>
          <w:szCs w:val="24"/>
          <w:lang w:val="en-CA"/>
        </w:rPr>
        <w:t>cause</w:t>
      </w:r>
      <w:r w:rsidRPr="009A1394">
        <w:rPr>
          <w:rStyle w:val="cf01"/>
          <w:rFonts w:ascii="Arial" w:hAnsi="Arial" w:cs="Arial"/>
          <w:sz w:val="24"/>
          <w:szCs w:val="24"/>
          <w:lang w:val="en-CA"/>
        </w:rPr>
        <w:t>” was the direct, logical, and immediate cause of the damage.</w:t>
      </w:r>
      <w:r w:rsidR="008161A3" w:rsidRPr="009A1394">
        <w:rPr>
          <w:lang w:val="en-CA"/>
        </w:rPr>
        <w:t xml:space="preserve"> </w:t>
      </w:r>
      <w:r w:rsidR="00BC5701" w:rsidRPr="009A1394">
        <w:rPr>
          <w:lang w:val="en-CA"/>
        </w:rPr>
        <w:t>But fo</w:t>
      </w:r>
      <w:r w:rsidRPr="009A1394">
        <w:rPr>
          <w:lang w:val="en-CA"/>
        </w:rPr>
        <w:t xml:space="preserve">r Harding’s fault, the catastrophe would not have </w:t>
      </w:r>
      <w:r w:rsidR="004A38D3" w:rsidRPr="009A1394">
        <w:rPr>
          <w:lang w:val="en-CA"/>
        </w:rPr>
        <w:t>occurred</w:t>
      </w:r>
      <w:r w:rsidRPr="009A1394">
        <w:rPr>
          <w:lang w:val="en-CA"/>
        </w:rPr>
        <w:t>.</w:t>
      </w:r>
      <w:r w:rsidR="008161A3" w:rsidRPr="009A1394">
        <w:rPr>
          <w:lang w:val="en-CA"/>
        </w:rPr>
        <w:t xml:space="preserve"> </w:t>
      </w:r>
      <w:r w:rsidRPr="009A1394">
        <w:rPr>
          <w:lang w:val="en-CA"/>
        </w:rPr>
        <w:t xml:space="preserve">Correcting the improper </w:t>
      </w:r>
      <w:r w:rsidRPr="009A1394">
        <w:rPr>
          <w:lang w:val="en-CA"/>
        </w:rPr>
        <w:lastRenderedPageBreak/>
        <w:t xml:space="preserve">classification or </w:t>
      </w:r>
      <w:r w:rsidR="00640695" w:rsidRPr="009A1394">
        <w:rPr>
          <w:lang w:val="en-CA"/>
        </w:rPr>
        <w:t>conduct</w:t>
      </w:r>
      <w:r w:rsidRPr="009A1394">
        <w:rPr>
          <w:lang w:val="en-CA"/>
        </w:rPr>
        <w:t xml:space="preserve">ing a risk assessment would not have </w:t>
      </w:r>
      <w:r w:rsidR="00A5392B" w:rsidRPr="009A1394">
        <w:rPr>
          <w:lang w:val="en-CA"/>
        </w:rPr>
        <w:t>prevented</w:t>
      </w:r>
      <w:r w:rsidR="004A38D3" w:rsidRPr="009A1394">
        <w:rPr>
          <w:lang w:val="en-CA"/>
        </w:rPr>
        <w:t xml:space="preserve"> </w:t>
      </w:r>
      <w:r w:rsidR="00BC5701" w:rsidRPr="009A1394">
        <w:rPr>
          <w:lang w:val="en-CA"/>
        </w:rPr>
        <w:t>the injury</w:t>
      </w:r>
      <w:r w:rsidRPr="009A1394">
        <w:rPr>
          <w:lang w:val="en-CA"/>
        </w:rPr>
        <w:t xml:space="preserve"> </w:t>
      </w:r>
      <w:r w:rsidR="00BC5701" w:rsidRPr="009A1394">
        <w:rPr>
          <w:lang w:val="en-CA"/>
        </w:rPr>
        <w:t>resulting</w:t>
      </w:r>
      <w:r w:rsidRPr="009A1394">
        <w:rPr>
          <w:lang w:val="en-CA"/>
        </w:rPr>
        <w:t xml:space="preserve"> from Harding’s fault.</w:t>
      </w:r>
    </w:p>
    <w:p w14:paraId="4078B484" w14:textId="36E7CE57" w:rsidR="001A2622" w:rsidRPr="009A1394" w:rsidRDefault="00287AAD" w:rsidP="00E30275">
      <w:pPr>
        <w:pStyle w:val="Paragraphe"/>
        <w:numPr>
          <w:ilvl w:val="0"/>
          <w:numId w:val="1"/>
        </w:numPr>
        <w:rPr>
          <w:lang w:val="en-CA"/>
        </w:rPr>
      </w:pPr>
      <w:r w:rsidRPr="009A1394">
        <w:rPr>
          <w:lang w:val="en-CA"/>
        </w:rPr>
        <w:t xml:space="preserve">Accordingly, the judge did not commit a reviewable error in </w:t>
      </w:r>
      <w:r w:rsidR="008E72D7" w:rsidRPr="009A1394">
        <w:rPr>
          <w:lang w:val="en-CA"/>
        </w:rPr>
        <w:t xml:space="preserve">finding </w:t>
      </w:r>
      <w:r w:rsidRPr="009A1394">
        <w:rPr>
          <w:lang w:val="en-CA"/>
        </w:rPr>
        <w:t>that the improper classification was not a causal element in the derailment.</w:t>
      </w:r>
    </w:p>
    <w:p w14:paraId="5CD730C5" w14:textId="34B64460" w:rsidR="001A2622" w:rsidRPr="009A1394" w:rsidRDefault="00A5392B" w:rsidP="007971BA">
      <w:pPr>
        <w:pStyle w:val="Titre2"/>
        <w:rPr>
          <w:lang w:val="en-CA"/>
        </w:rPr>
      </w:pPr>
      <w:r w:rsidRPr="009A1394">
        <w:rPr>
          <w:lang w:val="en-CA"/>
        </w:rPr>
        <w:t xml:space="preserve">Did the judge </w:t>
      </w:r>
      <w:r w:rsidR="00B70784" w:rsidRPr="009A1394">
        <w:rPr>
          <w:lang w:val="en-CA"/>
        </w:rPr>
        <w:t>err in finding</w:t>
      </w:r>
      <w:r w:rsidRPr="009A1394">
        <w:rPr>
          <w:lang w:val="en-CA"/>
        </w:rPr>
        <w:t xml:space="preserve"> that the causal connection between the faults attributed to CP and the harm that occurred was broken by the faults committed by Harding</w:t>
      </w:r>
      <w:r w:rsidR="00287AAD" w:rsidRPr="009A1394">
        <w:rPr>
          <w:lang w:val="en-CA"/>
        </w:rPr>
        <w:t>?</w:t>
      </w:r>
    </w:p>
    <w:p w14:paraId="7DB33FC4" w14:textId="4F69EB2B" w:rsidR="00523B6E" w:rsidRPr="009A1394" w:rsidRDefault="00EF77A6" w:rsidP="00E30275">
      <w:pPr>
        <w:pStyle w:val="Paragraphe"/>
        <w:numPr>
          <w:ilvl w:val="0"/>
          <w:numId w:val="1"/>
        </w:numPr>
        <w:rPr>
          <w:lang w:val="en-CA"/>
        </w:rPr>
      </w:pPr>
      <w:r w:rsidRPr="009A1394">
        <w:rPr>
          <w:lang w:val="en-CA"/>
        </w:rPr>
        <w:t xml:space="preserve">The next question concerns the notion of </w:t>
      </w:r>
      <w:r w:rsidRPr="009A1394">
        <w:rPr>
          <w:i/>
          <w:iCs/>
          <w:lang w:val="en-CA"/>
        </w:rPr>
        <w:t>novus actus interveniens</w:t>
      </w:r>
      <w:r w:rsidRPr="009A1394">
        <w:rPr>
          <w:lang w:val="en-CA"/>
        </w:rPr>
        <w:t xml:space="preserve">, which the judge defined as </w:t>
      </w:r>
      <w:r w:rsidR="00841832" w:rsidRPr="009A1394">
        <w:rPr>
          <w:lang w:val="en-CA"/>
        </w:rPr>
        <w:t>[</w:t>
      </w:r>
      <w:r w:rsidR="00841832" w:rsidRPr="009A1394">
        <w:rPr>
          <w:smallCaps/>
          <w:lang w:val="en-CA"/>
        </w:rPr>
        <w:t>translation</w:t>
      </w:r>
      <w:r w:rsidR="00841832" w:rsidRPr="009A1394">
        <w:rPr>
          <w:lang w:val="en-CA"/>
        </w:rPr>
        <w:t xml:space="preserve">] </w:t>
      </w:r>
      <w:r w:rsidRPr="009A1394">
        <w:rPr>
          <w:lang w:val="en-CA"/>
        </w:rPr>
        <w:t xml:space="preserve">“a new event that breaks the direct relationship between the alleged fault and the </w:t>
      </w:r>
      <w:r w:rsidR="00D5308D" w:rsidRPr="009A1394">
        <w:rPr>
          <w:lang w:val="en-CA"/>
        </w:rPr>
        <w:t>injury</w:t>
      </w:r>
      <w:r w:rsidRPr="009A1394">
        <w:rPr>
          <w:lang w:val="en-CA"/>
        </w:rPr>
        <w:t>”.</w:t>
      </w:r>
      <w:r w:rsidRPr="009A1394">
        <w:rPr>
          <w:rStyle w:val="Appelnotedebasdep"/>
          <w:lang w:val="en-CA"/>
        </w:rPr>
        <w:footnoteReference w:id="279"/>
      </w:r>
    </w:p>
    <w:p w14:paraId="1ABB3B56" w14:textId="67B20382" w:rsidR="00702A59" w:rsidRPr="009A1394" w:rsidRDefault="00EF77A6" w:rsidP="00E30275">
      <w:pPr>
        <w:pStyle w:val="Paragraphe"/>
        <w:numPr>
          <w:ilvl w:val="0"/>
          <w:numId w:val="1"/>
        </w:numPr>
        <w:rPr>
          <w:lang w:val="en-CA"/>
        </w:rPr>
      </w:pPr>
      <w:r w:rsidRPr="009A1394">
        <w:rPr>
          <w:lang w:val="en-CA"/>
        </w:rPr>
        <w:t xml:space="preserve">The appellants have not shown that the </w:t>
      </w:r>
      <w:r w:rsidR="00841832" w:rsidRPr="009A1394">
        <w:rPr>
          <w:lang w:val="en-CA"/>
        </w:rPr>
        <w:t>judge</w:t>
      </w:r>
      <w:r w:rsidRPr="009A1394">
        <w:rPr>
          <w:lang w:val="en-CA"/>
        </w:rPr>
        <w:t xml:space="preserve"> erred in </w:t>
      </w:r>
      <w:r w:rsidR="00D5308D" w:rsidRPr="009A1394">
        <w:rPr>
          <w:lang w:val="en-CA"/>
        </w:rPr>
        <w:t>framing</w:t>
      </w:r>
      <w:r w:rsidR="00841832" w:rsidRPr="009A1394">
        <w:rPr>
          <w:lang w:val="en-CA"/>
        </w:rPr>
        <w:t xml:space="preserve"> </w:t>
      </w:r>
      <w:r w:rsidRPr="009A1394">
        <w:rPr>
          <w:lang w:val="en-CA"/>
        </w:rPr>
        <w:t xml:space="preserve">the legal principles </w:t>
      </w:r>
      <w:r w:rsidR="00945B47" w:rsidRPr="009A1394">
        <w:rPr>
          <w:lang w:val="en-CA"/>
        </w:rPr>
        <w:t>that were to guide him</w:t>
      </w:r>
      <w:r w:rsidRPr="009A1394">
        <w:rPr>
          <w:lang w:val="en-CA"/>
        </w:rPr>
        <w:t>.</w:t>
      </w:r>
      <w:r w:rsidR="007D40CC" w:rsidRPr="009A1394">
        <w:rPr>
          <w:lang w:val="en-CA"/>
        </w:rPr>
        <w:t xml:space="preserve"> </w:t>
      </w:r>
      <w:r w:rsidR="00D5308D" w:rsidRPr="009A1394">
        <w:rPr>
          <w:lang w:val="en-CA"/>
        </w:rPr>
        <w:t>In this respect, h</w:t>
      </w:r>
      <w:r w:rsidRPr="009A1394">
        <w:rPr>
          <w:lang w:val="en-CA"/>
        </w:rPr>
        <w:t>e referred</w:t>
      </w:r>
      <w:r w:rsidR="00D5308D" w:rsidRPr="009A1394">
        <w:rPr>
          <w:lang w:val="en-CA"/>
        </w:rPr>
        <w:t xml:space="preserve"> </w:t>
      </w:r>
      <w:r w:rsidRPr="009A1394">
        <w:rPr>
          <w:lang w:val="en-CA"/>
        </w:rPr>
        <w:t xml:space="preserve">to authors Baudouin, Deslauriers, and Moore </w:t>
      </w:r>
      <w:r w:rsidR="00841832" w:rsidRPr="009A1394">
        <w:rPr>
          <w:lang w:val="en-CA"/>
        </w:rPr>
        <w:t>and</w:t>
      </w:r>
      <w:r w:rsidRPr="009A1394">
        <w:rPr>
          <w:lang w:val="en-CA"/>
        </w:rPr>
        <w:t xml:space="preserve"> to </w:t>
      </w:r>
      <w:r w:rsidR="00D5308D" w:rsidRPr="009A1394">
        <w:rPr>
          <w:lang w:val="en-CA"/>
        </w:rPr>
        <w:t>the following</w:t>
      </w:r>
      <w:r w:rsidRPr="009A1394">
        <w:rPr>
          <w:lang w:val="en-CA"/>
        </w:rPr>
        <w:t xml:space="preserve"> excerpt of the Supreme Court</w:t>
      </w:r>
      <w:r w:rsidR="00D5308D" w:rsidRPr="009A1394">
        <w:rPr>
          <w:lang w:val="en-CA"/>
        </w:rPr>
        <w:t>’s</w:t>
      </w:r>
      <w:r w:rsidRPr="009A1394">
        <w:rPr>
          <w:lang w:val="en-CA"/>
        </w:rPr>
        <w:t xml:space="preserve"> </w:t>
      </w:r>
      <w:r w:rsidR="00D5308D" w:rsidRPr="009A1394">
        <w:rPr>
          <w:lang w:val="en-CA"/>
        </w:rPr>
        <w:t xml:space="preserve">decision </w:t>
      </w:r>
      <w:r w:rsidRPr="009A1394">
        <w:rPr>
          <w:lang w:val="en-CA"/>
        </w:rPr>
        <w:t xml:space="preserve">in </w:t>
      </w:r>
      <w:r w:rsidRPr="009A1394">
        <w:rPr>
          <w:i/>
          <w:lang w:val="en-CA"/>
        </w:rPr>
        <w:t>Salomon v. Matte</w:t>
      </w:r>
      <w:r w:rsidR="00754D86" w:rsidRPr="009A1394">
        <w:rPr>
          <w:i/>
          <w:lang w:val="en-CA"/>
        </w:rPr>
        <w:noBreakHyphen/>
      </w:r>
      <w:r w:rsidRPr="009A1394">
        <w:rPr>
          <w:i/>
          <w:lang w:val="en-CA"/>
        </w:rPr>
        <w:t>Thompson</w:t>
      </w:r>
      <w:r w:rsidR="00D5308D" w:rsidRPr="009A1394">
        <w:rPr>
          <w:i/>
          <w:lang w:val="en-CA"/>
        </w:rPr>
        <w:t xml:space="preserve">, </w:t>
      </w:r>
      <w:r w:rsidR="00D5308D" w:rsidRPr="009A1394">
        <w:rPr>
          <w:iCs/>
          <w:lang w:val="en-CA"/>
        </w:rPr>
        <w:t>per</w:t>
      </w:r>
      <w:r w:rsidRPr="009A1394">
        <w:rPr>
          <w:lang w:val="en-CA"/>
        </w:rPr>
        <w:t xml:space="preserve"> Gascon</w:t>
      </w:r>
      <w:r w:rsidR="00841832" w:rsidRPr="009A1394">
        <w:rPr>
          <w:lang w:val="en-CA"/>
        </w:rPr>
        <w:t>,</w:t>
      </w:r>
      <w:r w:rsidRPr="009A1394">
        <w:rPr>
          <w:lang w:val="en-CA"/>
        </w:rPr>
        <w:t xml:space="preserve"> J.:</w:t>
      </w:r>
      <w:r w:rsidRPr="009A1394">
        <w:rPr>
          <w:rStyle w:val="Appelnotedebasdep"/>
          <w:lang w:val="en-CA"/>
        </w:rPr>
        <w:footnoteReference w:id="280"/>
      </w:r>
    </w:p>
    <w:p w14:paraId="699BA450" w14:textId="5ECD19D2" w:rsidR="00A95367" w:rsidRPr="009A1394" w:rsidRDefault="00EF77A6" w:rsidP="00A95367">
      <w:pPr>
        <w:pStyle w:val="Citationenretrait"/>
        <w:rPr>
          <w:sz w:val="24"/>
          <w:lang w:val="en-CA" w:eastAsia="fr-CA"/>
        </w:rPr>
      </w:pPr>
      <w:r w:rsidRPr="009A1394">
        <w:rPr>
          <w:lang w:val="en-CA"/>
        </w:rPr>
        <w:t>[91]</w:t>
      </w:r>
      <w:r w:rsidR="008161A3" w:rsidRPr="009A1394">
        <w:rPr>
          <w:lang w:val="en-CA"/>
        </w:rPr>
        <w:tab/>
      </w:r>
      <w:r w:rsidRPr="009A1394">
        <w:rPr>
          <w:lang w:val="en-CA"/>
        </w:rPr>
        <w:t>I also agree with the Court of Appeal that the fraud did not break the causal link between Mr. Salomon’s faults and the respondents’ losses.</w:t>
      </w:r>
      <w:r w:rsidR="008161A3" w:rsidRPr="009A1394">
        <w:rPr>
          <w:lang w:val="en-CA"/>
        </w:rPr>
        <w:t xml:space="preserve"> </w:t>
      </w:r>
      <w:r w:rsidRPr="009A1394">
        <w:rPr>
          <w:lang w:val="en-CA"/>
        </w:rPr>
        <w:t>It is true that a person who commits a fault is not liable for the consequences of a new event that the person had nothing to do with and that has no relationship to the initial fault.</w:t>
      </w:r>
      <w:r w:rsidR="008161A3" w:rsidRPr="009A1394">
        <w:rPr>
          <w:lang w:val="en-CA"/>
        </w:rPr>
        <w:t xml:space="preserve"> </w:t>
      </w:r>
      <w:r w:rsidRPr="009A1394">
        <w:rPr>
          <w:lang w:val="en-CA"/>
        </w:rPr>
        <w:t xml:space="preserve">This is sometimes referred to as the principle of </w:t>
      </w:r>
      <w:r w:rsidRPr="009A1394">
        <w:rPr>
          <w:i/>
          <w:iCs/>
          <w:lang w:val="en-CA"/>
        </w:rPr>
        <w:t>novus actus interveniens</w:t>
      </w:r>
      <w:r w:rsidRPr="009A1394">
        <w:rPr>
          <w:lang w:val="en-CA"/>
        </w:rPr>
        <w:t xml:space="preserve">: that new event may break the direct relationship required under art. </w:t>
      </w:r>
      <w:r w:rsidR="008161A3" w:rsidRPr="009A1394">
        <w:rPr>
          <w:lang w:val="en-CA"/>
        </w:rPr>
        <w:t> </w:t>
      </w:r>
      <w:r w:rsidRPr="009A1394">
        <w:rPr>
          <w:lang w:val="en-CA"/>
        </w:rPr>
        <w:t xml:space="preserve">1607 </w:t>
      </w:r>
      <w:r w:rsidRPr="009A1394">
        <w:rPr>
          <w:i/>
          <w:lang w:val="en-CA"/>
        </w:rPr>
        <w:t>C.C.Q.</w:t>
      </w:r>
      <w:r w:rsidRPr="009A1394">
        <w:rPr>
          <w:lang w:val="en-CA"/>
        </w:rPr>
        <w:t xml:space="preserve"> between the fault and the injury.</w:t>
      </w:r>
      <w:r w:rsidR="008161A3" w:rsidRPr="009A1394">
        <w:rPr>
          <w:lang w:val="en-CA"/>
        </w:rPr>
        <w:t xml:space="preserve"> </w:t>
      </w:r>
      <w:r w:rsidRPr="009A1394">
        <w:rPr>
          <w:lang w:val="en-CA"/>
        </w:rPr>
        <w:t>Two conditions must be met for this principle to apply, however.</w:t>
      </w:r>
      <w:r w:rsidR="008161A3" w:rsidRPr="009A1394">
        <w:rPr>
          <w:lang w:val="en-CA"/>
        </w:rPr>
        <w:t xml:space="preserve"> </w:t>
      </w:r>
      <w:r w:rsidRPr="009A1394">
        <w:rPr>
          <w:lang w:val="en-CA"/>
        </w:rPr>
        <w:t>First, the causal link between the fault and the injury must be completely broken.</w:t>
      </w:r>
      <w:r w:rsidR="008161A3" w:rsidRPr="009A1394">
        <w:rPr>
          <w:lang w:val="en-CA"/>
        </w:rPr>
        <w:t xml:space="preserve"> </w:t>
      </w:r>
      <w:r w:rsidRPr="009A1394">
        <w:rPr>
          <w:lang w:val="en-CA"/>
        </w:rPr>
        <w:t xml:space="preserve">Second, there must be a causal link between that new event and the injury. Otherwise, the initial fault is one of the faults that caused the injury, in which case an issue of apportionment of liability may arise (Baudouin, Deslauriers, Moore, at Nos. 1-691 to 1-692; </w:t>
      </w:r>
      <w:r w:rsidRPr="009A1394">
        <w:rPr>
          <w:i/>
          <w:iCs/>
          <w:lang w:val="en-CA"/>
        </w:rPr>
        <w:t>Laval (Ville de) (Service de protection des citoyens, département de police et centre d’appels d’urgence 911) v. Ducharme</w:t>
      </w:r>
      <w:r w:rsidRPr="009A1394">
        <w:rPr>
          <w:lang w:val="en-CA"/>
        </w:rPr>
        <w:t>, 2012 QCCA 2122, [2012] R.J.Q.</w:t>
      </w:r>
      <w:r w:rsidR="008161A3" w:rsidRPr="009A1394">
        <w:rPr>
          <w:lang w:val="en-CA"/>
        </w:rPr>
        <w:t xml:space="preserve"> </w:t>
      </w:r>
      <w:r w:rsidRPr="009A1394">
        <w:rPr>
          <w:lang w:val="en-CA"/>
        </w:rPr>
        <w:t xml:space="preserve">2090, at paras. </w:t>
      </w:r>
      <w:r w:rsidR="008161A3" w:rsidRPr="009A1394">
        <w:rPr>
          <w:lang w:val="en-CA"/>
        </w:rPr>
        <w:t> </w:t>
      </w:r>
      <w:r w:rsidRPr="009A1394">
        <w:rPr>
          <w:lang w:val="en-CA"/>
        </w:rPr>
        <w:t xml:space="preserve">64-65; </w:t>
      </w:r>
      <w:r w:rsidRPr="009A1394">
        <w:rPr>
          <w:i/>
          <w:iCs/>
          <w:lang w:val="en-CA"/>
        </w:rPr>
        <w:t>Lacombe v. André</w:t>
      </w:r>
      <w:r w:rsidRPr="009A1394">
        <w:rPr>
          <w:lang w:val="en-CA"/>
        </w:rPr>
        <w:t>, 2003 CanLII 47946 (QC CA), [2003] R.J.Q.</w:t>
      </w:r>
      <w:r w:rsidR="008161A3" w:rsidRPr="009A1394">
        <w:rPr>
          <w:lang w:val="en-CA"/>
        </w:rPr>
        <w:t xml:space="preserve"> </w:t>
      </w:r>
      <w:r w:rsidRPr="009A1394">
        <w:rPr>
          <w:lang w:val="en-CA"/>
        </w:rPr>
        <w:t>720 (C.A.), at paras.</w:t>
      </w:r>
      <w:r w:rsidR="008161A3" w:rsidRPr="009A1394">
        <w:rPr>
          <w:lang w:val="en-CA"/>
        </w:rPr>
        <w:t> </w:t>
      </w:r>
      <w:r w:rsidRPr="009A1394">
        <w:rPr>
          <w:lang w:val="en-CA"/>
        </w:rPr>
        <w:t>58-60).</w:t>
      </w:r>
    </w:p>
    <w:p w14:paraId="1BE01B26" w14:textId="7F13CA7F" w:rsidR="00702A59" w:rsidRPr="009A1394" w:rsidRDefault="00553724" w:rsidP="00E30275">
      <w:pPr>
        <w:pStyle w:val="Paragraphe"/>
        <w:numPr>
          <w:ilvl w:val="0"/>
          <w:numId w:val="1"/>
        </w:numPr>
        <w:rPr>
          <w:lang w:val="en-CA"/>
        </w:rPr>
      </w:pPr>
      <w:r w:rsidRPr="009A1394">
        <w:rPr>
          <w:lang w:val="en-CA"/>
        </w:rPr>
        <w:t xml:space="preserve">In this </w:t>
      </w:r>
      <w:r w:rsidR="00036AEA" w:rsidRPr="009A1394">
        <w:rPr>
          <w:lang w:val="en-CA"/>
        </w:rPr>
        <w:t>regard</w:t>
      </w:r>
      <w:r w:rsidRPr="009A1394">
        <w:rPr>
          <w:lang w:val="en-CA"/>
        </w:rPr>
        <w:t>, the seriousness of th</w:t>
      </w:r>
      <w:r w:rsidR="00723546" w:rsidRPr="009A1394">
        <w:rPr>
          <w:lang w:val="en-CA"/>
        </w:rPr>
        <w:t>e</w:t>
      </w:r>
      <w:r w:rsidRPr="009A1394">
        <w:rPr>
          <w:lang w:val="en-CA"/>
        </w:rPr>
        <w:t xml:space="preserve"> new act</w:t>
      </w:r>
      <w:r w:rsidR="00723546" w:rsidRPr="009A1394">
        <w:rPr>
          <w:lang w:val="en-CA"/>
        </w:rPr>
        <w:t xml:space="preserve"> that is</w:t>
      </w:r>
      <w:r w:rsidRPr="009A1394">
        <w:rPr>
          <w:lang w:val="en-CA"/>
        </w:rPr>
        <w:t xml:space="preserve"> independent from the initial fault is also relevant because </w:t>
      </w:r>
      <w:r w:rsidR="00A81E94" w:rsidRPr="009A1394">
        <w:rPr>
          <w:lang w:val="en-CA"/>
        </w:rPr>
        <w:t>[</w:t>
      </w:r>
      <w:r w:rsidR="00A81E94" w:rsidRPr="009A1394">
        <w:rPr>
          <w:smallCaps/>
          <w:lang w:val="en-CA"/>
        </w:rPr>
        <w:t>translation</w:t>
      </w:r>
      <w:r w:rsidR="00A81E94" w:rsidRPr="009A1394">
        <w:rPr>
          <w:lang w:val="en-CA"/>
        </w:rPr>
        <w:t xml:space="preserve">] </w:t>
      </w:r>
      <w:r w:rsidRPr="009A1394">
        <w:rPr>
          <w:lang w:val="en-CA"/>
        </w:rPr>
        <w:t xml:space="preserve">“if the second fault is more serious than the </w:t>
      </w:r>
      <w:r w:rsidRPr="009A1394">
        <w:rPr>
          <w:lang w:val="en-CA"/>
        </w:rPr>
        <w:lastRenderedPageBreak/>
        <w:t xml:space="preserve">first or, in some cases, equal to it, it obliterates the effects of the first </w:t>
      </w:r>
      <w:r w:rsidR="00A81E94" w:rsidRPr="009A1394">
        <w:rPr>
          <w:lang w:val="en-CA"/>
        </w:rPr>
        <w:t>and</w:t>
      </w:r>
      <w:r w:rsidRPr="009A1394">
        <w:rPr>
          <w:lang w:val="en-CA"/>
        </w:rPr>
        <w:t xml:space="preserve"> must be </w:t>
      </w:r>
      <w:r w:rsidR="00373F46" w:rsidRPr="009A1394">
        <w:rPr>
          <w:lang w:val="en-CA"/>
        </w:rPr>
        <w:t>held</w:t>
      </w:r>
      <w:r w:rsidRPr="009A1394">
        <w:rPr>
          <w:lang w:val="en-CA"/>
        </w:rPr>
        <w:t xml:space="preserve"> as having alone cause</w:t>
      </w:r>
      <w:r w:rsidR="00373F46" w:rsidRPr="009A1394">
        <w:rPr>
          <w:lang w:val="en-CA"/>
        </w:rPr>
        <w:t>d</w:t>
      </w:r>
      <w:r w:rsidRPr="009A1394">
        <w:rPr>
          <w:lang w:val="en-CA"/>
        </w:rPr>
        <w:t xml:space="preserve"> the </w:t>
      </w:r>
      <w:r w:rsidR="00373F46" w:rsidRPr="009A1394">
        <w:rPr>
          <w:lang w:val="en-CA"/>
        </w:rPr>
        <w:t xml:space="preserve">entire </w:t>
      </w:r>
      <w:r w:rsidRPr="009A1394">
        <w:rPr>
          <w:lang w:val="en-CA"/>
        </w:rPr>
        <w:t>injury”.</w:t>
      </w:r>
      <w:r w:rsidRPr="009A1394">
        <w:rPr>
          <w:rStyle w:val="Appelnotedebasdep"/>
          <w:lang w:val="en-CA"/>
        </w:rPr>
        <w:footnoteReference w:id="281"/>
      </w:r>
    </w:p>
    <w:p w14:paraId="752F8D5D" w14:textId="16F1A9B3" w:rsidR="00720B8A" w:rsidRPr="009A1394" w:rsidRDefault="00553724" w:rsidP="00E30275">
      <w:pPr>
        <w:pStyle w:val="Paragraphe"/>
        <w:numPr>
          <w:ilvl w:val="0"/>
          <w:numId w:val="1"/>
        </w:numPr>
        <w:rPr>
          <w:lang w:val="en-CA"/>
        </w:rPr>
      </w:pPr>
      <w:r w:rsidRPr="009A1394">
        <w:rPr>
          <w:lang w:val="en-CA"/>
        </w:rPr>
        <w:t xml:space="preserve">The Court is of the opinion that not only </w:t>
      </w:r>
      <w:r w:rsidR="00FD7671" w:rsidRPr="009A1394">
        <w:rPr>
          <w:lang w:val="en-CA"/>
        </w:rPr>
        <w:t xml:space="preserve">did </w:t>
      </w:r>
      <w:r w:rsidRPr="009A1394">
        <w:rPr>
          <w:lang w:val="en-CA"/>
        </w:rPr>
        <w:t xml:space="preserve">the judge correctly direct himself in law, his conclusion on the determination of a </w:t>
      </w:r>
      <w:r w:rsidRPr="009A1394">
        <w:rPr>
          <w:i/>
          <w:lang w:val="en-CA"/>
        </w:rPr>
        <w:t>novus actus interveniens</w:t>
      </w:r>
      <w:r w:rsidRPr="009A1394">
        <w:rPr>
          <w:lang w:val="en-CA"/>
        </w:rPr>
        <w:t xml:space="preserve"> is</w:t>
      </w:r>
      <w:r w:rsidR="004C3ADF" w:rsidRPr="009A1394">
        <w:rPr>
          <w:lang w:val="en-CA"/>
        </w:rPr>
        <w:t>,</w:t>
      </w:r>
      <w:r w:rsidR="00FD7671" w:rsidRPr="009A1394">
        <w:rPr>
          <w:lang w:val="en-CA"/>
        </w:rPr>
        <w:t xml:space="preserve"> moreover</w:t>
      </w:r>
      <w:r w:rsidR="004C3ADF" w:rsidRPr="009A1394">
        <w:rPr>
          <w:lang w:val="en-CA"/>
        </w:rPr>
        <w:t>,</w:t>
      </w:r>
      <w:r w:rsidRPr="009A1394">
        <w:rPr>
          <w:lang w:val="en-CA"/>
        </w:rPr>
        <w:t xml:space="preserve"> </w:t>
      </w:r>
      <w:r w:rsidR="00FD7671" w:rsidRPr="009A1394">
        <w:rPr>
          <w:lang w:val="en-CA"/>
        </w:rPr>
        <w:t>unimpeachable</w:t>
      </w:r>
      <w:r w:rsidRPr="009A1394">
        <w:rPr>
          <w:lang w:val="en-CA"/>
        </w:rPr>
        <w:t>.</w:t>
      </w:r>
    </w:p>
    <w:p w14:paraId="7F7E5086" w14:textId="75051491" w:rsidR="00702A59" w:rsidRPr="009A1394" w:rsidRDefault="00553724" w:rsidP="00E30275">
      <w:pPr>
        <w:pStyle w:val="Paragraphe"/>
        <w:numPr>
          <w:ilvl w:val="0"/>
          <w:numId w:val="1"/>
        </w:numPr>
        <w:rPr>
          <w:lang w:val="en-CA"/>
        </w:rPr>
      </w:pPr>
      <w:r w:rsidRPr="009A1394">
        <w:rPr>
          <w:lang w:val="en-CA"/>
        </w:rPr>
        <w:t xml:space="preserve">The degree of dangerousness of </w:t>
      </w:r>
      <w:r w:rsidR="00A81E94" w:rsidRPr="009A1394">
        <w:rPr>
          <w:lang w:val="en-CA"/>
        </w:rPr>
        <w:t>the</w:t>
      </w:r>
      <w:r w:rsidRPr="009A1394">
        <w:rPr>
          <w:lang w:val="en-CA"/>
        </w:rPr>
        <w:t xml:space="preserve"> crude oil from the Bakken </w:t>
      </w:r>
      <w:r w:rsidR="00676A6B" w:rsidRPr="009A1394">
        <w:rPr>
          <w:lang w:val="en-CA"/>
        </w:rPr>
        <w:t>Formation</w:t>
      </w:r>
      <w:r w:rsidRPr="009A1394">
        <w:rPr>
          <w:lang w:val="en-CA"/>
        </w:rPr>
        <w:t xml:space="preserve"> had no impact on how the tragedy unfolded.</w:t>
      </w:r>
      <w:r w:rsidR="008161A3" w:rsidRPr="009A1394">
        <w:rPr>
          <w:lang w:val="en-CA"/>
        </w:rPr>
        <w:t xml:space="preserve"> </w:t>
      </w:r>
      <w:r w:rsidR="00E96873" w:rsidRPr="009A1394">
        <w:rPr>
          <w:lang w:val="en-CA"/>
        </w:rPr>
        <w:t xml:space="preserve">The fact that the train </w:t>
      </w:r>
      <w:r w:rsidR="00945B47" w:rsidRPr="009A1394">
        <w:rPr>
          <w:lang w:val="en-CA"/>
        </w:rPr>
        <w:t>started to move</w:t>
      </w:r>
      <w:r w:rsidR="00E96873" w:rsidRPr="009A1394">
        <w:rPr>
          <w:lang w:val="en-CA"/>
        </w:rPr>
        <w:t xml:space="preserve"> a little over two hours after Harding had secured it ar</w:t>
      </w:r>
      <w:r w:rsidR="00FD7671" w:rsidRPr="009A1394">
        <w:rPr>
          <w:lang w:val="en-CA"/>
        </w:rPr>
        <w:t>ose</w:t>
      </w:r>
      <w:r w:rsidR="00E96873" w:rsidRPr="009A1394">
        <w:rPr>
          <w:lang w:val="en-CA"/>
        </w:rPr>
        <w:t xml:space="preserve"> quite simply from the loss of pressure in the air brakes </w:t>
      </w:r>
      <w:r w:rsidR="00FD7671" w:rsidRPr="009A1394">
        <w:rPr>
          <w:lang w:val="en-CA"/>
        </w:rPr>
        <w:t xml:space="preserve">combined </w:t>
      </w:r>
      <w:r w:rsidR="00E96873" w:rsidRPr="009A1394">
        <w:rPr>
          <w:lang w:val="en-CA"/>
        </w:rPr>
        <w:t xml:space="preserve">with the insufficient number of </w:t>
      </w:r>
      <w:r w:rsidR="000A42A7" w:rsidRPr="009A1394">
        <w:rPr>
          <w:lang w:val="en-CA"/>
        </w:rPr>
        <w:t>hand brake</w:t>
      </w:r>
      <w:r w:rsidR="00E96873" w:rsidRPr="009A1394">
        <w:rPr>
          <w:lang w:val="en-CA"/>
        </w:rPr>
        <w:t xml:space="preserve">s that had been </w:t>
      </w:r>
      <w:r w:rsidR="005B0021" w:rsidRPr="009A1394">
        <w:rPr>
          <w:lang w:val="en-CA"/>
        </w:rPr>
        <w:t>set</w:t>
      </w:r>
      <w:r w:rsidR="00E96873" w:rsidRPr="009A1394">
        <w:rPr>
          <w:lang w:val="en-CA"/>
        </w:rPr>
        <w:t>.</w:t>
      </w:r>
      <w:r w:rsidR="008161A3" w:rsidRPr="009A1394">
        <w:rPr>
          <w:lang w:val="en-CA"/>
        </w:rPr>
        <w:t xml:space="preserve"> </w:t>
      </w:r>
      <w:r w:rsidR="00E96873" w:rsidRPr="009A1394">
        <w:rPr>
          <w:lang w:val="en-CA"/>
        </w:rPr>
        <w:t>As expert</w:t>
      </w:r>
      <w:r w:rsidR="007129AA" w:rsidRPr="009A1394">
        <w:rPr>
          <w:lang w:val="en-CA"/>
        </w:rPr>
        <w:t xml:space="preserve"> </w:t>
      </w:r>
      <w:r w:rsidR="00E96873" w:rsidRPr="009A1394">
        <w:rPr>
          <w:lang w:val="en-CA"/>
        </w:rPr>
        <w:t>Callaghan explained:</w:t>
      </w:r>
    </w:p>
    <w:p w14:paraId="2BCCBBDC" w14:textId="7C597B7E" w:rsidR="00071ADD" w:rsidRPr="009A1394" w:rsidRDefault="00071ADD" w:rsidP="00E30275">
      <w:pPr>
        <w:pStyle w:val="Citationenretrait"/>
        <w:rPr>
          <w:lang w:val="en-CA"/>
        </w:rPr>
      </w:pPr>
      <w:r w:rsidRPr="009A1394">
        <w:rPr>
          <w:lang w:val="en-CA"/>
        </w:rPr>
        <w:t>[</w:t>
      </w:r>
      <w:r w:rsidRPr="009A1394">
        <w:rPr>
          <w:smallCaps/>
          <w:lang w:val="en-CA"/>
        </w:rPr>
        <w:t>translation</w:t>
      </w:r>
      <w:r w:rsidRPr="009A1394">
        <w:rPr>
          <w:lang w:val="en-CA"/>
        </w:rPr>
        <w:t>]</w:t>
      </w:r>
    </w:p>
    <w:p w14:paraId="2BE42F13" w14:textId="567B3C20" w:rsidR="00702A59" w:rsidRPr="009A1394" w:rsidRDefault="00E96873" w:rsidP="00E30275">
      <w:pPr>
        <w:pStyle w:val="Citationenretrait"/>
        <w:rPr>
          <w:lang w:val="en-CA"/>
        </w:rPr>
      </w:pPr>
      <w:r w:rsidRPr="009A1394">
        <w:rPr>
          <w:lang w:val="en-CA"/>
        </w:rPr>
        <w:t xml:space="preserve">The </w:t>
      </w:r>
      <w:r w:rsidR="00106C0C" w:rsidRPr="009A1394">
        <w:rPr>
          <w:lang w:val="en-CA"/>
        </w:rPr>
        <w:t>locomotive</w:t>
      </w:r>
      <w:r w:rsidR="00A23ED6" w:rsidRPr="009A1394">
        <w:rPr>
          <w:lang w:val="en-CA"/>
        </w:rPr>
        <w:t>s’</w:t>
      </w:r>
      <w:r w:rsidR="00106C0C" w:rsidRPr="009A1394">
        <w:rPr>
          <w:lang w:val="en-CA"/>
        </w:rPr>
        <w:t xml:space="preserve"> independent </w:t>
      </w:r>
      <w:r w:rsidRPr="009A1394">
        <w:rPr>
          <w:lang w:val="en-CA"/>
        </w:rPr>
        <w:t xml:space="preserve">air brakes progressively lost pressure until their residual braking force, added to that of the </w:t>
      </w:r>
      <w:r w:rsidR="000A42A7" w:rsidRPr="009A1394">
        <w:rPr>
          <w:lang w:val="en-CA"/>
        </w:rPr>
        <w:t>hand brake</w:t>
      </w:r>
      <w:r w:rsidRPr="009A1394">
        <w:rPr>
          <w:lang w:val="en-CA"/>
        </w:rPr>
        <w:t>s, was insufficient to hold back Train MMA002.</w:t>
      </w:r>
      <w:r w:rsidR="008161A3" w:rsidRPr="009A1394">
        <w:rPr>
          <w:lang w:val="en-CA"/>
        </w:rPr>
        <w:t xml:space="preserve"> </w:t>
      </w:r>
      <w:r w:rsidRPr="009A1394">
        <w:rPr>
          <w:lang w:val="en-CA"/>
        </w:rPr>
        <w:t xml:space="preserve">The train </w:t>
      </w:r>
      <w:r w:rsidR="007129AA" w:rsidRPr="009A1394">
        <w:rPr>
          <w:lang w:val="en-CA"/>
        </w:rPr>
        <w:t>began</w:t>
      </w:r>
      <w:r w:rsidRPr="009A1394">
        <w:rPr>
          <w:lang w:val="en-CA"/>
        </w:rPr>
        <w:t xml:space="preserve"> to </w:t>
      </w:r>
      <w:r w:rsidR="007129AA" w:rsidRPr="009A1394">
        <w:rPr>
          <w:lang w:val="en-CA"/>
        </w:rPr>
        <w:t>run away</w:t>
      </w:r>
      <w:r w:rsidRPr="009A1394">
        <w:rPr>
          <w:lang w:val="en-CA"/>
        </w:rPr>
        <w:t>.</w:t>
      </w:r>
      <w:r w:rsidRPr="009A1394">
        <w:rPr>
          <w:rStyle w:val="Appelnotedebasdep"/>
          <w:lang w:val="en-CA"/>
        </w:rPr>
        <w:footnoteReference w:id="282"/>
      </w:r>
    </w:p>
    <w:p w14:paraId="3F397D52" w14:textId="31507F10" w:rsidR="00702A59" w:rsidRPr="009A1394" w:rsidRDefault="00E96873" w:rsidP="00E30275">
      <w:pPr>
        <w:pStyle w:val="Paragraphe"/>
        <w:numPr>
          <w:ilvl w:val="0"/>
          <w:numId w:val="1"/>
        </w:numPr>
        <w:rPr>
          <w:lang w:val="en-CA"/>
        </w:rPr>
      </w:pPr>
      <w:r w:rsidRPr="009A1394">
        <w:rPr>
          <w:lang w:val="en-CA"/>
        </w:rPr>
        <w:t xml:space="preserve">The improper classification of the crude oil cargo neither favoured nor facilitated the train’s </w:t>
      </w:r>
      <w:r w:rsidR="002749DA" w:rsidRPr="009A1394">
        <w:rPr>
          <w:lang w:val="en-CA"/>
        </w:rPr>
        <w:t>mad descent</w:t>
      </w:r>
      <w:r w:rsidR="00071ADD" w:rsidRPr="009A1394">
        <w:rPr>
          <w:lang w:val="en-CA"/>
        </w:rPr>
        <w:t xml:space="preserve"> </w:t>
      </w:r>
      <w:r w:rsidR="003B2739" w:rsidRPr="009A1394">
        <w:rPr>
          <w:lang w:val="en-CA"/>
        </w:rPr>
        <w:t>toward</w:t>
      </w:r>
      <w:r w:rsidRPr="009A1394">
        <w:rPr>
          <w:lang w:val="en-CA"/>
        </w:rPr>
        <w:t xml:space="preserve"> Lac-Mégantic.</w:t>
      </w:r>
      <w:r w:rsidR="00C056D2" w:rsidRPr="009A1394">
        <w:rPr>
          <w:lang w:val="en-CA"/>
        </w:rPr>
        <w:t xml:space="preserve"> </w:t>
      </w:r>
      <w:r w:rsidR="00E16BCD" w:rsidRPr="009A1394">
        <w:rPr>
          <w:lang w:val="en-CA"/>
        </w:rPr>
        <w:t xml:space="preserve">The behaviour of </w:t>
      </w:r>
      <w:r w:rsidRPr="009A1394">
        <w:rPr>
          <w:lang w:val="en-CA"/>
        </w:rPr>
        <w:t xml:space="preserve">Harding, </w:t>
      </w:r>
      <w:r w:rsidR="00E16BCD" w:rsidRPr="009A1394">
        <w:rPr>
          <w:lang w:val="en-CA"/>
        </w:rPr>
        <w:t xml:space="preserve">who </w:t>
      </w:r>
      <w:r w:rsidRPr="009A1394">
        <w:rPr>
          <w:lang w:val="en-CA"/>
        </w:rPr>
        <w:t xml:space="preserve">ignored the most basic safety rules, </w:t>
      </w:r>
      <w:r w:rsidR="002749DA" w:rsidRPr="009A1394">
        <w:rPr>
          <w:lang w:val="en-CA"/>
        </w:rPr>
        <w:t>wa</w:t>
      </w:r>
      <w:r w:rsidRPr="009A1394">
        <w:rPr>
          <w:lang w:val="en-CA"/>
        </w:rPr>
        <w:t xml:space="preserve">s a subsequent event, but it </w:t>
      </w:r>
      <w:r w:rsidR="002749DA" w:rsidRPr="009A1394">
        <w:rPr>
          <w:lang w:val="en-CA"/>
        </w:rPr>
        <w:t>was</w:t>
      </w:r>
      <w:r w:rsidRPr="009A1394">
        <w:rPr>
          <w:lang w:val="en-CA"/>
        </w:rPr>
        <w:t xml:space="preserve"> also </w:t>
      </w:r>
      <w:r w:rsidR="00071ADD" w:rsidRPr="009A1394">
        <w:rPr>
          <w:lang w:val="en-CA"/>
        </w:rPr>
        <w:t>wholly</w:t>
      </w:r>
      <w:r w:rsidRPr="009A1394">
        <w:rPr>
          <w:lang w:val="en-CA"/>
        </w:rPr>
        <w:t xml:space="preserve"> </w:t>
      </w:r>
      <w:r w:rsidR="00071ADD" w:rsidRPr="009A1394">
        <w:rPr>
          <w:lang w:val="en-CA"/>
        </w:rPr>
        <w:t>independent</w:t>
      </w:r>
      <w:r w:rsidRPr="009A1394">
        <w:rPr>
          <w:lang w:val="en-CA"/>
        </w:rPr>
        <w:t xml:space="preserve"> f</w:t>
      </w:r>
      <w:r w:rsidR="00071ADD" w:rsidRPr="009A1394">
        <w:rPr>
          <w:lang w:val="en-CA"/>
        </w:rPr>
        <w:t>r</w:t>
      </w:r>
      <w:r w:rsidRPr="009A1394">
        <w:rPr>
          <w:lang w:val="en-CA"/>
        </w:rPr>
        <w:t xml:space="preserve">om the classification error </w:t>
      </w:r>
      <w:r w:rsidR="00C818BF" w:rsidRPr="009A1394">
        <w:rPr>
          <w:lang w:val="en-CA"/>
        </w:rPr>
        <w:t xml:space="preserve">for </w:t>
      </w:r>
      <w:r w:rsidRPr="009A1394">
        <w:rPr>
          <w:lang w:val="en-CA"/>
        </w:rPr>
        <w:t xml:space="preserve">which the appellants would like CP to be held liable. Another way of expressing the same idea would be to say that this subsequent event </w:t>
      </w:r>
      <w:r w:rsidR="002749DA" w:rsidRPr="009A1394">
        <w:rPr>
          <w:lang w:val="en-CA"/>
        </w:rPr>
        <w:t>wa</w:t>
      </w:r>
      <w:r w:rsidRPr="009A1394">
        <w:rPr>
          <w:lang w:val="en-CA"/>
        </w:rPr>
        <w:t>s unrelated to the initial fault.</w:t>
      </w:r>
    </w:p>
    <w:p w14:paraId="1B8989A2" w14:textId="0018D2A3" w:rsidR="00702A59" w:rsidRPr="009A1394" w:rsidRDefault="00E96873" w:rsidP="00E30275">
      <w:pPr>
        <w:pStyle w:val="Paragraphe"/>
        <w:numPr>
          <w:ilvl w:val="0"/>
          <w:numId w:val="1"/>
        </w:numPr>
        <w:rPr>
          <w:lang w:val="en-CA"/>
        </w:rPr>
      </w:pPr>
      <w:r w:rsidRPr="009A1394">
        <w:rPr>
          <w:lang w:val="en-CA"/>
        </w:rPr>
        <w:t xml:space="preserve">Harding did not apply a sufficient number of </w:t>
      </w:r>
      <w:r w:rsidR="000A42A7" w:rsidRPr="009A1394">
        <w:rPr>
          <w:lang w:val="en-CA"/>
        </w:rPr>
        <w:t>hand brake</w:t>
      </w:r>
      <w:r w:rsidRPr="009A1394">
        <w:rPr>
          <w:lang w:val="en-CA"/>
        </w:rPr>
        <w:t xml:space="preserve">s, relying on the air brakes to secure the train, in violation of the rules </w:t>
      </w:r>
      <w:r w:rsidR="00CD5A5A" w:rsidRPr="009A1394">
        <w:rPr>
          <w:lang w:val="en-CA"/>
        </w:rPr>
        <w:t>of which he was fully aware</w:t>
      </w:r>
      <w:r w:rsidRPr="009A1394">
        <w:rPr>
          <w:lang w:val="en-CA"/>
        </w:rPr>
        <w:t>.</w:t>
      </w:r>
      <w:r w:rsidR="008161A3" w:rsidRPr="009A1394">
        <w:rPr>
          <w:lang w:val="en-CA"/>
        </w:rPr>
        <w:t xml:space="preserve"> </w:t>
      </w:r>
      <w:r w:rsidRPr="009A1394">
        <w:rPr>
          <w:lang w:val="en-CA"/>
        </w:rPr>
        <w:t xml:space="preserve">Even knowing that the </w:t>
      </w:r>
      <w:r w:rsidR="00071ADD" w:rsidRPr="009A1394">
        <w:rPr>
          <w:lang w:val="en-CA"/>
        </w:rPr>
        <w:t>lead</w:t>
      </w:r>
      <w:r w:rsidRPr="009A1394">
        <w:rPr>
          <w:lang w:val="en-CA"/>
        </w:rPr>
        <w:t xml:space="preserve"> locomotive had been shut down by the firefighters, Harding did not return to secure the train </w:t>
      </w:r>
      <w:r w:rsidR="00071ADD" w:rsidRPr="009A1394">
        <w:rPr>
          <w:lang w:val="en-CA"/>
        </w:rPr>
        <w:t>safely</w:t>
      </w:r>
      <w:r w:rsidRPr="009A1394">
        <w:rPr>
          <w:lang w:val="en-CA"/>
        </w:rPr>
        <w:t xml:space="preserve"> and in compliance with regulations, as he should have done from the outset.</w:t>
      </w:r>
    </w:p>
    <w:p w14:paraId="0671D356" w14:textId="105509AF" w:rsidR="00702A59" w:rsidRPr="009A1394" w:rsidRDefault="00E96873" w:rsidP="00E30275">
      <w:pPr>
        <w:pStyle w:val="Paragraphe"/>
        <w:numPr>
          <w:ilvl w:val="0"/>
          <w:numId w:val="1"/>
        </w:numPr>
        <w:rPr>
          <w:lang w:val="en-CA"/>
        </w:rPr>
      </w:pPr>
      <w:r w:rsidRPr="009A1394">
        <w:rPr>
          <w:lang w:val="en-CA"/>
        </w:rPr>
        <w:t xml:space="preserve">Thus, even if the appellants had been able to demonstrate that CP had committed a fault by not </w:t>
      </w:r>
      <w:r w:rsidR="00C05070" w:rsidRPr="009A1394">
        <w:rPr>
          <w:lang w:val="en-CA"/>
        </w:rPr>
        <w:t>requiring</w:t>
      </w:r>
      <w:r w:rsidRPr="009A1394">
        <w:rPr>
          <w:lang w:val="en-CA"/>
        </w:rPr>
        <w:t xml:space="preserve"> </w:t>
      </w:r>
      <w:r w:rsidR="002749DA" w:rsidRPr="009A1394">
        <w:rPr>
          <w:lang w:val="en-CA"/>
        </w:rPr>
        <w:t>a reclassification from</w:t>
      </w:r>
      <w:r w:rsidRPr="009A1394">
        <w:rPr>
          <w:lang w:val="en-CA"/>
        </w:rPr>
        <w:t xml:space="preserve"> WFS, and moreover, that this fault was causal, Harding’s subsequent faults would have broken this causal connection.</w:t>
      </w:r>
    </w:p>
    <w:p w14:paraId="57C548A8" w14:textId="6077DD6C" w:rsidR="00702A59" w:rsidRPr="009A1394" w:rsidRDefault="000669BD" w:rsidP="00E30275">
      <w:pPr>
        <w:pStyle w:val="Paragraphe"/>
        <w:numPr>
          <w:ilvl w:val="0"/>
          <w:numId w:val="1"/>
        </w:numPr>
        <w:rPr>
          <w:lang w:val="en-CA"/>
        </w:rPr>
      </w:pPr>
      <w:r w:rsidRPr="009A1394">
        <w:rPr>
          <w:lang w:val="en-CA"/>
        </w:rPr>
        <w:t>The judge characterize</w:t>
      </w:r>
      <w:r w:rsidR="00D66F45" w:rsidRPr="009A1394">
        <w:rPr>
          <w:lang w:val="en-CA"/>
        </w:rPr>
        <w:t>d</w:t>
      </w:r>
      <w:r w:rsidRPr="009A1394">
        <w:rPr>
          <w:lang w:val="en-CA"/>
        </w:rPr>
        <w:t xml:space="preserve"> Harding’s faults as</w:t>
      </w:r>
      <w:r w:rsidR="00D66F45" w:rsidRPr="009A1394">
        <w:rPr>
          <w:lang w:val="en-CA"/>
        </w:rPr>
        <w:t xml:space="preserve"> a</w:t>
      </w:r>
      <w:r w:rsidRPr="009A1394">
        <w:rPr>
          <w:lang w:val="en-CA"/>
        </w:rPr>
        <w:t xml:space="preserve"> </w:t>
      </w:r>
      <w:r w:rsidRPr="009A1394">
        <w:rPr>
          <w:i/>
          <w:iCs/>
          <w:lang w:val="en-CA"/>
        </w:rPr>
        <w:t>novus actus interveniens</w:t>
      </w:r>
      <w:r w:rsidRPr="009A1394">
        <w:rPr>
          <w:lang w:val="en-CA"/>
        </w:rPr>
        <w:t xml:space="preserve"> </w:t>
      </w:r>
      <w:r w:rsidR="00D66F45" w:rsidRPr="009A1394">
        <w:rPr>
          <w:lang w:val="en-CA"/>
        </w:rPr>
        <w:t xml:space="preserve">not </w:t>
      </w:r>
      <w:r w:rsidRPr="009A1394">
        <w:rPr>
          <w:lang w:val="en-CA"/>
        </w:rPr>
        <w:t>because the</w:t>
      </w:r>
      <w:r w:rsidR="00071ADD" w:rsidRPr="009A1394">
        <w:rPr>
          <w:lang w:val="en-CA"/>
        </w:rPr>
        <w:t>y</w:t>
      </w:r>
      <w:r w:rsidRPr="009A1394">
        <w:rPr>
          <w:lang w:val="en-CA"/>
        </w:rPr>
        <w:t xml:space="preserve"> </w:t>
      </w:r>
      <w:r w:rsidR="002749DA" w:rsidRPr="009A1394">
        <w:rPr>
          <w:lang w:val="en-CA"/>
        </w:rPr>
        <w:t>we</w:t>
      </w:r>
      <w:r w:rsidRPr="009A1394">
        <w:rPr>
          <w:lang w:val="en-CA"/>
        </w:rPr>
        <w:t xml:space="preserve">re the closest to the catastrophe, but because they </w:t>
      </w:r>
      <w:r w:rsidR="002749DA" w:rsidRPr="009A1394">
        <w:rPr>
          <w:lang w:val="en-CA"/>
        </w:rPr>
        <w:t>were</w:t>
      </w:r>
      <w:r w:rsidRPr="009A1394">
        <w:rPr>
          <w:lang w:val="en-CA"/>
        </w:rPr>
        <w:t xml:space="preserve"> </w:t>
      </w:r>
      <w:r w:rsidR="00071ADD" w:rsidRPr="009A1394">
        <w:rPr>
          <w:lang w:val="en-CA"/>
        </w:rPr>
        <w:t>its</w:t>
      </w:r>
      <w:r w:rsidRPr="009A1394">
        <w:rPr>
          <w:lang w:val="en-CA"/>
        </w:rPr>
        <w:t xml:space="preserve"> only logical, direct, and </w:t>
      </w:r>
      <w:r w:rsidR="00071ADD" w:rsidRPr="009A1394">
        <w:rPr>
          <w:lang w:val="en-CA"/>
        </w:rPr>
        <w:t>immediate</w:t>
      </w:r>
      <w:r w:rsidRPr="009A1394">
        <w:rPr>
          <w:lang w:val="en-CA"/>
        </w:rPr>
        <w:t xml:space="preserve"> cause, except for the faults committed earlier by MMA.</w:t>
      </w:r>
      <w:r w:rsidR="00FF156E" w:rsidRPr="009A1394">
        <w:rPr>
          <w:lang w:val="en-CA"/>
        </w:rPr>
        <w:t xml:space="preserve"> </w:t>
      </w:r>
      <w:r w:rsidR="00303901" w:rsidRPr="009A1394">
        <w:rPr>
          <w:lang w:val="en-CA"/>
        </w:rPr>
        <w:t>In particular</w:t>
      </w:r>
      <w:r w:rsidRPr="009A1394">
        <w:rPr>
          <w:lang w:val="en-CA"/>
        </w:rPr>
        <w:t xml:space="preserve">, </w:t>
      </w:r>
      <w:r w:rsidRPr="009A1394">
        <w:rPr>
          <w:lang w:val="en-CA"/>
        </w:rPr>
        <w:lastRenderedPageBreak/>
        <w:t xml:space="preserve">MMA </w:t>
      </w:r>
      <w:r w:rsidR="00C23B8E" w:rsidRPr="009A1394">
        <w:rPr>
          <w:lang w:val="en-CA"/>
        </w:rPr>
        <w:t xml:space="preserve">had </w:t>
      </w:r>
      <w:r w:rsidRPr="009A1394">
        <w:rPr>
          <w:lang w:val="en-CA"/>
        </w:rPr>
        <w:t xml:space="preserve">neglected to implement control measures </w:t>
      </w:r>
      <w:r w:rsidR="00C23B8E" w:rsidRPr="009A1394">
        <w:rPr>
          <w:lang w:val="en-CA"/>
        </w:rPr>
        <w:t>aimed at</w:t>
      </w:r>
      <w:r w:rsidRPr="009A1394">
        <w:rPr>
          <w:lang w:val="en-CA"/>
        </w:rPr>
        <w:t xml:space="preserve"> prevent</w:t>
      </w:r>
      <w:r w:rsidR="00C23B8E" w:rsidRPr="009A1394">
        <w:rPr>
          <w:lang w:val="en-CA"/>
        </w:rPr>
        <w:t>ing</w:t>
      </w:r>
      <w:r w:rsidRPr="009A1394">
        <w:rPr>
          <w:lang w:val="en-CA"/>
        </w:rPr>
        <w:t xml:space="preserve"> any laxness during </w:t>
      </w:r>
      <w:r w:rsidR="00303901" w:rsidRPr="009A1394">
        <w:rPr>
          <w:lang w:val="en-CA"/>
        </w:rPr>
        <w:t xml:space="preserve">crucial </w:t>
      </w:r>
      <w:r w:rsidRPr="009A1394">
        <w:rPr>
          <w:lang w:val="en-CA"/>
        </w:rPr>
        <w:t xml:space="preserve">manoeuvres </w:t>
      </w:r>
      <w:r w:rsidR="00303901" w:rsidRPr="009A1394">
        <w:rPr>
          <w:lang w:val="en-CA"/>
        </w:rPr>
        <w:t xml:space="preserve">such </w:t>
      </w:r>
      <w:r w:rsidRPr="009A1394">
        <w:rPr>
          <w:lang w:val="en-CA"/>
        </w:rPr>
        <w:t xml:space="preserve">as securing a train for </w:t>
      </w:r>
      <w:r w:rsidR="0023749C" w:rsidRPr="009A1394">
        <w:rPr>
          <w:lang w:val="en-CA"/>
        </w:rPr>
        <w:t>an extended period</w:t>
      </w:r>
      <w:r w:rsidR="00303901" w:rsidRPr="009A1394">
        <w:rPr>
          <w:lang w:val="en-CA"/>
        </w:rPr>
        <w:t xml:space="preserve"> </w:t>
      </w:r>
      <w:r w:rsidRPr="009A1394">
        <w:rPr>
          <w:lang w:val="en-CA"/>
        </w:rPr>
        <w:t xml:space="preserve">on a </w:t>
      </w:r>
      <w:r w:rsidR="002749DA" w:rsidRPr="009A1394">
        <w:rPr>
          <w:lang w:val="en-CA"/>
        </w:rPr>
        <w:t>descending grade</w:t>
      </w:r>
      <w:r w:rsidRPr="009A1394">
        <w:rPr>
          <w:lang w:val="en-CA"/>
        </w:rPr>
        <w:t>.</w:t>
      </w:r>
    </w:p>
    <w:p w14:paraId="059CD417" w14:textId="10F39B93" w:rsidR="00986D48" w:rsidRPr="009A1394" w:rsidRDefault="000669BD" w:rsidP="00E30275">
      <w:pPr>
        <w:pStyle w:val="Paragraphe"/>
        <w:numPr>
          <w:ilvl w:val="0"/>
          <w:numId w:val="1"/>
        </w:numPr>
        <w:rPr>
          <w:lang w:val="en-CA"/>
        </w:rPr>
      </w:pPr>
      <w:r w:rsidRPr="009A1394">
        <w:rPr>
          <w:lang w:val="en-CA"/>
        </w:rPr>
        <w:t>For these reasons, the</w:t>
      </w:r>
      <w:r w:rsidR="00C23B8E" w:rsidRPr="009A1394">
        <w:rPr>
          <w:lang w:val="en-CA"/>
        </w:rPr>
        <w:t>re is no reviewable error in the</w:t>
      </w:r>
      <w:r w:rsidRPr="009A1394">
        <w:rPr>
          <w:lang w:val="en-CA"/>
        </w:rPr>
        <w:t xml:space="preserve"> characterization of Harding’s faults as</w:t>
      </w:r>
      <w:r w:rsidR="00D66F45" w:rsidRPr="009A1394">
        <w:rPr>
          <w:lang w:val="en-CA"/>
        </w:rPr>
        <w:t xml:space="preserve"> a</w:t>
      </w:r>
      <w:r w:rsidRPr="009A1394">
        <w:rPr>
          <w:lang w:val="en-CA"/>
        </w:rPr>
        <w:t xml:space="preserve"> </w:t>
      </w:r>
      <w:r w:rsidRPr="009A1394">
        <w:rPr>
          <w:i/>
          <w:lang w:val="en-CA"/>
        </w:rPr>
        <w:t>novus actus interveniens</w:t>
      </w:r>
      <w:r w:rsidRPr="009A1394">
        <w:rPr>
          <w:lang w:val="en-CA"/>
        </w:rPr>
        <w:t>.</w:t>
      </w:r>
    </w:p>
    <w:p w14:paraId="4ABC6D03" w14:textId="766A8599" w:rsidR="00CD6A9B" w:rsidRPr="009A1394" w:rsidRDefault="000669BD" w:rsidP="00E30275">
      <w:pPr>
        <w:pStyle w:val="Paragraphe"/>
        <w:numPr>
          <w:ilvl w:val="0"/>
          <w:numId w:val="1"/>
        </w:numPr>
        <w:rPr>
          <w:lang w:val="en-CA"/>
        </w:rPr>
      </w:pPr>
      <w:r w:rsidRPr="009A1394">
        <w:rPr>
          <w:lang w:val="en-CA"/>
        </w:rPr>
        <w:t xml:space="preserve">Finally, there remains the question of </w:t>
      </w:r>
      <w:r w:rsidR="00B8103C" w:rsidRPr="009A1394">
        <w:rPr>
          <w:lang w:val="en-CA"/>
        </w:rPr>
        <w:t>the</w:t>
      </w:r>
      <w:r w:rsidRPr="009A1394">
        <w:rPr>
          <w:lang w:val="en-CA"/>
        </w:rPr>
        <w:t xml:space="preserve"> risk assessment in connection with the </w:t>
      </w:r>
      <w:r w:rsidRPr="009A1394">
        <w:rPr>
          <w:i/>
          <w:iCs/>
          <w:lang w:val="en-CA"/>
        </w:rPr>
        <w:t>novus actus interveniens</w:t>
      </w:r>
      <w:r w:rsidRPr="009A1394">
        <w:rPr>
          <w:lang w:val="en-CA"/>
        </w:rPr>
        <w:t>.</w:t>
      </w:r>
      <w:r w:rsidR="00702A59" w:rsidRPr="009A1394">
        <w:rPr>
          <w:lang w:val="en-CA"/>
        </w:rPr>
        <w:t xml:space="preserve"> </w:t>
      </w:r>
      <w:r w:rsidR="00B8103C" w:rsidRPr="009A1394">
        <w:rPr>
          <w:lang w:val="en-CA"/>
        </w:rPr>
        <w:t xml:space="preserve">On this issue, the appellants argue that had CP </w:t>
      </w:r>
      <w:r w:rsidR="00FC42D6" w:rsidRPr="009A1394">
        <w:rPr>
          <w:lang w:val="en-CA"/>
        </w:rPr>
        <w:t>conducted</w:t>
      </w:r>
      <w:r w:rsidR="00B8103C" w:rsidRPr="009A1394">
        <w:rPr>
          <w:lang w:val="en-CA"/>
        </w:rPr>
        <w:t xml:space="preserve"> a risk assessment in connection with MMA transporting crude oil, it would not have entrusted </w:t>
      </w:r>
      <w:r w:rsidR="009E3288" w:rsidRPr="009A1394">
        <w:rPr>
          <w:lang w:val="en-CA"/>
        </w:rPr>
        <w:t>MMA</w:t>
      </w:r>
      <w:r w:rsidR="00B8103C" w:rsidRPr="009A1394">
        <w:rPr>
          <w:lang w:val="en-CA"/>
        </w:rPr>
        <w:t xml:space="preserve"> with the cargo or MMA would have changed or corrected its </w:t>
      </w:r>
      <w:r w:rsidR="003867DE" w:rsidRPr="009A1394">
        <w:rPr>
          <w:lang w:val="en-CA"/>
        </w:rPr>
        <w:t>practices</w:t>
      </w:r>
      <w:r w:rsidR="00B8103C" w:rsidRPr="009A1394">
        <w:rPr>
          <w:lang w:val="en-CA"/>
        </w:rPr>
        <w:t>.</w:t>
      </w:r>
      <w:r w:rsidR="00702A59" w:rsidRPr="009A1394">
        <w:rPr>
          <w:lang w:val="en-CA"/>
        </w:rPr>
        <w:t xml:space="preserve"> </w:t>
      </w:r>
      <w:r w:rsidR="00B8103C" w:rsidRPr="009A1394">
        <w:rPr>
          <w:lang w:val="en-CA"/>
        </w:rPr>
        <w:t xml:space="preserve">This second proposal relies on the premise that once it became aware of MMA’s operational practices, CP </w:t>
      </w:r>
      <w:r w:rsidR="00B06233" w:rsidRPr="009A1394">
        <w:rPr>
          <w:lang w:val="en-CA"/>
        </w:rPr>
        <w:t xml:space="preserve">would have </w:t>
      </w:r>
      <w:r w:rsidR="00B8103C" w:rsidRPr="009A1394">
        <w:rPr>
          <w:lang w:val="en-CA"/>
        </w:rPr>
        <w:t xml:space="preserve">instructed MMA not to park the train on a </w:t>
      </w:r>
      <w:r w:rsidR="00AF4466" w:rsidRPr="009A1394">
        <w:rPr>
          <w:lang w:val="en-CA"/>
        </w:rPr>
        <w:t>descending grade</w:t>
      </w:r>
      <w:r w:rsidR="00B8103C" w:rsidRPr="009A1394">
        <w:rPr>
          <w:lang w:val="en-CA"/>
        </w:rPr>
        <w:t xml:space="preserve"> overnight without supervision.</w:t>
      </w:r>
    </w:p>
    <w:p w14:paraId="66B33E61" w14:textId="334174CC" w:rsidR="00702A59" w:rsidRPr="009A1394" w:rsidRDefault="00B8103C" w:rsidP="00E30275">
      <w:pPr>
        <w:pStyle w:val="Paragraphe"/>
        <w:numPr>
          <w:ilvl w:val="0"/>
          <w:numId w:val="1"/>
        </w:numPr>
        <w:rPr>
          <w:lang w:val="en-CA"/>
        </w:rPr>
      </w:pPr>
      <w:r w:rsidRPr="009A1394">
        <w:rPr>
          <w:lang w:val="en-CA"/>
        </w:rPr>
        <w:t xml:space="preserve">This argument </w:t>
      </w:r>
      <w:r w:rsidR="00FC42D6" w:rsidRPr="009A1394">
        <w:rPr>
          <w:lang w:val="en-CA"/>
        </w:rPr>
        <w:t>is somewhat surprising</w:t>
      </w:r>
      <w:r w:rsidRPr="009A1394">
        <w:rPr>
          <w:lang w:val="en-CA"/>
        </w:rPr>
        <w:t>.</w:t>
      </w:r>
      <w:r w:rsidR="008C365B" w:rsidRPr="009A1394">
        <w:rPr>
          <w:lang w:val="en-CA"/>
        </w:rPr>
        <w:t xml:space="preserve"> </w:t>
      </w:r>
      <w:r w:rsidRPr="009A1394">
        <w:rPr>
          <w:lang w:val="en-CA"/>
        </w:rPr>
        <w:t xml:space="preserve">The appellants might as well say that CP should also have reminded MMA that it needed to comply with rule 112 of the </w:t>
      </w:r>
      <w:r w:rsidRPr="009A1394">
        <w:rPr>
          <w:i/>
          <w:lang w:val="en-CA"/>
        </w:rPr>
        <w:t>Canadian Rail Operating Rules</w:t>
      </w:r>
      <w:r w:rsidRPr="009A1394">
        <w:rPr>
          <w:rStyle w:val="Appelnotedebasdep"/>
          <w:lang w:val="en-CA"/>
        </w:rPr>
        <w:footnoteReference w:id="283"/>
      </w:r>
      <w:r w:rsidRPr="009A1394">
        <w:rPr>
          <w:lang w:val="en-CA"/>
        </w:rPr>
        <w:t xml:space="preserve"> with respect to the number of </w:t>
      </w:r>
      <w:r w:rsidR="000A42A7" w:rsidRPr="009A1394">
        <w:rPr>
          <w:lang w:val="en-CA"/>
        </w:rPr>
        <w:t>hand brake</w:t>
      </w:r>
      <w:r w:rsidRPr="009A1394">
        <w:rPr>
          <w:lang w:val="en-CA"/>
        </w:rPr>
        <w:t>s that must be applied when securing a train.</w:t>
      </w:r>
    </w:p>
    <w:p w14:paraId="5B2592B1" w14:textId="0823777D" w:rsidR="005B70A1" w:rsidRPr="009A1394" w:rsidRDefault="00B8103C" w:rsidP="00E30275">
      <w:pPr>
        <w:pStyle w:val="Paragraphe"/>
        <w:numPr>
          <w:ilvl w:val="0"/>
          <w:numId w:val="1"/>
        </w:numPr>
        <w:rPr>
          <w:lang w:val="en-CA"/>
        </w:rPr>
      </w:pPr>
      <w:r w:rsidRPr="009A1394">
        <w:rPr>
          <w:lang w:val="en-CA"/>
        </w:rPr>
        <w:t xml:space="preserve">In any event, the evidence does not suggest that MMA would have </w:t>
      </w:r>
      <w:r w:rsidR="006E1B0F" w:rsidRPr="009A1394">
        <w:rPr>
          <w:lang w:val="en-CA"/>
        </w:rPr>
        <w:t>implemented</w:t>
      </w:r>
      <w:r w:rsidRPr="009A1394">
        <w:rPr>
          <w:lang w:val="en-CA"/>
        </w:rPr>
        <w:t xml:space="preserve"> such an instruction, quite the opposite.</w:t>
      </w:r>
      <w:r w:rsidR="000A0A57" w:rsidRPr="009A1394">
        <w:rPr>
          <w:lang w:val="en-CA"/>
        </w:rPr>
        <w:t xml:space="preserve"> </w:t>
      </w:r>
      <w:r w:rsidRPr="009A1394">
        <w:rPr>
          <w:lang w:val="en-CA"/>
        </w:rPr>
        <w:t xml:space="preserve">As the Court has already pointed out, the evidence reveals that it is not part of the rail industry’s practices for a carrier like CP to give another carrier like MMA instructions on how to operate its railroad. In all </w:t>
      </w:r>
      <w:r w:rsidR="006E1B0F" w:rsidRPr="009A1394">
        <w:rPr>
          <w:lang w:val="en-CA"/>
        </w:rPr>
        <w:t>likelihood</w:t>
      </w:r>
      <w:r w:rsidRPr="009A1394">
        <w:rPr>
          <w:lang w:val="en-CA"/>
        </w:rPr>
        <w:t>, CP’s initiative would have been very poorly received by MMA.</w:t>
      </w:r>
    </w:p>
    <w:p w14:paraId="056CEDCD" w14:textId="7CD480A7" w:rsidR="00702A59" w:rsidRPr="009A1394" w:rsidRDefault="00B8103C" w:rsidP="00E30275">
      <w:pPr>
        <w:pStyle w:val="Paragraphe"/>
        <w:numPr>
          <w:ilvl w:val="0"/>
          <w:numId w:val="1"/>
        </w:numPr>
        <w:rPr>
          <w:lang w:val="en-CA"/>
        </w:rPr>
      </w:pPr>
      <w:r w:rsidRPr="009A1394">
        <w:rPr>
          <w:lang w:val="en-CA"/>
        </w:rPr>
        <w:t xml:space="preserve">Furthermore, the evidence </w:t>
      </w:r>
      <w:r w:rsidR="00637064" w:rsidRPr="009A1394">
        <w:rPr>
          <w:lang w:val="en-CA"/>
        </w:rPr>
        <w:t>indicates</w:t>
      </w:r>
      <w:r w:rsidRPr="009A1394">
        <w:rPr>
          <w:lang w:val="en-CA"/>
        </w:rPr>
        <w:t xml:space="preserve"> </w:t>
      </w:r>
      <w:r w:rsidR="00637064" w:rsidRPr="009A1394">
        <w:rPr>
          <w:lang w:val="en-CA"/>
        </w:rPr>
        <w:t>t</w:t>
      </w:r>
      <w:r w:rsidRPr="009A1394">
        <w:rPr>
          <w:lang w:val="en-CA"/>
        </w:rPr>
        <w:t>hat TC</w:t>
      </w:r>
      <w:r w:rsidR="006E1B0F" w:rsidRPr="009A1394">
        <w:rPr>
          <w:lang w:val="en-CA"/>
        </w:rPr>
        <w:t xml:space="preserve"> itself</w:t>
      </w:r>
      <w:r w:rsidRPr="009A1394">
        <w:rPr>
          <w:lang w:val="en-CA"/>
        </w:rPr>
        <w:t xml:space="preserve"> did not disapprove of MMA’s practices, which had been in effect for about ten years, according to its president</w:t>
      </w:r>
      <w:r w:rsidR="00134872" w:rsidRPr="009A1394">
        <w:rPr>
          <w:lang w:val="en-CA"/>
        </w:rPr>
        <w:t>,</w:t>
      </w:r>
      <w:r w:rsidRPr="009A1394">
        <w:rPr>
          <w:lang w:val="en-CA"/>
        </w:rPr>
        <w:t xml:space="preserve"> Grindrod.</w:t>
      </w:r>
      <w:r w:rsidR="00C84A2B" w:rsidRPr="009A1394">
        <w:rPr>
          <w:lang w:val="en-CA"/>
        </w:rPr>
        <w:t xml:space="preserve"> </w:t>
      </w:r>
      <w:r w:rsidRPr="009A1394">
        <w:rPr>
          <w:lang w:val="en-CA"/>
        </w:rPr>
        <w:t xml:space="preserve">It is highly doubtful that </w:t>
      </w:r>
      <w:r w:rsidR="006E1B0F" w:rsidRPr="009A1394">
        <w:rPr>
          <w:lang w:val="en-CA"/>
        </w:rPr>
        <w:t>any</w:t>
      </w:r>
      <w:r w:rsidR="003D5368" w:rsidRPr="009A1394">
        <w:rPr>
          <w:lang w:val="en-CA"/>
        </w:rPr>
        <w:t xml:space="preserve">thing </w:t>
      </w:r>
      <w:r w:rsidRPr="009A1394">
        <w:rPr>
          <w:lang w:val="en-CA"/>
        </w:rPr>
        <w:t>CP</w:t>
      </w:r>
      <w:r w:rsidR="003D5368" w:rsidRPr="009A1394">
        <w:rPr>
          <w:lang w:val="en-CA"/>
        </w:rPr>
        <w:t xml:space="preserve"> could have said or done</w:t>
      </w:r>
      <w:r w:rsidR="00652735" w:rsidRPr="009A1394">
        <w:rPr>
          <w:lang w:val="en-CA"/>
        </w:rPr>
        <w:t xml:space="preserve"> </w:t>
      </w:r>
      <w:r w:rsidR="003D5368" w:rsidRPr="009A1394">
        <w:rPr>
          <w:lang w:val="en-CA"/>
        </w:rPr>
        <w:t xml:space="preserve">in its dealings with </w:t>
      </w:r>
      <w:r w:rsidRPr="009A1394">
        <w:rPr>
          <w:lang w:val="en-CA"/>
        </w:rPr>
        <w:t>MMA</w:t>
      </w:r>
      <w:r w:rsidR="00652735" w:rsidRPr="009A1394">
        <w:rPr>
          <w:lang w:val="en-CA"/>
        </w:rPr>
        <w:t xml:space="preserve"> </w:t>
      </w:r>
      <w:r w:rsidRPr="009A1394">
        <w:rPr>
          <w:lang w:val="en-CA"/>
        </w:rPr>
        <w:t xml:space="preserve">would have had any effect </w:t>
      </w:r>
      <w:r w:rsidR="006E1B0F" w:rsidRPr="009A1394">
        <w:rPr>
          <w:lang w:val="en-CA"/>
        </w:rPr>
        <w:t>whatsoever</w:t>
      </w:r>
      <w:r w:rsidRPr="009A1394">
        <w:rPr>
          <w:lang w:val="en-CA"/>
        </w:rPr>
        <w:t>.</w:t>
      </w:r>
    </w:p>
    <w:p w14:paraId="3EEB8DCA" w14:textId="41F952F5" w:rsidR="00702A59" w:rsidRPr="009A1394" w:rsidRDefault="00652735" w:rsidP="00E30275">
      <w:pPr>
        <w:pStyle w:val="Paragraphe"/>
        <w:numPr>
          <w:ilvl w:val="0"/>
          <w:numId w:val="1"/>
        </w:numPr>
        <w:rPr>
          <w:lang w:val="en-CA"/>
        </w:rPr>
      </w:pPr>
      <w:r w:rsidRPr="009A1394">
        <w:rPr>
          <w:lang w:val="en-CA"/>
        </w:rPr>
        <w:t>But a</w:t>
      </w:r>
      <w:r w:rsidR="00B8103C" w:rsidRPr="009A1394">
        <w:rPr>
          <w:lang w:val="en-CA"/>
        </w:rPr>
        <w:t xml:space="preserve">bove all, the risk assessment </w:t>
      </w:r>
      <w:r w:rsidR="00421A3E" w:rsidRPr="009A1394">
        <w:rPr>
          <w:lang w:val="en-CA"/>
        </w:rPr>
        <w:t xml:space="preserve">that </w:t>
      </w:r>
      <w:r w:rsidR="00B8103C" w:rsidRPr="009A1394">
        <w:rPr>
          <w:lang w:val="en-CA"/>
        </w:rPr>
        <w:t xml:space="preserve">the appellants would have </w:t>
      </w:r>
      <w:r w:rsidR="00351D5E" w:rsidRPr="009A1394">
        <w:rPr>
          <w:lang w:val="en-CA"/>
        </w:rPr>
        <w:t xml:space="preserve">wished </w:t>
      </w:r>
      <w:r w:rsidR="00B8103C" w:rsidRPr="009A1394">
        <w:rPr>
          <w:lang w:val="en-CA"/>
        </w:rPr>
        <w:t xml:space="preserve">CP to </w:t>
      </w:r>
      <w:r w:rsidR="00871BB5" w:rsidRPr="009A1394">
        <w:rPr>
          <w:lang w:val="en-CA"/>
        </w:rPr>
        <w:t xml:space="preserve">carry </w:t>
      </w:r>
      <w:r w:rsidR="00553466" w:rsidRPr="009A1394">
        <w:rPr>
          <w:lang w:val="en-CA"/>
        </w:rPr>
        <w:t xml:space="preserve">out </w:t>
      </w:r>
      <w:r w:rsidR="00B8103C" w:rsidRPr="009A1394">
        <w:rPr>
          <w:lang w:val="en-CA"/>
        </w:rPr>
        <w:t xml:space="preserve">would </w:t>
      </w:r>
      <w:r w:rsidR="00421A3E" w:rsidRPr="009A1394">
        <w:rPr>
          <w:lang w:val="en-CA"/>
        </w:rPr>
        <w:t xml:space="preserve">not </w:t>
      </w:r>
      <w:r w:rsidR="00B8103C" w:rsidRPr="009A1394">
        <w:rPr>
          <w:lang w:val="en-CA"/>
        </w:rPr>
        <w:t>have change</w:t>
      </w:r>
      <w:r w:rsidR="00637064" w:rsidRPr="009A1394">
        <w:rPr>
          <w:lang w:val="en-CA"/>
        </w:rPr>
        <w:t>d</w:t>
      </w:r>
      <w:r w:rsidR="00B8103C" w:rsidRPr="009A1394">
        <w:rPr>
          <w:lang w:val="en-CA"/>
        </w:rPr>
        <w:t xml:space="preserve"> Harding’s way </w:t>
      </w:r>
      <w:r w:rsidR="006E1B0F" w:rsidRPr="009A1394">
        <w:rPr>
          <w:lang w:val="en-CA"/>
        </w:rPr>
        <w:t xml:space="preserve">of </w:t>
      </w:r>
      <w:r w:rsidR="003D5368" w:rsidRPr="009A1394">
        <w:rPr>
          <w:lang w:val="en-CA"/>
        </w:rPr>
        <w:t>doing things</w:t>
      </w:r>
      <w:r w:rsidR="001D7C09" w:rsidRPr="009A1394">
        <w:rPr>
          <w:lang w:val="en-CA"/>
        </w:rPr>
        <w:t xml:space="preserve"> one iota</w:t>
      </w:r>
      <w:r w:rsidR="00B8103C" w:rsidRPr="009A1394">
        <w:rPr>
          <w:lang w:val="en-CA"/>
        </w:rPr>
        <w:t>.</w:t>
      </w:r>
      <w:r w:rsidR="007F7977" w:rsidRPr="009A1394">
        <w:rPr>
          <w:lang w:val="en-CA"/>
        </w:rPr>
        <w:t xml:space="preserve"> </w:t>
      </w:r>
      <w:r w:rsidR="00B8103C" w:rsidRPr="009A1394">
        <w:rPr>
          <w:lang w:val="en-CA"/>
        </w:rPr>
        <w:t>It was incumbent on the appellants to demonstrate that had CP acted as they suggest, the course of events would have be</w:t>
      </w:r>
      <w:r w:rsidR="00637064" w:rsidRPr="009A1394">
        <w:rPr>
          <w:lang w:val="en-CA"/>
        </w:rPr>
        <w:t>en</w:t>
      </w:r>
      <w:r w:rsidR="00B8103C" w:rsidRPr="009A1394">
        <w:rPr>
          <w:lang w:val="en-CA"/>
        </w:rPr>
        <w:t xml:space="preserve"> different.</w:t>
      </w:r>
      <w:r w:rsidR="007F7977" w:rsidRPr="009A1394">
        <w:rPr>
          <w:lang w:val="en-CA"/>
        </w:rPr>
        <w:t xml:space="preserve"> </w:t>
      </w:r>
      <w:r w:rsidR="00B8103C" w:rsidRPr="009A1394">
        <w:rPr>
          <w:lang w:val="en-CA"/>
        </w:rPr>
        <w:t>They failed to do so at trial.</w:t>
      </w:r>
      <w:r w:rsidR="007F7977" w:rsidRPr="009A1394">
        <w:rPr>
          <w:lang w:val="en-CA"/>
        </w:rPr>
        <w:t xml:space="preserve"> </w:t>
      </w:r>
      <w:r w:rsidR="00B8103C" w:rsidRPr="009A1394">
        <w:rPr>
          <w:lang w:val="en-CA"/>
        </w:rPr>
        <w:t xml:space="preserve">On appeal, they have not </w:t>
      </w:r>
      <w:r w:rsidR="003D5368" w:rsidRPr="009A1394">
        <w:rPr>
          <w:lang w:val="en-CA"/>
        </w:rPr>
        <w:t>satisfie</w:t>
      </w:r>
      <w:r w:rsidR="00B8103C" w:rsidRPr="009A1394">
        <w:rPr>
          <w:lang w:val="en-CA"/>
        </w:rPr>
        <w:t>d the Court that the judge erred in his conclusion.</w:t>
      </w:r>
      <w:r w:rsidR="00B8103C" w:rsidRPr="009A1394">
        <w:rPr>
          <w:rStyle w:val="Appelnotedebasdep"/>
          <w:lang w:val="en-CA"/>
        </w:rPr>
        <w:footnoteReference w:id="284"/>
      </w:r>
    </w:p>
    <w:p w14:paraId="48D65E00" w14:textId="6ECCEBE0" w:rsidR="00702A59" w:rsidRPr="009A1394" w:rsidRDefault="00B8103C" w:rsidP="00E30275">
      <w:pPr>
        <w:pStyle w:val="Paragraphe"/>
        <w:numPr>
          <w:ilvl w:val="0"/>
          <w:numId w:val="1"/>
        </w:numPr>
        <w:rPr>
          <w:lang w:val="en-CA"/>
        </w:rPr>
      </w:pPr>
      <w:r w:rsidRPr="009A1394">
        <w:rPr>
          <w:lang w:val="en-CA"/>
        </w:rPr>
        <w:t xml:space="preserve">In the </w:t>
      </w:r>
      <w:r w:rsidR="00421A3E" w:rsidRPr="009A1394">
        <w:rPr>
          <w:lang w:val="en-CA"/>
        </w:rPr>
        <w:t>end</w:t>
      </w:r>
      <w:r w:rsidRPr="009A1394">
        <w:rPr>
          <w:lang w:val="en-CA"/>
        </w:rPr>
        <w:t xml:space="preserve">, </w:t>
      </w:r>
      <w:r w:rsidR="00DA3D02" w:rsidRPr="009A1394">
        <w:rPr>
          <w:lang w:val="en-CA"/>
        </w:rPr>
        <w:t xml:space="preserve">the faults of </w:t>
      </w:r>
      <w:r w:rsidR="00421A3E" w:rsidRPr="009A1394">
        <w:rPr>
          <w:lang w:val="en-CA"/>
        </w:rPr>
        <w:t>Harding and MMA</w:t>
      </w:r>
      <w:r w:rsidRPr="009A1394">
        <w:rPr>
          <w:lang w:val="en-CA"/>
        </w:rPr>
        <w:t xml:space="preserve"> remain the only logical, direct, and immediate cause of the catastrophe.</w:t>
      </w:r>
      <w:r w:rsidR="008161A3" w:rsidRPr="009A1394">
        <w:rPr>
          <w:lang w:val="en-CA"/>
        </w:rPr>
        <w:t xml:space="preserve"> </w:t>
      </w:r>
    </w:p>
    <w:p w14:paraId="04BFF85A" w14:textId="262DBEFD" w:rsidR="008344E8" w:rsidRPr="009A1394" w:rsidRDefault="00B8103C" w:rsidP="00E30275">
      <w:pPr>
        <w:pStyle w:val="Paragraphe"/>
        <w:numPr>
          <w:ilvl w:val="0"/>
          <w:numId w:val="1"/>
        </w:numPr>
        <w:rPr>
          <w:lang w:val="en-CA"/>
        </w:rPr>
      </w:pPr>
      <w:r w:rsidRPr="009A1394">
        <w:rPr>
          <w:lang w:val="en-CA"/>
        </w:rPr>
        <w:lastRenderedPageBreak/>
        <w:t xml:space="preserve">Thus, even if it had </w:t>
      </w:r>
      <w:r w:rsidR="00421A3E" w:rsidRPr="009A1394">
        <w:rPr>
          <w:lang w:val="en-CA"/>
        </w:rPr>
        <w:t>allowed</w:t>
      </w:r>
      <w:r w:rsidRPr="009A1394">
        <w:rPr>
          <w:lang w:val="en-CA"/>
        </w:rPr>
        <w:t xml:space="preserve"> </w:t>
      </w:r>
      <w:r w:rsidR="00421A3E" w:rsidRPr="009A1394">
        <w:rPr>
          <w:lang w:val="en-CA"/>
        </w:rPr>
        <w:t>t</w:t>
      </w:r>
      <w:r w:rsidRPr="009A1394">
        <w:rPr>
          <w:lang w:val="en-CA"/>
        </w:rPr>
        <w:t>he grounds of appeal on fault, the Court would have dismissed those on causa</w:t>
      </w:r>
      <w:r w:rsidR="00637064" w:rsidRPr="009A1394">
        <w:rPr>
          <w:lang w:val="en-CA"/>
        </w:rPr>
        <w:t>tion</w:t>
      </w:r>
      <w:r w:rsidR="0031439D" w:rsidRPr="009A1394">
        <w:rPr>
          <w:lang w:val="en-CA"/>
        </w:rPr>
        <w:t>,</w:t>
      </w:r>
      <w:r w:rsidRPr="009A1394">
        <w:rPr>
          <w:lang w:val="en-CA"/>
        </w:rPr>
        <w:t xml:space="preserve"> such that its conclusions would have remained the same.</w:t>
      </w:r>
    </w:p>
    <w:p w14:paraId="4D95FC8B" w14:textId="00DF70D3" w:rsidR="00DE0DD2" w:rsidRPr="009A1394" w:rsidRDefault="00B8103C" w:rsidP="004E69FF">
      <w:pPr>
        <w:spacing w:before="240" w:after="120"/>
        <w:rPr>
          <w:lang w:val="en-CA"/>
        </w:rPr>
      </w:pPr>
      <w:r w:rsidRPr="009A1394">
        <w:rPr>
          <w:b/>
          <w:bCs/>
          <w:lang w:val="en-CA"/>
        </w:rPr>
        <w:t>FOR THESE REASONS, THE COURT:</w:t>
      </w:r>
    </w:p>
    <w:p w14:paraId="0E065217" w14:textId="459B84F6" w:rsidR="00DE0DD2" w:rsidRPr="009A1394" w:rsidRDefault="00B8103C" w:rsidP="00E30275">
      <w:pPr>
        <w:pStyle w:val="Paragraphe"/>
        <w:numPr>
          <w:ilvl w:val="0"/>
          <w:numId w:val="1"/>
        </w:numPr>
        <w:rPr>
          <w:lang w:val="en-CA"/>
        </w:rPr>
      </w:pPr>
      <w:r w:rsidRPr="009A1394">
        <w:rPr>
          <w:b/>
          <w:bCs/>
          <w:lang w:val="en-CA"/>
        </w:rPr>
        <w:t xml:space="preserve">DISMISSES </w:t>
      </w:r>
      <w:r w:rsidRPr="009A1394">
        <w:rPr>
          <w:lang w:val="en-CA"/>
        </w:rPr>
        <w:t>the appeal with legal costs in file 500-09-030362-230;</w:t>
      </w:r>
    </w:p>
    <w:p w14:paraId="31091316" w14:textId="4F8B2115" w:rsidR="00D16764" w:rsidRPr="009A1394" w:rsidRDefault="00B8103C" w:rsidP="00E30275">
      <w:pPr>
        <w:pStyle w:val="Paragraphe"/>
        <w:numPr>
          <w:ilvl w:val="0"/>
          <w:numId w:val="1"/>
        </w:numPr>
        <w:rPr>
          <w:lang w:val="en-CA"/>
        </w:rPr>
      </w:pPr>
      <w:r w:rsidRPr="009A1394">
        <w:rPr>
          <w:b/>
          <w:bCs/>
          <w:lang w:val="en-CA"/>
        </w:rPr>
        <w:t xml:space="preserve">DISMISSES </w:t>
      </w:r>
      <w:r w:rsidRPr="009A1394">
        <w:rPr>
          <w:lang w:val="en-CA"/>
        </w:rPr>
        <w:t>the appeal with legal costs in file 500-09-030363-238;</w:t>
      </w:r>
    </w:p>
    <w:p w14:paraId="568AE399" w14:textId="1D64B69C" w:rsidR="00DE0DD2" w:rsidRPr="009A1394" w:rsidRDefault="00B8103C" w:rsidP="004E69FF">
      <w:pPr>
        <w:pStyle w:val="Paragraphe"/>
        <w:keepNext/>
        <w:numPr>
          <w:ilvl w:val="0"/>
          <w:numId w:val="1"/>
        </w:numPr>
        <w:rPr>
          <w:lang w:val="en-CA"/>
        </w:rPr>
      </w:pPr>
      <w:r w:rsidRPr="009A1394">
        <w:rPr>
          <w:b/>
          <w:bCs/>
          <w:lang w:val="en-CA"/>
        </w:rPr>
        <w:t xml:space="preserve">DISMISSES </w:t>
      </w:r>
      <w:r w:rsidRPr="009A1394">
        <w:rPr>
          <w:lang w:val="en-CA"/>
        </w:rPr>
        <w:t>the appeal with legal costs in file 500-09-030366-231;</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67176C" w:rsidRPr="009A1394" w14:paraId="130D65E7" w14:textId="77777777" w:rsidTr="003E3239">
        <w:trPr>
          <w:trHeight w:val="576"/>
        </w:trPr>
        <w:tc>
          <w:tcPr>
            <w:tcW w:w="9362" w:type="dxa"/>
            <w:gridSpan w:val="3"/>
            <w:tcBorders>
              <w:top w:val="nil"/>
              <w:bottom w:val="nil"/>
            </w:tcBorders>
          </w:tcPr>
          <w:p w14:paraId="34FE18E2" w14:textId="77777777" w:rsidR="008F364A" w:rsidRPr="009A1394" w:rsidRDefault="008F364A" w:rsidP="004E69FF">
            <w:pPr>
              <w:keepNext/>
              <w:spacing w:line="240" w:lineRule="auto"/>
              <w:rPr>
                <w:lang w:val="en-CA"/>
              </w:rPr>
            </w:pPr>
          </w:p>
        </w:tc>
      </w:tr>
      <w:tr w:rsidR="0067176C" w:rsidRPr="009A1394" w14:paraId="0A95B824" w14:textId="77777777" w:rsidTr="00117914">
        <w:trPr>
          <w:trHeight w:val="283"/>
        </w:trPr>
        <w:tc>
          <w:tcPr>
            <w:tcW w:w="4682" w:type="dxa"/>
            <w:gridSpan w:val="2"/>
            <w:tcBorders>
              <w:top w:val="nil"/>
              <w:bottom w:val="nil"/>
            </w:tcBorders>
          </w:tcPr>
          <w:p w14:paraId="040B138E" w14:textId="77777777" w:rsidR="008F364A" w:rsidRPr="009A1394" w:rsidRDefault="008F364A" w:rsidP="008170CE">
            <w:pPr>
              <w:keepNext/>
              <w:spacing w:line="240" w:lineRule="auto"/>
              <w:rPr>
                <w:lang w:val="en-CA"/>
              </w:rPr>
            </w:pPr>
          </w:p>
        </w:tc>
        <w:tc>
          <w:tcPr>
            <w:tcW w:w="4680" w:type="dxa"/>
            <w:tcBorders>
              <w:top w:val="nil"/>
              <w:bottom w:val="single" w:sz="8" w:space="0" w:color="auto"/>
            </w:tcBorders>
          </w:tcPr>
          <w:p w14:paraId="37F9F0C0" w14:textId="77777777" w:rsidR="008F364A" w:rsidRPr="009A1394" w:rsidRDefault="008F364A" w:rsidP="008170CE">
            <w:pPr>
              <w:keepNext/>
              <w:spacing w:line="240" w:lineRule="auto"/>
              <w:rPr>
                <w:lang w:val="en-CA"/>
              </w:rPr>
            </w:pPr>
          </w:p>
        </w:tc>
      </w:tr>
      <w:tr w:rsidR="0067176C" w:rsidRPr="009A1394" w14:paraId="3A6F3216" w14:textId="77777777" w:rsidTr="00117914">
        <w:trPr>
          <w:trHeight w:val="283"/>
        </w:trPr>
        <w:tc>
          <w:tcPr>
            <w:tcW w:w="4682" w:type="dxa"/>
            <w:gridSpan w:val="2"/>
            <w:tcBorders>
              <w:top w:val="nil"/>
            </w:tcBorders>
          </w:tcPr>
          <w:p w14:paraId="2CC5EE02" w14:textId="77777777" w:rsidR="008F364A" w:rsidRPr="009A1394" w:rsidRDefault="008F364A" w:rsidP="008170CE">
            <w:pPr>
              <w:keepNext/>
              <w:spacing w:line="240" w:lineRule="auto"/>
              <w:rPr>
                <w:lang w:val="en-CA"/>
              </w:rPr>
            </w:pPr>
          </w:p>
        </w:tc>
        <w:tc>
          <w:tcPr>
            <w:tcW w:w="4680" w:type="dxa"/>
            <w:tcBorders>
              <w:top w:val="single" w:sz="8" w:space="0" w:color="auto"/>
            </w:tcBorders>
          </w:tcPr>
          <w:p w14:paraId="40488DA8" w14:textId="628A8B67" w:rsidR="008F364A" w:rsidRPr="009A1394" w:rsidRDefault="00FD6464" w:rsidP="008170CE">
            <w:pPr>
              <w:spacing w:line="240" w:lineRule="auto"/>
              <w:rPr>
                <w:lang w:val="en-CA"/>
              </w:rPr>
            </w:pPr>
            <w:r w:rsidRPr="009A1394">
              <w:rPr>
                <w:lang w:val="en-CA"/>
              </w:rPr>
              <w:t>MARK SCHRAGER, J.A.</w:t>
            </w:r>
          </w:p>
        </w:tc>
      </w:tr>
      <w:tr w:rsidR="0067176C" w:rsidRPr="009A1394" w14:paraId="1E330DA6" w14:textId="77777777" w:rsidTr="00117914">
        <w:trPr>
          <w:trHeight w:val="283"/>
        </w:trPr>
        <w:tc>
          <w:tcPr>
            <w:tcW w:w="4682" w:type="dxa"/>
            <w:gridSpan w:val="2"/>
            <w:tcBorders>
              <w:top w:val="nil"/>
            </w:tcBorders>
          </w:tcPr>
          <w:p w14:paraId="56E1377A" w14:textId="77777777" w:rsidR="008F364A" w:rsidRPr="009A1394" w:rsidRDefault="008F364A" w:rsidP="008170CE">
            <w:pPr>
              <w:keepNext/>
              <w:spacing w:line="240" w:lineRule="auto"/>
              <w:rPr>
                <w:lang w:val="en-CA"/>
              </w:rPr>
            </w:pPr>
            <w:bookmarkStart w:id="24" w:name="Signature2"/>
          </w:p>
        </w:tc>
        <w:tc>
          <w:tcPr>
            <w:tcW w:w="4680" w:type="dxa"/>
            <w:tcBorders>
              <w:top w:val="nil"/>
            </w:tcBorders>
          </w:tcPr>
          <w:p w14:paraId="191A3A16" w14:textId="77777777" w:rsidR="008F364A" w:rsidRPr="009A1394" w:rsidRDefault="008F364A" w:rsidP="008170CE">
            <w:pPr>
              <w:keepNext/>
              <w:spacing w:line="240" w:lineRule="auto"/>
              <w:rPr>
                <w:lang w:val="en-CA"/>
              </w:rPr>
            </w:pPr>
          </w:p>
        </w:tc>
      </w:tr>
      <w:tr w:rsidR="0067176C" w:rsidRPr="009A1394" w14:paraId="3086589B" w14:textId="77777777" w:rsidTr="00117914">
        <w:trPr>
          <w:trHeight w:val="283"/>
        </w:trPr>
        <w:tc>
          <w:tcPr>
            <w:tcW w:w="4682" w:type="dxa"/>
            <w:gridSpan w:val="2"/>
            <w:tcBorders>
              <w:top w:val="nil"/>
              <w:bottom w:val="nil"/>
            </w:tcBorders>
          </w:tcPr>
          <w:p w14:paraId="279F60DD" w14:textId="77777777" w:rsidR="008F364A" w:rsidRPr="009A1394" w:rsidRDefault="008F364A" w:rsidP="008170CE">
            <w:pPr>
              <w:keepNext/>
              <w:spacing w:line="240" w:lineRule="auto"/>
              <w:rPr>
                <w:lang w:val="en-CA"/>
              </w:rPr>
            </w:pPr>
          </w:p>
        </w:tc>
        <w:tc>
          <w:tcPr>
            <w:tcW w:w="4680" w:type="dxa"/>
            <w:tcBorders>
              <w:top w:val="nil"/>
              <w:bottom w:val="single" w:sz="8" w:space="0" w:color="auto"/>
            </w:tcBorders>
          </w:tcPr>
          <w:p w14:paraId="2853C3AC" w14:textId="77777777" w:rsidR="008F364A" w:rsidRPr="009A1394" w:rsidRDefault="008F364A" w:rsidP="008170CE">
            <w:pPr>
              <w:keepNext/>
              <w:spacing w:line="240" w:lineRule="auto"/>
              <w:rPr>
                <w:lang w:val="en-CA"/>
              </w:rPr>
            </w:pPr>
          </w:p>
        </w:tc>
      </w:tr>
      <w:tr w:rsidR="0067176C" w:rsidRPr="009A1394" w14:paraId="4B36F516" w14:textId="77777777" w:rsidTr="00117914">
        <w:trPr>
          <w:trHeight w:val="283"/>
        </w:trPr>
        <w:tc>
          <w:tcPr>
            <w:tcW w:w="4682" w:type="dxa"/>
            <w:gridSpan w:val="2"/>
            <w:tcBorders>
              <w:top w:val="nil"/>
            </w:tcBorders>
          </w:tcPr>
          <w:p w14:paraId="2D01F1D9" w14:textId="77777777" w:rsidR="008F364A" w:rsidRPr="009A1394" w:rsidRDefault="008F364A" w:rsidP="008170CE">
            <w:pPr>
              <w:keepNext/>
              <w:spacing w:line="240" w:lineRule="auto"/>
              <w:rPr>
                <w:lang w:val="en-CA"/>
              </w:rPr>
            </w:pPr>
          </w:p>
        </w:tc>
        <w:tc>
          <w:tcPr>
            <w:tcW w:w="4680" w:type="dxa"/>
            <w:tcBorders>
              <w:top w:val="single" w:sz="8" w:space="0" w:color="auto"/>
            </w:tcBorders>
          </w:tcPr>
          <w:p w14:paraId="3EA7ECDF" w14:textId="3535EEC5" w:rsidR="008F364A" w:rsidRPr="009A1394" w:rsidRDefault="00FD6464" w:rsidP="008170CE">
            <w:pPr>
              <w:keepNext/>
              <w:spacing w:line="240" w:lineRule="auto"/>
              <w:rPr>
                <w:lang w:val="en-CA"/>
              </w:rPr>
            </w:pPr>
            <w:r w:rsidRPr="009A1394">
              <w:rPr>
                <w:lang w:val="en-CA"/>
              </w:rPr>
              <w:t>PETER KALICHMAN, J.A.</w:t>
            </w:r>
          </w:p>
        </w:tc>
      </w:tr>
      <w:tr w:rsidR="0067176C" w:rsidRPr="009A1394" w14:paraId="2CCB6006" w14:textId="77777777" w:rsidTr="00117914">
        <w:trPr>
          <w:trHeight w:val="283"/>
        </w:trPr>
        <w:tc>
          <w:tcPr>
            <w:tcW w:w="4682" w:type="dxa"/>
            <w:gridSpan w:val="2"/>
            <w:tcBorders>
              <w:top w:val="nil"/>
            </w:tcBorders>
          </w:tcPr>
          <w:p w14:paraId="1665312D" w14:textId="77777777" w:rsidR="008F364A" w:rsidRPr="009A1394" w:rsidRDefault="008F364A" w:rsidP="008170CE">
            <w:pPr>
              <w:keepNext/>
              <w:spacing w:line="240" w:lineRule="auto"/>
              <w:rPr>
                <w:lang w:val="en-CA"/>
              </w:rPr>
            </w:pPr>
            <w:bookmarkStart w:id="25" w:name="Signature3"/>
            <w:bookmarkEnd w:id="24"/>
          </w:p>
        </w:tc>
        <w:tc>
          <w:tcPr>
            <w:tcW w:w="4680" w:type="dxa"/>
            <w:tcBorders>
              <w:top w:val="nil"/>
            </w:tcBorders>
          </w:tcPr>
          <w:p w14:paraId="431C3934" w14:textId="77777777" w:rsidR="008F364A" w:rsidRPr="009A1394" w:rsidRDefault="008F364A" w:rsidP="008170CE">
            <w:pPr>
              <w:keepNext/>
              <w:spacing w:line="240" w:lineRule="auto"/>
              <w:rPr>
                <w:lang w:val="en-CA"/>
              </w:rPr>
            </w:pPr>
          </w:p>
        </w:tc>
      </w:tr>
      <w:tr w:rsidR="0067176C" w:rsidRPr="009A1394" w14:paraId="626B6548" w14:textId="77777777" w:rsidTr="00117914">
        <w:trPr>
          <w:trHeight w:val="283"/>
        </w:trPr>
        <w:tc>
          <w:tcPr>
            <w:tcW w:w="4682" w:type="dxa"/>
            <w:gridSpan w:val="2"/>
            <w:tcBorders>
              <w:top w:val="nil"/>
              <w:bottom w:val="nil"/>
            </w:tcBorders>
          </w:tcPr>
          <w:p w14:paraId="112FA1BF" w14:textId="77777777" w:rsidR="008F364A" w:rsidRPr="009A1394" w:rsidRDefault="008F364A" w:rsidP="008170CE">
            <w:pPr>
              <w:keepNext/>
              <w:spacing w:line="240" w:lineRule="auto"/>
              <w:rPr>
                <w:lang w:val="en-CA"/>
              </w:rPr>
            </w:pPr>
          </w:p>
        </w:tc>
        <w:tc>
          <w:tcPr>
            <w:tcW w:w="4680" w:type="dxa"/>
            <w:tcBorders>
              <w:top w:val="nil"/>
              <w:bottom w:val="single" w:sz="8" w:space="0" w:color="auto"/>
            </w:tcBorders>
          </w:tcPr>
          <w:p w14:paraId="6B5CCE83" w14:textId="77777777" w:rsidR="008F364A" w:rsidRPr="009A1394" w:rsidRDefault="008F364A" w:rsidP="008170CE">
            <w:pPr>
              <w:keepNext/>
              <w:spacing w:line="240" w:lineRule="auto"/>
              <w:rPr>
                <w:lang w:val="en-CA"/>
              </w:rPr>
            </w:pPr>
          </w:p>
        </w:tc>
      </w:tr>
      <w:tr w:rsidR="0067176C" w:rsidRPr="009A1394" w14:paraId="498CC87B" w14:textId="77777777" w:rsidTr="00117914">
        <w:trPr>
          <w:trHeight w:val="283"/>
        </w:trPr>
        <w:tc>
          <w:tcPr>
            <w:tcW w:w="4682" w:type="dxa"/>
            <w:gridSpan w:val="2"/>
            <w:tcBorders>
              <w:top w:val="nil"/>
            </w:tcBorders>
          </w:tcPr>
          <w:p w14:paraId="4D19785C" w14:textId="77777777" w:rsidR="008F364A" w:rsidRPr="009A1394" w:rsidRDefault="008F364A" w:rsidP="008170CE">
            <w:pPr>
              <w:keepNext/>
              <w:spacing w:line="240" w:lineRule="auto"/>
              <w:rPr>
                <w:lang w:val="en-CA"/>
              </w:rPr>
            </w:pPr>
          </w:p>
        </w:tc>
        <w:tc>
          <w:tcPr>
            <w:tcW w:w="4680" w:type="dxa"/>
            <w:tcBorders>
              <w:top w:val="single" w:sz="8" w:space="0" w:color="auto"/>
            </w:tcBorders>
          </w:tcPr>
          <w:p w14:paraId="652B4F44" w14:textId="0006C8BD" w:rsidR="008F364A" w:rsidRPr="009A1394" w:rsidRDefault="00FD6464" w:rsidP="008170CE">
            <w:pPr>
              <w:keepNext/>
              <w:spacing w:line="240" w:lineRule="auto"/>
              <w:rPr>
                <w:lang w:val="en-CA"/>
              </w:rPr>
            </w:pPr>
            <w:r w:rsidRPr="009A1394">
              <w:rPr>
                <w:lang w:val="en-CA"/>
              </w:rPr>
              <w:t>ÉRIC HARDY, J.A.</w:t>
            </w:r>
          </w:p>
        </w:tc>
      </w:tr>
      <w:bookmarkEnd w:id="25"/>
      <w:tr w:rsidR="0067176C" w:rsidRPr="009A1394" w14:paraId="0322620D" w14:textId="77777777" w:rsidTr="001C3B07">
        <w:tc>
          <w:tcPr>
            <w:tcW w:w="9362" w:type="dxa"/>
            <w:gridSpan w:val="3"/>
            <w:tcBorders>
              <w:bottom w:val="nil"/>
            </w:tcBorders>
          </w:tcPr>
          <w:p w14:paraId="38F3FC4A" w14:textId="77777777" w:rsidR="005A78BF" w:rsidRPr="009A1394" w:rsidRDefault="005A78BF" w:rsidP="008170CE">
            <w:pPr>
              <w:spacing w:line="240" w:lineRule="auto"/>
              <w:rPr>
                <w:lang w:val="en-CA"/>
              </w:rPr>
            </w:pPr>
          </w:p>
        </w:tc>
      </w:tr>
      <w:tr w:rsidR="0067176C" w:rsidRPr="009A1394" w14:paraId="03C1D01F" w14:textId="77777777" w:rsidTr="001C3B07">
        <w:tc>
          <w:tcPr>
            <w:tcW w:w="9362" w:type="dxa"/>
            <w:gridSpan w:val="3"/>
            <w:tcBorders>
              <w:bottom w:val="nil"/>
            </w:tcBorders>
          </w:tcPr>
          <w:p w14:paraId="5EC9EE24" w14:textId="77777777" w:rsidR="004E69FF" w:rsidRPr="009A1394" w:rsidRDefault="004E69FF" w:rsidP="008170CE">
            <w:pPr>
              <w:spacing w:line="240" w:lineRule="auto"/>
              <w:rPr>
                <w:lang w:val="en-CA"/>
              </w:rPr>
            </w:pPr>
          </w:p>
        </w:tc>
      </w:tr>
      <w:tr w:rsidR="0067176C" w:rsidRPr="009A1394" w14:paraId="1318CE0F" w14:textId="77777777" w:rsidTr="001C3B07">
        <w:tc>
          <w:tcPr>
            <w:tcW w:w="9362" w:type="dxa"/>
            <w:gridSpan w:val="3"/>
            <w:tcBorders>
              <w:top w:val="nil"/>
            </w:tcBorders>
          </w:tcPr>
          <w:p w14:paraId="591844EB" w14:textId="0BBBE04A" w:rsidR="005A78BF" w:rsidRPr="009A1394" w:rsidRDefault="00B8103C" w:rsidP="008170CE">
            <w:pPr>
              <w:pStyle w:val="zSoquijdatNomProcureurDem"/>
              <w:spacing w:line="240" w:lineRule="auto"/>
              <w:rPr>
                <w:lang w:val="en-CA"/>
              </w:rPr>
            </w:pPr>
            <w:r w:rsidRPr="009A1394">
              <w:rPr>
                <w:lang w:val="en-CA"/>
              </w:rPr>
              <w:t>Mtre Ruth Alanna Arless-Frandsen</w:t>
            </w:r>
          </w:p>
        </w:tc>
      </w:tr>
      <w:tr w:rsidR="0067176C" w:rsidRPr="009A1394" w14:paraId="0C4C149C" w14:textId="77777777" w:rsidTr="001C3B07">
        <w:tc>
          <w:tcPr>
            <w:tcW w:w="9362" w:type="dxa"/>
            <w:gridSpan w:val="3"/>
            <w:tcBorders>
              <w:top w:val="nil"/>
            </w:tcBorders>
          </w:tcPr>
          <w:p w14:paraId="186C42D1" w14:textId="05CBDB07" w:rsidR="001C3B07" w:rsidRPr="009A1394" w:rsidRDefault="00B8103C" w:rsidP="008170CE">
            <w:pPr>
              <w:pStyle w:val="zSoquijdatNomProcureurDem"/>
              <w:spacing w:line="240" w:lineRule="auto"/>
              <w:rPr>
                <w:lang w:val="en-CA"/>
              </w:rPr>
            </w:pPr>
            <w:r w:rsidRPr="009A1394">
              <w:rPr>
                <w:lang w:val="en-CA"/>
              </w:rPr>
              <w:t>Mtre Rosaire F. Arcand</w:t>
            </w:r>
          </w:p>
        </w:tc>
      </w:tr>
      <w:tr w:rsidR="0067176C" w:rsidRPr="009A1394" w14:paraId="271189AB" w14:textId="77777777" w:rsidTr="00423DF1">
        <w:tc>
          <w:tcPr>
            <w:tcW w:w="9362" w:type="dxa"/>
            <w:gridSpan w:val="3"/>
          </w:tcPr>
          <w:p w14:paraId="39A5C208" w14:textId="6DD6F2A4" w:rsidR="005A78BF" w:rsidRPr="009A1394" w:rsidRDefault="00B8103C" w:rsidP="008170CE">
            <w:pPr>
              <w:pStyle w:val="zSoquijdatCabinetProcureurDem"/>
              <w:spacing w:line="240" w:lineRule="auto"/>
              <w:rPr>
                <w:smallCaps/>
                <w:lang w:val="en-CA"/>
              </w:rPr>
            </w:pPr>
            <w:r w:rsidRPr="009A1394">
              <w:rPr>
                <w:smallCaps/>
                <w:lang w:val="en-CA"/>
              </w:rPr>
              <w:t>Bernard, Roy (Justice-Québec)</w:t>
            </w:r>
          </w:p>
        </w:tc>
      </w:tr>
      <w:tr w:rsidR="0067176C" w:rsidRPr="009A1394" w14:paraId="034D7D94" w14:textId="77777777" w:rsidTr="00423DF1">
        <w:tc>
          <w:tcPr>
            <w:tcW w:w="9362" w:type="dxa"/>
            <w:gridSpan w:val="3"/>
          </w:tcPr>
          <w:p w14:paraId="66DB3A03" w14:textId="0342EAC2" w:rsidR="005A78BF" w:rsidRPr="009A1394" w:rsidRDefault="00B8103C" w:rsidP="008170CE">
            <w:pPr>
              <w:pStyle w:val="zSoquijlblProcureurDem"/>
              <w:spacing w:line="240" w:lineRule="auto"/>
              <w:rPr>
                <w:lang w:val="en-CA"/>
              </w:rPr>
            </w:pPr>
            <w:r w:rsidRPr="009A1394">
              <w:rPr>
                <w:lang w:val="en-CA"/>
              </w:rPr>
              <w:t>For the Attorney General of Quebec</w:t>
            </w:r>
          </w:p>
        </w:tc>
      </w:tr>
      <w:tr w:rsidR="0067176C" w:rsidRPr="009A1394" w14:paraId="34BAF907" w14:textId="77777777" w:rsidTr="00423DF1">
        <w:tc>
          <w:tcPr>
            <w:tcW w:w="9362" w:type="dxa"/>
            <w:gridSpan w:val="3"/>
          </w:tcPr>
          <w:p w14:paraId="4ED74D3D" w14:textId="77777777" w:rsidR="005A78BF" w:rsidRPr="009A1394" w:rsidRDefault="005A78BF" w:rsidP="008170CE">
            <w:pPr>
              <w:spacing w:line="240" w:lineRule="auto"/>
              <w:rPr>
                <w:lang w:val="en-CA"/>
              </w:rPr>
            </w:pPr>
          </w:p>
        </w:tc>
      </w:tr>
      <w:tr w:rsidR="0067176C" w:rsidRPr="009A1394" w14:paraId="1C83C201" w14:textId="77777777" w:rsidTr="00662279">
        <w:tc>
          <w:tcPr>
            <w:tcW w:w="9362" w:type="dxa"/>
            <w:gridSpan w:val="3"/>
            <w:tcBorders>
              <w:top w:val="nil"/>
            </w:tcBorders>
          </w:tcPr>
          <w:p w14:paraId="502E551B" w14:textId="39BF439E" w:rsidR="0022079C" w:rsidRPr="009A1394" w:rsidRDefault="00B8103C" w:rsidP="008170CE">
            <w:pPr>
              <w:pStyle w:val="zSoquijdatNomProcureurDef"/>
              <w:spacing w:line="240" w:lineRule="auto"/>
              <w:rPr>
                <w:lang w:val="en-CA"/>
              </w:rPr>
            </w:pPr>
            <w:r w:rsidRPr="009A1394">
              <w:rPr>
                <w:lang w:val="en-CA"/>
              </w:rPr>
              <w:t>Mtre Guy J. Pratte</w:t>
            </w:r>
          </w:p>
        </w:tc>
      </w:tr>
      <w:tr w:rsidR="0067176C" w:rsidRPr="009A1394" w14:paraId="41C06DFD" w14:textId="77777777" w:rsidTr="00662279">
        <w:tc>
          <w:tcPr>
            <w:tcW w:w="9362" w:type="dxa"/>
            <w:gridSpan w:val="3"/>
          </w:tcPr>
          <w:p w14:paraId="05B66800" w14:textId="6955BADE" w:rsidR="0022079C" w:rsidRPr="009A1394" w:rsidRDefault="00B8103C" w:rsidP="008170CE">
            <w:pPr>
              <w:pStyle w:val="zSoquijdatNomProcureurDef"/>
              <w:spacing w:line="240" w:lineRule="auto"/>
              <w:rPr>
                <w:lang w:val="en-CA"/>
              </w:rPr>
            </w:pPr>
            <w:r w:rsidRPr="009A1394">
              <w:rPr>
                <w:lang w:val="en-CA"/>
              </w:rPr>
              <w:t>Mtre Kirsten T. Crain</w:t>
            </w:r>
          </w:p>
        </w:tc>
      </w:tr>
      <w:tr w:rsidR="0067176C" w:rsidRPr="009A1394" w14:paraId="09A21D59" w14:textId="77777777" w:rsidTr="00662279">
        <w:tc>
          <w:tcPr>
            <w:tcW w:w="9362" w:type="dxa"/>
            <w:gridSpan w:val="3"/>
          </w:tcPr>
          <w:p w14:paraId="0E486046" w14:textId="1C67C9DF" w:rsidR="0022079C" w:rsidRPr="009A1394" w:rsidRDefault="00B8103C" w:rsidP="008170CE">
            <w:pPr>
              <w:pStyle w:val="zSoquijdatNomProcureurDef"/>
              <w:spacing w:line="240" w:lineRule="auto"/>
              <w:rPr>
                <w:lang w:val="en-CA"/>
              </w:rPr>
            </w:pPr>
            <w:r w:rsidRPr="009A1394">
              <w:rPr>
                <w:lang w:val="en-CA"/>
              </w:rPr>
              <w:t>Mtre Patrick Plante</w:t>
            </w:r>
          </w:p>
        </w:tc>
      </w:tr>
      <w:tr w:rsidR="0067176C" w:rsidRPr="009A1394" w14:paraId="29BC87D9" w14:textId="77777777" w:rsidTr="00662279">
        <w:tc>
          <w:tcPr>
            <w:tcW w:w="9362" w:type="dxa"/>
            <w:gridSpan w:val="3"/>
          </w:tcPr>
          <w:p w14:paraId="48DB8CFC" w14:textId="6C16A3AD" w:rsidR="0022079C" w:rsidRPr="009A1394" w:rsidRDefault="00B8103C" w:rsidP="008170CE">
            <w:pPr>
              <w:pStyle w:val="zSoquijdatNomProcureurDef"/>
              <w:spacing w:line="240" w:lineRule="auto"/>
              <w:rPr>
                <w:lang w:val="en-CA"/>
              </w:rPr>
            </w:pPr>
            <w:r w:rsidRPr="009A1394">
              <w:rPr>
                <w:lang w:val="en-CA"/>
              </w:rPr>
              <w:t>Mtre François Grondin, Ad.</w:t>
            </w:r>
            <w:r w:rsidR="008161A3" w:rsidRPr="009A1394">
              <w:rPr>
                <w:lang w:val="en-CA"/>
              </w:rPr>
              <w:t xml:space="preserve"> </w:t>
            </w:r>
            <w:r w:rsidRPr="009A1394">
              <w:rPr>
                <w:lang w:val="en-CA"/>
              </w:rPr>
              <w:t>E</w:t>
            </w:r>
          </w:p>
        </w:tc>
      </w:tr>
      <w:tr w:rsidR="0067176C" w:rsidRPr="009A1394" w14:paraId="4FBD1B5B" w14:textId="77777777" w:rsidTr="00662279">
        <w:tc>
          <w:tcPr>
            <w:tcW w:w="9362" w:type="dxa"/>
            <w:gridSpan w:val="3"/>
          </w:tcPr>
          <w:p w14:paraId="1640D1CB" w14:textId="41DA6FDD" w:rsidR="0022079C" w:rsidRPr="009A1394" w:rsidRDefault="00B8103C" w:rsidP="008170CE">
            <w:pPr>
              <w:pStyle w:val="zSoquijdatNomProcureurDef"/>
              <w:spacing w:line="240" w:lineRule="auto"/>
              <w:rPr>
                <w:lang w:val="en-CA"/>
              </w:rPr>
            </w:pPr>
            <w:r w:rsidRPr="009A1394">
              <w:rPr>
                <w:lang w:val="en-CA"/>
              </w:rPr>
              <w:t>Mtre Maude Lamoureux-Bisson</w:t>
            </w:r>
          </w:p>
        </w:tc>
      </w:tr>
      <w:tr w:rsidR="0067176C" w:rsidRPr="009A1394" w14:paraId="3B7457DD" w14:textId="77777777" w:rsidTr="00662279">
        <w:tc>
          <w:tcPr>
            <w:tcW w:w="9362" w:type="dxa"/>
            <w:gridSpan w:val="3"/>
          </w:tcPr>
          <w:p w14:paraId="361414F2" w14:textId="18536D6D" w:rsidR="0022079C" w:rsidRPr="009A1394" w:rsidRDefault="00B8103C" w:rsidP="008170CE">
            <w:pPr>
              <w:pStyle w:val="zSoquijdatNomProcureurDef"/>
              <w:spacing w:line="240" w:lineRule="auto"/>
              <w:rPr>
                <w:lang w:val="en-CA"/>
              </w:rPr>
            </w:pPr>
            <w:r w:rsidRPr="009A1394">
              <w:rPr>
                <w:lang w:val="en-CA"/>
              </w:rPr>
              <w:t>Mtre Antoine Gamache</w:t>
            </w:r>
          </w:p>
        </w:tc>
      </w:tr>
      <w:tr w:rsidR="0067176C" w:rsidRPr="009A1394" w14:paraId="425FC88B" w14:textId="77777777" w:rsidTr="00662279">
        <w:tc>
          <w:tcPr>
            <w:tcW w:w="9362" w:type="dxa"/>
            <w:gridSpan w:val="3"/>
          </w:tcPr>
          <w:p w14:paraId="24CF5E42" w14:textId="4B949A6A" w:rsidR="0022079C" w:rsidRPr="009A1394" w:rsidRDefault="00B8103C" w:rsidP="008170CE">
            <w:pPr>
              <w:pStyle w:val="zSoquijdatCabinetProcureurDef"/>
              <w:spacing w:line="240" w:lineRule="auto"/>
              <w:rPr>
                <w:smallCaps/>
                <w:lang w:val="en-CA"/>
              </w:rPr>
            </w:pPr>
            <w:r w:rsidRPr="009A1394">
              <w:rPr>
                <w:smallCaps/>
                <w:lang w:val="en-CA"/>
              </w:rPr>
              <w:t>Borden Ladner Gervais</w:t>
            </w:r>
          </w:p>
        </w:tc>
      </w:tr>
      <w:tr w:rsidR="0067176C" w:rsidRPr="009A1394" w14:paraId="002028C6" w14:textId="77777777" w:rsidTr="00662279">
        <w:tc>
          <w:tcPr>
            <w:tcW w:w="9362" w:type="dxa"/>
            <w:gridSpan w:val="3"/>
          </w:tcPr>
          <w:p w14:paraId="6F9D49AB" w14:textId="4681E5CA" w:rsidR="0022079C" w:rsidRPr="009A1394" w:rsidRDefault="00B8103C" w:rsidP="008170CE">
            <w:pPr>
              <w:pStyle w:val="zSoquijlblProcureurDef"/>
              <w:spacing w:line="240" w:lineRule="auto"/>
              <w:rPr>
                <w:lang w:val="en-CA"/>
              </w:rPr>
            </w:pPr>
            <w:r w:rsidRPr="009A1394">
              <w:rPr>
                <w:lang w:val="en-CA"/>
              </w:rPr>
              <w:t xml:space="preserve">For </w:t>
            </w:r>
            <w:r w:rsidR="00265868" w:rsidRPr="009A1394">
              <w:rPr>
                <w:lang w:val="en-CA"/>
              </w:rPr>
              <w:t>Canadian Pacific Railway Company</w:t>
            </w:r>
          </w:p>
        </w:tc>
      </w:tr>
      <w:tr w:rsidR="0067176C" w:rsidRPr="009A1394" w14:paraId="17EBE7F5" w14:textId="77777777" w:rsidTr="0023588C">
        <w:tc>
          <w:tcPr>
            <w:tcW w:w="9362" w:type="dxa"/>
            <w:gridSpan w:val="3"/>
            <w:tcBorders>
              <w:bottom w:val="nil"/>
            </w:tcBorders>
          </w:tcPr>
          <w:p w14:paraId="282E6BD7" w14:textId="77777777" w:rsidR="0022079C" w:rsidRPr="009A1394" w:rsidRDefault="0022079C" w:rsidP="008170CE">
            <w:pPr>
              <w:spacing w:line="240" w:lineRule="auto"/>
              <w:rPr>
                <w:lang w:val="en-CA"/>
              </w:rPr>
            </w:pPr>
          </w:p>
        </w:tc>
      </w:tr>
      <w:tr w:rsidR="0067176C" w:rsidRPr="009A1394" w14:paraId="32DB1F38" w14:textId="77777777" w:rsidTr="0023588C">
        <w:tc>
          <w:tcPr>
            <w:tcW w:w="9362" w:type="dxa"/>
            <w:gridSpan w:val="3"/>
            <w:tcBorders>
              <w:top w:val="nil"/>
            </w:tcBorders>
          </w:tcPr>
          <w:p w14:paraId="03F04030" w14:textId="43C02818" w:rsidR="005A78BF" w:rsidRPr="009A1394" w:rsidRDefault="00B8103C" w:rsidP="008170CE">
            <w:pPr>
              <w:pStyle w:val="zSoquijdatNomProcureurDef"/>
              <w:spacing w:line="240" w:lineRule="auto"/>
              <w:rPr>
                <w:lang w:val="en-CA"/>
              </w:rPr>
            </w:pPr>
            <w:r w:rsidRPr="009A1394">
              <w:rPr>
                <w:lang w:val="en-CA"/>
              </w:rPr>
              <w:lastRenderedPageBreak/>
              <w:t>Mtre Nathalie Dubé</w:t>
            </w:r>
          </w:p>
        </w:tc>
      </w:tr>
      <w:tr w:rsidR="0067176C" w:rsidRPr="009A1394" w14:paraId="09806D25" w14:textId="77777777" w:rsidTr="0023588C">
        <w:tc>
          <w:tcPr>
            <w:tcW w:w="9362" w:type="dxa"/>
            <w:gridSpan w:val="3"/>
            <w:tcBorders>
              <w:top w:val="nil"/>
            </w:tcBorders>
          </w:tcPr>
          <w:p w14:paraId="6136AC64" w14:textId="49048AE5" w:rsidR="001C3B07" w:rsidRPr="009A1394" w:rsidRDefault="00B8103C" w:rsidP="008170CE">
            <w:pPr>
              <w:pStyle w:val="zSoquijdatNomProcureurDef"/>
              <w:spacing w:line="240" w:lineRule="auto"/>
              <w:rPr>
                <w:lang w:val="en-CA"/>
              </w:rPr>
            </w:pPr>
            <w:r w:rsidRPr="009A1394">
              <w:rPr>
                <w:lang w:val="en-CA"/>
              </w:rPr>
              <w:t>Mtre Louis Michel Huart</w:t>
            </w:r>
          </w:p>
        </w:tc>
      </w:tr>
      <w:tr w:rsidR="0067176C" w:rsidRPr="009A1394" w14:paraId="6DD3DAE8" w14:textId="77777777" w:rsidTr="0023588C">
        <w:tc>
          <w:tcPr>
            <w:tcW w:w="9362" w:type="dxa"/>
            <w:gridSpan w:val="3"/>
            <w:tcBorders>
              <w:top w:val="nil"/>
            </w:tcBorders>
          </w:tcPr>
          <w:p w14:paraId="1B498083" w14:textId="225522F0" w:rsidR="005A78BF" w:rsidRPr="009A1394" w:rsidRDefault="00B8103C" w:rsidP="008170CE">
            <w:pPr>
              <w:pStyle w:val="zSoquijdatCabinetProcureurDef"/>
              <w:spacing w:line="240" w:lineRule="auto"/>
              <w:rPr>
                <w:smallCaps/>
                <w:lang w:val="en-CA"/>
              </w:rPr>
            </w:pPr>
            <w:r w:rsidRPr="009A1394">
              <w:rPr>
                <w:smallCaps/>
                <w:lang w:val="en-CA"/>
              </w:rPr>
              <w:t>Langlois Lawyers</w:t>
            </w:r>
          </w:p>
        </w:tc>
      </w:tr>
      <w:tr w:rsidR="0067176C" w:rsidRPr="009A1394" w14:paraId="5B97A7B1" w14:textId="77777777" w:rsidTr="00234BB4">
        <w:trPr>
          <w:trHeight w:val="1110"/>
        </w:trPr>
        <w:tc>
          <w:tcPr>
            <w:tcW w:w="9362" w:type="dxa"/>
            <w:gridSpan w:val="3"/>
          </w:tcPr>
          <w:p w14:paraId="7381F4C2" w14:textId="732003C4" w:rsidR="00234BB4" w:rsidRPr="009A1394" w:rsidRDefault="00B8103C" w:rsidP="00234BB4">
            <w:pPr>
              <w:pStyle w:val="zSoquijlblProcureurDef"/>
              <w:spacing w:line="240" w:lineRule="auto"/>
              <w:jc w:val="both"/>
              <w:rPr>
                <w:lang w:val="en-CA"/>
              </w:rPr>
            </w:pPr>
            <w:r w:rsidRPr="009A1394">
              <w:rPr>
                <w:lang w:val="en-CA"/>
              </w:rPr>
              <w:t xml:space="preserve">For Promutuel Centre Sud, L’Unique assurances générales inc., </w:t>
            </w:r>
            <w:r w:rsidR="00B76847" w:rsidRPr="009A1394">
              <w:rPr>
                <w:lang w:val="en-CA"/>
              </w:rPr>
              <w:t>Beneva Insurance Company, formerly La Capitale General Insurance Inc.</w:t>
            </w:r>
            <w:r w:rsidRPr="009A1394">
              <w:rPr>
                <w:lang w:val="en-CA"/>
              </w:rPr>
              <w:t xml:space="preserve">, Intact </w:t>
            </w:r>
            <w:r w:rsidR="00E545E9" w:rsidRPr="009A1394">
              <w:rPr>
                <w:lang w:val="en-CA"/>
              </w:rPr>
              <w:t>Insurance</w:t>
            </w:r>
            <w:r w:rsidRPr="009A1394">
              <w:rPr>
                <w:lang w:val="en-CA"/>
              </w:rPr>
              <w:t>, B</w:t>
            </w:r>
            <w:r w:rsidR="00E545E9" w:rsidRPr="009A1394">
              <w:rPr>
                <w:lang w:val="en-CA"/>
              </w:rPr>
              <w:t>e</w:t>
            </w:r>
            <w:r w:rsidRPr="009A1394">
              <w:rPr>
                <w:lang w:val="en-CA"/>
              </w:rPr>
              <w:t>lair</w:t>
            </w:r>
            <w:r w:rsidR="00E545E9" w:rsidRPr="009A1394">
              <w:rPr>
                <w:lang w:val="en-CA"/>
              </w:rPr>
              <w:t xml:space="preserve"> Insurance Company</w:t>
            </w:r>
            <w:r w:rsidRPr="009A1394">
              <w:rPr>
                <w:lang w:val="en-CA"/>
              </w:rPr>
              <w:t xml:space="preserve"> </w:t>
            </w:r>
            <w:r w:rsidR="00E545E9" w:rsidRPr="009A1394">
              <w:rPr>
                <w:lang w:val="en-CA"/>
              </w:rPr>
              <w:t>I</w:t>
            </w:r>
            <w:r w:rsidRPr="009A1394">
              <w:rPr>
                <w:lang w:val="en-CA"/>
              </w:rPr>
              <w:t xml:space="preserve">nc. </w:t>
            </w:r>
            <w:r w:rsidR="00E545E9" w:rsidRPr="009A1394">
              <w:rPr>
                <w:lang w:val="en-CA"/>
              </w:rPr>
              <w:t>and</w:t>
            </w:r>
            <w:r w:rsidRPr="009A1394">
              <w:rPr>
                <w:lang w:val="en-CA"/>
              </w:rPr>
              <w:t xml:space="preserve"> Intact </w:t>
            </w:r>
            <w:r w:rsidR="00E545E9" w:rsidRPr="009A1394">
              <w:rPr>
                <w:lang w:val="en-CA"/>
              </w:rPr>
              <w:t>Insurance</w:t>
            </w:r>
            <w:r w:rsidRPr="009A1394">
              <w:rPr>
                <w:lang w:val="en-CA"/>
              </w:rPr>
              <w:t xml:space="preserve">, </w:t>
            </w:r>
            <w:r w:rsidR="00637064" w:rsidRPr="009A1394">
              <w:rPr>
                <w:lang w:val="en-CA"/>
              </w:rPr>
              <w:t>in continuance of proceedings for</w:t>
            </w:r>
            <w:r w:rsidRPr="009A1394">
              <w:rPr>
                <w:lang w:val="en-CA"/>
              </w:rPr>
              <w:t xml:space="preserve"> </w:t>
            </w:r>
            <w:r w:rsidR="00E545E9" w:rsidRPr="009A1394">
              <w:rPr>
                <w:lang w:val="en-CA"/>
              </w:rPr>
              <w:t>The Guarantee Company of North America</w:t>
            </w:r>
          </w:p>
        </w:tc>
      </w:tr>
      <w:tr w:rsidR="0067176C" w:rsidRPr="009A1394" w14:paraId="58124B4E" w14:textId="77777777" w:rsidTr="00136AEF">
        <w:tc>
          <w:tcPr>
            <w:tcW w:w="9362" w:type="dxa"/>
            <w:gridSpan w:val="3"/>
            <w:tcBorders>
              <w:top w:val="nil"/>
              <w:bottom w:val="nil"/>
            </w:tcBorders>
          </w:tcPr>
          <w:p w14:paraId="61F6E73F" w14:textId="77777777" w:rsidR="0057175A" w:rsidRPr="009A1394" w:rsidRDefault="0057175A" w:rsidP="008170CE">
            <w:pPr>
              <w:spacing w:line="240" w:lineRule="auto"/>
              <w:rPr>
                <w:lang w:val="en-CA"/>
              </w:rPr>
            </w:pPr>
          </w:p>
        </w:tc>
      </w:tr>
      <w:tr w:rsidR="0067176C" w:rsidRPr="009A1394" w14:paraId="34C82E6D" w14:textId="77777777" w:rsidTr="003C0218">
        <w:tc>
          <w:tcPr>
            <w:tcW w:w="9362" w:type="dxa"/>
            <w:gridSpan w:val="3"/>
            <w:tcBorders>
              <w:top w:val="nil"/>
            </w:tcBorders>
          </w:tcPr>
          <w:p w14:paraId="50DFCCFF" w14:textId="5034ADD8" w:rsidR="0057175A" w:rsidRPr="009A1394" w:rsidRDefault="00B8103C" w:rsidP="004E69FF">
            <w:pPr>
              <w:pStyle w:val="zSoquijdatNomProcureurDef"/>
              <w:spacing w:line="240" w:lineRule="auto"/>
              <w:rPr>
                <w:lang w:val="en-CA"/>
              </w:rPr>
            </w:pPr>
            <w:r w:rsidRPr="009A1394">
              <w:rPr>
                <w:lang w:val="en-CA"/>
              </w:rPr>
              <w:t>Mtre Daniel E. Larochelle</w:t>
            </w:r>
          </w:p>
        </w:tc>
      </w:tr>
      <w:tr w:rsidR="0067176C" w:rsidRPr="009A1394" w14:paraId="54024BD2" w14:textId="77777777" w:rsidTr="00423DF1">
        <w:tc>
          <w:tcPr>
            <w:tcW w:w="9362" w:type="dxa"/>
            <w:gridSpan w:val="3"/>
          </w:tcPr>
          <w:p w14:paraId="7EA9D2A0" w14:textId="246BAD06" w:rsidR="0057175A" w:rsidRPr="009A1394" w:rsidRDefault="00B8103C" w:rsidP="004E69FF">
            <w:pPr>
              <w:pStyle w:val="zSoquijdatCabinetProcureurDef"/>
              <w:spacing w:line="240" w:lineRule="auto"/>
              <w:rPr>
                <w:smallCaps/>
                <w:lang w:val="en-CA"/>
              </w:rPr>
            </w:pPr>
            <w:r w:rsidRPr="009A1394">
              <w:rPr>
                <w:smallCaps/>
                <w:lang w:val="en-CA"/>
              </w:rPr>
              <w:t>Daniel E. Larochelle L.L.B. Avocat inc.</w:t>
            </w:r>
          </w:p>
        </w:tc>
      </w:tr>
      <w:tr w:rsidR="0067176C" w:rsidRPr="009A1394" w14:paraId="6A02597B" w14:textId="77777777" w:rsidTr="00423DF1">
        <w:tc>
          <w:tcPr>
            <w:tcW w:w="9362" w:type="dxa"/>
            <w:gridSpan w:val="3"/>
          </w:tcPr>
          <w:p w14:paraId="7F57E53D" w14:textId="20C80969" w:rsidR="0057175A" w:rsidRPr="009A1394" w:rsidRDefault="00B8103C" w:rsidP="004E69FF">
            <w:pPr>
              <w:pStyle w:val="zSoquijdatCabinetProcureurDef"/>
              <w:spacing w:line="240" w:lineRule="auto"/>
              <w:rPr>
                <w:lang w:val="en-CA"/>
              </w:rPr>
            </w:pPr>
            <w:r w:rsidRPr="009A1394">
              <w:rPr>
                <w:lang w:val="en-CA"/>
              </w:rPr>
              <w:t>Mtre Joel Rochon</w:t>
            </w:r>
          </w:p>
        </w:tc>
      </w:tr>
      <w:tr w:rsidR="0067176C" w:rsidRPr="009A1394" w14:paraId="5A6311BC" w14:textId="77777777" w:rsidTr="00423DF1">
        <w:tc>
          <w:tcPr>
            <w:tcW w:w="9362" w:type="dxa"/>
            <w:gridSpan w:val="3"/>
          </w:tcPr>
          <w:p w14:paraId="25F8F1DA" w14:textId="4F9B89F3" w:rsidR="0057175A" w:rsidRPr="009A1394" w:rsidRDefault="00B8103C" w:rsidP="004E69FF">
            <w:pPr>
              <w:pStyle w:val="zSoquijdatCabinetProcureurDef"/>
              <w:spacing w:line="240" w:lineRule="auto"/>
              <w:rPr>
                <w:lang w:val="en-CA"/>
              </w:rPr>
            </w:pPr>
            <w:r w:rsidRPr="009A1394">
              <w:rPr>
                <w:lang w:val="en-CA"/>
              </w:rPr>
              <w:t>Mtre Ron Podolny</w:t>
            </w:r>
          </w:p>
        </w:tc>
      </w:tr>
      <w:tr w:rsidR="0067176C" w:rsidRPr="009A1394" w14:paraId="2A3E73C4" w14:textId="77777777" w:rsidTr="007568E3">
        <w:tc>
          <w:tcPr>
            <w:tcW w:w="9362" w:type="dxa"/>
            <w:gridSpan w:val="3"/>
            <w:tcBorders>
              <w:bottom w:val="nil"/>
            </w:tcBorders>
          </w:tcPr>
          <w:p w14:paraId="77238F54" w14:textId="5AB9B9E5" w:rsidR="0057175A" w:rsidRPr="009A1394" w:rsidRDefault="00B8103C" w:rsidP="004E69FF">
            <w:pPr>
              <w:pStyle w:val="zSoquijlblProcureurDef"/>
              <w:keepNext/>
              <w:spacing w:line="240" w:lineRule="auto"/>
              <w:rPr>
                <w:smallCaps/>
                <w:lang w:val="en-CA"/>
              </w:rPr>
            </w:pPr>
            <w:r w:rsidRPr="009A1394">
              <w:rPr>
                <w:smallCaps/>
                <w:lang w:val="en-CA"/>
              </w:rPr>
              <w:t>Rochon Genova</w:t>
            </w:r>
          </w:p>
        </w:tc>
      </w:tr>
      <w:tr w:rsidR="0067176C" w:rsidRPr="009A1394" w14:paraId="104E8D4D" w14:textId="77777777" w:rsidTr="00EB0ACC">
        <w:tc>
          <w:tcPr>
            <w:tcW w:w="9362" w:type="dxa"/>
            <w:gridSpan w:val="3"/>
            <w:tcBorders>
              <w:top w:val="nil"/>
              <w:bottom w:val="nil"/>
            </w:tcBorders>
          </w:tcPr>
          <w:p w14:paraId="18A1BFFA" w14:textId="1CC2DB28" w:rsidR="0057175A" w:rsidRPr="009A1394" w:rsidRDefault="00B8103C" w:rsidP="004E69FF">
            <w:pPr>
              <w:pStyle w:val="zSoquijlblProcureurDef"/>
              <w:keepNext/>
              <w:spacing w:line="240" w:lineRule="auto"/>
              <w:rPr>
                <w:lang w:val="en-CA"/>
              </w:rPr>
            </w:pPr>
            <w:r w:rsidRPr="009A1394">
              <w:rPr>
                <w:lang w:val="en-CA"/>
              </w:rPr>
              <w:t>For Guy Ouellet, Serge Jacques and Louis-Serges Parent</w:t>
            </w:r>
          </w:p>
        </w:tc>
      </w:tr>
      <w:tr w:rsidR="0067176C" w:rsidRPr="009A1394" w14:paraId="2A936867" w14:textId="77777777" w:rsidTr="00EB0ACC">
        <w:tc>
          <w:tcPr>
            <w:tcW w:w="9362" w:type="dxa"/>
            <w:gridSpan w:val="3"/>
            <w:tcBorders>
              <w:top w:val="nil"/>
              <w:bottom w:val="nil"/>
            </w:tcBorders>
          </w:tcPr>
          <w:p w14:paraId="51DD1C4C" w14:textId="77777777" w:rsidR="0057175A" w:rsidRPr="009A1394" w:rsidRDefault="0057175A" w:rsidP="004E69FF">
            <w:pPr>
              <w:keepNext/>
              <w:spacing w:line="240" w:lineRule="auto"/>
              <w:rPr>
                <w:lang w:val="en-CA"/>
              </w:rPr>
            </w:pPr>
          </w:p>
        </w:tc>
      </w:tr>
      <w:tr w:rsidR="0067176C" w:rsidRPr="009A1394" w14:paraId="61F86E2B" w14:textId="77777777" w:rsidTr="00423DF1">
        <w:tc>
          <w:tcPr>
            <w:tcW w:w="1997" w:type="dxa"/>
          </w:tcPr>
          <w:p w14:paraId="3AED7E56" w14:textId="10F2ED3B" w:rsidR="005A78BF" w:rsidRPr="009A1394" w:rsidRDefault="00B8103C" w:rsidP="004E69FF">
            <w:pPr>
              <w:pStyle w:val="zSoquijlblDateAudience"/>
              <w:keepNext/>
              <w:spacing w:line="240" w:lineRule="auto"/>
              <w:rPr>
                <w:lang w:val="en-CA"/>
              </w:rPr>
            </w:pPr>
            <w:r w:rsidRPr="009A1394">
              <w:rPr>
                <w:lang w:val="en-CA"/>
              </w:rPr>
              <w:t>Dates of hearing:</w:t>
            </w:r>
          </w:p>
        </w:tc>
        <w:tc>
          <w:tcPr>
            <w:tcW w:w="7365" w:type="dxa"/>
            <w:gridSpan w:val="2"/>
          </w:tcPr>
          <w:p w14:paraId="44148328" w14:textId="22E2C8E6" w:rsidR="005A78BF" w:rsidRPr="009A1394" w:rsidRDefault="00B8103C" w:rsidP="004E69FF">
            <w:pPr>
              <w:pStyle w:val="zSoquijdatDateAudience"/>
              <w:keepNext/>
              <w:spacing w:line="240" w:lineRule="auto"/>
              <w:rPr>
                <w:lang w:val="en-CA"/>
              </w:rPr>
            </w:pPr>
            <w:r w:rsidRPr="009A1394">
              <w:rPr>
                <w:lang w:val="en-CA"/>
              </w:rPr>
              <w:t>October 7, 8, 9, and 10, 2024</w:t>
            </w:r>
          </w:p>
        </w:tc>
      </w:tr>
      <w:bookmarkEnd w:id="1"/>
    </w:tbl>
    <w:p w14:paraId="730C312A" w14:textId="77777777" w:rsidR="00803A1E" w:rsidRPr="009A1394" w:rsidRDefault="00803A1E" w:rsidP="00803A1E">
      <w:pPr>
        <w:tabs>
          <w:tab w:val="left" w:pos="1011"/>
        </w:tabs>
        <w:rPr>
          <w:lang w:val="en-CA"/>
        </w:rPr>
      </w:pPr>
    </w:p>
    <w:p w14:paraId="736C06B6" w14:textId="354A554F" w:rsidR="00803A1E" w:rsidRPr="009A1394" w:rsidRDefault="008161A3">
      <w:pPr>
        <w:spacing w:line="240" w:lineRule="auto"/>
        <w:rPr>
          <w:lang w:val="en-CA"/>
        </w:rPr>
      </w:pPr>
      <w:r w:rsidRPr="009A1394">
        <w:rPr>
          <w:lang w:val="en-CA"/>
        </w:rPr>
        <w:br w:type="page"/>
      </w:r>
    </w:p>
    <w:p w14:paraId="7FB79428" w14:textId="77777777" w:rsidR="00803A1E" w:rsidRPr="009A1394" w:rsidRDefault="00803A1E">
      <w:pPr>
        <w:rPr>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5"/>
      </w:tblGrid>
      <w:tr w:rsidR="0067176C" w:rsidRPr="009A1394" w14:paraId="7E4B9C60" w14:textId="77777777" w:rsidTr="002D0766">
        <w:tc>
          <w:tcPr>
            <w:tcW w:w="9352" w:type="dxa"/>
            <w:gridSpan w:val="2"/>
          </w:tcPr>
          <w:p w14:paraId="7D248D3F" w14:textId="099F39A9" w:rsidR="00257BF0" w:rsidRPr="009A1394" w:rsidRDefault="00B8103C" w:rsidP="002D0766">
            <w:pPr>
              <w:spacing w:before="120" w:after="120"/>
              <w:jc w:val="center"/>
              <w:rPr>
                <w:b/>
                <w:bCs/>
                <w:sz w:val="28"/>
                <w:szCs w:val="28"/>
                <w:lang w:val="en-CA"/>
              </w:rPr>
            </w:pPr>
            <w:r w:rsidRPr="009A1394">
              <w:rPr>
                <w:b/>
                <w:bCs/>
                <w:sz w:val="28"/>
                <w:szCs w:val="28"/>
                <w:lang w:val="en-CA"/>
              </w:rPr>
              <w:t>SCHEDULE</w:t>
            </w:r>
          </w:p>
        </w:tc>
      </w:tr>
      <w:tr w:rsidR="0067176C" w:rsidRPr="009A1394" w14:paraId="61A36204" w14:textId="77777777" w:rsidTr="002D0766">
        <w:tc>
          <w:tcPr>
            <w:tcW w:w="9352" w:type="dxa"/>
            <w:gridSpan w:val="2"/>
          </w:tcPr>
          <w:p w14:paraId="35BAFDB2" w14:textId="77777777" w:rsidR="00257BF0" w:rsidRPr="009A1394" w:rsidRDefault="00257BF0" w:rsidP="002D0766">
            <w:pPr>
              <w:spacing w:before="120" w:after="120"/>
              <w:jc w:val="center"/>
              <w:rPr>
                <w:lang w:val="en-CA"/>
              </w:rPr>
            </w:pPr>
          </w:p>
        </w:tc>
      </w:tr>
      <w:tr w:rsidR="0067176C" w:rsidRPr="009A1394" w14:paraId="5535E1D7" w14:textId="77777777" w:rsidTr="002D0766">
        <w:tc>
          <w:tcPr>
            <w:tcW w:w="9352" w:type="dxa"/>
            <w:gridSpan w:val="2"/>
          </w:tcPr>
          <w:p w14:paraId="53F410D0" w14:textId="41FD8906" w:rsidR="00257BF0" w:rsidRPr="009A1394" w:rsidRDefault="00B8103C" w:rsidP="002D0766">
            <w:pPr>
              <w:spacing w:before="120" w:after="120"/>
              <w:jc w:val="center"/>
              <w:rPr>
                <w:b/>
                <w:bCs/>
                <w:lang w:val="en-CA"/>
              </w:rPr>
            </w:pPr>
            <w:r w:rsidRPr="009A1394">
              <w:rPr>
                <w:b/>
                <w:bCs/>
                <w:lang w:val="en-CA"/>
              </w:rPr>
              <w:t>LIST OF ACRONYMS USED IN THIS JUDGMENT</w:t>
            </w:r>
          </w:p>
        </w:tc>
      </w:tr>
      <w:tr w:rsidR="0067176C" w:rsidRPr="009A1394" w14:paraId="3827CF99" w14:textId="77777777" w:rsidTr="002D0766">
        <w:tc>
          <w:tcPr>
            <w:tcW w:w="9352" w:type="dxa"/>
            <w:gridSpan w:val="2"/>
          </w:tcPr>
          <w:p w14:paraId="0F25CCA0" w14:textId="4921B901" w:rsidR="005B0A38" w:rsidRPr="009A1394" w:rsidRDefault="005B0A38" w:rsidP="005B0A38">
            <w:pPr>
              <w:spacing w:before="120" w:after="120"/>
              <w:rPr>
                <w:lang w:val="en-CA"/>
              </w:rPr>
            </w:pPr>
          </w:p>
        </w:tc>
      </w:tr>
      <w:tr w:rsidR="00AB1327" w:rsidRPr="009A1394" w14:paraId="3E92C1A8" w14:textId="77777777" w:rsidTr="003E7CC6">
        <w:tc>
          <w:tcPr>
            <w:tcW w:w="2127" w:type="dxa"/>
          </w:tcPr>
          <w:p w14:paraId="7EEE7D6A" w14:textId="7D7D690A" w:rsidR="00AB1327" w:rsidRPr="009A1394" w:rsidRDefault="00AB1327" w:rsidP="00AB1327">
            <w:pPr>
              <w:spacing w:before="120" w:after="120"/>
              <w:rPr>
                <w:lang w:val="en-CA"/>
              </w:rPr>
            </w:pPr>
            <w:r w:rsidRPr="009A1394">
              <w:rPr>
                <w:lang w:val="en-CA"/>
              </w:rPr>
              <w:t>AGQ:</w:t>
            </w:r>
          </w:p>
        </w:tc>
        <w:tc>
          <w:tcPr>
            <w:tcW w:w="7225" w:type="dxa"/>
          </w:tcPr>
          <w:p w14:paraId="1E4E5800" w14:textId="4F33AF40" w:rsidR="00AB1327" w:rsidRPr="009A1394" w:rsidRDefault="00AB1327" w:rsidP="00AB1327">
            <w:pPr>
              <w:spacing w:before="120" w:after="120"/>
              <w:rPr>
                <w:i/>
                <w:iCs/>
                <w:lang w:val="en-CA"/>
              </w:rPr>
            </w:pPr>
            <w:r w:rsidRPr="009A1394">
              <w:rPr>
                <w:lang w:val="en-CA"/>
              </w:rPr>
              <w:t>Attorney General of Quebec</w:t>
            </w:r>
          </w:p>
        </w:tc>
      </w:tr>
      <w:tr w:rsidR="0067176C" w:rsidRPr="009A1394" w14:paraId="6E3B8BD4" w14:textId="77777777" w:rsidTr="003E7CC6">
        <w:tc>
          <w:tcPr>
            <w:tcW w:w="2127" w:type="dxa"/>
          </w:tcPr>
          <w:p w14:paraId="6A53E045" w14:textId="2E3D65EC" w:rsidR="005B0A38" w:rsidRPr="009A1394" w:rsidRDefault="00B8103C" w:rsidP="005B0A38">
            <w:pPr>
              <w:spacing w:before="120" w:after="120"/>
              <w:rPr>
                <w:lang w:val="en-CA"/>
              </w:rPr>
            </w:pPr>
            <w:r w:rsidRPr="009A1394">
              <w:rPr>
                <w:lang w:val="en-CA"/>
              </w:rPr>
              <w:t>CCQ:</w:t>
            </w:r>
          </w:p>
        </w:tc>
        <w:tc>
          <w:tcPr>
            <w:tcW w:w="7225" w:type="dxa"/>
          </w:tcPr>
          <w:p w14:paraId="2ECFA00B" w14:textId="41516F2A" w:rsidR="005B0A38" w:rsidRPr="009A1394" w:rsidRDefault="00B8103C" w:rsidP="005B0A38">
            <w:pPr>
              <w:spacing w:before="120" w:after="120"/>
              <w:rPr>
                <w:i/>
                <w:iCs/>
                <w:lang w:val="en-CA"/>
              </w:rPr>
            </w:pPr>
            <w:r w:rsidRPr="009A1394">
              <w:rPr>
                <w:i/>
                <w:iCs/>
                <w:lang w:val="en-CA"/>
              </w:rPr>
              <w:t>Civil Code of Québec</w:t>
            </w:r>
          </w:p>
        </w:tc>
      </w:tr>
      <w:tr w:rsidR="0067176C" w:rsidRPr="009A1394" w14:paraId="1EFA427A" w14:textId="77777777" w:rsidTr="003E7CC6">
        <w:tc>
          <w:tcPr>
            <w:tcW w:w="2127" w:type="dxa"/>
          </w:tcPr>
          <w:p w14:paraId="169990A7" w14:textId="557612CA" w:rsidR="005B0A38" w:rsidRPr="009A1394" w:rsidRDefault="00B8103C" w:rsidP="005B0A38">
            <w:pPr>
              <w:spacing w:before="120" w:after="120"/>
              <w:rPr>
                <w:lang w:val="en-CA"/>
              </w:rPr>
            </w:pPr>
            <w:r w:rsidRPr="009A1394">
              <w:rPr>
                <w:lang w:val="en-CA"/>
              </w:rPr>
              <w:t>CN:</w:t>
            </w:r>
          </w:p>
        </w:tc>
        <w:tc>
          <w:tcPr>
            <w:tcW w:w="7225" w:type="dxa"/>
          </w:tcPr>
          <w:p w14:paraId="1C4F0833" w14:textId="179090C1" w:rsidR="005B0A38" w:rsidRPr="009A1394" w:rsidRDefault="00B8103C" w:rsidP="005B0A38">
            <w:pPr>
              <w:spacing w:before="120" w:after="120"/>
              <w:rPr>
                <w:lang w:val="en-CA"/>
              </w:rPr>
            </w:pPr>
            <w:r w:rsidRPr="009A1394">
              <w:rPr>
                <w:lang w:val="en-CA"/>
              </w:rPr>
              <w:t>Canadian National</w:t>
            </w:r>
          </w:p>
        </w:tc>
      </w:tr>
      <w:tr w:rsidR="0067176C" w:rsidRPr="009A1394" w14:paraId="2CBA9A51" w14:textId="77777777" w:rsidTr="003E7CC6">
        <w:tc>
          <w:tcPr>
            <w:tcW w:w="2127" w:type="dxa"/>
          </w:tcPr>
          <w:p w14:paraId="01D513C6" w14:textId="4C127425" w:rsidR="005B0A38" w:rsidRPr="009A1394" w:rsidRDefault="00B8103C" w:rsidP="00AB1327">
            <w:pPr>
              <w:spacing w:before="120" w:after="120"/>
              <w:rPr>
                <w:lang w:val="en-CA"/>
              </w:rPr>
            </w:pPr>
            <w:r w:rsidRPr="009A1394">
              <w:rPr>
                <w:lang w:val="en-CA"/>
              </w:rPr>
              <w:t>CP:</w:t>
            </w:r>
          </w:p>
        </w:tc>
        <w:tc>
          <w:tcPr>
            <w:tcW w:w="7225" w:type="dxa"/>
          </w:tcPr>
          <w:p w14:paraId="6664310D" w14:textId="4E3F7501" w:rsidR="005B0A38" w:rsidRPr="009A1394" w:rsidRDefault="00B8103C" w:rsidP="00AB1327">
            <w:pPr>
              <w:spacing w:before="120" w:after="120"/>
              <w:rPr>
                <w:lang w:val="en-CA"/>
              </w:rPr>
            </w:pPr>
            <w:r w:rsidRPr="009A1394">
              <w:rPr>
                <w:lang w:val="en-CA"/>
              </w:rPr>
              <w:t>Canadian Pacific Railway Company</w:t>
            </w:r>
          </w:p>
        </w:tc>
      </w:tr>
      <w:tr w:rsidR="00AB1327" w:rsidRPr="009A1394" w14:paraId="7403DDB9" w14:textId="77777777" w:rsidTr="003E7CC6">
        <w:tc>
          <w:tcPr>
            <w:tcW w:w="2127" w:type="dxa"/>
          </w:tcPr>
          <w:p w14:paraId="7318B5B0" w14:textId="7BF49047" w:rsidR="00AB1327" w:rsidRPr="009A1394" w:rsidRDefault="00AB1327" w:rsidP="00AB1327">
            <w:pPr>
              <w:spacing w:before="120" w:after="120"/>
              <w:rPr>
                <w:lang w:val="en-CA"/>
              </w:rPr>
            </w:pPr>
            <w:r w:rsidRPr="009A1394">
              <w:rPr>
                <w:lang w:val="en-CA"/>
              </w:rPr>
              <w:t>CTA:</w:t>
            </w:r>
          </w:p>
        </w:tc>
        <w:tc>
          <w:tcPr>
            <w:tcW w:w="7225" w:type="dxa"/>
          </w:tcPr>
          <w:p w14:paraId="15FF08DE" w14:textId="704FF92A" w:rsidR="00AB1327" w:rsidRPr="009A1394" w:rsidRDefault="00AB1327" w:rsidP="00AB1327">
            <w:pPr>
              <w:spacing w:before="120" w:after="120"/>
              <w:rPr>
                <w:lang w:val="en-CA"/>
              </w:rPr>
            </w:pPr>
            <w:r w:rsidRPr="009A1394">
              <w:rPr>
                <w:lang w:val="en-CA"/>
              </w:rPr>
              <w:t>Canadian Transportation Agency</w:t>
            </w:r>
          </w:p>
        </w:tc>
      </w:tr>
      <w:tr w:rsidR="0067176C" w:rsidRPr="009A1394" w14:paraId="2EE6D9E0" w14:textId="77777777" w:rsidTr="003E7CC6">
        <w:tc>
          <w:tcPr>
            <w:tcW w:w="2127" w:type="dxa"/>
          </w:tcPr>
          <w:p w14:paraId="0DBED0B3" w14:textId="15B14372" w:rsidR="005B0A38" w:rsidRPr="009A1394" w:rsidRDefault="00B8103C" w:rsidP="005B0A38">
            <w:pPr>
              <w:spacing w:before="120" w:after="120"/>
              <w:rPr>
                <w:lang w:val="en-CA"/>
              </w:rPr>
            </w:pPr>
            <w:r w:rsidRPr="009A1394">
              <w:rPr>
                <w:lang w:val="en-CA"/>
              </w:rPr>
              <w:t>MMA:</w:t>
            </w:r>
          </w:p>
        </w:tc>
        <w:tc>
          <w:tcPr>
            <w:tcW w:w="7225" w:type="dxa"/>
          </w:tcPr>
          <w:p w14:paraId="6C590A23" w14:textId="47323E86" w:rsidR="005B0A38" w:rsidRPr="009A1394" w:rsidRDefault="00B8103C" w:rsidP="005B0A38">
            <w:pPr>
              <w:spacing w:before="120" w:after="120"/>
              <w:rPr>
                <w:lang w:val="en-CA"/>
              </w:rPr>
            </w:pPr>
            <w:r w:rsidRPr="009A1394">
              <w:rPr>
                <w:lang w:val="en-CA"/>
              </w:rPr>
              <w:t>Montreal, Maine &amp; Atlantic Canada Company</w:t>
            </w:r>
          </w:p>
        </w:tc>
      </w:tr>
      <w:tr w:rsidR="0067176C" w:rsidRPr="009A1394" w14:paraId="3E592F05" w14:textId="77777777" w:rsidTr="003E7CC6">
        <w:tc>
          <w:tcPr>
            <w:tcW w:w="2127" w:type="dxa"/>
          </w:tcPr>
          <w:p w14:paraId="69413546" w14:textId="1750DEC3" w:rsidR="005B0A38" w:rsidRPr="009A1394" w:rsidRDefault="00B8103C" w:rsidP="005B0A38">
            <w:pPr>
              <w:spacing w:before="120" w:after="120"/>
              <w:rPr>
                <w:lang w:val="en-CA"/>
              </w:rPr>
            </w:pPr>
            <w:r w:rsidRPr="009A1394">
              <w:rPr>
                <w:lang w:val="en-CA"/>
              </w:rPr>
              <w:t>MMAR:</w:t>
            </w:r>
          </w:p>
        </w:tc>
        <w:tc>
          <w:tcPr>
            <w:tcW w:w="7225" w:type="dxa"/>
          </w:tcPr>
          <w:p w14:paraId="05A5A28A" w14:textId="580D7018" w:rsidR="005B0A38" w:rsidRPr="009A1394" w:rsidRDefault="00B8103C" w:rsidP="005B0A38">
            <w:pPr>
              <w:spacing w:before="120" w:after="120"/>
              <w:rPr>
                <w:lang w:val="en-CA"/>
              </w:rPr>
            </w:pPr>
            <w:r w:rsidRPr="009A1394">
              <w:rPr>
                <w:lang w:val="en-CA"/>
              </w:rPr>
              <w:t>Montreal, Maine &amp; Atlantic Railway</w:t>
            </w:r>
          </w:p>
        </w:tc>
      </w:tr>
      <w:tr w:rsidR="0067176C" w:rsidRPr="009A1394" w14:paraId="0BFCA3A9" w14:textId="77777777" w:rsidTr="003E7CC6">
        <w:tc>
          <w:tcPr>
            <w:tcW w:w="2127" w:type="dxa"/>
          </w:tcPr>
          <w:p w14:paraId="7E6DB711" w14:textId="2DA86A6E" w:rsidR="005B0A38" w:rsidRPr="009A1394" w:rsidRDefault="00AB1327" w:rsidP="005B0A38">
            <w:pPr>
              <w:spacing w:before="120" w:after="120"/>
              <w:rPr>
                <w:lang w:val="en-CA"/>
              </w:rPr>
            </w:pPr>
            <w:r w:rsidRPr="009A1394">
              <w:rPr>
                <w:lang w:val="en-CA"/>
              </w:rPr>
              <w:t>MSDS:</w:t>
            </w:r>
          </w:p>
        </w:tc>
        <w:tc>
          <w:tcPr>
            <w:tcW w:w="7225" w:type="dxa"/>
          </w:tcPr>
          <w:p w14:paraId="521508BA" w14:textId="34C95A09" w:rsidR="005B0A38" w:rsidRPr="009A1394" w:rsidRDefault="00AB1327" w:rsidP="005B0A38">
            <w:pPr>
              <w:spacing w:before="120" w:after="120"/>
              <w:rPr>
                <w:lang w:val="en-CA"/>
              </w:rPr>
            </w:pPr>
            <w:r w:rsidRPr="009A1394">
              <w:rPr>
                <w:lang w:val="en-CA"/>
              </w:rPr>
              <w:t>Material Safety Data Sheets</w:t>
            </w:r>
          </w:p>
        </w:tc>
      </w:tr>
      <w:tr w:rsidR="0067176C" w:rsidRPr="009A1394" w14:paraId="11EBF057" w14:textId="77777777" w:rsidTr="003E7CC6">
        <w:tc>
          <w:tcPr>
            <w:tcW w:w="2127" w:type="dxa"/>
          </w:tcPr>
          <w:p w14:paraId="0F01715D" w14:textId="196E0D4B" w:rsidR="005B0A38" w:rsidRPr="009A1394" w:rsidRDefault="00B8103C" w:rsidP="005B0A38">
            <w:pPr>
              <w:spacing w:before="120" w:after="120"/>
              <w:rPr>
                <w:lang w:val="en-CA"/>
              </w:rPr>
            </w:pPr>
            <w:r w:rsidRPr="009A1394">
              <w:rPr>
                <w:lang w:val="en-CA"/>
              </w:rPr>
              <w:t>SMS:</w:t>
            </w:r>
          </w:p>
        </w:tc>
        <w:tc>
          <w:tcPr>
            <w:tcW w:w="7225" w:type="dxa"/>
          </w:tcPr>
          <w:p w14:paraId="4566C04C" w14:textId="06A13955" w:rsidR="005B0A38" w:rsidRPr="009A1394" w:rsidRDefault="00B8103C" w:rsidP="005B0A38">
            <w:pPr>
              <w:spacing w:before="120" w:after="120"/>
              <w:rPr>
                <w:lang w:val="en-CA"/>
              </w:rPr>
            </w:pPr>
            <w:r w:rsidRPr="009A1394">
              <w:rPr>
                <w:lang w:val="en-CA"/>
              </w:rPr>
              <w:t xml:space="preserve">Safety </w:t>
            </w:r>
            <w:r w:rsidR="00E545E9" w:rsidRPr="009A1394">
              <w:rPr>
                <w:lang w:val="en-CA"/>
              </w:rPr>
              <w:t>M</w:t>
            </w:r>
            <w:r w:rsidRPr="009A1394">
              <w:rPr>
                <w:lang w:val="en-CA"/>
              </w:rPr>
              <w:t xml:space="preserve">anagement </w:t>
            </w:r>
            <w:r w:rsidR="00E545E9" w:rsidRPr="009A1394">
              <w:rPr>
                <w:lang w:val="en-CA"/>
              </w:rPr>
              <w:t>S</w:t>
            </w:r>
            <w:r w:rsidRPr="009A1394">
              <w:rPr>
                <w:lang w:val="en-CA"/>
              </w:rPr>
              <w:t>ystem</w:t>
            </w:r>
          </w:p>
        </w:tc>
      </w:tr>
      <w:tr w:rsidR="0067176C" w:rsidRPr="009A1394" w14:paraId="1669335D" w14:textId="77777777" w:rsidTr="003E7CC6">
        <w:tc>
          <w:tcPr>
            <w:tcW w:w="2127" w:type="dxa"/>
          </w:tcPr>
          <w:p w14:paraId="236FED15" w14:textId="6482F4AC" w:rsidR="005B0A38" w:rsidRPr="009A1394" w:rsidRDefault="00B8103C" w:rsidP="005B0A38">
            <w:pPr>
              <w:spacing w:before="120" w:after="120"/>
              <w:rPr>
                <w:lang w:val="en-CA"/>
              </w:rPr>
            </w:pPr>
            <w:r w:rsidRPr="009A1394">
              <w:rPr>
                <w:lang w:val="en-CA"/>
              </w:rPr>
              <w:t>SPTO:</w:t>
            </w:r>
          </w:p>
        </w:tc>
        <w:tc>
          <w:tcPr>
            <w:tcW w:w="7225" w:type="dxa"/>
          </w:tcPr>
          <w:p w14:paraId="17E7104E" w14:textId="5CD367E9" w:rsidR="005B0A38" w:rsidRPr="009A1394" w:rsidRDefault="00B8103C" w:rsidP="005B0A38">
            <w:pPr>
              <w:spacing w:before="120" w:after="120"/>
              <w:rPr>
                <w:lang w:val="en-CA"/>
              </w:rPr>
            </w:pPr>
            <w:r w:rsidRPr="009A1394">
              <w:rPr>
                <w:lang w:val="en-CA"/>
              </w:rPr>
              <w:t>Single-person train operations</w:t>
            </w:r>
          </w:p>
        </w:tc>
      </w:tr>
      <w:tr w:rsidR="0067176C" w:rsidRPr="009A1394" w14:paraId="575BDD72" w14:textId="77777777" w:rsidTr="003E7CC6">
        <w:tc>
          <w:tcPr>
            <w:tcW w:w="2127" w:type="dxa"/>
          </w:tcPr>
          <w:p w14:paraId="5CE44502" w14:textId="6580A134" w:rsidR="005B0A38" w:rsidRPr="009A1394" w:rsidRDefault="00B8103C" w:rsidP="005B0A38">
            <w:pPr>
              <w:spacing w:before="120" w:after="120"/>
              <w:rPr>
                <w:lang w:val="en-CA"/>
              </w:rPr>
            </w:pPr>
            <w:r w:rsidRPr="009A1394">
              <w:rPr>
                <w:lang w:val="en-CA"/>
              </w:rPr>
              <w:t>SST:</w:t>
            </w:r>
          </w:p>
        </w:tc>
        <w:tc>
          <w:tcPr>
            <w:tcW w:w="7225" w:type="dxa"/>
          </w:tcPr>
          <w:p w14:paraId="3C384FD8" w14:textId="4A1DF1A1" w:rsidR="005B0A38" w:rsidRPr="009A1394" w:rsidRDefault="00B8103C" w:rsidP="005B0A38">
            <w:pPr>
              <w:spacing w:before="120" w:after="120"/>
              <w:rPr>
                <w:lang w:val="en-CA"/>
              </w:rPr>
            </w:pPr>
            <w:r w:rsidRPr="009A1394">
              <w:rPr>
                <w:lang w:val="en-CA"/>
              </w:rPr>
              <w:t>Strobel Straroska Transfer</w:t>
            </w:r>
          </w:p>
        </w:tc>
      </w:tr>
      <w:tr w:rsidR="0067176C" w:rsidRPr="009A1394" w14:paraId="1EC596A2" w14:textId="77777777" w:rsidTr="003E7CC6">
        <w:tc>
          <w:tcPr>
            <w:tcW w:w="2127" w:type="dxa"/>
          </w:tcPr>
          <w:p w14:paraId="7A4B3F4B" w14:textId="130D30EB" w:rsidR="005B0A38" w:rsidRPr="009A1394" w:rsidRDefault="00B8103C" w:rsidP="005B0A38">
            <w:pPr>
              <w:spacing w:before="120" w:after="120"/>
              <w:rPr>
                <w:lang w:val="en-CA"/>
              </w:rPr>
            </w:pPr>
            <w:r w:rsidRPr="009A1394">
              <w:rPr>
                <w:lang w:val="en-CA"/>
              </w:rPr>
              <w:t>TC:</w:t>
            </w:r>
          </w:p>
        </w:tc>
        <w:tc>
          <w:tcPr>
            <w:tcW w:w="7225" w:type="dxa"/>
          </w:tcPr>
          <w:p w14:paraId="33C81B21" w14:textId="1D1E65D9" w:rsidR="005B0A38" w:rsidRPr="009A1394" w:rsidRDefault="00B8103C" w:rsidP="005B0A38">
            <w:pPr>
              <w:spacing w:before="120" w:after="120"/>
              <w:rPr>
                <w:lang w:val="en-CA"/>
              </w:rPr>
            </w:pPr>
            <w:r w:rsidRPr="009A1394">
              <w:rPr>
                <w:lang w:val="en-CA"/>
              </w:rPr>
              <w:t>Transport Canada</w:t>
            </w:r>
          </w:p>
        </w:tc>
      </w:tr>
      <w:tr w:rsidR="0067176C" w:rsidRPr="009A1394" w14:paraId="25095663" w14:textId="77777777" w:rsidTr="003E7CC6">
        <w:tc>
          <w:tcPr>
            <w:tcW w:w="2127" w:type="dxa"/>
          </w:tcPr>
          <w:p w14:paraId="1D308FEF" w14:textId="5A6F3FEB" w:rsidR="005B0A38" w:rsidRPr="009A1394" w:rsidRDefault="00B8103C" w:rsidP="005B0A38">
            <w:pPr>
              <w:spacing w:before="120" w:after="120"/>
              <w:rPr>
                <w:lang w:val="en-CA"/>
              </w:rPr>
            </w:pPr>
            <w:r w:rsidRPr="009A1394">
              <w:rPr>
                <w:lang w:val="en-CA"/>
              </w:rPr>
              <w:t>WFS:</w:t>
            </w:r>
          </w:p>
        </w:tc>
        <w:tc>
          <w:tcPr>
            <w:tcW w:w="7225" w:type="dxa"/>
          </w:tcPr>
          <w:p w14:paraId="6B0E7773" w14:textId="469E173B" w:rsidR="005B0A38" w:rsidRPr="009A1394" w:rsidRDefault="00B8103C" w:rsidP="005B0A38">
            <w:pPr>
              <w:spacing w:before="120" w:after="120"/>
              <w:rPr>
                <w:lang w:val="en-CA"/>
              </w:rPr>
            </w:pPr>
            <w:r w:rsidRPr="009A1394">
              <w:rPr>
                <w:lang w:val="en-CA"/>
              </w:rPr>
              <w:t>World Fuel Services</w:t>
            </w:r>
          </w:p>
        </w:tc>
      </w:tr>
    </w:tbl>
    <w:p w14:paraId="12A76342" w14:textId="77777777" w:rsidR="00740A17" w:rsidRPr="009A1394" w:rsidRDefault="00740A17" w:rsidP="008170CE">
      <w:pPr>
        <w:spacing w:line="240" w:lineRule="auto"/>
        <w:rPr>
          <w:lang w:val="en-CA"/>
        </w:rPr>
      </w:pPr>
    </w:p>
    <w:sectPr w:rsidR="00740A17" w:rsidRPr="009A1394" w:rsidSect="00155B8A">
      <w:headerReference w:type="default" r:id="rId8"/>
      <w:footerReference w:type="default" r:id="rId9"/>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BCA9" w14:textId="77777777" w:rsidR="000C1A35" w:rsidRDefault="000C1A35">
      <w:pPr>
        <w:spacing w:line="240" w:lineRule="auto"/>
      </w:pPr>
      <w:r>
        <w:separator/>
      </w:r>
    </w:p>
  </w:endnote>
  <w:endnote w:type="continuationSeparator" w:id="0">
    <w:p w14:paraId="508A43F3" w14:textId="77777777" w:rsidR="000C1A35" w:rsidRDefault="000C1A35">
      <w:pPr>
        <w:spacing w:line="240" w:lineRule="auto"/>
      </w:pPr>
      <w:r>
        <w:continuationSeparator/>
      </w:r>
    </w:p>
  </w:endnote>
  <w:endnote w:type="continuationNotice" w:id="1">
    <w:p w14:paraId="1C4ABA96" w14:textId="77777777" w:rsidR="000C1A35" w:rsidRDefault="000C1A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E0D8" w14:textId="76BD3778" w:rsidR="002077BB" w:rsidRPr="002077BB" w:rsidRDefault="002077BB" w:rsidP="002077BB">
    <w:pPr>
      <w:pStyle w:val="Pieddepage"/>
      <w:jc w:val="right"/>
      <w:rPr>
        <w:b/>
        <w:bCs/>
        <w:lang w:val="en-CA"/>
      </w:rPr>
    </w:pPr>
    <w:r w:rsidRPr="002077BB">
      <w:rPr>
        <w:b/>
        <w:bCs/>
        <w:lang w:val="en-CA"/>
      </w:rPr>
      <w:t>English translation of the judgment of the Court by SOQUIJ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FC96" w14:textId="77777777" w:rsidR="000C1A35" w:rsidRDefault="000C1A35">
      <w:r>
        <w:separator/>
      </w:r>
    </w:p>
  </w:footnote>
  <w:footnote w:type="continuationSeparator" w:id="0">
    <w:p w14:paraId="37929B8F" w14:textId="77777777" w:rsidR="000C1A35" w:rsidRDefault="000C1A35">
      <w:r>
        <w:continuationSeparator/>
      </w:r>
    </w:p>
  </w:footnote>
  <w:footnote w:type="continuationNotice" w:id="1">
    <w:p w14:paraId="0D1BBE71" w14:textId="77777777" w:rsidR="000C1A35" w:rsidRDefault="000C1A35">
      <w:pPr>
        <w:spacing w:line="240" w:lineRule="auto"/>
      </w:pPr>
    </w:p>
  </w:footnote>
  <w:footnote w:id="2">
    <w:p w14:paraId="3657175B" w14:textId="1565809F"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i/>
          <w:iCs/>
          <w:lang w:val="en-CA"/>
        </w:rPr>
        <w:t>Ouellet c. Compagnie de chemin de fer Canadien Pacifique</w:t>
      </w:r>
      <w:r w:rsidR="00B8103C" w:rsidRPr="009A1394">
        <w:rPr>
          <w:iCs/>
          <w:lang w:val="en-CA"/>
        </w:rPr>
        <w:t>, 2022 QCCS 4643 [Judgment under appeal].</w:t>
      </w:r>
    </w:p>
  </w:footnote>
  <w:footnote w:id="3">
    <w:p w14:paraId="40244D28" w14:textId="4D2EA395"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For ease of understanding, the French version refers to CP using the masculine gender.</w:t>
      </w:r>
    </w:p>
  </w:footnote>
  <w:footnote w:id="4">
    <w:p w14:paraId="74C86C71" w14:textId="0DA6F977"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 xml:space="preserve">A list of all the acronyms used in this judgment </w:t>
      </w:r>
      <w:r w:rsidR="0020616E" w:rsidRPr="009A1394">
        <w:rPr>
          <w:lang w:val="en-CA"/>
        </w:rPr>
        <w:t>is</w:t>
      </w:r>
      <w:r w:rsidR="00B8103C" w:rsidRPr="009A1394">
        <w:rPr>
          <w:lang w:val="en-CA"/>
        </w:rPr>
        <w:t xml:space="preserve"> appended to this judgment.</w:t>
      </w:r>
    </w:p>
  </w:footnote>
  <w:footnote w:id="5">
    <w:p w14:paraId="7E5AD86E" w14:textId="093AC8E0"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A6AF7" w:rsidRPr="009A1394">
        <w:rPr>
          <w:lang w:val="en-CA"/>
        </w:rPr>
        <w:t>,</w:t>
      </w:r>
      <w:r w:rsidR="00B8103C" w:rsidRPr="009A1394">
        <w:rPr>
          <w:lang w:val="en-CA"/>
        </w:rPr>
        <w:t xml:space="preserve"> para.</w:t>
      </w:r>
      <w:r w:rsidRPr="009A1394">
        <w:rPr>
          <w:lang w:val="en-CA"/>
        </w:rPr>
        <w:t xml:space="preserve"> </w:t>
      </w:r>
      <w:r w:rsidR="00B8103C" w:rsidRPr="009A1394">
        <w:rPr>
          <w:lang w:val="en-CA"/>
        </w:rPr>
        <w:t>1.</w:t>
      </w:r>
    </w:p>
  </w:footnote>
  <w:footnote w:id="6">
    <w:p w14:paraId="27E350A0" w14:textId="043D6434"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A6AF7" w:rsidRPr="009A1394">
        <w:rPr>
          <w:lang w:val="en-CA"/>
        </w:rPr>
        <w:t>,</w:t>
      </w:r>
      <w:r w:rsidR="00B8103C" w:rsidRPr="009A1394">
        <w:rPr>
          <w:lang w:val="en-CA"/>
        </w:rPr>
        <w:t xml:space="preserve"> paras.</w:t>
      </w:r>
      <w:r w:rsidRPr="009A1394">
        <w:rPr>
          <w:lang w:val="en-CA"/>
        </w:rPr>
        <w:t xml:space="preserve"> </w:t>
      </w:r>
      <w:r w:rsidR="00B8103C" w:rsidRPr="009A1394">
        <w:rPr>
          <w:lang w:val="en-CA"/>
        </w:rPr>
        <w:t>2 and 332.</w:t>
      </w:r>
    </w:p>
  </w:footnote>
  <w:footnote w:id="7">
    <w:p w14:paraId="5BA72842" w14:textId="0290F078"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A6AF7" w:rsidRPr="009A1394">
        <w:rPr>
          <w:lang w:val="en-CA"/>
        </w:rPr>
        <w:t>,</w:t>
      </w:r>
      <w:r w:rsidR="00B8103C" w:rsidRPr="009A1394">
        <w:rPr>
          <w:lang w:val="en-CA"/>
        </w:rPr>
        <w:t xml:space="preserve"> para.</w:t>
      </w:r>
      <w:r w:rsidRPr="009A1394">
        <w:rPr>
          <w:lang w:val="en-CA"/>
        </w:rPr>
        <w:t xml:space="preserve"> </w:t>
      </w:r>
      <w:r w:rsidR="00B8103C" w:rsidRPr="009A1394">
        <w:rPr>
          <w:lang w:val="en-CA"/>
        </w:rPr>
        <w:t>25.</w:t>
      </w:r>
    </w:p>
  </w:footnote>
  <w:footnote w:id="8">
    <w:p w14:paraId="65A4187F" w14:textId="3DA18D5A"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A6AF7" w:rsidRPr="009A1394">
        <w:rPr>
          <w:lang w:val="en-CA"/>
        </w:rPr>
        <w:t>,</w:t>
      </w:r>
      <w:r w:rsidR="00B8103C" w:rsidRPr="009A1394">
        <w:rPr>
          <w:lang w:val="en-CA"/>
        </w:rPr>
        <w:t xml:space="preserve"> paras.</w:t>
      </w:r>
      <w:r w:rsidRPr="009A1394">
        <w:rPr>
          <w:lang w:val="en-CA"/>
        </w:rPr>
        <w:t xml:space="preserve"> </w:t>
      </w:r>
      <w:r w:rsidR="00B8103C" w:rsidRPr="009A1394">
        <w:rPr>
          <w:lang w:val="en-CA"/>
        </w:rPr>
        <w:t>13–15.</w:t>
      </w:r>
    </w:p>
  </w:footnote>
  <w:footnote w:id="9">
    <w:p w14:paraId="67E0EE8D" w14:textId="6EC7E67B"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i/>
          <w:iCs/>
          <w:lang w:val="en-CA"/>
        </w:rPr>
        <w:t>Ouellet c. Compagnie de chemin de fer Canadien Pacifique</w:t>
      </w:r>
      <w:r w:rsidR="00B8103C" w:rsidRPr="009A1394">
        <w:rPr>
          <w:iCs/>
          <w:lang w:val="en-CA"/>
        </w:rPr>
        <w:t>, 2017 QCCS 5674.</w:t>
      </w:r>
    </w:p>
  </w:footnote>
  <w:footnote w:id="10">
    <w:p w14:paraId="5AD4AE2A" w14:textId="343748AA"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A6AF7" w:rsidRPr="009A1394">
        <w:rPr>
          <w:lang w:val="en-CA"/>
        </w:rPr>
        <w:t>,</w:t>
      </w:r>
      <w:r w:rsidR="00B8103C" w:rsidRPr="009A1394">
        <w:rPr>
          <w:lang w:val="en-CA"/>
        </w:rPr>
        <w:t xml:space="preserve"> paras.</w:t>
      </w:r>
      <w:r w:rsidRPr="009A1394">
        <w:rPr>
          <w:lang w:val="en-CA"/>
        </w:rPr>
        <w:t xml:space="preserve"> </w:t>
      </w:r>
      <w:r w:rsidR="00B8103C" w:rsidRPr="009A1394">
        <w:rPr>
          <w:lang w:val="en-CA"/>
        </w:rPr>
        <w:t>5 and 16.</w:t>
      </w:r>
    </w:p>
  </w:footnote>
  <w:footnote w:id="11">
    <w:p w14:paraId="56D80DFD" w14:textId="3CE7CD8D"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i/>
          <w:iCs/>
          <w:lang w:val="en-CA"/>
        </w:rPr>
        <w:t>Ouellet c. Compagnie de chemin de fer Canadien Pacifique</w:t>
      </w:r>
      <w:r w:rsidR="00B8103C" w:rsidRPr="009A1394">
        <w:rPr>
          <w:iCs/>
          <w:lang w:val="en-CA"/>
        </w:rPr>
        <w:t>, 2017 QCCS 5674</w:t>
      </w:r>
      <w:r w:rsidR="009A6AF7" w:rsidRPr="009A1394">
        <w:rPr>
          <w:iCs/>
          <w:lang w:val="en-CA"/>
        </w:rPr>
        <w:t>,</w:t>
      </w:r>
      <w:r w:rsidR="00B8103C" w:rsidRPr="009A1394">
        <w:rPr>
          <w:iCs/>
          <w:lang w:val="en-CA"/>
        </w:rPr>
        <w:t xml:space="preserve"> para.</w:t>
      </w:r>
      <w:r w:rsidRPr="009A1394">
        <w:rPr>
          <w:lang w:val="en-CA"/>
        </w:rPr>
        <w:t xml:space="preserve"> </w:t>
      </w:r>
      <w:r w:rsidR="00B8103C" w:rsidRPr="009A1394">
        <w:rPr>
          <w:lang w:val="en-CA"/>
        </w:rPr>
        <w:t>49.</w:t>
      </w:r>
    </w:p>
  </w:footnote>
  <w:footnote w:id="12">
    <w:p w14:paraId="7A387A1E" w14:textId="05D54A43"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A6AF7" w:rsidRPr="009A1394">
        <w:rPr>
          <w:lang w:val="en-CA"/>
        </w:rPr>
        <w:t>,</w:t>
      </w:r>
      <w:r w:rsidR="00B8103C" w:rsidRPr="009A1394">
        <w:rPr>
          <w:lang w:val="en-CA"/>
        </w:rPr>
        <w:t xml:space="preserve"> paras.</w:t>
      </w:r>
      <w:r w:rsidRPr="009A1394">
        <w:rPr>
          <w:lang w:val="en-CA"/>
        </w:rPr>
        <w:t xml:space="preserve"> </w:t>
      </w:r>
      <w:r w:rsidR="00B8103C" w:rsidRPr="009A1394">
        <w:rPr>
          <w:lang w:val="en-CA"/>
        </w:rPr>
        <w:t>653, 705 and 795.</w:t>
      </w:r>
    </w:p>
  </w:footnote>
  <w:footnote w:id="13">
    <w:p w14:paraId="3F98E2C9" w14:textId="1DB8F160"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rFonts w:cs="Arial"/>
          <w:color w:val="000000"/>
          <w:lang w:val="en-CA"/>
        </w:rPr>
        <w:t xml:space="preserve">In exchange for his cooperation, the civil suits against Harding were </w:t>
      </w:r>
      <w:r w:rsidR="00AC0986" w:rsidRPr="009A1394">
        <w:rPr>
          <w:rFonts w:cs="Arial"/>
          <w:color w:val="000000"/>
          <w:lang w:val="en-CA"/>
        </w:rPr>
        <w:t xml:space="preserve">dropped </w:t>
      </w:r>
      <w:r w:rsidR="00B8103C" w:rsidRPr="009A1394">
        <w:rPr>
          <w:rFonts w:cs="Arial"/>
          <w:color w:val="000000"/>
          <w:lang w:val="en-CA"/>
        </w:rPr>
        <w:t>s</w:t>
      </w:r>
      <w:r w:rsidR="000D033C" w:rsidRPr="009A1394">
        <w:rPr>
          <w:rFonts w:cs="Arial"/>
          <w:color w:val="000000"/>
          <w:lang w:val="en-CA"/>
        </w:rPr>
        <w:t>uch</w:t>
      </w:r>
      <w:r w:rsidR="00B8103C" w:rsidRPr="009A1394">
        <w:rPr>
          <w:rFonts w:cs="Arial"/>
          <w:color w:val="000000"/>
          <w:lang w:val="en-CA"/>
        </w:rPr>
        <w:t xml:space="preserve"> that he is no longer a defendant: judgment under appeal</w:t>
      </w:r>
      <w:r w:rsidR="009A6AF7" w:rsidRPr="009A1394">
        <w:rPr>
          <w:rFonts w:cs="Arial"/>
          <w:color w:val="000000"/>
          <w:lang w:val="en-CA"/>
        </w:rPr>
        <w:t>,</w:t>
      </w:r>
      <w:r w:rsidR="00B8103C" w:rsidRPr="009A1394">
        <w:rPr>
          <w:rFonts w:cs="Arial"/>
          <w:color w:val="000000"/>
          <w:lang w:val="en-CA"/>
        </w:rPr>
        <w:t xml:space="preserve"> paras.</w:t>
      </w:r>
      <w:r w:rsidRPr="009A1394">
        <w:rPr>
          <w:rFonts w:cs="Arial"/>
          <w:color w:val="000000"/>
          <w:lang w:val="en-CA"/>
        </w:rPr>
        <w:t xml:space="preserve"> </w:t>
      </w:r>
      <w:r w:rsidR="00B8103C" w:rsidRPr="009A1394">
        <w:rPr>
          <w:rFonts w:cs="Arial"/>
          <w:color w:val="000000"/>
          <w:lang w:val="en-CA"/>
        </w:rPr>
        <w:t>19 and 26.</w:t>
      </w:r>
    </w:p>
  </w:footnote>
  <w:footnote w:id="14">
    <w:p w14:paraId="496BF893" w14:textId="767273BF"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B8103C" w:rsidRPr="009A1394">
        <w:rPr>
          <w:lang w:val="en-CA"/>
        </w:rPr>
        <w:t>10.</w:t>
      </w:r>
    </w:p>
  </w:footnote>
  <w:footnote w:id="15">
    <w:p w14:paraId="7423BD63" w14:textId="415EDB00"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89.</w:t>
      </w:r>
    </w:p>
  </w:footnote>
  <w:footnote w:id="16">
    <w:p w14:paraId="594955B9" w14:textId="352974E3"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65.</w:t>
      </w:r>
    </w:p>
  </w:footnote>
  <w:footnote w:id="17">
    <w:p w14:paraId="14B1A1DF" w14:textId="406626B8"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 xml:space="preserve">97; Admissions </w:t>
      </w:r>
      <w:r w:rsidR="00405C64" w:rsidRPr="009A1394">
        <w:rPr>
          <w:lang w:val="en-CA"/>
        </w:rPr>
        <w:t>appended</w:t>
      </w:r>
      <w:r w:rsidR="00B8103C" w:rsidRPr="009A1394">
        <w:rPr>
          <w:lang w:val="en-CA"/>
        </w:rPr>
        <w:t xml:space="preserve"> to the judgment under appeal</w:t>
      </w:r>
      <w:r w:rsidR="00793A9C" w:rsidRPr="009A1394">
        <w:rPr>
          <w:lang w:val="en-CA"/>
        </w:rPr>
        <w:t>,</w:t>
      </w:r>
      <w:r w:rsidR="007E1051" w:rsidRPr="009A1394">
        <w:rPr>
          <w:lang w:val="en-CA"/>
        </w:rPr>
        <w:t xml:space="preserve"> para</w:t>
      </w:r>
      <w:r w:rsidR="00B8103C" w:rsidRPr="009A1394">
        <w:rPr>
          <w:lang w:val="en-CA"/>
        </w:rPr>
        <w:t>.</w:t>
      </w:r>
      <w:r w:rsidRPr="009A1394">
        <w:rPr>
          <w:lang w:val="en-CA"/>
        </w:rPr>
        <w:t xml:space="preserve"> </w:t>
      </w:r>
      <w:r w:rsidR="00B8103C" w:rsidRPr="009A1394">
        <w:rPr>
          <w:lang w:val="en-CA"/>
        </w:rPr>
        <w:t>29.1.</w:t>
      </w:r>
    </w:p>
  </w:footnote>
  <w:footnote w:id="18">
    <w:p w14:paraId="56181AA4" w14:textId="1166C271" w:rsidR="00FD6464" w:rsidRPr="009A1394" w:rsidRDefault="00FD6464" w:rsidP="00FD646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718.</w:t>
      </w:r>
    </w:p>
  </w:footnote>
  <w:footnote w:id="19">
    <w:p w14:paraId="209250E6" w14:textId="31A516C7" w:rsidR="008161A3" w:rsidRPr="009A1394" w:rsidRDefault="008161A3" w:rsidP="008161A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682.</w:t>
      </w:r>
    </w:p>
  </w:footnote>
  <w:footnote w:id="20">
    <w:p w14:paraId="2459A394" w14:textId="564D8BAB" w:rsidR="008161A3" w:rsidRPr="009A1394" w:rsidRDefault="008161A3" w:rsidP="008161A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9.</w:t>
      </w:r>
    </w:p>
  </w:footnote>
  <w:footnote w:id="21">
    <w:p w14:paraId="4D835F4C" w14:textId="5895A6EA"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862.</w:t>
      </w:r>
    </w:p>
  </w:footnote>
  <w:footnote w:id="22">
    <w:p w14:paraId="3B1B53EA" w14:textId="4D363DEB"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59.</w:t>
      </w:r>
    </w:p>
  </w:footnote>
  <w:footnote w:id="23">
    <w:p w14:paraId="35B1622C" w14:textId="6E1ED8CE"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190.</w:t>
      </w:r>
    </w:p>
  </w:footnote>
  <w:footnote w:id="24">
    <w:p w14:paraId="7062FD67" w14:textId="0782C565"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 xml:space="preserve">97; Admissions </w:t>
      </w:r>
      <w:r w:rsidR="007E6B57" w:rsidRPr="009A1394">
        <w:rPr>
          <w:lang w:val="en-CA"/>
        </w:rPr>
        <w:t>appended</w:t>
      </w:r>
      <w:r w:rsidR="00B8103C" w:rsidRPr="009A1394">
        <w:rPr>
          <w:lang w:val="en-CA"/>
        </w:rPr>
        <w:t xml:space="preserve"> to the 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29.1.</w:t>
      </w:r>
    </w:p>
  </w:footnote>
  <w:footnote w:id="25">
    <w:p w14:paraId="4974B4EF" w14:textId="7A37AC16"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352.</w:t>
      </w:r>
    </w:p>
  </w:footnote>
  <w:footnote w:id="26">
    <w:p w14:paraId="27D25189" w14:textId="47978252"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61.</w:t>
      </w:r>
    </w:p>
  </w:footnote>
  <w:footnote w:id="27">
    <w:p w14:paraId="576FF449" w14:textId="1925278C"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s.</w:t>
      </w:r>
      <w:r w:rsidRPr="009A1394">
        <w:rPr>
          <w:lang w:val="en-CA"/>
        </w:rPr>
        <w:t xml:space="preserve"> </w:t>
      </w:r>
      <w:r w:rsidR="00B8103C" w:rsidRPr="009A1394">
        <w:rPr>
          <w:lang w:val="en-CA"/>
        </w:rPr>
        <w:t>61 and 197.</w:t>
      </w:r>
    </w:p>
  </w:footnote>
  <w:footnote w:id="28">
    <w:p w14:paraId="5F87D30F" w14:textId="05E03EA6"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207.</w:t>
      </w:r>
    </w:p>
  </w:footnote>
  <w:footnote w:id="29">
    <w:p w14:paraId="75C8A79F" w14:textId="093AC049"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s.</w:t>
      </w:r>
      <w:r w:rsidRPr="009A1394">
        <w:rPr>
          <w:lang w:val="en-CA"/>
        </w:rPr>
        <w:t xml:space="preserve"> </w:t>
      </w:r>
      <w:r w:rsidR="00B8103C" w:rsidRPr="009A1394">
        <w:rPr>
          <w:lang w:val="en-CA"/>
        </w:rPr>
        <w:t>206, 212, and 227.</w:t>
      </w:r>
    </w:p>
  </w:footnote>
  <w:footnote w:id="30">
    <w:p w14:paraId="731C3BB9" w14:textId="43B95100"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465.</w:t>
      </w:r>
    </w:p>
  </w:footnote>
  <w:footnote w:id="31">
    <w:p w14:paraId="68F38967" w14:textId="2A5D50B1"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This is the document that was used to prove the existence of the transport</w:t>
      </w:r>
      <w:r w:rsidR="007E6B57" w:rsidRPr="009A1394">
        <w:rPr>
          <w:lang w:val="en-CA"/>
        </w:rPr>
        <w:t>ation</w:t>
      </w:r>
      <w:r w:rsidR="00B8103C" w:rsidRPr="009A1394">
        <w:rPr>
          <w:lang w:val="en-CA"/>
        </w:rPr>
        <w:t xml:space="preserve"> contract: see judgment under appeal</w:t>
      </w:r>
      <w:r w:rsidR="007E1051" w:rsidRPr="009A1394">
        <w:rPr>
          <w:lang w:val="en-CA"/>
        </w:rPr>
        <w:t>, para</w:t>
      </w:r>
      <w:r w:rsidR="00B8103C" w:rsidRPr="009A1394">
        <w:rPr>
          <w:lang w:val="en-CA"/>
        </w:rPr>
        <w:t>.</w:t>
      </w:r>
      <w:r w:rsidRPr="009A1394">
        <w:rPr>
          <w:lang w:val="en-CA"/>
        </w:rPr>
        <w:t> </w:t>
      </w:r>
      <w:r w:rsidR="00B8103C" w:rsidRPr="009A1394">
        <w:rPr>
          <w:lang w:val="en-CA"/>
        </w:rPr>
        <w:t>166.</w:t>
      </w:r>
    </w:p>
  </w:footnote>
  <w:footnote w:id="32">
    <w:p w14:paraId="4BC04079" w14:textId="5E811CA5"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62.</w:t>
      </w:r>
    </w:p>
  </w:footnote>
  <w:footnote w:id="33">
    <w:p w14:paraId="15AFAFAC" w14:textId="1B2F5333"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s.</w:t>
      </w:r>
      <w:r w:rsidRPr="009A1394">
        <w:rPr>
          <w:lang w:val="en-CA"/>
        </w:rPr>
        <w:t xml:space="preserve"> </w:t>
      </w:r>
      <w:r w:rsidR="00B8103C" w:rsidRPr="009A1394">
        <w:rPr>
          <w:lang w:val="en-CA"/>
        </w:rPr>
        <w:t>352, 475, and 505.</w:t>
      </w:r>
    </w:p>
  </w:footnote>
  <w:footnote w:id="34">
    <w:p w14:paraId="06CA0778" w14:textId="41DBF5A6"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198.</w:t>
      </w:r>
    </w:p>
  </w:footnote>
  <w:footnote w:id="35">
    <w:p w14:paraId="7BC49F79" w14:textId="6929EEC2"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s.</w:t>
      </w:r>
      <w:r w:rsidRPr="009A1394">
        <w:rPr>
          <w:lang w:val="en-CA"/>
        </w:rPr>
        <w:t xml:space="preserve"> </w:t>
      </w:r>
      <w:r w:rsidR="00B8103C" w:rsidRPr="009A1394">
        <w:rPr>
          <w:lang w:val="en-CA"/>
        </w:rPr>
        <w:t>225 and 352.</w:t>
      </w:r>
    </w:p>
  </w:footnote>
  <w:footnote w:id="36">
    <w:p w14:paraId="47D53FB3" w14:textId="21904875"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s.</w:t>
      </w:r>
      <w:r w:rsidRPr="009A1394">
        <w:rPr>
          <w:lang w:val="en-CA"/>
        </w:rPr>
        <w:t xml:space="preserve"> </w:t>
      </w:r>
      <w:r w:rsidR="00B8103C" w:rsidRPr="009A1394">
        <w:rPr>
          <w:lang w:val="en-CA"/>
        </w:rPr>
        <w:t>232–233, 235 and 487.</w:t>
      </w:r>
    </w:p>
  </w:footnote>
  <w:footnote w:id="37">
    <w:p w14:paraId="38423C87" w14:textId="145E5A74" w:rsidR="00916B84" w:rsidRPr="009A1394" w:rsidRDefault="00916B84" w:rsidP="00916B8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 xml:space="preserve">Admissions </w:t>
      </w:r>
      <w:r w:rsidR="00CD1246" w:rsidRPr="009A1394">
        <w:rPr>
          <w:lang w:val="en-CA"/>
        </w:rPr>
        <w:t>appended to</w:t>
      </w:r>
      <w:r w:rsidR="00B8103C" w:rsidRPr="009A1394">
        <w:rPr>
          <w:lang w:val="en-CA"/>
        </w:rPr>
        <w:t xml:space="preserve"> the judgment under appeal</w:t>
      </w:r>
      <w:r w:rsidR="007E1051" w:rsidRPr="009A1394">
        <w:rPr>
          <w:lang w:val="en-CA"/>
        </w:rPr>
        <w:t>, para</w:t>
      </w:r>
      <w:r w:rsidR="00B8103C" w:rsidRPr="009A1394">
        <w:rPr>
          <w:lang w:val="en-CA"/>
        </w:rPr>
        <w:t>.</w:t>
      </w:r>
      <w:r w:rsidRPr="009A1394">
        <w:rPr>
          <w:lang w:val="en-CA"/>
        </w:rPr>
        <w:t xml:space="preserve"> </w:t>
      </w:r>
      <w:r w:rsidR="00B8103C" w:rsidRPr="009A1394">
        <w:rPr>
          <w:lang w:val="en-CA"/>
        </w:rPr>
        <w:t>31.</w:t>
      </w:r>
    </w:p>
  </w:footnote>
  <w:footnote w:id="38">
    <w:p w14:paraId="68156FF5" w14:textId="66E0B085" w:rsidR="00574C09" w:rsidRPr="009A1394" w:rsidRDefault="00574C09" w:rsidP="00574C0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s.</w:t>
      </w:r>
      <w:r w:rsidRPr="009A1394">
        <w:rPr>
          <w:lang w:val="en-CA"/>
        </w:rPr>
        <w:t xml:space="preserve"> </w:t>
      </w:r>
      <w:r w:rsidR="00B8103C" w:rsidRPr="009A1394">
        <w:rPr>
          <w:lang w:val="en-CA"/>
        </w:rPr>
        <w:t>204 and 483.</w:t>
      </w:r>
    </w:p>
  </w:footnote>
  <w:footnote w:id="39">
    <w:p w14:paraId="03627F6A" w14:textId="14EE696D" w:rsidR="008269E4" w:rsidRPr="009A1394" w:rsidRDefault="008269E4" w:rsidP="008269E4">
      <w:pPr>
        <w:pStyle w:val="Notedebasdepage"/>
        <w:rPr>
          <w:lang w:val="en-CA"/>
        </w:rPr>
      </w:pPr>
      <w:r w:rsidRPr="009A1394">
        <w:rPr>
          <w:rStyle w:val="Appelnotedebasdep"/>
          <w:lang w:val="en-CA"/>
        </w:rPr>
        <w:footnoteRef/>
      </w:r>
      <w:r w:rsidRPr="009A1394">
        <w:rPr>
          <w:lang w:val="en-CA"/>
        </w:rPr>
        <w:t xml:space="preserve"> </w:t>
      </w:r>
      <w:r w:rsidRPr="009A1394">
        <w:rPr>
          <w:lang w:val="en-CA"/>
        </w:rPr>
        <w:tab/>
        <w:t>Judgment under appeal</w:t>
      </w:r>
      <w:r w:rsidR="007E1051" w:rsidRPr="009A1394">
        <w:rPr>
          <w:lang w:val="en-CA"/>
        </w:rPr>
        <w:t>, para</w:t>
      </w:r>
      <w:r w:rsidRPr="009A1394">
        <w:rPr>
          <w:lang w:val="en-CA"/>
        </w:rPr>
        <w:t>s. 61–62.</w:t>
      </w:r>
    </w:p>
  </w:footnote>
  <w:footnote w:id="40">
    <w:p w14:paraId="70842D89" w14:textId="47BE0A86" w:rsidR="00574C09" w:rsidRPr="009A1394" w:rsidRDefault="00574C09" w:rsidP="00574C0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E1051" w:rsidRPr="009A1394">
        <w:rPr>
          <w:lang w:val="en-CA"/>
        </w:rPr>
        <w:t>, para</w:t>
      </w:r>
      <w:r w:rsidR="00B8103C" w:rsidRPr="009A1394">
        <w:rPr>
          <w:lang w:val="en-CA"/>
        </w:rPr>
        <w:t>s.</w:t>
      </w:r>
      <w:r w:rsidRPr="009A1394">
        <w:rPr>
          <w:lang w:val="en-CA"/>
        </w:rPr>
        <w:t xml:space="preserve"> </w:t>
      </w:r>
      <w:r w:rsidR="00B8103C" w:rsidRPr="009A1394">
        <w:rPr>
          <w:lang w:val="en-CA"/>
        </w:rPr>
        <w:t xml:space="preserve">61, 96, and 800; Admissions </w:t>
      </w:r>
      <w:r w:rsidR="00CD1246" w:rsidRPr="009A1394">
        <w:rPr>
          <w:lang w:val="en-CA"/>
        </w:rPr>
        <w:t>appended to</w:t>
      </w:r>
      <w:r w:rsidR="00B8103C" w:rsidRPr="009A1394">
        <w:rPr>
          <w:lang w:val="en-CA"/>
        </w:rPr>
        <w:t xml:space="preserve"> the judgment under appeal</w:t>
      </w:r>
      <w:r w:rsidR="00740FF2" w:rsidRPr="009A1394">
        <w:rPr>
          <w:lang w:val="en-CA"/>
        </w:rPr>
        <w:t>,</w:t>
      </w:r>
      <w:r w:rsidR="00B8103C" w:rsidRPr="009A1394">
        <w:rPr>
          <w:lang w:val="en-CA"/>
        </w:rPr>
        <w:t xml:space="preserve"> para.</w:t>
      </w:r>
      <w:r w:rsidRPr="009A1394">
        <w:rPr>
          <w:lang w:val="en-CA"/>
        </w:rPr>
        <w:t xml:space="preserve"> </w:t>
      </w:r>
      <w:r w:rsidR="00B8103C" w:rsidRPr="009A1394">
        <w:rPr>
          <w:lang w:val="en-CA"/>
        </w:rPr>
        <w:t>29.</w:t>
      </w:r>
    </w:p>
  </w:footnote>
  <w:footnote w:id="41">
    <w:p w14:paraId="5CB536F6" w14:textId="55FE2908" w:rsidR="00574C09" w:rsidRPr="009A1394" w:rsidRDefault="00574C09" w:rsidP="00574C0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w:t>
      </w:r>
      <w:r w:rsidRPr="009A1394">
        <w:rPr>
          <w:lang w:val="en-CA"/>
        </w:rPr>
        <w:t xml:space="preserve"> </w:t>
      </w:r>
      <w:r w:rsidR="00B8103C" w:rsidRPr="009A1394">
        <w:rPr>
          <w:lang w:val="en-CA"/>
        </w:rPr>
        <w:t>188.</w:t>
      </w:r>
    </w:p>
  </w:footnote>
  <w:footnote w:id="42">
    <w:p w14:paraId="03B09F06" w14:textId="679EDC48" w:rsidR="00574C09" w:rsidRPr="009A1394" w:rsidRDefault="00574C09" w:rsidP="00574C0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s.</w:t>
      </w:r>
      <w:r w:rsidRPr="009A1394">
        <w:rPr>
          <w:lang w:val="en-CA"/>
        </w:rPr>
        <w:t xml:space="preserve"> </w:t>
      </w:r>
      <w:r w:rsidR="00B8103C" w:rsidRPr="009A1394">
        <w:rPr>
          <w:lang w:val="en-CA"/>
        </w:rPr>
        <w:t>188 and 205.</w:t>
      </w:r>
    </w:p>
  </w:footnote>
  <w:footnote w:id="43">
    <w:p w14:paraId="59B75F90" w14:textId="1160361E" w:rsidR="00574C09" w:rsidRPr="009A1394" w:rsidRDefault="00574C09" w:rsidP="00574C0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w:t>
      </w:r>
      <w:r w:rsidRPr="009A1394">
        <w:rPr>
          <w:lang w:val="en-CA"/>
        </w:rPr>
        <w:t xml:space="preserve"> </w:t>
      </w:r>
      <w:r w:rsidR="00B8103C" w:rsidRPr="009A1394">
        <w:rPr>
          <w:lang w:val="en-CA"/>
        </w:rPr>
        <w:t>188.</w:t>
      </w:r>
    </w:p>
  </w:footnote>
  <w:footnote w:id="44">
    <w:p w14:paraId="562BA2EC" w14:textId="699B554E"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w:t>
      </w:r>
      <w:r w:rsidRPr="009A1394">
        <w:rPr>
          <w:lang w:val="en-CA"/>
        </w:rPr>
        <w:t xml:space="preserve"> </w:t>
      </w:r>
      <w:r w:rsidR="00B8103C" w:rsidRPr="009A1394">
        <w:rPr>
          <w:lang w:val="en-CA"/>
        </w:rPr>
        <w:t>98.</w:t>
      </w:r>
    </w:p>
  </w:footnote>
  <w:footnote w:id="45">
    <w:p w14:paraId="37721A1E" w14:textId="61E983B3"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s.</w:t>
      </w:r>
      <w:r w:rsidRPr="009A1394">
        <w:rPr>
          <w:lang w:val="en-CA"/>
        </w:rPr>
        <w:t xml:space="preserve"> </w:t>
      </w:r>
      <w:r w:rsidR="00B8103C" w:rsidRPr="009A1394">
        <w:rPr>
          <w:lang w:val="en-CA"/>
        </w:rPr>
        <w:t>167, 184, 192, 193, 281, and 516.</w:t>
      </w:r>
    </w:p>
  </w:footnote>
  <w:footnote w:id="46">
    <w:p w14:paraId="29117614" w14:textId="61CE887D"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i/>
          <w:iCs/>
          <w:lang w:val="en-CA"/>
        </w:rPr>
        <w:t>Transportation of Dangerous Goods Regulations</w:t>
      </w:r>
      <w:r w:rsidR="00B8103C" w:rsidRPr="009A1394">
        <w:rPr>
          <w:iCs/>
          <w:lang w:val="en-CA"/>
        </w:rPr>
        <w:t xml:space="preserve"> (SOR/2001-286)</w:t>
      </w:r>
      <w:r w:rsidR="00BF22E7" w:rsidRPr="009A1394">
        <w:rPr>
          <w:iCs/>
          <w:lang w:val="en-CA"/>
        </w:rPr>
        <w:t xml:space="preserve">, </w:t>
      </w:r>
      <w:r w:rsidR="00F75F02" w:rsidRPr="009A1394">
        <w:rPr>
          <w:iCs/>
          <w:lang w:val="en-CA"/>
        </w:rPr>
        <w:t>s</w:t>
      </w:r>
      <w:r w:rsidR="00B8103C" w:rsidRPr="009A1394">
        <w:rPr>
          <w:iCs/>
          <w:lang w:val="en-CA"/>
        </w:rPr>
        <w:t>.</w:t>
      </w:r>
      <w:r w:rsidRPr="009A1394">
        <w:rPr>
          <w:lang w:val="en-CA"/>
        </w:rPr>
        <w:t xml:space="preserve"> </w:t>
      </w:r>
      <w:r w:rsidR="00B8103C" w:rsidRPr="009A1394">
        <w:rPr>
          <w:lang w:val="en-CA"/>
        </w:rPr>
        <w:t>2.19(1).</w:t>
      </w:r>
    </w:p>
  </w:footnote>
  <w:footnote w:id="47">
    <w:p w14:paraId="222BE03E" w14:textId="419957DC"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w:t>
      </w:r>
      <w:r w:rsidRPr="009A1394">
        <w:rPr>
          <w:lang w:val="en-CA"/>
        </w:rPr>
        <w:t xml:space="preserve"> </w:t>
      </w:r>
      <w:r w:rsidR="00B8103C" w:rsidRPr="009A1394">
        <w:rPr>
          <w:lang w:val="en-CA"/>
        </w:rPr>
        <w:t>282.</w:t>
      </w:r>
    </w:p>
  </w:footnote>
  <w:footnote w:id="48">
    <w:p w14:paraId="7173172D" w14:textId="799B832A"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s.</w:t>
      </w:r>
      <w:r w:rsidRPr="009A1394">
        <w:rPr>
          <w:lang w:val="en-CA"/>
        </w:rPr>
        <w:t xml:space="preserve"> </w:t>
      </w:r>
      <w:r w:rsidR="00B8103C" w:rsidRPr="009A1394">
        <w:rPr>
          <w:lang w:val="en-CA"/>
        </w:rPr>
        <w:t>873 and 876.</w:t>
      </w:r>
    </w:p>
  </w:footnote>
  <w:footnote w:id="49">
    <w:p w14:paraId="6533D3CD" w14:textId="7ADD3AD0"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BF22E7" w:rsidRPr="009A1394">
        <w:rPr>
          <w:lang w:val="en-CA"/>
        </w:rPr>
        <w:t>, para</w:t>
      </w:r>
      <w:r w:rsidR="00B8103C" w:rsidRPr="009A1394">
        <w:rPr>
          <w:lang w:val="en-CA"/>
        </w:rPr>
        <w:t>s.</w:t>
      </w:r>
      <w:r w:rsidRPr="009A1394">
        <w:rPr>
          <w:lang w:val="en-CA"/>
        </w:rPr>
        <w:t xml:space="preserve"> </w:t>
      </w:r>
      <w:r w:rsidR="00B8103C" w:rsidRPr="009A1394">
        <w:rPr>
          <w:lang w:val="en-CA"/>
        </w:rPr>
        <w:t xml:space="preserve">63–65; Admissions </w:t>
      </w:r>
      <w:r w:rsidR="00676FDE" w:rsidRPr="009A1394">
        <w:rPr>
          <w:lang w:val="en-CA"/>
        </w:rPr>
        <w:t>appended</w:t>
      </w:r>
      <w:r w:rsidR="00B8103C" w:rsidRPr="009A1394">
        <w:rPr>
          <w:lang w:val="en-CA"/>
        </w:rPr>
        <w:t xml:space="preserve"> to the judgment under appeal</w:t>
      </w:r>
      <w:r w:rsidR="009A0984" w:rsidRPr="009A1394">
        <w:rPr>
          <w:lang w:val="en-CA"/>
        </w:rPr>
        <w:t>,</w:t>
      </w:r>
      <w:r w:rsidR="00B8103C" w:rsidRPr="009A1394">
        <w:rPr>
          <w:lang w:val="en-CA"/>
        </w:rPr>
        <w:t xml:space="preserve"> para.</w:t>
      </w:r>
      <w:r w:rsidRPr="009A1394">
        <w:rPr>
          <w:lang w:val="en-CA"/>
        </w:rPr>
        <w:t xml:space="preserve"> </w:t>
      </w:r>
      <w:r w:rsidR="00B8103C" w:rsidRPr="009A1394">
        <w:rPr>
          <w:lang w:val="en-CA"/>
        </w:rPr>
        <w:t>2.2.</w:t>
      </w:r>
    </w:p>
  </w:footnote>
  <w:footnote w:id="50">
    <w:p w14:paraId="5CCC165B" w14:textId="20CBCF12"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72CF8" w:rsidRPr="009A1394">
        <w:rPr>
          <w:lang w:val="en-CA"/>
        </w:rPr>
        <w:t>, para</w:t>
      </w:r>
      <w:r w:rsidR="00B8103C" w:rsidRPr="009A1394">
        <w:rPr>
          <w:lang w:val="en-CA"/>
        </w:rPr>
        <w:t>s.</w:t>
      </w:r>
      <w:r w:rsidRPr="009A1394">
        <w:rPr>
          <w:lang w:val="en-CA"/>
        </w:rPr>
        <w:t xml:space="preserve"> </w:t>
      </w:r>
      <w:r w:rsidR="00B8103C" w:rsidRPr="009A1394">
        <w:rPr>
          <w:lang w:val="en-CA"/>
        </w:rPr>
        <w:t>65 and 95.</w:t>
      </w:r>
    </w:p>
  </w:footnote>
  <w:footnote w:id="51">
    <w:p w14:paraId="1521082C" w14:textId="1B5FB2B4"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72CF8" w:rsidRPr="009A1394">
        <w:rPr>
          <w:lang w:val="en-CA"/>
        </w:rPr>
        <w:t>, para</w:t>
      </w:r>
      <w:r w:rsidR="00B8103C" w:rsidRPr="009A1394">
        <w:rPr>
          <w:lang w:val="en-CA"/>
        </w:rPr>
        <w:t>.</w:t>
      </w:r>
      <w:r w:rsidRPr="009A1394">
        <w:rPr>
          <w:lang w:val="en-CA"/>
        </w:rPr>
        <w:t xml:space="preserve"> </w:t>
      </w:r>
      <w:r w:rsidR="00B8103C" w:rsidRPr="009A1394">
        <w:rPr>
          <w:lang w:val="en-CA"/>
        </w:rPr>
        <w:t>67.</w:t>
      </w:r>
    </w:p>
  </w:footnote>
  <w:footnote w:id="52">
    <w:p w14:paraId="40A14459" w14:textId="4A2B7DA7"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72CF8" w:rsidRPr="009A1394">
        <w:rPr>
          <w:lang w:val="en-CA"/>
        </w:rPr>
        <w:t>, para</w:t>
      </w:r>
      <w:r w:rsidR="00B8103C" w:rsidRPr="009A1394">
        <w:rPr>
          <w:lang w:val="en-CA"/>
        </w:rPr>
        <w:t>s.</w:t>
      </w:r>
      <w:r w:rsidRPr="009A1394">
        <w:rPr>
          <w:lang w:val="en-CA"/>
        </w:rPr>
        <w:t xml:space="preserve"> </w:t>
      </w:r>
      <w:r w:rsidR="00B8103C" w:rsidRPr="009A1394">
        <w:rPr>
          <w:lang w:val="en-CA"/>
        </w:rPr>
        <w:t>67 and 71.</w:t>
      </w:r>
    </w:p>
  </w:footnote>
  <w:footnote w:id="53">
    <w:p w14:paraId="6A6E211E" w14:textId="46C8CD72"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72CF8" w:rsidRPr="009A1394">
        <w:rPr>
          <w:lang w:val="en-CA"/>
        </w:rPr>
        <w:t>, para</w:t>
      </w:r>
      <w:r w:rsidR="00B8103C" w:rsidRPr="009A1394">
        <w:rPr>
          <w:lang w:val="en-CA"/>
        </w:rPr>
        <w:t>.</w:t>
      </w:r>
      <w:r w:rsidRPr="009A1394">
        <w:rPr>
          <w:lang w:val="en-CA"/>
        </w:rPr>
        <w:t xml:space="preserve"> </w:t>
      </w:r>
      <w:r w:rsidR="00B8103C" w:rsidRPr="009A1394">
        <w:rPr>
          <w:lang w:val="en-CA"/>
        </w:rPr>
        <w:t>66.</w:t>
      </w:r>
    </w:p>
  </w:footnote>
  <w:footnote w:id="54">
    <w:p w14:paraId="0215DEEF" w14:textId="5F1B1BCB"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72CF8" w:rsidRPr="009A1394">
        <w:rPr>
          <w:lang w:val="en-CA"/>
        </w:rPr>
        <w:t>, para</w:t>
      </w:r>
      <w:r w:rsidR="00B8103C" w:rsidRPr="009A1394">
        <w:rPr>
          <w:lang w:val="en-CA"/>
        </w:rPr>
        <w:t>.</w:t>
      </w:r>
      <w:r w:rsidRPr="009A1394">
        <w:rPr>
          <w:lang w:val="en-CA"/>
        </w:rPr>
        <w:t xml:space="preserve"> </w:t>
      </w:r>
      <w:r w:rsidR="00B8103C" w:rsidRPr="009A1394">
        <w:rPr>
          <w:lang w:val="en-CA"/>
        </w:rPr>
        <w:t>69.</w:t>
      </w:r>
    </w:p>
  </w:footnote>
  <w:footnote w:id="55">
    <w:p w14:paraId="1E81FD16" w14:textId="5CF819AA"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 xml:space="preserve">Admissions </w:t>
      </w:r>
      <w:r w:rsidR="00676FDE" w:rsidRPr="009A1394">
        <w:rPr>
          <w:lang w:val="en-CA"/>
        </w:rPr>
        <w:t>appended</w:t>
      </w:r>
      <w:r w:rsidR="00B8103C" w:rsidRPr="009A1394">
        <w:rPr>
          <w:lang w:val="en-CA"/>
        </w:rPr>
        <w:t xml:space="preserve"> to the judgment under appeal</w:t>
      </w:r>
      <w:r w:rsidR="009A0984" w:rsidRPr="009A1394">
        <w:rPr>
          <w:lang w:val="en-CA"/>
        </w:rPr>
        <w:t>,</w:t>
      </w:r>
      <w:r w:rsidR="00B8103C" w:rsidRPr="009A1394">
        <w:rPr>
          <w:lang w:val="en-CA"/>
        </w:rPr>
        <w:t xml:space="preserve"> para.</w:t>
      </w:r>
      <w:r w:rsidRPr="009A1394">
        <w:rPr>
          <w:lang w:val="en-CA"/>
        </w:rPr>
        <w:t xml:space="preserve"> </w:t>
      </w:r>
      <w:r w:rsidR="00B8103C" w:rsidRPr="009A1394">
        <w:rPr>
          <w:lang w:val="en-CA"/>
        </w:rPr>
        <w:t>10.</w:t>
      </w:r>
    </w:p>
  </w:footnote>
  <w:footnote w:id="56">
    <w:p w14:paraId="1FDDACB9" w14:textId="13487761"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9E2313" w:rsidRPr="009A1394">
        <w:rPr>
          <w:lang w:val="en-CA"/>
        </w:rPr>
        <w:t>, para</w:t>
      </w:r>
      <w:r w:rsidR="00B8103C" w:rsidRPr="009A1394">
        <w:rPr>
          <w:lang w:val="en-CA"/>
        </w:rPr>
        <w:t>.</w:t>
      </w:r>
      <w:r w:rsidRPr="009A1394">
        <w:rPr>
          <w:lang w:val="en-CA"/>
        </w:rPr>
        <w:t xml:space="preserve"> </w:t>
      </w:r>
      <w:r w:rsidR="00B8103C" w:rsidRPr="009A1394">
        <w:rPr>
          <w:lang w:val="en-CA"/>
        </w:rPr>
        <w:t>70.</w:t>
      </w:r>
    </w:p>
  </w:footnote>
  <w:footnote w:id="57">
    <w:p w14:paraId="31C8DFBB" w14:textId="5DFB8E73"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 xml:space="preserve">Admissions </w:t>
      </w:r>
      <w:r w:rsidR="00676FDE" w:rsidRPr="009A1394">
        <w:rPr>
          <w:lang w:val="en-CA"/>
        </w:rPr>
        <w:t>appended</w:t>
      </w:r>
      <w:r w:rsidR="00B8103C" w:rsidRPr="009A1394">
        <w:rPr>
          <w:lang w:val="en-CA"/>
        </w:rPr>
        <w:t xml:space="preserve"> to the judgment under appeal</w:t>
      </w:r>
      <w:r w:rsidR="009A0984" w:rsidRPr="009A1394">
        <w:rPr>
          <w:lang w:val="en-CA"/>
        </w:rPr>
        <w:t>,</w:t>
      </w:r>
      <w:r w:rsidR="00B8103C" w:rsidRPr="009A1394">
        <w:rPr>
          <w:lang w:val="en-CA"/>
        </w:rPr>
        <w:t xml:space="preserve"> para.</w:t>
      </w:r>
      <w:r w:rsidRPr="009A1394">
        <w:rPr>
          <w:lang w:val="en-CA"/>
        </w:rPr>
        <w:t xml:space="preserve"> </w:t>
      </w:r>
      <w:r w:rsidR="00B8103C" w:rsidRPr="009A1394">
        <w:rPr>
          <w:lang w:val="en-CA"/>
        </w:rPr>
        <w:t>10.1.</w:t>
      </w:r>
    </w:p>
  </w:footnote>
  <w:footnote w:id="58">
    <w:p w14:paraId="0F85743F" w14:textId="5728F818"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 xml:space="preserve">Admissions </w:t>
      </w:r>
      <w:r w:rsidR="00676FDE" w:rsidRPr="009A1394">
        <w:rPr>
          <w:lang w:val="en-CA"/>
        </w:rPr>
        <w:t>appended</w:t>
      </w:r>
      <w:r w:rsidR="00B8103C" w:rsidRPr="009A1394">
        <w:rPr>
          <w:lang w:val="en-CA"/>
        </w:rPr>
        <w:t xml:space="preserve"> to the judgment under appeal</w:t>
      </w:r>
      <w:r w:rsidR="009A0984" w:rsidRPr="009A1394">
        <w:rPr>
          <w:lang w:val="en-CA"/>
        </w:rPr>
        <w:t>,</w:t>
      </w:r>
      <w:r w:rsidR="00B8103C" w:rsidRPr="009A1394">
        <w:rPr>
          <w:lang w:val="en-CA"/>
        </w:rPr>
        <w:t xml:space="preserve"> para.</w:t>
      </w:r>
      <w:r w:rsidRPr="009A1394">
        <w:rPr>
          <w:lang w:val="en-CA"/>
        </w:rPr>
        <w:t> </w:t>
      </w:r>
      <w:r w:rsidR="00B8103C" w:rsidRPr="009A1394">
        <w:rPr>
          <w:lang w:val="en-CA"/>
        </w:rPr>
        <w:t>10; Judgment under appeal</w:t>
      </w:r>
      <w:r w:rsidR="00C85C09" w:rsidRPr="009A1394">
        <w:rPr>
          <w:lang w:val="en-CA"/>
        </w:rPr>
        <w:t>, para</w:t>
      </w:r>
      <w:r w:rsidR="00B8103C" w:rsidRPr="009A1394">
        <w:rPr>
          <w:lang w:val="en-CA"/>
        </w:rPr>
        <w:t>.</w:t>
      </w:r>
      <w:r w:rsidRPr="009A1394">
        <w:rPr>
          <w:lang w:val="en-CA"/>
        </w:rPr>
        <w:t> </w:t>
      </w:r>
      <w:r w:rsidR="00B8103C" w:rsidRPr="009A1394">
        <w:rPr>
          <w:lang w:val="en-CA"/>
        </w:rPr>
        <w:t>70.</w:t>
      </w:r>
    </w:p>
  </w:footnote>
  <w:footnote w:id="59">
    <w:p w14:paraId="6E0E2143" w14:textId="770C0265"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xml:space="preserve"> </w:t>
      </w:r>
      <w:r w:rsidR="00B8103C" w:rsidRPr="009A1394">
        <w:rPr>
          <w:lang w:val="en-CA"/>
        </w:rPr>
        <w:t>71.</w:t>
      </w:r>
    </w:p>
  </w:footnote>
  <w:footnote w:id="60">
    <w:p w14:paraId="234AECD3" w14:textId="0B09CF3F"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s.</w:t>
      </w:r>
      <w:r w:rsidRPr="009A1394">
        <w:rPr>
          <w:lang w:val="en-CA"/>
        </w:rPr>
        <w:t xml:space="preserve"> </w:t>
      </w:r>
      <w:r w:rsidR="00B8103C" w:rsidRPr="009A1394">
        <w:rPr>
          <w:lang w:val="en-CA"/>
        </w:rPr>
        <w:t>71, 91, and 94.</w:t>
      </w:r>
      <w:r w:rsidRPr="009A1394">
        <w:rPr>
          <w:lang w:val="en-CA"/>
        </w:rPr>
        <w:t xml:space="preserve"> </w:t>
      </w:r>
      <w:r w:rsidR="00B8103C" w:rsidRPr="009A1394">
        <w:rPr>
          <w:lang w:val="en-CA"/>
        </w:rPr>
        <w:t xml:space="preserve">The average </w:t>
      </w:r>
      <w:r w:rsidR="00CD1246" w:rsidRPr="009A1394">
        <w:rPr>
          <w:lang w:val="en-CA"/>
        </w:rPr>
        <w:t>descending grade</w:t>
      </w:r>
      <w:r w:rsidR="00B8103C" w:rsidRPr="009A1394">
        <w:rPr>
          <w:lang w:val="en-CA"/>
        </w:rPr>
        <w:t xml:space="preserve"> is 0.94%.</w:t>
      </w:r>
      <w:r w:rsidRPr="009A1394">
        <w:rPr>
          <w:lang w:val="en-CA"/>
        </w:rPr>
        <w:t xml:space="preserve"> </w:t>
      </w:r>
      <w:r w:rsidR="00B8103C" w:rsidRPr="009A1394">
        <w:rPr>
          <w:lang w:val="en-CA"/>
        </w:rPr>
        <w:t>At its steepest, it</w:t>
      </w:r>
      <w:r w:rsidR="009A0984" w:rsidRPr="009A1394">
        <w:rPr>
          <w:lang w:val="en-CA"/>
        </w:rPr>
        <w:t xml:space="preserve"> </w:t>
      </w:r>
      <w:r w:rsidR="00B8103C" w:rsidRPr="009A1394">
        <w:rPr>
          <w:lang w:val="en-CA"/>
        </w:rPr>
        <w:t xml:space="preserve">is 1.32%. </w:t>
      </w:r>
    </w:p>
  </w:footnote>
  <w:footnote w:id="61">
    <w:p w14:paraId="748F0E49" w14:textId="6BEFDEA7"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xml:space="preserve"> </w:t>
      </w:r>
      <w:r w:rsidR="00B8103C" w:rsidRPr="009A1394">
        <w:rPr>
          <w:lang w:val="en-CA"/>
        </w:rPr>
        <w:t>85.</w:t>
      </w:r>
    </w:p>
  </w:footnote>
  <w:footnote w:id="62">
    <w:p w14:paraId="6B02B5A0" w14:textId="09BA298D"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xml:space="preserve"> </w:t>
      </w:r>
      <w:r w:rsidR="00B8103C" w:rsidRPr="009A1394">
        <w:rPr>
          <w:lang w:val="en-CA"/>
        </w:rPr>
        <w:t xml:space="preserve">71; Admissions </w:t>
      </w:r>
      <w:r w:rsidR="00CD1246" w:rsidRPr="009A1394">
        <w:rPr>
          <w:lang w:val="en-CA"/>
        </w:rPr>
        <w:t>appended</w:t>
      </w:r>
      <w:r w:rsidR="00B8103C" w:rsidRPr="009A1394">
        <w:rPr>
          <w:lang w:val="en-CA"/>
        </w:rPr>
        <w:t xml:space="preserve"> to the judgment under appeal</w:t>
      </w:r>
      <w:r w:rsidR="009A0984" w:rsidRPr="009A1394">
        <w:rPr>
          <w:lang w:val="en-CA"/>
        </w:rPr>
        <w:t>,</w:t>
      </w:r>
      <w:r w:rsidR="00B8103C" w:rsidRPr="009A1394">
        <w:rPr>
          <w:lang w:val="en-CA"/>
        </w:rPr>
        <w:t xml:space="preserve"> para.</w:t>
      </w:r>
      <w:r w:rsidRPr="009A1394">
        <w:rPr>
          <w:lang w:val="en-CA"/>
        </w:rPr>
        <w:t xml:space="preserve"> </w:t>
      </w:r>
      <w:r w:rsidR="00B8103C" w:rsidRPr="009A1394">
        <w:rPr>
          <w:lang w:val="en-CA"/>
        </w:rPr>
        <w:t>10.1.</w:t>
      </w:r>
    </w:p>
  </w:footnote>
  <w:footnote w:id="63">
    <w:p w14:paraId="07B54111" w14:textId="577E58D1"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8D39DF" w:rsidRPr="009A1394">
        <w:rPr>
          <w:lang w:val="en-CA"/>
        </w:rPr>
        <w:t>J</w:t>
      </w:r>
      <w:r w:rsidR="00B8103C" w:rsidRPr="009A1394">
        <w:rPr>
          <w:lang w:val="en-CA"/>
        </w:rPr>
        <w:t>udgment under appeal</w:t>
      </w:r>
      <w:r w:rsidR="008D39DF" w:rsidRPr="009A1394">
        <w:rPr>
          <w:lang w:val="en-CA"/>
        </w:rPr>
        <w:t>, footnote 28</w:t>
      </w:r>
      <w:r w:rsidR="00B8103C" w:rsidRPr="009A1394">
        <w:rPr>
          <w:lang w:val="en-CA"/>
        </w:rPr>
        <w:t>.</w:t>
      </w:r>
    </w:p>
  </w:footnote>
  <w:footnote w:id="64">
    <w:p w14:paraId="54FEC632" w14:textId="11F3B6F6"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ED2C8B" w:rsidRPr="009A1394">
        <w:rPr>
          <w:lang w:val="en-CA"/>
        </w:rPr>
        <w:t>J</w:t>
      </w:r>
      <w:r w:rsidR="00B8103C" w:rsidRPr="009A1394">
        <w:rPr>
          <w:lang w:val="en-CA"/>
        </w:rPr>
        <w:t>udgment under appeal</w:t>
      </w:r>
      <w:r w:rsidR="00ED2C8B" w:rsidRPr="009A1394">
        <w:rPr>
          <w:lang w:val="en-CA"/>
        </w:rPr>
        <w:t>, footnote 29</w:t>
      </w:r>
      <w:r w:rsidR="00B8103C" w:rsidRPr="009A1394">
        <w:rPr>
          <w:lang w:val="en-CA"/>
        </w:rPr>
        <w:t>.</w:t>
      </w:r>
    </w:p>
  </w:footnote>
  <w:footnote w:id="65">
    <w:p w14:paraId="27227B4C" w14:textId="6385CABB"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s.</w:t>
      </w:r>
      <w:r w:rsidRPr="009A1394">
        <w:rPr>
          <w:lang w:val="en-CA"/>
        </w:rPr>
        <w:t> </w:t>
      </w:r>
      <w:r w:rsidR="00B8103C" w:rsidRPr="009A1394">
        <w:rPr>
          <w:lang w:val="en-CA"/>
        </w:rPr>
        <w:t>73–74.</w:t>
      </w:r>
    </w:p>
  </w:footnote>
  <w:footnote w:id="66">
    <w:p w14:paraId="2AB991C8" w14:textId="4048BC85"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xml:space="preserve"> </w:t>
      </w:r>
      <w:r w:rsidR="00B8103C" w:rsidRPr="009A1394">
        <w:rPr>
          <w:lang w:val="en-CA"/>
        </w:rPr>
        <w:t>712.</w:t>
      </w:r>
    </w:p>
  </w:footnote>
  <w:footnote w:id="67">
    <w:p w14:paraId="51DDC370" w14:textId="45133DEC"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xml:space="preserve"> </w:t>
      </w:r>
      <w:r w:rsidR="00B8103C" w:rsidRPr="009A1394">
        <w:rPr>
          <w:lang w:val="en-CA"/>
        </w:rPr>
        <w:t>70.</w:t>
      </w:r>
    </w:p>
  </w:footnote>
  <w:footnote w:id="68">
    <w:p w14:paraId="0A0B1B54" w14:textId="1D17B602"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s.</w:t>
      </w:r>
      <w:r w:rsidRPr="009A1394">
        <w:rPr>
          <w:lang w:val="en-CA"/>
        </w:rPr>
        <w:t> </w:t>
      </w:r>
      <w:r w:rsidR="00B8103C" w:rsidRPr="009A1394">
        <w:rPr>
          <w:lang w:val="en-CA"/>
        </w:rPr>
        <w:t>68 and 71.</w:t>
      </w:r>
    </w:p>
  </w:footnote>
  <w:footnote w:id="69">
    <w:p w14:paraId="4407E8B3" w14:textId="206A4DB8"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xml:space="preserve"> </w:t>
      </w:r>
      <w:r w:rsidR="00B8103C" w:rsidRPr="009A1394">
        <w:rPr>
          <w:lang w:val="en-CA"/>
        </w:rPr>
        <w:t>689.</w:t>
      </w:r>
    </w:p>
  </w:footnote>
  <w:footnote w:id="70">
    <w:p w14:paraId="7F3CFEE9" w14:textId="008D2F66"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w:t>
      </w:r>
      <w:r w:rsidR="00B8103C" w:rsidRPr="009A1394">
        <w:rPr>
          <w:lang w:val="en-CA"/>
        </w:rPr>
        <w:t>76.</w:t>
      </w:r>
    </w:p>
  </w:footnote>
  <w:footnote w:id="71">
    <w:p w14:paraId="42A6AE81" w14:textId="2D96375C"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w:t>
      </w:r>
      <w:r w:rsidR="00B8103C" w:rsidRPr="009A1394">
        <w:rPr>
          <w:lang w:val="en-CA"/>
        </w:rPr>
        <w:t>77.</w:t>
      </w:r>
    </w:p>
  </w:footnote>
  <w:footnote w:id="72">
    <w:p w14:paraId="516858E9" w14:textId="0199D594"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w:t>
      </w:r>
      <w:r w:rsidR="00B8103C" w:rsidRPr="009A1394">
        <w:rPr>
          <w:lang w:val="en-CA"/>
        </w:rPr>
        <w:t>68.</w:t>
      </w:r>
    </w:p>
  </w:footnote>
  <w:footnote w:id="73">
    <w:p w14:paraId="370F7C13" w14:textId="34A0CFAA"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w:t>
      </w:r>
      <w:r w:rsidR="00B8103C" w:rsidRPr="009A1394">
        <w:rPr>
          <w:lang w:val="en-CA"/>
        </w:rPr>
        <w:t>78.</w:t>
      </w:r>
    </w:p>
  </w:footnote>
  <w:footnote w:id="74">
    <w:p w14:paraId="68E933E6" w14:textId="2FADF446"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s.</w:t>
      </w:r>
      <w:r w:rsidRPr="009A1394">
        <w:rPr>
          <w:lang w:val="en-CA"/>
        </w:rPr>
        <w:t> </w:t>
      </w:r>
      <w:r w:rsidR="00B8103C" w:rsidRPr="009A1394">
        <w:rPr>
          <w:lang w:val="en-CA"/>
        </w:rPr>
        <w:t>78–79.</w:t>
      </w:r>
    </w:p>
  </w:footnote>
  <w:footnote w:id="75">
    <w:p w14:paraId="339CC84A" w14:textId="39C01BF9"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s.</w:t>
      </w:r>
      <w:r w:rsidRPr="009A1394">
        <w:rPr>
          <w:lang w:val="en-CA"/>
        </w:rPr>
        <w:t> </w:t>
      </w:r>
      <w:r w:rsidR="00B8103C" w:rsidRPr="009A1394">
        <w:rPr>
          <w:lang w:val="en-CA"/>
        </w:rPr>
        <w:t>79–80.</w:t>
      </w:r>
    </w:p>
  </w:footnote>
  <w:footnote w:id="76">
    <w:p w14:paraId="14CAE663" w14:textId="6931406D"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w:t>
      </w:r>
      <w:r w:rsidR="00B8103C" w:rsidRPr="009A1394">
        <w:rPr>
          <w:lang w:val="en-CA"/>
        </w:rPr>
        <w:t>80.</w:t>
      </w:r>
    </w:p>
  </w:footnote>
  <w:footnote w:id="77">
    <w:p w14:paraId="72CDA2FD" w14:textId="18DAA5BB"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C85C09" w:rsidRPr="009A1394">
        <w:rPr>
          <w:lang w:val="en-CA"/>
        </w:rPr>
        <w:t>, para</w:t>
      </w:r>
      <w:r w:rsidR="00B8103C" w:rsidRPr="009A1394">
        <w:rPr>
          <w:lang w:val="en-CA"/>
        </w:rPr>
        <w:t>.</w:t>
      </w:r>
      <w:r w:rsidRPr="009A1394">
        <w:rPr>
          <w:lang w:val="en-CA"/>
        </w:rPr>
        <w:t> </w:t>
      </w:r>
      <w:r w:rsidR="00B8103C" w:rsidRPr="009A1394">
        <w:rPr>
          <w:lang w:val="en-CA"/>
        </w:rPr>
        <w:t>80.</w:t>
      </w:r>
    </w:p>
  </w:footnote>
  <w:footnote w:id="78">
    <w:p w14:paraId="745F8AC4" w14:textId="11E70A5E"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 xml:space="preserve">Admissions </w:t>
      </w:r>
      <w:r w:rsidR="00CD1246" w:rsidRPr="009A1394">
        <w:rPr>
          <w:lang w:val="en-CA"/>
        </w:rPr>
        <w:t>appended to</w:t>
      </w:r>
      <w:r w:rsidR="00B8103C" w:rsidRPr="009A1394">
        <w:rPr>
          <w:lang w:val="en-CA"/>
        </w:rPr>
        <w:t xml:space="preserve"> the judgment under appeal</w:t>
      </w:r>
      <w:r w:rsidR="00223954" w:rsidRPr="009A1394">
        <w:rPr>
          <w:lang w:val="en-CA"/>
        </w:rPr>
        <w:t>,</w:t>
      </w:r>
      <w:r w:rsidR="00B8103C" w:rsidRPr="009A1394">
        <w:rPr>
          <w:lang w:val="en-CA"/>
        </w:rPr>
        <w:t xml:space="preserve"> para.</w:t>
      </w:r>
      <w:r w:rsidRPr="009A1394">
        <w:rPr>
          <w:lang w:val="en-CA"/>
        </w:rPr>
        <w:t> </w:t>
      </w:r>
      <w:r w:rsidR="00B8103C" w:rsidRPr="009A1394">
        <w:rPr>
          <w:lang w:val="en-CA"/>
        </w:rPr>
        <w:t>10.4.</w:t>
      </w:r>
    </w:p>
  </w:footnote>
  <w:footnote w:id="79">
    <w:p w14:paraId="11B98832" w14:textId="538F80CF"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w:t>
      </w:r>
      <w:r w:rsidR="00B8103C" w:rsidRPr="009A1394">
        <w:rPr>
          <w:lang w:val="en-CA"/>
        </w:rPr>
        <w:t xml:space="preserve">81; Admissions </w:t>
      </w:r>
      <w:r w:rsidR="00CD1246" w:rsidRPr="009A1394">
        <w:rPr>
          <w:lang w:val="en-CA"/>
        </w:rPr>
        <w:t>appended to</w:t>
      </w:r>
      <w:r w:rsidR="00B8103C" w:rsidRPr="009A1394">
        <w:rPr>
          <w:lang w:val="en-CA"/>
        </w:rPr>
        <w:t xml:space="preserve"> the judgment under appeal</w:t>
      </w:r>
      <w:r w:rsidR="00223954" w:rsidRPr="009A1394">
        <w:rPr>
          <w:lang w:val="en-CA"/>
        </w:rPr>
        <w:t>,</w:t>
      </w:r>
      <w:r w:rsidR="00B8103C" w:rsidRPr="009A1394">
        <w:rPr>
          <w:lang w:val="en-CA"/>
        </w:rPr>
        <w:t xml:space="preserve"> para.</w:t>
      </w:r>
      <w:r w:rsidRPr="009A1394">
        <w:rPr>
          <w:lang w:val="en-CA"/>
        </w:rPr>
        <w:t> </w:t>
      </w:r>
      <w:r w:rsidR="00B8103C" w:rsidRPr="009A1394">
        <w:rPr>
          <w:lang w:val="en-CA"/>
        </w:rPr>
        <w:t>10.5.</w:t>
      </w:r>
    </w:p>
  </w:footnote>
  <w:footnote w:id="80">
    <w:p w14:paraId="7D8F8A59" w14:textId="1BD37FA7"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s.</w:t>
      </w:r>
      <w:r w:rsidRPr="009A1394">
        <w:rPr>
          <w:lang w:val="en-CA"/>
        </w:rPr>
        <w:t> </w:t>
      </w:r>
      <w:r w:rsidR="00B8103C" w:rsidRPr="009A1394">
        <w:rPr>
          <w:lang w:val="en-CA"/>
        </w:rPr>
        <w:t xml:space="preserve">85–86; Admissions </w:t>
      </w:r>
      <w:r w:rsidR="00CD1246" w:rsidRPr="009A1394">
        <w:rPr>
          <w:lang w:val="en-CA"/>
        </w:rPr>
        <w:t>appended to</w:t>
      </w:r>
      <w:r w:rsidR="00B8103C" w:rsidRPr="009A1394">
        <w:rPr>
          <w:lang w:val="en-CA"/>
        </w:rPr>
        <w:t xml:space="preserve"> the judgment under appeal</w:t>
      </w:r>
      <w:r w:rsidR="00223954" w:rsidRPr="009A1394">
        <w:rPr>
          <w:lang w:val="en-CA"/>
        </w:rPr>
        <w:t>,</w:t>
      </w:r>
      <w:r w:rsidR="00B8103C" w:rsidRPr="009A1394">
        <w:rPr>
          <w:lang w:val="en-CA"/>
        </w:rPr>
        <w:t xml:space="preserve"> paras.</w:t>
      </w:r>
      <w:r w:rsidRPr="009A1394">
        <w:rPr>
          <w:lang w:val="en-CA"/>
        </w:rPr>
        <w:t xml:space="preserve"> </w:t>
      </w:r>
      <w:r w:rsidR="00B8103C" w:rsidRPr="009A1394">
        <w:rPr>
          <w:lang w:val="en-CA"/>
        </w:rPr>
        <w:t>10.5 and 18.1.</w:t>
      </w:r>
    </w:p>
  </w:footnote>
  <w:footnote w:id="81">
    <w:p w14:paraId="675F7758" w14:textId="262B34C3"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w:t>
      </w:r>
      <w:r w:rsidR="00B8103C" w:rsidRPr="009A1394">
        <w:rPr>
          <w:lang w:val="en-CA"/>
        </w:rPr>
        <w:t>86.</w:t>
      </w:r>
    </w:p>
  </w:footnote>
  <w:footnote w:id="82">
    <w:p w14:paraId="3FA6E019" w14:textId="7839A38D" w:rsidR="00363C53" w:rsidRPr="009A1394" w:rsidRDefault="00363C53" w:rsidP="00363C53">
      <w:pPr>
        <w:pStyle w:val="Notedebasdepage"/>
        <w:rPr>
          <w:lang w:val="en-CA"/>
        </w:rPr>
      </w:pPr>
      <w:r w:rsidRPr="009A1394">
        <w:rPr>
          <w:rStyle w:val="Appelnotedebasdep"/>
          <w:lang w:val="en-CA"/>
        </w:rPr>
        <w:footnoteRef/>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s.</w:t>
      </w:r>
      <w:r w:rsidRPr="009A1394">
        <w:rPr>
          <w:lang w:val="en-CA"/>
        </w:rPr>
        <w:t xml:space="preserve"> </w:t>
      </w:r>
      <w:r w:rsidR="00B8103C" w:rsidRPr="009A1394">
        <w:rPr>
          <w:lang w:val="en-CA"/>
        </w:rPr>
        <w:t xml:space="preserve">1 and 85; Admissions </w:t>
      </w:r>
      <w:r w:rsidR="00CD1246" w:rsidRPr="009A1394">
        <w:rPr>
          <w:lang w:val="en-CA"/>
        </w:rPr>
        <w:t>appended to</w:t>
      </w:r>
      <w:r w:rsidR="00B8103C" w:rsidRPr="009A1394">
        <w:rPr>
          <w:lang w:val="en-CA"/>
        </w:rPr>
        <w:t xml:space="preserve"> the judgment under appeal</w:t>
      </w:r>
      <w:r w:rsidR="00223954" w:rsidRPr="009A1394">
        <w:rPr>
          <w:lang w:val="en-CA"/>
        </w:rPr>
        <w:t>,</w:t>
      </w:r>
      <w:r w:rsidR="00B8103C" w:rsidRPr="009A1394">
        <w:rPr>
          <w:lang w:val="en-CA"/>
        </w:rPr>
        <w:t xml:space="preserve"> para.</w:t>
      </w:r>
      <w:r w:rsidRPr="009A1394">
        <w:rPr>
          <w:lang w:val="en-CA"/>
        </w:rPr>
        <w:t xml:space="preserve"> </w:t>
      </w:r>
      <w:r w:rsidR="00B8103C" w:rsidRPr="009A1394">
        <w:rPr>
          <w:lang w:val="en-CA"/>
        </w:rPr>
        <w:t>10.5.</w:t>
      </w:r>
    </w:p>
  </w:footnote>
  <w:footnote w:id="83">
    <w:p w14:paraId="346C4920" w14:textId="3A8820A0"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xml:space="preserve"> </w:t>
      </w:r>
      <w:r w:rsidR="00737FF8" w:rsidRPr="009A1394">
        <w:rPr>
          <w:lang w:val="en-CA"/>
        </w:rPr>
        <w:t>83.</w:t>
      </w:r>
    </w:p>
  </w:footnote>
  <w:footnote w:id="84">
    <w:p w14:paraId="4A8B316F" w14:textId="00A30814"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xml:space="preserve"> </w:t>
      </w:r>
      <w:r w:rsidR="00737FF8" w:rsidRPr="009A1394">
        <w:rPr>
          <w:lang w:val="en-CA"/>
        </w:rPr>
        <w:t>83.</w:t>
      </w:r>
    </w:p>
  </w:footnote>
  <w:footnote w:id="85">
    <w:p w14:paraId="3779EFFB" w14:textId="62FCEFA2"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xml:space="preserve"> </w:t>
      </w:r>
      <w:r w:rsidR="00B8103C" w:rsidRPr="009A1394">
        <w:rPr>
          <w:lang w:val="en-CA"/>
        </w:rPr>
        <w:t>82.</w:t>
      </w:r>
    </w:p>
  </w:footnote>
  <w:footnote w:id="86">
    <w:p w14:paraId="1AA95AE0" w14:textId="368515C2"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xml:space="preserve"> </w:t>
      </w:r>
      <w:r w:rsidR="00B8103C" w:rsidRPr="009A1394">
        <w:rPr>
          <w:lang w:val="en-CA"/>
        </w:rPr>
        <w:t>82.</w:t>
      </w:r>
    </w:p>
  </w:footnote>
  <w:footnote w:id="87">
    <w:p w14:paraId="74973FDA" w14:textId="2AFE0754"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xml:space="preserve"> </w:t>
      </w:r>
      <w:r w:rsidR="00B8103C" w:rsidRPr="009A1394">
        <w:rPr>
          <w:lang w:val="en-CA"/>
        </w:rPr>
        <w:t>84.</w:t>
      </w:r>
    </w:p>
  </w:footnote>
  <w:footnote w:id="88">
    <w:p w14:paraId="3305C501" w14:textId="76B7D20A"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A4127A" w:rsidRPr="009A1394">
        <w:rPr>
          <w:lang w:val="en-CA"/>
        </w:rPr>
        <w:t>, para</w:t>
      </w:r>
      <w:r w:rsidR="00B8103C" w:rsidRPr="009A1394">
        <w:rPr>
          <w:lang w:val="en-CA"/>
        </w:rPr>
        <w:t>.</w:t>
      </w:r>
      <w:r w:rsidRPr="009A1394">
        <w:rPr>
          <w:lang w:val="en-CA"/>
        </w:rPr>
        <w:t xml:space="preserve"> </w:t>
      </w:r>
      <w:r w:rsidR="00B8103C" w:rsidRPr="009A1394">
        <w:rPr>
          <w:lang w:val="en-CA"/>
        </w:rPr>
        <w:t>84.</w:t>
      </w:r>
    </w:p>
  </w:footnote>
  <w:footnote w:id="89">
    <w:p w14:paraId="50355DFF" w14:textId="0708E922" w:rsidR="00363C53" w:rsidRPr="009A1394" w:rsidRDefault="00363C53" w:rsidP="00363C5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 xml:space="preserve">Admissions </w:t>
      </w:r>
      <w:r w:rsidR="00CD1246" w:rsidRPr="009A1394">
        <w:rPr>
          <w:lang w:val="en-CA"/>
        </w:rPr>
        <w:t>appended to</w:t>
      </w:r>
      <w:r w:rsidR="00B8103C" w:rsidRPr="009A1394">
        <w:rPr>
          <w:lang w:val="en-CA"/>
        </w:rPr>
        <w:t xml:space="preserve"> the judgment under appeal</w:t>
      </w:r>
      <w:r w:rsidR="00791C01" w:rsidRPr="009A1394">
        <w:rPr>
          <w:lang w:val="en-CA"/>
        </w:rPr>
        <w:t>, para</w:t>
      </w:r>
      <w:r w:rsidR="00B8103C" w:rsidRPr="009A1394">
        <w:rPr>
          <w:lang w:val="en-CA"/>
        </w:rPr>
        <w:t>.</w:t>
      </w:r>
      <w:r w:rsidRPr="009A1394">
        <w:rPr>
          <w:lang w:val="en-CA"/>
        </w:rPr>
        <w:t xml:space="preserve"> </w:t>
      </w:r>
      <w:r w:rsidR="00B8103C" w:rsidRPr="009A1394">
        <w:rPr>
          <w:lang w:val="en-CA"/>
        </w:rPr>
        <w:t>40.</w:t>
      </w:r>
    </w:p>
  </w:footnote>
  <w:footnote w:id="90">
    <w:p w14:paraId="68CE4DBC" w14:textId="7306CCB3" w:rsidR="00363C53" w:rsidRPr="009A1394" w:rsidRDefault="00363C53" w:rsidP="00363C53">
      <w:pPr>
        <w:pStyle w:val="Notedebasdepage"/>
        <w:rPr>
          <w:lang w:val="en-CA"/>
        </w:rPr>
      </w:pPr>
      <w:r w:rsidRPr="009A1394">
        <w:rPr>
          <w:rStyle w:val="Appelnotedebasdep"/>
          <w:lang w:val="en-CA"/>
        </w:rPr>
        <w:footnoteRef/>
      </w:r>
      <w:r w:rsidRPr="009A1394">
        <w:rPr>
          <w:lang w:val="en-CA"/>
        </w:rPr>
        <w:tab/>
      </w:r>
      <w:r w:rsidR="00B8103C" w:rsidRPr="009A1394">
        <w:rPr>
          <w:lang w:val="en-CA"/>
        </w:rPr>
        <w:t xml:space="preserve">Admissions </w:t>
      </w:r>
      <w:r w:rsidR="00CD1246" w:rsidRPr="009A1394">
        <w:rPr>
          <w:lang w:val="en-CA"/>
        </w:rPr>
        <w:t>appended to</w:t>
      </w:r>
      <w:r w:rsidR="00B8103C" w:rsidRPr="009A1394">
        <w:rPr>
          <w:lang w:val="en-CA"/>
        </w:rPr>
        <w:t xml:space="preserve"> the judgment under appeal</w:t>
      </w:r>
      <w:r w:rsidR="00791C01" w:rsidRPr="009A1394">
        <w:rPr>
          <w:lang w:val="en-CA"/>
        </w:rPr>
        <w:t>, para</w:t>
      </w:r>
      <w:r w:rsidR="00B8103C" w:rsidRPr="009A1394">
        <w:rPr>
          <w:lang w:val="en-CA"/>
        </w:rPr>
        <w:t>.</w:t>
      </w:r>
      <w:r w:rsidRPr="009A1394">
        <w:rPr>
          <w:lang w:val="en-CA"/>
        </w:rPr>
        <w:t xml:space="preserve"> </w:t>
      </w:r>
      <w:r w:rsidR="00B8103C" w:rsidRPr="009A1394">
        <w:rPr>
          <w:lang w:val="en-CA"/>
        </w:rPr>
        <w:t>40.5.</w:t>
      </w:r>
    </w:p>
  </w:footnote>
  <w:footnote w:id="91">
    <w:p w14:paraId="1F8FFD5A" w14:textId="56D74116"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s.</w:t>
      </w:r>
      <w:r w:rsidRPr="009A1394">
        <w:rPr>
          <w:lang w:val="en-CA"/>
        </w:rPr>
        <w:t xml:space="preserve"> </w:t>
      </w:r>
      <w:r w:rsidR="00B8103C" w:rsidRPr="009A1394">
        <w:rPr>
          <w:lang w:val="en-CA"/>
        </w:rPr>
        <w:t>148 and 177–179.</w:t>
      </w:r>
    </w:p>
  </w:footnote>
  <w:footnote w:id="92">
    <w:p w14:paraId="02F25CE7" w14:textId="047A22B1"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There are fewer than ten across North America (see judgment under appeal</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174).</w:t>
      </w:r>
    </w:p>
  </w:footnote>
  <w:footnote w:id="93">
    <w:p w14:paraId="05459213" w14:textId="030C48EE"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In Canada, CP’s network spans from Vancouver to Montreal, as well as several American States: see judgment under appeal</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196.</w:t>
      </w:r>
    </w:p>
  </w:footnote>
  <w:footnote w:id="94">
    <w:p w14:paraId="47E25268" w14:textId="5917B1FB"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174 and 196.</w:t>
      </w:r>
    </w:p>
  </w:footnote>
  <w:footnote w:id="95">
    <w:p w14:paraId="0D9C692F" w14:textId="35137EAF"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177 and 641.</w:t>
      </w:r>
    </w:p>
  </w:footnote>
  <w:footnote w:id="96">
    <w:p w14:paraId="7E805AE8" w14:textId="26DFE8EE"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149 and 179.</w:t>
      </w:r>
    </w:p>
  </w:footnote>
  <w:footnote w:id="97">
    <w:p w14:paraId="6A92EFFC" w14:textId="05B7573D"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173.</w:t>
      </w:r>
    </w:p>
  </w:footnote>
  <w:footnote w:id="98">
    <w:p w14:paraId="03439F0E" w14:textId="07D5D3E3"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178 and 182.</w:t>
      </w:r>
    </w:p>
  </w:footnote>
  <w:footnote w:id="99">
    <w:p w14:paraId="2C0794CF" w14:textId="05BAA880"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178.</w:t>
      </w:r>
    </w:p>
  </w:footnote>
  <w:footnote w:id="100">
    <w:p w14:paraId="728A3017" w14:textId="5B40D0D5"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181 and 199.</w:t>
      </w:r>
    </w:p>
  </w:footnote>
  <w:footnote w:id="101">
    <w:p w14:paraId="751F1898" w14:textId="4DA3969D"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176.</w:t>
      </w:r>
    </w:p>
  </w:footnote>
  <w:footnote w:id="102">
    <w:p w14:paraId="573F999B" w14:textId="53C2A925"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636.</w:t>
      </w:r>
    </w:p>
  </w:footnote>
  <w:footnote w:id="103">
    <w:p w14:paraId="392A8389" w14:textId="09B04637"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198 and 636.</w:t>
      </w:r>
    </w:p>
  </w:footnote>
  <w:footnote w:id="104">
    <w:p w14:paraId="119B2788" w14:textId="07761694" w:rsidR="00CC66B8" w:rsidRPr="009A1394" w:rsidRDefault="008161A3" w:rsidP="00CC66B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201.</w:t>
      </w:r>
    </w:p>
  </w:footnote>
  <w:footnote w:id="105">
    <w:p w14:paraId="3230064E" w14:textId="750E38F0"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202–203.</w:t>
      </w:r>
    </w:p>
  </w:footnote>
  <w:footnote w:id="106">
    <w:p w14:paraId="5029C4EC" w14:textId="37635389"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116 and 634–635.</w:t>
      </w:r>
    </w:p>
  </w:footnote>
  <w:footnote w:id="107">
    <w:p w14:paraId="180E3B53" w14:textId="03B2507A"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136.</w:t>
      </w:r>
    </w:p>
  </w:footnote>
  <w:footnote w:id="108">
    <w:p w14:paraId="3E35E67C" w14:textId="4EFC9BD6"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D7FD4" w:rsidRPr="009A1394">
        <w:rPr>
          <w:lang w:val="en-CA"/>
        </w:rPr>
        <w:t>SOR</w:t>
      </w:r>
      <w:r w:rsidRPr="009A1394">
        <w:rPr>
          <w:lang w:val="en-CA"/>
        </w:rPr>
        <w:t>/2001-37</w:t>
      </w:r>
      <w:r w:rsidR="0077780F" w:rsidRPr="009A1394">
        <w:rPr>
          <w:lang w:val="en-CA"/>
        </w:rPr>
        <w:t>.</w:t>
      </w:r>
    </w:p>
  </w:footnote>
  <w:footnote w:id="109">
    <w:p w14:paraId="6342B054" w14:textId="4B636B96"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D7FD4" w:rsidRPr="009A1394">
        <w:rPr>
          <w:lang w:val="en-CA"/>
        </w:rPr>
        <w:t>SOR</w:t>
      </w:r>
      <w:r w:rsidR="007A2D19" w:rsidRPr="009A1394">
        <w:rPr>
          <w:lang w:val="en-CA"/>
        </w:rPr>
        <w:t>/2001-37, s.</w:t>
      </w:r>
      <w:r w:rsidR="00BD7FD4" w:rsidRPr="009A1394">
        <w:rPr>
          <w:lang w:val="en-CA"/>
        </w:rPr>
        <w:t xml:space="preserve"> 2.</w:t>
      </w:r>
    </w:p>
  </w:footnote>
  <w:footnote w:id="110">
    <w:p w14:paraId="7BB8829D" w14:textId="54B6281C"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D7FD4" w:rsidRPr="009A1394">
        <w:rPr>
          <w:lang w:val="en-CA"/>
        </w:rPr>
        <w:t>SOR</w:t>
      </w:r>
      <w:r w:rsidR="007A2D19" w:rsidRPr="009A1394">
        <w:rPr>
          <w:lang w:val="en-CA"/>
        </w:rPr>
        <w:t>/2001-37, s.</w:t>
      </w:r>
      <w:r w:rsidRPr="009A1394">
        <w:rPr>
          <w:lang w:val="en-CA"/>
        </w:rPr>
        <w:t> </w:t>
      </w:r>
      <w:r w:rsidR="007A2D19" w:rsidRPr="009A1394">
        <w:rPr>
          <w:lang w:val="en-CA"/>
        </w:rPr>
        <w:t>2(e).</w:t>
      </w:r>
    </w:p>
  </w:footnote>
  <w:footnote w:id="111">
    <w:p w14:paraId="38C35B5B" w14:textId="48D4E036" w:rsidR="002751E6" w:rsidRPr="009A1394" w:rsidRDefault="002751E6" w:rsidP="002751E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131.</w:t>
      </w:r>
    </w:p>
  </w:footnote>
  <w:footnote w:id="112">
    <w:p w14:paraId="31A373C5" w14:textId="07D3857C" w:rsidR="00692EF7" w:rsidRPr="009A1394" w:rsidRDefault="00692EF7" w:rsidP="00692EF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261–270 and 375.</w:t>
      </w:r>
    </w:p>
  </w:footnote>
  <w:footnote w:id="113">
    <w:p w14:paraId="67521739" w14:textId="5B7FCDA5" w:rsidR="00692EF7" w:rsidRPr="009A1394" w:rsidRDefault="00692EF7" w:rsidP="00692EF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379–385.</w:t>
      </w:r>
    </w:p>
  </w:footnote>
  <w:footnote w:id="114">
    <w:p w14:paraId="33108AC8" w14:textId="0FA434B6"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B8103C" w:rsidRPr="009A1394">
        <w:rPr>
          <w:lang w:val="en-CA"/>
        </w:rPr>
        <w:t>98.</w:t>
      </w:r>
    </w:p>
  </w:footnote>
  <w:footnote w:id="115">
    <w:p w14:paraId="6DA7EDAE" w14:textId="70671B0E"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708–715.</w:t>
      </w:r>
    </w:p>
  </w:footnote>
  <w:footnote w:id="116">
    <w:p w14:paraId="0EC3728E" w14:textId="00EFB25D"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716.</w:t>
      </w:r>
    </w:p>
  </w:footnote>
  <w:footnote w:id="117">
    <w:p w14:paraId="0904ACA2" w14:textId="21F944AA"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717.</w:t>
      </w:r>
    </w:p>
  </w:footnote>
  <w:footnote w:id="118">
    <w:p w14:paraId="58233AFC" w14:textId="70568936"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10 and 842.</w:t>
      </w:r>
    </w:p>
  </w:footnote>
  <w:footnote w:id="119">
    <w:p w14:paraId="2BE5A30B" w14:textId="7F32AAA9"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154.</w:t>
      </w:r>
    </w:p>
  </w:footnote>
  <w:footnote w:id="120">
    <w:p w14:paraId="2A789111" w14:textId="7F32885F"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155.</w:t>
      </w:r>
    </w:p>
  </w:footnote>
  <w:footnote w:id="121">
    <w:p w14:paraId="230B7976" w14:textId="181DC9F5"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156 and 163.</w:t>
      </w:r>
    </w:p>
  </w:footnote>
  <w:footnote w:id="122">
    <w:p w14:paraId="11D7BFDD" w14:textId="1279FFBA"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157.</w:t>
      </w:r>
    </w:p>
  </w:footnote>
  <w:footnote w:id="123">
    <w:p w14:paraId="6BE28D54" w14:textId="6AE3A587"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351 and 360.</w:t>
      </w:r>
    </w:p>
  </w:footnote>
  <w:footnote w:id="124">
    <w:p w14:paraId="5DE659DF" w14:textId="2853DD41"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352–353.</w:t>
      </w:r>
    </w:p>
  </w:footnote>
  <w:footnote w:id="125">
    <w:p w14:paraId="439E7386" w14:textId="2166800D"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355–361.</w:t>
      </w:r>
    </w:p>
  </w:footnote>
  <w:footnote w:id="126">
    <w:p w14:paraId="2AFC72ED" w14:textId="52F4D451" w:rsidR="0040690F" w:rsidRPr="009A1394" w:rsidRDefault="0040690F" w:rsidP="0040690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374.</w:t>
      </w:r>
    </w:p>
  </w:footnote>
  <w:footnote w:id="127">
    <w:p w14:paraId="1C31C990" w14:textId="37D7CEFC"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376.</w:t>
      </w:r>
    </w:p>
  </w:footnote>
  <w:footnote w:id="128">
    <w:p w14:paraId="55979278" w14:textId="0377273C"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386.</w:t>
      </w:r>
    </w:p>
  </w:footnote>
  <w:footnote w:id="129">
    <w:p w14:paraId="15F74AB7" w14:textId="43A778B1"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376, 417, 660, and 661.</w:t>
      </w:r>
    </w:p>
  </w:footnote>
  <w:footnote w:id="130">
    <w:p w14:paraId="63C9EB99" w14:textId="18DBD447"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386 and 417.</w:t>
      </w:r>
    </w:p>
  </w:footnote>
  <w:footnote w:id="131">
    <w:p w14:paraId="656D5704" w14:textId="1AF8F207"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396, 417, 660, and 661.</w:t>
      </w:r>
    </w:p>
  </w:footnote>
  <w:footnote w:id="132">
    <w:p w14:paraId="49BF1704" w14:textId="112B3F60"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396 and 407–416.</w:t>
      </w:r>
    </w:p>
  </w:footnote>
  <w:footnote w:id="133">
    <w:p w14:paraId="4EAECD3F" w14:textId="6861BFEB"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bookmarkStart w:id="4" w:name="_Hlk177912710"/>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bookmarkEnd w:id="4"/>
      <w:r w:rsidR="007A2D19" w:rsidRPr="009A1394">
        <w:rPr>
          <w:lang w:val="en-CA"/>
        </w:rPr>
        <w:t>416.</w:t>
      </w:r>
    </w:p>
  </w:footnote>
  <w:footnote w:id="134">
    <w:p w14:paraId="13010ABF" w14:textId="75E94B9C"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415.</w:t>
      </w:r>
    </w:p>
  </w:footnote>
  <w:footnote w:id="135">
    <w:p w14:paraId="58B4BBD8" w14:textId="558FE369"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418.</w:t>
      </w:r>
    </w:p>
  </w:footnote>
  <w:footnote w:id="136">
    <w:p w14:paraId="2B455813" w14:textId="59483838"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498.</w:t>
      </w:r>
    </w:p>
  </w:footnote>
  <w:footnote w:id="137">
    <w:p w14:paraId="0787BCCF" w14:textId="46517337"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431–432.</w:t>
      </w:r>
    </w:p>
  </w:footnote>
  <w:footnote w:id="138">
    <w:p w14:paraId="5882BCCE" w14:textId="46CF6E5F"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504.</w:t>
      </w:r>
    </w:p>
  </w:footnote>
  <w:footnote w:id="139">
    <w:p w14:paraId="16D65CCA" w14:textId="67BAB098"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494 and 496.</w:t>
      </w:r>
    </w:p>
  </w:footnote>
  <w:footnote w:id="140">
    <w:p w14:paraId="1D7A5076" w14:textId="32534243"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497; see also paras.</w:t>
      </w:r>
      <w:r w:rsidRPr="009A1394">
        <w:rPr>
          <w:lang w:val="en-CA"/>
        </w:rPr>
        <w:t xml:space="preserve"> </w:t>
      </w:r>
      <w:r w:rsidR="007A2D19" w:rsidRPr="009A1394">
        <w:rPr>
          <w:lang w:val="en-CA"/>
        </w:rPr>
        <w:t>498–499.</w:t>
      </w:r>
    </w:p>
  </w:footnote>
  <w:footnote w:id="141">
    <w:p w14:paraId="773C92AE" w14:textId="26F63A64"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508–516.</w:t>
      </w:r>
    </w:p>
  </w:footnote>
  <w:footnote w:id="142">
    <w:p w14:paraId="36EE984B" w14:textId="11084DEA"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508–516.</w:t>
      </w:r>
    </w:p>
  </w:footnote>
  <w:footnote w:id="143">
    <w:p w14:paraId="1856FAC2" w14:textId="07D4DC05"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517.</w:t>
      </w:r>
    </w:p>
  </w:footnote>
  <w:footnote w:id="144">
    <w:p w14:paraId="2190B4B0" w14:textId="60B54786" w:rsidR="00CC66B8" w:rsidRPr="009A1394" w:rsidRDefault="008161A3" w:rsidP="00CC66B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bookmarkStart w:id="5" w:name="_Hlk177975696"/>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bookmarkEnd w:id="5"/>
      <w:r w:rsidR="007A2D19" w:rsidRPr="009A1394">
        <w:rPr>
          <w:lang w:val="en-CA"/>
        </w:rPr>
        <w:t>518.</w:t>
      </w:r>
      <w:r w:rsidRPr="009A1394">
        <w:rPr>
          <w:lang w:val="en-CA"/>
        </w:rPr>
        <w:t xml:space="preserve"> </w:t>
      </w:r>
      <w:r w:rsidR="007A2D19" w:rsidRPr="009A1394">
        <w:rPr>
          <w:lang w:val="en-CA"/>
        </w:rPr>
        <w:t>See also para.</w:t>
      </w:r>
      <w:r w:rsidRPr="009A1394">
        <w:rPr>
          <w:lang w:val="en-CA"/>
        </w:rPr>
        <w:t xml:space="preserve"> </w:t>
      </w:r>
      <w:r w:rsidR="007A2D19" w:rsidRPr="009A1394">
        <w:rPr>
          <w:lang w:val="en-CA"/>
        </w:rPr>
        <w:t>585.</w:t>
      </w:r>
    </w:p>
  </w:footnote>
  <w:footnote w:id="145">
    <w:p w14:paraId="30B0AE0B" w14:textId="071C5090"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580.</w:t>
      </w:r>
    </w:p>
  </w:footnote>
  <w:footnote w:id="146">
    <w:p w14:paraId="26A4D35B" w14:textId="289C6F43" w:rsidR="00FF5FCE" w:rsidRPr="009A1394" w:rsidRDefault="00FF5FCE" w:rsidP="00FF5FC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589 and 591.</w:t>
      </w:r>
    </w:p>
  </w:footnote>
  <w:footnote w:id="147">
    <w:p w14:paraId="0832B45F" w14:textId="4989F5DF" w:rsidR="00EC32FB" w:rsidRPr="009A1394" w:rsidRDefault="00EC32FB" w:rsidP="00EC32FB">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600.</w:t>
      </w:r>
    </w:p>
  </w:footnote>
  <w:footnote w:id="148">
    <w:p w14:paraId="7F94F0A2" w14:textId="54CE9C32"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593–594.</w:t>
      </w:r>
    </w:p>
  </w:footnote>
  <w:footnote w:id="149">
    <w:p w14:paraId="638AE309" w14:textId="7F368D0B"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616.</w:t>
      </w:r>
    </w:p>
  </w:footnote>
  <w:footnote w:id="150">
    <w:p w14:paraId="59E886D9" w14:textId="2BE8AFD0"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bookmarkStart w:id="6" w:name="_Hlk177978155"/>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bookmarkEnd w:id="6"/>
      <w:r w:rsidR="007A2D19" w:rsidRPr="009A1394">
        <w:rPr>
          <w:lang w:val="en-CA"/>
        </w:rPr>
        <w:t>657, see also para.</w:t>
      </w:r>
      <w:r w:rsidRPr="009A1394">
        <w:rPr>
          <w:lang w:val="en-CA"/>
        </w:rPr>
        <w:t> </w:t>
      </w:r>
      <w:r w:rsidR="007A2D19" w:rsidRPr="009A1394">
        <w:rPr>
          <w:lang w:val="en-CA"/>
        </w:rPr>
        <w:t>659.</w:t>
      </w:r>
    </w:p>
  </w:footnote>
  <w:footnote w:id="151">
    <w:p w14:paraId="1E5147AE" w14:textId="4D7BD53D"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417, 660 and 661.</w:t>
      </w:r>
    </w:p>
  </w:footnote>
  <w:footnote w:id="152">
    <w:p w14:paraId="578F330B" w14:textId="10FBDE2A"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665.</w:t>
      </w:r>
    </w:p>
  </w:footnote>
  <w:footnote w:id="153">
    <w:p w14:paraId="215EBD6D" w14:textId="11F3F383"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669.</w:t>
      </w:r>
    </w:p>
  </w:footnote>
  <w:footnote w:id="154">
    <w:p w14:paraId="4FB17B74" w14:textId="4DEB5829"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705.</w:t>
      </w:r>
    </w:p>
  </w:footnote>
  <w:footnote w:id="155">
    <w:p w14:paraId="4F7416FA" w14:textId="16322E8A"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The expression [</w:t>
      </w:r>
      <w:r w:rsidR="007A2D19" w:rsidRPr="009A1394">
        <w:rPr>
          <w:smallCaps/>
          <w:lang w:val="en-CA"/>
        </w:rPr>
        <w:t>translation</w:t>
      </w:r>
      <w:r w:rsidR="007A2D19" w:rsidRPr="009A1394">
        <w:rPr>
          <w:lang w:val="en-CA"/>
        </w:rPr>
        <w:t xml:space="preserve">] “emergency brakes” is used </w:t>
      </w:r>
      <w:r w:rsidR="008B75E6" w:rsidRPr="009A1394">
        <w:rPr>
          <w:lang w:val="en-CA"/>
        </w:rPr>
        <w:t xml:space="preserve">here </w:t>
      </w:r>
      <w:r w:rsidR="007A2D19" w:rsidRPr="009A1394">
        <w:rPr>
          <w:lang w:val="en-CA"/>
        </w:rPr>
        <w:t>by the judge as a synonym of [</w:t>
      </w:r>
      <w:r w:rsidR="007A2D19" w:rsidRPr="009A1394">
        <w:rPr>
          <w:smallCaps/>
          <w:lang w:val="en-CA"/>
        </w:rPr>
        <w:t>translation</w:t>
      </w:r>
      <w:r w:rsidR="007A2D19" w:rsidRPr="009A1394">
        <w:rPr>
          <w:lang w:val="en-CA"/>
        </w:rPr>
        <w:t>]</w:t>
      </w:r>
      <w:r w:rsidR="00B42E03" w:rsidRPr="009A1394">
        <w:rPr>
          <w:lang w:val="en-CA"/>
        </w:rPr>
        <w:t> </w:t>
      </w:r>
      <w:r w:rsidR="007A2D19" w:rsidRPr="009A1394">
        <w:rPr>
          <w:lang w:val="en-CA"/>
        </w:rPr>
        <w:t>“</w:t>
      </w:r>
      <w:r w:rsidR="000A42A7" w:rsidRPr="009A1394">
        <w:rPr>
          <w:lang w:val="en-CA"/>
        </w:rPr>
        <w:t>hand brake</w:t>
      </w:r>
      <w:r w:rsidR="007A2D19" w:rsidRPr="009A1394">
        <w:rPr>
          <w:lang w:val="en-CA"/>
        </w:rPr>
        <w:t>s”.</w:t>
      </w:r>
    </w:p>
  </w:footnote>
  <w:footnote w:id="156">
    <w:p w14:paraId="0F75E71E" w14:textId="79FADF95"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834.</w:t>
      </w:r>
    </w:p>
  </w:footnote>
  <w:footnote w:id="157">
    <w:p w14:paraId="13EB5949" w14:textId="3928FC21"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837–841.</w:t>
      </w:r>
    </w:p>
  </w:footnote>
  <w:footnote w:id="158">
    <w:p w14:paraId="3F606166" w14:textId="66979B26"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Judgment under appeal</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842–846.</w:t>
      </w:r>
    </w:p>
  </w:footnote>
  <w:footnote w:id="159">
    <w:p w14:paraId="464970C0" w14:textId="5C591A2F" w:rsidR="00576187" w:rsidRPr="009A1394" w:rsidRDefault="00576187" w:rsidP="00576187">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850.</w:t>
      </w:r>
    </w:p>
  </w:footnote>
  <w:footnote w:id="160">
    <w:p w14:paraId="4B6C3290" w14:textId="6D4DC775"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Lalande c. Compagnie d’arrimage de Québec ltée</w:t>
      </w:r>
      <w:r w:rsidR="007A2D19" w:rsidRPr="009A1394">
        <w:rPr>
          <w:iCs/>
          <w:lang w:val="en-CA"/>
        </w:rPr>
        <w:t>, 2023 QCCA 973</w:t>
      </w:r>
      <w:r w:rsidR="00791C01" w:rsidRPr="009A1394">
        <w:rPr>
          <w:iCs/>
          <w:lang w:val="en-CA"/>
        </w:rPr>
        <w:t>, para</w:t>
      </w:r>
      <w:r w:rsidR="007A2D19" w:rsidRPr="009A1394">
        <w:rPr>
          <w:iCs/>
          <w:lang w:val="en-CA"/>
        </w:rPr>
        <w:t>.</w:t>
      </w:r>
      <w:r w:rsidRPr="009A1394">
        <w:rPr>
          <w:lang w:val="en-CA"/>
        </w:rPr>
        <w:t xml:space="preserve"> </w:t>
      </w:r>
      <w:r w:rsidR="007A2D19" w:rsidRPr="009A1394">
        <w:rPr>
          <w:lang w:val="en-CA"/>
        </w:rPr>
        <w:t>39.</w:t>
      </w:r>
    </w:p>
  </w:footnote>
  <w:footnote w:id="161">
    <w:p w14:paraId="5E36192F" w14:textId="266BB9E4"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Benhaim v. St-Germain</w:t>
      </w:r>
      <w:r w:rsidR="007A2D19" w:rsidRPr="009A1394">
        <w:rPr>
          <w:iCs/>
          <w:lang w:val="en-CA"/>
        </w:rPr>
        <w:t>, 2016 SCC 48, [2016] 2 S.C.R.</w:t>
      </w:r>
      <w:r w:rsidRPr="009A1394">
        <w:rPr>
          <w:lang w:val="en-CA"/>
        </w:rPr>
        <w:t xml:space="preserve"> </w:t>
      </w:r>
      <w:r w:rsidR="007A2D19" w:rsidRPr="009A1394">
        <w:rPr>
          <w:lang w:val="en-CA"/>
        </w:rPr>
        <w:t>352</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37; </w:t>
      </w:r>
      <w:r w:rsidR="007A2D19" w:rsidRPr="009A1394">
        <w:rPr>
          <w:i/>
          <w:lang w:val="en-CA"/>
        </w:rPr>
        <w:t>Housen v. Nikolaisen</w:t>
      </w:r>
      <w:r w:rsidR="007A2D19" w:rsidRPr="009A1394">
        <w:rPr>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7; </w:t>
      </w:r>
      <w:r w:rsidR="007A2D19" w:rsidRPr="009A1394">
        <w:rPr>
          <w:i/>
          <w:lang w:val="en-CA"/>
        </w:rPr>
        <w:t>Lalande c. Compagnie d’arrimage de Québec ltée</w:t>
      </w:r>
      <w:r w:rsidR="007A2D19" w:rsidRPr="009A1394">
        <w:rPr>
          <w:lang w:val="en-CA"/>
        </w:rPr>
        <w:t>, 2023 QCCA 973</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39; </w:t>
      </w:r>
      <w:r w:rsidR="007A2D19" w:rsidRPr="009A1394">
        <w:rPr>
          <w:i/>
          <w:lang w:val="en-CA"/>
        </w:rPr>
        <w:t>Construction Blenda inc. c. Office municipal d’habitation de Rosemère</w:t>
      </w:r>
      <w:r w:rsidR="007A2D19" w:rsidRPr="009A1394">
        <w:rPr>
          <w:lang w:val="en-CA"/>
        </w:rPr>
        <w:t>, 2020 QCCA 149</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37, leave to appeal to </w:t>
      </w:r>
      <w:r w:rsidR="0021056A" w:rsidRPr="009A1394">
        <w:rPr>
          <w:lang w:val="en-CA"/>
        </w:rPr>
        <w:t xml:space="preserve">the </w:t>
      </w:r>
      <w:r w:rsidR="007A2D19" w:rsidRPr="009A1394">
        <w:rPr>
          <w:lang w:val="en-CA"/>
        </w:rPr>
        <w:t>SCC refused, October</w:t>
      </w:r>
      <w:r w:rsidR="0021056A" w:rsidRPr="009A1394">
        <w:rPr>
          <w:lang w:val="en-CA"/>
        </w:rPr>
        <w:t xml:space="preserve"> 1,</w:t>
      </w:r>
      <w:r w:rsidR="007A2D19" w:rsidRPr="009A1394">
        <w:rPr>
          <w:lang w:val="en-CA"/>
        </w:rPr>
        <w:t xml:space="preserve"> 2020</w:t>
      </w:r>
      <w:r w:rsidR="00CB1AB7" w:rsidRPr="009A1394">
        <w:rPr>
          <w:lang w:val="en-CA"/>
        </w:rPr>
        <w:t>, No. 39142</w:t>
      </w:r>
      <w:r w:rsidR="007A2D19" w:rsidRPr="009A1394">
        <w:rPr>
          <w:lang w:val="en-CA"/>
        </w:rPr>
        <w:t xml:space="preserve">; </w:t>
      </w:r>
      <w:r w:rsidR="007A2D19" w:rsidRPr="009A1394">
        <w:rPr>
          <w:i/>
          <w:lang w:val="en-CA"/>
        </w:rPr>
        <w:t>J.G. c. Nadeau</w:t>
      </w:r>
      <w:r w:rsidR="007A2D19" w:rsidRPr="009A1394">
        <w:rPr>
          <w:lang w:val="en-CA"/>
        </w:rPr>
        <w:t>, 2016 QCCA 167</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76; leave to appeal to </w:t>
      </w:r>
      <w:r w:rsidR="00CB1AB7" w:rsidRPr="009A1394">
        <w:rPr>
          <w:lang w:val="en-CA"/>
        </w:rPr>
        <w:t xml:space="preserve">the </w:t>
      </w:r>
      <w:r w:rsidR="007A2D19" w:rsidRPr="009A1394">
        <w:rPr>
          <w:lang w:val="en-CA"/>
        </w:rPr>
        <w:t>SCC refused, March</w:t>
      </w:r>
      <w:r w:rsidR="0021056A" w:rsidRPr="009A1394">
        <w:rPr>
          <w:lang w:val="en-CA"/>
        </w:rPr>
        <w:t xml:space="preserve"> 2,</w:t>
      </w:r>
      <w:r w:rsidR="007A2D19" w:rsidRPr="009A1394">
        <w:rPr>
          <w:lang w:val="en-CA"/>
        </w:rPr>
        <w:t xml:space="preserve"> 2017</w:t>
      </w:r>
      <w:r w:rsidR="00CB1AB7" w:rsidRPr="009A1394">
        <w:rPr>
          <w:lang w:val="en-CA"/>
        </w:rPr>
        <w:t>, No. 36924</w:t>
      </w:r>
      <w:r w:rsidR="007A2D19" w:rsidRPr="009A1394">
        <w:rPr>
          <w:lang w:val="en-CA"/>
        </w:rPr>
        <w:t xml:space="preserve">; </w:t>
      </w:r>
      <w:r w:rsidR="007A2D19" w:rsidRPr="009A1394">
        <w:rPr>
          <w:i/>
          <w:lang w:val="en-CA"/>
        </w:rPr>
        <w:t>Berthiaume c. Réno-Dépôt inc</w:t>
      </w:r>
      <w:r w:rsidR="007A2D19" w:rsidRPr="009A1394">
        <w:rPr>
          <w:lang w:val="en-CA"/>
        </w:rPr>
        <w:t>., [1995] R.J.Q.</w:t>
      </w:r>
      <w:r w:rsidRPr="009A1394">
        <w:rPr>
          <w:rFonts w:cs="Arial"/>
          <w:shd w:val="clear" w:color="auto" w:fill="FFFFFF"/>
          <w:lang w:val="en-CA"/>
        </w:rPr>
        <w:t xml:space="preserve"> </w:t>
      </w:r>
      <w:r w:rsidR="007A2D19" w:rsidRPr="009A1394">
        <w:rPr>
          <w:rFonts w:cs="Arial"/>
          <w:shd w:val="clear" w:color="auto" w:fill="FFFFFF"/>
          <w:lang w:val="en-CA"/>
        </w:rPr>
        <w:t>2796</w:t>
      </w:r>
      <w:r w:rsidR="006B7B86" w:rsidRPr="009A1394">
        <w:rPr>
          <w:rFonts w:cs="Arial"/>
          <w:shd w:val="clear" w:color="auto" w:fill="FFFFFF"/>
          <w:lang w:val="en-CA"/>
        </w:rPr>
        <w:t>,</w:t>
      </w:r>
      <w:r w:rsidR="007A2D19" w:rsidRPr="009A1394">
        <w:rPr>
          <w:rFonts w:cs="Arial"/>
          <w:shd w:val="clear" w:color="auto" w:fill="FFFFFF"/>
          <w:lang w:val="en-CA"/>
        </w:rPr>
        <w:t xml:space="preserve"> </w:t>
      </w:r>
      <w:r w:rsidR="006B7B86" w:rsidRPr="009A1394">
        <w:rPr>
          <w:rFonts w:cs="Arial"/>
          <w:shd w:val="clear" w:color="auto" w:fill="FFFFFF"/>
          <w:lang w:val="en-CA"/>
        </w:rPr>
        <w:t>pp.</w:t>
      </w:r>
      <w:r w:rsidR="007A2D19" w:rsidRPr="009A1394">
        <w:rPr>
          <w:rFonts w:cs="Arial"/>
          <w:shd w:val="clear" w:color="auto" w:fill="FFFFFF"/>
          <w:lang w:val="en-CA"/>
        </w:rPr>
        <w:t xml:space="preserve"> 2806–2807.</w:t>
      </w:r>
    </w:p>
  </w:footnote>
  <w:footnote w:id="162">
    <w:p w14:paraId="27061166" w14:textId="14D6F372"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Nelson (City) v. Mowatt</w:t>
      </w:r>
      <w:r w:rsidR="007A2D19" w:rsidRPr="009A1394">
        <w:rPr>
          <w:iCs/>
          <w:lang w:val="en-CA"/>
        </w:rPr>
        <w:t>, 2017 SCC 8, [2017] 1 S.C.R.</w:t>
      </w:r>
      <w:r w:rsidRPr="009A1394">
        <w:rPr>
          <w:lang w:val="en-CA"/>
        </w:rPr>
        <w:t xml:space="preserve"> </w:t>
      </w:r>
      <w:r w:rsidR="007A2D19" w:rsidRPr="009A1394">
        <w:rPr>
          <w:lang w:val="en-CA"/>
        </w:rPr>
        <w:t>138</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38; cited by </w:t>
      </w:r>
      <w:r w:rsidR="007A2D19" w:rsidRPr="009A1394">
        <w:rPr>
          <w:i/>
          <w:lang w:val="en-CA"/>
        </w:rPr>
        <w:t>CCI Thermal Technologies Inc. c. AXA XL (XL Catlin)</w:t>
      </w:r>
      <w:r w:rsidR="007A2D19" w:rsidRPr="009A1394">
        <w:rPr>
          <w:lang w:val="en-CA"/>
        </w:rPr>
        <w:t>, 2023 QCCA 231</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 xml:space="preserve">38 and 46; </w:t>
      </w:r>
      <w:r w:rsidR="007A2D19" w:rsidRPr="009A1394">
        <w:rPr>
          <w:i/>
          <w:lang w:val="en-CA"/>
        </w:rPr>
        <w:t>M.R. c. Hall</w:t>
      </w:r>
      <w:r w:rsidR="007A2D19" w:rsidRPr="009A1394">
        <w:rPr>
          <w:lang w:val="en-CA"/>
        </w:rPr>
        <w:t>, 2021 QCCA 826</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17; </w:t>
      </w:r>
      <w:r w:rsidR="007A2D19" w:rsidRPr="009A1394">
        <w:rPr>
          <w:i/>
          <w:lang w:val="en-CA"/>
        </w:rPr>
        <w:t>Groupe François Poirier inc. c. Bibeau</w:t>
      </w:r>
      <w:r w:rsidR="007A2D19" w:rsidRPr="009A1394">
        <w:rPr>
          <w:lang w:val="en-CA"/>
        </w:rPr>
        <w:t>, 2021 QCCA 553</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57; </w:t>
      </w:r>
      <w:r w:rsidR="007A2D19" w:rsidRPr="009A1394">
        <w:rPr>
          <w:i/>
          <w:lang w:val="en-CA"/>
        </w:rPr>
        <w:t>Truong c. Agence du revenu du Québec</w:t>
      </w:r>
      <w:r w:rsidR="007A2D19" w:rsidRPr="009A1394">
        <w:rPr>
          <w:lang w:val="en-CA"/>
        </w:rPr>
        <w:t>, 2021 QCCA 398</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7.</w:t>
      </w:r>
    </w:p>
  </w:footnote>
  <w:footnote w:id="163">
    <w:p w14:paraId="7A2F0236" w14:textId="7AA4C04C"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Lalande c. Compagnie d’arrimage de Québec ltée</w:t>
      </w:r>
      <w:r w:rsidR="007A2D19" w:rsidRPr="009A1394">
        <w:rPr>
          <w:iCs/>
          <w:lang w:val="en-CA"/>
        </w:rPr>
        <w:t>, 2023 QCCA 973</w:t>
      </w:r>
      <w:r w:rsidR="00791C01" w:rsidRPr="009A1394">
        <w:rPr>
          <w:iCs/>
          <w:lang w:val="en-CA"/>
        </w:rPr>
        <w:t>, para</w:t>
      </w:r>
      <w:r w:rsidR="007A2D19" w:rsidRPr="009A1394">
        <w:rPr>
          <w:iCs/>
          <w:lang w:val="en-CA"/>
        </w:rPr>
        <w:t>.</w:t>
      </w:r>
      <w:r w:rsidRPr="009A1394">
        <w:rPr>
          <w:lang w:val="en-CA"/>
        </w:rPr>
        <w:t xml:space="preserve"> </w:t>
      </w:r>
      <w:r w:rsidR="007A2D19" w:rsidRPr="009A1394">
        <w:rPr>
          <w:lang w:val="en-CA"/>
        </w:rPr>
        <w:t xml:space="preserve">43; </w:t>
      </w:r>
      <w:r w:rsidR="007A2D19" w:rsidRPr="009A1394">
        <w:rPr>
          <w:i/>
          <w:lang w:val="en-CA"/>
        </w:rPr>
        <w:t>Service d’excavation Jacques Lirette inc. c. Economical, compagnie d’assurances</w:t>
      </w:r>
      <w:r w:rsidR="007A2D19" w:rsidRPr="009A1394">
        <w:rPr>
          <w:lang w:val="en-CA"/>
        </w:rPr>
        <w:t>, 2014 QCCA 2139</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8–10.</w:t>
      </w:r>
    </w:p>
  </w:footnote>
  <w:footnote w:id="164">
    <w:p w14:paraId="3D424925" w14:textId="69529592"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Salomon v. Matte-Thompson</w:t>
      </w:r>
      <w:r w:rsidR="007A2D19" w:rsidRPr="009A1394">
        <w:rPr>
          <w:iCs/>
          <w:lang w:val="en-CA"/>
        </w:rPr>
        <w:t>, 2019 SCC 14, [2019] 1 S.C.R.</w:t>
      </w:r>
      <w:r w:rsidRPr="009A1394">
        <w:rPr>
          <w:lang w:val="en-CA"/>
        </w:rPr>
        <w:t xml:space="preserve"> </w:t>
      </w:r>
      <w:r w:rsidR="007A2D19" w:rsidRPr="009A1394">
        <w:rPr>
          <w:lang w:val="en-CA"/>
        </w:rPr>
        <w:t>729</w:t>
      </w:r>
      <w:r w:rsidR="00791C01" w:rsidRPr="009A1394">
        <w:rPr>
          <w:lang w:val="en-CA"/>
        </w:rPr>
        <w:t>, para</w:t>
      </w:r>
      <w:r w:rsidR="007A2D19" w:rsidRPr="009A1394">
        <w:rPr>
          <w:lang w:val="en-CA"/>
        </w:rPr>
        <w:t>.</w:t>
      </w:r>
      <w:r w:rsidRPr="009A1394">
        <w:rPr>
          <w:lang w:val="en-CA"/>
        </w:rPr>
        <w:t xml:space="preserve"> </w:t>
      </w:r>
      <w:r w:rsidR="00B8103C" w:rsidRPr="009A1394">
        <w:rPr>
          <w:lang w:val="en-CA"/>
        </w:rPr>
        <w:t>40.</w:t>
      </w:r>
    </w:p>
  </w:footnote>
  <w:footnote w:id="165">
    <w:p w14:paraId="5D8E6AD1" w14:textId="74FE4E03"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Housen v. Nikolaisen</w:t>
      </w:r>
      <w:r w:rsidR="007A2D19" w:rsidRPr="009A1394">
        <w:rPr>
          <w:iCs/>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4.</w:t>
      </w:r>
    </w:p>
  </w:footnote>
  <w:footnote w:id="166">
    <w:p w14:paraId="26EB6E87" w14:textId="180F97B2"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Teal Cedar Products Ltd. v. British Columbia</w:t>
      </w:r>
      <w:r w:rsidR="007A2D19" w:rsidRPr="009A1394">
        <w:rPr>
          <w:iCs/>
          <w:lang w:val="en-CA"/>
        </w:rPr>
        <w:t>, 2017 SCC 32, [2017] 1 S.C.R.</w:t>
      </w:r>
      <w:r w:rsidRPr="009A1394">
        <w:rPr>
          <w:lang w:val="en-CA"/>
        </w:rPr>
        <w:t xml:space="preserve"> </w:t>
      </w:r>
      <w:r w:rsidR="007A2D19" w:rsidRPr="009A1394">
        <w:rPr>
          <w:lang w:val="en-CA"/>
        </w:rPr>
        <w:t>688</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43; </w:t>
      </w:r>
      <w:r w:rsidR="007A2D19" w:rsidRPr="009A1394">
        <w:rPr>
          <w:i/>
          <w:lang w:val="en-CA"/>
        </w:rPr>
        <w:t>Housen v. Nikolaisen</w:t>
      </w:r>
      <w:r w:rsidR="007A2D19" w:rsidRPr="009A1394">
        <w:rPr>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7.</w:t>
      </w:r>
    </w:p>
  </w:footnote>
  <w:footnote w:id="167">
    <w:p w14:paraId="2186DB40" w14:textId="1132BACC"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Housen v. Nikolaisen</w:t>
      </w:r>
      <w:r w:rsidR="007A2D19" w:rsidRPr="009A1394">
        <w:rPr>
          <w:iCs/>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8; </w:t>
      </w:r>
      <w:r w:rsidR="007A2D19" w:rsidRPr="009A1394">
        <w:rPr>
          <w:i/>
          <w:lang w:val="en-CA"/>
        </w:rPr>
        <w:t>St-Jean v. Mercier</w:t>
      </w:r>
      <w:r w:rsidR="007A2D19" w:rsidRPr="009A1394">
        <w:rPr>
          <w:lang w:val="en-CA"/>
        </w:rPr>
        <w:t>, 2002 SCC 15, [2002] 1 S.C.R.</w:t>
      </w:r>
      <w:r w:rsidRPr="009A1394">
        <w:rPr>
          <w:lang w:val="en-CA"/>
        </w:rPr>
        <w:t xml:space="preserve"> </w:t>
      </w:r>
      <w:r w:rsidR="007A2D19" w:rsidRPr="009A1394">
        <w:rPr>
          <w:lang w:val="en-CA"/>
        </w:rPr>
        <w:t>491</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33–34.</w:t>
      </w:r>
    </w:p>
  </w:footnote>
  <w:footnote w:id="168">
    <w:p w14:paraId="66FB1365" w14:textId="36C2F489"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Housen v. Nikolaisen</w:t>
      </w:r>
      <w:r w:rsidR="007A2D19" w:rsidRPr="009A1394">
        <w:rPr>
          <w:iCs/>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8.</w:t>
      </w:r>
    </w:p>
  </w:footnote>
  <w:footnote w:id="169">
    <w:p w14:paraId="66DAE74B" w14:textId="60BFEB23"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Gercotech inc. c. Kruger inc.</w:t>
      </w:r>
      <w:r w:rsidRPr="009A1394">
        <w:rPr>
          <w:i/>
          <w:iCs/>
          <w:lang w:val="en-CA"/>
        </w:rPr>
        <w:t xml:space="preserve"> </w:t>
      </w:r>
      <w:r w:rsidR="007A2D19" w:rsidRPr="009A1394">
        <w:rPr>
          <w:i/>
          <w:iCs/>
          <w:lang w:val="en-CA"/>
        </w:rPr>
        <w:t>Master Trust (CIBC Mellon Trust Company)</w:t>
      </w:r>
      <w:r w:rsidR="007A2D19" w:rsidRPr="009A1394">
        <w:rPr>
          <w:iCs/>
          <w:lang w:val="en-CA"/>
        </w:rPr>
        <w:t>, 2019 QCCA 1168</w:t>
      </w:r>
      <w:r w:rsidR="00791C01" w:rsidRPr="009A1394">
        <w:rPr>
          <w:iCs/>
          <w:lang w:val="en-CA"/>
        </w:rPr>
        <w:t>, para</w:t>
      </w:r>
      <w:r w:rsidR="007A2D19" w:rsidRPr="009A1394">
        <w:rPr>
          <w:iCs/>
          <w:lang w:val="en-CA"/>
        </w:rPr>
        <w:t>.</w:t>
      </w:r>
      <w:r w:rsidRPr="009A1394">
        <w:rPr>
          <w:lang w:val="en-CA"/>
        </w:rPr>
        <w:t xml:space="preserve"> </w:t>
      </w:r>
      <w:r w:rsidR="007A2D19" w:rsidRPr="009A1394">
        <w:rPr>
          <w:lang w:val="en-CA"/>
        </w:rPr>
        <w:t xml:space="preserve">7 cited by </w:t>
      </w:r>
      <w:r w:rsidR="007A2D19" w:rsidRPr="009A1394">
        <w:rPr>
          <w:i/>
          <w:lang w:val="en-CA"/>
        </w:rPr>
        <w:t>CCI Thermal Technologies Inc. c. AXA XL (XL Catlin)</w:t>
      </w:r>
      <w:r w:rsidR="007A2D19" w:rsidRPr="009A1394">
        <w:rPr>
          <w:lang w:val="en-CA"/>
        </w:rPr>
        <w:t>, 2023 QCCA 231</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35.</w:t>
      </w:r>
    </w:p>
  </w:footnote>
  <w:footnote w:id="170">
    <w:p w14:paraId="40D3A4C0" w14:textId="3C9F89E1"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Housen v. Nikolaisen</w:t>
      </w:r>
      <w:r w:rsidR="007A2D19" w:rsidRPr="009A1394">
        <w:rPr>
          <w:iCs/>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10; </w:t>
      </w:r>
      <w:r w:rsidR="007A2D19" w:rsidRPr="009A1394">
        <w:rPr>
          <w:i/>
          <w:lang w:val="en-CA"/>
        </w:rPr>
        <w:t>Gercotech inc. c. Kruger inc.</w:t>
      </w:r>
      <w:r w:rsidRPr="009A1394">
        <w:rPr>
          <w:i/>
          <w:iCs/>
          <w:lang w:val="en-CA"/>
        </w:rPr>
        <w:t xml:space="preserve"> </w:t>
      </w:r>
      <w:r w:rsidR="007A2D19" w:rsidRPr="009A1394">
        <w:rPr>
          <w:i/>
          <w:iCs/>
          <w:lang w:val="en-CA"/>
        </w:rPr>
        <w:t>Master Trust (CIBC Mellon Trust Company)</w:t>
      </w:r>
      <w:r w:rsidR="007A2D19" w:rsidRPr="009A1394">
        <w:rPr>
          <w:iCs/>
          <w:lang w:val="en-CA"/>
        </w:rPr>
        <w:t>, 2019 QCCA 1168</w:t>
      </w:r>
      <w:r w:rsidR="00791C01" w:rsidRPr="009A1394">
        <w:rPr>
          <w:iCs/>
          <w:lang w:val="en-CA"/>
        </w:rPr>
        <w:t>, para</w:t>
      </w:r>
      <w:r w:rsidR="007A2D19" w:rsidRPr="009A1394">
        <w:rPr>
          <w:iCs/>
          <w:lang w:val="en-CA"/>
        </w:rPr>
        <w:t>.</w:t>
      </w:r>
      <w:r w:rsidRPr="009A1394">
        <w:rPr>
          <w:lang w:val="en-CA"/>
        </w:rPr>
        <w:t xml:space="preserve"> </w:t>
      </w:r>
      <w:r w:rsidR="007A2D19" w:rsidRPr="009A1394">
        <w:rPr>
          <w:lang w:val="en-CA"/>
        </w:rPr>
        <w:t xml:space="preserve">8 cited by </w:t>
      </w:r>
      <w:r w:rsidR="007A2D19" w:rsidRPr="009A1394">
        <w:rPr>
          <w:i/>
          <w:lang w:val="en-CA"/>
        </w:rPr>
        <w:t>CCI Thermal Technologies Inc. c. AXA XL (XL Catlin)</w:t>
      </w:r>
      <w:r w:rsidR="007A2D19" w:rsidRPr="009A1394">
        <w:rPr>
          <w:lang w:val="en-CA"/>
        </w:rPr>
        <w:t>, 2023 QCCA 231</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35.</w:t>
      </w:r>
    </w:p>
  </w:footnote>
  <w:footnote w:id="171">
    <w:p w14:paraId="4C17C747" w14:textId="62FC4C24"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Benhaim v. St-Germain</w:t>
      </w:r>
      <w:r w:rsidR="007A2D19" w:rsidRPr="009A1394">
        <w:rPr>
          <w:iCs/>
          <w:lang w:val="en-CA"/>
        </w:rPr>
        <w:t>, 2016 SCC 48, [2016] 2 S.C.R.</w:t>
      </w:r>
      <w:r w:rsidRPr="009A1394">
        <w:rPr>
          <w:lang w:val="en-CA"/>
        </w:rPr>
        <w:t xml:space="preserve"> </w:t>
      </w:r>
      <w:r w:rsidR="007A2D19" w:rsidRPr="009A1394">
        <w:rPr>
          <w:lang w:val="en-CA"/>
        </w:rPr>
        <w:t>352</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36.</w:t>
      </w:r>
    </w:p>
  </w:footnote>
  <w:footnote w:id="172">
    <w:p w14:paraId="65897C82" w14:textId="0C727EE9"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Housen v. Nikolaisen</w:t>
      </w:r>
      <w:r w:rsidR="007A2D19" w:rsidRPr="009A1394">
        <w:rPr>
          <w:iCs/>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37; </w:t>
      </w:r>
      <w:r w:rsidR="007A2D19" w:rsidRPr="009A1394">
        <w:rPr>
          <w:i/>
          <w:lang w:val="en-CA"/>
        </w:rPr>
        <w:t>Gercotech inc. c. Kruger inc.</w:t>
      </w:r>
      <w:r w:rsidRPr="009A1394">
        <w:rPr>
          <w:i/>
          <w:iCs/>
          <w:lang w:val="en-CA"/>
        </w:rPr>
        <w:t xml:space="preserve"> </w:t>
      </w:r>
      <w:r w:rsidR="007A2D19" w:rsidRPr="009A1394">
        <w:rPr>
          <w:i/>
          <w:iCs/>
          <w:lang w:val="en-CA"/>
        </w:rPr>
        <w:t>Master Trust (CIBC Mellon Trust Company)</w:t>
      </w:r>
      <w:r w:rsidR="007A2D19" w:rsidRPr="009A1394">
        <w:rPr>
          <w:iCs/>
          <w:lang w:val="en-CA"/>
        </w:rPr>
        <w:t>, 2019 QCCA 1168</w:t>
      </w:r>
      <w:r w:rsidR="00791C01" w:rsidRPr="009A1394">
        <w:rPr>
          <w:iCs/>
          <w:lang w:val="en-CA"/>
        </w:rPr>
        <w:t>, para</w:t>
      </w:r>
      <w:r w:rsidR="007A2D19" w:rsidRPr="009A1394">
        <w:rPr>
          <w:iCs/>
          <w:lang w:val="en-CA"/>
        </w:rPr>
        <w:t>.</w:t>
      </w:r>
      <w:r w:rsidRPr="009A1394">
        <w:rPr>
          <w:lang w:val="en-CA"/>
        </w:rPr>
        <w:t xml:space="preserve"> </w:t>
      </w:r>
      <w:r w:rsidR="007A2D19" w:rsidRPr="009A1394">
        <w:rPr>
          <w:lang w:val="en-CA"/>
        </w:rPr>
        <w:t xml:space="preserve">8 cited by </w:t>
      </w:r>
      <w:r w:rsidR="007A2D19" w:rsidRPr="009A1394">
        <w:rPr>
          <w:i/>
          <w:lang w:val="en-CA"/>
        </w:rPr>
        <w:t>CCI Thermal Technologies Inc. c. AXA XL (XL Catlin)</w:t>
      </w:r>
      <w:r w:rsidR="007A2D19" w:rsidRPr="009A1394">
        <w:rPr>
          <w:lang w:val="en-CA"/>
        </w:rPr>
        <w:t>, 2023 QCCA 231</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35.</w:t>
      </w:r>
    </w:p>
  </w:footnote>
  <w:footnote w:id="173">
    <w:p w14:paraId="5E680089" w14:textId="5C4FA864"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Teal Cedar Products Ltd. v. British Columbia</w:t>
      </w:r>
      <w:r w:rsidR="007A2D19" w:rsidRPr="009A1394">
        <w:rPr>
          <w:iCs/>
          <w:lang w:val="en-CA"/>
        </w:rPr>
        <w:t>, 2017 SCC 32, [2017] 1 S.C.R.</w:t>
      </w:r>
      <w:r w:rsidRPr="009A1394">
        <w:rPr>
          <w:lang w:val="en-CA"/>
        </w:rPr>
        <w:t xml:space="preserve"> </w:t>
      </w:r>
      <w:r w:rsidR="007A2D19" w:rsidRPr="009A1394">
        <w:rPr>
          <w:lang w:val="en-CA"/>
        </w:rPr>
        <w:t>688</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44; </w:t>
      </w:r>
      <w:r w:rsidR="007A2D19" w:rsidRPr="009A1394">
        <w:rPr>
          <w:i/>
          <w:lang w:val="en-CA"/>
        </w:rPr>
        <w:t>Housen v. Nikolaisen</w:t>
      </w:r>
      <w:r w:rsidR="007A2D19" w:rsidRPr="009A1394">
        <w:rPr>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37.</w:t>
      </w:r>
    </w:p>
  </w:footnote>
  <w:footnote w:id="174">
    <w:p w14:paraId="6040F610" w14:textId="20309CCC"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Salomon v. Matte-Thompson</w:t>
      </w:r>
      <w:r w:rsidR="007A2D19" w:rsidRPr="009A1394">
        <w:rPr>
          <w:iCs/>
          <w:lang w:val="en-CA"/>
        </w:rPr>
        <w:t>, 2019 SCC 14, [2019] 1 S.C.R.</w:t>
      </w:r>
      <w:r w:rsidRPr="009A1394">
        <w:rPr>
          <w:lang w:val="en-CA"/>
        </w:rPr>
        <w:t xml:space="preserve"> </w:t>
      </w:r>
      <w:r w:rsidR="007A2D19" w:rsidRPr="009A1394">
        <w:rPr>
          <w:lang w:val="en-CA"/>
        </w:rPr>
        <w:t>729</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33; </w:t>
      </w:r>
      <w:r w:rsidR="007A2D19" w:rsidRPr="009A1394">
        <w:rPr>
          <w:i/>
          <w:lang w:val="en-CA"/>
        </w:rPr>
        <w:t>Modern Cleaning Concept Inc. v. Comité paritaire de l’entretien d’édifices publics de la région de Québec</w:t>
      </w:r>
      <w:r w:rsidR="007A2D19" w:rsidRPr="009A1394">
        <w:rPr>
          <w:lang w:val="en-CA"/>
        </w:rPr>
        <w:t>, 2019 SCC 28, [2019]</w:t>
      </w:r>
      <w:r w:rsidR="009E0D1D" w:rsidRPr="009A1394">
        <w:rPr>
          <w:lang w:val="en-CA"/>
        </w:rPr>
        <w:t> </w:t>
      </w:r>
      <w:r w:rsidR="007A2D19" w:rsidRPr="009A1394">
        <w:rPr>
          <w:lang w:val="en-CA"/>
        </w:rPr>
        <w:t>2</w:t>
      </w:r>
      <w:r w:rsidR="009E0D1D" w:rsidRPr="009A1394">
        <w:rPr>
          <w:lang w:val="en-CA"/>
        </w:rPr>
        <w:t> </w:t>
      </w:r>
      <w:r w:rsidR="007A2D19" w:rsidRPr="009A1394">
        <w:rPr>
          <w:lang w:val="en-CA"/>
        </w:rPr>
        <w:t>S.C.R.</w:t>
      </w:r>
      <w:r w:rsidRPr="009A1394">
        <w:rPr>
          <w:lang w:val="en-CA"/>
        </w:rPr>
        <w:t xml:space="preserve"> </w:t>
      </w:r>
      <w:r w:rsidR="007A2D19" w:rsidRPr="009A1394">
        <w:rPr>
          <w:lang w:val="en-CA"/>
        </w:rPr>
        <w:t>406</w:t>
      </w:r>
      <w:r w:rsidR="00791C01" w:rsidRPr="009A1394">
        <w:rPr>
          <w:lang w:val="en-CA"/>
        </w:rPr>
        <w:t>, para</w:t>
      </w:r>
      <w:r w:rsidR="007A2D19" w:rsidRPr="009A1394">
        <w:rPr>
          <w:lang w:val="en-CA"/>
        </w:rPr>
        <w:t>.</w:t>
      </w:r>
      <w:r w:rsidRPr="009A1394">
        <w:rPr>
          <w:lang w:val="en-CA"/>
        </w:rPr>
        <w:t xml:space="preserve"> </w:t>
      </w:r>
      <w:r w:rsidR="00B8103C" w:rsidRPr="009A1394">
        <w:rPr>
          <w:lang w:val="en-CA"/>
        </w:rPr>
        <w:t>71.</w:t>
      </w:r>
    </w:p>
  </w:footnote>
  <w:footnote w:id="175">
    <w:p w14:paraId="207133AC" w14:textId="71F018ED"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 xml:space="preserve">2016 QCCA 167, leave to appeal to </w:t>
      </w:r>
      <w:r w:rsidR="0090588D" w:rsidRPr="009A1394">
        <w:rPr>
          <w:lang w:val="en-CA"/>
        </w:rPr>
        <w:t xml:space="preserve">the </w:t>
      </w:r>
      <w:r w:rsidR="007A2D19" w:rsidRPr="009A1394">
        <w:rPr>
          <w:lang w:val="en-CA"/>
        </w:rPr>
        <w:t>SCC refused, March</w:t>
      </w:r>
      <w:r w:rsidR="0090588D" w:rsidRPr="009A1394">
        <w:rPr>
          <w:lang w:val="en-CA"/>
        </w:rPr>
        <w:t xml:space="preserve"> 2,</w:t>
      </w:r>
      <w:r w:rsidR="007A2D19" w:rsidRPr="009A1394">
        <w:rPr>
          <w:lang w:val="en-CA"/>
        </w:rPr>
        <w:t xml:space="preserve"> 2017</w:t>
      </w:r>
      <w:r w:rsidR="00343B46" w:rsidRPr="009A1394">
        <w:rPr>
          <w:lang w:val="en-CA"/>
        </w:rPr>
        <w:t>, No. 36924</w:t>
      </w:r>
      <w:r w:rsidR="007A2D19" w:rsidRPr="009A1394">
        <w:rPr>
          <w:lang w:val="en-CA"/>
        </w:rPr>
        <w:t>.</w:t>
      </w:r>
    </w:p>
  </w:footnote>
  <w:footnote w:id="176">
    <w:p w14:paraId="3D736497" w14:textId="791459FA" w:rsidR="00C22D80" w:rsidRPr="009A1394" w:rsidRDefault="00C22D80" w:rsidP="00C22D8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 xml:space="preserve">See, for example, </w:t>
      </w:r>
      <w:r w:rsidR="007A2D19" w:rsidRPr="009A1394">
        <w:rPr>
          <w:i/>
          <w:lang w:val="en-CA"/>
        </w:rPr>
        <w:t>Hydro-Québec v. Matta</w:t>
      </w:r>
      <w:r w:rsidR="007A2D19" w:rsidRPr="009A1394">
        <w:rPr>
          <w:lang w:val="en-CA"/>
        </w:rPr>
        <w:t>, 2020 SCC 37, [2020] 3 S.C.R. 595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33, citing </w:t>
      </w:r>
      <w:r w:rsidR="007A2D19" w:rsidRPr="009A1394">
        <w:rPr>
          <w:i/>
          <w:lang w:val="en-CA"/>
        </w:rPr>
        <w:t>Benhaim v. St-Germain</w:t>
      </w:r>
      <w:r w:rsidR="007A2D19" w:rsidRPr="009A1394">
        <w:rPr>
          <w:lang w:val="en-CA"/>
        </w:rPr>
        <w:t>, 2016 SCC 48, [2016] 2 S.C.R. 352</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39.</w:t>
      </w:r>
    </w:p>
  </w:footnote>
  <w:footnote w:id="177">
    <w:p w14:paraId="1F9A39FD" w14:textId="570D0C22" w:rsidR="003B3CC1" w:rsidRPr="009A1394" w:rsidRDefault="008161A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lang w:val="en-CA"/>
        </w:rPr>
        <w:t xml:space="preserve">See also </w:t>
      </w:r>
      <w:r w:rsidR="007A2D19" w:rsidRPr="009A1394">
        <w:rPr>
          <w:i/>
          <w:lang w:val="en-CA"/>
        </w:rPr>
        <w:t>Lalande c. Compagnie d’arrimage de Québec ltée</w:t>
      </w:r>
      <w:r w:rsidR="007A2D19" w:rsidRPr="009A1394">
        <w:rPr>
          <w:lang w:val="en-CA"/>
        </w:rPr>
        <w:t>, 2023 QCCA 973</w:t>
      </w:r>
      <w:r w:rsidR="00791C01" w:rsidRPr="009A1394">
        <w:rPr>
          <w:lang w:val="en-CA"/>
        </w:rPr>
        <w:t>, para</w:t>
      </w:r>
      <w:r w:rsidR="007A2D19" w:rsidRPr="009A1394">
        <w:rPr>
          <w:lang w:val="en-CA"/>
        </w:rPr>
        <w:t>s.</w:t>
      </w:r>
      <w:r w:rsidR="00F40D99" w:rsidRPr="009A1394">
        <w:rPr>
          <w:lang w:val="en-CA"/>
        </w:rPr>
        <w:t xml:space="preserve"> </w:t>
      </w:r>
      <w:r w:rsidR="007A2D19" w:rsidRPr="009A1394">
        <w:rPr>
          <w:lang w:val="en-CA"/>
        </w:rPr>
        <w:t xml:space="preserve">39, 41, and 42; </w:t>
      </w:r>
      <w:r w:rsidR="007A2D19" w:rsidRPr="009A1394">
        <w:rPr>
          <w:i/>
          <w:lang w:val="en-CA"/>
        </w:rPr>
        <w:t>Berthiaume c. Réno-Dépôt inc</w:t>
      </w:r>
      <w:r w:rsidR="007A2D19" w:rsidRPr="009A1394">
        <w:rPr>
          <w:lang w:val="en-CA"/>
        </w:rPr>
        <w:t>., [1995] R.J.Q.</w:t>
      </w:r>
      <w:r w:rsidR="00F40D99" w:rsidRPr="009A1394">
        <w:rPr>
          <w:rFonts w:cs="Arial"/>
          <w:shd w:val="clear" w:color="auto" w:fill="FFFFFF"/>
          <w:lang w:val="en-CA"/>
        </w:rPr>
        <w:t xml:space="preserve"> </w:t>
      </w:r>
      <w:r w:rsidR="007A2D19" w:rsidRPr="009A1394">
        <w:rPr>
          <w:rFonts w:cs="Arial"/>
          <w:shd w:val="clear" w:color="auto" w:fill="FFFFFF"/>
          <w:lang w:val="en-CA"/>
        </w:rPr>
        <w:t>2796</w:t>
      </w:r>
      <w:r w:rsidR="006B7B86" w:rsidRPr="009A1394">
        <w:rPr>
          <w:rFonts w:cs="Arial"/>
          <w:shd w:val="clear" w:color="auto" w:fill="FFFFFF"/>
          <w:lang w:val="en-CA"/>
        </w:rPr>
        <w:t>,</w:t>
      </w:r>
      <w:r w:rsidR="007A2D19" w:rsidRPr="009A1394">
        <w:rPr>
          <w:rFonts w:cs="Arial"/>
          <w:shd w:val="clear" w:color="auto" w:fill="FFFFFF"/>
          <w:lang w:val="en-CA"/>
        </w:rPr>
        <w:t xml:space="preserve"> </w:t>
      </w:r>
      <w:r w:rsidR="006B7B86" w:rsidRPr="009A1394">
        <w:rPr>
          <w:rFonts w:cs="Arial"/>
          <w:shd w:val="clear" w:color="auto" w:fill="FFFFFF"/>
          <w:lang w:val="en-CA"/>
        </w:rPr>
        <w:t>p.</w:t>
      </w:r>
      <w:r w:rsidR="007A2D19" w:rsidRPr="009A1394">
        <w:rPr>
          <w:rFonts w:cs="Arial"/>
          <w:shd w:val="clear" w:color="auto" w:fill="FFFFFF"/>
          <w:lang w:val="en-CA"/>
        </w:rPr>
        <w:t xml:space="preserve"> 2807.</w:t>
      </w:r>
    </w:p>
  </w:footnote>
  <w:footnote w:id="178">
    <w:p w14:paraId="21DA1CB8" w14:textId="46EE49BF" w:rsidR="00027A3C" w:rsidRPr="009A1394" w:rsidRDefault="00027A3C" w:rsidP="00027A3C">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Salomon v. Matte-Thompson</w:t>
      </w:r>
      <w:r w:rsidR="007A2D19" w:rsidRPr="009A1394">
        <w:rPr>
          <w:iCs/>
          <w:lang w:val="en-CA"/>
        </w:rPr>
        <w:t>, 2019 SCC 14, [2019] 1 S.C.R.</w:t>
      </w:r>
      <w:r w:rsidRPr="009A1394">
        <w:rPr>
          <w:lang w:val="en-CA"/>
        </w:rPr>
        <w:t xml:space="preserve"> </w:t>
      </w:r>
      <w:r w:rsidR="007A2D19" w:rsidRPr="009A1394">
        <w:rPr>
          <w:lang w:val="en-CA"/>
        </w:rPr>
        <w:t>729</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 xml:space="preserve">32; </w:t>
      </w:r>
      <w:r w:rsidR="007A2D19" w:rsidRPr="009A1394">
        <w:rPr>
          <w:i/>
          <w:lang w:val="en-CA"/>
        </w:rPr>
        <w:t>St-Jean v. Mercier</w:t>
      </w:r>
      <w:r w:rsidR="007A2D19" w:rsidRPr="009A1394">
        <w:rPr>
          <w:lang w:val="en-CA"/>
        </w:rPr>
        <w:t>, 2002 SCC 15, [2002] 1 S.C.R.</w:t>
      </w:r>
      <w:r w:rsidRPr="009A1394">
        <w:rPr>
          <w:lang w:val="en-CA"/>
        </w:rPr>
        <w:t xml:space="preserve"> </w:t>
      </w:r>
      <w:r w:rsidR="007A2D19" w:rsidRPr="009A1394">
        <w:rPr>
          <w:lang w:val="en-CA"/>
        </w:rPr>
        <w:t>491</w:t>
      </w:r>
      <w:r w:rsidR="00791C01" w:rsidRPr="009A1394">
        <w:rPr>
          <w:lang w:val="en-CA"/>
        </w:rPr>
        <w:t>, para</w:t>
      </w:r>
      <w:r w:rsidR="007A2D19" w:rsidRPr="009A1394">
        <w:rPr>
          <w:lang w:val="en-CA"/>
        </w:rPr>
        <w:t>s.</w:t>
      </w:r>
      <w:r w:rsidRPr="009A1394">
        <w:rPr>
          <w:lang w:val="en-CA"/>
        </w:rPr>
        <w:t xml:space="preserve"> </w:t>
      </w:r>
      <w:r w:rsidR="007A2D19" w:rsidRPr="009A1394">
        <w:rPr>
          <w:lang w:val="en-CA"/>
        </w:rPr>
        <w:t>98 and 103–104.</w:t>
      </w:r>
    </w:p>
  </w:footnote>
  <w:footnote w:id="179">
    <w:p w14:paraId="46360C85" w14:textId="154F18B2" w:rsidR="00D97275" w:rsidRPr="009A1394" w:rsidRDefault="008161A3" w:rsidP="00D97275">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Francoeur c. 4417186 Canada inc</w:t>
      </w:r>
      <w:r w:rsidR="007A2D19" w:rsidRPr="009A1394">
        <w:rPr>
          <w:iCs/>
          <w:lang w:val="en-CA"/>
        </w:rPr>
        <w:t xml:space="preserve">., 2013 QCCA 191 cited by </w:t>
      </w:r>
      <w:r w:rsidR="007A2D19" w:rsidRPr="009A1394">
        <w:rPr>
          <w:i/>
          <w:iCs/>
          <w:lang w:val="en-CA"/>
        </w:rPr>
        <w:t>CCI Thermal Technologies Inc. c. AXA XL (XL Catlin)</w:t>
      </w:r>
      <w:r w:rsidR="007A2D19" w:rsidRPr="009A1394">
        <w:rPr>
          <w:iCs/>
          <w:lang w:val="en-CA"/>
        </w:rPr>
        <w:t>, 2023 QCCA 231</w:t>
      </w:r>
      <w:r w:rsidR="00791C01" w:rsidRPr="009A1394">
        <w:rPr>
          <w:iCs/>
          <w:lang w:val="en-CA"/>
        </w:rPr>
        <w:t>, para</w:t>
      </w:r>
      <w:r w:rsidR="007A2D19" w:rsidRPr="009A1394">
        <w:rPr>
          <w:iCs/>
          <w:lang w:val="en-CA"/>
        </w:rPr>
        <w:t>.</w:t>
      </w:r>
      <w:r w:rsidRPr="009A1394">
        <w:rPr>
          <w:lang w:val="en-CA"/>
        </w:rPr>
        <w:t xml:space="preserve"> </w:t>
      </w:r>
      <w:r w:rsidR="007A2D19" w:rsidRPr="009A1394">
        <w:rPr>
          <w:lang w:val="en-CA"/>
        </w:rPr>
        <w:t>37.</w:t>
      </w:r>
    </w:p>
  </w:footnote>
  <w:footnote w:id="180">
    <w:p w14:paraId="42B248F6" w14:textId="21B57479" w:rsidR="00027A3C" w:rsidRPr="009A1394" w:rsidRDefault="00027A3C" w:rsidP="00027A3C">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7A2D19" w:rsidRPr="009A1394">
        <w:rPr>
          <w:i/>
          <w:iCs/>
          <w:lang w:val="en-CA"/>
        </w:rPr>
        <w:t>Housen v. Nikolaisen</w:t>
      </w:r>
      <w:r w:rsidR="007A2D19" w:rsidRPr="009A1394">
        <w:rPr>
          <w:iCs/>
          <w:lang w:val="en-CA"/>
        </w:rPr>
        <w:t>, 2002 SCC 33, [2002] 2 S.C.R.</w:t>
      </w:r>
      <w:r w:rsidRPr="009A1394">
        <w:rPr>
          <w:lang w:val="en-CA"/>
        </w:rPr>
        <w:t xml:space="preserve"> </w:t>
      </w:r>
      <w:r w:rsidR="007A2D19" w:rsidRPr="009A1394">
        <w:rPr>
          <w:lang w:val="en-CA"/>
        </w:rPr>
        <w:t>235</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1;</w:t>
      </w:r>
      <w:r w:rsidR="007A2D19" w:rsidRPr="009A1394">
        <w:rPr>
          <w:i/>
          <w:lang w:val="en-CA"/>
        </w:rPr>
        <w:t xml:space="preserve"> Lalande c. Compagnie d’arrimage de Québec ltée</w:t>
      </w:r>
      <w:r w:rsidR="007A2D19" w:rsidRPr="009A1394">
        <w:rPr>
          <w:lang w:val="en-CA"/>
        </w:rPr>
        <w:t>, 2023 QCCA 973</w:t>
      </w:r>
      <w:r w:rsidR="00791C01" w:rsidRPr="009A1394">
        <w:rPr>
          <w:lang w:val="en-CA"/>
        </w:rPr>
        <w:t>, para</w:t>
      </w:r>
      <w:r w:rsidR="007A2D19" w:rsidRPr="009A1394">
        <w:rPr>
          <w:lang w:val="en-CA"/>
        </w:rPr>
        <w:t>.</w:t>
      </w:r>
      <w:r w:rsidRPr="009A1394">
        <w:rPr>
          <w:lang w:val="en-CA"/>
        </w:rPr>
        <w:t xml:space="preserve"> </w:t>
      </w:r>
      <w:r w:rsidR="007A2D19" w:rsidRPr="009A1394">
        <w:rPr>
          <w:lang w:val="en-CA"/>
        </w:rPr>
        <w:t>39.</w:t>
      </w:r>
    </w:p>
  </w:footnote>
  <w:footnote w:id="181">
    <w:p w14:paraId="6737DD9A" w14:textId="6587D34E" w:rsidR="008E174F" w:rsidRPr="009A1394" w:rsidRDefault="008E174F" w:rsidP="008E174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4D4AD0" w:rsidRPr="009A1394">
        <w:rPr>
          <w:i/>
          <w:iCs/>
          <w:lang w:val="en-CA"/>
        </w:rPr>
        <w:t>Canadian National Railway Co. v. Vincent</w:t>
      </w:r>
      <w:r w:rsidR="004D4AD0" w:rsidRPr="009A1394">
        <w:rPr>
          <w:iCs/>
          <w:lang w:val="en-CA"/>
        </w:rPr>
        <w:t>, [1979] 1 S.C.R.</w:t>
      </w:r>
      <w:r w:rsidRPr="009A1394">
        <w:rPr>
          <w:lang w:val="en-CA"/>
        </w:rPr>
        <w:t> </w:t>
      </w:r>
      <w:r w:rsidR="004D4AD0" w:rsidRPr="009A1394">
        <w:rPr>
          <w:lang w:val="en-CA"/>
        </w:rPr>
        <w:t>364.</w:t>
      </w:r>
    </w:p>
  </w:footnote>
  <w:footnote w:id="182">
    <w:p w14:paraId="50CD1734" w14:textId="1CCCB1CD" w:rsidR="008E174F" w:rsidRPr="009A1394" w:rsidRDefault="008E174F" w:rsidP="008E174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4D4AD0" w:rsidRPr="009A1394">
        <w:rPr>
          <w:i/>
          <w:iCs/>
          <w:lang w:val="en-CA"/>
        </w:rPr>
        <w:t>Roberge v. Bolduc</w:t>
      </w:r>
      <w:r w:rsidR="004D4AD0" w:rsidRPr="009A1394">
        <w:rPr>
          <w:iCs/>
          <w:lang w:val="en-CA"/>
        </w:rPr>
        <w:t>, [1991] 1 S.C.R.</w:t>
      </w:r>
      <w:r w:rsidRPr="009A1394">
        <w:rPr>
          <w:lang w:val="en-CA"/>
        </w:rPr>
        <w:t> </w:t>
      </w:r>
      <w:r w:rsidR="007A2D19" w:rsidRPr="009A1394">
        <w:rPr>
          <w:lang w:val="en-CA"/>
        </w:rPr>
        <w:t>374.</w:t>
      </w:r>
    </w:p>
  </w:footnote>
  <w:footnote w:id="183">
    <w:p w14:paraId="23B5C5B7" w14:textId="0F0CF54C" w:rsidR="008E174F" w:rsidRPr="009A1394" w:rsidRDefault="008E174F" w:rsidP="008E174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4D4AD0" w:rsidRPr="009A1394">
        <w:rPr>
          <w:i/>
          <w:iCs/>
          <w:lang w:val="en-CA"/>
        </w:rPr>
        <w:t>Ryan v. Victoria (City)</w:t>
      </w:r>
      <w:r w:rsidR="004D4AD0" w:rsidRPr="009A1394">
        <w:rPr>
          <w:iCs/>
          <w:lang w:val="en-CA"/>
        </w:rPr>
        <w:t>, [1999] 1 S.C.R.</w:t>
      </w:r>
      <w:r w:rsidRPr="009A1394">
        <w:rPr>
          <w:lang w:val="en-CA"/>
        </w:rPr>
        <w:t> </w:t>
      </w:r>
      <w:r w:rsidR="007A2D19" w:rsidRPr="009A1394">
        <w:rPr>
          <w:lang w:val="en-CA"/>
        </w:rPr>
        <w:t>201.</w:t>
      </w:r>
    </w:p>
  </w:footnote>
  <w:footnote w:id="184">
    <w:p w14:paraId="367BD66A" w14:textId="20DD3FED" w:rsidR="008E174F" w:rsidRPr="009A1394" w:rsidRDefault="008E174F" w:rsidP="008E174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4D4AD0" w:rsidRPr="009A1394">
        <w:rPr>
          <w:i/>
          <w:iCs/>
          <w:lang w:val="en-CA"/>
        </w:rPr>
        <w:t>Zsoldos v. Canadian Pacific Railway Company</w:t>
      </w:r>
      <w:r w:rsidR="004D4AD0" w:rsidRPr="009A1394">
        <w:rPr>
          <w:iCs/>
          <w:lang w:val="en-CA"/>
        </w:rPr>
        <w:t>, 2009 ONCA 55.</w:t>
      </w:r>
    </w:p>
  </w:footnote>
  <w:footnote w:id="185">
    <w:p w14:paraId="35FA354C" w14:textId="6017F6CF" w:rsidR="008E174F" w:rsidRPr="009A1394" w:rsidRDefault="008E174F" w:rsidP="008E174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4D4AD0" w:rsidRPr="009A1394">
        <w:rPr>
          <w:lang w:val="en-CA"/>
        </w:rPr>
        <w:t>R.S.C. 1985, c. 32 (4th Supp.).</w:t>
      </w:r>
    </w:p>
  </w:footnote>
  <w:footnote w:id="186">
    <w:p w14:paraId="6B371A51" w14:textId="72CBA083" w:rsidR="008E174F" w:rsidRPr="009A1394" w:rsidRDefault="008E174F" w:rsidP="008E174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4D4AD0" w:rsidRPr="009A1394">
        <w:rPr>
          <w:i/>
          <w:iCs/>
          <w:lang w:val="en-CA"/>
        </w:rPr>
        <w:t>Railway Safety Management System Regulations</w:t>
      </w:r>
      <w:r w:rsidR="004D4AD0" w:rsidRPr="009A1394">
        <w:rPr>
          <w:iCs/>
          <w:lang w:val="en-CA"/>
        </w:rPr>
        <w:t xml:space="preserve">, </w:t>
      </w:r>
      <w:r w:rsidR="002762B8" w:rsidRPr="009A1394">
        <w:rPr>
          <w:iCs/>
          <w:lang w:val="en-CA"/>
        </w:rPr>
        <w:t>SOR</w:t>
      </w:r>
      <w:r w:rsidR="004D4AD0" w:rsidRPr="009A1394">
        <w:rPr>
          <w:iCs/>
          <w:lang w:val="en-CA"/>
        </w:rPr>
        <w:t>/2001-37.</w:t>
      </w:r>
    </w:p>
  </w:footnote>
  <w:footnote w:id="187">
    <w:p w14:paraId="129E70E9" w14:textId="4201CB3E" w:rsidR="0016592E" w:rsidRPr="009A1394" w:rsidRDefault="0016592E" w:rsidP="0016592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4D4AD0" w:rsidRPr="009A1394">
        <w:rPr>
          <w:lang w:val="en-CA"/>
        </w:rPr>
        <w:t>289.</w:t>
      </w:r>
    </w:p>
  </w:footnote>
  <w:footnote w:id="188">
    <w:p w14:paraId="06F7DB4E" w14:textId="73960079" w:rsidR="00515989" w:rsidRPr="009A1394" w:rsidRDefault="00515989" w:rsidP="0051598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4D4AD0" w:rsidRPr="009A1394">
        <w:rPr>
          <w:lang w:val="en-CA"/>
        </w:rPr>
        <w:t>298.</w:t>
      </w:r>
    </w:p>
  </w:footnote>
  <w:footnote w:id="189">
    <w:p w14:paraId="2B5F4F6F" w14:textId="668DE898" w:rsidR="00F66342" w:rsidRPr="009A1394" w:rsidRDefault="008161A3">
      <w:pPr>
        <w:pStyle w:val="Notedebasdepage"/>
        <w:rPr>
          <w:lang w:val="en-CA"/>
        </w:rPr>
      </w:pPr>
      <w:r w:rsidRPr="009A1394">
        <w:rPr>
          <w:rStyle w:val="Appelnotedebasdep"/>
          <w:lang w:val="en-CA"/>
        </w:rPr>
        <w:footnoteRef/>
      </w:r>
      <w:r w:rsidR="000B0CDF" w:rsidRPr="009A1394">
        <w:rPr>
          <w:lang w:val="en-CA"/>
        </w:rPr>
        <w:t xml:space="preserve"> </w:t>
      </w:r>
      <w:r w:rsidR="000B0CDF" w:rsidRPr="009A1394">
        <w:rPr>
          <w:lang w:val="en-CA"/>
        </w:rPr>
        <w:tab/>
      </w:r>
      <w:r w:rsidR="00F96A46" w:rsidRPr="009A1394">
        <w:rPr>
          <w:lang w:val="en-CA"/>
        </w:rPr>
        <w:t>SOR</w:t>
      </w:r>
      <w:r w:rsidR="007A2D19" w:rsidRPr="009A1394">
        <w:rPr>
          <w:lang w:val="en-CA"/>
        </w:rPr>
        <w:t>/2001-37.</w:t>
      </w:r>
    </w:p>
  </w:footnote>
  <w:footnote w:id="190">
    <w:p w14:paraId="7052CA55" w14:textId="09BD2B31" w:rsidR="00442F83" w:rsidRPr="009A1394" w:rsidRDefault="00442F83" w:rsidP="00442F8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90AF8" w:rsidRPr="009A1394">
        <w:rPr>
          <w:lang w:val="en-CA"/>
        </w:rPr>
        <w:t>SOR</w:t>
      </w:r>
      <w:r w:rsidR="007A2D19" w:rsidRPr="009A1394">
        <w:rPr>
          <w:lang w:val="en-CA"/>
        </w:rPr>
        <w:t>/2001-37, s.</w:t>
      </w:r>
      <w:r w:rsidRPr="009A1394">
        <w:rPr>
          <w:lang w:val="en-CA"/>
        </w:rPr>
        <w:t> </w:t>
      </w:r>
      <w:r w:rsidR="00DB79CD" w:rsidRPr="009A1394">
        <w:rPr>
          <w:lang w:val="en-CA"/>
        </w:rPr>
        <w:t>2.</w:t>
      </w:r>
    </w:p>
  </w:footnote>
  <w:footnote w:id="191">
    <w:p w14:paraId="57C73F45" w14:textId="60CEF04C" w:rsidR="00442F83" w:rsidRPr="009A1394" w:rsidRDefault="00442F83" w:rsidP="00442F8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C3F88" w:rsidRPr="009A1394">
        <w:rPr>
          <w:lang w:val="en-CA"/>
        </w:rPr>
        <w:t>As the judge noted in paragraph 398 of the judgment</w:t>
      </w:r>
      <w:r w:rsidR="00640695" w:rsidRPr="009A1394">
        <w:rPr>
          <w:lang w:val="en-CA"/>
        </w:rPr>
        <w:t>,</w:t>
      </w:r>
      <w:r w:rsidR="00AC3F88" w:rsidRPr="009A1394">
        <w:rPr>
          <w:lang w:val="en-CA"/>
        </w:rPr>
        <w:t xml:space="preserve"> new regulation</w:t>
      </w:r>
      <w:r w:rsidR="00640695" w:rsidRPr="009A1394">
        <w:rPr>
          <w:lang w:val="en-CA"/>
        </w:rPr>
        <w:t>s</w:t>
      </w:r>
      <w:r w:rsidR="00AC3F88" w:rsidRPr="009A1394">
        <w:rPr>
          <w:lang w:val="en-CA"/>
        </w:rPr>
        <w:t xml:space="preserve"> </w:t>
      </w:r>
      <w:r w:rsidR="00640695" w:rsidRPr="009A1394">
        <w:rPr>
          <w:lang w:val="en-CA"/>
        </w:rPr>
        <w:t>were</w:t>
      </w:r>
      <w:r w:rsidR="00AC3F88" w:rsidRPr="009A1394">
        <w:rPr>
          <w:lang w:val="en-CA"/>
        </w:rPr>
        <w:t xml:space="preserve"> adopted in 2015 (</w:t>
      </w:r>
      <w:r w:rsidR="00AC3F88" w:rsidRPr="009A1394">
        <w:rPr>
          <w:i/>
          <w:lang w:val="en-CA"/>
        </w:rPr>
        <w:t>Railway Safety Management System Regulations, 2015</w:t>
      </w:r>
      <w:r w:rsidR="00AC3F88" w:rsidRPr="009A1394">
        <w:rPr>
          <w:lang w:val="en-CA"/>
        </w:rPr>
        <w:t xml:space="preserve">, SOR/2015-26), which henceforth </w:t>
      </w:r>
      <w:r w:rsidR="006D5901" w:rsidRPr="009A1394">
        <w:rPr>
          <w:lang w:val="en-CA"/>
        </w:rPr>
        <w:t xml:space="preserve">provided </w:t>
      </w:r>
      <w:r w:rsidR="00AC3F88" w:rsidRPr="009A1394">
        <w:rPr>
          <w:lang w:val="en-CA"/>
        </w:rPr>
        <w:t>that a risk assessment is appropriate where a railway company increases the volume of dangerous goods being transported.</w:t>
      </w:r>
    </w:p>
  </w:footnote>
  <w:footnote w:id="192">
    <w:p w14:paraId="03557E0D" w14:textId="3E6D2A78" w:rsidR="00DB79CD" w:rsidRPr="009A1394" w:rsidRDefault="00DB79CD" w:rsidP="00DB79CD">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C3F88" w:rsidRPr="009A1394">
        <w:rPr>
          <w:lang w:val="en-CA"/>
        </w:rPr>
        <w:t>400.</w:t>
      </w:r>
    </w:p>
  </w:footnote>
  <w:footnote w:id="193">
    <w:p w14:paraId="51836FEA" w14:textId="3B8BB9A8" w:rsidR="00DB79CD" w:rsidRPr="009A1394" w:rsidRDefault="00DB79CD" w:rsidP="00DB79CD">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bookmarkStart w:id="12" w:name="_Hlk183767605"/>
      <w:r w:rsidR="00AC3F88" w:rsidRPr="009A1394">
        <w:rPr>
          <w:i/>
          <w:iCs/>
          <w:lang w:val="en-CA"/>
        </w:rPr>
        <w:t>Lalande c. Compagnie d’arrimage de Québec ltée</w:t>
      </w:r>
      <w:r w:rsidR="00AC3F88" w:rsidRPr="009A1394">
        <w:rPr>
          <w:iCs/>
          <w:lang w:val="en-CA"/>
        </w:rPr>
        <w:t>, 2023 QCCA 973</w:t>
      </w:r>
      <w:r w:rsidR="00791C01" w:rsidRPr="009A1394">
        <w:rPr>
          <w:iCs/>
          <w:lang w:val="en-CA"/>
        </w:rPr>
        <w:t>, para</w:t>
      </w:r>
      <w:r w:rsidR="00AC3F88" w:rsidRPr="009A1394">
        <w:rPr>
          <w:iCs/>
          <w:lang w:val="en-CA"/>
        </w:rPr>
        <w:t>.</w:t>
      </w:r>
      <w:r w:rsidRPr="009A1394">
        <w:rPr>
          <w:lang w:val="en-CA"/>
        </w:rPr>
        <w:t xml:space="preserve"> </w:t>
      </w:r>
      <w:r w:rsidR="00AC3F88" w:rsidRPr="009A1394">
        <w:rPr>
          <w:lang w:val="en-CA"/>
        </w:rPr>
        <w:t>39</w:t>
      </w:r>
      <w:r w:rsidR="00937B3C" w:rsidRPr="009A1394">
        <w:rPr>
          <w:lang w:val="en-CA"/>
        </w:rPr>
        <w:t>,</w:t>
      </w:r>
      <w:r w:rsidR="00AC3F88" w:rsidRPr="009A1394">
        <w:rPr>
          <w:lang w:val="en-CA"/>
        </w:rPr>
        <w:t xml:space="preserve"> </w:t>
      </w:r>
      <w:r w:rsidR="00E25BE2" w:rsidRPr="009A1394">
        <w:rPr>
          <w:lang w:val="en-CA"/>
        </w:rPr>
        <w:t>citing</w:t>
      </w:r>
      <w:r w:rsidR="00AC3F88" w:rsidRPr="009A1394">
        <w:rPr>
          <w:lang w:val="en-CA"/>
        </w:rPr>
        <w:t xml:space="preserve"> </w:t>
      </w:r>
      <w:r w:rsidR="00AC3F88" w:rsidRPr="009A1394">
        <w:rPr>
          <w:i/>
          <w:lang w:val="en-CA"/>
        </w:rPr>
        <w:t>Construction Blenda inc. c. Office municipal d’habitation de Rosemère</w:t>
      </w:r>
      <w:r w:rsidR="00AC3F88" w:rsidRPr="009A1394">
        <w:rPr>
          <w:lang w:val="en-CA"/>
        </w:rPr>
        <w:t>, 2020 QCCA 149</w:t>
      </w:r>
      <w:r w:rsidR="00791C01" w:rsidRPr="009A1394">
        <w:rPr>
          <w:lang w:val="en-CA"/>
        </w:rPr>
        <w:t>, para</w:t>
      </w:r>
      <w:r w:rsidR="00AC3F88" w:rsidRPr="009A1394">
        <w:rPr>
          <w:lang w:val="en-CA"/>
        </w:rPr>
        <w:t>.</w:t>
      </w:r>
      <w:r w:rsidRPr="009A1394">
        <w:rPr>
          <w:lang w:val="en-CA"/>
        </w:rPr>
        <w:t xml:space="preserve"> </w:t>
      </w:r>
      <w:bookmarkEnd w:id="12"/>
      <w:r w:rsidR="007A2D19" w:rsidRPr="009A1394">
        <w:rPr>
          <w:lang w:val="en-CA"/>
        </w:rPr>
        <w:t>37.</w:t>
      </w:r>
    </w:p>
  </w:footnote>
  <w:footnote w:id="194">
    <w:p w14:paraId="3C9BD075" w14:textId="4274AAA4" w:rsidR="00DB79CD" w:rsidRPr="009A1394" w:rsidRDefault="00DB79CD" w:rsidP="00DB79CD">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C3F88" w:rsidRPr="009A1394">
        <w:rPr>
          <w:i/>
          <w:iCs/>
          <w:lang w:val="en-CA"/>
        </w:rPr>
        <w:t>Benhaim v. St-Germain</w:t>
      </w:r>
      <w:r w:rsidR="00AC3F88" w:rsidRPr="009A1394">
        <w:rPr>
          <w:iCs/>
          <w:lang w:val="en-CA"/>
        </w:rPr>
        <w:t>, 2016 SCC 48</w:t>
      </w:r>
      <w:r w:rsidR="00791C01" w:rsidRPr="009A1394">
        <w:rPr>
          <w:iCs/>
          <w:lang w:val="en-CA"/>
        </w:rPr>
        <w:t>, para</w:t>
      </w:r>
      <w:r w:rsidR="00AC3F88" w:rsidRPr="009A1394">
        <w:rPr>
          <w:iCs/>
          <w:lang w:val="en-CA"/>
        </w:rPr>
        <w:t>.</w:t>
      </w:r>
      <w:r w:rsidRPr="009A1394">
        <w:rPr>
          <w:lang w:val="en-CA"/>
        </w:rPr>
        <w:t xml:space="preserve"> </w:t>
      </w:r>
      <w:r w:rsidR="007A2D19" w:rsidRPr="009A1394">
        <w:rPr>
          <w:lang w:val="en-CA"/>
        </w:rPr>
        <w:t>37.</w:t>
      </w:r>
      <w:r w:rsidRPr="009A1394">
        <w:rPr>
          <w:lang w:val="en-CA"/>
        </w:rPr>
        <w:t xml:space="preserve"> </w:t>
      </w:r>
      <w:r w:rsidR="00AC3F88" w:rsidRPr="009A1394">
        <w:rPr>
          <w:lang w:val="en-CA"/>
        </w:rPr>
        <w:t xml:space="preserve">See also </w:t>
      </w:r>
      <w:r w:rsidR="00AC3F88" w:rsidRPr="009A1394">
        <w:rPr>
          <w:i/>
          <w:lang w:val="en-CA"/>
        </w:rPr>
        <w:t>Berthiaume c. Réno-Dépôt Inc</w:t>
      </w:r>
      <w:r w:rsidR="00AC3F88" w:rsidRPr="009A1394">
        <w:rPr>
          <w:lang w:val="en-CA"/>
        </w:rPr>
        <w:t>., [1995]</w:t>
      </w:r>
      <w:r w:rsidR="005A7E61" w:rsidRPr="009A1394">
        <w:rPr>
          <w:lang w:val="en-CA"/>
        </w:rPr>
        <w:t> </w:t>
      </w:r>
      <w:r w:rsidR="002527F4" w:rsidRPr="009A1394">
        <w:rPr>
          <w:lang w:val="en-CA"/>
        </w:rPr>
        <w:t xml:space="preserve">R.J.Q. </w:t>
      </w:r>
      <w:r w:rsidR="00AC3F88" w:rsidRPr="009A1394">
        <w:rPr>
          <w:lang w:val="en-CA"/>
        </w:rPr>
        <w:t>2796</w:t>
      </w:r>
      <w:r w:rsidR="00C03B88" w:rsidRPr="009A1394">
        <w:rPr>
          <w:lang w:val="en-CA"/>
        </w:rPr>
        <w:t>, p. 2</w:t>
      </w:r>
      <w:r w:rsidR="00AC3F88" w:rsidRPr="009A1394">
        <w:rPr>
          <w:lang w:val="en-CA"/>
        </w:rPr>
        <w:t>807.</w:t>
      </w:r>
    </w:p>
  </w:footnote>
  <w:footnote w:id="195">
    <w:p w14:paraId="35A11A14" w14:textId="3BB83DD1" w:rsidR="00DB79CD" w:rsidRPr="009A1394" w:rsidRDefault="00DB79CD" w:rsidP="00DB79CD">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C3F88" w:rsidRPr="009A1394">
        <w:rPr>
          <w:lang w:val="en-CA"/>
        </w:rPr>
        <w:t>396.</w:t>
      </w:r>
    </w:p>
  </w:footnote>
  <w:footnote w:id="196">
    <w:p w14:paraId="014EA84C" w14:textId="7DC5BF99" w:rsidR="00242FB5" w:rsidRPr="009A1394" w:rsidRDefault="008161A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i/>
          <w:iCs/>
          <w:lang w:val="en-CA"/>
        </w:rPr>
        <w:t>Dow Chemical Canada ULC v. Canada</w:t>
      </w:r>
      <w:r w:rsidR="00322F45" w:rsidRPr="009A1394">
        <w:rPr>
          <w:iCs/>
          <w:lang w:val="en-CA"/>
        </w:rPr>
        <w:t>, 2024 SCC 23</w:t>
      </w:r>
      <w:r w:rsidR="00791C01" w:rsidRPr="009A1394">
        <w:rPr>
          <w:iCs/>
          <w:lang w:val="en-CA"/>
        </w:rPr>
        <w:t>, para</w:t>
      </w:r>
      <w:r w:rsidR="00322F45" w:rsidRPr="009A1394">
        <w:rPr>
          <w:iCs/>
          <w:lang w:val="en-CA"/>
        </w:rPr>
        <w:t>.</w:t>
      </w:r>
      <w:r w:rsidR="003E6E38" w:rsidRPr="009A1394">
        <w:rPr>
          <w:lang w:val="en-CA"/>
        </w:rPr>
        <w:t xml:space="preserve"> </w:t>
      </w:r>
      <w:r w:rsidR="00322F45" w:rsidRPr="009A1394">
        <w:rPr>
          <w:lang w:val="en-CA"/>
        </w:rPr>
        <w:t>101.</w:t>
      </w:r>
    </w:p>
  </w:footnote>
  <w:footnote w:id="197">
    <w:p w14:paraId="5369E2B5" w14:textId="7EEA7ADE" w:rsidR="00B70990" w:rsidRPr="009A1394" w:rsidRDefault="00B70990" w:rsidP="00B7099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bookmarkStart w:id="14" w:name="_Hlk180298696"/>
      <w:r w:rsidR="00322F45" w:rsidRPr="009A1394">
        <w:rPr>
          <w:i/>
          <w:iCs/>
          <w:lang w:val="en-CA"/>
        </w:rPr>
        <w:t>Service d’excavation Jacques Lirette inc. c. Economical, compagnie d’assurance</w:t>
      </w:r>
      <w:r w:rsidR="00322F45" w:rsidRPr="009A1394">
        <w:rPr>
          <w:iCs/>
          <w:lang w:val="en-CA"/>
        </w:rPr>
        <w:t>, 2014 QCCA 2139</w:t>
      </w:r>
      <w:r w:rsidR="00791C01" w:rsidRPr="009A1394">
        <w:rPr>
          <w:iCs/>
          <w:lang w:val="en-CA"/>
        </w:rPr>
        <w:t>, para</w:t>
      </w:r>
      <w:r w:rsidR="00322F45" w:rsidRPr="009A1394">
        <w:rPr>
          <w:iCs/>
          <w:lang w:val="en-CA"/>
        </w:rPr>
        <w:t>.</w:t>
      </w:r>
      <w:r w:rsidRPr="009A1394">
        <w:rPr>
          <w:lang w:val="en-CA"/>
        </w:rPr>
        <w:t> </w:t>
      </w:r>
      <w:bookmarkEnd w:id="14"/>
      <w:r w:rsidR="00B8103C" w:rsidRPr="009A1394">
        <w:rPr>
          <w:lang w:val="en-CA"/>
        </w:rPr>
        <w:t>9.</w:t>
      </w:r>
    </w:p>
  </w:footnote>
  <w:footnote w:id="198">
    <w:p w14:paraId="657842CE" w14:textId="7224DF35" w:rsidR="00B70990" w:rsidRPr="009A1394" w:rsidRDefault="00B70990" w:rsidP="00B7099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lang w:val="en-CA"/>
        </w:rPr>
        <w:t>Report by Gary P. Wolf, expert on rail</w:t>
      </w:r>
      <w:r w:rsidR="001A2CE4" w:rsidRPr="009A1394">
        <w:rPr>
          <w:lang w:val="en-CA"/>
        </w:rPr>
        <w:t>way</w:t>
      </w:r>
      <w:r w:rsidR="00322F45" w:rsidRPr="009A1394">
        <w:rPr>
          <w:lang w:val="en-CA"/>
        </w:rPr>
        <w:t xml:space="preserve"> operations, revised on April 29, 2022.</w:t>
      </w:r>
    </w:p>
  </w:footnote>
  <w:footnote w:id="199">
    <w:p w14:paraId="26D524DA" w14:textId="70B9BD39" w:rsidR="005B257E" w:rsidRPr="009A1394" w:rsidRDefault="005B257E" w:rsidP="005B257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322F45" w:rsidRPr="009A1394">
        <w:rPr>
          <w:lang w:val="en-CA"/>
        </w:rPr>
        <w:t>414.</w:t>
      </w:r>
    </w:p>
  </w:footnote>
  <w:footnote w:id="200">
    <w:p w14:paraId="1DF15EF0" w14:textId="377606B8" w:rsidR="005B257E" w:rsidRPr="009A1394" w:rsidRDefault="005B257E" w:rsidP="005B257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7A2D19" w:rsidRPr="009A1394">
        <w:rPr>
          <w:lang w:val="en-CA"/>
        </w:rPr>
        <w:t>415.</w:t>
      </w:r>
    </w:p>
  </w:footnote>
  <w:footnote w:id="201">
    <w:p w14:paraId="505FF20F" w14:textId="40516E6F" w:rsidR="005B257E" w:rsidRPr="009A1394" w:rsidRDefault="005B257E" w:rsidP="005B257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7A2D19" w:rsidRPr="009A1394">
        <w:rPr>
          <w:lang w:val="en-CA"/>
        </w:rPr>
        <w:t>416.</w:t>
      </w:r>
    </w:p>
  </w:footnote>
  <w:footnote w:id="202">
    <w:p w14:paraId="2F1FD202" w14:textId="643BB24D" w:rsidR="005B257E" w:rsidRPr="009A1394" w:rsidRDefault="005B257E" w:rsidP="005B257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lang w:val="en-CA"/>
        </w:rPr>
        <w:t>Report by Gary P. Wolf, expert on rail</w:t>
      </w:r>
      <w:r w:rsidR="001A2CE4" w:rsidRPr="009A1394">
        <w:rPr>
          <w:lang w:val="en-CA"/>
        </w:rPr>
        <w:t>way</w:t>
      </w:r>
      <w:r w:rsidR="00322F45" w:rsidRPr="009A1394">
        <w:rPr>
          <w:lang w:val="en-CA"/>
        </w:rPr>
        <w:t xml:space="preserve"> operations, revised on April 29, 2022.</w:t>
      </w:r>
    </w:p>
  </w:footnote>
  <w:footnote w:id="203">
    <w:p w14:paraId="586CAF82" w14:textId="57E22D61" w:rsidR="005B257E" w:rsidRPr="009A1394" w:rsidRDefault="005B257E" w:rsidP="005B257E">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lang w:val="en-CA"/>
        </w:rPr>
        <w:t>Report by Gary P. Wolf, expert on rail</w:t>
      </w:r>
      <w:r w:rsidR="001A2CE4" w:rsidRPr="009A1394">
        <w:rPr>
          <w:lang w:val="en-CA"/>
        </w:rPr>
        <w:t>way</w:t>
      </w:r>
      <w:r w:rsidR="00322F45" w:rsidRPr="009A1394">
        <w:rPr>
          <w:lang w:val="en-CA"/>
        </w:rPr>
        <w:t xml:space="preserve"> operations, revised on April 29, 2022.</w:t>
      </w:r>
    </w:p>
  </w:footnote>
  <w:footnote w:id="204">
    <w:p w14:paraId="30C94711" w14:textId="482D2910" w:rsidR="0031052A" w:rsidRPr="009A1394" w:rsidRDefault="0031052A" w:rsidP="0031052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lang w:val="en-CA"/>
        </w:rPr>
        <w:t>Pre-trial examination of Edward A. Burkhardt, January 9 and 10, 2020.</w:t>
      </w:r>
      <w:r w:rsidRPr="009A1394">
        <w:rPr>
          <w:lang w:val="en-CA"/>
        </w:rPr>
        <w:t xml:space="preserve"> </w:t>
      </w:r>
      <w:r w:rsidR="00322F45" w:rsidRPr="009A1394">
        <w:rPr>
          <w:lang w:val="en-CA"/>
        </w:rPr>
        <w:t>See also Report by Gary P. Wolf, expert on rail</w:t>
      </w:r>
      <w:r w:rsidR="001A2CE4" w:rsidRPr="009A1394">
        <w:rPr>
          <w:lang w:val="en-CA"/>
        </w:rPr>
        <w:t>way</w:t>
      </w:r>
      <w:r w:rsidR="00322F45" w:rsidRPr="009A1394">
        <w:rPr>
          <w:lang w:val="en-CA"/>
        </w:rPr>
        <w:t xml:space="preserve"> operations, revised on April 29, 2022, and Examination of Jason Ross on October</w:t>
      </w:r>
      <w:r w:rsidR="00154E9B" w:rsidRPr="009A1394">
        <w:rPr>
          <w:lang w:val="en-CA"/>
        </w:rPr>
        <w:t> </w:t>
      </w:r>
      <w:r w:rsidR="00322F45" w:rsidRPr="009A1394">
        <w:rPr>
          <w:lang w:val="en-CA"/>
        </w:rPr>
        <w:t>8,</w:t>
      </w:r>
      <w:r w:rsidR="00154E9B" w:rsidRPr="009A1394">
        <w:rPr>
          <w:lang w:val="en-CA"/>
        </w:rPr>
        <w:t> </w:t>
      </w:r>
      <w:r w:rsidR="00322F45" w:rsidRPr="009A1394">
        <w:rPr>
          <w:lang w:val="en-CA"/>
        </w:rPr>
        <w:t>2021.</w:t>
      </w:r>
    </w:p>
  </w:footnote>
  <w:footnote w:id="205">
    <w:p w14:paraId="6D3972A8" w14:textId="136B8209" w:rsidR="00BD3B30" w:rsidRPr="009A1394" w:rsidRDefault="00BD3B30" w:rsidP="00BD3B3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lang w:val="en-CA"/>
        </w:rPr>
        <w:t>Report by Gary P. Wolf, expert on rail</w:t>
      </w:r>
      <w:r w:rsidR="001A2CE4" w:rsidRPr="009A1394">
        <w:rPr>
          <w:lang w:val="en-CA"/>
        </w:rPr>
        <w:t>way</w:t>
      </w:r>
      <w:r w:rsidR="00322F45" w:rsidRPr="009A1394">
        <w:rPr>
          <w:lang w:val="en-CA"/>
        </w:rPr>
        <w:t xml:space="preserve"> operations, revised on April 29, 2022.</w:t>
      </w:r>
    </w:p>
  </w:footnote>
  <w:footnote w:id="206">
    <w:p w14:paraId="664CCA73" w14:textId="2B58B414"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322F45" w:rsidRPr="009A1394">
        <w:rPr>
          <w:lang w:val="en-CA"/>
        </w:rPr>
        <w:t>430.</w:t>
      </w:r>
    </w:p>
  </w:footnote>
  <w:footnote w:id="207">
    <w:p w14:paraId="03ED3779" w14:textId="6CEF2A01" w:rsidR="00BD3B30" w:rsidRPr="009A1394" w:rsidRDefault="00BD3B30" w:rsidP="00BD3B3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i/>
          <w:iCs/>
          <w:lang w:val="en-CA"/>
        </w:rPr>
        <w:t>Canada Transportation Act</w:t>
      </w:r>
      <w:r w:rsidR="00322F45" w:rsidRPr="009A1394">
        <w:rPr>
          <w:iCs/>
          <w:lang w:val="en-CA"/>
        </w:rPr>
        <w:t>, S.C. 1996, c. 10.</w:t>
      </w:r>
    </w:p>
  </w:footnote>
  <w:footnote w:id="208">
    <w:p w14:paraId="78F2DA50" w14:textId="425A4701" w:rsidR="00106BC8" w:rsidRPr="009A1394" w:rsidRDefault="00106BC8" w:rsidP="00106BC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322F45" w:rsidRPr="009A1394">
        <w:rPr>
          <w:lang w:val="en-CA"/>
        </w:rPr>
        <w:t>658.</w:t>
      </w:r>
    </w:p>
  </w:footnote>
  <w:footnote w:id="209">
    <w:p w14:paraId="5AAF82A9" w14:textId="340CE26D" w:rsidR="00106BC8" w:rsidRPr="009A1394" w:rsidRDefault="00106BC8" w:rsidP="00106BC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EF7344" w:rsidRPr="009A1394">
        <w:rPr>
          <w:rStyle w:val="cf01"/>
          <w:rFonts w:ascii="Arial" w:hAnsi="Arial" w:cs="Arial"/>
          <w:sz w:val="20"/>
          <w:szCs w:val="20"/>
          <w:lang w:val="en-CA"/>
        </w:rPr>
        <w:t>Letter Decision</w:t>
      </w:r>
      <w:r w:rsidR="00322F45" w:rsidRPr="009A1394">
        <w:rPr>
          <w:rStyle w:val="cf01"/>
          <w:rFonts w:ascii="Arial" w:hAnsi="Arial" w:cs="Arial"/>
          <w:sz w:val="20"/>
          <w:szCs w:val="20"/>
          <w:lang w:val="en-CA"/>
        </w:rPr>
        <w:t xml:space="preserve"> </w:t>
      </w:r>
      <w:r w:rsidR="00EF7344" w:rsidRPr="009A1394">
        <w:rPr>
          <w:rStyle w:val="cf01"/>
          <w:rFonts w:ascii="Arial" w:hAnsi="Arial" w:cs="Arial"/>
          <w:sz w:val="20"/>
          <w:szCs w:val="20"/>
          <w:lang w:val="en-CA"/>
        </w:rPr>
        <w:t>No</w:t>
      </w:r>
      <w:r w:rsidR="00322F45" w:rsidRPr="009A1394">
        <w:rPr>
          <w:rStyle w:val="cf01"/>
          <w:rFonts w:ascii="Arial" w:hAnsi="Arial" w:cs="Arial"/>
          <w:sz w:val="20"/>
          <w:szCs w:val="20"/>
          <w:lang w:val="en-CA"/>
        </w:rPr>
        <w:t>. LET-R-99-2013, August 21, 2013.</w:t>
      </w:r>
    </w:p>
  </w:footnote>
  <w:footnote w:id="210">
    <w:p w14:paraId="453D3B8B" w14:textId="3B3F1436" w:rsidR="004D1A95" w:rsidRPr="009A1394" w:rsidRDefault="004D1A95" w:rsidP="004D1A95">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322F45" w:rsidRPr="009A1394">
        <w:rPr>
          <w:lang w:val="en-CA"/>
        </w:rPr>
        <w:t>656.</w:t>
      </w:r>
    </w:p>
  </w:footnote>
  <w:footnote w:id="211">
    <w:p w14:paraId="48B01C2F" w14:textId="1BFEB7D6" w:rsidR="007D1ECA" w:rsidRPr="009A1394" w:rsidRDefault="007D1ECA" w:rsidP="007D1EC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i/>
          <w:iCs/>
          <w:lang w:val="en-CA"/>
        </w:rPr>
        <w:t>Service d’excavation Jacques Lirette inc. c. Economical, compagnie d’assurance</w:t>
      </w:r>
      <w:r w:rsidR="00322F45" w:rsidRPr="009A1394">
        <w:rPr>
          <w:iCs/>
          <w:lang w:val="en-CA"/>
        </w:rPr>
        <w:t>, 2014 QCCA 2139</w:t>
      </w:r>
      <w:r w:rsidR="00791C01" w:rsidRPr="009A1394">
        <w:rPr>
          <w:iCs/>
          <w:lang w:val="en-CA"/>
        </w:rPr>
        <w:t>, para</w:t>
      </w:r>
      <w:r w:rsidR="00322F45" w:rsidRPr="009A1394">
        <w:rPr>
          <w:iCs/>
          <w:lang w:val="en-CA"/>
        </w:rPr>
        <w:t>.</w:t>
      </w:r>
      <w:r w:rsidRPr="009A1394">
        <w:rPr>
          <w:lang w:val="en-CA"/>
        </w:rPr>
        <w:t xml:space="preserve"> </w:t>
      </w:r>
      <w:r w:rsidR="00B8103C" w:rsidRPr="009A1394">
        <w:rPr>
          <w:lang w:val="en-CA"/>
        </w:rPr>
        <w:t>9.</w:t>
      </w:r>
    </w:p>
  </w:footnote>
  <w:footnote w:id="212">
    <w:p w14:paraId="78C9C6D9" w14:textId="4F9A20A7" w:rsidR="007D1ECA" w:rsidRPr="009A1394" w:rsidRDefault="007D1ECA" w:rsidP="007D1EC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322F45" w:rsidRPr="009A1394">
        <w:rPr>
          <w:lang w:val="en-CA"/>
        </w:rPr>
        <w:t>654.</w:t>
      </w:r>
    </w:p>
  </w:footnote>
  <w:footnote w:id="213">
    <w:p w14:paraId="5860FB72" w14:textId="2CB1B22A" w:rsidR="007D1ECA" w:rsidRPr="009A1394" w:rsidRDefault="007D1ECA" w:rsidP="007D1EC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322F45" w:rsidRPr="009A1394">
        <w:rPr>
          <w:lang w:val="en-CA"/>
        </w:rPr>
        <w:t>662.</w:t>
      </w:r>
    </w:p>
  </w:footnote>
  <w:footnote w:id="214">
    <w:p w14:paraId="719C85D9" w14:textId="1A4A21E2" w:rsidR="007D1ECA" w:rsidRPr="009A1394" w:rsidRDefault="007D1ECA" w:rsidP="007D1EC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322F45" w:rsidRPr="009A1394">
        <w:rPr>
          <w:lang w:val="en-CA"/>
        </w:rPr>
        <w:t>664.</w:t>
      </w:r>
    </w:p>
  </w:footnote>
  <w:footnote w:id="215">
    <w:p w14:paraId="5E804A17" w14:textId="7DE58798" w:rsidR="007D1ECA" w:rsidRPr="009A1394" w:rsidRDefault="007D1ECA" w:rsidP="007D1EC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51124" w:rsidRPr="009A1394">
        <w:rPr>
          <w:lang w:val="en-CA"/>
        </w:rPr>
        <w:t xml:space="preserve">See, </w:t>
      </w:r>
      <w:r w:rsidR="00626F8C" w:rsidRPr="009A1394">
        <w:rPr>
          <w:i/>
          <w:iCs/>
          <w:lang w:val="en-CA"/>
        </w:rPr>
        <w:t>inter alia</w:t>
      </w:r>
      <w:r w:rsidR="00A51124" w:rsidRPr="009A1394">
        <w:rPr>
          <w:lang w:val="en-CA"/>
        </w:rPr>
        <w:t xml:space="preserve">, </w:t>
      </w:r>
      <w:r w:rsidR="001013A4" w:rsidRPr="009A1394">
        <w:rPr>
          <w:lang w:val="en-CA"/>
        </w:rPr>
        <w:t xml:space="preserve">examination </w:t>
      </w:r>
      <w:r w:rsidR="00A51124" w:rsidRPr="009A1394">
        <w:rPr>
          <w:lang w:val="en-CA"/>
        </w:rPr>
        <w:t>of Malcolm K. Sparrow, expert on regulatory practices and strategies, April 20, 2022; Report of Malcolm K. Sparrow, expert on regulatory practices and strategies, dated July 10, 2020.</w:t>
      </w:r>
    </w:p>
  </w:footnote>
  <w:footnote w:id="216">
    <w:p w14:paraId="309D2AA7" w14:textId="1DD5DB0F" w:rsidR="002D15CF" w:rsidRPr="009A1394" w:rsidRDefault="002D15CF" w:rsidP="002D15C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322F45" w:rsidRPr="009A1394">
        <w:rPr>
          <w:lang w:val="en-CA"/>
        </w:rPr>
        <w:t>654.</w:t>
      </w:r>
    </w:p>
  </w:footnote>
  <w:footnote w:id="217">
    <w:p w14:paraId="31FBF50F" w14:textId="0862F000" w:rsidR="00D83310" w:rsidRPr="009A1394" w:rsidRDefault="00D83310" w:rsidP="00D8331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51124" w:rsidRPr="009A1394">
        <w:rPr>
          <w:i/>
          <w:iCs/>
          <w:lang w:val="en-CA"/>
        </w:rPr>
        <w:t>Trépanier c. Piéraut</w:t>
      </w:r>
      <w:r w:rsidR="00A51124" w:rsidRPr="009A1394">
        <w:rPr>
          <w:iCs/>
          <w:lang w:val="en-CA"/>
        </w:rPr>
        <w:t>, 2024 QCCA 1034</w:t>
      </w:r>
      <w:r w:rsidR="00791C01" w:rsidRPr="009A1394">
        <w:rPr>
          <w:iCs/>
          <w:lang w:val="en-CA"/>
        </w:rPr>
        <w:t>, para</w:t>
      </w:r>
      <w:r w:rsidR="00A51124" w:rsidRPr="009A1394">
        <w:rPr>
          <w:iCs/>
          <w:lang w:val="en-CA"/>
        </w:rPr>
        <w:t>.</w:t>
      </w:r>
      <w:r w:rsidRPr="009A1394">
        <w:rPr>
          <w:lang w:val="en-CA"/>
        </w:rPr>
        <w:t xml:space="preserve"> </w:t>
      </w:r>
      <w:r w:rsidR="00A51124" w:rsidRPr="009A1394">
        <w:rPr>
          <w:lang w:val="en-CA"/>
        </w:rPr>
        <w:t xml:space="preserve">4; </w:t>
      </w:r>
      <w:r w:rsidR="00A51124" w:rsidRPr="009A1394">
        <w:rPr>
          <w:i/>
          <w:lang w:val="en-CA"/>
        </w:rPr>
        <w:t>Martel c. Ville de Québec</w:t>
      </w:r>
      <w:r w:rsidR="00A51124" w:rsidRPr="009A1394">
        <w:rPr>
          <w:lang w:val="en-CA"/>
        </w:rPr>
        <w:t>, 2017 QCCA 1584</w:t>
      </w:r>
      <w:r w:rsidR="00791C01" w:rsidRPr="009A1394">
        <w:rPr>
          <w:lang w:val="en-CA"/>
        </w:rPr>
        <w:t>, para</w:t>
      </w:r>
      <w:r w:rsidR="00A51124" w:rsidRPr="009A1394">
        <w:rPr>
          <w:lang w:val="en-CA"/>
        </w:rPr>
        <w:t>.</w:t>
      </w:r>
      <w:r w:rsidRPr="009A1394">
        <w:rPr>
          <w:lang w:val="en-CA"/>
        </w:rPr>
        <w:t> </w:t>
      </w:r>
      <w:r w:rsidR="00A51124" w:rsidRPr="009A1394">
        <w:rPr>
          <w:lang w:val="en-CA"/>
        </w:rPr>
        <w:t xml:space="preserve">11; </w:t>
      </w:r>
      <w:r w:rsidR="00A51124" w:rsidRPr="009A1394">
        <w:rPr>
          <w:i/>
          <w:lang w:val="en-CA"/>
        </w:rPr>
        <w:t>Drogue c. Procureur général du Québec</w:t>
      </w:r>
      <w:r w:rsidR="00A51124" w:rsidRPr="009A1394">
        <w:rPr>
          <w:lang w:val="en-CA"/>
        </w:rPr>
        <w:t>, 2023 QCCA 128</w:t>
      </w:r>
      <w:r w:rsidR="00791C01" w:rsidRPr="009A1394">
        <w:rPr>
          <w:lang w:val="en-CA"/>
        </w:rPr>
        <w:t>, para</w:t>
      </w:r>
      <w:r w:rsidR="00A51124" w:rsidRPr="009A1394">
        <w:rPr>
          <w:lang w:val="en-CA"/>
        </w:rPr>
        <w:t>.</w:t>
      </w:r>
      <w:r w:rsidRPr="009A1394">
        <w:rPr>
          <w:lang w:val="en-CA"/>
        </w:rPr>
        <w:t xml:space="preserve"> </w:t>
      </w:r>
      <w:r w:rsidR="00A51124" w:rsidRPr="009A1394">
        <w:rPr>
          <w:lang w:val="en-CA"/>
        </w:rPr>
        <w:t>6.</w:t>
      </w:r>
    </w:p>
  </w:footnote>
  <w:footnote w:id="218">
    <w:p w14:paraId="1A9581DC" w14:textId="4A946AEE" w:rsidR="00D83310" w:rsidRPr="009A1394" w:rsidRDefault="00D83310" w:rsidP="00D8331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51124" w:rsidRPr="009A1394">
        <w:rPr>
          <w:lang w:val="en-CA"/>
        </w:rPr>
        <w:t>Judgment under appeal</w:t>
      </w:r>
      <w:r w:rsidR="00791C01" w:rsidRPr="009A1394">
        <w:rPr>
          <w:lang w:val="en-CA"/>
        </w:rPr>
        <w:t>, para</w:t>
      </w:r>
      <w:r w:rsidR="00A51124" w:rsidRPr="009A1394">
        <w:rPr>
          <w:lang w:val="en-CA"/>
        </w:rPr>
        <w:t>s.</w:t>
      </w:r>
      <w:r w:rsidRPr="009A1394">
        <w:rPr>
          <w:lang w:val="en-CA"/>
        </w:rPr>
        <w:t xml:space="preserve"> </w:t>
      </w:r>
      <w:r w:rsidR="00A51124" w:rsidRPr="009A1394">
        <w:rPr>
          <w:lang w:val="en-CA"/>
        </w:rPr>
        <w:t>675 and 676.</w:t>
      </w:r>
    </w:p>
  </w:footnote>
  <w:footnote w:id="219">
    <w:p w14:paraId="57A99467" w14:textId="44424D1A" w:rsidR="00D83310" w:rsidRPr="009A1394" w:rsidRDefault="00D83310" w:rsidP="00D8331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51124" w:rsidRPr="009A1394">
        <w:rPr>
          <w:lang w:val="en-CA"/>
        </w:rPr>
        <w:t>677.</w:t>
      </w:r>
    </w:p>
  </w:footnote>
  <w:footnote w:id="220">
    <w:p w14:paraId="490CFA4C" w14:textId="0778516C" w:rsidR="00D83310" w:rsidRPr="009A1394" w:rsidRDefault="00D83310" w:rsidP="00D8331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51124" w:rsidRPr="009A1394">
        <w:rPr>
          <w:lang w:val="en-CA"/>
        </w:rPr>
        <w:t>678.</w:t>
      </w:r>
    </w:p>
  </w:footnote>
  <w:footnote w:id="221">
    <w:p w14:paraId="741E80F0" w14:textId="128B973D" w:rsidR="00737FF8" w:rsidRPr="009A1394" w:rsidRDefault="00737FF8" w:rsidP="00737FF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51124" w:rsidRPr="009A1394">
        <w:rPr>
          <w:lang w:val="en-CA"/>
        </w:rPr>
        <w:t>Examination of Don Kraft, November 23, 2021; Pre-trial examination of Christopher Caldwell, March 19 and 20, 2019; Pre-trial examination of Robert Grindrod, January 16 and 17, 2020.</w:t>
      </w:r>
    </w:p>
  </w:footnote>
  <w:footnote w:id="222">
    <w:p w14:paraId="399B640E" w14:textId="659EB8DC" w:rsidR="00737FF8" w:rsidRPr="009A1394" w:rsidRDefault="00737FF8" w:rsidP="00737FF8">
      <w:pPr>
        <w:pStyle w:val="Notedebasdepage"/>
        <w:rPr>
          <w:lang w:val="en-CA"/>
        </w:rPr>
      </w:pPr>
      <w:r w:rsidRPr="009A1394">
        <w:rPr>
          <w:rStyle w:val="Appelnotedebasdep"/>
          <w:lang w:val="en-CA"/>
        </w:rPr>
        <w:footnoteRef/>
      </w:r>
      <w:r w:rsidRPr="009A1394">
        <w:rPr>
          <w:rFonts w:cs="Arial"/>
          <w:lang w:val="en-CA"/>
        </w:rPr>
        <w:t xml:space="preserve"> </w:t>
      </w:r>
      <w:r w:rsidRPr="009A1394">
        <w:rPr>
          <w:rFonts w:cs="Arial"/>
          <w:lang w:val="en-CA"/>
        </w:rPr>
        <w:tab/>
      </w:r>
      <w:r w:rsidR="00B8103C" w:rsidRPr="009A1394">
        <w:rPr>
          <w:rFonts w:cs="Arial"/>
          <w:lang w:val="en-CA"/>
        </w:rPr>
        <w:t>Judgment under appeal</w:t>
      </w:r>
      <w:r w:rsidR="00791C01" w:rsidRPr="009A1394">
        <w:rPr>
          <w:rFonts w:cs="Arial"/>
          <w:lang w:val="en-CA"/>
        </w:rPr>
        <w:t>, para</w:t>
      </w:r>
      <w:r w:rsidR="00B8103C" w:rsidRPr="009A1394">
        <w:rPr>
          <w:rFonts w:cs="Arial"/>
          <w:lang w:val="en-CA"/>
        </w:rPr>
        <w:t>.</w:t>
      </w:r>
      <w:r w:rsidRPr="009A1394">
        <w:rPr>
          <w:rFonts w:cs="Arial"/>
          <w:lang w:val="en-CA"/>
        </w:rPr>
        <w:t> </w:t>
      </w:r>
      <w:r w:rsidR="00A51124" w:rsidRPr="009A1394">
        <w:rPr>
          <w:rFonts w:cs="Arial"/>
          <w:lang w:val="en-CA"/>
        </w:rPr>
        <w:t xml:space="preserve">683 and </w:t>
      </w:r>
      <w:r w:rsidR="00386D79" w:rsidRPr="009A1394">
        <w:rPr>
          <w:rFonts w:cs="Arial"/>
          <w:lang w:val="en-CA"/>
        </w:rPr>
        <w:t xml:space="preserve">report </w:t>
      </w:r>
      <w:r w:rsidR="00A51124" w:rsidRPr="009A1394">
        <w:rPr>
          <w:rFonts w:cs="Arial"/>
          <w:lang w:val="en-CA"/>
        </w:rPr>
        <w:t>by Gary P. Wolf, expert on rail</w:t>
      </w:r>
      <w:r w:rsidR="001A2CE4" w:rsidRPr="009A1394">
        <w:rPr>
          <w:rFonts w:cs="Arial"/>
          <w:lang w:val="en-CA"/>
        </w:rPr>
        <w:t>way</w:t>
      </w:r>
      <w:r w:rsidR="00A51124" w:rsidRPr="009A1394">
        <w:rPr>
          <w:rFonts w:cs="Arial"/>
          <w:lang w:val="en-CA"/>
        </w:rPr>
        <w:t xml:space="preserve"> operations, revised on April 29, 2022; Examination of Gary P. Wolf, April 14 and May 4, 2022.</w:t>
      </w:r>
    </w:p>
  </w:footnote>
  <w:footnote w:id="223">
    <w:p w14:paraId="290964F5" w14:textId="348A9BD3" w:rsidR="00702A59" w:rsidRPr="009A1394" w:rsidRDefault="008161A3" w:rsidP="00702A59">
      <w:pPr>
        <w:pStyle w:val="Notedebasdepage"/>
        <w:rPr>
          <w:lang w:val="en-CA"/>
        </w:rPr>
      </w:pPr>
      <w:r w:rsidRPr="009A1394">
        <w:rPr>
          <w:rStyle w:val="Appelnotedebasdep"/>
          <w:lang w:val="en-CA"/>
        </w:rPr>
        <w:footnoteRef/>
      </w:r>
      <w:r w:rsidR="00C22D33" w:rsidRPr="009A1394">
        <w:rPr>
          <w:lang w:val="en-CA"/>
        </w:rPr>
        <w:t xml:space="preserve"> </w:t>
      </w:r>
      <w:r w:rsidR="00C22D33" w:rsidRPr="009A1394">
        <w:rPr>
          <w:lang w:val="en-CA"/>
        </w:rPr>
        <w:tab/>
      </w:r>
      <w:r w:rsidR="00A51124" w:rsidRPr="009A1394">
        <w:rPr>
          <w:lang w:val="en-CA"/>
        </w:rPr>
        <w:t>Report by Gary P. Wolf, expert on rail</w:t>
      </w:r>
      <w:r w:rsidR="001A2CE4" w:rsidRPr="009A1394">
        <w:rPr>
          <w:lang w:val="en-CA"/>
        </w:rPr>
        <w:t>way</w:t>
      </w:r>
      <w:r w:rsidR="00A51124" w:rsidRPr="009A1394">
        <w:rPr>
          <w:lang w:val="en-CA"/>
        </w:rPr>
        <w:t xml:space="preserve"> operations, revised on April 29, 2022.</w:t>
      </w:r>
    </w:p>
  </w:footnote>
  <w:footnote w:id="224">
    <w:p w14:paraId="57BEB651" w14:textId="1E0467AA" w:rsidR="005A443A" w:rsidRPr="009A1394" w:rsidRDefault="005A443A" w:rsidP="005A443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51124" w:rsidRPr="009A1394">
        <w:rPr>
          <w:lang w:val="en-CA"/>
        </w:rPr>
        <w:t>Examinati</w:t>
      </w:r>
      <w:r w:rsidR="00C72083" w:rsidRPr="009A1394">
        <w:rPr>
          <w:lang w:val="en-CA"/>
        </w:rPr>
        <w:t>o</w:t>
      </w:r>
      <w:r w:rsidR="00A51124" w:rsidRPr="009A1394">
        <w:rPr>
          <w:lang w:val="en-CA"/>
        </w:rPr>
        <w:t>n of Thomas Harding, September 22, 2021; Examination of Richard Labrie, September 27, 2021.</w:t>
      </w:r>
    </w:p>
  </w:footnote>
  <w:footnote w:id="225">
    <w:p w14:paraId="3CF51948" w14:textId="51D9ABE9" w:rsidR="005A443A" w:rsidRPr="009A1394" w:rsidRDefault="005A443A" w:rsidP="005A443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51124" w:rsidRPr="009A1394">
        <w:rPr>
          <w:lang w:val="en-CA"/>
        </w:rPr>
        <w:t>686.</w:t>
      </w:r>
    </w:p>
  </w:footnote>
  <w:footnote w:id="226">
    <w:p w14:paraId="7F74E4CD" w14:textId="1915EA3B" w:rsidR="005A443A" w:rsidRPr="009A1394" w:rsidRDefault="005A443A" w:rsidP="005A443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51124" w:rsidRPr="009A1394">
        <w:rPr>
          <w:lang w:val="en-CA"/>
        </w:rPr>
        <w:t>696.</w:t>
      </w:r>
    </w:p>
  </w:footnote>
  <w:footnote w:id="227">
    <w:p w14:paraId="0C4A4E72" w14:textId="182FB45F" w:rsidR="005A443A" w:rsidRPr="009A1394" w:rsidRDefault="005A443A" w:rsidP="005A443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51124" w:rsidRPr="009A1394">
        <w:rPr>
          <w:lang w:val="en-CA"/>
        </w:rPr>
        <w:t>699.</w:t>
      </w:r>
    </w:p>
  </w:footnote>
  <w:footnote w:id="228">
    <w:p w14:paraId="0A0EC937" w14:textId="29E15D33" w:rsidR="005A443A" w:rsidRPr="009A1394" w:rsidRDefault="005A443A" w:rsidP="005A443A">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A51124" w:rsidRPr="009A1394">
        <w:rPr>
          <w:lang w:val="en-CA"/>
        </w:rPr>
        <w:t>697.</w:t>
      </w:r>
    </w:p>
  </w:footnote>
  <w:footnote w:id="229">
    <w:p w14:paraId="5380B17F" w14:textId="29AE9CAD"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51124" w:rsidRPr="009A1394">
        <w:rPr>
          <w:i/>
          <w:iCs/>
          <w:lang w:val="en-CA"/>
        </w:rPr>
        <w:t xml:space="preserve">Camions Daimler Canada </w:t>
      </w:r>
      <w:r w:rsidR="009847AF" w:rsidRPr="009A1394">
        <w:rPr>
          <w:i/>
          <w:iCs/>
          <w:lang w:val="en-CA"/>
        </w:rPr>
        <w:t>l</w:t>
      </w:r>
      <w:r w:rsidR="00A51124" w:rsidRPr="009A1394">
        <w:rPr>
          <w:i/>
          <w:iCs/>
          <w:lang w:val="en-CA"/>
        </w:rPr>
        <w:t>tée c. Camions Sterling de Lévis inc</w:t>
      </w:r>
      <w:r w:rsidR="00A51124" w:rsidRPr="009A1394">
        <w:rPr>
          <w:iCs/>
          <w:lang w:val="en-CA"/>
        </w:rPr>
        <w:t>., 2017 QCCA 798</w:t>
      </w:r>
      <w:r w:rsidR="00791C01" w:rsidRPr="009A1394">
        <w:rPr>
          <w:iCs/>
          <w:lang w:val="en-CA"/>
        </w:rPr>
        <w:t>, para</w:t>
      </w:r>
      <w:r w:rsidR="00A51124" w:rsidRPr="009A1394">
        <w:rPr>
          <w:iCs/>
          <w:lang w:val="en-CA"/>
        </w:rPr>
        <w:t>.</w:t>
      </w:r>
      <w:r w:rsidRPr="009A1394">
        <w:rPr>
          <w:lang w:val="en-CA"/>
        </w:rPr>
        <w:t xml:space="preserve"> </w:t>
      </w:r>
      <w:r w:rsidR="00A51124" w:rsidRPr="009A1394">
        <w:rPr>
          <w:lang w:val="en-CA"/>
        </w:rPr>
        <w:t>24.</w:t>
      </w:r>
      <w:r w:rsidRPr="009A1394">
        <w:rPr>
          <w:lang w:val="en-CA"/>
        </w:rPr>
        <w:t xml:space="preserve"> </w:t>
      </w:r>
      <w:r w:rsidR="00A51124" w:rsidRPr="009A1394">
        <w:rPr>
          <w:lang w:val="en-CA"/>
        </w:rPr>
        <w:t xml:space="preserve">See also </w:t>
      </w:r>
      <w:r w:rsidR="00A51124" w:rsidRPr="009A1394">
        <w:rPr>
          <w:i/>
          <w:lang w:val="en-CA"/>
        </w:rPr>
        <w:t>Bank of Montreal v. Bail Ltée</w:t>
      </w:r>
      <w:r w:rsidR="00A51124" w:rsidRPr="009A1394">
        <w:rPr>
          <w:lang w:val="en-CA"/>
        </w:rPr>
        <w:t xml:space="preserve">, [1992] 2 </w:t>
      </w:r>
      <w:r w:rsidR="002527F4" w:rsidRPr="009A1394">
        <w:rPr>
          <w:lang w:val="en-CA"/>
        </w:rPr>
        <w:t xml:space="preserve">S.C.R. </w:t>
      </w:r>
      <w:r w:rsidR="00A51124" w:rsidRPr="009A1394">
        <w:rPr>
          <w:lang w:val="en-CA"/>
        </w:rPr>
        <w:t>554.</w:t>
      </w:r>
    </w:p>
  </w:footnote>
  <w:footnote w:id="230">
    <w:p w14:paraId="56CEDA5D" w14:textId="5BF269AA" w:rsidR="00E17D18" w:rsidRPr="009A1394" w:rsidRDefault="00E17D18" w:rsidP="00E17D1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A51124" w:rsidRPr="009A1394">
        <w:rPr>
          <w:i/>
          <w:iCs/>
          <w:lang w:val="en-CA"/>
        </w:rPr>
        <w:t>Transportation of Dangerous Goods Act, 1992</w:t>
      </w:r>
      <w:r w:rsidR="00A51124" w:rsidRPr="009A1394">
        <w:rPr>
          <w:iCs/>
          <w:lang w:val="en-CA"/>
        </w:rPr>
        <w:t xml:space="preserve">, S.C., 1992, c. 34; </w:t>
      </w:r>
      <w:r w:rsidR="00A51124" w:rsidRPr="009A1394">
        <w:rPr>
          <w:i/>
          <w:iCs/>
          <w:lang w:val="en-CA"/>
        </w:rPr>
        <w:t>Transportation of Dangerous Goods Regulations</w:t>
      </w:r>
      <w:r w:rsidR="00A51124" w:rsidRPr="009A1394">
        <w:rPr>
          <w:iCs/>
          <w:lang w:val="en-CA"/>
        </w:rPr>
        <w:t xml:space="preserve"> (SOR/2001-286).</w:t>
      </w:r>
      <w:r w:rsidRPr="009A1394">
        <w:rPr>
          <w:lang w:val="en-CA"/>
        </w:rPr>
        <w:t xml:space="preserve"> </w:t>
      </w:r>
      <w:r w:rsidR="00A51124" w:rsidRPr="009A1394">
        <w:rPr>
          <w:lang w:val="en-CA"/>
        </w:rPr>
        <w:t>See also paragraph 17 of this judgment.</w:t>
      </w:r>
    </w:p>
  </w:footnote>
  <w:footnote w:id="231">
    <w:p w14:paraId="1A4724AE" w14:textId="6CA43063" w:rsidR="00E17D18" w:rsidRPr="009A1394" w:rsidRDefault="00E17D18" w:rsidP="00E17D1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i/>
          <w:iCs/>
          <w:lang w:val="en-CA"/>
        </w:rPr>
        <w:t>Transportation of Dangerous Goods Regulations</w:t>
      </w:r>
      <w:r w:rsidR="00B8103C" w:rsidRPr="009A1394">
        <w:rPr>
          <w:iCs/>
          <w:lang w:val="en-CA"/>
        </w:rPr>
        <w:t xml:space="preserve"> (SOR/2001-286)</w:t>
      </w:r>
      <w:r w:rsidR="00791C01" w:rsidRPr="009A1394">
        <w:rPr>
          <w:iCs/>
          <w:lang w:val="en-CA"/>
        </w:rPr>
        <w:t xml:space="preserve">, </w:t>
      </w:r>
      <w:r w:rsidR="00F75F02" w:rsidRPr="009A1394">
        <w:rPr>
          <w:iCs/>
          <w:lang w:val="en-CA"/>
        </w:rPr>
        <w:t>s</w:t>
      </w:r>
      <w:r w:rsidR="00B8103C" w:rsidRPr="009A1394">
        <w:rPr>
          <w:iCs/>
          <w:lang w:val="en-CA"/>
        </w:rPr>
        <w:t>.</w:t>
      </w:r>
      <w:r w:rsidRPr="009A1394">
        <w:rPr>
          <w:lang w:val="en-CA"/>
        </w:rPr>
        <w:t xml:space="preserve"> </w:t>
      </w:r>
      <w:r w:rsidR="00B8103C" w:rsidRPr="009A1394">
        <w:rPr>
          <w:lang w:val="en-CA"/>
        </w:rPr>
        <w:t>2.19(1).</w:t>
      </w:r>
    </w:p>
  </w:footnote>
  <w:footnote w:id="232">
    <w:p w14:paraId="35514528" w14:textId="1C2A3418" w:rsidR="00E17D18" w:rsidRPr="009A1394" w:rsidRDefault="00E17D18" w:rsidP="00E17D1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Examination of expert Paul A. Cunni</w:t>
      </w:r>
      <w:r w:rsidR="00705131" w:rsidRPr="009A1394">
        <w:rPr>
          <w:lang w:val="en-CA"/>
        </w:rPr>
        <w:t>n</w:t>
      </w:r>
      <w:r w:rsidR="00984350" w:rsidRPr="009A1394">
        <w:rPr>
          <w:lang w:val="en-CA"/>
        </w:rPr>
        <w:t>gham, February 17, 2022; Examination of expert Robert A. Rich</w:t>
      </w:r>
      <w:r w:rsidR="00705131" w:rsidRPr="009A1394">
        <w:rPr>
          <w:lang w:val="en-CA"/>
        </w:rPr>
        <w:t>a</w:t>
      </w:r>
      <w:r w:rsidR="00984350" w:rsidRPr="009A1394">
        <w:rPr>
          <w:lang w:val="en-CA"/>
        </w:rPr>
        <w:t xml:space="preserve">rd, January 18, 2022; See also section 171.2(f) of Title 49 of the </w:t>
      </w:r>
      <w:r w:rsidR="00984350" w:rsidRPr="009A1394">
        <w:rPr>
          <w:i/>
          <w:lang w:val="en-CA"/>
        </w:rPr>
        <w:t>Code of Federal Regulations</w:t>
      </w:r>
      <w:r w:rsidR="00984350" w:rsidRPr="009A1394">
        <w:rPr>
          <w:lang w:val="en-CA"/>
        </w:rPr>
        <w:t>: “</w:t>
      </w:r>
      <w:r w:rsidR="004715F6" w:rsidRPr="009A1394">
        <w:rPr>
          <w:lang w:val="en-CA"/>
        </w:rPr>
        <w:t>[</w:t>
      </w:r>
      <w:r w:rsidR="00984350" w:rsidRPr="009A1394">
        <w:rPr>
          <w:lang w:val="en-CA"/>
        </w:rPr>
        <w:t>...</w:t>
      </w:r>
      <w:r w:rsidR="004715F6" w:rsidRPr="009A1394">
        <w:rPr>
          <w:lang w:val="en-CA"/>
        </w:rPr>
        <w:t>]</w:t>
      </w:r>
      <w:r w:rsidR="00984350" w:rsidRPr="009A1394">
        <w:rPr>
          <w:lang w:val="en-CA"/>
        </w:rPr>
        <w:t xml:space="preserve"> Each carrier who transports a hazardous material in commerce may rely on information provided by the offeror of the hazardous material or a prior carrier, unless the carrier knows or, a reasonable person, acting in the circumstances and exercising reasonable care, would have knowledge that the information provided by the offeror or prior carrier is incorrect</w:t>
      </w:r>
      <w:r w:rsidR="004715F6" w:rsidRPr="009A1394">
        <w:rPr>
          <w:lang w:val="en-CA"/>
        </w:rPr>
        <w:t>.</w:t>
      </w:r>
      <w:r w:rsidR="00984350" w:rsidRPr="009A1394">
        <w:rPr>
          <w:lang w:val="en-CA"/>
        </w:rPr>
        <w:t>”</w:t>
      </w:r>
    </w:p>
  </w:footnote>
  <w:footnote w:id="233">
    <w:p w14:paraId="0C430B5B" w14:textId="10D4607D" w:rsidR="00E17D18" w:rsidRPr="009A1394" w:rsidRDefault="00E17D18" w:rsidP="00E17D1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984350" w:rsidRPr="009A1394">
        <w:rPr>
          <w:lang w:val="en-CA"/>
        </w:rPr>
        <w:t>586.</w:t>
      </w:r>
    </w:p>
  </w:footnote>
  <w:footnote w:id="234">
    <w:p w14:paraId="019D7978" w14:textId="188F9D5B" w:rsidR="00E17D18" w:rsidRPr="009A1394" w:rsidRDefault="00E17D18" w:rsidP="00E17D1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Judgment under appeal</w:t>
      </w:r>
      <w:r w:rsidR="00791C01" w:rsidRPr="009A1394">
        <w:rPr>
          <w:lang w:val="en-CA"/>
        </w:rPr>
        <w:t>, para</w:t>
      </w:r>
      <w:r w:rsidR="00984350" w:rsidRPr="009A1394">
        <w:rPr>
          <w:lang w:val="en-CA"/>
        </w:rPr>
        <w:t>s.</w:t>
      </w:r>
      <w:r w:rsidRPr="009A1394">
        <w:rPr>
          <w:lang w:val="en-CA"/>
        </w:rPr>
        <w:t> </w:t>
      </w:r>
      <w:r w:rsidR="00984350" w:rsidRPr="009A1394">
        <w:rPr>
          <w:lang w:val="en-CA"/>
        </w:rPr>
        <w:t>587 and 588.</w:t>
      </w:r>
    </w:p>
  </w:footnote>
  <w:footnote w:id="235">
    <w:p w14:paraId="6754F92F" w14:textId="1EA13A72" w:rsidR="00670746" w:rsidRPr="009A1394" w:rsidRDefault="00670746" w:rsidP="00670746">
      <w:pPr>
        <w:pStyle w:val="Notedebasdepage"/>
        <w:tabs>
          <w:tab w:val="left" w:pos="426"/>
        </w:tabs>
        <w:rPr>
          <w:lang w:val="en-CA"/>
        </w:rPr>
      </w:pPr>
      <w:r w:rsidRPr="009A1394">
        <w:rPr>
          <w:rStyle w:val="Appelnotedebasdep"/>
          <w:rFonts w:eastAsiaTheme="majorEastAsia"/>
          <w:lang w:val="en-CA"/>
        </w:rPr>
        <w:footnoteRef/>
      </w:r>
      <w:r w:rsidRPr="009A1394">
        <w:rPr>
          <w:lang w:val="en-CA"/>
        </w:rPr>
        <w:t xml:space="preserve"> </w:t>
      </w:r>
      <w:r w:rsidRPr="009A1394">
        <w:rPr>
          <w:lang w:val="en-CA"/>
        </w:rPr>
        <w:tab/>
      </w:r>
      <w:r w:rsidR="00984350" w:rsidRPr="009A1394">
        <w:rPr>
          <w:lang w:val="en-CA"/>
        </w:rPr>
        <w:t>Internal CP document titled “SER Crude Oil Research &amp; Requirements”.</w:t>
      </w:r>
      <w:r w:rsidRPr="009A1394">
        <w:rPr>
          <w:lang w:val="en-CA"/>
        </w:rPr>
        <w:t xml:space="preserve"> </w:t>
      </w:r>
      <w:r w:rsidR="00984350" w:rsidRPr="009A1394">
        <w:rPr>
          <w:lang w:val="en-CA"/>
        </w:rPr>
        <w:t xml:space="preserve">See also the internal CP document titled “Operations – Safety, Environment &amp; Regulatory Affairs (SER) – Frequently Asked Questions – Crude by Rail”, dated March 6, 2013, </w:t>
      </w:r>
      <w:r w:rsidR="006B7B86" w:rsidRPr="009A1394">
        <w:rPr>
          <w:lang w:val="en-CA"/>
        </w:rPr>
        <w:t>p.</w:t>
      </w:r>
      <w:r w:rsidR="00984350" w:rsidRPr="009A1394">
        <w:rPr>
          <w:lang w:val="en-CA"/>
        </w:rPr>
        <w:t xml:space="preserve"> 12. </w:t>
      </w:r>
    </w:p>
  </w:footnote>
  <w:footnote w:id="236">
    <w:p w14:paraId="0548B5DF" w14:textId="46B8C416" w:rsidR="00670746" w:rsidRPr="009A1394" w:rsidRDefault="00670746" w:rsidP="00670746">
      <w:pPr>
        <w:pStyle w:val="Notedebasdepage"/>
        <w:rPr>
          <w:lang w:val="en-CA"/>
        </w:rPr>
      </w:pPr>
      <w:r w:rsidRPr="009A1394">
        <w:rPr>
          <w:rStyle w:val="Appelnotedebasdep"/>
          <w:lang w:val="en-CA"/>
        </w:rPr>
        <w:footnoteRef/>
      </w:r>
      <w:r w:rsidRPr="009A1394">
        <w:rPr>
          <w:lang w:val="en-CA"/>
        </w:rPr>
        <w:t xml:space="preserve"> </w:t>
      </w:r>
      <w:r w:rsidRPr="009A1394">
        <w:rPr>
          <w:i/>
          <w:iCs/>
          <w:lang w:val="en-CA"/>
        </w:rPr>
        <w:t xml:space="preserve"> </w:t>
      </w:r>
      <w:r w:rsidRPr="009A1394">
        <w:rPr>
          <w:i/>
          <w:iCs/>
          <w:lang w:val="en-CA"/>
        </w:rPr>
        <w:tab/>
      </w:r>
      <w:r w:rsidR="00AC3F88" w:rsidRPr="009A1394">
        <w:rPr>
          <w:i/>
          <w:iCs/>
          <w:lang w:val="en-CA"/>
        </w:rPr>
        <w:t>Lalande c. Compagnie d’arrimage de Québec ltée</w:t>
      </w:r>
      <w:r w:rsidR="00AC3F88" w:rsidRPr="009A1394">
        <w:rPr>
          <w:iCs/>
          <w:lang w:val="en-CA"/>
        </w:rPr>
        <w:t>, 2023 QCCA 973</w:t>
      </w:r>
      <w:r w:rsidR="00791C01" w:rsidRPr="009A1394">
        <w:rPr>
          <w:iCs/>
          <w:lang w:val="en-CA"/>
        </w:rPr>
        <w:t>, para</w:t>
      </w:r>
      <w:r w:rsidR="00AC3F88" w:rsidRPr="009A1394">
        <w:rPr>
          <w:iCs/>
          <w:lang w:val="en-CA"/>
        </w:rPr>
        <w:t>.</w:t>
      </w:r>
      <w:r w:rsidRPr="009A1394">
        <w:rPr>
          <w:lang w:val="en-CA"/>
        </w:rPr>
        <w:t xml:space="preserve"> </w:t>
      </w:r>
      <w:r w:rsidR="00984350" w:rsidRPr="009A1394">
        <w:rPr>
          <w:lang w:val="en-CA"/>
        </w:rPr>
        <w:t>39</w:t>
      </w:r>
      <w:r w:rsidR="00937B3C" w:rsidRPr="009A1394">
        <w:rPr>
          <w:lang w:val="en-CA"/>
        </w:rPr>
        <w:t>,</w:t>
      </w:r>
      <w:r w:rsidR="00984350" w:rsidRPr="009A1394">
        <w:rPr>
          <w:lang w:val="en-CA"/>
        </w:rPr>
        <w:t xml:space="preserve"> citing </w:t>
      </w:r>
      <w:r w:rsidR="00984350" w:rsidRPr="009A1394">
        <w:rPr>
          <w:i/>
          <w:lang w:val="en-CA"/>
        </w:rPr>
        <w:t>Construction Blenda inc. c. Office municipal d’habitation de Rosemère</w:t>
      </w:r>
      <w:r w:rsidR="00984350" w:rsidRPr="009A1394">
        <w:rPr>
          <w:lang w:val="en-CA"/>
        </w:rPr>
        <w:t>, 2020 QCCA 149</w:t>
      </w:r>
      <w:r w:rsidR="00791C01" w:rsidRPr="009A1394">
        <w:rPr>
          <w:lang w:val="en-CA"/>
        </w:rPr>
        <w:t>, para</w:t>
      </w:r>
      <w:r w:rsidR="00984350" w:rsidRPr="009A1394">
        <w:rPr>
          <w:lang w:val="en-CA"/>
        </w:rPr>
        <w:t>.</w:t>
      </w:r>
      <w:r w:rsidRPr="009A1394">
        <w:rPr>
          <w:lang w:val="en-CA"/>
        </w:rPr>
        <w:t xml:space="preserve"> </w:t>
      </w:r>
      <w:r w:rsidR="007A2D19" w:rsidRPr="009A1394">
        <w:rPr>
          <w:lang w:val="en-CA"/>
        </w:rPr>
        <w:t>37.</w:t>
      </w:r>
    </w:p>
  </w:footnote>
  <w:footnote w:id="237">
    <w:p w14:paraId="59E54060" w14:textId="4AC0E535" w:rsidR="00670746" w:rsidRPr="009A1394" w:rsidRDefault="00670746" w:rsidP="0067074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984350" w:rsidRPr="009A1394">
        <w:rPr>
          <w:lang w:val="en-CA"/>
        </w:rPr>
        <w:t>522.</w:t>
      </w:r>
    </w:p>
  </w:footnote>
  <w:footnote w:id="238">
    <w:p w14:paraId="505F2705" w14:textId="37BE1FB4" w:rsidR="00670746" w:rsidRPr="009A1394" w:rsidRDefault="00670746" w:rsidP="0067074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984350" w:rsidRPr="009A1394">
        <w:rPr>
          <w:lang w:val="en-CA"/>
        </w:rPr>
        <w:t>564.</w:t>
      </w:r>
    </w:p>
  </w:footnote>
  <w:footnote w:id="239">
    <w:p w14:paraId="18AF4472" w14:textId="2474218D" w:rsidR="00670746" w:rsidRPr="009A1394" w:rsidRDefault="00670746" w:rsidP="0067074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984350" w:rsidRPr="009A1394">
        <w:rPr>
          <w:lang w:val="en-CA"/>
        </w:rPr>
        <w:t>565.</w:t>
      </w:r>
    </w:p>
  </w:footnote>
  <w:footnote w:id="240">
    <w:p w14:paraId="6B3D3A80" w14:textId="1F85E58E" w:rsidR="00670746" w:rsidRPr="009A1394" w:rsidRDefault="00670746" w:rsidP="00670746">
      <w:pPr>
        <w:pStyle w:val="Notedebasdepage"/>
        <w:rPr>
          <w:lang w:val="en-CA"/>
        </w:rPr>
      </w:pPr>
      <w:r w:rsidRPr="009A1394">
        <w:rPr>
          <w:rStyle w:val="Appelnotedebasdep"/>
          <w:lang w:val="en-CA"/>
        </w:rPr>
        <w:footnoteRef/>
      </w:r>
      <w:r w:rsidRPr="009A1394">
        <w:rPr>
          <w:lang w:val="en-CA"/>
        </w:rPr>
        <w:tab/>
      </w:r>
      <w:r w:rsidR="00984350" w:rsidRPr="009A1394">
        <w:rPr>
          <w:lang w:val="en-CA"/>
        </w:rPr>
        <w:t>Judgment under appeal</w:t>
      </w:r>
      <w:r w:rsidR="00791C01" w:rsidRPr="009A1394">
        <w:rPr>
          <w:lang w:val="en-CA"/>
        </w:rPr>
        <w:t>, para</w:t>
      </w:r>
      <w:r w:rsidR="00984350" w:rsidRPr="009A1394">
        <w:rPr>
          <w:lang w:val="en-CA"/>
        </w:rPr>
        <w:t>s.</w:t>
      </w:r>
      <w:r w:rsidRPr="009A1394">
        <w:rPr>
          <w:lang w:val="en-CA"/>
        </w:rPr>
        <w:t> </w:t>
      </w:r>
      <w:r w:rsidR="00984350" w:rsidRPr="009A1394">
        <w:rPr>
          <w:lang w:val="en-CA"/>
        </w:rPr>
        <w:t>570–577.</w:t>
      </w:r>
    </w:p>
  </w:footnote>
  <w:footnote w:id="241">
    <w:p w14:paraId="0FB018BA" w14:textId="16372021" w:rsidR="00670746" w:rsidRPr="009A1394" w:rsidRDefault="00670746" w:rsidP="0067074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984350" w:rsidRPr="009A1394">
        <w:rPr>
          <w:lang w:val="en-CA"/>
        </w:rPr>
        <w:t>579.</w:t>
      </w:r>
    </w:p>
  </w:footnote>
  <w:footnote w:id="242">
    <w:p w14:paraId="4A5A038F" w14:textId="5E1B6990" w:rsidR="002772E0" w:rsidRPr="009A1394" w:rsidRDefault="002772E0" w:rsidP="002772E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984350" w:rsidRPr="009A1394">
        <w:rPr>
          <w:lang w:val="en-CA"/>
        </w:rPr>
        <w:t>553.</w:t>
      </w:r>
    </w:p>
  </w:footnote>
  <w:footnote w:id="243">
    <w:p w14:paraId="79FA12F6" w14:textId="7ED795E1" w:rsidR="002772E0" w:rsidRPr="009A1394" w:rsidRDefault="002772E0" w:rsidP="002772E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984350" w:rsidRPr="009A1394">
        <w:rPr>
          <w:lang w:val="en-CA"/>
        </w:rPr>
        <w:t>582.</w:t>
      </w:r>
    </w:p>
  </w:footnote>
  <w:footnote w:id="244">
    <w:p w14:paraId="726B8143" w14:textId="307209AC" w:rsidR="004339D1" w:rsidRPr="009A1394" w:rsidRDefault="004339D1" w:rsidP="004339D1">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Lapointe v. Hôpital Le Gardeur</w:t>
      </w:r>
      <w:r w:rsidR="00984350" w:rsidRPr="009A1394">
        <w:rPr>
          <w:iCs/>
          <w:lang w:val="en-CA"/>
        </w:rPr>
        <w:t>, [1992] 1 S.C.R.</w:t>
      </w:r>
      <w:r w:rsidRPr="009A1394">
        <w:rPr>
          <w:lang w:val="en-CA"/>
        </w:rPr>
        <w:t xml:space="preserve"> </w:t>
      </w:r>
      <w:r w:rsidR="00984350" w:rsidRPr="009A1394">
        <w:rPr>
          <w:lang w:val="en-CA"/>
        </w:rPr>
        <w:t>351</w:t>
      </w:r>
      <w:r w:rsidR="00C03B88" w:rsidRPr="009A1394">
        <w:rPr>
          <w:lang w:val="en-CA"/>
        </w:rPr>
        <w:t>, pp.</w:t>
      </w:r>
      <w:r w:rsidR="00984350" w:rsidRPr="009A1394">
        <w:rPr>
          <w:lang w:val="en-CA"/>
        </w:rPr>
        <w:t xml:space="preserve"> 362–363.</w:t>
      </w:r>
    </w:p>
  </w:footnote>
  <w:footnote w:id="245">
    <w:p w14:paraId="3D9277EC" w14:textId="45CB5A82" w:rsidR="004339D1" w:rsidRPr="009A1394" w:rsidRDefault="004339D1" w:rsidP="004339D1">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984350" w:rsidRPr="009A1394">
        <w:rPr>
          <w:lang w:val="en-CA"/>
        </w:rPr>
        <w:t>569.</w:t>
      </w:r>
    </w:p>
  </w:footnote>
  <w:footnote w:id="246">
    <w:p w14:paraId="4C9B6683" w14:textId="621A8D95" w:rsidR="004339D1" w:rsidRPr="009A1394" w:rsidRDefault="004339D1" w:rsidP="004339D1">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984350" w:rsidRPr="009A1394">
        <w:rPr>
          <w:lang w:val="en-CA"/>
        </w:rPr>
        <w:t>571.</w:t>
      </w:r>
    </w:p>
  </w:footnote>
  <w:footnote w:id="247">
    <w:p w14:paraId="6132FE20" w14:textId="5C273A0F" w:rsidR="001E48F6" w:rsidRPr="009A1394" w:rsidRDefault="001E48F6" w:rsidP="001E48F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w:t>
      </w:r>
      <w:r w:rsidR="00B8103C" w:rsidRPr="009A1394">
        <w:rPr>
          <w:lang w:val="en-CA"/>
        </w:rPr>
        <w:t>862.</w:t>
      </w:r>
    </w:p>
  </w:footnote>
  <w:footnote w:id="248">
    <w:p w14:paraId="7132499E" w14:textId="69200FAE" w:rsidR="001E48F6" w:rsidRPr="009A1394" w:rsidRDefault="001E48F6" w:rsidP="001E48F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Cross-examination of Thomas Harding, September 22, 2021; Examination of Jonathan Couture, September 29, 2021.</w:t>
      </w:r>
    </w:p>
  </w:footnote>
  <w:footnote w:id="249">
    <w:p w14:paraId="356C66F0" w14:textId="568B309D" w:rsidR="001E48F6" w:rsidRPr="009A1394" w:rsidRDefault="001E48F6" w:rsidP="001E48F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See, in particular, Pre-trial examinati</w:t>
      </w:r>
      <w:r w:rsidR="00031A24" w:rsidRPr="009A1394">
        <w:rPr>
          <w:lang w:val="en-CA"/>
        </w:rPr>
        <w:t>on</w:t>
      </w:r>
      <w:r w:rsidR="00984350" w:rsidRPr="009A1394">
        <w:rPr>
          <w:lang w:val="en-CA"/>
        </w:rPr>
        <w:t xml:space="preserve"> of Edward A. Burkhardt, January 9 and 10, 2020. </w:t>
      </w:r>
    </w:p>
  </w:footnote>
  <w:footnote w:id="250">
    <w:p w14:paraId="0D7DB5E3" w14:textId="10F1E088" w:rsidR="002610D3" w:rsidRPr="009A1394" w:rsidRDefault="002610D3" w:rsidP="002610D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Jean-Louis Baudouin, Patrice Deslauriers &amp; Benoît Moore, La responsabilité civile, 9th ed., vol.</w:t>
      </w:r>
      <w:r w:rsidRPr="009A1394">
        <w:rPr>
          <w:lang w:val="en-CA"/>
        </w:rPr>
        <w:t xml:space="preserve"> </w:t>
      </w:r>
      <w:r w:rsidR="00984350" w:rsidRPr="009A1394">
        <w:rPr>
          <w:lang w:val="en-CA"/>
        </w:rPr>
        <w:t>1</w:t>
      </w:r>
      <w:r w:rsidR="00873254" w:rsidRPr="009A1394">
        <w:rPr>
          <w:lang w:val="en-CA"/>
        </w:rPr>
        <w:t>,</w:t>
      </w:r>
      <w:r w:rsidR="00984350" w:rsidRPr="009A1394">
        <w:rPr>
          <w:lang w:val="en-CA"/>
        </w:rPr>
        <w:t xml:space="preserve"> Montreal</w:t>
      </w:r>
      <w:r w:rsidR="00873254" w:rsidRPr="009A1394">
        <w:rPr>
          <w:lang w:val="en-CA"/>
        </w:rPr>
        <w:t>,</w:t>
      </w:r>
      <w:r w:rsidR="00984350" w:rsidRPr="009A1394">
        <w:rPr>
          <w:lang w:val="en-CA"/>
        </w:rPr>
        <w:t xml:space="preserve"> Yvon Blais, 2020</w:t>
      </w:r>
      <w:r w:rsidR="00C03B88" w:rsidRPr="009A1394">
        <w:rPr>
          <w:lang w:val="en-CA"/>
        </w:rPr>
        <w:t>, p. 7</w:t>
      </w:r>
      <w:r w:rsidR="00984350" w:rsidRPr="009A1394">
        <w:rPr>
          <w:lang w:val="en-CA"/>
        </w:rPr>
        <w:t>64.</w:t>
      </w:r>
    </w:p>
  </w:footnote>
  <w:footnote w:id="251">
    <w:p w14:paraId="568F8CB7" w14:textId="41E180BB" w:rsidR="002610D3" w:rsidRPr="009A1394" w:rsidRDefault="002610D3" w:rsidP="002610D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Hogue c. Procureur général du Québec</w:t>
      </w:r>
      <w:r w:rsidR="00984350" w:rsidRPr="009A1394">
        <w:rPr>
          <w:iCs/>
          <w:lang w:val="en-CA"/>
        </w:rPr>
        <w:t>, 2020 QCCA 1081</w:t>
      </w:r>
      <w:r w:rsidR="00791C01" w:rsidRPr="009A1394">
        <w:rPr>
          <w:iCs/>
          <w:lang w:val="en-CA"/>
        </w:rPr>
        <w:t>, para</w:t>
      </w:r>
      <w:r w:rsidR="00984350" w:rsidRPr="009A1394">
        <w:rPr>
          <w:iCs/>
          <w:lang w:val="en-CA"/>
        </w:rPr>
        <w:t>.</w:t>
      </w:r>
      <w:r w:rsidRPr="009A1394">
        <w:rPr>
          <w:lang w:val="en-CA"/>
        </w:rPr>
        <w:t xml:space="preserve"> </w:t>
      </w:r>
      <w:r w:rsidR="00984350" w:rsidRPr="009A1394">
        <w:rPr>
          <w:lang w:val="en-CA"/>
        </w:rPr>
        <w:t xml:space="preserve">43; </w:t>
      </w:r>
      <w:r w:rsidR="00984350" w:rsidRPr="009A1394">
        <w:rPr>
          <w:i/>
          <w:lang w:val="en-CA"/>
        </w:rPr>
        <w:t>Imperial Tobacco Canada ltée c. Conseil québécois sur le tabac et la santé</w:t>
      </w:r>
      <w:r w:rsidR="00984350" w:rsidRPr="009A1394">
        <w:rPr>
          <w:lang w:val="en-CA"/>
        </w:rPr>
        <w:t>, 2019 QCCA 358</w:t>
      </w:r>
      <w:r w:rsidR="00791C01" w:rsidRPr="009A1394">
        <w:rPr>
          <w:lang w:val="en-CA"/>
        </w:rPr>
        <w:t>, para</w:t>
      </w:r>
      <w:r w:rsidR="00984350" w:rsidRPr="009A1394">
        <w:rPr>
          <w:lang w:val="en-CA"/>
        </w:rPr>
        <w:t>.</w:t>
      </w:r>
      <w:r w:rsidRPr="009A1394">
        <w:rPr>
          <w:lang w:val="en-CA"/>
        </w:rPr>
        <w:t xml:space="preserve"> </w:t>
      </w:r>
      <w:r w:rsidR="00984350" w:rsidRPr="009A1394">
        <w:rPr>
          <w:lang w:val="en-CA"/>
        </w:rPr>
        <w:t>666.</w:t>
      </w:r>
    </w:p>
  </w:footnote>
  <w:footnote w:id="252">
    <w:p w14:paraId="7AF97707" w14:textId="339902D6" w:rsidR="002610D3" w:rsidRPr="009A1394" w:rsidRDefault="002610D3" w:rsidP="002610D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Hogue c. Procureur général du Québec</w:t>
      </w:r>
      <w:r w:rsidR="00984350" w:rsidRPr="009A1394">
        <w:rPr>
          <w:iCs/>
          <w:lang w:val="en-CA"/>
        </w:rPr>
        <w:t>, 2020 QCCA 1081</w:t>
      </w:r>
      <w:r w:rsidR="00791C01" w:rsidRPr="009A1394">
        <w:rPr>
          <w:iCs/>
          <w:lang w:val="en-CA"/>
        </w:rPr>
        <w:t>, para</w:t>
      </w:r>
      <w:r w:rsidR="00984350" w:rsidRPr="009A1394">
        <w:rPr>
          <w:iCs/>
          <w:lang w:val="en-CA"/>
        </w:rPr>
        <w:t>.</w:t>
      </w:r>
      <w:r w:rsidRPr="009A1394">
        <w:rPr>
          <w:lang w:val="en-CA"/>
        </w:rPr>
        <w:t xml:space="preserve"> </w:t>
      </w:r>
      <w:r w:rsidR="00984350" w:rsidRPr="009A1394">
        <w:rPr>
          <w:lang w:val="en-CA"/>
        </w:rPr>
        <w:t>46.</w:t>
      </w:r>
    </w:p>
  </w:footnote>
  <w:footnote w:id="253">
    <w:p w14:paraId="4061DB6B" w14:textId="29809AAD" w:rsidR="00065216" w:rsidRPr="009A1394" w:rsidRDefault="00065216" w:rsidP="0006521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Imperial Tobacco Canada ltée c. Conseil québécois sur le tabac et la santé</w:t>
      </w:r>
      <w:r w:rsidR="00984350" w:rsidRPr="009A1394">
        <w:rPr>
          <w:iCs/>
          <w:lang w:val="en-CA"/>
        </w:rPr>
        <w:t>, 2019 QCCA 358</w:t>
      </w:r>
      <w:r w:rsidR="00791C01" w:rsidRPr="009A1394">
        <w:rPr>
          <w:iCs/>
          <w:lang w:val="en-CA"/>
        </w:rPr>
        <w:t>, para</w:t>
      </w:r>
      <w:r w:rsidR="00984350" w:rsidRPr="009A1394">
        <w:rPr>
          <w:iCs/>
          <w:lang w:val="en-CA"/>
        </w:rPr>
        <w:t>.</w:t>
      </w:r>
      <w:r w:rsidRPr="009A1394">
        <w:rPr>
          <w:lang w:val="en-CA"/>
        </w:rPr>
        <w:t> </w:t>
      </w:r>
      <w:r w:rsidR="00984350" w:rsidRPr="009A1394">
        <w:rPr>
          <w:lang w:val="en-CA"/>
        </w:rPr>
        <w:t>663.</w:t>
      </w:r>
    </w:p>
  </w:footnote>
  <w:footnote w:id="254">
    <w:p w14:paraId="03EC8977" w14:textId="3C0092DD" w:rsidR="00065216" w:rsidRPr="009A1394" w:rsidRDefault="00065216" w:rsidP="0006521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rFonts w:cs="Arial"/>
          <w:color w:val="000000"/>
          <w:lang w:val="en-CA"/>
        </w:rPr>
        <w:t>Jean-Louis Baudouin, Patrice Deslauriers &amp; Benoît Moore, La responsabilité civile, 9th ed., vol.</w:t>
      </w:r>
      <w:r w:rsidRPr="009A1394">
        <w:rPr>
          <w:rFonts w:cs="Arial"/>
          <w:color w:val="000000"/>
          <w:lang w:val="en-CA"/>
        </w:rPr>
        <w:t xml:space="preserve"> </w:t>
      </w:r>
      <w:r w:rsidR="00984350" w:rsidRPr="009A1394">
        <w:rPr>
          <w:rFonts w:cs="Arial"/>
          <w:color w:val="000000"/>
          <w:lang w:val="en-CA"/>
        </w:rPr>
        <w:t>1</w:t>
      </w:r>
      <w:r w:rsidR="00873254" w:rsidRPr="009A1394">
        <w:rPr>
          <w:rFonts w:cs="Arial"/>
          <w:color w:val="000000"/>
          <w:lang w:val="en-CA"/>
        </w:rPr>
        <w:t>,</w:t>
      </w:r>
      <w:r w:rsidR="00984350" w:rsidRPr="009A1394">
        <w:rPr>
          <w:rFonts w:cs="Arial"/>
          <w:color w:val="000000"/>
          <w:lang w:val="en-CA"/>
        </w:rPr>
        <w:t xml:space="preserve"> Montreal</w:t>
      </w:r>
      <w:r w:rsidR="00873254" w:rsidRPr="009A1394">
        <w:rPr>
          <w:rFonts w:cs="Arial"/>
          <w:color w:val="000000"/>
          <w:lang w:val="en-CA"/>
        </w:rPr>
        <w:t>,</w:t>
      </w:r>
      <w:r w:rsidR="00984350" w:rsidRPr="009A1394">
        <w:rPr>
          <w:rFonts w:cs="Arial"/>
          <w:color w:val="000000"/>
          <w:lang w:val="en-CA"/>
        </w:rPr>
        <w:t xml:space="preserve"> Yvon Blais, 2020</w:t>
      </w:r>
      <w:r w:rsidR="00C03B88" w:rsidRPr="009A1394">
        <w:rPr>
          <w:rFonts w:cs="Arial"/>
          <w:color w:val="000000"/>
          <w:lang w:val="en-CA"/>
        </w:rPr>
        <w:t>, pp.</w:t>
      </w:r>
      <w:r w:rsidR="00984350" w:rsidRPr="009A1394">
        <w:rPr>
          <w:rFonts w:cs="Arial"/>
          <w:color w:val="000000"/>
          <w:lang w:val="en-CA"/>
        </w:rPr>
        <w:t xml:space="preserve"> 770–771.</w:t>
      </w:r>
    </w:p>
  </w:footnote>
  <w:footnote w:id="255">
    <w:p w14:paraId="35A39EA3" w14:textId="1BE890E6"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Laval (Ville de) (Service de protection des citoyens, département de police et centre d’appels d’urgence 911) c. Ducharme</w:t>
      </w:r>
      <w:r w:rsidR="00984350" w:rsidRPr="009A1394">
        <w:rPr>
          <w:iCs/>
          <w:lang w:val="en-CA"/>
        </w:rPr>
        <w:t>, 2012 QCCA 2122</w:t>
      </w:r>
      <w:r w:rsidR="00791C01" w:rsidRPr="009A1394">
        <w:rPr>
          <w:iCs/>
          <w:lang w:val="en-CA"/>
        </w:rPr>
        <w:t>, para</w:t>
      </w:r>
      <w:r w:rsidR="00984350" w:rsidRPr="009A1394">
        <w:rPr>
          <w:iCs/>
          <w:lang w:val="en-CA"/>
        </w:rPr>
        <w:t>.</w:t>
      </w:r>
      <w:r w:rsidRPr="009A1394">
        <w:rPr>
          <w:lang w:val="en-CA"/>
        </w:rPr>
        <w:t xml:space="preserve"> </w:t>
      </w:r>
      <w:r w:rsidR="00984350" w:rsidRPr="009A1394">
        <w:rPr>
          <w:lang w:val="en-CA"/>
        </w:rPr>
        <w:t xml:space="preserve">156; see also </w:t>
      </w:r>
      <w:r w:rsidR="00984350" w:rsidRPr="009A1394">
        <w:rPr>
          <w:i/>
          <w:lang w:val="en-CA"/>
        </w:rPr>
        <w:t>Pétroles Cadeko inc. c. Équipements pétroliers Claude Pedneault inc.</w:t>
      </w:r>
      <w:r w:rsidR="00984350" w:rsidRPr="009A1394">
        <w:rPr>
          <w:lang w:val="en-CA"/>
        </w:rPr>
        <w:t>, 2023 QCCA 439</w:t>
      </w:r>
      <w:r w:rsidR="00791C01" w:rsidRPr="009A1394">
        <w:rPr>
          <w:lang w:val="en-CA"/>
        </w:rPr>
        <w:t>, para</w:t>
      </w:r>
      <w:r w:rsidR="00984350" w:rsidRPr="009A1394">
        <w:rPr>
          <w:lang w:val="en-CA"/>
        </w:rPr>
        <w:t>s.</w:t>
      </w:r>
      <w:r w:rsidRPr="009A1394">
        <w:rPr>
          <w:lang w:val="en-CA"/>
        </w:rPr>
        <w:t xml:space="preserve"> </w:t>
      </w:r>
      <w:r w:rsidR="00984350" w:rsidRPr="009A1394">
        <w:rPr>
          <w:lang w:val="en-CA"/>
        </w:rPr>
        <w:t>21–23.</w:t>
      </w:r>
    </w:p>
  </w:footnote>
  <w:footnote w:id="256">
    <w:p w14:paraId="38C4A12B" w14:textId="485027F8" w:rsidR="00065216" w:rsidRPr="009A1394" w:rsidRDefault="00065216" w:rsidP="0006521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Constructions Concreate ltée c. Procureure générale du Québec</w:t>
      </w:r>
      <w:r w:rsidR="00984350" w:rsidRPr="009A1394">
        <w:rPr>
          <w:iCs/>
          <w:lang w:val="en-CA"/>
        </w:rPr>
        <w:t>, 2020 QCCA 570</w:t>
      </w:r>
      <w:r w:rsidR="00791C01" w:rsidRPr="009A1394">
        <w:rPr>
          <w:iCs/>
          <w:lang w:val="en-CA"/>
        </w:rPr>
        <w:t>, para</w:t>
      </w:r>
      <w:r w:rsidR="00984350" w:rsidRPr="009A1394">
        <w:rPr>
          <w:iCs/>
          <w:lang w:val="en-CA"/>
        </w:rPr>
        <w:t>.</w:t>
      </w:r>
      <w:r w:rsidRPr="009A1394">
        <w:rPr>
          <w:lang w:val="en-CA"/>
        </w:rPr>
        <w:t xml:space="preserve"> </w:t>
      </w:r>
      <w:r w:rsidR="00984350" w:rsidRPr="009A1394">
        <w:rPr>
          <w:lang w:val="en-CA"/>
        </w:rPr>
        <w:t>56</w:t>
      </w:r>
      <w:r w:rsidR="00937B3C" w:rsidRPr="009A1394">
        <w:rPr>
          <w:lang w:val="en-CA"/>
        </w:rPr>
        <w:t>,</w:t>
      </w:r>
      <w:r w:rsidR="00984350" w:rsidRPr="009A1394">
        <w:rPr>
          <w:lang w:val="en-CA"/>
        </w:rPr>
        <w:t xml:space="preserve"> citing </w:t>
      </w:r>
      <w:r w:rsidR="00984350" w:rsidRPr="009A1394">
        <w:rPr>
          <w:i/>
          <w:lang w:val="en-CA"/>
        </w:rPr>
        <w:t>Dallaire v. Paul-Émile Martel inc.</w:t>
      </w:r>
      <w:r w:rsidR="00984350" w:rsidRPr="009A1394">
        <w:rPr>
          <w:lang w:val="en-CA"/>
        </w:rPr>
        <w:t>, [1989] 2 S.C.R.</w:t>
      </w:r>
      <w:r w:rsidRPr="009A1394">
        <w:rPr>
          <w:lang w:val="en-CA"/>
        </w:rPr>
        <w:t xml:space="preserve"> </w:t>
      </w:r>
      <w:r w:rsidR="00984350" w:rsidRPr="009A1394">
        <w:rPr>
          <w:lang w:val="en-CA"/>
        </w:rPr>
        <w:t>419</w:t>
      </w:r>
      <w:r w:rsidR="00C03B88" w:rsidRPr="009A1394">
        <w:rPr>
          <w:lang w:val="en-CA"/>
        </w:rPr>
        <w:t>, p. 4</w:t>
      </w:r>
      <w:r w:rsidR="00984350" w:rsidRPr="009A1394">
        <w:rPr>
          <w:lang w:val="en-CA"/>
        </w:rPr>
        <w:t>29.</w:t>
      </w:r>
    </w:p>
  </w:footnote>
  <w:footnote w:id="257">
    <w:p w14:paraId="6455A97E" w14:textId="10070D13" w:rsidR="00065216" w:rsidRPr="009A1394" w:rsidRDefault="00065216" w:rsidP="0006521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Salomon v. Matte-Thompson</w:t>
      </w:r>
      <w:r w:rsidR="00984350" w:rsidRPr="009A1394">
        <w:rPr>
          <w:iCs/>
          <w:lang w:val="en-CA"/>
        </w:rPr>
        <w:t>, 2019 SCC 14</w:t>
      </w:r>
      <w:r w:rsidR="00791C01" w:rsidRPr="009A1394">
        <w:rPr>
          <w:iCs/>
          <w:lang w:val="en-CA"/>
        </w:rPr>
        <w:t>, para</w:t>
      </w:r>
      <w:r w:rsidR="00984350" w:rsidRPr="009A1394">
        <w:rPr>
          <w:iCs/>
          <w:lang w:val="en-CA"/>
        </w:rPr>
        <w:t xml:space="preserve">. </w:t>
      </w:r>
      <w:r w:rsidR="00984350" w:rsidRPr="009A1394">
        <w:rPr>
          <w:lang w:val="en-CA"/>
        </w:rPr>
        <w:t>84.</w:t>
      </w:r>
    </w:p>
  </w:footnote>
  <w:footnote w:id="258">
    <w:p w14:paraId="303002F7" w14:textId="523C2C0C" w:rsidR="00065216" w:rsidRPr="009A1394" w:rsidRDefault="00065216" w:rsidP="0006521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Jean-Louis Baudouin, Patrice Deslauriers &amp; Benoît Moore, La responsabilité civile, 9th ed., vol.</w:t>
      </w:r>
      <w:r w:rsidRPr="009A1394">
        <w:rPr>
          <w:lang w:val="en-CA"/>
        </w:rPr>
        <w:t> </w:t>
      </w:r>
      <w:r w:rsidR="00984350" w:rsidRPr="009A1394">
        <w:rPr>
          <w:lang w:val="en-CA"/>
        </w:rPr>
        <w:t>1</w:t>
      </w:r>
      <w:r w:rsidR="002462AC" w:rsidRPr="009A1394">
        <w:rPr>
          <w:lang w:val="en-CA"/>
        </w:rPr>
        <w:t>,</w:t>
      </w:r>
      <w:r w:rsidR="00984350" w:rsidRPr="009A1394">
        <w:rPr>
          <w:lang w:val="en-CA"/>
        </w:rPr>
        <w:t xml:space="preserve"> Montreal</w:t>
      </w:r>
      <w:r w:rsidR="002462AC" w:rsidRPr="009A1394">
        <w:rPr>
          <w:lang w:val="en-CA"/>
        </w:rPr>
        <w:t>,</w:t>
      </w:r>
      <w:r w:rsidR="00984350" w:rsidRPr="009A1394">
        <w:rPr>
          <w:lang w:val="en-CA"/>
        </w:rPr>
        <w:t xml:space="preserve"> Yvon Blais, 2020</w:t>
      </w:r>
      <w:r w:rsidR="00C03B88" w:rsidRPr="009A1394">
        <w:rPr>
          <w:lang w:val="en-CA"/>
        </w:rPr>
        <w:t>, p. 7</w:t>
      </w:r>
      <w:r w:rsidR="00984350" w:rsidRPr="009A1394">
        <w:rPr>
          <w:lang w:val="en-CA"/>
        </w:rPr>
        <w:t>67.</w:t>
      </w:r>
    </w:p>
  </w:footnote>
  <w:footnote w:id="259">
    <w:p w14:paraId="0387C4B6" w14:textId="1C169FBA"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Jean-Louis Baudouin, Patrice Deslauriers &amp; Benoît Moore, La responsabilité civile, 9th ed., vol.</w:t>
      </w:r>
      <w:r w:rsidRPr="009A1394">
        <w:rPr>
          <w:lang w:val="en-CA"/>
        </w:rPr>
        <w:t> </w:t>
      </w:r>
      <w:r w:rsidR="00984350" w:rsidRPr="009A1394">
        <w:rPr>
          <w:lang w:val="en-CA"/>
        </w:rPr>
        <w:t>1</w:t>
      </w:r>
      <w:r w:rsidR="00922C0A" w:rsidRPr="009A1394">
        <w:rPr>
          <w:lang w:val="en-CA"/>
        </w:rPr>
        <w:t>,</w:t>
      </w:r>
      <w:r w:rsidR="00984350" w:rsidRPr="009A1394">
        <w:rPr>
          <w:lang w:val="en-CA"/>
        </w:rPr>
        <w:t xml:space="preserve"> Montreal</w:t>
      </w:r>
      <w:r w:rsidR="00922C0A" w:rsidRPr="009A1394">
        <w:rPr>
          <w:lang w:val="en-CA"/>
        </w:rPr>
        <w:t>,</w:t>
      </w:r>
      <w:r w:rsidR="00984350" w:rsidRPr="009A1394">
        <w:rPr>
          <w:lang w:val="en-CA"/>
        </w:rPr>
        <w:t xml:space="preserve"> Yvon Blais, 2020</w:t>
      </w:r>
      <w:r w:rsidR="00C03B88" w:rsidRPr="009A1394">
        <w:rPr>
          <w:lang w:val="en-CA"/>
        </w:rPr>
        <w:t>, p. 7</w:t>
      </w:r>
      <w:r w:rsidR="00984350" w:rsidRPr="009A1394">
        <w:rPr>
          <w:lang w:val="en-CA"/>
        </w:rPr>
        <w:t>73.</w:t>
      </w:r>
    </w:p>
  </w:footnote>
  <w:footnote w:id="260">
    <w:p w14:paraId="0A922FEB" w14:textId="7B94721A"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Gargantiel c. Québec (Procureure générale)</w:t>
      </w:r>
      <w:r w:rsidR="00984350" w:rsidRPr="009A1394">
        <w:rPr>
          <w:iCs/>
          <w:lang w:val="en-CA"/>
        </w:rPr>
        <w:t>, 2015 QCCA 224</w:t>
      </w:r>
      <w:r w:rsidR="00791C01" w:rsidRPr="009A1394">
        <w:rPr>
          <w:iCs/>
          <w:lang w:val="en-CA"/>
        </w:rPr>
        <w:t>, para</w:t>
      </w:r>
      <w:r w:rsidR="00984350" w:rsidRPr="009A1394">
        <w:rPr>
          <w:iCs/>
          <w:lang w:val="en-CA"/>
        </w:rPr>
        <w:t>.</w:t>
      </w:r>
      <w:r w:rsidRPr="009A1394">
        <w:rPr>
          <w:lang w:val="en-CA"/>
        </w:rPr>
        <w:t xml:space="preserve"> </w:t>
      </w:r>
      <w:bookmarkStart w:id="22" w:name="_Hlk187922701"/>
      <w:r w:rsidR="00984350" w:rsidRPr="009A1394">
        <w:rPr>
          <w:lang w:val="en-CA"/>
        </w:rPr>
        <w:t xml:space="preserve">28, applying </w:t>
      </w:r>
      <w:r w:rsidR="00984350" w:rsidRPr="009A1394">
        <w:rPr>
          <w:i/>
          <w:lang w:val="en-CA"/>
        </w:rPr>
        <w:t>Lacombe c. André</w:t>
      </w:r>
      <w:r w:rsidR="00984350" w:rsidRPr="009A1394">
        <w:rPr>
          <w:lang w:val="en-CA"/>
        </w:rPr>
        <w:t>, [2003] R.J.Q.</w:t>
      </w:r>
      <w:r w:rsidRPr="009A1394">
        <w:rPr>
          <w:lang w:val="en-CA"/>
        </w:rPr>
        <w:t xml:space="preserve"> </w:t>
      </w:r>
      <w:bookmarkEnd w:id="22"/>
      <w:r w:rsidR="00984350" w:rsidRPr="009A1394">
        <w:rPr>
          <w:lang w:val="en-CA"/>
        </w:rPr>
        <w:t>720. 2003 CanLII 47946 (QCCA)</w:t>
      </w:r>
      <w:r w:rsidR="00791C01" w:rsidRPr="009A1394">
        <w:rPr>
          <w:lang w:val="en-CA"/>
        </w:rPr>
        <w:t>, para</w:t>
      </w:r>
      <w:r w:rsidR="00984350" w:rsidRPr="009A1394">
        <w:rPr>
          <w:lang w:val="en-CA"/>
        </w:rPr>
        <w:t>s.</w:t>
      </w:r>
      <w:r w:rsidR="00766FC1" w:rsidRPr="009A1394">
        <w:rPr>
          <w:lang w:val="en-CA"/>
        </w:rPr>
        <w:t xml:space="preserve"> </w:t>
      </w:r>
      <w:r w:rsidR="00984350" w:rsidRPr="009A1394">
        <w:rPr>
          <w:lang w:val="en-CA"/>
        </w:rPr>
        <w:t xml:space="preserve">58–60, leave to appeal to </w:t>
      </w:r>
      <w:r w:rsidR="002303A1" w:rsidRPr="009A1394">
        <w:rPr>
          <w:lang w:val="en-CA"/>
        </w:rPr>
        <w:t xml:space="preserve">the </w:t>
      </w:r>
      <w:r w:rsidR="00984350" w:rsidRPr="009A1394">
        <w:rPr>
          <w:lang w:val="en-CA"/>
        </w:rPr>
        <w:t>SCC refused, July 10, 2003</w:t>
      </w:r>
      <w:r w:rsidR="00343B46" w:rsidRPr="009A1394">
        <w:rPr>
          <w:lang w:val="en-CA"/>
        </w:rPr>
        <w:t>, No. 29739</w:t>
      </w:r>
      <w:r w:rsidR="00984350" w:rsidRPr="009A1394">
        <w:rPr>
          <w:lang w:val="en-CA"/>
        </w:rPr>
        <w:t>.</w:t>
      </w:r>
    </w:p>
  </w:footnote>
  <w:footnote w:id="261">
    <w:p w14:paraId="09559E00" w14:textId="4F8D4BEF" w:rsidR="00065216" w:rsidRPr="009A1394" w:rsidRDefault="00065216" w:rsidP="0006521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[2003] R.J.Q.</w:t>
      </w:r>
      <w:r w:rsidRPr="009A1394">
        <w:rPr>
          <w:lang w:val="en-CA"/>
        </w:rPr>
        <w:t xml:space="preserve"> </w:t>
      </w:r>
      <w:r w:rsidR="00984350" w:rsidRPr="009A1394">
        <w:rPr>
          <w:lang w:val="en-CA"/>
        </w:rPr>
        <w:t xml:space="preserve">720, 2003 CanLII 47946 (QC CA), leave to appeal to </w:t>
      </w:r>
      <w:r w:rsidR="002303A1" w:rsidRPr="009A1394">
        <w:rPr>
          <w:lang w:val="en-CA"/>
        </w:rPr>
        <w:t xml:space="preserve">the </w:t>
      </w:r>
      <w:r w:rsidR="00984350" w:rsidRPr="009A1394">
        <w:rPr>
          <w:lang w:val="en-CA"/>
        </w:rPr>
        <w:t xml:space="preserve">SCC refused, </w:t>
      </w:r>
      <w:r w:rsidR="004141E4" w:rsidRPr="009A1394">
        <w:rPr>
          <w:lang w:val="en-CA"/>
        </w:rPr>
        <w:t>July 10,</w:t>
      </w:r>
      <w:r w:rsidR="00984350" w:rsidRPr="009A1394">
        <w:rPr>
          <w:lang w:val="en-CA"/>
        </w:rPr>
        <w:t xml:space="preserve"> 2003</w:t>
      </w:r>
      <w:r w:rsidR="00343B46" w:rsidRPr="009A1394">
        <w:rPr>
          <w:lang w:val="en-CA"/>
        </w:rPr>
        <w:t>, No. 29739</w:t>
      </w:r>
      <w:r w:rsidR="00984350" w:rsidRPr="009A1394">
        <w:rPr>
          <w:lang w:val="en-CA"/>
        </w:rPr>
        <w:t xml:space="preserve">; see also </w:t>
      </w:r>
      <w:r w:rsidR="00984350" w:rsidRPr="009A1394">
        <w:rPr>
          <w:i/>
          <w:lang w:val="en-CA"/>
        </w:rPr>
        <w:t>Beaulieu c. Paquet</w:t>
      </w:r>
      <w:r w:rsidR="00984350" w:rsidRPr="009A1394">
        <w:rPr>
          <w:lang w:val="en-CA"/>
        </w:rPr>
        <w:t>, 2016 QCCA 1284</w:t>
      </w:r>
      <w:r w:rsidR="00791C01" w:rsidRPr="009A1394">
        <w:rPr>
          <w:lang w:val="en-CA"/>
        </w:rPr>
        <w:t>, para</w:t>
      </w:r>
      <w:r w:rsidR="00984350" w:rsidRPr="009A1394">
        <w:rPr>
          <w:lang w:val="en-CA"/>
        </w:rPr>
        <w:t>.</w:t>
      </w:r>
      <w:r w:rsidRPr="009A1394">
        <w:rPr>
          <w:lang w:val="en-CA"/>
        </w:rPr>
        <w:t xml:space="preserve"> </w:t>
      </w:r>
      <w:r w:rsidR="007A2D19" w:rsidRPr="009A1394">
        <w:rPr>
          <w:lang w:val="en-CA"/>
        </w:rPr>
        <w:t>39.</w:t>
      </w:r>
    </w:p>
  </w:footnote>
  <w:footnote w:id="262">
    <w:p w14:paraId="55654466" w14:textId="42711BD2" w:rsidR="00264E90" w:rsidRPr="009A1394" w:rsidRDefault="00264E90" w:rsidP="00264E9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Site touristique Chute à l’Ours de Normandin inc. c. Nguyen (Succession de)</w:t>
      </w:r>
      <w:r w:rsidR="00984350" w:rsidRPr="009A1394">
        <w:rPr>
          <w:iCs/>
          <w:lang w:val="en-CA"/>
        </w:rPr>
        <w:t>, 2015 QCCA 924</w:t>
      </w:r>
      <w:r w:rsidR="00791C01" w:rsidRPr="009A1394">
        <w:rPr>
          <w:iCs/>
          <w:lang w:val="en-CA"/>
        </w:rPr>
        <w:t>, para</w:t>
      </w:r>
      <w:r w:rsidR="00984350" w:rsidRPr="009A1394">
        <w:rPr>
          <w:iCs/>
          <w:lang w:val="en-CA"/>
        </w:rPr>
        <w:t>s.</w:t>
      </w:r>
      <w:r w:rsidRPr="009A1394">
        <w:rPr>
          <w:lang w:val="en-CA"/>
        </w:rPr>
        <w:t> </w:t>
      </w:r>
      <w:r w:rsidR="00984350" w:rsidRPr="009A1394">
        <w:rPr>
          <w:lang w:val="en-CA"/>
        </w:rPr>
        <w:t>58 and 60.</w:t>
      </w:r>
    </w:p>
  </w:footnote>
  <w:footnote w:id="263">
    <w:p w14:paraId="2D73252C" w14:textId="6163E9E3" w:rsidR="00264E90" w:rsidRPr="009A1394" w:rsidRDefault="00264E90" w:rsidP="00264E9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Fortin c. Mazda Canada inc.</w:t>
      </w:r>
      <w:r w:rsidR="00984350" w:rsidRPr="009A1394">
        <w:rPr>
          <w:iCs/>
          <w:lang w:val="en-CA"/>
        </w:rPr>
        <w:t>, 2016 QCCA 31</w:t>
      </w:r>
      <w:r w:rsidR="00791C01" w:rsidRPr="009A1394">
        <w:rPr>
          <w:iCs/>
          <w:lang w:val="en-CA"/>
        </w:rPr>
        <w:t>, para</w:t>
      </w:r>
      <w:r w:rsidR="00984350" w:rsidRPr="009A1394">
        <w:rPr>
          <w:iCs/>
          <w:lang w:val="en-CA"/>
        </w:rPr>
        <w:t>s.</w:t>
      </w:r>
      <w:r w:rsidRPr="009A1394">
        <w:rPr>
          <w:lang w:val="en-CA"/>
        </w:rPr>
        <w:t xml:space="preserve"> </w:t>
      </w:r>
      <w:r w:rsidR="00984350" w:rsidRPr="009A1394">
        <w:rPr>
          <w:lang w:val="en-CA"/>
        </w:rPr>
        <w:t xml:space="preserve">257, 158, 161, and 162, leave to appeal to </w:t>
      </w:r>
      <w:r w:rsidR="002303A1" w:rsidRPr="009A1394">
        <w:rPr>
          <w:lang w:val="en-CA"/>
        </w:rPr>
        <w:t xml:space="preserve">the </w:t>
      </w:r>
      <w:r w:rsidR="00984350" w:rsidRPr="009A1394">
        <w:rPr>
          <w:lang w:val="en-CA"/>
        </w:rPr>
        <w:t xml:space="preserve">SCC refused, </w:t>
      </w:r>
      <w:r w:rsidR="009F5BA1" w:rsidRPr="009A1394">
        <w:rPr>
          <w:lang w:val="en-CA"/>
        </w:rPr>
        <w:t>August</w:t>
      </w:r>
      <w:r w:rsidR="006A2E8F" w:rsidRPr="009A1394">
        <w:rPr>
          <w:lang w:val="en-CA"/>
        </w:rPr>
        <w:t xml:space="preserve"> 11,</w:t>
      </w:r>
      <w:r w:rsidR="00984350" w:rsidRPr="009A1394">
        <w:rPr>
          <w:lang w:val="en-CA"/>
        </w:rPr>
        <w:t xml:space="preserve"> 2016</w:t>
      </w:r>
      <w:r w:rsidR="002303A1" w:rsidRPr="009A1394">
        <w:rPr>
          <w:lang w:val="en-CA"/>
        </w:rPr>
        <w:t>, No. 36898</w:t>
      </w:r>
      <w:r w:rsidR="00984350" w:rsidRPr="009A1394">
        <w:rPr>
          <w:lang w:val="en-CA"/>
        </w:rPr>
        <w:t>.</w:t>
      </w:r>
    </w:p>
  </w:footnote>
  <w:footnote w:id="264">
    <w:p w14:paraId="12B84ED4" w14:textId="23CF06C9" w:rsidR="00264E90" w:rsidRPr="009A1394" w:rsidRDefault="00264E90" w:rsidP="00264E90">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Salomon v. Matte-Thompson</w:t>
      </w:r>
      <w:r w:rsidR="00984350" w:rsidRPr="009A1394">
        <w:rPr>
          <w:iCs/>
          <w:lang w:val="en-CA"/>
        </w:rPr>
        <w:t>, 2019 SCC 14, [2019] 1 S.C.R.</w:t>
      </w:r>
      <w:r w:rsidRPr="009A1394">
        <w:rPr>
          <w:lang w:val="en-CA"/>
        </w:rPr>
        <w:t xml:space="preserve"> </w:t>
      </w:r>
      <w:r w:rsidR="00984350" w:rsidRPr="009A1394">
        <w:rPr>
          <w:lang w:val="en-CA"/>
        </w:rPr>
        <w:t>729</w:t>
      </w:r>
      <w:r w:rsidR="00791C01" w:rsidRPr="009A1394">
        <w:rPr>
          <w:lang w:val="en-CA"/>
        </w:rPr>
        <w:t>, para</w:t>
      </w:r>
      <w:r w:rsidR="00984350" w:rsidRPr="009A1394">
        <w:rPr>
          <w:lang w:val="en-CA"/>
        </w:rPr>
        <w:t>s.</w:t>
      </w:r>
      <w:r w:rsidRPr="009A1394">
        <w:rPr>
          <w:lang w:val="en-CA"/>
        </w:rPr>
        <w:t xml:space="preserve"> </w:t>
      </w:r>
      <w:r w:rsidR="00984350" w:rsidRPr="009A1394">
        <w:rPr>
          <w:lang w:val="en-CA"/>
        </w:rPr>
        <w:t>87, 91–92.</w:t>
      </w:r>
    </w:p>
  </w:footnote>
  <w:footnote w:id="265">
    <w:p w14:paraId="59DDE4D2" w14:textId="53ABF530"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St-Jean v. Mercier</w:t>
      </w:r>
      <w:r w:rsidR="00984350" w:rsidRPr="009A1394">
        <w:rPr>
          <w:iCs/>
          <w:lang w:val="en-CA"/>
        </w:rPr>
        <w:t>, 2002 SCC 15</w:t>
      </w:r>
      <w:r w:rsidR="00791C01" w:rsidRPr="009A1394">
        <w:rPr>
          <w:iCs/>
          <w:lang w:val="en-CA"/>
        </w:rPr>
        <w:t>, para</w:t>
      </w:r>
      <w:r w:rsidR="00984350" w:rsidRPr="009A1394">
        <w:rPr>
          <w:iCs/>
          <w:lang w:val="en-CA"/>
        </w:rPr>
        <w:t>.</w:t>
      </w:r>
      <w:r w:rsidRPr="009A1394">
        <w:rPr>
          <w:lang w:val="en-CA"/>
        </w:rPr>
        <w:t xml:space="preserve"> </w:t>
      </w:r>
      <w:r w:rsidR="00984350" w:rsidRPr="009A1394">
        <w:rPr>
          <w:lang w:val="en-CA"/>
        </w:rPr>
        <w:t>104</w:t>
      </w:r>
      <w:r w:rsidR="00FB3ED3" w:rsidRPr="009A1394">
        <w:rPr>
          <w:lang w:val="en-CA"/>
        </w:rPr>
        <w:t>,</w:t>
      </w:r>
      <w:r w:rsidR="00984350" w:rsidRPr="009A1394">
        <w:rPr>
          <w:lang w:val="en-CA"/>
        </w:rPr>
        <w:t xml:space="preserve"> and see also para.</w:t>
      </w:r>
      <w:r w:rsidRPr="009A1394">
        <w:rPr>
          <w:lang w:val="en-CA"/>
        </w:rPr>
        <w:t xml:space="preserve"> </w:t>
      </w:r>
      <w:r w:rsidR="00B8103C" w:rsidRPr="009A1394">
        <w:rPr>
          <w:lang w:val="en-CA"/>
        </w:rPr>
        <w:t>98.</w:t>
      </w:r>
      <w:r w:rsidRPr="009A1394">
        <w:rPr>
          <w:lang w:val="en-CA"/>
        </w:rPr>
        <w:t xml:space="preserve"> </w:t>
      </w:r>
      <w:r w:rsidR="007A2D19" w:rsidRPr="009A1394">
        <w:rPr>
          <w:i/>
          <w:iCs/>
          <w:lang w:val="en-CA"/>
        </w:rPr>
        <w:t>Lalande c. Compagnie d’arrimage de Québec ltée</w:t>
      </w:r>
      <w:r w:rsidR="007A2D19" w:rsidRPr="009A1394">
        <w:rPr>
          <w:iCs/>
          <w:lang w:val="en-CA"/>
        </w:rPr>
        <w:t>, 2023 QCCA 973</w:t>
      </w:r>
      <w:r w:rsidR="00791C01" w:rsidRPr="009A1394">
        <w:rPr>
          <w:iCs/>
          <w:lang w:val="en-CA"/>
        </w:rPr>
        <w:t>, para</w:t>
      </w:r>
      <w:r w:rsidR="007A2D19" w:rsidRPr="009A1394">
        <w:rPr>
          <w:iCs/>
          <w:lang w:val="en-CA"/>
        </w:rPr>
        <w:t>.</w:t>
      </w:r>
      <w:r w:rsidRPr="009A1394">
        <w:rPr>
          <w:lang w:val="en-CA"/>
        </w:rPr>
        <w:t xml:space="preserve"> </w:t>
      </w:r>
      <w:r w:rsidR="007A2D19" w:rsidRPr="009A1394">
        <w:rPr>
          <w:lang w:val="en-CA"/>
        </w:rPr>
        <w:t>37.</w:t>
      </w:r>
    </w:p>
  </w:footnote>
  <w:footnote w:id="266">
    <w:p w14:paraId="134BC1A6" w14:textId="467A2ADD" w:rsidR="00D00748" w:rsidRPr="009A1394" w:rsidRDefault="00D00748" w:rsidP="00D00748">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Montréal (Ville) v. Lonardi</w:t>
      </w:r>
      <w:r w:rsidR="00984350" w:rsidRPr="009A1394">
        <w:rPr>
          <w:iCs/>
          <w:lang w:val="en-CA"/>
        </w:rPr>
        <w:t>, 2018 SCC 29</w:t>
      </w:r>
      <w:r w:rsidR="00791C01" w:rsidRPr="009A1394">
        <w:rPr>
          <w:iCs/>
          <w:lang w:val="en-CA"/>
        </w:rPr>
        <w:t>, para</w:t>
      </w:r>
      <w:r w:rsidR="00984350" w:rsidRPr="009A1394">
        <w:rPr>
          <w:iCs/>
          <w:lang w:val="en-CA"/>
        </w:rPr>
        <w:t>.</w:t>
      </w:r>
      <w:r w:rsidRPr="009A1394">
        <w:rPr>
          <w:lang w:val="en-CA"/>
        </w:rPr>
        <w:t xml:space="preserve"> </w:t>
      </w:r>
      <w:r w:rsidR="00984350" w:rsidRPr="009A1394">
        <w:rPr>
          <w:lang w:val="en-CA"/>
        </w:rPr>
        <w:t xml:space="preserve">76; see also, </w:t>
      </w:r>
      <w:r w:rsidR="00984350" w:rsidRPr="009A1394">
        <w:rPr>
          <w:i/>
          <w:lang w:val="en-CA"/>
        </w:rPr>
        <w:t>Montambault c. Outfront Media Canada/Média Outfit Canada</w:t>
      </w:r>
      <w:r w:rsidR="00984350" w:rsidRPr="009A1394">
        <w:rPr>
          <w:lang w:val="en-CA"/>
        </w:rPr>
        <w:t>, 2021 QCCA 1907</w:t>
      </w:r>
      <w:r w:rsidR="00791C01" w:rsidRPr="009A1394">
        <w:rPr>
          <w:lang w:val="en-CA"/>
        </w:rPr>
        <w:t>, para</w:t>
      </w:r>
      <w:r w:rsidR="00984350" w:rsidRPr="009A1394">
        <w:rPr>
          <w:lang w:val="en-CA"/>
        </w:rPr>
        <w:t>.</w:t>
      </w:r>
      <w:r w:rsidRPr="009A1394">
        <w:rPr>
          <w:lang w:val="en-CA"/>
        </w:rPr>
        <w:t xml:space="preserve"> </w:t>
      </w:r>
      <w:r w:rsidR="00984350" w:rsidRPr="009A1394">
        <w:rPr>
          <w:lang w:val="en-CA"/>
        </w:rPr>
        <w:t>12.</w:t>
      </w:r>
    </w:p>
  </w:footnote>
  <w:footnote w:id="267">
    <w:p w14:paraId="0EE5C37E" w14:textId="17DC1532"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Constructions Concreate ltée c. Procureure générale du Québec</w:t>
      </w:r>
      <w:r w:rsidR="00984350" w:rsidRPr="009A1394">
        <w:rPr>
          <w:iCs/>
          <w:lang w:val="en-CA"/>
        </w:rPr>
        <w:t>,</w:t>
      </w:r>
      <w:r w:rsidR="00984350" w:rsidRPr="009A1394">
        <w:rPr>
          <w:i/>
          <w:iCs/>
          <w:lang w:val="en-CA"/>
        </w:rPr>
        <w:t xml:space="preserve"> </w:t>
      </w:r>
      <w:r w:rsidR="00984350" w:rsidRPr="009A1394">
        <w:rPr>
          <w:iCs/>
          <w:lang w:val="en-CA"/>
        </w:rPr>
        <w:t>2020 QCCA 570.</w:t>
      </w:r>
    </w:p>
  </w:footnote>
  <w:footnote w:id="268">
    <w:p w14:paraId="65F5166F" w14:textId="77777777" w:rsidR="00576EF3" w:rsidRPr="009A1394" w:rsidRDefault="00576EF3" w:rsidP="00576EF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Pr="009A1394">
        <w:rPr>
          <w:i/>
          <w:iCs/>
          <w:lang w:val="en-CA"/>
        </w:rPr>
        <w:t>Lalande c. Compagnie d’arrimage de Québec ltée</w:t>
      </w:r>
      <w:r w:rsidRPr="009A1394">
        <w:rPr>
          <w:iCs/>
          <w:lang w:val="en-CA"/>
        </w:rPr>
        <w:t>, 2023 QCCA 973, para.</w:t>
      </w:r>
      <w:r w:rsidRPr="009A1394">
        <w:rPr>
          <w:lang w:val="en-CA"/>
        </w:rPr>
        <w:t xml:space="preserve"> 37; </w:t>
      </w:r>
      <w:r w:rsidRPr="009A1394">
        <w:rPr>
          <w:i/>
          <w:lang w:val="en-CA"/>
        </w:rPr>
        <w:t>Montambault c. Outfront Media Canada/Média Outfront Canada</w:t>
      </w:r>
      <w:r w:rsidRPr="009A1394">
        <w:rPr>
          <w:lang w:val="en-CA"/>
        </w:rPr>
        <w:t>, 2021 QCCA 1907, para. 12.</w:t>
      </w:r>
    </w:p>
  </w:footnote>
  <w:footnote w:id="269">
    <w:p w14:paraId="79B69AA1" w14:textId="332CCD72" w:rsidR="00702A59" w:rsidRPr="009A1394" w:rsidRDefault="008161A3" w:rsidP="00702A5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Lalande c. Compagnie d’arrimage de Québec ltée</w:t>
      </w:r>
      <w:r w:rsidR="00984350" w:rsidRPr="009A1394">
        <w:rPr>
          <w:iCs/>
          <w:lang w:val="en-CA"/>
        </w:rPr>
        <w:t>, 2023 QCCA 973</w:t>
      </w:r>
      <w:r w:rsidR="00791C01" w:rsidRPr="009A1394">
        <w:rPr>
          <w:iCs/>
          <w:lang w:val="en-CA"/>
        </w:rPr>
        <w:t>, para</w:t>
      </w:r>
      <w:r w:rsidR="00984350" w:rsidRPr="009A1394">
        <w:rPr>
          <w:iCs/>
          <w:lang w:val="en-CA"/>
        </w:rPr>
        <w:t>s.</w:t>
      </w:r>
      <w:r w:rsidR="00AD50E4" w:rsidRPr="009A1394">
        <w:rPr>
          <w:lang w:val="en-CA"/>
        </w:rPr>
        <w:t xml:space="preserve"> </w:t>
      </w:r>
      <w:r w:rsidR="00984350" w:rsidRPr="009A1394">
        <w:rPr>
          <w:lang w:val="en-CA"/>
        </w:rPr>
        <w:t xml:space="preserve">41–43; see also </w:t>
      </w:r>
      <w:r w:rsidR="00984350" w:rsidRPr="009A1394">
        <w:rPr>
          <w:i/>
          <w:lang w:val="en-CA"/>
        </w:rPr>
        <w:t>Hogue c. Procureur général du Québec</w:t>
      </w:r>
      <w:r w:rsidR="00984350" w:rsidRPr="009A1394">
        <w:rPr>
          <w:lang w:val="en-CA"/>
        </w:rPr>
        <w:t>, 2020 QCCA 1081</w:t>
      </w:r>
      <w:r w:rsidR="00791C01" w:rsidRPr="009A1394">
        <w:rPr>
          <w:lang w:val="en-CA"/>
        </w:rPr>
        <w:t>, para</w:t>
      </w:r>
      <w:r w:rsidR="00984350" w:rsidRPr="009A1394">
        <w:rPr>
          <w:lang w:val="en-CA"/>
        </w:rPr>
        <w:t>s.</w:t>
      </w:r>
      <w:r w:rsidR="0001661E" w:rsidRPr="009A1394">
        <w:rPr>
          <w:lang w:val="en-CA"/>
        </w:rPr>
        <w:t xml:space="preserve"> </w:t>
      </w:r>
      <w:r w:rsidR="00984350" w:rsidRPr="009A1394">
        <w:rPr>
          <w:lang w:val="en-CA"/>
        </w:rPr>
        <w:t>37–50.</w:t>
      </w:r>
    </w:p>
  </w:footnote>
  <w:footnote w:id="270">
    <w:p w14:paraId="62069940" w14:textId="2B9F80A6" w:rsidR="003F3019" w:rsidRPr="009A1394" w:rsidRDefault="003F3019" w:rsidP="003F301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bookmarkStart w:id="23" w:name="_Hlk183347509"/>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bookmarkEnd w:id="23"/>
      <w:r w:rsidR="00984350" w:rsidRPr="009A1394">
        <w:rPr>
          <w:lang w:val="en-CA"/>
        </w:rPr>
        <w:t>860.</w:t>
      </w:r>
    </w:p>
  </w:footnote>
  <w:footnote w:id="271">
    <w:p w14:paraId="6D86EFAB" w14:textId="628604F4" w:rsidR="003F3019" w:rsidRPr="009A1394" w:rsidRDefault="003F3019" w:rsidP="003F301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984350" w:rsidRPr="009A1394">
        <w:rPr>
          <w:lang w:val="en-CA"/>
        </w:rPr>
        <w:t>861.</w:t>
      </w:r>
    </w:p>
  </w:footnote>
  <w:footnote w:id="272">
    <w:p w14:paraId="25384A0E" w14:textId="53135654" w:rsidR="003F3019" w:rsidRPr="009A1394" w:rsidRDefault="003F3019" w:rsidP="003F301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984350" w:rsidRPr="009A1394">
        <w:rPr>
          <w:lang w:val="en-CA"/>
        </w:rPr>
        <w:t>868.</w:t>
      </w:r>
    </w:p>
  </w:footnote>
  <w:footnote w:id="273">
    <w:p w14:paraId="4893FA06" w14:textId="132A504B" w:rsidR="003F3019" w:rsidRPr="009A1394" w:rsidRDefault="003F3019" w:rsidP="003F301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B8103C" w:rsidRPr="009A1394">
        <w:rPr>
          <w:lang w:val="en-CA"/>
        </w:rPr>
        <w:t>862.</w:t>
      </w:r>
    </w:p>
  </w:footnote>
  <w:footnote w:id="274">
    <w:p w14:paraId="5B2FCCD7" w14:textId="4555B636" w:rsidR="003F3019" w:rsidRPr="009A1394" w:rsidRDefault="003F3019" w:rsidP="003F301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B8103C" w:rsidRPr="009A1394">
        <w:rPr>
          <w:lang w:val="en-CA"/>
        </w:rPr>
        <w:t>862.</w:t>
      </w:r>
    </w:p>
  </w:footnote>
  <w:footnote w:id="275">
    <w:p w14:paraId="3F31357D" w14:textId="679382B7" w:rsidR="003F3019" w:rsidRPr="009A1394" w:rsidRDefault="003F3019" w:rsidP="003F3019">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984350" w:rsidRPr="009A1394">
        <w:rPr>
          <w:lang w:val="en-CA"/>
        </w:rPr>
        <w:t>865.</w:t>
      </w:r>
    </w:p>
  </w:footnote>
  <w:footnote w:id="276">
    <w:p w14:paraId="38A1428F" w14:textId="510550E6" w:rsidR="006F7E9F" w:rsidRPr="009A1394" w:rsidRDefault="006F7E9F" w:rsidP="006F7E9F">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322F45" w:rsidRPr="009A1394">
        <w:rPr>
          <w:lang w:val="en-CA"/>
        </w:rPr>
        <w:t>Pre-trial examination of Edward A. Burkhardt, January 9 and 10, 2020.</w:t>
      </w:r>
    </w:p>
  </w:footnote>
  <w:footnote w:id="277">
    <w:p w14:paraId="1231E375" w14:textId="32D3F74C" w:rsidR="00287AAD" w:rsidRPr="009A1394" w:rsidRDefault="00287AAD" w:rsidP="00287AAD">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Judgment under appeal</w:t>
      </w:r>
      <w:r w:rsidR="00791C01" w:rsidRPr="009A1394">
        <w:rPr>
          <w:lang w:val="en-CA"/>
        </w:rPr>
        <w:t>, para</w:t>
      </w:r>
      <w:r w:rsidR="00984350" w:rsidRPr="009A1394">
        <w:rPr>
          <w:lang w:val="en-CA"/>
        </w:rPr>
        <w:t>s.</w:t>
      </w:r>
      <w:r w:rsidRPr="009A1394">
        <w:rPr>
          <w:lang w:val="en-CA"/>
        </w:rPr>
        <w:t xml:space="preserve"> </w:t>
      </w:r>
      <w:r w:rsidR="00984350" w:rsidRPr="009A1394">
        <w:rPr>
          <w:lang w:val="en-CA"/>
        </w:rPr>
        <w:t>875–876.</w:t>
      </w:r>
    </w:p>
  </w:footnote>
  <w:footnote w:id="278">
    <w:p w14:paraId="4DC91541" w14:textId="4BB2A0AB" w:rsidR="00287AAD" w:rsidRPr="009A1394" w:rsidRDefault="00287AAD" w:rsidP="00287AAD">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Hogue c. Procureur général du Québec</w:t>
      </w:r>
      <w:r w:rsidR="00984350" w:rsidRPr="009A1394">
        <w:rPr>
          <w:iCs/>
          <w:lang w:val="en-CA"/>
        </w:rPr>
        <w:t>, 2020 QCCA 1081</w:t>
      </w:r>
      <w:r w:rsidR="00791C01" w:rsidRPr="009A1394">
        <w:rPr>
          <w:iCs/>
          <w:lang w:val="en-CA"/>
        </w:rPr>
        <w:t>, para</w:t>
      </w:r>
      <w:r w:rsidR="00984350" w:rsidRPr="009A1394">
        <w:rPr>
          <w:iCs/>
          <w:lang w:val="en-CA"/>
        </w:rPr>
        <w:t>s.</w:t>
      </w:r>
      <w:r w:rsidRPr="009A1394">
        <w:rPr>
          <w:lang w:val="en-CA"/>
        </w:rPr>
        <w:t xml:space="preserve"> </w:t>
      </w:r>
      <w:r w:rsidR="00984350" w:rsidRPr="009A1394">
        <w:rPr>
          <w:lang w:val="en-CA"/>
        </w:rPr>
        <w:t xml:space="preserve">46–49, leave to appeal to </w:t>
      </w:r>
      <w:r w:rsidR="002303A1" w:rsidRPr="009A1394">
        <w:rPr>
          <w:lang w:val="en-CA"/>
        </w:rPr>
        <w:t xml:space="preserve">the </w:t>
      </w:r>
      <w:r w:rsidR="00984350" w:rsidRPr="009A1394">
        <w:rPr>
          <w:lang w:val="en-CA"/>
        </w:rPr>
        <w:t xml:space="preserve">SCC refused, </w:t>
      </w:r>
      <w:r w:rsidR="008E72D7" w:rsidRPr="009A1394">
        <w:rPr>
          <w:lang w:val="en-CA"/>
        </w:rPr>
        <w:t>February 25,</w:t>
      </w:r>
      <w:r w:rsidR="00984350" w:rsidRPr="009A1394">
        <w:rPr>
          <w:lang w:val="en-CA"/>
        </w:rPr>
        <w:t xml:space="preserve"> 2021</w:t>
      </w:r>
      <w:r w:rsidR="002303A1" w:rsidRPr="009A1394">
        <w:rPr>
          <w:lang w:val="en-CA"/>
        </w:rPr>
        <w:t>, No. 69400</w:t>
      </w:r>
      <w:r w:rsidR="00984350" w:rsidRPr="009A1394">
        <w:rPr>
          <w:lang w:val="en-CA"/>
        </w:rPr>
        <w:t>.</w:t>
      </w:r>
    </w:p>
  </w:footnote>
  <w:footnote w:id="279">
    <w:p w14:paraId="5622DA7A" w14:textId="5A326C4B" w:rsidR="00EF77A6" w:rsidRPr="009A1394" w:rsidRDefault="00EF77A6" w:rsidP="00EF77A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B8103C" w:rsidRPr="009A1394">
        <w:rPr>
          <w:lang w:val="en-CA"/>
        </w:rPr>
        <w:t>Judgment under appeal</w:t>
      </w:r>
      <w:r w:rsidR="00791C01" w:rsidRPr="009A1394">
        <w:rPr>
          <w:lang w:val="en-CA"/>
        </w:rPr>
        <w:t>, para</w:t>
      </w:r>
      <w:r w:rsidR="00B8103C" w:rsidRPr="009A1394">
        <w:rPr>
          <w:lang w:val="en-CA"/>
        </w:rPr>
        <w:t>.</w:t>
      </w:r>
      <w:r w:rsidRPr="009A1394">
        <w:rPr>
          <w:lang w:val="en-CA"/>
        </w:rPr>
        <w:t xml:space="preserve"> </w:t>
      </w:r>
      <w:r w:rsidR="00984350" w:rsidRPr="009A1394">
        <w:rPr>
          <w:lang w:val="en-CA"/>
        </w:rPr>
        <w:t>322.</w:t>
      </w:r>
    </w:p>
  </w:footnote>
  <w:footnote w:id="280">
    <w:p w14:paraId="1FDC2AB1" w14:textId="0A0A3929" w:rsidR="00EF77A6" w:rsidRPr="009A1394" w:rsidRDefault="00EF77A6" w:rsidP="00EF77A6">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2019 SCC 14, [2019] 1 S.C.R.</w:t>
      </w:r>
      <w:r w:rsidRPr="009A1394">
        <w:rPr>
          <w:lang w:val="en-CA"/>
        </w:rPr>
        <w:t xml:space="preserve"> </w:t>
      </w:r>
      <w:r w:rsidR="00984350" w:rsidRPr="009A1394">
        <w:rPr>
          <w:lang w:val="en-CA"/>
        </w:rPr>
        <w:t>729.</w:t>
      </w:r>
      <w:r w:rsidRPr="009A1394">
        <w:rPr>
          <w:lang w:val="en-CA"/>
        </w:rPr>
        <w:t xml:space="preserve"> </w:t>
      </w:r>
      <w:r w:rsidR="00984350" w:rsidRPr="009A1394">
        <w:rPr>
          <w:lang w:val="en-CA"/>
        </w:rPr>
        <w:t>See judgment under appeal</w:t>
      </w:r>
      <w:r w:rsidR="00791C01" w:rsidRPr="009A1394">
        <w:rPr>
          <w:lang w:val="en-CA"/>
        </w:rPr>
        <w:t>, para</w:t>
      </w:r>
      <w:r w:rsidR="00984350" w:rsidRPr="009A1394">
        <w:rPr>
          <w:lang w:val="en-CA"/>
        </w:rPr>
        <w:t>s.</w:t>
      </w:r>
      <w:r w:rsidRPr="009A1394">
        <w:rPr>
          <w:lang w:val="en-CA"/>
        </w:rPr>
        <w:t xml:space="preserve"> </w:t>
      </w:r>
      <w:r w:rsidR="00984350" w:rsidRPr="009A1394">
        <w:rPr>
          <w:lang w:val="en-CA"/>
        </w:rPr>
        <w:t>323–324.</w:t>
      </w:r>
    </w:p>
  </w:footnote>
  <w:footnote w:id="281">
    <w:p w14:paraId="7A5BADD6" w14:textId="5800EA0A" w:rsidR="00553724" w:rsidRPr="009A1394" w:rsidRDefault="00553724" w:rsidP="00553724">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i/>
          <w:iCs/>
          <w:lang w:val="en-CA"/>
        </w:rPr>
        <w:t>Lacombe c. André</w:t>
      </w:r>
      <w:r w:rsidR="00984350" w:rsidRPr="009A1394">
        <w:rPr>
          <w:iCs/>
          <w:lang w:val="en-CA"/>
        </w:rPr>
        <w:t>, 2003 CanLII 47946</w:t>
      </w:r>
      <w:r w:rsidR="00791C01" w:rsidRPr="009A1394">
        <w:rPr>
          <w:iCs/>
          <w:lang w:val="en-CA"/>
        </w:rPr>
        <w:t>, para</w:t>
      </w:r>
      <w:r w:rsidR="00984350" w:rsidRPr="009A1394">
        <w:rPr>
          <w:iCs/>
          <w:lang w:val="en-CA"/>
        </w:rPr>
        <w:t>.</w:t>
      </w:r>
      <w:r w:rsidRPr="009A1394">
        <w:rPr>
          <w:lang w:val="en-CA"/>
        </w:rPr>
        <w:t xml:space="preserve"> </w:t>
      </w:r>
      <w:r w:rsidR="00984350" w:rsidRPr="009A1394">
        <w:rPr>
          <w:lang w:val="en-CA"/>
        </w:rPr>
        <w:t xml:space="preserve">62 (QCCA), leave to appeal to </w:t>
      </w:r>
      <w:r w:rsidR="002303A1" w:rsidRPr="009A1394">
        <w:rPr>
          <w:lang w:val="en-CA"/>
        </w:rPr>
        <w:t xml:space="preserve">the </w:t>
      </w:r>
      <w:r w:rsidR="00984350" w:rsidRPr="009A1394">
        <w:rPr>
          <w:lang w:val="en-CA"/>
        </w:rPr>
        <w:t>SCC refused, July</w:t>
      </w:r>
      <w:r w:rsidR="00FD7671" w:rsidRPr="009A1394">
        <w:rPr>
          <w:lang w:val="en-CA"/>
        </w:rPr>
        <w:t xml:space="preserve"> 10,</w:t>
      </w:r>
      <w:r w:rsidR="00984350" w:rsidRPr="009A1394">
        <w:rPr>
          <w:lang w:val="en-CA"/>
        </w:rPr>
        <w:t xml:space="preserve"> 2003</w:t>
      </w:r>
      <w:r w:rsidR="002303A1" w:rsidRPr="009A1394">
        <w:rPr>
          <w:lang w:val="en-CA"/>
        </w:rPr>
        <w:t>, No. 29739</w:t>
      </w:r>
      <w:r w:rsidR="00984350" w:rsidRPr="009A1394">
        <w:rPr>
          <w:lang w:val="en-CA"/>
        </w:rPr>
        <w:t>.</w:t>
      </w:r>
      <w:r w:rsidRPr="009A1394">
        <w:rPr>
          <w:lang w:val="en-CA"/>
        </w:rPr>
        <w:t xml:space="preserve"> </w:t>
      </w:r>
      <w:r w:rsidR="00984350" w:rsidRPr="009A1394">
        <w:rPr>
          <w:lang w:val="en-CA"/>
        </w:rPr>
        <w:t xml:space="preserve">See also </w:t>
      </w:r>
      <w:r w:rsidR="00984350" w:rsidRPr="009A1394">
        <w:rPr>
          <w:i/>
          <w:lang w:val="en-CA"/>
        </w:rPr>
        <w:t>Girard c. Hydro-Québec</w:t>
      </w:r>
      <w:r w:rsidR="00984350" w:rsidRPr="009A1394">
        <w:rPr>
          <w:lang w:val="en-CA"/>
        </w:rPr>
        <w:t>, 1987 CanLII 284 (QC CA), EYB 1987-57392</w:t>
      </w:r>
      <w:r w:rsidR="00791C01" w:rsidRPr="009A1394">
        <w:rPr>
          <w:lang w:val="en-CA"/>
        </w:rPr>
        <w:t>, para</w:t>
      </w:r>
      <w:r w:rsidR="00984350" w:rsidRPr="009A1394">
        <w:rPr>
          <w:lang w:val="en-CA"/>
        </w:rPr>
        <w:t>s.</w:t>
      </w:r>
      <w:r w:rsidRPr="009A1394">
        <w:rPr>
          <w:lang w:val="en-CA"/>
        </w:rPr>
        <w:t xml:space="preserve"> </w:t>
      </w:r>
      <w:r w:rsidR="00984350" w:rsidRPr="009A1394">
        <w:rPr>
          <w:lang w:val="en-CA"/>
        </w:rPr>
        <w:t>24–26 (C.A.).</w:t>
      </w:r>
    </w:p>
  </w:footnote>
  <w:footnote w:id="282">
    <w:p w14:paraId="2FB1AEFA" w14:textId="2CFD5BDD" w:rsidR="00E96873" w:rsidRPr="009A1394" w:rsidRDefault="00E96873" w:rsidP="00E96873">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Revised expert report of Stephen Callaghan, dated December 11, 2020.</w:t>
      </w:r>
    </w:p>
  </w:footnote>
  <w:footnote w:id="283">
    <w:p w14:paraId="161B463C" w14:textId="0CBC8155" w:rsidR="00B8103C" w:rsidRPr="009A1394" w:rsidRDefault="00B8103C" w:rsidP="00B8103C">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TC O 0-114.</w:t>
      </w:r>
    </w:p>
  </w:footnote>
  <w:footnote w:id="284">
    <w:p w14:paraId="192157DE" w14:textId="1E84F9E5" w:rsidR="00B8103C" w:rsidRPr="009A1394" w:rsidRDefault="00B8103C" w:rsidP="00B8103C">
      <w:pPr>
        <w:pStyle w:val="Notedebasdepage"/>
        <w:rPr>
          <w:lang w:val="en-CA"/>
        </w:rPr>
      </w:pPr>
      <w:r w:rsidRPr="009A1394">
        <w:rPr>
          <w:rStyle w:val="Appelnotedebasdep"/>
          <w:lang w:val="en-CA"/>
        </w:rPr>
        <w:footnoteRef/>
      </w:r>
      <w:r w:rsidRPr="009A1394">
        <w:rPr>
          <w:lang w:val="en-CA"/>
        </w:rPr>
        <w:t xml:space="preserve"> </w:t>
      </w:r>
      <w:r w:rsidRPr="009A1394">
        <w:rPr>
          <w:lang w:val="en-CA"/>
        </w:rPr>
        <w:tab/>
      </w:r>
      <w:r w:rsidR="00984350" w:rsidRPr="009A1394">
        <w:rPr>
          <w:lang w:val="en-CA"/>
        </w:rPr>
        <w:t xml:space="preserve">See </w:t>
      </w:r>
      <w:r w:rsidR="00984350" w:rsidRPr="009A1394">
        <w:rPr>
          <w:i/>
          <w:lang w:val="en-CA"/>
        </w:rPr>
        <w:t>Cormier c. Ville de Montréal</w:t>
      </w:r>
      <w:r w:rsidR="00984350" w:rsidRPr="009A1394">
        <w:rPr>
          <w:lang w:val="en-CA"/>
        </w:rPr>
        <w:t>, 2023 QCCA 462</w:t>
      </w:r>
      <w:r w:rsidR="00791C01" w:rsidRPr="009A1394">
        <w:rPr>
          <w:lang w:val="en-CA"/>
        </w:rPr>
        <w:t>, para</w:t>
      </w:r>
      <w:r w:rsidR="00984350" w:rsidRPr="009A1394">
        <w:rPr>
          <w:lang w:val="en-CA"/>
        </w:rPr>
        <w:t>s.</w:t>
      </w:r>
      <w:r w:rsidRPr="009A1394">
        <w:rPr>
          <w:lang w:val="en-CA"/>
        </w:rPr>
        <w:t xml:space="preserve"> </w:t>
      </w:r>
      <w:r w:rsidR="00984350" w:rsidRPr="009A1394">
        <w:rPr>
          <w:lang w:val="en-CA"/>
        </w:rPr>
        <w:t>81 and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47E3" w14:textId="53EE7184" w:rsidR="00C052C1" w:rsidRDefault="00984350" w:rsidP="00C052C1">
    <w:pPr>
      <w:tabs>
        <w:tab w:val="center" w:pos="4709"/>
        <w:tab w:val="right" w:pos="9360"/>
      </w:tabs>
      <w:spacing w:line="240" w:lineRule="auto"/>
      <w:ind w:right="522"/>
    </w:pPr>
    <w:r>
      <w:t>500-09-030362-230, 500-09-030363-238,</w:t>
    </w:r>
    <w:r w:rsidR="008161A3">
      <w:t xml:space="preserve"> </w:t>
    </w:r>
  </w:p>
  <w:p w14:paraId="4474329B" w14:textId="72898E2F" w:rsidR="007E33E4" w:rsidRDefault="00984350" w:rsidP="00C052C1">
    <w:pPr>
      <w:tabs>
        <w:tab w:val="center" w:pos="4709"/>
        <w:tab w:val="right" w:pos="9360"/>
      </w:tabs>
      <w:spacing w:line="240" w:lineRule="auto"/>
      <w:ind w:right="522"/>
    </w:pPr>
    <w:r>
      <w:t>500-09-030366-231</w:t>
    </w:r>
    <w:r w:rsidR="008161A3">
      <w:tab/>
    </w:r>
    <w:r w:rsidR="008161A3">
      <w:tab/>
    </w:r>
    <w:r w:rsidRPr="002077BB">
      <w:t>PAGE:</w:t>
    </w:r>
    <w:r w:rsidR="008161A3">
      <w:t xml:space="preserve"> </w:t>
    </w:r>
    <w:r w:rsidR="008161A3">
      <w:fldChar w:fldCharType="begin"/>
    </w:r>
    <w:r w:rsidR="008161A3">
      <w:instrText xml:space="preserve"> PAGE </w:instrText>
    </w:r>
    <w:r w:rsidR="008161A3">
      <w:fldChar w:fldCharType="separate"/>
    </w:r>
    <w:r w:rsidR="008D18FC">
      <w:rPr>
        <w:noProof/>
      </w:rPr>
      <w:t>2</w:t>
    </w:r>
    <w:r w:rsidR="008161A3">
      <w:fldChar w:fldCharType="end"/>
    </w:r>
  </w:p>
  <w:p w14:paraId="38C634B5"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6F42"/>
    <w:lvl w:ilvl="0">
      <w:start w:val="1"/>
      <w:numFmt w:val="lowerRoman"/>
      <w:pStyle w:val="Listenumros2"/>
      <w:lvlText w:val="(%1)"/>
      <w:lvlJc w:val="left"/>
      <w:pPr>
        <w:ind w:left="1080" w:hanging="360"/>
      </w:pPr>
      <w:rPr>
        <w:rFonts w:hint="default"/>
      </w:rPr>
    </w:lvl>
  </w:abstractNum>
  <w:abstractNum w:abstractNumId="1" w15:restartNumberingAfterBreak="0">
    <w:nsid w:val="FFFFFF88"/>
    <w:multiLevelType w:val="singleLevel"/>
    <w:tmpl w:val="FD7AED90"/>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29E80F2C"/>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433D57"/>
    <w:multiLevelType w:val="hybridMultilevel"/>
    <w:tmpl w:val="C278F118"/>
    <w:lvl w:ilvl="0" w:tplc="9E98BA5A">
      <w:start w:val="1"/>
      <w:numFmt w:val="decimal"/>
      <w:lvlText w:val="%1)"/>
      <w:lvlJc w:val="left"/>
      <w:pPr>
        <w:ind w:left="720" w:hanging="360"/>
      </w:pPr>
    </w:lvl>
    <w:lvl w:ilvl="1" w:tplc="B568D8F6">
      <w:start w:val="1"/>
      <w:numFmt w:val="decimal"/>
      <w:lvlText w:val="%2)"/>
      <w:lvlJc w:val="left"/>
      <w:pPr>
        <w:ind w:left="720" w:hanging="360"/>
      </w:pPr>
    </w:lvl>
    <w:lvl w:ilvl="2" w:tplc="00D66CAE">
      <w:start w:val="1"/>
      <w:numFmt w:val="decimal"/>
      <w:lvlText w:val="%3)"/>
      <w:lvlJc w:val="left"/>
      <w:pPr>
        <w:ind w:left="720" w:hanging="360"/>
      </w:pPr>
    </w:lvl>
    <w:lvl w:ilvl="3" w:tplc="D4708A2E">
      <w:start w:val="1"/>
      <w:numFmt w:val="decimal"/>
      <w:lvlText w:val="%4)"/>
      <w:lvlJc w:val="left"/>
      <w:pPr>
        <w:ind w:left="720" w:hanging="360"/>
      </w:pPr>
    </w:lvl>
    <w:lvl w:ilvl="4" w:tplc="A4DC2D4C">
      <w:start w:val="1"/>
      <w:numFmt w:val="decimal"/>
      <w:lvlText w:val="%5)"/>
      <w:lvlJc w:val="left"/>
      <w:pPr>
        <w:ind w:left="720" w:hanging="360"/>
      </w:pPr>
    </w:lvl>
    <w:lvl w:ilvl="5" w:tplc="4A7A7CF2">
      <w:start w:val="1"/>
      <w:numFmt w:val="decimal"/>
      <w:lvlText w:val="%6)"/>
      <w:lvlJc w:val="left"/>
      <w:pPr>
        <w:ind w:left="720" w:hanging="360"/>
      </w:pPr>
    </w:lvl>
    <w:lvl w:ilvl="6" w:tplc="B7189870">
      <w:start w:val="1"/>
      <w:numFmt w:val="decimal"/>
      <w:lvlText w:val="%7)"/>
      <w:lvlJc w:val="left"/>
      <w:pPr>
        <w:ind w:left="720" w:hanging="360"/>
      </w:pPr>
    </w:lvl>
    <w:lvl w:ilvl="7" w:tplc="A18C1902">
      <w:start w:val="1"/>
      <w:numFmt w:val="decimal"/>
      <w:lvlText w:val="%8)"/>
      <w:lvlJc w:val="left"/>
      <w:pPr>
        <w:ind w:left="720" w:hanging="360"/>
      </w:pPr>
    </w:lvl>
    <w:lvl w:ilvl="8" w:tplc="BC8E08E4">
      <w:start w:val="1"/>
      <w:numFmt w:val="decimal"/>
      <w:lvlText w:val="%9)"/>
      <w:lvlJc w:val="left"/>
      <w:pPr>
        <w:ind w:left="720" w:hanging="360"/>
      </w:pPr>
    </w:lvl>
  </w:abstractNum>
  <w:abstractNum w:abstractNumId="4" w15:restartNumberingAfterBreak="0">
    <w:nsid w:val="069C2D70"/>
    <w:multiLevelType w:val="hybridMultilevel"/>
    <w:tmpl w:val="5EAA24C4"/>
    <w:lvl w:ilvl="0" w:tplc="8EF4B3DA">
      <w:start w:val="4"/>
      <w:numFmt w:val="decimal"/>
      <w:lvlText w:val="%1-"/>
      <w:lvlJc w:val="left"/>
      <w:pPr>
        <w:ind w:left="1279" w:hanging="570"/>
      </w:pPr>
      <w:rPr>
        <w:rFonts w:hint="default"/>
      </w:rPr>
    </w:lvl>
    <w:lvl w:ilvl="1" w:tplc="2924C7A0" w:tentative="1">
      <w:start w:val="1"/>
      <w:numFmt w:val="lowerLetter"/>
      <w:lvlText w:val="%2."/>
      <w:lvlJc w:val="left"/>
      <w:pPr>
        <w:ind w:left="1789" w:hanging="360"/>
      </w:pPr>
    </w:lvl>
    <w:lvl w:ilvl="2" w:tplc="C784992E" w:tentative="1">
      <w:start w:val="1"/>
      <w:numFmt w:val="lowerRoman"/>
      <w:lvlText w:val="%3."/>
      <w:lvlJc w:val="right"/>
      <w:pPr>
        <w:ind w:left="2509" w:hanging="180"/>
      </w:pPr>
    </w:lvl>
    <w:lvl w:ilvl="3" w:tplc="F9EC69B4" w:tentative="1">
      <w:start w:val="1"/>
      <w:numFmt w:val="decimal"/>
      <w:lvlText w:val="%4."/>
      <w:lvlJc w:val="left"/>
      <w:pPr>
        <w:ind w:left="3229" w:hanging="360"/>
      </w:pPr>
    </w:lvl>
    <w:lvl w:ilvl="4" w:tplc="98EE7EC6" w:tentative="1">
      <w:start w:val="1"/>
      <w:numFmt w:val="lowerLetter"/>
      <w:lvlText w:val="%5."/>
      <w:lvlJc w:val="left"/>
      <w:pPr>
        <w:ind w:left="3949" w:hanging="360"/>
      </w:pPr>
    </w:lvl>
    <w:lvl w:ilvl="5" w:tplc="D5A4788C" w:tentative="1">
      <w:start w:val="1"/>
      <w:numFmt w:val="lowerRoman"/>
      <w:lvlText w:val="%6."/>
      <w:lvlJc w:val="right"/>
      <w:pPr>
        <w:ind w:left="4669" w:hanging="180"/>
      </w:pPr>
    </w:lvl>
    <w:lvl w:ilvl="6" w:tplc="28E428F4" w:tentative="1">
      <w:start w:val="1"/>
      <w:numFmt w:val="decimal"/>
      <w:lvlText w:val="%7."/>
      <w:lvlJc w:val="left"/>
      <w:pPr>
        <w:ind w:left="5389" w:hanging="360"/>
      </w:pPr>
    </w:lvl>
    <w:lvl w:ilvl="7" w:tplc="5C407E92" w:tentative="1">
      <w:start w:val="1"/>
      <w:numFmt w:val="lowerLetter"/>
      <w:lvlText w:val="%8."/>
      <w:lvlJc w:val="left"/>
      <w:pPr>
        <w:ind w:left="6109" w:hanging="360"/>
      </w:pPr>
    </w:lvl>
    <w:lvl w:ilvl="8" w:tplc="2E721BA0" w:tentative="1">
      <w:start w:val="1"/>
      <w:numFmt w:val="lowerRoman"/>
      <w:lvlText w:val="%9."/>
      <w:lvlJc w:val="right"/>
      <w:pPr>
        <w:ind w:left="6829" w:hanging="180"/>
      </w:pPr>
    </w:lvl>
  </w:abstractNum>
  <w:abstractNum w:abstractNumId="5" w15:restartNumberingAfterBreak="0">
    <w:nsid w:val="0C263DC5"/>
    <w:multiLevelType w:val="hybridMultilevel"/>
    <w:tmpl w:val="3562524A"/>
    <w:lvl w:ilvl="0" w:tplc="0DE4654E">
      <w:start w:val="1"/>
      <w:numFmt w:val="decimal"/>
      <w:lvlText w:val="%1)"/>
      <w:lvlJc w:val="left"/>
      <w:pPr>
        <w:ind w:left="720" w:hanging="360"/>
      </w:pPr>
    </w:lvl>
    <w:lvl w:ilvl="1" w:tplc="CE58B6CC" w:tentative="1">
      <w:start w:val="1"/>
      <w:numFmt w:val="lowerLetter"/>
      <w:lvlText w:val="%2."/>
      <w:lvlJc w:val="left"/>
      <w:pPr>
        <w:ind w:left="1440" w:hanging="360"/>
      </w:pPr>
    </w:lvl>
    <w:lvl w:ilvl="2" w:tplc="4A7865F0" w:tentative="1">
      <w:start w:val="1"/>
      <w:numFmt w:val="lowerRoman"/>
      <w:lvlText w:val="%3."/>
      <w:lvlJc w:val="right"/>
      <w:pPr>
        <w:ind w:left="2160" w:hanging="180"/>
      </w:pPr>
    </w:lvl>
    <w:lvl w:ilvl="3" w:tplc="09A0855A" w:tentative="1">
      <w:start w:val="1"/>
      <w:numFmt w:val="decimal"/>
      <w:lvlText w:val="%4."/>
      <w:lvlJc w:val="left"/>
      <w:pPr>
        <w:ind w:left="2880" w:hanging="360"/>
      </w:pPr>
    </w:lvl>
    <w:lvl w:ilvl="4" w:tplc="6F82332A" w:tentative="1">
      <w:start w:val="1"/>
      <w:numFmt w:val="lowerLetter"/>
      <w:lvlText w:val="%5."/>
      <w:lvlJc w:val="left"/>
      <w:pPr>
        <w:ind w:left="3600" w:hanging="360"/>
      </w:pPr>
    </w:lvl>
    <w:lvl w:ilvl="5" w:tplc="1C729994" w:tentative="1">
      <w:start w:val="1"/>
      <w:numFmt w:val="lowerRoman"/>
      <w:lvlText w:val="%6."/>
      <w:lvlJc w:val="right"/>
      <w:pPr>
        <w:ind w:left="4320" w:hanging="180"/>
      </w:pPr>
    </w:lvl>
    <w:lvl w:ilvl="6" w:tplc="4A620630" w:tentative="1">
      <w:start w:val="1"/>
      <w:numFmt w:val="decimal"/>
      <w:lvlText w:val="%7."/>
      <w:lvlJc w:val="left"/>
      <w:pPr>
        <w:ind w:left="5040" w:hanging="360"/>
      </w:pPr>
    </w:lvl>
    <w:lvl w:ilvl="7" w:tplc="C91825B8" w:tentative="1">
      <w:start w:val="1"/>
      <w:numFmt w:val="lowerLetter"/>
      <w:lvlText w:val="%8."/>
      <w:lvlJc w:val="left"/>
      <w:pPr>
        <w:ind w:left="5760" w:hanging="360"/>
      </w:pPr>
    </w:lvl>
    <w:lvl w:ilvl="8" w:tplc="478E7B84" w:tentative="1">
      <w:start w:val="1"/>
      <w:numFmt w:val="lowerRoman"/>
      <w:lvlText w:val="%9."/>
      <w:lvlJc w:val="right"/>
      <w:pPr>
        <w:ind w:left="6480" w:hanging="180"/>
      </w:pPr>
    </w:lvl>
  </w:abstractNum>
  <w:abstractNum w:abstractNumId="6" w15:restartNumberingAfterBreak="0">
    <w:nsid w:val="12ED31CD"/>
    <w:multiLevelType w:val="hybridMultilevel"/>
    <w:tmpl w:val="14706AEE"/>
    <w:lvl w:ilvl="0" w:tplc="D084D110">
      <w:start w:val="1"/>
      <w:numFmt w:val="decimal"/>
      <w:lvlText w:val="%1)"/>
      <w:lvlJc w:val="left"/>
      <w:pPr>
        <w:ind w:left="720" w:hanging="360"/>
      </w:pPr>
    </w:lvl>
    <w:lvl w:ilvl="1" w:tplc="E2AC9B70" w:tentative="1">
      <w:start w:val="1"/>
      <w:numFmt w:val="lowerLetter"/>
      <w:lvlText w:val="%2."/>
      <w:lvlJc w:val="left"/>
      <w:pPr>
        <w:ind w:left="1440" w:hanging="360"/>
      </w:pPr>
    </w:lvl>
    <w:lvl w:ilvl="2" w:tplc="B0AC666E" w:tentative="1">
      <w:start w:val="1"/>
      <w:numFmt w:val="lowerRoman"/>
      <w:lvlText w:val="%3."/>
      <w:lvlJc w:val="right"/>
      <w:pPr>
        <w:ind w:left="2160" w:hanging="180"/>
      </w:pPr>
    </w:lvl>
    <w:lvl w:ilvl="3" w:tplc="1C0EB834" w:tentative="1">
      <w:start w:val="1"/>
      <w:numFmt w:val="decimal"/>
      <w:lvlText w:val="%4."/>
      <w:lvlJc w:val="left"/>
      <w:pPr>
        <w:ind w:left="2880" w:hanging="360"/>
      </w:pPr>
    </w:lvl>
    <w:lvl w:ilvl="4" w:tplc="57385234" w:tentative="1">
      <w:start w:val="1"/>
      <w:numFmt w:val="lowerLetter"/>
      <w:lvlText w:val="%5."/>
      <w:lvlJc w:val="left"/>
      <w:pPr>
        <w:ind w:left="3600" w:hanging="360"/>
      </w:pPr>
    </w:lvl>
    <w:lvl w:ilvl="5" w:tplc="091A7008" w:tentative="1">
      <w:start w:val="1"/>
      <w:numFmt w:val="lowerRoman"/>
      <w:lvlText w:val="%6."/>
      <w:lvlJc w:val="right"/>
      <w:pPr>
        <w:ind w:left="4320" w:hanging="180"/>
      </w:pPr>
    </w:lvl>
    <w:lvl w:ilvl="6" w:tplc="6D8629E4" w:tentative="1">
      <w:start w:val="1"/>
      <w:numFmt w:val="decimal"/>
      <w:lvlText w:val="%7."/>
      <w:lvlJc w:val="left"/>
      <w:pPr>
        <w:ind w:left="5040" w:hanging="360"/>
      </w:pPr>
    </w:lvl>
    <w:lvl w:ilvl="7" w:tplc="69DC80DE" w:tentative="1">
      <w:start w:val="1"/>
      <w:numFmt w:val="lowerLetter"/>
      <w:lvlText w:val="%8."/>
      <w:lvlJc w:val="left"/>
      <w:pPr>
        <w:ind w:left="5760" w:hanging="360"/>
      </w:pPr>
    </w:lvl>
    <w:lvl w:ilvl="8" w:tplc="32AEB3AE" w:tentative="1">
      <w:start w:val="1"/>
      <w:numFmt w:val="lowerRoman"/>
      <w:lvlText w:val="%9."/>
      <w:lvlJc w:val="right"/>
      <w:pPr>
        <w:ind w:left="6480" w:hanging="180"/>
      </w:pPr>
    </w:lvl>
  </w:abstractNum>
  <w:abstractNum w:abstractNumId="7" w15:restartNumberingAfterBreak="0">
    <w:nsid w:val="14792BB1"/>
    <w:multiLevelType w:val="hybridMultilevel"/>
    <w:tmpl w:val="0804F710"/>
    <w:lvl w:ilvl="0" w:tplc="0B340694">
      <w:start w:val="1"/>
      <w:numFmt w:val="upperLetter"/>
      <w:lvlText w:val="%1)"/>
      <w:lvlJc w:val="left"/>
      <w:pPr>
        <w:ind w:left="720" w:hanging="360"/>
      </w:pPr>
      <w:rPr>
        <w:rFonts w:hint="default"/>
      </w:rPr>
    </w:lvl>
    <w:lvl w:ilvl="1" w:tplc="94D65B02">
      <w:numFmt w:val="bullet"/>
      <w:lvlText w:val=""/>
      <w:lvlJc w:val="left"/>
      <w:pPr>
        <w:ind w:left="1440" w:hanging="360"/>
      </w:pPr>
      <w:rPr>
        <w:rFonts w:ascii="Symbol" w:eastAsia="Times New Roman" w:hAnsi="Symbol" w:cs="Times New Roman" w:hint="default"/>
      </w:rPr>
    </w:lvl>
    <w:lvl w:ilvl="2" w:tplc="E494B11E" w:tentative="1">
      <w:start w:val="1"/>
      <w:numFmt w:val="lowerRoman"/>
      <w:lvlText w:val="%3."/>
      <w:lvlJc w:val="right"/>
      <w:pPr>
        <w:ind w:left="2160" w:hanging="180"/>
      </w:pPr>
    </w:lvl>
    <w:lvl w:ilvl="3" w:tplc="80060BFE" w:tentative="1">
      <w:start w:val="1"/>
      <w:numFmt w:val="decimal"/>
      <w:lvlText w:val="%4."/>
      <w:lvlJc w:val="left"/>
      <w:pPr>
        <w:ind w:left="2880" w:hanging="360"/>
      </w:pPr>
    </w:lvl>
    <w:lvl w:ilvl="4" w:tplc="4AB21A00" w:tentative="1">
      <w:start w:val="1"/>
      <w:numFmt w:val="lowerLetter"/>
      <w:lvlText w:val="%5."/>
      <w:lvlJc w:val="left"/>
      <w:pPr>
        <w:ind w:left="3600" w:hanging="360"/>
      </w:pPr>
    </w:lvl>
    <w:lvl w:ilvl="5" w:tplc="F814C68E" w:tentative="1">
      <w:start w:val="1"/>
      <w:numFmt w:val="lowerRoman"/>
      <w:lvlText w:val="%6."/>
      <w:lvlJc w:val="right"/>
      <w:pPr>
        <w:ind w:left="4320" w:hanging="180"/>
      </w:pPr>
    </w:lvl>
    <w:lvl w:ilvl="6" w:tplc="D4FA35AE" w:tentative="1">
      <w:start w:val="1"/>
      <w:numFmt w:val="decimal"/>
      <w:lvlText w:val="%7."/>
      <w:lvlJc w:val="left"/>
      <w:pPr>
        <w:ind w:left="5040" w:hanging="360"/>
      </w:pPr>
    </w:lvl>
    <w:lvl w:ilvl="7" w:tplc="A80AF5C8" w:tentative="1">
      <w:start w:val="1"/>
      <w:numFmt w:val="lowerLetter"/>
      <w:lvlText w:val="%8."/>
      <w:lvlJc w:val="left"/>
      <w:pPr>
        <w:ind w:left="5760" w:hanging="360"/>
      </w:pPr>
    </w:lvl>
    <w:lvl w:ilvl="8" w:tplc="B164BB5C" w:tentative="1">
      <w:start w:val="1"/>
      <w:numFmt w:val="lowerRoman"/>
      <w:lvlText w:val="%9."/>
      <w:lvlJc w:val="right"/>
      <w:pPr>
        <w:ind w:left="6480" w:hanging="180"/>
      </w:pPr>
    </w:lvl>
  </w:abstractNum>
  <w:abstractNum w:abstractNumId="8" w15:restartNumberingAfterBreak="0">
    <w:nsid w:val="20A461E4"/>
    <w:multiLevelType w:val="hybridMultilevel"/>
    <w:tmpl w:val="98E0375A"/>
    <w:lvl w:ilvl="0" w:tplc="B41E6326">
      <w:start w:val="3"/>
      <w:numFmt w:val="decimal"/>
      <w:lvlText w:val="%1)"/>
      <w:lvlJc w:val="left"/>
      <w:pPr>
        <w:ind w:left="720" w:hanging="360"/>
      </w:pPr>
      <w:rPr>
        <w:rFonts w:hint="default"/>
      </w:rPr>
    </w:lvl>
    <w:lvl w:ilvl="1" w:tplc="2D62728E">
      <w:start w:val="1"/>
      <w:numFmt w:val="lowerLetter"/>
      <w:lvlText w:val="%2."/>
      <w:lvlJc w:val="left"/>
      <w:pPr>
        <w:ind w:left="1440" w:hanging="360"/>
      </w:pPr>
    </w:lvl>
    <w:lvl w:ilvl="2" w:tplc="1D443ABA">
      <w:start w:val="6"/>
      <w:numFmt w:val="decimal"/>
      <w:lvlText w:val="%3."/>
      <w:lvlJc w:val="left"/>
      <w:pPr>
        <w:ind w:left="2340" w:hanging="360"/>
      </w:pPr>
      <w:rPr>
        <w:rFonts w:hint="default"/>
      </w:rPr>
    </w:lvl>
    <w:lvl w:ilvl="3" w:tplc="5B926B34" w:tentative="1">
      <w:start w:val="1"/>
      <w:numFmt w:val="decimal"/>
      <w:lvlText w:val="%4."/>
      <w:lvlJc w:val="left"/>
      <w:pPr>
        <w:ind w:left="2880" w:hanging="360"/>
      </w:pPr>
    </w:lvl>
    <w:lvl w:ilvl="4" w:tplc="11A89F3E" w:tentative="1">
      <w:start w:val="1"/>
      <w:numFmt w:val="lowerLetter"/>
      <w:lvlText w:val="%5."/>
      <w:lvlJc w:val="left"/>
      <w:pPr>
        <w:ind w:left="3600" w:hanging="360"/>
      </w:pPr>
    </w:lvl>
    <w:lvl w:ilvl="5" w:tplc="A330CF7E" w:tentative="1">
      <w:start w:val="1"/>
      <w:numFmt w:val="lowerRoman"/>
      <w:lvlText w:val="%6."/>
      <w:lvlJc w:val="right"/>
      <w:pPr>
        <w:ind w:left="4320" w:hanging="180"/>
      </w:pPr>
    </w:lvl>
    <w:lvl w:ilvl="6" w:tplc="9880D86E" w:tentative="1">
      <w:start w:val="1"/>
      <w:numFmt w:val="decimal"/>
      <w:lvlText w:val="%7."/>
      <w:lvlJc w:val="left"/>
      <w:pPr>
        <w:ind w:left="5040" w:hanging="360"/>
      </w:pPr>
    </w:lvl>
    <w:lvl w:ilvl="7" w:tplc="95A698DE" w:tentative="1">
      <w:start w:val="1"/>
      <w:numFmt w:val="lowerLetter"/>
      <w:lvlText w:val="%8."/>
      <w:lvlJc w:val="left"/>
      <w:pPr>
        <w:ind w:left="5760" w:hanging="360"/>
      </w:pPr>
    </w:lvl>
    <w:lvl w:ilvl="8" w:tplc="0834079A" w:tentative="1">
      <w:start w:val="1"/>
      <w:numFmt w:val="lowerRoman"/>
      <w:lvlText w:val="%9."/>
      <w:lvlJc w:val="right"/>
      <w:pPr>
        <w:ind w:left="6480" w:hanging="180"/>
      </w:pPr>
    </w:lvl>
  </w:abstractNum>
  <w:abstractNum w:abstractNumId="9" w15:restartNumberingAfterBreak="0">
    <w:nsid w:val="28BB52DE"/>
    <w:multiLevelType w:val="multilevel"/>
    <w:tmpl w:val="8E781792"/>
    <w:lvl w:ilvl="0">
      <w:start w:val="1"/>
      <w:numFmt w:val="decimal"/>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E7F7320"/>
    <w:multiLevelType w:val="hybridMultilevel"/>
    <w:tmpl w:val="BE0C7486"/>
    <w:lvl w:ilvl="0" w:tplc="7020ECB0">
      <w:start w:val="1"/>
      <w:numFmt w:val="bullet"/>
      <w:lvlText w:val=""/>
      <w:lvlJc w:val="left"/>
      <w:pPr>
        <w:ind w:left="1080" w:hanging="360"/>
      </w:pPr>
      <w:rPr>
        <w:rFonts w:ascii="Symbol" w:hAnsi="Symbol"/>
      </w:rPr>
    </w:lvl>
    <w:lvl w:ilvl="1" w:tplc="99CCC986">
      <w:start w:val="1"/>
      <w:numFmt w:val="bullet"/>
      <w:lvlText w:val=""/>
      <w:lvlJc w:val="left"/>
      <w:pPr>
        <w:ind w:left="1080" w:hanging="360"/>
      </w:pPr>
      <w:rPr>
        <w:rFonts w:ascii="Symbol" w:hAnsi="Symbol"/>
      </w:rPr>
    </w:lvl>
    <w:lvl w:ilvl="2" w:tplc="9F2CC13E">
      <w:start w:val="1"/>
      <w:numFmt w:val="bullet"/>
      <w:lvlText w:val=""/>
      <w:lvlJc w:val="left"/>
      <w:pPr>
        <w:ind w:left="1080" w:hanging="360"/>
      </w:pPr>
      <w:rPr>
        <w:rFonts w:ascii="Symbol" w:hAnsi="Symbol"/>
      </w:rPr>
    </w:lvl>
    <w:lvl w:ilvl="3" w:tplc="179C1E8C">
      <w:start w:val="1"/>
      <w:numFmt w:val="bullet"/>
      <w:lvlText w:val=""/>
      <w:lvlJc w:val="left"/>
      <w:pPr>
        <w:ind w:left="1080" w:hanging="360"/>
      </w:pPr>
      <w:rPr>
        <w:rFonts w:ascii="Symbol" w:hAnsi="Symbol"/>
      </w:rPr>
    </w:lvl>
    <w:lvl w:ilvl="4" w:tplc="2D30082A">
      <w:start w:val="1"/>
      <w:numFmt w:val="bullet"/>
      <w:lvlText w:val=""/>
      <w:lvlJc w:val="left"/>
      <w:pPr>
        <w:ind w:left="1080" w:hanging="360"/>
      </w:pPr>
      <w:rPr>
        <w:rFonts w:ascii="Symbol" w:hAnsi="Symbol"/>
      </w:rPr>
    </w:lvl>
    <w:lvl w:ilvl="5" w:tplc="9CC0E3D0">
      <w:start w:val="1"/>
      <w:numFmt w:val="bullet"/>
      <w:lvlText w:val=""/>
      <w:lvlJc w:val="left"/>
      <w:pPr>
        <w:ind w:left="1080" w:hanging="360"/>
      </w:pPr>
      <w:rPr>
        <w:rFonts w:ascii="Symbol" w:hAnsi="Symbol"/>
      </w:rPr>
    </w:lvl>
    <w:lvl w:ilvl="6" w:tplc="4EF0CB40">
      <w:start w:val="1"/>
      <w:numFmt w:val="bullet"/>
      <w:lvlText w:val=""/>
      <w:lvlJc w:val="left"/>
      <w:pPr>
        <w:ind w:left="1080" w:hanging="360"/>
      </w:pPr>
      <w:rPr>
        <w:rFonts w:ascii="Symbol" w:hAnsi="Symbol"/>
      </w:rPr>
    </w:lvl>
    <w:lvl w:ilvl="7" w:tplc="14A20652">
      <w:start w:val="1"/>
      <w:numFmt w:val="bullet"/>
      <w:lvlText w:val=""/>
      <w:lvlJc w:val="left"/>
      <w:pPr>
        <w:ind w:left="1080" w:hanging="360"/>
      </w:pPr>
      <w:rPr>
        <w:rFonts w:ascii="Symbol" w:hAnsi="Symbol"/>
      </w:rPr>
    </w:lvl>
    <w:lvl w:ilvl="8" w:tplc="F4167FF2">
      <w:start w:val="1"/>
      <w:numFmt w:val="bullet"/>
      <w:lvlText w:val=""/>
      <w:lvlJc w:val="left"/>
      <w:pPr>
        <w:ind w:left="1080" w:hanging="360"/>
      </w:pPr>
      <w:rPr>
        <w:rFonts w:ascii="Symbol" w:hAnsi="Symbol"/>
      </w:rPr>
    </w:lvl>
  </w:abstractNum>
  <w:abstractNum w:abstractNumId="11" w15:restartNumberingAfterBreak="0">
    <w:nsid w:val="37851A9F"/>
    <w:multiLevelType w:val="hybridMultilevel"/>
    <w:tmpl w:val="E4E82A5A"/>
    <w:lvl w:ilvl="0" w:tplc="1898D4CA">
      <w:start w:val="1"/>
      <w:numFmt w:val="decimal"/>
      <w:lvlText w:val="%1)"/>
      <w:lvlJc w:val="left"/>
      <w:pPr>
        <w:ind w:left="1080" w:hanging="360"/>
      </w:pPr>
    </w:lvl>
    <w:lvl w:ilvl="1" w:tplc="E49CC348" w:tentative="1">
      <w:start w:val="1"/>
      <w:numFmt w:val="lowerLetter"/>
      <w:lvlText w:val="%2."/>
      <w:lvlJc w:val="left"/>
      <w:pPr>
        <w:ind w:left="1800" w:hanging="360"/>
      </w:pPr>
    </w:lvl>
    <w:lvl w:ilvl="2" w:tplc="511C1DD4" w:tentative="1">
      <w:start w:val="1"/>
      <w:numFmt w:val="lowerRoman"/>
      <w:lvlText w:val="%3."/>
      <w:lvlJc w:val="right"/>
      <w:pPr>
        <w:ind w:left="2520" w:hanging="180"/>
      </w:pPr>
    </w:lvl>
    <w:lvl w:ilvl="3" w:tplc="B494077A" w:tentative="1">
      <w:start w:val="1"/>
      <w:numFmt w:val="decimal"/>
      <w:lvlText w:val="%4."/>
      <w:lvlJc w:val="left"/>
      <w:pPr>
        <w:ind w:left="3240" w:hanging="360"/>
      </w:pPr>
    </w:lvl>
    <w:lvl w:ilvl="4" w:tplc="3624805E" w:tentative="1">
      <w:start w:val="1"/>
      <w:numFmt w:val="lowerLetter"/>
      <w:lvlText w:val="%5."/>
      <w:lvlJc w:val="left"/>
      <w:pPr>
        <w:ind w:left="3960" w:hanging="360"/>
      </w:pPr>
    </w:lvl>
    <w:lvl w:ilvl="5" w:tplc="1262B40A" w:tentative="1">
      <w:start w:val="1"/>
      <w:numFmt w:val="lowerRoman"/>
      <w:lvlText w:val="%6."/>
      <w:lvlJc w:val="right"/>
      <w:pPr>
        <w:ind w:left="4680" w:hanging="180"/>
      </w:pPr>
    </w:lvl>
    <w:lvl w:ilvl="6" w:tplc="6B7AC65C" w:tentative="1">
      <w:start w:val="1"/>
      <w:numFmt w:val="decimal"/>
      <w:lvlText w:val="%7."/>
      <w:lvlJc w:val="left"/>
      <w:pPr>
        <w:ind w:left="5400" w:hanging="360"/>
      </w:pPr>
    </w:lvl>
    <w:lvl w:ilvl="7" w:tplc="46C2E94E" w:tentative="1">
      <w:start w:val="1"/>
      <w:numFmt w:val="lowerLetter"/>
      <w:lvlText w:val="%8."/>
      <w:lvlJc w:val="left"/>
      <w:pPr>
        <w:ind w:left="6120" w:hanging="360"/>
      </w:pPr>
    </w:lvl>
    <w:lvl w:ilvl="8" w:tplc="1D70C660" w:tentative="1">
      <w:start w:val="1"/>
      <w:numFmt w:val="lowerRoman"/>
      <w:lvlText w:val="%9."/>
      <w:lvlJc w:val="right"/>
      <w:pPr>
        <w:ind w:left="6840" w:hanging="180"/>
      </w:pPr>
    </w:lvl>
  </w:abstractNum>
  <w:abstractNum w:abstractNumId="12" w15:restartNumberingAfterBreak="0">
    <w:nsid w:val="3D424037"/>
    <w:multiLevelType w:val="hybridMultilevel"/>
    <w:tmpl w:val="91EA5796"/>
    <w:lvl w:ilvl="0" w:tplc="60727E90">
      <w:start w:val="1"/>
      <w:numFmt w:val="decimal"/>
      <w:lvlText w:val="%1)"/>
      <w:lvlJc w:val="left"/>
      <w:pPr>
        <w:ind w:left="720" w:hanging="360"/>
      </w:pPr>
    </w:lvl>
    <w:lvl w:ilvl="1" w:tplc="EA3A79F2">
      <w:start w:val="1"/>
      <w:numFmt w:val="decimal"/>
      <w:lvlText w:val="%2)"/>
      <w:lvlJc w:val="left"/>
      <w:pPr>
        <w:ind w:left="720" w:hanging="360"/>
      </w:pPr>
    </w:lvl>
    <w:lvl w:ilvl="2" w:tplc="C0A07526">
      <w:start w:val="1"/>
      <w:numFmt w:val="decimal"/>
      <w:lvlText w:val="%3)"/>
      <w:lvlJc w:val="left"/>
      <w:pPr>
        <w:ind w:left="720" w:hanging="360"/>
      </w:pPr>
    </w:lvl>
    <w:lvl w:ilvl="3" w:tplc="D26E5E3C">
      <w:start w:val="1"/>
      <w:numFmt w:val="decimal"/>
      <w:lvlText w:val="%4)"/>
      <w:lvlJc w:val="left"/>
      <w:pPr>
        <w:ind w:left="720" w:hanging="360"/>
      </w:pPr>
    </w:lvl>
    <w:lvl w:ilvl="4" w:tplc="8AA8FACC">
      <w:start w:val="1"/>
      <w:numFmt w:val="decimal"/>
      <w:lvlText w:val="%5)"/>
      <w:lvlJc w:val="left"/>
      <w:pPr>
        <w:ind w:left="720" w:hanging="360"/>
      </w:pPr>
    </w:lvl>
    <w:lvl w:ilvl="5" w:tplc="E9283940">
      <w:start w:val="1"/>
      <w:numFmt w:val="decimal"/>
      <w:lvlText w:val="%6)"/>
      <w:lvlJc w:val="left"/>
      <w:pPr>
        <w:ind w:left="720" w:hanging="360"/>
      </w:pPr>
    </w:lvl>
    <w:lvl w:ilvl="6" w:tplc="D152E9EE">
      <w:start w:val="1"/>
      <w:numFmt w:val="decimal"/>
      <w:lvlText w:val="%7)"/>
      <w:lvlJc w:val="left"/>
      <w:pPr>
        <w:ind w:left="720" w:hanging="360"/>
      </w:pPr>
    </w:lvl>
    <w:lvl w:ilvl="7" w:tplc="E0CC921A">
      <w:start w:val="1"/>
      <w:numFmt w:val="decimal"/>
      <w:lvlText w:val="%8)"/>
      <w:lvlJc w:val="left"/>
      <w:pPr>
        <w:ind w:left="720" w:hanging="360"/>
      </w:pPr>
    </w:lvl>
    <w:lvl w:ilvl="8" w:tplc="9D0C47A2">
      <w:start w:val="1"/>
      <w:numFmt w:val="decimal"/>
      <w:lvlText w:val="%9)"/>
      <w:lvlJc w:val="left"/>
      <w:pPr>
        <w:ind w:left="720" w:hanging="360"/>
      </w:pPr>
    </w:lvl>
  </w:abstractNum>
  <w:abstractNum w:abstractNumId="13" w15:restartNumberingAfterBreak="0">
    <w:nsid w:val="48FB0C11"/>
    <w:multiLevelType w:val="hybridMultilevel"/>
    <w:tmpl w:val="859AC75A"/>
    <w:lvl w:ilvl="0" w:tplc="88A4844E">
      <w:start w:val="1"/>
      <w:numFmt w:val="decimal"/>
      <w:lvlText w:val="%1."/>
      <w:lvlJc w:val="left"/>
      <w:pPr>
        <w:ind w:left="720" w:hanging="360"/>
      </w:pPr>
      <w:rPr>
        <w:rFonts w:hint="default"/>
      </w:rPr>
    </w:lvl>
    <w:lvl w:ilvl="1" w:tplc="43CAEE96" w:tentative="1">
      <w:start w:val="1"/>
      <w:numFmt w:val="lowerLetter"/>
      <w:lvlText w:val="%2."/>
      <w:lvlJc w:val="left"/>
      <w:pPr>
        <w:ind w:left="1440" w:hanging="360"/>
      </w:pPr>
    </w:lvl>
    <w:lvl w:ilvl="2" w:tplc="B15A5320" w:tentative="1">
      <w:start w:val="1"/>
      <w:numFmt w:val="lowerRoman"/>
      <w:lvlText w:val="%3."/>
      <w:lvlJc w:val="right"/>
      <w:pPr>
        <w:ind w:left="2160" w:hanging="180"/>
      </w:pPr>
    </w:lvl>
    <w:lvl w:ilvl="3" w:tplc="72744E0E" w:tentative="1">
      <w:start w:val="1"/>
      <w:numFmt w:val="decimal"/>
      <w:lvlText w:val="%4."/>
      <w:lvlJc w:val="left"/>
      <w:pPr>
        <w:ind w:left="2880" w:hanging="360"/>
      </w:pPr>
    </w:lvl>
    <w:lvl w:ilvl="4" w:tplc="E3ACDEE0" w:tentative="1">
      <w:start w:val="1"/>
      <w:numFmt w:val="lowerLetter"/>
      <w:lvlText w:val="%5."/>
      <w:lvlJc w:val="left"/>
      <w:pPr>
        <w:ind w:left="3600" w:hanging="360"/>
      </w:pPr>
    </w:lvl>
    <w:lvl w:ilvl="5" w:tplc="E56E6EC2" w:tentative="1">
      <w:start w:val="1"/>
      <w:numFmt w:val="lowerRoman"/>
      <w:lvlText w:val="%6."/>
      <w:lvlJc w:val="right"/>
      <w:pPr>
        <w:ind w:left="4320" w:hanging="180"/>
      </w:pPr>
    </w:lvl>
    <w:lvl w:ilvl="6" w:tplc="8E3E7A42" w:tentative="1">
      <w:start w:val="1"/>
      <w:numFmt w:val="decimal"/>
      <w:lvlText w:val="%7."/>
      <w:lvlJc w:val="left"/>
      <w:pPr>
        <w:ind w:left="5040" w:hanging="360"/>
      </w:pPr>
    </w:lvl>
    <w:lvl w:ilvl="7" w:tplc="B0E862EA" w:tentative="1">
      <w:start w:val="1"/>
      <w:numFmt w:val="lowerLetter"/>
      <w:lvlText w:val="%8."/>
      <w:lvlJc w:val="left"/>
      <w:pPr>
        <w:ind w:left="5760" w:hanging="360"/>
      </w:pPr>
    </w:lvl>
    <w:lvl w:ilvl="8" w:tplc="3800D168" w:tentative="1">
      <w:start w:val="1"/>
      <w:numFmt w:val="lowerRoman"/>
      <w:lvlText w:val="%9."/>
      <w:lvlJc w:val="right"/>
      <w:pPr>
        <w:ind w:left="6480" w:hanging="180"/>
      </w:pPr>
    </w:lvl>
  </w:abstractNum>
  <w:abstractNum w:abstractNumId="14" w15:restartNumberingAfterBreak="0">
    <w:nsid w:val="4A5F7102"/>
    <w:multiLevelType w:val="hybridMultilevel"/>
    <w:tmpl w:val="2F02E040"/>
    <w:lvl w:ilvl="0" w:tplc="D2127E88">
      <w:start w:val="1"/>
      <w:numFmt w:val="decimal"/>
      <w:pStyle w:val="Titre2"/>
      <w:lvlText w:val="%1."/>
      <w:lvlJc w:val="left"/>
      <w:pPr>
        <w:ind w:left="720" w:hanging="360"/>
      </w:pPr>
      <w:rPr>
        <w:rFonts w:ascii="Arial" w:hAnsi="Arial" w:hint="default"/>
        <w:b/>
        <w:bCs w:val="0"/>
        <w:i/>
        <w:iCs/>
        <w:caps/>
        <w:strike w:val="0"/>
        <w:dstrike w:val="0"/>
        <w:vanish w:val="0"/>
        <w:sz w:val="24"/>
        <w:szCs w:val="24"/>
        <w:vertAlign w:val="baseline"/>
      </w:rPr>
    </w:lvl>
    <w:lvl w:ilvl="1" w:tplc="979E00A4" w:tentative="1">
      <w:start w:val="1"/>
      <w:numFmt w:val="lowerLetter"/>
      <w:lvlText w:val="%2."/>
      <w:lvlJc w:val="left"/>
      <w:pPr>
        <w:ind w:left="1440" w:hanging="360"/>
      </w:pPr>
    </w:lvl>
    <w:lvl w:ilvl="2" w:tplc="D6DA1F0A" w:tentative="1">
      <w:start w:val="1"/>
      <w:numFmt w:val="lowerRoman"/>
      <w:lvlText w:val="%3."/>
      <w:lvlJc w:val="right"/>
      <w:pPr>
        <w:ind w:left="2160" w:hanging="180"/>
      </w:pPr>
    </w:lvl>
    <w:lvl w:ilvl="3" w:tplc="1C1CBA8A" w:tentative="1">
      <w:start w:val="1"/>
      <w:numFmt w:val="decimal"/>
      <w:lvlText w:val="%4."/>
      <w:lvlJc w:val="left"/>
      <w:pPr>
        <w:ind w:left="2880" w:hanging="360"/>
      </w:pPr>
    </w:lvl>
    <w:lvl w:ilvl="4" w:tplc="BEBE0FC6" w:tentative="1">
      <w:start w:val="1"/>
      <w:numFmt w:val="lowerLetter"/>
      <w:lvlText w:val="%5."/>
      <w:lvlJc w:val="left"/>
      <w:pPr>
        <w:ind w:left="3600" w:hanging="360"/>
      </w:pPr>
    </w:lvl>
    <w:lvl w:ilvl="5" w:tplc="9716BF26" w:tentative="1">
      <w:start w:val="1"/>
      <w:numFmt w:val="lowerRoman"/>
      <w:lvlText w:val="%6."/>
      <w:lvlJc w:val="right"/>
      <w:pPr>
        <w:ind w:left="4320" w:hanging="180"/>
      </w:pPr>
    </w:lvl>
    <w:lvl w:ilvl="6" w:tplc="A090517E" w:tentative="1">
      <w:start w:val="1"/>
      <w:numFmt w:val="decimal"/>
      <w:lvlText w:val="%7."/>
      <w:lvlJc w:val="left"/>
      <w:pPr>
        <w:ind w:left="5040" w:hanging="360"/>
      </w:pPr>
    </w:lvl>
    <w:lvl w:ilvl="7" w:tplc="E356E33E" w:tentative="1">
      <w:start w:val="1"/>
      <w:numFmt w:val="lowerLetter"/>
      <w:lvlText w:val="%8."/>
      <w:lvlJc w:val="left"/>
      <w:pPr>
        <w:ind w:left="5760" w:hanging="360"/>
      </w:pPr>
    </w:lvl>
    <w:lvl w:ilvl="8" w:tplc="56A4595A" w:tentative="1">
      <w:start w:val="1"/>
      <w:numFmt w:val="lowerRoman"/>
      <w:lvlText w:val="%9."/>
      <w:lvlJc w:val="right"/>
      <w:pPr>
        <w:ind w:left="6480" w:hanging="180"/>
      </w:pPr>
    </w:lvl>
  </w:abstractNum>
  <w:abstractNum w:abstractNumId="15" w15:restartNumberingAfterBreak="0">
    <w:nsid w:val="4D4D412B"/>
    <w:multiLevelType w:val="hybridMultilevel"/>
    <w:tmpl w:val="B8AA08A4"/>
    <w:lvl w:ilvl="0" w:tplc="FFAAC548">
      <w:start w:val="1"/>
      <w:numFmt w:val="decimal"/>
      <w:lvlText w:val="%1)"/>
      <w:lvlJc w:val="left"/>
      <w:pPr>
        <w:ind w:left="1080" w:hanging="360"/>
      </w:pPr>
    </w:lvl>
    <w:lvl w:ilvl="1" w:tplc="1256CC28">
      <w:start w:val="1"/>
      <w:numFmt w:val="decimal"/>
      <w:lvlText w:val="%2)"/>
      <w:lvlJc w:val="left"/>
      <w:pPr>
        <w:ind w:left="1080" w:hanging="360"/>
      </w:pPr>
    </w:lvl>
    <w:lvl w:ilvl="2" w:tplc="A1303718">
      <w:start w:val="1"/>
      <w:numFmt w:val="decimal"/>
      <w:lvlText w:val="%3)"/>
      <w:lvlJc w:val="left"/>
      <w:pPr>
        <w:ind w:left="1080" w:hanging="360"/>
      </w:pPr>
    </w:lvl>
    <w:lvl w:ilvl="3" w:tplc="17EAE644">
      <w:start w:val="1"/>
      <w:numFmt w:val="decimal"/>
      <w:lvlText w:val="%4)"/>
      <w:lvlJc w:val="left"/>
      <w:pPr>
        <w:ind w:left="1080" w:hanging="360"/>
      </w:pPr>
    </w:lvl>
    <w:lvl w:ilvl="4" w:tplc="7D62B4E8">
      <w:start w:val="1"/>
      <w:numFmt w:val="decimal"/>
      <w:lvlText w:val="%5)"/>
      <w:lvlJc w:val="left"/>
      <w:pPr>
        <w:ind w:left="1080" w:hanging="360"/>
      </w:pPr>
    </w:lvl>
    <w:lvl w:ilvl="5" w:tplc="A852F954">
      <w:start w:val="1"/>
      <w:numFmt w:val="decimal"/>
      <w:lvlText w:val="%6)"/>
      <w:lvlJc w:val="left"/>
      <w:pPr>
        <w:ind w:left="1080" w:hanging="360"/>
      </w:pPr>
    </w:lvl>
    <w:lvl w:ilvl="6" w:tplc="D0C8406C">
      <w:start w:val="1"/>
      <w:numFmt w:val="decimal"/>
      <w:lvlText w:val="%7)"/>
      <w:lvlJc w:val="left"/>
      <w:pPr>
        <w:ind w:left="1080" w:hanging="360"/>
      </w:pPr>
    </w:lvl>
    <w:lvl w:ilvl="7" w:tplc="01EAD8BA">
      <w:start w:val="1"/>
      <w:numFmt w:val="decimal"/>
      <w:lvlText w:val="%8)"/>
      <w:lvlJc w:val="left"/>
      <w:pPr>
        <w:ind w:left="1080" w:hanging="360"/>
      </w:pPr>
    </w:lvl>
    <w:lvl w:ilvl="8" w:tplc="017C5C3E">
      <w:start w:val="1"/>
      <w:numFmt w:val="decimal"/>
      <w:lvlText w:val="%9)"/>
      <w:lvlJc w:val="left"/>
      <w:pPr>
        <w:ind w:left="1080" w:hanging="360"/>
      </w:pPr>
    </w:lvl>
  </w:abstractNum>
  <w:abstractNum w:abstractNumId="16" w15:restartNumberingAfterBreak="0">
    <w:nsid w:val="4FBE769C"/>
    <w:multiLevelType w:val="hybridMultilevel"/>
    <w:tmpl w:val="0764D4C8"/>
    <w:lvl w:ilvl="0" w:tplc="7018A790">
      <w:start w:val="1"/>
      <w:numFmt w:val="lowerRoman"/>
      <w:lvlText w:val="(%1)"/>
      <w:lvlJc w:val="left"/>
      <w:pPr>
        <w:ind w:left="1428" w:hanging="720"/>
      </w:pPr>
      <w:rPr>
        <w:rFonts w:hint="default"/>
      </w:rPr>
    </w:lvl>
    <w:lvl w:ilvl="1" w:tplc="F232F3D0" w:tentative="1">
      <w:start w:val="1"/>
      <w:numFmt w:val="lowerLetter"/>
      <w:lvlText w:val="%2."/>
      <w:lvlJc w:val="left"/>
      <w:pPr>
        <w:ind w:left="1788" w:hanging="360"/>
      </w:pPr>
    </w:lvl>
    <w:lvl w:ilvl="2" w:tplc="22BCD6C2" w:tentative="1">
      <w:start w:val="1"/>
      <w:numFmt w:val="lowerRoman"/>
      <w:lvlText w:val="%3."/>
      <w:lvlJc w:val="right"/>
      <w:pPr>
        <w:ind w:left="2508" w:hanging="180"/>
      </w:pPr>
    </w:lvl>
    <w:lvl w:ilvl="3" w:tplc="6DA02BEC" w:tentative="1">
      <w:start w:val="1"/>
      <w:numFmt w:val="decimal"/>
      <w:lvlText w:val="%4."/>
      <w:lvlJc w:val="left"/>
      <w:pPr>
        <w:ind w:left="3228" w:hanging="360"/>
      </w:pPr>
    </w:lvl>
    <w:lvl w:ilvl="4" w:tplc="63EE2504" w:tentative="1">
      <w:start w:val="1"/>
      <w:numFmt w:val="lowerLetter"/>
      <w:lvlText w:val="%5."/>
      <w:lvlJc w:val="left"/>
      <w:pPr>
        <w:ind w:left="3948" w:hanging="360"/>
      </w:pPr>
    </w:lvl>
    <w:lvl w:ilvl="5" w:tplc="5AB441EC" w:tentative="1">
      <w:start w:val="1"/>
      <w:numFmt w:val="lowerRoman"/>
      <w:lvlText w:val="%6."/>
      <w:lvlJc w:val="right"/>
      <w:pPr>
        <w:ind w:left="4668" w:hanging="180"/>
      </w:pPr>
    </w:lvl>
    <w:lvl w:ilvl="6" w:tplc="76D2B8C0" w:tentative="1">
      <w:start w:val="1"/>
      <w:numFmt w:val="decimal"/>
      <w:lvlText w:val="%7."/>
      <w:lvlJc w:val="left"/>
      <w:pPr>
        <w:ind w:left="5388" w:hanging="360"/>
      </w:pPr>
    </w:lvl>
    <w:lvl w:ilvl="7" w:tplc="3594C862" w:tentative="1">
      <w:start w:val="1"/>
      <w:numFmt w:val="lowerLetter"/>
      <w:lvlText w:val="%8."/>
      <w:lvlJc w:val="left"/>
      <w:pPr>
        <w:ind w:left="6108" w:hanging="360"/>
      </w:pPr>
    </w:lvl>
    <w:lvl w:ilvl="8" w:tplc="EACAD540" w:tentative="1">
      <w:start w:val="1"/>
      <w:numFmt w:val="lowerRoman"/>
      <w:lvlText w:val="%9."/>
      <w:lvlJc w:val="right"/>
      <w:pPr>
        <w:ind w:left="6828" w:hanging="180"/>
      </w:pPr>
    </w:lvl>
  </w:abstractNum>
  <w:abstractNum w:abstractNumId="17" w15:restartNumberingAfterBreak="0">
    <w:nsid w:val="541E48FA"/>
    <w:multiLevelType w:val="hybridMultilevel"/>
    <w:tmpl w:val="9ED257D0"/>
    <w:lvl w:ilvl="0" w:tplc="69F4475A">
      <w:start w:val="1"/>
      <w:numFmt w:val="decimal"/>
      <w:lvlText w:val="%1)"/>
      <w:lvlJc w:val="left"/>
      <w:pPr>
        <w:ind w:left="720" w:hanging="360"/>
      </w:pPr>
      <w:rPr>
        <w:rFonts w:hint="default"/>
      </w:rPr>
    </w:lvl>
    <w:lvl w:ilvl="1" w:tplc="98FC7CD6">
      <w:start w:val="1"/>
      <w:numFmt w:val="lowerLetter"/>
      <w:lvlText w:val="%2."/>
      <w:lvlJc w:val="left"/>
      <w:pPr>
        <w:ind w:left="1440" w:hanging="360"/>
      </w:pPr>
    </w:lvl>
    <w:lvl w:ilvl="2" w:tplc="A6E66FEA" w:tentative="1">
      <w:start w:val="1"/>
      <w:numFmt w:val="lowerRoman"/>
      <w:lvlText w:val="%3."/>
      <w:lvlJc w:val="right"/>
      <w:pPr>
        <w:ind w:left="2160" w:hanging="180"/>
      </w:pPr>
    </w:lvl>
    <w:lvl w:ilvl="3" w:tplc="FF168934" w:tentative="1">
      <w:start w:val="1"/>
      <w:numFmt w:val="decimal"/>
      <w:lvlText w:val="%4."/>
      <w:lvlJc w:val="left"/>
      <w:pPr>
        <w:ind w:left="2880" w:hanging="360"/>
      </w:pPr>
    </w:lvl>
    <w:lvl w:ilvl="4" w:tplc="126E4E72" w:tentative="1">
      <w:start w:val="1"/>
      <w:numFmt w:val="lowerLetter"/>
      <w:lvlText w:val="%5."/>
      <w:lvlJc w:val="left"/>
      <w:pPr>
        <w:ind w:left="3600" w:hanging="360"/>
      </w:pPr>
    </w:lvl>
    <w:lvl w:ilvl="5" w:tplc="DFBCCAC0" w:tentative="1">
      <w:start w:val="1"/>
      <w:numFmt w:val="lowerRoman"/>
      <w:lvlText w:val="%6."/>
      <w:lvlJc w:val="right"/>
      <w:pPr>
        <w:ind w:left="4320" w:hanging="180"/>
      </w:pPr>
    </w:lvl>
    <w:lvl w:ilvl="6" w:tplc="AB0807BC" w:tentative="1">
      <w:start w:val="1"/>
      <w:numFmt w:val="decimal"/>
      <w:lvlText w:val="%7."/>
      <w:lvlJc w:val="left"/>
      <w:pPr>
        <w:ind w:left="5040" w:hanging="360"/>
      </w:pPr>
    </w:lvl>
    <w:lvl w:ilvl="7" w:tplc="1DDE44F6" w:tentative="1">
      <w:start w:val="1"/>
      <w:numFmt w:val="lowerLetter"/>
      <w:lvlText w:val="%8."/>
      <w:lvlJc w:val="left"/>
      <w:pPr>
        <w:ind w:left="5760" w:hanging="360"/>
      </w:pPr>
    </w:lvl>
    <w:lvl w:ilvl="8" w:tplc="0672AE4E" w:tentative="1">
      <w:start w:val="1"/>
      <w:numFmt w:val="lowerRoman"/>
      <w:lvlText w:val="%9."/>
      <w:lvlJc w:val="right"/>
      <w:pPr>
        <w:ind w:left="6480" w:hanging="180"/>
      </w:pPr>
    </w:lvl>
  </w:abstractNum>
  <w:abstractNum w:abstractNumId="18" w15:restartNumberingAfterBreak="0">
    <w:nsid w:val="57CC6BD6"/>
    <w:multiLevelType w:val="hybridMultilevel"/>
    <w:tmpl w:val="9FFAABB6"/>
    <w:lvl w:ilvl="0" w:tplc="F88C9376">
      <w:start w:val="1"/>
      <w:numFmt w:val="decimal"/>
      <w:lvlText w:val="%1)"/>
      <w:lvlJc w:val="left"/>
      <w:pPr>
        <w:ind w:left="1140" w:hanging="360"/>
      </w:pPr>
    </w:lvl>
    <w:lvl w:ilvl="1" w:tplc="B15E0B9E">
      <w:start w:val="1"/>
      <w:numFmt w:val="decimal"/>
      <w:lvlText w:val="%2)"/>
      <w:lvlJc w:val="left"/>
      <w:pPr>
        <w:ind w:left="1140" w:hanging="360"/>
      </w:pPr>
    </w:lvl>
    <w:lvl w:ilvl="2" w:tplc="E9EED060">
      <w:start w:val="1"/>
      <w:numFmt w:val="decimal"/>
      <w:lvlText w:val="%3)"/>
      <w:lvlJc w:val="left"/>
      <w:pPr>
        <w:ind w:left="1140" w:hanging="360"/>
      </w:pPr>
    </w:lvl>
    <w:lvl w:ilvl="3" w:tplc="7654ED24">
      <w:start w:val="1"/>
      <w:numFmt w:val="decimal"/>
      <w:lvlText w:val="%4)"/>
      <w:lvlJc w:val="left"/>
      <w:pPr>
        <w:ind w:left="1140" w:hanging="360"/>
      </w:pPr>
    </w:lvl>
    <w:lvl w:ilvl="4" w:tplc="03B6C122">
      <w:start w:val="1"/>
      <w:numFmt w:val="decimal"/>
      <w:lvlText w:val="%5)"/>
      <w:lvlJc w:val="left"/>
      <w:pPr>
        <w:ind w:left="1140" w:hanging="360"/>
      </w:pPr>
    </w:lvl>
    <w:lvl w:ilvl="5" w:tplc="EDB4A904">
      <w:start w:val="1"/>
      <w:numFmt w:val="decimal"/>
      <w:lvlText w:val="%6)"/>
      <w:lvlJc w:val="left"/>
      <w:pPr>
        <w:ind w:left="1140" w:hanging="360"/>
      </w:pPr>
    </w:lvl>
    <w:lvl w:ilvl="6" w:tplc="B040F978">
      <w:start w:val="1"/>
      <w:numFmt w:val="decimal"/>
      <w:lvlText w:val="%7)"/>
      <w:lvlJc w:val="left"/>
      <w:pPr>
        <w:ind w:left="1140" w:hanging="360"/>
      </w:pPr>
    </w:lvl>
    <w:lvl w:ilvl="7" w:tplc="F948DC84">
      <w:start w:val="1"/>
      <w:numFmt w:val="decimal"/>
      <w:lvlText w:val="%8)"/>
      <w:lvlJc w:val="left"/>
      <w:pPr>
        <w:ind w:left="1140" w:hanging="360"/>
      </w:pPr>
    </w:lvl>
    <w:lvl w:ilvl="8" w:tplc="3A2066B6">
      <w:start w:val="1"/>
      <w:numFmt w:val="decimal"/>
      <w:lvlText w:val="%9)"/>
      <w:lvlJc w:val="left"/>
      <w:pPr>
        <w:ind w:left="1140" w:hanging="360"/>
      </w:pPr>
    </w:lvl>
  </w:abstractNum>
  <w:abstractNum w:abstractNumId="19" w15:restartNumberingAfterBreak="0">
    <w:nsid w:val="588A6CA2"/>
    <w:multiLevelType w:val="hybridMultilevel"/>
    <w:tmpl w:val="79182F8E"/>
    <w:lvl w:ilvl="0" w:tplc="0994D5DA">
      <w:start w:val="1"/>
      <w:numFmt w:val="lowerLetter"/>
      <w:lvlText w:val="%1)"/>
      <w:lvlJc w:val="left"/>
      <w:pPr>
        <w:ind w:left="1080" w:hanging="360"/>
      </w:pPr>
      <w:rPr>
        <w:rFonts w:hint="default"/>
      </w:rPr>
    </w:lvl>
    <w:lvl w:ilvl="1" w:tplc="8DA6B9C8" w:tentative="1">
      <w:start w:val="1"/>
      <w:numFmt w:val="lowerLetter"/>
      <w:lvlText w:val="%2."/>
      <w:lvlJc w:val="left"/>
      <w:pPr>
        <w:ind w:left="1800" w:hanging="360"/>
      </w:pPr>
    </w:lvl>
    <w:lvl w:ilvl="2" w:tplc="CCDA77C4" w:tentative="1">
      <w:start w:val="1"/>
      <w:numFmt w:val="lowerRoman"/>
      <w:lvlText w:val="%3."/>
      <w:lvlJc w:val="right"/>
      <w:pPr>
        <w:ind w:left="2520" w:hanging="180"/>
      </w:pPr>
    </w:lvl>
    <w:lvl w:ilvl="3" w:tplc="14E03ADE" w:tentative="1">
      <w:start w:val="1"/>
      <w:numFmt w:val="decimal"/>
      <w:lvlText w:val="%4."/>
      <w:lvlJc w:val="left"/>
      <w:pPr>
        <w:ind w:left="3240" w:hanging="360"/>
      </w:pPr>
    </w:lvl>
    <w:lvl w:ilvl="4" w:tplc="A86E0EA6" w:tentative="1">
      <w:start w:val="1"/>
      <w:numFmt w:val="lowerLetter"/>
      <w:lvlText w:val="%5."/>
      <w:lvlJc w:val="left"/>
      <w:pPr>
        <w:ind w:left="3960" w:hanging="360"/>
      </w:pPr>
    </w:lvl>
    <w:lvl w:ilvl="5" w:tplc="36A83D0A" w:tentative="1">
      <w:start w:val="1"/>
      <w:numFmt w:val="lowerRoman"/>
      <w:lvlText w:val="%6."/>
      <w:lvlJc w:val="right"/>
      <w:pPr>
        <w:ind w:left="4680" w:hanging="180"/>
      </w:pPr>
    </w:lvl>
    <w:lvl w:ilvl="6" w:tplc="35C29AB0" w:tentative="1">
      <w:start w:val="1"/>
      <w:numFmt w:val="decimal"/>
      <w:lvlText w:val="%7."/>
      <w:lvlJc w:val="left"/>
      <w:pPr>
        <w:ind w:left="5400" w:hanging="360"/>
      </w:pPr>
    </w:lvl>
    <w:lvl w:ilvl="7" w:tplc="FA6C9FAA" w:tentative="1">
      <w:start w:val="1"/>
      <w:numFmt w:val="lowerLetter"/>
      <w:lvlText w:val="%8."/>
      <w:lvlJc w:val="left"/>
      <w:pPr>
        <w:ind w:left="6120" w:hanging="360"/>
      </w:pPr>
    </w:lvl>
    <w:lvl w:ilvl="8" w:tplc="B3902EB6" w:tentative="1">
      <w:start w:val="1"/>
      <w:numFmt w:val="lowerRoman"/>
      <w:lvlText w:val="%9."/>
      <w:lvlJc w:val="right"/>
      <w:pPr>
        <w:ind w:left="6840" w:hanging="180"/>
      </w:pPr>
    </w:lvl>
  </w:abstractNum>
  <w:abstractNum w:abstractNumId="20" w15:restartNumberingAfterBreak="0">
    <w:nsid w:val="6BF61C6E"/>
    <w:multiLevelType w:val="hybridMultilevel"/>
    <w:tmpl w:val="4EE29426"/>
    <w:lvl w:ilvl="0" w:tplc="18E2E448">
      <w:start w:val="4"/>
      <w:numFmt w:val="decimal"/>
      <w:lvlText w:val="%1"/>
      <w:lvlJc w:val="left"/>
      <w:pPr>
        <w:ind w:left="720" w:hanging="360"/>
      </w:pPr>
      <w:rPr>
        <w:rFonts w:hint="default"/>
      </w:rPr>
    </w:lvl>
    <w:lvl w:ilvl="1" w:tplc="42AE8EF8" w:tentative="1">
      <w:start w:val="1"/>
      <w:numFmt w:val="lowerLetter"/>
      <w:lvlText w:val="%2."/>
      <w:lvlJc w:val="left"/>
      <w:pPr>
        <w:ind w:left="1440" w:hanging="360"/>
      </w:pPr>
    </w:lvl>
    <w:lvl w:ilvl="2" w:tplc="51BE69F8" w:tentative="1">
      <w:start w:val="1"/>
      <w:numFmt w:val="lowerRoman"/>
      <w:lvlText w:val="%3."/>
      <w:lvlJc w:val="right"/>
      <w:pPr>
        <w:ind w:left="2160" w:hanging="180"/>
      </w:pPr>
    </w:lvl>
    <w:lvl w:ilvl="3" w:tplc="E6E45652" w:tentative="1">
      <w:start w:val="1"/>
      <w:numFmt w:val="decimal"/>
      <w:lvlText w:val="%4."/>
      <w:lvlJc w:val="left"/>
      <w:pPr>
        <w:ind w:left="2880" w:hanging="360"/>
      </w:pPr>
    </w:lvl>
    <w:lvl w:ilvl="4" w:tplc="118ECA10" w:tentative="1">
      <w:start w:val="1"/>
      <w:numFmt w:val="lowerLetter"/>
      <w:lvlText w:val="%5."/>
      <w:lvlJc w:val="left"/>
      <w:pPr>
        <w:ind w:left="3600" w:hanging="360"/>
      </w:pPr>
    </w:lvl>
    <w:lvl w:ilvl="5" w:tplc="5BC0337E" w:tentative="1">
      <w:start w:val="1"/>
      <w:numFmt w:val="lowerRoman"/>
      <w:lvlText w:val="%6."/>
      <w:lvlJc w:val="right"/>
      <w:pPr>
        <w:ind w:left="4320" w:hanging="180"/>
      </w:pPr>
    </w:lvl>
    <w:lvl w:ilvl="6" w:tplc="C6AC5AF8" w:tentative="1">
      <w:start w:val="1"/>
      <w:numFmt w:val="decimal"/>
      <w:lvlText w:val="%7."/>
      <w:lvlJc w:val="left"/>
      <w:pPr>
        <w:ind w:left="5040" w:hanging="360"/>
      </w:pPr>
    </w:lvl>
    <w:lvl w:ilvl="7" w:tplc="2E2A6A74" w:tentative="1">
      <w:start w:val="1"/>
      <w:numFmt w:val="lowerLetter"/>
      <w:lvlText w:val="%8."/>
      <w:lvlJc w:val="left"/>
      <w:pPr>
        <w:ind w:left="5760" w:hanging="360"/>
      </w:pPr>
    </w:lvl>
    <w:lvl w:ilvl="8" w:tplc="4C20B90E" w:tentative="1">
      <w:start w:val="1"/>
      <w:numFmt w:val="lowerRoman"/>
      <w:lvlText w:val="%9."/>
      <w:lvlJc w:val="right"/>
      <w:pPr>
        <w:ind w:left="6480" w:hanging="180"/>
      </w:pPr>
    </w:lvl>
  </w:abstractNum>
  <w:abstractNum w:abstractNumId="21" w15:restartNumberingAfterBreak="0">
    <w:nsid w:val="72DC33CD"/>
    <w:multiLevelType w:val="hybridMultilevel"/>
    <w:tmpl w:val="01C2E444"/>
    <w:lvl w:ilvl="0" w:tplc="08C278E6">
      <w:start w:val="1"/>
      <w:numFmt w:val="bullet"/>
      <w:lvlText w:val=""/>
      <w:lvlJc w:val="left"/>
      <w:pPr>
        <w:ind w:left="790" w:hanging="360"/>
      </w:pPr>
      <w:rPr>
        <w:rFonts w:ascii="Symbol" w:hAnsi="Symbol" w:hint="default"/>
      </w:rPr>
    </w:lvl>
    <w:lvl w:ilvl="1" w:tplc="7E840AA4" w:tentative="1">
      <w:start w:val="1"/>
      <w:numFmt w:val="bullet"/>
      <w:lvlText w:val="o"/>
      <w:lvlJc w:val="left"/>
      <w:pPr>
        <w:ind w:left="1510" w:hanging="360"/>
      </w:pPr>
      <w:rPr>
        <w:rFonts w:ascii="Courier New" w:hAnsi="Courier New" w:cs="Courier New" w:hint="default"/>
      </w:rPr>
    </w:lvl>
    <w:lvl w:ilvl="2" w:tplc="909416D6" w:tentative="1">
      <w:start w:val="1"/>
      <w:numFmt w:val="bullet"/>
      <w:lvlText w:val=""/>
      <w:lvlJc w:val="left"/>
      <w:pPr>
        <w:ind w:left="2230" w:hanging="360"/>
      </w:pPr>
      <w:rPr>
        <w:rFonts w:ascii="Wingdings" w:hAnsi="Wingdings" w:hint="default"/>
      </w:rPr>
    </w:lvl>
    <w:lvl w:ilvl="3" w:tplc="6D048AEA" w:tentative="1">
      <w:start w:val="1"/>
      <w:numFmt w:val="bullet"/>
      <w:lvlText w:val=""/>
      <w:lvlJc w:val="left"/>
      <w:pPr>
        <w:ind w:left="2950" w:hanging="360"/>
      </w:pPr>
      <w:rPr>
        <w:rFonts w:ascii="Symbol" w:hAnsi="Symbol" w:hint="default"/>
      </w:rPr>
    </w:lvl>
    <w:lvl w:ilvl="4" w:tplc="D84A3C9C" w:tentative="1">
      <w:start w:val="1"/>
      <w:numFmt w:val="bullet"/>
      <w:lvlText w:val="o"/>
      <w:lvlJc w:val="left"/>
      <w:pPr>
        <w:ind w:left="3670" w:hanging="360"/>
      </w:pPr>
      <w:rPr>
        <w:rFonts w:ascii="Courier New" w:hAnsi="Courier New" w:cs="Courier New" w:hint="default"/>
      </w:rPr>
    </w:lvl>
    <w:lvl w:ilvl="5" w:tplc="9ECC76EC" w:tentative="1">
      <w:start w:val="1"/>
      <w:numFmt w:val="bullet"/>
      <w:lvlText w:val=""/>
      <w:lvlJc w:val="left"/>
      <w:pPr>
        <w:ind w:left="4390" w:hanging="360"/>
      </w:pPr>
      <w:rPr>
        <w:rFonts w:ascii="Wingdings" w:hAnsi="Wingdings" w:hint="default"/>
      </w:rPr>
    </w:lvl>
    <w:lvl w:ilvl="6" w:tplc="CA721962" w:tentative="1">
      <w:start w:val="1"/>
      <w:numFmt w:val="bullet"/>
      <w:lvlText w:val=""/>
      <w:lvlJc w:val="left"/>
      <w:pPr>
        <w:ind w:left="5110" w:hanging="360"/>
      </w:pPr>
      <w:rPr>
        <w:rFonts w:ascii="Symbol" w:hAnsi="Symbol" w:hint="default"/>
      </w:rPr>
    </w:lvl>
    <w:lvl w:ilvl="7" w:tplc="3034BB2C" w:tentative="1">
      <w:start w:val="1"/>
      <w:numFmt w:val="bullet"/>
      <w:lvlText w:val="o"/>
      <w:lvlJc w:val="left"/>
      <w:pPr>
        <w:ind w:left="5830" w:hanging="360"/>
      </w:pPr>
      <w:rPr>
        <w:rFonts w:ascii="Courier New" w:hAnsi="Courier New" w:cs="Courier New" w:hint="default"/>
      </w:rPr>
    </w:lvl>
    <w:lvl w:ilvl="8" w:tplc="FC9CBAEA" w:tentative="1">
      <w:start w:val="1"/>
      <w:numFmt w:val="bullet"/>
      <w:lvlText w:val=""/>
      <w:lvlJc w:val="left"/>
      <w:pPr>
        <w:ind w:left="6550" w:hanging="360"/>
      </w:pPr>
      <w:rPr>
        <w:rFonts w:ascii="Wingdings" w:hAnsi="Wingdings" w:hint="default"/>
      </w:rPr>
    </w:lvl>
  </w:abstractNum>
  <w:abstractNum w:abstractNumId="22" w15:restartNumberingAfterBreak="0">
    <w:nsid w:val="737641B9"/>
    <w:multiLevelType w:val="hybridMultilevel"/>
    <w:tmpl w:val="373E8E92"/>
    <w:lvl w:ilvl="0" w:tplc="A9A6D1A0">
      <w:start w:val="1"/>
      <w:numFmt w:val="lowerRoman"/>
      <w:lvlText w:val="(%1)"/>
      <w:lvlJc w:val="left"/>
      <w:pPr>
        <w:ind w:left="720" w:hanging="360"/>
      </w:pPr>
      <w:rPr>
        <w:rFonts w:hint="default"/>
      </w:rPr>
    </w:lvl>
    <w:lvl w:ilvl="1" w:tplc="953C9E12" w:tentative="1">
      <w:start w:val="1"/>
      <w:numFmt w:val="lowerLetter"/>
      <w:lvlText w:val="%2."/>
      <w:lvlJc w:val="left"/>
      <w:pPr>
        <w:ind w:left="1440" w:hanging="360"/>
      </w:pPr>
    </w:lvl>
    <w:lvl w:ilvl="2" w:tplc="AAE8F528" w:tentative="1">
      <w:start w:val="1"/>
      <w:numFmt w:val="lowerRoman"/>
      <w:lvlText w:val="%3."/>
      <w:lvlJc w:val="right"/>
      <w:pPr>
        <w:ind w:left="2160" w:hanging="180"/>
      </w:pPr>
    </w:lvl>
    <w:lvl w:ilvl="3" w:tplc="9BBC0852" w:tentative="1">
      <w:start w:val="1"/>
      <w:numFmt w:val="decimal"/>
      <w:lvlText w:val="%4."/>
      <w:lvlJc w:val="left"/>
      <w:pPr>
        <w:ind w:left="2880" w:hanging="360"/>
      </w:pPr>
    </w:lvl>
    <w:lvl w:ilvl="4" w:tplc="84A893E0" w:tentative="1">
      <w:start w:val="1"/>
      <w:numFmt w:val="lowerLetter"/>
      <w:lvlText w:val="%5."/>
      <w:lvlJc w:val="left"/>
      <w:pPr>
        <w:ind w:left="3600" w:hanging="360"/>
      </w:pPr>
    </w:lvl>
    <w:lvl w:ilvl="5" w:tplc="7BB2F296" w:tentative="1">
      <w:start w:val="1"/>
      <w:numFmt w:val="lowerRoman"/>
      <w:lvlText w:val="%6."/>
      <w:lvlJc w:val="right"/>
      <w:pPr>
        <w:ind w:left="4320" w:hanging="180"/>
      </w:pPr>
    </w:lvl>
    <w:lvl w:ilvl="6" w:tplc="00040E90" w:tentative="1">
      <w:start w:val="1"/>
      <w:numFmt w:val="decimal"/>
      <w:lvlText w:val="%7."/>
      <w:lvlJc w:val="left"/>
      <w:pPr>
        <w:ind w:left="5040" w:hanging="360"/>
      </w:pPr>
    </w:lvl>
    <w:lvl w:ilvl="7" w:tplc="160E8706" w:tentative="1">
      <w:start w:val="1"/>
      <w:numFmt w:val="lowerLetter"/>
      <w:lvlText w:val="%8."/>
      <w:lvlJc w:val="left"/>
      <w:pPr>
        <w:ind w:left="5760" w:hanging="360"/>
      </w:pPr>
    </w:lvl>
    <w:lvl w:ilvl="8" w:tplc="65305010" w:tentative="1">
      <w:start w:val="1"/>
      <w:numFmt w:val="lowerRoman"/>
      <w:lvlText w:val="%9."/>
      <w:lvlJc w:val="right"/>
      <w:pPr>
        <w:ind w:left="6480" w:hanging="180"/>
      </w:pPr>
    </w:lvl>
  </w:abstractNum>
  <w:abstractNum w:abstractNumId="23" w15:restartNumberingAfterBreak="0">
    <w:nsid w:val="78214CAB"/>
    <w:multiLevelType w:val="hybridMultilevel"/>
    <w:tmpl w:val="14706AEE"/>
    <w:lvl w:ilvl="0" w:tplc="01A80700">
      <w:start w:val="1"/>
      <w:numFmt w:val="decimal"/>
      <w:lvlText w:val="%1)"/>
      <w:lvlJc w:val="left"/>
      <w:pPr>
        <w:ind w:left="720" w:hanging="360"/>
      </w:pPr>
    </w:lvl>
    <w:lvl w:ilvl="1" w:tplc="F1BA33B2" w:tentative="1">
      <w:start w:val="1"/>
      <w:numFmt w:val="lowerLetter"/>
      <w:lvlText w:val="%2."/>
      <w:lvlJc w:val="left"/>
      <w:pPr>
        <w:ind w:left="1440" w:hanging="360"/>
      </w:pPr>
    </w:lvl>
    <w:lvl w:ilvl="2" w:tplc="A72CDFC0" w:tentative="1">
      <w:start w:val="1"/>
      <w:numFmt w:val="lowerRoman"/>
      <w:lvlText w:val="%3."/>
      <w:lvlJc w:val="right"/>
      <w:pPr>
        <w:ind w:left="2160" w:hanging="180"/>
      </w:pPr>
    </w:lvl>
    <w:lvl w:ilvl="3" w:tplc="4A0AF702" w:tentative="1">
      <w:start w:val="1"/>
      <w:numFmt w:val="decimal"/>
      <w:lvlText w:val="%4."/>
      <w:lvlJc w:val="left"/>
      <w:pPr>
        <w:ind w:left="2880" w:hanging="360"/>
      </w:pPr>
    </w:lvl>
    <w:lvl w:ilvl="4" w:tplc="9D0681FC" w:tentative="1">
      <w:start w:val="1"/>
      <w:numFmt w:val="lowerLetter"/>
      <w:lvlText w:val="%5."/>
      <w:lvlJc w:val="left"/>
      <w:pPr>
        <w:ind w:left="3600" w:hanging="360"/>
      </w:pPr>
    </w:lvl>
    <w:lvl w:ilvl="5" w:tplc="2ED4FB6E" w:tentative="1">
      <w:start w:val="1"/>
      <w:numFmt w:val="lowerRoman"/>
      <w:lvlText w:val="%6."/>
      <w:lvlJc w:val="right"/>
      <w:pPr>
        <w:ind w:left="4320" w:hanging="180"/>
      </w:pPr>
    </w:lvl>
    <w:lvl w:ilvl="6" w:tplc="417EDD3C" w:tentative="1">
      <w:start w:val="1"/>
      <w:numFmt w:val="decimal"/>
      <w:lvlText w:val="%7."/>
      <w:lvlJc w:val="left"/>
      <w:pPr>
        <w:ind w:left="5040" w:hanging="360"/>
      </w:pPr>
    </w:lvl>
    <w:lvl w:ilvl="7" w:tplc="D2CA470A" w:tentative="1">
      <w:start w:val="1"/>
      <w:numFmt w:val="lowerLetter"/>
      <w:lvlText w:val="%8."/>
      <w:lvlJc w:val="left"/>
      <w:pPr>
        <w:ind w:left="5760" w:hanging="360"/>
      </w:pPr>
    </w:lvl>
    <w:lvl w:ilvl="8" w:tplc="DF346848" w:tentative="1">
      <w:start w:val="1"/>
      <w:numFmt w:val="lowerRoman"/>
      <w:lvlText w:val="%9."/>
      <w:lvlJc w:val="right"/>
      <w:pPr>
        <w:ind w:left="6480" w:hanging="180"/>
      </w:pPr>
    </w:lvl>
  </w:abstractNum>
  <w:abstractNum w:abstractNumId="24" w15:restartNumberingAfterBreak="0">
    <w:nsid w:val="79A73C24"/>
    <w:multiLevelType w:val="hybridMultilevel"/>
    <w:tmpl w:val="12709932"/>
    <w:lvl w:ilvl="0" w:tplc="94B801D8">
      <w:start w:val="1"/>
      <w:numFmt w:val="lowerRoman"/>
      <w:lvlText w:val="(%1)"/>
      <w:lvlJc w:val="left"/>
      <w:pPr>
        <w:ind w:left="1428" w:hanging="720"/>
      </w:pPr>
      <w:rPr>
        <w:rFonts w:hint="default"/>
      </w:rPr>
    </w:lvl>
    <w:lvl w:ilvl="1" w:tplc="2FBEEA1C" w:tentative="1">
      <w:start w:val="1"/>
      <w:numFmt w:val="lowerLetter"/>
      <w:lvlText w:val="%2."/>
      <w:lvlJc w:val="left"/>
      <w:pPr>
        <w:ind w:left="1788" w:hanging="360"/>
      </w:pPr>
    </w:lvl>
    <w:lvl w:ilvl="2" w:tplc="EFF4F08A" w:tentative="1">
      <w:start w:val="1"/>
      <w:numFmt w:val="lowerRoman"/>
      <w:lvlText w:val="%3."/>
      <w:lvlJc w:val="right"/>
      <w:pPr>
        <w:ind w:left="2508" w:hanging="180"/>
      </w:pPr>
    </w:lvl>
    <w:lvl w:ilvl="3" w:tplc="97FADBA8" w:tentative="1">
      <w:start w:val="1"/>
      <w:numFmt w:val="decimal"/>
      <w:lvlText w:val="%4."/>
      <w:lvlJc w:val="left"/>
      <w:pPr>
        <w:ind w:left="3228" w:hanging="360"/>
      </w:pPr>
    </w:lvl>
    <w:lvl w:ilvl="4" w:tplc="406A9C6C" w:tentative="1">
      <w:start w:val="1"/>
      <w:numFmt w:val="lowerLetter"/>
      <w:lvlText w:val="%5."/>
      <w:lvlJc w:val="left"/>
      <w:pPr>
        <w:ind w:left="3948" w:hanging="360"/>
      </w:pPr>
    </w:lvl>
    <w:lvl w:ilvl="5" w:tplc="8394668A" w:tentative="1">
      <w:start w:val="1"/>
      <w:numFmt w:val="lowerRoman"/>
      <w:lvlText w:val="%6."/>
      <w:lvlJc w:val="right"/>
      <w:pPr>
        <w:ind w:left="4668" w:hanging="180"/>
      </w:pPr>
    </w:lvl>
    <w:lvl w:ilvl="6" w:tplc="1F347872" w:tentative="1">
      <w:start w:val="1"/>
      <w:numFmt w:val="decimal"/>
      <w:lvlText w:val="%7."/>
      <w:lvlJc w:val="left"/>
      <w:pPr>
        <w:ind w:left="5388" w:hanging="360"/>
      </w:pPr>
    </w:lvl>
    <w:lvl w:ilvl="7" w:tplc="2E9A53C0" w:tentative="1">
      <w:start w:val="1"/>
      <w:numFmt w:val="lowerLetter"/>
      <w:lvlText w:val="%8."/>
      <w:lvlJc w:val="left"/>
      <w:pPr>
        <w:ind w:left="6108" w:hanging="360"/>
      </w:pPr>
    </w:lvl>
    <w:lvl w:ilvl="8" w:tplc="87A43700" w:tentative="1">
      <w:start w:val="1"/>
      <w:numFmt w:val="lowerRoman"/>
      <w:lvlText w:val="%9."/>
      <w:lvlJc w:val="right"/>
      <w:pPr>
        <w:ind w:left="6828" w:hanging="180"/>
      </w:pPr>
    </w:lvl>
  </w:abstractNum>
  <w:num w:numId="1" w16cid:durableId="1969434339">
    <w:abstractNumId w:val="9"/>
  </w:num>
  <w:num w:numId="2" w16cid:durableId="321468180">
    <w:abstractNumId w:val="0"/>
  </w:num>
  <w:num w:numId="3" w16cid:durableId="1746951556">
    <w:abstractNumId w:val="17"/>
  </w:num>
  <w:num w:numId="4" w16cid:durableId="1454864570">
    <w:abstractNumId w:val="24"/>
  </w:num>
  <w:num w:numId="5" w16cid:durableId="2024165133">
    <w:abstractNumId w:val="13"/>
  </w:num>
  <w:num w:numId="6" w16cid:durableId="1163664203">
    <w:abstractNumId w:val="16"/>
  </w:num>
  <w:num w:numId="7" w16cid:durableId="1038898383">
    <w:abstractNumId w:val="20"/>
  </w:num>
  <w:num w:numId="8" w16cid:durableId="1980725869">
    <w:abstractNumId w:val="7"/>
  </w:num>
  <w:num w:numId="9" w16cid:durableId="752050359">
    <w:abstractNumId w:val="19"/>
  </w:num>
  <w:num w:numId="10" w16cid:durableId="876428343">
    <w:abstractNumId w:val="19"/>
    <w:lvlOverride w:ilvl="0">
      <w:startOverride w:val="1"/>
    </w:lvlOverride>
  </w:num>
  <w:num w:numId="11" w16cid:durableId="1885363607">
    <w:abstractNumId w:val="5"/>
  </w:num>
  <w:num w:numId="12" w16cid:durableId="992030769">
    <w:abstractNumId w:val="8"/>
  </w:num>
  <w:num w:numId="13" w16cid:durableId="1490050214">
    <w:abstractNumId w:val="23"/>
  </w:num>
  <w:num w:numId="14" w16cid:durableId="1020204218">
    <w:abstractNumId w:val="11"/>
  </w:num>
  <w:num w:numId="15" w16cid:durableId="726488807">
    <w:abstractNumId w:val="22"/>
  </w:num>
  <w:num w:numId="16" w16cid:durableId="354159750">
    <w:abstractNumId w:val="6"/>
  </w:num>
  <w:num w:numId="17" w16cid:durableId="66734090">
    <w:abstractNumId w:val="21"/>
  </w:num>
  <w:num w:numId="18" w16cid:durableId="475682605">
    <w:abstractNumId w:val="1"/>
  </w:num>
  <w:num w:numId="19" w16cid:durableId="1205171584">
    <w:abstractNumId w:val="0"/>
    <w:lvlOverride w:ilvl="0">
      <w:startOverride w:val="1"/>
    </w:lvlOverride>
  </w:num>
  <w:num w:numId="20" w16cid:durableId="377509039">
    <w:abstractNumId w:val="14"/>
  </w:num>
  <w:num w:numId="21" w16cid:durableId="314914131">
    <w:abstractNumId w:val="4"/>
  </w:num>
  <w:num w:numId="22" w16cid:durableId="136264443">
    <w:abstractNumId w:val="10"/>
  </w:num>
  <w:num w:numId="23" w16cid:durableId="23096561">
    <w:abstractNumId w:val="15"/>
  </w:num>
  <w:num w:numId="24" w16cid:durableId="1642883093">
    <w:abstractNumId w:val="3"/>
  </w:num>
  <w:num w:numId="25" w16cid:durableId="837695611">
    <w:abstractNumId w:val="12"/>
  </w:num>
  <w:num w:numId="26" w16cid:durableId="1360009818">
    <w:abstractNumId w:val="2"/>
  </w:num>
  <w:num w:numId="27" w16cid:durableId="1976911529">
    <w:abstractNumId w:val="18"/>
  </w:num>
  <w:num w:numId="28" w16cid:durableId="469640568">
    <w:abstractNumId w:val="1"/>
  </w:num>
  <w:num w:numId="29" w16cid:durableId="197899383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NBChoix" w:val="3"/>
    <w:docVar w:name="MotifJuge1" w:val="MOTIFS DU JUGE"/>
    <w:docVar w:name="MotifJuge2" w:val="MOTIFS DU JUGE"/>
    <w:docVar w:name="MotifJuge3" w:val="MOTIFS DU JUGE"/>
    <w:docVar w:name="NomFamJuge1" w:val="SCHRAGER"/>
    <w:docVar w:name="NomFamJuge2" w:val="KALICHMAN"/>
    <w:docVar w:name="NomFamJuge3" w:val="HARDY"/>
    <w:docVar w:name="NomFamJuge4" w:val="MAILHOT"/>
    <w:docVar w:name="NomFamJuge5" w:val="BAUDOUIN"/>
    <w:docVar w:name="QteJuge1" w:val=", J.C.A."/>
    <w:docVar w:name="QteJuge2" w:val=", J.C.A."/>
    <w:docVar w:name="QteJuge3" w:val=", J.C.A."/>
    <w:docVar w:name="stPremiereFois" w:val="Non"/>
  </w:docVars>
  <w:rsids>
    <w:rsidRoot w:val="00155B8A"/>
    <w:rsid w:val="00000527"/>
    <w:rsid w:val="0000095C"/>
    <w:rsid w:val="00000EB1"/>
    <w:rsid w:val="0000282A"/>
    <w:rsid w:val="00004641"/>
    <w:rsid w:val="00006797"/>
    <w:rsid w:val="00007A33"/>
    <w:rsid w:val="000103F0"/>
    <w:rsid w:val="000107B7"/>
    <w:rsid w:val="00010AED"/>
    <w:rsid w:val="00011A41"/>
    <w:rsid w:val="000131E1"/>
    <w:rsid w:val="00014750"/>
    <w:rsid w:val="000149B8"/>
    <w:rsid w:val="000163D4"/>
    <w:rsid w:val="0001661E"/>
    <w:rsid w:val="00016CA0"/>
    <w:rsid w:val="00016CDB"/>
    <w:rsid w:val="00016D9C"/>
    <w:rsid w:val="00020020"/>
    <w:rsid w:val="000215F6"/>
    <w:rsid w:val="00022496"/>
    <w:rsid w:val="00022A5B"/>
    <w:rsid w:val="00022D98"/>
    <w:rsid w:val="00023ABD"/>
    <w:rsid w:val="00023D62"/>
    <w:rsid w:val="00025599"/>
    <w:rsid w:val="00026A11"/>
    <w:rsid w:val="00027475"/>
    <w:rsid w:val="00027A3C"/>
    <w:rsid w:val="00030643"/>
    <w:rsid w:val="00031A24"/>
    <w:rsid w:val="00031B78"/>
    <w:rsid w:val="000325EC"/>
    <w:rsid w:val="00033B03"/>
    <w:rsid w:val="0003575A"/>
    <w:rsid w:val="00035CE8"/>
    <w:rsid w:val="0003656F"/>
    <w:rsid w:val="00036AEA"/>
    <w:rsid w:val="000401C6"/>
    <w:rsid w:val="000404B6"/>
    <w:rsid w:val="00041839"/>
    <w:rsid w:val="000423BA"/>
    <w:rsid w:val="00042CB6"/>
    <w:rsid w:val="0004394C"/>
    <w:rsid w:val="00043968"/>
    <w:rsid w:val="00043ECF"/>
    <w:rsid w:val="00045531"/>
    <w:rsid w:val="00046266"/>
    <w:rsid w:val="000500D5"/>
    <w:rsid w:val="00052B4D"/>
    <w:rsid w:val="00053340"/>
    <w:rsid w:val="00053691"/>
    <w:rsid w:val="00053A9A"/>
    <w:rsid w:val="00060210"/>
    <w:rsid w:val="00062567"/>
    <w:rsid w:val="00064BBF"/>
    <w:rsid w:val="00065216"/>
    <w:rsid w:val="000669BD"/>
    <w:rsid w:val="00066D35"/>
    <w:rsid w:val="00066DAA"/>
    <w:rsid w:val="000675D6"/>
    <w:rsid w:val="00067A9A"/>
    <w:rsid w:val="00067B9E"/>
    <w:rsid w:val="00071297"/>
    <w:rsid w:val="00071ADD"/>
    <w:rsid w:val="00073934"/>
    <w:rsid w:val="00073967"/>
    <w:rsid w:val="0007459B"/>
    <w:rsid w:val="00075DFF"/>
    <w:rsid w:val="00076197"/>
    <w:rsid w:val="00077D9A"/>
    <w:rsid w:val="0008014F"/>
    <w:rsid w:val="000802F0"/>
    <w:rsid w:val="0008094F"/>
    <w:rsid w:val="00080CAD"/>
    <w:rsid w:val="00084B6A"/>
    <w:rsid w:val="00085355"/>
    <w:rsid w:val="0008537D"/>
    <w:rsid w:val="00085937"/>
    <w:rsid w:val="000864D3"/>
    <w:rsid w:val="00086977"/>
    <w:rsid w:val="00086C69"/>
    <w:rsid w:val="00087A87"/>
    <w:rsid w:val="000900DB"/>
    <w:rsid w:val="000906D5"/>
    <w:rsid w:val="00090882"/>
    <w:rsid w:val="00091A43"/>
    <w:rsid w:val="00092D25"/>
    <w:rsid w:val="00093079"/>
    <w:rsid w:val="00093445"/>
    <w:rsid w:val="000935EE"/>
    <w:rsid w:val="00093812"/>
    <w:rsid w:val="00093CB6"/>
    <w:rsid w:val="00094127"/>
    <w:rsid w:val="000942C9"/>
    <w:rsid w:val="00094962"/>
    <w:rsid w:val="00094A49"/>
    <w:rsid w:val="00095770"/>
    <w:rsid w:val="0009740F"/>
    <w:rsid w:val="000976C6"/>
    <w:rsid w:val="00097E9A"/>
    <w:rsid w:val="00097EC0"/>
    <w:rsid w:val="000A05E5"/>
    <w:rsid w:val="000A0A57"/>
    <w:rsid w:val="000A42A7"/>
    <w:rsid w:val="000A7356"/>
    <w:rsid w:val="000A7516"/>
    <w:rsid w:val="000B0CDF"/>
    <w:rsid w:val="000B0EB4"/>
    <w:rsid w:val="000B13B6"/>
    <w:rsid w:val="000B1AB2"/>
    <w:rsid w:val="000B34A4"/>
    <w:rsid w:val="000B3CC1"/>
    <w:rsid w:val="000B405D"/>
    <w:rsid w:val="000B42AF"/>
    <w:rsid w:val="000B44DF"/>
    <w:rsid w:val="000B4C23"/>
    <w:rsid w:val="000B625D"/>
    <w:rsid w:val="000B71AB"/>
    <w:rsid w:val="000B7DF5"/>
    <w:rsid w:val="000C06C0"/>
    <w:rsid w:val="000C0E28"/>
    <w:rsid w:val="000C12FE"/>
    <w:rsid w:val="000C1A35"/>
    <w:rsid w:val="000C39F0"/>
    <w:rsid w:val="000C49DF"/>
    <w:rsid w:val="000C49E5"/>
    <w:rsid w:val="000C6F75"/>
    <w:rsid w:val="000C78D9"/>
    <w:rsid w:val="000C7CAE"/>
    <w:rsid w:val="000D033C"/>
    <w:rsid w:val="000D0C02"/>
    <w:rsid w:val="000D0D0C"/>
    <w:rsid w:val="000D25F4"/>
    <w:rsid w:val="000D2DD0"/>
    <w:rsid w:val="000D3DD4"/>
    <w:rsid w:val="000D540E"/>
    <w:rsid w:val="000D5B53"/>
    <w:rsid w:val="000D7360"/>
    <w:rsid w:val="000E12FF"/>
    <w:rsid w:val="000E13B9"/>
    <w:rsid w:val="000E15ED"/>
    <w:rsid w:val="000E1F5D"/>
    <w:rsid w:val="000E352F"/>
    <w:rsid w:val="000E38D9"/>
    <w:rsid w:val="000E395A"/>
    <w:rsid w:val="000E72A4"/>
    <w:rsid w:val="000F062B"/>
    <w:rsid w:val="000F0A6C"/>
    <w:rsid w:val="000F1503"/>
    <w:rsid w:val="000F26C7"/>
    <w:rsid w:val="000F28C1"/>
    <w:rsid w:val="000F30B1"/>
    <w:rsid w:val="000F3D73"/>
    <w:rsid w:val="000F3E1E"/>
    <w:rsid w:val="000F4B9B"/>
    <w:rsid w:val="000F571C"/>
    <w:rsid w:val="000F68A6"/>
    <w:rsid w:val="000F6AD9"/>
    <w:rsid w:val="000F6E38"/>
    <w:rsid w:val="000F7C29"/>
    <w:rsid w:val="001000F7"/>
    <w:rsid w:val="0010038F"/>
    <w:rsid w:val="001013A4"/>
    <w:rsid w:val="00101759"/>
    <w:rsid w:val="00101FA5"/>
    <w:rsid w:val="00101FEF"/>
    <w:rsid w:val="00104648"/>
    <w:rsid w:val="00104973"/>
    <w:rsid w:val="001056A9"/>
    <w:rsid w:val="00106BC8"/>
    <w:rsid w:val="00106C0C"/>
    <w:rsid w:val="001076AB"/>
    <w:rsid w:val="00110B53"/>
    <w:rsid w:val="00111614"/>
    <w:rsid w:val="0011185B"/>
    <w:rsid w:val="001120E9"/>
    <w:rsid w:val="00112321"/>
    <w:rsid w:val="00112A12"/>
    <w:rsid w:val="00113C84"/>
    <w:rsid w:val="00113C97"/>
    <w:rsid w:val="00114A39"/>
    <w:rsid w:val="001177E5"/>
    <w:rsid w:val="00117914"/>
    <w:rsid w:val="00120912"/>
    <w:rsid w:val="00121D84"/>
    <w:rsid w:val="00122281"/>
    <w:rsid w:val="00123F1E"/>
    <w:rsid w:val="0012489E"/>
    <w:rsid w:val="00125F44"/>
    <w:rsid w:val="001262E1"/>
    <w:rsid w:val="0012695A"/>
    <w:rsid w:val="0012722B"/>
    <w:rsid w:val="001275FC"/>
    <w:rsid w:val="00127B3A"/>
    <w:rsid w:val="00130078"/>
    <w:rsid w:val="001301CC"/>
    <w:rsid w:val="0013028C"/>
    <w:rsid w:val="001309FD"/>
    <w:rsid w:val="00130D6F"/>
    <w:rsid w:val="00130E49"/>
    <w:rsid w:val="00131C12"/>
    <w:rsid w:val="00134240"/>
    <w:rsid w:val="00134359"/>
    <w:rsid w:val="0013482B"/>
    <w:rsid w:val="00134872"/>
    <w:rsid w:val="001348F7"/>
    <w:rsid w:val="00134D4B"/>
    <w:rsid w:val="001353DD"/>
    <w:rsid w:val="00135CB4"/>
    <w:rsid w:val="0013642F"/>
    <w:rsid w:val="001365C6"/>
    <w:rsid w:val="00136AEF"/>
    <w:rsid w:val="00137C67"/>
    <w:rsid w:val="00141886"/>
    <w:rsid w:val="00141B4D"/>
    <w:rsid w:val="00141D52"/>
    <w:rsid w:val="0014375A"/>
    <w:rsid w:val="00146EEA"/>
    <w:rsid w:val="001506E8"/>
    <w:rsid w:val="00152A85"/>
    <w:rsid w:val="001533A0"/>
    <w:rsid w:val="001538F2"/>
    <w:rsid w:val="00153D2A"/>
    <w:rsid w:val="00153E88"/>
    <w:rsid w:val="00153FCD"/>
    <w:rsid w:val="0015414F"/>
    <w:rsid w:val="00154E9B"/>
    <w:rsid w:val="00155295"/>
    <w:rsid w:val="00155B8A"/>
    <w:rsid w:val="00155D7A"/>
    <w:rsid w:val="0015610F"/>
    <w:rsid w:val="00156111"/>
    <w:rsid w:val="00156DE2"/>
    <w:rsid w:val="0016042E"/>
    <w:rsid w:val="001605BA"/>
    <w:rsid w:val="00160B12"/>
    <w:rsid w:val="00160B31"/>
    <w:rsid w:val="001617CE"/>
    <w:rsid w:val="00163CD7"/>
    <w:rsid w:val="001651F9"/>
    <w:rsid w:val="0016592E"/>
    <w:rsid w:val="00166014"/>
    <w:rsid w:val="00166C2B"/>
    <w:rsid w:val="00167EA6"/>
    <w:rsid w:val="0017055E"/>
    <w:rsid w:val="00171001"/>
    <w:rsid w:val="001751E9"/>
    <w:rsid w:val="0017600C"/>
    <w:rsid w:val="00176EB3"/>
    <w:rsid w:val="00180F37"/>
    <w:rsid w:val="001817F2"/>
    <w:rsid w:val="00181F56"/>
    <w:rsid w:val="001839A0"/>
    <w:rsid w:val="00184590"/>
    <w:rsid w:val="00186BA0"/>
    <w:rsid w:val="00186DE2"/>
    <w:rsid w:val="00186FB1"/>
    <w:rsid w:val="0019056A"/>
    <w:rsid w:val="00190FA7"/>
    <w:rsid w:val="001915B5"/>
    <w:rsid w:val="00191C93"/>
    <w:rsid w:val="00192855"/>
    <w:rsid w:val="0019421F"/>
    <w:rsid w:val="001949E7"/>
    <w:rsid w:val="00194F30"/>
    <w:rsid w:val="001956DD"/>
    <w:rsid w:val="001972F2"/>
    <w:rsid w:val="001A0020"/>
    <w:rsid w:val="001A1CF9"/>
    <w:rsid w:val="001A2296"/>
    <w:rsid w:val="001A2622"/>
    <w:rsid w:val="001A27C3"/>
    <w:rsid w:val="001A2CE4"/>
    <w:rsid w:val="001A3D72"/>
    <w:rsid w:val="001A4446"/>
    <w:rsid w:val="001A4EED"/>
    <w:rsid w:val="001A51E7"/>
    <w:rsid w:val="001A54FB"/>
    <w:rsid w:val="001A718E"/>
    <w:rsid w:val="001A73C5"/>
    <w:rsid w:val="001A7F78"/>
    <w:rsid w:val="001B00CD"/>
    <w:rsid w:val="001B0C65"/>
    <w:rsid w:val="001B0F11"/>
    <w:rsid w:val="001B22CC"/>
    <w:rsid w:val="001B26E8"/>
    <w:rsid w:val="001B2D41"/>
    <w:rsid w:val="001B672B"/>
    <w:rsid w:val="001B713F"/>
    <w:rsid w:val="001B7A30"/>
    <w:rsid w:val="001C01E7"/>
    <w:rsid w:val="001C0440"/>
    <w:rsid w:val="001C161F"/>
    <w:rsid w:val="001C2A60"/>
    <w:rsid w:val="001C2F51"/>
    <w:rsid w:val="001C300D"/>
    <w:rsid w:val="001C34EA"/>
    <w:rsid w:val="001C3B07"/>
    <w:rsid w:val="001C4001"/>
    <w:rsid w:val="001C580B"/>
    <w:rsid w:val="001C6916"/>
    <w:rsid w:val="001D5E44"/>
    <w:rsid w:val="001D6700"/>
    <w:rsid w:val="001D73CB"/>
    <w:rsid w:val="001D7C09"/>
    <w:rsid w:val="001D7F86"/>
    <w:rsid w:val="001E1135"/>
    <w:rsid w:val="001E122D"/>
    <w:rsid w:val="001E4555"/>
    <w:rsid w:val="001E48F6"/>
    <w:rsid w:val="001E4CE6"/>
    <w:rsid w:val="001E53DA"/>
    <w:rsid w:val="001E59BA"/>
    <w:rsid w:val="001E7ABC"/>
    <w:rsid w:val="001F0390"/>
    <w:rsid w:val="001F1387"/>
    <w:rsid w:val="001F279E"/>
    <w:rsid w:val="001F2B2E"/>
    <w:rsid w:val="001F3043"/>
    <w:rsid w:val="001F5468"/>
    <w:rsid w:val="001F6708"/>
    <w:rsid w:val="001F67A5"/>
    <w:rsid w:val="001F6EA9"/>
    <w:rsid w:val="001F7D14"/>
    <w:rsid w:val="0020084E"/>
    <w:rsid w:val="00202014"/>
    <w:rsid w:val="002021B3"/>
    <w:rsid w:val="002042AD"/>
    <w:rsid w:val="0020523A"/>
    <w:rsid w:val="00205863"/>
    <w:rsid w:val="00205DC4"/>
    <w:rsid w:val="0020616E"/>
    <w:rsid w:val="002076A9"/>
    <w:rsid w:val="002077BB"/>
    <w:rsid w:val="002079B7"/>
    <w:rsid w:val="0021056A"/>
    <w:rsid w:val="00210C4B"/>
    <w:rsid w:val="00211609"/>
    <w:rsid w:val="00214535"/>
    <w:rsid w:val="00214DD4"/>
    <w:rsid w:val="00214EF8"/>
    <w:rsid w:val="0021548E"/>
    <w:rsid w:val="00215995"/>
    <w:rsid w:val="00215CDD"/>
    <w:rsid w:val="0021634D"/>
    <w:rsid w:val="0021646E"/>
    <w:rsid w:val="002171AA"/>
    <w:rsid w:val="00220151"/>
    <w:rsid w:val="0022079C"/>
    <w:rsid w:val="00222276"/>
    <w:rsid w:val="0022289E"/>
    <w:rsid w:val="00223954"/>
    <w:rsid w:val="0022400B"/>
    <w:rsid w:val="002241FD"/>
    <w:rsid w:val="002242F6"/>
    <w:rsid w:val="00224567"/>
    <w:rsid w:val="0022461B"/>
    <w:rsid w:val="002254EA"/>
    <w:rsid w:val="002273F5"/>
    <w:rsid w:val="002303A1"/>
    <w:rsid w:val="002305CA"/>
    <w:rsid w:val="00230776"/>
    <w:rsid w:val="00230D7B"/>
    <w:rsid w:val="00230FD0"/>
    <w:rsid w:val="002315C4"/>
    <w:rsid w:val="002316B6"/>
    <w:rsid w:val="00231F53"/>
    <w:rsid w:val="00234339"/>
    <w:rsid w:val="00234BB4"/>
    <w:rsid w:val="0023588C"/>
    <w:rsid w:val="002365EB"/>
    <w:rsid w:val="00237413"/>
    <w:rsid w:val="0023749C"/>
    <w:rsid w:val="0023766F"/>
    <w:rsid w:val="0024004B"/>
    <w:rsid w:val="00242419"/>
    <w:rsid w:val="00242FB5"/>
    <w:rsid w:val="0024389F"/>
    <w:rsid w:val="00243D86"/>
    <w:rsid w:val="0024453B"/>
    <w:rsid w:val="002451FB"/>
    <w:rsid w:val="002455B3"/>
    <w:rsid w:val="002462AC"/>
    <w:rsid w:val="002503A0"/>
    <w:rsid w:val="002503BE"/>
    <w:rsid w:val="00250BF1"/>
    <w:rsid w:val="00250D35"/>
    <w:rsid w:val="00251846"/>
    <w:rsid w:val="002527F4"/>
    <w:rsid w:val="00253D54"/>
    <w:rsid w:val="0025400B"/>
    <w:rsid w:val="00254221"/>
    <w:rsid w:val="002542FB"/>
    <w:rsid w:val="002543F3"/>
    <w:rsid w:val="00254991"/>
    <w:rsid w:val="00255321"/>
    <w:rsid w:val="002556C9"/>
    <w:rsid w:val="00255A37"/>
    <w:rsid w:val="002563FE"/>
    <w:rsid w:val="0025681D"/>
    <w:rsid w:val="00257353"/>
    <w:rsid w:val="00257BF0"/>
    <w:rsid w:val="002610D3"/>
    <w:rsid w:val="00261D6B"/>
    <w:rsid w:val="0026268D"/>
    <w:rsid w:val="00262A16"/>
    <w:rsid w:val="00263734"/>
    <w:rsid w:val="00263E10"/>
    <w:rsid w:val="002641A5"/>
    <w:rsid w:val="00264D69"/>
    <w:rsid w:val="00264E90"/>
    <w:rsid w:val="00264EC6"/>
    <w:rsid w:val="00264FC3"/>
    <w:rsid w:val="00265868"/>
    <w:rsid w:val="00267007"/>
    <w:rsid w:val="00267192"/>
    <w:rsid w:val="002672E1"/>
    <w:rsid w:val="0026798E"/>
    <w:rsid w:val="00267AF8"/>
    <w:rsid w:val="00267C8B"/>
    <w:rsid w:val="00270CA3"/>
    <w:rsid w:val="00273683"/>
    <w:rsid w:val="0027379B"/>
    <w:rsid w:val="002749DA"/>
    <w:rsid w:val="002751E6"/>
    <w:rsid w:val="00275759"/>
    <w:rsid w:val="002762B8"/>
    <w:rsid w:val="002772E0"/>
    <w:rsid w:val="00277AC4"/>
    <w:rsid w:val="00277AD9"/>
    <w:rsid w:val="0028356D"/>
    <w:rsid w:val="00283E9E"/>
    <w:rsid w:val="00284C57"/>
    <w:rsid w:val="00284CCA"/>
    <w:rsid w:val="00284DCB"/>
    <w:rsid w:val="00285A09"/>
    <w:rsid w:val="00285A44"/>
    <w:rsid w:val="00287AAD"/>
    <w:rsid w:val="00290241"/>
    <w:rsid w:val="002905F4"/>
    <w:rsid w:val="002929B5"/>
    <w:rsid w:val="00293022"/>
    <w:rsid w:val="002930F4"/>
    <w:rsid w:val="00293BC9"/>
    <w:rsid w:val="002943B4"/>
    <w:rsid w:val="00295A0D"/>
    <w:rsid w:val="00296D4D"/>
    <w:rsid w:val="00296FB5"/>
    <w:rsid w:val="002978AE"/>
    <w:rsid w:val="002A1334"/>
    <w:rsid w:val="002A1890"/>
    <w:rsid w:val="002A191D"/>
    <w:rsid w:val="002A2A0C"/>
    <w:rsid w:val="002A306D"/>
    <w:rsid w:val="002A3645"/>
    <w:rsid w:val="002A372C"/>
    <w:rsid w:val="002A4E15"/>
    <w:rsid w:val="002A6AF8"/>
    <w:rsid w:val="002A7502"/>
    <w:rsid w:val="002A7DC4"/>
    <w:rsid w:val="002B1FC3"/>
    <w:rsid w:val="002B440A"/>
    <w:rsid w:val="002B4806"/>
    <w:rsid w:val="002B4A07"/>
    <w:rsid w:val="002B4D6D"/>
    <w:rsid w:val="002B58BA"/>
    <w:rsid w:val="002B5E3B"/>
    <w:rsid w:val="002B6204"/>
    <w:rsid w:val="002B6530"/>
    <w:rsid w:val="002B6D2B"/>
    <w:rsid w:val="002C024E"/>
    <w:rsid w:val="002C04D1"/>
    <w:rsid w:val="002C1298"/>
    <w:rsid w:val="002C12D4"/>
    <w:rsid w:val="002C1496"/>
    <w:rsid w:val="002C1B01"/>
    <w:rsid w:val="002C33B1"/>
    <w:rsid w:val="002C3BAC"/>
    <w:rsid w:val="002C3D2C"/>
    <w:rsid w:val="002C4107"/>
    <w:rsid w:val="002C48A2"/>
    <w:rsid w:val="002C53E7"/>
    <w:rsid w:val="002C64EF"/>
    <w:rsid w:val="002C7C9A"/>
    <w:rsid w:val="002D0766"/>
    <w:rsid w:val="002D15CF"/>
    <w:rsid w:val="002D1810"/>
    <w:rsid w:val="002D2FC6"/>
    <w:rsid w:val="002D3287"/>
    <w:rsid w:val="002D38BF"/>
    <w:rsid w:val="002D422F"/>
    <w:rsid w:val="002D450D"/>
    <w:rsid w:val="002D5EE0"/>
    <w:rsid w:val="002D665B"/>
    <w:rsid w:val="002D6DFD"/>
    <w:rsid w:val="002D7224"/>
    <w:rsid w:val="002D7CB9"/>
    <w:rsid w:val="002D7E91"/>
    <w:rsid w:val="002E106C"/>
    <w:rsid w:val="002E1117"/>
    <w:rsid w:val="002E16DB"/>
    <w:rsid w:val="002E1F0E"/>
    <w:rsid w:val="002E229C"/>
    <w:rsid w:val="002E26BE"/>
    <w:rsid w:val="002E3257"/>
    <w:rsid w:val="002E32A4"/>
    <w:rsid w:val="002E3EDE"/>
    <w:rsid w:val="002E4844"/>
    <w:rsid w:val="002E4DD1"/>
    <w:rsid w:val="002E51AD"/>
    <w:rsid w:val="002E51F1"/>
    <w:rsid w:val="002E5209"/>
    <w:rsid w:val="002E5500"/>
    <w:rsid w:val="002E57B2"/>
    <w:rsid w:val="002E5FC7"/>
    <w:rsid w:val="002F0C0B"/>
    <w:rsid w:val="002F0D79"/>
    <w:rsid w:val="002F1350"/>
    <w:rsid w:val="002F1899"/>
    <w:rsid w:val="002F2089"/>
    <w:rsid w:val="002F231C"/>
    <w:rsid w:val="002F2476"/>
    <w:rsid w:val="002F3A2A"/>
    <w:rsid w:val="002F3E82"/>
    <w:rsid w:val="002F41B8"/>
    <w:rsid w:val="002F4BA1"/>
    <w:rsid w:val="002F5B73"/>
    <w:rsid w:val="002F6136"/>
    <w:rsid w:val="00301E33"/>
    <w:rsid w:val="00302302"/>
    <w:rsid w:val="00302F48"/>
    <w:rsid w:val="00303901"/>
    <w:rsid w:val="00305967"/>
    <w:rsid w:val="003067DC"/>
    <w:rsid w:val="00307821"/>
    <w:rsid w:val="00307FC5"/>
    <w:rsid w:val="00310420"/>
    <w:rsid w:val="00310428"/>
    <w:rsid w:val="0031052A"/>
    <w:rsid w:val="00310685"/>
    <w:rsid w:val="003109AF"/>
    <w:rsid w:val="003113B9"/>
    <w:rsid w:val="003118C4"/>
    <w:rsid w:val="00311923"/>
    <w:rsid w:val="0031286D"/>
    <w:rsid w:val="00312AAC"/>
    <w:rsid w:val="00312B2D"/>
    <w:rsid w:val="00313542"/>
    <w:rsid w:val="0031439D"/>
    <w:rsid w:val="00315BA7"/>
    <w:rsid w:val="00316CF8"/>
    <w:rsid w:val="00316DE1"/>
    <w:rsid w:val="00317915"/>
    <w:rsid w:val="00320DF4"/>
    <w:rsid w:val="00321E5A"/>
    <w:rsid w:val="003224B1"/>
    <w:rsid w:val="00322DE0"/>
    <w:rsid w:val="00322F45"/>
    <w:rsid w:val="003234C0"/>
    <w:rsid w:val="0032363D"/>
    <w:rsid w:val="00323CD0"/>
    <w:rsid w:val="00324378"/>
    <w:rsid w:val="003244A3"/>
    <w:rsid w:val="00324B1A"/>
    <w:rsid w:val="003257E1"/>
    <w:rsid w:val="003258C0"/>
    <w:rsid w:val="00326137"/>
    <w:rsid w:val="00327E9F"/>
    <w:rsid w:val="003314A2"/>
    <w:rsid w:val="0033190E"/>
    <w:rsid w:val="00331D60"/>
    <w:rsid w:val="0033285D"/>
    <w:rsid w:val="003351FB"/>
    <w:rsid w:val="0033599C"/>
    <w:rsid w:val="00335D96"/>
    <w:rsid w:val="0033683C"/>
    <w:rsid w:val="00337A4F"/>
    <w:rsid w:val="003405E0"/>
    <w:rsid w:val="0034082E"/>
    <w:rsid w:val="003411D7"/>
    <w:rsid w:val="0034122E"/>
    <w:rsid w:val="00343B46"/>
    <w:rsid w:val="00343D55"/>
    <w:rsid w:val="00343DDA"/>
    <w:rsid w:val="0034520B"/>
    <w:rsid w:val="00346447"/>
    <w:rsid w:val="003473DA"/>
    <w:rsid w:val="00351247"/>
    <w:rsid w:val="003513C8"/>
    <w:rsid w:val="00351D5E"/>
    <w:rsid w:val="003524D4"/>
    <w:rsid w:val="003534C2"/>
    <w:rsid w:val="0035386E"/>
    <w:rsid w:val="0035391A"/>
    <w:rsid w:val="00354ECD"/>
    <w:rsid w:val="0035565C"/>
    <w:rsid w:val="00355B12"/>
    <w:rsid w:val="00355EAF"/>
    <w:rsid w:val="003570BD"/>
    <w:rsid w:val="003578D5"/>
    <w:rsid w:val="00360417"/>
    <w:rsid w:val="00361325"/>
    <w:rsid w:val="00361982"/>
    <w:rsid w:val="003627F3"/>
    <w:rsid w:val="00363C53"/>
    <w:rsid w:val="00363CEE"/>
    <w:rsid w:val="00363FCA"/>
    <w:rsid w:val="003641AB"/>
    <w:rsid w:val="003646A5"/>
    <w:rsid w:val="00364CE1"/>
    <w:rsid w:val="00365F80"/>
    <w:rsid w:val="00366D51"/>
    <w:rsid w:val="00367C20"/>
    <w:rsid w:val="00367F32"/>
    <w:rsid w:val="00370C51"/>
    <w:rsid w:val="00372B37"/>
    <w:rsid w:val="0037375F"/>
    <w:rsid w:val="0037397F"/>
    <w:rsid w:val="00373D0C"/>
    <w:rsid w:val="00373F46"/>
    <w:rsid w:val="00374888"/>
    <w:rsid w:val="00374E40"/>
    <w:rsid w:val="00375143"/>
    <w:rsid w:val="00375DCA"/>
    <w:rsid w:val="00377217"/>
    <w:rsid w:val="00377D7D"/>
    <w:rsid w:val="00380B10"/>
    <w:rsid w:val="00381B84"/>
    <w:rsid w:val="00385951"/>
    <w:rsid w:val="003867DE"/>
    <w:rsid w:val="00386D79"/>
    <w:rsid w:val="00387302"/>
    <w:rsid w:val="0038746C"/>
    <w:rsid w:val="00387D2B"/>
    <w:rsid w:val="00390289"/>
    <w:rsid w:val="003916F3"/>
    <w:rsid w:val="0039204D"/>
    <w:rsid w:val="003922C8"/>
    <w:rsid w:val="00393C13"/>
    <w:rsid w:val="0039451B"/>
    <w:rsid w:val="003952AF"/>
    <w:rsid w:val="0039565F"/>
    <w:rsid w:val="00395A5B"/>
    <w:rsid w:val="00395AE0"/>
    <w:rsid w:val="00395F3C"/>
    <w:rsid w:val="00395FCE"/>
    <w:rsid w:val="00396070"/>
    <w:rsid w:val="00396EA2"/>
    <w:rsid w:val="00397C17"/>
    <w:rsid w:val="00397F39"/>
    <w:rsid w:val="003A0077"/>
    <w:rsid w:val="003A0742"/>
    <w:rsid w:val="003A0A7F"/>
    <w:rsid w:val="003A2E61"/>
    <w:rsid w:val="003A2FF5"/>
    <w:rsid w:val="003A34C3"/>
    <w:rsid w:val="003A36B7"/>
    <w:rsid w:val="003A3E4C"/>
    <w:rsid w:val="003A3F90"/>
    <w:rsid w:val="003A4B7E"/>
    <w:rsid w:val="003A5835"/>
    <w:rsid w:val="003A6C6D"/>
    <w:rsid w:val="003A6F8F"/>
    <w:rsid w:val="003A7086"/>
    <w:rsid w:val="003B1ABB"/>
    <w:rsid w:val="003B2739"/>
    <w:rsid w:val="003B2957"/>
    <w:rsid w:val="003B2983"/>
    <w:rsid w:val="003B29B9"/>
    <w:rsid w:val="003B3588"/>
    <w:rsid w:val="003B3CC1"/>
    <w:rsid w:val="003B4C33"/>
    <w:rsid w:val="003B5B2B"/>
    <w:rsid w:val="003B7FEC"/>
    <w:rsid w:val="003C0218"/>
    <w:rsid w:val="003C0C62"/>
    <w:rsid w:val="003C105C"/>
    <w:rsid w:val="003C318F"/>
    <w:rsid w:val="003C3A01"/>
    <w:rsid w:val="003C47BA"/>
    <w:rsid w:val="003C61A8"/>
    <w:rsid w:val="003C6356"/>
    <w:rsid w:val="003C6C6C"/>
    <w:rsid w:val="003C79F3"/>
    <w:rsid w:val="003D079C"/>
    <w:rsid w:val="003D0849"/>
    <w:rsid w:val="003D2B91"/>
    <w:rsid w:val="003D3CA2"/>
    <w:rsid w:val="003D3FEA"/>
    <w:rsid w:val="003D4472"/>
    <w:rsid w:val="003D487D"/>
    <w:rsid w:val="003D4973"/>
    <w:rsid w:val="003D4D71"/>
    <w:rsid w:val="003D5368"/>
    <w:rsid w:val="003D7E43"/>
    <w:rsid w:val="003E0C6D"/>
    <w:rsid w:val="003E3040"/>
    <w:rsid w:val="003E3239"/>
    <w:rsid w:val="003E32AD"/>
    <w:rsid w:val="003E3E3C"/>
    <w:rsid w:val="003E41E7"/>
    <w:rsid w:val="003E42BA"/>
    <w:rsid w:val="003E452E"/>
    <w:rsid w:val="003E6D2A"/>
    <w:rsid w:val="003E6E38"/>
    <w:rsid w:val="003E718C"/>
    <w:rsid w:val="003E757D"/>
    <w:rsid w:val="003E7CC6"/>
    <w:rsid w:val="003F0F24"/>
    <w:rsid w:val="003F0F73"/>
    <w:rsid w:val="003F223C"/>
    <w:rsid w:val="003F2879"/>
    <w:rsid w:val="003F3019"/>
    <w:rsid w:val="003F48EA"/>
    <w:rsid w:val="003F5DD5"/>
    <w:rsid w:val="003F6371"/>
    <w:rsid w:val="003F65E7"/>
    <w:rsid w:val="003F6DB2"/>
    <w:rsid w:val="00400D17"/>
    <w:rsid w:val="00400FBB"/>
    <w:rsid w:val="004019E7"/>
    <w:rsid w:val="00401D6B"/>
    <w:rsid w:val="0040231D"/>
    <w:rsid w:val="0040273C"/>
    <w:rsid w:val="0040376E"/>
    <w:rsid w:val="004047AD"/>
    <w:rsid w:val="00404958"/>
    <w:rsid w:val="0040566C"/>
    <w:rsid w:val="00405745"/>
    <w:rsid w:val="00405B15"/>
    <w:rsid w:val="00405C64"/>
    <w:rsid w:val="0040690F"/>
    <w:rsid w:val="00407635"/>
    <w:rsid w:val="00407B88"/>
    <w:rsid w:val="004106DA"/>
    <w:rsid w:val="00410F02"/>
    <w:rsid w:val="00412E9B"/>
    <w:rsid w:val="004131CA"/>
    <w:rsid w:val="004141E4"/>
    <w:rsid w:val="00415255"/>
    <w:rsid w:val="0041537C"/>
    <w:rsid w:val="004153B7"/>
    <w:rsid w:val="00416C01"/>
    <w:rsid w:val="004174D3"/>
    <w:rsid w:val="00420954"/>
    <w:rsid w:val="00421A3E"/>
    <w:rsid w:val="004222D8"/>
    <w:rsid w:val="004228B0"/>
    <w:rsid w:val="00422B2D"/>
    <w:rsid w:val="00423DF1"/>
    <w:rsid w:val="004243DF"/>
    <w:rsid w:val="00424F32"/>
    <w:rsid w:val="004252FB"/>
    <w:rsid w:val="00426A8A"/>
    <w:rsid w:val="004308C9"/>
    <w:rsid w:val="00430C58"/>
    <w:rsid w:val="00431E11"/>
    <w:rsid w:val="004331C4"/>
    <w:rsid w:val="00433782"/>
    <w:rsid w:val="004339D1"/>
    <w:rsid w:val="004346FD"/>
    <w:rsid w:val="00435017"/>
    <w:rsid w:val="0043564D"/>
    <w:rsid w:val="00435F2C"/>
    <w:rsid w:val="00436AB9"/>
    <w:rsid w:val="0044021D"/>
    <w:rsid w:val="00440DEC"/>
    <w:rsid w:val="004419B6"/>
    <w:rsid w:val="00441C25"/>
    <w:rsid w:val="00441EB4"/>
    <w:rsid w:val="00442F83"/>
    <w:rsid w:val="00443746"/>
    <w:rsid w:val="00445D50"/>
    <w:rsid w:val="00446452"/>
    <w:rsid w:val="00446E79"/>
    <w:rsid w:val="00447F7B"/>
    <w:rsid w:val="00450659"/>
    <w:rsid w:val="00451477"/>
    <w:rsid w:val="004514BF"/>
    <w:rsid w:val="004520E5"/>
    <w:rsid w:val="00452F4D"/>
    <w:rsid w:val="00453230"/>
    <w:rsid w:val="00453D9C"/>
    <w:rsid w:val="00454440"/>
    <w:rsid w:val="00454755"/>
    <w:rsid w:val="00454CC1"/>
    <w:rsid w:val="00455BB4"/>
    <w:rsid w:val="00455E30"/>
    <w:rsid w:val="0045733D"/>
    <w:rsid w:val="00457681"/>
    <w:rsid w:val="00457EBD"/>
    <w:rsid w:val="0046035A"/>
    <w:rsid w:val="004608A2"/>
    <w:rsid w:val="00461EE8"/>
    <w:rsid w:val="00462854"/>
    <w:rsid w:val="00463099"/>
    <w:rsid w:val="0046373F"/>
    <w:rsid w:val="00463C9D"/>
    <w:rsid w:val="00463E28"/>
    <w:rsid w:val="004651CC"/>
    <w:rsid w:val="00466C99"/>
    <w:rsid w:val="0047052E"/>
    <w:rsid w:val="00470E8D"/>
    <w:rsid w:val="004715F6"/>
    <w:rsid w:val="0047168C"/>
    <w:rsid w:val="00472C57"/>
    <w:rsid w:val="00472DC8"/>
    <w:rsid w:val="00474744"/>
    <w:rsid w:val="00474934"/>
    <w:rsid w:val="00474B4E"/>
    <w:rsid w:val="00474FB9"/>
    <w:rsid w:val="004757F4"/>
    <w:rsid w:val="00476083"/>
    <w:rsid w:val="00476753"/>
    <w:rsid w:val="00477EFA"/>
    <w:rsid w:val="004802EC"/>
    <w:rsid w:val="0048056C"/>
    <w:rsid w:val="0048119C"/>
    <w:rsid w:val="00481D11"/>
    <w:rsid w:val="004821B5"/>
    <w:rsid w:val="00482F8E"/>
    <w:rsid w:val="004848C6"/>
    <w:rsid w:val="0048493F"/>
    <w:rsid w:val="00485329"/>
    <w:rsid w:val="00490227"/>
    <w:rsid w:val="004906CB"/>
    <w:rsid w:val="0049126B"/>
    <w:rsid w:val="00491F91"/>
    <w:rsid w:val="004927A4"/>
    <w:rsid w:val="00492C6D"/>
    <w:rsid w:val="0049533E"/>
    <w:rsid w:val="00496313"/>
    <w:rsid w:val="004964FD"/>
    <w:rsid w:val="0049653F"/>
    <w:rsid w:val="00496B25"/>
    <w:rsid w:val="004A16D3"/>
    <w:rsid w:val="004A1F54"/>
    <w:rsid w:val="004A24B0"/>
    <w:rsid w:val="004A29F1"/>
    <w:rsid w:val="004A3426"/>
    <w:rsid w:val="004A38D3"/>
    <w:rsid w:val="004A3B7C"/>
    <w:rsid w:val="004A3E34"/>
    <w:rsid w:val="004A4D65"/>
    <w:rsid w:val="004A6641"/>
    <w:rsid w:val="004A6A1A"/>
    <w:rsid w:val="004A6E3F"/>
    <w:rsid w:val="004A6E86"/>
    <w:rsid w:val="004A7846"/>
    <w:rsid w:val="004A7F01"/>
    <w:rsid w:val="004B0E56"/>
    <w:rsid w:val="004B1090"/>
    <w:rsid w:val="004B1A75"/>
    <w:rsid w:val="004B1BFC"/>
    <w:rsid w:val="004B1E94"/>
    <w:rsid w:val="004B20AF"/>
    <w:rsid w:val="004B22D8"/>
    <w:rsid w:val="004B33FF"/>
    <w:rsid w:val="004B353B"/>
    <w:rsid w:val="004B4D41"/>
    <w:rsid w:val="004B4EAC"/>
    <w:rsid w:val="004B5313"/>
    <w:rsid w:val="004B5A92"/>
    <w:rsid w:val="004B6035"/>
    <w:rsid w:val="004B752A"/>
    <w:rsid w:val="004C00B7"/>
    <w:rsid w:val="004C262E"/>
    <w:rsid w:val="004C3264"/>
    <w:rsid w:val="004C3ADF"/>
    <w:rsid w:val="004C5275"/>
    <w:rsid w:val="004C598E"/>
    <w:rsid w:val="004C666B"/>
    <w:rsid w:val="004C6B76"/>
    <w:rsid w:val="004D0C84"/>
    <w:rsid w:val="004D0F2E"/>
    <w:rsid w:val="004D11AB"/>
    <w:rsid w:val="004D12C8"/>
    <w:rsid w:val="004D153B"/>
    <w:rsid w:val="004D1A95"/>
    <w:rsid w:val="004D217B"/>
    <w:rsid w:val="004D29ED"/>
    <w:rsid w:val="004D2A11"/>
    <w:rsid w:val="004D2EDB"/>
    <w:rsid w:val="004D2F69"/>
    <w:rsid w:val="004D2F92"/>
    <w:rsid w:val="004D3777"/>
    <w:rsid w:val="004D4460"/>
    <w:rsid w:val="004D4AD0"/>
    <w:rsid w:val="004D67FE"/>
    <w:rsid w:val="004D6DE0"/>
    <w:rsid w:val="004D7F7C"/>
    <w:rsid w:val="004E28BD"/>
    <w:rsid w:val="004E3158"/>
    <w:rsid w:val="004E3705"/>
    <w:rsid w:val="004E397C"/>
    <w:rsid w:val="004E3A49"/>
    <w:rsid w:val="004E4931"/>
    <w:rsid w:val="004E4FBA"/>
    <w:rsid w:val="004E59AF"/>
    <w:rsid w:val="004E5B53"/>
    <w:rsid w:val="004E5D76"/>
    <w:rsid w:val="004E671C"/>
    <w:rsid w:val="004E69FF"/>
    <w:rsid w:val="004F07F3"/>
    <w:rsid w:val="004F0F6D"/>
    <w:rsid w:val="004F1854"/>
    <w:rsid w:val="004F1E0C"/>
    <w:rsid w:val="004F2725"/>
    <w:rsid w:val="004F2849"/>
    <w:rsid w:val="004F29E1"/>
    <w:rsid w:val="004F382F"/>
    <w:rsid w:val="004F58C6"/>
    <w:rsid w:val="004F6547"/>
    <w:rsid w:val="004F67B7"/>
    <w:rsid w:val="004F7AC5"/>
    <w:rsid w:val="004F7C7E"/>
    <w:rsid w:val="00501906"/>
    <w:rsid w:val="00501BE2"/>
    <w:rsid w:val="00501CB0"/>
    <w:rsid w:val="00503B9F"/>
    <w:rsid w:val="00503EB9"/>
    <w:rsid w:val="0050483C"/>
    <w:rsid w:val="005050EF"/>
    <w:rsid w:val="005053BF"/>
    <w:rsid w:val="005115BC"/>
    <w:rsid w:val="00512D93"/>
    <w:rsid w:val="00512EB2"/>
    <w:rsid w:val="005131F1"/>
    <w:rsid w:val="00513A00"/>
    <w:rsid w:val="00514575"/>
    <w:rsid w:val="0051484F"/>
    <w:rsid w:val="00514CE6"/>
    <w:rsid w:val="00515989"/>
    <w:rsid w:val="00515AC0"/>
    <w:rsid w:val="00516B3E"/>
    <w:rsid w:val="00516EDD"/>
    <w:rsid w:val="0051753A"/>
    <w:rsid w:val="00521BB1"/>
    <w:rsid w:val="00521D0A"/>
    <w:rsid w:val="00523766"/>
    <w:rsid w:val="00523B6E"/>
    <w:rsid w:val="00524872"/>
    <w:rsid w:val="005248D2"/>
    <w:rsid w:val="00524F33"/>
    <w:rsid w:val="0052524F"/>
    <w:rsid w:val="005253FA"/>
    <w:rsid w:val="00525C82"/>
    <w:rsid w:val="005262C9"/>
    <w:rsid w:val="00526B57"/>
    <w:rsid w:val="00527519"/>
    <w:rsid w:val="00531D70"/>
    <w:rsid w:val="00533ED7"/>
    <w:rsid w:val="005341B9"/>
    <w:rsid w:val="00535149"/>
    <w:rsid w:val="0053521E"/>
    <w:rsid w:val="0053591D"/>
    <w:rsid w:val="0053739B"/>
    <w:rsid w:val="00537591"/>
    <w:rsid w:val="005414ED"/>
    <w:rsid w:val="0054254D"/>
    <w:rsid w:val="00542BEF"/>
    <w:rsid w:val="0054380D"/>
    <w:rsid w:val="005448EF"/>
    <w:rsid w:val="00544995"/>
    <w:rsid w:val="00546552"/>
    <w:rsid w:val="00546D8D"/>
    <w:rsid w:val="0055112C"/>
    <w:rsid w:val="00551703"/>
    <w:rsid w:val="00551DEC"/>
    <w:rsid w:val="00552483"/>
    <w:rsid w:val="00552667"/>
    <w:rsid w:val="00552A9A"/>
    <w:rsid w:val="00553466"/>
    <w:rsid w:val="00553724"/>
    <w:rsid w:val="00554A31"/>
    <w:rsid w:val="00556E65"/>
    <w:rsid w:val="00557180"/>
    <w:rsid w:val="0055764B"/>
    <w:rsid w:val="00560FAF"/>
    <w:rsid w:val="00561367"/>
    <w:rsid w:val="00561D68"/>
    <w:rsid w:val="00565409"/>
    <w:rsid w:val="00566BF6"/>
    <w:rsid w:val="00566CA6"/>
    <w:rsid w:val="0056791D"/>
    <w:rsid w:val="005679A9"/>
    <w:rsid w:val="00567ACE"/>
    <w:rsid w:val="005713D1"/>
    <w:rsid w:val="0057175A"/>
    <w:rsid w:val="005718D8"/>
    <w:rsid w:val="00572B66"/>
    <w:rsid w:val="00573301"/>
    <w:rsid w:val="00573FCD"/>
    <w:rsid w:val="005744BE"/>
    <w:rsid w:val="00574C09"/>
    <w:rsid w:val="00574C63"/>
    <w:rsid w:val="00576187"/>
    <w:rsid w:val="00576EF3"/>
    <w:rsid w:val="00577191"/>
    <w:rsid w:val="005778FD"/>
    <w:rsid w:val="00577954"/>
    <w:rsid w:val="00577FAA"/>
    <w:rsid w:val="00580421"/>
    <w:rsid w:val="0058067F"/>
    <w:rsid w:val="00580BA0"/>
    <w:rsid w:val="00581973"/>
    <w:rsid w:val="00581E15"/>
    <w:rsid w:val="00582C5C"/>
    <w:rsid w:val="00582FFD"/>
    <w:rsid w:val="00583434"/>
    <w:rsid w:val="0058349F"/>
    <w:rsid w:val="00584FAD"/>
    <w:rsid w:val="005855B8"/>
    <w:rsid w:val="005856BF"/>
    <w:rsid w:val="005856DC"/>
    <w:rsid w:val="00585D8C"/>
    <w:rsid w:val="00585F35"/>
    <w:rsid w:val="0058672E"/>
    <w:rsid w:val="005917FD"/>
    <w:rsid w:val="005931D5"/>
    <w:rsid w:val="00593BA3"/>
    <w:rsid w:val="00594A46"/>
    <w:rsid w:val="00594F70"/>
    <w:rsid w:val="00595DC1"/>
    <w:rsid w:val="0059625D"/>
    <w:rsid w:val="00596316"/>
    <w:rsid w:val="00597F84"/>
    <w:rsid w:val="005A2DBC"/>
    <w:rsid w:val="005A2ED8"/>
    <w:rsid w:val="005A364E"/>
    <w:rsid w:val="005A3ACD"/>
    <w:rsid w:val="005A443A"/>
    <w:rsid w:val="005A6BDD"/>
    <w:rsid w:val="005A6CC9"/>
    <w:rsid w:val="005A78BF"/>
    <w:rsid w:val="005A7E61"/>
    <w:rsid w:val="005B0021"/>
    <w:rsid w:val="005B0A38"/>
    <w:rsid w:val="005B137A"/>
    <w:rsid w:val="005B1CEB"/>
    <w:rsid w:val="005B257E"/>
    <w:rsid w:val="005B45A4"/>
    <w:rsid w:val="005B46A9"/>
    <w:rsid w:val="005B4923"/>
    <w:rsid w:val="005B4C2A"/>
    <w:rsid w:val="005B4D82"/>
    <w:rsid w:val="005B5E22"/>
    <w:rsid w:val="005B6476"/>
    <w:rsid w:val="005B6B4C"/>
    <w:rsid w:val="005B70A1"/>
    <w:rsid w:val="005B7F19"/>
    <w:rsid w:val="005C4294"/>
    <w:rsid w:val="005C4D9C"/>
    <w:rsid w:val="005C7516"/>
    <w:rsid w:val="005D0204"/>
    <w:rsid w:val="005D1522"/>
    <w:rsid w:val="005D22AC"/>
    <w:rsid w:val="005D26DE"/>
    <w:rsid w:val="005D27C5"/>
    <w:rsid w:val="005D33FC"/>
    <w:rsid w:val="005D3520"/>
    <w:rsid w:val="005D3A25"/>
    <w:rsid w:val="005D44FE"/>
    <w:rsid w:val="005D4E39"/>
    <w:rsid w:val="005D4F06"/>
    <w:rsid w:val="005D5202"/>
    <w:rsid w:val="005D58B4"/>
    <w:rsid w:val="005D5C77"/>
    <w:rsid w:val="005D6168"/>
    <w:rsid w:val="005D6639"/>
    <w:rsid w:val="005E009B"/>
    <w:rsid w:val="005E04E7"/>
    <w:rsid w:val="005E0E1E"/>
    <w:rsid w:val="005E1317"/>
    <w:rsid w:val="005E27D7"/>
    <w:rsid w:val="005E3EB7"/>
    <w:rsid w:val="005E4A55"/>
    <w:rsid w:val="005E4F97"/>
    <w:rsid w:val="005E5531"/>
    <w:rsid w:val="005E6597"/>
    <w:rsid w:val="005E6B4F"/>
    <w:rsid w:val="005F0FFC"/>
    <w:rsid w:val="005F17C3"/>
    <w:rsid w:val="005F192B"/>
    <w:rsid w:val="005F1ADB"/>
    <w:rsid w:val="005F2BEE"/>
    <w:rsid w:val="005F30D9"/>
    <w:rsid w:val="005F3750"/>
    <w:rsid w:val="005F4B9E"/>
    <w:rsid w:val="005F4FDC"/>
    <w:rsid w:val="005F514E"/>
    <w:rsid w:val="005F5F5F"/>
    <w:rsid w:val="005F6BD6"/>
    <w:rsid w:val="005F6EFD"/>
    <w:rsid w:val="005F7AD6"/>
    <w:rsid w:val="005F7DA4"/>
    <w:rsid w:val="005F7EE0"/>
    <w:rsid w:val="006006FE"/>
    <w:rsid w:val="00601ECC"/>
    <w:rsid w:val="0060501F"/>
    <w:rsid w:val="0060516A"/>
    <w:rsid w:val="006060BA"/>
    <w:rsid w:val="006078A5"/>
    <w:rsid w:val="00607980"/>
    <w:rsid w:val="00607FCB"/>
    <w:rsid w:val="006100D9"/>
    <w:rsid w:val="006124A8"/>
    <w:rsid w:val="00612682"/>
    <w:rsid w:val="0061276D"/>
    <w:rsid w:val="00613A24"/>
    <w:rsid w:val="006153A4"/>
    <w:rsid w:val="00615A77"/>
    <w:rsid w:val="00615E5E"/>
    <w:rsid w:val="00616972"/>
    <w:rsid w:val="00617517"/>
    <w:rsid w:val="00617735"/>
    <w:rsid w:val="00620F3B"/>
    <w:rsid w:val="006218BA"/>
    <w:rsid w:val="00621C23"/>
    <w:rsid w:val="00621DC1"/>
    <w:rsid w:val="0062435E"/>
    <w:rsid w:val="00624770"/>
    <w:rsid w:val="00624971"/>
    <w:rsid w:val="00624E49"/>
    <w:rsid w:val="00626B04"/>
    <w:rsid w:val="00626F8C"/>
    <w:rsid w:val="00627909"/>
    <w:rsid w:val="00630313"/>
    <w:rsid w:val="00630A45"/>
    <w:rsid w:val="00632404"/>
    <w:rsid w:val="00634A54"/>
    <w:rsid w:val="00635038"/>
    <w:rsid w:val="00635CB8"/>
    <w:rsid w:val="006360BD"/>
    <w:rsid w:val="00636118"/>
    <w:rsid w:val="00636986"/>
    <w:rsid w:val="00637064"/>
    <w:rsid w:val="0063739B"/>
    <w:rsid w:val="00640695"/>
    <w:rsid w:val="00640D1F"/>
    <w:rsid w:val="00642129"/>
    <w:rsid w:val="0064250B"/>
    <w:rsid w:val="00642E30"/>
    <w:rsid w:val="00643B4D"/>
    <w:rsid w:val="006443B4"/>
    <w:rsid w:val="00644F99"/>
    <w:rsid w:val="006455B3"/>
    <w:rsid w:val="00645695"/>
    <w:rsid w:val="00645C81"/>
    <w:rsid w:val="00646BE4"/>
    <w:rsid w:val="00650220"/>
    <w:rsid w:val="0065087A"/>
    <w:rsid w:val="00650C46"/>
    <w:rsid w:val="00652588"/>
    <w:rsid w:val="00652735"/>
    <w:rsid w:val="00653B15"/>
    <w:rsid w:val="00654578"/>
    <w:rsid w:val="006549AD"/>
    <w:rsid w:val="00655392"/>
    <w:rsid w:val="0065597D"/>
    <w:rsid w:val="00656447"/>
    <w:rsid w:val="0065691D"/>
    <w:rsid w:val="00656CFE"/>
    <w:rsid w:val="00656D67"/>
    <w:rsid w:val="00657FC2"/>
    <w:rsid w:val="00661A4A"/>
    <w:rsid w:val="00662AD7"/>
    <w:rsid w:val="00662FCB"/>
    <w:rsid w:val="006635E4"/>
    <w:rsid w:val="00663952"/>
    <w:rsid w:val="00663C38"/>
    <w:rsid w:val="00663D15"/>
    <w:rsid w:val="00664273"/>
    <w:rsid w:val="00664F0F"/>
    <w:rsid w:val="00665063"/>
    <w:rsid w:val="0066793F"/>
    <w:rsid w:val="00667DAF"/>
    <w:rsid w:val="00670267"/>
    <w:rsid w:val="006702D6"/>
    <w:rsid w:val="00670746"/>
    <w:rsid w:val="0067176C"/>
    <w:rsid w:val="00672200"/>
    <w:rsid w:val="00672C18"/>
    <w:rsid w:val="00672E36"/>
    <w:rsid w:val="00674A89"/>
    <w:rsid w:val="00675507"/>
    <w:rsid w:val="006763E4"/>
    <w:rsid w:val="00676A6B"/>
    <w:rsid w:val="00676FDE"/>
    <w:rsid w:val="00677660"/>
    <w:rsid w:val="00680515"/>
    <w:rsid w:val="00681462"/>
    <w:rsid w:val="00681637"/>
    <w:rsid w:val="0068175D"/>
    <w:rsid w:val="0068182F"/>
    <w:rsid w:val="0068193D"/>
    <w:rsid w:val="00681C61"/>
    <w:rsid w:val="00682219"/>
    <w:rsid w:val="006824D2"/>
    <w:rsid w:val="00682665"/>
    <w:rsid w:val="006826AA"/>
    <w:rsid w:val="0068356A"/>
    <w:rsid w:val="00687D3E"/>
    <w:rsid w:val="00691580"/>
    <w:rsid w:val="00691B18"/>
    <w:rsid w:val="00692070"/>
    <w:rsid w:val="00692CE8"/>
    <w:rsid w:val="00692DEF"/>
    <w:rsid w:val="00692EF7"/>
    <w:rsid w:val="006957B0"/>
    <w:rsid w:val="00697472"/>
    <w:rsid w:val="00697853"/>
    <w:rsid w:val="006A03D4"/>
    <w:rsid w:val="006A0B90"/>
    <w:rsid w:val="006A0D41"/>
    <w:rsid w:val="006A0DB0"/>
    <w:rsid w:val="006A129A"/>
    <w:rsid w:val="006A12EB"/>
    <w:rsid w:val="006A1712"/>
    <w:rsid w:val="006A2E8F"/>
    <w:rsid w:val="006A2EF1"/>
    <w:rsid w:val="006A3900"/>
    <w:rsid w:val="006A4932"/>
    <w:rsid w:val="006A64A7"/>
    <w:rsid w:val="006A6629"/>
    <w:rsid w:val="006A6C9C"/>
    <w:rsid w:val="006A7737"/>
    <w:rsid w:val="006B0853"/>
    <w:rsid w:val="006B0DF4"/>
    <w:rsid w:val="006B11AE"/>
    <w:rsid w:val="006B1D95"/>
    <w:rsid w:val="006B5202"/>
    <w:rsid w:val="006B5323"/>
    <w:rsid w:val="006B5F17"/>
    <w:rsid w:val="006B6AB4"/>
    <w:rsid w:val="006B7B86"/>
    <w:rsid w:val="006B7CCE"/>
    <w:rsid w:val="006C11E3"/>
    <w:rsid w:val="006C2405"/>
    <w:rsid w:val="006C3ADE"/>
    <w:rsid w:val="006C52C0"/>
    <w:rsid w:val="006C5300"/>
    <w:rsid w:val="006C56CF"/>
    <w:rsid w:val="006C585C"/>
    <w:rsid w:val="006C5B3D"/>
    <w:rsid w:val="006C6534"/>
    <w:rsid w:val="006C6E39"/>
    <w:rsid w:val="006C7403"/>
    <w:rsid w:val="006D14ED"/>
    <w:rsid w:val="006D1A0F"/>
    <w:rsid w:val="006D1DA2"/>
    <w:rsid w:val="006D3970"/>
    <w:rsid w:val="006D3CC7"/>
    <w:rsid w:val="006D3D94"/>
    <w:rsid w:val="006D41DA"/>
    <w:rsid w:val="006D4836"/>
    <w:rsid w:val="006D4A6F"/>
    <w:rsid w:val="006D5901"/>
    <w:rsid w:val="006D5C2C"/>
    <w:rsid w:val="006D6BC8"/>
    <w:rsid w:val="006E057C"/>
    <w:rsid w:val="006E1B0F"/>
    <w:rsid w:val="006E2808"/>
    <w:rsid w:val="006E2F8C"/>
    <w:rsid w:val="006E3053"/>
    <w:rsid w:val="006E3DEE"/>
    <w:rsid w:val="006E3F1E"/>
    <w:rsid w:val="006F0B51"/>
    <w:rsid w:val="006F0B83"/>
    <w:rsid w:val="006F1AC9"/>
    <w:rsid w:val="006F3E47"/>
    <w:rsid w:val="006F60C3"/>
    <w:rsid w:val="006F6862"/>
    <w:rsid w:val="006F6D1E"/>
    <w:rsid w:val="006F7E9F"/>
    <w:rsid w:val="007009AA"/>
    <w:rsid w:val="00700EB5"/>
    <w:rsid w:val="007026F5"/>
    <w:rsid w:val="00702A59"/>
    <w:rsid w:val="00705131"/>
    <w:rsid w:val="00706016"/>
    <w:rsid w:val="0071089D"/>
    <w:rsid w:val="00712564"/>
    <w:rsid w:val="007129AA"/>
    <w:rsid w:val="00713491"/>
    <w:rsid w:val="0071397A"/>
    <w:rsid w:val="00713A17"/>
    <w:rsid w:val="007141B4"/>
    <w:rsid w:val="00715273"/>
    <w:rsid w:val="00717153"/>
    <w:rsid w:val="007173FF"/>
    <w:rsid w:val="00717813"/>
    <w:rsid w:val="00720B8A"/>
    <w:rsid w:val="00720CFD"/>
    <w:rsid w:val="00720E8B"/>
    <w:rsid w:val="007216B2"/>
    <w:rsid w:val="0072292A"/>
    <w:rsid w:val="007234A9"/>
    <w:rsid w:val="00723546"/>
    <w:rsid w:val="00723AC3"/>
    <w:rsid w:val="007253E5"/>
    <w:rsid w:val="0072675F"/>
    <w:rsid w:val="0072752E"/>
    <w:rsid w:val="00733E62"/>
    <w:rsid w:val="0073408A"/>
    <w:rsid w:val="0073464D"/>
    <w:rsid w:val="007359DA"/>
    <w:rsid w:val="00736998"/>
    <w:rsid w:val="007370EB"/>
    <w:rsid w:val="00737AE6"/>
    <w:rsid w:val="00737CA0"/>
    <w:rsid w:val="00737FF8"/>
    <w:rsid w:val="007406E3"/>
    <w:rsid w:val="007408AE"/>
    <w:rsid w:val="00740A17"/>
    <w:rsid w:val="00740FF2"/>
    <w:rsid w:val="0074363A"/>
    <w:rsid w:val="00743D41"/>
    <w:rsid w:val="007446F5"/>
    <w:rsid w:val="00744A57"/>
    <w:rsid w:val="00746117"/>
    <w:rsid w:val="0074616C"/>
    <w:rsid w:val="00746237"/>
    <w:rsid w:val="007462D6"/>
    <w:rsid w:val="0074738B"/>
    <w:rsid w:val="00747B9A"/>
    <w:rsid w:val="00747D32"/>
    <w:rsid w:val="007501F5"/>
    <w:rsid w:val="00750205"/>
    <w:rsid w:val="007504E5"/>
    <w:rsid w:val="0075140F"/>
    <w:rsid w:val="00751C45"/>
    <w:rsid w:val="00751D21"/>
    <w:rsid w:val="0075305C"/>
    <w:rsid w:val="0075399A"/>
    <w:rsid w:val="00753D03"/>
    <w:rsid w:val="00753F56"/>
    <w:rsid w:val="00754D86"/>
    <w:rsid w:val="007554D0"/>
    <w:rsid w:val="007568E3"/>
    <w:rsid w:val="00757A97"/>
    <w:rsid w:val="00757AAC"/>
    <w:rsid w:val="0076062E"/>
    <w:rsid w:val="00761899"/>
    <w:rsid w:val="00761ECE"/>
    <w:rsid w:val="00764F88"/>
    <w:rsid w:val="007656DC"/>
    <w:rsid w:val="0076585B"/>
    <w:rsid w:val="00766225"/>
    <w:rsid w:val="00766FC1"/>
    <w:rsid w:val="00770554"/>
    <w:rsid w:val="00770EF8"/>
    <w:rsid w:val="007720AC"/>
    <w:rsid w:val="00772754"/>
    <w:rsid w:val="00772799"/>
    <w:rsid w:val="007735F8"/>
    <w:rsid w:val="00774764"/>
    <w:rsid w:val="00774997"/>
    <w:rsid w:val="0077517A"/>
    <w:rsid w:val="00777565"/>
    <w:rsid w:val="007776E8"/>
    <w:rsid w:val="0077780F"/>
    <w:rsid w:val="00780A6A"/>
    <w:rsid w:val="00780C8F"/>
    <w:rsid w:val="00781DA6"/>
    <w:rsid w:val="007820A5"/>
    <w:rsid w:val="00782A2F"/>
    <w:rsid w:val="00782E76"/>
    <w:rsid w:val="00785506"/>
    <w:rsid w:val="007858CB"/>
    <w:rsid w:val="00786D10"/>
    <w:rsid w:val="00786F41"/>
    <w:rsid w:val="007901A8"/>
    <w:rsid w:val="007907F8"/>
    <w:rsid w:val="0079080E"/>
    <w:rsid w:val="00791687"/>
    <w:rsid w:val="00791C01"/>
    <w:rsid w:val="00792423"/>
    <w:rsid w:val="00793676"/>
    <w:rsid w:val="00793A9C"/>
    <w:rsid w:val="00794092"/>
    <w:rsid w:val="00794932"/>
    <w:rsid w:val="00794E65"/>
    <w:rsid w:val="007953F3"/>
    <w:rsid w:val="00795E92"/>
    <w:rsid w:val="007970FF"/>
    <w:rsid w:val="007971BA"/>
    <w:rsid w:val="00797EA0"/>
    <w:rsid w:val="007A06BB"/>
    <w:rsid w:val="007A2062"/>
    <w:rsid w:val="007A2D19"/>
    <w:rsid w:val="007A2E8B"/>
    <w:rsid w:val="007A3959"/>
    <w:rsid w:val="007A4007"/>
    <w:rsid w:val="007A488E"/>
    <w:rsid w:val="007A6A7C"/>
    <w:rsid w:val="007A7069"/>
    <w:rsid w:val="007A7803"/>
    <w:rsid w:val="007A7F49"/>
    <w:rsid w:val="007B0327"/>
    <w:rsid w:val="007B061E"/>
    <w:rsid w:val="007B110C"/>
    <w:rsid w:val="007B11F8"/>
    <w:rsid w:val="007B1E8D"/>
    <w:rsid w:val="007B2922"/>
    <w:rsid w:val="007B381A"/>
    <w:rsid w:val="007B48D5"/>
    <w:rsid w:val="007B50E3"/>
    <w:rsid w:val="007B6036"/>
    <w:rsid w:val="007B7281"/>
    <w:rsid w:val="007C009F"/>
    <w:rsid w:val="007C0828"/>
    <w:rsid w:val="007C0844"/>
    <w:rsid w:val="007C126E"/>
    <w:rsid w:val="007C1B5C"/>
    <w:rsid w:val="007C1E3F"/>
    <w:rsid w:val="007C2D26"/>
    <w:rsid w:val="007C2E45"/>
    <w:rsid w:val="007C33AD"/>
    <w:rsid w:val="007C5A5F"/>
    <w:rsid w:val="007C5B64"/>
    <w:rsid w:val="007C7019"/>
    <w:rsid w:val="007C7B3B"/>
    <w:rsid w:val="007D087C"/>
    <w:rsid w:val="007D0881"/>
    <w:rsid w:val="007D14D0"/>
    <w:rsid w:val="007D1ECA"/>
    <w:rsid w:val="007D2214"/>
    <w:rsid w:val="007D2AAC"/>
    <w:rsid w:val="007D2CA7"/>
    <w:rsid w:val="007D3537"/>
    <w:rsid w:val="007D40CC"/>
    <w:rsid w:val="007D4988"/>
    <w:rsid w:val="007D4D92"/>
    <w:rsid w:val="007D50B2"/>
    <w:rsid w:val="007D54E5"/>
    <w:rsid w:val="007D6E68"/>
    <w:rsid w:val="007D6FF2"/>
    <w:rsid w:val="007E06A8"/>
    <w:rsid w:val="007E1051"/>
    <w:rsid w:val="007E1B8B"/>
    <w:rsid w:val="007E1BA8"/>
    <w:rsid w:val="007E1F3B"/>
    <w:rsid w:val="007E32AD"/>
    <w:rsid w:val="007E33E4"/>
    <w:rsid w:val="007E48AB"/>
    <w:rsid w:val="007E4CC9"/>
    <w:rsid w:val="007E53FC"/>
    <w:rsid w:val="007E57D9"/>
    <w:rsid w:val="007E5E2F"/>
    <w:rsid w:val="007E64B0"/>
    <w:rsid w:val="007E6B57"/>
    <w:rsid w:val="007E7A50"/>
    <w:rsid w:val="007E7AEA"/>
    <w:rsid w:val="007F0785"/>
    <w:rsid w:val="007F0B03"/>
    <w:rsid w:val="007F0D4C"/>
    <w:rsid w:val="007F114E"/>
    <w:rsid w:val="007F329F"/>
    <w:rsid w:val="007F32C7"/>
    <w:rsid w:val="007F3CAE"/>
    <w:rsid w:val="007F4519"/>
    <w:rsid w:val="007F531E"/>
    <w:rsid w:val="007F7187"/>
    <w:rsid w:val="007F7977"/>
    <w:rsid w:val="007F7A2B"/>
    <w:rsid w:val="007F7BF7"/>
    <w:rsid w:val="00800D23"/>
    <w:rsid w:val="008011B6"/>
    <w:rsid w:val="00802ED0"/>
    <w:rsid w:val="0080368E"/>
    <w:rsid w:val="00803A1E"/>
    <w:rsid w:val="00803DD3"/>
    <w:rsid w:val="00804FB9"/>
    <w:rsid w:val="00805E54"/>
    <w:rsid w:val="008060B1"/>
    <w:rsid w:val="008066C7"/>
    <w:rsid w:val="008079A8"/>
    <w:rsid w:val="00807C75"/>
    <w:rsid w:val="00810D9A"/>
    <w:rsid w:val="0081185E"/>
    <w:rsid w:val="00811E08"/>
    <w:rsid w:val="00812114"/>
    <w:rsid w:val="0081248E"/>
    <w:rsid w:val="00812CE2"/>
    <w:rsid w:val="008161A3"/>
    <w:rsid w:val="00816273"/>
    <w:rsid w:val="008170CE"/>
    <w:rsid w:val="0082111D"/>
    <w:rsid w:val="008215F5"/>
    <w:rsid w:val="00821B38"/>
    <w:rsid w:val="00822590"/>
    <w:rsid w:val="00824112"/>
    <w:rsid w:val="00824494"/>
    <w:rsid w:val="008249C5"/>
    <w:rsid w:val="008252FE"/>
    <w:rsid w:val="00825ADB"/>
    <w:rsid w:val="0082605B"/>
    <w:rsid w:val="008269E4"/>
    <w:rsid w:val="0082717B"/>
    <w:rsid w:val="0082792C"/>
    <w:rsid w:val="00827B04"/>
    <w:rsid w:val="0083015F"/>
    <w:rsid w:val="0083032E"/>
    <w:rsid w:val="00830FA2"/>
    <w:rsid w:val="0083413D"/>
    <w:rsid w:val="008344E8"/>
    <w:rsid w:val="00834DEC"/>
    <w:rsid w:val="00835214"/>
    <w:rsid w:val="008354C6"/>
    <w:rsid w:val="008357D8"/>
    <w:rsid w:val="00836613"/>
    <w:rsid w:val="00836735"/>
    <w:rsid w:val="00836C27"/>
    <w:rsid w:val="0083784D"/>
    <w:rsid w:val="00840256"/>
    <w:rsid w:val="008409BF"/>
    <w:rsid w:val="0084157C"/>
    <w:rsid w:val="00841832"/>
    <w:rsid w:val="00841907"/>
    <w:rsid w:val="00841F9B"/>
    <w:rsid w:val="00842335"/>
    <w:rsid w:val="00843459"/>
    <w:rsid w:val="00843DEF"/>
    <w:rsid w:val="0084478C"/>
    <w:rsid w:val="00844BC7"/>
    <w:rsid w:val="008459E9"/>
    <w:rsid w:val="00847CE5"/>
    <w:rsid w:val="008511B0"/>
    <w:rsid w:val="008521A7"/>
    <w:rsid w:val="008524BF"/>
    <w:rsid w:val="008525E6"/>
    <w:rsid w:val="00853CD3"/>
    <w:rsid w:val="00853DEA"/>
    <w:rsid w:val="0085465A"/>
    <w:rsid w:val="008553A7"/>
    <w:rsid w:val="0085671C"/>
    <w:rsid w:val="00856F6B"/>
    <w:rsid w:val="00857441"/>
    <w:rsid w:val="008578B3"/>
    <w:rsid w:val="008602BF"/>
    <w:rsid w:val="0086036A"/>
    <w:rsid w:val="008603EC"/>
    <w:rsid w:val="00860CB7"/>
    <w:rsid w:val="00860D0F"/>
    <w:rsid w:val="00860ECE"/>
    <w:rsid w:val="00862AA7"/>
    <w:rsid w:val="008653A3"/>
    <w:rsid w:val="008657A2"/>
    <w:rsid w:val="00865B96"/>
    <w:rsid w:val="00866645"/>
    <w:rsid w:val="00870640"/>
    <w:rsid w:val="00871BB5"/>
    <w:rsid w:val="00871DA7"/>
    <w:rsid w:val="00872B8F"/>
    <w:rsid w:val="00873254"/>
    <w:rsid w:val="00873958"/>
    <w:rsid w:val="00874763"/>
    <w:rsid w:val="008747B5"/>
    <w:rsid w:val="00877E08"/>
    <w:rsid w:val="00880375"/>
    <w:rsid w:val="00880A7D"/>
    <w:rsid w:val="00882210"/>
    <w:rsid w:val="00882614"/>
    <w:rsid w:val="00882923"/>
    <w:rsid w:val="0088382E"/>
    <w:rsid w:val="008839BF"/>
    <w:rsid w:val="00884A4A"/>
    <w:rsid w:val="00884B0D"/>
    <w:rsid w:val="0088510A"/>
    <w:rsid w:val="00886D69"/>
    <w:rsid w:val="00887DBD"/>
    <w:rsid w:val="00890887"/>
    <w:rsid w:val="00891E74"/>
    <w:rsid w:val="008924E7"/>
    <w:rsid w:val="00892987"/>
    <w:rsid w:val="0089301E"/>
    <w:rsid w:val="008953AA"/>
    <w:rsid w:val="008962AC"/>
    <w:rsid w:val="008A17BE"/>
    <w:rsid w:val="008A2077"/>
    <w:rsid w:val="008A26A3"/>
    <w:rsid w:val="008A276F"/>
    <w:rsid w:val="008A3D05"/>
    <w:rsid w:val="008A4A83"/>
    <w:rsid w:val="008A54EA"/>
    <w:rsid w:val="008A5B77"/>
    <w:rsid w:val="008A6185"/>
    <w:rsid w:val="008A74EB"/>
    <w:rsid w:val="008A74FD"/>
    <w:rsid w:val="008A7CB2"/>
    <w:rsid w:val="008B01AF"/>
    <w:rsid w:val="008B1471"/>
    <w:rsid w:val="008B17B0"/>
    <w:rsid w:val="008B1A47"/>
    <w:rsid w:val="008B4596"/>
    <w:rsid w:val="008B4FE2"/>
    <w:rsid w:val="008B52DD"/>
    <w:rsid w:val="008B75E6"/>
    <w:rsid w:val="008C0295"/>
    <w:rsid w:val="008C0C1F"/>
    <w:rsid w:val="008C1FE9"/>
    <w:rsid w:val="008C2841"/>
    <w:rsid w:val="008C2970"/>
    <w:rsid w:val="008C3553"/>
    <w:rsid w:val="008C365B"/>
    <w:rsid w:val="008C46BB"/>
    <w:rsid w:val="008C71BC"/>
    <w:rsid w:val="008C743E"/>
    <w:rsid w:val="008C7DCE"/>
    <w:rsid w:val="008D00A9"/>
    <w:rsid w:val="008D10C6"/>
    <w:rsid w:val="008D18FC"/>
    <w:rsid w:val="008D398B"/>
    <w:rsid w:val="008D39DB"/>
    <w:rsid w:val="008D39DF"/>
    <w:rsid w:val="008D4765"/>
    <w:rsid w:val="008D4951"/>
    <w:rsid w:val="008D507A"/>
    <w:rsid w:val="008D7E49"/>
    <w:rsid w:val="008E174F"/>
    <w:rsid w:val="008E18C8"/>
    <w:rsid w:val="008E3891"/>
    <w:rsid w:val="008E4167"/>
    <w:rsid w:val="008E43B4"/>
    <w:rsid w:val="008E4A2D"/>
    <w:rsid w:val="008E4D35"/>
    <w:rsid w:val="008E5C75"/>
    <w:rsid w:val="008E6490"/>
    <w:rsid w:val="008E72D7"/>
    <w:rsid w:val="008E77EF"/>
    <w:rsid w:val="008F07A6"/>
    <w:rsid w:val="008F13CD"/>
    <w:rsid w:val="008F143D"/>
    <w:rsid w:val="008F2B51"/>
    <w:rsid w:val="008F364A"/>
    <w:rsid w:val="008F3F53"/>
    <w:rsid w:val="008F416F"/>
    <w:rsid w:val="008F53C4"/>
    <w:rsid w:val="008F54F4"/>
    <w:rsid w:val="008F743A"/>
    <w:rsid w:val="009002B8"/>
    <w:rsid w:val="0090080C"/>
    <w:rsid w:val="00900BFC"/>
    <w:rsid w:val="0090176F"/>
    <w:rsid w:val="00902BA2"/>
    <w:rsid w:val="00903619"/>
    <w:rsid w:val="00903CA9"/>
    <w:rsid w:val="00904367"/>
    <w:rsid w:val="009053D3"/>
    <w:rsid w:val="0090558A"/>
    <w:rsid w:val="0090588D"/>
    <w:rsid w:val="00905B45"/>
    <w:rsid w:val="00906103"/>
    <w:rsid w:val="00906A57"/>
    <w:rsid w:val="009071AA"/>
    <w:rsid w:val="00910A15"/>
    <w:rsid w:val="00911F8F"/>
    <w:rsid w:val="009120E6"/>
    <w:rsid w:val="00912184"/>
    <w:rsid w:val="0091250B"/>
    <w:rsid w:val="0091331E"/>
    <w:rsid w:val="00913392"/>
    <w:rsid w:val="00913E03"/>
    <w:rsid w:val="00914CC3"/>
    <w:rsid w:val="00914CE7"/>
    <w:rsid w:val="009152E0"/>
    <w:rsid w:val="00915C75"/>
    <w:rsid w:val="00915F3C"/>
    <w:rsid w:val="00916B84"/>
    <w:rsid w:val="009174EA"/>
    <w:rsid w:val="009202C9"/>
    <w:rsid w:val="0092190B"/>
    <w:rsid w:val="009229E9"/>
    <w:rsid w:val="00922C0A"/>
    <w:rsid w:val="00923C83"/>
    <w:rsid w:val="00924519"/>
    <w:rsid w:val="009250EF"/>
    <w:rsid w:val="00926953"/>
    <w:rsid w:val="00926E94"/>
    <w:rsid w:val="00926FED"/>
    <w:rsid w:val="009307A9"/>
    <w:rsid w:val="00930A55"/>
    <w:rsid w:val="00931F2C"/>
    <w:rsid w:val="00931FD1"/>
    <w:rsid w:val="00932703"/>
    <w:rsid w:val="009335B1"/>
    <w:rsid w:val="00933643"/>
    <w:rsid w:val="0093547C"/>
    <w:rsid w:val="0093578E"/>
    <w:rsid w:val="00936469"/>
    <w:rsid w:val="00937B3C"/>
    <w:rsid w:val="009400B7"/>
    <w:rsid w:val="009404D7"/>
    <w:rsid w:val="00940B74"/>
    <w:rsid w:val="0094115E"/>
    <w:rsid w:val="009414E0"/>
    <w:rsid w:val="00941F84"/>
    <w:rsid w:val="009422FD"/>
    <w:rsid w:val="00942722"/>
    <w:rsid w:val="0094299E"/>
    <w:rsid w:val="00942D08"/>
    <w:rsid w:val="00943660"/>
    <w:rsid w:val="0094399E"/>
    <w:rsid w:val="009447DE"/>
    <w:rsid w:val="00944B58"/>
    <w:rsid w:val="009457CB"/>
    <w:rsid w:val="00945B47"/>
    <w:rsid w:val="00946B4A"/>
    <w:rsid w:val="00946CF2"/>
    <w:rsid w:val="00947767"/>
    <w:rsid w:val="009500E5"/>
    <w:rsid w:val="00950EA0"/>
    <w:rsid w:val="0095241A"/>
    <w:rsid w:val="00952893"/>
    <w:rsid w:val="00952C40"/>
    <w:rsid w:val="00954DC2"/>
    <w:rsid w:val="009552A2"/>
    <w:rsid w:val="009568DB"/>
    <w:rsid w:val="00957B92"/>
    <w:rsid w:val="00960690"/>
    <w:rsid w:val="0096097D"/>
    <w:rsid w:val="009612B9"/>
    <w:rsid w:val="009622AF"/>
    <w:rsid w:val="0096290A"/>
    <w:rsid w:val="00962A07"/>
    <w:rsid w:val="00962CA8"/>
    <w:rsid w:val="00963B2B"/>
    <w:rsid w:val="00964023"/>
    <w:rsid w:val="009643FC"/>
    <w:rsid w:val="00964A4E"/>
    <w:rsid w:val="00965769"/>
    <w:rsid w:val="00965B64"/>
    <w:rsid w:val="009671C2"/>
    <w:rsid w:val="00967532"/>
    <w:rsid w:val="00967717"/>
    <w:rsid w:val="00967A85"/>
    <w:rsid w:val="00967EDF"/>
    <w:rsid w:val="009700C6"/>
    <w:rsid w:val="009705F4"/>
    <w:rsid w:val="00970695"/>
    <w:rsid w:val="00970966"/>
    <w:rsid w:val="009712BD"/>
    <w:rsid w:val="00972CF8"/>
    <w:rsid w:val="00972DA8"/>
    <w:rsid w:val="00973412"/>
    <w:rsid w:val="0097410F"/>
    <w:rsid w:val="00974442"/>
    <w:rsid w:val="0097700B"/>
    <w:rsid w:val="00977660"/>
    <w:rsid w:val="0097794B"/>
    <w:rsid w:val="00980163"/>
    <w:rsid w:val="00980F78"/>
    <w:rsid w:val="0098343A"/>
    <w:rsid w:val="00984350"/>
    <w:rsid w:val="009844E1"/>
    <w:rsid w:val="009846CC"/>
    <w:rsid w:val="009847AF"/>
    <w:rsid w:val="0098587B"/>
    <w:rsid w:val="00986861"/>
    <w:rsid w:val="00986D48"/>
    <w:rsid w:val="009875C8"/>
    <w:rsid w:val="00990027"/>
    <w:rsid w:val="00990AF8"/>
    <w:rsid w:val="00992C2C"/>
    <w:rsid w:val="00992C73"/>
    <w:rsid w:val="009933BD"/>
    <w:rsid w:val="009944F1"/>
    <w:rsid w:val="0099506C"/>
    <w:rsid w:val="00995390"/>
    <w:rsid w:val="00997C9B"/>
    <w:rsid w:val="00997ED7"/>
    <w:rsid w:val="009A0984"/>
    <w:rsid w:val="009A1394"/>
    <w:rsid w:val="009A199A"/>
    <w:rsid w:val="009A1C25"/>
    <w:rsid w:val="009A1D94"/>
    <w:rsid w:val="009A3BE1"/>
    <w:rsid w:val="009A5A9E"/>
    <w:rsid w:val="009A6436"/>
    <w:rsid w:val="009A6794"/>
    <w:rsid w:val="009A67E1"/>
    <w:rsid w:val="009A6AF7"/>
    <w:rsid w:val="009A6DAD"/>
    <w:rsid w:val="009B0F68"/>
    <w:rsid w:val="009B13F6"/>
    <w:rsid w:val="009B2842"/>
    <w:rsid w:val="009B2C07"/>
    <w:rsid w:val="009B4097"/>
    <w:rsid w:val="009B46C2"/>
    <w:rsid w:val="009B66DE"/>
    <w:rsid w:val="009B71DF"/>
    <w:rsid w:val="009C16E0"/>
    <w:rsid w:val="009C1819"/>
    <w:rsid w:val="009C18A7"/>
    <w:rsid w:val="009C4107"/>
    <w:rsid w:val="009C60A9"/>
    <w:rsid w:val="009C6E38"/>
    <w:rsid w:val="009C7199"/>
    <w:rsid w:val="009C7363"/>
    <w:rsid w:val="009D076B"/>
    <w:rsid w:val="009D0983"/>
    <w:rsid w:val="009D0AE7"/>
    <w:rsid w:val="009D15DF"/>
    <w:rsid w:val="009D1A9A"/>
    <w:rsid w:val="009D36CE"/>
    <w:rsid w:val="009D446A"/>
    <w:rsid w:val="009D4830"/>
    <w:rsid w:val="009D5EF3"/>
    <w:rsid w:val="009E0087"/>
    <w:rsid w:val="009E091D"/>
    <w:rsid w:val="009E0D1D"/>
    <w:rsid w:val="009E1AEE"/>
    <w:rsid w:val="009E2313"/>
    <w:rsid w:val="009E28AD"/>
    <w:rsid w:val="009E3288"/>
    <w:rsid w:val="009E4A9B"/>
    <w:rsid w:val="009E5785"/>
    <w:rsid w:val="009E6723"/>
    <w:rsid w:val="009E6D59"/>
    <w:rsid w:val="009E739E"/>
    <w:rsid w:val="009E7934"/>
    <w:rsid w:val="009F0FFD"/>
    <w:rsid w:val="009F19CA"/>
    <w:rsid w:val="009F1F69"/>
    <w:rsid w:val="009F248A"/>
    <w:rsid w:val="009F25F9"/>
    <w:rsid w:val="009F3DFB"/>
    <w:rsid w:val="009F5BA1"/>
    <w:rsid w:val="009F65A9"/>
    <w:rsid w:val="009F678B"/>
    <w:rsid w:val="009F7A8C"/>
    <w:rsid w:val="00A00C88"/>
    <w:rsid w:val="00A024E4"/>
    <w:rsid w:val="00A041C2"/>
    <w:rsid w:val="00A0641C"/>
    <w:rsid w:val="00A07202"/>
    <w:rsid w:val="00A10B0E"/>
    <w:rsid w:val="00A11998"/>
    <w:rsid w:val="00A13639"/>
    <w:rsid w:val="00A14524"/>
    <w:rsid w:val="00A14FEC"/>
    <w:rsid w:val="00A15FDD"/>
    <w:rsid w:val="00A17000"/>
    <w:rsid w:val="00A1752B"/>
    <w:rsid w:val="00A226F4"/>
    <w:rsid w:val="00A22823"/>
    <w:rsid w:val="00A22F75"/>
    <w:rsid w:val="00A23BF4"/>
    <w:rsid w:val="00A23E61"/>
    <w:rsid w:val="00A23ED6"/>
    <w:rsid w:val="00A2504F"/>
    <w:rsid w:val="00A2509E"/>
    <w:rsid w:val="00A250D4"/>
    <w:rsid w:val="00A2593B"/>
    <w:rsid w:val="00A2688F"/>
    <w:rsid w:val="00A27116"/>
    <w:rsid w:val="00A274F1"/>
    <w:rsid w:val="00A3015D"/>
    <w:rsid w:val="00A3021C"/>
    <w:rsid w:val="00A31A3D"/>
    <w:rsid w:val="00A34BBF"/>
    <w:rsid w:val="00A34E05"/>
    <w:rsid w:val="00A3582A"/>
    <w:rsid w:val="00A40A76"/>
    <w:rsid w:val="00A4127A"/>
    <w:rsid w:val="00A42A1A"/>
    <w:rsid w:val="00A42E5F"/>
    <w:rsid w:val="00A42FA6"/>
    <w:rsid w:val="00A43684"/>
    <w:rsid w:val="00A43D8B"/>
    <w:rsid w:val="00A454F1"/>
    <w:rsid w:val="00A47C22"/>
    <w:rsid w:val="00A47F84"/>
    <w:rsid w:val="00A50A5E"/>
    <w:rsid w:val="00A50AFE"/>
    <w:rsid w:val="00A51124"/>
    <w:rsid w:val="00A52521"/>
    <w:rsid w:val="00A52A9E"/>
    <w:rsid w:val="00A52C65"/>
    <w:rsid w:val="00A5392B"/>
    <w:rsid w:val="00A53A25"/>
    <w:rsid w:val="00A53F8F"/>
    <w:rsid w:val="00A543CC"/>
    <w:rsid w:val="00A54759"/>
    <w:rsid w:val="00A54764"/>
    <w:rsid w:val="00A5617F"/>
    <w:rsid w:val="00A56684"/>
    <w:rsid w:val="00A62C07"/>
    <w:rsid w:val="00A62EE7"/>
    <w:rsid w:val="00A63C43"/>
    <w:rsid w:val="00A65F64"/>
    <w:rsid w:val="00A669DF"/>
    <w:rsid w:val="00A669F2"/>
    <w:rsid w:val="00A66A41"/>
    <w:rsid w:val="00A7059A"/>
    <w:rsid w:val="00A71D66"/>
    <w:rsid w:val="00A71FC6"/>
    <w:rsid w:val="00A72F9F"/>
    <w:rsid w:val="00A7459A"/>
    <w:rsid w:val="00A756D6"/>
    <w:rsid w:val="00A75B27"/>
    <w:rsid w:val="00A75B7E"/>
    <w:rsid w:val="00A75EA6"/>
    <w:rsid w:val="00A77494"/>
    <w:rsid w:val="00A77CB9"/>
    <w:rsid w:val="00A77EB8"/>
    <w:rsid w:val="00A81E94"/>
    <w:rsid w:val="00A8277C"/>
    <w:rsid w:val="00A82B15"/>
    <w:rsid w:val="00A82D23"/>
    <w:rsid w:val="00A834C2"/>
    <w:rsid w:val="00A834D5"/>
    <w:rsid w:val="00A8358B"/>
    <w:rsid w:val="00A847B4"/>
    <w:rsid w:val="00A84E96"/>
    <w:rsid w:val="00A84F0A"/>
    <w:rsid w:val="00A8580D"/>
    <w:rsid w:val="00A86A26"/>
    <w:rsid w:val="00A87A41"/>
    <w:rsid w:val="00A9009A"/>
    <w:rsid w:val="00A93CFF"/>
    <w:rsid w:val="00A943B7"/>
    <w:rsid w:val="00A95367"/>
    <w:rsid w:val="00A954D5"/>
    <w:rsid w:val="00A96BC6"/>
    <w:rsid w:val="00A96D91"/>
    <w:rsid w:val="00A97861"/>
    <w:rsid w:val="00AA0640"/>
    <w:rsid w:val="00AA0738"/>
    <w:rsid w:val="00AA4C37"/>
    <w:rsid w:val="00AA5749"/>
    <w:rsid w:val="00AA5F64"/>
    <w:rsid w:val="00AA5FE8"/>
    <w:rsid w:val="00AB1327"/>
    <w:rsid w:val="00AB1AAB"/>
    <w:rsid w:val="00AB1C66"/>
    <w:rsid w:val="00AB2831"/>
    <w:rsid w:val="00AB31EF"/>
    <w:rsid w:val="00AB5864"/>
    <w:rsid w:val="00AB76AD"/>
    <w:rsid w:val="00AB7779"/>
    <w:rsid w:val="00AB7DD2"/>
    <w:rsid w:val="00AC0416"/>
    <w:rsid w:val="00AC06EE"/>
    <w:rsid w:val="00AC0986"/>
    <w:rsid w:val="00AC1C17"/>
    <w:rsid w:val="00AC2878"/>
    <w:rsid w:val="00AC29D0"/>
    <w:rsid w:val="00AC3166"/>
    <w:rsid w:val="00AC358C"/>
    <w:rsid w:val="00AC3F88"/>
    <w:rsid w:val="00AC4123"/>
    <w:rsid w:val="00AC5756"/>
    <w:rsid w:val="00AC7251"/>
    <w:rsid w:val="00AC73D1"/>
    <w:rsid w:val="00AD170D"/>
    <w:rsid w:val="00AD1E92"/>
    <w:rsid w:val="00AD50E4"/>
    <w:rsid w:val="00AD572B"/>
    <w:rsid w:val="00AD5743"/>
    <w:rsid w:val="00AD57B3"/>
    <w:rsid w:val="00AD595E"/>
    <w:rsid w:val="00AD6818"/>
    <w:rsid w:val="00AD7E48"/>
    <w:rsid w:val="00AE05D9"/>
    <w:rsid w:val="00AE10A5"/>
    <w:rsid w:val="00AE1F38"/>
    <w:rsid w:val="00AE3A04"/>
    <w:rsid w:val="00AE51BA"/>
    <w:rsid w:val="00AE5211"/>
    <w:rsid w:val="00AE5917"/>
    <w:rsid w:val="00AE617D"/>
    <w:rsid w:val="00AE6860"/>
    <w:rsid w:val="00AF0673"/>
    <w:rsid w:val="00AF0C7C"/>
    <w:rsid w:val="00AF4466"/>
    <w:rsid w:val="00AF464B"/>
    <w:rsid w:val="00AF470B"/>
    <w:rsid w:val="00AF4DED"/>
    <w:rsid w:val="00AF53A1"/>
    <w:rsid w:val="00AF60B4"/>
    <w:rsid w:val="00AF6C37"/>
    <w:rsid w:val="00AF785B"/>
    <w:rsid w:val="00AF7F81"/>
    <w:rsid w:val="00B00769"/>
    <w:rsid w:val="00B0078E"/>
    <w:rsid w:val="00B01D86"/>
    <w:rsid w:val="00B020B7"/>
    <w:rsid w:val="00B02532"/>
    <w:rsid w:val="00B04B87"/>
    <w:rsid w:val="00B04E33"/>
    <w:rsid w:val="00B06078"/>
    <w:rsid w:val="00B06233"/>
    <w:rsid w:val="00B063DA"/>
    <w:rsid w:val="00B0708E"/>
    <w:rsid w:val="00B07E4E"/>
    <w:rsid w:val="00B11FD1"/>
    <w:rsid w:val="00B128B0"/>
    <w:rsid w:val="00B12C26"/>
    <w:rsid w:val="00B12DAB"/>
    <w:rsid w:val="00B137E9"/>
    <w:rsid w:val="00B1428F"/>
    <w:rsid w:val="00B14F7D"/>
    <w:rsid w:val="00B157B4"/>
    <w:rsid w:val="00B17616"/>
    <w:rsid w:val="00B17FD5"/>
    <w:rsid w:val="00B20E46"/>
    <w:rsid w:val="00B2290F"/>
    <w:rsid w:val="00B231F6"/>
    <w:rsid w:val="00B2361F"/>
    <w:rsid w:val="00B24043"/>
    <w:rsid w:val="00B243CD"/>
    <w:rsid w:val="00B251A9"/>
    <w:rsid w:val="00B255FF"/>
    <w:rsid w:val="00B26E55"/>
    <w:rsid w:val="00B2718D"/>
    <w:rsid w:val="00B271B5"/>
    <w:rsid w:val="00B27CEF"/>
    <w:rsid w:val="00B3022D"/>
    <w:rsid w:val="00B3023B"/>
    <w:rsid w:val="00B30603"/>
    <w:rsid w:val="00B30813"/>
    <w:rsid w:val="00B30A9F"/>
    <w:rsid w:val="00B30EA2"/>
    <w:rsid w:val="00B31033"/>
    <w:rsid w:val="00B32A9C"/>
    <w:rsid w:val="00B3406D"/>
    <w:rsid w:val="00B34708"/>
    <w:rsid w:val="00B3490E"/>
    <w:rsid w:val="00B34FE7"/>
    <w:rsid w:val="00B3505F"/>
    <w:rsid w:val="00B36ED3"/>
    <w:rsid w:val="00B40E67"/>
    <w:rsid w:val="00B413CD"/>
    <w:rsid w:val="00B41425"/>
    <w:rsid w:val="00B415F8"/>
    <w:rsid w:val="00B41841"/>
    <w:rsid w:val="00B41B79"/>
    <w:rsid w:val="00B4235D"/>
    <w:rsid w:val="00B42709"/>
    <w:rsid w:val="00B42DA7"/>
    <w:rsid w:val="00B42E03"/>
    <w:rsid w:val="00B44018"/>
    <w:rsid w:val="00B446DA"/>
    <w:rsid w:val="00B44C9C"/>
    <w:rsid w:val="00B4605B"/>
    <w:rsid w:val="00B464C1"/>
    <w:rsid w:val="00B50339"/>
    <w:rsid w:val="00B50D28"/>
    <w:rsid w:val="00B51127"/>
    <w:rsid w:val="00B513C9"/>
    <w:rsid w:val="00B51A65"/>
    <w:rsid w:val="00B51D93"/>
    <w:rsid w:val="00B52B59"/>
    <w:rsid w:val="00B52D5F"/>
    <w:rsid w:val="00B54433"/>
    <w:rsid w:val="00B54764"/>
    <w:rsid w:val="00B54EDF"/>
    <w:rsid w:val="00B55F77"/>
    <w:rsid w:val="00B56006"/>
    <w:rsid w:val="00B56EF4"/>
    <w:rsid w:val="00B57745"/>
    <w:rsid w:val="00B57BB6"/>
    <w:rsid w:val="00B57E73"/>
    <w:rsid w:val="00B60173"/>
    <w:rsid w:val="00B6053F"/>
    <w:rsid w:val="00B60E96"/>
    <w:rsid w:val="00B6198C"/>
    <w:rsid w:val="00B62599"/>
    <w:rsid w:val="00B62D56"/>
    <w:rsid w:val="00B63084"/>
    <w:rsid w:val="00B63F90"/>
    <w:rsid w:val="00B65569"/>
    <w:rsid w:val="00B65BE4"/>
    <w:rsid w:val="00B65DDF"/>
    <w:rsid w:val="00B664BD"/>
    <w:rsid w:val="00B6717F"/>
    <w:rsid w:val="00B67768"/>
    <w:rsid w:val="00B70485"/>
    <w:rsid w:val="00B70784"/>
    <w:rsid w:val="00B707C8"/>
    <w:rsid w:val="00B70990"/>
    <w:rsid w:val="00B70AD6"/>
    <w:rsid w:val="00B7134A"/>
    <w:rsid w:val="00B71883"/>
    <w:rsid w:val="00B74679"/>
    <w:rsid w:val="00B75DC3"/>
    <w:rsid w:val="00B76847"/>
    <w:rsid w:val="00B77B42"/>
    <w:rsid w:val="00B8055B"/>
    <w:rsid w:val="00B80ABB"/>
    <w:rsid w:val="00B8103C"/>
    <w:rsid w:val="00B810C8"/>
    <w:rsid w:val="00B81830"/>
    <w:rsid w:val="00B82A13"/>
    <w:rsid w:val="00B84769"/>
    <w:rsid w:val="00B85CF6"/>
    <w:rsid w:val="00B872E4"/>
    <w:rsid w:val="00B8745F"/>
    <w:rsid w:val="00B87595"/>
    <w:rsid w:val="00B90939"/>
    <w:rsid w:val="00B91263"/>
    <w:rsid w:val="00B917BF"/>
    <w:rsid w:val="00B9206F"/>
    <w:rsid w:val="00B92246"/>
    <w:rsid w:val="00B926A9"/>
    <w:rsid w:val="00B92982"/>
    <w:rsid w:val="00B92C3A"/>
    <w:rsid w:val="00B93012"/>
    <w:rsid w:val="00B93148"/>
    <w:rsid w:val="00B93231"/>
    <w:rsid w:val="00B94B7A"/>
    <w:rsid w:val="00B958F1"/>
    <w:rsid w:val="00B963CB"/>
    <w:rsid w:val="00B973C6"/>
    <w:rsid w:val="00B977D3"/>
    <w:rsid w:val="00B978F6"/>
    <w:rsid w:val="00BA035F"/>
    <w:rsid w:val="00BA09F0"/>
    <w:rsid w:val="00BA2F04"/>
    <w:rsid w:val="00BA33DA"/>
    <w:rsid w:val="00BA5922"/>
    <w:rsid w:val="00BA5C9F"/>
    <w:rsid w:val="00BA5CED"/>
    <w:rsid w:val="00BA5ECB"/>
    <w:rsid w:val="00BA72B6"/>
    <w:rsid w:val="00BA7404"/>
    <w:rsid w:val="00BA77D4"/>
    <w:rsid w:val="00BB0A67"/>
    <w:rsid w:val="00BB143B"/>
    <w:rsid w:val="00BB1B37"/>
    <w:rsid w:val="00BB24E1"/>
    <w:rsid w:val="00BB4609"/>
    <w:rsid w:val="00BB47EA"/>
    <w:rsid w:val="00BB5F9F"/>
    <w:rsid w:val="00BB74CA"/>
    <w:rsid w:val="00BB770F"/>
    <w:rsid w:val="00BC0321"/>
    <w:rsid w:val="00BC0ACB"/>
    <w:rsid w:val="00BC0F03"/>
    <w:rsid w:val="00BC150A"/>
    <w:rsid w:val="00BC1C35"/>
    <w:rsid w:val="00BC207B"/>
    <w:rsid w:val="00BC20DD"/>
    <w:rsid w:val="00BC5701"/>
    <w:rsid w:val="00BC5C16"/>
    <w:rsid w:val="00BC6256"/>
    <w:rsid w:val="00BD08F6"/>
    <w:rsid w:val="00BD0FA6"/>
    <w:rsid w:val="00BD12D9"/>
    <w:rsid w:val="00BD1ABF"/>
    <w:rsid w:val="00BD1B2E"/>
    <w:rsid w:val="00BD29C2"/>
    <w:rsid w:val="00BD30AC"/>
    <w:rsid w:val="00BD39CA"/>
    <w:rsid w:val="00BD3B30"/>
    <w:rsid w:val="00BD510B"/>
    <w:rsid w:val="00BD53BB"/>
    <w:rsid w:val="00BD576B"/>
    <w:rsid w:val="00BD59D8"/>
    <w:rsid w:val="00BD622D"/>
    <w:rsid w:val="00BD718F"/>
    <w:rsid w:val="00BD7FD4"/>
    <w:rsid w:val="00BE1593"/>
    <w:rsid w:val="00BE1AD7"/>
    <w:rsid w:val="00BE1D85"/>
    <w:rsid w:val="00BE1DF8"/>
    <w:rsid w:val="00BE26EE"/>
    <w:rsid w:val="00BE2AC3"/>
    <w:rsid w:val="00BE3E2D"/>
    <w:rsid w:val="00BE4D74"/>
    <w:rsid w:val="00BE574B"/>
    <w:rsid w:val="00BE5982"/>
    <w:rsid w:val="00BE5BE5"/>
    <w:rsid w:val="00BE6211"/>
    <w:rsid w:val="00BE7CB9"/>
    <w:rsid w:val="00BF082D"/>
    <w:rsid w:val="00BF22E7"/>
    <w:rsid w:val="00BF30B7"/>
    <w:rsid w:val="00BF4816"/>
    <w:rsid w:val="00BF6B3A"/>
    <w:rsid w:val="00BF77E8"/>
    <w:rsid w:val="00C02AF8"/>
    <w:rsid w:val="00C02E7B"/>
    <w:rsid w:val="00C03421"/>
    <w:rsid w:val="00C03B88"/>
    <w:rsid w:val="00C03F90"/>
    <w:rsid w:val="00C05070"/>
    <w:rsid w:val="00C052C1"/>
    <w:rsid w:val="00C056D2"/>
    <w:rsid w:val="00C058F2"/>
    <w:rsid w:val="00C1242A"/>
    <w:rsid w:val="00C1281A"/>
    <w:rsid w:val="00C13B5C"/>
    <w:rsid w:val="00C14175"/>
    <w:rsid w:val="00C14629"/>
    <w:rsid w:val="00C15419"/>
    <w:rsid w:val="00C15F6B"/>
    <w:rsid w:val="00C16398"/>
    <w:rsid w:val="00C165AE"/>
    <w:rsid w:val="00C16948"/>
    <w:rsid w:val="00C17819"/>
    <w:rsid w:val="00C17E01"/>
    <w:rsid w:val="00C222E7"/>
    <w:rsid w:val="00C226CE"/>
    <w:rsid w:val="00C22894"/>
    <w:rsid w:val="00C228B3"/>
    <w:rsid w:val="00C22D33"/>
    <w:rsid w:val="00C22D80"/>
    <w:rsid w:val="00C23468"/>
    <w:rsid w:val="00C23B8E"/>
    <w:rsid w:val="00C2456A"/>
    <w:rsid w:val="00C25296"/>
    <w:rsid w:val="00C2537E"/>
    <w:rsid w:val="00C25779"/>
    <w:rsid w:val="00C2586D"/>
    <w:rsid w:val="00C2671A"/>
    <w:rsid w:val="00C26CA3"/>
    <w:rsid w:val="00C279E2"/>
    <w:rsid w:val="00C304F7"/>
    <w:rsid w:val="00C30C95"/>
    <w:rsid w:val="00C3121D"/>
    <w:rsid w:val="00C3188C"/>
    <w:rsid w:val="00C31AC4"/>
    <w:rsid w:val="00C32CE4"/>
    <w:rsid w:val="00C333A6"/>
    <w:rsid w:val="00C33408"/>
    <w:rsid w:val="00C33965"/>
    <w:rsid w:val="00C34001"/>
    <w:rsid w:val="00C357B2"/>
    <w:rsid w:val="00C35D80"/>
    <w:rsid w:val="00C36DBD"/>
    <w:rsid w:val="00C3704A"/>
    <w:rsid w:val="00C37882"/>
    <w:rsid w:val="00C37FB5"/>
    <w:rsid w:val="00C40196"/>
    <w:rsid w:val="00C4072A"/>
    <w:rsid w:val="00C40871"/>
    <w:rsid w:val="00C409BE"/>
    <w:rsid w:val="00C423CA"/>
    <w:rsid w:val="00C42AD8"/>
    <w:rsid w:val="00C42B78"/>
    <w:rsid w:val="00C431D4"/>
    <w:rsid w:val="00C45EE1"/>
    <w:rsid w:val="00C467B3"/>
    <w:rsid w:val="00C47334"/>
    <w:rsid w:val="00C479C7"/>
    <w:rsid w:val="00C505D6"/>
    <w:rsid w:val="00C5313F"/>
    <w:rsid w:val="00C53ACD"/>
    <w:rsid w:val="00C550E5"/>
    <w:rsid w:val="00C562C8"/>
    <w:rsid w:val="00C609A0"/>
    <w:rsid w:val="00C61594"/>
    <w:rsid w:val="00C621BC"/>
    <w:rsid w:val="00C62C1F"/>
    <w:rsid w:val="00C62D4B"/>
    <w:rsid w:val="00C63CAC"/>
    <w:rsid w:val="00C6425C"/>
    <w:rsid w:val="00C643FC"/>
    <w:rsid w:val="00C652ED"/>
    <w:rsid w:val="00C6596F"/>
    <w:rsid w:val="00C65B2E"/>
    <w:rsid w:val="00C6677D"/>
    <w:rsid w:val="00C673F2"/>
    <w:rsid w:val="00C7071F"/>
    <w:rsid w:val="00C70AFD"/>
    <w:rsid w:val="00C7169F"/>
    <w:rsid w:val="00C72083"/>
    <w:rsid w:val="00C72561"/>
    <w:rsid w:val="00C728A7"/>
    <w:rsid w:val="00C749CB"/>
    <w:rsid w:val="00C76C57"/>
    <w:rsid w:val="00C7793C"/>
    <w:rsid w:val="00C80096"/>
    <w:rsid w:val="00C8045F"/>
    <w:rsid w:val="00C80541"/>
    <w:rsid w:val="00C818BF"/>
    <w:rsid w:val="00C81FFC"/>
    <w:rsid w:val="00C83551"/>
    <w:rsid w:val="00C84A2B"/>
    <w:rsid w:val="00C85A7A"/>
    <w:rsid w:val="00C85C09"/>
    <w:rsid w:val="00C86097"/>
    <w:rsid w:val="00C8658B"/>
    <w:rsid w:val="00C86B70"/>
    <w:rsid w:val="00C8702A"/>
    <w:rsid w:val="00C8714C"/>
    <w:rsid w:val="00C87615"/>
    <w:rsid w:val="00C905C5"/>
    <w:rsid w:val="00C91917"/>
    <w:rsid w:val="00C927B6"/>
    <w:rsid w:val="00C92EAE"/>
    <w:rsid w:val="00C939A8"/>
    <w:rsid w:val="00C93B66"/>
    <w:rsid w:val="00C97145"/>
    <w:rsid w:val="00C97DB2"/>
    <w:rsid w:val="00CA3D96"/>
    <w:rsid w:val="00CA43D4"/>
    <w:rsid w:val="00CA538E"/>
    <w:rsid w:val="00CA5710"/>
    <w:rsid w:val="00CA57F9"/>
    <w:rsid w:val="00CA5851"/>
    <w:rsid w:val="00CA6838"/>
    <w:rsid w:val="00CB018C"/>
    <w:rsid w:val="00CB101A"/>
    <w:rsid w:val="00CB1AB7"/>
    <w:rsid w:val="00CB3748"/>
    <w:rsid w:val="00CB45AF"/>
    <w:rsid w:val="00CB53A7"/>
    <w:rsid w:val="00CB58A0"/>
    <w:rsid w:val="00CB5A69"/>
    <w:rsid w:val="00CB7B03"/>
    <w:rsid w:val="00CC0B88"/>
    <w:rsid w:val="00CC230F"/>
    <w:rsid w:val="00CC2658"/>
    <w:rsid w:val="00CC566D"/>
    <w:rsid w:val="00CC5BCE"/>
    <w:rsid w:val="00CC5CA9"/>
    <w:rsid w:val="00CC651F"/>
    <w:rsid w:val="00CC66B8"/>
    <w:rsid w:val="00CC69B8"/>
    <w:rsid w:val="00CC7964"/>
    <w:rsid w:val="00CD1246"/>
    <w:rsid w:val="00CD201C"/>
    <w:rsid w:val="00CD203A"/>
    <w:rsid w:val="00CD2840"/>
    <w:rsid w:val="00CD2F0B"/>
    <w:rsid w:val="00CD3F95"/>
    <w:rsid w:val="00CD40F1"/>
    <w:rsid w:val="00CD5759"/>
    <w:rsid w:val="00CD5A5A"/>
    <w:rsid w:val="00CD5CF6"/>
    <w:rsid w:val="00CD5D09"/>
    <w:rsid w:val="00CD5F30"/>
    <w:rsid w:val="00CD698C"/>
    <w:rsid w:val="00CD6A9B"/>
    <w:rsid w:val="00CD7C6F"/>
    <w:rsid w:val="00CD7E6D"/>
    <w:rsid w:val="00CE0242"/>
    <w:rsid w:val="00CE0579"/>
    <w:rsid w:val="00CE18AB"/>
    <w:rsid w:val="00CE2104"/>
    <w:rsid w:val="00CE5E8A"/>
    <w:rsid w:val="00CE70A4"/>
    <w:rsid w:val="00CE712C"/>
    <w:rsid w:val="00CE73F4"/>
    <w:rsid w:val="00CE7852"/>
    <w:rsid w:val="00CF06B5"/>
    <w:rsid w:val="00CF06D5"/>
    <w:rsid w:val="00CF09D2"/>
    <w:rsid w:val="00CF1455"/>
    <w:rsid w:val="00CF18AB"/>
    <w:rsid w:val="00CF25D3"/>
    <w:rsid w:val="00CF4BE2"/>
    <w:rsid w:val="00D0068A"/>
    <w:rsid w:val="00D00748"/>
    <w:rsid w:val="00D010FD"/>
    <w:rsid w:val="00D02812"/>
    <w:rsid w:val="00D02C4F"/>
    <w:rsid w:val="00D03BDD"/>
    <w:rsid w:val="00D03E24"/>
    <w:rsid w:val="00D05132"/>
    <w:rsid w:val="00D05603"/>
    <w:rsid w:val="00D063B3"/>
    <w:rsid w:val="00D06A8A"/>
    <w:rsid w:val="00D06AC8"/>
    <w:rsid w:val="00D06CA9"/>
    <w:rsid w:val="00D06E2A"/>
    <w:rsid w:val="00D06F6E"/>
    <w:rsid w:val="00D0787D"/>
    <w:rsid w:val="00D1062D"/>
    <w:rsid w:val="00D13878"/>
    <w:rsid w:val="00D13B3F"/>
    <w:rsid w:val="00D142D3"/>
    <w:rsid w:val="00D1529F"/>
    <w:rsid w:val="00D160BF"/>
    <w:rsid w:val="00D16764"/>
    <w:rsid w:val="00D17424"/>
    <w:rsid w:val="00D178E2"/>
    <w:rsid w:val="00D20056"/>
    <w:rsid w:val="00D20111"/>
    <w:rsid w:val="00D2027F"/>
    <w:rsid w:val="00D20ED6"/>
    <w:rsid w:val="00D21ACE"/>
    <w:rsid w:val="00D226B6"/>
    <w:rsid w:val="00D254B1"/>
    <w:rsid w:val="00D26330"/>
    <w:rsid w:val="00D27136"/>
    <w:rsid w:val="00D272A6"/>
    <w:rsid w:val="00D27515"/>
    <w:rsid w:val="00D30D21"/>
    <w:rsid w:val="00D314AF"/>
    <w:rsid w:val="00D32BE8"/>
    <w:rsid w:val="00D34537"/>
    <w:rsid w:val="00D35033"/>
    <w:rsid w:val="00D37145"/>
    <w:rsid w:val="00D40E15"/>
    <w:rsid w:val="00D4585A"/>
    <w:rsid w:val="00D45D82"/>
    <w:rsid w:val="00D461AF"/>
    <w:rsid w:val="00D46BC2"/>
    <w:rsid w:val="00D47451"/>
    <w:rsid w:val="00D47D93"/>
    <w:rsid w:val="00D501E4"/>
    <w:rsid w:val="00D51594"/>
    <w:rsid w:val="00D5216F"/>
    <w:rsid w:val="00D52314"/>
    <w:rsid w:val="00D53018"/>
    <w:rsid w:val="00D5308D"/>
    <w:rsid w:val="00D53091"/>
    <w:rsid w:val="00D53158"/>
    <w:rsid w:val="00D561FE"/>
    <w:rsid w:val="00D570B0"/>
    <w:rsid w:val="00D57792"/>
    <w:rsid w:val="00D578B9"/>
    <w:rsid w:val="00D60D82"/>
    <w:rsid w:val="00D62C43"/>
    <w:rsid w:val="00D63178"/>
    <w:rsid w:val="00D63CA4"/>
    <w:rsid w:val="00D64121"/>
    <w:rsid w:val="00D66436"/>
    <w:rsid w:val="00D66D49"/>
    <w:rsid w:val="00D66F45"/>
    <w:rsid w:val="00D66F70"/>
    <w:rsid w:val="00D7239E"/>
    <w:rsid w:val="00D733E4"/>
    <w:rsid w:val="00D73862"/>
    <w:rsid w:val="00D747AA"/>
    <w:rsid w:val="00D76769"/>
    <w:rsid w:val="00D76848"/>
    <w:rsid w:val="00D76CF0"/>
    <w:rsid w:val="00D76FDE"/>
    <w:rsid w:val="00D80267"/>
    <w:rsid w:val="00D80A77"/>
    <w:rsid w:val="00D815D9"/>
    <w:rsid w:val="00D82855"/>
    <w:rsid w:val="00D83310"/>
    <w:rsid w:val="00D83D49"/>
    <w:rsid w:val="00D83FD0"/>
    <w:rsid w:val="00D85976"/>
    <w:rsid w:val="00D8773E"/>
    <w:rsid w:val="00D87953"/>
    <w:rsid w:val="00D908A6"/>
    <w:rsid w:val="00D91B4C"/>
    <w:rsid w:val="00D92500"/>
    <w:rsid w:val="00D92CA1"/>
    <w:rsid w:val="00D9336B"/>
    <w:rsid w:val="00D93774"/>
    <w:rsid w:val="00D93C33"/>
    <w:rsid w:val="00D942F3"/>
    <w:rsid w:val="00D95129"/>
    <w:rsid w:val="00D958A9"/>
    <w:rsid w:val="00D958B3"/>
    <w:rsid w:val="00D960AD"/>
    <w:rsid w:val="00D97275"/>
    <w:rsid w:val="00DA1B9E"/>
    <w:rsid w:val="00DA1C0E"/>
    <w:rsid w:val="00DA3D02"/>
    <w:rsid w:val="00DA3E55"/>
    <w:rsid w:val="00DA5C59"/>
    <w:rsid w:val="00DA6C25"/>
    <w:rsid w:val="00DA6F16"/>
    <w:rsid w:val="00DA76E3"/>
    <w:rsid w:val="00DA7790"/>
    <w:rsid w:val="00DA78D8"/>
    <w:rsid w:val="00DB04DC"/>
    <w:rsid w:val="00DB1009"/>
    <w:rsid w:val="00DB1A23"/>
    <w:rsid w:val="00DB1ADE"/>
    <w:rsid w:val="00DB1AE1"/>
    <w:rsid w:val="00DB2119"/>
    <w:rsid w:val="00DB2B71"/>
    <w:rsid w:val="00DB3D59"/>
    <w:rsid w:val="00DB4774"/>
    <w:rsid w:val="00DB6BE2"/>
    <w:rsid w:val="00DB6DA3"/>
    <w:rsid w:val="00DB6F63"/>
    <w:rsid w:val="00DB79CD"/>
    <w:rsid w:val="00DC05BC"/>
    <w:rsid w:val="00DC0CE8"/>
    <w:rsid w:val="00DC3389"/>
    <w:rsid w:val="00DC6736"/>
    <w:rsid w:val="00DC6920"/>
    <w:rsid w:val="00DC6C3F"/>
    <w:rsid w:val="00DC7077"/>
    <w:rsid w:val="00DD0D04"/>
    <w:rsid w:val="00DD0D31"/>
    <w:rsid w:val="00DD1132"/>
    <w:rsid w:val="00DD1E69"/>
    <w:rsid w:val="00DD2051"/>
    <w:rsid w:val="00DD239D"/>
    <w:rsid w:val="00DD3866"/>
    <w:rsid w:val="00DD3A24"/>
    <w:rsid w:val="00DD4013"/>
    <w:rsid w:val="00DD4448"/>
    <w:rsid w:val="00DD4B4B"/>
    <w:rsid w:val="00DD5074"/>
    <w:rsid w:val="00DD5E95"/>
    <w:rsid w:val="00DD6DEE"/>
    <w:rsid w:val="00DD6F2F"/>
    <w:rsid w:val="00DD6F6D"/>
    <w:rsid w:val="00DD73FC"/>
    <w:rsid w:val="00DD778E"/>
    <w:rsid w:val="00DD784C"/>
    <w:rsid w:val="00DD7D47"/>
    <w:rsid w:val="00DE0026"/>
    <w:rsid w:val="00DE0624"/>
    <w:rsid w:val="00DE0AE6"/>
    <w:rsid w:val="00DE0DD2"/>
    <w:rsid w:val="00DE1F07"/>
    <w:rsid w:val="00DE2C85"/>
    <w:rsid w:val="00DE33F7"/>
    <w:rsid w:val="00DE3B2E"/>
    <w:rsid w:val="00DE5AA3"/>
    <w:rsid w:val="00DE65FF"/>
    <w:rsid w:val="00DE7070"/>
    <w:rsid w:val="00DE70EB"/>
    <w:rsid w:val="00DF0C6F"/>
    <w:rsid w:val="00DF0E80"/>
    <w:rsid w:val="00DF2C5A"/>
    <w:rsid w:val="00DF3516"/>
    <w:rsid w:val="00DF3C2E"/>
    <w:rsid w:val="00DF3D8C"/>
    <w:rsid w:val="00DF3F22"/>
    <w:rsid w:val="00E004D6"/>
    <w:rsid w:val="00E007B3"/>
    <w:rsid w:val="00E007EA"/>
    <w:rsid w:val="00E01115"/>
    <w:rsid w:val="00E02939"/>
    <w:rsid w:val="00E039F1"/>
    <w:rsid w:val="00E03C07"/>
    <w:rsid w:val="00E04087"/>
    <w:rsid w:val="00E04D53"/>
    <w:rsid w:val="00E058E6"/>
    <w:rsid w:val="00E05A5F"/>
    <w:rsid w:val="00E05A75"/>
    <w:rsid w:val="00E05B7D"/>
    <w:rsid w:val="00E06106"/>
    <w:rsid w:val="00E07409"/>
    <w:rsid w:val="00E07D95"/>
    <w:rsid w:val="00E100C8"/>
    <w:rsid w:val="00E10651"/>
    <w:rsid w:val="00E10ACC"/>
    <w:rsid w:val="00E10F26"/>
    <w:rsid w:val="00E1479E"/>
    <w:rsid w:val="00E14AD7"/>
    <w:rsid w:val="00E14D0E"/>
    <w:rsid w:val="00E14D4A"/>
    <w:rsid w:val="00E14FBB"/>
    <w:rsid w:val="00E15817"/>
    <w:rsid w:val="00E15E9C"/>
    <w:rsid w:val="00E16BCD"/>
    <w:rsid w:val="00E178BB"/>
    <w:rsid w:val="00E17C31"/>
    <w:rsid w:val="00E17D18"/>
    <w:rsid w:val="00E17EFA"/>
    <w:rsid w:val="00E201DF"/>
    <w:rsid w:val="00E20E3C"/>
    <w:rsid w:val="00E20F4B"/>
    <w:rsid w:val="00E211CD"/>
    <w:rsid w:val="00E21696"/>
    <w:rsid w:val="00E21930"/>
    <w:rsid w:val="00E22C12"/>
    <w:rsid w:val="00E242FC"/>
    <w:rsid w:val="00E25BE2"/>
    <w:rsid w:val="00E26B32"/>
    <w:rsid w:val="00E270EC"/>
    <w:rsid w:val="00E27763"/>
    <w:rsid w:val="00E30275"/>
    <w:rsid w:val="00E30541"/>
    <w:rsid w:val="00E30EFF"/>
    <w:rsid w:val="00E31451"/>
    <w:rsid w:val="00E31E7A"/>
    <w:rsid w:val="00E32D1F"/>
    <w:rsid w:val="00E33129"/>
    <w:rsid w:val="00E33E41"/>
    <w:rsid w:val="00E34C6F"/>
    <w:rsid w:val="00E353BA"/>
    <w:rsid w:val="00E359BE"/>
    <w:rsid w:val="00E35E9A"/>
    <w:rsid w:val="00E35EA8"/>
    <w:rsid w:val="00E36290"/>
    <w:rsid w:val="00E36D9A"/>
    <w:rsid w:val="00E4032A"/>
    <w:rsid w:val="00E41870"/>
    <w:rsid w:val="00E41D83"/>
    <w:rsid w:val="00E43F9E"/>
    <w:rsid w:val="00E44FF6"/>
    <w:rsid w:val="00E45533"/>
    <w:rsid w:val="00E457B6"/>
    <w:rsid w:val="00E45FAA"/>
    <w:rsid w:val="00E46925"/>
    <w:rsid w:val="00E46A07"/>
    <w:rsid w:val="00E51C36"/>
    <w:rsid w:val="00E5221D"/>
    <w:rsid w:val="00E522F9"/>
    <w:rsid w:val="00E545E9"/>
    <w:rsid w:val="00E55D7C"/>
    <w:rsid w:val="00E56807"/>
    <w:rsid w:val="00E56CE3"/>
    <w:rsid w:val="00E5778B"/>
    <w:rsid w:val="00E57E5F"/>
    <w:rsid w:val="00E60124"/>
    <w:rsid w:val="00E60E06"/>
    <w:rsid w:val="00E62F31"/>
    <w:rsid w:val="00E6472C"/>
    <w:rsid w:val="00E6531B"/>
    <w:rsid w:val="00E65A5B"/>
    <w:rsid w:val="00E66F49"/>
    <w:rsid w:val="00E67183"/>
    <w:rsid w:val="00E70756"/>
    <w:rsid w:val="00E716EE"/>
    <w:rsid w:val="00E718C8"/>
    <w:rsid w:val="00E7320B"/>
    <w:rsid w:val="00E7414C"/>
    <w:rsid w:val="00E7478F"/>
    <w:rsid w:val="00E75005"/>
    <w:rsid w:val="00E809D0"/>
    <w:rsid w:val="00E80B2D"/>
    <w:rsid w:val="00E8142A"/>
    <w:rsid w:val="00E81BC8"/>
    <w:rsid w:val="00E81E61"/>
    <w:rsid w:val="00E820F1"/>
    <w:rsid w:val="00E82A4D"/>
    <w:rsid w:val="00E848B4"/>
    <w:rsid w:val="00E84E82"/>
    <w:rsid w:val="00E8579D"/>
    <w:rsid w:val="00E85C8B"/>
    <w:rsid w:val="00E86C2A"/>
    <w:rsid w:val="00E87554"/>
    <w:rsid w:val="00E91417"/>
    <w:rsid w:val="00E91D41"/>
    <w:rsid w:val="00E926C8"/>
    <w:rsid w:val="00E926CC"/>
    <w:rsid w:val="00E93E16"/>
    <w:rsid w:val="00E940DC"/>
    <w:rsid w:val="00E94329"/>
    <w:rsid w:val="00E945B6"/>
    <w:rsid w:val="00E954EA"/>
    <w:rsid w:val="00E96873"/>
    <w:rsid w:val="00E97162"/>
    <w:rsid w:val="00E9774B"/>
    <w:rsid w:val="00E97F55"/>
    <w:rsid w:val="00EA0C10"/>
    <w:rsid w:val="00EA147E"/>
    <w:rsid w:val="00EA15F7"/>
    <w:rsid w:val="00EA1FBE"/>
    <w:rsid w:val="00EA2305"/>
    <w:rsid w:val="00EA3846"/>
    <w:rsid w:val="00EA4027"/>
    <w:rsid w:val="00EA4037"/>
    <w:rsid w:val="00EA4407"/>
    <w:rsid w:val="00EA4FF0"/>
    <w:rsid w:val="00EA5170"/>
    <w:rsid w:val="00EA6E0B"/>
    <w:rsid w:val="00EA7E60"/>
    <w:rsid w:val="00EB0099"/>
    <w:rsid w:val="00EB0ACC"/>
    <w:rsid w:val="00EB1377"/>
    <w:rsid w:val="00EB1F5E"/>
    <w:rsid w:val="00EB2D77"/>
    <w:rsid w:val="00EB3E1A"/>
    <w:rsid w:val="00EB52F9"/>
    <w:rsid w:val="00EB6242"/>
    <w:rsid w:val="00EB7E04"/>
    <w:rsid w:val="00EC0680"/>
    <w:rsid w:val="00EC1E33"/>
    <w:rsid w:val="00EC29C6"/>
    <w:rsid w:val="00EC2A64"/>
    <w:rsid w:val="00EC32FB"/>
    <w:rsid w:val="00EC36F7"/>
    <w:rsid w:val="00EC3E07"/>
    <w:rsid w:val="00EC4301"/>
    <w:rsid w:val="00EC488F"/>
    <w:rsid w:val="00ED0797"/>
    <w:rsid w:val="00ED087A"/>
    <w:rsid w:val="00ED0BE0"/>
    <w:rsid w:val="00ED2343"/>
    <w:rsid w:val="00ED2518"/>
    <w:rsid w:val="00ED2B0E"/>
    <w:rsid w:val="00ED2C8B"/>
    <w:rsid w:val="00ED3649"/>
    <w:rsid w:val="00ED3F24"/>
    <w:rsid w:val="00ED3F4F"/>
    <w:rsid w:val="00ED7F50"/>
    <w:rsid w:val="00EE0ED2"/>
    <w:rsid w:val="00EE32CC"/>
    <w:rsid w:val="00EE3440"/>
    <w:rsid w:val="00EE3C82"/>
    <w:rsid w:val="00EE43B8"/>
    <w:rsid w:val="00EE4438"/>
    <w:rsid w:val="00EE5035"/>
    <w:rsid w:val="00EE5955"/>
    <w:rsid w:val="00EE63C0"/>
    <w:rsid w:val="00EE6925"/>
    <w:rsid w:val="00EE705C"/>
    <w:rsid w:val="00EE720C"/>
    <w:rsid w:val="00EE721E"/>
    <w:rsid w:val="00EE7B36"/>
    <w:rsid w:val="00EF08EC"/>
    <w:rsid w:val="00EF0DAA"/>
    <w:rsid w:val="00EF15F8"/>
    <w:rsid w:val="00EF2CEE"/>
    <w:rsid w:val="00EF3FEB"/>
    <w:rsid w:val="00EF540B"/>
    <w:rsid w:val="00EF5EF6"/>
    <w:rsid w:val="00EF64CC"/>
    <w:rsid w:val="00EF7344"/>
    <w:rsid w:val="00EF77A6"/>
    <w:rsid w:val="00EF7B51"/>
    <w:rsid w:val="00F00A43"/>
    <w:rsid w:val="00F00C92"/>
    <w:rsid w:val="00F00D45"/>
    <w:rsid w:val="00F00D9B"/>
    <w:rsid w:val="00F033E7"/>
    <w:rsid w:val="00F03F80"/>
    <w:rsid w:val="00F049A9"/>
    <w:rsid w:val="00F06EF8"/>
    <w:rsid w:val="00F07022"/>
    <w:rsid w:val="00F07296"/>
    <w:rsid w:val="00F07DE7"/>
    <w:rsid w:val="00F07F54"/>
    <w:rsid w:val="00F100BE"/>
    <w:rsid w:val="00F10990"/>
    <w:rsid w:val="00F1119E"/>
    <w:rsid w:val="00F11BE9"/>
    <w:rsid w:val="00F11C94"/>
    <w:rsid w:val="00F12530"/>
    <w:rsid w:val="00F1508C"/>
    <w:rsid w:val="00F176F9"/>
    <w:rsid w:val="00F17BFE"/>
    <w:rsid w:val="00F2080E"/>
    <w:rsid w:val="00F2269A"/>
    <w:rsid w:val="00F22AB2"/>
    <w:rsid w:val="00F23579"/>
    <w:rsid w:val="00F26488"/>
    <w:rsid w:val="00F277CF"/>
    <w:rsid w:val="00F309B7"/>
    <w:rsid w:val="00F31F2A"/>
    <w:rsid w:val="00F32538"/>
    <w:rsid w:val="00F33294"/>
    <w:rsid w:val="00F3329C"/>
    <w:rsid w:val="00F33E30"/>
    <w:rsid w:val="00F35222"/>
    <w:rsid w:val="00F35A34"/>
    <w:rsid w:val="00F36FEC"/>
    <w:rsid w:val="00F40023"/>
    <w:rsid w:val="00F4026E"/>
    <w:rsid w:val="00F40882"/>
    <w:rsid w:val="00F40D99"/>
    <w:rsid w:val="00F41B19"/>
    <w:rsid w:val="00F421CB"/>
    <w:rsid w:val="00F42308"/>
    <w:rsid w:val="00F4333E"/>
    <w:rsid w:val="00F434B2"/>
    <w:rsid w:val="00F43559"/>
    <w:rsid w:val="00F440C2"/>
    <w:rsid w:val="00F44DBB"/>
    <w:rsid w:val="00F45A49"/>
    <w:rsid w:val="00F45FBD"/>
    <w:rsid w:val="00F50720"/>
    <w:rsid w:val="00F507D8"/>
    <w:rsid w:val="00F5120F"/>
    <w:rsid w:val="00F52DA5"/>
    <w:rsid w:val="00F53E27"/>
    <w:rsid w:val="00F53E7E"/>
    <w:rsid w:val="00F544EC"/>
    <w:rsid w:val="00F5579C"/>
    <w:rsid w:val="00F5789B"/>
    <w:rsid w:val="00F60251"/>
    <w:rsid w:val="00F6186B"/>
    <w:rsid w:val="00F61D79"/>
    <w:rsid w:val="00F65DB0"/>
    <w:rsid w:val="00F660CE"/>
    <w:rsid w:val="00F66342"/>
    <w:rsid w:val="00F66B8F"/>
    <w:rsid w:val="00F67638"/>
    <w:rsid w:val="00F677DE"/>
    <w:rsid w:val="00F67F06"/>
    <w:rsid w:val="00F70BAB"/>
    <w:rsid w:val="00F715AF"/>
    <w:rsid w:val="00F7176D"/>
    <w:rsid w:val="00F71B98"/>
    <w:rsid w:val="00F724CD"/>
    <w:rsid w:val="00F72518"/>
    <w:rsid w:val="00F7268D"/>
    <w:rsid w:val="00F7310A"/>
    <w:rsid w:val="00F73729"/>
    <w:rsid w:val="00F75222"/>
    <w:rsid w:val="00F7546D"/>
    <w:rsid w:val="00F75AAB"/>
    <w:rsid w:val="00F75C76"/>
    <w:rsid w:val="00F75F02"/>
    <w:rsid w:val="00F760A8"/>
    <w:rsid w:val="00F771E4"/>
    <w:rsid w:val="00F77CE8"/>
    <w:rsid w:val="00F80084"/>
    <w:rsid w:val="00F8126C"/>
    <w:rsid w:val="00F81471"/>
    <w:rsid w:val="00F81EE4"/>
    <w:rsid w:val="00F8298C"/>
    <w:rsid w:val="00F83A88"/>
    <w:rsid w:val="00F85249"/>
    <w:rsid w:val="00F85ADC"/>
    <w:rsid w:val="00F85EC9"/>
    <w:rsid w:val="00F862CF"/>
    <w:rsid w:val="00F864D2"/>
    <w:rsid w:val="00F86680"/>
    <w:rsid w:val="00F875E4"/>
    <w:rsid w:val="00F91C7C"/>
    <w:rsid w:val="00F923F8"/>
    <w:rsid w:val="00F948B6"/>
    <w:rsid w:val="00F9555C"/>
    <w:rsid w:val="00F96A46"/>
    <w:rsid w:val="00F97A78"/>
    <w:rsid w:val="00F97BC6"/>
    <w:rsid w:val="00FA1AD7"/>
    <w:rsid w:val="00FA22DF"/>
    <w:rsid w:val="00FA2E07"/>
    <w:rsid w:val="00FA356C"/>
    <w:rsid w:val="00FA5E30"/>
    <w:rsid w:val="00FA7116"/>
    <w:rsid w:val="00FA7B29"/>
    <w:rsid w:val="00FB062A"/>
    <w:rsid w:val="00FB0918"/>
    <w:rsid w:val="00FB0AAC"/>
    <w:rsid w:val="00FB0D78"/>
    <w:rsid w:val="00FB1D48"/>
    <w:rsid w:val="00FB310B"/>
    <w:rsid w:val="00FB398D"/>
    <w:rsid w:val="00FB3ED3"/>
    <w:rsid w:val="00FB513D"/>
    <w:rsid w:val="00FB5589"/>
    <w:rsid w:val="00FB5B54"/>
    <w:rsid w:val="00FB5EB0"/>
    <w:rsid w:val="00FC0A4E"/>
    <w:rsid w:val="00FC10A1"/>
    <w:rsid w:val="00FC21ED"/>
    <w:rsid w:val="00FC35DE"/>
    <w:rsid w:val="00FC3A0F"/>
    <w:rsid w:val="00FC42D6"/>
    <w:rsid w:val="00FC43AB"/>
    <w:rsid w:val="00FC57F7"/>
    <w:rsid w:val="00FC5DBF"/>
    <w:rsid w:val="00FC7144"/>
    <w:rsid w:val="00FC720B"/>
    <w:rsid w:val="00FD0146"/>
    <w:rsid w:val="00FD0178"/>
    <w:rsid w:val="00FD06BF"/>
    <w:rsid w:val="00FD08FD"/>
    <w:rsid w:val="00FD11D4"/>
    <w:rsid w:val="00FD2D1C"/>
    <w:rsid w:val="00FD3DF0"/>
    <w:rsid w:val="00FD51DB"/>
    <w:rsid w:val="00FD6464"/>
    <w:rsid w:val="00FD7540"/>
    <w:rsid w:val="00FD7671"/>
    <w:rsid w:val="00FD7C6A"/>
    <w:rsid w:val="00FE107F"/>
    <w:rsid w:val="00FE1243"/>
    <w:rsid w:val="00FE290E"/>
    <w:rsid w:val="00FE35B1"/>
    <w:rsid w:val="00FE36B9"/>
    <w:rsid w:val="00FE3FE9"/>
    <w:rsid w:val="00FE4A63"/>
    <w:rsid w:val="00FE63A2"/>
    <w:rsid w:val="00FE646A"/>
    <w:rsid w:val="00FE681C"/>
    <w:rsid w:val="00FE6A10"/>
    <w:rsid w:val="00FE6DC4"/>
    <w:rsid w:val="00FE6E9D"/>
    <w:rsid w:val="00FE7CC4"/>
    <w:rsid w:val="00FF029C"/>
    <w:rsid w:val="00FF156E"/>
    <w:rsid w:val="00FF1B99"/>
    <w:rsid w:val="00FF5FCE"/>
    <w:rsid w:val="00FF62D0"/>
    <w:rsid w:val="00FF73EF"/>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BADE"/>
  <w15:chartTrackingRefBased/>
  <w15:docId w15:val="{231E08C7-03C2-4FD3-9152-3B72D9DF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55"/>
    <w:pPr>
      <w:spacing w:line="280" w:lineRule="exact"/>
    </w:pPr>
    <w:rPr>
      <w:rFonts w:ascii="Arial" w:hAnsi="Arial"/>
      <w:sz w:val="24"/>
      <w:lang w:eastAsia="fr-FR"/>
    </w:rPr>
  </w:style>
  <w:style w:type="paragraph" w:styleId="Titre1">
    <w:name w:val="heading 1"/>
    <w:basedOn w:val="Normal"/>
    <w:next w:val="Normal"/>
    <w:link w:val="Titre1Car"/>
    <w:qFormat/>
    <w:rsid w:val="003C6356"/>
    <w:pPr>
      <w:keepNext/>
      <w:spacing w:before="240" w:after="60"/>
      <w:outlineLvl w:val="0"/>
    </w:pPr>
    <w:rPr>
      <w:b/>
      <w:kern w:val="28"/>
      <w:sz w:val="28"/>
    </w:rPr>
  </w:style>
  <w:style w:type="paragraph" w:styleId="Titre2">
    <w:name w:val="heading 2"/>
    <w:basedOn w:val="Normal"/>
    <w:next w:val="Normal"/>
    <w:link w:val="Titre2Car"/>
    <w:qFormat/>
    <w:rsid w:val="007971BA"/>
    <w:pPr>
      <w:keepNext/>
      <w:numPr>
        <w:numId w:val="20"/>
      </w:numPr>
      <w:tabs>
        <w:tab w:val="left" w:pos="720"/>
      </w:tabs>
      <w:spacing w:before="240" w:after="60"/>
      <w:ind w:hanging="363"/>
      <w:jc w:val="both"/>
      <w:outlineLvl w:val="1"/>
    </w:pPr>
    <w:rPr>
      <w:b/>
      <w:i/>
    </w:rPr>
  </w:style>
  <w:style w:type="paragraph" w:styleId="Titre3">
    <w:name w:val="heading 3"/>
    <w:basedOn w:val="Normal"/>
    <w:next w:val="Normal"/>
    <w:link w:val="Titre3Car"/>
    <w:qFormat/>
    <w:rsid w:val="004B1090"/>
    <w:pPr>
      <w:keepNext/>
      <w:spacing w:before="120" w:after="60"/>
      <w:outlineLvl w:val="2"/>
    </w:pPr>
    <w:rPr>
      <w:b/>
      <w:i/>
      <w:sz w:val="22"/>
    </w:rPr>
  </w:style>
  <w:style w:type="paragraph" w:styleId="Titre4">
    <w:name w:val="heading 4"/>
    <w:basedOn w:val="Normal"/>
    <w:next w:val="Normal"/>
    <w:link w:val="Titre4Car"/>
    <w:qFormat/>
    <w:pPr>
      <w:keepNext/>
      <w:spacing w:before="240" w:after="60"/>
      <w:outlineLvl w:val="3"/>
    </w:pPr>
    <w:rPr>
      <w:b/>
    </w:rPr>
  </w:style>
  <w:style w:type="paragraph" w:styleId="Titre5">
    <w:name w:val="heading 5"/>
    <w:basedOn w:val="Normal"/>
    <w:next w:val="Normal"/>
    <w:link w:val="Titre5Car"/>
    <w:qFormat/>
    <w:pPr>
      <w:spacing w:before="240" w:after="60"/>
      <w:outlineLvl w:val="4"/>
    </w:pPr>
    <w:rPr>
      <w:sz w:val="22"/>
    </w:rPr>
  </w:style>
  <w:style w:type="paragraph" w:styleId="Titre6">
    <w:name w:val="heading 6"/>
    <w:basedOn w:val="Normal"/>
    <w:next w:val="Normal"/>
    <w:link w:val="Titre6Car"/>
    <w:qFormat/>
    <w:pPr>
      <w:spacing w:before="240" w:after="60"/>
      <w:outlineLvl w:val="5"/>
    </w:pPr>
    <w:rPr>
      <w:i/>
      <w:sz w:val="22"/>
    </w:rPr>
  </w:style>
  <w:style w:type="paragraph" w:styleId="Titre7">
    <w:name w:val="heading 7"/>
    <w:basedOn w:val="Normal"/>
    <w:next w:val="Normal"/>
    <w:link w:val="Titre7Car"/>
    <w:qFormat/>
    <w:pPr>
      <w:spacing w:before="240" w:after="60"/>
      <w:outlineLvl w:val="6"/>
    </w:pPr>
    <w:rPr>
      <w:sz w:val="20"/>
    </w:rPr>
  </w:style>
  <w:style w:type="paragraph" w:styleId="Titre8">
    <w:name w:val="heading 8"/>
    <w:basedOn w:val="Normal"/>
    <w:next w:val="Normal"/>
    <w:link w:val="Titre8Car"/>
    <w:qFormat/>
    <w:pPr>
      <w:spacing w:before="240" w:after="60"/>
      <w:outlineLvl w:val="7"/>
    </w:pPr>
    <w:rPr>
      <w:i/>
      <w:sz w:val="20"/>
    </w:rPr>
  </w:style>
  <w:style w:type="paragraph" w:styleId="Titre9">
    <w:name w:val="heading 9"/>
    <w:basedOn w:val="Normal"/>
    <w:next w:val="Normal"/>
    <w:link w:val="Titre9Car"/>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rsid w:val="003C6356"/>
    <w:pPr>
      <w:spacing w:before="120" w:after="120"/>
      <w:jc w:val="both"/>
    </w:pPr>
    <w:rPr>
      <w:kern w:val="28"/>
    </w:rPr>
  </w:style>
  <w:style w:type="paragraph" w:customStyle="1" w:styleId="Citationenretrait">
    <w:name w:val="Citation en retrait"/>
    <w:basedOn w:val="Normal"/>
    <w:link w:val="CitationenretraitCar"/>
    <w:qFormat/>
    <w:rsid w:val="00C85A7A"/>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link w:val="CorpsdetexteCar"/>
    <w:semiHidden/>
    <w:pPr>
      <w:spacing w:after="120"/>
    </w:pPr>
  </w:style>
  <w:style w:type="paragraph" w:styleId="Notedebasdepage">
    <w:name w:val="footnote text"/>
    <w:basedOn w:val="Normal"/>
    <w:link w:val="NotedebasdepageCar"/>
    <w:qFormat/>
    <w:pPr>
      <w:spacing w:line="240" w:lineRule="auto"/>
      <w:ind w:left="360" w:hanging="360"/>
      <w:jc w:val="both"/>
    </w:pPr>
    <w:rPr>
      <w:sz w:val="20"/>
    </w:rPr>
  </w:style>
  <w:style w:type="paragraph" w:styleId="Notedefin">
    <w:name w:val="endnote text"/>
    <w:basedOn w:val="Normal"/>
    <w:link w:val="NotedefinCar"/>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link w:val="En-tteCar"/>
    <w:semiHidden/>
    <w:pPr>
      <w:tabs>
        <w:tab w:val="center" w:pos="4320"/>
        <w:tab w:val="right" w:pos="8640"/>
      </w:tabs>
    </w:pPr>
  </w:style>
  <w:style w:type="paragraph" w:styleId="Pieddepage">
    <w:name w:val="footer"/>
    <w:basedOn w:val="Normal"/>
    <w:link w:val="PieddepageCar"/>
    <w:semiHidden/>
    <w:pPr>
      <w:tabs>
        <w:tab w:val="center" w:pos="4320"/>
        <w:tab w:val="right" w:pos="8640"/>
      </w:tabs>
    </w:pPr>
  </w:style>
  <w:style w:type="paragraph" w:customStyle="1" w:styleId="Tableaudroiteanglais">
    <w:name w:val="Tableau droite anglais"/>
    <w:basedOn w:val="Tableaugauchefranais"/>
    <w:link w:val="TableaudroiteanglaisCar"/>
    <w:pPr>
      <w:ind w:left="144" w:right="720"/>
      <w:jc w:val="both"/>
    </w:pPr>
    <w:rPr>
      <w:lang w:val="en-CA"/>
    </w:rPr>
  </w:style>
  <w:style w:type="paragraph" w:customStyle="1" w:styleId="Tableaugauchefranais">
    <w:name w:val="Tableau gauche français"/>
    <w:basedOn w:val="Normal"/>
    <w:link w:val="TableaugauchefranaisCar"/>
    <w:pPr>
      <w:ind w:left="720" w:right="144"/>
    </w:pPr>
    <w:rPr>
      <w:sz w:val="22"/>
    </w:rPr>
  </w:style>
  <w:style w:type="character" w:styleId="Appelnotedebasdep">
    <w:name w:val="footnote reference"/>
    <w:aliases w:val="Char Char6 Char Char Char Char Char Char Char Char Char Char Char Char,Char6 Char Char Char Char Char Char Char Char Char Char Char Char Char,Footnote,Ref,de nota al pie,fr"/>
    <w:qFormat/>
    <w:rPr>
      <w:noProof w:val="0"/>
      <w:vertAlign w:val="superscript"/>
      <w:lang w:val="fr-CA"/>
    </w:rPr>
  </w:style>
  <w:style w:type="paragraph" w:styleId="Corpsdetexte3">
    <w:name w:val="Body Text 3"/>
    <w:basedOn w:val="Normal"/>
    <w:link w:val="Corpsdetexte3Car"/>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Titre1Car">
    <w:name w:val="Titre 1 Car"/>
    <w:basedOn w:val="Policepardfaut"/>
    <w:link w:val="Titre1"/>
    <w:rsid w:val="003C6356"/>
    <w:rPr>
      <w:rFonts w:ascii="Arial" w:hAnsi="Arial"/>
      <w:b/>
      <w:kern w:val="28"/>
      <w:sz w:val="28"/>
      <w:lang w:eastAsia="fr-FR"/>
    </w:rPr>
  </w:style>
  <w:style w:type="character" w:customStyle="1" w:styleId="Titre2Car">
    <w:name w:val="Titre 2 Car"/>
    <w:basedOn w:val="Policepardfaut"/>
    <w:link w:val="Titre2"/>
    <w:rsid w:val="007971BA"/>
    <w:rPr>
      <w:rFonts w:ascii="Arial" w:hAnsi="Arial"/>
      <w:b/>
      <w:i/>
      <w:sz w:val="24"/>
      <w:lang w:eastAsia="fr-FR"/>
    </w:rPr>
  </w:style>
  <w:style w:type="character" w:customStyle="1" w:styleId="Titre3Car">
    <w:name w:val="Titre 3 Car"/>
    <w:basedOn w:val="Policepardfaut"/>
    <w:link w:val="Titre3"/>
    <w:rsid w:val="004B1090"/>
    <w:rPr>
      <w:rFonts w:ascii="Arial" w:hAnsi="Arial"/>
      <w:b/>
      <w:i/>
      <w:sz w:val="22"/>
      <w:lang w:eastAsia="fr-FR"/>
    </w:rPr>
  </w:style>
  <w:style w:type="character" w:customStyle="1" w:styleId="Titre4Car">
    <w:name w:val="Titre 4 Car"/>
    <w:basedOn w:val="Policepardfaut"/>
    <w:link w:val="Titre4"/>
    <w:rsid w:val="00CC66B8"/>
    <w:rPr>
      <w:rFonts w:ascii="Arial" w:hAnsi="Arial"/>
      <w:b/>
      <w:sz w:val="24"/>
      <w:lang w:eastAsia="fr-FR"/>
    </w:rPr>
  </w:style>
  <w:style w:type="character" w:customStyle="1" w:styleId="Titre5Car">
    <w:name w:val="Titre 5 Car"/>
    <w:basedOn w:val="Policepardfaut"/>
    <w:link w:val="Titre5"/>
    <w:rsid w:val="00CC66B8"/>
    <w:rPr>
      <w:rFonts w:ascii="Arial" w:hAnsi="Arial"/>
      <w:sz w:val="22"/>
      <w:lang w:eastAsia="fr-FR"/>
    </w:rPr>
  </w:style>
  <w:style w:type="character" w:customStyle="1" w:styleId="Titre6Car">
    <w:name w:val="Titre 6 Car"/>
    <w:basedOn w:val="Policepardfaut"/>
    <w:link w:val="Titre6"/>
    <w:rsid w:val="00CC66B8"/>
    <w:rPr>
      <w:rFonts w:ascii="Arial" w:hAnsi="Arial"/>
      <w:i/>
      <w:sz w:val="22"/>
      <w:lang w:eastAsia="fr-FR"/>
    </w:rPr>
  </w:style>
  <w:style w:type="character" w:customStyle="1" w:styleId="Titre7Car">
    <w:name w:val="Titre 7 Car"/>
    <w:basedOn w:val="Policepardfaut"/>
    <w:link w:val="Titre7"/>
    <w:rsid w:val="00CC66B8"/>
    <w:rPr>
      <w:rFonts w:ascii="Arial" w:hAnsi="Arial"/>
      <w:lang w:eastAsia="fr-FR"/>
    </w:rPr>
  </w:style>
  <w:style w:type="character" w:customStyle="1" w:styleId="Titre8Car">
    <w:name w:val="Titre 8 Car"/>
    <w:basedOn w:val="Policepardfaut"/>
    <w:link w:val="Titre8"/>
    <w:rsid w:val="00CC66B8"/>
    <w:rPr>
      <w:rFonts w:ascii="Arial" w:hAnsi="Arial"/>
      <w:i/>
      <w:lang w:eastAsia="fr-FR"/>
    </w:rPr>
  </w:style>
  <w:style w:type="character" w:customStyle="1" w:styleId="Titre9Car">
    <w:name w:val="Titre 9 Car"/>
    <w:basedOn w:val="Policepardfaut"/>
    <w:link w:val="Titre9"/>
    <w:rsid w:val="00CC66B8"/>
    <w:rPr>
      <w:rFonts w:ascii="Arial" w:hAnsi="Arial"/>
      <w:b/>
      <w:i/>
      <w:sz w:val="18"/>
      <w:lang w:eastAsia="fr-FR"/>
    </w:rPr>
  </w:style>
  <w:style w:type="character" w:customStyle="1" w:styleId="CorpsdetexteCar">
    <w:name w:val="Corps de texte Car"/>
    <w:basedOn w:val="Policepardfaut"/>
    <w:link w:val="Corpsdetexte"/>
    <w:semiHidden/>
    <w:rsid w:val="00CC66B8"/>
    <w:rPr>
      <w:rFonts w:ascii="Arial" w:hAnsi="Arial"/>
      <w:sz w:val="24"/>
      <w:lang w:eastAsia="fr-FR"/>
    </w:rPr>
  </w:style>
  <w:style w:type="character" w:customStyle="1" w:styleId="NotedebasdepageCar">
    <w:name w:val="Note de bas de page Car"/>
    <w:basedOn w:val="Policepardfaut"/>
    <w:link w:val="Notedebasdepage"/>
    <w:rsid w:val="00CC66B8"/>
    <w:rPr>
      <w:rFonts w:ascii="Arial" w:hAnsi="Arial"/>
      <w:lang w:eastAsia="fr-FR"/>
    </w:rPr>
  </w:style>
  <w:style w:type="character" w:customStyle="1" w:styleId="NotedefinCar">
    <w:name w:val="Note de fin Car"/>
    <w:basedOn w:val="Policepardfaut"/>
    <w:link w:val="Notedefin"/>
    <w:semiHidden/>
    <w:rsid w:val="00CC66B8"/>
    <w:rPr>
      <w:rFonts w:ascii="Arial" w:hAnsi="Arial"/>
      <w:lang w:eastAsia="fr-FR"/>
    </w:rPr>
  </w:style>
  <w:style w:type="character" w:customStyle="1" w:styleId="En-tteCar">
    <w:name w:val="En-tête Car"/>
    <w:basedOn w:val="Policepardfaut"/>
    <w:link w:val="En-tte"/>
    <w:semiHidden/>
    <w:rsid w:val="00CC66B8"/>
    <w:rPr>
      <w:rFonts w:ascii="Arial" w:hAnsi="Arial"/>
      <w:sz w:val="24"/>
      <w:lang w:eastAsia="fr-FR"/>
    </w:rPr>
  </w:style>
  <w:style w:type="character" w:customStyle="1" w:styleId="PieddepageCar">
    <w:name w:val="Pied de page Car"/>
    <w:basedOn w:val="Policepardfaut"/>
    <w:link w:val="Pieddepage"/>
    <w:semiHidden/>
    <w:rsid w:val="00CC66B8"/>
    <w:rPr>
      <w:rFonts w:ascii="Arial" w:hAnsi="Arial"/>
      <w:sz w:val="24"/>
      <w:lang w:eastAsia="fr-FR"/>
    </w:rPr>
  </w:style>
  <w:style w:type="character" w:customStyle="1" w:styleId="Corpsdetexte3Car">
    <w:name w:val="Corps de texte 3 Car"/>
    <w:basedOn w:val="Policepardfaut"/>
    <w:link w:val="Corpsdetexte3"/>
    <w:semiHidden/>
    <w:rsid w:val="00CC66B8"/>
    <w:rPr>
      <w:rFonts w:ascii="Arial" w:hAnsi="Arial"/>
      <w:sz w:val="16"/>
      <w:lang w:eastAsia="fr-FR"/>
    </w:rPr>
  </w:style>
  <w:style w:type="paragraph" w:styleId="Rvision">
    <w:name w:val="Revision"/>
    <w:hidden/>
    <w:uiPriority w:val="99"/>
    <w:semiHidden/>
    <w:rsid w:val="00CC66B8"/>
    <w:rPr>
      <w:rFonts w:ascii="Arial" w:hAnsi="Arial"/>
      <w:sz w:val="24"/>
      <w:lang w:eastAsia="fr-FR"/>
    </w:rPr>
  </w:style>
  <w:style w:type="character" w:styleId="Marquedecommentaire">
    <w:name w:val="annotation reference"/>
    <w:basedOn w:val="Policepardfaut"/>
    <w:uiPriority w:val="99"/>
    <w:semiHidden/>
    <w:unhideWhenUsed/>
    <w:rsid w:val="00CC66B8"/>
    <w:rPr>
      <w:sz w:val="16"/>
      <w:szCs w:val="16"/>
    </w:rPr>
  </w:style>
  <w:style w:type="paragraph" w:styleId="Commentaire">
    <w:name w:val="annotation text"/>
    <w:basedOn w:val="Normal"/>
    <w:link w:val="CommentaireCar"/>
    <w:uiPriority w:val="99"/>
    <w:unhideWhenUsed/>
    <w:rsid w:val="00CC66B8"/>
    <w:pPr>
      <w:spacing w:line="240" w:lineRule="auto"/>
    </w:pPr>
    <w:rPr>
      <w:sz w:val="20"/>
    </w:rPr>
  </w:style>
  <w:style w:type="character" w:customStyle="1" w:styleId="CommentaireCar">
    <w:name w:val="Commentaire Car"/>
    <w:basedOn w:val="Policepardfaut"/>
    <w:link w:val="Commentaire"/>
    <w:uiPriority w:val="99"/>
    <w:rsid w:val="00CC66B8"/>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CC66B8"/>
    <w:rPr>
      <w:b/>
      <w:bCs/>
    </w:rPr>
  </w:style>
  <w:style w:type="character" w:customStyle="1" w:styleId="ObjetducommentaireCar">
    <w:name w:val="Objet du commentaire Car"/>
    <w:basedOn w:val="CommentaireCar"/>
    <w:link w:val="Objetducommentaire"/>
    <w:uiPriority w:val="99"/>
    <w:semiHidden/>
    <w:rsid w:val="00CC66B8"/>
    <w:rPr>
      <w:rFonts w:ascii="Arial" w:hAnsi="Arial"/>
      <w:b/>
      <w:bCs/>
      <w:lang w:eastAsia="fr-FR"/>
    </w:rPr>
  </w:style>
  <w:style w:type="paragraph" w:styleId="Paragraphedeliste">
    <w:name w:val="List Paragraph"/>
    <w:basedOn w:val="Normal"/>
    <w:uiPriority w:val="34"/>
    <w:qFormat/>
    <w:rsid w:val="00CC66B8"/>
    <w:pPr>
      <w:ind w:left="720"/>
      <w:contextualSpacing/>
    </w:pPr>
  </w:style>
  <w:style w:type="character" w:styleId="Hyperlien">
    <w:name w:val="Hyperlink"/>
    <w:basedOn w:val="Policepardfaut"/>
    <w:uiPriority w:val="99"/>
    <w:unhideWhenUsed/>
    <w:rsid w:val="00CC66B8"/>
    <w:rPr>
      <w:color w:val="0000FF"/>
      <w:u w:val="single"/>
    </w:rPr>
  </w:style>
  <w:style w:type="paragraph" w:styleId="Citation">
    <w:name w:val="Quote"/>
    <w:basedOn w:val="Normal"/>
    <w:link w:val="CitationCar"/>
    <w:uiPriority w:val="29"/>
    <w:qFormat/>
    <w:rsid w:val="00CC66B8"/>
    <w:pPr>
      <w:spacing w:before="100" w:beforeAutospacing="1" w:after="100" w:afterAutospacing="1" w:line="240" w:lineRule="auto"/>
    </w:pPr>
    <w:rPr>
      <w:rFonts w:ascii="Times New Roman" w:hAnsi="Times New Roman"/>
      <w:szCs w:val="24"/>
      <w:lang w:eastAsia="fr-CA"/>
    </w:rPr>
  </w:style>
  <w:style w:type="character" w:customStyle="1" w:styleId="CitationCar">
    <w:name w:val="Citation Car"/>
    <w:basedOn w:val="Policepardfaut"/>
    <w:link w:val="Citation"/>
    <w:uiPriority w:val="29"/>
    <w:rsid w:val="00CC66B8"/>
    <w:rPr>
      <w:sz w:val="24"/>
      <w:szCs w:val="24"/>
    </w:rPr>
  </w:style>
  <w:style w:type="paragraph" w:customStyle="1" w:styleId="Citationenretrait2">
    <w:name w:val="Citation en retrait2"/>
    <w:basedOn w:val="Citationenretrait"/>
    <w:qFormat/>
    <w:rsid w:val="002A306D"/>
    <w:pPr>
      <w:ind w:left="1287" w:right="1287"/>
    </w:pPr>
    <w:rPr>
      <w:sz w:val="20"/>
    </w:rPr>
  </w:style>
  <w:style w:type="paragraph" w:customStyle="1" w:styleId="Citationenretrait3">
    <w:name w:val="Citation en retrait3"/>
    <w:basedOn w:val="Citationenretrait2"/>
    <w:next w:val="Citationenretrait"/>
    <w:qFormat/>
    <w:rsid w:val="002A306D"/>
    <w:pPr>
      <w:ind w:left="1854" w:right="1854"/>
    </w:pPr>
    <w:rPr>
      <w:lang w:eastAsia="fr-CA"/>
    </w:rPr>
  </w:style>
  <w:style w:type="paragraph" w:styleId="Listenumros2">
    <w:name w:val="List Number 2"/>
    <w:basedOn w:val="Normal"/>
    <w:uiPriority w:val="99"/>
    <w:unhideWhenUsed/>
    <w:rsid w:val="0066793F"/>
    <w:pPr>
      <w:numPr>
        <w:numId w:val="2"/>
      </w:numPr>
      <w:tabs>
        <w:tab w:val="left" w:pos="1440"/>
      </w:tabs>
      <w:spacing w:before="120" w:after="120"/>
      <w:ind w:left="1440" w:hanging="720"/>
      <w:jc w:val="both"/>
    </w:pPr>
  </w:style>
  <w:style w:type="character" w:customStyle="1" w:styleId="ParagrapheCar">
    <w:name w:val="Paragraphe Car"/>
    <w:link w:val="Paragraphe"/>
    <w:qFormat/>
    <w:rsid w:val="003C6356"/>
    <w:rPr>
      <w:rFonts w:ascii="Arial" w:hAnsi="Arial"/>
      <w:kern w:val="28"/>
      <w:sz w:val="24"/>
      <w:lang w:eastAsia="fr-FR"/>
    </w:rPr>
  </w:style>
  <w:style w:type="character" w:customStyle="1" w:styleId="TableaugauchefranaisCar">
    <w:name w:val="Tableau gauche français Car"/>
    <w:link w:val="Tableaugauchefranais"/>
    <w:rsid w:val="00702A59"/>
    <w:rPr>
      <w:rFonts w:ascii="Arial" w:hAnsi="Arial"/>
      <w:sz w:val="22"/>
      <w:lang w:eastAsia="fr-FR"/>
    </w:rPr>
  </w:style>
  <w:style w:type="character" w:customStyle="1" w:styleId="TableaudroiteanglaisCar">
    <w:name w:val="Tableau droite anglais Car"/>
    <w:link w:val="Tableaudroiteanglais"/>
    <w:rsid w:val="00702A59"/>
    <w:rPr>
      <w:rFonts w:ascii="Arial" w:hAnsi="Arial"/>
      <w:sz w:val="22"/>
      <w:lang w:val="en-CA" w:eastAsia="fr-FR"/>
    </w:rPr>
  </w:style>
  <w:style w:type="character" w:customStyle="1" w:styleId="CitationenretraitCar">
    <w:name w:val="Citation en retrait Car"/>
    <w:link w:val="Citationenretrait"/>
    <w:rsid w:val="00C85A7A"/>
    <w:rPr>
      <w:rFonts w:ascii="Arial" w:hAnsi="Arial"/>
      <w:kern w:val="24"/>
      <w:sz w:val="22"/>
      <w:lang w:eastAsia="fr-FR"/>
    </w:rPr>
  </w:style>
  <w:style w:type="character" w:styleId="Textedelespacerserv">
    <w:name w:val="Placeholder Text"/>
    <w:basedOn w:val="Policepardfaut"/>
    <w:uiPriority w:val="99"/>
    <w:semiHidden/>
    <w:rsid w:val="00702A59"/>
    <w:rPr>
      <w:color w:val="808080"/>
    </w:rPr>
  </w:style>
  <w:style w:type="character" w:styleId="Accentuation">
    <w:name w:val="Emphasis"/>
    <w:basedOn w:val="Policepardfaut"/>
    <w:uiPriority w:val="20"/>
    <w:qFormat/>
    <w:rsid w:val="00702A59"/>
    <w:rPr>
      <w:i/>
      <w:iCs/>
    </w:rPr>
  </w:style>
  <w:style w:type="paragraph" w:customStyle="1" w:styleId="section">
    <w:name w:val="section"/>
    <w:basedOn w:val="Normal"/>
    <w:rsid w:val="00702A59"/>
    <w:pPr>
      <w:spacing w:before="100" w:beforeAutospacing="1" w:after="100" w:afterAutospacing="1" w:line="240" w:lineRule="auto"/>
    </w:pPr>
    <w:rPr>
      <w:rFonts w:ascii="Times New Roman" w:hAnsi="Times New Roman"/>
      <w:szCs w:val="24"/>
      <w:lang w:eastAsia="fr-CA"/>
    </w:rPr>
  </w:style>
  <w:style w:type="character" w:customStyle="1" w:styleId="canliisection">
    <w:name w:val="canlii_section"/>
    <w:basedOn w:val="Policepardfaut"/>
    <w:rsid w:val="00702A59"/>
  </w:style>
  <w:style w:type="paragraph" w:customStyle="1" w:styleId="paragraph">
    <w:name w:val="paragraph"/>
    <w:basedOn w:val="Normal"/>
    <w:rsid w:val="00702A59"/>
    <w:pPr>
      <w:spacing w:before="100" w:beforeAutospacing="1" w:after="100" w:afterAutospacing="1" w:line="240" w:lineRule="auto"/>
    </w:pPr>
    <w:rPr>
      <w:rFonts w:ascii="Times New Roman" w:hAnsi="Times New Roman"/>
      <w:szCs w:val="24"/>
      <w:lang w:eastAsia="fr-CA"/>
    </w:rPr>
  </w:style>
  <w:style w:type="paragraph" w:customStyle="1" w:styleId="subparagraph">
    <w:name w:val="subparagraph"/>
    <w:basedOn w:val="Normal"/>
    <w:rsid w:val="00702A59"/>
    <w:pPr>
      <w:spacing w:before="100" w:beforeAutospacing="1" w:after="100" w:afterAutospacing="1" w:line="240" w:lineRule="auto"/>
    </w:pPr>
    <w:rPr>
      <w:rFonts w:ascii="Times New Roman" w:hAnsi="Times New Roman"/>
      <w:szCs w:val="24"/>
      <w:lang w:eastAsia="fr-CA"/>
    </w:rPr>
  </w:style>
  <w:style w:type="character" w:customStyle="1" w:styleId="Mentionnonrsolue1">
    <w:name w:val="Mention non résolue1"/>
    <w:basedOn w:val="Policepardfaut"/>
    <w:uiPriority w:val="99"/>
    <w:rsid w:val="00702A59"/>
    <w:rPr>
      <w:color w:val="605E5C"/>
      <w:shd w:val="clear" w:color="auto" w:fill="E1DFDD"/>
    </w:rPr>
  </w:style>
  <w:style w:type="character" w:customStyle="1" w:styleId="cf01">
    <w:name w:val="cf01"/>
    <w:basedOn w:val="Policepardfaut"/>
    <w:rsid w:val="00702A59"/>
    <w:rPr>
      <w:rFonts w:ascii="Segoe UI" w:hAnsi="Segoe UI" w:cs="Segoe UI" w:hint="default"/>
      <w:sz w:val="18"/>
      <w:szCs w:val="18"/>
    </w:rPr>
  </w:style>
  <w:style w:type="character" w:styleId="Appeldenotedefin">
    <w:name w:val="endnote reference"/>
    <w:basedOn w:val="Policepardfaut"/>
    <w:uiPriority w:val="99"/>
    <w:semiHidden/>
    <w:unhideWhenUsed/>
    <w:rsid w:val="00702A59"/>
    <w:rPr>
      <w:vertAlign w:val="superscript"/>
    </w:rPr>
  </w:style>
  <w:style w:type="character" w:styleId="Lienvisit">
    <w:name w:val="FollowedHyperlink"/>
    <w:basedOn w:val="Policepardfaut"/>
    <w:uiPriority w:val="99"/>
    <w:semiHidden/>
    <w:unhideWhenUsed/>
    <w:rsid w:val="00702A59"/>
    <w:rPr>
      <w:color w:val="954F72" w:themeColor="followedHyperlink"/>
      <w:u w:val="single"/>
    </w:rPr>
  </w:style>
  <w:style w:type="paragraph" w:customStyle="1" w:styleId="ParaNoNdepar-AltN">
    <w:name w:val="Para. No. / Nº de par. - Alt N"/>
    <w:basedOn w:val="Normal"/>
    <w:rsid w:val="00A95367"/>
    <w:pPr>
      <w:spacing w:before="480" w:after="480" w:line="480" w:lineRule="auto"/>
      <w:jc w:val="both"/>
    </w:pPr>
    <w:rPr>
      <w:rFonts w:ascii="Times New Roman" w:hAnsi="Times New Roman"/>
      <w:szCs w:val="24"/>
      <w:lang w:eastAsia="fr-CA"/>
    </w:rPr>
  </w:style>
  <w:style w:type="paragraph" w:customStyle="1" w:styleId="En-ttedemessagePremier">
    <w:name w:val="En-tête de message (Premier)"/>
    <w:basedOn w:val="En-ttedemessage"/>
    <w:next w:val="En-ttedemessage"/>
    <w:rsid w:val="00A22823"/>
    <w:pPr>
      <w:keepLines/>
      <w:pBdr>
        <w:top w:val="none" w:sz="0" w:space="0" w:color="auto"/>
        <w:left w:val="none" w:sz="0" w:space="0" w:color="auto"/>
        <w:bottom w:val="none" w:sz="0" w:space="0" w:color="auto"/>
        <w:right w:val="none" w:sz="0" w:space="0" w:color="auto"/>
      </w:pBdr>
      <w:shd w:val="clear" w:color="auto" w:fill="auto"/>
      <w:spacing w:before="360" w:after="120" w:line="280" w:lineRule="exact"/>
      <w:ind w:left="1080" w:hanging="1080"/>
    </w:pPr>
    <w:rPr>
      <w:rFonts w:ascii="Arial" w:eastAsia="Times New Roman" w:hAnsi="Arial" w:cs="Times New Roman"/>
      <w:caps/>
      <w:kern w:val="2"/>
      <w:sz w:val="18"/>
      <w:szCs w:val="20"/>
      <w:lang w:val="fr-FR" w:eastAsia="en-US"/>
      <w14:ligatures w14:val="standardContextual"/>
    </w:rPr>
  </w:style>
  <w:style w:type="paragraph" w:styleId="En-ttedemessage">
    <w:name w:val="Message Header"/>
    <w:basedOn w:val="Normal"/>
    <w:link w:val="En-ttedemessageCar"/>
    <w:uiPriority w:val="99"/>
    <w:semiHidden/>
    <w:unhideWhenUsed/>
    <w:rsid w:val="00A2282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En-ttedemessageCar">
    <w:name w:val="En-tête de message Car"/>
    <w:basedOn w:val="Policepardfaut"/>
    <w:link w:val="En-ttedemessage"/>
    <w:uiPriority w:val="99"/>
    <w:semiHidden/>
    <w:rsid w:val="00A22823"/>
    <w:rPr>
      <w:rFonts w:asciiTheme="majorHAnsi" w:eastAsiaTheme="majorEastAsia" w:hAnsiTheme="majorHAnsi" w:cstheme="majorBidi"/>
      <w:sz w:val="24"/>
      <w:szCs w:val="24"/>
      <w:shd w:val="pct20" w:color="auto" w:fill="auto"/>
      <w:lang w:eastAsia="fr-FR"/>
    </w:rPr>
  </w:style>
  <w:style w:type="paragraph" w:styleId="Listenumros">
    <w:name w:val="List Number"/>
    <w:basedOn w:val="Normal"/>
    <w:uiPriority w:val="99"/>
    <w:unhideWhenUsed/>
    <w:rsid w:val="00415255"/>
    <w:pPr>
      <w:numPr>
        <w:numId w:val="18"/>
      </w:numPr>
      <w:tabs>
        <w:tab w:val="clear" w:pos="360"/>
        <w:tab w:val="left" w:pos="1077"/>
      </w:tabs>
      <w:spacing w:before="120" w:after="120" w:line="500" w:lineRule="exact"/>
      <w:ind w:left="1077" w:hanging="357"/>
      <w:jc w:val="both"/>
    </w:pPr>
  </w:style>
  <w:style w:type="character" w:customStyle="1" w:styleId="solexhl">
    <w:name w:val="solexhl"/>
    <w:basedOn w:val="Policepardfaut"/>
    <w:rsid w:val="00BA7404"/>
  </w:style>
  <w:style w:type="character" w:styleId="Mentionnonrsolue">
    <w:name w:val="Unresolved Mention"/>
    <w:basedOn w:val="Policepardfaut"/>
    <w:uiPriority w:val="99"/>
    <w:semiHidden/>
    <w:unhideWhenUsed/>
    <w:rsid w:val="00916B84"/>
    <w:rPr>
      <w:color w:val="605E5C"/>
      <w:shd w:val="clear" w:color="auto" w:fill="E1DFDD"/>
    </w:rPr>
  </w:style>
  <w:style w:type="paragraph" w:styleId="Listepuces">
    <w:name w:val="List Bullet"/>
    <w:basedOn w:val="Normal"/>
    <w:uiPriority w:val="99"/>
    <w:unhideWhenUsed/>
    <w:rsid w:val="00313542"/>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0ED0-A5D6-420A-B8F2-1F348DEA8559}">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65</Pages>
  <Words>20832</Words>
  <Characters>114579</Characters>
  <Application>Microsoft Office Word</Application>
  <DocSecurity>4</DocSecurity>
  <Lines>954</Lines>
  <Paragraphs>270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TR/REV</dc:creator>
  <cp:lastModifiedBy>Traduction</cp:lastModifiedBy>
  <cp:revision>2</cp:revision>
  <dcterms:created xsi:type="dcterms:W3CDTF">2026-01-22T14:40:00Z</dcterms:created>
  <dcterms:modified xsi:type="dcterms:W3CDTF">2026-01-22T14:40:00Z</dcterms:modified>
</cp:coreProperties>
</file>