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2AD3" w14:textId="77777777" w:rsidR="00492510" w:rsidRPr="00A904D1" w:rsidRDefault="00492510" w:rsidP="00492510">
      <w:pPr>
        <w:pStyle w:val="Pieddepage"/>
        <w:rPr>
          <w:b/>
          <w:bCs/>
        </w:rPr>
      </w:pPr>
      <w:r w:rsidRPr="00A904D1">
        <w:rPr>
          <w:b/>
          <w:bCs/>
        </w:rPr>
        <w:t>English translation of the judgment of the Court</w:t>
      </w:r>
    </w:p>
    <w:p w14:paraId="25D23DE4" w14:textId="77777777" w:rsidR="00492510" w:rsidRDefault="00492510"/>
    <w:tbl>
      <w:tblPr>
        <w:tblW w:w="9270" w:type="dxa"/>
        <w:tblInd w:w="8" w:type="dxa"/>
        <w:tblLayout w:type="fixed"/>
        <w:tblCellMar>
          <w:left w:w="0" w:type="dxa"/>
          <w:right w:w="0" w:type="dxa"/>
        </w:tblCellMar>
        <w:tblLook w:val="0000" w:firstRow="0" w:lastRow="0" w:firstColumn="0" w:lastColumn="0" w:noHBand="0" w:noVBand="0"/>
      </w:tblPr>
      <w:tblGrid>
        <w:gridCol w:w="1030"/>
        <w:gridCol w:w="50"/>
        <w:gridCol w:w="613"/>
        <w:gridCol w:w="1907"/>
        <w:gridCol w:w="3480"/>
        <w:gridCol w:w="2190"/>
      </w:tblGrid>
      <w:tr w:rsidR="000B07EE" w14:paraId="3B833204" w14:textId="77777777">
        <w:trPr>
          <w:trHeight w:val="284"/>
        </w:trPr>
        <w:tc>
          <w:tcPr>
            <w:tcW w:w="7080" w:type="dxa"/>
            <w:gridSpan w:val="5"/>
          </w:tcPr>
          <w:p w14:paraId="0BF6BFEE" w14:textId="27590697" w:rsidR="000B07EE" w:rsidRDefault="000B07EE" w:rsidP="000B07EE">
            <w:pPr>
              <w:pStyle w:val="zSoquijdatRepertorie"/>
              <w:rPr>
                <w:lang w:val="fr-CA"/>
              </w:rPr>
            </w:pPr>
            <w:r>
              <w:rPr>
                <w:rFonts w:cs="Arial"/>
              </w:rPr>
              <w:t>Snowball c. R.</w:t>
            </w:r>
          </w:p>
        </w:tc>
        <w:tc>
          <w:tcPr>
            <w:tcW w:w="2190" w:type="dxa"/>
          </w:tcPr>
          <w:p w14:paraId="142DC8F6" w14:textId="1D5E8E8C" w:rsidR="000B07EE" w:rsidRDefault="000B07EE" w:rsidP="000B07EE">
            <w:pPr>
              <w:pStyle w:val="zSoquijdatRefNeutre"/>
              <w:jc w:val="right"/>
              <w:rPr>
                <w:lang w:val="fr-CA"/>
              </w:rPr>
            </w:pPr>
            <w:r w:rsidRPr="00E65392">
              <w:rPr>
                <w:rFonts w:cs="Arial"/>
              </w:rPr>
              <w:t>2026 QCCA 76</w:t>
            </w:r>
          </w:p>
        </w:tc>
      </w:tr>
      <w:tr w:rsidR="006B3E24" w14:paraId="512B9120" w14:textId="77777777">
        <w:trPr>
          <w:trHeight w:val="247"/>
        </w:trPr>
        <w:tc>
          <w:tcPr>
            <w:tcW w:w="9270" w:type="dxa"/>
            <w:gridSpan w:val="6"/>
          </w:tcPr>
          <w:p w14:paraId="332297F0" w14:textId="77777777" w:rsidR="006B3E24" w:rsidRDefault="008773C4">
            <w:pPr>
              <w:pStyle w:val="zSoquijlblCour"/>
            </w:pPr>
            <w:r>
              <w:t>COURT OF APPEAL</w:t>
            </w:r>
          </w:p>
        </w:tc>
      </w:tr>
      <w:tr w:rsidR="006B3E24" w14:paraId="269A4AA0" w14:textId="77777777">
        <w:trPr>
          <w:trHeight w:val="540"/>
        </w:trPr>
        <w:tc>
          <w:tcPr>
            <w:tcW w:w="9270" w:type="dxa"/>
            <w:gridSpan w:val="6"/>
          </w:tcPr>
          <w:p w14:paraId="0F6B68A5" w14:textId="77777777" w:rsidR="006B3E24" w:rsidRDefault="006B3E24">
            <w:pPr>
              <w:pStyle w:val="zSoquijdatDivision"/>
            </w:pPr>
          </w:p>
        </w:tc>
      </w:tr>
      <w:tr w:rsidR="006B3E24" w14:paraId="58048BF1" w14:textId="77777777">
        <w:tc>
          <w:tcPr>
            <w:tcW w:w="9270" w:type="dxa"/>
            <w:gridSpan w:val="6"/>
          </w:tcPr>
          <w:p w14:paraId="082D96F3" w14:textId="77777777" w:rsidR="006B3E24" w:rsidRDefault="008773C4">
            <w:pPr>
              <w:pStyle w:val="zSoquijlblPays"/>
            </w:pPr>
            <w:r>
              <w:t>CANADA</w:t>
            </w:r>
          </w:p>
        </w:tc>
      </w:tr>
      <w:tr w:rsidR="006B3E24" w14:paraId="6E660D7A" w14:textId="77777777">
        <w:tc>
          <w:tcPr>
            <w:tcW w:w="9270" w:type="dxa"/>
            <w:gridSpan w:val="6"/>
          </w:tcPr>
          <w:p w14:paraId="41798813" w14:textId="77777777" w:rsidR="006B3E24" w:rsidRDefault="008773C4">
            <w:pPr>
              <w:pStyle w:val="zSoquijlblProvince"/>
            </w:pPr>
            <w:r>
              <w:t>PROVINCE OF QUEBEC</w:t>
            </w:r>
          </w:p>
        </w:tc>
      </w:tr>
      <w:tr w:rsidR="006B3E24" w14:paraId="36441765" w14:textId="77777777" w:rsidTr="001339DC">
        <w:tc>
          <w:tcPr>
            <w:tcW w:w="1693" w:type="dxa"/>
            <w:gridSpan w:val="3"/>
          </w:tcPr>
          <w:p w14:paraId="50D09B7B" w14:textId="5631B7E7" w:rsidR="006B3E24" w:rsidRDefault="00CB2C23" w:rsidP="00CB2C23">
            <w:pPr>
              <w:pStyle w:val="zSoquijdatGreffe"/>
            </w:pPr>
            <w:bookmarkStart w:id="0" w:name="NomGreffe"/>
            <w:r>
              <w:t>QUEBEC CITY</w:t>
            </w:r>
            <w:bookmarkEnd w:id="0"/>
            <w:r>
              <w:t xml:space="preserve"> </w:t>
            </w:r>
          </w:p>
        </w:tc>
        <w:tc>
          <w:tcPr>
            <w:tcW w:w="7577" w:type="dxa"/>
            <w:gridSpan w:val="3"/>
          </w:tcPr>
          <w:p w14:paraId="725DE0D3" w14:textId="77777777" w:rsidR="006B3E24" w:rsidRDefault="00AA28C9" w:rsidP="00AA28C9">
            <w:pPr>
              <w:pStyle w:val="zSoquijdatGreffe"/>
            </w:pPr>
            <w:r w:rsidRPr="00AA28C9">
              <w:t>SEAT</w:t>
            </w:r>
          </w:p>
          <w:p w14:paraId="6DE99D4A" w14:textId="77777777" w:rsidR="00CB2C23" w:rsidRDefault="00CB2C23" w:rsidP="00AA28C9">
            <w:pPr>
              <w:pStyle w:val="zSoquijdatGreffe"/>
            </w:pPr>
          </w:p>
        </w:tc>
      </w:tr>
      <w:tr w:rsidR="006B3E24" w14:paraId="08671E8E" w14:textId="77777777">
        <w:tc>
          <w:tcPr>
            <w:tcW w:w="1030" w:type="dxa"/>
          </w:tcPr>
          <w:p w14:paraId="6D424CBD" w14:textId="77777777" w:rsidR="006B3E24" w:rsidRDefault="008773C4">
            <w:pPr>
              <w:pStyle w:val="zSoquijlblNoDossier"/>
            </w:pPr>
            <w:r>
              <w:t>No:</w:t>
            </w:r>
          </w:p>
        </w:tc>
        <w:tc>
          <w:tcPr>
            <w:tcW w:w="8240" w:type="dxa"/>
            <w:gridSpan w:val="5"/>
          </w:tcPr>
          <w:p w14:paraId="2386E0B4" w14:textId="73D10F22" w:rsidR="006B3E24" w:rsidRDefault="00CB2C23">
            <w:pPr>
              <w:pStyle w:val="zSoquijdatNoDossier"/>
            </w:pPr>
            <w:bookmarkStart w:id="1" w:name="NoDossier"/>
            <w:r>
              <w:t>200-10-700049-237</w:t>
            </w:r>
            <w:bookmarkEnd w:id="1"/>
          </w:p>
        </w:tc>
      </w:tr>
      <w:tr w:rsidR="00CB2C23" w14:paraId="22E095BB" w14:textId="77777777">
        <w:tc>
          <w:tcPr>
            <w:tcW w:w="9270" w:type="dxa"/>
            <w:gridSpan w:val="6"/>
          </w:tcPr>
          <w:p w14:paraId="14552E5E" w14:textId="1CDCE8A6" w:rsidR="00CB2C23" w:rsidRDefault="00CB2C23" w:rsidP="00CB2C23">
            <w:pPr>
              <w:pStyle w:val="zSoquijdatNoDossierAnt"/>
            </w:pPr>
            <w:r>
              <w:t>(635-01-020009-214)</w:t>
            </w:r>
          </w:p>
        </w:tc>
      </w:tr>
      <w:tr w:rsidR="006B3E24" w14:paraId="1BC92B61" w14:textId="77777777">
        <w:tc>
          <w:tcPr>
            <w:tcW w:w="9270" w:type="dxa"/>
            <w:gridSpan w:val="6"/>
          </w:tcPr>
          <w:p w14:paraId="770BD3CC" w14:textId="77777777" w:rsidR="006B3E24" w:rsidRDefault="006B3E24"/>
        </w:tc>
      </w:tr>
      <w:tr w:rsidR="006B3E24" w14:paraId="1BA5FE57" w14:textId="77777777">
        <w:tc>
          <w:tcPr>
            <w:tcW w:w="1030" w:type="dxa"/>
          </w:tcPr>
          <w:p w14:paraId="0F91DBDE" w14:textId="77777777" w:rsidR="006B3E24" w:rsidRDefault="008773C4">
            <w:pPr>
              <w:pStyle w:val="zSoquijlblDateJugement"/>
            </w:pPr>
            <w:r>
              <w:t>DATE:</w:t>
            </w:r>
          </w:p>
        </w:tc>
        <w:tc>
          <w:tcPr>
            <w:tcW w:w="8240" w:type="dxa"/>
            <w:gridSpan w:val="5"/>
          </w:tcPr>
          <w:p w14:paraId="69AC8CE4" w14:textId="63305EE8" w:rsidR="006B3E24" w:rsidRDefault="008F4167">
            <w:pPr>
              <w:pStyle w:val="zSoquijdatDateJugement"/>
            </w:pPr>
            <w:r w:rsidRPr="008F4167">
              <w:t>January 26, 2026</w:t>
            </w:r>
          </w:p>
        </w:tc>
      </w:tr>
      <w:tr w:rsidR="006B3E24" w14:paraId="0D70FED7" w14:textId="77777777">
        <w:tc>
          <w:tcPr>
            <w:tcW w:w="9270" w:type="dxa"/>
            <w:gridSpan w:val="6"/>
            <w:tcBorders>
              <w:bottom w:val="single" w:sz="8" w:space="0" w:color="auto"/>
            </w:tcBorders>
          </w:tcPr>
          <w:p w14:paraId="4A1B1E94" w14:textId="77777777" w:rsidR="006B3E24" w:rsidRDefault="006B3E24"/>
        </w:tc>
      </w:tr>
      <w:tr w:rsidR="006B3E24" w14:paraId="23D2AD6D" w14:textId="77777777">
        <w:tc>
          <w:tcPr>
            <w:tcW w:w="9270" w:type="dxa"/>
            <w:gridSpan w:val="6"/>
            <w:tcBorders>
              <w:top w:val="single" w:sz="8" w:space="0" w:color="auto"/>
            </w:tcBorders>
          </w:tcPr>
          <w:p w14:paraId="42ED473C" w14:textId="77777777" w:rsidR="006B3E24" w:rsidRDefault="006B3E24"/>
        </w:tc>
      </w:tr>
      <w:tr w:rsidR="006B3E24" w14:paraId="2115A973" w14:textId="77777777">
        <w:tc>
          <w:tcPr>
            <w:tcW w:w="1080" w:type="dxa"/>
            <w:gridSpan w:val="2"/>
          </w:tcPr>
          <w:p w14:paraId="64540643" w14:textId="77777777" w:rsidR="006B3E24" w:rsidRDefault="008773C4">
            <w:pPr>
              <w:pStyle w:val="zSoquijlblJuge"/>
            </w:pPr>
            <w:bookmarkStart w:id="2" w:name="Coram"/>
            <w:r>
              <w:t>CORAM:</w:t>
            </w:r>
            <w:bookmarkEnd w:id="2"/>
          </w:p>
        </w:tc>
        <w:tc>
          <w:tcPr>
            <w:tcW w:w="2520" w:type="dxa"/>
            <w:gridSpan w:val="2"/>
          </w:tcPr>
          <w:p w14:paraId="0681261D" w14:textId="77777777" w:rsidR="006B3E24" w:rsidRDefault="008773C4">
            <w:pPr>
              <w:pStyle w:val="zSoquijdatQteJuge"/>
            </w:pPr>
            <w:bookmarkStart w:id="3" w:name="Honorables"/>
            <w:r>
              <w:t>THE HONOURABLE</w:t>
            </w:r>
            <w:bookmarkEnd w:id="3"/>
          </w:p>
        </w:tc>
        <w:tc>
          <w:tcPr>
            <w:tcW w:w="5670" w:type="dxa"/>
            <w:gridSpan w:val="2"/>
          </w:tcPr>
          <w:p w14:paraId="239FDDFC" w14:textId="6CC25C43" w:rsidR="006B3E24" w:rsidRPr="00CB2C23" w:rsidRDefault="00CB2C23">
            <w:pPr>
              <w:pStyle w:val="zSoquijdatJuge"/>
            </w:pPr>
            <w:bookmarkStart w:id="4" w:name="NomJuge1"/>
            <w:r>
              <w:t>BENOÎT MOORE, J.A.</w:t>
            </w:r>
            <w:bookmarkEnd w:id="4"/>
          </w:p>
          <w:p w14:paraId="4713CFE8" w14:textId="6506BE4B" w:rsidR="006B3E24" w:rsidRPr="00CB2C23" w:rsidRDefault="00CB2C23">
            <w:pPr>
              <w:pStyle w:val="zSoquijdatJuge"/>
            </w:pPr>
            <w:bookmarkStart w:id="5" w:name="NomJuge2"/>
            <w:r>
              <w:t>ÉRIC HARDY, J.A.</w:t>
            </w:r>
            <w:bookmarkEnd w:id="5"/>
          </w:p>
          <w:p w14:paraId="2A6C8ACD" w14:textId="161ED768" w:rsidR="00447B9B" w:rsidRPr="00447B9B" w:rsidRDefault="00CB2C23" w:rsidP="00CB2C23">
            <w:pPr>
              <w:pStyle w:val="zSoquijdatJuge"/>
            </w:pPr>
            <w:bookmarkStart w:id="6" w:name="_Hlt520513784"/>
            <w:bookmarkStart w:id="7" w:name="NomJuge3"/>
            <w:bookmarkEnd w:id="6"/>
            <w:r>
              <w:t>MYRIAM LACHANCE, J.A.</w:t>
            </w:r>
            <w:bookmarkEnd w:id="7"/>
          </w:p>
        </w:tc>
      </w:tr>
      <w:tr w:rsidR="006B3E24" w14:paraId="77CC3589" w14:textId="77777777">
        <w:tc>
          <w:tcPr>
            <w:tcW w:w="9270" w:type="dxa"/>
            <w:gridSpan w:val="6"/>
            <w:tcBorders>
              <w:bottom w:val="single" w:sz="8" w:space="0" w:color="auto"/>
            </w:tcBorders>
          </w:tcPr>
          <w:p w14:paraId="5712657C" w14:textId="77777777" w:rsidR="006B3E24" w:rsidRDefault="006B3E24">
            <w:pPr>
              <w:rPr>
                <w:lang w:val="de-DE"/>
              </w:rPr>
            </w:pPr>
          </w:p>
        </w:tc>
      </w:tr>
      <w:tr w:rsidR="006B3E24" w14:paraId="4F7EB795" w14:textId="77777777">
        <w:tc>
          <w:tcPr>
            <w:tcW w:w="9270" w:type="dxa"/>
            <w:gridSpan w:val="6"/>
          </w:tcPr>
          <w:p w14:paraId="702ED3C2" w14:textId="77777777" w:rsidR="006B3E24" w:rsidRDefault="006B3E24">
            <w:pPr>
              <w:pStyle w:val="zSoquijlblTitrePartie"/>
              <w:rPr>
                <w:lang w:val="de-DE"/>
              </w:rPr>
            </w:pPr>
          </w:p>
        </w:tc>
      </w:tr>
      <w:tr w:rsidR="006B3E24" w14:paraId="2E8B176D" w14:textId="77777777">
        <w:tc>
          <w:tcPr>
            <w:tcW w:w="9270" w:type="dxa"/>
            <w:gridSpan w:val="6"/>
          </w:tcPr>
          <w:p w14:paraId="4B559D94" w14:textId="231A0580" w:rsidR="006B3E24" w:rsidRDefault="00CB2C23">
            <w:pPr>
              <w:pStyle w:val="zSoquijdatNomPartieDem"/>
              <w:rPr>
                <w:lang w:val="de-DE"/>
              </w:rPr>
            </w:pPr>
            <w:r>
              <w:t>JACOB SNOWBALL</w:t>
            </w:r>
          </w:p>
        </w:tc>
      </w:tr>
      <w:tr w:rsidR="006B3E24" w14:paraId="29F3A9A0" w14:textId="77777777">
        <w:tc>
          <w:tcPr>
            <w:tcW w:w="9270" w:type="dxa"/>
            <w:gridSpan w:val="6"/>
          </w:tcPr>
          <w:p w14:paraId="290E7037" w14:textId="183591E8" w:rsidR="006B3E24" w:rsidRDefault="00CB2C23">
            <w:pPr>
              <w:pStyle w:val="zSoquijdatQtePartieDem"/>
              <w:rPr>
                <w:lang w:val="de-DE"/>
              </w:rPr>
            </w:pPr>
            <w:r>
              <w:t>APPELLANT – Accused</w:t>
            </w:r>
          </w:p>
        </w:tc>
      </w:tr>
      <w:tr w:rsidR="006B3E24" w14:paraId="5797C8D1" w14:textId="77777777">
        <w:tc>
          <w:tcPr>
            <w:tcW w:w="9270" w:type="dxa"/>
            <w:gridSpan w:val="6"/>
          </w:tcPr>
          <w:p w14:paraId="03BF2915" w14:textId="77777777" w:rsidR="006B3E24" w:rsidRDefault="008773C4">
            <w:pPr>
              <w:pStyle w:val="zSoquijlblLienParties"/>
            </w:pPr>
            <w:r>
              <w:t>v.</w:t>
            </w:r>
          </w:p>
        </w:tc>
      </w:tr>
      <w:tr w:rsidR="006B3E24" w14:paraId="19CCE571" w14:textId="77777777">
        <w:tc>
          <w:tcPr>
            <w:tcW w:w="9270" w:type="dxa"/>
            <w:gridSpan w:val="6"/>
          </w:tcPr>
          <w:p w14:paraId="74FFF0FC" w14:textId="77777777" w:rsidR="006B3E24" w:rsidRDefault="006B3E24"/>
        </w:tc>
      </w:tr>
      <w:tr w:rsidR="006B3E24" w14:paraId="3D6BAD82" w14:textId="77777777">
        <w:tc>
          <w:tcPr>
            <w:tcW w:w="9270" w:type="dxa"/>
            <w:gridSpan w:val="6"/>
          </w:tcPr>
          <w:p w14:paraId="648AD71F" w14:textId="2BA557F4" w:rsidR="006B3E24" w:rsidRDefault="00CB2C23">
            <w:pPr>
              <w:pStyle w:val="zSoquijdatNomPartieDef"/>
            </w:pPr>
            <w:r>
              <w:t>HIS MAJESTY THE KING</w:t>
            </w:r>
          </w:p>
        </w:tc>
      </w:tr>
      <w:tr w:rsidR="006B3E24" w14:paraId="0CB8DEF9" w14:textId="77777777">
        <w:tc>
          <w:tcPr>
            <w:tcW w:w="9270" w:type="dxa"/>
            <w:gridSpan w:val="6"/>
          </w:tcPr>
          <w:p w14:paraId="66EC279F" w14:textId="5CC0F817" w:rsidR="006B3E24" w:rsidRDefault="00CB2C23">
            <w:pPr>
              <w:pStyle w:val="zSoquijdatQtePartieDef"/>
            </w:pPr>
            <w:r>
              <w:t>RESPONDENT – Prosecutor</w:t>
            </w:r>
          </w:p>
        </w:tc>
      </w:tr>
      <w:tr w:rsidR="00CB2C23" w14:paraId="0349744A" w14:textId="77777777">
        <w:tc>
          <w:tcPr>
            <w:tcW w:w="9270" w:type="dxa"/>
            <w:gridSpan w:val="6"/>
          </w:tcPr>
          <w:p w14:paraId="03FFB182" w14:textId="791A3613" w:rsidR="00CB2C23" w:rsidRDefault="00CB2C23" w:rsidP="00CB2C23">
            <w:pPr>
              <w:pStyle w:val="zSoquijlblLienParties"/>
            </w:pPr>
            <w:r>
              <w:t>and</w:t>
            </w:r>
          </w:p>
        </w:tc>
      </w:tr>
      <w:tr w:rsidR="00CB2C23" w14:paraId="4D49ADF6" w14:textId="77777777">
        <w:tc>
          <w:tcPr>
            <w:tcW w:w="9270" w:type="dxa"/>
            <w:gridSpan w:val="6"/>
          </w:tcPr>
          <w:p w14:paraId="0F3DB4B1" w14:textId="64B3220A" w:rsidR="00CB2C23" w:rsidRDefault="00CB2C23" w:rsidP="00CB2C23">
            <w:pPr>
              <w:pStyle w:val="zSoquijdatNomPartieDef"/>
            </w:pPr>
            <w:r>
              <w:t>ATTORNEY GENERAL OF QUEBEC</w:t>
            </w:r>
          </w:p>
        </w:tc>
      </w:tr>
      <w:tr w:rsidR="00CB2C23" w14:paraId="26CD93AA" w14:textId="77777777">
        <w:tc>
          <w:tcPr>
            <w:tcW w:w="9270" w:type="dxa"/>
            <w:gridSpan w:val="6"/>
          </w:tcPr>
          <w:p w14:paraId="3147B3E8" w14:textId="2318E5E0" w:rsidR="00CB2C23" w:rsidRDefault="00CB2C23">
            <w:pPr>
              <w:pStyle w:val="zSoquijdatQtePartieDef"/>
            </w:pPr>
            <w:r>
              <w:t>INTERVENER</w:t>
            </w:r>
          </w:p>
        </w:tc>
      </w:tr>
      <w:tr w:rsidR="006B3E24" w14:paraId="05277880" w14:textId="77777777">
        <w:tc>
          <w:tcPr>
            <w:tcW w:w="9270" w:type="dxa"/>
            <w:gridSpan w:val="6"/>
          </w:tcPr>
          <w:p w14:paraId="2B4EB2A0" w14:textId="77777777" w:rsidR="006B3E24" w:rsidRDefault="006B3E24"/>
        </w:tc>
      </w:tr>
      <w:tr w:rsidR="006B3E24" w14:paraId="660A9CC9" w14:textId="77777777">
        <w:tc>
          <w:tcPr>
            <w:tcW w:w="9270" w:type="dxa"/>
            <w:gridSpan w:val="6"/>
            <w:tcBorders>
              <w:top w:val="single" w:sz="8" w:space="0" w:color="auto"/>
            </w:tcBorders>
          </w:tcPr>
          <w:p w14:paraId="564667D8" w14:textId="77777777" w:rsidR="006B3E24" w:rsidRDefault="006B3E24">
            <w:bookmarkStart w:id="8" w:name="Arret"/>
          </w:p>
        </w:tc>
      </w:tr>
      <w:tr w:rsidR="006B3E24" w14:paraId="37C31C6A" w14:textId="77777777">
        <w:tc>
          <w:tcPr>
            <w:tcW w:w="9270" w:type="dxa"/>
            <w:gridSpan w:val="6"/>
          </w:tcPr>
          <w:p w14:paraId="402DCA9F" w14:textId="34F0F4F5" w:rsidR="006B3E24" w:rsidRDefault="00CB2C23">
            <w:pPr>
              <w:pStyle w:val="zSoquijlblTypeDocument"/>
            </w:pPr>
            <w:bookmarkStart w:id="9" w:name="TitreDocument"/>
            <w:r>
              <w:t>JUDGMENT</w:t>
            </w:r>
            <w:bookmarkEnd w:id="9"/>
          </w:p>
        </w:tc>
      </w:tr>
      <w:tr w:rsidR="006B3E24" w14:paraId="6F6F3A17" w14:textId="77777777">
        <w:tc>
          <w:tcPr>
            <w:tcW w:w="9270" w:type="dxa"/>
            <w:gridSpan w:val="6"/>
            <w:tcBorders>
              <w:bottom w:val="single" w:sz="8" w:space="0" w:color="auto"/>
            </w:tcBorders>
          </w:tcPr>
          <w:p w14:paraId="5325E280" w14:textId="77777777" w:rsidR="006B3E24" w:rsidRDefault="006B3E24"/>
        </w:tc>
      </w:tr>
      <w:tr w:rsidR="006B3E24" w14:paraId="3F8ADD99" w14:textId="77777777">
        <w:tc>
          <w:tcPr>
            <w:tcW w:w="9270" w:type="dxa"/>
            <w:gridSpan w:val="6"/>
            <w:tcBorders>
              <w:top w:val="single" w:sz="8" w:space="0" w:color="auto"/>
            </w:tcBorders>
          </w:tcPr>
          <w:p w14:paraId="19146C49" w14:textId="77777777" w:rsidR="006B3E24" w:rsidRDefault="006B3E24"/>
        </w:tc>
      </w:tr>
    </w:tbl>
    <w:p w14:paraId="27909629" w14:textId="77777777" w:rsidR="00D96CDC" w:rsidRPr="008A4CD3" w:rsidRDefault="00D96CDC" w:rsidP="00317EB7">
      <w:pPr>
        <w:spacing w:before="240" w:after="120"/>
        <w:jc w:val="both"/>
      </w:pPr>
      <w:r w:rsidRPr="008A4CD3">
        <w:rPr>
          <w:b/>
          <w:bCs/>
          <w:color w:val="000000"/>
          <w:u w:val="single"/>
        </w:rPr>
        <w:t>WARNING:</w:t>
      </w:r>
      <w:r w:rsidRPr="008A4CD3">
        <w:rPr>
          <w:color w:val="000000"/>
        </w:rPr>
        <w:t xml:space="preserve"> </w:t>
      </w:r>
      <w:r w:rsidRPr="008A4CD3">
        <w:rPr>
          <w:b/>
          <w:bCs/>
          <w:color w:val="000000"/>
        </w:rPr>
        <w:t xml:space="preserve">Order in first instance restricting publication: The trial court made an order under s. 486.4 </w:t>
      </w:r>
      <w:proofErr w:type="spellStart"/>
      <w:r w:rsidRPr="008A4CD3">
        <w:rPr>
          <w:b/>
          <w:bCs/>
          <w:i/>
          <w:iCs/>
          <w:color w:val="000000"/>
        </w:rPr>
        <w:t>Cr.C</w:t>
      </w:r>
      <w:proofErr w:type="spellEnd"/>
      <w:r w:rsidRPr="008A4CD3">
        <w:rPr>
          <w:b/>
          <w:bCs/>
          <w:i/>
          <w:iCs/>
          <w:color w:val="000000"/>
        </w:rPr>
        <w:t>.</w:t>
      </w:r>
      <w:r w:rsidRPr="008A4CD3">
        <w:rPr>
          <w:b/>
          <w:bCs/>
          <w:color w:val="000000"/>
        </w:rPr>
        <w:t xml:space="preserve"> directing that any information that could identify the victim or a witness shall not be published in any document or broadcast or transmitted in any way.</w:t>
      </w:r>
    </w:p>
    <w:p w14:paraId="1819A6C2" w14:textId="6CC96338" w:rsidR="006307DA" w:rsidRDefault="006307DA" w:rsidP="00CB4B42">
      <w:pPr>
        <w:pStyle w:val="Paragraphe"/>
        <w:spacing w:before="240" w:line="280" w:lineRule="exact"/>
      </w:pPr>
      <w:r>
        <w:t>T</w:t>
      </w:r>
      <w:r w:rsidRPr="00E258B0">
        <w:t>he appellant appeals against a judgment rendered on March</w:t>
      </w:r>
      <w:r>
        <w:t> </w:t>
      </w:r>
      <w:r w:rsidRPr="00E258B0">
        <w:t>31,</w:t>
      </w:r>
      <w:r>
        <w:t> </w:t>
      </w:r>
      <w:r w:rsidRPr="00E258B0">
        <w:t>2023</w:t>
      </w:r>
      <w:r>
        <w:t>,</w:t>
      </w:r>
      <w:r w:rsidRPr="00E258B0">
        <w:t xml:space="preserve"> by the </w:t>
      </w:r>
      <w:r w:rsidR="00CB4B42" w:rsidRPr="00E258B0">
        <w:t>Court of Québec</w:t>
      </w:r>
      <w:r w:rsidR="00CB4B42">
        <w:t xml:space="preserve">, </w:t>
      </w:r>
      <w:r w:rsidR="00CB4B42" w:rsidRPr="00E258B0">
        <w:t>Criminal and Penal Division</w:t>
      </w:r>
      <w:r w:rsidR="00CB4B42">
        <w:t xml:space="preserve">, </w:t>
      </w:r>
      <w:r w:rsidR="00317EB7">
        <w:t>D</w:t>
      </w:r>
      <w:r w:rsidR="00CB4B42">
        <w:t>istrict of Abitibi, (</w:t>
      </w:r>
      <w:r w:rsidRPr="00E258B0">
        <w:t>Honourable Marie</w:t>
      </w:r>
      <w:r w:rsidR="00CB4B42">
        <w:noBreakHyphen/>
      </w:r>
      <w:r w:rsidRPr="00E258B0">
        <w:t>Chantal Brassard</w:t>
      </w:r>
      <w:r w:rsidR="00CB4B42">
        <w:t>)</w:t>
      </w:r>
      <w:r w:rsidRPr="00E258B0">
        <w:t>, in which he was sentenced to 15 months of prison followed by three years of probatio</w:t>
      </w:r>
      <w:r w:rsidR="00317EB7">
        <w:t>n</w:t>
      </w:r>
      <w:r w:rsidR="00CB4B42">
        <w:t>.</w:t>
      </w:r>
    </w:p>
    <w:p w14:paraId="5CEA6033" w14:textId="77777777" w:rsidR="00597A2B" w:rsidRPr="008A4CD3" w:rsidRDefault="00597A2B" w:rsidP="00597A2B">
      <w:pPr>
        <w:pStyle w:val="Paragraphe"/>
        <w:spacing w:line="280" w:lineRule="exact"/>
      </w:pPr>
      <w:r w:rsidRPr="008A4CD3">
        <w:lastRenderedPageBreak/>
        <w:t xml:space="preserve">For the reasons of Lachance, J.A., with which Moore and Hardy, JJ.A. agree, </w:t>
      </w:r>
      <w:r w:rsidRPr="008A4CD3">
        <w:rPr>
          <w:b/>
          <w:bCs/>
        </w:rPr>
        <w:t>THE</w:t>
      </w:r>
      <w:r>
        <w:rPr>
          <w:b/>
          <w:bCs/>
        </w:rPr>
        <w:t> </w:t>
      </w:r>
      <w:r w:rsidRPr="008A4CD3">
        <w:rPr>
          <w:b/>
          <w:bCs/>
        </w:rPr>
        <w:t>COURT:</w:t>
      </w:r>
    </w:p>
    <w:p w14:paraId="2C0A1D5A" w14:textId="77777777" w:rsidR="00C32E62" w:rsidRPr="00C32E62" w:rsidRDefault="00C32E62" w:rsidP="00CB4B42">
      <w:pPr>
        <w:pStyle w:val="Paragraphe"/>
        <w:spacing w:line="280" w:lineRule="exact"/>
        <w:rPr>
          <w:b/>
        </w:rPr>
      </w:pPr>
      <w:r w:rsidRPr="00C32E62">
        <w:rPr>
          <w:b/>
          <w:bCs/>
        </w:rPr>
        <w:t xml:space="preserve">DISMISSES </w:t>
      </w:r>
      <w:r w:rsidRPr="00C32E62">
        <w:t xml:space="preserve">the application for leave to adduce fresh </w:t>
      </w:r>
      <w:proofErr w:type="gramStart"/>
      <w:r w:rsidRPr="00C32E62">
        <w:t>evidence;</w:t>
      </w:r>
      <w:proofErr w:type="gramEnd"/>
    </w:p>
    <w:p w14:paraId="1B14BF2B" w14:textId="77777777" w:rsidR="00C32E62" w:rsidRPr="00C32E62" w:rsidRDefault="00C32E62" w:rsidP="00CB4B42">
      <w:pPr>
        <w:pStyle w:val="Paragraphe"/>
        <w:spacing w:line="280" w:lineRule="exact"/>
        <w:rPr>
          <w:b/>
        </w:rPr>
      </w:pPr>
      <w:r w:rsidRPr="00C32E62">
        <w:rPr>
          <w:b/>
          <w:bCs/>
        </w:rPr>
        <w:t xml:space="preserve">DECLARES </w:t>
      </w:r>
      <w:r w:rsidRPr="00C32E62">
        <w:t xml:space="preserve">that the Attorney General of Quebec’s application to present rebuttal evidence is </w:t>
      </w:r>
      <w:proofErr w:type="gramStart"/>
      <w:r w:rsidRPr="00C32E62">
        <w:t>moot;</w:t>
      </w:r>
      <w:proofErr w:type="gramEnd"/>
    </w:p>
    <w:p w14:paraId="05F69450" w14:textId="77777777" w:rsidR="00C32E62" w:rsidRPr="00C32E62" w:rsidRDefault="00C32E62" w:rsidP="00CB4B42">
      <w:pPr>
        <w:pStyle w:val="Paragraphe"/>
        <w:spacing w:line="280" w:lineRule="exact"/>
        <w:rPr>
          <w:b/>
        </w:rPr>
      </w:pPr>
      <w:r w:rsidRPr="00C32E62">
        <w:rPr>
          <w:b/>
          <w:bCs/>
        </w:rPr>
        <w:t>DISMISSES</w:t>
      </w:r>
      <w:r w:rsidRPr="00C32E62">
        <w:t xml:space="preserve"> the </w:t>
      </w:r>
      <w:proofErr w:type="gramStart"/>
      <w:r w:rsidRPr="00C32E62">
        <w:t>appeal;</w:t>
      </w:r>
      <w:proofErr w:type="gramEnd"/>
    </w:p>
    <w:p w14:paraId="4D640F72" w14:textId="7EEA7F12" w:rsidR="006B3E24" w:rsidRPr="00C32E62" w:rsidRDefault="00C32E62" w:rsidP="00D322F3">
      <w:pPr>
        <w:pStyle w:val="Paragraphe"/>
        <w:spacing w:line="280" w:lineRule="exact"/>
        <w:rPr>
          <w:b/>
        </w:rPr>
      </w:pPr>
      <w:r w:rsidRPr="00C32E62">
        <w:rPr>
          <w:b/>
          <w:bCs/>
        </w:rPr>
        <w:t>ORDERS</w:t>
      </w:r>
      <w:r w:rsidRPr="00C32E62">
        <w:t xml:space="preserve"> the appellant to report to prison authorities within 72 hours of this judgment.</w:t>
      </w:r>
    </w:p>
    <w:tbl>
      <w:tblPr>
        <w:tblW w:w="9368" w:type="dxa"/>
        <w:tblLayout w:type="fixed"/>
        <w:tblCellMar>
          <w:left w:w="0" w:type="dxa"/>
          <w:right w:w="0" w:type="dxa"/>
        </w:tblCellMar>
        <w:tblLook w:val="0000" w:firstRow="0" w:lastRow="0" w:firstColumn="0" w:lastColumn="0" w:noHBand="0" w:noVBand="0"/>
      </w:tblPr>
      <w:tblGrid>
        <w:gridCol w:w="2005"/>
        <w:gridCol w:w="2685"/>
        <w:gridCol w:w="4678"/>
      </w:tblGrid>
      <w:tr w:rsidR="006B3E24" w14:paraId="3C85CD18" w14:textId="77777777" w:rsidTr="00742AF9">
        <w:trPr>
          <w:trHeight w:val="576"/>
        </w:trPr>
        <w:tc>
          <w:tcPr>
            <w:tcW w:w="9368" w:type="dxa"/>
            <w:gridSpan w:val="3"/>
          </w:tcPr>
          <w:p w14:paraId="12B17297" w14:textId="77777777" w:rsidR="006B3E24" w:rsidRPr="00C32E62" w:rsidRDefault="006B3E24">
            <w:pPr>
              <w:keepNext/>
            </w:pPr>
          </w:p>
        </w:tc>
      </w:tr>
      <w:tr w:rsidR="006B3E24" w14:paraId="6745135A" w14:textId="77777777" w:rsidTr="001C0D6C">
        <w:trPr>
          <w:trHeight w:val="283"/>
        </w:trPr>
        <w:tc>
          <w:tcPr>
            <w:tcW w:w="4690" w:type="dxa"/>
            <w:gridSpan w:val="2"/>
          </w:tcPr>
          <w:p w14:paraId="7419DB12" w14:textId="77777777" w:rsidR="006B3E24" w:rsidRPr="00C32E62" w:rsidRDefault="006B3E24">
            <w:pPr>
              <w:keepNext/>
              <w:rPr>
                <w:rFonts w:cs="Arial"/>
                <w:szCs w:val="24"/>
              </w:rPr>
            </w:pPr>
          </w:p>
        </w:tc>
        <w:tc>
          <w:tcPr>
            <w:tcW w:w="4678" w:type="dxa"/>
            <w:tcBorders>
              <w:bottom w:val="single" w:sz="8" w:space="0" w:color="auto"/>
            </w:tcBorders>
          </w:tcPr>
          <w:p w14:paraId="1EF63B13" w14:textId="77777777" w:rsidR="006B3E24" w:rsidRPr="00C32E62" w:rsidRDefault="006B3E24">
            <w:pPr>
              <w:keepNext/>
              <w:rPr>
                <w:rFonts w:cs="Arial"/>
                <w:szCs w:val="24"/>
              </w:rPr>
            </w:pPr>
          </w:p>
        </w:tc>
      </w:tr>
      <w:tr w:rsidR="006B3E24" w14:paraId="1B412D62" w14:textId="77777777" w:rsidTr="001C0D6C">
        <w:trPr>
          <w:trHeight w:val="283"/>
        </w:trPr>
        <w:tc>
          <w:tcPr>
            <w:tcW w:w="4690" w:type="dxa"/>
            <w:gridSpan w:val="2"/>
          </w:tcPr>
          <w:p w14:paraId="60046086" w14:textId="77777777" w:rsidR="006B3E24" w:rsidRPr="00C32E62" w:rsidRDefault="006B3E24">
            <w:pPr>
              <w:keepNext/>
              <w:rPr>
                <w:rFonts w:cs="Arial"/>
                <w:szCs w:val="24"/>
              </w:rPr>
            </w:pPr>
          </w:p>
        </w:tc>
        <w:tc>
          <w:tcPr>
            <w:tcW w:w="4678" w:type="dxa"/>
            <w:tcBorders>
              <w:top w:val="single" w:sz="8" w:space="0" w:color="auto"/>
            </w:tcBorders>
          </w:tcPr>
          <w:p w14:paraId="22F7E60C" w14:textId="3B87125A" w:rsidR="006B3E24" w:rsidRPr="00E36BC8" w:rsidRDefault="008773C4">
            <w:pPr>
              <w:rPr>
                <w:rFonts w:cs="Arial"/>
                <w:szCs w:val="24"/>
                <w:lang w:val="fr-FR"/>
              </w:rPr>
            </w:pPr>
            <w:r w:rsidRPr="00E36BC8">
              <w:rPr>
                <w:rFonts w:cs="Arial"/>
                <w:szCs w:val="24"/>
              </w:rPr>
              <w:fldChar w:fldCharType="begin"/>
            </w:r>
            <w:r w:rsidRPr="00E36BC8">
              <w:rPr>
                <w:rFonts w:cs="Arial"/>
                <w:szCs w:val="24"/>
                <w:lang w:val="fr-FR"/>
              </w:rPr>
              <w:instrText xml:space="preserve"> NomJuge1 </w:instrText>
            </w:r>
            <w:r w:rsidRPr="00E36BC8">
              <w:rPr>
                <w:rFonts w:cs="Arial"/>
                <w:szCs w:val="24"/>
              </w:rPr>
              <w:fldChar w:fldCharType="separate"/>
            </w:r>
            <w:r w:rsidR="004A28EE">
              <w:t>BENOÎT MOORE, J.A.</w:t>
            </w:r>
            <w:r w:rsidRPr="00E36BC8">
              <w:rPr>
                <w:rFonts w:cs="Arial"/>
                <w:szCs w:val="24"/>
              </w:rPr>
              <w:fldChar w:fldCharType="end"/>
            </w:r>
          </w:p>
        </w:tc>
      </w:tr>
      <w:tr w:rsidR="006B3E24" w14:paraId="0D239626" w14:textId="77777777" w:rsidTr="003C4610">
        <w:trPr>
          <w:trHeight w:val="283"/>
        </w:trPr>
        <w:tc>
          <w:tcPr>
            <w:tcW w:w="4690" w:type="dxa"/>
            <w:gridSpan w:val="2"/>
          </w:tcPr>
          <w:p w14:paraId="2E76C5F8" w14:textId="77777777" w:rsidR="006B3E24" w:rsidRPr="00E36BC8" w:rsidRDefault="006B3E24">
            <w:pPr>
              <w:keepNext/>
              <w:rPr>
                <w:rFonts w:cs="Arial"/>
                <w:szCs w:val="24"/>
                <w:lang w:val="fr-FR"/>
              </w:rPr>
            </w:pPr>
            <w:bookmarkStart w:id="10" w:name="Signature2"/>
          </w:p>
        </w:tc>
        <w:tc>
          <w:tcPr>
            <w:tcW w:w="4678" w:type="dxa"/>
          </w:tcPr>
          <w:p w14:paraId="1D958BDE" w14:textId="77777777" w:rsidR="006B3E24" w:rsidRPr="00E36BC8" w:rsidRDefault="006B3E24">
            <w:pPr>
              <w:keepNext/>
              <w:rPr>
                <w:rFonts w:cs="Arial"/>
                <w:szCs w:val="24"/>
                <w:lang w:val="fr-FR"/>
              </w:rPr>
            </w:pPr>
          </w:p>
        </w:tc>
      </w:tr>
      <w:tr w:rsidR="006B3E24" w14:paraId="51B9432B" w14:textId="77777777" w:rsidTr="001C0D6C">
        <w:trPr>
          <w:trHeight w:val="283"/>
        </w:trPr>
        <w:tc>
          <w:tcPr>
            <w:tcW w:w="4690" w:type="dxa"/>
            <w:gridSpan w:val="2"/>
          </w:tcPr>
          <w:p w14:paraId="2943E2C2" w14:textId="77777777" w:rsidR="006B3E24" w:rsidRPr="00E36BC8" w:rsidRDefault="006B3E24">
            <w:pPr>
              <w:keepNext/>
              <w:rPr>
                <w:rFonts w:cs="Arial"/>
                <w:szCs w:val="24"/>
                <w:lang w:val="fr-FR"/>
              </w:rPr>
            </w:pPr>
          </w:p>
        </w:tc>
        <w:tc>
          <w:tcPr>
            <w:tcW w:w="4678" w:type="dxa"/>
            <w:tcBorders>
              <w:bottom w:val="single" w:sz="8" w:space="0" w:color="auto"/>
            </w:tcBorders>
          </w:tcPr>
          <w:p w14:paraId="2C5EF3BC" w14:textId="77777777" w:rsidR="006B3E24" w:rsidRPr="00E36BC8" w:rsidRDefault="006B3E24">
            <w:pPr>
              <w:keepNext/>
              <w:rPr>
                <w:rFonts w:cs="Arial"/>
                <w:szCs w:val="24"/>
                <w:lang w:val="fr-FR"/>
              </w:rPr>
            </w:pPr>
          </w:p>
        </w:tc>
      </w:tr>
      <w:tr w:rsidR="006B3E24" w14:paraId="34426A51" w14:textId="77777777" w:rsidTr="001C0D6C">
        <w:trPr>
          <w:trHeight w:val="283"/>
        </w:trPr>
        <w:tc>
          <w:tcPr>
            <w:tcW w:w="4690" w:type="dxa"/>
            <w:gridSpan w:val="2"/>
          </w:tcPr>
          <w:p w14:paraId="4B52BA96" w14:textId="77777777" w:rsidR="006B3E24" w:rsidRPr="00E36BC8" w:rsidRDefault="006B3E24">
            <w:pPr>
              <w:keepNext/>
              <w:rPr>
                <w:rFonts w:cs="Arial"/>
                <w:szCs w:val="24"/>
                <w:lang w:val="fr-FR"/>
              </w:rPr>
            </w:pPr>
          </w:p>
        </w:tc>
        <w:tc>
          <w:tcPr>
            <w:tcW w:w="4678" w:type="dxa"/>
            <w:tcBorders>
              <w:top w:val="single" w:sz="8" w:space="0" w:color="auto"/>
            </w:tcBorders>
          </w:tcPr>
          <w:p w14:paraId="3FCCF0E5" w14:textId="18168AAA" w:rsidR="006B3E24" w:rsidRPr="00E36BC8" w:rsidRDefault="008773C4">
            <w:pPr>
              <w:keepNext/>
              <w:rPr>
                <w:rFonts w:cs="Arial"/>
                <w:szCs w:val="24"/>
                <w:lang w:val="fr-FR"/>
              </w:rPr>
            </w:pPr>
            <w:r w:rsidRPr="00E36BC8">
              <w:rPr>
                <w:rFonts w:cs="Arial"/>
                <w:szCs w:val="24"/>
              </w:rPr>
              <w:fldChar w:fldCharType="begin"/>
            </w:r>
            <w:r w:rsidRPr="00E36BC8">
              <w:rPr>
                <w:rFonts w:cs="Arial"/>
                <w:szCs w:val="24"/>
                <w:lang w:val="fr-FR"/>
              </w:rPr>
              <w:instrText xml:space="preserve"> NomJuge2 </w:instrText>
            </w:r>
            <w:r w:rsidRPr="00E36BC8">
              <w:rPr>
                <w:rFonts w:cs="Arial"/>
                <w:szCs w:val="24"/>
              </w:rPr>
              <w:fldChar w:fldCharType="separate"/>
            </w:r>
            <w:r w:rsidR="004A28EE">
              <w:t>ÉRIC HARDY, J.A.</w:t>
            </w:r>
            <w:r w:rsidRPr="00E36BC8">
              <w:rPr>
                <w:rFonts w:cs="Arial"/>
                <w:szCs w:val="24"/>
              </w:rPr>
              <w:fldChar w:fldCharType="end"/>
            </w:r>
          </w:p>
        </w:tc>
      </w:tr>
      <w:tr w:rsidR="006B3E24" w14:paraId="3AFF2C32" w14:textId="77777777" w:rsidTr="003C4610">
        <w:trPr>
          <w:trHeight w:val="283"/>
        </w:trPr>
        <w:tc>
          <w:tcPr>
            <w:tcW w:w="4690" w:type="dxa"/>
            <w:gridSpan w:val="2"/>
          </w:tcPr>
          <w:p w14:paraId="72F57931" w14:textId="77777777" w:rsidR="006B3E24" w:rsidRPr="00E36BC8" w:rsidRDefault="006B3E24">
            <w:pPr>
              <w:keepNext/>
              <w:rPr>
                <w:rFonts w:cs="Arial"/>
                <w:szCs w:val="24"/>
                <w:lang w:val="fr-FR"/>
              </w:rPr>
            </w:pPr>
            <w:bookmarkStart w:id="11" w:name="Signature3"/>
            <w:bookmarkEnd w:id="10"/>
          </w:p>
        </w:tc>
        <w:tc>
          <w:tcPr>
            <w:tcW w:w="4678" w:type="dxa"/>
          </w:tcPr>
          <w:p w14:paraId="4E374FDA" w14:textId="77777777" w:rsidR="006B3E24" w:rsidRPr="00E36BC8" w:rsidRDefault="006B3E24">
            <w:pPr>
              <w:keepNext/>
              <w:rPr>
                <w:rFonts w:cs="Arial"/>
                <w:szCs w:val="24"/>
                <w:lang w:val="fr-FR"/>
              </w:rPr>
            </w:pPr>
          </w:p>
        </w:tc>
      </w:tr>
      <w:tr w:rsidR="006B3E24" w14:paraId="7341DBBC" w14:textId="77777777" w:rsidTr="001C0D6C">
        <w:trPr>
          <w:trHeight w:val="283"/>
        </w:trPr>
        <w:tc>
          <w:tcPr>
            <w:tcW w:w="4690" w:type="dxa"/>
            <w:gridSpan w:val="2"/>
          </w:tcPr>
          <w:p w14:paraId="6A4F575F" w14:textId="77777777" w:rsidR="006B3E24" w:rsidRPr="00E36BC8" w:rsidRDefault="006B3E24">
            <w:pPr>
              <w:keepNext/>
              <w:rPr>
                <w:rFonts w:cs="Arial"/>
                <w:szCs w:val="24"/>
                <w:lang w:val="fr-FR"/>
              </w:rPr>
            </w:pPr>
          </w:p>
        </w:tc>
        <w:tc>
          <w:tcPr>
            <w:tcW w:w="4678" w:type="dxa"/>
            <w:tcBorders>
              <w:bottom w:val="single" w:sz="8" w:space="0" w:color="auto"/>
            </w:tcBorders>
          </w:tcPr>
          <w:p w14:paraId="00D7D638" w14:textId="77777777" w:rsidR="006B3E24" w:rsidRPr="00E36BC8" w:rsidRDefault="006B3E24">
            <w:pPr>
              <w:keepNext/>
              <w:rPr>
                <w:rFonts w:cs="Arial"/>
                <w:szCs w:val="24"/>
                <w:lang w:val="fr-FR"/>
              </w:rPr>
            </w:pPr>
          </w:p>
        </w:tc>
      </w:tr>
      <w:tr w:rsidR="006B3E24" w14:paraId="1FE2C4AD" w14:textId="77777777" w:rsidTr="001C0D6C">
        <w:trPr>
          <w:trHeight w:val="283"/>
        </w:trPr>
        <w:tc>
          <w:tcPr>
            <w:tcW w:w="4690" w:type="dxa"/>
            <w:gridSpan w:val="2"/>
          </w:tcPr>
          <w:p w14:paraId="4097C0BF" w14:textId="77777777" w:rsidR="006B3E24" w:rsidRPr="00E36BC8" w:rsidRDefault="006B3E24">
            <w:pPr>
              <w:keepNext/>
              <w:rPr>
                <w:rFonts w:cs="Arial"/>
                <w:szCs w:val="24"/>
                <w:lang w:val="fr-FR"/>
              </w:rPr>
            </w:pPr>
          </w:p>
        </w:tc>
        <w:tc>
          <w:tcPr>
            <w:tcW w:w="4678" w:type="dxa"/>
            <w:tcBorders>
              <w:top w:val="single" w:sz="8" w:space="0" w:color="auto"/>
            </w:tcBorders>
          </w:tcPr>
          <w:p w14:paraId="18CA31BC" w14:textId="5E6F4840" w:rsidR="006B3E24" w:rsidRPr="00E36BC8" w:rsidRDefault="008773C4">
            <w:pPr>
              <w:keepNext/>
              <w:rPr>
                <w:rFonts w:cs="Arial"/>
                <w:szCs w:val="24"/>
                <w:lang w:val="fr-FR"/>
              </w:rPr>
            </w:pPr>
            <w:r w:rsidRPr="00E36BC8">
              <w:rPr>
                <w:rFonts w:cs="Arial"/>
                <w:szCs w:val="24"/>
              </w:rPr>
              <w:fldChar w:fldCharType="begin"/>
            </w:r>
            <w:r w:rsidRPr="00E36BC8">
              <w:rPr>
                <w:rFonts w:cs="Arial"/>
                <w:szCs w:val="24"/>
                <w:lang w:val="fr-FR"/>
              </w:rPr>
              <w:instrText xml:space="preserve"> NomJuge3 </w:instrText>
            </w:r>
            <w:r w:rsidRPr="00E36BC8">
              <w:rPr>
                <w:rFonts w:cs="Arial"/>
                <w:szCs w:val="24"/>
              </w:rPr>
              <w:fldChar w:fldCharType="separate"/>
            </w:r>
            <w:r w:rsidR="004A28EE">
              <w:t>MYRIAM LACHANCE, J.A.</w:t>
            </w:r>
            <w:r w:rsidRPr="00E36BC8">
              <w:rPr>
                <w:rFonts w:cs="Arial"/>
                <w:szCs w:val="24"/>
              </w:rPr>
              <w:fldChar w:fldCharType="end"/>
            </w:r>
          </w:p>
        </w:tc>
      </w:tr>
      <w:bookmarkEnd w:id="11"/>
      <w:tr w:rsidR="00447B9B" w14:paraId="6311F56F" w14:textId="77777777" w:rsidTr="003C4610">
        <w:tc>
          <w:tcPr>
            <w:tcW w:w="9368" w:type="dxa"/>
            <w:gridSpan w:val="3"/>
          </w:tcPr>
          <w:p w14:paraId="5300DC58" w14:textId="77777777" w:rsidR="00447B9B" w:rsidRDefault="00447B9B" w:rsidP="00447B9B">
            <w:pPr>
              <w:rPr>
                <w:lang w:val="fr-FR"/>
              </w:rPr>
            </w:pPr>
          </w:p>
        </w:tc>
      </w:tr>
      <w:tr w:rsidR="00447B9B" w14:paraId="2DEBC63F" w14:textId="77777777" w:rsidTr="003C4610">
        <w:tc>
          <w:tcPr>
            <w:tcW w:w="9368" w:type="dxa"/>
            <w:gridSpan w:val="3"/>
          </w:tcPr>
          <w:p w14:paraId="43018F85" w14:textId="1C4A2153" w:rsidR="00447B9B" w:rsidRDefault="007D7378" w:rsidP="00447B9B">
            <w:pPr>
              <w:pStyle w:val="zSoquijdatNomProcureurDem"/>
            </w:pPr>
            <w:proofErr w:type="spellStart"/>
            <w:r>
              <w:t>Mtre</w:t>
            </w:r>
            <w:proofErr w:type="spellEnd"/>
            <w:r>
              <w:t xml:space="preserve"> Julia Blais-Quintal</w:t>
            </w:r>
          </w:p>
        </w:tc>
      </w:tr>
      <w:tr w:rsidR="007D7378" w14:paraId="668B33D0" w14:textId="77777777" w:rsidTr="003C4610">
        <w:tc>
          <w:tcPr>
            <w:tcW w:w="9368" w:type="dxa"/>
            <w:gridSpan w:val="3"/>
          </w:tcPr>
          <w:p w14:paraId="6CBE95F1" w14:textId="0324B935" w:rsidR="007D7378" w:rsidRDefault="007D7378" w:rsidP="00447B9B">
            <w:pPr>
              <w:pStyle w:val="zSoquijdatCabinetProcureurDem"/>
            </w:pPr>
            <w:proofErr w:type="spellStart"/>
            <w:r>
              <w:t>Mtre</w:t>
            </w:r>
            <w:proofErr w:type="spellEnd"/>
            <w:r>
              <w:t xml:space="preserve"> David Boudreau</w:t>
            </w:r>
          </w:p>
        </w:tc>
      </w:tr>
      <w:tr w:rsidR="00447B9B" w:rsidRPr="004A28EE" w14:paraId="18A43F1A" w14:textId="77777777" w:rsidTr="003C4610">
        <w:tc>
          <w:tcPr>
            <w:tcW w:w="9368" w:type="dxa"/>
            <w:gridSpan w:val="3"/>
          </w:tcPr>
          <w:p w14:paraId="49212C10" w14:textId="21B3CDD5" w:rsidR="00447B9B" w:rsidRPr="00D96CDC" w:rsidRDefault="00D96CDC" w:rsidP="00447B9B">
            <w:pPr>
              <w:pStyle w:val="zSoquijdatCabinetProcureurDem"/>
              <w:rPr>
                <w:lang w:val="fr-CA"/>
              </w:rPr>
            </w:pPr>
            <w:r>
              <w:rPr>
                <w:bCs/>
                <w:szCs w:val="24"/>
                <w:lang w:val="fr-FR"/>
              </w:rPr>
              <w:t>CENTRE COMMUNAUTAIRE JURIDIQUE DE L’ABITIBI-TEMISCAMINGUE</w:t>
            </w:r>
          </w:p>
        </w:tc>
      </w:tr>
      <w:tr w:rsidR="00447B9B" w14:paraId="0411B4F8" w14:textId="77777777" w:rsidTr="003C4610">
        <w:tc>
          <w:tcPr>
            <w:tcW w:w="9368" w:type="dxa"/>
            <w:gridSpan w:val="3"/>
          </w:tcPr>
          <w:p w14:paraId="70158163" w14:textId="5B3135BF" w:rsidR="00447B9B" w:rsidRDefault="00D96CDC" w:rsidP="00447B9B">
            <w:pPr>
              <w:pStyle w:val="zSoquijlblProcureurDem"/>
            </w:pPr>
            <w:r>
              <w:t xml:space="preserve">For </w:t>
            </w:r>
            <w:r w:rsidR="00C32E62">
              <w:t>the Appellant</w:t>
            </w:r>
          </w:p>
        </w:tc>
      </w:tr>
      <w:tr w:rsidR="00447B9B" w14:paraId="73B2C5E1" w14:textId="77777777" w:rsidTr="003C4610">
        <w:tc>
          <w:tcPr>
            <w:tcW w:w="9368" w:type="dxa"/>
            <w:gridSpan w:val="3"/>
          </w:tcPr>
          <w:p w14:paraId="36584744" w14:textId="77777777" w:rsidR="00447B9B" w:rsidRDefault="00447B9B" w:rsidP="00447B9B"/>
        </w:tc>
      </w:tr>
      <w:tr w:rsidR="00447B9B" w14:paraId="371E62F0" w14:textId="77777777" w:rsidTr="003C4610">
        <w:tc>
          <w:tcPr>
            <w:tcW w:w="9368" w:type="dxa"/>
            <w:gridSpan w:val="3"/>
          </w:tcPr>
          <w:p w14:paraId="2C5E4233" w14:textId="72B48807" w:rsidR="00447B9B" w:rsidRDefault="00D96CDC" w:rsidP="00447B9B">
            <w:pPr>
              <w:pStyle w:val="zSoquijdatNomProcureurDef"/>
            </w:pPr>
            <w:proofErr w:type="spellStart"/>
            <w:r>
              <w:t>Mtre</w:t>
            </w:r>
            <w:proofErr w:type="spellEnd"/>
            <w:r>
              <w:t xml:space="preserve"> Johannie Simard</w:t>
            </w:r>
          </w:p>
        </w:tc>
      </w:tr>
      <w:tr w:rsidR="00D96CDC" w14:paraId="7D010135" w14:textId="77777777" w:rsidTr="003C4610">
        <w:tc>
          <w:tcPr>
            <w:tcW w:w="9368" w:type="dxa"/>
            <w:gridSpan w:val="3"/>
          </w:tcPr>
          <w:p w14:paraId="1C0EC0A3" w14:textId="08977A63" w:rsidR="00D96CDC" w:rsidRDefault="00D96CDC" w:rsidP="00447B9B">
            <w:pPr>
              <w:pStyle w:val="zSoquijdatNomProcureurDef"/>
            </w:pPr>
            <w:proofErr w:type="spellStart"/>
            <w:r>
              <w:t>Mtre</w:t>
            </w:r>
            <w:proofErr w:type="spellEnd"/>
            <w:r>
              <w:t xml:space="preserve"> Hannah Brais Harvey</w:t>
            </w:r>
            <w:r w:rsidR="004A28EE">
              <w:t xml:space="preserve"> (absent)</w:t>
            </w:r>
          </w:p>
        </w:tc>
      </w:tr>
      <w:tr w:rsidR="00D96CDC" w14:paraId="05F9C7BC" w14:textId="77777777" w:rsidTr="003C4610">
        <w:tc>
          <w:tcPr>
            <w:tcW w:w="9368" w:type="dxa"/>
            <w:gridSpan w:val="3"/>
          </w:tcPr>
          <w:p w14:paraId="3F0D8D7D" w14:textId="1B43FFE1" w:rsidR="00D96CDC" w:rsidRDefault="00D96CDC" w:rsidP="00447B9B">
            <w:pPr>
              <w:pStyle w:val="zSoquijdatNomProcureurDef"/>
            </w:pPr>
            <w:proofErr w:type="spellStart"/>
            <w:r>
              <w:t>Mtre</w:t>
            </w:r>
            <w:proofErr w:type="spellEnd"/>
            <w:r>
              <w:t xml:space="preserve"> Xavier Lyonnais</w:t>
            </w:r>
          </w:p>
        </w:tc>
      </w:tr>
      <w:tr w:rsidR="00447B9B" w:rsidRPr="00D96CDC" w14:paraId="0D1627F4" w14:textId="77777777" w:rsidTr="003C4610">
        <w:tc>
          <w:tcPr>
            <w:tcW w:w="9368" w:type="dxa"/>
            <w:gridSpan w:val="3"/>
          </w:tcPr>
          <w:p w14:paraId="23C664CF" w14:textId="6254DF88" w:rsidR="00447B9B" w:rsidRPr="00D96CDC" w:rsidRDefault="00D96CDC" w:rsidP="00447B9B">
            <w:pPr>
              <w:pStyle w:val="zSoquijdatCabinetProcureurDef"/>
            </w:pPr>
            <w:r w:rsidRPr="00D96CDC">
              <w:t>DIRECTOR OF CRIMINAL AND PENAL PROSECUTIONS</w:t>
            </w:r>
          </w:p>
        </w:tc>
      </w:tr>
      <w:tr w:rsidR="00447B9B" w14:paraId="05B1C9E9" w14:textId="77777777" w:rsidTr="003C4610">
        <w:tc>
          <w:tcPr>
            <w:tcW w:w="9368" w:type="dxa"/>
            <w:gridSpan w:val="3"/>
          </w:tcPr>
          <w:p w14:paraId="26076B72" w14:textId="03CD02D4" w:rsidR="00447B9B" w:rsidRDefault="00D96CDC" w:rsidP="00447B9B">
            <w:pPr>
              <w:pStyle w:val="zSoquijlblProcureurDef"/>
            </w:pPr>
            <w:r>
              <w:t xml:space="preserve">For </w:t>
            </w:r>
            <w:r w:rsidR="00C32E62">
              <w:t>the Respondent</w:t>
            </w:r>
          </w:p>
        </w:tc>
      </w:tr>
      <w:tr w:rsidR="00CB2C23" w14:paraId="7C1B257E" w14:textId="77777777" w:rsidTr="003C4610">
        <w:tc>
          <w:tcPr>
            <w:tcW w:w="9368" w:type="dxa"/>
            <w:gridSpan w:val="3"/>
          </w:tcPr>
          <w:p w14:paraId="79B050DD" w14:textId="77777777" w:rsidR="00CB2C23" w:rsidRDefault="00CB2C23" w:rsidP="00447B9B"/>
        </w:tc>
      </w:tr>
      <w:tr w:rsidR="00CB2C23" w14:paraId="47C29316" w14:textId="77777777" w:rsidTr="00372640">
        <w:tc>
          <w:tcPr>
            <w:tcW w:w="9368" w:type="dxa"/>
            <w:gridSpan w:val="3"/>
          </w:tcPr>
          <w:p w14:paraId="387A52AD" w14:textId="6ABE4089" w:rsidR="00CB2C23" w:rsidRDefault="00D96CDC" w:rsidP="00372640">
            <w:pPr>
              <w:pStyle w:val="zSoquijdatNomProcureurDef"/>
            </w:pPr>
            <w:proofErr w:type="spellStart"/>
            <w:r>
              <w:t>Mtre</w:t>
            </w:r>
            <w:proofErr w:type="spellEnd"/>
            <w:r>
              <w:t xml:space="preserve"> Stéphanie Quirion-Cantin</w:t>
            </w:r>
          </w:p>
        </w:tc>
      </w:tr>
      <w:tr w:rsidR="00CB2C23" w14:paraId="7E87538F" w14:textId="77777777" w:rsidTr="00372640">
        <w:tc>
          <w:tcPr>
            <w:tcW w:w="9368" w:type="dxa"/>
            <w:gridSpan w:val="3"/>
          </w:tcPr>
          <w:p w14:paraId="0E917D79" w14:textId="50F36E87" w:rsidR="00CB2C23" w:rsidRDefault="00D96CDC" w:rsidP="00372640">
            <w:pPr>
              <w:pStyle w:val="zSoquijdatCabinetProcureurDef"/>
            </w:pPr>
            <w:r>
              <w:t>LAVOIE, ROUSSEAU (JUSTICE-QUÉBEC)</w:t>
            </w:r>
          </w:p>
        </w:tc>
      </w:tr>
      <w:tr w:rsidR="00CB2C23" w14:paraId="407E2A32" w14:textId="77777777" w:rsidTr="00372640">
        <w:tc>
          <w:tcPr>
            <w:tcW w:w="9368" w:type="dxa"/>
            <w:gridSpan w:val="3"/>
          </w:tcPr>
          <w:p w14:paraId="289D9587" w14:textId="65128B6B" w:rsidR="00CB2C23" w:rsidRDefault="00D96CDC" w:rsidP="00372640">
            <w:pPr>
              <w:pStyle w:val="zSoquijlblProcureurDef"/>
            </w:pPr>
            <w:r>
              <w:t xml:space="preserve">For the </w:t>
            </w:r>
            <w:r w:rsidR="00C32E62">
              <w:t>Intervener</w:t>
            </w:r>
          </w:p>
        </w:tc>
      </w:tr>
      <w:tr w:rsidR="00447B9B" w14:paraId="3F407D40" w14:textId="77777777" w:rsidTr="003C4610">
        <w:tc>
          <w:tcPr>
            <w:tcW w:w="9368" w:type="dxa"/>
            <w:gridSpan w:val="3"/>
          </w:tcPr>
          <w:p w14:paraId="109BACCA" w14:textId="77777777" w:rsidR="00447B9B" w:rsidRDefault="00447B9B" w:rsidP="00447B9B"/>
        </w:tc>
      </w:tr>
      <w:tr w:rsidR="00447B9B" w14:paraId="00727A9C" w14:textId="77777777" w:rsidTr="003C4610">
        <w:tc>
          <w:tcPr>
            <w:tcW w:w="2005" w:type="dxa"/>
          </w:tcPr>
          <w:p w14:paraId="2811DF1C" w14:textId="77777777" w:rsidR="00447B9B" w:rsidRDefault="00447B9B" w:rsidP="00447B9B">
            <w:pPr>
              <w:pStyle w:val="zSoquijlblDateAudience"/>
            </w:pPr>
            <w:r>
              <w:t>Date of hearing:</w:t>
            </w:r>
          </w:p>
        </w:tc>
        <w:tc>
          <w:tcPr>
            <w:tcW w:w="7363" w:type="dxa"/>
            <w:gridSpan w:val="2"/>
          </w:tcPr>
          <w:p w14:paraId="50A90D5D" w14:textId="62C3C5C9" w:rsidR="00447B9B" w:rsidRDefault="00D96CDC" w:rsidP="00447B9B">
            <w:pPr>
              <w:pStyle w:val="zSoquijdatDateAudience"/>
            </w:pPr>
            <w:r>
              <w:t>September 9, 2025</w:t>
            </w:r>
          </w:p>
        </w:tc>
      </w:tr>
    </w:tbl>
    <w:p w14:paraId="095D742B" w14:textId="77777777" w:rsidR="00AB7D93" w:rsidRDefault="00AB7D93" w:rsidP="00AB7D93">
      <w:pPr>
        <w:sectPr w:rsidR="00AB7D93" w:rsidSect="00671B7D">
          <w:headerReference w:type="default" r:id="rId8"/>
          <w:footerReference w:type="default" r:id="rId9"/>
          <w:pgSz w:w="12242" w:h="15842" w:code="1"/>
          <w:pgMar w:top="1440" w:right="1009" w:bottom="1304" w:left="1871" w:header="964" w:footer="794" w:gutter="0"/>
          <w:cols w:space="720"/>
          <w:formProt w:val="0"/>
          <w:titlePg/>
          <w:docGrid w:linePitch="326"/>
        </w:sectPr>
      </w:pPr>
      <w:bookmarkStart w:id="12" w:name="Opinion"/>
      <w:bookmarkEnd w:id="8"/>
    </w:p>
    <w:tbl>
      <w:tblPr>
        <w:tblW w:w="9360" w:type="dxa"/>
        <w:tblInd w:w="8" w:type="dxa"/>
        <w:tblLayout w:type="fixed"/>
        <w:tblCellMar>
          <w:left w:w="0" w:type="dxa"/>
          <w:right w:w="0" w:type="dxa"/>
        </w:tblCellMar>
        <w:tblLook w:val="0000" w:firstRow="0" w:lastRow="0" w:firstColumn="0" w:lastColumn="0" w:noHBand="0" w:noVBand="0"/>
      </w:tblPr>
      <w:tblGrid>
        <w:gridCol w:w="9360"/>
      </w:tblGrid>
      <w:tr w:rsidR="00AB7D93" w14:paraId="070D6FD2" w14:textId="77777777" w:rsidTr="00346CDE">
        <w:tc>
          <w:tcPr>
            <w:tcW w:w="9360" w:type="dxa"/>
            <w:tcBorders>
              <w:bottom w:val="single" w:sz="8" w:space="0" w:color="auto"/>
            </w:tcBorders>
          </w:tcPr>
          <w:p w14:paraId="2D64974F" w14:textId="77777777" w:rsidR="00AB7D93" w:rsidRDefault="00AB7D93" w:rsidP="00346CDE"/>
        </w:tc>
      </w:tr>
      <w:tr w:rsidR="00AB7D93" w14:paraId="4BACF2AE" w14:textId="77777777" w:rsidTr="00346CDE">
        <w:tc>
          <w:tcPr>
            <w:tcW w:w="9360" w:type="dxa"/>
            <w:tcBorders>
              <w:top w:val="single" w:sz="8" w:space="0" w:color="auto"/>
            </w:tcBorders>
          </w:tcPr>
          <w:p w14:paraId="29876EA8" w14:textId="77777777" w:rsidR="00AB7D93" w:rsidRDefault="00AB7D93" w:rsidP="00346CDE"/>
        </w:tc>
      </w:tr>
      <w:bookmarkStart w:id="13" w:name="MotifJuge3"/>
      <w:tr w:rsidR="00AB7D93" w14:paraId="675079D5" w14:textId="77777777" w:rsidTr="00346CDE">
        <w:tc>
          <w:tcPr>
            <w:tcW w:w="9360" w:type="dxa"/>
          </w:tcPr>
          <w:p w14:paraId="44E6DA46" w14:textId="167C63F9" w:rsidR="00AB7D93" w:rsidRDefault="00AB7D93" w:rsidP="00346CDE">
            <w:pPr>
              <w:pStyle w:val="zSoquijlblOpinionJuge"/>
            </w:pPr>
            <w:r>
              <w:fldChar w:fldCharType="begin"/>
            </w:r>
            <w:r w:rsidRPr="00821C31">
              <w:instrText xml:space="preserve"> DOCVARIABLE MotifJuge3 </w:instrText>
            </w:r>
            <w:r>
              <w:fldChar w:fldCharType="separate"/>
            </w:r>
            <w:r w:rsidR="004A28EE">
              <w:t>REASONS OF</w:t>
            </w:r>
            <w:r>
              <w:fldChar w:fldCharType="end"/>
            </w:r>
            <w:bookmarkEnd w:id="13"/>
            <w:r w:rsidRPr="00821C31">
              <w:t xml:space="preserve"> </w:t>
            </w:r>
            <w:r>
              <w:fldChar w:fldCharType="begin"/>
            </w:r>
            <w:r w:rsidRPr="00821C31">
              <w:instrText xml:space="preserve"> DOCVARIABLE NomFamJuge3 </w:instrText>
            </w:r>
            <w:r>
              <w:fldChar w:fldCharType="separate"/>
            </w:r>
            <w:r w:rsidR="004A28EE">
              <w:t>LACHANCE</w:t>
            </w:r>
            <w:r>
              <w:fldChar w:fldCharType="end"/>
            </w:r>
            <w:r>
              <w:fldChar w:fldCharType="begin"/>
            </w:r>
            <w:r>
              <w:instrText xml:space="preserve"> DOCVARIABLE QteJuge3 </w:instrText>
            </w:r>
            <w:r>
              <w:fldChar w:fldCharType="separate"/>
            </w:r>
            <w:r w:rsidR="004A28EE">
              <w:t>, J.A.</w:t>
            </w:r>
            <w:r>
              <w:fldChar w:fldCharType="end"/>
            </w:r>
          </w:p>
        </w:tc>
      </w:tr>
      <w:tr w:rsidR="00AB7D93" w14:paraId="703A0F92" w14:textId="77777777" w:rsidTr="00346CDE">
        <w:tc>
          <w:tcPr>
            <w:tcW w:w="9360" w:type="dxa"/>
            <w:tcBorders>
              <w:bottom w:val="single" w:sz="8" w:space="0" w:color="auto"/>
            </w:tcBorders>
          </w:tcPr>
          <w:p w14:paraId="155EC862" w14:textId="77777777" w:rsidR="00AB7D93" w:rsidRDefault="00AB7D93" w:rsidP="00346CDE"/>
        </w:tc>
      </w:tr>
      <w:tr w:rsidR="00AB7D93" w14:paraId="4E01D52B" w14:textId="77777777" w:rsidTr="00346CDE">
        <w:tc>
          <w:tcPr>
            <w:tcW w:w="9360" w:type="dxa"/>
            <w:tcBorders>
              <w:top w:val="single" w:sz="8" w:space="0" w:color="auto"/>
            </w:tcBorders>
          </w:tcPr>
          <w:p w14:paraId="7E74482D" w14:textId="77777777" w:rsidR="00AB7D93" w:rsidRDefault="00AB7D93" w:rsidP="00346CDE"/>
        </w:tc>
      </w:tr>
    </w:tbl>
    <w:p w14:paraId="375B9EF9" w14:textId="77777777" w:rsidR="00AB7D93" w:rsidRPr="00BD5145" w:rsidRDefault="00AB7D93" w:rsidP="006F538E">
      <w:pPr>
        <w:pStyle w:val="Paragraphe"/>
        <w:spacing w:before="240" w:line="280" w:lineRule="exact"/>
      </w:pPr>
      <w:r w:rsidRPr="00E258B0">
        <w:t xml:space="preserve">Jacob Snowball (the </w:t>
      </w:r>
      <w:r>
        <w:t>“</w:t>
      </w:r>
      <w:r w:rsidRPr="00E258B0">
        <w:t>appellant</w:t>
      </w:r>
      <w:r>
        <w:t>”</w:t>
      </w:r>
      <w:r w:rsidRPr="00E258B0">
        <w:t>) appeals against a judgment rendered on March</w:t>
      </w:r>
      <w:r>
        <w:t> </w:t>
      </w:r>
      <w:r w:rsidRPr="00E258B0">
        <w:t>31,</w:t>
      </w:r>
      <w:r>
        <w:t> </w:t>
      </w:r>
      <w:r w:rsidRPr="00E258B0">
        <w:t>2023</w:t>
      </w:r>
      <w:r>
        <w:t>,</w:t>
      </w:r>
      <w:r w:rsidRPr="00E258B0">
        <w:t xml:space="preserve"> by the Honourable Marie-Chantal Brassard of the Court of Québec, Criminal and Penal Division, in which he was sentenced to 15 months of prison followed by three years of probation after pleading guilty to </w:t>
      </w:r>
      <w:r>
        <w:t>one</w:t>
      </w:r>
      <w:r w:rsidRPr="00E258B0">
        <w:t xml:space="preserve"> count of sexual assault (s.</w:t>
      </w:r>
      <w:r>
        <w:t> </w:t>
      </w:r>
      <w:r w:rsidRPr="00E258B0">
        <w:t>271(</w:t>
      </w:r>
      <w:r w:rsidRPr="00C4675E">
        <w:rPr>
          <w:i/>
        </w:rPr>
        <w:t>a</w:t>
      </w:r>
      <w:r w:rsidRPr="00E258B0">
        <w:t>)</w:t>
      </w:r>
      <w:r>
        <w:t> </w:t>
      </w:r>
      <w:proofErr w:type="spellStart"/>
      <w:r w:rsidRPr="00E258B0">
        <w:rPr>
          <w:i/>
          <w:iCs/>
        </w:rPr>
        <w:t>Cr.C</w:t>
      </w:r>
      <w:proofErr w:type="spellEnd"/>
      <w:r w:rsidRPr="00E258B0">
        <w:t>.).</w:t>
      </w:r>
      <w:r>
        <w:rPr>
          <w:rStyle w:val="Appelnotedebasdep"/>
        </w:rPr>
        <w:footnoteReference w:id="1"/>
      </w:r>
    </w:p>
    <w:p w14:paraId="50EE93D1" w14:textId="77777777" w:rsidR="00AB7D93" w:rsidRPr="00BD5145" w:rsidRDefault="00AB7D93" w:rsidP="00D322F3">
      <w:pPr>
        <w:pStyle w:val="Paragraphe"/>
        <w:spacing w:line="280" w:lineRule="exact"/>
      </w:pPr>
      <w:r w:rsidRPr="00E258B0">
        <w:t>He challenges the dismissal of his motion for a stay of proceedings based on unreasonable post-conviction delays</w:t>
      </w:r>
      <w:r>
        <w:rPr>
          <w:rStyle w:val="Appelnotedebasdep"/>
        </w:rPr>
        <w:footnoteReference w:id="2"/>
      </w:r>
      <w:r w:rsidRPr="00E258B0">
        <w:t xml:space="preserve"> (s.</w:t>
      </w:r>
      <w:r>
        <w:t> </w:t>
      </w:r>
      <w:r w:rsidRPr="00E258B0">
        <w:t>11(</w:t>
      </w:r>
      <w:r w:rsidRPr="00E258B0">
        <w:rPr>
          <w:i/>
          <w:iCs/>
        </w:rPr>
        <w:t>b</w:t>
      </w:r>
      <w:r w:rsidRPr="00E258B0">
        <w:t xml:space="preserve">) of the </w:t>
      </w:r>
      <w:r w:rsidRPr="00E258B0">
        <w:rPr>
          <w:i/>
          <w:iCs/>
        </w:rPr>
        <w:t>Canadian Charter of Rights and Freedoms</w:t>
      </w:r>
      <w:r w:rsidRPr="00E258B0">
        <w:t xml:space="preserve"> (the </w:t>
      </w:r>
      <w:r>
        <w:t>“</w:t>
      </w:r>
      <w:proofErr w:type="gramStart"/>
      <w:r w:rsidRPr="00E258B0">
        <w:rPr>
          <w:i/>
          <w:iCs/>
        </w:rPr>
        <w:t>Charter</w:t>
      </w:r>
      <w:r w:rsidRPr="00E258B0">
        <w:t> </w:t>
      </w:r>
      <w:r>
        <w:t>”</w:t>
      </w:r>
      <w:proofErr w:type="gramEnd"/>
      <w:r w:rsidRPr="00E258B0">
        <w:t>)), alleging errors of law in the application of the analytical framework and the characterization of the delays.</w:t>
      </w:r>
    </w:p>
    <w:p w14:paraId="6BA99F33" w14:textId="77777777" w:rsidR="00AB7D93" w:rsidRPr="00BD5145" w:rsidRDefault="00AB7D93" w:rsidP="00D322F3">
      <w:pPr>
        <w:pStyle w:val="Paragraphe"/>
        <w:spacing w:line="280" w:lineRule="exact"/>
      </w:pPr>
      <w:r w:rsidRPr="00E258B0">
        <w:t>He also seeks leave to adduce fresh evidence to support his arguments.</w:t>
      </w:r>
    </w:p>
    <w:p w14:paraId="654D6568" w14:textId="77777777" w:rsidR="00AB7D93" w:rsidRPr="00E258B0" w:rsidRDefault="00AB7D93" w:rsidP="00671B7D">
      <w:pPr>
        <w:pStyle w:val="Paragraphe"/>
        <w:numPr>
          <w:ilvl w:val="0"/>
          <w:numId w:val="0"/>
        </w:numPr>
        <w:spacing w:before="240" w:after="180" w:line="280" w:lineRule="exact"/>
        <w:jc w:val="center"/>
      </w:pPr>
      <w:r w:rsidRPr="00E258B0">
        <w:t>***</w:t>
      </w:r>
    </w:p>
    <w:p w14:paraId="6538269D" w14:textId="73E74FBC" w:rsidR="00AB7D93" w:rsidRPr="00BD5145" w:rsidRDefault="00AB7D93" w:rsidP="00D322F3">
      <w:pPr>
        <w:pStyle w:val="Paragraphe"/>
        <w:spacing w:line="280" w:lineRule="exact"/>
      </w:pPr>
      <w:r w:rsidRPr="00E258B0">
        <w:t>The appellant is an Inuk who lives in Kuujjuaq, in Ungava Bay. On the night of October</w:t>
      </w:r>
      <w:r>
        <w:t> </w:t>
      </w:r>
      <w:r w:rsidRPr="00E258B0">
        <w:t>30, 202</w:t>
      </w:r>
      <w:r w:rsidR="00055CE7">
        <w:t>0</w:t>
      </w:r>
      <w:r w:rsidRPr="00E258B0">
        <w:t>, after heavy consumption of alcohol with a group of friends, he slipped into his former spouse</w:t>
      </w:r>
      <w:r>
        <w:t>’</w:t>
      </w:r>
      <w:r w:rsidRPr="00E258B0">
        <w:t>s bed and sexually assaulted her. He pleaded guilty on</w:t>
      </w:r>
      <w:r w:rsidR="00055CE7">
        <w:t xml:space="preserve"> </w:t>
      </w:r>
      <w:r w:rsidRPr="00E258B0">
        <w:t>August</w:t>
      </w:r>
      <w:r>
        <w:t> </w:t>
      </w:r>
      <w:r w:rsidRPr="00E258B0">
        <w:t>19,</w:t>
      </w:r>
      <w:r w:rsidR="00055CE7">
        <w:t> </w:t>
      </w:r>
      <w:r w:rsidRPr="00E258B0">
        <w:t>2021,</w:t>
      </w:r>
      <w:r>
        <w:rPr>
          <w:rStyle w:val="Appelnotedebasdep"/>
        </w:rPr>
        <w:footnoteReference w:id="3"/>
      </w:r>
      <w:r w:rsidRPr="00E258B0">
        <w:t xml:space="preserve"> and the sentencing submissions were scheduled for February</w:t>
      </w:r>
      <w:r>
        <w:t> </w:t>
      </w:r>
      <w:r w:rsidRPr="00E258B0">
        <w:t>3, 2022. A pre</w:t>
      </w:r>
      <w:r>
        <w:noBreakHyphen/>
      </w:r>
      <w:r w:rsidRPr="00E258B0">
        <w:t xml:space="preserve">sentence report and a </w:t>
      </w:r>
      <w:r w:rsidRPr="00E258B0">
        <w:rPr>
          <w:i/>
          <w:iCs/>
        </w:rPr>
        <w:t>Gladue</w:t>
      </w:r>
      <w:r w:rsidRPr="00E258B0">
        <w:t xml:space="preserve"> report were ordered, but only the former was ready on February</w:t>
      </w:r>
      <w:r>
        <w:t> </w:t>
      </w:r>
      <w:r w:rsidRPr="00E258B0">
        <w:t>3, 2022. Defence counsel drew the judge</w:t>
      </w:r>
      <w:r>
        <w:t>’</w:t>
      </w:r>
      <w:r w:rsidRPr="00E258B0">
        <w:t xml:space="preserve">s attention to an email exchange with Giovanna Taddeo of the </w:t>
      </w:r>
      <w:proofErr w:type="spellStart"/>
      <w:r w:rsidRPr="00E258B0">
        <w:t>Makivik</w:t>
      </w:r>
      <w:proofErr w:type="spellEnd"/>
      <w:r w:rsidRPr="00E258B0">
        <w:t xml:space="preserve"> Corporation (</w:t>
      </w:r>
      <w:r>
        <w:t>“</w:t>
      </w:r>
      <w:proofErr w:type="spellStart"/>
      <w:r w:rsidRPr="00E258B0">
        <w:t>Makivik</w:t>
      </w:r>
      <w:proofErr w:type="spellEnd"/>
      <w:r>
        <w:t>”</w:t>
      </w:r>
      <w:r w:rsidRPr="00E258B0">
        <w:t xml:space="preserve">), </w:t>
      </w:r>
      <w:r>
        <w:t xml:space="preserve">the organization </w:t>
      </w:r>
      <w:r w:rsidRPr="00E258B0">
        <w:t xml:space="preserve">in charge of preparing </w:t>
      </w:r>
      <w:r w:rsidRPr="00E258B0">
        <w:rPr>
          <w:i/>
          <w:iCs/>
        </w:rPr>
        <w:t>Gladue</w:t>
      </w:r>
      <w:r w:rsidRPr="00E258B0">
        <w:t xml:space="preserve"> reports in the region. Ms.</w:t>
      </w:r>
      <w:r>
        <w:t> </w:t>
      </w:r>
      <w:r w:rsidRPr="00E258B0">
        <w:t>Taddeo pointed out that the confinement related to the COVID</w:t>
      </w:r>
      <w:r>
        <w:noBreakHyphen/>
      </w:r>
      <w:r w:rsidRPr="00E258B0">
        <w:t>19 pandemic in Nunavik was complicating travel arrangements for purposes of preparing the reports. The hearing was therefore postponed until July</w:t>
      </w:r>
      <w:r>
        <w:t> </w:t>
      </w:r>
      <w:r w:rsidRPr="00E258B0">
        <w:t>22,</w:t>
      </w:r>
      <w:r w:rsidR="00055CE7">
        <w:t> </w:t>
      </w:r>
      <w:r w:rsidRPr="00E258B0">
        <w:t xml:space="preserve">2022, but in early summer 2022, </w:t>
      </w:r>
      <w:proofErr w:type="spellStart"/>
      <w:r w:rsidRPr="00E258B0">
        <w:t>Makivik</w:t>
      </w:r>
      <w:proofErr w:type="spellEnd"/>
      <w:r w:rsidRPr="00E258B0">
        <w:t xml:space="preserve">, through Lyne St-Louis, informed the parties that there was a shortage of report writers, such that the </w:t>
      </w:r>
      <w:r w:rsidRPr="00E258B0">
        <w:rPr>
          <w:i/>
          <w:iCs/>
        </w:rPr>
        <w:t>Gladue</w:t>
      </w:r>
      <w:r w:rsidRPr="00E258B0">
        <w:t xml:space="preserve"> report would not be ready until late summer.</w:t>
      </w:r>
    </w:p>
    <w:p w14:paraId="362E3B17" w14:textId="3ABDC662" w:rsidR="00AB7D93" w:rsidRPr="00BD5145" w:rsidRDefault="00AB7D93" w:rsidP="00D322F3">
      <w:pPr>
        <w:pStyle w:val="Paragraphe"/>
        <w:spacing w:line="280" w:lineRule="exact"/>
      </w:pPr>
      <w:r w:rsidRPr="00E258B0">
        <w:t>At the same time as this information was received, the hearings for the week of July</w:t>
      </w:r>
      <w:r>
        <w:t> </w:t>
      </w:r>
      <w:r w:rsidRPr="00E258B0">
        <w:t xml:space="preserve">18, </w:t>
      </w:r>
      <w:proofErr w:type="gramStart"/>
      <w:r w:rsidRPr="00E258B0">
        <w:t>2022</w:t>
      </w:r>
      <w:proofErr w:type="gramEnd"/>
      <w:r w:rsidRPr="00E258B0">
        <w:t xml:space="preserve"> in Kuujjuaq were cancelled due to </w:t>
      </w:r>
      <w:r>
        <w:t xml:space="preserve">a </w:t>
      </w:r>
      <w:r w:rsidRPr="00E258B0">
        <w:t>lack of judicial resources. The appellant</w:t>
      </w:r>
      <w:r>
        <w:t>’</w:t>
      </w:r>
      <w:r w:rsidRPr="00E258B0">
        <w:t>s case was postponed until September</w:t>
      </w:r>
      <w:r w:rsidR="00055CE7">
        <w:t xml:space="preserve"> </w:t>
      </w:r>
      <w:r w:rsidRPr="00E258B0">
        <w:t xml:space="preserve">13, 2022, at which point </w:t>
      </w:r>
      <w:r w:rsidRPr="00E258B0">
        <w:lastRenderedPageBreak/>
        <w:t>the</w:t>
      </w:r>
      <w:r w:rsidR="00055CE7">
        <w:t> </w:t>
      </w:r>
      <w:r w:rsidRPr="00E258B0">
        <w:rPr>
          <w:i/>
          <w:iCs/>
        </w:rPr>
        <w:t>Gladue</w:t>
      </w:r>
      <w:r w:rsidR="00055CE7">
        <w:rPr>
          <w:i/>
          <w:iCs/>
        </w:rPr>
        <w:t> </w:t>
      </w:r>
      <w:r w:rsidRPr="00E258B0">
        <w:t>report was still not ready. The hearing was continued to October</w:t>
      </w:r>
      <w:r>
        <w:t> </w:t>
      </w:r>
      <w:r w:rsidRPr="00E258B0">
        <w:t>24, 2022, and the report was finally sent to the parties on October</w:t>
      </w:r>
      <w:r>
        <w:t> </w:t>
      </w:r>
      <w:r w:rsidRPr="00E258B0">
        <w:t>19, 2022.</w:t>
      </w:r>
    </w:p>
    <w:p w14:paraId="269DA3F8" w14:textId="35959B2E" w:rsidR="00AB7D93" w:rsidRPr="00BD5145" w:rsidRDefault="00AB7D93" w:rsidP="00D322F3">
      <w:pPr>
        <w:pStyle w:val="Paragraphe"/>
        <w:spacing w:line="280" w:lineRule="exact"/>
      </w:pPr>
      <w:r w:rsidRPr="00E258B0">
        <w:t>On October</w:t>
      </w:r>
      <w:r>
        <w:t> </w:t>
      </w:r>
      <w:r w:rsidRPr="00E258B0">
        <w:t>24, 2022, the hearings in Kuujjuaq began several hours late due to a mechanical problem with the airplane carrying some of the court staff. As the court docket was overloaded, the appellant</w:t>
      </w:r>
      <w:r>
        <w:t>’</w:t>
      </w:r>
      <w:r w:rsidRPr="00E258B0">
        <w:t>s case was postponed until October</w:t>
      </w:r>
      <w:r>
        <w:t> </w:t>
      </w:r>
      <w:r w:rsidRPr="00E258B0">
        <w:t>27, and then until October</w:t>
      </w:r>
      <w:r>
        <w:t> </w:t>
      </w:r>
      <w:r w:rsidRPr="00E258B0">
        <w:t>28, 2022. It was at this point that the appellant announced his intention to file a motion alleging that the post-conviction delay was unreasonable. The judge offered the possibility of proceeding the following week and the prosecution agreed, but defence counsel was unavailable due to work commitments. The hearing was therefore postponed until January</w:t>
      </w:r>
      <w:r>
        <w:t> </w:t>
      </w:r>
      <w:r w:rsidRPr="00E258B0">
        <w:t xml:space="preserve">27, 2023, to what is referred to as a </w:t>
      </w:r>
      <w:r>
        <w:t>“</w:t>
      </w:r>
      <w:r w:rsidRPr="00E258B0">
        <w:t>high</w:t>
      </w:r>
      <w:r>
        <w:noBreakHyphen/>
      </w:r>
      <w:r w:rsidRPr="00E258B0">
        <w:t>volume</w:t>
      </w:r>
      <w:r>
        <w:t>”</w:t>
      </w:r>
      <w:r w:rsidRPr="00E258B0">
        <w:t xml:space="preserve"> week.</w:t>
      </w:r>
    </w:p>
    <w:p w14:paraId="08A826EE" w14:textId="77777777" w:rsidR="00AB7D93" w:rsidRPr="00BD5145" w:rsidRDefault="00AB7D93" w:rsidP="00D322F3">
      <w:pPr>
        <w:pStyle w:val="Paragraphe"/>
        <w:spacing w:line="280" w:lineRule="exact"/>
      </w:pPr>
      <w:r w:rsidRPr="00E258B0">
        <w:t>The motion for a stay of proceedings (or, alternatively, for a reduction of the sentence) alleging a s.</w:t>
      </w:r>
      <w:r>
        <w:t> </w:t>
      </w:r>
      <w:r w:rsidRPr="00E258B0">
        <w:t>11(</w:t>
      </w:r>
      <w:r w:rsidRPr="00E258B0">
        <w:rPr>
          <w:i/>
          <w:iCs/>
        </w:rPr>
        <w:t>b</w:t>
      </w:r>
      <w:r w:rsidRPr="00E258B0">
        <w:t xml:space="preserve">) </w:t>
      </w:r>
      <w:r w:rsidRPr="00E258B0">
        <w:rPr>
          <w:i/>
          <w:iCs/>
        </w:rPr>
        <w:t>Charter</w:t>
      </w:r>
      <w:r w:rsidRPr="00E258B0">
        <w:t xml:space="preserve"> breach was filed on December</w:t>
      </w:r>
      <w:r>
        <w:t> </w:t>
      </w:r>
      <w:r w:rsidRPr="00E258B0">
        <w:t>20, 2022, but there were too many cases on the January</w:t>
      </w:r>
      <w:r>
        <w:t> </w:t>
      </w:r>
      <w:r w:rsidRPr="00E258B0">
        <w:t xml:space="preserve">27, </w:t>
      </w:r>
      <w:proofErr w:type="gramStart"/>
      <w:r w:rsidRPr="00E258B0">
        <w:t>2023</w:t>
      </w:r>
      <w:proofErr w:type="gramEnd"/>
      <w:r w:rsidRPr="00E258B0">
        <w:t xml:space="preserve"> roll to hear it. The hearing was postponed until February</w:t>
      </w:r>
      <w:r>
        <w:t> </w:t>
      </w:r>
      <w:r w:rsidRPr="00E258B0">
        <w:t xml:space="preserve">16, </w:t>
      </w:r>
      <w:proofErr w:type="gramStart"/>
      <w:r w:rsidRPr="00E258B0">
        <w:t>2023</w:t>
      </w:r>
      <w:proofErr w:type="gramEnd"/>
      <w:r w:rsidRPr="00E258B0">
        <w:t xml:space="preserve"> and, on this date, Ms.</w:t>
      </w:r>
      <w:r>
        <w:t> </w:t>
      </w:r>
      <w:r w:rsidRPr="00E258B0">
        <w:t>St-Louis testified for the defence. After hearing the parties</w:t>
      </w:r>
      <w:r>
        <w:t>’</w:t>
      </w:r>
      <w:r w:rsidRPr="00E258B0">
        <w:t xml:space="preserve"> observations, the judge dismissed the motion. She took the sentencing matter under </w:t>
      </w:r>
      <w:proofErr w:type="gramStart"/>
      <w:r w:rsidRPr="00E258B0">
        <w:t>advisement</w:t>
      </w:r>
      <w:proofErr w:type="gramEnd"/>
      <w:r w:rsidRPr="00E258B0">
        <w:t xml:space="preserve"> and, on March</w:t>
      </w:r>
      <w:r>
        <w:t> </w:t>
      </w:r>
      <w:r w:rsidRPr="00E258B0">
        <w:t>31, 2023, she sentenced the appellant to 15 months of prison, followed by three years of probation.</w:t>
      </w:r>
    </w:p>
    <w:p w14:paraId="35EA3707" w14:textId="77777777" w:rsidR="00AB7D93" w:rsidRPr="00E258B0" w:rsidRDefault="00AB7D93" w:rsidP="006F538E">
      <w:pPr>
        <w:pStyle w:val="Titre1"/>
        <w:numPr>
          <w:ilvl w:val="0"/>
          <w:numId w:val="3"/>
        </w:numPr>
        <w:tabs>
          <w:tab w:val="num" w:pos="709"/>
        </w:tabs>
        <w:spacing w:after="120"/>
        <w:ind w:left="142" w:firstLine="142"/>
      </w:pPr>
      <w:r w:rsidRPr="00E258B0">
        <w:rPr>
          <w:bCs/>
        </w:rPr>
        <w:t>Leave to adduce fresh evidence</w:t>
      </w:r>
    </w:p>
    <w:p w14:paraId="754DD4B7" w14:textId="77777777" w:rsidR="00AB7D93" w:rsidRPr="00BD5145" w:rsidRDefault="00AB7D93" w:rsidP="006F538E">
      <w:pPr>
        <w:pStyle w:val="Paragraphe"/>
        <w:spacing w:before="240" w:line="280" w:lineRule="exact"/>
      </w:pPr>
      <w:r w:rsidRPr="00E258B0">
        <w:t xml:space="preserve">The appellant seeks leave to adduce fresh evidence on appeal – namely, statistics regarding the cancellation of Itinerant Court flights to Nunavik </w:t>
      </w:r>
      <w:r>
        <w:t xml:space="preserve">for the period </w:t>
      </w:r>
      <w:r w:rsidRPr="00E258B0">
        <w:t>from 2020 to 2023, and the Hudson Bay and Ungava Bay court schedules for the same years.</w:t>
      </w:r>
    </w:p>
    <w:p w14:paraId="45E67421" w14:textId="4BC3E784" w:rsidR="00AB7D93" w:rsidRPr="00BD5145" w:rsidRDefault="00AB7D93" w:rsidP="00D322F3">
      <w:pPr>
        <w:pStyle w:val="Paragraphe"/>
        <w:spacing w:line="280" w:lineRule="exact"/>
      </w:pPr>
      <w:r w:rsidRPr="00E258B0">
        <w:t>The appellant wishes to demonstrate that, based on the Itinerant Court</w:t>
      </w:r>
      <w:r>
        <w:t>’</w:t>
      </w:r>
      <w:r w:rsidRPr="00E258B0">
        <w:t>s schedule, flight cancellations are part of daily life and therefore not an exceptional circumstance. He draws a connection to the judge</w:t>
      </w:r>
      <w:r>
        <w:t>’</w:t>
      </w:r>
      <w:r w:rsidRPr="00E258B0">
        <w:t>s conclusion that</w:t>
      </w:r>
      <w:r>
        <w:t>, akin to flight cancellations,</w:t>
      </w:r>
      <w:r w:rsidRPr="00E258B0">
        <w:t xml:space="preserve"> the mechanical breakdown on October</w:t>
      </w:r>
      <w:r>
        <w:t> </w:t>
      </w:r>
      <w:r w:rsidRPr="00E258B0">
        <w:t xml:space="preserve">24, </w:t>
      </w:r>
      <w:proofErr w:type="gramStart"/>
      <w:r w:rsidRPr="00E258B0">
        <w:t>2023</w:t>
      </w:r>
      <w:proofErr w:type="gramEnd"/>
      <w:r w:rsidRPr="00E258B0">
        <w:t xml:space="preserve"> was an exceptional circumstance.</w:t>
      </w:r>
    </w:p>
    <w:p w14:paraId="3501F55F" w14:textId="4C2B47A5" w:rsidR="00AB7D93" w:rsidRPr="00BD5145" w:rsidRDefault="00AB7D93" w:rsidP="00D322F3">
      <w:pPr>
        <w:pStyle w:val="Paragraphe"/>
        <w:spacing w:line="280" w:lineRule="exact"/>
      </w:pPr>
      <w:r w:rsidRPr="00E258B0">
        <w:t>The prosecution argues that the fresh evidence is neither relevant nor liable to influence the outcome of the case, essentially because the documents pertain only to flight cancellations and not to delays, such as the situation that occurred on October</w:t>
      </w:r>
      <w:r>
        <w:t> </w:t>
      </w:r>
      <w:r w:rsidRPr="00E258B0">
        <w:t>24,</w:t>
      </w:r>
      <w:r w:rsidR="00055CE7">
        <w:t> </w:t>
      </w:r>
      <w:r w:rsidRPr="00E258B0">
        <w:t>2022. Moreover, it submits that this fresh evidence could have been adduced earlier, which the appellant concedes.</w:t>
      </w:r>
    </w:p>
    <w:p w14:paraId="272F201F" w14:textId="0CE63952" w:rsidR="00AB7D93" w:rsidRPr="00BD5145" w:rsidRDefault="00AB7D93" w:rsidP="00D322F3">
      <w:pPr>
        <w:pStyle w:val="Paragraphe"/>
        <w:spacing w:line="280" w:lineRule="exact"/>
      </w:pPr>
      <w:r w:rsidRPr="00E258B0">
        <w:t>The Attorney General of Quebec (</w:t>
      </w:r>
      <w:r>
        <w:t>“</w:t>
      </w:r>
      <w:r w:rsidRPr="00E258B0">
        <w:t>AGQ</w:t>
      </w:r>
      <w:r>
        <w:t>”</w:t>
      </w:r>
      <w:r w:rsidRPr="00E258B0">
        <w:t>) also opposes this request, adding that the fresh evidence does not establish a substantial reduction in the number of hearing days in Kuujjuaq, nor does it indicate that mechanical breakdowns of airplanes are commonplace. Subsidiarily, should the Court grant the appellant</w:t>
      </w:r>
      <w:r>
        <w:t>’</w:t>
      </w:r>
      <w:r w:rsidRPr="00E258B0">
        <w:t xml:space="preserve">s application to adduce fresh evidence, the AGQ asks that he be permitted to present rebuttal evidence regarding </w:t>
      </w:r>
      <w:r w:rsidRPr="00E258B0">
        <w:lastRenderedPageBreak/>
        <w:t xml:space="preserve">the dates on which the Itinerant Court </w:t>
      </w:r>
      <w:proofErr w:type="gramStart"/>
      <w:r w:rsidRPr="00E258B0">
        <w:t>actually sat</w:t>
      </w:r>
      <w:proofErr w:type="gramEnd"/>
      <w:r w:rsidRPr="00E258B0">
        <w:t xml:space="preserve"> in the Ungava Bay region and regarding the reasons for the cancellation of flights to Kuujjuaq for the 2021 to 2023 judicial years.</w:t>
      </w:r>
    </w:p>
    <w:p w14:paraId="55EFFA3C" w14:textId="77777777" w:rsidR="00AB7D93" w:rsidRPr="00E258B0" w:rsidRDefault="00AB7D93" w:rsidP="00671B7D">
      <w:pPr>
        <w:pStyle w:val="Paragraphe"/>
        <w:numPr>
          <w:ilvl w:val="0"/>
          <w:numId w:val="0"/>
        </w:numPr>
        <w:spacing w:before="240" w:after="180" w:line="280" w:lineRule="exact"/>
        <w:jc w:val="center"/>
      </w:pPr>
      <w:r w:rsidRPr="00E258B0">
        <w:t>***</w:t>
      </w:r>
    </w:p>
    <w:p w14:paraId="725FB9BE" w14:textId="77777777" w:rsidR="00AB7D93" w:rsidRPr="00BD5145" w:rsidRDefault="00AB7D93" w:rsidP="00D322F3">
      <w:pPr>
        <w:pStyle w:val="Paragraphe"/>
        <w:spacing w:line="280" w:lineRule="exact"/>
        <w:rPr>
          <w:szCs w:val="24"/>
        </w:rPr>
      </w:pPr>
      <w:r w:rsidRPr="00E258B0">
        <w:rPr>
          <w:szCs w:val="24"/>
        </w:rPr>
        <w:t xml:space="preserve">In </w:t>
      </w:r>
      <w:r w:rsidRPr="00E258B0">
        <w:rPr>
          <w:i/>
          <w:iCs/>
          <w:szCs w:val="24"/>
        </w:rPr>
        <w:t>Palmer</w:t>
      </w:r>
      <w:r w:rsidRPr="00E258B0">
        <w:rPr>
          <w:szCs w:val="24"/>
        </w:rPr>
        <w:t>, the Supreme Court set out the criteria that circumscribe the discretionary power of an appellate court to admit fresh evidence pursuant to s.</w:t>
      </w:r>
      <w:r>
        <w:rPr>
          <w:szCs w:val="24"/>
        </w:rPr>
        <w:t> </w:t>
      </w:r>
      <w:r w:rsidRPr="00E258B0">
        <w:rPr>
          <w:szCs w:val="24"/>
        </w:rPr>
        <w:t>687(1)</w:t>
      </w:r>
      <w:r>
        <w:rPr>
          <w:szCs w:val="24"/>
        </w:rPr>
        <w:t> </w:t>
      </w:r>
      <w:proofErr w:type="spellStart"/>
      <w:r w:rsidRPr="00E258B0">
        <w:rPr>
          <w:i/>
          <w:iCs/>
          <w:szCs w:val="24"/>
        </w:rPr>
        <w:t>Cr.C</w:t>
      </w:r>
      <w:proofErr w:type="spellEnd"/>
      <w:r w:rsidRPr="00E258B0">
        <w:rPr>
          <w:i/>
          <w:iCs/>
          <w:szCs w:val="24"/>
        </w:rPr>
        <w:t>.</w:t>
      </w:r>
      <w:r w:rsidRPr="00E258B0">
        <w:rPr>
          <w:szCs w:val="24"/>
        </w:rPr>
        <w:t xml:space="preserve"> – namely, the applicant</w:t>
      </w:r>
      <w:r>
        <w:rPr>
          <w:szCs w:val="24"/>
        </w:rPr>
        <w:t>’</w:t>
      </w:r>
      <w:r w:rsidRPr="00E258B0">
        <w:rPr>
          <w:szCs w:val="24"/>
        </w:rPr>
        <w:t xml:space="preserve">s due diligence, the relevance of the fresh evidence, the credibility of that evidence, and whether such evidence could reasonably, </w:t>
      </w:r>
      <w:r w:rsidRPr="00D322F3">
        <w:t>when</w:t>
      </w:r>
      <w:r w:rsidRPr="00E258B0">
        <w:rPr>
          <w:szCs w:val="24"/>
        </w:rPr>
        <w:t xml:space="preserve"> taken with the other evidence adduced at trial, be expected to have affected the result.</w:t>
      </w:r>
      <w:r>
        <w:rPr>
          <w:rStyle w:val="Appelnotedebasdep"/>
          <w:szCs w:val="24"/>
        </w:rPr>
        <w:footnoteReference w:id="4"/>
      </w:r>
    </w:p>
    <w:p w14:paraId="5D65A815" w14:textId="77777777" w:rsidR="00AB7D93" w:rsidRPr="00BD5145" w:rsidRDefault="00AB7D93" w:rsidP="00D322F3">
      <w:pPr>
        <w:pStyle w:val="Paragraphe"/>
        <w:spacing w:line="280" w:lineRule="exact"/>
        <w:rPr>
          <w:szCs w:val="24"/>
        </w:rPr>
      </w:pPr>
      <w:r w:rsidRPr="00E258B0">
        <w:rPr>
          <w:szCs w:val="24"/>
        </w:rPr>
        <w:t xml:space="preserve">In </w:t>
      </w:r>
      <w:r w:rsidRPr="00E258B0">
        <w:rPr>
          <w:i/>
          <w:iCs/>
          <w:szCs w:val="24"/>
        </w:rPr>
        <w:t>Lévesque</w:t>
      </w:r>
      <w:r w:rsidRPr="00E258B0">
        <w:rPr>
          <w:szCs w:val="24"/>
        </w:rPr>
        <w:t xml:space="preserve">, the Supreme Court specified that the first criterion </w:t>
      </w:r>
      <w:r>
        <w:rPr>
          <w:szCs w:val="24"/>
        </w:rPr>
        <w:t>“</w:t>
      </w:r>
      <w:r w:rsidRPr="00E258B0">
        <w:rPr>
          <w:szCs w:val="24"/>
        </w:rPr>
        <w:t>should not be used to deny admission of fresh evidence on appeal if that evidence is compelling and it is in the interests of justice to admit it</w:t>
      </w:r>
      <w:r>
        <w:rPr>
          <w:szCs w:val="24"/>
        </w:rPr>
        <w:t>”</w:t>
      </w:r>
      <w:r w:rsidRPr="00E258B0">
        <w:rPr>
          <w:szCs w:val="24"/>
        </w:rPr>
        <w:t>.</w:t>
      </w:r>
      <w:r>
        <w:rPr>
          <w:rStyle w:val="Appelnotedebasdep"/>
          <w:szCs w:val="24"/>
        </w:rPr>
        <w:footnoteReference w:id="5"/>
      </w:r>
      <w:r w:rsidRPr="00E258B0">
        <w:rPr>
          <w:szCs w:val="24"/>
        </w:rPr>
        <w:t xml:space="preserve"> In other words, due diligence is not a requirement, but a factor to be considered in deciding whether it is in the interests of justice to admit the evidence, taking into account all of the circumstances and the weight attributed to the </w:t>
      </w:r>
      <w:r w:rsidRPr="00D322F3">
        <w:t>other</w:t>
      </w:r>
      <w:r w:rsidRPr="00E258B0">
        <w:rPr>
          <w:szCs w:val="24"/>
        </w:rPr>
        <w:t xml:space="preserve"> factors.</w:t>
      </w:r>
      <w:r>
        <w:rPr>
          <w:rStyle w:val="Appelnotedebasdep"/>
          <w:szCs w:val="24"/>
        </w:rPr>
        <w:footnoteReference w:id="6"/>
      </w:r>
    </w:p>
    <w:p w14:paraId="1FEE036D" w14:textId="77777777" w:rsidR="00AB7D93" w:rsidRPr="006F538E" w:rsidRDefault="00AB7D93" w:rsidP="00671B7D">
      <w:pPr>
        <w:pStyle w:val="Paragraphe"/>
        <w:numPr>
          <w:ilvl w:val="0"/>
          <w:numId w:val="0"/>
        </w:numPr>
        <w:spacing w:before="240" w:after="180" w:line="280" w:lineRule="exact"/>
        <w:jc w:val="center"/>
      </w:pPr>
      <w:r w:rsidRPr="006F538E">
        <w:t>***</w:t>
      </w:r>
    </w:p>
    <w:p w14:paraId="09061F41" w14:textId="77777777" w:rsidR="00AB7D93" w:rsidRPr="00BD5145" w:rsidRDefault="00AB7D93" w:rsidP="00D322F3">
      <w:pPr>
        <w:pStyle w:val="Paragraphe"/>
        <w:spacing w:line="280" w:lineRule="exact"/>
      </w:pPr>
      <w:r w:rsidRPr="00E258B0">
        <w:t>The appellant admits that he was not diligent in filing his request almost two years after the sentencing judgment and more than nine months after receiving a response to his access to information request.</w:t>
      </w:r>
    </w:p>
    <w:p w14:paraId="4AE9ABFF" w14:textId="333B8190" w:rsidR="00AB7D93" w:rsidRPr="00BD5145" w:rsidRDefault="00AB7D93" w:rsidP="00D322F3">
      <w:pPr>
        <w:pStyle w:val="Paragraphe"/>
        <w:spacing w:line="280" w:lineRule="exact"/>
      </w:pPr>
      <w:r w:rsidRPr="00E258B0">
        <w:t>Moreover, neither relevance nor influence on the result have been demonstrated. This evidence in no way calls into question the judge</w:t>
      </w:r>
      <w:r>
        <w:t>’</w:t>
      </w:r>
      <w:r w:rsidRPr="00E258B0">
        <w:t>s premise that the Crown could not reasonably have avoided the airplane</w:t>
      </w:r>
      <w:r>
        <w:t>’</w:t>
      </w:r>
      <w:r w:rsidRPr="00E258B0">
        <w:t>s mechanical failure, such that the event was characterized as an exceptional circumstance.</w:t>
      </w:r>
    </w:p>
    <w:p w14:paraId="01783600" w14:textId="17E7D0A1" w:rsidR="00AB7D93" w:rsidRPr="00BD5145" w:rsidRDefault="00AB7D93" w:rsidP="00D322F3">
      <w:pPr>
        <w:pStyle w:val="Paragraphe"/>
        <w:spacing w:line="280" w:lineRule="exact"/>
      </w:pPr>
      <w:r w:rsidRPr="00E258B0">
        <w:t>As for the court calendars for the Ungava Bay region, they are relevant to the issue of docket overload, but this is not an element that could reasonably have influenced the result</w:t>
      </w:r>
      <w:r>
        <w:t>,</w:t>
      </w:r>
      <w:r w:rsidRPr="00E258B0">
        <w:t xml:space="preserve"> given that the judge, who was in a privileged position due to her knowledge of the operation of the Itinerant Court during this period, was aware of the pandemic</w:t>
      </w:r>
      <w:r>
        <w:t>’</w:t>
      </w:r>
      <w:r w:rsidRPr="00E258B0">
        <w:t>s unexpected consequences on the judicial system.</w:t>
      </w:r>
      <w:r>
        <w:rPr>
          <w:rStyle w:val="Appelnotedebasdep"/>
        </w:rPr>
        <w:footnoteReference w:id="7"/>
      </w:r>
    </w:p>
    <w:p w14:paraId="7BBC41BD" w14:textId="77777777" w:rsidR="00AB7D93" w:rsidRPr="00BD5145" w:rsidRDefault="00AB7D93" w:rsidP="00D322F3">
      <w:pPr>
        <w:pStyle w:val="Paragraphe"/>
        <w:spacing w:line="280" w:lineRule="exact"/>
      </w:pPr>
      <w:r w:rsidRPr="00E258B0">
        <w:lastRenderedPageBreak/>
        <w:t>The appellant argues that the court schedules are important because th</w:t>
      </w:r>
      <w:r>
        <w:t>is</w:t>
      </w:r>
      <w:r w:rsidRPr="00E258B0">
        <w:t xml:space="preserve"> Court does not have the same knowledge </w:t>
      </w:r>
      <w:r>
        <w:t xml:space="preserve">about </w:t>
      </w:r>
      <w:r w:rsidRPr="00E258B0">
        <w:t>the Itinerant Court. The role of a court of appeal, however, is not to systematically admit fresh evidence to perfect its understanding of the context of the case. It must, instead, defer to the trial judge</w:t>
      </w:r>
      <w:r>
        <w:t>’</w:t>
      </w:r>
      <w:r w:rsidRPr="00E258B0">
        <w:t>s findings of fact, and not seek out ways to usurp the latter</w:t>
      </w:r>
      <w:r>
        <w:t>’</w:t>
      </w:r>
      <w:r w:rsidRPr="00E258B0">
        <w:t>s role.</w:t>
      </w:r>
    </w:p>
    <w:p w14:paraId="0032E228" w14:textId="77777777" w:rsidR="00AB7D93" w:rsidRPr="00BD5145" w:rsidRDefault="00AB7D93" w:rsidP="00D322F3">
      <w:pPr>
        <w:pStyle w:val="Paragraphe"/>
        <w:spacing w:line="280" w:lineRule="exact"/>
      </w:pPr>
      <w:r w:rsidRPr="00E258B0">
        <w:t xml:space="preserve">As the Supreme Court noted in </w:t>
      </w:r>
      <w:r w:rsidRPr="00E258B0">
        <w:rPr>
          <w:i/>
          <w:iCs/>
        </w:rPr>
        <w:t>Lévesque</w:t>
      </w:r>
      <w:r w:rsidRPr="00E258B0">
        <w:t xml:space="preserve">, </w:t>
      </w:r>
      <w:r>
        <w:t>“</w:t>
      </w:r>
      <w:r w:rsidRPr="00E258B0">
        <w:t xml:space="preserve">the admission of any evidence on appeal </w:t>
      </w:r>
      <w:r w:rsidRPr="00E258B0">
        <w:rPr>
          <w:u w:val="single"/>
        </w:rPr>
        <w:t>which merely adds certain details</w:t>
      </w:r>
      <w:r w:rsidRPr="00E258B0">
        <w:t xml:space="preserve"> to or clarifies the evidence adduced at trial </w:t>
      </w:r>
      <w:r w:rsidRPr="00E258B0">
        <w:rPr>
          <w:u w:val="single"/>
        </w:rPr>
        <w:t xml:space="preserve">would be contrary to the </w:t>
      </w:r>
      <w:r w:rsidRPr="00E258B0">
        <w:rPr>
          <w:i/>
          <w:iCs/>
          <w:u w:val="single"/>
        </w:rPr>
        <w:t>Palmer</w:t>
      </w:r>
      <w:r w:rsidRPr="00E258B0">
        <w:rPr>
          <w:u w:val="single"/>
        </w:rPr>
        <w:t xml:space="preserve"> criteria and the limited role of appellate courts in respect of sentencing</w:t>
      </w:r>
      <w:r>
        <w:t>”</w:t>
      </w:r>
      <w:r w:rsidRPr="00E258B0">
        <w:t>.</w:t>
      </w:r>
      <w:r>
        <w:rPr>
          <w:rStyle w:val="Appelnotedebasdep"/>
        </w:rPr>
        <w:footnoteReference w:id="8"/>
      </w:r>
    </w:p>
    <w:p w14:paraId="3B1AC62A" w14:textId="77777777" w:rsidR="00AB7D93" w:rsidRPr="00BD5145" w:rsidRDefault="00AB7D93" w:rsidP="00AB7D93">
      <w:pPr>
        <w:pStyle w:val="Paragraphe"/>
        <w:spacing w:line="360" w:lineRule="auto"/>
      </w:pPr>
      <w:r w:rsidRPr="00E258B0">
        <w:t>For these reasons, I am of the view that the appellant</w:t>
      </w:r>
      <w:r>
        <w:t>’</w:t>
      </w:r>
      <w:r w:rsidRPr="00E258B0">
        <w:t>s application for leave to adduce fresh evidence must be dismissed.</w:t>
      </w:r>
    </w:p>
    <w:p w14:paraId="0D31047E" w14:textId="77777777" w:rsidR="00AB7D93" w:rsidRPr="00E258B0" w:rsidRDefault="00AB7D93" w:rsidP="006F538E">
      <w:pPr>
        <w:pStyle w:val="Titre1"/>
        <w:numPr>
          <w:ilvl w:val="0"/>
          <w:numId w:val="3"/>
        </w:numPr>
        <w:tabs>
          <w:tab w:val="num" w:pos="709"/>
        </w:tabs>
        <w:spacing w:after="120"/>
        <w:ind w:left="142" w:firstLine="284"/>
      </w:pPr>
      <w:r w:rsidRPr="00E258B0">
        <w:rPr>
          <w:bCs/>
        </w:rPr>
        <w:t>Grounds of appeal</w:t>
      </w:r>
    </w:p>
    <w:p w14:paraId="2C85FF5C" w14:textId="77777777" w:rsidR="00AB7D93" w:rsidRPr="00BD5145" w:rsidRDefault="00AB7D93" w:rsidP="006F538E">
      <w:pPr>
        <w:pStyle w:val="Titre2"/>
        <w:numPr>
          <w:ilvl w:val="0"/>
          <w:numId w:val="2"/>
        </w:numPr>
        <w:tabs>
          <w:tab w:val="num" w:pos="709"/>
        </w:tabs>
        <w:ind w:left="567" w:hanging="425"/>
        <w:jc w:val="both"/>
        <w:rPr>
          <w:i w:val="0"/>
          <w:iCs/>
        </w:rPr>
      </w:pPr>
      <w:r w:rsidRPr="00E258B0">
        <w:rPr>
          <w:bCs/>
          <w:i w:val="0"/>
          <w:iCs/>
        </w:rPr>
        <w:t>Did the judge err in law by applying an inadequate</w:t>
      </w:r>
      <w:r>
        <w:rPr>
          <w:bCs/>
          <w:i w:val="0"/>
          <w:iCs/>
        </w:rPr>
        <w:t xml:space="preserve"> </w:t>
      </w:r>
      <w:r w:rsidRPr="00E258B0">
        <w:rPr>
          <w:bCs/>
          <w:i w:val="0"/>
          <w:iCs/>
        </w:rPr>
        <w:t>analytical framework to the post-conviction delays?</w:t>
      </w:r>
    </w:p>
    <w:p w14:paraId="2BA23EFF" w14:textId="77777777" w:rsidR="00AB7D93" w:rsidRPr="00BD5145" w:rsidRDefault="00AB7D93" w:rsidP="006F538E">
      <w:pPr>
        <w:pStyle w:val="Paragraphe"/>
        <w:spacing w:before="240" w:line="280" w:lineRule="exact"/>
      </w:pPr>
      <w:r w:rsidRPr="00E258B0">
        <w:t xml:space="preserve">The appellant argues that the judge erred in law by applying the </w:t>
      </w:r>
      <w:r>
        <w:t>“</w:t>
      </w:r>
      <w:r w:rsidRPr="00E258B0">
        <w:t>flexible and modulated</w:t>
      </w:r>
      <w:r>
        <w:t>”</w:t>
      </w:r>
      <w:r w:rsidRPr="00E258B0">
        <w:t xml:space="preserve"> approach of the ruling in </w:t>
      </w:r>
      <w:r w:rsidRPr="00E258B0">
        <w:rPr>
          <w:i/>
          <w:iCs/>
        </w:rPr>
        <w:t>Lévesque Paquette</w:t>
      </w:r>
      <w:r>
        <w:rPr>
          <w:rStyle w:val="Appelnotedebasdep"/>
        </w:rPr>
        <w:footnoteReference w:id="9"/>
      </w:r>
      <w:r w:rsidRPr="00E258B0">
        <w:t xml:space="preserve"> to the post-conviction delays.</w:t>
      </w:r>
      <w:r>
        <w:rPr>
          <w:rStyle w:val="Appelnotedebasdep"/>
        </w:rPr>
        <w:footnoteReference w:id="10"/>
      </w:r>
      <w:r w:rsidRPr="00E258B0">
        <w:t xml:space="preserve"> In his opinion, that ruling does not clearly reject the quantitative analytical framework the Ontario Court of Appeal adopted in </w:t>
      </w:r>
      <w:r w:rsidRPr="00E258B0">
        <w:rPr>
          <w:i/>
          <w:iCs/>
        </w:rPr>
        <w:t>Charley</w:t>
      </w:r>
      <w:r w:rsidRPr="00E258B0">
        <w:t>,</w:t>
      </w:r>
      <w:r>
        <w:rPr>
          <w:rStyle w:val="Appelnotedebasdep"/>
        </w:rPr>
        <w:footnoteReference w:id="11"/>
      </w:r>
      <w:r w:rsidRPr="00E258B0">
        <w:t xml:space="preserve"> which imposed a five-month ceiling on sentencing proceedings. He urges the adoption of this ceiling in Quebec, as it offers greater predictability than the framework laid out in </w:t>
      </w:r>
      <w:r w:rsidRPr="00E258B0">
        <w:rPr>
          <w:i/>
          <w:iCs/>
        </w:rPr>
        <w:t>Lévesque Paquette</w:t>
      </w:r>
      <w:r w:rsidRPr="00E258B0">
        <w:t xml:space="preserve"> and</w:t>
      </w:r>
      <w:r>
        <w:t>, in his view,</w:t>
      </w:r>
      <w:r w:rsidRPr="00E258B0">
        <w:t xml:space="preserve"> seems more consistent with the principles set out by the Supreme Court in </w:t>
      </w:r>
      <w:r w:rsidRPr="00E258B0">
        <w:rPr>
          <w:i/>
          <w:iCs/>
        </w:rPr>
        <w:t>Jordan</w:t>
      </w:r>
      <w:r w:rsidRPr="00E258B0">
        <w:t>.</w:t>
      </w:r>
      <w:r>
        <w:rPr>
          <w:rStyle w:val="Appelnotedebasdep"/>
        </w:rPr>
        <w:footnoteReference w:id="12"/>
      </w:r>
    </w:p>
    <w:p w14:paraId="0A57768F" w14:textId="15A797BA" w:rsidR="00AB7D93" w:rsidRPr="00BD5145" w:rsidRDefault="00AB7D93" w:rsidP="00D322F3">
      <w:pPr>
        <w:pStyle w:val="Paragraphe"/>
        <w:spacing w:line="280" w:lineRule="exact"/>
      </w:pPr>
      <w:r w:rsidRPr="00E258B0">
        <w:t xml:space="preserve">The Crown argues that imposing a ceiling is ill-suited to the different realities of sentencing hearings because some justify longer delays, such as those involving the preparation of a </w:t>
      </w:r>
      <w:r w:rsidRPr="00E258B0">
        <w:rPr>
          <w:i/>
          <w:iCs/>
        </w:rPr>
        <w:t>Gladue</w:t>
      </w:r>
      <w:r w:rsidRPr="00E258B0">
        <w:t xml:space="preserve"> report</w:t>
      </w:r>
      <w:r>
        <w:rPr>
          <w:rStyle w:val="Appelnotedebasdep"/>
        </w:rPr>
        <w:footnoteReference w:id="13"/>
      </w:r>
      <w:r w:rsidRPr="00E258B0">
        <w:t xml:space="preserve"> or the designation of the offender as a long</w:t>
      </w:r>
      <w:r w:rsidRPr="00E258B0">
        <w:rPr>
          <w:rFonts w:ascii="Cambria Math" w:hAnsi="Cambria Math" w:cs="Cambria Math"/>
        </w:rPr>
        <w:t>‑</w:t>
      </w:r>
      <w:r w:rsidRPr="00E258B0">
        <w:t xml:space="preserve">term offender, as was the case in </w:t>
      </w:r>
      <w:r w:rsidRPr="00E258B0">
        <w:rPr>
          <w:i/>
          <w:iCs/>
        </w:rPr>
        <w:t>Lévesque Paquette</w:t>
      </w:r>
      <w:r w:rsidRPr="00E258B0">
        <w:t>.</w:t>
      </w:r>
    </w:p>
    <w:p w14:paraId="586C0F15" w14:textId="77777777" w:rsidR="00AB7D93" w:rsidRPr="00BD5145" w:rsidRDefault="00AB7D93" w:rsidP="00D322F3">
      <w:pPr>
        <w:pStyle w:val="Paragraphe"/>
        <w:spacing w:line="280" w:lineRule="exact"/>
      </w:pPr>
      <w:r w:rsidRPr="00E258B0">
        <w:t>The AGQ essentially argues that the appellant</w:t>
      </w:r>
      <w:r>
        <w:t>’</w:t>
      </w:r>
      <w:r w:rsidRPr="00E258B0">
        <w:t xml:space="preserve">s arguments do not respect the principle of </w:t>
      </w:r>
      <w:r w:rsidRPr="00E258B0">
        <w:rPr>
          <w:i/>
          <w:iCs/>
        </w:rPr>
        <w:t>stare decisis</w:t>
      </w:r>
      <w:r w:rsidRPr="00E258B0">
        <w:t xml:space="preserve"> given that the ruling in </w:t>
      </w:r>
      <w:r w:rsidRPr="00E258B0">
        <w:rPr>
          <w:i/>
          <w:iCs/>
        </w:rPr>
        <w:t>Lévesque Paquette</w:t>
      </w:r>
      <w:r w:rsidRPr="00E258B0">
        <w:t xml:space="preserve"> definitively settled the </w:t>
      </w:r>
      <w:r w:rsidRPr="00E258B0">
        <w:lastRenderedPageBreak/>
        <w:t>issue by rejecting the application of a uniform five-month ceiling to post-conviction delays. Moreover, the appellant</w:t>
      </w:r>
      <w:r>
        <w:t>’</w:t>
      </w:r>
      <w:r w:rsidRPr="00E258B0">
        <w:t>s application requesting a five-judge panel to hear the appeal was denied by the Chief Justice.</w:t>
      </w:r>
      <w:r>
        <w:rPr>
          <w:rStyle w:val="Appelnotedebasdep"/>
        </w:rPr>
        <w:footnoteReference w:id="14"/>
      </w:r>
    </w:p>
    <w:p w14:paraId="448B8F3E" w14:textId="77777777" w:rsidR="00AB7D93" w:rsidRPr="00E258B0" w:rsidRDefault="00AB7D93" w:rsidP="00671B7D">
      <w:pPr>
        <w:pStyle w:val="Paragraphe"/>
        <w:numPr>
          <w:ilvl w:val="0"/>
          <w:numId w:val="0"/>
        </w:numPr>
        <w:spacing w:before="240" w:after="180" w:line="280" w:lineRule="exact"/>
        <w:jc w:val="center"/>
      </w:pPr>
      <w:r w:rsidRPr="00E258B0">
        <w:t>***</w:t>
      </w:r>
    </w:p>
    <w:p w14:paraId="3903059B" w14:textId="59746E58" w:rsidR="00AB7D93" w:rsidRPr="00BD5145" w:rsidRDefault="00AB7D93" w:rsidP="00D322F3">
      <w:pPr>
        <w:pStyle w:val="Paragraphe"/>
        <w:spacing w:line="280" w:lineRule="exact"/>
      </w:pPr>
      <w:r w:rsidRPr="00E258B0">
        <w:t>The applicable standard of review on an appeal ruling on an application alleging unreasonable delay within the meaning of s.</w:t>
      </w:r>
      <w:r>
        <w:t> </w:t>
      </w:r>
      <w:r w:rsidRPr="00E258B0">
        <w:t>11(</w:t>
      </w:r>
      <w:r w:rsidRPr="00E258B0">
        <w:rPr>
          <w:i/>
          <w:iCs/>
        </w:rPr>
        <w:t>b</w:t>
      </w:r>
      <w:r w:rsidRPr="00E258B0">
        <w:t xml:space="preserve">) of the </w:t>
      </w:r>
      <w:r w:rsidRPr="00E258B0">
        <w:rPr>
          <w:i/>
          <w:iCs/>
        </w:rPr>
        <w:t>Charter</w:t>
      </w:r>
      <w:r w:rsidRPr="00E258B0">
        <w:t xml:space="preserve"> is the same, whether the period in question is pre-conviction or post-conviction.</w:t>
      </w:r>
      <w:r>
        <w:rPr>
          <w:rStyle w:val="Appelnotedebasdep"/>
        </w:rPr>
        <w:footnoteReference w:id="15"/>
      </w:r>
      <w:r w:rsidRPr="00E258B0">
        <w:t xml:space="preserve"> The analytical framework and the attribution of delays for purposes of applying this framework are questions of law, while the factual findings underlying them are reviewable on a standard of palpable and overriding error.</w:t>
      </w:r>
      <w:r>
        <w:rPr>
          <w:rStyle w:val="Appelnotedebasdep"/>
        </w:rPr>
        <w:footnoteReference w:id="16"/>
      </w:r>
    </w:p>
    <w:p w14:paraId="43FADB1B" w14:textId="77777777" w:rsidR="00AB7D93" w:rsidRPr="00E258B0" w:rsidRDefault="00AB7D93" w:rsidP="00671B7D">
      <w:pPr>
        <w:pStyle w:val="Paragraphe"/>
        <w:numPr>
          <w:ilvl w:val="0"/>
          <w:numId w:val="0"/>
        </w:numPr>
        <w:spacing w:before="240" w:after="180" w:line="280" w:lineRule="exact"/>
        <w:jc w:val="center"/>
      </w:pPr>
      <w:r w:rsidRPr="00E258B0">
        <w:t>***</w:t>
      </w:r>
    </w:p>
    <w:p w14:paraId="09B485CF" w14:textId="16050420" w:rsidR="00AB7D93" w:rsidRPr="00BD5145" w:rsidRDefault="00AB7D93" w:rsidP="00D322F3">
      <w:pPr>
        <w:pStyle w:val="Paragraphe"/>
        <w:spacing w:line="280" w:lineRule="exact"/>
        <w:rPr>
          <w:lang w:eastAsia="fr-CA"/>
        </w:rPr>
      </w:pPr>
      <w:r w:rsidRPr="00E258B0">
        <w:rPr>
          <w:lang w:eastAsia="fr-CA"/>
        </w:rPr>
        <w:t>Section</w:t>
      </w:r>
      <w:r>
        <w:rPr>
          <w:lang w:eastAsia="fr-CA"/>
        </w:rPr>
        <w:t> </w:t>
      </w:r>
      <w:r w:rsidRPr="00E258B0">
        <w:rPr>
          <w:lang w:eastAsia="fr-CA"/>
        </w:rPr>
        <w:t>11(</w:t>
      </w:r>
      <w:r w:rsidRPr="00E258B0">
        <w:rPr>
          <w:i/>
          <w:iCs/>
          <w:lang w:eastAsia="fr-CA"/>
        </w:rPr>
        <w:t>b</w:t>
      </w:r>
      <w:r w:rsidRPr="00E258B0">
        <w:rPr>
          <w:lang w:eastAsia="fr-CA"/>
        </w:rPr>
        <w:t xml:space="preserve">) of the </w:t>
      </w:r>
      <w:r w:rsidRPr="00E258B0">
        <w:rPr>
          <w:i/>
          <w:iCs/>
          <w:lang w:eastAsia="fr-CA"/>
        </w:rPr>
        <w:t xml:space="preserve">Charter </w:t>
      </w:r>
      <w:r w:rsidRPr="00E258B0">
        <w:rPr>
          <w:lang w:eastAsia="fr-CA"/>
        </w:rPr>
        <w:t>protects the accused</w:t>
      </w:r>
      <w:r>
        <w:rPr>
          <w:lang w:eastAsia="fr-CA"/>
        </w:rPr>
        <w:t>’</w:t>
      </w:r>
      <w:r w:rsidRPr="00E258B0">
        <w:rPr>
          <w:lang w:eastAsia="fr-CA"/>
        </w:rPr>
        <w:t>s interests and society</w:t>
      </w:r>
      <w:r>
        <w:rPr>
          <w:lang w:eastAsia="fr-CA"/>
        </w:rPr>
        <w:t>’</w:t>
      </w:r>
      <w:r w:rsidRPr="00E258B0">
        <w:rPr>
          <w:lang w:eastAsia="fr-CA"/>
        </w:rPr>
        <w:t>s interests in efficient and timely justice</w:t>
      </w:r>
      <w:r>
        <w:rPr>
          <w:rStyle w:val="Appelnotedebasdep"/>
        </w:rPr>
        <w:footnoteReference w:id="17"/>
      </w:r>
      <w:r w:rsidRPr="00E258B0">
        <w:rPr>
          <w:lang w:eastAsia="fr-CA"/>
        </w:rPr>
        <w:t xml:space="preserve"> and it applies to the criminal process as a whole, including the sentencing phase, as the Supreme Court confirmed in </w:t>
      </w:r>
      <w:r w:rsidRPr="00E258B0">
        <w:rPr>
          <w:i/>
          <w:iCs/>
          <w:lang w:eastAsia="fr-CA"/>
        </w:rPr>
        <w:t>MacDougall</w:t>
      </w:r>
      <w:r w:rsidRPr="00E258B0">
        <w:rPr>
          <w:lang w:eastAsia="fr-CA"/>
        </w:rPr>
        <w:t>.</w:t>
      </w:r>
      <w:r>
        <w:rPr>
          <w:rStyle w:val="Appelnotedebasdep"/>
        </w:rPr>
        <w:footnoteReference w:id="18"/>
      </w:r>
      <w:r w:rsidRPr="00E258B0">
        <w:rPr>
          <w:lang w:eastAsia="fr-CA"/>
        </w:rPr>
        <w:t xml:space="preserve"> The Supreme Court, however, has not yet ruled on the applicable analytical framework once a conviction has been handed down.</w:t>
      </w:r>
      <w:r>
        <w:rPr>
          <w:rStyle w:val="Appelnotedebasdep"/>
          <w:lang w:eastAsia="fr-CA"/>
        </w:rPr>
        <w:footnoteReference w:id="19"/>
      </w:r>
    </w:p>
    <w:p w14:paraId="6D7E185C" w14:textId="77777777" w:rsidR="00AB7D93" w:rsidRPr="00BD5145" w:rsidRDefault="00AB7D93" w:rsidP="00D322F3">
      <w:pPr>
        <w:pStyle w:val="Paragraphe"/>
        <w:spacing w:line="280" w:lineRule="exact"/>
        <w:rPr>
          <w:lang w:eastAsia="fr-CA"/>
        </w:rPr>
      </w:pPr>
      <w:r w:rsidRPr="00E258B0">
        <w:rPr>
          <w:lang w:eastAsia="fr-CA"/>
        </w:rPr>
        <w:t xml:space="preserve">In the 2016 decision in </w:t>
      </w:r>
      <w:r w:rsidRPr="00E258B0">
        <w:rPr>
          <w:i/>
          <w:iCs/>
          <w:lang w:eastAsia="fr-CA"/>
        </w:rPr>
        <w:t>Jordan</w:t>
      </w:r>
      <w:r w:rsidRPr="00E258B0">
        <w:rPr>
          <w:lang w:eastAsia="fr-CA"/>
        </w:rPr>
        <w:t xml:space="preserve">, the Supreme Court introduced ceilings beyond </w:t>
      </w:r>
      <w:r w:rsidRPr="00E258B0">
        <w:t>which</w:t>
      </w:r>
      <w:r w:rsidRPr="00E258B0">
        <w:rPr>
          <w:lang w:eastAsia="fr-CA"/>
        </w:rPr>
        <w:t xml:space="preserve"> the delay between the laying of charges and the end of the trial is presumed unreasonable.</w:t>
      </w:r>
      <w:r>
        <w:rPr>
          <w:rStyle w:val="Appelnotedebasdep"/>
          <w:lang w:eastAsia="fr-CA"/>
        </w:rPr>
        <w:footnoteReference w:id="20"/>
      </w:r>
      <w:r w:rsidRPr="00E258B0">
        <w:rPr>
          <w:lang w:eastAsia="fr-CA"/>
        </w:rPr>
        <w:t xml:space="preserve"> This new framework applies to the time period included between the indictment and the end of the evidence and argument.</w:t>
      </w:r>
      <w:r>
        <w:rPr>
          <w:rStyle w:val="Appelnotedebasdep"/>
          <w:lang w:eastAsia="fr-CA"/>
        </w:rPr>
        <w:footnoteReference w:id="21"/>
      </w:r>
      <w:r w:rsidRPr="00E258B0">
        <w:rPr>
          <w:lang w:eastAsia="fr-CA"/>
        </w:rPr>
        <w:t xml:space="preserve"> It replaces the framework established in </w:t>
      </w:r>
      <w:r w:rsidRPr="00E258B0">
        <w:rPr>
          <w:i/>
          <w:iCs/>
          <w:lang w:eastAsia="fr-CA"/>
        </w:rPr>
        <w:t>Morin</w:t>
      </w:r>
      <w:r w:rsidRPr="00E258B0">
        <w:rPr>
          <w:lang w:eastAsia="fr-CA"/>
        </w:rPr>
        <w:t>, which had previously governed the application of s.</w:t>
      </w:r>
      <w:r>
        <w:rPr>
          <w:lang w:eastAsia="fr-CA"/>
        </w:rPr>
        <w:t> </w:t>
      </w:r>
      <w:r w:rsidRPr="00E258B0">
        <w:rPr>
          <w:lang w:eastAsia="fr-CA"/>
        </w:rPr>
        <w:t>11(</w:t>
      </w:r>
      <w:r w:rsidRPr="00E258B0">
        <w:rPr>
          <w:i/>
          <w:iCs/>
          <w:lang w:eastAsia="fr-CA"/>
        </w:rPr>
        <w:t>b</w:t>
      </w:r>
      <w:r w:rsidRPr="00E258B0">
        <w:rPr>
          <w:lang w:eastAsia="fr-CA"/>
        </w:rPr>
        <w:t xml:space="preserve">) and had been tailored in </w:t>
      </w:r>
      <w:r w:rsidRPr="00E258B0">
        <w:rPr>
          <w:i/>
          <w:iCs/>
          <w:lang w:eastAsia="fr-CA"/>
        </w:rPr>
        <w:t>MacDougall</w:t>
      </w:r>
      <w:r w:rsidRPr="00E258B0">
        <w:rPr>
          <w:lang w:eastAsia="fr-CA"/>
        </w:rPr>
        <w:t xml:space="preserve"> to apply to the sentencing phase.</w:t>
      </w:r>
    </w:p>
    <w:p w14:paraId="19796A2D" w14:textId="77777777" w:rsidR="00AB7D93" w:rsidRPr="00BD5145" w:rsidRDefault="00AB7D93" w:rsidP="00D322F3">
      <w:pPr>
        <w:pStyle w:val="Paragraphe"/>
        <w:spacing w:line="280" w:lineRule="exact"/>
      </w:pPr>
      <w:r w:rsidRPr="00E258B0">
        <w:lastRenderedPageBreak/>
        <w:t>The judge</w:t>
      </w:r>
      <w:r>
        <w:t>’</w:t>
      </w:r>
      <w:r w:rsidRPr="00E258B0">
        <w:t xml:space="preserve">s flexible approach in the case at bar differs from the </w:t>
      </w:r>
      <w:r w:rsidRPr="00E258B0">
        <w:rPr>
          <w:i/>
          <w:iCs/>
        </w:rPr>
        <w:t>Morin/MacDougall</w:t>
      </w:r>
      <w:r>
        <w:rPr>
          <w:rStyle w:val="Appelnotedebasdep"/>
          <w:lang w:eastAsia="fr-CA"/>
        </w:rPr>
        <w:footnoteReference w:id="22"/>
      </w:r>
      <w:r w:rsidRPr="00E258B0">
        <w:t xml:space="preserve"> framework in that it replaces the micro</w:t>
      </w:r>
      <w:r>
        <w:noBreakHyphen/>
      </w:r>
      <w:r w:rsidRPr="00E258B0">
        <w:t>counting process with a global assessment.</w:t>
      </w:r>
      <w:r>
        <w:rPr>
          <w:rStyle w:val="Appelnotedebasdep"/>
          <w:lang w:eastAsia="fr-CA"/>
        </w:rPr>
        <w:footnoteReference w:id="23"/>
      </w:r>
      <w:r w:rsidRPr="00E258B0">
        <w:t xml:space="preserve"> Nonetheless, it is still mindful of the concerns raised in </w:t>
      </w:r>
      <w:r w:rsidRPr="00E258B0">
        <w:rPr>
          <w:i/>
          <w:iCs/>
        </w:rPr>
        <w:t>Jordan</w:t>
      </w:r>
      <w:r w:rsidRPr="00E258B0">
        <w:t xml:space="preserve"> – including the need to be proactive so as to address sources of delay and the shared responsibility of all justice system participants in reducing inefficiencies</w:t>
      </w:r>
      <w:r>
        <w:t xml:space="preserve"> </w:t>
      </w:r>
      <w:r w:rsidRPr="00E258B0">
        <w:t>– but without resorting to presumptions.</w:t>
      </w:r>
      <w:r>
        <w:rPr>
          <w:rStyle w:val="Appelnotedebasdep"/>
          <w:lang w:eastAsia="fr-CA"/>
        </w:rPr>
        <w:footnoteReference w:id="24"/>
      </w:r>
      <w:r w:rsidRPr="00E258B0">
        <w:t xml:space="preserve"> The characterization of the various delays, such as exceptional events and defence waivers of delays (explicit and implicit), remains relevant.</w:t>
      </w:r>
      <w:r>
        <w:rPr>
          <w:rStyle w:val="Appelnotedebasdep"/>
          <w:lang w:eastAsia="fr-CA"/>
        </w:rPr>
        <w:footnoteReference w:id="25"/>
      </w:r>
    </w:p>
    <w:p w14:paraId="61EAF16D" w14:textId="7C9189CB" w:rsidR="00AB7D93" w:rsidRPr="00BD5145" w:rsidRDefault="00AB7D93" w:rsidP="00D322F3">
      <w:pPr>
        <w:pStyle w:val="Paragraphe"/>
        <w:spacing w:line="280" w:lineRule="exact"/>
      </w:pPr>
      <w:r w:rsidRPr="00E258B0">
        <w:t xml:space="preserve">Such an approach was favoured in </w:t>
      </w:r>
      <w:r w:rsidRPr="00E258B0">
        <w:rPr>
          <w:i/>
          <w:iCs/>
        </w:rPr>
        <w:t>K.G.K</w:t>
      </w:r>
      <w:r w:rsidRPr="00E258B0">
        <w:t>., where the Supreme Court defined a flexible test with respect to the judge</w:t>
      </w:r>
      <w:r>
        <w:t>’</w:t>
      </w:r>
      <w:r w:rsidRPr="00E258B0">
        <w:t xml:space="preserve">s verdict deliberation time. It consists in asking </w:t>
      </w:r>
      <w:r>
        <w:t>“</w:t>
      </w:r>
      <w:r w:rsidRPr="00E258B0">
        <w:t>whether the deliberation time took markedly longer than it reasonably should have in</w:t>
      </w:r>
      <w:r>
        <w:t xml:space="preserve"> </w:t>
      </w:r>
      <w:r w:rsidRPr="00E258B0">
        <w:t>all of the circumstances</w:t>
      </w:r>
      <w:r>
        <w:t>”</w:t>
      </w:r>
      <w:r w:rsidRPr="00E258B0">
        <w:t>.</w:t>
      </w:r>
      <w:r>
        <w:rPr>
          <w:rStyle w:val="Appelnotedebasdep"/>
        </w:rPr>
        <w:footnoteReference w:id="26"/>
      </w:r>
    </w:p>
    <w:p w14:paraId="0D3CBB77" w14:textId="76601A78" w:rsidR="00AB7D93" w:rsidRPr="00BD5145" w:rsidRDefault="00AB7D93" w:rsidP="00D322F3">
      <w:pPr>
        <w:pStyle w:val="Paragraphe"/>
        <w:spacing w:line="280" w:lineRule="exact"/>
      </w:pPr>
      <w:r w:rsidRPr="00E258B0">
        <w:t>What matters is striking a balance between the need to target and correct systemic failures that jeopardize the right to be tried within a reasonable time, while recognizing the practical constraints on the criminal justice system.</w:t>
      </w:r>
      <w:r>
        <w:rPr>
          <w:rStyle w:val="Appelnotedebasdep"/>
        </w:rPr>
        <w:footnoteReference w:id="27"/>
      </w:r>
    </w:p>
    <w:p w14:paraId="6DF0880A" w14:textId="77777777" w:rsidR="00AB7D93" w:rsidRPr="00BD5145" w:rsidRDefault="00AB7D93" w:rsidP="00D322F3">
      <w:pPr>
        <w:pStyle w:val="Paragraphe"/>
        <w:spacing w:line="280" w:lineRule="exact"/>
      </w:pPr>
      <w:r w:rsidRPr="00E258B0">
        <w:t xml:space="preserve">The Supreme Court has also pointed out that the notion of presumptive ceilings is not applicable to all sources of delay. This type of approach was developed to provide </w:t>
      </w:r>
      <w:r>
        <w:t>“</w:t>
      </w:r>
      <w:r w:rsidRPr="00E258B0">
        <w:t xml:space="preserve">a specific solution designed to address a specific problem: the culture of complacency towards excessive delay </w:t>
      </w:r>
      <w:r w:rsidRPr="00E258B0">
        <w:rPr>
          <w:u w:val="single"/>
        </w:rPr>
        <w:t xml:space="preserve">associated with </w:t>
      </w:r>
      <w:r>
        <w:rPr>
          <w:u w:val="single"/>
        </w:rPr>
        <w:t>‘</w:t>
      </w:r>
      <w:r w:rsidRPr="00E258B0">
        <w:rPr>
          <w:u w:val="single"/>
        </w:rPr>
        <w:t>bringing those charged with criminal offences to trial</w:t>
      </w:r>
      <w:r>
        <w:t>’”</w:t>
      </w:r>
      <w:r w:rsidRPr="00E258B0">
        <w:t>.</w:t>
      </w:r>
      <w:r>
        <w:rPr>
          <w:rStyle w:val="Appelnotedebasdep"/>
        </w:rPr>
        <w:footnoteReference w:id="28"/>
      </w:r>
      <w:r w:rsidRPr="00E258B0">
        <w:t xml:space="preserve"> More flexible criteria may be better suited to the specific characteristics of the other stages of the criminal process.</w:t>
      </w:r>
      <w:r>
        <w:rPr>
          <w:rStyle w:val="Appelnotedebasdep"/>
        </w:rPr>
        <w:footnoteReference w:id="29"/>
      </w:r>
    </w:p>
    <w:p w14:paraId="3F9FD03C" w14:textId="77777777" w:rsidR="00AB7D93" w:rsidRPr="00BD5145" w:rsidRDefault="00AB7D93" w:rsidP="00D322F3">
      <w:pPr>
        <w:pStyle w:val="Paragraphe"/>
        <w:spacing w:line="280" w:lineRule="exact"/>
        <w:rPr>
          <w:lang w:eastAsia="fr-CA"/>
        </w:rPr>
      </w:pPr>
      <w:r w:rsidRPr="00E258B0">
        <w:rPr>
          <w:lang w:eastAsia="fr-CA"/>
        </w:rPr>
        <w:t xml:space="preserve">That is what this Court decided in </w:t>
      </w:r>
      <w:r w:rsidRPr="00E258B0">
        <w:rPr>
          <w:i/>
          <w:iCs/>
          <w:lang w:eastAsia="fr-CA"/>
        </w:rPr>
        <w:t>Demers</w:t>
      </w:r>
      <w:r w:rsidRPr="00E258B0">
        <w:rPr>
          <w:lang w:eastAsia="fr-CA"/>
        </w:rPr>
        <w:t xml:space="preserve">, </w:t>
      </w:r>
      <w:r w:rsidRPr="00E258B0">
        <w:rPr>
          <w:i/>
          <w:iCs/>
          <w:lang w:eastAsia="fr-CA"/>
        </w:rPr>
        <w:t>Deblois</w:t>
      </w:r>
      <w:r w:rsidRPr="00E258B0">
        <w:rPr>
          <w:lang w:eastAsia="fr-CA"/>
        </w:rPr>
        <w:t xml:space="preserve"> and </w:t>
      </w:r>
      <w:r w:rsidRPr="00E258B0">
        <w:rPr>
          <w:i/>
          <w:iCs/>
          <w:lang w:eastAsia="fr-CA"/>
        </w:rPr>
        <w:t>Lévesque Paquette</w:t>
      </w:r>
      <w:r w:rsidRPr="00E258B0">
        <w:rPr>
          <w:lang w:eastAsia="fr-CA"/>
        </w:rPr>
        <w:t xml:space="preserve">. It </w:t>
      </w:r>
      <w:r w:rsidRPr="00E258B0">
        <w:t>refused</w:t>
      </w:r>
      <w:r w:rsidRPr="00E258B0">
        <w:rPr>
          <w:lang w:eastAsia="fr-CA"/>
        </w:rPr>
        <w:t xml:space="preserve"> to impose ceilings beyond which a delay is presumed unreasonable for the post</w:t>
      </w:r>
      <w:r>
        <w:rPr>
          <w:lang w:eastAsia="fr-CA"/>
        </w:rPr>
        <w:noBreakHyphen/>
      </w:r>
      <w:r w:rsidRPr="00E258B0">
        <w:rPr>
          <w:lang w:eastAsia="fr-CA"/>
        </w:rPr>
        <w:t>conviction period,</w:t>
      </w:r>
      <w:r>
        <w:rPr>
          <w:rStyle w:val="Appelnotedebasdep"/>
          <w:lang w:eastAsia="fr-CA"/>
        </w:rPr>
        <w:footnoteReference w:id="30"/>
      </w:r>
      <w:r w:rsidRPr="00E258B0">
        <w:rPr>
          <w:lang w:eastAsia="fr-CA"/>
        </w:rPr>
        <w:t xml:space="preserve"> adopting a more flexible test that takes into consideration the different context of the sentencing process. For its part, the Ontario Court of Appeal, in </w:t>
      </w:r>
      <w:r w:rsidRPr="00E258B0">
        <w:rPr>
          <w:lang w:eastAsia="fr-CA"/>
        </w:rPr>
        <w:lastRenderedPageBreak/>
        <w:t xml:space="preserve">its 2019 ruling in </w:t>
      </w:r>
      <w:r w:rsidRPr="00E258B0">
        <w:rPr>
          <w:i/>
          <w:iCs/>
          <w:lang w:eastAsia="fr-CA"/>
        </w:rPr>
        <w:t>Charley</w:t>
      </w:r>
      <w:r w:rsidRPr="00E258B0">
        <w:rPr>
          <w:lang w:eastAsia="fr-CA"/>
        </w:rPr>
        <w:t>, introduced a presumption that a delay of more than five months is unreasonable. Beyond this ceiling, the onus is on the prosecution to justify the delay.</w:t>
      </w:r>
      <w:r>
        <w:rPr>
          <w:rStyle w:val="Appelnotedebasdep"/>
          <w:lang w:eastAsia="fr-CA"/>
        </w:rPr>
        <w:footnoteReference w:id="31"/>
      </w:r>
    </w:p>
    <w:p w14:paraId="71045726" w14:textId="1D53DA0F" w:rsidR="00AB7D93" w:rsidRPr="00BD5145" w:rsidRDefault="00AB7D93" w:rsidP="00D322F3">
      <w:pPr>
        <w:pStyle w:val="Paragraphe"/>
        <w:spacing w:line="280" w:lineRule="exact"/>
      </w:pPr>
      <w:r w:rsidRPr="00E258B0">
        <w:t>Contrary to the appellant</w:t>
      </w:r>
      <w:r>
        <w:t>’</w:t>
      </w:r>
      <w:r w:rsidRPr="00E258B0">
        <w:t xml:space="preserve">s contention, nothing in </w:t>
      </w:r>
      <w:r w:rsidRPr="00E258B0">
        <w:rPr>
          <w:i/>
          <w:iCs/>
        </w:rPr>
        <w:t>Lévesque Paquette</w:t>
      </w:r>
      <w:r w:rsidRPr="00E258B0">
        <w:t xml:space="preserve"> suggests that the proposed approach is limited to procedures set out in Part XXIV of the </w:t>
      </w:r>
      <w:r w:rsidRPr="00E258B0">
        <w:rPr>
          <w:i/>
          <w:iCs/>
        </w:rPr>
        <w:t>Criminal Code</w:t>
      </w:r>
      <w:r w:rsidRPr="00E258B0">
        <w:t>. Bich,</w:t>
      </w:r>
      <w:r>
        <w:t> </w:t>
      </w:r>
      <w:r w:rsidRPr="00E258B0">
        <w:t>J.A., writing for the Court, expressly referred to the [</w:t>
      </w:r>
      <w:r w:rsidRPr="0097549F">
        <w:rPr>
          <w:smallCaps/>
        </w:rPr>
        <w:t>translation</w:t>
      </w:r>
      <w:r w:rsidRPr="00E258B0">
        <w:t>]</w:t>
      </w:r>
      <w:r>
        <w:t> “</w:t>
      </w:r>
      <w:r w:rsidRPr="00E258B0">
        <w:t>sentencing process</w:t>
      </w:r>
      <w:r>
        <w:t>”</w:t>
      </w:r>
      <w:r w:rsidRPr="00E258B0">
        <w:t xml:space="preserve"> generally.</w:t>
      </w:r>
      <w:r>
        <w:rPr>
          <w:rStyle w:val="Appelnotedebasdep"/>
        </w:rPr>
        <w:footnoteReference w:id="32"/>
      </w:r>
      <w:r w:rsidRPr="00E258B0">
        <w:t xml:space="preserve"> The same is true of </w:t>
      </w:r>
      <w:r w:rsidRPr="00E258B0">
        <w:rPr>
          <w:i/>
          <w:iCs/>
        </w:rPr>
        <w:t>Deblois</w:t>
      </w:r>
      <w:r w:rsidRPr="00E258B0">
        <w:t>,</w:t>
      </w:r>
      <w:r>
        <w:rPr>
          <w:rStyle w:val="Appelnotedebasdep"/>
        </w:rPr>
        <w:footnoteReference w:id="33"/>
      </w:r>
      <w:r w:rsidRPr="00E258B0">
        <w:t xml:space="preserve"> in which the analysis addressed the complexity of the issue of mandatory minimum sentences. It would be ill</w:t>
      </w:r>
      <w:r>
        <w:noBreakHyphen/>
      </w:r>
      <w:r w:rsidRPr="00E258B0">
        <w:t>advised to follow the appellant</w:t>
      </w:r>
      <w:r>
        <w:t>’</w:t>
      </w:r>
      <w:r w:rsidRPr="00E258B0">
        <w:t>s proposed restrictive interpretation of these rulings, which would also have the effect of endlessly creating new subcategories of cases subject to different criteria.</w:t>
      </w:r>
    </w:p>
    <w:p w14:paraId="4E904656" w14:textId="77777777" w:rsidR="00AB7D93" w:rsidRPr="00BD5145" w:rsidRDefault="00AB7D93" w:rsidP="00D322F3">
      <w:pPr>
        <w:pStyle w:val="Paragraphe"/>
        <w:spacing w:line="280" w:lineRule="exact"/>
        <w:rPr>
          <w:lang w:eastAsia="fr-CA"/>
        </w:rPr>
      </w:pPr>
      <w:r w:rsidRPr="00E258B0">
        <w:rPr>
          <w:lang w:eastAsia="fr-CA"/>
        </w:rPr>
        <w:t xml:space="preserve">In short, the appellant has offered no valid reason to depart from the </w:t>
      </w:r>
      <w:r>
        <w:rPr>
          <w:lang w:eastAsia="fr-CA"/>
        </w:rPr>
        <w:t>“</w:t>
      </w:r>
      <w:r w:rsidRPr="00E258B0">
        <w:rPr>
          <w:lang w:eastAsia="fr-CA"/>
        </w:rPr>
        <w:t>flexible and modulated</w:t>
      </w:r>
      <w:r>
        <w:rPr>
          <w:lang w:eastAsia="fr-CA"/>
        </w:rPr>
        <w:t>”</w:t>
      </w:r>
      <w:r w:rsidRPr="00E258B0">
        <w:rPr>
          <w:lang w:eastAsia="fr-CA"/>
        </w:rPr>
        <w:t xml:space="preserve"> approach previously adopted by the Court, which consist in asking [</w:t>
      </w:r>
      <w:r w:rsidRPr="0097549F">
        <w:rPr>
          <w:smallCaps/>
          <w:lang w:eastAsia="fr-CA"/>
        </w:rPr>
        <w:t>translation</w:t>
      </w:r>
      <w:r w:rsidRPr="00E258B0">
        <w:rPr>
          <w:lang w:eastAsia="fr-CA"/>
        </w:rPr>
        <w:t>]</w:t>
      </w:r>
      <w:r>
        <w:rPr>
          <w:lang w:eastAsia="fr-CA"/>
        </w:rPr>
        <w:t> “</w:t>
      </w:r>
      <w:r w:rsidRPr="00E258B0">
        <w:rPr>
          <w:lang w:eastAsia="fr-CA"/>
        </w:rPr>
        <w:t>whether the sentencing process [...] has been unduly protracted, leaving aside the question of ceilings</w:t>
      </w:r>
      <w:r>
        <w:rPr>
          <w:lang w:eastAsia="fr-CA"/>
        </w:rPr>
        <w:t>”</w:t>
      </w:r>
      <w:r w:rsidRPr="00E258B0">
        <w:rPr>
          <w:lang w:eastAsia="fr-CA"/>
        </w:rPr>
        <w:t>.</w:t>
      </w:r>
      <w:r>
        <w:rPr>
          <w:rStyle w:val="Appelnotedebasdep"/>
          <w:lang w:eastAsia="fr-CA"/>
        </w:rPr>
        <w:footnoteReference w:id="34"/>
      </w:r>
    </w:p>
    <w:p w14:paraId="0FE74310" w14:textId="77777777" w:rsidR="00AB7D93" w:rsidRPr="00BD5145" w:rsidRDefault="00AB7D93" w:rsidP="00671B7D">
      <w:pPr>
        <w:pStyle w:val="Paragraphe"/>
        <w:spacing w:after="240" w:line="280" w:lineRule="exact"/>
      </w:pPr>
      <w:r w:rsidRPr="00E258B0">
        <w:t xml:space="preserve">I am therefore of the opinion that this first ground of appeal should be dismissed, as the judge did not err in law by applying a </w:t>
      </w:r>
      <w:r>
        <w:t>“</w:t>
      </w:r>
      <w:r w:rsidRPr="00E258B0">
        <w:t>flexible and modulated</w:t>
      </w:r>
      <w:r>
        <w:t>”</w:t>
      </w:r>
      <w:r w:rsidRPr="00E258B0">
        <w:t xml:space="preserve"> framework to the post</w:t>
      </w:r>
      <w:r>
        <w:noBreakHyphen/>
      </w:r>
      <w:r w:rsidRPr="00E258B0">
        <w:t>conviction delays rather than a ceiling beyond which the delay is presumptively unreasonable.</w:t>
      </w:r>
    </w:p>
    <w:p w14:paraId="36046CEB" w14:textId="77777777" w:rsidR="00AB7D93" w:rsidRPr="00BD5145" w:rsidRDefault="00AB7D93" w:rsidP="00671B7D">
      <w:pPr>
        <w:pStyle w:val="Titre2"/>
        <w:numPr>
          <w:ilvl w:val="0"/>
          <w:numId w:val="2"/>
        </w:numPr>
        <w:tabs>
          <w:tab w:val="num" w:pos="709"/>
        </w:tabs>
        <w:spacing w:after="120"/>
        <w:ind w:left="142" w:firstLine="0"/>
        <w:rPr>
          <w:i w:val="0"/>
          <w:iCs/>
        </w:rPr>
      </w:pPr>
      <w:r w:rsidRPr="00E258B0">
        <w:rPr>
          <w:bCs/>
          <w:i w:val="0"/>
          <w:iCs/>
        </w:rPr>
        <w:t>Did the judge err in law in characterizing the delays?</w:t>
      </w:r>
    </w:p>
    <w:p w14:paraId="62D33E5F" w14:textId="34E145D2" w:rsidR="00AB7D93" w:rsidRPr="00BD5145" w:rsidRDefault="00AB7D93" w:rsidP="006F538E">
      <w:pPr>
        <w:pStyle w:val="Paragraphe"/>
        <w:spacing w:before="240" w:line="280" w:lineRule="exact"/>
      </w:pPr>
      <w:r w:rsidRPr="00E258B0">
        <w:t>The appellant challenges the characterization of certain delays or the weight the judge attributed to them. He calculates a delay of just over 19 months between his guilty plea (August 19, 2021) and sentencing (March 31, 2023). The deliberation on the sentence (from February 16 to March 31, 2023), however, must be excluded,</w:t>
      </w:r>
      <w:r>
        <w:rPr>
          <w:rStyle w:val="Appelnotedebasdep"/>
        </w:rPr>
        <w:footnoteReference w:id="35"/>
      </w:r>
      <w:r w:rsidRPr="00E258B0">
        <w:t xml:space="preserve"> which </w:t>
      </w:r>
      <w:r>
        <w:t xml:space="preserve">reduces </w:t>
      </w:r>
      <w:r w:rsidRPr="00E258B0">
        <w:t>the delay to close to 18 months.</w:t>
      </w:r>
    </w:p>
    <w:p w14:paraId="5D0CBBE5" w14:textId="77777777" w:rsidR="00AB7D93" w:rsidRPr="00BD5145" w:rsidRDefault="00AB7D93" w:rsidP="00D322F3">
      <w:pPr>
        <w:pStyle w:val="Paragraphe"/>
        <w:spacing w:line="280" w:lineRule="exact"/>
      </w:pPr>
      <w:r w:rsidRPr="00E258B0">
        <w:t xml:space="preserve">The respondent is of the opinion that the judge did not err in considering that the causes of the delays related to the pandemic, to the preparation of the </w:t>
      </w:r>
      <w:r w:rsidRPr="00E258B0">
        <w:rPr>
          <w:i/>
          <w:iCs/>
        </w:rPr>
        <w:t>Gladue</w:t>
      </w:r>
      <w:r w:rsidRPr="00E258B0">
        <w:t xml:space="preserve"> report and to the mechanical breakdown of the airplane were beyond the state</w:t>
      </w:r>
      <w:r>
        <w:t>’</w:t>
      </w:r>
      <w:r w:rsidRPr="00E258B0">
        <w:t>s control.</w:t>
      </w:r>
      <w:r>
        <w:rPr>
          <w:rStyle w:val="Appelnotedebasdep"/>
        </w:rPr>
        <w:footnoteReference w:id="36"/>
      </w:r>
    </w:p>
    <w:p w14:paraId="4C9123EC" w14:textId="77777777" w:rsidR="00AB7D93" w:rsidRPr="00E258B0" w:rsidRDefault="00AB7D93" w:rsidP="00671B7D">
      <w:pPr>
        <w:pStyle w:val="Paragraphe"/>
        <w:numPr>
          <w:ilvl w:val="0"/>
          <w:numId w:val="0"/>
        </w:numPr>
        <w:spacing w:before="240" w:after="180" w:line="280" w:lineRule="exact"/>
        <w:jc w:val="center"/>
      </w:pPr>
      <w:r w:rsidRPr="00E258B0">
        <w:t>***</w:t>
      </w:r>
    </w:p>
    <w:p w14:paraId="771BE581" w14:textId="77777777" w:rsidR="00AB7D93" w:rsidRPr="00BD5145" w:rsidRDefault="00AB7D93" w:rsidP="00D322F3">
      <w:pPr>
        <w:pStyle w:val="Paragraphe"/>
        <w:spacing w:line="280" w:lineRule="exact"/>
      </w:pPr>
      <w:r w:rsidRPr="00E258B0">
        <w:lastRenderedPageBreak/>
        <w:t xml:space="preserve">The </w:t>
      </w:r>
      <w:r>
        <w:t>“</w:t>
      </w:r>
      <w:r w:rsidRPr="00E258B0">
        <w:t>flexible and modulated</w:t>
      </w:r>
      <w:r>
        <w:t>”</w:t>
      </w:r>
      <w:r w:rsidRPr="00E258B0">
        <w:t xml:space="preserve"> approach to be applied to post</w:t>
      </w:r>
      <w:r>
        <w:noBreakHyphen/>
      </w:r>
      <w:r w:rsidRPr="00E258B0">
        <w:t>conviction delays does not obviate the need to characterize the delays. Moreover, the analysis is ultimately governed by the principle of diligence.</w:t>
      </w:r>
      <w:r>
        <w:rPr>
          <w:rStyle w:val="Appelnotedebasdep"/>
        </w:rPr>
        <w:footnoteReference w:id="37"/>
      </w:r>
    </w:p>
    <w:p w14:paraId="04407EBA" w14:textId="77777777" w:rsidR="00AB7D93" w:rsidRPr="00BD5145" w:rsidRDefault="00AB7D93" w:rsidP="00D322F3">
      <w:pPr>
        <w:pStyle w:val="Paragraphe"/>
        <w:spacing w:line="280" w:lineRule="exact"/>
      </w:pPr>
      <w:r w:rsidRPr="00E258B0">
        <w:t xml:space="preserve">It is therefore appropriate to focus first on the disputed characterizations and then examine </w:t>
      </w:r>
      <w:proofErr w:type="gramStart"/>
      <w:r w:rsidRPr="00E258B0">
        <w:t>whether or not</w:t>
      </w:r>
      <w:proofErr w:type="gramEnd"/>
      <w:r w:rsidRPr="00E258B0">
        <w:t xml:space="preserve"> the appellant acted diligently. This global examination will determine whether the judge erred in dismissing the motion alleging unreasonable post</w:t>
      </w:r>
      <w:r>
        <w:noBreakHyphen/>
      </w:r>
      <w:r w:rsidRPr="00E258B0">
        <w:t>conviction delay.</w:t>
      </w:r>
    </w:p>
    <w:p w14:paraId="394A5899" w14:textId="77777777" w:rsidR="00AB7D93" w:rsidRPr="00E258B0" w:rsidRDefault="00AB7D93" w:rsidP="00671B7D">
      <w:pPr>
        <w:pStyle w:val="Paragraphe"/>
        <w:numPr>
          <w:ilvl w:val="0"/>
          <w:numId w:val="0"/>
        </w:numPr>
        <w:spacing w:before="240" w:after="180" w:line="280" w:lineRule="exact"/>
        <w:jc w:val="center"/>
      </w:pPr>
      <w:r w:rsidRPr="00E258B0">
        <w:t>***</w:t>
      </w:r>
    </w:p>
    <w:p w14:paraId="7435B3CE" w14:textId="77777777" w:rsidR="00AB7D93" w:rsidRPr="00BD5145" w:rsidRDefault="00AB7D93" w:rsidP="00D322F3">
      <w:pPr>
        <w:pStyle w:val="Paragraphe"/>
        <w:spacing w:line="280" w:lineRule="exact"/>
      </w:pPr>
      <w:r w:rsidRPr="00E258B0">
        <w:t xml:space="preserve">The appellant criticizes the judge for placing too much emphasis on the effects of the pandemic to justify the accumulation of delays in the preparation of </w:t>
      </w:r>
      <w:r w:rsidRPr="00E258B0">
        <w:rPr>
          <w:i/>
          <w:iCs/>
        </w:rPr>
        <w:t>Gladue</w:t>
      </w:r>
      <w:r w:rsidRPr="00E258B0">
        <w:t xml:space="preserve"> reports, claiming that there was insufficient evidence in this regard.</w:t>
      </w:r>
    </w:p>
    <w:p w14:paraId="4B3FD7F4" w14:textId="77777777" w:rsidR="00AB7D93" w:rsidRPr="00BD5145" w:rsidRDefault="00AB7D93" w:rsidP="00D322F3">
      <w:pPr>
        <w:pStyle w:val="Paragraphe"/>
        <w:spacing w:line="280" w:lineRule="exact"/>
      </w:pPr>
      <w:r w:rsidRPr="00E258B0">
        <w:t>He does not question the judge</w:t>
      </w:r>
      <w:r>
        <w:t>’</w:t>
      </w:r>
      <w:r w:rsidRPr="00E258B0">
        <w:t>s conclusion that pandemic</w:t>
      </w:r>
      <w:r>
        <w:noBreakHyphen/>
      </w:r>
      <w:r w:rsidRPr="00E258B0">
        <w:t xml:space="preserve">related sanitary measures were in effect in Nunavik intermittently from 2020 to 2022 and that they hampered the work of the </w:t>
      </w:r>
      <w:r w:rsidRPr="00E258B0">
        <w:rPr>
          <w:i/>
          <w:iCs/>
        </w:rPr>
        <w:t>Gladue</w:t>
      </w:r>
      <w:r w:rsidRPr="00E258B0">
        <w:t xml:space="preserve"> report writers. He also agrees that the pandemic constitutes an exceptional circumstance within the meaning of the ruling in </w:t>
      </w:r>
      <w:r w:rsidRPr="00E258B0">
        <w:rPr>
          <w:i/>
          <w:iCs/>
        </w:rPr>
        <w:t>Jordan</w:t>
      </w:r>
      <w:r w:rsidRPr="00E258B0">
        <w:t>.</w:t>
      </w:r>
      <w:r>
        <w:rPr>
          <w:rStyle w:val="Appelnotedebasdep"/>
          <w:sz w:val="22"/>
          <w:szCs w:val="22"/>
        </w:rPr>
        <w:footnoteReference w:id="38"/>
      </w:r>
      <w:r w:rsidRPr="00E258B0">
        <w:rPr>
          <w:i/>
          <w:iCs/>
        </w:rPr>
        <w:t xml:space="preserve"> </w:t>
      </w:r>
      <w:r w:rsidRPr="00E258B0">
        <w:t>In his opinion, however, the pandemic could not excuse the shortage of report writers.</w:t>
      </w:r>
    </w:p>
    <w:p w14:paraId="6B4C77B1" w14:textId="77777777" w:rsidR="00AB7D93" w:rsidRPr="00BD5145" w:rsidRDefault="00AB7D93" w:rsidP="00D322F3">
      <w:pPr>
        <w:pStyle w:val="Paragraphe"/>
        <w:spacing w:line="280" w:lineRule="exact"/>
      </w:pPr>
      <w:r w:rsidRPr="00E258B0">
        <w:t>The respondent retorts that the state could not have anticipated the pandemic and its repercussions.</w:t>
      </w:r>
    </w:p>
    <w:p w14:paraId="6F98A926" w14:textId="77777777" w:rsidR="00AB7D93" w:rsidRPr="00BD5145" w:rsidRDefault="00AB7D93" w:rsidP="00D322F3">
      <w:pPr>
        <w:pStyle w:val="Paragraphe"/>
        <w:spacing w:line="280" w:lineRule="exact"/>
      </w:pPr>
      <w:r w:rsidRPr="00E258B0">
        <w:t xml:space="preserve">I </w:t>
      </w:r>
      <w:r>
        <w:t xml:space="preserve">realize </w:t>
      </w:r>
      <w:r w:rsidRPr="00E258B0">
        <w:t xml:space="preserve">that the difficulties caused by the pandemic exacerbated the delays for the preparation of </w:t>
      </w:r>
      <w:r w:rsidRPr="00E258B0">
        <w:rPr>
          <w:i/>
          <w:iCs/>
        </w:rPr>
        <w:t>Gladue</w:t>
      </w:r>
      <w:r w:rsidRPr="00E258B0">
        <w:t xml:space="preserve"> reports in Nunavik. The state, however, must take proactive measures to avoid extending the repercussions of an unforeseeable circumstance over time, failing which it may become inappropriate to subtract the delays caused by that circumstance.</w:t>
      </w:r>
      <w:r>
        <w:rPr>
          <w:rStyle w:val="Appelnotedebasdep"/>
        </w:rPr>
        <w:footnoteReference w:id="39"/>
      </w:r>
    </w:p>
    <w:p w14:paraId="4E9E0DB7" w14:textId="77777777" w:rsidR="00AB7D93" w:rsidRPr="00BD5145" w:rsidRDefault="00AB7D93" w:rsidP="00D322F3">
      <w:pPr>
        <w:pStyle w:val="Paragraphe"/>
        <w:spacing w:line="280" w:lineRule="exact"/>
        <w:rPr>
          <w:szCs w:val="24"/>
        </w:rPr>
      </w:pPr>
      <w:r w:rsidRPr="00E258B0">
        <w:rPr>
          <w:szCs w:val="24"/>
        </w:rPr>
        <w:t xml:space="preserve">In </w:t>
      </w:r>
      <w:r w:rsidRPr="00D322F3">
        <w:t>the</w:t>
      </w:r>
      <w:r w:rsidRPr="00E258B0">
        <w:rPr>
          <w:szCs w:val="24"/>
        </w:rPr>
        <w:t xml:space="preserve"> case at bar, the preparation of the </w:t>
      </w:r>
      <w:r w:rsidRPr="00E258B0">
        <w:rPr>
          <w:i/>
          <w:iCs/>
          <w:szCs w:val="24"/>
        </w:rPr>
        <w:t>Gladue</w:t>
      </w:r>
      <w:r w:rsidRPr="00E258B0">
        <w:rPr>
          <w:szCs w:val="24"/>
        </w:rPr>
        <w:t xml:space="preserve"> report was entrusted to </w:t>
      </w:r>
      <w:proofErr w:type="spellStart"/>
      <w:r w:rsidRPr="00E258B0">
        <w:rPr>
          <w:szCs w:val="24"/>
        </w:rPr>
        <w:t>Makivik</w:t>
      </w:r>
      <w:proofErr w:type="spellEnd"/>
      <w:r w:rsidRPr="00E258B0">
        <w:rPr>
          <w:szCs w:val="24"/>
        </w:rPr>
        <w:t xml:space="preserve"> on August</w:t>
      </w:r>
      <w:r>
        <w:rPr>
          <w:szCs w:val="24"/>
        </w:rPr>
        <w:t> </w:t>
      </w:r>
      <w:r w:rsidRPr="00E258B0">
        <w:rPr>
          <w:szCs w:val="24"/>
        </w:rPr>
        <w:t>19, 2021, and the report was sent to the parties 14 months later, on October</w:t>
      </w:r>
      <w:r>
        <w:rPr>
          <w:szCs w:val="24"/>
        </w:rPr>
        <w:t> </w:t>
      </w:r>
      <w:r w:rsidRPr="00E258B0">
        <w:rPr>
          <w:szCs w:val="24"/>
        </w:rPr>
        <w:t>19, 2022.</w:t>
      </w:r>
    </w:p>
    <w:p w14:paraId="20810983" w14:textId="0035699F" w:rsidR="00AB7D93" w:rsidRPr="00BD5145" w:rsidRDefault="00AB7D93" w:rsidP="00D322F3">
      <w:pPr>
        <w:pStyle w:val="Paragraphe"/>
        <w:spacing w:line="280" w:lineRule="exact"/>
      </w:pPr>
      <w:r w:rsidRPr="00E258B0">
        <w:t>Ms.</w:t>
      </w:r>
      <w:r>
        <w:t> </w:t>
      </w:r>
      <w:r w:rsidRPr="00E258B0">
        <w:t xml:space="preserve">St-Louis, however, had been complaining since 2019 about the lack of </w:t>
      </w:r>
      <w:r w:rsidRPr="00E258B0">
        <w:rPr>
          <w:i/>
          <w:iCs/>
        </w:rPr>
        <w:t>Gladue</w:t>
      </w:r>
      <w:r w:rsidR="00055CE7">
        <w:t> </w:t>
      </w:r>
      <w:r w:rsidRPr="00E258B0">
        <w:t>report writers.</w:t>
      </w:r>
      <w:r>
        <w:rPr>
          <w:rStyle w:val="Appelnotedebasdep"/>
        </w:rPr>
        <w:footnoteReference w:id="40"/>
      </w:r>
      <w:r w:rsidRPr="00E258B0">
        <w:t xml:space="preserve"> When testifying, she mentioned that employee retention and </w:t>
      </w:r>
      <w:r w:rsidRPr="00E258B0">
        <w:lastRenderedPageBreak/>
        <w:t xml:space="preserve">recruitment at </w:t>
      </w:r>
      <w:proofErr w:type="spellStart"/>
      <w:r w:rsidRPr="00E258B0">
        <w:t>Makivik</w:t>
      </w:r>
      <w:proofErr w:type="spellEnd"/>
      <w:r w:rsidRPr="00E258B0">
        <w:t xml:space="preserve"> had been persistent problems for about three to four years, well before the pandemic.</w:t>
      </w:r>
      <w:r>
        <w:rPr>
          <w:rStyle w:val="Appelnotedebasdep"/>
        </w:rPr>
        <w:footnoteReference w:id="41"/>
      </w:r>
    </w:p>
    <w:p w14:paraId="1156ACE0" w14:textId="45035C19" w:rsidR="00AB7D93" w:rsidRPr="00BD5145" w:rsidRDefault="00AB7D93" w:rsidP="00D322F3">
      <w:pPr>
        <w:pStyle w:val="Paragraphe"/>
        <w:spacing w:line="280" w:lineRule="exact"/>
      </w:pPr>
      <w:proofErr w:type="gramStart"/>
      <w:r w:rsidRPr="00E258B0">
        <w:t>In spite of</w:t>
      </w:r>
      <w:proofErr w:type="gramEnd"/>
      <w:r w:rsidRPr="00E258B0">
        <w:t xml:space="preserve"> this, </w:t>
      </w:r>
      <w:proofErr w:type="spellStart"/>
      <w:r w:rsidRPr="00E258B0">
        <w:t>Makivik</w:t>
      </w:r>
      <w:proofErr w:type="spellEnd"/>
      <w:r w:rsidRPr="00E258B0">
        <w:t xml:space="preserve"> stuck to its method for producing </w:t>
      </w:r>
      <w:r w:rsidRPr="00E258B0">
        <w:rPr>
          <w:i/>
          <w:iCs/>
        </w:rPr>
        <w:t>Gladue</w:t>
      </w:r>
      <w:r w:rsidRPr="00E258B0">
        <w:t xml:space="preserve"> reports, favouring having report writers travel to gather information, given the nature of the cases (sexual</w:t>
      </w:r>
      <w:r w:rsidR="00055CE7">
        <w:t> </w:t>
      </w:r>
      <w:r w:rsidRPr="00E258B0">
        <w:t xml:space="preserve">matters), notwithstanding that videoconferencing technologies had long been used by other organizations in charge of preparing </w:t>
      </w:r>
      <w:r w:rsidRPr="00E258B0">
        <w:rPr>
          <w:i/>
          <w:iCs/>
        </w:rPr>
        <w:t>Gladue</w:t>
      </w:r>
      <w:r w:rsidRPr="00E258B0">
        <w:t xml:space="preserve"> reports.</w:t>
      </w:r>
      <w:r>
        <w:rPr>
          <w:rStyle w:val="Appelnotedebasdep"/>
        </w:rPr>
        <w:footnoteReference w:id="42"/>
      </w:r>
    </w:p>
    <w:p w14:paraId="4532CF63" w14:textId="4642F796" w:rsidR="00AB7D93" w:rsidRPr="00BD5145" w:rsidRDefault="00AB7D93" w:rsidP="00D322F3">
      <w:pPr>
        <w:pStyle w:val="Paragraphe"/>
        <w:spacing w:line="280" w:lineRule="exact"/>
      </w:pPr>
      <w:r w:rsidRPr="00E258B0">
        <w:t xml:space="preserve">The judge and the parties also did not consider the possibility of asking </w:t>
      </w:r>
      <w:proofErr w:type="spellStart"/>
      <w:r w:rsidRPr="00E258B0">
        <w:t>Makivik</w:t>
      </w:r>
      <w:proofErr w:type="spellEnd"/>
      <w:r w:rsidRPr="00E258B0">
        <w:t xml:space="preserve"> to proceed by videoconference, even though they were aware of the restrictions on travel to Nunavik in December 2021 and January 2022.</w:t>
      </w:r>
      <w:r>
        <w:rPr>
          <w:rStyle w:val="Appelnotedebasdep"/>
        </w:rPr>
        <w:footnoteReference w:id="43"/>
      </w:r>
      <w:r w:rsidRPr="00E258B0">
        <w:t xml:space="preserve"> Nor was this option contemplated when the report writer developed symptoms of COVID</w:t>
      </w:r>
      <w:r>
        <w:noBreakHyphen/>
      </w:r>
      <w:r w:rsidRPr="00E258B0">
        <w:t>19 that prevented her from flying,</w:t>
      </w:r>
      <w:r>
        <w:rPr>
          <w:rStyle w:val="Appelnotedebasdep"/>
        </w:rPr>
        <w:footnoteReference w:id="44"/>
      </w:r>
      <w:r w:rsidRPr="00E258B0">
        <w:t xml:space="preserve"> or when hotel rooms were unavailable or there were staff shortages at </w:t>
      </w:r>
      <w:proofErr w:type="spellStart"/>
      <w:r w:rsidRPr="00E258B0">
        <w:t>Makivik</w:t>
      </w:r>
      <w:proofErr w:type="spellEnd"/>
      <w:r w:rsidRPr="00E258B0">
        <w:t>.</w:t>
      </w:r>
    </w:p>
    <w:p w14:paraId="494AE3C7" w14:textId="122110C2" w:rsidR="00AB7D93" w:rsidRPr="00BD5145" w:rsidRDefault="00AB7D93" w:rsidP="00D322F3">
      <w:pPr>
        <w:pStyle w:val="Paragraphe"/>
        <w:spacing w:line="280" w:lineRule="exact"/>
      </w:pPr>
      <w:proofErr w:type="gramStart"/>
      <w:r w:rsidRPr="00E258B0">
        <w:t>It is clear that all</w:t>
      </w:r>
      <w:proofErr w:type="gramEnd"/>
      <w:r w:rsidRPr="00E258B0">
        <w:t xml:space="preserve"> those involved failed to act proactively in order to adjust to the repercussions of the pandemic, and this was compounded by the report writer</w:t>
      </w:r>
      <w:r>
        <w:t>’</w:t>
      </w:r>
      <w:r w:rsidRPr="00E258B0">
        <w:t xml:space="preserve">s illness, the lack of hotel rooms in Nunavik and the general staff shortages at </w:t>
      </w:r>
      <w:proofErr w:type="spellStart"/>
      <w:r w:rsidRPr="00E258B0">
        <w:t>Makivik</w:t>
      </w:r>
      <w:proofErr w:type="spellEnd"/>
      <w:r w:rsidRPr="00E258B0">
        <w:t xml:space="preserve">. These events could, at least in part, have been reasonably avoided, and their characterization by the judge is therefore problematic. They should not have been analyzed in silos </w:t>
      </w:r>
      <w:proofErr w:type="gramStart"/>
      <w:r w:rsidRPr="00E258B0">
        <w:t>so as to</w:t>
      </w:r>
      <w:proofErr w:type="gramEnd"/>
      <w:r w:rsidRPr="00E258B0">
        <w:t xml:space="preserve"> sidestep the acknowledgement of a real </w:t>
      </w:r>
      <w:r>
        <w:t>“</w:t>
      </w:r>
      <w:r w:rsidRPr="00E258B0">
        <w:t>culture of complacency</w:t>
      </w:r>
      <w:r>
        <w:t>”</w:t>
      </w:r>
      <w:r w:rsidRPr="00E258B0">
        <w:t xml:space="preserve"> problem in the appellant</w:t>
      </w:r>
      <w:r>
        <w:t>’</w:t>
      </w:r>
      <w:r w:rsidRPr="00E258B0">
        <w:t>s sentencing process.</w:t>
      </w:r>
      <w:r>
        <w:rPr>
          <w:rStyle w:val="Appelnotedebasdep"/>
        </w:rPr>
        <w:footnoteReference w:id="45"/>
      </w:r>
    </w:p>
    <w:p w14:paraId="591128D3" w14:textId="198C9F19" w:rsidR="00AB7D93" w:rsidRPr="00BD5145" w:rsidRDefault="00AB7D93" w:rsidP="00D322F3">
      <w:pPr>
        <w:pStyle w:val="Paragraphe"/>
        <w:spacing w:line="280" w:lineRule="exact"/>
      </w:pPr>
      <w:r w:rsidRPr="00E258B0">
        <w:t>In this sense, an exceptional circumstance such as the pandemic can take on a systemic dimension if no one adopts significant measures to remedy it.</w:t>
      </w:r>
      <w:r>
        <w:rPr>
          <w:rStyle w:val="Appelnotedebasdep"/>
        </w:rPr>
        <w:footnoteReference w:id="46"/>
      </w:r>
      <w:r w:rsidRPr="00E258B0">
        <w:t xml:space="preserve"> This was the case here, as by the time </w:t>
      </w:r>
      <w:proofErr w:type="spellStart"/>
      <w:r w:rsidRPr="00E258B0">
        <w:t>Makivik</w:t>
      </w:r>
      <w:proofErr w:type="spellEnd"/>
      <w:r w:rsidRPr="00E258B0">
        <w:t xml:space="preserve"> received the request to prepare a </w:t>
      </w:r>
      <w:r w:rsidRPr="00E258B0">
        <w:rPr>
          <w:i/>
          <w:iCs/>
        </w:rPr>
        <w:t>Gladue</w:t>
      </w:r>
      <w:r w:rsidRPr="00E258B0">
        <w:t xml:space="preserve"> report in the appellant</w:t>
      </w:r>
      <w:r>
        <w:t>’</w:t>
      </w:r>
      <w:r w:rsidRPr="00E258B0">
        <w:t>s file in August 2021, the pandemic and associated health measures had been a reality in Nunavik for almost a year and a half.</w:t>
      </w:r>
    </w:p>
    <w:p w14:paraId="02581733" w14:textId="77777777" w:rsidR="00AB7D93" w:rsidRPr="00BD5145" w:rsidRDefault="00AB7D93" w:rsidP="00D322F3">
      <w:pPr>
        <w:pStyle w:val="Paragraphe"/>
        <w:spacing w:line="280" w:lineRule="exact"/>
      </w:pPr>
      <w:r w:rsidRPr="00E258B0">
        <w:t>Despite this, none of the justice system participants expressed any real concerns during the numerous adjournments in the case. They adopted a wait</w:t>
      </w:r>
      <w:r>
        <w:noBreakHyphen/>
      </w:r>
      <w:r w:rsidRPr="00E258B0">
        <w:t>and</w:t>
      </w:r>
      <w:r>
        <w:noBreakHyphen/>
      </w:r>
      <w:r w:rsidRPr="00E258B0">
        <w:t xml:space="preserve">see attitude </w:t>
      </w:r>
      <w:r w:rsidRPr="00E258B0">
        <w:lastRenderedPageBreak/>
        <w:t xml:space="preserve">rather than explore possible adjustments or alternative solutions, and this lack of proactivity also involved the defence, as the judge noted. I do not, however, agree with her allusion to the fact that the appellant could have proceeded without the </w:t>
      </w:r>
      <w:r w:rsidRPr="00E258B0">
        <w:rPr>
          <w:i/>
          <w:iCs/>
        </w:rPr>
        <w:t>Gladue</w:t>
      </w:r>
      <w:r w:rsidRPr="00E258B0">
        <w:t xml:space="preserve"> report and </w:t>
      </w:r>
      <w:r>
        <w:t xml:space="preserve">could have </w:t>
      </w:r>
      <w:r w:rsidRPr="00E258B0">
        <w:t>relied, instead, on other documentary evidence or on testimonial evidence.</w:t>
      </w:r>
      <w:r>
        <w:rPr>
          <w:rStyle w:val="Appelnotedebasdep"/>
        </w:rPr>
        <w:footnoteReference w:id="47"/>
      </w:r>
    </w:p>
    <w:p w14:paraId="087EAC43" w14:textId="528EB532" w:rsidR="00AB7D93" w:rsidRPr="00BD5145" w:rsidRDefault="00AB7D93" w:rsidP="00D322F3">
      <w:pPr>
        <w:pStyle w:val="Paragraphe"/>
        <w:spacing w:line="280" w:lineRule="exact"/>
      </w:pPr>
      <w:r w:rsidRPr="00E258B0">
        <w:t xml:space="preserve">In the present case – contrary to </w:t>
      </w:r>
      <w:proofErr w:type="spellStart"/>
      <w:r w:rsidRPr="00E258B0">
        <w:rPr>
          <w:i/>
          <w:iCs/>
        </w:rPr>
        <w:t>Aullaluk</w:t>
      </w:r>
      <w:proofErr w:type="spellEnd"/>
      <w:r w:rsidRPr="00E258B0">
        <w:t xml:space="preserve">, to which the judge referred – a </w:t>
      </w:r>
      <w:r w:rsidRPr="00E258B0">
        <w:rPr>
          <w:i/>
          <w:iCs/>
        </w:rPr>
        <w:t>Gladue</w:t>
      </w:r>
      <w:r w:rsidR="00055CE7">
        <w:t> </w:t>
      </w:r>
      <w:r w:rsidRPr="00E258B0">
        <w:t>report had already been ordered by one of the judge</w:t>
      </w:r>
      <w:r>
        <w:t>’</w:t>
      </w:r>
      <w:r w:rsidRPr="00E258B0">
        <w:t>s colleagues, who had considered that a written report was the appropriate tool to give effect to s.</w:t>
      </w:r>
      <w:r>
        <w:t> </w:t>
      </w:r>
      <w:r w:rsidRPr="00E258B0">
        <w:t>718.2(</w:t>
      </w:r>
      <w:r w:rsidRPr="00C4675E">
        <w:rPr>
          <w:i/>
          <w:iCs/>
        </w:rPr>
        <w:t>e</w:t>
      </w:r>
      <w:r w:rsidRPr="00E258B0">
        <w:t>)</w:t>
      </w:r>
      <w:r>
        <w:t> </w:t>
      </w:r>
      <w:proofErr w:type="spellStart"/>
      <w:r w:rsidRPr="00E258B0">
        <w:rPr>
          <w:i/>
          <w:iCs/>
        </w:rPr>
        <w:t>Cr.C</w:t>
      </w:r>
      <w:proofErr w:type="spellEnd"/>
      <w:r w:rsidRPr="00E258B0">
        <w:rPr>
          <w:i/>
          <w:iCs/>
        </w:rPr>
        <w:t>.</w:t>
      </w:r>
    </w:p>
    <w:p w14:paraId="7EA34AAC" w14:textId="7B147CA9" w:rsidR="00AB7D93" w:rsidRPr="00BD5145" w:rsidRDefault="00AB7D93" w:rsidP="00D322F3">
      <w:pPr>
        <w:pStyle w:val="Paragraphe"/>
        <w:spacing w:line="280" w:lineRule="exact"/>
      </w:pPr>
      <w:r w:rsidRPr="00E258B0">
        <w:t>I am also of the view that she erred in reproaching the defence for not being able to change its schedule on one week</w:t>
      </w:r>
      <w:r>
        <w:t>’</w:t>
      </w:r>
      <w:r w:rsidRPr="00E258B0">
        <w:t>s notice in October 2022, following a postponement caused by a mechanical breakdown of the airplane and then by the Itinerant Court</w:t>
      </w:r>
      <w:r>
        <w:t>’</w:t>
      </w:r>
      <w:r w:rsidRPr="00E258B0">
        <w:t>s overloaded docket.</w:t>
      </w:r>
      <w:r>
        <w:rPr>
          <w:rStyle w:val="Appelnotedebasdep"/>
          <w:szCs w:val="24"/>
        </w:rPr>
        <w:footnoteReference w:id="48"/>
      </w:r>
    </w:p>
    <w:p w14:paraId="5974B27E" w14:textId="77777777" w:rsidR="00AB7D93" w:rsidRPr="00BD5145" w:rsidRDefault="00AB7D93" w:rsidP="00D322F3">
      <w:pPr>
        <w:pStyle w:val="Paragraphe"/>
        <w:spacing w:line="280" w:lineRule="exact"/>
      </w:pPr>
      <w:r w:rsidRPr="00E258B0">
        <w:t>Although a delay resulting from defence counsel</w:t>
      </w:r>
      <w:r>
        <w:t>’</w:t>
      </w:r>
      <w:r w:rsidRPr="00E258B0">
        <w:t>s unavailability can be attributed to the defence,</w:t>
      </w:r>
      <w:r>
        <w:rPr>
          <w:rStyle w:val="Appelnotedebasdep"/>
        </w:rPr>
        <w:footnoteReference w:id="49"/>
      </w:r>
      <w:r w:rsidRPr="00E258B0">
        <w:t xml:space="preserve"> [</w:t>
      </w:r>
      <w:r w:rsidRPr="0097549F">
        <w:rPr>
          <w:smallCaps/>
        </w:rPr>
        <w:t>translation</w:t>
      </w:r>
      <w:r w:rsidRPr="00E258B0">
        <w:t xml:space="preserve">] </w:t>
      </w:r>
      <w:r>
        <w:t>“</w:t>
      </w:r>
      <w:r w:rsidRPr="00E258B0">
        <w:t>in no case should counsel be strictly limited from engaging in other matters that reduce their availability</w:t>
      </w:r>
      <w:r>
        <w:t>”</w:t>
      </w:r>
      <w:r w:rsidRPr="00E258B0">
        <w:t>.</w:t>
      </w:r>
      <w:r>
        <w:rPr>
          <w:rStyle w:val="Appelnotedebasdep"/>
          <w:rFonts w:cs="Arial"/>
          <w:color w:val="000000"/>
        </w:rPr>
        <w:footnoteReference w:id="50"/>
      </w:r>
      <w:r w:rsidRPr="00E258B0">
        <w:t xml:space="preserve"> This is </w:t>
      </w:r>
      <w:proofErr w:type="gramStart"/>
      <w:r w:rsidRPr="00E258B0">
        <w:t>all the more</w:t>
      </w:r>
      <w:proofErr w:type="gramEnd"/>
      <w:r w:rsidRPr="00E258B0">
        <w:t xml:space="preserve"> so given that the proposed date gave only one week</w:t>
      </w:r>
      <w:r>
        <w:t>’</w:t>
      </w:r>
      <w:r w:rsidRPr="00E258B0">
        <w:t>s notice of the Itinerant Court</w:t>
      </w:r>
      <w:r>
        <w:t>’</w:t>
      </w:r>
      <w:r w:rsidRPr="00E258B0">
        <w:t>s circuit. The judge</w:t>
      </w:r>
      <w:r>
        <w:t>’</w:t>
      </w:r>
      <w:r w:rsidRPr="00E258B0">
        <w:t>s criticism was unfounded. Like the appellant, I am of the view that the infrequent sittings of the Itinerant Court and the overcrowding of the docket at the Kuujjuaq point of service also played a role in the delays.</w:t>
      </w:r>
    </w:p>
    <w:p w14:paraId="6CF06CCE" w14:textId="77777777" w:rsidR="00AB7D93" w:rsidRPr="00BD5145" w:rsidRDefault="00AB7D93" w:rsidP="00D322F3">
      <w:pPr>
        <w:pStyle w:val="Paragraphe"/>
        <w:spacing w:line="280" w:lineRule="exact"/>
      </w:pPr>
      <w:r w:rsidRPr="00E258B0">
        <w:t>For these reasons, the judge could not characterize the entire 14</w:t>
      </w:r>
      <w:r>
        <w:noBreakHyphen/>
      </w:r>
      <w:r w:rsidRPr="00E258B0">
        <w:t xml:space="preserve">month period related to the preparation of the </w:t>
      </w:r>
      <w:r w:rsidRPr="00E258B0">
        <w:rPr>
          <w:i/>
          <w:iCs/>
        </w:rPr>
        <w:t>Gladue</w:t>
      </w:r>
      <w:r w:rsidRPr="00E258B0">
        <w:t xml:space="preserve"> report as an exceptional circumstance, even if such circumstances did arise during this period.</w:t>
      </w:r>
    </w:p>
    <w:p w14:paraId="5E8AFD4A" w14:textId="77777777" w:rsidR="00AB7D93" w:rsidRPr="00BD5145" w:rsidRDefault="00AB7D93" w:rsidP="00D322F3">
      <w:pPr>
        <w:pStyle w:val="Paragraphe"/>
        <w:spacing w:line="280" w:lineRule="exact"/>
      </w:pPr>
      <w:r w:rsidRPr="00E258B0">
        <w:t>Nevertheless, it is important not to lose sight of the forest for the trees by isolating the various causes of delay from one another.</w:t>
      </w:r>
      <w:r>
        <w:rPr>
          <w:rStyle w:val="Appelnotedebasdep"/>
        </w:rPr>
        <w:footnoteReference w:id="51"/>
      </w:r>
      <w:r w:rsidRPr="00E258B0">
        <w:t xml:space="preserve"> A </w:t>
      </w:r>
      <w:r>
        <w:t>“</w:t>
      </w:r>
      <w:r w:rsidRPr="00E258B0">
        <w:t>flexible and modulated</w:t>
      </w:r>
      <w:r>
        <w:t>”</w:t>
      </w:r>
      <w:r w:rsidRPr="00E258B0">
        <w:t xml:space="preserve"> approach requires a general and contextual view that keeps in mind the requirements of the diligence principle.</w:t>
      </w:r>
      <w:r>
        <w:rPr>
          <w:rStyle w:val="Appelnotedebasdep"/>
        </w:rPr>
        <w:footnoteReference w:id="52"/>
      </w:r>
      <w:r w:rsidRPr="00E258B0">
        <w:t xml:space="preserve"> In </w:t>
      </w:r>
      <w:r w:rsidRPr="00E258B0">
        <w:rPr>
          <w:i/>
          <w:iCs/>
        </w:rPr>
        <w:t>Giroux</w:t>
      </w:r>
      <w:r w:rsidRPr="00E258B0">
        <w:t xml:space="preserve">, in reasons written by </w:t>
      </w:r>
      <w:proofErr w:type="spellStart"/>
      <w:r w:rsidRPr="00E258B0">
        <w:t>Vauclair</w:t>
      </w:r>
      <w:proofErr w:type="spellEnd"/>
      <w:r w:rsidRPr="00E258B0">
        <w:t>, J.A., the Court noted that lack of diligence [</w:t>
      </w:r>
      <w:r w:rsidRPr="0097549F">
        <w:rPr>
          <w:smallCaps/>
        </w:rPr>
        <w:t>translation</w:t>
      </w:r>
      <w:r w:rsidRPr="00E258B0">
        <w:t xml:space="preserve">] </w:t>
      </w:r>
      <w:r>
        <w:t>“</w:t>
      </w:r>
      <w:r w:rsidRPr="00E258B0">
        <w:t>may be evidence of a marked indifference to delays</w:t>
      </w:r>
      <w:r>
        <w:t>”</w:t>
      </w:r>
      <w:r w:rsidRPr="00E258B0">
        <w:t>.</w:t>
      </w:r>
      <w:r>
        <w:rPr>
          <w:rStyle w:val="Appelnotedebasdep"/>
        </w:rPr>
        <w:footnoteReference w:id="53"/>
      </w:r>
    </w:p>
    <w:p w14:paraId="1523F3CD" w14:textId="77777777" w:rsidR="00AB7D93" w:rsidRPr="00BD5145" w:rsidRDefault="00AB7D93" w:rsidP="00D322F3">
      <w:pPr>
        <w:pStyle w:val="Paragraphe"/>
        <w:spacing w:line="280" w:lineRule="exact"/>
      </w:pPr>
      <w:r w:rsidRPr="00E258B0">
        <w:lastRenderedPageBreak/>
        <w:t>In the case at bar, the appellant waited almost 14 months before raising the issue of the constitutionality of the delays in the handling of his case, and he waited a further two months before filing his motion.</w:t>
      </w:r>
    </w:p>
    <w:p w14:paraId="1F4CB2E0" w14:textId="77777777" w:rsidR="00AB7D93" w:rsidRPr="00BD5145" w:rsidRDefault="00AB7D93" w:rsidP="00D322F3">
      <w:pPr>
        <w:pStyle w:val="Paragraphe"/>
        <w:spacing w:line="280" w:lineRule="exact"/>
      </w:pPr>
      <w:r w:rsidRPr="00E258B0">
        <w:t>More specifically, when he pleaded guilty on August 19, 2021, he acquiesced to the postponement of the sentencing hearing until February 3, 2022.</w:t>
      </w:r>
      <w:r>
        <w:rPr>
          <w:rStyle w:val="Appelnotedebasdep"/>
        </w:rPr>
        <w:footnoteReference w:id="54"/>
      </w:r>
      <w:r w:rsidRPr="00E258B0">
        <w:t xml:space="preserve"> On that date, the matter was postponed to July 22, 2022</w:t>
      </w:r>
      <w:r>
        <w:t>,</w:t>
      </w:r>
      <w:r w:rsidRPr="00E258B0">
        <w:t xml:space="preserve"> because only the pre-sentence report was ready and </w:t>
      </w:r>
      <w:proofErr w:type="spellStart"/>
      <w:r w:rsidRPr="00E258B0">
        <w:t>Makivik</w:t>
      </w:r>
      <w:proofErr w:type="spellEnd"/>
      <w:r w:rsidRPr="00E258B0">
        <w:t xml:space="preserve"> was behind in preparing </w:t>
      </w:r>
      <w:r w:rsidRPr="00E258B0">
        <w:rPr>
          <w:i/>
          <w:iCs/>
        </w:rPr>
        <w:t>Gladue</w:t>
      </w:r>
      <w:r w:rsidRPr="00E258B0">
        <w:t xml:space="preserve"> reports. At that time, the appellant raised no concerns about delays,</w:t>
      </w:r>
      <w:r>
        <w:rPr>
          <w:rStyle w:val="Appelnotedebasdep"/>
        </w:rPr>
        <w:footnoteReference w:id="55"/>
      </w:r>
      <w:r w:rsidRPr="00E258B0">
        <w:t xml:space="preserve"> and the same was true when the entire July 18, </w:t>
      </w:r>
      <w:proofErr w:type="gramStart"/>
      <w:r w:rsidRPr="00E258B0">
        <w:t>2022</w:t>
      </w:r>
      <w:proofErr w:type="gramEnd"/>
      <w:r w:rsidRPr="00E258B0">
        <w:t xml:space="preserve"> hearing week in Kuujjuaq was cancelled due to a lack of judicial resources and the case was continued to September 13, 2022.</w:t>
      </w:r>
      <w:r>
        <w:rPr>
          <w:rStyle w:val="Appelnotedebasdep"/>
        </w:rPr>
        <w:footnoteReference w:id="56"/>
      </w:r>
    </w:p>
    <w:p w14:paraId="5C770614" w14:textId="4BAEB7EF" w:rsidR="00AB7D93" w:rsidRPr="00BD5145" w:rsidRDefault="00AB7D93" w:rsidP="00D322F3">
      <w:pPr>
        <w:pStyle w:val="Paragraphe"/>
        <w:spacing w:line="280" w:lineRule="exact"/>
      </w:pPr>
      <w:r w:rsidRPr="00E258B0">
        <w:t xml:space="preserve">The </w:t>
      </w:r>
      <w:r w:rsidRPr="00E258B0">
        <w:rPr>
          <w:i/>
          <w:iCs/>
        </w:rPr>
        <w:t xml:space="preserve">Gladue </w:t>
      </w:r>
      <w:r w:rsidRPr="00E258B0">
        <w:t>report was not ready on September 13, 2022, and the hearing was postponed once more until October 24, 2022, again with the consent of the defence.</w:t>
      </w:r>
      <w:r>
        <w:rPr>
          <w:rStyle w:val="Appelnotedebasdep"/>
          <w:lang w:eastAsia="fr-CA"/>
        </w:rPr>
        <w:footnoteReference w:id="57"/>
      </w:r>
      <w:r w:rsidRPr="00E258B0">
        <w:t xml:space="preserve"> On the latter date, the hearings in Kuujjuaq began several hours late due to a mechanical problem with an airplane, and it was at this point that the defence announced, for the first time, its intention to file an application for a stay of proceedings for breach of the appellant</w:t>
      </w:r>
      <w:r>
        <w:t>’</w:t>
      </w:r>
      <w:r w:rsidRPr="00E258B0">
        <w:t>s right to be tried within a reasonable time, following through on that intention two months later.</w:t>
      </w:r>
    </w:p>
    <w:p w14:paraId="5D310AC6" w14:textId="77777777" w:rsidR="00AB7D93" w:rsidRPr="00BD5145" w:rsidRDefault="00AB7D93" w:rsidP="00D322F3">
      <w:pPr>
        <w:pStyle w:val="Paragraphe"/>
        <w:spacing w:line="280" w:lineRule="exact"/>
      </w:pPr>
      <w:r w:rsidRPr="00E258B0">
        <w:t>Although the defence</w:t>
      </w:r>
      <w:r>
        <w:t>’</w:t>
      </w:r>
      <w:r w:rsidRPr="00E258B0">
        <w:t>s conduct does not necessarily constitute a waiver of this constitutional right,</w:t>
      </w:r>
      <w:r>
        <w:rPr>
          <w:rStyle w:val="Appelnotedebasdep"/>
        </w:rPr>
        <w:footnoteReference w:id="58"/>
      </w:r>
      <w:r w:rsidRPr="00E258B0">
        <w:t xml:space="preserve"> it remains relevant for determining the unreasonableness of the delays, notwithstanding that [</w:t>
      </w:r>
      <w:r w:rsidRPr="0097549F">
        <w:rPr>
          <w:smallCaps/>
        </w:rPr>
        <w:t>translation</w:t>
      </w:r>
      <w:r w:rsidRPr="00E258B0">
        <w:t xml:space="preserve">] </w:t>
      </w:r>
      <w:r>
        <w:t>“</w:t>
      </w:r>
      <w:r w:rsidRPr="00E258B0">
        <w:t xml:space="preserve">the Crown </w:t>
      </w:r>
      <w:r w:rsidRPr="00E258B0">
        <w:rPr>
          <w:i/>
          <w:iCs/>
        </w:rPr>
        <w:t>always</w:t>
      </w:r>
      <w:r w:rsidRPr="00E258B0">
        <w:t xml:space="preserve"> shares, with the defence, the responsibility for raising an issue concerning delay</w:t>
      </w:r>
      <w:r>
        <w:t>”</w:t>
      </w:r>
      <w:r w:rsidRPr="00E258B0">
        <w:t>.</w:t>
      </w:r>
      <w:r>
        <w:rPr>
          <w:rStyle w:val="Appelnotedebasdep"/>
        </w:rPr>
        <w:footnoteReference w:id="59"/>
      </w:r>
      <w:r w:rsidRPr="00E258B0">
        <w:t xml:space="preserve"> This principle has mainly been applied in the context of </w:t>
      </w:r>
      <w:r w:rsidRPr="00E258B0">
        <w:rPr>
          <w:i/>
          <w:iCs/>
        </w:rPr>
        <w:t>Jordan</w:t>
      </w:r>
      <w:r w:rsidRPr="00E258B0">
        <w:t xml:space="preserve"> motions relating to pre</w:t>
      </w:r>
      <w:r>
        <w:noBreakHyphen/>
      </w:r>
      <w:r w:rsidRPr="00E258B0">
        <w:t>conviction delays, but I consider it just as essential in the context of sentencing.</w:t>
      </w:r>
    </w:p>
    <w:p w14:paraId="3D774225" w14:textId="301402B1" w:rsidR="00AB7D93" w:rsidRPr="00BD5145" w:rsidRDefault="00AB7D93" w:rsidP="00D322F3">
      <w:pPr>
        <w:pStyle w:val="Paragraphe"/>
        <w:spacing w:line="280" w:lineRule="exact"/>
      </w:pPr>
      <w:r w:rsidRPr="00E258B0">
        <w:t>In the present case, I am of the view that the defence</w:t>
      </w:r>
      <w:r>
        <w:t>’</w:t>
      </w:r>
      <w:r w:rsidRPr="00E258B0">
        <w:t>s lack of diligence, at least until October 24, 2022, combined with the exceptional events that caused at least part of the delay, precluded the appellant</w:t>
      </w:r>
      <w:r>
        <w:t>’</w:t>
      </w:r>
      <w:r w:rsidRPr="00E258B0">
        <w:t xml:space="preserve">s motion. The consequence of his failure to express any concern in this regard is that he did not give the judicial system the opportunity to react, for example, by modifying the parameters for preparing or presenting the </w:t>
      </w:r>
      <w:r w:rsidRPr="00E258B0">
        <w:rPr>
          <w:i/>
          <w:iCs/>
        </w:rPr>
        <w:t>Gladue</w:t>
      </w:r>
      <w:r w:rsidR="00055CE7">
        <w:t> </w:t>
      </w:r>
      <w:r w:rsidRPr="00E258B0">
        <w:t>report or by giving priority to the hearing of his case.</w:t>
      </w:r>
    </w:p>
    <w:p w14:paraId="233154B8" w14:textId="77777777" w:rsidR="00AB7D93" w:rsidRPr="00BD5145" w:rsidRDefault="00AB7D93" w:rsidP="00D322F3">
      <w:pPr>
        <w:pStyle w:val="Paragraphe"/>
        <w:spacing w:line="280" w:lineRule="exact"/>
      </w:pPr>
      <w:r w:rsidRPr="00E258B0">
        <w:lastRenderedPageBreak/>
        <w:t>I would point out that s.</w:t>
      </w:r>
      <w:r>
        <w:t> </w:t>
      </w:r>
      <w:r w:rsidRPr="00E258B0">
        <w:t>720 </w:t>
      </w:r>
      <w:proofErr w:type="spellStart"/>
      <w:r w:rsidRPr="00E258B0">
        <w:rPr>
          <w:i/>
          <w:iCs/>
        </w:rPr>
        <w:t>Cr.C</w:t>
      </w:r>
      <w:proofErr w:type="spellEnd"/>
      <w:r w:rsidRPr="00E258B0">
        <w:rPr>
          <w:i/>
          <w:iCs/>
        </w:rPr>
        <w:t>.</w:t>
      </w:r>
      <w:r w:rsidRPr="00E258B0">
        <w:t xml:space="preserve"> explicitly states that a court must, as soon as practicable after an offender has been found guilty, conduct proceedings to determine the appropriate sentence to be imposed, but it also set outs the circumstances under which the judge can delay sentencing, notably with the consent of the parties.</w:t>
      </w:r>
    </w:p>
    <w:p w14:paraId="368BD110" w14:textId="1BCAE1CB" w:rsidR="00AB7D93" w:rsidRPr="00BD5145" w:rsidRDefault="00AB7D93" w:rsidP="00D322F3">
      <w:pPr>
        <w:pStyle w:val="Paragraphe"/>
        <w:spacing w:line="280" w:lineRule="exact"/>
      </w:pPr>
      <w:r w:rsidRPr="00E258B0">
        <w:t>In some cases, a defendant may suffer due to extended delays while awaiting sentencing, and diligence in raising the length of those delays is a strong indicator thereof, but that is not the case with the appellant.</w:t>
      </w:r>
    </w:p>
    <w:p w14:paraId="2CE031D3" w14:textId="7E71FDBE" w:rsidR="00AB7D93" w:rsidRPr="00BD5145" w:rsidRDefault="00AB7D93" w:rsidP="00D322F3">
      <w:pPr>
        <w:pStyle w:val="Paragraphe"/>
        <w:spacing w:line="280" w:lineRule="exact"/>
      </w:pPr>
      <w:r w:rsidRPr="00E258B0">
        <w:t xml:space="preserve">There are a variety of reasons why defendants at large, such as the appellant, might wish to postpone sentencing. They may want to enhance their profile (work, education, or substance abuse treatment </w:t>
      </w:r>
      <w:proofErr w:type="gramStart"/>
      <w:r w:rsidRPr="00E258B0">
        <w:t>are</w:t>
      </w:r>
      <w:proofErr w:type="gramEnd"/>
      <w:r w:rsidRPr="00E258B0">
        <w:t xml:space="preserve"> all examples) in order to mitigate the principles of deterrence and denunciation in favour of rehabilitation. This is particularly true when they know that the prosecution will seek a custodial sentence. When defendants are in preventive custody, they may wish to benefit from an enhanced credit for the time spent in detention.</w:t>
      </w:r>
      <w:r>
        <w:rPr>
          <w:rStyle w:val="Appelnotedebasdep"/>
        </w:rPr>
        <w:footnoteReference w:id="60"/>
      </w:r>
    </w:p>
    <w:p w14:paraId="2FE42B6B" w14:textId="77777777" w:rsidR="00AB7D93" w:rsidRPr="00BD5145" w:rsidRDefault="00AB7D93" w:rsidP="00D322F3">
      <w:pPr>
        <w:pStyle w:val="Paragraphe"/>
        <w:spacing w:line="280" w:lineRule="exact"/>
      </w:pPr>
      <w:r w:rsidRPr="00E258B0">
        <w:t xml:space="preserve">In such cases, </w:t>
      </w:r>
      <w:r>
        <w:t>“</w:t>
      </w:r>
      <w:r w:rsidRPr="00E258B0">
        <w:t>the defence may not benefit from its own inaction or lateness in taking action</w:t>
      </w:r>
      <w:r>
        <w:t>”</w:t>
      </w:r>
      <w:r w:rsidRPr="00E258B0">
        <w:t>.</w:t>
      </w:r>
      <w:r>
        <w:rPr>
          <w:rStyle w:val="Appelnotedebasdep"/>
        </w:rPr>
        <w:footnoteReference w:id="61"/>
      </w:r>
      <w:r w:rsidRPr="00E258B0">
        <w:t xml:space="preserve"> This is why, despite a total delay of almost 18 months between the guilty plea and the beginning of the deliberation leading to the handing down of a sentence, and despite certain errors in the characterization of the delays, I am of the opinion that the judge did not err in concluding that no unreasonable post</w:t>
      </w:r>
      <w:r>
        <w:noBreakHyphen/>
      </w:r>
      <w:r w:rsidRPr="00E258B0">
        <w:t>conviction delay had been shown.</w:t>
      </w:r>
    </w:p>
    <w:p w14:paraId="5F627173" w14:textId="4ECF875E" w:rsidR="00AB7D93" w:rsidRPr="00BD5145" w:rsidRDefault="00AB7D93" w:rsidP="00D322F3">
      <w:pPr>
        <w:pStyle w:val="Paragraphe"/>
        <w:spacing w:line="280" w:lineRule="exact"/>
      </w:pPr>
      <w:bookmarkStart w:id="17" w:name="_Hlk213158508"/>
      <w:r w:rsidRPr="00E258B0">
        <w:t xml:space="preserve">Indeed, under a </w:t>
      </w:r>
      <w:r>
        <w:t>“</w:t>
      </w:r>
      <w:r w:rsidRPr="00E258B0">
        <w:t>flexible and modulated</w:t>
      </w:r>
      <w:r>
        <w:t>”</w:t>
      </w:r>
      <w:r w:rsidRPr="00E258B0">
        <w:t xml:space="preserve"> approach, courts must </w:t>
      </w:r>
      <w:proofErr w:type="gramStart"/>
      <w:r w:rsidRPr="00E258B0">
        <w:t>take into account</w:t>
      </w:r>
      <w:proofErr w:type="gramEnd"/>
      <w:r w:rsidRPr="00E258B0">
        <w:t xml:space="preserve"> the inherent delays in the preparation of pre</w:t>
      </w:r>
      <w:r>
        <w:noBreakHyphen/>
      </w:r>
      <w:r w:rsidRPr="00E258B0">
        <w:t xml:space="preserve">sentence and </w:t>
      </w:r>
      <w:r w:rsidRPr="00E258B0">
        <w:rPr>
          <w:i/>
          <w:iCs/>
        </w:rPr>
        <w:t>Gladue</w:t>
      </w:r>
      <w:r w:rsidRPr="00E258B0">
        <w:t xml:space="preserve"> reports, as well as the limited resources allocated to the judicial system and to court administration</w:t>
      </w:r>
      <w:r>
        <w:rPr>
          <w:rStyle w:val="Appelnotedebasdep"/>
          <w:lang w:eastAsia="fr-CA"/>
        </w:rPr>
        <w:footnoteReference w:id="62"/>
      </w:r>
      <w:r w:rsidRPr="00E258B0">
        <w:t xml:space="preserve"> – and the Itinerant Court is no exception. Nonetheless, the state cannot simply rely on the </w:t>
      </w:r>
      <w:r w:rsidRPr="00055CE7">
        <w:rPr>
          <w:i/>
          <w:iCs/>
        </w:rPr>
        <w:t>status</w:t>
      </w:r>
      <w:r w:rsidR="00055CE7" w:rsidRPr="00055CE7">
        <w:rPr>
          <w:i/>
          <w:iCs/>
        </w:rPr>
        <w:t> </w:t>
      </w:r>
      <w:r w:rsidRPr="00055CE7">
        <w:rPr>
          <w:i/>
          <w:iCs/>
        </w:rPr>
        <w:t>quo</w:t>
      </w:r>
      <w:r w:rsidRPr="00E258B0">
        <w:t xml:space="preserve"> regarding resource allocation </w:t>
      </w:r>
      <w:proofErr w:type="gramStart"/>
      <w:r w:rsidRPr="00E258B0">
        <w:t>in order to</w:t>
      </w:r>
      <w:proofErr w:type="gramEnd"/>
      <w:r w:rsidRPr="00E258B0">
        <w:t xml:space="preserve"> explain why a given delay is reasonable.</w:t>
      </w:r>
      <w:r w:rsidRPr="00E258B0">
        <w:rPr>
          <w:rFonts w:ascii="Segoe UI" w:hAnsi="Segoe UI" w:cs="Segoe UI"/>
          <w:kern w:val="0"/>
          <w:sz w:val="18"/>
          <w:szCs w:val="18"/>
        </w:rPr>
        <w:t xml:space="preserve"> </w:t>
      </w:r>
      <w:r w:rsidRPr="00E258B0">
        <w:t>Certain regions of the country may require greater investments to protect the right referred to in s.</w:t>
      </w:r>
      <w:r>
        <w:t> </w:t>
      </w:r>
      <w:r w:rsidRPr="00E258B0">
        <w:t>11(</w:t>
      </w:r>
      <w:r w:rsidRPr="00E258B0">
        <w:rPr>
          <w:i/>
          <w:iCs/>
        </w:rPr>
        <w:t>b</w:t>
      </w:r>
      <w:r w:rsidRPr="00E258B0">
        <w:t>).</w:t>
      </w:r>
    </w:p>
    <w:p w14:paraId="5EA730DA" w14:textId="77777777" w:rsidR="00AB7D93" w:rsidRPr="00BD5145" w:rsidRDefault="00AB7D93" w:rsidP="00D322F3">
      <w:pPr>
        <w:pStyle w:val="Paragraphe"/>
        <w:spacing w:line="280" w:lineRule="exact"/>
      </w:pPr>
      <w:r w:rsidRPr="00E258B0">
        <w:t xml:space="preserve">That said, the present case reveals that a portion of the delays is attributable to travel restrictions in Nunavik resulting from the pandemic and to the delay caused by the mechanical breakdown of an airplane, which constitute exceptional circumstances. In addition, I note the lack of diligence on the part of the appellant, who raised the problem </w:t>
      </w:r>
      <w:r w:rsidRPr="00E258B0">
        <w:lastRenderedPageBreak/>
        <w:t>of post</w:t>
      </w:r>
      <w:r>
        <w:noBreakHyphen/>
      </w:r>
      <w:r w:rsidRPr="00E258B0">
        <w:t>conviction delay for the first time on October</w:t>
      </w:r>
      <w:r>
        <w:t> </w:t>
      </w:r>
      <w:r w:rsidRPr="00E258B0">
        <w:t>28, 2022 – i.e.,</w:t>
      </w:r>
      <w:r>
        <w:t> </w:t>
      </w:r>
      <w:r w:rsidRPr="00E258B0">
        <w:t>after 14 months of waiting</w:t>
      </w:r>
      <w:r>
        <w:rPr>
          <w:rStyle w:val="Appelnotedebasdep"/>
        </w:rPr>
        <w:footnoteReference w:id="63"/>
      </w:r>
      <w:r w:rsidRPr="00E258B0">
        <w:t xml:space="preserve"> – and gave no explanation in that regard.</w:t>
      </w:r>
    </w:p>
    <w:bookmarkEnd w:id="17"/>
    <w:p w14:paraId="03F71DC3" w14:textId="716976FC" w:rsidR="00AB7D93" w:rsidRDefault="00AB7D93" w:rsidP="00D322F3">
      <w:pPr>
        <w:pStyle w:val="Paragraphe"/>
        <w:spacing w:line="280" w:lineRule="exact"/>
      </w:pPr>
      <w:r w:rsidRPr="00E258B0">
        <w:t>For these reasons, I would dismiss the application for leave to adduce fresh evidence, declare that the AGQ</w:t>
      </w:r>
      <w:r>
        <w:t>’</w:t>
      </w:r>
      <w:r w:rsidRPr="00E258B0">
        <w:t>s application to adduce fresh evidence (as a rebuttal to the appellant) is moot, and dismiss the appeal.</w:t>
      </w:r>
    </w:p>
    <w:tbl>
      <w:tblPr>
        <w:tblW w:w="0" w:type="auto"/>
        <w:tblInd w:w="8" w:type="dxa"/>
        <w:tblLayout w:type="fixed"/>
        <w:tblCellMar>
          <w:left w:w="0" w:type="dxa"/>
          <w:right w:w="0" w:type="dxa"/>
        </w:tblCellMar>
        <w:tblLook w:val="0000" w:firstRow="0" w:lastRow="0" w:firstColumn="0" w:lastColumn="0" w:noHBand="0" w:noVBand="0"/>
      </w:tblPr>
      <w:tblGrid>
        <w:gridCol w:w="4735"/>
        <w:gridCol w:w="4625"/>
      </w:tblGrid>
      <w:tr w:rsidR="00AB7D93" w14:paraId="60B98DE4" w14:textId="77777777" w:rsidTr="00D322F3">
        <w:trPr>
          <w:cantSplit/>
          <w:trHeight w:val="796"/>
        </w:trPr>
        <w:tc>
          <w:tcPr>
            <w:tcW w:w="9360" w:type="dxa"/>
            <w:gridSpan w:val="2"/>
          </w:tcPr>
          <w:p w14:paraId="3A3D6788" w14:textId="77777777" w:rsidR="00AB7D93" w:rsidRDefault="00AB7D93" w:rsidP="00346CDE"/>
        </w:tc>
      </w:tr>
      <w:tr w:rsidR="00AB7D93" w14:paraId="0DB9E0EF" w14:textId="77777777" w:rsidTr="00346CDE">
        <w:trPr>
          <w:cantSplit/>
          <w:trHeight w:val="277"/>
        </w:trPr>
        <w:tc>
          <w:tcPr>
            <w:tcW w:w="4735" w:type="dxa"/>
            <w:vMerge w:val="restart"/>
          </w:tcPr>
          <w:p w14:paraId="49855A97" w14:textId="77777777" w:rsidR="00AB7D93" w:rsidRDefault="00AB7D93" w:rsidP="00346CDE"/>
        </w:tc>
        <w:tc>
          <w:tcPr>
            <w:tcW w:w="4625" w:type="dxa"/>
            <w:tcBorders>
              <w:bottom w:val="single" w:sz="8" w:space="0" w:color="auto"/>
            </w:tcBorders>
          </w:tcPr>
          <w:p w14:paraId="1BF128E0" w14:textId="77777777" w:rsidR="00AB7D93" w:rsidRDefault="00AB7D93" w:rsidP="00346CDE"/>
        </w:tc>
      </w:tr>
      <w:tr w:rsidR="00AB7D93" w14:paraId="466A8233" w14:textId="77777777" w:rsidTr="00346CDE">
        <w:trPr>
          <w:cantSplit/>
          <w:trHeight w:val="276"/>
        </w:trPr>
        <w:tc>
          <w:tcPr>
            <w:tcW w:w="4735" w:type="dxa"/>
            <w:vMerge/>
          </w:tcPr>
          <w:p w14:paraId="2EF6F636" w14:textId="77777777" w:rsidR="00AB7D93" w:rsidRDefault="00AB7D93" w:rsidP="00346CDE"/>
        </w:tc>
        <w:tc>
          <w:tcPr>
            <w:tcW w:w="4625" w:type="dxa"/>
          </w:tcPr>
          <w:p w14:paraId="535030BC" w14:textId="63EA9D87" w:rsidR="00AB7D93" w:rsidRDefault="00AB7D93" w:rsidP="00346CDE">
            <w:r>
              <w:fldChar w:fldCharType="begin"/>
            </w:r>
            <w:r>
              <w:instrText xml:space="preserve"> REF NomJuge3 </w:instrText>
            </w:r>
            <w:r>
              <w:fldChar w:fldCharType="separate"/>
            </w:r>
            <w:r w:rsidR="004A28EE">
              <w:t>MYRIAM LACHANCE, J.A.</w:t>
            </w:r>
            <w:r>
              <w:fldChar w:fldCharType="end"/>
            </w:r>
          </w:p>
        </w:tc>
      </w:tr>
      <w:bookmarkEnd w:id="12"/>
    </w:tbl>
    <w:p w14:paraId="311945DE" w14:textId="77777777" w:rsidR="006B3E24" w:rsidRDefault="006B3E24" w:rsidP="00CB2C23"/>
    <w:sectPr w:rsidR="006B3E24" w:rsidSect="00671B7D">
      <w:headerReference w:type="even" r:id="rId10"/>
      <w:headerReference w:type="default" r:id="rId11"/>
      <w:footerReference w:type="even" r:id="rId12"/>
      <w:footerReference w:type="default" r:id="rId13"/>
      <w:headerReference w:type="first" r:id="rId14"/>
      <w:footerReference w:type="first" r:id="rId15"/>
      <w:pgSz w:w="12242" w:h="15842" w:code="1"/>
      <w:pgMar w:top="1440" w:right="1009" w:bottom="1304" w:left="1871" w:header="1440" w:footer="79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F75E" w14:textId="77777777" w:rsidR="007E58AB" w:rsidRDefault="007E58AB">
      <w:r>
        <w:separator/>
      </w:r>
    </w:p>
  </w:endnote>
  <w:endnote w:type="continuationSeparator" w:id="0">
    <w:p w14:paraId="687E9A9B" w14:textId="77777777" w:rsidR="007E58AB" w:rsidRDefault="007E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1830" w14:textId="77777777" w:rsidR="00A904D1" w:rsidRPr="00A904D1" w:rsidRDefault="00A904D1" w:rsidP="00A904D1">
    <w:pPr>
      <w:pStyle w:val="Pieddepage"/>
      <w:jc w:val="right"/>
      <w:rPr>
        <w:b/>
        <w:bCs/>
      </w:rPr>
    </w:pPr>
    <w:r>
      <w:tab/>
    </w:r>
    <w:r w:rsidRPr="00A904D1">
      <w:rPr>
        <w:b/>
        <w:bCs/>
      </w:rPr>
      <w:t>English translation of the judgment of the Court</w:t>
    </w:r>
  </w:p>
  <w:p w14:paraId="50411944" w14:textId="40A7B291" w:rsidR="00A904D1" w:rsidRDefault="00A904D1" w:rsidP="00A904D1">
    <w:pPr>
      <w:pStyle w:val="Pieddepage"/>
      <w:tabs>
        <w:tab w:val="clear" w:pos="4320"/>
        <w:tab w:val="clear" w:pos="8640"/>
        <w:tab w:val="left" w:pos="284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AD6B" w14:textId="77777777" w:rsidR="00DA6CD9" w:rsidRDefault="00DA6C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C774" w14:textId="0D4FFD2B" w:rsidR="00DA6CD9" w:rsidRPr="00A904D1" w:rsidRDefault="00A904D1" w:rsidP="00671B7D">
    <w:pPr>
      <w:pStyle w:val="Pieddepage"/>
      <w:jc w:val="right"/>
      <w:rPr>
        <w:b/>
        <w:bCs/>
      </w:rPr>
    </w:pPr>
    <w:r w:rsidRPr="00A904D1">
      <w:rPr>
        <w:b/>
        <w:bCs/>
      </w:rPr>
      <w:t xml:space="preserve">English translation of the judgment of the </w:t>
    </w:r>
    <w:r w:rsidR="00671B7D" w:rsidRPr="00A904D1">
      <w:rPr>
        <w:b/>
        <w:bCs/>
      </w:rPr>
      <w:t>Cour</w:t>
    </w:r>
    <w:r w:rsidRPr="00A904D1">
      <w:rPr>
        <w:b/>
        <w:bCs/>
      </w:rPr>
      <w:t>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176C" w14:textId="77777777" w:rsidR="00DA6CD9" w:rsidRDefault="00DA6C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BCB6" w14:textId="77777777" w:rsidR="007E58AB" w:rsidRDefault="007E58AB">
      <w:r>
        <w:separator/>
      </w:r>
    </w:p>
  </w:footnote>
  <w:footnote w:type="continuationSeparator" w:id="0">
    <w:p w14:paraId="37B8D9C4" w14:textId="77777777" w:rsidR="007E58AB" w:rsidRDefault="007E58AB">
      <w:r>
        <w:continuationSeparator/>
      </w:r>
    </w:p>
  </w:footnote>
  <w:footnote w:id="1">
    <w:p w14:paraId="7F11B990" w14:textId="128E9E69" w:rsidR="00AB7D93" w:rsidRPr="00BD5145" w:rsidRDefault="00AB7D93" w:rsidP="00AB7D93">
      <w:pPr>
        <w:pStyle w:val="Notedebasdepage"/>
      </w:pPr>
      <w:r>
        <w:rPr>
          <w:rStyle w:val="Appelnotedebasdep"/>
        </w:rPr>
        <w:footnoteRef/>
      </w:r>
      <w:r w:rsidRPr="00F7615E">
        <w:t xml:space="preserve"> </w:t>
      </w:r>
      <w:r w:rsidRPr="00F7615E">
        <w:tab/>
      </w:r>
      <w:r w:rsidRPr="00F7615E">
        <w:rPr>
          <w:i/>
          <w:iCs/>
        </w:rPr>
        <w:t xml:space="preserve">R. </w:t>
      </w:r>
      <w:r>
        <w:rPr>
          <w:i/>
          <w:iCs/>
        </w:rPr>
        <w:t>v</w:t>
      </w:r>
      <w:r w:rsidRPr="00F7615E">
        <w:rPr>
          <w:i/>
          <w:iCs/>
        </w:rPr>
        <w:t>. Snowball,</w:t>
      </w:r>
      <w:r w:rsidRPr="00F7615E">
        <w:t xml:space="preserve"> </w:t>
      </w:r>
      <w:r w:rsidRPr="00AB7D93">
        <w:t>2023 QCCQ 1397</w:t>
      </w:r>
      <w:r w:rsidRPr="00F7615E">
        <w:t>.</w:t>
      </w:r>
    </w:p>
  </w:footnote>
  <w:footnote w:id="2">
    <w:p w14:paraId="6608BDC0" w14:textId="6BF4C209" w:rsidR="00AB7D93" w:rsidRPr="00BD5145" w:rsidRDefault="00AB7D93" w:rsidP="00AB7D93">
      <w:pPr>
        <w:pStyle w:val="Notedebasdepage"/>
      </w:pPr>
      <w:r>
        <w:rPr>
          <w:rStyle w:val="Appelnotedebasdep"/>
        </w:rPr>
        <w:footnoteRef/>
      </w:r>
      <w:r w:rsidRPr="00376BC8">
        <w:t xml:space="preserve"> </w:t>
      </w:r>
      <w:r w:rsidRPr="00376BC8">
        <w:tab/>
      </w:r>
      <w:r w:rsidRPr="00376BC8">
        <w:rPr>
          <w:i/>
          <w:iCs/>
        </w:rPr>
        <w:t xml:space="preserve">Snowball </w:t>
      </w:r>
      <w:r>
        <w:rPr>
          <w:i/>
          <w:iCs/>
        </w:rPr>
        <w:t>v</w:t>
      </w:r>
      <w:r w:rsidRPr="00376BC8">
        <w:rPr>
          <w:i/>
          <w:iCs/>
        </w:rPr>
        <w:t>. R.,</w:t>
      </w:r>
      <w:r w:rsidRPr="00376BC8">
        <w:t xml:space="preserve"> </w:t>
      </w:r>
      <w:r w:rsidRPr="00AB7D93">
        <w:t>2023 QCCQ 1398</w:t>
      </w:r>
      <w:r w:rsidRPr="00376BC8">
        <w:t xml:space="preserve"> [Judgment on the Motion].</w:t>
      </w:r>
    </w:p>
  </w:footnote>
  <w:footnote w:id="3">
    <w:p w14:paraId="78645313" w14:textId="77777777" w:rsidR="00AB7D93" w:rsidRPr="00BD5145" w:rsidRDefault="00AB7D93" w:rsidP="00AB7D93">
      <w:pPr>
        <w:pStyle w:val="Notedebasdepage"/>
      </w:pPr>
      <w:r>
        <w:rPr>
          <w:rStyle w:val="Appelnotedebasdep"/>
        </w:rPr>
        <w:footnoteRef/>
      </w:r>
      <w:r>
        <w:t xml:space="preserve"> </w:t>
      </w:r>
      <w:r>
        <w:tab/>
        <w:t>On August 19, 2021, the appellant pleaded guilty before Richard Meredith, J.C.Q., but was convicted only on February 16, 2023, namely 19 months and 12 days later, by Brassard, J.C.Q., as she is the one who handed down the sentence.</w:t>
      </w:r>
    </w:p>
  </w:footnote>
  <w:footnote w:id="4">
    <w:p w14:paraId="3BD4086C" w14:textId="08766246" w:rsidR="00AB7D93" w:rsidRPr="00821C31" w:rsidRDefault="00AB7D93" w:rsidP="00AB7D93">
      <w:pPr>
        <w:pStyle w:val="Notedebasdepage"/>
        <w:rPr>
          <w:rFonts w:cs="Arial"/>
          <w:lang w:val="fr-CA"/>
        </w:rPr>
      </w:pPr>
      <w:r w:rsidRPr="00BD5145">
        <w:rPr>
          <w:rStyle w:val="Appelnotedebasdep"/>
          <w:rFonts w:cs="Arial"/>
        </w:rPr>
        <w:footnoteRef/>
      </w:r>
      <w:r w:rsidRPr="00BD5145">
        <w:rPr>
          <w:rFonts w:cs="Arial"/>
        </w:rPr>
        <w:t xml:space="preserve"> </w:t>
      </w:r>
      <w:r w:rsidRPr="00BD5145">
        <w:rPr>
          <w:rFonts w:cs="Arial"/>
        </w:rPr>
        <w:tab/>
      </w:r>
      <w:r w:rsidRPr="00BD5145">
        <w:rPr>
          <w:rFonts w:cs="Arial"/>
          <w:i/>
          <w:iCs/>
        </w:rPr>
        <w:t>Palmer v. The Queen</w:t>
      </w:r>
      <w:r w:rsidRPr="00BD5145">
        <w:rPr>
          <w:rFonts w:cs="Arial"/>
        </w:rPr>
        <w:t xml:space="preserve">, </w:t>
      </w:r>
      <w:r w:rsidRPr="00AB7D93">
        <w:rPr>
          <w:rFonts w:cs="Arial"/>
        </w:rPr>
        <w:t>[1980] 1 S.C.R. 759</w:t>
      </w:r>
      <w:r w:rsidRPr="00BD5145">
        <w:rPr>
          <w:rFonts w:cs="Arial"/>
        </w:rPr>
        <w:t xml:space="preserve">, p. 775; </w:t>
      </w:r>
      <w:r w:rsidRPr="00BD5145">
        <w:rPr>
          <w:rFonts w:cs="Arial"/>
          <w:i/>
          <w:iCs/>
        </w:rPr>
        <w:t>R. v. Lévesque</w:t>
      </w:r>
      <w:r w:rsidRPr="00AB7D93">
        <w:rPr>
          <w:rFonts w:cs="Arial"/>
        </w:rPr>
        <w:t>, 2000 SCC 47</w:t>
      </w:r>
      <w:r w:rsidRPr="00BD5145">
        <w:rPr>
          <w:rFonts w:cs="Arial"/>
        </w:rPr>
        <w:t xml:space="preserve">; </w:t>
      </w:r>
      <w:r w:rsidRPr="00BD5145">
        <w:rPr>
          <w:rFonts w:cs="Arial"/>
          <w:i/>
          <w:iCs/>
        </w:rPr>
        <w:t>Rules of the Court of Appeal of Quebec in Criminal Matters</w:t>
      </w:r>
      <w:r w:rsidRPr="00BD5145">
        <w:rPr>
          <w:rFonts w:cs="Arial"/>
        </w:rPr>
        <w:t>, s. 60, para. </w:t>
      </w:r>
      <w:r w:rsidRPr="00821C31">
        <w:rPr>
          <w:rFonts w:cs="Arial"/>
          <w:lang w:val="fr-CA"/>
        </w:rPr>
        <w:t>1.</w:t>
      </w:r>
    </w:p>
  </w:footnote>
  <w:footnote w:id="5">
    <w:p w14:paraId="5053EF46" w14:textId="0DEE9335" w:rsidR="00AB7D93" w:rsidRPr="00821C31" w:rsidRDefault="00AB7D93" w:rsidP="00AB7D93">
      <w:pPr>
        <w:pStyle w:val="Notedebasdepage"/>
        <w:rPr>
          <w:lang w:val="fr-CA"/>
        </w:rPr>
      </w:pPr>
      <w:r w:rsidRPr="00BD5145">
        <w:rPr>
          <w:rStyle w:val="Appelnotedebasdep"/>
        </w:rPr>
        <w:footnoteRef/>
      </w:r>
      <w:r w:rsidRPr="00821C31">
        <w:rPr>
          <w:lang w:val="fr-CA"/>
        </w:rPr>
        <w:t xml:space="preserve"> </w:t>
      </w:r>
      <w:r w:rsidRPr="00821C31">
        <w:rPr>
          <w:lang w:val="fr-CA"/>
        </w:rPr>
        <w:tab/>
      </w:r>
      <w:r w:rsidRPr="00821C31">
        <w:rPr>
          <w:i/>
          <w:iCs/>
          <w:lang w:val="fr-CA"/>
        </w:rPr>
        <w:t>R. v. Lévesque</w:t>
      </w:r>
      <w:r w:rsidRPr="00AB7D93">
        <w:rPr>
          <w:rFonts w:cs="Arial"/>
          <w:lang w:val="fr-CA"/>
        </w:rPr>
        <w:t>, 2000 SCC 47</w:t>
      </w:r>
      <w:r w:rsidRPr="00821C31">
        <w:rPr>
          <w:lang w:val="fr-CA"/>
        </w:rPr>
        <w:t>, para. 15.</w:t>
      </w:r>
    </w:p>
  </w:footnote>
  <w:footnote w:id="6">
    <w:p w14:paraId="3F0F3AAE" w14:textId="115A6E42" w:rsidR="00AB7D93" w:rsidRPr="00BD5145" w:rsidRDefault="00AB7D93" w:rsidP="00AB7D93">
      <w:pPr>
        <w:pStyle w:val="Notedebasdepage"/>
        <w:rPr>
          <w:rFonts w:cs="Arial"/>
        </w:rPr>
      </w:pPr>
      <w:r w:rsidRPr="00BD5145">
        <w:rPr>
          <w:rStyle w:val="Appelnotedebasdep"/>
          <w:rFonts w:cs="Arial"/>
        </w:rPr>
        <w:footnoteRef/>
      </w:r>
      <w:r w:rsidRPr="00821C31">
        <w:rPr>
          <w:rFonts w:cs="Arial"/>
          <w:lang w:val="fr-CA"/>
        </w:rPr>
        <w:t xml:space="preserve"> </w:t>
      </w:r>
      <w:r w:rsidRPr="00821C31">
        <w:rPr>
          <w:rFonts w:cs="Arial"/>
          <w:lang w:val="fr-CA"/>
        </w:rPr>
        <w:tab/>
      </w:r>
      <w:r w:rsidRPr="00821C31">
        <w:rPr>
          <w:rFonts w:cs="Arial"/>
          <w:i/>
          <w:iCs/>
          <w:lang w:val="fr-CA"/>
        </w:rPr>
        <w:t>R. v. Lévesque</w:t>
      </w:r>
      <w:r w:rsidRPr="00AB7D93">
        <w:rPr>
          <w:rFonts w:cs="Arial"/>
          <w:lang w:val="fr-CA"/>
        </w:rPr>
        <w:t>, 2000 SCC 47</w:t>
      </w:r>
      <w:r w:rsidRPr="00821C31">
        <w:rPr>
          <w:rFonts w:cs="Arial"/>
          <w:lang w:val="fr-CA"/>
        </w:rPr>
        <w:t>, paras. </w:t>
      </w:r>
      <w:r w:rsidRPr="00BD5145">
        <w:rPr>
          <w:rFonts w:cs="Arial"/>
        </w:rPr>
        <w:t>14</w:t>
      </w:r>
      <w:r w:rsidRPr="00BD5145">
        <w:rPr>
          <w:rFonts w:cs="Arial"/>
        </w:rPr>
        <w:noBreakHyphen/>
        <w:t>19.</w:t>
      </w:r>
      <w:r w:rsidRPr="00BD5145">
        <w:rPr>
          <w:rFonts w:cs="Arial"/>
          <w:color w:val="212529"/>
          <w:shd w:val="clear" w:color="auto" w:fill="FFFFFF"/>
        </w:rPr>
        <w:t xml:space="preserve"> See also </w:t>
      </w:r>
      <w:r w:rsidRPr="00BD5145">
        <w:rPr>
          <w:rFonts w:cs="Arial"/>
          <w:i/>
          <w:iCs/>
        </w:rPr>
        <w:t>R. v. Warsing</w:t>
      </w:r>
      <w:r w:rsidRPr="00BD5145">
        <w:rPr>
          <w:rFonts w:cs="Arial"/>
        </w:rPr>
        <w:t>, [1998] 3 S.C.R. 579, para. 51,</w:t>
      </w:r>
      <w:r>
        <w:rPr>
          <w:rFonts w:cs="Arial"/>
        </w:rPr>
        <w:t xml:space="preserve"> </w:t>
      </w:r>
      <w:r w:rsidRPr="00AB7D93">
        <w:rPr>
          <w:rFonts w:cs="Arial"/>
        </w:rPr>
        <w:t>1998 CanLII 775</w:t>
      </w:r>
      <w:r w:rsidRPr="00BD5145">
        <w:rPr>
          <w:rFonts w:cs="Arial"/>
        </w:rPr>
        <w:t>.</w:t>
      </w:r>
    </w:p>
  </w:footnote>
  <w:footnote w:id="7">
    <w:p w14:paraId="464AEE6A" w14:textId="50D509DA" w:rsidR="00AB7D93" w:rsidRPr="00821C31" w:rsidRDefault="00AB7D93" w:rsidP="00AB7D93">
      <w:pPr>
        <w:pStyle w:val="Notedebasdepage"/>
        <w:rPr>
          <w:lang w:val="fr-CA"/>
        </w:rPr>
      </w:pPr>
      <w:r>
        <w:rPr>
          <w:rStyle w:val="Appelnotedebasdep"/>
        </w:rPr>
        <w:footnoteRef/>
      </w:r>
      <w:r>
        <w:t xml:space="preserve"> </w:t>
      </w:r>
      <w:r>
        <w:tab/>
        <w:t xml:space="preserve">Judgment on the Motion, paras. 20, 26 and 38-41. See </w:t>
      </w:r>
      <w:r>
        <w:rPr>
          <w:i/>
          <w:iCs/>
        </w:rPr>
        <w:t>R. c. Rice</w:t>
      </w:r>
      <w:r>
        <w:t xml:space="preserve">, </w:t>
      </w:r>
      <w:r w:rsidRPr="00AB7D93">
        <w:t>2018 QCCA 198</w:t>
      </w:r>
      <w:r>
        <w:t xml:space="preserve">, para. </w:t>
      </w:r>
      <w:r w:rsidRPr="00821C31">
        <w:rPr>
          <w:lang w:val="fr-CA"/>
        </w:rPr>
        <w:t>35;</w:t>
      </w:r>
      <w:r w:rsidRPr="00821C31">
        <w:rPr>
          <w:rFonts w:ascii="Open Sans" w:hAnsi="Open Sans" w:cs="Open Sans"/>
          <w:color w:val="212529"/>
          <w:sz w:val="21"/>
          <w:szCs w:val="21"/>
          <w:shd w:val="clear" w:color="auto" w:fill="F9FAFB"/>
          <w:lang w:val="fr-CA"/>
        </w:rPr>
        <w:t xml:space="preserve"> </w:t>
      </w:r>
      <w:r w:rsidRPr="00821C31">
        <w:rPr>
          <w:i/>
          <w:iCs/>
          <w:lang w:val="fr-CA"/>
        </w:rPr>
        <w:t>Aullaluk v. R</w:t>
      </w:r>
      <w:r w:rsidRPr="00821C31">
        <w:rPr>
          <w:lang w:val="fr-CA"/>
        </w:rPr>
        <w:t xml:space="preserve">., </w:t>
      </w:r>
      <w:r w:rsidRPr="00AB7D93">
        <w:rPr>
          <w:lang w:val="fr-CA"/>
        </w:rPr>
        <w:t>2022 QCCA 1081</w:t>
      </w:r>
      <w:r w:rsidRPr="00821C31">
        <w:rPr>
          <w:lang w:val="fr-CA"/>
        </w:rPr>
        <w:t>, paras. 23-25.</w:t>
      </w:r>
    </w:p>
  </w:footnote>
  <w:footnote w:id="8">
    <w:p w14:paraId="43A9441B" w14:textId="22D9D5BA"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R. c.</w:t>
      </w:r>
      <w:r w:rsidRPr="00821C31">
        <w:rPr>
          <w:lang w:val="fr-CA"/>
        </w:rPr>
        <w:t> </w:t>
      </w:r>
      <w:r w:rsidRPr="00821C31">
        <w:rPr>
          <w:i/>
          <w:iCs/>
          <w:lang w:val="fr-CA"/>
        </w:rPr>
        <w:t>Lévesque</w:t>
      </w:r>
      <w:r w:rsidRPr="00821C31">
        <w:rPr>
          <w:lang w:val="fr-CA"/>
        </w:rPr>
        <w:t>,</w:t>
      </w:r>
      <w:r>
        <w:rPr>
          <w:lang w:val="fr-CA"/>
        </w:rPr>
        <w:t xml:space="preserve"> </w:t>
      </w:r>
      <w:r w:rsidRPr="00AB7D93">
        <w:rPr>
          <w:lang w:val="fr-CA"/>
        </w:rPr>
        <w:t>2000 SCC 47</w:t>
      </w:r>
      <w:r w:rsidRPr="00821C31">
        <w:rPr>
          <w:lang w:val="fr-CA"/>
        </w:rPr>
        <w:t xml:space="preserve">, para. </w:t>
      </w:r>
      <w:r>
        <w:t>34 [underlining added].</w:t>
      </w:r>
    </w:p>
  </w:footnote>
  <w:footnote w:id="9">
    <w:p w14:paraId="4FA6935A" w14:textId="1D22F147" w:rsidR="00AB7D93" w:rsidRPr="00055CE7" w:rsidRDefault="00AB7D93" w:rsidP="00AB7D93">
      <w:pPr>
        <w:pStyle w:val="Notedebasdepage"/>
      </w:pPr>
      <w:r>
        <w:rPr>
          <w:rStyle w:val="Appelnotedebasdep"/>
        </w:rPr>
        <w:footnoteRef/>
      </w:r>
      <w:r w:rsidRPr="00055CE7">
        <w:t xml:space="preserve"> </w:t>
      </w:r>
      <w:r w:rsidRPr="00055CE7">
        <w:tab/>
      </w:r>
      <w:r w:rsidRPr="00055CE7">
        <w:rPr>
          <w:i/>
          <w:iCs/>
        </w:rPr>
        <w:t>Lévesque Paquette c. R.</w:t>
      </w:r>
      <w:r w:rsidRPr="00055CE7">
        <w:t>, 2022 QCCA 1047.</w:t>
      </w:r>
    </w:p>
  </w:footnote>
  <w:footnote w:id="10">
    <w:p w14:paraId="446FD1D7" w14:textId="77777777" w:rsidR="00AB7D93" w:rsidRPr="00BD5145" w:rsidRDefault="00AB7D93" w:rsidP="00AB7D93">
      <w:pPr>
        <w:pStyle w:val="Notedebasdepage"/>
      </w:pPr>
      <w:r>
        <w:rPr>
          <w:rStyle w:val="Appelnotedebasdep"/>
        </w:rPr>
        <w:footnoteRef/>
      </w:r>
      <w:r>
        <w:t xml:space="preserve"> </w:t>
      </w:r>
      <w:r>
        <w:tab/>
        <w:t>Judgment on the Motion, paras. 10-16.</w:t>
      </w:r>
    </w:p>
  </w:footnote>
  <w:footnote w:id="11">
    <w:p w14:paraId="10D1FF66" w14:textId="67A97C46" w:rsidR="00AB7D93" w:rsidRPr="00E258B0" w:rsidRDefault="00AB7D93" w:rsidP="00AB7D93">
      <w:pPr>
        <w:pStyle w:val="Notedebasdepage"/>
      </w:pPr>
      <w:r w:rsidRPr="005833BA">
        <w:rPr>
          <w:rStyle w:val="Appelnotedebasdep"/>
        </w:rPr>
        <w:footnoteRef/>
      </w:r>
      <w:r w:rsidRPr="00E258B0">
        <w:t xml:space="preserve"> </w:t>
      </w:r>
      <w:r w:rsidRPr="00E258B0">
        <w:tab/>
      </w:r>
      <w:r w:rsidRPr="00E258B0">
        <w:rPr>
          <w:i/>
          <w:iCs/>
        </w:rPr>
        <w:t>R. v. Charley</w:t>
      </w:r>
      <w:r w:rsidRPr="00E258B0">
        <w:t xml:space="preserve">, </w:t>
      </w:r>
      <w:r w:rsidRPr="00AB7D93">
        <w:t>2019 ONCA 726</w:t>
      </w:r>
      <w:r w:rsidRPr="00E258B0">
        <w:t>.</w:t>
      </w:r>
    </w:p>
  </w:footnote>
  <w:footnote w:id="12">
    <w:p w14:paraId="633F9ACF" w14:textId="77FF3BD7" w:rsidR="00AB7D93" w:rsidRPr="00E258B0" w:rsidRDefault="00AB7D93" w:rsidP="00AB7D93">
      <w:pPr>
        <w:pStyle w:val="Notedebasdepage"/>
      </w:pPr>
      <w:r>
        <w:rPr>
          <w:rStyle w:val="Appelnotedebasdep"/>
        </w:rPr>
        <w:footnoteRef/>
      </w:r>
      <w:r w:rsidRPr="00E258B0">
        <w:t xml:space="preserve"> </w:t>
      </w:r>
      <w:r w:rsidRPr="00E258B0">
        <w:tab/>
      </w:r>
      <w:r w:rsidRPr="00E258B0">
        <w:rPr>
          <w:i/>
          <w:iCs/>
        </w:rPr>
        <w:t>R. v. Jordan</w:t>
      </w:r>
      <w:r w:rsidRPr="00E258B0">
        <w:t xml:space="preserve">, </w:t>
      </w:r>
      <w:r w:rsidRPr="00AB7D93">
        <w:t>2016 SCC 27</w:t>
      </w:r>
      <w:r w:rsidRPr="00E258B0">
        <w:t>.</w:t>
      </w:r>
    </w:p>
  </w:footnote>
  <w:footnote w:id="13">
    <w:p w14:paraId="1A22DE3A" w14:textId="77777777" w:rsidR="00AB7D93" w:rsidRPr="00BD5145" w:rsidRDefault="00AB7D93" w:rsidP="00AB7D93">
      <w:pPr>
        <w:pStyle w:val="Notedebasdepage"/>
      </w:pPr>
      <w:r>
        <w:rPr>
          <w:rStyle w:val="Appelnotedebasdep"/>
        </w:rPr>
        <w:footnoteRef/>
      </w:r>
      <w:r>
        <w:t xml:space="preserve"> </w:t>
      </w:r>
      <w:r>
        <w:tab/>
        <w:t xml:space="preserve">This five-month ceiling had already been exceeded at the time of the very first adjournment – i.e., between August 19, 2021, the date on which the guilty plea was entered, and February 3, 2022, the initial date scheduled for the sentencing hearing to allow time for the </w:t>
      </w:r>
      <w:r>
        <w:rPr>
          <w:i/>
          <w:iCs/>
        </w:rPr>
        <w:t>Gladue</w:t>
      </w:r>
      <w:r>
        <w:t xml:space="preserve"> report to be prepared.</w:t>
      </w:r>
    </w:p>
  </w:footnote>
  <w:footnote w:id="14">
    <w:p w14:paraId="46B4278B" w14:textId="178B77DC" w:rsidR="00AB7D93" w:rsidRPr="00821C31" w:rsidRDefault="00AB7D93" w:rsidP="00AB7D93">
      <w:pPr>
        <w:pStyle w:val="Notedebasdepage"/>
        <w:rPr>
          <w:lang w:val="fr-CA"/>
        </w:rPr>
      </w:pPr>
      <w:r>
        <w:rPr>
          <w:rStyle w:val="Appelnotedebasdep"/>
        </w:rPr>
        <w:footnoteRef/>
      </w:r>
      <w:r w:rsidRPr="00821C31">
        <w:rPr>
          <w:lang w:val="fr-CA"/>
        </w:rPr>
        <w:t xml:space="preserve"> </w:t>
      </w:r>
      <w:r w:rsidRPr="00821C31">
        <w:rPr>
          <w:lang w:val="fr-CA"/>
        </w:rPr>
        <w:tab/>
      </w:r>
      <w:r w:rsidRPr="00821C31">
        <w:rPr>
          <w:i/>
          <w:iCs/>
          <w:lang w:val="fr-CA"/>
        </w:rPr>
        <w:t>Snowball c. R</w:t>
      </w:r>
      <w:r w:rsidRPr="00821C31">
        <w:rPr>
          <w:lang w:val="fr-CA"/>
        </w:rPr>
        <w:t xml:space="preserve">., </w:t>
      </w:r>
      <w:r w:rsidRPr="00AB7D93">
        <w:rPr>
          <w:lang w:val="fr-CA"/>
        </w:rPr>
        <w:t>2025 QCCA 500</w:t>
      </w:r>
      <w:r w:rsidRPr="00821C31">
        <w:rPr>
          <w:lang w:val="fr-CA"/>
        </w:rPr>
        <w:t>.</w:t>
      </w:r>
    </w:p>
  </w:footnote>
  <w:footnote w:id="15">
    <w:p w14:paraId="085DDC7C" w14:textId="00FD71D7" w:rsidR="00AB7D93" w:rsidRPr="00821C31" w:rsidRDefault="00AB7D93" w:rsidP="00AB7D93">
      <w:pPr>
        <w:pStyle w:val="Notedebasdepage"/>
        <w:rPr>
          <w:rFonts w:ascii="Times New Roman" w:hAnsi="Times New Roman"/>
          <w:lang w:val="fr-CA"/>
        </w:rPr>
      </w:pPr>
      <w:r w:rsidRPr="00813281">
        <w:rPr>
          <w:rStyle w:val="Appelnotedebasdep"/>
          <w:rFonts w:cs="Arial"/>
        </w:rPr>
        <w:footnoteRef/>
      </w:r>
      <w:r w:rsidRPr="00821C31">
        <w:rPr>
          <w:rFonts w:cs="Arial"/>
          <w:lang w:val="fr-CA"/>
        </w:rPr>
        <w:t xml:space="preserve"> </w:t>
      </w:r>
      <w:bookmarkStart w:id="14" w:name="_Hlk203985031"/>
      <w:bookmarkStart w:id="15" w:name="_Hlk203985020"/>
      <w:r w:rsidRPr="00821C31">
        <w:rPr>
          <w:rFonts w:cs="Arial"/>
          <w:lang w:val="fr-CA"/>
        </w:rPr>
        <w:tab/>
      </w:r>
      <w:r w:rsidRPr="00821C31">
        <w:rPr>
          <w:rFonts w:eastAsia="Arial Unicode MS" w:cs="Arial"/>
          <w:i/>
          <w:iCs/>
          <w:lang w:val="fr-CA"/>
        </w:rPr>
        <w:t>Demers</w:t>
      </w:r>
      <w:r w:rsidRPr="00821C31">
        <w:rPr>
          <w:i/>
          <w:iCs/>
          <w:lang w:val="fr-CA"/>
        </w:rPr>
        <w:t xml:space="preserve"> c. R</w:t>
      </w:r>
      <w:r w:rsidRPr="00821C31">
        <w:rPr>
          <w:iCs/>
          <w:lang w:val="fr-CA"/>
        </w:rPr>
        <w:t xml:space="preserve">., </w:t>
      </w:r>
      <w:r w:rsidRPr="00AB7D93">
        <w:rPr>
          <w:lang w:val="fr-CA"/>
        </w:rPr>
        <w:t>2018 QCCA 617</w:t>
      </w:r>
      <w:bookmarkEnd w:id="14"/>
      <w:bookmarkEnd w:id="15"/>
      <w:r w:rsidRPr="00821C31">
        <w:rPr>
          <w:lang w:val="fr-CA"/>
        </w:rPr>
        <w:t>, para. 42.</w:t>
      </w:r>
    </w:p>
  </w:footnote>
  <w:footnote w:id="16">
    <w:p w14:paraId="13E0447C" w14:textId="26AE1F8F"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R. c. Rice</w:t>
      </w:r>
      <w:r w:rsidRPr="00821C31">
        <w:rPr>
          <w:lang w:val="fr-CA"/>
        </w:rPr>
        <w:t xml:space="preserve">, </w:t>
      </w:r>
      <w:r w:rsidRPr="00AB7D93">
        <w:rPr>
          <w:lang w:val="fr-CA"/>
        </w:rPr>
        <w:t>2018 QCCA 198</w:t>
      </w:r>
      <w:r w:rsidRPr="00821C31">
        <w:rPr>
          <w:lang w:val="fr-CA"/>
        </w:rPr>
        <w:t xml:space="preserve">, paras. </w:t>
      </w:r>
      <w:r>
        <w:t xml:space="preserve">32-35, 136 and 150. See also </w:t>
      </w:r>
      <w:r>
        <w:rPr>
          <w:i/>
          <w:iCs/>
        </w:rPr>
        <w:t xml:space="preserve">R. v. Mengistu, </w:t>
      </w:r>
      <w:r w:rsidRPr="00AB7D93">
        <w:t>2024 ONCA 575</w:t>
      </w:r>
      <w:r>
        <w:rPr>
          <w:i/>
          <w:iCs/>
        </w:rPr>
        <w:t>,</w:t>
      </w:r>
      <w:r>
        <w:t xml:space="preserve"> para. 14.</w:t>
      </w:r>
    </w:p>
  </w:footnote>
  <w:footnote w:id="17">
    <w:p w14:paraId="1DB00ECF" w14:textId="7D496AA2" w:rsidR="00AB7D93" w:rsidRPr="00BD5145" w:rsidRDefault="00AB7D93" w:rsidP="00AB7D93">
      <w:pPr>
        <w:pStyle w:val="Notedebasdepage"/>
      </w:pPr>
      <w:r>
        <w:rPr>
          <w:rStyle w:val="Appelnotedebasdep"/>
        </w:rPr>
        <w:footnoteRef/>
      </w:r>
      <w:r>
        <w:t xml:space="preserve"> </w:t>
      </w:r>
      <w:r>
        <w:tab/>
      </w:r>
      <w:r>
        <w:rPr>
          <w:i/>
          <w:iCs/>
        </w:rPr>
        <w:t>R. v. MacDougall</w:t>
      </w:r>
      <w:r>
        <w:t xml:space="preserve">, [1998] 3 S.C.R. 45, para. 29; </w:t>
      </w:r>
      <w:r>
        <w:rPr>
          <w:i/>
          <w:iCs/>
        </w:rPr>
        <w:t>R. v. Godin</w:t>
      </w:r>
      <w:r>
        <w:t>, </w:t>
      </w:r>
      <w:r w:rsidRPr="00AB7D93">
        <w:t>2009 SCC 26</w:t>
      </w:r>
      <w:r>
        <w:t xml:space="preserve">, para. </w:t>
      </w:r>
      <w:r w:rsidRPr="00AB7D93">
        <w:t>30</w:t>
      </w:r>
      <w:r>
        <w:t>.</w:t>
      </w:r>
    </w:p>
  </w:footnote>
  <w:footnote w:id="18">
    <w:p w14:paraId="0634D2CD" w14:textId="01C87988" w:rsidR="00AB7D93" w:rsidRPr="00BD5145" w:rsidRDefault="00AB7D93" w:rsidP="00AB7D93">
      <w:pPr>
        <w:pStyle w:val="Notedebasdepage"/>
      </w:pPr>
      <w:r>
        <w:rPr>
          <w:rStyle w:val="Appelnotedebasdep"/>
        </w:rPr>
        <w:footnoteRef/>
      </w:r>
      <w:r>
        <w:t xml:space="preserve"> </w:t>
      </w:r>
      <w:r>
        <w:tab/>
      </w:r>
      <w:r>
        <w:rPr>
          <w:i/>
          <w:iCs/>
        </w:rPr>
        <w:t>R. v. MacDougall</w:t>
      </w:r>
      <w:r>
        <w:t xml:space="preserve">, [1998] 3 S.C.R. 45, paras. 9-18. See also </w:t>
      </w:r>
      <w:r>
        <w:rPr>
          <w:i/>
          <w:iCs/>
        </w:rPr>
        <w:t>R. v. J.F</w:t>
      </w:r>
      <w:r>
        <w:t xml:space="preserve">., </w:t>
      </w:r>
      <w:r w:rsidRPr="00AB7D93">
        <w:t>2022 SCC 17</w:t>
      </w:r>
      <w:r>
        <w:t xml:space="preserve">, para. 60; </w:t>
      </w:r>
      <w:r>
        <w:rPr>
          <w:i/>
          <w:iCs/>
        </w:rPr>
        <w:t>Carter v. The Queen</w:t>
      </w:r>
      <w:r>
        <w:t>, [1986] 1 S.C.R. 981, p. 985 (the protection conferred by s. 11(</w:t>
      </w:r>
      <w:r>
        <w:rPr>
          <w:i/>
          <w:iCs/>
        </w:rPr>
        <w:t>b</w:t>
      </w:r>
      <w:r>
        <w:t xml:space="preserve">) starts to run </w:t>
      </w:r>
      <w:proofErr w:type="gramStart"/>
      <w:r>
        <w:t>as of the moment the</w:t>
      </w:r>
      <w:proofErr w:type="gramEnd"/>
      <w:r>
        <w:t xml:space="preserve"> accused is charged).</w:t>
      </w:r>
    </w:p>
  </w:footnote>
  <w:footnote w:id="19">
    <w:p w14:paraId="3387AD68" w14:textId="1BEF800D"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R. v. Jordan</w:t>
      </w:r>
      <w:r w:rsidRPr="00821C31">
        <w:rPr>
          <w:lang w:val="fr-CA"/>
        </w:rPr>
        <w:t xml:space="preserve">, </w:t>
      </w:r>
      <w:r w:rsidRPr="00AB7D93">
        <w:rPr>
          <w:lang w:val="fr-CA"/>
        </w:rPr>
        <w:t>2016 SCC 27</w:t>
      </w:r>
      <w:r w:rsidRPr="00821C31">
        <w:rPr>
          <w:lang w:val="fr-CA"/>
        </w:rPr>
        <w:t xml:space="preserve">, para. </w:t>
      </w:r>
      <w:r>
        <w:t>49, footnote 2: “The issue of delay in sentencing, however, is not before us, and we make no comment about how this ceiling should apply to s. 11(</w:t>
      </w:r>
      <w:r>
        <w:rPr>
          <w:i/>
          <w:iCs/>
        </w:rPr>
        <w:t>b</w:t>
      </w:r>
      <w:r>
        <w:t xml:space="preserve">) applications brought after a conviction is entered, or whether additional time should be added to the ceiling in such cases.” See also </w:t>
      </w:r>
      <w:r>
        <w:rPr>
          <w:i/>
          <w:iCs/>
        </w:rPr>
        <w:t>R. v. Yusuf</w:t>
      </w:r>
      <w:r>
        <w:t xml:space="preserve">, </w:t>
      </w:r>
      <w:r w:rsidRPr="00AB7D93">
        <w:t>2021 SCC 2</w:t>
      </w:r>
      <w:r>
        <w:t>.</w:t>
      </w:r>
    </w:p>
  </w:footnote>
  <w:footnote w:id="20">
    <w:p w14:paraId="77144BB0" w14:textId="5BECABD4" w:rsidR="00AB7D93" w:rsidRPr="00BD5145" w:rsidRDefault="00AB7D93" w:rsidP="00AB7D93">
      <w:pPr>
        <w:pStyle w:val="Notedebasdepage"/>
      </w:pPr>
      <w:r>
        <w:rPr>
          <w:rStyle w:val="Appelnotedebasdep"/>
        </w:rPr>
        <w:footnoteRef/>
      </w:r>
      <w:r>
        <w:t xml:space="preserve"> </w:t>
      </w:r>
      <w:r>
        <w:tab/>
      </w:r>
      <w:r>
        <w:rPr>
          <w:i/>
          <w:iCs/>
        </w:rPr>
        <w:t>R. v. Jordan</w:t>
      </w:r>
      <w:r>
        <w:t xml:space="preserve">, </w:t>
      </w:r>
      <w:r w:rsidRPr="00AB7D93">
        <w:t>2016 SCC 27</w:t>
      </w:r>
      <w:r>
        <w:t xml:space="preserve">, para. 105. See also </w:t>
      </w:r>
      <w:r>
        <w:rPr>
          <w:i/>
          <w:iCs/>
        </w:rPr>
        <w:t>R. v. Cody</w:t>
      </w:r>
      <w:r>
        <w:t xml:space="preserve">, </w:t>
      </w:r>
      <w:r w:rsidRPr="00AB7D93">
        <w:t>2017 SCC 31</w:t>
      </w:r>
      <w:r>
        <w:t>, paras. 20-25.</w:t>
      </w:r>
    </w:p>
  </w:footnote>
  <w:footnote w:id="21">
    <w:p w14:paraId="60A8A821" w14:textId="47C473BB" w:rsidR="00AB7D93" w:rsidRPr="00821C31" w:rsidRDefault="00AB7D93" w:rsidP="00AB7D93">
      <w:pPr>
        <w:pStyle w:val="Notedebasdepage"/>
        <w:rPr>
          <w:lang w:val="fr-CA"/>
        </w:rPr>
      </w:pPr>
      <w:r>
        <w:rPr>
          <w:rStyle w:val="Appelnotedebasdep"/>
        </w:rPr>
        <w:footnoteRef/>
      </w:r>
      <w:r w:rsidRPr="00055CE7">
        <w:t xml:space="preserve"> </w:t>
      </w:r>
      <w:r w:rsidRPr="00055CE7">
        <w:tab/>
      </w:r>
      <w:r w:rsidRPr="00055CE7">
        <w:rPr>
          <w:i/>
          <w:iCs/>
        </w:rPr>
        <w:t>R. v. K.G.K</w:t>
      </w:r>
      <w:r w:rsidRPr="00055CE7">
        <w:t xml:space="preserve">., 2020 SCC 7, paras. </w:t>
      </w:r>
      <w:r w:rsidRPr="002B1C97">
        <w:t xml:space="preserve">33 and 50. See also </w:t>
      </w:r>
      <w:r w:rsidRPr="002B1C97">
        <w:rPr>
          <w:i/>
          <w:iCs/>
        </w:rPr>
        <w:t>Lévesque Paquette c. R.</w:t>
      </w:r>
      <w:r w:rsidRPr="002B1C97">
        <w:t xml:space="preserve">, </w:t>
      </w:r>
      <w:r w:rsidRPr="00AB7D93">
        <w:rPr>
          <w:rFonts w:cs="Arial"/>
        </w:rPr>
        <w:t>2022 QCCA 1047</w:t>
      </w:r>
      <w:r w:rsidRPr="002B1C97">
        <w:t xml:space="preserve">, para. 55; </w:t>
      </w:r>
      <w:r w:rsidRPr="0028131D">
        <w:rPr>
          <w:rFonts w:eastAsia="Arial Unicode MS"/>
          <w:i/>
          <w:iCs/>
        </w:rPr>
        <w:t>Demers</w:t>
      </w:r>
      <w:r w:rsidRPr="002B1C97">
        <w:rPr>
          <w:i/>
          <w:iCs/>
        </w:rPr>
        <w:t xml:space="preserve"> c. R</w:t>
      </w:r>
      <w:r w:rsidRPr="002B1C97">
        <w:t xml:space="preserve">., </w:t>
      </w:r>
      <w:r w:rsidRPr="00AB7D93">
        <w:t>2018 QCCA 617</w:t>
      </w:r>
      <w:r w:rsidRPr="002B1C97">
        <w:t xml:space="preserve">, paras. </w:t>
      </w:r>
      <w:r w:rsidRPr="00055CE7">
        <w:rPr>
          <w:lang w:val="fr-CA"/>
        </w:rPr>
        <w:t xml:space="preserve">41 and 45; </w:t>
      </w:r>
      <w:r w:rsidRPr="00055CE7">
        <w:rPr>
          <w:i/>
          <w:iCs/>
          <w:lang w:val="fr-CA"/>
        </w:rPr>
        <w:t>R. c. Rice</w:t>
      </w:r>
      <w:r w:rsidRPr="00055CE7">
        <w:rPr>
          <w:lang w:val="fr-CA"/>
        </w:rPr>
        <w:t xml:space="preserve">, 2018 QCCA 198, paras. </w:t>
      </w:r>
      <w:r w:rsidRPr="00821C31">
        <w:rPr>
          <w:lang w:val="fr-CA"/>
        </w:rPr>
        <w:t xml:space="preserve">41-42. </w:t>
      </w:r>
    </w:p>
  </w:footnote>
  <w:footnote w:id="22">
    <w:p w14:paraId="4146EA4E" w14:textId="3E8BDAD7"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Lévesque Paquette c. R.</w:t>
      </w:r>
      <w:r w:rsidRPr="00821C31">
        <w:rPr>
          <w:lang w:val="fr-CA"/>
        </w:rPr>
        <w:t xml:space="preserve">, </w:t>
      </w:r>
      <w:r w:rsidRPr="00AB7D93">
        <w:rPr>
          <w:rFonts w:cs="Arial"/>
          <w:lang w:val="fr-CA"/>
        </w:rPr>
        <w:t>2022 QCCA 1047</w:t>
      </w:r>
      <w:r w:rsidRPr="00821C31">
        <w:rPr>
          <w:lang w:val="fr-CA"/>
        </w:rPr>
        <w:t xml:space="preserve">, paras. </w:t>
      </w:r>
      <w:r w:rsidRPr="00055CE7">
        <w:t xml:space="preserve">63-64; </w:t>
      </w:r>
      <w:r w:rsidRPr="00055CE7">
        <w:rPr>
          <w:i/>
          <w:iCs/>
        </w:rPr>
        <w:t>R. v. MacDougall</w:t>
      </w:r>
      <w:r w:rsidRPr="00055CE7">
        <w:t>, [1998] 3 S.C.R. 45, para. </w:t>
      </w:r>
      <w:r>
        <w:t xml:space="preserve">40, referring to </w:t>
      </w:r>
      <w:r>
        <w:rPr>
          <w:i/>
          <w:iCs/>
        </w:rPr>
        <w:t>R. v. Askov</w:t>
      </w:r>
      <w:r>
        <w:t xml:space="preserve">, [1990] 2 S.C.R. 1199, pp. 1231 and 1232, and to </w:t>
      </w:r>
      <w:r>
        <w:rPr>
          <w:i/>
          <w:iCs/>
        </w:rPr>
        <w:t>R. v. Morin</w:t>
      </w:r>
      <w:r>
        <w:t>, [1992] 1 S.C.R. 771, pp. 787 and 788.</w:t>
      </w:r>
    </w:p>
  </w:footnote>
  <w:footnote w:id="23">
    <w:p w14:paraId="589796E3" w14:textId="5AA7BD53" w:rsidR="00AB7D93" w:rsidRPr="00821C31" w:rsidRDefault="00AB7D93" w:rsidP="00AB7D93">
      <w:pPr>
        <w:pStyle w:val="Notedebasdepage"/>
        <w:rPr>
          <w:lang w:val="fr-CA"/>
        </w:rPr>
      </w:pPr>
      <w:r>
        <w:rPr>
          <w:rStyle w:val="Appelnotedebasdep"/>
        </w:rPr>
        <w:footnoteRef/>
      </w:r>
      <w:r w:rsidRPr="00821C31">
        <w:rPr>
          <w:lang w:val="fr-CA"/>
        </w:rPr>
        <w:t xml:space="preserve"> </w:t>
      </w:r>
      <w:r w:rsidRPr="00821C31">
        <w:rPr>
          <w:lang w:val="fr-CA"/>
        </w:rPr>
        <w:tab/>
      </w:r>
      <w:r w:rsidRPr="00821C31">
        <w:rPr>
          <w:i/>
          <w:iCs/>
          <w:lang w:val="fr-CA"/>
        </w:rPr>
        <w:t>R. v. Jordan</w:t>
      </w:r>
      <w:r w:rsidRPr="00821C31">
        <w:rPr>
          <w:lang w:val="fr-CA"/>
        </w:rPr>
        <w:t xml:space="preserve">, </w:t>
      </w:r>
      <w:r w:rsidRPr="00AB7D93">
        <w:rPr>
          <w:lang w:val="fr-CA"/>
        </w:rPr>
        <w:t>2016 SCC 27</w:t>
      </w:r>
      <w:r w:rsidRPr="00821C31">
        <w:rPr>
          <w:lang w:val="fr-CA"/>
        </w:rPr>
        <w:t xml:space="preserve">, paras. </w:t>
      </w:r>
      <w:r>
        <w:t xml:space="preserve">91 and 111. See also </w:t>
      </w:r>
      <w:r>
        <w:rPr>
          <w:i/>
          <w:iCs/>
        </w:rPr>
        <w:t>R. v. K.G.K</w:t>
      </w:r>
      <w:r>
        <w:t xml:space="preserve">., </w:t>
      </w:r>
      <w:r w:rsidRPr="00AB7D93">
        <w:t>2020 SCC 7</w:t>
      </w:r>
      <w:r>
        <w:t xml:space="preserve">, para. </w:t>
      </w:r>
      <w:r w:rsidRPr="00055CE7">
        <w:rPr>
          <w:lang w:val="fr-CA"/>
        </w:rPr>
        <w:t xml:space="preserve">37; </w:t>
      </w:r>
      <w:bookmarkStart w:id="16" w:name="_Hlk203998276"/>
      <w:r w:rsidRPr="00055CE7">
        <w:rPr>
          <w:i/>
          <w:iCs/>
          <w:lang w:val="fr-CA"/>
        </w:rPr>
        <w:t>R. c. Rice</w:t>
      </w:r>
      <w:r w:rsidRPr="00055CE7">
        <w:rPr>
          <w:lang w:val="fr-CA"/>
        </w:rPr>
        <w:t>, 2018 QCCA 198</w:t>
      </w:r>
      <w:bookmarkEnd w:id="16"/>
      <w:r w:rsidRPr="00055CE7">
        <w:rPr>
          <w:lang w:val="fr-CA"/>
        </w:rPr>
        <w:t xml:space="preserve">, paras. </w:t>
      </w:r>
      <w:r w:rsidRPr="00821C31">
        <w:rPr>
          <w:lang w:val="fr-CA"/>
        </w:rPr>
        <w:t>30 and 66-67.</w:t>
      </w:r>
    </w:p>
  </w:footnote>
  <w:footnote w:id="24">
    <w:p w14:paraId="4A847987" w14:textId="5C11FB93" w:rsidR="00AB7D93" w:rsidRPr="00055CE7"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Lévesque Paquette c. R.</w:t>
      </w:r>
      <w:r w:rsidRPr="00821C31">
        <w:rPr>
          <w:lang w:val="fr-CA"/>
        </w:rPr>
        <w:t xml:space="preserve">, </w:t>
      </w:r>
      <w:r w:rsidRPr="00AB7D93">
        <w:rPr>
          <w:rFonts w:cs="Arial"/>
          <w:lang w:val="fr-CA"/>
        </w:rPr>
        <w:t>2022 QCCA 1047</w:t>
      </w:r>
      <w:r w:rsidRPr="00821C31">
        <w:rPr>
          <w:lang w:val="fr-CA"/>
        </w:rPr>
        <w:t xml:space="preserve">, para. </w:t>
      </w:r>
      <w:r w:rsidRPr="00BD5145">
        <w:t xml:space="preserve">57. See also </w:t>
      </w:r>
      <w:r w:rsidRPr="00BD5145">
        <w:rPr>
          <w:i/>
          <w:iCs/>
        </w:rPr>
        <w:t>R. v. Cody</w:t>
      </w:r>
      <w:r w:rsidRPr="00BD5145">
        <w:t xml:space="preserve">, </w:t>
      </w:r>
      <w:r w:rsidRPr="00AB7D93">
        <w:t>2017 SCC 31</w:t>
      </w:r>
      <w:r w:rsidRPr="00BD5145">
        <w:t>, paras. 36</w:t>
      </w:r>
      <w:r w:rsidRPr="00BD5145">
        <w:noBreakHyphen/>
        <w:t xml:space="preserve">37; </w:t>
      </w:r>
      <w:r w:rsidRPr="00BD5145">
        <w:rPr>
          <w:i/>
          <w:iCs/>
        </w:rPr>
        <w:t>R. v. Jordan</w:t>
      </w:r>
      <w:r w:rsidRPr="00BD5145">
        <w:t xml:space="preserve">, </w:t>
      </w:r>
      <w:r w:rsidRPr="00AB7D93">
        <w:t>2016 SCC 27</w:t>
      </w:r>
      <w:r w:rsidRPr="00BD5145">
        <w:t xml:space="preserve">, paras. </w:t>
      </w:r>
      <w:r w:rsidRPr="00055CE7">
        <w:t xml:space="preserve">35, 114 and 137; </w:t>
      </w:r>
      <w:r w:rsidRPr="00055CE7">
        <w:rPr>
          <w:i/>
          <w:iCs/>
        </w:rPr>
        <w:t>R. c. Giroux</w:t>
      </w:r>
      <w:r w:rsidRPr="00055CE7">
        <w:t>, 2025 QCCA 848, paras. 103-108 and 115.</w:t>
      </w:r>
    </w:p>
  </w:footnote>
  <w:footnote w:id="25">
    <w:p w14:paraId="5736FB92" w14:textId="38ED242C" w:rsidR="00AB7D93" w:rsidRPr="00821C31" w:rsidRDefault="00AB7D93" w:rsidP="00AB7D93">
      <w:pPr>
        <w:pStyle w:val="Notedebasdepage"/>
        <w:rPr>
          <w:lang w:val="fr-CA"/>
        </w:rPr>
      </w:pPr>
      <w:r>
        <w:rPr>
          <w:rStyle w:val="Appelnotedebasdep"/>
        </w:rPr>
        <w:footnoteRef/>
      </w:r>
      <w:r w:rsidRPr="00821C31">
        <w:rPr>
          <w:lang w:val="fr-CA"/>
        </w:rPr>
        <w:t xml:space="preserve"> </w:t>
      </w:r>
      <w:r w:rsidRPr="00821C31">
        <w:rPr>
          <w:lang w:val="fr-CA"/>
        </w:rPr>
        <w:tab/>
      </w:r>
      <w:r w:rsidRPr="00821C31">
        <w:rPr>
          <w:i/>
          <w:iCs/>
          <w:lang w:val="fr-CA"/>
        </w:rPr>
        <w:t>Lévesque Paquette c. R.</w:t>
      </w:r>
      <w:r w:rsidRPr="00821C31">
        <w:rPr>
          <w:lang w:val="fr-CA"/>
        </w:rPr>
        <w:t xml:space="preserve">, </w:t>
      </w:r>
      <w:r w:rsidRPr="00AB7D93">
        <w:rPr>
          <w:rFonts w:cs="Arial"/>
          <w:lang w:val="fr-CA"/>
        </w:rPr>
        <w:t>2022 QCCA 1047</w:t>
      </w:r>
      <w:r w:rsidRPr="00821C31">
        <w:rPr>
          <w:lang w:val="fr-CA"/>
        </w:rPr>
        <w:t>, paras. 80-92.</w:t>
      </w:r>
    </w:p>
  </w:footnote>
  <w:footnote w:id="26">
    <w:p w14:paraId="735DED79" w14:textId="19705548" w:rsidR="00AB7D93" w:rsidRPr="00821C31" w:rsidRDefault="00AB7D93" w:rsidP="00AB7D93">
      <w:pPr>
        <w:pStyle w:val="Notedebasdepage"/>
        <w:rPr>
          <w:i/>
          <w:iCs/>
          <w:lang w:val="fr-CA"/>
        </w:rPr>
      </w:pPr>
      <w:r>
        <w:rPr>
          <w:rStyle w:val="Appelnotedebasdep"/>
        </w:rPr>
        <w:footnoteRef/>
      </w:r>
      <w:r w:rsidRPr="00821C31">
        <w:rPr>
          <w:lang w:val="fr-CA"/>
        </w:rPr>
        <w:t xml:space="preserve"> </w:t>
      </w:r>
      <w:r w:rsidRPr="00821C31">
        <w:rPr>
          <w:lang w:val="fr-CA"/>
        </w:rPr>
        <w:tab/>
      </w:r>
      <w:r w:rsidRPr="00821C31">
        <w:rPr>
          <w:i/>
          <w:iCs/>
          <w:lang w:val="fr-CA"/>
        </w:rPr>
        <w:t>R. v. K.G.K</w:t>
      </w:r>
      <w:r w:rsidRPr="00821C31">
        <w:rPr>
          <w:lang w:val="fr-CA"/>
        </w:rPr>
        <w:t xml:space="preserve">., </w:t>
      </w:r>
      <w:r w:rsidRPr="00AB7D93">
        <w:rPr>
          <w:lang w:val="fr-CA"/>
        </w:rPr>
        <w:t>2020 SCC 7</w:t>
      </w:r>
      <w:r w:rsidRPr="00821C31">
        <w:rPr>
          <w:lang w:val="fr-CA"/>
        </w:rPr>
        <w:t>, para. 54.</w:t>
      </w:r>
    </w:p>
  </w:footnote>
  <w:footnote w:id="27">
    <w:p w14:paraId="756C2833" w14:textId="708B8C77"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R. v. Jordan</w:t>
      </w:r>
      <w:r w:rsidRPr="00821C31">
        <w:rPr>
          <w:lang w:val="fr-CA"/>
        </w:rPr>
        <w:t xml:space="preserve">, </w:t>
      </w:r>
      <w:r w:rsidRPr="00AB7D93">
        <w:rPr>
          <w:lang w:val="fr-CA"/>
        </w:rPr>
        <w:t>2016 SCC 27</w:t>
      </w:r>
      <w:r w:rsidRPr="00821C31">
        <w:rPr>
          <w:lang w:val="fr-CA"/>
        </w:rPr>
        <w:t xml:space="preserve">, paras. </w:t>
      </w:r>
      <w:r>
        <w:t xml:space="preserve">41, 117 and 140-141 (majority), and 150 and 167 (Cromwell, J., concurring: “we do not live in a ‘Utopia’”); </w:t>
      </w:r>
      <w:r>
        <w:rPr>
          <w:i/>
          <w:iCs/>
        </w:rPr>
        <w:t>R. v. K.G.K</w:t>
      </w:r>
      <w:r>
        <w:t xml:space="preserve">., </w:t>
      </w:r>
      <w:r w:rsidRPr="00AB7D93">
        <w:t>2020 SCC 7</w:t>
      </w:r>
      <w:r>
        <w:t xml:space="preserve">, paras. 61-62; </w:t>
      </w:r>
      <w:r>
        <w:rPr>
          <w:i/>
          <w:iCs/>
        </w:rPr>
        <w:t>R. v. MacDougall</w:t>
      </w:r>
      <w:r>
        <w:t xml:space="preserve">, [1998] 3 S.C.R. 45, paras. 53-56. </w:t>
      </w:r>
    </w:p>
  </w:footnote>
  <w:footnote w:id="28">
    <w:p w14:paraId="514F266F" w14:textId="7C9A03A9" w:rsidR="00AB7D93" w:rsidRPr="00BD5145" w:rsidRDefault="00AB7D93" w:rsidP="00AB7D93">
      <w:pPr>
        <w:pStyle w:val="Notedebasdepage"/>
      </w:pPr>
      <w:r>
        <w:rPr>
          <w:rStyle w:val="Appelnotedebasdep"/>
        </w:rPr>
        <w:footnoteRef/>
      </w:r>
      <w:r>
        <w:tab/>
      </w:r>
      <w:r>
        <w:rPr>
          <w:i/>
          <w:iCs/>
        </w:rPr>
        <w:t>R. v. K.G.K</w:t>
      </w:r>
      <w:r>
        <w:t xml:space="preserve">., </w:t>
      </w:r>
      <w:r w:rsidRPr="00AB7D93">
        <w:t>2020 SCC 7</w:t>
      </w:r>
      <w:r>
        <w:t xml:space="preserve">, para. 34 [underlining added]. See also </w:t>
      </w:r>
      <w:r>
        <w:rPr>
          <w:i/>
          <w:iCs/>
        </w:rPr>
        <w:t>R. v. Jordan</w:t>
      </w:r>
      <w:r>
        <w:t xml:space="preserve">, </w:t>
      </w:r>
      <w:r w:rsidRPr="00AB7D93">
        <w:t>2016 SCC 27</w:t>
      </w:r>
      <w:r>
        <w:t>, para. 49, footnote 2 (drawing a distinction regarding the sentencing process).</w:t>
      </w:r>
    </w:p>
  </w:footnote>
  <w:footnote w:id="29">
    <w:p w14:paraId="64825E8B" w14:textId="4FC0635F" w:rsidR="00AB7D93" w:rsidRPr="00055CE7" w:rsidRDefault="00AB7D93" w:rsidP="00AB7D93">
      <w:pPr>
        <w:pStyle w:val="Notedebasdepage"/>
        <w:rPr>
          <w:lang w:val="fr-CA"/>
        </w:rPr>
      </w:pPr>
      <w:r>
        <w:rPr>
          <w:rStyle w:val="Appelnotedebasdep"/>
        </w:rPr>
        <w:footnoteRef/>
      </w:r>
      <w:r w:rsidRPr="00074242">
        <w:t xml:space="preserve"> </w:t>
      </w:r>
      <w:r w:rsidRPr="00074242">
        <w:tab/>
      </w:r>
      <w:r w:rsidRPr="00074242">
        <w:rPr>
          <w:i/>
          <w:iCs/>
        </w:rPr>
        <w:t>R. v. K.G.K</w:t>
      </w:r>
      <w:r w:rsidRPr="00074242">
        <w:t xml:space="preserve">., </w:t>
      </w:r>
      <w:r w:rsidRPr="00AB7D93">
        <w:t>2020 SCC 7</w:t>
      </w:r>
      <w:r w:rsidRPr="00074242">
        <w:t xml:space="preserve">, para. 54; </w:t>
      </w:r>
      <w:r w:rsidRPr="00074242">
        <w:rPr>
          <w:i/>
          <w:iCs/>
        </w:rPr>
        <w:t>R. v. Haniffa</w:t>
      </w:r>
      <w:r w:rsidRPr="00074242">
        <w:t xml:space="preserve">, </w:t>
      </w:r>
      <w:r w:rsidRPr="00AB7D93">
        <w:t>2021 ONCA 326</w:t>
      </w:r>
      <w:r w:rsidRPr="00074242">
        <w:t xml:space="preserve">, para. </w:t>
      </w:r>
      <w:r w:rsidRPr="00055CE7">
        <w:rPr>
          <w:lang w:val="fr-CA"/>
        </w:rPr>
        <w:t xml:space="preserve">36, confirmed in </w:t>
      </w:r>
      <w:r w:rsidRPr="00055CE7">
        <w:rPr>
          <w:i/>
          <w:iCs/>
          <w:lang w:val="fr-CA"/>
        </w:rPr>
        <w:t>R. v. Haniffa</w:t>
      </w:r>
      <w:r w:rsidRPr="00055CE7">
        <w:rPr>
          <w:lang w:val="fr-CA"/>
        </w:rPr>
        <w:t>, 2022 SCC 46.</w:t>
      </w:r>
    </w:p>
  </w:footnote>
  <w:footnote w:id="30">
    <w:p w14:paraId="7871DBC0" w14:textId="44416F33" w:rsidR="00AB7D93" w:rsidRPr="00AB7D93" w:rsidRDefault="00AB7D93" w:rsidP="00AB7D93">
      <w:pPr>
        <w:pStyle w:val="Notedebasdepage"/>
        <w:rPr>
          <w:lang w:val="fr-CA"/>
        </w:rPr>
      </w:pPr>
      <w:r>
        <w:rPr>
          <w:rStyle w:val="Appelnotedebasdep"/>
        </w:rPr>
        <w:footnoteRef/>
      </w:r>
      <w:r w:rsidRPr="00821C31">
        <w:rPr>
          <w:lang w:val="fr-CA"/>
        </w:rPr>
        <w:t xml:space="preserve"> </w:t>
      </w:r>
      <w:r w:rsidRPr="00821C31">
        <w:rPr>
          <w:lang w:val="fr-CA"/>
        </w:rPr>
        <w:tab/>
      </w:r>
      <w:r w:rsidRPr="00821C31">
        <w:rPr>
          <w:i/>
          <w:iCs/>
          <w:lang w:val="fr-CA"/>
        </w:rPr>
        <w:t>Lévesque Paquette c. R.</w:t>
      </w:r>
      <w:r w:rsidRPr="00821C31">
        <w:rPr>
          <w:lang w:val="fr-CA"/>
        </w:rPr>
        <w:t xml:space="preserve">, </w:t>
      </w:r>
      <w:r w:rsidRPr="00AB7D93">
        <w:rPr>
          <w:rFonts w:cs="Arial"/>
          <w:lang w:val="fr-CA"/>
        </w:rPr>
        <w:t>2022 QCCA 1047</w:t>
      </w:r>
      <w:r w:rsidRPr="00821C31">
        <w:rPr>
          <w:lang w:val="fr-CA"/>
        </w:rPr>
        <w:t xml:space="preserve">, para. 61; </w:t>
      </w:r>
      <w:r w:rsidRPr="00821C31">
        <w:rPr>
          <w:i/>
          <w:iCs/>
          <w:lang w:val="fr-CA"/>
        </w:rPr>
        <w:t>Deblois c. R</w:t>
      </w:r>
      <w:r w:rsidRPr="00821C31">
        <w:rPr>
          <w:lang w:val="fr-CA"/>
        </w:rPr>
        <w:t xml:space="preserve">., </w:t>
      </w:r>
      <w:r w:rsidRPr="00AB7D93">
        <w:rPr>
          <w:rFonts w:cs="Arial"/>
          <w:lang w:val="fr-CA"/>
        </w:rPr>
        <w:t>2021 QCCA 1093</w:t>
      </w:r>
      <w:r w:rsidRPr="00821C31">
        <w:rPr>
          <w:lang w:val="fr-CA"/>
        </w:rPr>
        <w:t xml:space="preserve">, para. 134; </w:t>
      </w:r>
      <w:r w:rsidRPr="00821C31">
        <w:rPr>
          <w:i/>
          <w:iCs/>
          <w:lang w:val="fr-CA"/>
        </w:rPr>
        <w:t>Demers c. R</w:t>
      </w:r>
      <w:r w:rsidRPr="00821C31">
        <w:rPr>
          <w:lang w:val="fr-CA"/>
        </w:rPr>
        <w:t xml:space="preserve">., </w:t>
      </w:r>
      <w:r w:rsidRPr="00AB7D93">
        <w:rPr>
          <w:rFonts w:cs="Arial"/>
          <w:lang w:val="fr-CA"/>
        </w:rPr>
        <w:t>2018 QCCA 617</w:t>
      </w:r>
      <w:r w:rsidRPr="00821C31">
        <w:rPr>
          <w:lang w:val="fr-CA"/>
        </w:rPr>
        <w:t>, para. 42.</w:t>
      </w:r>
    </w:p>
  </w:footnote>
  <w:footnote w:id="31">
    <w:p w14:paraId="43084C1C" w14:textId="55FC1F16" w:rsidR="00AB7D93" w:rsidRPr="00821C31" w:rsidRDefault="00AB7D93" w:rsidP="00AB7D93">
      <w:pPr>
        <w:pStyle w:val="Notedebasdepage"/>
        <w:rPr>
          <w:lang w:val="fr-CA"/>
        </w:rPr>
      </w:pPr>
      <w:r>
        <w:rPr>
          <w:rStyle w:val="Appelnotedebasdep"/>
        </w:rPr>
        <w:footnoteRef/>
      </w:r>
      <w:r w:rsidRPr="00055CE7">
        <w:rPr>
          <w:lang w:val="fr-CA"/>
        </w:rPr>
        <w:t xml:space="preserve"> </w:t>
      </w:r>
      <w:r w:rsidRPr="00055CE7">
        <w:rPr>
          <w:lang w:val="fr-CA"/>
        </w:rPr>
        <w:tab/>
      </w:r>
      <w:r w:rsidRPr="00055CE7">
        <w:rPr>
          <w:i/>
          <w:iCs/>
          <w:lang w:val="fr-CA"/>
        </w:rPr>
        <w:t>R. v. Charley</w:t>
      </w:r>
      <w:r w:rsidRPr="00055CE7">
        <w:rPr>
          <w:lang w:val="fr-CA"/>
        </w:rPr>
        <w:t xml:space="preserve">, 2019 ONCA 726, para. </w:t>
      </w:r>
      <w:r w:rsidRPr="00821C31">
        <w:rPr>
          <w:lang w:val="fr-CA"/>
        </w:rPr>
        <w:t xml:space="preserve">3. </w:t>
      </w:r>
    </w:p>
  </w:footnote>
  <w:footnote w:id="32">
    <w:p w14:paraId="305CB5A6" w14:textId="0BF0222E" w:rsidR="00AB7D93" w:rsidRPr="00821C31" w:rsidRDefault="00AB7D93" w:rsidP="00AB7D93">
      <w:pPr>
        <w:pStyle w:val="Notedebasdepage"/>
        <w:rPr>
          <w:lang w:val="fr-CA"/>
        </w:rPr>
      </w:pPr>
      <w:r>
        <w:rPr>
          <w:rStyle w:val="Appelnotedebasdep"/>
        </w:rPr>
        <w:footnoteRef/>
      </w:r>
      <w:r w:rsidRPr="00821C31">
        <w:rPr>
          <w:lang w:val="fr-CA"/>
        </w:rPr>
        <w:t xml:space="preserve"> </w:t>
      </w:r>
      <w:r w:rsidRPr="00821C31">
        <w:rPr>
          <w:lang w:val="fr-CA"/>
        </w:rPr>
        <w:tab/>
      </w:r>
      <w:r w:rsidRPr="00821C31">
        <w:rPr>
          <w:i/>
          <w:iCs/>
          <w:lang w:val="fr-CA"/>
        </w:rPr>
        <w:t>Lévesque Paquette c. R</w:t>
      </w:r>
      <w:r w:rsidRPr="00821C31">
        <w:rPr>
          <w:lang w:val="fr-CA"/>
        </w:rPr>
        <w:t xml:space="preserve">., </w:t>
      </w:r>
      <w:r w:rsidRPr="00AB7D93">
        <w:rPr>
          <w:lang w:val="fr-CA"/>
        </w:rPr>
        <w:t>2022 QCCA 1047</w:t>
      </w:r>
      <w:r w:rsidRPr="00821C31">
        <w:rPr>
          <w:lang w:val="fr-CA"/>
        </w:rPr>
        <w:t xml:space="preserve">, para. </w:t>
      </w:r>
      <w:r w:rsidRPr="00AB7D93">
        <w:t xml:space="preserve">61, citing </w:t>
      </w:r>
      <w:r w:rsidRPr="00AB7D93">
        <w:rPr>
          <w:rFonts w:eastAsia="Arial Unicode MS" w:cs="Arial"/>
          <w:i/>
          <w:iCs/>
        </w:rPr>
        <w:t>Demers</w:t>
      </w:r>
      <w:r w:rsidRPr="00AB7D93">
        <w:rPr>
          <w:i/>
          <w:iCs/>
        </w:rPr>
        <w:t xml:space="preserve"> c. R</w:t>
      </w:r>
      <w:r w:rsidRPr="00AB7D93">
        <w:t xml:space="preserve">., 2018 QCCA 617, para. </w:t>
      </w:r>
      <w:r w:rsidRPr="00821C31">
        <w:rPr>
          <w:lang w:val="fr-CA"/>
        </w:rPr>
        <w:t>42.</w:t>
      </w:r>
    </w:p>
  </w:footnote>
  <w:footnote w:id="33">
    <w:p w14:paraId="6FB17539" w14:textId="5F8C76F0" w:rsidR="00AB7D93" w:rsidRPr="00821C31" w:rsidRDefault="00AB7D93" w:rsidP="00AB7D93">
      <w:pPr>
        <w:pStyle w:val="Notedebasdepage"/>
        <w:rPr>
          <w:lang w:val="fr-CA"/>
        </w:rPr>
      </w:pPr>
      <w:r>
        <w:rPr>
          <w:rStyle w:val="Appelnotedebasdep"/>
        </w:rPr>
        <w:footnoteRef/>
      </w:r>
      <w:r w:rsidRPr="00821C31">
        <w:rPr>
          <w:lang w:val="fr-CA"/>
        </w:rPr>
        <w:t xml:space="preserve"> </w:t>
      </w:r>
      <w:r w:rsidRPr="00821C31">
        <w:rPr>
          <w:lang w:val="fr-CA"/>
        </w:rPr>
        <w:tab/>
      </w:r>
      <w:r w:rsidRPr="00821C31">
        <w:rPr>
          <w:i/>
          <w:iCs/>
          <w:lang w:val="fr-CA"/>
        </w:rPr>
        <w:t>Deblois c. R</w:t>
      </w:r>
      <w:r w:rsidRPr="00821C31">
        <w:rPr>
          <w:lang w:val="fr-CA"/>
        </w:rPr>
        <w:t xml:space="preserve">., </w:t>
      </w:r>
      <w:r w:rsidRPr="00AB7D93">
        <w:rPr>
          <w:rFonts w:cs="Arial"/>
          <w:lang w:val="fr-CA"/>
        </w:rPr>
        <w:t>2021 QCCA 1093</w:t>
      </w:r>
      <w:r w:rsidRPr="00821C31">
        <w:rPr>
          <w:lang w:val="fr-CA"/>
        </w:rPr>
        <w:t>, para. 135.</w:t>
      </w:r>
    </w:p>
  </w:footnote>
  <w:footnote w:id="34">
    <w:p w14:paraId="05EAF655" w14:textId="7CD6EF13"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Lévesque Paquette c. R.</w:t>
      </w:r>
      <w:r w:rsidRPr="00821C31">
        <w:rPr>
          <w:lang w:val="fr-CA"/>
        </w:rPr>
        <w:t xml:space="preserve">, </w:t>
      </w:r>
      <w:r w:rsidRPr="00AB7D93">
        <w:rPr>
          <w:rFonts w:cs="Arial"/>
          <w:lang w:val="fr-CA"/>
        </w:rPr>
        <w:t>2022 QCCA 1047</w:t>
      </w:r>
      <w:r w:rsidRPr="00821C31">
        <w:rPr>
          <w:lang w:val="fr-CA"/>
        </w:rPr>
        <w:t xml:space="preserve">, paras. </w:t>
      </w:r>
      <w:r w:rsidRPr="00055CE7">
        <w:rPr>
          <w:lang w:val="fr-CA"/>
        </w:rPr>
        <w:t xml:space="preserve">61, 71; </w:t>
      </w:r>
      <w:r w:rsidRPr="00055CE7">
        <w:rPr>
          <w:i/>
          <w:iCs/>
          <w:lang w:val="fr-CA"/>
        </w:rPr>
        <w:t>Demers c. R</w:t>
      </w:r>
      <w:r w:rsidRPr="00055CE7">
        <w:rPr>
          <w:lang w:val="fr-CA"/>
        </w:rPr>
        <w:t xml:space="preserve">., </w:t>
      </w:r>
      <w:r w:rsidRPr="00055CE7">
        <w:rPr>
          <w:rFonts w:cs="Arial"/>
          <w:lang w:val="fr-CA"/>
        </w:rPr>
        <w:t>2018 QCCA 617</w:t>
      </w:r>
      <w:r w:rsidRPr="00055CE7">
        <w:rPr>
          <w:lang w:val="fr-CA"/>
        </w:rPr>
        <w:t xml:space="preserve">, para. </w:t>
      </w:r>
      <w:r>
        <w:t xml:space="preserve">42, cited in </w:t>
      </w:r>
      <w:r>
        <w:rPr>
          <w:i/>
          <w:iCs/>
        </w:rPr>
        <w:t>Deblois c. R</w:t>
      </w:r>
      <w:r>
        <w:t xml:space="preserve">., </w:t>
      </w:r>
      <w:r w:rsidRPr="00AB7D93">
        <w:rPr>
          <w:rFonts w:cs="Arial"/>
        </w:rPr>
        <w:t>2021 QCCA 1093</w:t>
      </w:r>
      <w:r>
        <w:t>, para. 134.</w:t>
      </w:r>
    </w:p>
  </w:footnote>
  <w:footnote w:id="35">
    <w:p w14:paraId="21F8E0A4" w14:textId="15A04D8C" w:rsidR="00AB7D93" w:rsidRPr="00821C31" w:rsidRDefault="00AB7D93" w:rsidP="00AB7D93">
      <w:pPr>
        <w:pStyle w:val="Notedebasdepage"/>
        <w:rPr>
          <w:lang w:val="fr-CA"/>
        </w:rPr>
      </w:pPr>
      <w:r>
        <w:rPr>
          <w:rStyle w:val="Appelnotedebasdep"/>
        </w:rPr>
        <w:footnoteRef/>
      </w:r>
      <w:r>
        <w:t xml:space="preserve"> </w:t>
      </w:r>
      <w:r>
        <w:tab/>
        <w:t>Within the scope of a s. 11(</w:t>
      </w:r>
      <w:r>
        <w:rPr>
          <w:i/>
          <w:iCs/>
        </w:rPr>
        <w:t>b</w:t>
      </w:r>
      <w:r>
        <w:t xml:space="preserve">) application at the sentencing stage, a judge’s deliberation time must be excluded: </w:t>
      </w:r>
      <w:r>
        <w:rPr>
          <w:i/>
          <w:iCs/>
        </w:rPr>
        <w:t>Lévesque Paquette c. R</w:t>
      </w:r>
      <w:r>
        <w:t xml:space="preserve">., </w:t>
      </w:r>
      <w:r w:rsidRPr="00AB7D93">
        <w:t>2022 QCCA 1047</w:t>
      </w:r>
      <w:r>
        <w:t xml:space="preserve">, paras. 67-69, referring to </w:t>
      </w:r>
      <w:r>
        <w:rPr>
          <w:i/>
          <w:iCs/>
        </w:rPr>
        <w:t>R. c. K.G.K</w:t>
      </w:r>
      <w:r>
        <w:t>., </w:t>
      </w:r>
      <w:r w:rsidRPr="00AB7D93">
        <w:t>2020 SCC 7</w:t>
      </w:r>
      <w:r>
        <w:t xml:space="preserve">; </w:t>
      </w:r>
      <w:r>
        <w:rPr>
          <w:i/>
          <w:iCs/>
        </w:rPr>
        <w:t>Chemama v. R</w:t>
      </w:r>
      <w:r>
        <w:t xml:space="preserve">., </w:t>
      </w:r>
      <w:r w:rsidRPr="00AB7D93">
        <w:t>2024 QCCA 405</w:t>
      </w:r>
      <w:r>
        <w:t xml:space="preserve">, para. </w:t>
      </w:r>
      <w:r w:rsidRPr="00821C31">
        <w:rPr>
          <w:lang w:val="fr-CA"/>
        </w:rPr>
        <w:t>352.</w:t>
      </w:r>
    </w:p>
  </w:footnote>
  <w:footnote w:id="36">
    <w:p w14:paraId="63CEAB2C" w14:textId="77777777" w:rsidR="00AB7D93" w:rsidRPr="00821C31" w:rsidRDefault="00AB7D93" w:rsidP="00AB7D93">
      <w:pPr>
        <w:pStyle w:val="Notedebasdepage"/>
        <w:rPr>
          <w:lang w:val="fr-CA"/>
        </w:rPr>
      </w:pPr>
      <w:r>
        <w:rPr>
          <w:rStyle w:val="Appelnotedebasdep"/>
        </w:rPr>
        <w:footnoteRef/>
      </w:r>
      <w:r w:rsidRPr="00821C31">
        <w:rPr>
          <w:lang w:val="fr-CA"/>
        </w:rPr>
        <w:t xml:space="preserve"> </w:t>
      </w:r>
      <w:r w:rsidRPr="00821C31">
        <w:rPr>
          <w:lang w:val="fr-CA"/>
        </w:rPr>
        <w:tab/>
        <w:t>Judgment on the Motion, para. 44.</w:t>
      </w:r>
    </w:p>
  </w:footnote>
  <w:footnote w:id="37">
    <w:p w14:paraId="0A89AEA6" w14:textId="3E0D3256"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Lévesque Paquette c. R.</w:t>
      </w:r>
      <w:r w:rsidRPr="00821C31">
        <w:rPr>
          <w:lang w:val="fr-CA"/>
        </w:rPr>
        <w:t xml:space="preserve">, </w:t>
      </w:r>
      <w:r w:rsidRPr="00AB7D93">
        <w:rPr>
          <w:lang w:val="fr-CA"/>
        </w:rPr>
        <w:t>2022 QCCA 1047</w:t>
      </w:r>
      <w:r w:rsidRPr="00821C31">
        <w:rPr>
          <w:lang w:val="fr-CA"/>
        </w:rPr>
        <w:t xml:space="preserve">, para. </w:t>
      </w:r>
      <w:r>
        <w:t>65.</w:t>
      </w:r>
    </w:p>
  </w:footnote>
  <w:footnote w:id="38">
    <w:p w14:paraId="5EFDCCDA" w14:textId="08119593" w:rsidR="00AB7D93" w:rsidRPr="00BD5145" w:rsidRDefault="00AB7D93" w:rsidP="00AB7D93">
      <w:pPr>
        <w:pStyle w:val="Notedebasdepage"/>
        <w:rPr>
          <w:i/>
          <w:iCs/>
        </w:rPr>
      </w:pPr>
      <w:r w:rsidRPr="0027309F">
        <w:rPr>
          <w:rStyle w:val="Appelnotedebasdep"/>
        </w:rPr>
        <w:footnoteRef/>
      </w:r>
      <w:r w:rsidRPr="0027309F">
        <w:t xml:space="preserve"> </w:t>
      </w:r>
      <w:r w:rsidRPr="0027309F">
        <w:tab/>
        <w:t>Judgment on the Motion</w:t>
      </w:r>
      <w:r w:rsidRPr="0027309F">
        <w:rPr>
          <w:i/>
          <w:iCs/>
        </w:rPr>
        <w:t>,</w:t>
      </w:r>
      <w:r w:rsidRPr="0027309F">
        <w:t xml:space="preserve"> paras. 21-22, citing</w:t>
      </w:r>
      <w:r w:rsidRPr="0027309F">
        <w:rPr>
          <w:i/>
          <w:iCs/>
        </w:rPr>
        <w:t xml:space="preserve"> R. v. Jordan</w:t>
      </w:r>
      <w:r w:rsidRPr="0027309F">
        <w:t xml:space="preserve">, </w:t>
      </w:r>
      <w:r w:rsidRPr="00AB7D93">
        <w:t>2016 SCC 27</w:t>
      </w:r>
      <w:r w:rsidRPr="0027309F">
        <w:t>, para. 69.</w:t>
      </w:r>
    </w:p>
  </w:footnote>
  <w:footnote w:id="39">
    <w:p w14:paraId="49A8AA07" w14:textId="52B65E63" w:rsidR="00AB7D93" w:rsidRPr="00BD5145" w:rsidRDefault="00AB7D93" w:rsidP="00AB7D93">
      <w:pPr>
        <w:pStyle w:val="Notedebasdepage"/>
      </w:pPr>
      <w:r>
        <w:rPr>
          <w:rStyle w:val="Appelnotedebasdep"/>
        </w:rPr>
        <w:footnoteRef/>
      </w:r>
      <w:r>
        <w:t xml:space="preserve"> </w:t>
      </w:r>
      <w:r>
        <w:tab/>
      </w:r>
      <w:r>
        <w:rPr>
          <w:i/>
          <w:iCs/>
        </w:rPr>
        <w:t>R. c. Giroux</w:t>
      </w:r>
      <w:r>
        <w:t xml:space="preserve">, 2025 QCCA 848, para. 49, referring to </w:t>
      </w:r>
      <w:r>
        <w:rPr>
          <w:i/>
          <w:iCs/>
        </w:rPr>
        <w:t>R. v. Jordan</w:t>
      </w:r>
      <w:r>
        <w:t xml:space="preserve">, </w:t>
      </w:r>
      <w:r w:rsidRPr="00AB7D93">
        <w:t>2016 SCC 27</w:t>
      </w:r>
      <w:r>
        <w:t xml:space="preserve">, para. 75; </w:t>
      </w:r>
      <w:r>
        <w:rPr>
          <w:i/>
          <w:iCs/>
        </w:rPr>
        <w:t>R. c. Rice</w:t>
      </w:r>
      <w:r>
        <w:t xml:space="preserve">, </w:t>
      </w:r>
      <w:r w:rsidRPr="00AB7D93">
        <w:t>2018 QCCA 198</w:t>
      </w:r>
      <w:r>
        <w:t>, paras. 84-85.</w:t>
      </w:r>
    </w:p>
  </w:footnote>
  <w:footnote w:id="40">
    <w:p w14:paraId="668F986C" w14:textId="394FD248" w:rsidR="00AB7D93" w:rsidRPr="00BD5145" w:rsidRDefault="00AB7D93" w:rsidP="00AB7D93">
      <w:pPr>
        <w:pStyle w:val="Notedebasdepage"/>
      </w:pPr>
      <w:r>
        <w:rPr>
          <w:rStyle w:val="Appelnotedebasdep"/>
        </w:rPr>
        <w:footnoteRef/>
      </w:r>
      <w:r>
        <w:t xml:space="preserve"> </w:t>
      </w:r>
      <w:r>
        <w:tab/>
        <w:t>Appendix IV: Lyne St-Louis email, A.M., vol. 1, p. 140.</w:t>
      </w:r>
    </w:p>
  </w:footnote>
  <w:footnote w:id="41">
    <w:p w14:paraId="2DD744D2" w14:textId="77777777" w:rsidR="00AB7D93" w:rsidRPr="00BD5145" w:rsidRDefault="00AB7D93" w:rsidP="00AB7D93">
      <w:pPr>
        <w:pStyle w:val="Notedebasdepage"/>
      </w:pPr>
      <w:r>
        <w:rPr>
          <w:rStyle w:val="Appelnotedebasdep"/>
        </w:rPr>
        <w:footnoteRef/>
      </w:r>
      <w:r>
        <w:t xml:space="preserve"> </w:t>
      </w:r>
      <w:r>
        <w:tab/>
        <w:t xml:space="preserve">Testimony of Lyne St-Louis, Transcript of the February 16, </w:t>
      </w:r>
      <w:proofErr w:type="gramStart"/>
      <w:r>
        <w:t>2023</w:t>
      </w:r>
      <w:proofErr w:type="gramEnd"/>
      <w:r>
        <w:t xml:space="preserve"> hearing, pp. 8, 24 and 28-30, in A.M., vol. 2, pp. 312, 328 and 332-34.</w:t>
      </w:r>
    </w:p>
  </w:footnote>
  <w:footnote w:id="42">
    <w:p w14:paraId="3678011C" w14:textId="77777777" w:rsidR="00AB7D93" w:rsidRPr="00BD5145" w:rsidRDefault="00AB7D93" w:rsidP="00AB7D93">
      <w:pPr>
        <w:pStyle w:val="Notedebasdepage"/>
      </w:pPr>
      <w:r>
        <w:rPr>
          <w:rStyle w:val="Appelnotedebasdep"/>
        </w:rPr>
        <w:footnoteRef/>
      </w:r>
      <w:r>
        <w:t xml:space="preserve"> </w:t>
      </w:r>
      <w:r>
        <w:tab/>
        <w:t xml:space="preserve">Testimony of Lyne St-Louis, Transcript of the February 16, </w:t>
      </w:r>
      <w:proofErr w:type="gramStart"/>
      <w:r>
        <w:t>2023</w:t>
      </w:r>
      <w:proofErr w:type="gramEnd"/>
      <w:r>
        <w:t xml:space="preserve"> hearing, pp. 29-30, in A.M., vol. 2, pp. 332-34.</w:t>
      </w:r>
    </w:p>
  </w:footnote>
  <w:footnote w:id="43">
    <w:p w14:paraId="34CF5A53" w14:textId="77777777" w:rsidR="00AB7D93" w:rsidRPr="00BD5145" w:rsidRDefault="00AB7D93" w:rsidP="00AB7D93">
      <w:pPr>
        <w:pStyle w:val="Notedebasdepage"/>
      </w:pPr>
      <w:r>
        <w:rPr>
          <w:rStyle w:val="Appelnotedebasdep"/>
        </w:rPr>
        <w:footnoteRef/>
      </w:r>
      <w:r>
        <w:t xml:space="preserve"> </w:t>
      </w:r>
      <w:r>
        <w:tab/>
        <w:t xml:space="preserve">Submissions, Transcript of the February 3, </w:t>
      </w:r>
      <w:proofErr w:type="gramStart"/>
      <w:r>
        <w:t>2022</w:t>
      </w:r>
      <w:proofErr w:type="gramEnd"/>
      <w:r>
        <w:t xml:space="preserve"> hearing, pp. 2-3, in A.M., vol. 2, pp. 258-59; Judgment on the Motion, para. 19.</w:t>
      </w:r>
    </w:p>
  </w:footnote>
  <w:footnote w:id="44">
    <w:p w14:paraId="11C9031D" w14:textId="77777777" w:rsidR="00AB7D93" w:rsidRPr="009B3051" w:rsidRDefault="00AB7D93" w:rsidP="00AB7D93">
      <w:pPr>
        <w:pStyle w:val="Notedebasdepage"/>
      </w:pPr>
      <w:r>
        <w:rPr>
          <w:rStyle w:val="Appelnotedebasdep"/>
        </w:rPr>
        <w:footnoteRef/>
      </w:r>
      <w:r w:rsidRPr="009B3051">
        <w:t xml:space="preserve"> </w:t>
      </w:r>
      <w:r w:rsidRPr="009B3051">
        <w:tab/>
        <w:t xml:space="preserve">Testimony of Lyne St-Louis, Transcript of the February 16, </w:t>
      </w:r>
      <w:proofErr w:type="gramStart"/>
      <w:r w:rsidRPr="009B3051">
        <w:t>2023</w:t>
      </w:r>
      <w:proofErr w:type="gramEnd"/>
      <w:r w:rsidRPr="009B3051">
        <w:t xml:space="preserve"> hearing, p. 22, in A.M., vol. 2, p. 326: </w:t>
      </w:r>
      <w:r>
        <w:t>“</w:t>
      </w:r>
      <w:r w:rsidRPr="009B3051">
        <w:t xml:space="preserve">So she was going to leave in August, and then she... we had booked a room and everything. And then she came up with symptoms of... which was </w:t>
      </w:r>
      <w:proofErr w:type="gramStart"/>
      <w:r w:rsidRPr="009B3051">
        <w:t>similar to</w:t>
      </w:r>
      <w:proofErr w:type="gramEnd"/>
      <w:r w:rsidRPr="009B3051">
        <w:t xml:space="preserve"> COVID. </w:t>
      </w:r>
      <w:proofErr w:type="gramStart"/>
      <w:r w:rsidRPr="009B3051">
        <w:t>So</w:t>
      </w:r>
      <w:proofErr w:type="gramEnd"/>
      <w:r w:rsidRPr="009B3051">
        <w:t xml:space="preserve"> we had to wait till she got tested, and then... then after that... and she eventually got kind of a flu or something. So... but she couldn</w:t>
      </w:r>
      <w:r>
        <w:t>’</w:t>
      </w:r>
      <w:r w:rsidRPr="009B3051">
        <w:t>t travel because of that.</w:t>
      </w:r>
      <w:r>
        <w:t>”</w:t>
      </w:r>
    </w:p>
  </w:footnote>
  <w:footnote w:id="45">
    <w:p w14:paraId="678924A8" w14:textId="114A9552" w:rsidR="00AB7D93" w:rsidRPr="00055CE7" w:rsidRDefault="00AB7D93" w:rsidP="00AB7D93">
      <w:pPr>
        <w:pStyle w:val="Notedebasdepage"/>
      </w:pPr>
      <w:r>
        <w:rPr>
          <w:rStyle w:val="Appelnotedebasdep"/>
        </w:rPr>
        <w:footnoteRef/>
      </w:r>
      <w:r w:rsidRPr="00055CE7">
        <w:t xml:space="preserve"> </w:t>
      </w:r>
      <w:r w:rsidRPr="00055CE7">
        <w:tab/>
      </w:r>
      <w:r w:rsidRPr="00055CE7">
        <w:rPr>
          <w:i/>
          <w:iCs/>
        </w:rPr>
        <w:t>Lévesque Paquette c. R</w:t>
      </w:r>
      <w:r w:rsidRPr="00055CE7">
        <w:t xml:space="preserve">., 2022 QCCA 1047, para. </w:t>
      </w:r>
      <w:r w:rsidRPr="00AB7D93">
        <w:t xml:space="preserve">57, citing </w:t>
      </w:r>
      <w:r w:rsidRPr="00AB7D93">
        <w:rPr>
          <w:i/>
          <w:iCs/>
        </w:rPr>
        <w:t>R. v. Jordan</w:t>
      </w:r>
      <w:r w:rsidRPr="00AB7D93">
        <w:t xml:space="preserve">, 2016 SCC 27, para. </w:t>
      </w:r>
      <w:r w:rsidRPr="00057CFD">
        <w:t xml:space="preserve">41. See also </w:t>
      </w:r>
      <w:r w:rsidRPr="00057CFD">
        <w:rPr>
          <w:i/>
          <w:iCs/>
        </w:rPr>
        <w:t>R. c. Giroux</w:t>
      </w:r>
      <w:r w:rsidRPr="00057CFD">
        <w:t xml:space="preserve">, </w:t>
      </w:r>
      <w:r w:rsidRPr="00AB7D93">
        <w:t>2025 QCCA 848</w:t>
      </w:r>
      <w:r w:rsidRPr="00057CFD">
        <w:t xml:space="preserve">, para. </w:t>
      </w:r>
      <w:r w:rsidRPr="00055CE7">
        <w:t>50.</w:t>
      </w:r>
    </w:p>
  </w:footnote>
  <w:footnote w:id="46">
    <w:p w14:paraId="135038EB" w14:textId="3783B47C" w:rsidR="00AB7D93" w:rsidRPr="00BD5145" w:rsidRDefault="00AB7D93" w:rsidP="00AB7D93">
      <w:pPr>
        <w:pStyle w:val="Notedebasdepage"/>
        <w:rPr>
          <w:rFonts w:eastAsia="Arial Unicode MS"/>
        </w:rPr>
      </w:pPr>
      <w:r>
        <w:rPr>
          <w:rStyle w:val="Appelnotedebasdep"/>
        </w:rPr>
        <w:footnoteRef/>
      </w:r>
      <w:r w:rsidRPr="00055CE7">
        <w:t xml:space="preserve"> </w:t>
      </w:r>
      <w:r w:rsidRPr="00055CE7">
        <w:tab/>
      </w:r>
      <w:r w:rsidRPr="00055CE7">
        <w:rPr>
          <w:rFonts w:eastAsia="Arial Unicode MS"/>
          <w:i/>
          <w:iCs/>
        </w:rPr>
        <w:t>R. v. Varennes</w:t>
      </w:r>
      <w:r w:rsidRPr="00055CE7">
        <w:rPr>
          <w:rFonts w:eastAsia="Arial Unicode MS"/>
        </w:rPr>
        <w:t xml:space="preserve">, 2025 SCC 22, para. </w:t>
      </w:r>
      <w:r w:rsidRPr="00AB7D93">
        <w:rPr>
          <w:rFonts w:eastAsia="Arial Unicode MS"/>
        </w:rPr>
        <w:t xml:space="preserve">96; </w:t>
      </w:r>
      <w:r w:rsidRPr="00AB7D93">
        <w:rPr>
          <w:i/>
          <w:iCs/>
        </w:rPr>
        <w:t>R v. Vassell</w:t>
      </w:r>
      <w:r w:rsidRPr="00AB7D93">
        <w:rPr>
          <w:iCs/>
        </w:rPr>
        <w:t xml:space="preserve">, </w:t>
      </w:r>
      <w:r w:rsidRPr="00AB7D93">
        <w:t xml:space="preserve">2016 SCC 26, para. </w:t>
      </w:r>
      <w:r w:rsidRPr="00DA7905">
        <w:t xml:space="preserve">10; </w:t>
      </w:r>
      <w:r w:rsidRPr="00DA7905">
        <w:rPr>
          <w:i/>
          <w:iCs/>
        </w:rPr>
        <w:t>R. v. Jordan</w:t>
      </w:r>
      <w:r w:rsidRPr="00DA7905">
        <w:t>,</w:t>
      </w:r>
      <w:r>
        <w:t xml:space="preserve"> </w:t>
      </w:r>
      <w:r w:rsidRPr="00AB7D93">
        <w:t>2016</w:t>
      </w:r>
      <w:r>
        <w:t> </w:t>
      </w:r>
      <w:r w:rsidRPr="00AB7D93">
        <w:t>SCC 27</w:t>
      </w:r>
      <w:r w:rsidRPr="00DA7905">
        <w:t xml:space="preserve">, para. 75; </w:t>
      </w:r>
      <w:r w:rsidRPr="00DA7905">
        <w:rPr>
          <w:i/>
          <w:iCs/>
        </w:rPr>
        <w:t>R. c. Giroux</w:t>
      </w:r>
      <w:r w:rsidRPr="00DA7905">
        <w:t xml:space="preserve">, </w:t>
      </w:r>
      <w:r w:rsidRPr="00AB7D93">
        <w:t>2025 QCCA 848</w:t>
      </w:r>
      <w:r>
        <w:t xml:space="preserve">, para. 49, referring to </w:t>
      </w:r>
      <w:r>
        <w:rPr>
          <w:i/>
          <w:iCs/>
        </w:rPr>
        <w:t>R. c. Rice</w:t>
      </w:r>
      <w:r>
        <w:t xml:space="preserve">, </w:t>
      </w:r>
      <w:r w:rsidRPr="00AB7D93">
        <w:t>2018</w:t>
      </w:r>
      <w:r>
        <w:t> </w:t>
      </w:r>
      <w:r w:rsidRPr="00AB7D93">
        <w:t>QCCA</w:t>
      </w:r>
      <w:r>
        <w:t> </w:t>
      </w:r>
      <w:r w:rsidRPr="00AB7D93">
        <w:t>198,</w:t>
      </w:r>
      <w:r>
        <w:t xml:space="preserve"> paras. 84-85; </w:t>
      </w:r>
      <w:r>
        <w:rPr>
          <w:i/>
          <w:iCs/>
        </w:rPr>
        <w:t>R. v. R.B.-C</w:t>
      </w:r>
      <w:r>
        <w:t xml:space="preserve">., </w:t>
      </w:r>
      <w:r w:rsidRPr="00AB7D93">
        <w:t>2024 ONCA 930</w:t>
      </w:r>
      <w:r>
        <w:t>, para. 74.</w:t>
      </w:r>
    </w:p>
  </w:footnote>
  <w:footnote w:id="47">
    <w:p w14:paraId="07A45AD4" w14:textId="6D2BD789" w:rsidR="00AB7D93" w:rsidRPr="00BD5145" w:rsidRDefault="00AB7D93" w:rsidP="00AB7D93">
      <w:pPr>
        <w:pStyle w:val="Notedebasdepage"/>
      </w:pPr>
      <w:r>
        <w:rPr>
          <w:rStyle w:val="Appelnotedebasdep"/>
        </w:rPr>
        <w:footnoteRef/>
      </w:r>
      <w:r>
        <w:t xml:space="preserve"> </w:t>
      </w:r>
      <w:r>
        <w:tab/>
        <w:t xml:space="preserve">Judgment on the Motion, paras. 47-49, referring to </w:t>
      </w:r>
      <w:r>
        <w:rPr>
          <w:i/>
          <w:iCs/>
        </w:rPr>
        <w:t>Aullaluk v. R</w:t>
      </w:r>
      <w:r>
        <w:t xml:space="preserve">., </w:t>
      </w:r>
      <w:r w:rsidRPr="00C32E62">
        <w:t>2022 QCCA 1081</w:t>
      </w:r>
      <w:r>
        <w:t>, paras. 34 and 40.</w:t>
      </w:r>
    </w:p>
  </w:footnote>
  <w:footnote w:id="48">
    <w:p w14:paraId="473D271F" w14:textId="77777777" w:rsidR="00AB7D93" w:rsidRPr="00BD5145" w:rsidRDefault="00AB7D93" w:rsidP="00AB7D93">
      <w:pPr>
        <w:pStyle w:val="Notedebasdepage"/>
      </w:pPr>
      <w:r>
        <w:rPr>
          <w:rStyle w:val="Appelnotedebasdep"/>
        </w:rPr>
        <w:footnoteRef/>
      </w:r>
      <w:r>
        <w:t xml:space="preserve"> </w:t>
      </w:r>
      <w:r>
        <w:tab/>
        <w:t>Judgment on the Motion, paras. 35-38.</w:t>
      </w:r>
    </w:p>
  </w:footnote>
  <w:footnote w:id="49">
    <w:p w14:paraId="10129B45" w14:textId="3BE02AA5" w:rsidR="00AB7D93" w:rsidRPr="00055CE7" w:rsidRDefault="00AB7D93" w:rsidP="00AB7D93">
      <w:pPr>
        <w:pStyle w:val="Notedebasdepage"/>
        <w:rPr>
          <w:lang w:val="fr-CA"/>
        </w:rPr>
      </w:pPr>
      <w:r>
        <w:rPr>
          <w:rStyle w:val="Appelnotedebasdep"/>
        </w:rPr>
        <w:footnoteRef/>
      </w:r>
      <w:r w:rsidRPr="00055CE7">
        <w:t xml:space="preserve"> </w:t>
      </w:r>
      <w:r w:rsidRPr="00055CE7">
        <w:tab/>
      </w:r>
      <w:r w:rsidRPr="00055CE7">
        <w:rPr>
          <w:i/>
          <w:iCs/>
        </w:rPr>
        <w:t>R. v. Jordan</w:t>
      </w:r>
      <w:r w:rsidRPr="00055CE7">
        <w:t xml:space="preserve">, 2016 SCC 27, para. </w:t>
      </w:r>
      <w:r w:rsidRPr="00055CE7">
        <w:rPr>
          <w:lang w:val="fr-CA"/>
        </w:rPr>
        <w:t>64.</w:t>
      </w:r>
    </w:p>
  </w:footnote>
  <w:footnote w:id="50">
    <w:p w14:paraId="34DB52BA" w14:textId="658355DC" w:rsidR="00AB7D93" w:rsidRPr="00BD5145" w:rsidRDefault="00AB7D93" w:rsidP="00AB7D93">
      <w:pPr>
        <w:pStyle w:val="Notedebasdepage"/>
      </w:pPr>
      <w:r>
        <w:rPr>
          <w:rStyle w:val="Appelnotedebasdep"/>
        </w:rPr>
        <w:footnoteRef/>
      </w:r>
      <w:r w:rsidRPr="00C32E62">
        <w:rPr>
          <w:lang w:val="fr-CA"/>
        </w:rPr>
        <w:t xml:space="preserve"> </w:t>
      </w:r>
      <w:r w:rsidRPr="00C32E62">
        <w:rPr>
          <w:lang w:val="fr-CA"/>
        </w:rPr>
        <w:tab/>
      </w:r>
      <w:r w:rsidRPr="00C32E62">
        <w:rPr>
          <w:i/>
          <w:iCs/>
          <w:lang w:val="fr-CA"/>
        </w:rPr>
        <w:t>R. c. Rice</w:t>
      </w:r>
      <w:r w:rsidRPr="00C32E62">
        <w:rPr>
          <w:lang w:val="fr-CA"/>
        </w:rPr>
        <w:t xml:space="preserve">, 2018 QCCA 198, para. </w:t>
      </w:r>
      <w:r>
        <w:t>75.</w:t>
      </w:r>
    </w:p>
  </w:footnote>
  <w:footnote w:id="51">
    <w:p w14:paraId="5D0166EF" w14:textId="15893479" w:rsidR="00AB7D93" w:rsidRPr="00BD5145" w:rsidRDefault="00AB7D93" w:rsidP="00AB7D93">
      <w:pPr>
        <w:pStyle w:val="Notedebasdepage"/>
      </w:pPr>
      <w:r>
        <w:rPr>
          <w:rStyle w:val="Appelnotedebasdep"/>
        </w:rPr>
        <w:footnoteRef/>
      </w:r>
      <w:r>
        <w:t xml:space="preserve"> </w:t>
      </w:r>
      <w:r>
        <w:tab/>
      </w:r>
      <w:r>
        <w:rPr>
          <w:i/>
          <w:iCs/>
        </w:rPr>
        <w:t>R. v. Vassell</w:t>
      </w:r>
      <w:r>
        <w:t xml:space="preserve">, </w:t>
      </w:r>
      <w:r w:rsidRPr="00C32E62">
        <w:t>2016 SCC 26</w:t>
      </w:r>
      <w:r>
        <w:t xml:space="preserve">, para. 3, referring to </w:t>
      </w:r>
      <w:r>
        <w:rPr>
          <w:i/>
          <w:iCs/>
        </w:rPr>
        <w:t>R. v. Godin</w:t>
      </w:r>
      <w:r>
        <w:t>,</w:t>
      </w:r>
      <w:r w:rsidR="00C32E62">
        <w:t xml:space="preserve"> </w:t>
      </w:r>
      <w:r w:rsidRPr="00C32E62">
        <w:t>2009 SCC 26</w:t>
      </w:r>
      <w:r>
        <w:t xml:space="preserve">, para. 18, cited in </w:t>
      </w:r>
      <w:r>
        <w:rPr>
          <w:i/>
          <w:iCs/>
        </w:rPr>
        <w:t>R.</w:t>
      </w:r>
      <w:r w:rsidR="00C32E62">
        <w:rPr>
          <w:i/>
          <w:iCs/>
        </w:rPr>
        <w:t> </w:t>
      </w:r>
      <w:r>
        <w:rPr>
          <w:i/>
          <w:iCs/>
        </w:rPr>
        <w:t>c.</w:t>
      </w:r>
      <w:r w:rsidR="00C32E62">
        <w:rPr>
          <w:i/>
          <w:iCs/>
        </w:rPr>
        <w:t> </w:t>
      </w:r>
      <w:r>
        <w:rPr>
          <w:i/>
          <w:iCs/>
        </w:rPr>
        <w:t>Huard</w:t>
      </w:r>
      <w:r>
        <w:t xml:space="preserve">, </w:t>
      </w:r>
      <w:r w:rsidRPr="00C32E62">
        <w:t>2016 QCCA 1701</w:t>
      </w:r>
      <w:r>
        <w:t xml:space="preserve">. To the same effect, see </w:t>
      </w:r>
      <w:r>
        <w:rPr>
          <w:i/>
          <w:iCs/>
        </w:rPr>
        <w:t>R. v.</w:t>
      </w:r>
      <w:r>
        <w:t> </w:t>
      </w:r>
      <w:r>
        <w:rPr>
          <w:i/>
          <w:iCs/>
        </w:rPr>
        <w:t>Jordan</w:t>
      </w:r>
      <w:r>
        <w:t>,</w:t>
      </w:r>
      <w:r w:rsidR="00C32E62">
        <w:t xml:space="preserve"> 2</w:t>
      </w:r>
      <w:r w:rsidRPr="00C32E62">
        <w:t>016 SCC 27</w:t>
      </w:r>
      <w:r>
        <w:t>, para. 111.</w:t>
      </w:r>
    </w:p>
  </w:footnote>
  <w:footnote w:id="52">
    <w:p w14:paraId="19D6D5F6" w14:textId="7F6487EF" w:rsidR="00AB7D93" w:rsidRPr="00BD5145" w:rsidRDefault="00AB7D93" w:rsidP="00AB7D93">
      <w:pPr>
        <w:pStyle w:val="Notedebasdepage"/>
      </w:pPr>
      <w:r>
        <w:rPr>
          <w:rStyle w:val="Appelnotedebasdep"/>
        </w:rPr>
        <w:footnoteRef/>
      </w:r>
      <w:r w:rsidRPr="00055CE7">
        <w:t xml:space="preserve"> </w:t>
      </w:r>
      <w:r w:rsidRPr="00055CE7">
        <w:tab/>
      </w:r>
      <w:r w:rsidRPr="00055CE7">
        <w:rPr>
          <w:i/>
          <w:iCs/>
        </w:rPr>
        <w:t>Lévesque Paquette c. R.</w:t>
      </w:r>
      <w:r w:rsidRPr="00055CE7">
        <w:t xml:space="preserve">, 2022 QCCA 1047, para. </w:t>
      </w:r>
      <w:r>
        <w:t xml:space="preserve">63. See also </w:t>
      </w:r>
      <w:r>
        <w:rPr>
          <w:i/>
          <w:iCs/>
        </w:rPr>
        <w:t>Chemama v. R</w:t>
      </w:r>
      <w:r>
        <w:t xml:space="preserve">., </w:t>
      </w:r>
      <w:r w:rsidRPr="00C32E62">
        <w:t>2024 QCCA 405</w:t>
      </w:r>
      <w:r>
        <w:t>, para. 351.</w:t>
      </w:r>
    </w:p>
  </w:footnote>
  <w:footnote w:id="53">
    <w:p w14:paraId="61DB10DD" w14:textId="33995126" w:rsidR="00AB7D93" w:rsidRPr="00BD5145" w:rsidRDefault="00AB7D93" w:rsidP="00AB7D93">
      <w:pPr>
        <w:pStyle w:val="Notedebasdepage"/>
      </w:pPr>
      <w:r>
        <w:rPr>
          <w:rStyle w:val="Appelnotedebasdep"/>
        </w:rPr>
        <w:footnoteRef/>
      </w:r>
      <w:r>
        <w:t xml:space="preserve"> </w:t>
      </w:r>
      <w:r>
        <w:tab/>
      </w:r>
      <w:r>
        <w:rPr>
          <w:i/>
          <w:iCs/>
        </w:rPr>
        <w:t>R. c. Giroux</w:t>
      </w:r>
      <w:r>
        <w:t xml:space="preserve">, </w:t>
      </w:r>
      <w:r w:rsidRPr="00C32E62">
        <w:t>2025 QCCA 848</w:t>
      </w:r>
      <w:r>
        <w:t>, para. 101, see also paras. 85, 102 and 113: [</w:t>
      </w:r>
      <w:r w:rsidRPr="002C5A9B">
        <w:rPr>
          <w:smallCaps/>
        </w:rPr>
        <w:t>translation</w:t>
      </w:r>
      <w:r>
        <w:t>] “In the present case, the Crown is right to say that the respondent acted illegitimately by waiting some 13 months before presenting the application that raised the issue of delays, thereby undermining any possibility of responding thereto.”</w:t>
      </w:r>
    </w:p>
  </w:footnote>
  <w:footnote w:id="54">
    <w:p w14:paraId="2C22C79A" w14:textId="77777777" w:rsidR="00AB7D93" w:rsidRPr="00BD5145" w:rsidRDefault="00AB7D93" w:rsidP="00AB7D93">
      <w:pPr>
        <w:pStyle w:val="Notedebasdepage"/>
      </w:pPr>
      <w:r w:rsidRPr="004733DB">
        <w:rPr>
          <w:rStyle w:val="Appelnotedebasdep"/>
        </w:rPr>
        <w:footnoteRef/>
      </w:r>
      <w:r w:rsidRPr="004733DB">
        <w:t xml:space="preserve"> </w:t>
      </w:r>
      <w:r w:rsidRPr="004733DB">
        <w:tab/>
        <w:t xml:space="preserve">Submissions, Transcript of the August 19, </w:t>
      </w:r>
      <w:proofErr w:type="gramStart"/>
      <w:r w:rsidRPr="004733DB">
        <w:t>2021</w:t>
      </w:r>
      <w:proofErr w:type="gramEnd"/>
      <w:r w:rsidRPr="004733DB">
        <w:t xml:space="preserve"> hearing, A.M., vol. 2, p. 248ff.</w:t>
      </w:r>
    </w:p>
  </w:footnote>
  <w:footnote w:id="55">
    <w:p w14:paraId="4D502634" w14:textId="77777777" w:rsidR="00AB7D93" w:rsidRPr="00BD5145" w:rsidRDefault="00AB7D93" w:rsidP="00AB7D93">
      <w:pPr>
        <w:pStyle w:val="Notedebasdepage"/>
      </w:pPr>
      <w:r w:rsidRPr="004733DB">
        <w:rPr>
          <w:rStyle w:val="Appelnotedebasdep"/>
        </w:rPr>
        <w:footnoteRef/>
      </w:r>
      <w:r w:rsidRPr="004733DB">
        <w:t xml:space="preserve"> </w:t>
      </w:r>
      <w:r w:rsidRPr="004733DB">
        <w:tab/>
        <w:t xml:space="preserve">Submissions, Transcript of the February 3, </w:t>
      </w:r>
      <w:proofErr w:type="gramStart"/>
      <w:r w:rsidRPr="004733DB">
        <w:t>2022</w:t>
      </w:r>
      <w:proofErr w:type="gramEnd"/>
      <w:r w:rsidRPr="004733DB">
        <w:t xml:space="preserve"> hearing, p. 3, in A.M., vol. 2, p. 259.</w:t>
      </w:r>
    </w:p>
  </w:footnote>
  <w:footnote w:id="56">
    <w:p w14:paraId="16D668C4" w14:textId="77777777" w:rsidR="00AB7D93" w:rsidRPr="00BD5145" w:rsidRDefault="00AB7D93" w:rsidP="00AB7D93">
      <w:pPr>
        <w:pStyle w:val="Notedebasdepage"/>
      </w:pPr>
      <w:r w:rsidRPr="004733DB">
        <w:rPr>
          <w:rStyle w:val="Appelnotedebasdep"/>
        </w:rPr>
        <w:footnoteRef/>
      </w:r>
      <w:r w:rsidRPr="004733DB">
        <w:t xml:space="preserve"> </w:t>
      </w:r>
      <w:r w:rsidRPr="004733DB">
        <w:tab/>
        <w:t xml:space="preserve">Submissions, Transcript of the July 13, </w:t>
      </w:r>
      <w:proofErr w:type="gramStart"/>
      <w:r w:rsidRPr="004733DB">
        <w:t>2022</w:t>
      </w:r>
      <w:proofErr w:type="gramEnd"/>
      <w:r w:rsidRPr="004733DB">
        <w:t xml:space="preserve"> hearing, p. 2, in A.M., vol. 2, p. 263. See Judgment on the Motion, paras. 39</w:t>
      </w:r>
      <w:r w:rsidRPr="004733DB">
        <w:noBreakHyphen/>
        <w:t xml:space="preserve">43: </w:t>
      </w:r>
      <w:proofErr w:type="gramStart"/>
      <w:r w:rsidRPr="004733DB">
        <w:t>With regard to</w:t>
      </w:r>
      <w:proofErr w:type="gramEnd"/>
      <w:r w:rsidRPr="004733DB">
        <w:t xml:space="preserve"> the cancellation of the Itinerant Court’s hearing week, the judge considered that it was not neces</w:t>
      </w:r>
      <w:r>
        <w:t>sary to rule definitively on the characterization of this delay, since it had little impact on the calculation.</w:t>
      </w:r>
    </w:p>
  </w:footnote>
  <w:footnote w:id="57">
    <w:p w14:paraId="3A7DF2CE" w14:textId="77777777" w:rsidR="00AB7D93" w:rsidRPr="00BD5145" w:rsidRDefault="00AB7D93" w:rsidP="00AB7D93">
      <w:pPr>
        <w:pStyle w:val="Notedebasdepage"/>
      </w:pPr>
      <w:r>
        <w:rPr>
          <w:rStyle w:val="Appelnotedebasdep"/>
        </w:rPr>
        <w:footnoteRef/>
      </w:r>
      <w:r>
        <w:t xml:space="preserve"> </w:t>
      </w:r>
      <w:r>
        <w:tab/>
        <w:t xml:space="preserve">Submissions, Transcript of the August </w:t>
      </w:r>
      <w:r w:rsidRPr="004733DB">
        <w:t xml:space="preserve">19, </w:t>
      </w:r>
      <w:proofErr w:type="gramStart"/>
      <w:r w:rsidRPr="004733DB">
        <w:t>2021</w:t>
      </w:r>
      <w:proofErr w:type="gramEnd"/>
      <w:r w:rsidRPr="004733DB">
        <w:t xml:space="preserve"> hearing, p. 2, in A.M., vol. 2, p. 269.</w:t>
      </w:r>
    </w:p>
  </w:footnote>
  <w:footnote w:id="58">
    <w:p w14:paraId="0CD8AD3E" w14:textId="5BFA6EC5" w:rsidR="00AB7D93" w:rsidRPr="00821C31" w:rsidRDefault="00AB7D93" w:rsidP="00AB7D93">
      <w:pPr>
        <w:pStyle w:val="Notedebasdepage"/>
        <w:rPr>
          <w:lang w:val="fr-CA"/>
        </w:rPr>
      </w:pPr>
      <w:r>
        <w:rPr>
          <w:rStyle w:val="Appelnotedebasdep"/>
        </w:rPr>
        <w:footnoteRef/>
      </w:r>
      <w:r>
        <w:t xml:space="preserve"> </w:t>
      </w:r>
      <w:r>
        <w:tab/>
      </w:r>
      <w:r>
        <w:rPr>
          <w:i/>
          <w:iCs/>
        </w:rPr>
        <w:t>Pinard c. R</w:t>
      </w:r>
      <w:r>
        <w:t xml:space="preserve">., </w:t>
      </w:r>
      <w:r w:rsidRPr="00C32E62">
        <w:t>2025 QCCA 245</w:t>
      </w:r>
      <w:r>
        <w:t xml:space="preserve">, para. </w:t>
      </w:r>
      <w:r w:rsidRPr="00821C31">
        <w:rPr>
          <w:lang w:val="fr-CA"/>
        </w:rPr>
        <w:t>62.</w:t>
      </w:r>
    </w:p>
  </w:footnote>
  <w:footnote w:id="59">
    <w:p w14:paraId="6F7AE648" w14:textId="16275845"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R. c. Giroux</w:t>
      </w:r>
      <w:r w:rsidRPr="00821C31">
        <w:rPr>
          <w:lang w:val="fr-CA"/>
        </w:rPr>
        <w:t xml:space="preserve">, </w:t>
      </w:r>
      <w:r w:rsidRPr="00C32E62">
        <w:rPr>
          <w:lang w:val="fr-CA"/>
        </w:rPr>
        <w:t>2025 QCCA 848</w:t>
      </w:r>
      <w:r w:rsidRPr="00821C31">
        <w:rPr>
          <w:lang w:val="fr-CA"/>
        </w:rPr>
        <w:t xml:space="preserve">, paras. </w:t>
      </w:r>
      <w:r w:rsidRPr="00055CE7">
        <w:t xml:space="preserve">101-107. See also </w:t>
      </w:r>
      <w:r w:rsidRPr="00055CE7">
        <w:rPr>
          <w:i/>
          <w:iCs/>
        </w:rPr>
        <w:t>Lévesque Paquette c. R.</w:t>
      </w:r>
      <w:r w:rsidRPr="00055CE7">
        <w:t xml:space="preserve">, 2022 QCCA 1047, para. </w:t>
      </w:r>
      <w:r w:rsidRPr="005B50F9">
        <w:t xml:space="preserve">70, referring to </w:t>
      </w:r>
      <w:r w:rsidRPr="005B50F9">
        <w:rPr>
          <w:i/>
          <w:iCs/>
        </w:rPr>
        <w:t>R. v. J.F</w:t>
      </w:r>
      <w:r w:rsidRPr="005B50F9">
        <w:t>., 2022 SCC 17, paras. 49 and 52.</w:t>
      </w:r>
    </w:p>
  </w:footnote>
  <w:footnote w:id="60">
    <w:p w14:paraId="58E1524A" w14:textId="0DA82B38" w:rsidR="00AB7D93" w:rsidRPr="00BD5145" w:rsidRDefault="00AB7D93" w:rsidP="00AB7D93">
      <w:pPr>
        <w:pStyle w:val="Notedebasdepage"/>
      </w:pPr>
      <w:r>
        <w:rPr>
          <w:rStyle w:val="Appelnotedebasdep"/>
        </w:rPr>
        <w:footnoteRef/>
      </w:r>
      <w:r w:rsidRPr="00805B0E">
        <w:t xml:space="preserve"> </w:t>
      </w:r>
      <w:r w:rsidRPr="00805B0E">
        <w:tab/>
        <w:t xml:space="preserve">Section 719 </w:t>
      </w:r>
      <w:r w:rsidRPr="00805B0E">
        <w:rPr>
          <w:i/>
          <w:iCs/>
        </w:rPr>
        <w:t>Cr.C.</w:t>
      </w:r>
      <w:r w:rsidRPr="00805B0E">
        <w:t xml:space="preserve">.; </w:t>
      </w:r>
      <w:r w:rsidRPr="00805B0E">
        <w:rPr>
          <w:i/>
          <w:iCs/>
        </w:rPr>
        <w:t>R. v. Safarzadeh-Markhali</w:t>
      </w:r>
      <w:r w:rsidRPr="00805B0E">
        <w:t xml:space="preserve">, </w:t>
      </w:r>
      <w:r w:rsidRPr="00C32E62">
        <w:t>2016 SCC 14</w:t>
      </w:r>
      <w:r w:rsidRPr="00805B0E">
        <w:t xml:space="preserve">, para. 8; </w:t>
      </w:r>
      <w:r w:rsidRPr="00805B0E">
        <w:rPr>
          <w:i/>
          <w:iCs/>
        </w:rPr>
        <w:t>R. v. Summers</w:t>
      </w:r>
      <w:r w:rsidRPr="00805B0E">
        <w:t xml:space="preserve">, </w:t>
      </w:r>
      <w:r w:rsidRPr="00C32E62">
        <w:t>2014 SCC 26</w:t>
      </w:r>
      <w:r w:rsidRPr="00805B0E">
        <w:t>, para. 79.</w:t>
      </w:r>
    </w:p>
  </w:footnote>
  <w:footnote w:id="61">
    <w:p w14:paraId="571EBDB8" w14:textId="20E6C080" w:rsidR="00AB7D93" w:rsidRPr="00821C31" w:rsidRDefault="00AB7D93" w:rsidP="00AB7D93">
      <w:pPr>
        <w:pStyle w:val="Notedebasdepage"/>
        <w:rPr>
          <w:lang w:val="fr-CA"/>
        </w:rPr>
      </w:pPr>
      <w:r>
        <w:rPr>
          <w:rStyle w:val="Appelnotedebasdep"/>
        </w:rPr>
        <w:footnoteRef/>
      </w:r>
      <w:r>
        <w:t xml:space="preserve"> </w:t>
      </w:r>
      <w:r>
        <w:tab/>
      </w:r>
      <w:r>
        <w:rPr>
          <w:i/>
          <w:iCs/>
        </w:rPr>
        <w:t>R. c. Giroux</w:t>
      </w:r>
      <w:r>
        <w:t xml:space="preserve">, </w:t>
      </w:r>
      <w:r w:rsidRPr="00C32E62">
        <w:t>2025 QCCA 848</w:t>
      </w:r>
      <w:r>
        <w:t xml:space="preserve">, para. 100, referring to </w:t>
      </w:r>
      <w:r>
        <w:rPr>
          <w:i/>
          <w:iCs/>
        </w:rPr>
        <w:t>R. v. J.F</w:t>
      </w:r>
      <w:r>
        <w:t xml:space="preserve">., </w:t>
      </w:r>
      <w:r w:rsidRPr="00C32E62">
        <w:t>2022 SCC 17</w:t>
      </w:r>
      <w:r>
        <w:t xml:space="preserve">, paras. 33 and 52; </w:t>
      </w:r>
      <w:r>
        <w:rPr>
          <w:i/>
          <w:iCs/>
        </w:rPr>
        <w:t>R.</w:t>
      </w:r>
      <w:r w:rsidR="00C32E62">
        <w:rPr>
          <w:i/>
          <w:iCs/>
        </w:rPr>
        <w:t> </w:t>
      </w:r>
      <w:r>
        <w:rPr>
          <w:i/>
          <w:iCs/>
        </w:rPr>
        <w:t>v.</w:t>
      </w:r>
      <w:r w:rsidR="00C32E62">
        <w:rPr>
          <w:i/>
          <w:iCs/>
        </w:rPr>
        <w:t> </w:t>
      </w:r>
      <w:r>
        <w:rPr>
          <w:i/>
          <w:iCs/>
        </w:rPr>
        <w:t>Cody</w:t>
      </w:r>
      <w:r>
        <w:t xml:space="preserve">, </w:t>
      </w:r>
      <w:r w:rsidRPr="00C32E62">
        <w:t>2017 SCC 31</w:t>
      </w:r>
      <w:r>
        <w:t xml:space="preserve">, para. </w:t>
      </w:r>
      <w:r w:rsidRPr="00C32E62">
        <w:t xml:space="preserve">33; </w:t>
      </w:r>
      <w:r w:rsidRPr="00C32E62">
        <w:rPr>
          <w:i/>
          <w:iCs/>
        </w:rPr>
        <w:t>R. c. Rivera</w:t>
      </w:r>
      <w:r w:rsidRPr="00C32E62">
        <w:t xml:space="preserve">, 2024 QCCA 1281, para. </w:t>
      </w:r>
      <w:r w:rsidRPr="00821C31">
        <w:rPr>
          <w:lang w:val="fr-CA"/>
        </w:rPr>
        <w:t>48.</w:t>
      </w:r>
    </w:p>
  </w:footnote>
  <w:footnote w:id="62">
    <w:p w14:paraId="516117B5" w14:textId="0567D653" w:rsidR="00AB7D93" w:rsidRPr="00BD5145" w:rsidRDefault="00AB7D93" w:rsidP="00AB7D93">
      <w:pPr>
        <w:pStyle w:val="Notedebasdepage"/>
      </w:pPr>
      <w:r>
        <w:rPr>
          <w:rStyle w:val="Appelnotedebasdep"/>
        </w:rPr>
        <w:footnoteRef/>
      </w:r>
      <w:r w:rsidRPr="00821C31">
        <w:rPr>
          <w:lang w:val="fr-CA"/>
        </w:rPr>
        <w:t xml:space="preserve"> </w:t>
      </w:r>
      <w:r w:rsidRPr="00821C31">
        <w:rPr>
          <w:lang w:val="fr-CA"/>
        </w:rPr>
        <w:tab/>
      </w:r>
      <w:r w:rsidRPr="00821C31">
        <w:rPr>
          <w:i/>
          <w:iCs/>
          <w:lang w:val="fr-CA"/>
        </w:rPr>
        <w:t>R. v. K.G.K</w:t>
      </w:r>
      <w:r w:rsidRPr="00821C31">
        <w:rPr>
          <w:lang w:val="fr-CA"/>
        </w:rPr>
        <w:t xml:space="preserve">., </w:t>
      </w:r>
      <w:r w:rsidRPr="00C32E62">
        <w:rPr>
          <w:lang w:val="fr-CA"/>
        </w:rPr>
        <w:t>2020 SCC 7</w:t>
      </w:r>
      <w:r w:rsidRPr="00821C31">
        <w:rPr>
          <w:lang w:val="fr-CA"/>
        </w:rPr>
        <w:t xml:space="preserve">, paras. </w:t>
      </w:r>
      <w:r>
        <w:t>61-62.</w:t>
      </w:r>
    </w:p>
  </w:footnote>
  <w:footnote w:id="63">
    <w:p w14:paraId="14D748C2" w14:textId="77777777" w:rsidR="00AB7D93" w:rsidRPr="00BD5145" w:rsidRDefault="00AB7D93" w:rsidP="00AB7D93">
      <w:pPr>
        <w:pStyle w:val="Notedebasdepage"/>
      </w:pPr>
      <w:r>
        <w:rPr>
          <w:rStyle w:val="Appelnotedebasdep"/>
        </w:rPr>
        <w:footnoteRef/>
      </w:r>
      <w:r>
        <w:t xml:space="preserve"> </w:t>
      </w:r>
      <w:r>
        <w:tab/>
        <w:t xml:space="preserve">The sentencing hearing was subsequently postponed from October 28, </w:t>
      </w:r>
      <w:proofErr w:type="gramStart"/>
      <w:r>
        <w:t>2022</w:t>
      </w:r>
      <w:proofErr w:type="gramEnd"/>
      <w:r>
        <w:t xml:space="preserve"> until January 27, 2023. The docket was </w:t>
      </w:r>
      <w:proofErr w:type="gramStart"/>
      <w:r>
        <w:t>overloaded</w:t>
      </w:r>
      <w:proofErr w:type="gramEnd"/>
      <w:r>
        <w:t xml:space="preserve"> and the sentencing submissions were made on February 16, 2023. The judge dismissed the motion for unreasonable delay and took the sentencing matter under advisement, handing down the sentence on March 31,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A6EC" w14:textId="77777777" w:rsidR="00A904D1" w:rsidRDefault="00A904D1" w:rsidP="0021091D">
    <w:pPr>
      <w:tabs>
        <w:tab w:val="center" w:pos="4709"/>
        <w:tab w:val="right" w:pos="9360"/>
      </w:tabs>
      <w:spacing w:line="360" w:lineRule="auto"/>
      <w:ind w:right="524"/>
    </w:pPr>
  </w:p>
  <w:p w14:paraId="48A72288" w14:textId="7A5B0D00" w:rsidR="00AB7D93" w:rsidRDefault="00AB7D93" w:rsidP="0021091D">
    <w:pPr>
      <w:tabs>
        <w:tab w:val="center" w:pos="4709"/>
        <w:tab w:val="right" w:pos="9360"/>
      </w:tabs>
      <w:spacing w:line="360" w:lineRule="auto"/>
      <w:ind w:right="524"/>
    </w:pPr>
    <w:r>
      <w:t>200-10-700049-237</w:t>
    </w:r>
    <w:r>
      <w:tab/>
    </w:r>
    <w:r>
      <w:tab/>
      <w:t xml:space="preserve">PAGE: </w:t>
    </w:r>
    <w:r>
      <w:fldChar w:fldCharType="begin"/>
    </w:r>
    <w:r>
      <w:instrText xml:space="preserve"> PAGE </w:instrText>
    </w:r>
    <w:r>
      <w:fldChar w:fldCharType="separate"/>
    </w:r>
    <w:r>
      <w:t>1</w:t>
    </w:r>
    <w:r>
      <w:fldChar w:fldCharType="end"/>
    </w:r>
  </w:p>
  <w:p w14:paraId="00837D25" w14:textId="77777777" w:rsidR="00C32E62" w:rsidRDefault="00C32E62" w:rsidP="0021091D">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58C8" w14:textId="77777777" w:rsidR="00DA6CD9" w:rsidRDefault="00DA6C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1470" w14:textId="1876D898" w:rsidR="006B3E24" w:rsidRDefault="00CB2C23" w:rsidP="00DA6CD9">
    <w:pPr>
      <w:tabs>
        <w:tab w:val="center" w:pos="4709"/>
        <w:tab w:val="right" w:pos="9360"/>
      </w:tabs>
      <w:spacing w:line="360" w:lineRule="auto"/>
      <w:ind w:right="524"/>
    </w:pPr>
    <w:bookmarkStart w:id="18" w:name="EntDossier"/>
    <w:r>
      <w:t>200-10-700049-237</w:t>
    </w:r>
    <w:bookmarkEnd w:id="18"/>
    <w:r w:rsidR="008773C4">
      <w:tab/>
    </w:r>
    <w:r w:rsidR="008773C4">
      <w:tab/>
      <w:t xml:space="preserve">PAGE: </w:t>
    </w:r>
    <w:r w:rsidR="008773C4">
      <w:fldChar w:fldCharType="begin"/>
    </w:r>
    <w:r w:rsidR="008773C4">
      <w:instrText xml:space="preserve"> PAGE </w:instrText>
    </w:r>
    <w:r w:rsidR="008773C4">
      <w:fldChar w:fldCharType="separate"/>
    </w:r>
    <w:r w:rsidR="00DA6CD9">
      <w:rPr>
        <w:noProof/>
      </w:rPr>
      <w:t>2</w:t>
    </w:r>
    <w:r w:rsidR="008773C4">
      <w:fldChar w:fldCharType="end"/>
    </w:r>
  </w:p>
  <w:p w14:paraId="2C7BE15C" w14:textId="77777777" w:rsidR="00742AF9" w:rsidRDefault="00742AF9" w:rsidP="00671B7D">
    <w:pPr>
      <w:tabs>
        <w:tab w:val="center" w:pos="4709"/>
        <w:tab w:val="right" w:pos="9360"/>
      </w:tabs>
      <w:spacing w:line="240" w:lineRule="auto"/>
      <w:ind w:right="52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3083" w14:textId="77777777" w:rsidR="00DA6CD9" w:rsidRDefault="00DA6C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52DE"/>
    <w:multiLevelType w:val="multilevel"/>
    <w:tmpl w:val="BB0E7C00"/>
    <w:lvl w:ilvl="0">
      <w:start w:val="1"/>
      <w:numFmt w:val="decimal"/>
      <w:pStyle w:val="Paragraphe"/>
      <w:lvlText w:val="[%1]"/>
      <w:lvlJc w:val="left"/>
      <w:pPr>
        <w:tabs>
          <w:tab w:val="num" w:pos="720"/>
        </w:tabs>
        <w:ind w:left="0" w:firstLine="0"/>
      </w:pPr>
      <w:rPr>
        <w:rFonts w:hint="default"/>
        <w:b w:val="0"/>
        <w:bCs/>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1437244"/>
    <w:multiLevelType w:val="hybridMultilevel"/>
    <w:tmpl w:val="FA90E95E"/>
    <w:lvl w:ilvl="0" w:tplc="E8080F3E">
      <w:start w:val="1"/>
      <w:numFmt w:val="decimal"/>
      <w:lvlText w:val="%1."/>
      <w:lvlJc w:val="left"/>
      <w:pPr>
        <w:ind w:left="1572" w:hanging="360"/>
      </w:pPr>
    </w:lvl>
    <w:lvl w:ilvl="1" w:tplc="30E4EFF8" w:tentative="1">
      <w:start w:val="1"/>
      <w:numFmt w:val="lowerLetter"/>
      <w:lvlText w:val="%2."/>
      <w:lvlJc w:val="left"/>
      <w:pPr>
        <w:ind w:left="2292" w:hanging="360"/>
      </w:pPr>
    </w:lvl>
    <w:lvl w:ilvl="2" w:tplc="B27CC17A" w:tentative="1">
      <w:start w:val="1"/>
      <w:numFmt w:val="lowerRoman"/>
      <w:lvlText w:val="%3."/>
      <w:lvlJc w:val="right"/>
      <w:pPr>
        <w:ind w:left="3012" w:hanging="180"/>
      </w:pPr>
    </w:lvl>
    <w:lvl w:ilvl="3" w:tplc="E878D252" w:tentative="1">
      <w:start w:val="1"/>
      <w:numFmt w:val="decimal"/>
      <w:lvlText w:val="%4."/>
      <w:lvlJc w:val="left"/>
      <w:pPr>
        <w:ind w:left="3732" w:hanging="360"/>
      </w:pPr>
    </w:lvl>
    <w:lvl w:ilvl="4" w:tplc="4E7A1C82" w:tentative="1">
      <w:start w:val="1"/>
      <w:numFmt w:val="lowerLetter"/>
      <w:lvlText w:val="%5."/>
      <w:lvlJc w:val="left"/>
      <w:pPr>
        <w:ind w:left="4452" w:hanging="360"/>
      </w:pPr>
    </w:lvl>
    <w:lvl w:ilvl="5" w:tplc="0D40CB78" w:tentative="1">
      <w:start w:val="1"/>
      <w:numFmt w:val="lowerRoman"/>
      <w:lvlText w:val="%6."/>
      <w:lvlJc w:val="right"/>
      <w:pPr>
        <w:ind w:left="5172" w:hanging="180"/>
      </w:pPr>
    </w:lvl>
    <w:lvl w:ilvl="6" w:tplc="417471E4" w:tentative="1">
      <w:start w:val="1"/>
      <w:numFmt w:val="decimal"/>
      <w:lvlText w:val="%7."/>
      <w:lvlJc w:val="left"/>
      <w:pPr>
        <w:ind w:left="5892" w:hanging="360"/>
      </w:pPr>
    </w:lvl>
    <w:lvl w:ilvl="7" w:tplc="9EA24220" w:tentative="1">
      <w:start w:val="1"/>
      <w:numFmt w:val="lowerLetter"/>
      <w:lvlText w:val="%8."/>
      <w:lvlJc w:val="left"/>
      <w:pPr>
        <w:ind w:left="6612" w:hanging="360"/>
      </w:pPr>
    </w:lvl>
    <w:lvl w:ilvl="8" w:tplc="17E4D15A" w:tentative="1">
      <w:start w:val="1"/>
      <w:numFmt w:val="lowerRoman"/>
      <w:lvlText w:val="%9."/>
      <w:lvlJc w:val="right"/>
      <w:pPr>
        <w:ind w:left="7332" w:hanging="180"/>
      </w:pPr>
    </w:lvl>
  </w:abstractNum>
  <w:abstractNum w:abstractNumId="2" w15:restartNumberingAfterBreak="0">
    <w:nsid w:val="7EA434CD"/>
    <w:multiLevelType w:val="hybridMultilevel"/>
    <w:tmpl w:val="4B381032"/>
    <w:lvl w:ilvl="0" w:tplc="10329D26">
      <w:start w:val="1"/>
      <w:numFmt w:val="upperRoman"/>
      <w:lvlText w:val="%1."/>
      <w:lvlJc w:val="right"/>
      <w:pPr>
        <w:ind w:left="720" w:hanging="360"/>
      </w:pPr>
    </w:lvl>
    <w:lvl w:ilvl="1" w:tplc="61F68BE2">
      <w:start w:val="1"/>
      <w:numFmt w:val="lowerLetter"/>
      <w:lvlText w:val="%2."/>
      <w:lvlJc w:val="left"/>
      <w:pPr>
        <w:ind w:left="1440" w:hanging="360"/>
      </w:pPr>
    </w:lvl>
    <w:lvl w:ilvl="2" w:tplc="E1AE71F2" w:tentative="1">
      <w:start w:val="1"/>
      <w:numFmt w:val="lowerRoman"/>
      <w:lvlText w:val="%3."/>
      <w:lvlJc w:val="right"/>
      <w:pPr>
        <w:ind w:left="2160" w:hanging="180"/>
      </w:pPr>
    </w:lvl>
    <w:lvl w:ilvl="3" w:tplc="CF662130" w:tentative="1">
      <w:start w:val="1"/>
      <w:numFmt w:val="decimal"/>
      <w:lvlText w:val="%4."/>
      <w:lvlJc w:val="left"/>
      <w:pPr>
        <w:ind w:left="2880" w:hanging="360"/>
      </w:pPr>
    </w:lvl>
    <w:lvl w:ilvl="4" w:tplc="9F7E2CAA" w:tentative="1">
      <w:start w:val="1"/>
      <w:numFmt w:val="lowerLetter"/>
      <w:lvlText w:val="%5."/>
      <w:lvlJc w:val="left"/>
      <w:pPr>
        <w:ind w:left="3600" w:hanging="360"/>
      </w:pPr>
    </w:lvl>
    <w:lvl w:ilvl="5" w:tplc="0506167C" w:tentative="1">
      <w:start w:val="1"/>
      <w:numFmt w:val="lowerRoman"/>
      <w:lvlText w:val="%6."/>
      <w:lvlJc w:val="right"/>
      <w:pPr>
        <w:ind w:left="4320" w:hanging="180"/>
      </w:pPr>
    </w:lvl>
    <w:lvl w:ilvl="6" w:tplc="E7F07032" w:tentative="1">
      <w:start w:val="1"/>
      <w:numFmt w:val="decimal"/>
      <w:lvlText w:val="%7."/>
      <w:lvlJc w:val="left"/>
      <w:pPr>
        <w:ind w:left="5040" w:hanging="360"/>
      </w:pPr>
    </w:lvl>
    <w:lvl w:ilvl="7" w:tplc="A3C0A042" w:tentative="1">
      <w:start w:val="1"/>
      <w:numFmt w:val="lowerLetter"/>
      <w:lvlText w:val="%8."/>
      <w:lvlJc w:val="left"/>
      <w:pPr>
        <w:ind w:left="5760" w:hanging="360"/>
      </w:pPr>
    </w:lvl>
    <w:lvl w:ilvl="8" w:tplc="97308048" w:tentative="1">
      <w:start w:val="1"/>
      <w:numFmt w:val="lowerRoman"/>
      <w:lvlText w:val="%9."/>
      <w:lvlJc w:val="right"/>
      <w:pPr>
        <w:ind w:left="6480" w:hanging="180"/>
      </w:pPr>
    </w:lvl>
  </w:abstractNum>
  <w:num w:numId="1" w16cid:durableId="515389849">
    <w:abstractNumId w:val="0"/>
  </w:num>
  <w:num w:numId="2" w16cid:durableId="1133986698">
    <w:abstractNumId w:val="1"/>
  </w:num>
  <w:num w:numId="3" w16cid:durableId="1726837332">
    <w:abstractNumId w:val="2"/>
  </w:num>
  <w:num w:numId="4" w16cid:durableId="478961135">
    <w:abstractNumId w:val="0"/>
  </w:num>
  <w:num w:numId="5" w16cid:durableId="564800578">
    <w:abstractNumId w:val="0"/>
  </w:num>
  <w:num w:numId="6" w16cid:durableId="895433376">
    <w:abstractNumId w:val="0"/>
  </w:num>
  <w:num w:numId="7" w16cid:durableId="1296832274">
    <w:abstractNumId w:val="0"/>
  </w:num>
  <w:num w:numId="8" w16cid:durableId="192810015">
    <w:abstractNumId w:val="0"/>
  </w:num>
  <w:num w:numId="9" w16cid:durableId="1366060251">
    <w:abstractNumId w:val="0"/>
  </w:num>
  <w:num w:numId="10" w16cid:durableId="284896066">
    <w:abstractNumId w:val="0"/>
  </w:num>
  <w:num w:numId="11" w16cid:durableId="230190069">
    <w:abstractNumId w:val="0"/>
  </w:num>
  <w:num w:numId="12" w16cid:durableId="1139111498">
    <w:abstractNumId w:val="0"/>
  </w:num>
  <w:num w:numId="13" w16cid:durableId="449201408">
    <w:abstractNumId w:val="0"/>
  </w:num>
  <w:num w:numId="14" w16cid:durableId="1533882478">
    <w:abstractNumId w:val="0"/>
  </w:num>
  <w:num w:numId="15" w16cid:durableId="653796812">
    <w:abstractNumId w:val="0"/>
  </w:num>
  <w:num w:numId="16" w16cid:durableId="715472919">
    <w:abstractNumId w:val="0"/>
  </w:num>
  <w:num w:numId="17" w16cid:durableId="7455415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REASONS OF"/>
    <w:docVar w:name="MotifJuge2" w:val="REASONS OF"/>
    <w:docVar w:name="MotifJuge3" w:val="REASONS OF"/>
    <w:docVar w:name="NomFamJuge1" w:val="MOORE"/>
    <w:docVar w:name="NomFamJuge2" w:val="HARDY"/>
    <w:docVar w:name="NomFamJuge3" w:val="LACHANCE"/>
    <w:docVar w:name="NomFamJuge4" w:val="Nom4"/>
    <w:docVar w:name="NomFamJuge5" w:val="Nom5"/>
    <w:docVar w:name="QteJuge1" w:val=", J.A."/>
    <w:docVar w:name="QteJuge2" w:val=", J.A."/>
    <w:docVar w:name="QteJuge3" w:val=", J.A."/>
    <w:docVar w:name="QteJuge4" w:val=", Qte4"/>
    <w:docVar w:name="QteJuge5" w:val=", Qte5"/>
    <w:docVar w:name="stPremiereFois" w:val="Non"/>
  </w:docVars>
  <w:rsids>
    <w:rsidRoot w:val="00CB2C23"/>
    <w:rsid w:val="000273A8"/>
    <w:rsid w:val="00055CE7"/>
    <w:rsid w:val="00087567"/>
    <w:rsid w:val="000B07EE"/>
    <w:rsid w:val="000C3299"/>
    <w:rsid w:val="000E7106"/>
    <w:rsid w:val="0010186A"/>
    <w:rsid w:val="00113ECD"/>
    <w:rsid w:val="001339DC"/>
    <w:rsid w:val="001C0D6C"/>
    <w:rsid w:val="001F0D45"/>
    <w:rsid w:val="002963D7"/>
    <w:rsid w:val="002A0037"/>
    <w:rsid w:val="002E1B92"/>
    <w:rsid w:val="0030580B"/>
    <w:rsid w:val="00317EB7"/>
    <w:rsid w:val="003279D6"/>
    <w:rsid w:val="003539AE"/>
    <w:rsid w:val="00353E3C"/>
    <w:rsid w:val="003B32C2"/>
    <w:rsid w:val="003C4610"/>
    <w:rsid w:val="00447B9B"/>
    <w:rsid w:val="0046504C"/>
    <w:rsid w:val="00492510"/>
    <w:rsid w:val="004A28EE"/>
    <w:rsid w:val="00597A2B"/>
    <w:rsid w:val="005C5C31"/>
    <w:rsid w:val="005E4FBA"/>
    <w:rsid w:val="00604213"/>
    <w:rsid w:val="006307DA"/>
    <w:rsid w:val="00671B7D"/>
    <w:rsid w:val="006B3E24"/>
    <w:rsid w:val="006D32CA"/>
    <w:rsid w:val="006F538E"/>
    <w:rsid w:val="00742AF9"/>
    <w:rsid w:val="007812A9"/>
    <w:rsid w:val="007A48F9"/>
    <w:rsid w:val="007D7378"/>
    <w:rsid w:val="007E58AB"/>
    <w:rsid w:val="0081733F"/>
    <w:rsid w:val="00854B53"/>
    <w:rsid w:val="0086538B"/>
    <w:rsid w:val="008773C4"/>
    <w:rsid w:val="008B6102"/>
    <w:rsid w:val="008F4167"/>
    <w:rsid w:val="009106C7"/>
    <w:rsid w:val="00910C00"/>
    <w:rsid w:val="00A028FC"/>
    <w:rsid w:val="00A375F7"/>
    <w:rsid w:val="00A7298F"/>
    <w:rsid w:val="00A904D1"/>
    <w:rsid w:val="00AA28C9"/>
    <w:rsid w:val="00AB7D93"/>
    <w:rsid w:val="00AE2CF4"/>
    <w:rsid w:val="00B06F57"/>
    <w:rsid w:val="00B574BA"/>
    <w:rsid w:val="00B968EF"/>
    <w:rsid w:val="00BA5E1E"/>
    <w:rsid w:val="00BC684D"/>
    <w:rsid w:val="00BC6C19"/>
    <w:rsid w:val="00BD073F"/>
    <w:rsid w:val="00C32E62"/>
    <w:rsid w:val="00C8393C"/>
    <w:rsid w:val="00CA5E18"/>
    <w:rsid w:val="00CB2C23"/>
    <w:rsid w:val="00CB4B42"/>
    <w:rsid w:val="00D322F3"/>
    <w:rsid w:val="00D52967"/>
    <w:rsid w:val="00D812B8"/>
    <w:rsid w:val="00D96CDC"/>
    <w:rsid w:val="00DA6CD9"/>
    <w:rsid w:val="00DB3CA2"/>
    <w:rsid w:val="00E31FBC"/>
    <w:rsid w:val="00E36BC8"/>
    <w:rsid w:val="00E82A75"/>
    <w:rsid w:val="00F05D7B"/>
    <w:rsid w:val="00F364F8"/>
    <w:rsid w:val="00F65F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18E7F"/>
  <w15:chartTrackingRefBased/>
  <w15:docId w15:val="{A93C1004-3E92-49BE-8CEC-A48646A4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val="en-CA" w:eastAsia="fr-FR"/>
    </w:rPr>
  </w:style>
  <w:style w:type="paragraph" w:styleId="Titre1">
    <w:name w:val="heading 1"/>
    <w:basedOn w:val="Normal"/>
    <w:next w:val="Normal"/>
    <w:link w:val="Titre1Car"/>
    <w:qFormat/>
    <w:pPr>
      <w:keepNext/>
      <w:spacing w:before="240" w:after="60" w:line="500" w:lineRule="exact"/>
      <w:outlineLvl w:val="0"/>
    </w:pPr>
    <w:rPr>
      <w:b/>
      <w:kern w:val="28"/>
      <w:sz w:val="28"/>
    </w:rPr>
  </w:style>
  <w:style w:type="paragraph" w:styleId="Titre2">
    <w:name w:val="heading 2"/>
    <w:basedOn w:val="Normal"/>
    <w:next w:val="Normal"/>
    <w:link w:val="Titre2Car"/>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basedOn w:val="Policepardfaut"/>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Char,Char Char,Char Char Char,Char Char Char Char Char,FA Fu,Footnote Text Char Char Char Char,Footnote Text Char Char Char Char Char,Footnote ak,Footnote reference,Footnote text,Footnotes,Nota de rodapé,fn,ft,ft Char Ch,ft2"/>
    <w:basedOn w:val="Normal"/>
    <w:link w:val="NotedebasdepageCar"/>
    <w:uiPriority w:val="99"/>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Normal"/>
    <w:pPr>
      <w:ind w:left="144" w:right="720"/>
      <w:jc w:val="both"/>
    </w:pPr>
    <w:rPr>
      <w:sz w:val="22"/>
    </w:rPr>
  </w:style>
  <w:style w:type="paragraph" w:customStyle="1" w:styleId="Tableaugauchefranais">
    <w:name w:val="Tableau gauche français"/>
    <w:basedOn w:val="Tableaudroiteanglais"/>
    <w:pPr>
      <w:ind w:left="720" w:right="144"/>
    </w:pPr>
    <w:rPr>
      <w:lang w:val="fr-CA"/>
    </w:rPr>
  </w:style>
  <w:style w:type="character" w:styleId="Appelnotedebasdep">
    <w:name w:val="footnote reference"/>
    <w:aliases w:val="Char Char6 Char Char Char Char Char Char Char Char Char Char Char Char,Char6 Char Char Char Char Char Char Char Char Char Char Char Char Char,Footnote,Ref,de nota al pie,fr"/>
    <w:basedOn w:val="Policepardfaut"/>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paragraph" w:customStyle="1" w:styleId="StylezSoquijdatRepertorie">
    <w:name w:val="Style zSoquij_datRepertorie"/>
    <w:basedOn w:val="zSoquijlblCour"/>
    <w:pPr>
      <w:jc w:val="left"/>
    </w:pPr>
    <w:rPr>
      <w:sz w:val="22"/>
    </w:rPr>
  </w:style>
  <w:style w:type="paragraph" w:styleId="Textedebulles">
    <w:name w:val="Balloon Text"/>
    <w:basedOn w:val="Normal"/>
    <w:link w:val="TextedebullesCar"/>
    <w:uiPriority w:val="99"/>
    <w:semiHidden/>
    <w:unhideWhenUsed/>
    <w:rsid w:val="001C0D6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0D6C"/>
    <w:rPr>
      <w:rFonts w:ascii="Segoe UI" w:hAnsi="Segoe UI" w:cs="Segoe UI"/>
      <w:sz w:val="18"/>
      <w:szCs w:val="18"/>
      <w:lang w:val="en-CA" w:eastAsia="fr-FR"/>
    </w:rPr>
  </w:style>
  <w:style w:type="character" w:customStyle="1" w:styleId="NotedebasdepageCar">
    <w:name w:val="Note de bas de page Car"/>
    <w:aliases w:val="Char Car,Char Char Car,Char Char Char Car,Char Char Char Char Char Car,FA Fu Car,Footnote Text Char Char Char Char Car,Footnote Text Char Char Char Char Char Car,Footnote ak Car,Footnote reference Car,Footnote text Car,fn Car"/>
    <w:basedOn w:val="Policepardfaut"/>
    <w:link w:val="Notedebasdepage"/>
    <w:uiPriority w:val="99"/>
    <w:rsid w:val="00AB7D93"/>
    <w:rPr>
      <w:rFonts w:ascii="Arial" w:hAnsi="Arial"/>
      <w:lang w:val="en-CA" w:eastAsia="fr-FR"/>
    </w:rPr>
  </w:style>
  <w:style w:type="character" w:customStyle="1" w:styleId="ParagrapheCar">
    <w:name w:val="Paragraphe Car"/>
    <w:link w:val="Paragraphe"/>
    <w:qFormat/>
    <w:rsid w:val="00AB7D93"/>
    <w:rPr>
      <w:rFonts w:ascii="Arial" w:hAnsi="Arial"/>
      <w:kern w:val="28"/>
      <w:sz w:val="24"/>
      <w:lang w:val="en-CA" w:eastAsia="fr-FR"/>
    </w:rPr>
  </w:style>
  <w:style w:type="character" w:styleId="Hyperlien">
    <w:name w:val="Hyperlink"/>
    <w:uiPriority w:val="99"/>
    <w:rsid w:val="00AB7D93"/>
    <w:rPr>
      <w:noProof w:val="0"/>
      <w:color w:val="0000FF"/>
      <w:u w:val="single"/>
      <w:lang w:val="fr-CA"/>
    </w:rPr>
  </w:style>
  <w:style w:type="character" w:customStyle="1" w:styleId="Titre1Car">
    <w:name w:val="Titre 1 Car"/>
    <w:basedOn w:val="Policepardfaut"/>
    <w:link w:val="Titre1"/>
    <w:rsid w:val="00AB7D93"/>
    <w:rPr>
      <w:rFonts w:ascii="Arial" w:hAnsi="Arial"/>
      <w:b/>
      <w:kern w:val="28"/>
      <w:sz w:val="28"/>
      <w:lang w:val="en-CA" w:eastAsia="fr-FR"/>
    </w:rPr>
  </w:style>
  <w:style w:type="character" w:customStyle="1" w:styleId="Titre2Car">
    <w:name w:val="Titre 2 Car"/>
    <w:basedOn w:val="Policepardfaut"/>
    <w:link w:val="Titre2"/>
    <w:rsid w:val="00AB7D93"/>
    <w:rPr>
      <w:rFonts w:ascii="Arial" w:hAnsi="Arial"/>
      <w:b/>
      <w:i/>
      <w:sz w:val="24"/>
      <w:lang w:val="en-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Gabarits_SOQUIJ\Gabarits_SOQUIJ%20CA\CAAng2013V2024.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81C3-3ED7-49F8-977C-CD0EA8B2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CAAng2013V2024.dotm</Template>
  <TotalTime>1</TotalTime>
  <Pages>15</Pages>
  <Words>4200</Words>
  <Characters>23105</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Josée Boisvert</dc:creator>
  <cp:keywords/>
  <dc:description/>
  <cp:lastModifiedBy>Gauthier, François</cp:lastModifiedBy>
  <cp:revision>6</cp:revision>
  <cp:lastPrinted>2026-01-21T15:08:00Z</cp:lastPrinted>
  <dcterms:created xsi:type="dcterms:W3CDTF">2026-01-21T15:08:00Z</dcterms:created>
  <dcterms:modified xsi:type="dcterms:W3CDTF">2026-01-27T19:49:00Z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Ang</vt:lpwstr>
  </property>
</Properties>
</file>