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933E7" w14:textId="77777777" w:rsidR="00A170EA" w:rsidRPr="005545AF" w:rsidRDefault="00A170EA" w:rsidP="00A170EA">
      <w:pPr>
        <w:pStyle w:val="zSoquijdatRepertorie"/>
        <w:rPr>
          <w:lang w:val="en-CA"/>
        </w:rPr>
      </w:pPr>
      <w:r w:rsidRPr="005545AF">
        <w:rPr>
          <w:lang w:val="en-CA"/>
        </w:rPr>
        <w:t xml:space="preserve">English translation of the judgment of </w:t>
      </w:r>
      <w:r>
        <w:rPr>
          <w:lang w:val="en-CA"/>
        </w:rPr>
        <w:t>the Court</w:t>
      </w:r>
    </w:p>
    <w:tbl>
      <w:tblPr>
        <w:tblW w:w="9360" w:type="dxa"/>
        <w:tblLayout w:type="fixed"/>
        <w:tblCellMar>
          <w:left w:w="0" w:type="dxa"/>
          <w:right w:w="0" w:type="dxa"/>
        </w:tblCellMar>
        <w:tblLook w:val="0000" w:firstRow="0" w:lastRow="0" w:firstColumn="0" w:lastColumn="0" w:noHBand="0" w:noVBand="0"/>
      </w:tblPr>
      <w:tblGrid>
        <w:gridCol w:w="1030"/>
        <w:gridCol w:w="590"/>
        <w:gridCol w:w="502"/>
        <w:gridCol w:w="1848"/>
        <w:gridCol w:w="3402"/>
        <w:gridCol w:w="1988"/>
      </w:tblGrid>
      <w:tr w:rsidR="00A170EA" w:rsidRPr="00741689" w14:paraId="25BD1CED" w14:textId="77777777" w:rsidTr="00FE7B74">
        <w:trPr>
          <w:trHeight w:val="248"/>
        </w:trPr>
        <w:tc>
          <w:tcPr>
            <w:tcW w:w="7372" w:type="dxa"/>
            <w:gridSpan w:val="5"/>
          </w:tcPr>
          <w:p w14:paraId="408A6B1B" w14:textId="58340D33" w:rsidR="00A170EA" w:rsidRPr="005545AF" w:rsidRDefault="00A170EA" w:rsidP="00A170EA">
            <w:pPr>
              <w:pStyle w:val="zSoquijdatRepertorie"/>
              <w:rPr>
                <w:lang w:val="en-CA"/>
              </w:rPr>
            </w:pPr>
            <w:r>
              <w:rPr>
                <w:rFonts w:cs="Arial"/>
              </w:rPr>
              <w:t>A.B. c. Google</w:t>
            </w:r>
          </w:p>
        </w:tc>
        <w:tc>
          <w:tcPr>
            <w:tcW w:w="1988" w:type="dxa"/>
          </w:tcPr>
          <w:p w14:paraId="193BC9E5" w14:textId="5FEB3C03" w:rsidR="00A170EA" w:rsidRPr="005545AF" w:rsidRDefault="00A170EA" w:rsidP="00A170EA">
            <w:pPr>
              <w:pStyle w:val="zSoquijdatRefNeutre"/>
              <w:jc w:val="right"/>
              <w:rPr>
                <w:lang w:val="en-CA"/>
              </w:rPr>
            </w:pPr>
            <w:r w:rsidRPr="00137C98">
              <w:rPr>
                <w:rFonts w:cs="Arial"/>
              </w:rPr>
              <w:t>2026 QCCA 157</w:t>
            </w:r>
          </w:p>
        </w:tc>
      </w:tr>
      <w:tr w:rsidR="008F364A" w:rsidRPr="005545AF" w14:paraId="49A9B109" w14:textId="77777777" w:rsidTr="00FE7B74">
        <w:trPr>
          <w:trHeight w:val="247"/>
        </w:trPr>
        <w:tc>
          <w:tcPr>
            <w:tcW w:w="9360" w:type="dxa"/>
            <w:gridSpan w:val="6"/>
          </w:tcPr>
          <w:p w14:paraId="630B758E" w14:textId="7D05F86B" w:rsidR="008F364A" w:rsidRPr="005545AF" w:rsidRDefault="00740A17" w:rsidP="001F7377">
            <w:pPr>
              <w:pStyle w:val="zSoquijlblCour"/>
              <w:spacing w:line="240" w:lineRule="auto"/>
              <w:rPr>
                <w:lang w:val="en-CA"/>
              </w:rPr>
            </w:pPr>
            <w:r w:rsidRPr="005545AF">
              <w:rPr>
                <w:lang w:val="en-CA"/>
              </w:rPr>
              <w:t>COUR</w:t>
            </w:r>
            <w:r w:rsidR="00FE7B74" w:rsidRPr="005545AF">
              <w:rPr>
                <w:lang w:val="en-CA"/>
              </w:rPr>
              <w:t>T OF</w:t>
            </w:r>
            <w:r w:rsidRPr="005545AF">
              <w:rPr>
                <w:lang w:val="en-CA"/>
              </w:rPr>
              <w:t xml:space="preserve"> APPE</w:t>
            </w:r>
            <w:r w:rsidR="00FE7B74" w:rsidRPr="005545AF">
              <w:rPr>
                <w:lang w:val="en-CA"/>
              </w:rPr>
              <w:t>A</w:t>
            </w:r>
            <w:r w:rsidRPr="005545AF">
              <w:rPr>
                <w:lang w:val="en-CA"/>
              </w:rPr>
              <w:t>L</w:t>
            </w:r>
          </w:p>
        </w:tc>
      </w:tr>
      <w:tr w:rsidR="008F364A" w:rsidRPr="005545AF" w14:paraId="38E53623" w14:textId="77777777" w:rsidTr="00FE7B74">
        <w:trPr>
          <w:trHeight w:val="540"/>
        </w:trPr>
        <w:tc>
          <w:tcPr>
            <w:tcW w:w="9360" w:type="dxa"/>
            <w:gridSpan w:val="6"/>
          </w:tcPr>
          <w:p w14:paraId="0DF9880E" w14:textId="77777777" w:rsidR="008F364A" w:rsidRPr="005545AF" w:rsidRDefault="008F364A" w:rsidP="001F7377">
            <w:pPr>
              <w:pStyle w:val="zSoquijdatDivision"/>
              <w:spacing w:line="240" w:lineRule="auto"/>
              <w:rPr>
                <w:lang w:val="en-CA"/>
              </w:rPr>
            </w:pPr>
          </w:p>
        </w:tc>
      </w:tr>
      <w:tr w:rsidR="008F364A" w:rsidRPr="005545AF" w14:paraId="4CCFD1A4" w14:textId="77777777" w:rsidTr="00FE7B74">
        <w:tc>
          <w:tcPr>
            <w:tcW w:w="9360" w:type="dxa"/>
            <w:gridSpan w:val="6"/>
          </w:tcPr>
          <w:p w14:paraId="4C5AA745" w14:textId="77777777" w:rsidR="008F364A" w:rsidRPr="005545AF" w:rsidRDefault="00740A17" w:rsidP="001F7377">
            <w:pPr>
              <w:pStyle w:val="zSoquijlblPays"/>
              <w:spacing w:line="240" w:lineRule="auto"/>
              <w:rPr>
                <w:lang w:val="en-CA"/>
              </w:rPr>
            </w:pPr>
            <w:r w:rsidRPr="005545AF">
              <w:rPr>
                <w:lang w:val="en-CA"/>
              </w:rPr>
              <w:t>CANADA</w:t>
            </w:r>
          </w:p>
        </w:tc>
      </w:tr>
      <w:tr w:rsidR="008F364A" w:rsidRPr="005545AF" w14:paraId="30CBD303" w14:textId="77777777" w:rsidTr="00FE7B74">
        <w:tc>
          <w:tcPr>
            <w:tcW w:w="9360" w:type="dxa"/>
            <w:gridSpan w:val="6"/>
          </w:tcPr>
          <w:p w14:paraId="5BAA56AB" w14:textId="4FC54B94" w:rsidR="008F364A" w:rsidRPr="005545AF" w:rsidRDefault="00740A17" w:rsidP="001F7377">
            <w:pPr>
              <w:pStyle w:val="zSoquijlblProvince"/>
              <w:spacing w:line="240" w:lineRule="auto"/>
              <w:rPr>
                <w:lang w:val="en-CA"/>
              </w:rPr>
            </w:pPr>
            <w:r w:rsidRPr="005545AF">
              <w:rPr>
                <w:lang w:val="en-CA"/>
              </w:rPr>
              <w:t xml:space="preserve">PROVINCE </w:t>
            </w:r>
            <w:r w:rsidR="00FE7B74" w:rsidRPr="005545AF">
              <w:rPr>
                <w:lang w:val="en-CA"/>
              </w:rPr>
              <w:t>OF</w:t>
            </w:r>
            <w:r w:rsidRPr="005545AF">
              <w:rPr>
                <w:lang w:val="en-CA"/>
              </w:rPr>
              <w:t xml:space="preserve"> QU</w:t>
            </w:r>
            <w:r w:rsidR="00FE7B74" w:rsidRPr="005545AF">
              <w:rPr>
                <w:lang w:val="en-CA"/>
              </w:rPr>
              <w:t>E</w:t>
            </w:r>
            <w:r w:rsidRPr="005545AF">
              <w:rPr>
                <w:lang w:val="en-CA"/>
              </w:rPr>
              <w:t>BEC</w:t>
            </w:r>
          </w:p>
        </w:tc>
      </w:tr>
      <w:tr w:rsidR="008F364A" w:rsidRPr="005545AF" w14:paraId="50392CBE" w14:textId="77777777" w:rsidTr="00FE7B74">
        <w:tc>
          <w:tcPr>
            <w:tcW w:w="2122" w:type="dxa"/>
            <w:gridSpan w:val="3"/>
          </w:tcPr>
          <w:p w14:paraId="166ADB5B" w14:textId="6B9C9C77" w:rsidR="008F364A" w:rsidRPr="005545AF" w:rsidRDefault="00FE7B74" w:rsidP="001F7377">
            <w:pPr>
              <w:pStyle w:val="zSoquijlblGreffe"/>
              <w:spacing w:line="240" w:lineRule="auto"/>
              <w:rPr>
                <w:lang w:val="en-CA"/>
              </w:rPr>
            </w:pPr>
            <w:r w:rsidRPr="005545AF">
              <w:rPr>
                <w:lang w:val="en-CA"/>
              </w:rPr>
              <w:t>MONTREAL SEAT</w:t>
            </w:r>
          </w:p>
          <w:p w14:paraId="1C6DED8E" w14:textId="77777777" w:rsidR="008F364A" w:rsidRPr="005545AF" w:rsidRDefault="008F364A" w:rsidP="001F7377">
            <w:pPr>
              <w:pStyle w:val="zSoquijlblGreffe"/>
              <w:spacing w:line="240" w:lineRule="auto"/>
              <w:rPr>
                <w:lang w:val="en-CA"/>
              </w:rPr>
            </w:pPr>
          </w:p>
        </w:tc>
        <w:tc>
          <w:tcPr>
            <w:tcW w:w="7238" w:type="dxa"/>
            <w:gridSpan w:val="3"/>
          </w:tcPr>
          <w:p w14:paraId="403F1C9B" w14:textId="6DE2C82F" w:rsidR="008F364A" w:rsidRPr="005545AF" w:rsidRDefault="008F364A" w:rsidP="001F7377">
            <w:pPr>
              <w:pStyle w:val="zSoquijdatGreffe"/>
              <w:spacing w:line="240" w:lineRule="auto"/>
              <w:rPr>
                <w:lang w:val="en-CA"/>
              </w:rPr>
            </w:pPr>
          </w:p>
        </w:tc>
      </w:tr>
      <w:tr w:rsidR="008F364A" w:rsidRPr="005545AF" w14:paraId="728607D3" w14:textId="77777777" w:rsidTr="00FE7B74">
        <w:tc>
          <w:tcPr>
            <w:tcW w:w="1030" w:type="dxa"/>
          </w:tcPr>
          <w:p w14:paraId="3C7644F9" w14:textId="5841649A" w:rsidR="008F364A" w:rsidRPr="005545AF" w:rsidRDefault="00740A17" w:rsidP="001F7377">
            <w:pPr>
              <w:pStyle w:val="zSoquijlblNoDossier"/>
              <w:spacing w:line="240" w:lineRule="auto"/>
              <w:rPr>
                <w:lang w:val="en-CA"/>
              </w:rPr>
            </w:pPr>
            <w:r w:rsidRPr="005545AF">
              <w:rPr>
                <w:lang w:val="en-CA"/>
              </w:rPr>
              <w:t>N</w:t>
            </w:r>
            <w:r w:rsidR="00FE7B74" w:rsidRPr="005545AF">
              <w:rPr>
                <w:lang w:val="en-CA"/>
              </w:rPr>
              <w:t>o.</w:t>
            </w:r>
            <w:r w:rsidRPr="005545AF">
              <w:rPr>
                <w:lang w:val="en-CA"/>
              </w:rPr>
              <w:t>:</w:t>
            </w:r>
          </w:p>
        </w:tc>
        <w:tc>
          <w:tcPr>
            <w:tcW w:w="8330" w:type="dxa"/>
            <w:gridSpan w:val="5"/>
          </w:tcPr>
          <w:p w14:paraId="2040D708" w14:textId="77777777" w:rsidR="008F364A" w:rsidRPr="005545AF" w:rsidRDefault="008F7C57" w:rsidP="001F7377">
            <w:pPr>
              <w:pStyle w:val="zSoquijdatNoDossier"/>
              <w:spacing w:line="240" w:lineRule="auto"/>
              <w:rPr>
                <w:lang w:val="en-CA"/>
              </w:rPr>
            </w:pPr>
            <w:bookmarkStart w:id="0" w:name="NoDossier"/>
            <w:r w:rsidRPr="005545AF">
              <w:rPr>
                <w:lang w:val="en-CA"/>
              </w:rPr>
              <w:t>500-09-030526-230</w:t>
            </w:r>
            <w:bookmarkEnd w:id="0"/>
          </w:p>
        </w:tc>
      </w:tr>
      <w:tr w:rsidR="008F7C57" w:rsidRPr="005545AF" w14:paraId="2DD68F6B" w14:textId="77777777" w:rsidTr="00FE7B74">
        <w:tc>
          <w:tcPr>
            <w:tcW w:w="9360" w:type="dxa"/>
            <w:gridSpan w:val="6"/>
          </w:tcPr>
          <w:p w14:paraId="1AE71327" w14:textId="77777777" w:rsidR="008F7C57" w:rsidRPr="005545AF" w:rsidRDefault="008F7C57" w:rsidP="001F7377">
            <w:pPr>
              <w:pStyle w:val="zSoquijdatNoDossierAnt"/>
              <w:spacing w:line="240" w:lineRule="auto"/>
              <w:rPr>
                <w:lang w:val="en-CA"/>
              </w:rPr>
            </w:pPr>
            <w:r w:rsidRPr="005545AF">
              <w:rPr>
                <w:lang w:val="en-CA"/>
              </w:rPr>
              <w:t>(500-17-093293-168)</w:t>
            </w:r>
          </w:p>
        </w:tc>
      </w:tr>
      <w:tr w:rsidR="008F364A" w:rsidRPr="005545AF" w14:paraId="51923770" w14:textId="77777777" w:rsidTr="00FE7B74">
        <w:tc>
          <w:tcPr>
            <w:tcW w:w="9360" w:type="dxa"/>
            <w:gridSpan w:val="6"/>
          </w:tcPr>
          <w:p w14:paraId="1B48C3F4" w14:textId="77777777" w:rsidR="008F364A" w:rsidRPr="005545AF" w:rsidRDefault="008F364A" w:rsidP="001F7377">
            <w:pPr>
              <w:spacing w:line="240" w:lineRule="auto"/>
              <w:rPr>
                <w:lang w:val="en-CA"/>
              </w:rPr>
            </w:pPr>
          </w:p>
        </w:tc>
      </w:tr>
      <w:tr w:rsidR="008F364A" w:rsidRPr="005545AF" w14:paraId="339F9FE8" w14:textId="77777777" w:rsidTr="00FE7B74">
        <w:tc>
          <w:tcPr>
            <w:tcW w:w="1030" w:type="dxa"/>
          </w:tcPr>
          <w:p w14:paraId="7165AEAF" w14:textId="7DAAD081" w:rsidR="008F364A" w:rsidRPr="005545AF" w:rsidRDefault="00740A17" w:rsidP="001F7377">
            <w:pPr>
              <w:pStyle w:val="zSoquijlblDateJugement"/>
              <w:spacing w:line="240" w:lineRule="auto"/>
              <w:rPr>
                <w:lang w:val="en-CA"/>
              </w:rPr>
            </w:pPr>
            <w:r w:rsidRPr="005545AF">
              <w:rPr>
                <w:lang w:val="en-CA"/>
              </w:rPr>
              <w:t>DATE</w:t>
            </w:r>
            <w:r w:rsidR="00FE7B74" w:rsidRPr="005545AF">
              <w:rPr>
                <w:lang w:val="en-CA"/>
              </w:rPr>
              <w:t>:</w:t>
            </w:r>
          </w:p>
        </w:tc>
        <w:tc>
          <w:tcPr>
            <w:tcW w:w="8330" w:type="dxa"/>
            <w:gridSpan w:val="5"/>
          </w:tcPr>
          <w:p w14:paraId="64EB5819" w14:textId="29A863C4" w:rsidR="008F364A" w:rsidRPr="005545AF" w:rsidRDefault="00740A17" w:rsidP="001F7377">
            <w:pPr>
              <w:pStyle w:val="zSoquijdatDateJugement"/>
              <w:spacing w:line="240" w:lineRule="auto"/>
              <w:rPr>
                <w:lang w:val="en-CA"/>
              </w:rPr>
            </w:pPr>
            <w:r w:rsidRPr="005545AF">
              <w:rPr>
                <w:lang w:val="en-CA"/>
              </w:rPr>
              <w:fldChar w:fldCharType="begin"/>
            </w:r>
            <w:r w:rsidRPr="005545AF">
              <w:rPr>
                <w:lang w:val="en-CA"/>
              </w:rPr>
              <w:instrText xml:space="preserve"> QUOTE " " </w:instrText>
            </w:r>
            <w:r w:rsidRPr="005545AF">
              <w:rPr>
                <w:lang w:val="en-CA"/>
              </w:rPr>
              <w:fldChar w:fldCharType="separate"/>
            </w:r>
            <w:r w:rsidR="00A82909" w:rsidRPr="005545AF">
              <w:rPr>
                <w:lang w:val="en-CA"/>
              </w:rPr>
              <w:t xml:space="preserve"> </w:t>
            </w:r>
            <w:r w:rsidRPr="005545AF">
              <w:rPr>
                <w:lang w:val="en-CA"/>
              </w:rPr>
              <w:fldChar w:fldCharType="end"/>
            </w:r>
            <w:r w:rsidR="00A82909">
              <w:rPr>
                <w:lang w:val="en-CA"/>
              </w:rPr>
              <w:t>February 11, 2026</w:t>
            </w:r>
          </w:p>
        </w:tc>
      </w:tr>
      <w:tr w:rsidR="008F364A" w:rsidRPr="005545AF" w14:paraId="0F324C4E" w14:textId="77777777" w:rsidTr="009B3437">
        <w:tc>
          <w:tcPr>
            <w:tcW w:w="9360" w:type="dxa"/>
            <w:gridSpan w:val="6"/>
            <w:tcBorders>
              <w:bottom w:val="single" w:sz="4" w:space="0" w:color="auto"/>
            </w:tcBorders>
          </w:tcPr>
          <w:p w14:paraId="0DC6658B" w14:textId="77777777" w:rsidR="008F364A" w:rsidRPr="005545AF" w:rsidRDefault="008F364A" w:rsidP="001F7377">
            <w:pPr>
              <w:spacing w:line="240" w:lineRule="auto"/>
              <w:rPr>
                <w:lang w:val="en-CA"/>
              </w:rPr>
            </w:pPr>
          </w:p>
        </w:tc>
      </w:tr>
      <w:tr w:rsidR="008F364A" w:rsidRPr="005545AF" w14:paraId="5A10D52B" w14:textId="77777777" w:rsidTr="009B3437">
        <w:tc>
          <w:tcPr>
            <w:tcW w:w="9360" w:type="dxa"/>
            <w:gridSpan w:val="6"/>
            <w:tcBorders>
              <w:top w:val="single" w:sz="4" w:space="0" w:color="auto"/>
            </w:tcBorders>
          </w:tcPr>
          <w:p w14:paraId="17A618C4" w14:textId="77777777" w:rsidR="008F364A" w:rsidRPr="005545AF" w:rsidRDefault="008F364A" w:rsidP="001F7377">
            <w:pPr>
              <w:spacing w:line="240" w:lineRule="auto"/>
              <w:rPr>
                <w:lang w:val="en-CA"/>
              </w:rPr>
            </w:pPr>
          </w:p>
        </w:tc>
      </w:tr>
      <w:tr w:rsidR="008F364A" w:rsidRPr="005545AF" w14:paraId="5FE348DC" w14:textId="77777777" w:rsidTr="009B3437">
        <w:tc>
          <w:tcPr>
            <w:tcW w:w="1620" w:type="dxa"/>
            <w:gridSpan w:val="2"/>
          </w:tcPr>
          <w:p w14:paraId="52CEB4C7" w14:textId="74E14613" w:rsidR="008F364A" w:rsidRPr="005545AF" w:rsidRDefault="00FE7B74" w:rsidP="001F7377">
            <w:pPr>
              <w:pStyle w:val="zSoquijlblJuge"/>
              <w:spacing w:line="240" w:lineRule="auto"/>
              <w:ind w:right="-142"/>
              <w:rPr>
                <w:lang w:val="en-CA"/>
              </w:rPr>
            </w:pPr>
            <w:bookmarkStart w:id="1" w:name="FORMATION"/>
            <w:r w:rsidRPr="005545AF">
              <w:rPr>
                <w:lang w:val="en-CA"/>
              </w:rPr>
              <w:t>CORAM</w:t>
            </w:r>
            <w:r w:rsidR="00740A17" w:rsidRPr="005545AF">
              <w:rPr>
                <w:lang w:val="en-CA"/>
              </w:rPr>
              <w:t>:</w:t>
            </w:r>
            <w:bookmarkEnd w:id="1"/>
          </w:p>
        </w:tc>
        <w:tc>
          <w:tcPr>
            <w:tcW w:w="2350" w:type="dxa"/>
            <w:gridSpan w:val="2"/>
          </w:tcPr>
          <w:p w14:paraId="5EFA0E2F" w14:textId="7B978766" w:rsidR="008F364A" w:rsidRPr="005545AF" w:rsidRDefault="00FE7B74" w:rsidP="001F7377">
            <w:pPr>
              <w:pStyle w:val="zSoquijdatQteJuge"/>
              <w:spacing w:line="240" w:lineRule="auto"/>
              <w:rPr>
                <w:lang w:val="en-CA"/>
              </w:rPr>
            </w:pPr>
            <w:r w:rsidRPr="005545AF">
              <w:rPr>
                <w:lang w:val="en-CA"/>
              </w:rPr>
              <w:t>THE HONOURABLE</w:t>
            </w:r>
          </w:p>
        </w:tc>
        <w:tc>
          <w:tcPr>
            <w:tcW w:w="5390" w:type="dxa"/>
            <w:gridSpan w:val="2"/>
          </w:tcPr>
          <w:p w14:paraId="39FEFD63" w14:textId="194BE27A" w:rsidR="008F364A" w:rsidRPr="005545AF" w:rsidRDefault="008F7C57" w:rsidP="001F7377">
            <w:pPr>
              <w:pStyle w:val="zSoquijdatJuge"/>
              <w:spacing w:line="240" w:lineRule="auto"/>
              <w:rPr>
                <w:lang w:val="en-CA"/>
              </w:rPr>
            </w:pPr>
            <w:bookmarkStart w:id="2" w:name="NomJuge1"/>
            <w:r w:rsidRPr="005545AF">
              <w:rPr>
                <w:lang w:val="en-CA"/>
              </w:rPr>
              <w:t xml:space="preserve">MANON SAVARD, </w:t>
            </w:r>
            <w:r w:rsidR="00FE7B74" w:rsidRPr="005545AF">
              <w:rPr>
                <w:lang w:val="en-CA"/>
              </w:rPr>
              <w:t>C.J</w:t>
            </w:r>
            <w:bookmarkEnd w:id="2"/>
            <w:r w:rsidR="00FE7B74" w:rsidRPr="005545AF">
              <w:rPr>
                <w:lang w:val="en-CA"/>
              </w:rPr>
              <w:t>.Q</w:t>
            </w:r>
          </w:p>
          <w:p w14:paraId="064B906A" w14:textId="044AF54F" w:rsidR="008F364A" w:rsidRPr="005545AF" w:rsidRDefault="008F7C57" w:rsidP="001F7377">
            <w:pPr>
              <w:pStyle w:val="zSoquijdatJuge"/>
              <w:spacing w:line="240" w:lineRule="auto"/>
              <w:rPr>
                <w:lang w:val="en-CA"/>
              </w:rPr>
            </w:pPr>
            <w:bookmarkStart w:id="3" w:name="NomJuge2"/>
            <w:r w:rsidRPr="005545AF">
              <w:rPr>
                <w:lang w:val="en-CA"/>
              </w:rPr>
              <w:t>BENOÎT MOORE, J.A.</w:t>
            </w:r>
            <w:bookmarkEnd w:id="3"/>
          </w:p>
          <w:p w14:paraId="1BEFF6FF" w14:textId="1F7BD49E" w:rsidR="005A78BF" w:rsidRPr="005545AF" w:rsidRDefault="008748BC" w:rsidP="001F7377">
            <w:pPr>
              <w:pStyle w:val="zSoquijdatJuge"/>
              <w:spacing w:line="240" w:lineRule="auto"/>
              <w:rPr>
                <w:lang w:val="en-CA"/>
              </w:rPr>
            </w:pPr>
            <w:bookmarkStart w:id="4" w:name="_Hlt520513784"/>
            <w:bookmarkEnd w:id="4"/>
            <w:r w:rsidRPr="005545AF">
              <w:rPr>
                <w:lang w:val="en-CA"/>
              </w:rPr>
              <w:t>JUDITH HARVIE, J.A.</w:t>
            </w:r>
          </w:p>
        </w:tc>
      </w:tr>
      <w:tr w:rsidR="008F364A" w:rsidRPr="005545AF" w14:paraId="18E8B78D" w14:textId="77777777" w:rsidTr="009B3437">
        <w:tc>
          <w:tcPr>
            <w:tcW w:w="9360" w:type="dxa"/>
            <w:gridSpan w:val="6"/>
            <w:tcBorders>
              <w:bottom w:val="single" w:sz="4" w:space="0" w:color="auto"/>
            </w:tcBorders>
          </w:tcPr>
          <w:p w14:paraId="2D6F10EA" w14:textId="77777777" w:rsidR="008F364A" w:rsidRPr="005545AF" w:rsidRDefault="008F364A" w:rsidP="001F7377">
            <w:pPr>
              <w:spacing w:line="240" w:lineRule="auto"/>
              <w:rPr>
                <w:lang w:val="en-CA"/>
              </w:rPr>
            </w:pPr>
          </w:p>
        </w:tc>
      </w:tr>
      <w:tr w:rsidR="008F364A" w:rsidRPr="005545AF" w14:paraId="674E4310" w14:textId="77777777" w:rsidTr="009B3437">
        <w:tc>
          <w:tcPr>
            <w:tcW w:w="9360" w:type="dxa"/>
            <w:gridSpan w:val="6"/>
            <w:tcBorders>
              <w:top w:val="single" w:sz="4" w:space="0" w:color="auto"/>
            </w:tcBorders>
          </w:tcPr>
          <w:p w14:paraId="32D66E32" w14:textId="77777777" w:rsidR="008F364A" w:rsidRPr="005545AF" w:rsidRDefault="008F364A" w:rsidP="001F7377">
            <w:pPr>
              <w:pStyle w:val="zSoquijlblTitrePartie"/>
              <w:spacing w:line="240" w:lineRule="auto"/>
              <w:rPr>
                <w:lang w:val="en-CA"/>
              </w:rPr>
            </w:pPr>
          </w:p>
        </w:tc>
      </w:tr>
      <w:tr w:rsidR="008F364A" w:rsidRPr="005545AF" w14:paraId="157D24A0" w14:textId="77777777" w:rsidTr="00FE7B74">
        <w:tc>
          <w:tcPr>
            <w:tcW w:w="9360" w:type="dxa"/>
            <w:gridSpan w:val="6"/>
          </w:tcPr>
          <w:p w14:paraId="406FA0EB" w14:textId="23F727D5" w:rsidR="008F364A" w:rsidRPr="005545AF" w:rsidRDefault="0079299C" w:rsidP="001F7377">
            <w:pPr>
              <w:pStyle w:val="zSoquijdatNomPartieDem"/>
              <w:spacing w:line="240" w:lineRule="auto"/>
              <w:rPr>
                <w:lang w:val="en-CA"/>
              </w:rPr>
            </w:pPr>
            <w:r w:rsidRPr="005545AF">
              <w:rPr>
                <w:lang w:val="en-CA"/>
              </w:rPr>
              <w:t>A.B.</w:t>
            </w:r>
          </w:p>
        </w:tc>
      </w:tr>
      <w:tr w:rsidR="008F364A" w:rsidRPr="005545AF" w14:paraId="098990A5" w14:textId="77777777" w:rsidTr="00FE7B74">
        <w:tc>
          <w:tcPr>
            <w:tcW w:w="9360" w:type="dxa"/>
            <w:gridSpan w:val="6"/>
          </w:tcPr>
          <w:p w14:paraId="7CF2CC03" w14:textId="51090EF1" w:rsidR="008F364A" w:rsidRPr="005545AF" w:rsidRDefault="008F7C57" w:rsidP="001F7377">
            <w:pPr>
              <w:pStyle w:val="zSoquijdatQtePartieDem"/>
              <w:spacing w:line="240" w:lineRule="auto"/>
              <w:rPr>
                <w:lang w:val="en-CA"/>
              </w:rPr>
            </w:pPr>
            <w:r w:rsidRPr="005545AF">
              <w:rPr>
                <w:lang w:val="en-CA"/>
              </w:rPr>
              <w:t>APPEL</w:t>
            </w:r>
            <w:r w:rsidR="00FE7B74" w:rsidRPr="005545AF">
              <w:rPr>
                <w:lang w:val="en-CA"/>
              </w:rPr>
              <w:t>L</w:t>
            </w:r>
            <w:r w:rsidRPr="005545AF">
              <w:rPr>
                <w:lang w:val="en-CA"/>
              </w:rPr>
              <w:t>ANT</w:t>
            </w:r>
            <w:r w:rsidR="00011A7B">
              <w:rPr>
                <w:lang w:val="en-CA"/>
              </w:rPr>
              <w:t>/</w:t>
            </w:r>
            <w:r w:rsidR="00011A7B" w:rsidRPr="00011A7B">
              <w:rPr>
                <w:lang w:val="en-CA"/>
              </w:rPr>
              <w:t>INCIDENTAL RESPONDENT</w:t>
            </w:r>
            <w:r w:rsidRPr="005545AF">
              <w:rPr>
                <w:lang w:val="en-CA"/>
              </w:rPr>
              <w:t xml:space="preserve"> – </w:t>
            </w:r>
            <w:r w:rsidR="00FE7B74" w:rsidRPr="005545AF">
              <w:rPr>
                <w:lang w:val="en-CA"/>
              </w:rPr>
              <w:t>Plaintiff</w:t>
            </w:r>
          </w:p>
        </w:tc>
      </w:tr>
      <w:tr w:rsidR="008F364A" w:rsidRPr="005545AF" w14:paraId="028BBFAB" w14:textId="77777777" w:rsidTr="00FE7B74">
        <w:tc>
          <w:tcPr>
            <w:tcW w:w="9360" w:type="dxa"/>
            <w:gridSpan w:val="6"/>
          </w:tcPr>
          <w:p w14:paraId="7D7EBFA9" w14:textId="377CD2C1" w:rsidR="008F364A" w:rsidRPr="005545AF" w:rsidRDefault="00FE7B74" w:rsidP="001F7377">
            <w:pPr>
              <w:pStyle w:val="zSoquijlblLienParties"/>
              <w:spacing w:line="240" w:lineRule="auto"/>
              <w:rPr>
                <w:lang w:val="en-CA"/>
              </w:rPr>
            </w:pPr>
            <w:r w:rsidRPr="005545AF">
              <w:rPr>
                <w:lang w:val="en-CA"/>
              </w:rPr>
              <w:t>v</w:t>
            </w:r>
            <w:r w:rsidR="00740A17" w:rsidRPr="005545AF">
              <w:rPr>
                <w:lang w:val="en-CA"/>
              </w:rPr>
              <w:t>.</w:t>
            </w:r>
          </w:p>
        </w:tc>
      </w:tr>
      <w:tr w:rsidR="008F364A" w:rsidRPr="005545AF" w14:paraId="53C4ECC6" w14:textId="77777777" w:rsidTr="00FE7B74">
        <w:tc>
          <w:tcPr>
            <w:tcW w:w="9360" w:type="dxa"/>
            <w:gridSpan w:val="6"/>
          </w:tcPr>
          <w:p w14:paraId="4644AD9B" w14:textId="77777777" w:rsidR="008F364A" w:rsidRPr="005545AF" w:rsidRDefault="008F364A" w:rsidP="001F7377">
            <w:pPr>
              <w:spacing w:line="240" w:lineRule="auto"/>
              <w:rPr>
                <w:lang w:val="en-CA"/>
              </w:rPr>
            </w:pPr>
          </w:p>
        </w:tc>
      </w:tr>
      <w:tr w:rsidR="008F364A" w:rsidRPr="005545AF" w14:paraId="07F4348F" w14:textId="77777777" w:rsidTr="00FE7B74">
        <w:tc>
          <w:tcPr>
            <w:tcW w:w="9360" w:type="dxa"/>
            <w:gridSpan w:val="6"/>
          </w:tcPr>
          <w:p w14:paraId="44BC5420" w14:textId="751E101E" w:rsidR="008F364A" w:rsidRPr="005545AF" w:rsidRDefault="008F7C57" w:rsidP="001F7377">
            <w:pPr>
              <w:pStyle w:val="zSoquijdatNomPartieDef"/>
              <w:spacing w:line="240" w:lineRule="auto"/>
              <w:rPr>
                <w:lang w:val="en-CA"/>
              </w:rPr>
            </w:pPr>
            <w:r w:rsidRPr="005545AF">
              <w:rPr>
                <w:lang w:val="en-CA"/>
              </w:rPr>
              <w:t>GOOGLE LLC</w:t>
            </w:r>
          </w:p>
        </w:tc>
      </w:tr>
      <w:tr w:rsidR="008F364A" w:rsidRPr="005545AF" w14:paraId="5AA42E20" w14:textId="77777777" w:rsidTr="00FE7B74">
        <w:tc>
          <w:tcPr>
            <w:tcW w:w="9360" w:type="dxa"/>
            <w:gridSpan w:val="6"/>
          </w:tcPr>
          <w:p w14:paraId="3E90F8C3" w14:textId="73FA50EB" w:rsidR="008F364A" w:rsidRPr="005545AF" w:rsidRDefault="00FE7B74" w:rsidP="001F7377">
            <w:pPr>
              <w:pStyle w:val="zSoquijdatQtePartieDef"/>
              <w:spacing w:line="240" w:lineRule="auto"/>
              <w:rPr>
                <w:lang w:val="en-CA"/>
              </w:rPr>
            </w:pPr>
            <w:r w:rsidRPr="005545AF">
              <w:rPr>
                <w:lang w:val="en-CA"/>
              </w:rPr>
              <w:t>RESPONDENT</w:t>
            </w:r>
            <w:r w:rsidR="00011A7B">
              <w:rPr>
                <w:lang w:val="en-CA"/>
              </w:rPr>
              <w:t>/INCIDENTAL APPELLANT</w:t>
            </w:r>
            <w:r w:rsidR="008F7C57" w:rsidRPr="005545AF">
              <w:rPr>
                <w:lang w:val="en-CA"/>
              </w:rPr>
              <w:t xml:space="preserve"> – </w:t>
            </w:r>
            <w:r w:rsidRPr="005545AF">
              <w:rPr>
                <w:lang w:val="en-CA"/>
              </w:rPr>
              <w:t>Defendant</w:t>
            </w:r>
          </w:p>
        </w:tc>
      </w:tr>
      <w:tr w:rsidR="008F364A" w:rsidRPr="005545AF" w14:paraId="42B58C76" w14:textId="77777777" w:rsidTr="009B3437">
        <w:tc>
          <w:tcPr>
            <w:tcW w:w="9360" w:type="dxa"/>
            <w:gridSpan w:val="6"/>
            <w:tcBorders>
              <w:bottom w:val="single" w:sz="4" w:space="0" w:color="auto"/>
            </w:tcBorders>
          </w:tcPr>
          <w:p w14:paraId="678A60EF" w14:textId="77777777" w:rsidR="008F364A" w:rsidRPr="005545AF" w:rsidRDefault="008F364A" w:rsidP="001F7377">
            <w:pPr>
              <w:spacing w:line="240" w:lineRule="auto"/>
              <w:rPr>
                <w:lang w:val="en-CA"/>
              </w:rPr>
            </w:pPr>
          </w:p>
        </w:tc>
      </w:tr>
      <w:tr w:rsidR="008F364A" w:rsidRPr="005545AF" w14:paraId="5B2DDBBA" w14:textId="77777777" w:rsidTr="009B3437">
        <w:tc>
          <w:tcPr>
            <w:tcW w:w="9360" w:type="dxa"/>
            <w:gridSpan w:val="6"/>
            <w:tcBorders>
              <w:top w:val="single" w:sz="4" w:space="0" w:color="auto"/>
            </w:tcBorders>
          </w:tcPr>
          <w:p w14:paraId="49DA6A53" w14:textId="77777777" w:rsidR="008F364A" w:rsidRPr="005545AF" w:rsidRDefault="008F364A" w:rsidP="001F7377">
            <w:pPr>
              <w:spacing w:line="240" w:lineRule="auto"/>
              <w:rPr>
                <w:lang w:val="en-CA"/>
              </w:rPr>
            </w:pPr>
            <w:bookmarkStart w:id="5" w:name="Arret"/>
          </w:p>
        </w:tc>
      </w:tr>
      <w:tr w:rsidR="008F364A" w:rsidRPr="005545AF" w14:paraId="5AA91A57" w14:textId="77777777" w:rsidTr="009B3437">
        <w:tc>
          <w:tcPr>
            <w:tcW w:w="9360" w:type="dxa"/>
            <w:gridSpan w:val="6"/>
          </w:tcPr>
          <w:p w14:paraId="095345CA" w14:textId="72B4AFF2" w:rsidR="008F364A" w:rsidRPr="005545AF" w:rsidRDefault="00FE7B74" w:rsidP="001F7377">
            <w:pPr>
              <w:pStyle w:val="zSoquijlblTypeDocument"/>
              <w:spacing w:line="240" w:lineRule="auto"/>
              <w:rPr>
                <w:lang w:val="en-CA"/>
              </w:rPr>
            </w:pPr>
            <w:r w:rsidRPr="005545AF">
              <w:rPr>
                <w:lang w:val="en-CA"/>
              </w:rPr>
              <w:t>JUDGMENT</w:t>
            </w:r>
          </w:p>
        </w:tc>
      </w:tr>
      <w:tr w:rsidR="008F364A" w:rsidRPr="005545AF" w14:paraId="3C7BB68E" w14:textId="77777777" w:rsidTr="009B3437">
        <w:tc>
          <w:tcPr>
            <w:tcW w:w="9360" w:type="dxa"/>
            <w:gridSpan w:val="6"/>
            <w:tcBorders>
              <w:bottom w:val="single" w:sz="4" w:space="0" w:color="auto"/>
            </w:tcBorders>
          </w:tcPr>
          <w:p w14:paraId="24647225" w14:textId="77777777" w:rsidR="008F364A" w:rsidRPr="005545AF" w:rsidRDefault="008F364A" w:rsidP="001F7377">
            <w:pPr>
              <w:spacing w:line="240" w:lineRule="auto"/>
              <w:rPr>
                <w:lang w:val="en-CA"/>
              </w:rPr>
            </w:pPr>
          </w:p>
        </w:tc>
      </w:tr>
      <w:tr w:rsidR="008F364A" w:rsidRPr="005545AF" w14:paraId="2305F47D" w14:textId="77777777" w:rsidTr="009B3437">
        <w:tc>
          <w:tcPr>
            <w:tcW w:w="9360" w:type="dxa"/>
            <w:gridSpan w:val="6"/>
            <w:tcBorders>
              <w:top w:val="single" w:sz="4" w:space="0" w:color="auto"/>
            </w:tcBorders>
          </w:tcPr>
          <w:p w14:paraId="71173981" w14:textId="77777777" w:rsidR="008F364A" w:rsidRPr="005545AF" w:rsidRDefault="008F364A" w:rsidP="001F7377">
            <w:pPr>
              <w:spacing w:line="240" w:lineRule="auto"/>
              <w:rPr>
                <w:lang w:val="en-CA"/>
              </w:rPr>
            </w:pPr>
          </w:p>
        </w:tc>
      </w:tr>
    </w:tbl>
    <w:p w14:paraId="108CFA68" w14:textId="3D36421E" w:rsidR="00E83530" w:rsidRPr="005545AF" w:rsidRDefault="00FE7B74" w:rsidP="001F7377">
      <w:pPr>
        <w:pStyle w:val="Paragraphe"/>
        <w:numPr>
          <w:ilvl w:val="0"/>
          <w:numId w:val="0"/>
        </w:numPr>
        <w:spacing w:line="240" w:lineRule="auto"/>
        <w:rPr>
          <w:b/>
          <w:bCs/>
          <w:lang w:val="en-CA"/>
        </w:rPr>
      </w:pPr>
      <w:r w:rsidRPr="005545AF">
        <w:rPr>
          <w:b/>
          <w:bCs/>
          <w:u w:val="single"/>
          <w:lang w:val="en-CA"/>
        </w:rPr>
        <w:t>WARNING:</w:t>
      </w:r>
      <w:r w:rsidR="00E83530" w:rsidRPr="005545AF">
        <w:rPr>
          <w:b/>
          <w:bCs/>
          <w:lang w:val="en-CA"/>
        </w:rPr>
        <w:t xml:space="preserve"> </w:t>
      </w:r>
      <w:r w:rsidRPr="005545AF">
        <w:rPr>
          <w:b/>
          <w:bCs/>
          <w:lang w:val="en-CA"/>
        </w:rPr>
        <w:t>On May 10, 2023,</w:t>
      </w:r>
      <w:r w:rsidR="00695C65">
        <w:rPr>
          <w:b/>
          <w:bCs/>
          <w:lang w:val="en-CA"/>
        </w:rPr>
        <w:t xml:space="preserve"> a judge of</w:t>
      </w:r>
      <w:r w:rsidRPr="005545AF">
        <w:rPr>
          <w:b/>
          <w:bCs/>
          <w:lang w:val="en-CA"/>
        </w:rPr>
        <w:t xml:space="preserve"> the Court (the Honourable Christine Baudouin) ordered a ban under article 12 of the </w:t>
      </w:r>
      <w:r w:rsidRPr="005545AF">
        <w:rPr>
          <w:b/>
          <w:bCs/>
          <w:i/>
          <w:iCs/>
          <w:lang w:val="en-CA"/>
        </w:rPr>
        <w:t>Code of Civil Procedure</w:t>
      </w:r>
      <w:r w:rsidRPr="005545AF">
        <w:rPr>
          <w:b/>
          <w:bCs/>
          <w:lang w:val="en-CA"/>
        </w:rPr>
        <w:t xml:space="preserve"> (“</w:t>
      </w:r>
      <w:r w:rsidRPr="005545AF">
        <w:rPr>
          <w:b/>
          <w:bCs/>
          <w:i/>
          <w:iCs/>
          <w:lang w:val="en-CA"/>
        </w:rPr>
        <w:t>C.C.P.</w:t>
      </w:r>
      <w:r w:rsidRPr="005545AF">
        <w:rPr>
          <w:b/>
          <w:bCs/>
          <w:lang w:val="en-CA"/>
        </w:rPr>
        <w:t>”) prohibiting the disclosure, publication or circulation of the name of the appellant or any other information that would allow for him to be identified</w:t>
      </w:r>
      <w:r w:rsidR="00695C65">
        <w:rPr>
          <w:b/>
          <w:bCs/>
          <w:lang w:val="en-CA"/>
        </w:rPr>
        <w:t xml:space="preserve">, </w:t>
      </w:r>
      <w:r w:rsidR="00695C65" w:rsidRPr="00695C65">
        <w:rPr>
          <w:b/>
          <w:bCs/>
          <w:lang w:val="en-CA"/>
        </w:rPr>
        <w:t xml:space="preserve">to remain in effect until the </w:t>
      </w:r>
      <w:r w:rsidR="00695C65" w:rsidRPr="00A82909">
        <w:rPr>
          <w:b/>
          <w:bCs/>
          <w:lang w:val="en-CA"/>
        </w:rPr>
        <w:t>Court's</w:t>
      </w:r>
      <w:r w:rsidR="00680CC4" w:rsidRPr="00A82909">
        <w:rPr>
          <w:b/>
          <w:bCs/>
          <w:lang w:val="en-CA"/>
        </w:rPr>
        <w:t xml:space="preserve"> final</w:t>
      </w:r>
      <w:r w:rsidR="00695C65" w:rsidRPr="00A82909">
        <w:rPr>
          <w:b/>
          <w:bCs/>
          <w:lang w:val="en-CA"/>
        </w:rPr>
        <w:t xml:space="preserve"> judgment on the merits of this appeal. The Court </w:t>
      </w:r>
      <w:r w:rsidR="00680CC4" w:rsidRPr="00A82909">
        <w:rPr>
          <w:b/>
          <w:bCs/>
          <w:lang w:val="en-CA"/>
        </w:rPr>
        <w:t>renews</w:t>
      </w:r>
      <w:r w:rsidR="00695C65" w:rsidRPr="00A82909">
        <w:rPr>
          <w:b/>
          <w:bCs/>
          <w:lang w:val="en-CA"/>
        </w:rPr>
        <w:t xml:space="preserve"> this</w:t>
      </w:r>
      <w:r w:rsidR="00695C65" w:rsidRPr="00695C65">
        <w:rPr>
          <w:b/>
          <w:bCs/>
          <w:lang w:val="en-CA"/>
        </w:rPr>
        <w:t xml:space="preserve"> prohibition, in accordance with paragraph [6] of this </w:t>
      </w:r>
      <w:r w:rsidR="00695C65">
        <w:rPr>
          <w:b/>
          <w:bCs/>
          <w:lang w:val="en-CA"/>
        </w:rPr>
        <w:t>judgment</w:t>
      </w:r>
      <w:r w:rsidR="00E83530" w:rsidRPr="005545AF">
        <w:rPr>
          <w:b/>
          <w:bCs/>
          <w:lang w:val="en-CA"/>
        </w:rPr>
        <w:t>.</w:t>
      </w:r>
    </w:p>
    <w:p w14:paraId="4A4126B1" w14:textId="43EAC6C2" w:rsidR="00E83530" w:rsidRPr="005545AF" w:rsidRDefault="008A3F1C" w:rsidP="001F7377">
      <w:pPr>
        <w:pStyle w:val="Paragraphe"/>
        <w:numPr>
          <w:ilvl w:val="0"/>
          <w:numId w:val="19"/>
        </w:numPr>
        <w:spacing w:line="240" w:lineRule="auto"/>
        <w:rPr>
          <w:lang w:val="en-CA"/>
        </w:rPr>
      </w:pPr>
      <w:r w:rsidRPr="005545AF">
        <w:rPr>
          <w:lang w:val="en-CA"/>
        </w:rPr>
        <w:t>The appellant appeals from a judgment</w:t>
      </w:r>
      <w:r w:rsidR="00E83530" w:rsidRPr="005545AF">
        <w:rPr>
          <w:lang w:val="en-CA"/>
        </w:rPr>
        <w:t xml:space="preserve"> </w:t>
      </w:r>
      <w:r w:rsidRPr="005545AF">
        <w:rPr>
          <w:lang w:val="en-CA"/>
        </w:rPr>
        <w:t>rendered on March 28, 2023 by the Superior Court,</w:t>
      </w:r>
      <w:r w:rsidR="00E83530" w:rsidRPr="005545AF">
        <w:rPr>
          <w:lang w:val="en-CA"/>
        </w:rPr>
        <w:t xml:space="preserve"> </w:t>
      </w:r>
      <w:r w:rsidRPr="005545AF">
        <w:rPr>
          <w:lang w:val="en-CA"/>
        </w:rPr>
        <w:t>D</w:t>
      </w:r>
      <w:r w:rsidR="00E83530" w:rsidRPr="005545AF">
        <w:rPr>
          <w:lang w:val="en-CA"/>
        </w:rPr>
        <w:t xml:space="preserve">istrict </w:t>
      </w:r>
      <w:r w:rsidRPr="005545AF">
        <w:rPr>
          <w:lang w:val="en-CA"/>
        </w:rPr>
        <w:t>of</w:t>
      </w:r>
      <w:r w:rsidR="00E83530" w:rsidRPr="005545AF">
        <w:rPr>
          <w:lang w:val="en-CA"/>
        </w:rPr>
        <w:t xml:space="preserve"> Montr</w:t>
      </w:r>
      <w:r w:rsidRPr="005545AF">
        <w:rPr>
          <w:lang w:val="en-CA"/>
        </w:rPr>
        <w:t>e</w:t>
      </w:r>
      <w:r w:rsidR="00E83530" w:rsidRPr="005545AF">
        <w:rPr>
          <w:lang w:val="en-CA"/>
        </w:rPr>
        <w:t>al</w:t>
      </w:r>
      <w:r w:rsidRPr="005545AF">
        <w:rPr>
          <w:lang w:val="en-CA"/>
        </w:rPr>
        <w:t xml:space="preserve"> </w:t>
      </w:r>
      <w:r w:rsidR="00E83530" w:rsidRPr="005545AF">
        <w:rPr>
          <w:lang w:val="en-CA"/>
        </w:rPr>
        <w:t>(</w:t>
      </w:r>
      <w:r w:rsidRPr="005545AF">
        <w:rPr>
          <w:lang w:val="en-CA"/>
        </w:rPr>
        <w:t>the H</w:t>
      </w:r>
      <w:r w:rsidR="00E83530" w:rsidRPr="005545AF">
        <w:rPr>
          <w:lang w:val="en-CA"/>
        </w:rPr>
        <w:t>ono</w:t>
      </w:r>
      <w:r w:rsidRPr="005545AF">
        <w:rPr>
          <w:lang w:val="en-CA"/>
        </w:rPr>
        <w:t>u</w:t>
      </w:r>
      <w:r w:rsidR="00E83530" w:rsidRPr="005545AF">
        <w:rPr>
          <w:lang w:val="en-CA"/>
        </w:rPr>
        <w:t xml:space="preserve">rable Azimuddin Hussain), </w:t>
      </w:r>
      <w:r w:rsidR="00BC3C82" w:rsidRPr="005545AF">
        <w:rPr>
          <w:lang w:val="en-CA"/>
        </w:rPr>
        <w:t>grant</w:t>
      </w:r>
      <w:r w:rsidR="0019063B" w:rsidRPr="005545AF">
        <w:rPr>
          <w:lang w:val="en-CA"/>
        </w:rPr>
        <w:t>ing</w:t>
      </w:r>
      <w:r w:rsidRPr="005545AF">
        <w:rPr>
          <w:lang w:val="en-CA"/>
        </w:rPr>
        <w:t xml:space="preserve"> in part his civil </w:t>
      </w:r>
      <w:r w:rsidR="00BC3C82" w:rsidRPr="005545AF">
        <w:rPr>
          <w:lang w:val="en-CA"/>
        </w:rPr>
        <w:t>liability claim</w:t>
      </w:r>
      <w:r w:rsidRPr="005545AF">
        <w:rPr>
          <w:lang w:val="en-CA"/>
        </w:rPr>
        <w:t xml:space="preserve"> against</w:t>
      </w:r>
      <w:r w:rsidR="00E83530" w:rsidRPr="005545AF">
        <w:rPr>
          <w:lang w:val="en-CA"/>
        </w:rPr>
        <w:t xml:space="preserve"> Google LLC.</w:t>
      </w:r>
    </w:p>
    <w:p w14:paraId="40762E37" w14:textId="705D2D74" w:rsidR="00E83530" w:rsidRPr="005545AF" w:rsidRDefault="00BC3C82" w:rsidP="001F7377">
      <w:pPr>
        <w:pStyle w:val="Paragraphe"/>
        <w:numPr>
          <w:ilvl w:val="0"/>
          <w:numId w:val="19"/>
        </w:numPr>
        <w:spacing w:line="240" w:lineRule="auto"/>
        <w:rPr>
          <w:lang w:val="en-CA"/>
        </w:rPr>
      </w:pPr>
      <w:r w:rsidRPr="005545AF">
        <w:rPr>
          <w:lang w:val="en-CA"/>
        </w:rPr>
        <w:t xml:space="preserve">For the reasons of </w:t>
      </w:r>
      <w:r w:rsidR="00E83530" w:rsidRPr="005545AF">
        <w:rPr>
          <w:lang w:val="en-CA"/>
        </w:rPr>
        <w:t>Moore,</w:t>
      </w:r>
      <w:r w:rsidRPr="005545AF">
        <w:rPr>
          <w:lang w:val="en-CA"/>
        </w:rPr>
        <w:t xml:space="preserve"> J.A.,</w:t>
      </w:r>
      <w:r w:rsidR="00E83530" w:rsidRPr="005545AF">
        <w:rPr>
          <w:lang w:val="en-CA"/>
        </w:rPr>
        <w:t xml:space="preserve"> </w:t>
      </w:r>
      <w:r w:rsidRPr="005545AF">
        <w:rPr>
          <w:lang w:val="en-CA"/>
        </w:rPr>
        <w:t>with which</w:t>
      </w:r>
      <w:r w:rsidR="00E83530" w:rsidRPr="005545AF">
        <w:rPr>
          <w:lang w:val="en-CA"/>
        </w:rPr>
        <w:t xml:space="preserve"> Savard</w:t>
      </w:r>
      <w:r w:rsidRPr="005545AF">
        <w:rPr>
          <w:lang w:val="en-CA"/>
        </w:rPr>
        <w:t>, C.J.Q.</w:t>
      </w:r>
      <w:r w:rsidR="00E83530" w:rsidRPr="005545AF">
        <w:rPr>
          <w:lang w:val="en-CA"/>
        </w:rPr>
        <w:t xml:space="preserve"> </w:t>
      </w:r>
      <w:r w:rsidRPr="005545AF">
        <w:rPr>
          <w:lang w:val="en-CA"/>
        </w:rPr>
        <w:t>and</w:t>
      </w:r>
      <w:r w:rsidR="00E83530" w:rsidRPr="005545AF">
        <w:rPr>
          <w:lang w:val="en-CA"/>
        </w:rPr>
        <w:t xml:space="preserve"> Harvie</w:t>
      </w:r>
      <w:r w:rsidRPr="005545AF">
        <w:rPr>
          <w:lang w:val="en-CA"/>
        </w:rPr>
        <w:t>, J.A. concur</w:t>
      </w:r>
      <w:r w:rsidR="00E83530" w:rsidRPr="005545AF">
        <w:rPr>
          <w:lang w:val="en-CA"/>
        </w:rPr>
        <w:t xml:space="preserve">, </w:t>
      </w:r>
      <w:r w:rsidRPr="005545AF">
        <w:rPr>
          <w:b/>
          <w:lang w:val="en-CA"/>
        </w:rPr>
        <w:t>THE COURT</w:t>
      </w:r>
      <w:r w:rsidR="00E83530" w:rsidRPr="005545AF">
        <w:rPr>
          <w:b/>
          <w:lang w:val="en-CA"/>
        </w:rPr>
        <w:t>:</w:t>
      </w:r>
    </w:p>
    <w:p w14:paraId="68AFBF2F" w14:textId="3F4CF14C" w:rsidR="00E059D1" w:rsidRPr="005545AF" w:rsidRDefault="00656201" w:rsidP="001F7377">
      <w:pPr>
        <w:pStyle w:val="Paragraphe"/>
        <w:numPr>
          <w:ilvl w:val="0"/>
          <w:numId w:val="19"/>
        </w:numPr>
        <w:spacing w:line="240" w:lineRule="auto"/>
        <w:rPr>
          <w:lang w:val="en-CA"/>
        </w:rPr>
      </w:pPr>
      <w:bookmarkStart w:id="6" w:name="_Hlk220567708"/>
      <w:r w:rsidRPr="005545AF">
        <w:rPr>
          <w:b/>
          <w:lang w:val="en-CA"/>
        </w:rPr>
        <w:t>ALLOWS</w:t>
      </w:r>
      <w:r w:rsidR="00E83530" w:rsidRPr="005545AF">
        <w:rPr>
          <w:b/>
          <w:lang w:val="en-CA"/>
        </w:rPr>
        <w:t xml:space="preserve"> </w:t>
      </w:r>
      <w:r w:rsidRPr="005545AF">
        <w:rPr>
          <w:bCs/>
          <w:lang w:val="en-CA"/>
        </w:rPr>
        <w:t>in part the principal appeal</w:t>
      </w:r>
      <w:r w:rsidR="00985B7E" w:rsidRPr="005545AF">
        <w:rPr>
          <w:bCs/>
          <w:lang w:val="en-CA"/>
        </w:rPr>
        <w:t>, without legal costs</w:t>
      </w:r>
      <w:bookmarkEnd w:id="6"/>
      <w:r w:rsidR="00E059D1" w:rsidRPr="005545AF">
        <w:rPr>
          <w:bCs/>
          <w:lang w:val="en-CA"/>
        </w:rPr>
        <w:t>;</w:t>
      </w:r>
    </w:p>
    <w:p w14:paraId="597EEFE9" w14:textId="018B2A32" w:rsidR="00985B7E" w:rsidRPr="005545AF" w:rsidRDefault="00985B7E" w:rsidP="001F7377">
      <w:pPr>
        <w:pStyle w:val="Paragraphe"/>
        <w:numPr>
          <w:ilvl w:val="0"/>
          <w:numId w:val="19"/>
        </w:numPr>
        <w:spacing w:line="240" w:lineRule="auto"/>
        <w:rPr>
          <w:lang w:val="en-CA"/>
        </w:rPr>
      </w:pPr>
      <w:r w:rsidRPr="005545AF">
        <w:rPr>
          <w:b/>
          <w:bCs/>
          <w:lang w:val="en-CA"/>
        </w:rPr>
        <w:lastRenderedPageBreak/>
        <w:t>ALLOWS</w:t>
      </w:r>
      <w:r w:rsidRPr="005545AF">
        <w:rPr>
          <w:lang w:val="en-CA"/>
        </w:rPr>
        <w:t xml:space="preserve"> in part the incidental appeal, without legal costs;</w:t>
      </w:r>
    </w:p>
    <w:p w14:paraId="6AC076D0" w14:textId="4A9E0216" w:rsidR="00A41ABE" w:rsidRPr="00A41ABE" w:rsidRDefault="00D91846" w:rsidP="00A41ABE">
      <w:pPr>
        <w:pStyle w:val="Paragraphe"/>
        <w:numPr>
          <w:ilvl w:val="0"/>
          <w:numId w:val="19"/>
        </w:numPr>
        <w:spacing w:line="240" w:lineRule="auto"/>
        <w:rPr>
          <w:lang w:val="en-CA"/>
        </w:rPr>
      </w:pPr>
      <w:r w:rsidRPr="00680CC4">
        <w:rPr>
          <w:b/>
          <w:bCs/>
          <w:lang w:val="en-CA"/>
        </w:rPr>
        <w:t>QUASHE</w:t>
      </w:r>
      <w:r w:rsidR="0085004F">
        <w:rPr>
          <w:b/>
          <w:bCs/>
          <w:lang w:val="en-CA"/>
        </w:rPr>
        <w:t>S</w:t>
      </w:r>
      <w:r w:rsidRPr="00680CC4">
        <w:rPr>
          <w:b/>
          <w:bCs/>
          <w:lang w:val="en-CA"/>
        </w:rPr>
        <w:t xml:space="preserve"> </w:t>
      </w:r>
      <w:r w:rsidR="00A41ABE" w:rsidRPr="00A41ABE">
        <w:rPr>
          <w:lang w:val="en-CA"/>
        </w:rPr>
        <w:t>the trial judgment for the sole purpose of:</w:t>
      </w:r>
    </w:p>
    <w:p w14:paraId="749AF42F" w14:textId="5F76A911" w:rsidR="00A41ABE" w:rsidRPr="00A41ABE" w:rsidRDefault="00A41ABE" w:rsidP="00A41ABE">
      <w:pPr>
        <w:pStyle w:val="Paragraphe"/>
        <w:numPr>
          <w:ilvl w:val="0"/>
          <w:numId w:val="30"/>
        </w:numPr>
        <w:spacing w:line="240" w:lineRule="auto"/>
        <w:rPr>
          <w:lang w:val="en-CA"/>
        </w:rPr>
      </w:pPr>
      <w:r w:rsidRPr="00A41ABE">
        <w:rPr>
          <w:b/>
          <w:bCs/>
          <w:lang w:val="en-CA"/>
        </w:rPr>
        <w:t>AMENDING</w:t>
      </w:r>
      <w:r w:rsidRPr="00A41ABE">
        <w:rPr>
          <w:lang w:val="en-CA"/>
        </w:rPr>
        <w:t xml:space="preserve"> paragraph [637] of the </w:t>
      </w:r>
      <w:r w:rsidR="00D91846" w:rsidRPr="00680CC4">
        <w:rPr>
          <w:lang w:val="en-CA"/>
        </w:rPr>
        <w:t xml:space="preserve">judgment in first </w:t>
      </w:r>
      <w:r w:rsidRPr="00A41ABE">
        <w:rPr>
          <w:lang w:val="en-CA"/>
        </w:rPr>
        <w:t>to substitute the amount of $25,000 for the amount of $500,000;</w:t>
      </w:r>
    </w:p>
    <w:p w14:paraId="660B00E8" w14:textId="75A79AAF" w:rsidR="00A41ABE" w:rsidRDefault="00A41ABE" w:rsidP="00A41ABE">
      <w:pPr>
        <w:pStyle w:val="Paragraphe"/>
        <w:numPr>
          <w:ilvl w:val="0"/>
          <w:numId w:val="30"/>
        </w:numPr>
        <w:spacing w:line="240" w:lineRule="auto"/>
        <w:rPr>
          <w:lang w:val="en-CA"/>
        </w:rPr>
      </w:pPr>
      <w:r w:rsidRPr="00A41ABE">
        <w:rPr>
          <w:b/>
          <w:bCs/>
          <w:lang w:val="en-CA"/>
        </w:rPr>
        <w:t>ADDING</w:t>
      </w:r>
      <w:r w:rsidRPr="00A41ABE">
        <w:rPr>
          <w:lang w:val="en-CA"/>
        </w:rPr>
        <w:t xml:space="preserve"> paragraph [637(b)], which reads as follows:</w:t>
      </w:r>
    </w:p>
    <w:p w14:paraId="33BD1565" w14:textId="51BD3017" w:rsidR="00A41ABE" w:rsidRPr="005545AF" w:rsidRDefault="00A41ABE" w:rsidP="00A41ABE">
      <w:pPr>
        <w:pStyle w:val="Paragraphe"/>
        <w:numPr>
          <w:ilvl w:val="0"/>
          <w:numId w:val="0"/>
        </w:numPr>
        <w:spacing w:line="240" w:lineRule="auto"/>
        <w:ind w:left="2552"/>
        <w:rPr>
          <w:lang w:val="en-CA"/>
        </w:rPr>
      </w:pPr>
      <w:r>
        <w:rPr>
          <w:bCs/>
          <w:lang w:val="en-CA"/>
        </w:rPr>
        <w:t>[637b)]</w:t>
      </w:r>
      <w:r>
        <w:rPr>
          <w:bCs/>
          <w:lang w:val="en-CA"/>
        </w:rPr>
        <w:tab/>
      </w:r>
      <w:r>
        <w:rPr>
          <w:b/>
          <w:lang w:val="en-CA"/>
        </w:rPr>
        <w:t>CONDEMNS</w:t>
      </w:r>
      <w:r w:rsidRPr="005545AF">
        <w:rPr>
          <w:b/>
          <w:lang w:val="en-CA"/>
        </w:rPr>
        <w:t xml:space="preserve"> </w:t>
      </w:r>
      <w:r w:rsidRPr="005545AF">
        <w:rPr>
          <w:bCs/>
          <w:lang w:val="en-CA"/>
        </w:rPr>
        <w:t>Google LLC</w:t>
      </w:r>
      <w:r w:rsidR="0036479E">
        <w:rPr>
          <w:bCs/>
          <w:lang w:val="en-CA"/>
        </w:rPr>
        <w:t xml:space="preserve"> to</w:t>
      </w:r>
      <w:r w:rsidRPr="005545AF">
        <w:rPr>
          <w:bCs/>
          <w:lang w:val="en-CA"/>
        </w:rPr>
        <w:t xml:space="preserve"> pay to A.B. the sum of $1,500,000 in punitive damages with interest at the legal rate and the additional indemnity mentioned in article 1619 </w:t>
      </w:r>
      <w:r w:rsidRPr="005545AF">
        <w:rPr>
          <w:bCs/>
          <w:i/>
          <w:iCs/>
          <w:lang w:val="en-CA"/>
        </w:rPr>
        <w:t>C.C.Q.</w:t>
      </w:r>
      <w:r w:rsidRPr="005545AF">
        <w:rPr>
          <w:bCs/>
          <w:lang w:val="en-CA"/>
        </w:rPr>
        <w:t xml:space="preserve"> as of the date of this judgment;</w:t>
      </w:r>
    </w:p>
    <w:p w14:paraId="39502A4F" w14:textId="09E38BB2" w:rsidR="00E83530" w:rsidRPr="005545AF" w:rsidRDefault="00680CC4" w:rsidP="001F7377">
      <w:pPr>
        <w:pStyle w:val="Paragraphe"/>
        <w:numPr>
          <w:ilvl w:val="0"/>
          <w:numId w:val="19"/>
        </w:numPr>
        <w:spacing w:line="240" w:lineRule="auto"/>
        <w:rPr>
          <w:lang w:val="en-CA"/>
        </w:rPr>
      </w:pPr>
      <w:r w:rsidRPr="00A82909">
        <w:rPr>
          <w:b/>
          <w:lang w:val="en-CA"/>
        </w:rPr>
        <w:t>RENEWS</w:t>
      </w:r>
      <w:r w:rsidR="00E83530" w:rsidRPr="005545AF">
        <w:rPr>
          <w:bCs/>
          <w:lang w:val="en-CA"/>
        </w:rPr>
        <w:t xml:space="preserve"> </w:t>
      </w:r>
      <w:r w:rsidR="005A3E28" w:rsidRPr="005545AF">
        <w:rPr>
          <w:bCs/>
          <w:lang w:val="en-CA"/>
        </w:rPr>
        <w:t>the publication ban</w:t>
      </w:r>
      <w:r w:rsidR="00E059D1" w:rsidRPr="005545AF">
        <w:rPr>
          <w:bCs/>
          <w:lang w:val="en-CA"/>
        </w:rPr>
        <w:t xml:space="preserve"> </w:t>
      </w:r>
      <w:r w:rsidR="00316FD3" w:rsidRPr="005545AF">
        <w:rPr>
          <w:bCs/>
          <w:lang w:val="en-CA"/>
        </w:rPr>
        <w:t xml:space="preserve">ordered </w:t>
      </w:r>
      <w:r w:rsidR="00444616" w:rsidRPr="005545AF">
        <w:rPr>
          <w:bCs/>
          <w:lang w:val="en-CA"/>
        </w:rPr>
        <w:t xml:space="preserve">at paragraph </w:t>
      </w:r>
      <w:r w:rsidR="008D5770">
        <w:rPr>
          <w:bCs/>
          <w:lang w:val="en-CA"/>
        </w:rPr>
        <w:t>[</w:t>
      </w:r>
      <w:r w:rsidR="00444616" w:rsidRPr="005545AF">
        <w:rPr>
          <w:bCs/>
          <w:lang w:val="en-CA"/>
        </w:rPr>
        <w:t>639</w:t>
      </w:r>
      <w:r w:rsidR="008D5770">
        <w:rPr>
          <w:bCs/>
          <w:lang w:val="en-CA"/>
        </w:rPr>
        <w:t>]</w:t>
      </w:r>
      <w:r w:rsidR="00316FD3" w:rsidRPr="005545AF">
        <w:rPr>
          <w:bCs/>
          <w:lang w:val="en-CA"/>
        </w:rPr>
        <w:t xml:space="preserve"> </w:t>
      </w:r>
      <w:r w:rsidR="005A3E28" w:rsidRPr="005545AF">
        <w:rPr>
          <w:bCs/>
          <w:lang w:val="en-CA"/>
        </w:rPr>
        <w:t xml:space="preserve">until the expiry of the time </w:t>
      </w:r>
      <w:r w:rsidR="00B0259E" w:rsidRPr="005545AF">
        <w:rPr>
          <w:bCs/>
          <w:lang w:val="en-CA"/>
        </w:rPr>
        <w:t>limit</w:t>
      </w:r>
      <w:r w:rsidR="005A3E28" w:rsidRPr="005545AF">
        <w:rPr>
          <w:bCs/>
          <w:lang w:val="en-CA"/>
        </w:rPr>
        <w:t xml:space="preserve"> </w:t>
      </w:r>
      <w:r w:rsidR="00B0259E" w:rsidRPr="005545AF">
        <w:rPr>
          <w:bCs/>
          <w:lang w:val="en-CA"/>
        </w:rPr>
        <w:t xml:space="preserve">to </w:t>
      </w:r>
      <w:r w:rsidR="00444616" w:rsidRPr="005545AF">
        <w:rPr>
          <w:bCs/>
          <w:lang w:val="en-CA"/>
        </w:rPr>
        <w:t xml:space="preserve">file an application </w:t>
      </w:r>
      <w:r w:rsidR="005A3E28" w:rsidRPr="005545AF">
        <w:rPr>
          <w:bCs/>
          <w:lang w:val="en-CA"/>
        </w:rPr>
        <w:t xml:space="preserve">for leave to appeal to the Supreme Court or, </w:t>
      </w:r>
      <w:r w:rsidR="00B0259E" w:rsidRPr="005545AF">
        <w:rPr>
          <w:bCs/>
          <w:lang w:val="en-CA"/>
        </w:rPr>
        <w:t>in the event that</w:t>
      </w:r>
      <w:r w:rsidR="005A3E28" w:rsidRPr="005545AF">
        <w:rPr>
          <w:bCs/>
          <w:lang w:val="en-CA"/>
        </w:rPr>
        <w:t xml:space="preserve"> such </w:t>
      </w:r>
      <w:r w:rsidR="00B0259E" w:rsidRPr="005545AF">
        <w:rPr>
          <w:bCs/>
          <w:lang w:val="en-CA"/>
        </w:rPr>
        <w:t>an application</w:t>
      </w:r>
      <w:r w:rsidR="005A3E28" w:rsidRPr="005545AF">
        <w:rPr>
          <w:bCs/>
          <w:lang w:val="en-CA"/>
        </w:rPr>
        <w:t xml:space="preserve"> </w:t>
      </w:r>
      <w:r w:rsidR="00B0259E" w:rsidRPr="005545AF">
        <w:rPr>
          <w:bCs/>
          <w:lang w:val="en-CA"/>
        </w:rPr>
        <w:t>is</w:t>
      </w:r>
      <w:r w:rsidR="005A3E28" w:rsidRPr="005545AF">
        <w:rPr>
          <w:bCs/>
          <w:lang w:val="en-CA"/>
        </w:rPr>
        <w:t xml:space="preserve"> filed, until </w:t>
      </w:r>
      <w:r w:rsidR="0070746B" w:rsidRPr="005545AF">
        <w:rPr>
          <w:bCs/>
          <w:lang w:val="en-CA"/>
        </w:rPr>
        <w:t xml:space="preserve">the </w:t>
      </w:r>
      <w:r w:rsidR="005A3E28" w:rsidRPr="005545AF">
        <w:rPr>
          <w:bCs/>
          <w:lang w:val="en-CA"/>
        </w:rPr>
        <w:t>judgment dismissing</w:t>
      </w:r>
      <w:r w:rsidR="00B0259E" w:rsidRPr="005545AF">
        <w:rPr>
          <w:bCs/>
          <w:lang w:val="en-CA"/>
        </w:rPr>
        <w:t xml:space="preserve"> the application</w:t>
      </w:r>
      <w:r w:rsidR="005A3E28" w:rsidRPr="005545AF">
        <w:rPr>
          <w:bCs/>
          <w:lang w:val="en-CA"/>
        </w:rPr>
        <w:t xml:space="preserve"> or until the Supreme Court renders judgment on the merits of the appeal</w:t>
      </w:r>
      <w:r w:rsidR="00E059D1" w:rsidRPr="005545AF">
        <w:rPr>
          <w:bCs/>
          <w:lang w:val="en-CA"/>
        </w:rPr>
        <w:t>;</w:t>
      </w:r>
    </w:p>
    <w:p w14:paraId="10D7CCA0" w14:textId="36B1FA2A" w:rsidR="00E83530" w:rsidRPr="005545AF" w:rsidRDefault="00E83530" w:rsidP="001F7377">
      <w:pPr>
        <w:pStyle w:val="Paragraphe"/>
        <w:numPr>
          <w:ilvl w:val="0"/>
          <w:numId w:val="0"/>
        </w:numPr>
        <w:spacing w:line="240" w:lineRule="auto"/>
        <w:rPr>
          <w:lang w:val="en-CA"/>
        </w:rPr>
      </w:pPr>
    </w:p>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1997"/>
        <w:gridCol w:w="2685"/>
        <w:gridCol w:w="4680"/>
      </w:tblGrid>
      <w:tr w:rsidR="008F364A" w:rsidRPr="00741689" w14:paraId="0D97E56E" w14:textId="77777777" w:rsidTr="003E3239">
        <w:trPr>
          <w:trHeight w:val="576"/>
        </w:trPr>
        <w:tc>
          <w:tcPr>
            <w:tcW w:w="9362" w:type="dxa"/>
            <w:gridSpan w:val="3"/>
            <w:tcBorders>
              <w:top w:val="nil"/>
              <w:bottom w:val="nil"/>
            </w:tcBorders>
          </w:tcPr>
          <w:p w14:paraId="137BC096" w14:textId="77777777" w:rsidR="008F364A" w:rsidRPr="005545AF" w:rsidRDefault="008F364A" w:rsidP="001F7377">
            <w:pPr>
              <w:keepNext/>
              <w:spacing w:line="240" w:lineRule="auto"/>
              <w:rPr>
                <w:lang w:val="en-CA"/>
              </w:rPr>
            </w:pPr>
          </w:p>
        </w:tc>
      </w:tr>
      <w:tr w:rsidR="008F364A" w:rsidRPr="00741689" w14:paraId="177AEA55" w14:textId="77777777" w:rsidTr="00117914">
        <w:trPr>
          <w:trHeight w:val="283"/>
        </w:trPr>
        <w:tc>
          <w:tcPr>
            <w:tcW w:w="4682" w:type="dxa"/>
            <w:gridSpan w:val="2"/>
            <w:tcBorders>
              <w:top w:val="nil"/>
              <w:bottom w:val="nil"/>
            </w:tcBorders>
          </w:tcPr>
          <w:p w14:paraId="17496383" w14:textId="77777777" w:rsidR="008F364A" w:rsidRPr="005545AF" w:rsidRDefault="008F364A" w:rsidP="001F7377">
            <w:pPr>
              <w:keepNext/>
              <w:spacing w:line="240" w:lineRule="auto"/>
              <w:rPr>
                <w:lang w:val="en-CA"/>
              </w:rPr>
            </w:pPr>
          </w:p>
        </w:tc>
        <w:tc>
          <w:tcPr>
            <w:tcW w:w="4680" w:type="dxa"/>
            <w:tcBorders>
              <w:top w:val="nil"/>
              <w:bottom w:val="single" w:sz="8" w:space="0" w:color="auto"/>
            </w:tcBorders>
          </w:tcPr>
          <w:p w14:paraId="757B550E" w14:textId="77777777" w:rsidR="008F364A" w:rsidRPr="005545AF" w:rsidRDefault="008F364A" w:rsidP="001F7377">
            <w:pPr>
              <w:keepNext/>
              <w:spacing w:line="240" w:lineRule="auto"/>
              <w:rPr>
                <w:lang w:val="en-CA"/>
              </w:rPr>
            </w:pPr>
          </w:p>
        </w:tc>
      </w:tr>
      <w:tr w:rsidR="008F364A" w:rsidRPr="005545AF" w14:paraId="402A07A3" w14:textId="77777777" w:rsidTr="00117914">
        <w:trPr>
          <w:trHeight w:val="283"/>
        </w:trPr>
        <w:tc>
          <w:tcPr>
            <w:tcW w:w="4682" w:type="dxa"/>
            <w:gridSpan w:val="2"/>
            <w:tcBorders>
              <w:top w:val="nil"/>
            </w:tcBorders>
          </w:tcPr>
          <w:p w14:paraId="617C7640" w14:textId="77777777" w:rsidR="008F364A" w:rsidRPr="005545AF" w:rsidRDefault="008F364A" w:rsidP="001F7377">
            <w:pPr>
              <w:keepNext/>
              <w:spacing w:line="240" w:lineRule="auto"/>
              <w:rPr>
                <w:lang w:val="en-CA"/>
              </w:rPr>
            </w:pPr>
          </w:p>
        </w:tc>
        <w:tc>
          <w:tcPr>
            <w:tcW w:w="4680" w:type="dxa"/>
            <w:tcBorders>
              <w:top w:val="single" w:sz="8" w:space="0" w:color="auto"/>
            </w:tcBorders>
          </w:tcPr>
          <w:p w14:paraId="7ED15801" w14:textId="7C902DC6" w:rsidR="008F364A" w:rsidRPr="005545AF" w:rsidRDefault="0019063B" w:rsidP="001F7377">
            <w:pPr>
              <w:spacing w:line="240" w:lineRule="auto"/>
            </w:pPr>
            <w:r w:rsidRPr="005545AF">
              <w:t>MANON SAVARD, C.J.Q.</w:t>
            </w:r>
          </w:p>
        </w:tc>
      </w:tr>
      <w:tr w:rsidR="008F364A" w:rsidRPr="005545AF" w14:paraId="7972A846" w14:textId="77777777" w:rsidTr="00117914">
        <w:trPr>
          <w:trHeight w:val="283"/>
        </w:trPr>
        <w:tc>
          <w:tcPr>
            <w:tcW w:w="4682" w:type="dxa"/>
            <w:gridSpan w:val="2"/>
            <w:tcBorders>
              <w:top w:val="nil"/>
            </w:tcBorders>
          </w:tcPr>
          <w:p w14:paraId="2773DA00" w14:textId="77777777" w:rsidR="008F364A" w:rsidRPr="005545AF" w:rsidRDefault="008F364A" w:rsidP="001F7377">
            <w:pPr>
              <w:keepNext/>
              <w:spacing w:line="240" w:lineRule="auto"/>
            </w:pPr>
            <w:bookmarkStart w:id="7" w:name="Signature2"/>
          </w:p>
        </w:tc>
        <w:tc>
          <w:tcPr>
            <w:tcW w:w="4680" w:type="dxa"/>
            <w:tcBorders>
              <w:top w:val="nil"/>
            </w:tcBorders>
          </w:tcPr>
          <w:p w14:paraId="227EE70D" w14:textId="77777777" w:rsidR="008F364A" w:rsidRPr="005545AF" w:rsidRDefault="008F364A" w:rsidP="001F7377">
            <w:pPr>
              <w:keepNext/>
              <w:spacing w:line="240" w:lineRule="auto"/>
            </w:pPr>
          </w:p>
        </w:tc>
      </w:tr>
      <w:tr w:rsidR="008F364A" w:rsidRPr="005545AF" w14:paraId="3FB927CA" w14:textId="77777777" w:rsidTr="00117914">
        <w:trPr>
          <w:trHeight w:val="283"/>
        </w:trPr>
        <w:tc>
          <w:tcPr>
            <w:tcW w:w="4682" w:type="dxa"/>
            <w:gridSpan w:val="2"/>
            <w:tcBorders>
              <w:top w:val="nil"/>
              <w:bottom w:val="nil"/>
            </w:tcBorders>
          </w:tcPr>
          <w:p w14:paraId="3EAE7B5E" w14:textId="77777777" w:rsidR="008F364A" w:rsidRPr="005545AF" w:rsidRDefault="008F364A" w:rsidP="001F7377">
            <w:pPr>
              <w:keepNext/>
              <w:spacing w:line="240" w:lineRule="auto"/>
            </w:pPr>
          </w:p>
        </w:tc>
        <w:tc>
          <w:tcPr>
            <w:tcW w:w="4680" w:type="dxa"/>
            <w:tcBorders>
              <w:top w:val="nil"/>
              <w:bottom w:val="single" w:sz="8" w:space="0" w:color="auto"/>
            </w:tcBorders>
          </w:tcPr>
          <w:p w14:paraId="46BF9B64" w14:textId="77777777" w:rsidR="008F364A" w:rsidRPr="005545AF" w:rsidRDefault="008F364A" w:rsidP="001F7377">
            <w:pPr>
              <w:keepNext/>
              <w:spacing w:line="240" w:lineRule="auto"/>
            </w:pPr>
          </w:p>
        </w:tc>
      </w:tr>
      <w:tr w:rsidR="008F364A" w:rsidRPr="005545AF" w14:paraId="53B48489" w14:textId="77777777" w:rsidTr="00117914">
        <w:trPr>
          <w:trHeight w:val="283"/>
        </w:trPr>
        <w:tc>
          <w:tcPr>
            <w:tcW w:w="4682" w:type="dxa"/>
            <w:gridSpan w:val="2"/>
            <w:tcBorders>
              <w:top w:val="nil"/>
            </w:tcBorders>
          </w:tcPr>
          <w:p w14:paraId="3D384FC4" w14:textId="77777777" w:rsidR="008F364A" w:rsidRPr="005545AF" w:rsidRDefault="008F364A" w:rsidP="001F7377">
            <w:pPr>
              <w:keepNext/>
              <w:spacing w:line="240" w:lineRule="auto"/>
            </w:pPr>
          </w:p>
        </w:tc>
        <w:tc>
          <w:tcPr>
            <w:tcW w:w="4680" w:type="dxa"/>
            <w:tcBorders>
              <w:top w:val="single" w:sz="8" w:space="0" w:color="auto"/>
            </w:tcBorders>
          </w:tcPr>
          <w:p w14:paraId="3458F4CF" w14:textId="114E2F75" w:rsidR="008F364A" w:rsidRPr="005545AF" w:rsidRDefault="0019063B" w:rsidP="001F7377">
            <w:pPr>
              <w:keepNext/>
              <w:spacing w:line="240" w:lineRule="auto"/>
              <w:rPr>
                <w:lang w:val="en-CA"/>
              </w:rPr>
            </w:pPr>
            <w:r w:rsidRPr="005545AF">
              <w:rPr>
                <w:lang w:val="en-CA"/>
              </w:rPr>
              <w:t>BENOÎT MOORE, J.A.</w:t>
            </w:r>
          </w:p>
        </w:tc>
      </w:tr>
      <w:tr w:rsidR="008F364A" w:rsidRPr="005545AF" w14:paraId="3A47DEDA" w14:textId="77777777" w:rsidTr="00117914">
        <w:trPr>
          <w:trHeight w:val="283"/>
        </w:trPr>
        <w:tc>
          <w:tcPr>
            <w:tcW w:w="4682" w:type="dxa"/>
            <w:gridSpan w:val="2"/>
            <w:tcBorders>
              <w:top w:val="nil"/>
            </w:tcBorders>
          </w:tcPr>
          <w:p w14:paraId="4F4D65B8" w14:textId="77777777" w:rsidR="008F364A" w:rsidRPr="005545AF" w:rsidRDefault="008F364A" w:rsidP="001F7377">
            <w:pPr>
              <w:keepNext/>
              <w:spacing w:line="240" w:lineRule="auto"/>
              <w:rPr>
                <w:lang w:val="en-CA"/>
              </w:rPr>
            </w:pPr>
            <w:bookmarkStart w:id="8" w:name="Signature3"/>
            <w:bookmarkEnd w:id="7"/>
          </w:p>
        </w:tc>
        <w:tc>
          <w:tcPr>
            <w:tcW w:w="4680" w:type="dxa"/>
            <w:tcBorders>
              <w:top w:val="nil"/>
            </w:tcBorders>
          </w:tcPr>
          <w:p w14:paraId="67441789" w14:textId="77777777" w:rsidR="008F364A" w:rsidRPr="005545AF" w:rsidRDefault="008F364A" w:rsidP="001F7377">
            <w:pPr>
              <w:keepNext/>
              <w:spacing w:line="240" w:lineRule="auto"/>
              <w:rPr>
                <w:lang w:val="en-CA"/>
              </w:rPr>
            </w:pPr>
          </w:p>
        </w:tc>
      </w:tr>
      <w:tr w:rsidR="008F364A" w:rsidRPr="005545AF" w14:paraId="2CBCF776" w14:textId="77777777" w:rsidTr="00117914">
        <w:trPr>
          <w:trHeight w:val="283"/>
        </w:trPr>
        <w:tc>
          <w:tcPr>
            <w:tcW w:w="4682" w:type="dxa"/>
            <w:gridSpan w:val="2"/>
            <w:tcBorders>
              <w:top w:val="nil"/>
              <w:bottom w:val="nil"/>
            </w:tcBorders>
          </w:tcPr>
          <w:p w14:paraId="723D233D" w14:textId="77777777" w:rsidR="008F364A" w:rsidRPr="005545AF" w:rsidRDefault="008F364A" w:rsidP="001F7377">
            <w:pPr>
              <w:keepNext/>
              <w:spacing w:line="240" w:lineRule="auto"/>
              <w:rPr>
                <w:lang w:val="en-CA"/>
              </w:rPr>
            </w:pPr>
          </w:p>
        </w:tc>
        <w:tc>
          <w:tcPr>
            <w:tcW w:w="4680" w:type="dxa"/>
            <w:tcBorders>
              <w:top w:val="nil"/>
              <w:bottom w:val="single" w:sz="8" w:space="0" w:color="auto"/>
            </w:tcBorders>
          </w:tcPr>
          <w:p w14:paraId="2E7DD765" w14:textId="77777777" w:rsidR="008F364A" w:rsidRPr="005545AF" w:rsidRDefault="008F364A" w:rsidP="001F7377">
            <w:pPr>
              <w:keepNext/>
              <w:spacing w:line="240" w:lineRule="auto"/>
              <w:rPr>
                <w:lang w:val="en-CA"/>
              </w:rPr>
            </w:pPr>
          </w:p>
        </w:tc>
      </w:tr>
      <w:tr w:rsidR="008F364A" w:rsidRPr="005545AF" w14:paraId="31C2DA79" w14:textId="77777777" w:rsidTr="00117914">
        <w:trPr>
          <w:trHeight w:val="283"/>
        </w:trPr>
        <w:tc>
          <w:tcPr>
            <w:tcW w:w="4682" w:type="dxa"/>
            <w:gridSpan w:val="2"/>
            <w:tcBorders>
              <w:top w:val="nil"/>
            </w:tcBorders>
          </w:tcPr>
          <w:p w14:paraId="686E456D" w14:textId="77777777" w:rsidR="008F364A" w:rsidRPr="005545AF" w:rsidRDefault="008F364A" w:rsidP="001F7377">
            <w:pPr>
              <w:keepNext/>
              <w:spacing w:line="240" w:lineRule="auto"/>
              <w:rPr>
                <w:lang w:val="en-CA"/>
              </w:rPr>
            </w:pPr>
          </w:p>
        </w:tc>
        <w:tc>
          <w:tcPr>
            <w:tcW w:w="4680" w:type="dxa"/>
            <w:tcBorders>
              <w:top w:val="single" w:sz="8" w:space="0" w:color="auto"/>
            </w:tcBorders>
          </w:tcPr>
          <w:p w14:paraId="696A6573" w14:textId="0CD1AFA8" w:rsidR="008F364A" w:rsidRPr="005545AF" w:rsidRDefault="008748BC" w:rsidP="001F7377">
            <w:pPr>
              <w:keepNext/>
              <w:spacing w:line="240" w:lineRule="auto"/>
              <w:rPr>
                <w:lang w:val="en-CA"/>
              </w:rPr>
            </w:pPr>
            <w:r w:rsidRPr="005545AF">
              <w:rPr>
                <w:lang w:val="en-CA"/>
              </w:rPr>
              <w:t>JUDITH HARVIE, J.A.</w:t>
            </w:r>
          </w:p>
        </w:tc>
      </w:tr>
      <w:bookmarkEnd w:id="8"/>
      <w:tr w:rsidR="005A78BF" w:rsidRPr="005545AF" w14:paraId="212AC1F5" w14:textId="77777777" w:rsidTr="008F7C57">
        <w:tc>
          <w:tcPr>
            <w:tcW w:w="9362" w:type="dxa"/>
            <w:gridSpan w:val="3"/>
            <w:tcBorders>
              <w:bottom w:val="nil"/>
            </w:tcBorders>
          </w:tcPr>
          <w:p w14:paraId="1B442ACD" w14:textId="77777777" w:rsidR="005A78BF" w:rsidRPr="005545AF" w:rsidRDefault="005A78BF" w:rsidP="001F7377">
            <w:pPr>
              <w:spacing w:line="240" w:lineRule="auto"/>
              <w:rPr>
                <w:lang w:val="en-CA"/>
              </w:rPr>
            </w:pPr>
          </w:p>
        </w:tc>
      </w:tr>
      <w:tr w:rsidR="005A78BF" w:rsidRPr="00741689" w14:paraId="6D80F879" w14:textId="77777777" w:rsidTr="008F7C57">
        <w:tc>
          <w:tcPr>
            <w:tcW w:w="9362" w:type="dxa"/>
            <w:gridSpan w:val="3"/>
            <w:tcBorders>
              <w:top w:val="nil"/>
            </w:tcBorders>
          </w:tcPr>
          <w:p w14:paraId="15017375" w14:textId="00C30D57" w:rsidR="005A78BF" w:rsidRPr="005545AF" w:rsidRDefault="008F7C57" w:rsidP="001F7377">
            <w:pPr>
              <w:pStyle w:val="zSoquijdatNomProcureurDem"/>
              <w:spacing w:line="240" w:lineRule="auto"/>
              <w:rPr>
                <w:lang w:val="en-CA"/>
              </w:rPr>
            </w:pPr>
            <w:r w:rsidRPr="005545AF">
              <w:rPr>
                <w:lang w:val="en-CA"/>
              </w:rPr>
              <w:t>M</w:t>
            </w:r>
            <w:r w:rsidR="0019063B" w:rsidRPr="005545AF">
              <w:rPr>
                <w:lang w:val="en-CA"/>
              </w:rPr>
              <w:t>tr</w:t>
            </w:r>
            <w:r w:rsidRPr="005545AF">
              <w:rPr>
                <w:lang w:val="en-CA"/>
              </w:rPr>
              <w:t>e Doug</w:t>
            </w:r>
            <w:r w:rsidR="00011A7B">
              <w:rPr>
                <w:lang w:val="en-CA"/>
              </w:rPr>
              <w:t>las</w:t>
            </w:r>
            <w:r w:rsidRPr="005545AF">
              <w:rPr>
                <w:lang w:val="en-CA"/>
              </w:rPr>
              <w:t xml:space="preserve"> Mitchell</w:t>
            </w:r>
          </w:p>
          <w:p w14:paraId="005F926C" w14:textId="109DA7AB" w:rsidR="008F7C57" w:rsidRPr="005545AF" w:rsidRDefault="008F7C57" w:rsidP="001F7377">
            <w:pPr>
              <w:pStyle w:val="zSoquijdatNomProcureurDem"/>
              <w:spacing w:line="240" w:lineRule="auto"/>
              <w:rPr>
                <w:lang w:val="en-CA"/>
              </w:rPr>
            </w:pPr>
            <w:r w:rsidRPr="005545AF">
              <w:rPr>
                <w:lang w:val="en-CA"/>
              </w:rPr>
              <w:t>M</w:t>
            </w:r>
            <w:r w:rsidR="0019063B" w:rsidRPr="005545AF">
              <w:rPr>
                <w:lang w:val="en-CA"/>
              </w:rPr>
              <w:t>tr</w:t>
            </w:r>
            <w:r w:rsidRPr="005545AF">
              <w:rPr>
                <w:lang w:val="en-CA"/>
              </w:rPr>
              <w:t>e David Grossman</w:t>
            </w:r>
          </w:p>
        </w:tc>
      </w:tr>
      <w:tr w:rsidR="005A78BF" w:rsidRPr="005545AF" w14:paraId="49C9C511" w14:textId="77777777" w:rsidTr="008F7C57">
        <w:tc>
          <w:tcPr>
            <w:tcW w:w="9362" w:type="dxa"/>
            <w:gridSpan w:val="3"/>
            <w:tcBorders>
              <w:top w:val="nil"/>
            </w:tcBorders>
          </w:tcPr>
          <w:p w14:paraId="07C91F7D" w14:textId="52D084C1" w:rsidR="005A78BF" w:rsidRPr="005545AF" w:rsidRDefault="008F7C57" w:rsidP="001F7377">
            <w:pPr>
              <w:pStyle w:val="zSoquijdatCabinetProcureurDem"/>
              <w:spacing w:line="240" w:lineRule="auto"/>
              <w:rPr>
                <w:lang w:val="en-CA"/>
              </w:rPr>
            </w:pPr>
            <w:r w:rsidRPr="005545AF">
              <w:rPr>
                <w:lang w:val="en-CA"/>
              </w:rPr>
              <w:t>IMK</w:t>
            </w:r>
          </w:p>
        </w:tc>
      </w:tr>
      <w:tr w:rsidR="005A78BF" w:rsidRPr="00741689" w14:paraId="1B4CB31E" w14:textId="77777777" w:rsidTr="008F7C57">
        <w:tc>
          <w:tcPr>
            <w:tcW w:w="9362" w:type="dxa"/>
            <w:gridSpan w:val="3"/>
            <w:tcBorders>
              <w:top w:val="nil"/>
            </w:tcBorders>
          </w:tcPr>
          <w:p w14:paraId="5C9A0207" w14:textId="75EEC32B" w:rsidR="005A78BF" w:rsidRPr="00011A7B" w:rsidRDefault="0019063B" w:rsidP="001F7377">
            <w:pPr>
              <w:pStyle w:val="zSoquijlblProcureurDem"/>
              <w:spacing w:line="240" w:lineRule="auto"/>
              <w:rPr>
                <w:lang w:val="en-CA"/>
              </w:rPr>
            </w:pPr>
            <w:r w:rsidRPr="005545AF">
              <w:rPr>
                <w:lang w:val="en-CA"/>
              </w:rPr>
              <w:t>For the Appellant</w:t>
            </w:r>
            <w:r w:rsidR="00011A7B">
              <w:rPr>
                <w:lang w:val="en-CA"/>
              </w:rPr>
              <w:t>/</w:t>
            </w:r>
            <w:r w:rsidR="00011A7B" w:rsidRPr="00011A7B">
              <w:rPr>
                <w:lang w:val="en-CA"/>
              </w:rPr>
              <w:t>Incidental Respondent</w:t>
            </w:r>
          </w:p>
        </w:tc>
      </w:tr>
      <w:tr w:rsidR="005A78BF" w:rsidRPr="00741689" w14:paraId="1B483C7D" w14:textId="77777777" w:rsidTr="008F7C57">
        <w:tc>
          <w:tcPr>
            <w:tcW w:w="9362" w:type="dxa"/>
            <w:gridSpan w:val="3"/>
            <w:tcBorders>
              <w:top w:val="nil"/>
            </w:tcBorders>
          </w:tcPr>
          <w:p w14:paraId="688040F1" w14:textId="77777777" w:rsidR="005A78BF" w:rsidRPr="005545AF" w:rsidRDefault="005A78BF" w:rsidP="001F7377">
            <w:pPr>
              <w:spacing w:line="240" w:lineRule="auto"/>
              <w:rPr>
                <w:lang w:val="en-CA"/>
              </w:rPr>
            </w:pPr>
          </w:p>
        </w:tc>
      </w:tr>
      <w:tr w:rsidR="005A78BF" w:rsidRPr="005545AF" w14:paraId="24BCFEF5" w14:textId="77777777" w:rsidTr="008F7C57">
        <w:tc>
          <w:tcPr>
            <w:tcW w:w="9362" w:type="dxa"/>
            <w:gridSpan w:val="3"/>
            <w:tcBorders>
              <w:top w:val="nil"/>
            </w:tcBorders>
          </w:tcPr>
          <w:p w14:paraId="4D86DE1B" w14:textId="4E6B95FA" w:rsidR="005A78BF" w:rsidRPr="005545AF" w:rsidRDefault="008F7C57" w:rsidP="001F7377">
            <w:pPr>
              <w:pStyle w:val="zSoquijdatNomProcureurDef"/>
              <w:spacing w:line="240" w:lineRule="auto"/>
            </w:pPr>
            <w:r w:rsidRPr="005545AF">
              <w:t>M</w:t>
            </w:r>
            <w:r w:rsidR="0019063B" w:rsidRPr="005545AF">
              <w:t>tr</w:t>
            </w:r>
            <w:r w:rsidRPr="005545AF">
              <w:t>e Nick Rodrigo</w:t>
            </w:r>
          </w:p>
          <w:p w14:paraId="651EED9D" w14:textId="77777777" w:rsidR="008F7C57" w:rsidRDefault="008F7C57" w:rsidP="001F7377">
            <w:pPr>
              <w:pStyle w:val="zSoquijdatNomProcureurDef"/>
              <w:spacing w:line="240" w:lineRule="auto"/>
            </w:pPr>
            <w:r w:rsidRPr="005545AF">
              <w:t>M</w:t>
            </w:r>
            <w:r w:rsidR="0019063B" w:rsidRPr="005545AF">
              <w:t>tre</w:t>
            </w:r>
            <w:r w:rsidRPr="005545AF">
              <w:t xml:space="preserve"> Faiz</w:t>
            </w:r>
            <w:r w:rsidR="00011A7B">
              <w:t xml:space="preserve"> Munir</w:t>
            </w:r>
            <w:r w:rsidRPr="005545AF">
              <w:t xml:space="preserve"> Lalani</w:t>
            </w:r>
          </w:p>
          <w:p w14:paraId="3D454035" w14:textId="67F888E2" w:rsidR="00011A7B" w:rsidRPr="005545AF" w:rsidRDefault="00011A7B" w:rsidP="001F7377">
            <w:pPr>
              <w:pStyle w:val="zSoquijdatNomProcureurDef"/>
              <w:spacing w:line="240" w:lineRule="auto"/>
            </w:pPr>
            <w:r>
              <w:t>Mtre Natalia Koper</w:t>
            </w:r>
          </w:p>
        </w:tc>
      </w:tr>
      <w:tr w:rsidR="005A78BF" w:rsidRPr="005545AF" w14:paraId="35CBF86E" w14:textId="77777777" w:rsidTr="008F7C57">
        <w:tc>
          <w:tcPr>
            <w:tcW w:w="9362" w:type="dxa"/>
            <w:gridSpan w:val="3"/>
            <w:tcBorders>
              <w:top w:val="nil"/>
            </w:tcBorders>
          </w:tcPr>
          <w:p w14:paraId="018DBE58" w14:textId="169EF8C3" w:rsidR="005A78BF" w:rsidRPr="005545AF" w:rsidRDefault="008F7C57" w:rsidP="001F7377">
            <w:pPr>
              <w:pStyle w:val="zSoquijdatCabinetProcureurDef"/>
              <w:spacing w:line="240" w:lineRule="auto"/>
              <w:rPr>
                <w:lang w:val="en-CA"/>
              </w:rPr>
            </w:pPr>
            <w:r w:rsidRPr="005545AF">
              <w:rPr>
                <w:lang w:val="en-CA"/>
              </w:rPr>
              <w:t>DAVIES WARD PHILLIPS &amp; VINEBERG</w:t>
            </w:r>
          </w:p>
        </w:tc>
      </w:tr>
      <w:tr w:rsidR="005A78BF" w:rsidRPr="00741689" w14:paraId="2B58C6FB" w14:textId="77777777" w:rsidTr="008F7C57">
        <w:tc>
          <w:tcPr>
            <w:tcW w:w="9362" w:type="dxa"/>
            <w:gridSpan w:val="3"/>
            <w:tcBorders>
              <w:top w:val="nil"/>
            </w:tcBorders>
          </w:tcPr>
          <w:p w14:paraId="6D067238" w14:textId="53A1EB72" w:rsidR="005A78BF" w:rsidRPr="005545AF" w:rsidRDefault="0019063B" w:rsidP="001F7377">
            <w:pPr>
              <w:pStyle w:val="zSoquijlblProcureurDef"/>
              <w:spacing w:line="240" w:lineRule="auto"/>
              <w:rPr>
                <w:lang w:val="en-CA"/>
              </w:rPr>
            </w:pPr>
            <w:r w:rsidRPr="005545AF">
              <w:rPr>
                <w:lang w:val="en-CA"/>
              </w:rPr>
              <w:t>For the Respondent</w:t>
            </w:r>
            <w:r w:rsidR="00011A7B">
              <w:rPr>
                <w:lang w:val="en-CA"/>
              </w:rPr>
              <w:t>/Incidental Appellant</w:t>
            </w:r>
          </w:p>
        </w:tc>
      </w:tr>
      <w:tr w:rsidR="005A78BF" w:rsidRPr="00741689" w14:paraId="43BE0D95" w14:textId="77777777" w:rsidTr="00423DF1">
        <w:tc>
          <w:tcPr>
            <w:tcW w:w="9362" w:type="dxa"/>
            <w:gridSpan w:val="3"/>
          </w:tcPr>
          <w:p w14:paraId="07D64FBF" w14:textId="77777777" w:rsidR="005A78BF" w:rsidRPr="005545AF" w:rsidRDefault="005A78BF" w:rsidP="001F7377">
            <w:pPr>
              <w:spacing w:line="240" w:lineRule="auto"/>
              <w:rPr>
                <w:lang w:val="en-CA"/>
              </w:rPr>
            </w:pPr>
          </w:p>
        </w:tc>
      </w:tr>
      <w:tr w:rsidR="005A78BF" w:rsidRPr="005545AF" w14:paraId="225345CE" w14:textId="77777777" w:rsidTr="00423DF1">
        <w:tc>
          <w:tcPr>
            <w:tcW w:w="1997" w:type="dxa"/>
          </w:tcPr>
          <w:p w14:paraId="6D1BD3A2" w14:textId="17B84768" w:rsidR="005A78BF" w:rsidRPr="005545AF" w:rsidRDefault="0019063B" w:rsidP="001F7377">
            <w:pPr>
              <w:pStyle w:val="zSoquijlblDateAudience"/>
              <w:spacing w:line="240" w:lineRule="auto"/>
              <w:rPr>
                <w:lang w:val="en-CA"/>
              </w:rPr>
            </w:pPr>
            <w:r w:rsidRPr="005545AF">
              <w:rPr>
                <w:lang w:val="en-CA"/>
              </w:rPr>
              <w:t>Date of hearing</w:t>
            </w:r>
            <w:r w:rsidR="005A78BF" w:rsidRPr="005545AF">
              <w:rPr>
                <w:lang w:val="en-CA"/>
              </w:rPr>
              <w:t>:</w:t>
            </w:r>
          </w:p>
        </w:tc>
        <w:tc>
          <w:tcPr>
            <w:tcW w:w="7365" w:type="dxa"/>
            <w:gridSpan w:val="2"/>
          </w:tcPr>
          <w:p w14:paraId="5F92EB21" w14:textId="7666BB0A" w:rsidR="005A78BF" w:rsidRPr="005545AF" w:rsidRDefault="0019063B" w:rsidP="001F7377">
            <w:pPr>
              <w:pStyle w:val="zSoquijdatDateAudience"/>
              <w:spacing w:line="240" w:lineRule="auto"/>
              <w:rPr>
                <w:lang w:val="en-CA"/>
              </w:rPr>
            </w:pPr>
            <w:r w:rsidRPr="005545AF">
              <w:rPr>
                <w:lang w:val="en-CA"/>
              </w:rPr>
              <w:t>October 29,</w:t>
            </w:r>
            <w:r w:rsidR="008F7C57" w:rsidRPr="005545AF">
              <w:rPr>
                <w:lang w:val="en-CA"/>
              </w:rPr>
              <w:t xml:space="preserve"> 2024</w:t>
            </w:r>
          </w:p>
        </w:tc>
      </w:tr>
    </w:tbl>
    <w:p w14:paraId="486D60A8" w14:textId="77777777" w:rsidR="002802DA" w:rsidRPr="005545AF" w:rsidRDefault="002802DA" w:rsidP="001F7377">
      <w:pPr>
        <w:spacing w:line="240" w:lineRule="auto"/>
        <w:rPr>
          <w:lang w:val="en-CA"/>
        </w:rPr>
        <w:sectPr w:rsidR="002802DA" w:rsidRPr="005545AF" w:rsidSect="00B172D8">
          <w:headerReference w:type="default" r:id="rId8"/>
          <w:footerReference w:type="default" r:id="rId9"/>
          <w:footnotePr>
            <w:numRestart w:val="eachSect"/>
          </w:footnotePr>
          <w:pgSz w:w="12242" w:h="15842" w:code="1"/>
          <w:pgMar w:top="1440" w:right="1008" w:bottom="1440" w:left="1872" w:header="1440" w:footer="792" w:gutter="0"/>
          <w:cols w:space="720"/>
          <w:formProt w:val="0"/>
          <w:titlePg/>
          <w:docGrid w:linePitch="326"/>
        </w:sectPr>
      </w:pPr>
      <w:bookmarkStart w:id="9" w:name="Opinion"/>
      <w:bookmarkEnd w:id="5"/>
    </w:p>
    <w:tbl>
      <w:tblPr>
        <w:tblW w:w="0" w:type="auto"/>
        <w:tblLayout w:type="fixed"/>
        <w:tblCellMar>
          <w:left w:w="0" w:type="dxa"/>
          <w:right w:w="0" w:type="dxa"/>
        </w:tblCellMar>
        <w:tblLook w:val="0000" w:firstRow="0" w:lastRow="0" w:firstColumn="0" w:lastColumn="0" w:noHBand="0" w:noVBand="0"/>
      </w:tblPr>
      <w:tblGrid>
        <w:gridCol w:w="9360"/>
      </w:tblGrid>
      <w:tr w:rsidR="002802DA" w:rsidRPr="005545AF" w14:paraId="38779595" w14:textId="77777777" w:rsidTr="00957FE8">
        <w:tc>
          <w:tcPr>
            <w:tcW w:w="9360" w:type="dxa"/>
            <w:tcBorders>
              <w:bottom w:val="single" w:sz="8" w:space="0" w:color="auto"/>
            </w:tcBorders>
          </w:tcPr>
          <w:p w14:paraId="2721DB7C" w14:textId="77777777" w:rsidR="002802DA" w:rsidRPr="005545AF" w:rsidRDefault="002802DA" w:rsidP="001F7377">
            <w:pPr>
              <w:spacing w:line="240" w:lineRule="auto"/>
              <w:rPr>
                <w:lang w:val="en-CA"/>
              </w:rPr>
            </w:pPr>
          </w:p>
          <w:p w14:paraId="58EDDE57" w14:textId="77777777" w:rsidR="002802DA" w:rsidRPr="005545AF" w:rsidRDefault="002802DA" w:rsidP="001F7377">
            <w:pPr>
              <w:spacing w:line="240" w:lineRule="auto"/>
              <w:rPr>
                <w:lang w:val="en-CA"/>
              </w:rPr>
            </w:pPr>
          </w:p>
        </w:tc>
      </w:tr>
      <w:tr w:rsidR="002802DA" w:rsidRPr="005545AF" w14:paraId="7AC5A3AA" w14:textId="77777777" w:rsidTr="00957FE8">
        <w:tc>
          <w:tcPr>
            <w:tcW w:w="9360" w:type="dxa"/>
            <w:tcBorders>
              <w:top w:val="single" w:sz="8" w:space="0" w:color="auto"/>
            </w:tcBorders>
          </w:tcPr>
          <w:p w14:paraId="5EB25722" w14:textId="77777777" w:rsidR="002802DA" w:rsidRPr="005545AF" w:rsidRDefault="002802DA" w:rsidP="001F7377">
            <w:pPr>
              <w:spacing w:line="240" w:lineRule="auto"/>
              <w:rPr>
                <w:lang w:val="en-CA"/>
              </w:rPr>
            </w:pPr>
          </w:p>
        </w:tc>
      </w:tr>
      <w:bookmarkStart w:id="10" w:name="MotifJuge2"/>
      <w:tr w:rsidR="002802DA" w:rsidRPr="00D91846" w14:paraId="1B40ACB3" w14:textId="77777777" w:rsidTr="00957FE8">
        <w:tc>
          <w:tcPr>
            <w:tcW w:w="9360" w:type="dxa"/>
          </w:tcPr>
          <w:p w14:paraId="0B24BBAE" w14:textId="30862636" w:rsidR="002802DA" w:rsidRPr="00D91846" w:rsidRDefault="002802DA" w:rsidP="001F7377">
            <w:pPr>
              <w:pStyle w:val="zSoquijlblOpinionJuge"/>
              <w:spacing w:line="240" w:lineRule="auto"/>
            </w:pPr>
            <w:r w:rsidRPr="005545AF">
              <w:rPr>
                <w:lang w:val="en-CA"/>
              </w:rPr>
              <w:fldChar w:fldCharType="begin"/>
            </w:r>
            <w:r w:rsidRPr="00D91846">
              <w:instrText xml:space="preserve"> DOCVARIABLE MotifJuge2 </w:instrText>
            </w:r>
            <w:r w:rsidRPr="005545AF">
              <w:rPr>
                <w:lang w:val="en-CA"/>
              </w:rPr>
              <w:fldChar w:fldCharType="separate"/>
            </w:r>
            <w:r w:rsidR="00A82909">
              <w:t>MOTIFS DU JUGE</w:t>
            </w:r>
            <w:r w:rsidRPr="005545AF">
              <w:rPr>
                <w:lang w:val="en-CA"/>
              </w:rPr>
              <w:fldChar w:fldCharType="end"/>
            </w:r>
            <w:bookmarkEnd w:id="10"/>
            <w:r w:rsidRPr="00D91846">
              <w:t xml:space="preserve"> </w:t>
            </w:r>
            <w:r w:rsidRPr="005545AF">
              <w:rPr>
                <w:lang w:val="en-CA"/>
              </w:rPr>
              <w:fldChar w:fldCharType="begin"/>
            </w:r>
            <w:r w:rsidRPr="00D91846">
              <w:instrText xml:space="preserve"> DOCVARIABLE NomFamJuge2 </w:instrText>
            </w:r>
            <w:r w:rsidRPr="005545AF">
              <w:rPr>
                <w:lang w:val="en-CA"/>
              </w:rPr>
              <w:fldChar w:fldCharType="separate"/>
            </w:r>
            <w:r w:rsidR="00A82909">
              <w:t>MOORE</w:t>
            </w:r>
            <w:r w:rsidRPr="005545AF">
              <w:rPr>
                <w:lang w:val="en-CA"/>
              </w:rPr>
              <w:fldChar w:fldCharType="end"/>
            </w:r>
            <w:r w:rsidR="0019063B" w:rsidRPr="00D91846">
              <w:t>, J.A.</w:t>
            </w:r>
          </w:p>
        </w:tc>
      </w:tr>
      <w:tr w:rsidR="002802DA" w:rsidRPr="00D91846" w14:paraId="4F14812E" w14:textId="77777777" w:rsidTr="00957FE8">
        <w:tc>
          <w:tcPr>
            <w:tcW w:w="9360" w:type="dxa"/>
            <w:tcBorders>
              <w:bottom w:val="single" w:sz="8" w:space="0" w:color="auto"/>
            </w:tcBorders>
          </w:tcPr>
          <w:p w14:paraId="1B2E0222" w14:textId="77777777" w:rsidR="002802DA" w:rsidRPr="00D91846" w:rsidRDefault="002802DA" w:rsidP="001F7377">
            <w:pPr>
              <w:spacing w:line="240" w:lineRule="auto"/>
            </w:pPr>
          </w:p>
        </w:tc>
      </w:tr>
      <w:tr w:rsidR="002802DA" w:rsidRPr="00D91846" w14:paraId="5BDD7F1B" w14:textId="77777777" w:rsidTr="00957FE8">
        <w:tc>
          <w:tcPr>
            <w:tcW w:w="9360" w:type="dxa"/>
            <w:tcBorders>
              <w:top w:val="single" w:sz="8" w:space="0" w:color="auto"/>
            </w:tcBorders>
          </w:tcPr>
          <w:p w14:paraId="60ACAFB4" w14:textId="77777777" w:rsidR="002802DA" w:rsidRPr="00D91846" w:rsidRDefault="002802DA" w:rsidP="001F7377">
            <w:pPr>
              <w:spacing w:line="240" w:lineRule="auto"/>
            </w:pPr>
          </w:p>
        </w:tc>
      </w:tr>
    </w:tbl>
    <w:p w14:paraId="5B620C2B" w14:textId="4B88577C" w:rsidR="002802DA" w:rsidRPr="005545AF" w:rsidRDefault="0079299C" w:rsidP="001F7377">
      <w:pPr>
        <w:pStyle w:val="Paragraphe"/>
        <w:spacing w:line="240" w:lineRule="auto"/>
        <w:rPr>
          <w:lang w:val="en-CA"/>
        </w:rPr>
      </w:pPr>
      <w:r w:rsidRPr="005545AF">
        <w:rPr>
          <w:lang w:val="en-CA"/>
        </w:rPr>
        <w:t>A.B.</w:t>
      </w:r>
      <w:r w:rsidR="0070746B" w:rsidRPr="005545AF">
        <w:rPr>
          <w:lang w:val="en-CA"/>
        </w:rPr>
        <w:t xml:space="preserve"> (hereinafter, “</w:t>
      </w:r>
      <w:r w:rsidR="0070746B" w:rsidRPr="005545AF">
        <w:rPr>
          <w:b/>
          <w:bCs/>
          <w:lang w:val="en-CA"/>
        </w:rPr>
        <w:t>t</w:t>
      </w:r>
      <w:r w:rsidR="0019063B" w:rsidRPr="005545AF">
        <w:rPr>
          <w:b/>
          <w:bCs/>
          <w:lang w:val="en-CA"/>
        </w:rPr>
        <w:t>he appellant</w:t>
      </w:r>
      <w:r w:rsidR="0070746B" w:rsidRPr="005545AF">
        <w:rPr>
          <w:lang w:val="en-CA"/>
        </w:rPr>
        <w:t>”)</w:t>
      </w:r>
      <w:r w:rsidR="0019063B" w:rsidRPr="005545AF">
        <w:rPr>
          <w:lang w:val="en-CA"/>
        </w:rPr>
        <w:t xml:space="preserve"> appeals from a judgment rendered on March 28, 2023 by the Superior Court (the H</w:t>
      </w:r>
      <w:r w:rsidR="002802DA" w:rsidRPr="005545AF">
        <w:rPr>
          <w:lang w:val="en-CA"/>
        </w:rPr>
        <w:t>ono</w:t>
      </w:r>
      <w:r w:rsidR="0019063B" w:rsidRPr="005545AF">
        <w:rPr>
          <w:lang w:val="en-CA"/>
        </w:rPr>
        <w:t>u</w:t>
      </w:r>
      <w:r w:rsidR="002802DA" w:rsidRPr="005545AF">
        <w:rPr>
          <w:lang w:val="en-CA"/>
        </w:rPr>
        <w:t>rable Azimuddin Hussain)</w:t>
      </w:r>
      <w:bookmarkStart w:id="11" w:name="_Ref207537530"/>
      <w:r w:rsidR="0019063B" w:rsidRPr="005545AF">
        <w:rPr>
          <w:lang w:val="en-CA"/>
        </w:rPr>
        <w:t>,</w:t>
      </w:r>
      <w:r w:rsidR="002802DA" w:rsidRPr="005545AF">
        <w:rPr>
          <w:rStyle w:val="Appelnotedebasdep"/>
          <w:lang w:val="en-CA"/>
        </w:rPr>
        <w:footnoteReference w:id="1"/>
      </w:r>
      <w:bookmarkEnd w:id="11"/>
      <w:r w:rsidR="002802DA" w:rsidRPr="005545AF">
        <w:rPr>
          <w:lang w:val="en-CA"/>
        </w:rPr>
        <w:t xml:space="preserve"> </w:t>
      </w:r>
      <w:r w:rsidR="0019063B" w:rsidRPr="005545AF">
        <w:rPr>
          <w:lang w:val="en-CA"/>
        </w:rPr>
        <w:t>granting in part his civil liability claim against the respondent</w:t>
      </w:r>
      <w:r w:rsidR="002802DA" w:rsidRPr="005545AF">
        <w:rPr>
          <w:lang w:val="en-CA"/>
        </w:rPr>
        <w:t>, Google LLC (</w:t>
      </w:r>
      <w:r w:rsidR="0019063B" w:rsidRPr="005545AF">
        <w:rPr>
          <w:lang w:val="en-CA"/>
        </w:rPr>
        <w:t>“</w:t>
      </w:r>
      <w:r w:rsidR="002802DA" w:rsidRPr="005545AF">
        <w:rPr>
          <w:b/>
          <w:bCs/>
          <w:lang w:val="en-CA"/>
        </w:rPr>
        <w:t>Google</w:t>
      </w:r>
      <w:r w:rsidR="0019063B" w:rsidRPr="005545AF">
        <w:rPr>
          <w:lang w:val="en-CA"/>
        </w:rPr>
        <w:t>”</w:t>
      </w:r>
      <w:r w:rsidR="002802DA" w:rsidRPr="005545AF">
        <w:rPr>
          <w:lang w:val="en-CA"/>
        </w:rPr>
        <w:t>)</w:t>
      </w:r>
      <w:r w:rsidR="0070746B" w:rsidRPr="005545AF">
        <w:rPr>
          <w:lang w:val="en-CA"/>
        </w:rPr>
        <w:t>,</w:t>
      </w:r>
      <w:r w:rsidR="002802DA" w:rsidRPr="005545AF">
        <w:rPr>
          <w:lang w:val="en-CA"/>
        </w:rPr>
        <w:t xml:space="preserve"> </w:t>
      </w:r>
      <w:r w:rsidR="0019063B" w:rsidRPr="005545AF">
        <w:rPr>
          <w:lang w:val="en-CA"/>
        </w:rPr>
        <w:t>because</w:t>
      </w:r>
      <w:r w:rsidR="00CC09F2" w:rsidRPr="005545AF">
        <w:rPr>
          <w:lang w:val="en-CA"/>
        </w:rPr>
        <w:t xml:space="preserve"> of the fact that, since December 21, 2015, </w:t>
      </w:r>
      <w:r w:rsidR="00E13F83" w:rsidRPr="005545AF">
        <w:rPr>
          <w:lang w:val="en-CA"/>
        </w:rPr>
        <w:t>the latter refuses</w:t>
      </w:r>
      <w:r w:rsidR="00CC09F2" w:rsidRPr="005545AF">
        <w:rPr>
          <w:lang w:val="en-CA"/>
        </w:rPr>
        <w:t xml:space="preserve"> </w:t>
      </w:r>
      <w:r w:rsidR="00E13F83" w:rsidRPr="005545AF">
        <w:rPr>
          <w:lang w:val="en-CA"/>
        </w:rPr>
        <w:t>to de-index a</w:t>
      </w:r>
      <w:r w:rsidR="002802DA" w:rsidRPr="005545AF">
        <w:rPr>
          <w:lang w:val="en-CA"/>
        </w:rPr>
        <w:t xml:space="preserve"> URL</w:t>
      </w:r>
      <w:r w:rsidR="00E13F83" w:rsidRPr="005545AF">
        <w:rPr>
          <w:lang w:val="en-CA"/>
        </w:rPr>
        <w:t xml:space="preserve"> link</w:t>
      </w:r>
      <w:r w:rsidR="002802DA" w:rsidRPr="005545AF">
        <w:rPr>
          <w:lang w:val="en-CA"/>
        </w:rPr>
        <w:t xml:space="preserve"> (</w:t>
      </w:r>
      <w:r w:rsidR="00E13F83" w:rsidRPr="005545AF">
        <w:rPr>
          <w:lang w:val="en-CA"/>
        </w:rPr>
        <w:t xml:space="preserve">hereinafter, “URL </w:t>
      </w:r>
      <w:r w:rsidR="002802DA" w:rsidRPr="005545AF">
        <w:rPr>
          <w:lang w:val="en-CA"/>
        </w:rPr>
        <w:t>li</w:t>
      </w:r>
      <w:r w:rsidR="00E13F83" w:rsidRPr="005545AF">
        <w:rPr>
          <w:lang w:val="en-CA"/>
        </w:rPr>
        <w:t>nk”</w:t>
      </w:r>
      <w:r w:rsidR="002802DA" w:rsidRPr="005545AF">
        <w:rPr>
          <w:lang w:val="en-CA"/>
        </w:rPr>
        <w:t xml:space="preserve">, </w:t>
      </w:r>
      <w:r w:rsidR="00E13F83" w:rsidRPr="005545AF">
        <w:rPr>
          <w:lang w:val="en-CA"/>
        </w:rPr>
        <w:t>“</w:t>
      </w:r>
      <w:r w:rsidR="002802DA" w:rsidRPr="005545AF">
        <w:rPr>
          <w:lang w:val="en-CA"/>
        </w:rPr>
        <w:t>lin</w:t>
      </w:r>
      <w:r w:rsidR="00E13F83" w:rsidRPr="005545AF">
        <w:rPr>
          <w:lang w:val="en-CA"/>
        </w:rPr>
        <w:t>k” or “h</w:t>
      </w:r>
      <w:r w:rsidR="002802DA" w:rsidRPr="005545AF">
        <w:rPr>
          <w:lang w:val="en-CA"/>
        </w:rPr>
        <w:t>yperli</w:t>
      </w:r>
      <w:r w:rsidR="00E13F83" w:rsidRPr="005545AF">
        <w:rPr>
          <w:lang w:val="en-CA"/>
        </w:rPr>
        <w:t>nk”</w:t>
      </w:r>
      <w:r w:rsidR="002802DA" w:rsidRPr="005545AF">
        <w:rPr>
          <w:lang w:val="en-CA"/>
        </w:rPr>
        <w:t xml:space="preserve">) </w:t>
      </w:r>
      <w:r w:rsidR="00E13F83" w:rsidRPr="005545AF">
        <w:rPr>
          <w:lang w:val="en-CA"/>
        </w:rPr>
        <w:t xml:space="preserve">allowing access to a </w:t>
      </w:r>
      <w:r w:rsidR="0070746B" w:rsidRPr="005545AF">
        <w:rPr>
          <w:lang w:val="en-CA"/>
        </w:rPr>
        <w:t>post</w:t>
      </w:r>
      <w:r w:rsidR="00E13F83" w:rsidRPr="005545AF">
        <w:rPr>
          <w:lang w:val="en-CA"/>
        </w:rPr>
        <w:t xml:space="preserve"> falsely claiming that he was </w:t>
      </w:r>
      <w:r w:rsidR="00CC09F2" w:rsidRPr="005545AF">
        <w:rPr>
          <w:lang w:val="en-CA"/>
        </w:rPr>
        <w:t>convicted</w:t>
      </w:r>
      <w:r w:rsidR="00E13F83" w:rsidRPr="005545AF">
        <w:rPr>
          <w:lang w:val="en-CA"/>
        </w:rPr>
        <w:t xml:space="preserve"> of child</w:t>
      </w:r>
      <w:r w:rsidR="00CC09F2" w:rsidRPr="005545AF">
        <w:rPr>
          <w:lang w:val="en-CA"/>
        </w:rPr>
        <w:t xml:space="preserve"> molestation</w:t>
      </w:r>
      <w:r w:rsidR="00E13F83" w:rsidRPr="005545AF">
        <w:rPr>
          <w:lang w:val="en-CA"/>
        </w:rPr>
        <w:t>.</w:t>
      </w:r>
    </w:p>
    <w:p w14:paraId="5B79B3E6" w14:textId="540D7638" w:rsidR="002802DA" w:rsidRPr="005545AF" w:rsidRDefault="00D37C93" w:rsidP="001F7377">
      <w:pPr>
        <w:pStyle w:val="Paragraphe"/>
        <w:spacing w:line="240" w:lineRule="auto"/>
        <w:rPr>
          <w:lang w:val="en-CA"/>
        </w:rPr>
      </w:pPr>
      <w:r w:rsidRPr="005545AF">
        <w:rPr>
          <w:lang w:val="en-CA"/>
        </w:rPr>
        <w:t>In first</w:t>
      </w:r>
      <w:r w:rsidR="002802DA" w:rsidRPr="005545AF">
        <w:rPr>
          <w:lang w:val="en-CA"/>
        </w:rPr>
        <w:t xml:space="preserve"> instance, Google </w:t>
      </w:r>
      <w:r w:rsidRPr="005545AF">
        <w:rPr>
          <w:lang w:val="en-CA"/>
        </w:rPr>
        <w:t>denied all liability</w:t>
      </w:r>
      <w:r w:rsidR="002802DA" w:rsidRPr="005545AF">
        <w:rPr>
          <w:lang w:val="en-CA"/>
        </w:rPr>
        <w:t xml:space="preserve">. </w:t>
      </w:r>
      <w:r w:rsidRPr="005545AF">
        <w:rPr>
          <w:lang w:val="en-CA"/>
        </w:rPr>
        <w:t xml:space="preserve">Although it had previously decided to de-index the </w:t>
      </w:r>
      <w:r w:rsidR="002802DA" w:rsidRPr="005545AF">
        <w:rPr>
          <w:lang w:val="en-CA"/>
        </w:rPr>
        <w:t xml:space="preserve">URL </w:t>
      </w:r>
      <w:r w:rsidRPr="005545AF">
        <w:rPr>
          <w:lang w:val="en-CA"/>
        </w:rPr>
        <w:t xml:space="preserve">link </w:t>
      </w:r>
      <w:r w:rsidR="00CC09F2" w:rsidRPr="005545AF">
        <w:rPr>
          <w:lang w:val="en-CA"/>
        </w:rPr>
        <w:t>in question</w:t>
      </w:r>
      <w:r w:rsidR="002802DA" w:rsidRPr="005545AF">
        <w:rPr>
          <w:lang w:val="en-CA"/>
        </w:rPr>
        <w:t xml:space="preserve">, </w:t>
      </w:r>
      <w:r w:rsidRPr="005545AF">
        <w:rPr>
          <w:lang w:val="en-CA"/>
        </w:rPr>
        <w:t>it explained that its change of position resulted from its policy of complying with applicable domestic la</w:t>
      </w:r>
      <w:r w:rsidR="00DA715B" w:rsidRPr="005545AF">
        <w:rPr>
          <w:lang w:val="en-CA"/>
        </w:rPr>
        <w:t>w</w:t>
      </w:r>
      <w:r w:rsidRPr="005545AF">
        <w:rPr>
          <w:lang w:val="en-CA"/>
        </w:rPr>
        <w:t>, which was purportedly amended by</w:t>
      </w:r>
      <w:r w:rsidR="00C94B9A" w:rsidRPr="005545AF">
        <w:rPr>
          <w:lang w:val="en-CA"/>
        </w:rPr>
        <w:t xml:space="preserve"> </w:t>
      </w:r>
      <w:r w:rsidR="002802DA" w:rsidRPr="005545AF">
        <w:rPr>
          <w:i/>
          <w:iCs/>
          <w:lang w:val="en-CA"/>
        </w:rPr>
        <w:t xml:space="preserve">Crookes </w:t>
      </w:r>
      <w:r w:rsidRPr="005545AF">
        <w:rPr>
          <w:i/>
          <w:iCs/>
          <w:lang w:val="en-CA"/>
        </w:rPr>
        <w:t>v</w:t>
      </w:r>
      <w:r w:rsidR="002802DA" w:rsidRPr="005545AF">
        <w:rPr>
          <w:i/>
          <w:iCs/>
          <w:lang w:val="en-CA"/>
        </w:rPr>
        <w:t>. Newton</w:t>
      </w:r>
      <w:r w:rsidR="002802DA" w:rsidRPr="005545AF">
        <w:rPr>
          <w:vertAlign w:val="superscript"/>
          <w:lang w:val="en-CA"/>
        </w:rPr>
        <w:footnoteReference w:id="2"/>
      </w:r>
      <w:r w:rsidR="002802DA" w:rsidRPr="005545AF">
        <w:rPr>
          <w:vertAlign w:val="superscript"/>
          <w:lang w:val="en-CA"/>
        </w:rPr>
        <w:t xml:space="preserve"> </w:t>
      </w:r>
      <w:r w:rsidR="00CC09F2" w:rsidRPr="005545AF">
        <w:rPr>
          <w:vertAlign w:val="superscript"/>
          <w:lang w:val="en-CA"/>
        </w:rPr>
        <w:t xml:space="preserve"> </w:t>
      </w:r>
      <w:r w:rsidRPr="005545AF">
        <w:rPr>
          <w:lang w:val="en-CA"/>
        </w:rPr>
        <w:t xml:space="preserve">in which the Supreme Court held that a </w:t>
      </w:r>
      <w:r w:rsidR="002802DA" w:rsidRPr="005545AF">
        <w:rPr>
          <w:lang w:val="en-CA"/>
        </w:rPr>
        <w:t>URL</w:t>
      </w:r>
      <w:r w:rsidRPr="005545AF">
        <w:rPr>
          <w:lang w:val="en-CA"/>
        </w:rPr>
        <w:t xml:space="preserve"> link is not defamatory </w:t>
      </w:r>
      <w:r w:rsidR="00DA715B" w:rsidRPr="005545AF">
        <w:rPr>
          <w:lang w:val="en-CA"/>
        </w:rPr>
        <w:t>in and of itself</w:t>
      </w:r>
      <w:r w:rsidRPr="005545AF">
        <w:rPr>
          <w:lang w:val="en-CA"/>
        </w:rPr>
        <w:t xml:space="preserve">, unless it </w:t>
      </w:r>
      <w:r w:rsidR="00E07663" w:rsidRPr="005545AF">
        <w:rPr>
          <w:lang w:val="en-CA"/>
        </w:rPr>
        <w:t>repeats the problematic content</w:t>
      </w:r>
      <w:r w:rsidR="002802DA" w:rsidRPr="005545AF">
        <w:rPr>
          <w:lang w:val="en-CA"/>
        </w:rPr>
        <w:t xml:space="preserve">. </w:t>
      </w:r>
      <w:r w:rsidR="00E07663" w:rsidRPr="005545AF">
        <w:rPr>
          <w:lang w:val="en-CA"/>
        </w:rPr>
        <w:t>That is why</w:t>
      </w:r>
      <w:r w:rsidR="002802DA" w:rsidRPr="005545AF">
        <w:rPr>
          <w:lang w:val="en-CA"/>
        </w:rPr>
        <w:t xml:space="preserve">, </w:t>
      </w:r>
      <w:r w:rsidR="00E07663" w:rsidRPr="005545AF">
        <w:rPr>
          <w:lang w:val="en-CA"/>
        </w:rPr>
        <w:t>as of December</w:t>
      </w:r>
      <w:r w:rsidR="002802DA" w:rsidRPr="005545AF">
        <w:rPr>
          <w:lang w:val="en-CA"/>
        </w:rPr>
        <w:t xml:space="preserve"> 21</w:t>
      </w:r>
      <w:r w:rsidR="00E07663" w:rsidRPr="005545AF">
        <w:rPr>
          <w:lang w:val="en-CA"/>
        </w:rPr>
        <w:t>,</w:t>
      </w:r>
      <w:r w:rsidR="002802DA" w:rsidRPr="005545AF">
        <w:rPr>
          <w:lang w:val="en-CA"/>
        </w:rPr>
        <w:t xml:space="preserve"> 2015, Google </w:t>
      </w:r>
      <w:r w:rsidR="00E07663" w:rsidRPr="005545AF">
        <w:rPr>
          <w:lang w:val="en-CA"/>
        </w:rPr>
        <w:t xml:space="preserve">decided to maintain the indexing of the </w:t>
      </w:r>
      <w:r w:rsidR="002802DA" w:rsidRPr="005545AF">
        <w:rPr>
          <w:lang w:val="en-CA"/>
        </w:rPr>
        <w:t>URL</w:t>
      </w:r>
      <w:r w:rsidR="00E07663" w:rsidRPr="005545AF">
        <w:rPr>
          <w:lang w:val="en-CA"/>
        </w:rPr>
        <w:t xml:space="preserve"> link, without anything accompanying</w:t>
      </w:r>
      <w:r w:rsidR="00DA715B" w:rsidRPr="005545AF">
        <w:rPr>
          <w:lang w:val="en-CA"/>
        </w:rPr>
        <w:t xml:space="preserve"> it</w:t>
      </w:r>
      <w:r w:rsidR="00E07663" w:rsidRPr="005545AF">
        <w:rPr>
          <w:lang w:val="en-CA"/>
        </w:rPr>
        <w:t xml:space="preserve"> however, </w:t>
      </w:r>
      <w:r w:rsidR="00456CB5" w:rsidRPr="005545AF">
        <w:rPr>
          <w:lang w:val="en-CA"/>
        </w:rPr>
        <w:t>a form of indexing</w:t>
      </w:r>
      <w:r w:rsidR="00E07663" w:rsidRPr="005545AF">
        <w:rPr>
          <w:lang w:val="en-CA"/>
        </w:rPr>
        <w:t xml:space="preserve"> commonly known as a “bare link”</w:t>
      </w:r>
      <w:r w:rsidR="002802DA" w:rsidRPr="005545AF">
        <w:rPr>
          <w:lang w:val="en-CA"/>
        </w:rPr>
        <w:t xml:space="preserve">. Google </w:t>
      </w:r>
      <w:r w:rsidR="00E07663" w:rsidRPr="005545AF">
        <w:rPr>
          <w:lang w:val="en-CA"/>
        </w:rPr>
        <w:t xml:space="preserve">therefore does not associate to that link any title, which generally appears above the link, nor any excerpt </w:t>
      </w:r>
      <w:r w:rsidR="002802DA" w:rsidRPr="005545AF">
        <w:rPr>
          <w:lang w:val="en-CA"/>
        </w:rPr>
        <w:t xml:space="preserve">– </w:t>
      </w:r>
      <w:r w:rsidR="00E07663" w:rsidRPr="005545AF">
        <w:rPr>
          <w:lang w:val="en-CA"/>
        </w:rPr>
        <w:t xml:space="preserve">also </w:t>
      </w:r>
      <w:r w:rsidR="00C94B9A" w:rsidRPr="005545AF">
        <w:rPr>
          <w:lang w:val="en-CA"/>
        </w:rPr>
        <w:t>known as</w:t>
      </w:r>
      <w:r w:rsidR="00E07663" w:rsidRPr="005545AF">
        <w:rPr>
          <w:lang w:val="en-CA"/>
        </w:rPr>
        <w:t xml:space="preserve"> a “</w:t>
      </w:r>
      <w:r w:rsidR="002802DA" w:rsidRPr="005545AF">
        <w:rPr>
          <w:lang w:val="en-CA"/>
        </w:rPr>
        <w:t>snippet</w:t>
      </w:r>
      <w:r w:rsidR="00E07663" w:rsidRPr="005545AF">
        <w:rPr>
          <w:lang w:val="en-CA"/>
        </w:rPr>
        <w:t>”</w:t>
      </w:r>
      <w:r w:rsidR="002802DA" w:rsidRPr="005545AF">
        <w:rPr>
          <w:i/>
          <w:iCs/>
          <w:lang w:val="en-CA"/>
        </w:rPr>
        <w:t xml:space="preserve"> </w:t>
      </w:r>
      <w:r w:rsidR="002802DA" w:rsidRPr="005545AF">
        <w:rPr>
          <w:lang w:val="en-CA"/>
        </w:rPr>
        <w:t xml:space="preserve">– </w:t>
      </w:r>
      <w:r w:rsidR="00E07663" w:rsidRPr="005545AF">
        <w:rPr>
          <w:lang w:val="en-CA"/>
        </w:rPr>
        <w:t xml:space="preserve">which </w:t>
      </w:r>
      <w:r w:rsidR="00456CB5" w:rsidRPr="005545AF">
        <w:rPr>
          <w:lang w:val="en-CA"/>
        </w:rPr>
        <w:t>generally</w:t>
      </w:r>
      <w:r w:rsidR="00E07663" w:rsidRPr="005545AF">
        <w:rPr>
          <w:lang w:val="en-CA"/>
        </w:rPr>
        <w:t xml:space="preserve"> appear</w:t>
      </w:r>
      <w:r w:rsidR="00456CB5" w:rsidRPr="005545AF">
        <w:rPr>
          <w:lang w:val="en-CA"/>
        </w:rPr>
        <w:t>s</w:t>
      </w:r>
      <w:r w:rsidR="00E07663" w:rsidRPr="005545AF">
        <w:rPr>
          <w:lang w:val="en-CA"/>
        </w:rPr>
        <w:t xml:space="preserve"> under the</w:t>
      </w:r>
      <w:r w:rsidR="002802DA" w:rsidRPr="005545AF">
        <w:rPr>
          <w:lang w:val="en-CA"/>
        </w:rPr>
        <w:t xml:space="preserve"> URL</w:t>
      </w:r>
      <w:r w:rsidR="00E07663" w:rsidRPr="005545AF">
        <w:rPr>
          <w:lang w:val="en-CA"/>
        </w:rPr>
        <w:t xml:space="preserve"> link</w:t>
      </w:r>
      <w:r w:rsidR="002802DA" w:rsidRPr="005545AF">
        <w:rPr>
          <w:lang w:val="en-CA"/>
        </w:rPr>
        <w:t xml:space="preserve">. </w:t>
      </w:r>
      <w:r w:rsidR="00E07663" w:rsidRPr="005545AF">
        <w:rPr>
          <w:lang w:val="en-CA"/>
        </w:rPr>
        <w:t>Moreover</w:t>
      </w:r>
      <w:r w:rsidR="002802DA" w:rsidRPr="005545AF">
        <w:rPr>
          <w:lang w:val="en-CA"/>
        </w:rPr>
        <w:t xml:space="preserve">, Google </w:t>
      </w:r>
      <w:r w:rsidR="00E07663" w:rsidRPr="005545AF">
        <w:rPr>
          <w:lang w:val="en-CA"/>
        </w:rPr>
        <w:t>remove</w:t>
      </w:r>
      <w:r w:rsidR="00DA715B" w:rsidRPr="005545AF">
        <w:rPr>
          <w:lang w:val="en-CA"/>
        </w:rPr>
        <w:t>d</w:t>
      </w:r>
      <w:r w:rsidR="00E07663" w:rsidRPr="005545AF">
        <w:rPr>
          <w:lang w:val="en-CA"/>
        </w:rPr>
        <w:t xml:space="preserve"> any cache that constitutes </w:t>
      </w:r>
      <w:r w:rsidR="0099158B" w:rsidRPr="005545AF">
        <w:rPr>
          <w:lang w:val="en-CA"/>
        </w:rPr>
        <w:t xml:space="preserve">a </w:t>
      </w:r>
      <w:r w:rsidR="004A5D7E" w:rsidRPr="005545AF">
        <w:rPr>
          <w:lang w:val="en-CA"/>
        </w:rPr>
        <w:t>stored snapshot</w:t>
      </w:r>
      <w:r w:rsidR="00E07663" w:rsidRPr="005545AF">
        <w:rPr>
          <w:lang w:val="en-CA"/>
        </w:rPr>
        <w:t xml:space="preserve"> of the web</w:t>
      </w:r>
      <w:r w:rsidR="00456CB5" w:rsidRPr="005545AF">
        <w:rPr>
          <w:lang w:val="en-CA"/>
        </w:rPr>
        <w:t>page</w:t>
      </w:r>
      <w:r w:rsidR="00E07663" w:rsidRPr="005545AF">
        <w:rPr>
          <w:lang w:val="en-CA"/>
        </w:rPr>
        <w:t xml:space="preserve"> to which the URL link refers</w:t>
      </w:r>
      <w:r w:rsidR="002802DA" w:rsidRPr="005545AF">
        <w:rPr>
          <w:lang w:val="en-CA"/>
        </w:rPr>
        <w:t xml:space="preserve"> </w:t>
      </w:r>
      <w:r w:rsidR="00E07663" w:rsidRPr="005545AF">
        <w:rPr>
          <w:lang w:val="en-CA"/>
        </w:rPr>
        <w:t>to ensure faster loading</w:t>
      </w:r>
      <w:r w:rsidR="002802DA" w:rsidRPr="005545AF">
        <w:rPr>
          <w:lang w:val="en-CA"/>
        </w:rPr>
        <w:t xml:space="preserve">. </w:t>
      </w:r>
      <w:r w:rsidR="00E07663" w:rsidRPr="005545AF">
        <w:rPr>
          <w:lang w:val="en-CA"/>
        </w:rPr>
        <w:t xml:space="preserve">Those measures make searching the indexed page very arduous, </w:t>
      </w:r>
      <w:r w:rsidR="00DA715B" w:rsidRPr="005545AF">
        <w:rPr>
          <w:lang w:val="en-CA"/>
        </w:rPr>
        <w:t xml:space="preserve">given that </w:t>
      </w:r>
      <w:r w:rsidR="00456CB5" w:rsidRPr="005545AF">
        <w:rPr>
          <w:lang w:val="en-CA"/>
        </w:rPr>
        <w:t>the appellant</w:t>
      </w:r>
      <w:r w:rsidR="00CF4634" w:rsidRPr="005545AF">
        <w:rPr>
          <w:lang w:val="en-CA"/>
        </w:rPr>
        <w:t>’s name and certain specific words hav</w:t>
      </w:r>
      <w:r w:rsidR="00DA715B" w:rsidRPr="005545AF">
        <w:rPr>
          <w:lang w:val="en-CA"/>
        </w:rPr>
        <w:t>e</w:t>
      </w:r>
      <w:r w:rsidR="00CF4634" w:rsidRPr="005545AF">
        <w:rPr>
          <w:lang w:val="en-CA"/>
        </w:rPr>
        <w:t xml:space="preserve"> to be included in the user’s </w:t>
      </w:r>
      <w:r w:rsidR="00C94B9A" w:rsidRPr="005545AF">
        <w:rPr>
          <w:lang w:val="en-CA"/>
        </w:rPr>
        <w:t>query</w:t>
      </w:r>
      <w:r w:rsidR="00CF4634" w:rsidRPr="005545AF">
        <w:rPr>
          <w:lang w:val="en-CA"/>
        </w:rPr>
        <w:t xml:space="preserve"> in order to access them</w:t>
      </w:r>
      <w:r w:rsidR="002802DA" w:rsidRPr="005545AF">
        <w:rPr>
          <w:lang w:val="en-CA"/>
        </w:rPr>
        <w:t>.</w:t>
      </w:r>
    </w:p>
    <w:p w14:paraId="66F75612" w14:textId="4AB8B49D" w:rsidR="002802DA" w:rsidRPr="005545AF" w:rsidRDefault="00C94B9A" w:rsidP="001F7377">
      <w:pPr>
        <w:pStyle w:val="Paragraphe"/>
        <w:spacing w:line="240" w:lineRule="auto"/>
        <w:rPr>
          <w:lang w:val="en-CA"/>
        </w:rPr>
      </w:pPr>
      <w:r w:rsidRPr="005545AF">
        <w:rPr>
          <w:lang w:val="en-CA"/>
        </w:rPr>
        <w:t xml:space="preserve">The trial judge concluded that maintaining </w:t>
      </w:r>
      <w:r w:rsidR="00F830D7" w:rsidRPr="005545AF">
        <w:rPr>
          <w:lang w:val="en-CA"/>
        </w:rPr>
        <w:t>the</w:t>
      </w:r>
      <w:r w:rsidRPr="005545AF">
        <w:rPr>
          <w:lang w:val="en-CA"/>
        </w:rPr>
        <w:t xml:space="preserve"> bare URL link</w:t>
      </w:r>
      <w:r w:rsidR="00F830D7" w:rsidRPr="005545AF">
        <w:rPr>
          <w:lang w:val="en-CA"/>
        </w:rPr>
        <w:t xml:space="preserve"> at issue</w:t>
      </w:r>
      <w:r w:rsidRPr="005545AF">
        <w:rPr>
          <w:lang w:val="en-CA"/>
        </w:rPr>
        <w:t xml:space="preserve"> constitute</w:t>
      </w:r>
      <w:r w:rsidR="00F830D7" w:rsidRPr="005545AF">
        <w:rPr>
          <w:lang w:val="en-CA"/>
        </w:rPr>
        <w:t>d</w:t>
      </w:r>
      <w:r w:rsidRPr="005545AF">
        <w:rPr>
          <w:lang w:val="en-CA"/>
        </w:rPr>
        <w:t xml:space="preserve"> a fault under Quebec law</w:t>
      </w:r>
      <w:r w:rsidR="000050C7" w:rsidRPr="005545AF">
        <w:rPr>
          <w:lang w:val="en-CA"/>
        </w:rPr>
        <w:t>, on the basis of both article</w:t>
      </w:r>
      <w:r w:rsidR="002802DA" w:rsidRPr="005545AF">
        <w:rPr>
          <w:lang w:val="en-CA"/>
        </w:rPr>
        <w:t xml:space="preserve"> 1457 </w:t>
      </w:r>
      <w:r w:rsidR="000050C7" w:rsidRPr="005545AF">
        <w:rPr>
          <w:lang w:val="en-CA"/>
        </w:rPr>
        <w:t>of the</w:t>
      </w:r>
      <w:r w:rsidR="002802DA" w:rsidRPr="005545AF">
        <w:rPr>
          <w:lang w:val="en-CA"/>
        </w:rPr>
        <w:t xml:space="preserve"> </w:t>
      </w:r>
      <w:r w:rsidR="000050C7" w:rsidRPr="005545AF">
        <w:rPr>
          <w:i/>
          <w:iCs/>
          <w:lang w:val="en-CA"/>
        </w:rPr>
        <w:t>Civil Code of</w:t>
      </w:r>
      <w:r w:rsidR="002802DA" w:rsidRPr="005545AF">
        <w:rPr>
          <w:i/>
          <w:iCs/>
          <w:lang w:val="en-CA"/>
        </w:rPr>
        <w:t xml:space="preserve"> Qu</w:t>
      </w:r>
      <w:r w:rsidR="000050C7" w:rsidRPr="005545AF">
        <w:rPr>
          <w:i/>
          <w:iCs/>
          <w:lang w:val="en-CA"/>
        </w:rPr>
        <w:t>é</w:t>
      </w:r>
      <w:r w:rsidR="002802DA" w:rsidRPr="005545AF">
        <w:rPr>
          <w:i/>
          <w:iCs/>
          <w:lang w:val="en-CA"/>
        </w:rPr>
        <w:t>bec</w:t>
      </w:r>
      <w:r w:rsidR="002802DA" w:rsidRPr="005545AF">
        <w:rPr>
          <w:lang w:val="en-CA"/>
        </w:rPr>
        <w:t xml:space="preserve"> (</w:t>
      </w:r>
      <w:r w:rsidR="000050C7" w:rsidRPr="005545AF">
        <w:rPr>
          <w:lang w:val="en-CA"/>
        </w:rPr>
        <w:t>“</w:t>
      </w:r>
      <w:r w:rsidR="002802DA" w:rsidRPr="005545AF">
        <w:rPr>
          <w:b/>
          <w:bCs/>
          <w:i/>
          <w:iCs/>
          <w:lang w:val="en-CA"/>
        </w:rPr>
        <w:t>C.</w:t>
      </w:r>
      <w:r w:rsidR="000050C7" w:rsidRPr="005545AF">
        <w:rPr>
          <w:b/>
          <w:bCs/>
          <w:i/>
          <w:iCs/>
          <w:lang w:val="en-CA"/>
        </w:rPr>
        <w:t>C</w:t>
      </w:r>
      <w:r w:rsidR="002802DA" w:rsidRPr="005545AF">
        <w:rPr>
          <w:b/>
          <w:bCs/>
          <w:i/>
          <w:iCs/>
          <w:lang w:val="en-CA"/>
        </w:rPr>
        <w:t>.Q.</w:t>
      </w:r>
      <w:r w:rsidR="000050C7" w:rsidRPr="005545AF">
        <w:rPr>
          <w:lang w:val="en-CA"/>
        </w:rPr>
        <w:t>”</w:t>
      </w:r>
      <w:r w:rsidR="002802DA" w:rsidRPr="005545AF">
        <w:rPr>
          <w:lang w:val="en-CA"/>
        </w:rPr>
        <w:t xml:space="preserve">) </w:t>
      </w:r>
      <w:r w:rsidR="000050C7" w:rsidRPr="005545AF">
        <w:rPr>
          <w:lang w:val="en-CA"/>
        </w:rPr>
        <w:t>and an</w:t>
      </w:r>
      <w:r w:rsidR="002802DA" w:rsidRPr="005545AF">
        <w:rPr>
          <w:lang w:val="en-CA"/>
        </w:rPr>
        <w:t xml:space="preserve"> </w:t>
      </w:r>
      <w:r w:rsidR="000050C7" w:rsidRPr="005545AF">
        <w:rPr>
          <w:i/>
          <w:iCs/>
          <w:lang w:val="en-CA"/>
        </w:rPr>
        <w:t xml:space="preserve">Act to establish a legal framework for information technology </w:t>
      </w:r>
      <w:r w:rsidR="002802DA" w:rsidRPr="005545AF">
        <w:rPr>
          <w:lang w:val="en-CA"/>
        </w:rPr>
        <w:t>(</w:t>
      </w:r>
      <w:r w:rsidR="000050C7" w:rsidRPr="005545AF">
        <w:rPr>
          <w:lang w:val="en-CA"/>
        </w:rPr>
        <w:t>“</w:t>
      </w:r>
      <w:r w:rsidR="000050C7" w:rsidRPr="005545AF">
        <w:rPr>
          <w:b/>
          <w:bCs/>
          <w:i/>
          <w:iCs/>
          <w:lang w:val="en-CA"/>
        </w:rPr>
        <w:t>IT Framework Act</w:t>
      </w:r>
      <w:r w:rsidR="000050C7" w:rsidRPr="005545AF">
        <w:rPr>
          <w:lang w:val="en-CA"/>
        </w:rPr>
        <w:t>”</w:t>
      </w:r>
      <w:r w:rsidR="002802DA" w:rsidRPr="005545AF">
        <w:rPr>
          <w:lang w:val="en-CA"/>
        </w:rPr>
        <w:t>)</w:t>
      </w:r>
      <w:bookmarkStart w:id="12" w:name="_Ref207544834"/>
      <w:r w:rsidR="000050C7" w:rsidRPr="005545AF">
        <w:rPr>
          <w:lang w:val="en-CA"/>
        </w:rPr>
        <w:t>.</w:t>
      </w:r>
      <w:r w:rsidR="002802DA" w:rsidRPr="005545AF">
        <w:rPr>
          <w:vertAlign w:val="superscript"/>
          <w:lang w:val="en-CA"/>
        </w:rPr>
        <w:footnoteReference w:id="3"/>
      </w:r>
      <w:bookmarkEnd w:id="12"/>
      <w:r w:rsidR="002802DA" w:rsidRPr="005545AF">
        <w:rPr>
          <w:lang w:val="en-CA"/>
        </w:rPr>
        <w:t xml:space="preserve"> </w:t>
      </w:r>
      <w:r w:rsidR="000050C7" w:rsidRPr="005545AF">
        <w:rPr>
          <w:lang w:val="en-CA"/>
        </w:rPr>
        <w:t xml:space="preserve">He therefore ordered that Google pay $500,000 in moral damages, but, finding that the interference was unintentional under </w:t>
      </w:r>
      <w:r w:rsidR="0054550E" w:rsidRPr="005545AF">
        <w:rPr>
          <w:lang w:val="en-CA"/>
        </w:rPr>
        <w:t>section</w:t>
      </w:r>
      <w:r w:rsidR="002802DA" w:rsidRPr="005545AF">
        <w:rPr>
          <w:lang w:val="en-CA"/>
        </w:rPr>
        <w:t xml:space="preserve"> 49 </w:t>
      </w:r>
      <w:r w:rsidR="0054550E" w:rsidRPr="005545AF">
        <w:rPr>
          <w:lang w:val="en-CA"/>
        </w:rPr>
        <w:t>of the</w:t>
      </w:r>
      <w:r w:rsidR="002802DA" w:rsidRPr="005545AF">
        <w:rPr>
          <w:lang w:val="en-CA"/>
        </w:rPr>
        <w:t xml:space="preserve"> </w:t>
      </w:r>
      <w:r w:rsidR="002802DA" w:rsidRPr="005545AF">
        <w:rPr>
          <w:i/>
          <w:iCs/>
          <w:lang w:val="en-CA"/>
        </w:rPr>
        <w:t>Charte</w:t>
      </w:r>
      <w:r w:rsidR="0054550E" w:rsidRPr="005545AF">
        <w:rPr>
          <w:i/>
          <w:iCs/>
          <w:lang w:val="en-CA"/>
        </w:rPr>
        <w:t>r</w:t>
      </w:r>
      <w:r w:rsidR="002802DA" w:rsidRPr="005545AF">
        <w:rPr>
          <w:i/>
          <w:iCs/>
          <w:lang w:val="en-CA"/>
        </w:rPr>
        <w:t xml:space="preserve"> </w:t>
      </w:r>
      <w:r w:rsidR="0054550E" w:rsidRPr="005545AF">
        <w:rPr>
          <w:i/>
          <w:iCs/>
          <w:lang w:val="en-CA"/>
        </w:rPr>
        <w:t>of Human Rights and Freedoms</w:t>
      </w:r>
      <w:r w:rsidR="002802DA" w:rsidRPr="005545AF">
        <w:rPr>
          <w:i/>
          <w:iCs/>
          <w:lang w:val="en-CA"/>
        </w:rPr>
        <w:t xml:space="preserve"> </w:t>
      </w:r>
      <w:r w:rsidR="002802DA" w:rsidRPr="005545AF">
        <w:rPr>
          <w:lang w:val="en-CA"/>
        </w:rPr>
        <w:t>(</w:t>
      </w:r>
      <w:r w:rsidR="0054550E" w:rsidRPr="005545AF">
        <w:rPr>
          <w:lang w:val="en-CA"/>
        </w:rPr>
        <w:t>“</w:t>
      </w:r>
      <w:r w:rsidR="002802DA" w:rsidRPr="005545AF">
        <w:rPr>
          <w:b/>
          <w:bCs/>
          <w:i/>
          <w:iCs/>
          <w:lang w:val="en-CA"/>
        </w:rPr>
        <w:t>Charte</w:t>
      </w:r>
      <w:r w:rsidR="0054550E" w:rsidRPr="005545AF">
        <w:rPr>
          <w:b/>
          <w:bCs/>
          <w:i/>
          <w:iCs/>
          <w:lang w:val="en-CA"/>
        </w:rPr>
        <w:t>r</w:t>
      </w:r>
      <w:r w:rsidR="0054550E" w:rsidRPr="005545AF">
        <w:rPr>
          <w:lang w:val="en-CA"/>
        </w:rPr>
        <w:t>”</w:t>
      </w:r>
      <w:r w:rsidR="002802DA" w:rsidRPr="005545AF">
        <w:rPr>
          <w:lang w:val="en-CA"/>
        </w:rPr>
        <w:t>)</w:t>
      </w:r>
      <w:r w:rsidR="0054550E" w:rsidRPr="005545AF">
        <w:rPr>
          <w:lang w:val="en-CA"/>
        </w:rPr>
        <w:t>,</w:t>
      </w:r>
      <w:r w:rsidR="002802DA" w:rsidRPr="005545AF">
        <w:rPr>
          <w:rStyle w:val="Appelnotedebasdep"/>
          <w:lang w:val="en-CA"/>
        </w:rPr>
        <w:footnoteReference w:id="4"/>
      </w:r>
      <w:r w:rsidR="002802DA" w:rsidRPr="005545AF">
        <w:rPr>
          <w:lang w:val="en-CA"/>
        </w:rPr>
        <w:t xml:space="preserve"> </w:t>
      </w:r>
      <w:r w:rsidR="0054550E" w:rsidRPr="005545AF">
        <w:rPr>
          <w:lang w:val="en-CA"/>
        </w:rPr>
        <w:t xml:space="preserve">he </w:t>
      </w:r>
      <w:r w:rsidR="00F830D7" w:rsidRPr="005545AF">
        <w:rPr>
          <w:lang w:val="en-CA"/>
        </w:rPr>
        <w:t>declin</w:t>
      </w:r>
      <w:r w:rsidR="0054550E" w:rsidRPr="005545AF">
        <w:rPr>
          <w:lang w:val="en-CA"/>
        </w:rPr>
        <w:t>ed to award punitive damages</w:t>
      </w:r>
      <w:r w:rsidR="002802DA" w:rsidRPr="005545AF">
        <w:rPr>
          <w:lang w:val="en-CA"/>
        </w:rPr>
        <w:t xml:space="preserve">. </w:t>
      </w:r>
      <w:r w:rsidR="0054550E" w:rsidRPr="005545AF">
        <w:rPr>
          <w:lang w:val="en-CA"/>
        </w:rPr>
        <w:t xml:space="preserve">Similarly, the judge granted in part </w:t>
      </w:r>
      <w:r w:rsidR="00F830D7" w:rsidRPr="005545AF">
        <w:rPr>
          <w:lang w:val="en-CA"/>
        </w:rPr>
        <w:t xml:space="preserve">the </w:t>
      </w:r>
      <w:r w:rsidR="0054550E" w:rsidRPr="005545AF">
        <w:rPr>
          <w:lang w:val="en-CA"/>
        </w:rPr>
        <w:t>injunction requests as follows</w:t>
      </w:r>
      <w:r w:rsidR="002802DA" w:rsidRPr="005545AF">
        <w:rPr>
          <w:lang w:val="en-CA"/>
        </w:rPr>
        <w:t>:</w:t>
      </w:r>
    </w:p>
    <w:p w14:paraId="39ADD060" w14:textId="77777777" w:rsidR="002802DA" w:rsidRPr="005545AF" w:rsidRDefault="002802DA" w:rsidP="001F7377">
      <w:pPr>
        <w:pStyle w:val="Citationenretrait"/>
        <w:spacing w:line="240" w:lineRule="auto"/>
        <w:rPr>
          <w:lang w:val="en-CA"/>
        </w:rPr>
      </w:pPr>
      <w:r w:rsidRPr="005545AF">
        <w:rPr>
          <w:lang w:val="en-CA"/>
        </w:rPr>
        <w:t>[638]</w:t>
      </w:r>
      <w:r w:rsidRPr="005545AF">
        <w:rPr>
          <w:lang w:val="en-CA"/>
        </w:rPr>
        <w:tab/>
        <w:t xml:space="preserve">ORDERS Google to ensure that its search results not list any webpages from the domains “ripoffreport.com”, “www.ripoffreport.com”, “www.usacomplaints.com”, or “usacomplaints.com” containing the words “A. B.”, </w:t>
      </w:r>
      <w:r w:rsidRPr="005545AF">
        <w:rPr>
          <w:lang w:val="en-CA"/>
        </w:rPr>
        <w:lastRenderedPageBreak/>
        <w:t>this injunction being restricted in geographical scope to all users of the search service offered by Google, Google Search, located in the province of Quebec.</w:t>
      </w:r>
    </w:p>
    <w:p w14:paraId="5C1FB290" w14:textId="5391838F" w:rsidR="002802DA" w:rsidRPr="005545AF" w:rsidRDefault="0054550E" w:rsidP="001F7377">
      <w:pPr>
        <w:pStyle w:val="Paragraphe"/>
        <w:spacing w:line="240" w:lineRule="auto"/>
        <w:rPr>
          <w:lang w:val="en-CA"/>
        </w:rPr>
      </w:pPr>
      <w:r w:rsidRPr="005545AF">
        <w:rPr>
          <w:lang w:val="en-CA"/>
        </w:rPr>
        <w:t xml:space="preserve">Finally, the judge </w:t>
      </w:r>
      <w:r w:rsidR="00F830D7" w:rsidRPr="005545AF">
        <w:rPr>
          <w:lang w:val="en-CA"/>
        </w:rPr>
        <w:t>declined</w:t>
      </w:r>
      <w:r w:rsidRPr="005545AF">
        <w:rPr>
          <w:lang w:val="en-CA"/>
        </w:rPr>
        <w:t xml:space="preserve"> to issue a permanent publication ban, but did extend the interlocutory order for a period of</w:t>
      </w:r>
      <w:r w:rsidR="002802DA" w:rsidRPr="005545AF">
        <w:rPr>
          <w:lang w:val="en-CA"/>
        </w:rPr>
        <w:t xml:space="preserve"> 45 </w:t>
      </w:r>
      <w:r w:rsidRPr="005545AF">
        <w:rPr>
          <w:lang w:val="en-CA"/>
        </w:rPr>
        <w:t>days</w:t>
      </w:r>
      <w:r w:rsidR="002802DA" w:rsidRPr="005545AF">
        <w:rPr>
          <w:lang w:val="en-CA"/>
        </w:rPr>
        <w:t>:</w:t>
      </w:r>
    </w:p>
    <w:p w14:paraId="47122749" w14:textId="77777777" w:rsidR="002802DA" w:rsidRPr="005545AF" w:rsidRDefault="002802DA" w:rsidP="001F7377">
      <w:pPr>
        <w:pStyle w:val="Citationenretrait"/>
        <w:spacing w:line="240" w:lineRule="auto"/>
        <w:rPr>
          <w:lang w:val="en-CA"/>
        </w:rPr>
      </w:pPr>
      <w:r w:rsidRPr="005545AF">
        <w:rPr>
          <w:lang w:val="en-CA"/>
        </w:rPr>
        <w:t>[639]</w:t>
      </w:r>
      <w:r w:rsidRPr="005545AF">
        <w:rPr>
          <w:lang w:val="en-CA"/>
        </w:rPr>
        <w:tab/>
        <w:t>ORDERS a ban on the publication, disclosure, or circulation of the name of the Plaintiff and any information that would allow for him to be identified, including the names of his family members, in connection with the present case and accordingly, ORDERS the anonymization of the name of the Plaintiff and the names of his family members in any publication, disclosure, or circulation of information in connection with the present case, but this ban is valid only for a period of 45 days after the date of the present judgment.</w:t>
      </w:r>
    </w:p>
    <w:p w14:paraId="1E7A07B8" w14:textId="5E03634B" w:rsidR="002802DA" w:rsidRPr="005545AF" w:rsidRDefault="00F830D7" w:rsidP="001F7377">
      <w:pPr>
        <w:pStyle w:val="Paragraphe"/>
        <w:spacing w:line="240" w:lineRule="auto"/>
        <w:rPr>
          <w:lang w:val="en-CA"/>
        </w:rPr>
      </w:pPr>
      <w:r w:rsidRPr="005545AF">
        <w:rPr>
          <w:lang w:val="en-CA"/>
        </w:rPr>
        <w:t>The appellant</w:t>
      </w:r>
      <w:r w:rsidR="002802DA" w:rsidRPr="005545AF">
        <w:rPr>
          <w:lang w:val="en-CA"/>
        </w:rPr>
        <w:t xml:space="preserve"> </w:t>
      </w:r>
      <w:r w:rsidR="00031EBB" w:rsidRPr="005545AF">
        <w:rPr>
          <w:lang w:val="en-CA"/>
        </w:rPr>
        <w:t>appeals from the judge’s refusal to award him punitive damages and asks the Court to extend the geographic</w:t>
      </w:r>
      <w:r w:rsidR="00132435" w:rsidRPr="005545AF">
        <w:rPr>
          <w:lang w:val="en-CA"/>
        </w:rPr>
        <w:t>al</w:t>
      </w:r>
      <w:r w:rsidR="00031EBB" w:rsidRPr="005545AF">
        <w:rPr>
          <w:lang w:val="en-CA"/>
        </w:rPr>
        <w:t xml:space="preserve"> scope of the injunction granted</w:t>
      </w:r>
      <w:r w:rsidR="00673E5F" w:rsidRPr="005545AF">
        <w:rPr>
          <w:lang w:val="en-CA"/>
        </w:rPr>
        <w:t xml:space="preserve"> to the entire world and </w:t>
      </w:r>
      <w:r w:rsidR="00031EBB" w:rsidRPr="005545AF">
        <w:rPr>
          <w:lang w:val="en-CA"/>
        </w:rPr>
        <w:t xml:space="preserve">to issue a permanent publication ban with respect to his name and any information that would allow for him to be identified as well as another injunction </w:t>
      </w:r>
      <w:r w:rsidR="00673E5F" w:rsidRPr="005545AF">
        <w:rPr>
          <w:lang w:val="en-CA"/>
        </w:rPr>
        <w:t>to</w:t>
      </w:r>
      <w:r w:rsidR="00031EBB" w:rsidRPr="005545AF">
        <w:rPr>
          <w:lang w:val="en-CA"/>
        </w:rPr>
        <w:t xml:space="preserve"> prevent</w:t>
      </w:r>
      <w:r w:rsidR="00673E5F" w:rsidRPr="005545AF">
        <w:rPr>
          <w:lang w:val="en-CA"/>
        </w:rPr>
        <w:t xml:space="preserve"> his name from being</w:t>
      </w:r>
      <w:r w:rsidR="00031EBB" w:rsidRPr="005545AF">
        <w:rPr>
          <w:lang w:val="en-CA"/>
        </w:rPr>
        <w:t xml:space="preserve"> </w:t>
      </w:r>
      <w:r w:rsidR="00673E5F" w:rsidRPr="005545AF">
        <w:rPr>
          <w:lang w:val="en-CA"/>
        </w:rPr>
        <w:t>associated with</w:t>
      </w:r>
      <w:r w:rsidR="00031EBB" w:rsidRPr="005545AF">
        <w:rPr>
          <w:lang w:val="en-CA"/>
        </w:rPr>
        <w:t xml:space="preserve"> unfounded allegations of pedophilia and pederasty</w:t>
      </w:r>
      <w:r w:rsidR="002802DA" w:rsidRPr="005545AF">
        <w:rPr>
          <w:lang w:val="en-CA"/>
        </w:rPr>
        <w:t>.</w:t>
      </w:r>
    </w:p>
    <w:p w14:paraId="4A86DC69" w14:textId="58942413" w:rsidR="002802DA" w:rsidRPr="005545AF" w:rsidRDefault="0088648B" w:rsidP="001F7377">
      <w:pPr>
        <w:pStyle w:val="Paragraphe"/>
        <w:spacing w:line="240" w:lineRule="auto"/>
        <w:rPr>
          <w:lang w:val="en-CA"/>
        </w:rPr>
      </w:pPr>
      <w:r w:rsidRPr="005545AF">
        <w:rPr>
          <w:lang w:val="en-CA"/>
        </w:rPr>
        <w:t>F</w:t>
      </w:r>
      <w:r w:rsidR="00746723" w:rsidRPr="005545AF">
        <w:rPr>
          <w:lang w:val="en-CA"/>
        </w:rPr>
        <w:t xml:space="preserve">or its part, </w:t>
      </w:r>
      <w:r w:rsidR="002802DA" w:rsidRPr="005545AF">
        <w:rPr>
          <w:lang w:val="en-CA"/>
        </w:rPr>
        <w:t xml:space="preserve">Google </w:t>
      </w:r>
      <w:r w:rsidR="00746723" w:rsidRPr="005545AF">
        <w:rPr>
          <w:lang w:val="en-CA"/>
        </w:rPr>
        <w:t>filed an incidental appeal and claims that the judge erred in finding its civil liability</w:t>
      </w:r>
      <w:r w:rsidRPr="005545AF">
        <w:rPr>
          <w:lang w:val="en-CA"/>
        </w:rPr>
        <w:t xml:space="preserve">, </w:t>
      </w:r>
      <w:r w:rsidR="0016425F" w:rsidRPr="005545AF">
        <w:rPr>
          <w:lang w:val="en-CA"/>
        </w:rPr>
        <w:t>on the grounds of</w:t>
      </w:r>
      <w:r w:rsidRPr="005545AF">
        <w:rPr>
          <w:lang w:val="en-CA"/>
        </w:rPr>
        <w:t xml:space="preserve"> </w:t>
      </w:r>
      <w:r w:rsidR="0016425F" w:rsidRPr="005545AF">
        <w:rPr>
          <w:lang w:val="en-CA"/>
        </w:rPr>
        <w:t>absence</w:t>
      </w:r>
      <w:r w:rsidR="009D60B3" w:rsidRPr="005545AF">
        <w:rPr>
          <w:lang w:val="en-CA"/>
        </w:rPr>
        <w:t xml:space="preserve"> of</w:t>
      </w:r>
      <w:r w:rsidR="00746723" w:rsidRPr="005545AF">
        <w:rPr>
          <w:lang w:val="en-CA"/>
        </w:rPr>
        <w:t xml:space="preserve"> fault, causa</w:t>
      </w:r>
      <w:r w:rsidRPr="005545AF">
        <w:rPr>
          <w:lang w:val="en-CA"/>
        </w:rPr>
        <w:t>l link</w:t>
      </w:r>
      <w:r w:rsidR="00746723" w:rsidRPr="005545AF">
        <w:rPr>
          <w:lang w:val="en-CA"/>
        </w:rPr>
        <w:t xml:space="preserve"> and </w:t>
      </w:r>
      <w:r w:rsidR="0016425F" w:rsidRPr="005545AF">
        <w:rPr>
          <w:lang w:val="en-CA"/>
        </w:rPr>
        <w:t>injury</w:t>
      </w:r>
      <w:r w:rsidR="002802DA" w:rsidRPr="005545AF">
        <w:rPr>
          <w:lang w:val="en-CA"/>
        </w:rPr>
        <w:t xml:space="preserve">. </w:t>
      </w:r>
      <w:r w:rsidR="00746723" w:rsidRPr="005545AF">
        <w:rPr>
          <w:lang w:val="en-CA"/>
        </w:rPr>
        <w:t>For the same reasons, it appeals from the injunction granted but does not however take position on the issue of the publication ban</w:t>
      </w:r>
      <w:r w:rsidR="002802DA" w:rsidRPr="005545AF">
        <w:rPr>
          <w:lang w:val="en-CA"/>
        </w:rPr>
        <w:t>.</w:t>
      </w:r>
    </w:p>
    <w:p w14:paraId="32C27552" w14:textId="4EEFAD2D" w:rsidR="002802DA" w:rsidRPr="005545AF" w:rsidRDefault="00E60B31" w:rsidP="001F7377">
      <w:pPr>
        <w:pStyle w:val="Paragraphe"/>
        <w:spacing w:line="240" w:lineRule="auto"/>
        <w:rPr>
          <w:lang w:val="en-CA"/>
        </w:rPr>
      </w:pPr>
      <w:r w:rsidRPr="005545AF">
        <w:rPr>
          <w:lang w:val="en-CA"/>
        </w:rPr>
        <w:t>This case raises, for the first time before the Court, the issue of</w:t>
      </w:r>
      <w:r w:rsidR="0016425F" w:rsidRPr="005545AF">
        <w:rPr>
          <w:lang w:val="en-CA"/>
        </w:rPr>
        <w:t xml:space="preserve"> the</w:t>
      </w:r>
      <w:r w:rsidRPr="005545AF">
        <w:rPr>
          <w:lang w:val="en-CA"/>
        </w:rPr>
        <w:t xml:space="preserve"> liability of an intermediary whose search engine indexes a link </w:t>
      </w:r>
      <w:r w:rsidR="00330BFC" w:rsidRPr="005545AF">
        <w:rPr>
          <w:lang w:val="en-CA"/>
        </w:rPr>
        <w:t>leading</w:t>
      </w:r>
      <w:r w:rsidRPr="005545AF">
        <w:rPr>
          <w:lang w:val="en-CA"/>
        </w:rPr>
        <w:t xml:space="preserve"> to </w:t>
      </w:r>
      <w:r w:rsidR="00485012" w:rsidRPr="005545AF">
        <w:rPr>
          <w:lang w:val="en-CA"/>
        </w:rPr>
        <w:t xml:space="preserve">undisputedly false and defamatory </w:t>
      </w:r>
      <w:r w:rsidRPr="005545AF">
        <w:rPr>
          <w:lang w:val="en-CA"/>
        </w:rPr>
        <w:t xml:space="preserve">information, </w:t>
      </w:r>
      <w:r w:rsidR="00485012" w:rsidRPr="005545AF">
        <w:rPr>
          <w:lang w:val="en-CA"/>
        </w:rPr>
        <w:t>without</w:t>
      </w:r>
      <w:r w:rsidRPr="005545AF">
        <w:rPr>
          <w:lang w:val="en-CA"/>
        </w:rPr>
        <w:t xml:space="preserve"> however</w:t>
      </w:r>
      <w:r w:rsidR="00485012" w:rsidRPr="005545AF">
        <w:rPr>
          <w:lang w:val="en-CA"/>
        </w:rPr>
        <w:t xml:space="preserve"> being</w:t>
      </w:r>
      <w:r w:rsidRPr="005545AF">
        <w:rPr>
          <w:lang w:val="en-CA"/>
        </w:rPr>
        <w:t xml:space="preserve"> the </w:t>
      </w:r>
      <w:r w:rsidR="00330BFC" w:rsidRPr="005545AF">
        <w:rPr>
          <w:lang w:val="en-CA"/>
        </w:rPr>
        <w:t>author</w:t>
      </w:r>
      <w:r w:rsidRPr="005545AF">
        <w:rPr>
          <w:lang w:val="en-CA"/>
        </w:rPr>
        <w:t xml:space="preserve"> </w:t>
      </w:r>
      <w:r w:rsidR="00330BFC" w:rsidRPr="005545AF">
        <w:rPr>
          <w:lang w:val="en-CA"/>
        </w:rPr>
        <w:t xml:space="preserve">of the </w:t>
      </w:r>
      <w:r w:rsidR="0016425F" w:rsidRPr="005545AF">
        <w:rPr>
          <w:lang w:val="en-CA"/>
        </w:rPr>
        <w:t>post</w:t>
      </w:r>
      <w:r w:rsidR="00330BFC" w:rsidRPr="005545AF">
        <w:rPr>
          <w:lang w:val="en-CA"/>
        </w:rPr>
        <w:t xml:space="preserve"> </w:t>
      </w:r>
      <w:r w:rsidRPr="005545AF">
        <w:rPr>
          <w:lang w:val="en-CA"/>
        </w:rPr>
        <w:t>and not reproduc</w:t>
      </w:r>
      <w:r w:rsidR="00485012" w:rsidRPr="005545AF">
        <w:rPr>
          <w:lang w:val="en-CA"/>
        </w:rPr>
        <w:t>ing</w:t>
      </w:r>
      <w:r w:rsidRPr="005545AF">
        <w:rPr>
          <w:lang w:val="en-CA"/>
        </w:rPr>
        <w:t xml:space="preserve"> </w:t>
      </w:r>
      <w:r w:rsidR="00485012" w:rsidRPr="005545AF">
        <w:rPr>
          <w:lang w:val="en-CA"/>
        </w:rPr>
        <w:t xml:space="preserve">its contents </w:t>
      </w:r>
      <w:r w:rsidRPr="005545AF">
        <w:rPr>
          <w:lang w:val="en-CA"/>
        </w:rPr>
        <w:t>in any way</w:t>
      </w:r>
      <w:r w:rsidR="002802DA" w:rsidRPr="005545AF">
        <w:rPr>
          <w:lang w:val="en-CA"/>
        </w:rPr>
        <w:t xml:space="preserve">. </w:t>
      </w:r>
      <w:r w:rsidRPr="005545AF">
        <w:rPr>
          <w:lang w:val="en-CA"/>
        </w:rPr>
        <w:t xml:space="preserve">It simply ensures </w:t>
      </w:r>
      <w:r w:rsidR="00485012" w:rsidRPr="005545AF">
        <w:rPr>
          <w:lang w:val="en-CA"/>
        </w:rPr>
        <w:t xml:space="preserve">the indexing of </w:t>
      </w:r>
      <w:r w:rsidRPr="005545AF">
        <w:rPr>
          <w:lang w:val="en-CA"/>
        </w:rPr>
        <w:t>the URL link of content found on the internet</w:t>
      </w:r>
      <w:r w:rsidR="00EE30D8" w:rsidRPr="005545AF">
        <w:rPr>
          <w:lang w:val="en-CA"/>
        </w:rPr>
        <w:t>, nothing more</w:t>
      </w:r>
      <w:r w:rsidR="002802DA" w:rsidRPr="005545AF">
        <w:rPr>
          <w:lang w:val="en-CA"/>
        </w:rPr>
        <w:t>.</w:t>
      </w:r>
    </w:p>
    <w:p w14:paraId="691BA813" w14:textId="5BD363EC" w:rsidR="002802DA" w:rsidRPr="005545AF" w:rsidRDefault="00330BFC" w:rsidP="001F7377">
      <w:pPr>
        <w:pStyle w:val="Paragraphe"/>
        <w:spacing w:line="240" w:lineRule="auto"/>
        <w:rPr>
          <w:lang w:val="en-CA"/>
        </w:rPr>
      </w:pPr>
      <w:r w:rsidRPr="005545AF">
        <w:rPr>
          <w:lang w:val="en-CA"/>
        </w:rPr>
        <w:t>On a systemic level</w:t>
      </w:r>
      <w:r w:rsidR="002802DA" w:rsidRPr="005545AF">
        <w:rPr>
          <w:lang w:val="en-CA"/>
        </w:rPr>
        <w:t xml:space="preserve">, </w:t>
      </w:r>
      <w:r w:rsidR="00EE30D8" w:rsidRPr="005545AF">
        <w:rPr>
          <w:lang w:val="en-CA"/>
        </w:rPr>
        <w:t xml:space="preserve">this case raises the issue of the role and interaction of s. </w:t>
      </w:r>
      <w:r w:rsidR="002802DA" w:rsidRPr="005545AF">
        <w:rPr>
          <w:lang w:val="en-CA"/>
        </w:rPr>
        <w:t xml:space="preserve">22 </w:t>
      </w:r>
      <w:r w:rsidR="00EE30D8" w:rsidRPr="005545AF">
        <w:rPr>
          <w:lang w:val="en-CA"/>
        </w:rPr>
        <w:t>of the</w:t>
      </w:r>
      <w:r w:rsidR="002802DA" w:rsidRPr="005545AF">
        <w:rPr>
          <w:lang w:val="en-CA"/>
        </w:rPr>
        <w:t xml:space="preserve"> </w:t>
      </w:r>
      <w:r w:rsidR="00EE30D8" w:rsidRPr="005545AF">
        <w:rPr>
          <w:i/>
          <w:iCs/>
          <w:lang w:val="en-CA"/>
        </w:rPr>
        <w:t>IT Framework Act</w:t>
      </w:r>
      <w:r w:rsidR="002802DA" w:rsidRPr="005545AF">
        <w:rPr>
          <w:lang w:val="en-CA"/>
        </w:rPr>
        <w:t xml:space="preserve"> </w:t>
      </w:r>
      <w:r w:rsidR="00EE30D8" w:rsidRPr="005545AF">
        <w:rPr>
          <w:lang w:val="en-CA"/>
        </w:rPr>
        <w:t>and art.</w:t>
      </w:r>
      <w:r w:rsidR="002802DA" w:rsidRPr="005545AF">
        <w:rPr>
          <w:lang w:val="en-CA"/>
        </w:rPr>
        <w:t xml:space="preserve"> 1457 </w:t>
      </w:r>
      <w:r w:rsidR="002802DA" w:rsidRPr="005545AF">
        <w:rPr>
          <w:rFonts w:cs="Arial"/>
          <w:i/>
          <w:iCs/>
          <w:lang w:val="en-CA"/>
        </w:rPr>
        <w:t>C.</w:t>
      </w:r>
      <w:r w:rsidR="00EE30D8" w:rsidRPr="005545AF">
        <w:rPr>
          <w:rFonts w:cs="Arial"/>
          <w:i/>
          <w:iCs/>
          <w:lang w:val="en-CA"/>
        </w:rPr>
        <w:t>C</w:t>
      </w:r>
      <w:r w:rsidR="002802DA" w:rsidRPr="005545AF">
        <w:rPr>
          <w:rFonts w:cs="Arial"/>
          <w:i/>
          <w:iCs/>
          <w:lang w:val="en-CA"/>
        </w:rPr>
        <w:t>.Q.</w:t>
      </w:r>
      <w:r w:rsidR="002802DA" w:rsidRPr="005545AF">
        <w:rPr>
          <w:lang w:val="en-CA"/>
        </w:rPr>
        <w:t xml:space="preserve"> </w:t>
      </w:r>
      <w:r w:rsidR="00EE30D8" w:rsidRPr="005545AF">
        <w:rPr>
          <w:lang w:val="en-CA"/>
        </w:rPr>
        <w:t>as well as that of the application of the Supreme Court</w:t>
      </w:r>
      <w:r w:rsidR="00C45E35" w:rsidRPr="005545AF">
        <w:rPr>
          <w:lang w:val="en-CA"/>
        </w:rPr>
        <w:t>’s</w:t>
      </w:r>
      <w:r w:rsidR="00EE30D8" w:rsidRPr="005545AF">
        <w:rPr>
          <w:lang w:val="en-CA"/>
        </w:rPr>
        <w:t xml:space="preserve"> </w:t>
      </w:r>
      <w:r w:rsidR="00C45E35" w:rsidRPr="005545AF">
        <w:rPr>
          <w:lang w:val="en-CA"/>
        </w:rPr>
        <w:t xml:space="preserve">teachings </w:t>
      </w:r>
      <w:r w:rsidR="00EE30D8" w:rsidRPr="005545AF">
        <w:rPr>
          <w:lang w:val="en-CA"/>
        </w:rPr>
        <w:t xml:space="preserve">in </w:t>
      </w:r>
      <w:r w:rsidR="002802DA" w:rsidRPr="005545AF">
        <w:rPr>
          <w:i/>
          <w:iCs/>
          <w:lang w:val="en-CA"/>
        </w:rPr>
        <w:t>Crookes</w:t>
      </w:r>
      <w:r w:rsidR="00485012" w:rsidRPr="005545AF">
        <w:rPr>
          <w:lang w:val="en-CA"/>
        </w:rPr>
        <w:t>,</w:t>
      </w:r>
      <w:r w:rsidR="002802DA" w:rsidRPr="005545AF">
        <w:rPr>
          <w:i/>
          <w:iCs/>
          <w:lang w:val="en-CA"/>
        </w:rPr>
        <w:t xml:space="preserve"> </w:t>
      </w:r>
      <w:r w:rsidR="00EE30D8" w:rsidRPr="005545AF">
        <w:rPr>
          <w:iCs/>
          <w:lang w:val="en-CA"/>
        </w:rPr>
        <w:t>which</w:t>
      </w:r>
      <w:r w:rsidR="002802DA" w:rsidRPr="005545AF">
        <w:rPr>
          <w:iCs/>
          <w:lang w:val="en-CA"/>
        </w:rPr>
        <w:t xml:space="preserve"> Google </w:t>
      </w:r>
      <w:r w:rsidR="00EE30D8" w:rsidRPr="005545AF">
        <w:rPr>
          <w:iCs/>
          <w:lang w:val="en-CA"/>
        </w:rPr>
        <w:t xml:space="preserve">relies upon in refusing, since </w:t>
      </w:r>
      <w:r w:rsidR="002802DA" w:rsidRPr="005545AF">
        <w:rPr>
          <w:iCs/>
          <w:lang w:val="en-CA"/>
        </w:rPr>
        <w:t xml:space="preserve">2015, </w:t>
      </w:r>
      <w:r w:rsidR="00EE30D8" w:rsidRPr="005545AF">
        <w:rPr>
          <w:iCs/>
          <w:lang w:val="en-CA"/>
        </w:rPr>
        <w:t xml:space="preserve">to remove the </w:t>
      </w:r>
      <w:r w:rsidR="002802DA" w:rsidRPr="005545AF">
        <w:rPr>
          <w:iCs/>
          <w:lang w:val="en-CA"/>
        </w:rPr>
        <w:t>URL</w:t>
      </w:r>
      <w:r w:rsidR="00EE30D8" w:rsidRPr="005545AF">
        <w:rPr>
          <w:iCs/>
          <w:lang w:val="en-CA"/>
        </w:rPr>
        <w:t xml:space="preserve"> link central to the dispute</w:t>
      </w:r>
      <w:r w:rsidR="002802DA" w:rsidRPr="005545AF">
        <w:rPr>
          <w:iCs/>
          <w:lang w:val="en-CA"/>
        </w:rPr>
        <w:t>.</w:t>
      </w:r>
    </w:p>
    <w:p w14:paraId="650BC036" w14:textId="75AA930F" w:rsidR="002802DA" w:rsidRPr="005545AF" w:rsidRDefault="00C45E35" w:rsidP="001F7377">
      <w:pPr>
        <w:pStyle w:val="Paragraphe"/>
        <w:spacing w:line="240" w:lineRule="auto"/>
        <w:rPr>
          <w:lang w:val="en-CA"/>
        </w:rPr>
      </w:pPr>
      <w:r w:rsidRPr="005545AF">
        <w:rPr>
          <w:lang w:val="en-CA"/>
        </w:rPr>
        <w:t xml:space="preserve">Before turning to the issues raised in </w:t>
      </w:r>
      <w:r w:rsidR="00485012" w:rsidRPr="005545AF">
        <w:rPr>
          <w:lang w:val="en-CA"/>
        </w:rPr>
        <w:t xml:space="preserve">both </w:t>
      </w:r>
      <w:r w:rsidRPr="005545AF">
        <w:rPr>
          <w:lang w:val="en-CA"/>
        </w:rPr>
        <w:t xml:space="preserve">the principal appeal and the incidental appeal, we pause to </w:t>
      </w:r>
      <w:r w:rsidR="005D40DC" w:rsidRPr="005545AF">
        <w:rPr>
          <w:lang w:val="en-CA"/>
        </w:rPr>
        <w:t xml:space="preserve">the </w:t>
      </w:r>
      <w:r w:rsidR="00EC178C" w:rsidRPr="005545AF">
        <w:rPr>
          <w:lang w:val="en-CA"/>
        </w:rPr>
        <w:t xml:space="preserve">describe the </w:t>
      </w:r>
      <w:r w:rsidR="00A96BB9" w:rsidRPr="005545AF">
        <w:rPr>
          <w:lang w:val="en-CA"/>
        </w:rPr>
        <w:t>general</w:t>
      </w:r>
      <w:r w:rsidR="005D40DC" w:rsidRPr="005545AF">
        <w:rPr>
          <w:lang w:val="en-CA"/>
        </w:rPr>
        <w:t xml:space="preserve"> context</w:t>
      </w:r>
      <w:r w:rsidRPr="005545AF">
        <w:rPr>
          <w:lang w:val="en-CA"/>
        </w:rPr>
        <w:t xml:space="preserve"> </w:t>
      </w:r>
      <w:r w:rsidR="00EC178C" w:rsidRPr="005545AF">
        <w:rPr>
          <w:lang w:val="en-CA"/>
        </w:rPr>
        <w:t>of the case</w:t>
      </w:r>
      <w:r w:rsidRPr="005545AF">
        <w:rPr>
          <w:lang w:val="en-CA"/>
        </w:rPr>
        <w:t xml:space="preserve"> which, essentially, </w:t>
      </w:r>
      <w:r w:rsidR="005D40DC" w:rsidRPr="005545AF">
        <w:rPr>
          <w:lang w:val="en-CA"/>
        </w:rPr>
        <w:t>is</w:t>
      </w:r>
      <w:r w:rsidRPr="005545AF">
        <w:rPr>
          <w:lang w:val="en-CA"/>
        </w:rPr>
        <w:t xml:space="preserve"> undisputed</w:t>
      </w:r>
      <w:r w:rsidR="002802DA" w:rsidRPr="005545AF">
        <w:rPr>
          <w:lang w:val="en-CA"/>
        </w:rPr>
        <w:t>.</w:t>
      </w:r>
    </w:p>
    <w:p w14:paraId="0ED9B342" w14:textId="2345177D" w:rsidR="002802DA" w:rsidRPr="005545AF" w:rsidRDefault="00A96BB9" w:rsidP="001F7377">
      <w:pPr>
        <w:pStyle w:val="Paragraphe"/>
        <w:numPr>
          <w:ilvl w:val="0"/>
          <w:numId w:val="0"/>
        </w:numPr>
        <w:spacing w:line="240" w:lineRule="auto"/>
        <w:outlineLvl w:val="0"/>
        <w:rPr>
          <w:b/>
          <w:bCs/>
          <w:lang w:val="en-CA"/>
        </w:rPr>
      </w:pPr>
      <w:r w:rsidRPr="005545AF">
        <w:rPr>
          <w:b/>
          <w:bCs/>
          <w:lang w:val="en-CA"/>
        </w:rPr>
        <w:t>GENERAL</w:t>
      </w:r>
      <w:r w:rsidR="00EC178C" w:rsidRPr="005545AF">
        <w:rPr>
          <w:b/>
          <w:bCs/>
          <w:lang w:val="en-CA"/>
        </w:rPr>
        <w:t xml:space="preserve"> CONTEXT</w:t>
      </w:r>
    </w:p>
    <w:p w14:paraId="50BEA412" w14:textId="7BE1D08D" w:rsidR="002802DA" w:rsidRPr="005545AF" w:rsidRDefault="004343CF" w:rsidP="001F7377">
      <w:pPr>
        <w:pStyle w:val="Paragraphe"/>
        <w:spacing w:line="240" w:lineRule="auto"/>
        <w:rPr>
          <w:lang w:val="en-CA"/>
        </w:rPr>
      </w:pPr>
      <w:r w:rsidRPr="005545AF">
        <w:rPr>
          <w:lang w:val="en-CA"/>
        </w:rPr>
        <w:t>The appellant</w:t>
      </w:r>
      <w:r w:rsidR="002802DA" w:rsidRPr="005545AF">
        <w:rPr>
          <w:lang w:val="en-CA"/>
        </w:rPr>
        <w:t xml:space="preserve"> </w:t>
      </w:r>
      <w:r w:rsidR="00EC178C" w:rsidRPr="005545AF">
        <w:rPr>
          <w:lang w:val="en-CA"/>
        </w:rPr>
        <w:t>is a businessman working in the real</w:t>
      </w:r>
      <w:r w:rsidR="0023587F" w:rsidRPr="005545AF">
        <w:rPr>
          <w:lang w:val="en-CA"/>
        </w:rPr>
        <w:t>-</w:t>
      </w:r>
      <w:r w:rsidR="00EC178C" w:rsidRPr="005545AF">
        <w:rPr>
          <w:lang w:val="en-CA"/>
        </w:rPr>
        <w:t>estate industry</w:t>
      </w:r>
      <w:r w:rsidR="002802DA" w:rsidRPr="005545AF">
        <w:rPr>
          <w:lang w:val="en-CA"/>
        </w:rPr>
        <w:t xml:space="preserve">. </w:t>
      </w:r>
      <w:r w:rsidR="00EC178C" w:rsidRPr="005545AF">
        <w:rPr>
          <w:lang w:val="en-CA"/>
        </w:rPr>
        <w:t>From</w:t>
      </w:r>
      <w:r w:rsidR="002802DA" w:rsidRPr="005545AF">
        <w:rPr>
          <w:lang w:val="en-CA"/>
        </w:rPr>
        <w:t xml:space="preserve"> 1970 </w:t>
      </w:r>
      <w:r w:rsidR="00EC178C" w:rsidRPr="005545AF">
        <w:rPr>
          <w:lang w:val="en-CA"/>
        </w:rPr>
        <w:t>to</w:t>
      </w:r>
      <w:r w:rsidR="002802DA" w:rsidRPr="005545AF">
        <w:rPr>
          <w:lang w:val="en-CA"/>
        </w:rPr>
        <w:t xml:space="preserve"> 1993, </w:t>
      </w:r>
      <w:r w:rsidR="00EC178C" w:rsidRPr="005545AF">
        <w:rPr>
          <w:lang w:val="en-CA"/>
        </w:rPr>
        <w:t>he headed a highly successful company</w:t>
      </w:r>
      <w:r w:rsidR="002802DA" w:rsidRPr="005545AF">
        <w:rPr>
          <w:lang w:val="en-CA"/>
        </w:rPr>
        <w:t xml:space="preserve">. </w:t>
      </w:r>
      <w:r w:rsidR="0023587F" w:rsidRPr="005545AF">
        <w:rPr>
          <w:lang w:val="en-CA"/>
        </w:rPr>
        <w:t>I</w:t>
      </w:r>
      <w:r w:rsidR="002802DA" w:rsidRPr="005545AF">
        <w:rPr>
          <w:lang w:val="en-CA"/>
        </w:rPr>
        <w:t xml:space="preserve">n 1993, </w:t>
      </w:r>
      <w:r w:rsidRPr="005545AF">
        <w:rPr>
          <w:lang w:val="en-CA"/>
        </w:rPr>
        <w:t>the appellant</w:t>
      </w:r>
      <w:r w:rsidR="002802DA" w:rsidRPr="005545AF">
        <w:rPr>
          <w:lang w:val="en-CA"/>
        </w:rPr>
        <w:t xml:space="preserve"> </w:t>
      </w:r>
      <w:r w:rsidR="0023587F" w:rsidRPr="005545AF">
        <w:rPr>
          <w:lang w:val="en-CA"/>
        </w:rPr>
        <w:t>moved to</w:t>
      </w:r>
      <w:r w:rsidR="002802DA" w:rsidRPr="005545AF">
        <w:rPr>
          <w:lang w:val="en-CA"/>
        </w:rPr>
        <w:t xml:space="preserve"> New York </w:t>
      </w:r>
      <w:r w:rsidR="0023587F" w:rsidRPr="005545AF">
        <w:rPr>
          <w:lang w:val="en-CA"/>
        </w:rPr>
        <w:lastRenderedPageBreak/>
        <w:t>and pursued his career as a real-estate developer there</w:t>
      </w:r>
      <w:r w:rsidR="002802DA" w:rsidRPr="005545AF">
        <w:rPr>
          <w:lang w:val="en-CA"/>
        </w:rPr>
        <w:t xml:space="preserve">. </w:t>
      </w:r>
      <w:r w:rsidR="0023587F" w:rsidRPr="005545AF">
        <w:rPr>
          <w:lang w:val="en-CA"/>
        </w:rPr>
        <w:t>In</w:t>
      </w:r>
      <w:r w:rsidR="002802DA" w:rsidRPr="005545AF">
        <w:rPr>
          <w:lang w:val="en-CA"/>
        </w:rPr>
        <w:t xml:space="preserve"> 2003, </w:t>
      </w:r>
      <w:r w:rsidR="0023587F" w:rsidRPr="005545AF">
        <w:rPr>
          <w:lang w:val="en-CA"/>
        </w:rPr>
        <w:t>he became chairman of a real-estate brokerage firm</w:t>
      </w:r>
      <w:r w:rsidR="002802DA" w:rsidRPr="005545AF">
        <w:rPr>
          <w:lang w:val="en-CA"/>
        </w:rPr>
        <w:t xml:space="preserve">. </w:t>
      </w:r>
    </w:p>
    <w:p w14:paraId="3CA9301D" w14:textId="775C7858" w:rsidR="002802DA" w:rsidRPr="005545AF" w:rsidRDefault="0023587F" w:rsidP="001F7377">
      <w:pPr>
        <w:pStyle w:val="Paragraphe"/>
        <w:spacing w:line="240" w:lineRule="auto"/>
        <w:rPr>
          <w:lang w:val="en-CA"/>
        </w:rPr>
      </w:pPr>
      <w:r w:rsidRPr="005545AF">
        <w:rPr>
          <w:lang w:val="en-CA"/>
        </w:rPr>
        <w:t>On April 5,</w:t>
      </w:r>
      <w:r w:rsidR="002802DA" w:rsidRPr="005545AF">
        <w:rPr>
          <w:lang w:val="en-CA"/>
        </w:rPr>
        <w:t xml:space="preserve"> 2006, </w:t>
      </w:r>
      <w:r w:rsidRPr="005545AF">
        <w:rPr>
          <w:lang w:val="en-CA"/>
        </w:rPr>
        <w:t>the following text was</w:t>
      </w:r>
      <w:r w:rsidR="002802DA" w:rsidRPr="005545AF">
        <w:rPr>
          <w:lang w:val="en-CA"/>
        </w:rPr>
        <w:t xml:space="preserve"> </w:t>
      </w:r>
      <w:r w:rsidRPr="005545AF">
        <w:rPr>
          <w:lang w:val="en-CA"/>
        </w:rPr>
        <w:t>posted on</w:t>
      </w:r>
      <w:r w:rsidR="00B70701" w:rsidRPr="005545AF">
        <w:rPr>
          <w:lang w:val="en-CA"/>
        </w:rPr>
        <w:t xml:space="preserve"> </w:t>
      </w:r>
      <w:r w:rsidR="002802DA" w:rsidRPr="005545AF">
        <w:rPr>
          <w:lang w:val="en-CA"/>
        </w:rPr>
        <w:t>ripoffreport.com (</w:t>
      </w:r>
      <w:r w:rsidRPr="005545AF">
        <w:rPr>
          <w:lang w:val="en-CA"/>
        </w:rPr>
        <w:t>the</w:t>
      </w:r>
      <w:r w:rsidR="002802DA" w:rsidRPr="005545AF">
        <w:rPr>
          <w:lang w:val="en-CA"/>
        </w:rPr>
        <w:t xml:space="preserve"> </w:t>
      </w:r>
      <w:r w:rsidRPr="005545AF">
        <w:rPr>
          <w:lang w:val="en-CA"/>
        </w:rPr>
        <w:t>“</w:t>
      </w:r>
      <w:r w:rsidR="004A5D7E" w:rsidRPr="005545AF">
        <w:rPr>
          <w:b/>
          <w:bCs/>
          <w:lang w:val="en-CA"/>
        </w:rPr>
        <w:t>Impugned</w:t>
      </w:r>
      <w:r w:rsidR="00B70701" w:rsidRPr="005545AF">
        <w:rPr>
          <w:b/>
          <w:bCs/>
          <w:lang w:val="en-CA"/>
        </w:rPr>
        <w:t xml:space="preserve"> Post</w:t>
      </w:r>
      <w:r w:rsidRPr="005545AF">
        <w:rPr>
          <w:lang w:val="en-CA"/>
        </w:rPr>
        <w:t>”</w:t>
      </w:r>
      <w:r w:rsidR="002802DA" w:rsidRPr="005545AF">
        <w:rPr>
          <w:lang w:val="en-CA"/>
        </w:rPr>
        <w:t>)</w:t>
      </w:r>
      <w:r w:rsidRPr="005545AF">
        <w:rPr>
          <w:lang w:val="en-CA"/>
        </w:rPr>
        <w:t>:</w:t>
      </w:r>
      <w:r w:rsidR="002802DA" w:rsidRPr="005545AF">
        <w:rPr>
          <w:rStyle w:val="Appelnotedebasdep"/>
          <w:lang w:val="en-CA"/>
        </w:rPr>
        <w:footnoteReference w:id="5"/>
      </w:r>
      <w:r w:rsidR="002802DA" w:rsidRPr="005545AF">
        <w:rPr>
          <w:lang w:val="en-CA"/>
        </w:rPr>
        <w:t> </w:t>
      </w:r>
    </w:p>
    <w:p w14:paraId="41A79FC0" w14:textId="65786075" w:rsidR="002802DA" w:rsidRPr="005545AF" w:rsidRDefault="0079299C" w:rsidP="001F7377">
      <w:pPr>
        <w:pStyle w:val="CitationenretraitEN"/>
        <w:spacing w:line="240" w:lineRule="auto"/>
        <w:rPr>
          <w:b/>
          <w:bCs/>
        </w:rPr>
      </w:pPr>
      <w:r w:rsidRPr="005545AF">
        <w:rPr>
          <w:b/>
          <w:bCs/>
        </w:rPr>
        <w:t>[Company H]</w:t>
      </w:r>
      <w:r w:rsidR="002802DA" w:rsidRPr="005545AF">
        <w:rPr>
          <w:b/>
          <w:bCs/>
        </w:rPr>
        <w:t xml:space="preserve"> Con Artists, Unethical, Scammers, Frauds, Rip-offs, Pederasts New York New York</w:t>
      </w:r>
    </w:p>
    <w:p w14:paraId="56A87312" w14:textId="77777777" w:rsidR="002802DA" w:rsidRPr="005545AF" w:rsidRDefault="002802DA" w:rsidP="001F7377">
      <w:pPr>
        <w:pStyle w:val="CitationenretraitEN"/>
        <w:spacing w:line="240" w:lineRule="auto"/>
      </w:pPr>
      <w:r w:rsidRPr="005545AF">
        <w:t>[…]</w:t>
      </w:r>
    </w:p>
    <w:p w14:paraId="17537014" w14:textId="7473A877" w:rsidR="002802DA" w:rsidRPr="005545AF" w:rsidRDefault="0079299C" w:rsidP="001F7377">
      <w:pPr>
        <w:pStyle w:val="CitationenretraitEN"/>
        <w:spacing w:line="240" w:lineRule="auto"/>
      </w:pPr>
      <w:r w:rsidRPr="005545AF">
        <w:rPr>
          <w:b/>
          <w:bCs/>
        </w:rPr>
        <w:t xml:space="preserve">[Company H] </w:t>
      </w:r>
      <w:r w:rsidR="002802DA" w:rsidRPr="005545AF">
        <w:t xml:space="preserve">is a fraudulent company. It is run by two con artists, </w:t>
      </w:r>
      <w:r w:rsidRPr="005545AF">
        <w:t>M.N.</w:t>
      </w:r>
      <w:r w:rsidR="002802DA" w:rsidRPr="005545AF">
        <w:t xml:space="preserve"> and </w:t>
      </w:r>
      <w:r w:rsidRPr="005545AF">
        <w:t>A.B</w:t>
      </w:r>
      <w:r w:rsidR="002802DA" w:rsidRPr="005545AF">
        <w:t xml:space="preserve">. </w:t>
      </w:r>
      <w:r w:rsidRPr="005545AF">
        <w:t>A.B.</w:t>
      </w:r>
      <w:r w:rsidR="002802DA" w:rsidRPr="005545AF">
        <w:t xml:space="preserve"> was convicted of child molestation in 1984. These two pederasts now run an elaborate scam pretending to be commercial real estate brokers.</w:t>
      </w:r>
    </w:p>
    <w:p w14:paraId="76FF7060" w14:textId="77777777" w:rsidR="002802DA" w:rsidRPr="005545AF" w:rsidRDefault="002802DA" w:rsidP="001F7377">
      <w:pPr>
        <w:pStyle w:val="CitationenretraitEN"/>
        <w:spacing w:line="240" w:lineRule="auto"/>
      </w:pPr>
      <w:r w:rsidRPr="005545AF">
        <w:t>Do not work for this company! They are involved in numerous lawsuits for not paying former employers. They entice interns and recent college grads to work for them—promising large sums of money. These are lies. You will be fired when about to close your first deals.</w:t>
      </w:r>
    </w:p>
    <w:p w14:paraId="40870D29" w14:textId="77777777" w:rsidR="002802DA" w:rsidRPr="005545AF" w:rsidRDefault="002802DA" w:rsidP="001F7377">
      <w:pPr>
        <w:pStyle w:val="CitationenretraitEN"/>
        <w:spacing w:before="0" w:line="240" w:lineRule="auto"/>
      </w:pPr>
      <w:r w:rsidRPr="005545AF">
        <w:t>Do not hire this company! They change leases around to guarentee [</w:t>
      </w:r>
      <w:r w:rsidRPr="005545AF">
        <w:rPr>
          <w:i/>
          <w:iCs/>
        </w:rPr>
        <w:t>sic</w:t>
      </w:r>
      <w:r w:rsidRPr="005545AF">
        <w:t>] themselves more than double the common brokerage fee. These scammers are completely inept at what they are doing.</w:t>
      </w:r>
    </w:p>
    <w:p w14:paraId="1810A228" w14:textId="202EE070" w:rsidR="002802DA" w:rsidRPr="005545AF" w:rsidRDefault="0079299C" w:rsidP="001F7377">
      <w:pPr>
        <w:pStyle w:val="CitationenretraitEN"/>
        <w:spacing w:after="0" w:line="240" w:lineRule="auto"/>
      </w:pPr>
      <w:r w:rsidRPr="005545AF">
        <w:t>R.</w:t>
      </w:r>
    </w:p>
    <w:p w14:paraId="51299E37" w14:textId="77777777" w:rsidR="002802DA" w:rsidRPr="005545AF" w:rsidRDefault="002802DA" w:rsidP="001F7377">
      <w:pPr>
        <w:pStyle w:val="CitationenretraitEN"/>
        <w:spacing w:before="0" w:after="0" w:line="240" w:lineRule="auto"/>
      </w:pPr>
      <w:r w:rsidRPr="005545AF">
        <w:t>Brooklyn, New York</w:t>
      </w:r>
    </w:p>
    <w:p w14:paraId="44A77AF9" w14:textId="77777777" w:rsidR="002802DA" w:rsidRPr="005545AF" w:rsidRDefault="002802DA" w:rsidP="001F7377">
      <w:pPr>
        <w:pStyle w:val="CitationenretraitEN"/>
        <w:spacing w:before="0" w:line="240" w:lineRule="auto"/>
      </w:pPr>
      <w:r w:rsidRPr="005545AF">
        <w:t>U.S.A.</w:t>
      </w:r>
    </w:p>
    <w:p w14:paraId="682577E0" w14:textId="5A819663" w:rsidR="002802DA" w:rsidRPr="005545AF" w:rsidRDefault="00B70701" w:rsidP="001F7377">
      <w:pPr>
        <w:pStyle w:val="Paragraphe"/>
        <w:spacing w:line="240" w:lineRule="auto"/>
        <w:rPr>
          <w:lang w:val="en-CA"/>
        </w:rPr>
      </w:pPr>
      <w:r w:rsidRPr="005545AF">
        <w:rPr>
          <w:lang w:val="en-CA"/>
        </w:rPr>
        <w:t xml:space="preserve">The post was written by an ex-employee </w:t>
      </w:r>
      <w:r w:rsidR="005D56FA" w:rsidRPr="005545AF">
        <w:rPr>
          <w:lang w:val="en-CA"/>
        </w:rPr>
        <w:t xml:space="preserve">who was </w:t>
      </w:r>
      <w:r w:rsidRPr="005545AF">
        <w:rPr>
          <w:lang w:val="en-CA"/>
        </w:rPr>
        <w:t xml:space="preserve">in </w:t>
      </w:r>
      <w:r w:rsidR="005D56FA" w:rsidRPr="005545AF">
        <w:rPr>
          <w:lang w:val="en-CA"/>
        </w:rPr>
        <w:t>dispute</w:t>
      </w:r>
      <w:r w:rsidRPr="005545AF">
        <w:rPr>
          <w:lang w:val="en-CA"/>
        </w:rPr>
        <w:t xml:space="preserve"> with the real-estate firm following his </w:t>
      </w:r>
      <w:r w:rsidR="004343CF" w:rsidRPr="005545AF">
        <w:rPr>
          <w:lang w:val="en-CA"/>
        </w:rPr>
        <w:t>dismissal</w:t>
      </w:r>
      <w:r w:rsidR="002802DA" w:rsidRPr="005545AF">
        <w:rPr>
          <w:lang w:val="en-CA"/>
        </w:rPr>
        <w:t xml:space="preserve">. </w:t>
      </w:r>
      <w:r w:rsidRPr="005545AF">
        <w:rPr>
          <w:lang w:val="en-CA"/>
        </w:rPr>
        <w:t>In April</w:t>
      </w:r>
      <w:r w:rsidR="002802DA" w:rsidRPr="005545AF">
        <w:rPr>
          <w:lang w:val="en-CA"/>
        </w:rPr>
        <w:t xml:space="preserve"> 2007, </w:t>
      </w:r>
      <w:r w:rsidR="004343CF" w:rsidRPr="005545AF">
        <w:rPr>
          <w:lang w:val="en-CA"/>
        </w:rPr>
        <w:t>the appellant</w:t>
      </w:r>
      <w:r w:rsidR="002802DA" w:rsidRPr="005545AF">
        <w:rPr>
          <w:lang w:val="en-CA"/>
        </w:rPr>
        <w:t xml:space="preserve"> </w:t>
      </w:r>
      <w:r w:rsidRPr="005545AF">
        <w:rPr>
          <w:lang w:val="en-CA"/>
        </w:rPr>
        <w:t xml:space="preserve">discovered the </w:t>
      </w:r>
      <w:r w:rsidR="004A5D7E" w:rsidRPr="005545AF">
        <w:rPr>
          <w:lang w:val="en-CA"/>
        </w:rPr>
        <w:t>Impugned</w:t>
      </w:r>
      <w:r w:rsidRPr="005545AF">
        <w:rPr>
          <w:lang w:val="en-CA"/>
        </w:rPr>
        <w:t xml:space="preserve"> Post by “googling” his name</w:t>
      </w:r>
      <w:r w:rsidR="002802DA" w:rsidRPr="005545AF">
        <w:rPr>
          <w:lang w:val="en-CA"/>
        </w:rPr>
        <w:t xml:space="preserve">. </w:t>
      </w:r>
    </w:p>
    <w:p w14:paraId="0074A8EA" w14:textId="63BEE482" w:rsidR="002802DA" w:rsidRPr="005545AF" w:rsidRDefault="00B70701" w:rsidP="001F7377">
      <w:pPr>
        <w:pStyle w:val="Paragraphe"/>
        <w:spacing w:line="240" w:lineRule="auto"/>
        <w:rPr>
          <w:lang w:val="en-CA"/>
        </w:rPr>
      </w:pPr>
      <w:r w:rsidRPr="005545AF">
        <w:rPr>
          <w:lang w:val="en-CA"/>
        </w:rPr>
        <w:t>On April 26,</w:t>
      </w:r>
      <w:r w:rsidR="002802DA" w:rsidRPr="005545AF">
        <w:rPr>
          <w:lang w:val="en-CA"/>
        </w:rPr>
        <w:t xml:space="preserve"> 2007, </w:t>
      </w:r>
      <w:r w:rsidR="0079299C" w:rsidRPr="005545AF">
        <w:rPr>
          <w:lang w:val="en-CA"/>
        </w:rPr>
        <w:t>T.U.</w:t>
      </w:r>
      <w:r w:rsidR="002802DA" w:rsidRPr="005545AF">
        <w:rPr>
          <w:lang w:val="en-CA"/>
        </w:rPr>
        <w:t xml:space="preserve">, </w:t>
      </w:r>
      <w:r w:rsidRPr="005545AF">
        <w:rPr>
          <w:lang w:val="en-CA"/>
        </w:rPr>
        <w:t xml:space="preserve">a close friend of </w:t>
      </w:r>
      <w:r w:rsidR="005D56FA" w:rsidRPr="005545AF">
        <w:rPr>
          <w:lang w:val="en-CA"/>
        </w:rPr>
        <w:t>appellant</w:t>
      </w:r>
      <w:r w:rsidR="002802DA" w:rsidRPr="005545AF">
        <w:rPr>
          <w:lang w:val="en-CA"/>
        </w:rPr>
        <w:t xml:space="preserve">, </w:t>
      </w:r>
      <w:r w:rsidRPr="005545AF">
        <w:rPr>
          <w:lang w:val="en-CA"/>
        </w:rPr>
        <w:t>posted</w:t>
      </w:r>
      <w:r w:rsidR="005D56FA" w:rsidRPr="005545AF">
        <w:rPr>
          <w:lang w:val="en-CA"/>
        </w:rPr>
        <w:t xml:space="preserve"> a complete refutation of the allegations in</w:t>
      </w:r>
      <w:r w:rsidRPr="005545AF">
        <w:rPr>
          <w:lang w:val="en-CA"/>
        </w:rPr>
        <w:t xml:space="preserve"> </w:t>
      </w:r>
      <w:r w:rsidR="00C46799" w:rsidRPr="005545AF">
        <w:rPr>
          <w:lang w:val="en-CA"/>
        </w:rPr>
        <w:t xml:space="preserve">a </w:t>
      </w:r>
      <w:r w:rsidRPr="005545AF">
        <w:rPr>
          <w:lang w:val="en-CA"/>
        </w:rPr>
        <w:t xml:space="preserve">comment </w:t>
      </w:r>
      <w:r w:rsidR="00C46799" w:rsidRPr="005545AF">
        <w:rPr>
          <w:lang w:val="en-CA"/>
        </w:rPr>
        <w:t xml:space="preserve">under the </w:t>
      </w:r>
      <w:r w:rsidR="004A5D7E" w:rsidRPr="005545AF">
        <w:rPr>
          <w:lang w:val="en-CA"/>
        </w:rPr>
        <w:t>Impugned Post</w:t>
      </w:r>
      <w:r w:rsidR="002802DA" w:rsidRPr="005545AF">
        <w:rPr>
          <w:lang w:val="en-CA"/>
        </w:rPr>
        <w:t xml:space="preserve">. </w:t>
      </w:r>
      <w:r w:rsidR="00417B2E" w:rsidRPr="005545AF">
        <w:rPr>
          <w:lang w:val="en-CA"/>
        </w:rPr>
        <w:t>He</w:t>
      </w:r>
      <w:r w:rsidR="00C46799" w:rsidRPr="005545AF">
        <w:rPr>
          <w:lang w:val="en-CA"/>
        </w:rPr>
        <w:t xml:space="preserve"> also wrote to the content’s editor,</w:t>
      </w:r>
      <w:r w:rsidR="002802DA" w:rsidRPr="005545AF">
        <w:rPr>
          <w:lang w:val="en-CA"/>
        </w:rPr>
        <w:t xml:space="preserve"> </w:t>
      </w:r>
      <w:r w:rsidR="00417B2E" w:rsidRPr="005545AF">
        <w:rPr>
          <w:lang w:val="en-CA"/>
        </w:rPr>
        <w:t>asking him to remove the post, without success</w:t>
      </w:r>
      <w:r w:rsidR="002802DA" w:rsidRPr="005545AF">
        <w:rPr>
          <w:lang w:val="en-CA"/>
        </w:rPr>
        <w:t>.</w:t>
      </w:r>
    </w:p>
    <w:p w14:paraId="1680D900" w14:textId="19355C91" w:rsidR="002802DA" w:rsidRPr="005545AF" w:rsidRDefault="00BE0FB2" w:rsidP="001F7377">
      <w:pPr>
        <w:pStyle w:val="Paragraphe"/>
        <w:spacing w:line="240" w:lineRule="auto"/>
        <w:rPr>
          <w:lang w:val="en-CA"/>
        </w:rPr>
      </w:pPr>
      <w:r w:rsidRPr="005545AF">
        <w:rPr>
          <w:lang w:val="en-CA"/>
        </w:rPr>
        <w:t>Meanwhile</w:t>
      </w:r>
      <w:r w:rsidR="005D56FA" w:rsidRPr="005545AF">
        <w:rPr>
          <w:lang w:val="en-CA"/>
        </w:rPr>
        <w:t xml:space="preserve">, </w:t>
      </w:r>
      <w:r w:rsidR="009F53E5" w:rsidRPr="005545AF">
        <w:rPr>
          <w:lang w:val="en-CA"/>
        </w:rPr>
        <w:t>T.U.</w:t>
      </w:r>
      <w:r w:rsidR="002802DA" w:rsidRPr="005545AF">
        <w:rPr>
          <w:lang w:val="en-CA"/>
        </w:rPr>
        <w:t xml:space="preserve"> </w:t>
      </w:r>
      <w:r w:rsidR="00417B2E" w:rsidRPr="005545AF">
        <w:rPr>
          <w:lang w:val="en-CA"/>
        </w:rPr>
        <w:t>wrote to</w:t>
      </w:r>
      <w:r w:rsidR="002802DA" w:rsidRPr="005545AF">
        <w:rPr>
          <w:lang w:val="en-CA"/>
        </w:rPr>
        <w:t xml:space="preserve"> Google </w:t>
      </w:r>
      <w:r w:rsidR="005D56FA" w:rsidRPr="005545AF">
        <w:rPr>
          <w:lang w:val="en-CA"/>
        </w:rPr>
        <w:t>asking that</w:t>
      </w:r>
      <w:r w:rsidR="00417B2E" w:rsidRPr="005545AF">
        <w:rPr>
          <w:lang w:val="en-CA"/>
        </w:rPr>
        <w:t xml:space="preserve"> the </w:t>
      </w:r>
      <w:r w:rsidR="004A5D7E" w:rsidRPr="005545AF">
        <w:rPr>
          <w:lang w:val="en-CA"/>
        </w:rPr>
        <w:t>Impugned Post</w:t>
      </w:r>
      <w:r w:rsidR="00417B2E" w:rsidRPr="005545AF">
        <w:rPr>
          <w:lang w:val="en-CA"/>
        </w:rPr>
        <w:t xml:space="preserve"> </w:t>
      </w:r>
      <w:r w:rsidR="005D56FA" w:rsidRPr="005545AF">
        <w:rPr>
          <w:lang w:val="en-CA"/>
        </w:rPr>
        <w:t xml:space="preserve">be </w:t>
      </w:r>
      <w:r w:rsidR="00417B2E" w:rsidRPr="005545AF">
        <w:rPr>
          <w:lang w:val="en-CA"/>
        </w:rPr>
        <w:t>removed</w:t>
      </w:r>
      <w:r w:rsidR="002802DA" w:rsidRPr="005545AF">
        <w:rPr>
          <w:lang w:val="en-CA"/>
        </w:rPr>
        <w:t xml:space="preserve">. </w:t>
      </w:r>
      <w:r w:rsidR="00417B2E" w:rsidRPr="005545AF">
        <w:rPr>
          <w:lang w:val="en-CA"/>
        </w:rPr>
        <w:t xml:space="preserve">On May 29, </w:t>
      </w:r>
      <w:r w:rsidR="002802DA" w:rsidRPr="005545AF">
        <w:rPr>
          <w:lang w:val="en-CA"/>
        </w:rPr>
        <w:t xml:space="preserve">2007, </w:t>
      </w:r>
      <w:r w:rsidR="00417B2E" w:rsidRPr="005545AF">
        <w:rPr>
          <w:lang w:val="en-CA"/>
        </w:rPr>
        <w:t xml:space="preserve">Google replied by stating that it did not control the content of the billions of pages that it indexes, </w:t>
      </w:r>
      <w:r w:rsidRPr="005545AF">
        <w:rPr>
          <w:lang w:val="en-CA"/>
        </w:rPr>
        <w:t xml:space="preserve">it </w:t>
      </w:r>
      <w:r w:rsidR="00417B2E" w:rsidRPr="005545AF">
        <w:rPr>
          <w:lang w:val="en-CA"/>
        </w:rPr>
        <w:t>invoke</w:t>
      </w:r>
      <w:r w:rsidR="0078650E" w:rsidRPr="005545AF">
        <w:rPr>
          <w:lang w:val="en-CA"/>
        </w:rPr>
        <w:t>d its immunity under s.</w:t>
      </w:r>
      <w:r w:rsidR="00417B2E" w:rsidRPr="005545AF">
        <w:rPr>
          <w:lang w:val="en-CA"/>
        </w:rPr>
        <w:t xml:space="preserve"> </w:t>
      </w:r>
      <w:r w:rsidR="002802DA" w:rsidRPr="005545AF">
        <w:rPr>
          <w:lang w:val="en-CA"/>
        </w:rPr>
        <w:t xml:space="preserve"> 230(c) </w:t>
      </w:r>
      <w:r w:rsidR="0078650E" w:rsidRPr="005545AF">
        <w:rPr>
          <w:lang w:val="en-CA"/>
        </w:rPr>
        <w:t>of the</w:t>
      </w:r>
      <w:r w:rsidR="002802DA" w:rsidRPr="005545AF">
        <w:rPr>
          <w:lang w:val="en-CA"/>
        </w:rPr>
        <w:t xml:space="preserve"> </w:t>
      </w:r>
      <w:r w:rsidR="002802DA" w:rsidRPr="005545AF">
        <w:rPr>
          <w:i/>
          <w:iCs/>
          <w:lang w:val="en-CA"/>
        </w:rPr>
        <w:t>Communications Decency Act</w:t>
      </w:r>
      <w:r w:rsidR="002802DA" w:rsidRPr="005545AF">
        <w:rPr>
          <w:rStyle w:val="Appelnotedebasdep"/>
          <w:lang w:val="en-CA"/>
        </w:rPr>
        <w:footnoteReference w:id="6"/>
      </w:r>
      <w:r w:rsidR="002802DA" w:rsidRPr="005545AF">
        <w:rPr>
          <w:i/>
          <w:iCs/>
          <w:lang w:val="en-CA"/>
        </w:rPr>
        <w:t xml:space="preserve"> </w:t>
      </w:r>
      <w:r w:rsidR="002802DA" w:rsidRPr="005545AF">
        <w:rPr>
          <w:lang w:val="en-CA"/>
        </w:rPr>
        <w:t>(</w:t>
      </w:r>
      <w:r w:rsidR="0078650E" w:rsidRPr="005545AF">
        <w:rPr>
          <w:lang w:val="en-CA"/>
        </w:rPr>
        <w:t>“</w:t>
      </w:r>
      <w:r w:rsidR="002802DA" w:rsidRPr="005545AF">
        <w:rPr>
          <w:b/>
          <w:bCs/>
          <w:i/>
          <w:iCs/>
          <w:lang w:val="en-CA"/>
        </w:rPr>
        <w:t>CDA</w:t>
      </w:r>
      <w:r w:rsidR="0078650E" w:rsidRPr="005545AF">
        <w:rPr>
          <w:lang w:val="en-CA"/>
        </w:rPr>
        <w:t>”</w:t>
      </w:r>
      <w:r w:rsidR="002802DA" w:rsidRPr="005545AF">
        <w:rPr>
          <w:lang w:val="en-CA"/>
        </w:rPr>
        <w:t xml:space="preserve">) </w:t>
      </w:r>
      <w:r w:rsidR="0078650E" w:rsidRPr="005545AF">
        <w:rPr>
          <w:lang w:val="en-CA"/>
        </w:rPr>
        <w:t xml:space="preserve">and consequently refused to </w:t>
      </w:r>
      <w:r w:rsidR="00F54399" w:rsidRPr="005545AF">
        <w:rPr>
          <w:lang w:val="en-CA"/>
        </w:rPr>
        <w:t>remove</w:t>
      </w:r>
      <w:r w:rsidR="0078650E" w:rsidRPr="005545AF">
        <w:rPr>
          <w:lang w:val="en-CA"/>
        </w:rPr>
        <w:t xml:space="preserve"> the </w:t>
      </w:r>
      <w:r w:rsidR="004A5D7E" w:rsidRPr="005545AF">
        <w:rPr>
          <w:lang w:val="en-CA"/>
        </w:rPr>
        <w:t>Impugned Post</w:t>
      </w:r>
      <w:r w:rsidR="0078650E" w:rsidRPr="005545AF">
        <w:rPr>
          <w:lang w:val="en-CA"/>
        </w:rPr>
        <w:t>’s URL link</w:t>
      </w:r>
      <w:r w:rsidR="002802DA" w:rsidRPr="005545AF">
        <w:rPr>
          <w:lang w:val="en-CA"/>
        </w:rPr>
        <w:t>.</w:t>
      </w:r>
    </w:p>
    <w:p w14:paraId="68118D1F" w14:textId="053B9BF1" w:rsidR="002802DA" w:rsidRPr="005545AF" w:rsidRDefault="00402C59" w:rsidP="001F7377">
      <w:pPr>
        <w:pStyle w:val="Paragraphe"/>
        <w:spacing w:line="240" w:lineRule="auto"/>
        <w:rPr>
          <w:lang w:val="en-CA"/>
        </w:rPr>
      </w:pPr>
      <w:r w:rsidRPr="005545AF">
        <w:rPr>
          <w:lang w:val="en-CA"/>
        </w:rPr>
        <w:lastRenderedPageBreak/>
        <w:t>On August 10,</w:t>
      </w:r>
      <w:r w:rsidR="002802DA" w:rsidRPr="005545AF">
        <w:rPr>
          <w:lang w:val="en-CA"/>
        </w:rPr>
        <w:t xml:space="preserve"> 2007, </w:t>
      </w:r>
      <w:r w:rsidR="00BE0FB2" w:rsidRPr="005545AF">
        <w:rPr>
          <w:lang w:val="en-CA"/>
        </w:rPr>
        <w:t>the appellant</w:t>
      </w:r>
      <w:r w:rsidR="002802DA" w:rsidRPr="005545AF">
        <w:rPr>
          <w:lang w:val="en-CA"/>
        </w:rPr>
        <w:t xml:space="preserve"> </w:t>
      </w:r>
      <w:r w:rsidRPr="005545AF">
        <w:rPr>
          <w:lang w:val="en-CA"/>
        </w:rPr>
        <w:t xml:space="preserve">consulted a New York lawyer </w:t>
      </w:r>
      <w:r w:rsidR="00185A30" w:rsidRPr="005545AF">
        <w:rPr>
          <w:lang w:val="en-CA"/>
        </w:rPr>
        <w:t>for the purpose of</w:t>
      </w:r>
      <w:r w:rsidRPr="005545AF">
        <w:rPr>
          <w:lang w:val="en-CA"/>
        </w:rPr>
        <w:t xml:space="preserve"> commenc</w:t>
      </w:r>
      <w:r w:rsidR="00185A30" w:rsidRPr="005545AF">
        <w:rPr>
          <w:lang w:val="en-CA"/>
        </w:rPr>
        <w:t>ing</w:t>
      </w:r>
      <w:r w:rsidRPr="005545AF">
        <w:rPr>
          <w:lang w:val="en-CA"/>
        </w:rPr>
        <w:t xml:space="preserve"> defamation proceedings</w:t>
      </w:r>
      <w:r w:rsidR="002802DA" w:rsidRPr="005545AF">
        <w:rPr>
          <w:lang w:val="en-CA"/>
        </w:rPr>
        <w:t xml:space="preserve">. </w:t>
      </w:r>
      <w:r w:rsidRPr="005545AF">
        <w:rPr>
          <w:lang w:val="en-CA"/>
        </w:rPr>
        <w:t>On November</w:t>
      </w:r>
      <w:r w:rsidR="002802DA" w:rsidRPr="005545AF">
        <w:rPr>
          <w:lang w:val="en-CA"/>
        </w:rPr>
        <w:t xml:space="preserve"> 16</w:t>
      </w:r>
      <w:r w:rsidRPr="005545AF">
        <w:rPr>
          <w:lang w:val="en-CA"/>
        </w:rPr>
        <w:t>,</w:t>
      </w:r>
      <w:r w:rsidR="002802DA" w:rsidRPr="005545AF">
        <w:rPr>
          <w:lang w:val="en-CA"/>
        </w:rPr>
        <w:t xml:space="preserve"> 2007, </w:t>
      </w:r>
      <w:r w:rsidRPr="005545AF">
        <w:rPr>
          <w:lang w:val="en-CA"/>
        </w:rPr>
        <w:t>the lawyer informed him that any action against the author of the content was time-barred</w:t>
      </w:r>
      <w:r w:rsidR="002802DA" w:rsidRPr="005545AF">
        <w:rPr>
          <w:lang w:val="en-CA"/>
        </w:rPr>
        <w:t xml:space="preserve"> </w:t>
      </w:r>
      <w:r w:rsidRPr="005545AF">
        <w:rPr>
          <w:lang w:val="en-CA"/>
        </w:rPr>
        <w:t xml:space="preserve">because, under New York law, it had to be brought within one year of the </w:t>
      </w:r>
      <w:r w:rsidR="00185A30" w:rsidRPr="005545AF">
        <w:rPr>
          <w:lang w:val="en-CA"/>
        </w:rPr>
        <w:t xml:space="preserve">appearance of the </w:t>
      </w:r>
      <w:r w:rsidR="00BE0FB2" w:rsidRPr="005545AF">
        <w:rPr>
          <w:lang w:val="en-CA"/>
        </w:rPr>
        <w:t>post</w:t>
      </w:r>
      <w:r w:rsidR="002802DA" w:rsidRPr="005545AF">
        <w:rPr>
          <w:lang w:val="en-CA"/>
        </w:rPr>
        <w:t xml:space="preserve">, </w:t>
      </w:r>
      <w:r w:rsidRPr="005545AF">
        <w:rPr>
          <w:lang w:val="en-CA"/>
        </w:rPr>
        <w:t>i.e.</w:t>
      </w:r>
      <w:r w:rsidR="00BE0FB2" w:rsidRPr="005545AF">
        <w:rPr>
          <w:lang w:val="en-CA"/>
        </w:rPr>
        <w:t>,</w:t>
      </w:r>
      <w:r w:rsidRPr="005545AF">
        <w:rPr>
          <w:lang w:val="en-CA"/>
        </w:rPr>
        <w:t xml:space="preserve"> </w:t>
      </w:r>
      <w:r w:rsidR="00BE0FB2" w:rsidRPr="005545AF">
        <w:rPr>
          <w:lang w:val="en-CA"/>
        </w:rPr>
        <w:t>no later than</w:t>
      </w:r>
      <w:r w:rsidRPr="005545AF">
        <w:rPr>
          <w:lang w:val="en-CA"/>
        </w:rPr>
        <w:t xml:space="preserve"> April 5,</w:t>
      </w:r>
      <w:r w:rsidR="002802DA" w:rsidRPr="005545AF">
        <w:rPr>
          <w:lang w:val="en-CA"/>
        </w:rPr>
        <w:t xml:space="preserve"> 2007. </w:t>
      </w:r>
      <w:r w:rsidRPr="005545AF">
        <w:rPr>
          <w:lang w:val="en-CA"/>
        </w:rPr>
        <w:t xml:space="preserve">As for any </w:t>
      </w:r>
      <w:r w:rsidR="00185A30" w:rsidRPr="005545AF">
        <w:rPr>
          <w:lang w:val="en-CA"/>
        </w:rPr>
        <w:t>proceedings</w:t>
      </w:r>
      <w:r w:rsidRPr="005545AF">
        <w:rPr>
          <w:lang w:val="en-CA"/>
        </w:rPr>
        <w:t xml:space="preserve"> against</w:t>
      </w:r>
      <w:r w:rsidR="002802DA" w:rsidRPr="005545AF">
        <w:rPr>
          <w:lang w:val="en-CA"/>
        </w:rPr>
        <w:t xml:space="preserve"> Google, </w:t>
      </w:r>
      <w:r w:rsidR="00185A30" w:rsidRPr="005545AF">
        <w:rPr>
          <w:lang w:val="en-CA"/>
        </w:rPr>
        <w:t>they were</w:t>
      </w:r>
      <w:r w:rsidRPr="005545AF">
        <w:rPr>
          <w:lang w:val="en-CA"/>
        </w:rPr>
        <w:t xml:space="preserve"> barred by the immunity conferred by s.</w:t>
      </w:r>
      <w:r w:rsidR="002802DA" w:rsidRPr="005545AF">
        <w:rPr>
          <w:lang w:val="en-CA"/>
        </w:rPr>
        <w:t xml:space="preserve"> 230(c)(1) </w:t>
      </w:r>
      <w:r w:rsidR="002802DA" w:rsidRPr="005545AF">
        <w:rPr>
          <w:i/>
          <w:iCs/>
          <w:lang w:val="en-CA"/>
        </w:rPr>
        <w:t>CDA</w:t>
      </w:r>
      <w:r w:rsidR="002802DA" w:rsidRPr="005545AF">
        <w:rPr>
          <w:lang w:val="en-CA"/>
        </w:rPr>
        <w:t xml:space="preserve">. </w:t>
      </w:r>
      <w:r w:rsidR="00BE0FB2" w:rsidRPr="005545AF">
        <w:rPr>
          <w:lang w:val="en-CA"/>
        </w:rPr>
        <w:t>The appellant therefore</w:t>
      </w:r>
      <w:r w:rsidR="002802DA" w:rsidRPr="005545AF">
        <w:rPr>
          <w:lang w:val="en-CA"/>
        </w:rPr>
        <w:t xml:space="preserve"> </w:t>
      </w:r>
      <w:r w:rsidR="00185A30" w:rsidRPr="005545AF">
        <w:rPr>
          <w:lang w:val="en-CA"/>
        </w:rPr>
        <w:t xml:space="preserve">did not commence any proceedings against the editor nor against the </w:t>
      </w:r>
      <w:r w:rsidR="004A5D7E" w:rsidRPr="005545AF">
        <w:rPr>
          <w:lang w:val="en-CA"/>
        </w:rPr>
        <w:t>Impugned Post</w:t>
      </w:r>
      <w:r w:rsidR="00185A30" w:rsidRPr="005545AF">
        <w:rPr>
          <w:lang w:val="en-CA"/>
        </w:rPr>
        <w:t xml:space="preserve"> in the United States</w:t>
      </w:r>
      <w:r w:rsidR="002802DA" w:rsidRPr="005545AF">
        <w:rPr>
          <w:lang w:val="en-CA"/>
        </w:rPr>
        <w:t xml:space="preserve">. </w:t>
      </w:r>
    </w:p>
    <w:p w14:paraId="045FC57B" w14:textId="381046AC" w:rsidR="002802DA" w:rsidRPr="005545AF" w:rsidRDefault="00185A30" w:rsidP="001F7377">
      <w:pPr>
        <w:pStyle w:val="Paragraphe"/>
        <w:spacing w:line="240" w:lineRule="auto"/>
        <w:rPr>
          <w:lang w:val="en-CA"/>
        </w:rPr>
      </w:pPr>
      <w:r w:rsidRPr="005545AF">
        <w:rPr>
          <w:lang w:val="en-CA"/>
        </w:rPr>
        <w:t>On April 30,</w:t>
      </w:r>
      <w:r w:rsidR="002802DA" w:rsidRPr="005545AF">
        <w:rPr>
          <w:lang w:val="en-CA"/>
        </w:rPr>
        <w:t xml:space="preserve"> 2009, </w:t>
      </w:r>
      <w:r w:rsidRPr="005545AF">
        <w:rPr>
          <w:lang w:val="en-CA"/>
        </w:rPr>
        <w:t>the Royal Canadian Mounted Police</w:t>
      </w:r>
      <w:r w:rsidR="002802DA" w:rsidRPr="005545AF">
        <w:rPr>
          <w:lang w:val="en-CA"/>
        </w:rPr>
        <w:t xml:space="preserve"> certifie</w:t>
      </w:r>
      <w:r w:rsidRPr="005545AF">
        <w:rPr>
          <w:lang w:val="en-CA"/>
        </w:rPr>
        <w:t>d that</w:t>
      </w:r>
      <w:r w:rsidR="002802DA" w:rsidRPr="005545AF">
        <w:rPr>
          <w:lang w:val="en-CA"/>
        </w:rPr>
        <w:t xml:space="preserve"> </w:t>
      </w:r>
      <w:r w:rsidR="00BE0FB2" w:rsidRPr="005545AF">
        <w:rPr>
          <w:lang w:val="en-CA"/>
        </w:rPr>
        <w:t>the appellant</w:t>
      </w:r>
      <w:r w:rsidR="002802DA" w:rsidRPr="005545AF">
        <w:rPr>
          <w:lang w:val="en-CA"/>
        </w:rPr>
        <w:t xml:space="preserve"> </w:t>
      </w:r>
      <w:r w:rsidRPr="005545AF">
        <w:rPr>
          <w:lang w:val="en-CA"/>
        </w:rPr>
        <w:t xml:space="preserve">had </w:t>
      </w:r>
      <w:r w:rsidR="009C55FD" w:rsidRPr="005545AF">
        <w:rPr>
          <w:lang w:val="en-CA"/>
        </w:rPr>
        <w:t>not been convicted of any criminal offence</w:t>
      </w:r>
      <w:r w:rsidR="002802DA" w:rsidRPr="005545AF">
        <w:rPr>
          <w:lang w:val="en-CA"/>
        </w:rPr>
        <w:t xml:space="preserve">. </w:t>
      </w:r>
      <w:r w:rsidRPr="005545AF">
        <w:rPr>
          <w:lang w:val="en-CA"/>
        </w:rPr>
        <w:t>Th</w:t>
      </w:r>
      <w:r w:rsidR="00F54399" w:rsidRPr="005545AF">
        <w:rPr>
          <w:lang w:val="en-CA"/>
        </w:rPr>
        <w:t>at</w:t>
      </w:r>
      <w:r w:rsidRPr="005545AF">
        <w:rPr>
          <w:lang w:val="en-CA"/>
        </w:rPr>
        <w:t xml:space="preserve"> same day, </w:t>
      </w:r>
      <w:r w:rsidR="009C55FD" w:rsidRPr="005545AF">
        <w:rPr>
          <w:lang w:val="en-CA"/>
        </w:rPr>
        <w:t>the latter</w:t>
      </w:r>
      <w:r w:rsidRPr="005545AF">
        <w:rPr>
          <w:lang w:val="en-CA"/>
        </w:rPr>
        <w:t xml:space="preserve"> once again asked Google to de-index</w:t>
      </w:r>
      <w:r w:rsidR="002802DA" w:rsidRPr="005545AF">
        <w:rPr>
          <w:lang w:val="en-CA"/>
        </w:rPr>
        <w:t xml:space="preserve"> ripoffreport.com</w:t>
      </w:r>
      <w:r w:rsidRPr="005545AF">
        <w:rPr>
          <w:lang w:val="en-CA"/>
        </w:rPr>
        <w:t>’s URL</w:t>
      </w:r>
      <w:r w:rsidR="002802DA" w:rsidRPr="005545AF">
        <w:rPr>
          <w:lang w:val="en-CA"/>
        </w:rPr>
        <w:t xml:space="preserve">, </w:t>
      </w:r>
      <w:r w:rsidRPr="005545AF">
        <w:rPr>
          <w:lang w:val="en-CA"/>
        </w:rPr>
        <w:t xml:space="preserve">alleging </w:t>
      </w:r>
      <w:r w:rsidR="009C55FD" w:rsidRPr="005545AF">
        <w:rPr>
          <w:lang w:val="en-CA"/>
        </w:rPr>
        <w:t>a violation of</w:t>
      </w:r>
      <w:r w:rsidRPr="005545AF">
        <w:rPr>
          <w:lang w:val="en-CA"/>
        </w:rPr>
        <w:t xml:space="preserve"> Canadian and Quebec laws</w:t>
      </w:r>
      <w:r w:rsidR="002802DA" w:rsidRPr="005545AF">
        <w:rPr>
          <w:lang w:val="en-CA"/>
        </w:rPr>
        <w:t>.</w:t>
      </w:r>
      <w:r w:rsidR="002802DA" w:rsidRPr="005545AF">
        <w:rPr>
          <w:i/>
          <w:iCs/>
          <w:lang w:val="en-CA"/>
        </w:rPr>
        <w:t xml:space="preserve"> </w:t>
      </w:r>
      <w:r w:rsidRPr="005545AF">
        <w:rPr>
          <w:lang w:val="en-CA"/>
        </w:rPr>
        <w:t>On May 8,</w:t>
      </w:r>
      <w:r w:rsidR="002802DA" w:rsidRPr="005545AF">
        <w:rPr>
          <w:lang w:val="en-CA"/>
        </w:rPr>
        <w:t xml:space="preserve"> 2009, Google informe</w:t>
      </w:r>
      <w:r w:rsidRPr="005545AF">
        <w:rPr>
          <w:lang w:val="en-CA"/>
        </w:rPr>
        <w:t>d</w:t>
      </w:r>
      <w:r w:rsidR="002802DA" w:rsidRPr="005545AF">
        <w:rPr>
          <w:lang w:val="en-CA"/>
        </w:rPr>
        <w:t xml:space="preserve"> </w:t>
      </w:r>
      <w:r w:rsidR="009C55FD" w:rsidRPr="005545AF">
        <w:rPr>
          <w:lang w:val="en-CA"/>
        </w:rPr>
        <w:t>the appellant</w:t>
      </w:r>
      <w:r w:rsidR="002802DA" w:rsidRPr="005545AF">
        <w:rPr>
          <w:lang w:val="en-CA"/>
        </w:rPr>
        <w:t xml:space="preserve"> </w:t>
      </w:r>
      <w:r w:rsidRPr="005545AF">
        <w:rPr>
          <w:lang w:val="en-CA"/>
        </w:rPr>
        <w:t xml:space="preserve">that it had </w:t>
      </w:r>
      <w:r w:rsidR="00F54399" w:rsidRPr="005545AF">
        <w:rPr>
          <w:lang w:val="en-CA"/>
        </w:rPr>
        <w:t>remov</w:t>
      </w:r>
      <w:r w:rsidRPr="005545AF">
        <w:rPr>
          <w:lang w:val="en-CA"/>
        </w:rPr>
        <w:t xml:space="preserve">ed the </w:t>
      </w:r>
      <w:r w:rsidR="009C55FD" w:rsidRPr="005545AF">
        <w:rPr>
          <w:lang w:val="en-CA"/>
        </w:rPr>
        <w:t>reference</w:t>
      </w:r>
      <w:r w:rsidRPr="005545AF">
        <w:rPr>
          <w:lang w:val="en-CA"/>
        </w:rPr>
        <w:t xml:space="preserve"> to the URL link on its Canadian platform only</w:t>
      </w:r>
      <w:r w:rsidR="002802DA" w:rsidRPr="005545AF">
        <w:rPr>
          <w:lang w:val="en-CA"/>
        </w:rPr>
        <w:t xml:space="preserve">. </w:t>
      </w:r>
      <w:r w:rsidRPr="005545AF">
        <w:rPr>
          <w:lang w:val="en-CA"/>
        </w:rPr>
        <w:t xml:space="preserve">The </w:t>
      </w:r>
      <w:r w:rsidR="009C55FD" w:rsidRPr="005545AF">
        <w:rPr>
          <w:lang w:val="en-CA"/>
        </w:rPr>
        <w:t>reference</w:t>
      </w:r>
      <w:r w:rsidRPr="005545AF">
        <w:rPr>
          <w:lang w:val="en-CA"/>
        </w:rPr>
        <w:t xml:space="preserve"> to the</w:t>
      </w:r>
      <w:r w:rsidR="002802DA" w:rsidRPr="005545AF">
        <w:rPr>
          <w:lang w:val="en-CA"/>
        </w:rPr>
        <w:t xml:space="preserve"> URL </w:t>
      </w:r>
      <w:r w:rsidRPr="005545AF">
        <w:rPr>
          <w:lang w:val="en-CA"/>
        </w:rPr>
        <w:t xml:space="preserve">link reappeared in </w:t>
      </w:r>
      <w:r w:rsidR="002802DA" w:rsidRPr="005545AF">
        <w:rPr>
          <w:lang w:val="en-CA"/>
        </w:rPr>
        <w:t xml:space="preserve">2009 </w:t>
      </w:r>
      <w:r w:rsidR="00F54399" w:rsidRPr="005545AF">
        <w:rPr>
          <w:lang w:val="en-CA"/>
        </w:rPr>
        <w:t>and</w:t>
      </w:r>
      <w:r w:rsidR="002802DA" w:rsidRPr="005545AF">
        <w:rPr>
          <w:lang w:val="en-CA"/>
        </w:rPr>
        <w:t xml:space="preserve"> 2011 </w:t>
      </w:r>
      <w:r w:rsidR="00F54399" w:rsidRPr="005545AF">
        <w:rPr>
          <w:lang w:val="en-CA"/>
        </w:rPr>
        <w:t>and</w:t>
      </w:r>
      <w:r w:rsidR="002802DA" w:rsidRPr="005545AF">
        <w:rPr>
          <w:lang w:val="en-CA"/>
        </w:rPr>
        <w:t xml:space="preserve"> Google </w:t>
      </w:r>
      <w:r w:rsidR="00F54399" w:rsidRPr="005545AF">
        <w:rPr>
          <w:lang w:val="en-CA"/>
        </w:rPr>
        <w:t xml:space="preserve">proceeded </w:t>
      </w:r>
      <w:r w:rsidR="00556274" w:rsidRPr="005545AF">
        <w:rPr>
          <w:lang w:val="en-CA"/>
        </w:rPr>
        <w:t xml:space="preserve">each time </w:t>
      </w:r>
      <w:r w:rsidR="00F54399" w:rsidRPr="005545AF">
        <w:rPr>
          <w:lang w:val="en-CA"/>
        </w:rPr>
        <w:t xml:space="preserve">to its removal </w:t>
      </w:r>
      <w:r w:rsidR="009C55FD" w:rsidRPr="005545AF">
        <w:rPr>
          <w:lang w:val="en-CA"/>
        </w:rPr>
        <w:t>at the appellant’s request</w:t>
      </w:r>
      <w:r w:rsidR="002802DA" w:rsidRPr="005545AF">
        <w:rPr>
          <w:lang w:val="en-CA"/>
        </w:rPr>
        <w:t xml:space="preserve">. </w:t>
      </w:r>
    </w:p>
    <w:p w14:paraId="6927A7FE" w14:textId="42833219" w:rsidR="002802DA" w:rsidRPr="005545AF" w:rsidRDefault="00F54399" w:rsidP="001F7377">
      <w:pPr>
        <w:pStyle w:val="Paragraphe"/>
        <w:spacing w:line="240" w:lineRule="auto"/>
        <w:rPr>
          <w:lang w:val="en-CA"/>
        </w:rPr>
      </w:pPr>
      <w:r w:rsidRPr="005545AF">
        <w:rPr>
          <w:lang w:val="en-CA"/>
        </w:rPr>
        <w:t>In</w:t>
      </w:r>
      <w:r w:rsidR="002802DA" w:rsidRPr="005545AF">
        <w:rPr>
          <w:lang w:val="en-CA"/>
        </w:rPr>
        <w:t xml:space="preserve"> 2010, </w:t>
      </w:r>
      <w:r w:rsidR="00556274" w:rsidRPr="005545AF">
        <w:rPr>
          <w:lang w:val="en-CA"/>
        </w:rPr>
        <w:t>the appellant</w:t>
      </w:r>
      <w:r w:rsidR="002802DA" w:rsidRPr="005545AF">
        <w:rPr>
          <w:lang w:val="en-CA"/>
        </w:rPr>
        <w:t xml:space="preserve"> </w:t>
      </w:r>
      <w:r w:rsidRPr="005545AF">
        <w:rPr>
          <w:lang w:val="en-CA"/>
        </w:rPr>
        <w:t>moved back to</w:t>
      </w:r>
      <w:r w:rsidR="00F8390B">
        <w:rPr>
          <w:lang w:val="en-CA"/>
        </w:rPr>
        <w:t xml:space="preserve"> the Province of</w:t>
      </w:r>
      <w:r w:rsidRPr="005545AF">
        <w:rPr>
          <w:lang w:val="en-CA"/>
        </w:rPr>
        <w:t xml:space="preserve"> </w:t>
      </w:r>
      <w:r w:rsidR="00E267CE">
        <w:rPr>
          <w:lang w:val="en-CA"/>
        </w:rPr>
        <w:t>Quebec</w:t>
      </w:r>
      <w:r w:rsidR="002802DA" w:rsidRPr="005545AF">
        <w:rPr>
          <w:lang w:val="en-CA"/>
        </w:rPr>
        <w:t>.</w:t>
      </w:r>
    </w:p>
    <w:p w14:paraId="3164B0D6" w14:textId="7DB236B6" w:rsidR="002802DA" w:rsidRPr="005545AF" w:rsidRDefault="002802DA" w:rsidP="001F7377">
      <w:pPr>
        <w:pStyle w:val="Paragraphe"/>
        <w:spacing w:line="240" w:lineRule="auto"/>
        <w:rPr>
          <w:lang w:val="en-CA"/>
        </w:rPr>
      </w:pPr>
      <w:r w:rsidRPr="005545AF">
        <w:rPr>
          <w:lang w:val="en-CA"/>
        </w:rPr>
        <w:t> </w:t>
      </w:r>
      <w:r w:rsidR="00F54399" w:rsidRPr="005545AF">
        <w:rPr>
          <w:lang w:val="en-CA"/>
        </w:rPr>
        <w:t>On October 19,</w:t>
      </w:r>
      <w:r w:rsidRPr="005545AF">
        <w:rPr>
          <w:lang w:val="en-CA"/>
        </w:rPr>
        <w:t xml:space="preserve"> 2011, </w:t>
      </w:r>
      <w:r w:rsidR="00F54399" w:rsidRPr="005545AF">
        <w:rPr>
          <w:lang w:val="en-CA"/>
        </w:rPr>
        <w:t>the Supreme Court of</w:t>
      </w:r>
      <w:r w:rsidRPr="005545AF">
        <w:rPr>
          <w:lang w:val="en-CA"/>
        </w:rPr>
        <w:t xml:space="preserve"> Canada </w:t>
      </w:r>
      <w:r w:rsidR="00F54399" w:rsidRPr="005545AF">
        <w:rPr>
          <w:lang w:val="en-CA"/>
        </w:rPr>
        <w:t>rendered</w:t>
      </w:r>
      <w:r w:rsidR="001F185C" w:rsidRPr="005545AF">
        <w:rPr>
          <w:lang w:val="en-CA"/>
        </w:rPr>
        <w:t xml:space="preserve"> its decision in</w:t>
      </w:r>
      <w:r w:rsidRPr="005545AF">
        <w:rPr>
          <w:lang w:val="en-CA"/>
        </w:rPr>
        <w:t xml:space="preserve"> </w:t>
      </w:r>
      <w:r w:rsidRPr="005545AF">
        <w:rPr>
          <w:i/>
          <w:iCs/>
          <w:lang w:val="en-CA"/>
        </w:rPr>
        <w:t xml:space="preserve">Crookes. </w:t>
      </w:r>
      <w:r w:rsidR="00F54399" w:rsidRPr="005545AF">
        <w:rPr>
          <w:lang w:val="en-CA"/>
        </w:rPr>
        <w:t>On December 9,</w:t>
      </w:r>
      <w:r w:rsidRPr="005545AF">
        <w:rPr>
          <w:lang w:val="en-CA"/>
        </w:rPr>
        <w:t xml:space="preserve"> 2015, </w:t>
      </w:r>
      <w:r w:rsidR="00556274" w:rsidRPr="005545AF">
        <w:rPr>
          <w:lang w:val="en-CA"/>
        </w:rPr>
        <w:t>the appellant</w:t>
      </w:r>
      <w:r w:rsidR="00F54399" w:rsidRPr="005545AF">
        <w:rPr>
          <w:lang w:val="en-CA"/>
        </w:rPr>
        <w:t>’s lawyers</w:t>
      </w:r>
      <w:r w:rsidRPr="005545AF">
        <w:rPr>
          <w:lang w:val="en-CA"/>
        </w:rPr>
        <w:t xml:space="preserve"> contact</w:t>
      </w:r>
      <w:r w:rsidR="00F54399" w:rsidRPr="005545AF">
        <w:rPr>
          <w:lang w:val="en-CA"/>
        </w:rPr>
        <w:t>ed</w:t>
      </w:r>
      <w:r w:rsidRPr="005545AF">
        <w:rPr>
          <w:lang w:val="en-CA"/>
        </w:rPr>
        <w:t xml:space="preserve"> Google</w:t>
      </w:r>
      <w:r w:rsidR="00F54399" w:rsidRPr="005545AF">
        <w:rPr>
          <w:lang w:val="en-CA"/>
        </w:rPr>
        <w:t xml:space="preserve"> to inform it that the </w:t>
      </w:r>
      <w:r w:rsidRPr="005545AF">
        <w:rPr>
          <w:lang w:val="en-CA"/>
        </w:rPr>
        <w:t xml:space="preserve">URL </w:t>
      </w:r>
      <w:r w:rsidR="00F54399" w:rsidRPr="005545AF">
        <w:rPr>
          <w:lang w:val="en-CA"/>
        </w:rPr>
        <w:t>link had reappeared and asked it to remove it once again</w:t>
      </w:r>
      <w:r w:rsidRPr="005545AF">
        <w:rPr>
          <w:lang w:val="en-CA"/>
        </w:rPr>
        <w:t xml:space="preserve">. </w:t>
      </w:r>
      <w:r w:rsidR="00F54399" w:rsidRPr="005545AF">
        <w:rPr>
          <w:lang w:val="en-CA"/>
        </w:rPr>
        <w:t>On December 21, 2015, Google replied that in accordance with its policies</w:t>
      </w:r>
      <w:r w:rsidRPr="005545AF">
        <w:rPr>
          <w:lang w:val="en-CA"/>
        </w:rPr>
        <w:t xml:space="preserve"> – </w:t>
      </w:r>
      <w:r w:rsidR="00F54399" w:rsidRPr="005545AF">
        <w:rPr>
          <w:lang w:val="en-CA"/>
        </w:rPr>
        <w:t xml:space="preserve">and, presumably, in accordance with its understanding of the state of the law following </w:t>
      </w:r>
      <w:r w:rsidRPr="005545AF">
        <w:rPr>
          <w:i/>
          <w:iCs/>
          <w:lang w:val="en-CA"/>
        </w:rPr>
        <w:t>Crookes</w:t>
      </w:r>
      <w:r w:rsidRPr="005545AF">
        <w:rPr>
          <w:lang w:val="en-CA"/>
        </w:rPr>
        <w:t xml:space="preserve"> –</w:t>
      </w:r>
      <w:r w:rsidR="00F54399" w:rsidRPr="005545AF">
        <w:rPr>
          <w:lang w:val="en-CA"/>
        </w:rPr>
        <w:t xml:space="preserve"> it agreed to remove </w:t>
      </w:r>
      <w:r w:rsidR="001F185C" w:rsidRPr="005545AF">
        <w:rPr>
          <w:lang w:val="en-CA"/>
        </w:rPr>
        <w:t xml:space="preserve">the </w:t>
      </w:r>
      <w:r w:rsidRPr="005545AF">
        <w:rPr>
          <w:lang w:val="en-CA"/>
        </w:rPr>
        <w:t xml:space="preserve">cache, </w:t>
      </w:r>
      <w:r w:rsidR="001F185C" w:rsidRPr="005545AF">
        <w:rPr>
          <w:lang w:val="en-CA"/>
        </w:rPr>
        <w:t>the</w:t>
      </w:r>
      <w:r w:rsidRPr="005545AF">
        <w:rPr>
          <w:lang w:val="en-CA"/>
        </w:rPr>
        <w:t xml:space="preserve"> </w:t>
      </w:r>
      <w:r w:rsidR="001F185C" w:rsidRPr="005545AF">
        <w:rPr>
          <w:lang w:val="en-CA"/>
        </w:rPr>
        <w:t>title</w:t>
      </w:r>
      <w:r w:rsidRPr="005545AF">
        <w:rPr>
          <w:lang w:val="en-CA"/>
        </w:rPr>
        <w:t xml:space="preserve"> </w:t>
      </w:r>
      <w:r w:rsidR="001F185C" w:rsidRPr="005545AF">
        <w:rPr>
          <w:lang w:val="en-CA"/>
        </w:rPr>
        <w:t>and the</w:t>
      </w:r>
      <w:r w:rsidRPr="005545AF">
        <w:rPr>
          <w:lang w:val="en-CA"/>
        </w:rPr>
        <w:t xml:space="preserve"> </w:t>
      </w:r>
      <w:r w:rsidR="001F185C" w:rsidRPr="005545AF">
        <w:rPr>
          <w:lang w:val="en-CA"/>
        </w:rPr>
        <w:t>snippet surrounding the</w:t>
      </w:r>
      <w:r w:rsidRPr="005545AF">
        <w:rPr>
          <w:lang w:val="en-CA"/>
        </w:rPr>
        <w:t xml:space="preserve"> URL</w:t>
      </w:r>
      <w:r w:rsidR="001F185C" w:rsidRPr="005545AF">
        <w:rPr>
          <w:lang w:val="en-CA"/>
        </w:rPr>
        <w:t xml:space="preserve"> link</w:t>
      </w:r>
      <w:r w:rsidRPr="005545AF">
        <w:rPr>
          <w:lang w:val="en-CA"/>
        </w:rPr>
        <w:t xml:space="preserve">, </w:t>
      </w:r>
      <w:r w:rsidR="001F185C" w:rsidRPr="005545AF">
        <w:rPr>
          <w:lang w:val="en-CA"/>
        </w:rPr>
        <w:t xml:space="preserve">but </w:t>
      </w:r>
      <w:r w:rsidR="00556274" w:rsidRPr="005545AF">
        <w:rPr>
          <w:lang w:val="en-CA"/>
        </w:rPr>
        <w:t>was</w:t>
      </w:r>
      <w:r w:rsidR="001F185C" w:rsidRPr="005545AF">
        <w:rPr>
          <w:lang w:val="en-CA"/>
        </w:rPr>
        <w:t xml:space="preserve"> no longer de-index</w:t>
      </w:r>
      <w:r w:rsidR="00556274" w:rsidRPr="005545AF">
        <w:rPr>
          <w:lang w:val="en-CA"/>
        </w:rPr>
        <w:t>ing</w:t>
      </w:r>
      <w:r w:rsidR="001F185C" w:rsidRPr="005545AF">
        <w:rPr>
          <w:lang w:val="en-CA"/>
        </w:rPr>
        <w:t xml:space="preserve"> the link itself (</w:t>
      </w:r>
      <w:r w:rsidR="00556274" w:rsidRPr="005545AF">
        <w:rPr>
          <w:lang w:val="en-CA"/>
        </w:rPr>
        <w:t xml:space="preserve">i.e., the </w:t>
      </w:r>
      <w:r w:rsidR="001F185C" w:rsidRPr="005545AF">
        <w:rPr>
          <w:lang w:val="en-CA"/>
        </w:rPr>
        <w:t xml:space="preserve">bare link) to the </w:t>
      </w:r>
      <w:r w:rsidR="004A5D7E" w:rsidRPr="005545AF">
        <w:rPr>
          <w:lang w:val="en-CA"/>
        </w:rPr>
        <w:t>Impugned Post</w:t>
      </w:r>
      <w:r w:rsidRPr="005545AF">
        <w:rPr>
          <w:lang w:val="en-CA"/>
        </w:rPr>
        <w:t xml:space="preserve">. </w:t>
      </w:r>
    </w:p>
    <w:p w14:paraId="7EE0DB5A" w14:textId="7E847F92" w:rsidR="002802DA" w:rsidRPr="005545AF" w:rsidRDefault="001F185C" w:rsidP="001F7377">
      <w:pPr>
        <w:pStyle w:val="Paragraphe"/>
        <w:spacing w:line="240" w:lineRule="auto"/>
        <w:rPr>
          <w:lang w:val="en-CA"/>
        </w:rPr>
      </w:pPr>
      <w:r w:rsidRPr="005545AF">
        <w:rPr>
          <w:lang w:val="en-CA"/>
        </w:rPr>
        <w:t>On March 31,</w:t>
      </w:r>
      <w:r w:rsidR="002802DA" w:rsidRPr="005545AF">
        <w:rPr>
          <w:lang w:val="en-CA"/>
        </w:rPr>
        <w:t xml:space="preserve"> 2016, </w:t>
      </w:r>
      <w:r w:rsidR="00556274" w:rsidRPr="005545AF">
        <w:rPr>
          <w:lang w:val="en-CA"/>
        </w:rPr>
        <w:t>the appellant</w:t>
      </w:r>
      <w:r w:rsidR="002802DA" w:rsidRPr="005545AF">
        <w:rPr>
          <w:lang w:val="en-CA"/>
        </w:rPr>
        <w:t xml:space="preserve"> </w:t>
      </w:r>
      <w:r w:rsidRPr="005545AF">
        <w:rPr>
          <w:lang w:val="en-CA"/>
        </w:rPr>
        <w:t>filed a</w:t>
      </w:r>
      <w:r w:rsidR="002802DA" w:rsidRPr="005545AF">
        <w:rPr>
          <w:lang w:val="en-CA"/>
        </w:rPr>
        <w:t xml:space="preserve"> Judicial Demand Originating a Proceeding in Damages</w:t>
      </w:r>
      <w:r w:rsidR="002802DA" w:rsidRPr="005545AF">
        <w:rPr>
          <w:i/>
          <w:iCs/>
          <w:lang w:val="en-CA"/>
        </w:rPr>
        <w:t xml:space="preserve"> </w:t>
      </w:r>
      <w:r w:rsidRPr="005545AF">
        <w:rPr>
          <w:lang w:val="en-CA"/>
        </w:rPr>
        <w:t>which would be amended a number of times</w:t>
      </w:r>
      <w:r w:rsidR="002802DA" w:rsidRPr="005545AF">
        <w:rPr>
          <w:lang w:val="en-CA"/>
        </w:rPr>
        <w:t xml:space="preserve">. </w:t>
      </w:r>
      <w:r w:rsidRPr="005545AF">
        <w:rPr>
          <w:lang w:val="en-CA"/>
        </w:rPr>
        <w:t xml:space="preserve">In the </w:t>
      </w:r>
      <w:r w:rsidR="003A73F4" w:rsidRPr="005545AF">
        <w:rPr>
          <w:lang w:val="en-CA"/>
        </w:rPr>
        <w:t>iteration</w:t>
      </w:r>
      <w:r w:rsidRPr="005545AF">
        <w:rPr>
          <w:lang w:val="en-CA"/>
        </w:rPr>
        <w:t xml:space="preserve"> that led to the judgment under appeal</w:t>
      </w:r>
      <w:r w:rsidR="002802DA" w:rsidRPr="005545AF">
        <w:rPr>
          <w:lang w:val="en-CA"/>
        </w:rPr>
        <w:t xml:space="preserve">, </w:t>
      </w:r>
      <w:r w:rsidR="00556274" w:rsidRPr="005545AF">
        <w:rPr>
          <w:lang w:val="en-CA"/>
        </w:rPr>
        <w:t>the appellant</w:t>
      </w:r>
      <w:r w:rsidR="002802DA" w:rsidRPr="005545AF">
        <w:rPr>
          <w:lang w:val="en-CA"/>
        </w:rPr>
        <w:t xml:space="preserve"> </w:t>
      </w:r>
      <w:r w:rsidRPr="005545AF">
        <w:rPr>
          <w:lang w:val="en-CA"/>
        </w:rPr>
        <w:t>claim</w:t>
      </w:r>
      <w:r w:rsidR="00556274" w:rsidRPr="005545AF">
        <w:rPr>
          <w:lang w:val="en-CA"/>
        </w:rPr>
        <w:t>ed</w:t>
      </w:r>
      <w:r w:rsidR="002802DA" w:rsidRPr="005545AF">
        <w:rPr>
          <w:lang w:val="en-CA"/>
        </w:rPr>
        <w:t xml:space="preserve"> </w:t>
      </w:r>
      <w:r w:rsidRPr="005545AF">
        <w:rPr>
          <w:lang w:val="en-CA"/>
        </w:rPr>
        <w:t>$</w:t>
      </w:r>
      <w:r w:rsidR="002802DA" w:rsidRPr="005545AF">
        <w:rPr>
          <w:lang w:val="en-CA"/>
        </w:rPr>
        <w:t>1</w:t>
      </w:r>
      <w:r w:rsidRPr="005545AF">
        <w:rPr>
          <w:lang w:val="en-CA"/>
        </w:rPr>
        <w:t>,</w:t>
      </w:r>
      <w:r w:rsidR="002802DA" w:rsidRPr="005545AF">
        <w:rPr>
          <w:lang w:val="en-CA"/>
        </w:rPr>
        <w:t>000</w:t>
      </w:r>
      <w:r w:rsidRPr="005545AF">
        <w:rPr>
          <w:lang w:val="en-CA"/>
        </w:rPr>
        <w:t>,</w:t>
      </w:r>
      <w:r w:rsidR="002802DA" w:rsidRPr="005545AF">
        <w:rPr>
          <w:lang w:val="en-CA"/>
        </w:rPr>
        <w:t xml:space="preserve">000 </w:t>
      </w:r>
      <w:r w:rsidRPr="005545AF">
        <w:rPr>
          <w:lang w:val="en-CA"/>
        </w:rPr>
        <w:t>in compensatory damages</w:t>
      </w:r>
      <w:r w:rsidR="00EB2251" w:rsidRPr="005545AF">
        <w:rPr>
          <w:lang w:val="en-CA"/>
        </w:rPr>
        <w:t xml:space="preserve"> and</w:t>
      </w:r>
      <w:r w:rsidR="002802DA" w:rsidRPr="005545AF">
        <w:rPr>
          <w:lang w:val="en-CA"/>
        </w:rPr>
        <w:t xml:space="preserve"> </w:t>
      </w:r>
      <w:r w:rsidRPr="005545AF">
        <w:rPr>
          <w:lang w:val="en-CA"/>
        </w:rPr>
        <w:t>$</w:t>
      </w:r>
      <w:r w:rsidR="002802DA" w:rsidRPr="005545AF">
        <w:rPr>
          <w:lang w:val="en-CA"/>
        </w:rPr>
        <w:t>5</w:t>
      </w:r>
      <w:r w:rsidRPr="005545AF">
        <w:rPr>
          <w:lang w:val="en-CA"/>
        </w:rPr>
        <w:t>,</w:t>
      </w:r>
      <w:r w:rsidR="002802DA" w:rsidRPr="005545AF">
        <w:rPr>
          <w:lang w:val="en-CA"/>
        </w:rPr>
        <w:t>000</w:t>
      </w:r>
      <w:r w:rsidRPr="005545AF">
        <w:rPr>
          <w:lang w:val="en-CA"/>
        </w:rPr>
        <w:t>,</w:t>
      </w:r>
      <w:r w:rsidR="002802DA" w:rsidRPr="005545AF">
        <w:rPr>
          <w:lang w:val="en-CA"/>
        </w:rPr>
        <w:t xml:space="preserve">000 </w:t>
      </w:r>
      <w:r w:rsidRPr="005545AF">
        <w:rPr>
          <w:lang w:val="en-CA"/>
        </w:rPr>
        <w:t>in punitive damages</w:t>
      </w:r>
      <w:r w:rsidR="00EB2251" w:rsidRPr="005545AF">
        <w:rPr>
          <w:lang w:val="en-CA"/>
        </w:rPr>
        <w:t>,</w:t>
      </w:r>
      <w:r w:rsidRPr="005545AF">
        <w:rPr>
          <w:lang w:val="en-CA"/>
        </w:rPr>
        <w:t xml:space="preserve"> and </w:t>
      </w:r>
      <w:r w:rsidR="007E27D6" w:rsidRPr="005545AF">
        <w:rPr>
          <w:lang w:val="en-CA"/>
        </w:rPr>
        <w:t>s</w:t>
      </w:r>
      <w:r w:rsidR="00556274" w:rsidRPr="005545AF">
        <w:rPr>
          <w:lang w:val="en-CA"/>
        </w:rPr>
        <w:t>ought</w:t>
      </w:r>
      <w:r w:rsidR="007E27D6" w:rsidRPr="005545AF">
        <w:rPr>
          <w:lang w:val="en-CA"/>
        </w:rPr>
        <w:t xml:space="preserve"> permanent injunctions</w:t>
      </w:r>
      <w:r w:rsidR="002802DA" w:rsidRPr="005545AF">
        <w:rPr>
          <w:lang w:val="en-CA"/>
        </w:rPr>
        <w:t xml:space="preserve"> </w:t>
      </w:r>
      <w:r w:rsidR="00EB2251" w:rsidRPr="005545AF">
        <w:rPr>
          <w:lang w:val="en-CA"/>
        </w:rPr>
        <w:t>requiring</w:t>
      </w:r>
      <w:r w:rsidR="002802DA" w:rsidRPr="005545AF">
        <w:rPr>
          <w:lang w:val="en-CA"/>
        </w:rPr>
        <w:t xml:space="preserve"> Google </w:t>
      </w:r>
      <w:r w:rsidR="00EB2251" w:rsidRPr="005545AF">
        <w:rPr>
          <w:lang w:val="en-CA"/>
        </w:rPr>
        <w:t>to refrain from</w:t>
      </w:r>
      <w:r w:rsidR="007E27D6" w:rsidRPr="005545AF">
        <w:rPr>
          <w:lang w:val="en-CA"/>
        </w:rPr>
        <w:t xml:space="preserve"> index</w:t>
      </w:r>
      <w:r w:rsidR="00EB2251" w:rsidRPr="005545AF">
        <w:rPr>
          <w:lang w:val="en-CA"/>
        </w:rPr>
        <w:t>ing</w:t>
      </w:r>
      <w:r w:rsidR="007E27D6" w:rsidRPr="005545AF">
        <w:rPr>
          <w:lang w:val="en-CA"/>
        </w:rPr>
        <w:t xml:space="preserve"> the URL links leading to the </w:t>
      </w:r>
      <w:r w:rsidR="004A5D7E" w:rsidRPr="005545AF">
        <w:rPr>
          <w:lang w:val="en-CA"/>
        </w:rPr>
        <w:t>Impugned Post</w:t>
      </w:r>
      <w:r w:rsidR="007E27D6" w:rsidRPr="005545AF">
        <w:rPr>
          <w:lang w:val="en-CA"/>
        </w:rPr>
        <w:t xml:space="preserve"> </w:t>
      </w:r>
      <w:r w:rsidR="002802DA" w:rsidRPr="005545AF">
        <w:rPr>
          <w:lang w:val="en-CA"/>
        </w:rPr>
        <w:t>(</w:t>
      </w:r>
      <w:r w:rsidR="007E27D6" w:rsidRPr="005545AF">
        <w:rPr>
          <w:lang w:val="en-CA"/>
        </w:rPr>
        <w:t>the “</w:t>
      </w:r>
      <w:r w:rsidR="00556274" w:rsidRPr="005545AF">
        <w:rPr>
          <w:b/>
          <w:bCs/>
          <w:lang w:val="en-CA"/>
        </w:rPr>
        <w:t>W</w:t>
      </w:r>
      <w:r w:rsidR="002802DA" w:rsidRPr="005545AF">
        <w:rPr>
          <w:b/>
          <w:bCs/>
          <w:lang w:val="en-CA"/>
        </w:rPr>
        <w:t>eb</w:t>
      </w:r>
      <w:r w:rsidR="007E27D6" w:rsidRPr="005545AF">
        <w:rPr>
          <w:b/>
          <w:bCs/>
          <w:lang w:val="en-CA"/>
        </w:rPr>
        <w:t xml:space="preserve">sites </w:t>
      </w:r>
      <w:r w:rsidR="00556274" w:rsidRPr="005545AF">
        <w:rPr>
          <w:b/>
          <w:bCs/>
          <w:lang w:val="en-CA"/>
        </w:rPr>
        <w:t>I</w:t>
      </w:r>
      <w:r w:rsidR="007E27D6" w:rsidRPr="005545AF">
        <w:rPr>
          <w:b/>
          <w:bCs/>
          <w:lang w:val="en-CA"/>
        </w:rPr>
        <w:t>njunction</w:t>
      </w:r>
      <w:r w:rsidR="007E27D6" w:rsidRPr="005545AF">
        <w:rPr>
          <w:lang w:val="en-CA"/>
        </w:rPr>
        <w:t>”</w:t>
      </w:r>
      <w:r w:rsidR="002802DA" w:rsidRPr="005545AF">
        <w:rPr>
          <w:lang w:val="en-CA"/>
        </w:rPr>
        <w:t xml:space="preserve">) </w:t>
      </w:r>
      <w:r w:rsidR="007E27D6" w:rsidRPr="005545AF">
        <w:rPr>
          <w:lang w:val="en-CA"/>
        </w:rPr>
        <w:t xml:space="preserve">and to ensure that no result of its search engine include his name </w:t>
      </w:r>
      <w:r w:rsidR="003A73F4" w:rsidRPr="005545AF">
        <w:rPr>
          <w:lang w:val="en-CA"/>
        </w:rPr>
        <w:t>within a</w:t>
      </w:r>
      <w:r w:rsidR="007E27D6" w:rsidRPr="005545AF">
        <w:rPr>
          <w:lang w:val="en-CA"/>
        </w:rPr>
        <w:t xml:space="preserve"> certain proximity of the terms “</w:t>
      </w:r>
      <w:r w:rsidR="002802DA" w:rsidRPr="005545AF">
        <w:rPr>
          <w:lang w:val="en-CA"/>
        </w:rPr>
        <w:t>child molestation</w:t>
      </w:r>
      <w:r w:rsidR="007E27D6" w:rsidRPr="005545AF">
        <w:rPr>
          <w:lang w:val="en-CA"/>
        </w:rPr>
        <w:t>”</w:t>
      </w:r>
      <w:r w:rsidR="002802DA" w:rsidRPr="005545AF">
        <w:rPr>
          <w:lang w:val="en-CA"/>
        </w:rPr>
        <w:t xml:space="preserve"> o</w:t>
      </w:r>
      <w:r w:rsidR="007E27D6" w:rsidRPr="005545AF">
        <w:rPr>
          <w:lang w:val="en-CA"/>
        </w:rPr>
        <w:t>r</w:t>
      </w:r>
      <w:r w:rsidR="002802DA" w:rsidRPr="005545AF">
        <w:rPr>
          <w:lang w:val="en-CA"/>
        </w:rPr>
        <w:t xml:space="preserve"> </w:t>
      </w:r>
      <w:r w:rsidR="007E27D6" w:rsidRPr="005545AF">
        <w:rPr>
          <w:lang w:val="en-CA"/>
        </w:rPr>
        <w:t>“</w:t>
      </w:r>
      <w:r w:rsidR="002802DA" w:rsidRPr="005545AF">
        <w:rPr>
          <w:lang w:val="en-CA"/>
        </w:rPr>
        <w:t>pederast</w:t>
      </w:r>
      <w:r w:rsidR="007E27D6" w:rsidRPr="005545AF">
        <w:rPr>
          <w:lang w:val="en-CA"/>
        </w:rPr>
        <w:t>”</w:t>
      </w:r>
      <w:r w:rsidR="002802DA" w:rsidRPr="005545AF">
        <w:rPr>
          <w:lang w:val="en-CA"/>
        </w:rPr>
        <w:t xml:space="preserve"> (</w:t>
      </w:r>
      <w:r w:rsidR="007E27D6" w:rsidRPr="005545AF">
        <w:rPr>
          <w:lang w:val="en-CA"/>
        </w:rPr>
        <w:t>the “</w:t>
      </w:r>
      <w:r w:rsidR="00556274" w:rsidRPr="005545AF">
        <w:rPr>
          <w:b/>
          <w:bCs/>
          <w:lang w:val="en-CA"/>
        </w:rPr>
        <w:t>K</w:t>
      </w:r>
      <w:r w:rsidR="007E27D6" w:rsidRPr="005545AF">
        <w:rPr>
          <w:b/>
          <w:bCs/>
          <w:lang w:val="en-CA"/>
        </w:rPr>
        <w:t xml:space="preserve">eywords </w:t>
      </w:r>
      <w:r w:rsidR="00556274" w:rsidRPr="005545AF">
        <w:rPr>
          <w:b/>
          <w:bCs/>
          <w:lang w:val="en-CA"/>
        </w:rPr>
        <w:t>I</w:t>
      </w:r>
      <w:r w:rsidR="002802DA" w:rsidRPr="005545AF">
        <w:rPr>
          <w:b/>
          <w:bCs/>
          <w:lang w:val="en-CA"/>
        </w:rPr>
        <w:t>nj</w:t>
      </w:r>
      <w:r w:rsidR="007E27D6" w:rsidRPr="005545AF">
        <w:rPr>
          <w:b/>
          <w:bCs/>
          <w:lang w:val="en-CA"/>
        </w:rPr>
        <w:t>u</w:t>
      </w:r>
      <w:r w:rsidR="002802DA" w:rsidRPr="005545AF">
        <w:rPr>
          <w:b/>
          <w:bCs/>
          <w:lang w:val="en-CA"/>
        </w:rPr>
        <w:t>nction</w:t>
      </w:r>
      <w:r w:rsidR="007E27D6" w:rsidRPr="005545AF">
        <w:rPr>
          <w:lang w:val="en-CA"/>
        </w:rPr>
        <w:t>”</w:t>
      </w:r>
      <w:r w:rsidR="002802DA" w:rsidRPr="005545AF">
        <w:rPr>
          <w:lang w:val="en-CA"/>
        </w:rPr>
        <w:t>).</w:t>
      </w:r>
    </w:p>
    <w:p w14:paraId="134C1531" w14:textId="349CC279" w:rsidR="002802DA" w:rsidRPr="005545AF" w:rsidRDefault="003A73F4" w:rsidP="001F7377">
      <w:pPr>
        <w:pStyle w:val="Paragraphe"/>
        <w:spacing w:line="240" w:lineRule="auto"/>
        <w:rPr>
          <w:lang w:val="en-CA"/>
        </w:rPr>
      </w:pPr>
      <w:r w:rsidRPr="005545AF">
        <w:rPr>
          <w:lang w:val="en-CA"/>
        </w:rPr>
        <w:lastRenderedPageBreak/>
        <w:t>On October 12,</w:t>
      </w:r>
      <w:r w:rsidR="002802DA" w:rsidRPr="005545AF">
        <w:rPr>
          <w:lang w:val="en-CA"/>
        </w:rPr>
        <w:t xml:space="preserve"> 2016, </w:t>
      </w:r>
      <w:r w:rsidRPr="005545AF">
        <w:rPr>
          <w:lang w:val="en-CA"/>
        </w:rPr>
        <w:t>the Honourable</w:t>
      </w:r>
      <w:r w:rsidR="002802DA" w:rsidRPr="005545AF">
        <w:rPr>
          <w:lang w:val="en-CA"/>
        </w:rPr>
        <w:t xml:space="preserve"> Lukasz Granosik </w:t>
      </w:r>
      <w:r w:rsidRPr="005545AF">
        <w:rPr>
          <w:lang w:val="en-CA"/>
        </w:rPr>
        <w:t xml:space="preserve">of the Superior Court ordered the anonymization of </w:t>
      </w:r>
      <w:r w:rsidR="00EB2251" w:rsidRPr="005545AF">
        <w:rPr>
          <w:lang w:val="en-CA"/>
        </w:rPr>
        <w:t>the appellant</w:t>
      </w:r>
      <w:r w:rsidRPr="005545AF">
        <w:rPr>
          <w:lang w:val="en-CA"/>
        </w:rPr>
        <w:t>’s name and a publication ban of the proceedings, exhibits and testimony until judgment on the merits</w:t>
      </w:r>
      <w:r w:rsidR="002802DA" w:rsidRPr="005545AF">
        <w:rPr>
          <w:lang w:val="en-CA"/>
        </w:rPr>
        <w:t xml:space="preserve">, </w:t>
      </w:r>
      <w:r w:rsidRPr="005545AF">
        <w:rPr>
          <w:lang w:val="en-CA"/>
        </w:rPr>
        <w:t xml:space="preserve">but </w:t>
      </w:r>
      <w:r w:rsidR="00EB2251" w:rsidRPr="005545AF">
        <w:rPr>
          <w:lang w:val="en-CA"/>
        </w:rPr>
        <w:t>declined to</w:t>
      </w:r>
      <w:r w:rsidRPr="005545AF">
        <w:rPr>
          <w:lang w:val="en-CA"/>
        </w:rPr>
        <w:t xml:space="preserve"> seal</w:t>
      </w:r>
      <w:r w:rsidR="00EB2251" w:rsidRPr="005545AF">
        <w:rPr>
          <w:lang w:val="en-CA"/>
        </w:rPr>
        <w:t xml:space="preserve"> </w:t>
      </w:r>
      <w:r w:rsidRPr="005545AF">
        <w:rPr>
          <w:lang w:val="en-CA"/>
        </w:rPr>
        <w:t>the file.</w:t>
      </w:r>
      <w:r w:rsidR="002802DA" w:rsidRPr="005545AF">
        <w:rPr>
          <w:rStyle w:val="Appelnotedebasdep"/>
          <w:lang w:val="en-CA"/>
        </w:rPr>
        <w:footnoteReference w:id="7"/>
      </w:r>
    </w:p>
    <w:p w14:paraId="68D5B843" w14:textId="376EE40A" w:rsidR="002802DA" w:rsidRPr="005545AF" w:rsidRDefault="003A73F4" w:rsidP="001F7377">
      <w:pPr>
        <w:pStyle w:val="Paragraphe"/>
        <w:spacing w:line="240" w:lineRule="auto"/>
        <w:rPr>
          <w:lang w:val="en-CA"/>
        </w:rPr>
      </w:pPr>
      <w:r w:rsidRPr="005545AF">
        <w:rPr>
          <w:lang w:val="en-CA"/>
        </w:rPr>
        <w:t>On March 28,</w:t>
      </w:r>
      <w:r w:rsidR="002802DA" w:rsidRPr="005545AF">
        <w:rPr>
          <w:lang w:val="en-CA"/>
        </w:rPr>
        <w:t xml:space="preserve"> 2023, </w:t>
      </w:r>
      <w:r w:rsidRPr="005545AF">
        <w:rPr>
          <w:lang w:val="en-CA"/>
        </w:rPr>
        <w:t xml:space="preserve">the judgment under appeal was rendered, granting in part </w:t>
      </w:r>
      <w:r w:rsidR="00FF4445" w:rsidRPr="005545AF">
        <w:rPr>
          <w:lang w:val="en-CA"/>
        </w:rPr>
        <w:t>the appellant</w:t>
      </w:r>
      <w:r w:rsidRPr="005545AF">
        <w:rPr>
          <w:lang w:val="en-CA"/>
        </w:rPr>
        <w:t>’s claims.</w:t>
      </w:r>
      <w:r w:rsidR="002802DA" w:rsidRPr="005545AF">
        <w:rPr>
          <w:lang w:val="en-CA"/>
        </w:rPr>
        <w:t xml:space="preserve"> </w:t>
      </w:r>
      <w:r w:rsidR="00871DA1" w:rsidRPr="005545AF">
        <w:rPr>
          <w:lang w:val="en-CA"/>
        </w:rPr>
        <w:t>As I noted earlier</w:t>
      </w:r>
      <w:r w:rsidR="002802DA" w:rsidRPr="005545AF">
        <w:rPr>
          <w:lang w:val="en-CA"/>
        </w:rPr>
        <w:t xml:space="preserve">, </w:t>
      </w:r>
      <w:r w:rsidR="00871DA1" w:rsidRPr="005545AF">
        <w:rPr>
          <w:lang w:val="en-CA"/>
        </w:rPr>
        <w:t>it thus ordered</w:t>
      </w:r>
      <w:r w:rsidR="002802DA" w:rsidRPr="005545AF">
        <w:rPr>
          <w:lang w:val="en-CA"/>
        </w:rPr>
        <w:t xml:space="preserve"> </w:t>
      </w:r>
      <w:r w:rsidR="00871DA1" w:rsidRPr="005545AF">
        <w:rPr>
          <w:lang w:val="en-CA"/>
        </w:rPr>
        <w:t xml:space="preserve">that </w:t>
      </w:r>
      <w:r w:rsidR="002802DA" w:rsidRPr="005545AF">
        <w:rPr>
          <w:lang w:val="en-CA"/>
        </w:rPr>
        <w:t xml:space="preserve">Google </w:t>
      </w:r>
      <w:r w:rsidR="00871DA1" w:rsidRPr="005545AF">
        <w:rPr>
          <w:lang w:val="en-CA"/>
        </w:rPr>
        <w:t>pay him $</w:t>
      </w:r>
      <w:r w:rsidR="002802DA" w:rsidRPr="005545AF">
        <w:rPr>
          <w:lang w:val="en-CA"/>
        </w:rPr>
        <w:t>500</w:t>
      </w:r>
      <w:r w:rsidR="00871DA1" w:rsidRPr="005545AF">
        <w:rPr>
          <w:lang w:val="en-CA"/>
        </w:rPr>
        <w:t>,</w:t>
      </w:r>
      <w:r w:rsidR="002802DA" w:rsidRPr="005545AF">
        <w:rPr>
          <w:lang w:val="en-CA"/>
        </w:rPr>
        <w:t xml:space="preserve">000 </w:t>
      </w:r>
      <w:r w:rsidR="00871DA1" w:rsidRPr="005545AF">
        <w:rPr>
          <w:lang w:val="en-CA"/>
        </w:rPr>
        <w:t>in moral damages</w:t>
      </w:r>
      <w:r w:rsidR="002802DA" w:rsidRPr="005545AF">
        <w:rPr>
          <w:lang w:val="en-CA"/>
        </w:rPr>
        <w:t xml:space="preserve">, </w:t>
      </w:r>
      <w:r w:rsidR="00871DA1" w:rsidRPr="005545AF">
        <w:rPr>
          <w:lang w:val="en-CA"/>
        </w:rPr>
        <w:t>dismissed the claim in punitive damages</w:t>
      </w:r>
      <w:r w:rsidR="002802DA" w:rsidRPr="005545AF">
        <w:rPr>
          <w:lang w:val="en-CA"/>
        </w:rPr>
        <w:t xml:space="preserve">, </w:t>
      </w:r>
      <w:r w:rsidR="00871DA1" w:rsidRPr="005545AF">
        <w:rPr>
          <w:lang w:val="en-CA"/>
        </w:rPr>
        <w:t xml:space="preserve">granted in part the injunction sought and </w:t>
      </w:r>
      <w:r w:rsidR="00FF4445" w:rsidRPr="005545AF">
        <w:rPr>
          <w:lang w:val="en-CA"/>
        </w:rPr>
        <w:t>declined to order</w:t>
      </w:r>
      <w:r w:rsidR="00871DA1" w:rsidRPr="005545AF">
        <w:rPr>
          <w:lang w:val="en-CA"/>
        </w:rPr>
        <w:t xml:space="preserve"> </w:t>
      </w:r>
      <w:r w:rsidR="00FF4445" w:rsidRPr="005545AF">
        <w:rPr>
          <w:lang w:val="en-CA"/>
        </w:rPr>
        <w:t>a</w:t>
      </w:r>
      <w:r w:rsidR="00871DA1" w:rsidRPr="005545AF">
        <w:rPr>
          <w:lang w:val="en-CA"/>
        </w:rPr>
        <w:t xml:space="preserve"> permanent publication ban</w:t>
      </w:r>
      <w:r w:rsidR="002802DA" w:rsidRPr="005545AF">
        <w:rPr>
          <w:lang w:val="en-CA"/>
        </w:rPr>
        <w:t xml:space="preserve">. </w:t>
      </w:r>
      <w:r w:rsidR="00FF4445" w:rsidRPr="005545AF">
        <w:rPr>
          <w:lang w:val="en-CA"/>
        </w:rPr>
        <w:t>Each</w:t>
      </w:r>
      <w:r w:rsidR="00871DA1" w:rsidRPr="005545AF">
        <w:rPr>
          <w:lang w:val="en-CA"/>
        </w:rPr>
        <w:t xml:space="preserve"> part</w:t>
      </w:r>
      <w:r w:rsidR="00FF4445" w:rsidRPr="005545AF">
        <w:rPr>
          <w:lang w:val="en-CA"/>
        </w:rPr>
        <w:t>y</w:t>
      </w:r>
      <w:r w:rsidR="00871DA1" w:rsidRPr="005545AF">
        <w:rPr>
          <w:lang w:val="en-CA"/>
        </w:rPr>
        <w:t xml:space="preserve"> appeal</w:t>
      </w:r>
      <w:r w:rsidR="00FF4445" w:rsidRPr="005545AF">
        <w:rPr>
          <w:lang w:val="en-CA"/>
        </w:rPr>
        <w:t>s</w:t>
      </w:r>
      <w:r w:rsidR="002802DA" w:rsidRPr="005545AF">
        <w:rPr>
          <w:lang w:val="en-CA"/>
        </w:rPr>
        <w:t>.</w:t>
      </w:r>
    </w:p>
    <w:p w14:paraId="6A0ADCC5" w14:textId="5B51553C" w:rsidR="002802DA" w:rsidRPr="005545AF" w:rsidRDefault="00871DA1" w:rsidP="001F7377">
      <w:pPr>
        <w:pStyle w:val="Paragraphe"/>
        <w:spacing w:line="240" w:lineRule="auto"/>
        <w:rPr>
          <w:lang w:val="en-CA"/>
        </w:rPr>
      </w:pPr>
      <w:r w:rsidRPr="005545AF">
        <w:rPr>
          <w:lang w:val="en-CA"/>
        </w:rPr>
        <w:t>On May 10, 2023</w:t>
      </w:r>
      <w:r w:rsidR="002802DA" w:rsidRPr="005545AF">
        <w:rPr>
          <w:lang w:val="en-CA"/>
        </w:rPr>
        <w:t xml:space="preserve">, </w:t>
      </w:r>
      <w:r w:rsidRPr="005545AF">
        <w:rPr>
          <w:lang w:val="en-CA"/>
        </w:rPr>
        <w:t>my colleague Justice</w:t>
      </w:r>
      <w:r w:rsidR="002802DA" w:rsidRPr="005545AF">
        <w:rPr>
          <w:lang w:val="en-CA"/>
        </w:rPr>
        <w:t xml:space="preserve"> Christine Baudouin </w:t>
      </w:r>
      <w:r w:rsidRPr="005545AF">
        <w:rPr>
          <w:lang w:val="en-CA"/>
        </w:rPr>
        <w:t xml:space="preserve">ordered the non-publication of </w:t>
      </w:r>
      <w:r w:rsidR="00FF4445" w:rsidRPr="005545AF">
        <w:rPr>
          <w:lang w:val="en-CA"/>
        </w:rPr>
        <w:t>the appellant’s</w:t>
      </w:r>
      <w:r w:rsidRPr="005545AF">
        <w:rPr>
          <w:lang w:val="en-CA"/>
        </w:rPr>
        <w:t xml:space="preserve"> name and any information that would allow for him </w:t>
      </w:r>
      <w:r w:rsidR="00A235FF" w:rsidRPr="005545AF">
        <w:rPr>
          <w:lang w:val="en-CA"/>
        </w:rPr>
        <w:t xml:space="preserve">or any member of his family </w:t>
      </w:r>
      <w:r w:rsidRPr="005545AF">
        <w:rPr>
          <w:lang w:val="en-CA"/>
        </w:rPr>
        <w:t>to be identified, until judgment of the Court on the merits.</w:t>
      </w:r>
      <w:r w:rsidR="002802DA" w:rsidRPr="005545AF">
        <w:rPr>
          <w:rStyle w:val="Appelnotedebasdep"/>
          <w:lang w:val="en-CA"/>
        </w:rPr>
        <w:footnoteReference w:id="8"/>
      </w:r>
    </w:p>
    <w:p w14:paraId="3DC46A20" w14:textId="23C2919C" w:rsidR="002802DA" w:rsidRPr="005545AF" w:rsidRDefault="00871DA1" w:rsidP="001F7377">
      <w:pPr>
        <w:pStyle w:val="Paragraphe"/>
        <w:numPr>
          <w:ilvl w:val="0"/>
          <w:numId w:val="0"/>
        </w:numPr>
        <w:spacing w:line="240" w:lineRule="auto"/>
        <w:outlineLvl w:val="0"/>
        <w:rPr>
          <w:b/>
          <w:bCs/>
          <w:lang w:val="en-CA"/>
        </w:rPr>
      </w:pPr>
      <w:r w:rsidRPr="005545AF">
        <w:rPr>
          <w:b/>
          <w:bCs/>
          <w:lang w:val="en-CA"/>
        </w:rPr>
        <w:t>ISSUES ON APPEAL</w:t>
      </w:r>
    </w:p>
    <w:p w14:paraId="3328316E" w14:textId="12D17061" w:rsidR="002802DA" w:rsidRPr="005545AF" w:rsidRDefault="00813F9C" w:rsidP="001F7377">
      <w:pPr>
        <w:pStyle w:val="Paragraphe"/>
        <w:spacing w:line="240" w:lineRule="auto"/>
        <w:rPr>
          <w:lang w:val="en-CA"/>
        </w:rPr>
      </w:pPr>
      <w:r w:rsidRPr="005545AF">
        <w:rPr>
          <w:lang w:val="en-CA"/>
        </w:rPr>
        <w:t>Although the principal appeal and the incidental appeal both deal with some of the remedies sought, the latter also raises the issue of Google’s liability</w:t>
      </w:r>
      <w:r w:rsidR="002802DA" w:rsidRPr="005545AF">
        <w:rPr>
          <w:lang w:val="en-CA"/>
        </w:rPr>
        <w:t xml:space="preserve">. </w:t>
      </w:r>
      <w:r w:rsidRPr="005545AF">
        <w:rPr>
          <w:lang w:val="en-CA"/>
        </w:rPr>
        <w:t xml:space="preserve">For the purposes of the following reasons, </w:t>
      </w:r>
      <w:r w:rsidR="008231FD" w:rsidRPr="005545AF">
        <w:rPr>
          <w:lang w:val="en-CA"/>
        </w:rPr>
        <w:t xml:space="preserve">it is appropriate to address </w:t>
      </w:r>
      <w:r w:rsidRPr="005545AF">
        <w:rPr>
          <w:lang w:val="en-CA"/>
        </w:rPr>
        <w:t>the issues in the following order</w:t>
      </w:r>
      <w:r w:rsidR="002802DA" w:rsidRPr="005545AF">
        <w:rPr>
          <w:lang w:val="en-CA"/>
        </w:rPr>
        <w:t>:</w:t>
      </w:r>
    </w:p>
    <w:p w14:paraId="27FD20B4" w14:textId="68EB968E" w:rsidR="002802DA" w:rsidRPr="005545AF" w:rsidRDefault="00813F9C" w:rsidP="001F7377">
      <w:pPr>
        <w:pStyle w:val="Paragraphe"/>
        <w:numPr>
          <w:ilvl w:val="0"/>
          <w:numId w:val="21"/>
        </w:numPr>
        <w:spacing w:line="240" w:lineRule="auto"/>
        <w:rPr>
          <w:lang w:val="en-CA"/>
        </w:rPr>
      </w:pPr>
      <w:bookmarkStart w:id="17" w:name="_Hlk181600252"/>
      <w:r w:rsidRPr="005545AF">
        <w:rPr>
          <w:lang w:val="en-CA"/>
        </w:rPr>
        <w:t>Did the judge err in finding that Google had committed a fault</w:t>
      </w:r>
      <w:r w:rsidR="002802DA" w:rsidRPr="005545AF">
        <w:rPr>
          <w:lang w:val="en-CA"/>
        </w:rPr>
        <w:t xml:space="preserve"> (</w:t>
      </w:r>
      <w:r w:rsidRPr="005545AF">
        <w:rPr>
          <w:lang w:val="en-CA"/>
        </w:rPr>
        <w:t>incidental appeal</w:t>
      </w:r>
      <w:r w:rsidR="002802DA" w:rsidRPr="005545AF">
        <w:rPr>
          <w:lang w:val="en-CA"/>
        </w:rPr>
        <w:t>)?</w:t>
      </w:r>
    </w:p>
    <w:p w14:paraId="34DC67C4" w14:textId="368E0CA3" w:rsidR="002802DA" w:rsidRPr="005545AF" w:rsidRDefault="00813F9C" w:rsidP="001F7377">
      <w:pPr>
        <w:pStyle w:val="Paragraphe"/>
        <w:numPr>
          <w:ilvl w:val="0"/>
          <w:numId w:val="21"/>
        </w:numPr>
        <w:spacing w:line="240" w:lineRule="auto"/>
        <w:rPr>
          <w:lang w:val="en-CA"/>
        </w:rPr>
      </w:pPr>
      <w:bookmarkStart w:id="18" w:name="_Hlk181600292"/>
      <w:bookmarkEnd w:id="17"/>
      <w:r w:rsidRPr="005545AF">
        <w:rPr>
          <w:lang w:val="en-CA"/>
        </w:rPr>
        <w:t xml:space="preserve">Did the judge err in finding that that fault had caused moral injury to </w:t>
      </w:r>
      <w:r w:rsidR="008231FD" w:rsidRPr="005545AF">
        <w:rPr>
          <w:lang w:val="en-CA"/>
        </w:rPr>
        <w:t>the appellant</w:t>
      </w:r>
      <w:r w:rsidR="000548F7" w:rsidRPr="005545AF">
        <w:rPr>
          <w:lang w:val="en-CA"/>
        </w:rPr>
        <w:t xml:space="preserve"> </w:t>
      </w:r>
      <w:r w:rsidR="00E86246" w:rsidRPr="005545AF">
        <w:rPr>
          <w:lang w:val="en-CA"/>
        </w:rPr>
        <w:t>and</w:t>
      </w:r>
      <w:r w:rsidRPr="005545AF">
        <w:rPr>
          <w:lang w:val="en-CA"/>
        </w:rPr>
        <w:t xml:space="preserve"> </w:t>
      </w:r>
      <w:r w:rsidR="000548F7" w:rsidRPr="005545AF">
        <w:rPr>
          <w:lang w:val="en-CA"/>
        </w:rPr>
        <w:t>assessing</w:t>
      </w:r>
      <w:r w:rsidR="00E86246" w:rsidRPr="005545AF">
        <w:rPr>
          <w:lang w:val="en-CA"/>
        </w:rPr>
        <w:t xml:space="preserve"> damages at</w:t>
      </w:r>
      <w:r w:rsidRPr="005545AF">
        <w:rPr>
          <w:lang w:val="en-CA"/>
        </w:rPr>
        <w:t xml:space="preserve"> $500,</w:t>
      </w:r>
      <w:r w:rsidR="002802DA" w:rsidRPr="005545AF">
        <w:rPr>
          <w:lang w:val="en-CA"/>
        </w:rPr>
        <w:t>000 (</w:t>
      </w:r>
      <w:r w:rsidRPr="005545AF">
        <w:rPr>
          <w:lang w:val="en-CA"/>
        </w:rPr>
        <w:t>incidental appeal</w:t>
      </w:r>
      <w:r w:rsidR="002802DA" w:rsidRPr="005545AF">
        <w:rPr>
          <w:lang w:val="en-CA"/>
        </w:rPr>
        <w:t>)?</w:t>
      </w:r>
    </w:p>
    <w:bookmarkEnd w:id="18"/>
    <w:p w14:paraId="0685A3E5" w14:textId="056B2D98" w:rsidR="002802DA" w:rsidRPr="005545AF" w:rsidRDefault="0058256B" w:rsidP="001F7377">
      <w:pPr>
        <w:pStyle w:val="Paragraphe"/>
        <w:numPr>
          <w:ilvl w:val="0"/>
          <w:numId w:val="21"/>
        </w:numPr>
        <w:spacing w:line="240" w:lineRule="auto"/>
        <w:rPr>
          <w:lang w:val="en-CA"/>
        </w:rPr>
      </w:pPr>
      <w:r w:rsidRPr="005545AF">
        <w:rPr>
          <w:lang w:val="en-CA"/>
        </w:rPr>
        <w:t xml:space="preserve">Did the judge err in </w:t>
      </w:r>
      <w:r w:rsidR="008231FD" w:rsidRPr="005545AF">
        <w:rPr>
          <w:lang w:val="en-CA"/>
        </w:rPr>
        <w:t>declining</w:t>
      </w:r>
      <w:r w:rsidRPr="005545AF">
        <w:rPr>
          <w:lang w:val="en-CA"/>
        </w:rPr>
        <w:t xml:space="preserve"> to award punitive damages</w:t>
      </w:r>
      <w:r w:rsidR="002802DA" w:rsidRPr="005545AF">
        <w:rPr>
          <w:lang w:val="en-CA"/>
        </w:rPr>
        <w:t xml:space="preserve"> (</w:t>
      </w:r>
      <w:r w:rsidRPr="005545AF">
        <w:rPr>
          <w:lang w:val="en-CA"/>
        </w:rPr>
        <w:t>principal appeal</w:t>
      </w:r>
      <w:r w:rsidR="002802DA" w:rsidRPr="005545AF">
        <w:rPr>
          <w:lang w:val="en-CA"/>
        </w:rPr>
        <w:t>)?</w:t>
      </w:r>
    </w:p>
    <w:p w14:paraId="4FED4BED" w14:textId="194CD011" w:rsidR="002802DA" w:rsidRPr="005545AF" w:rsidRDefault="0058256B" w:rsidP="001F7377">
      <w:pPr>
        <w:pStyle w:val="Paragraphe"/>
        <w:numPr>
          <w:ilvl w:val="0"/>
          <w:numId w:val="21"/>
        </w:numPr>
        <w:spacing w:line="240" w:lineRule="auto"/>
        <w:rPr>
          <w:lang w:val="en-CA"/>
        </w:rPr>
      </w:pPr>
      <w:r w:rsidRPr="005545AF">
        <w:rPr>
          <w:lang w:val="en-CA"/>
        </w:rPr>
        <w:t xml:space="preserve">Did the judge err in </w:t>
      </w:r>
      <w:r w:rsidR="008231FD" w:rsidRPr="005545AF">
        <w:rPr>
          <w:lang w:val="en-CA"/>
        </w:rPr>
        <w:t>declining</w:t>
      </w:r>
      <w:r w:rsidRPr="005545AF">
        <w:rPr>
          <w:lang w:val="en-CA"/>
        </w:rPr>
        <w:t xml:space="preserve"> to grant a permanent publication ban on </w:t>
      </w:r>
      <w:r w:rsidR="000548F7" w:rsidRPr="005545AF">
        <w:rPr>
          <w:lang w:val="en-CA"/>
        </w:rPr>
        <w:t>the appellant</w:t>
      </w:r>
      <w:r w:rsidRPr="005545AF">
        <w:rPr>
          <w:lang w:val="en-CA"/>
        </w:rPr>
        <w:t>’s name</w:t>
      </w:r>
      <w:r w:rsidR="000548F7" w:rsidRPr="005545AF">
        <w:rPr>
          <w:lang w:val="en-CA"/>
        </w:rPr>
        <w:t xml:space="preserve"> </w:t>
      </w:r>
      <w:r w:rsidR="002802DA" w:rsidRPr="005545AF">
        <w:rPr>
          <w:lang w:val="en-CA"/>
        </w:rPr>
        <w:t>(</w:t>
      </w:r>
      <w:r w:rsidRPr="005545AF">
        <w:rPr>
          <w:lang w:val="en-CA"/>
        </w:rPr>
        <w:t>principal appeal</w:t>
      </w:r>
      <w:r w:rsidR="002802DA" w:rsidRPr="005545AF">
        <w:rPr>
          <w:lang w:val="en-CA"/>
        </w:rPr>
        <w:t>)?</w:t>
      </w:r>
    </w:p>
    <w:p w14:paraId="5D86A4BA" w14:textId="548DB34A" w:rsidR="002802DA" w:rsidRPr="005545AF" w:rsidRDefault="0058256B" w:rsidP="001F7377">
      <w:pPr>
        <w:pStyle w:val="Paragraphe"/>
        <w:numPr>
          <w:ilvl w:val="0"/>
          <w:numId w:val="21"/>
        </w:numPr>
        <w:spacing w:line="240" w:lineRule="auto"/>
        <w:rPr>
          <w:lang w:val="en-CA"/>
        </w:rPr>
      </w:pPr>
      <w:r w:rsidRPr="005545AF">
        <w:rPr>
          <w:lang w:val="en-CA"/>
        </w:rPr>
        <w:t xml:space="preserve">Did the judge err in granting an injunction (incidental appeal) or in </w:t>
      </w:r>
      <w:r w:rsidR="00AA3A94" w:rsidRPr="005545AF">
        <w:rPr>
          <w:lang w:val="en-CA"/>
        </w:rPr>
        <w:t>determining</w:t>
      </w:r>
      <w:r w:rsidRPr="005545AF">
        <w:rPr>
          <w:lang w:val="en-CA"/>
        </w:rPr>
        <w:t xml:space="preserve"> its </w:t>
      </w:r>
      <w:r w:rsidR="00132435" w:rsidRPr="005545AF">
        <w:rPr>
          <w:lang w:val="en-CA"/>
        </w:rPr>
        <w:t>substantive</w:t>
      </w:r>
      <w:r w:rsidRPr="005545AF">
        <w:rPr>
          <w:lang w:val="en-CA"/>
        </w:rPr>
        <w:t xml:space="preserve"> and geographic</w:t>
      </w:r>
      <w:r w:rsidR="00132435" w:rsidRPr="005545AF">
        <w:rPr>
          <w:lang w:val="en-CA"/>
        </w:rPr>
        <w:t>al</w:t>
      </w:r>
      <w:r w:rsidRPr="005545AF">
        <w:rPr>
          <w:lang w:val="en-CA"/>
        </w:rPr>
        <w:t xml:space="preserve"> scope</w:t>
      </w:r>
      <w:r w:rsidR="002802DA" w:rsidRPr="005545AF">
        <w:rPr>
          <w:lang w:val="en-CA"/>
        </w:rPr>
        <w:t xml:space="preserve"> (</w:t>
      </w:r>
      <w:r w:rsidRPr="005545AF">
        <w:rPr>
          <w:lang w:val="en-CA"/>
        </w:rPr>
        <w:t>principal appeal</w:t>
      </w:r>
      <w:r w:rsidR="002802DA" w:rsidRPr="005545AF">
        <w:rPr>
          <w:lang w:val="en-CA"/>
        </w:rPr>
        <w:t>)?</w:t>
      </w:r>
    </w:p>
    <w:p w14:paraId="116A676A" w14:textId="2DCB1667" w:rsidR="002802DA" w:rsidRPr="005545AF" w:rsidRDefault="002802DA" w:rsidP="001F7377">
      <w:pPr>
        <w:pStyle w:val="Paragraphe"/>
        <w:numPr>
          <w:ilvl w:val="0"/>
          <w:numId w:val="0"/>
        </w:numPr>
        <w:spacing w:line="240" w:lineRule="auto"/>
        <w:outlineLvl w:val="0"/>
        <w:rPr>
          <w:b/>
          <w:bCs/>
          <w:lang w:val="en-CA"/>
        </w:rPr>
      </w:pPr>
      <w:r w:rsidRPr="005545AF">
        <w:rPr>
          <w:b/>
          <w:bCs/>
          <w:lang w:val="en-CA"/>
        </w:rPr>
        <w:t>ANALYS</w:t>
      </w:r>
      <w:r w:rsidR="0058256B" w:rsidRPr="005545AF">
        <w:rPr>
          <w:b/>
          <w:bCs/>
          <w:lang w:val="en-CA"/>
        </w:rPr>
        <w:t>IS</w:t>
      </w:r>
    </w:p>
    <w:p w14:paraId="3A0DF9F1" w14:textId="512FC5CD" w:rsidR="002802DA" w:rsidRPr="005545AF" w:rsidRDefault="002802DA" w:rsidP="001F7377">
      <w:pPr>
        <w:pStyle w:val="Paragraphe"/>
        <w:numPr>
          <w:ilvl w:val="0"/>
          <w:numId w:val="0"/>
        </w:numPr>
        <w:spacing w:line="240" w:lineRule="auto"/>
        <w:ind w:left="1134"/>
        <w:outlineLvl w:val="1"/>
        <w:rPr>
          <w:lang w:val="en-CA"/>
        </w:rPr>
      </w:pPr>
      <w:bookmarkStart w:id="19" w:name="_Hlk207456253"/>
      <w:r w:rsidRPr="005545AF">
        <w:rPr>
          <w:b/>
          <w:bCs/>
          <w:lang w:val="en-CA"/>
        </w:rPr>
        <w:t>1)</w:t>
      </w:r>
      <w:r w:rsidRPr="005545AF">
        <w:rPr>
          <w:lang w:val="en-CA"/>
        </w:rPr>
        <w:tab/>
      </w:r>
      <w:r w:rsidR="0058256B" w:rsidRPr="005545AF">
        <w:rPr>
          <w:b/>
          <w:bCs/>
          <w:lang w:val="en-CA"/>
        </w:rPr>
        <w:t>Did the judge err in finding that Google had committed a fault (incidental appeal)</w:t>
      </w:r>
      <w:r w:rsidRPr="005545AF">
        <w:rPr>
          <w:b/>
          <w:bCs/>
          <w:lang w:val="en-CA"/>
        </w:rPr>
        <w:t>?</w:t>
      </w:r>
    </w:p>
    <w:bookmarkEnd w:id="19"/>
    <w:p w14:paraId="453A6160" w14:textId="24F1CFAC" w:rsidR="002802DA" w:rsidRPr="005545AF" w:rsidRDefault="00E86246" w:rsidP="001F7377">
      <w:pPr>
        <w:pStyle w:val="Paragraphe"/>
        <w:spacing w:line="240" w:lineRule="auto"/>
        <w:rPr>
          <w:lang w:val="en-CA"/>
        </w:rPr>
      </w:pPr>
      <w:r w:rsidRPr="005545AF">
        <w:rPr>
          <w:lang w:val="en-CA"/>
        </w:rPr>
        <w:t>Considering</w:t>
      </w:r>
      <w:r w:rsidR="0058256B" w:rsidRPr="005545AF">
        <w:rPr>
          <w:lang w:val="en-CA"/>
        </w:rPr>
        <w:t xml:space="preserve"> that Google had voluntarily agreed to de-index the </w:t>
      </w:r>
      <w:r w:rsidR="004A5D7E" w:rsidRPr="005545AF">
        <w:rPr>
          <w:lang w:val="en-CA"/>
        </w:rPr>
        <w:t>Impugned Post</w:t>
      </w:r>
      <w:r w:rsidR="0058256B" w:rsidRPr="005545AF">
        <w:rPr>
          <w:lang w:val="en-CA"/>
        </w:rPr>
        <w:t>’s URL link</w:t>
      </w:r>
      <w:r w:rsidR="00B55892" w:rsidRPr="005545AF">
        <w:rPr>
          <w:lang w:val="en-CA"/>
        </w:rPr>
        <w:t xml:space="preserve"> </w:t>
      </w:r>
      <w:r w:rsidRPr="005545AF">
        <w:rPr>
          <w:lang w:val="en-CA"/>
        </w:rPr>
        <w:t xml:space="preserve">up </w:t>
      </w:r>
      <w:r w:rsidR="00B55892" w:rsidRPr="005545AF">
        <w:rPr>
          <w:lang w:val="en-CA"/>
        </w:rPr>
        <w:t>until the Supreme Court</w:t>
      </w:r>
      <w:r w:rsidRPr="005545AF">
        <w:rPr>
          <w:lang w:val="en-CA"/>
        </w:rPr>
        <w:t xml:space="preserve">’s </w:t>
      </w:r>
      <w:r w:rsidR="00B55892" w:rsidRPr="005545AF">
        <w:rPr>
          <w:lang w:val="en-CA"/>
        </w:rPr>
        <w:t xml:space="preserve">decision in </w:t>
      </w:r>
      <w:r w:rsidR="002802DA" w:rsidRPr="005545AF">
        <w:rPr>
          <w:i/>
          <w:iCs/>
          <w:lang w:val="en-CA"/>
        </w:rPr>
        <w:t>Crookes</w:t>
      </w:r>
      <w:r w:rsidR="00B55892" w:rsidRPr="005545AF">
        <w:rPr>
          <w:lang w:val="en-CA"/>
        </w:rPr>
        <w:t>,</w:t>
      </w:r>
      <w:r w:rsidR="002802DA" w:rsidRPr="005545AF">
        <w:rPr>
          <w:rStyle w:val="Appelnotedebasdep"/>
          <w:lang w:val="en-CA"/>
        </w:rPr>
        <w:footnoteReference w:id="9"/>
      </w:r>
      <w:r w:rsidR="002802DA" w:rsidRPr="005545AF">
        <w:rPr>
          <w:i/>
          <w:iCs/>
          <w:lang w:val="en-CA"/>
        </w:rPr>
        <w:t xml:space="preserve"> </w:t>
      </w:r>
      <w:r w:rsidR="00B55892" w:rsidRPr="005545AF">
        <w:rPr>
          <w:lang w:val="en-CA"/>
        </w:rPr>
        <w:t>the judge framed the issue to be decided as follows</w:t>
      </w:r>
      <w:r w:rsidR="002802DA" w:rsidRPr="005545AF">
        <w:rPr>
          <w:lang w:val="en-CA"/>
        </w:rPr>
        <w:t xml:space="preserve">: </w:t>
      </w:r>
      <w:r w:rsidR="006D7C91" w:rsidRPr="005545AF">
        <w:rPr>
          <w:lang w:val="en-CA"/>
        </w:rPr>
        <w:t>was</w:t>
      </w:r>
      <w:r w:rsidR="00B55892" w:rsidRPr="005545AF">
        <w:rPr>
          <w:lang w:val="en-CA"/>
        </w:rPr>
        <w:t xml:space="preserve"> </w:t>
      </w:r>
      <w:r w:rsidR="002802DA" w:rsidRPr="005545AF">
        <w:rPr>
          <w:lang w:val="en-CA"/>
        </w:rPr>
        <w:t xml:space="preserve">Google </w:t>
      </w:r>
      <w:r w:rsidR="006D7C91" w:rsidRPr="005545AF">
        <w:rPr>
          <w:lang w:val="en-CA"/>
        </w:rPr>
        <w:t>committing</w:t>
      </w:r>
      <w:r w:rsidR="00B55892" w:rsidRPr="005545AF">
        <w:rPr>
          <w:lang w:val="en-CA"/>
        </w:rPr>
        <w:t xml:space="preserve"> fault</w:t>
      </w:r>
      <w:r w:rsidR="002802DA" w:rsidRPr="005545AF">
        <w:rPr>
          <w:lang w:val="en-CA"/>
        </w:rPr>
        <w:t xml:space="preserve"> </w:t>
      </w:r>
      <w:r w:rsidR="00B55892" w:rsidRPr="005545AF">
        <w:rPr>
          <w:lang w:val="en-CA"/>
        </w:rPr>
        <w:t>since</w:t>
      </w:r>
      <w:r w:rsidR="002802DA" w:rsidRPr="005545AF">
        <w:rPr>
          <w:lang w:val="en-CA"/>
        </w:rPr>
        <w:t xml:space="preserve"> 2015 </w:t>
      </w:r>
      <w:r w:rsidR="00B55892" w:rsidRPr="005545AF">
        <w:rPr>
          <w:lang w:val="en-CA"/>
        </w:rPr>
        <w:t xml:space="preserve">by leaving in its search </w:t>
      </w:r>
      <w:r w:rsidR="00B55892" w:rsidRPr="005545AF">
        <w:rPr>
          <w:lang w:val="en-CA"/>
        </w:rPr>
        <w:lastRenderedPageBreak/>
        <w:t xml:space="preserve">engine </w:t>
      </w:r>
      <w:r w:rsidR="006D7C91" w:rsidRPr="005545AF">
        <w:rPr>
          <w:lang w:val="en-CA"/>
        </w:rPr>
        <w:t xml:space="preserve">the </w:t>
      </w:r>
      <w:r w:rsidR="004A5D7E" w:rsidRPr="005545AF">
        <w:rPr>
          <w:lang w:val="en-CA"/>
        </w:rPr>
        <w:t>Impugned Post</w:t>
      </w:r>
      <w:r w:rsidR="006D7C91" w:rsidRPr="005545AF">
        <w:rPr>
          <w:lang w:val="en-CA"/>
        </w:rPr>
        <w:t>’</w:t>
      </w:r>
      <w:r w:rsidR="00B55892" w:rsidRPr="005545AF">
        <w:rPr>
          <w:lang w:val="en-CA"/>
        </w:rPr>
        <w:t xml:space="preserve"> bare link</w:t>
      </w:r>
      <w:r w:rsidR="006D7C91" w:rsidRPr="005545AF">
        <w:rPr>
          <w:lang w:val="en-CA"/>
        </w:rPr>
        <w:t xml:space="preserve"> </w:t>
      </w:r>
      <w:r w:rsidR="002802DA" w:rsidRPr="005545AF">
        <w:rPr>
          <w:lang w:val="en-CA"/>
        </w:rPr>
        <w:t xml:space="preserve">– </w:t>
      </w:r>
      <w:r w:rsidR="006D7C91" w:rsidRPr="005545AF">
        <w:rPr>
          <w:lang w:val="en-CA"/>
        </w:rPr>
        <w:t xml:space="preserve">what the judge </w:t>
      </w:r>
      <w:r w:rsidR="00B55892" w:rsidRPr="005545AF">
        <w:rPr>
          <w:lang w:val="en-CA"/>
        </w:rPr>
        <w:t>referred to as the</w:t>
      </w:r>
      <w:r w:rsidR="002802DA" w:rsidRPr="005545AF">
        <w:rPr>
          <w:lang w:val="en-CA"/>
        </w:rPr>
        <w:t xml:space="preserve"> </w:t>
      </w:r>
      <w:r w:rsidR="00B55892" w:rsidRPr="005545AF">
        <w:rPr>
          <w:lang w:val="en-CA"/>
        </w:rPr>
        <w:t>“Post-</w:t>
      </w:r>
      <w:r w:rsidR="00B55892" w:rsidRPr="005545AF">
        <w:rPr>
          <w:i/>
          <w:iCs/>
          <w:lang w:val="en-CA"/>
        </w:rPr>
        <w:t>Crookes</w:t>
      </w:r>
      <w:r w:rsidR="00B55892" w:rsidRPr="005545AF">
        <w:rPr>
          <w:lang w:val="en-CA"/>
        </w:rPr>
        <w:t xml:space="preserve"> Link Policy”?</w:t>
      </w:r>
      <w:r w:rsidR="002802DA" w:rsidRPr="005545AF">
        <w:rPr>
          <w:rStyle w:val="Appelnotedebasdep"/>
          <w:lang w:val="en-CA"/>
        </w:rPr>
        <w:footnoteReference w:id="10"/>
      </w:r>
      <w:r w:rsidR="002802DA" w:rsidRPr="005545AF">
        <w:rPr>
          <w:lang w:val="en-CA"/>
        </w:rPr>
        <w:t xml:space="preserve"> </w:t>
      </w:r>
      <w:r w:rsidR="00B55892" w:rsidRPr="005545AF">
        <w:rPr>
          <w:lang w:val="en-CA"/>
        </w:rPr>
        <w:t>He answered that question in the affirmative</w:t>
      </w:r>
      <w:r w:rsidR="002802DA" w:rsidRPr="005545AF">
        <w:rPr>
          <w:lang w:val="en-CA"/>
        </w:rPr>
        <w:t xml:space="preserve">. </w:t>
      </w:r>
      <w:r w:rsidR="006D7C91" w:rsidRPr="005545AF">
        <w:rPr>
          <w:iCs/>
          <w:lang w:val="en-CA"/>
        </w:rPr>
        <w:t>Essentially</w:t>
      </w:r>
      <w:r w:rsidR="00B55892" w:rsidRPr="005545AF">
        <w:rPr>
          <w:iCs/>
          <w:lang w:val="en-CA"/>
        </w:rPr>
        <w:t xml:space="preserve">, here are the reasons </w:t>
      </w:r>
      <w:r w:rsidR="006D7C91" w:rsidRPr="005545AF">
        <w:rPr>
          <w:iCs/>
          <w:lang w:val="en-CA"/>
        </w:rPr>
        <w:t>behind</w:t>
      </w:r>
      <w:r w:rsidR="00B55892" w:rsidRPr="005545AF">
        <w:rPr>
          <w:iCs/>
          <w:lang w:val="en-CA"/>
        </w:rPr>
        <w:t xml:space="preserve"> his </w:t>
      </w:r>
      <w:r w:rsidR="00504AA9" w:rsidRPr="005545AF">
        <w:rPr>
          <w:iCs/>
          <w:lang w:val="en-CA"/>
        </w:rPr>
        <w:t>conclusion</w:t>
      </w:r>
      <w:r w:rsidR="002802DA" w:rsidRPr="005545AF">
        <w:rPr>
          <w:iCs/>
          <w:lang w:val="en-CA"/>
        </w:rPr>
        <w:t>.</w:t>
      </w:r>
    </w:p>
    <w:p w14:paraId="6BB67D02" w14:textId="2A53E290" w:rsidR="002802DA" w:rsidRPr="005545AF" w:rsidRDefault="00504AA9" w:rsidP="001F7377">
      <w:pPr>
        <w:pStyle w:val="Paragraphe"/>
        <w:spacing w:line="240" w:lineRule="auto"/>
        <w:rPr>
          <w:lang w:val="en-CA"/>
        </w:rPr>
      </w:pPr>
      <w:r w:rsidRPr="005545AF">
        <w:rPr>
          <w:iCs/>
          <w:lang w:val="en-CA"/>
        </w:rPr>
        <w:t>First</w:t>
      </w:r>
      <w:r w:rsidR="002802DA" w:rsidRPr="005545AF">
        <w:rPr>
          <w:iCs/>
          <w:lang w:val="en-CA"/>
        </w:rPr>
        <w:t xml:space="preserve">, </w:t>
      </w:r>
      <w:r w:rsidRPr="005545AF">
        <w:rPr>
          <w:iCs/>
          <w:lang w:val="en-CA"/>
        </w:rPr>
        <w:t xml:space="preserve">the judge </w:t>
      </w:r>
      <w:r w:rsidR="00C819F1" w:rsidRPr="005545AF">
        <w:rPr>
          <w:iCs/>
          <w:lang w:val="en-CA"/>
        </w:rPr>
        <w:t>held that</w:t>
      </w:r>
      <w:r w:rsidR="00ED7833" w:rsidRPr="005545AF">
        <w:rPr>
          <w:iCs/>
          <w:lang w:val="en-CA"/>
        </w:rPr>
        <w:t xml:space="preserve"> </w:t>
      </w:r>
      <w:r w:rsidR="002802DA" w:rsidRPr="005545AF">
        <w:rPr>
          <w:i/>
          <w:lang w:val="en-CA"/>
        </w:rPr>
        <w:t>Crookes</w:t>
      </w:r>
      <w:r w:rsidR="00C819F1" w:rsidRPr="005545AF">
        <w:rPr>
          <w:iCs/>
          <w:lang w:val="en-CA"/>
        </w:rPr>
        <w:t xml:space="preserve"> was inapplicable,</w:t>
      </w:r>
      <w:r w:rsidR="00ED7833" w:rsidRPr="005545AF">
        <w:rPr>
          <w:iCs/>
          <w:lang w:val="en-CA"/>
        </w:rPr>
        <w:t xml:space="preserve"> for both factual and legal reasons</w:t>
      </w:r>
      <w:r w:rsidR="002802DA" w:rsidRPr="005545AF">
        <w:rPr>
          <w:iCs/>
          <w:lang w:val="en-CA"/>
        </w:rPr>
        <w:t xml:space="preserve">.  </w:t>
      </w:r>
      <w:r w:rsidR="00341461" w:rsidRPr="005545AF">
        <w:rPr>
          <w:iCs/>
          <w:lang w:val="en-CA"/>
        </w:rPr>
        <w:t>Regarding</w:t>
      </w:r>
      <w:r w:rsidR="00ED7833" w:rsidRPr="005545AF">
        <w:rPr>
          <w:iCs/>
          <w:lang w:val="en-CA"/>
        </w:rPr>
        <w:t xml:space="preserve"> the </w:t>
      </w:r>
      <w:r w:rsidR="00341461" w:rsidRPr="005545AF">
        <w:rPr>
          <w:iCs/>
          <w:lang w:val="en-CA"/>
        </w:rPr>
        <w:t>factual</w:t>
      </w:r>
      <w:r w:rsidR="00ED7833" w:rsidRPr="005545AF">
        <w:rPr>
          <w:iCs/>
          <w:lang w:val="en-CA"/>
        </w:rPr>
        <w:t xml:space="preserve"> aspect</w:t>
      </w:r>
      <w:r w:rsidR="002802DA" w:rsidRPr="005545AF">
        <w:rPr>
          <w:iCs/>
          <w:lang w:val="en-CA"/>
        </w:rPr>
        <w:t xml:space="preserve">, </w:t>
      </w:r>
      <w:r w:rsidR="002802DA" w:rsidRPr="005545AF">
        <w:rPr>
          <w:i/>
          <w:lang w:val="en-CA"/>
        </w:rPr>
        <w:t>Crookes</w:t>
      </w:r>
      <w:r w:rsidR="002802DA" w:rsidRPr="005545AF">
        <w:rPr>
          <w:iCs/>
          <w:lang w:val="en-CA"/>
        </w:rPr>
        <w:t xml:space="preserve"> </w:t>
      </w:r>
      <w:r w:rsidR="00ED7833" w:rsidRPr="005545AF">
        <w:rPr>
          <w:iCs/>
          <w:lang w:val="en-CA"/>
        </w:rPr>
        <w:t>involved an online article that referred to</w:t>
      </w:r>
      <w:r w:rsidR="00341461" w:rsidRPr="005545AF">
        <w:rPr>
          <w:iCs/>
          <w:lang w:val="en-CA"/>
        </w:rPr>
        <w:t xml:space="preserve"> </w:t>
      </w:r>
      <w:r w:rsidR="00ED7833" w:rsidRPr="005545AF">
        <w:rPr>
          <w:iCs/>
          <w:lang w:val="en-CA"/>
        </w:rPr>
        <w:t xml:space="preserve">defamatory </w:t>
      </w:r>
      <w:r w:rsidR="008113A4" w:rsidRPr="005545AF">
        <w:rPr>
          <w:iCs/>
          <w:lang w:val="en-CA"/>
        </w:rPr>
        <w:t>material</w:t>
      </w:r>
      <w:r w:rsidR="00ED7833" w:rsidRPr="005545AF">
        <w:rPr>
          <w:iCs/>
          <w:lang w:val="en-CA"/>
        </w:rPr>
        <w:t xml:space="preserve"> by</w:t>
      </w:r>
      <w:r w:rsidR="00341461" w:rsidRPr="005545AF">
        <w:rPr>
          <w:iCs/>
          <w:lang w:val="en-CA"/>
        </w:rPr>
        <w:t xml:space="preserve"> </w:t>
      </w:r>
      <w:r w:rsidR="00ED7833" w:rsidRPr="005545AF">
        <w:rPr>
          <w:iCs/>
          <w:lang w:val="en-CA"/>
        </w:rPr>
        <w:t xml:space="preserve">hyperlink, without reproducing </w:t>
      </w:r>
      <w:r w:rsidR="008113A4" w:rsidRPr="005545AF">
        <w:rPr>
          <w:iCs/>
          <w:lang w:val="en-CA"/>
        </w:rPr>
        <w:t xml:space="preserve">the content of that material </w:t>
      </w:r>
      <w:r w:rsidR="00ED7833" w:rsidRPr="005545AF">
        <w:rPr>
          <w:iCs/>
          <w:lang w:val="en-CA"/>
        </w:rPr>
        <w:t xml:space="preserve">or commenting on </w:t>
      </w:r>
      <w:r w:rsidR="008113A4" w:rsidRPr="005545AF">
        <w:rPr>
          <w:iCs/>
          <w:lang w:val="en-CA"/>
        </w:rPr>
        <w:t>its</w:t>
      </w:r>
      <w:r w:rsidR="00ED7833" w:rsidRPr="005545AF">
        <w:rPr>
          <w:iCs/>
          <w:lang w:val="en-CA"/>
        </w:rPr>
        <w:t xml:space="preserve"> veracity, whereas in the case at bar, </w:t>
      </w:r>
      <w:r w:rsidR="002802DA" w:rsidRPr="005545AF">
        <w:rPr>
          <w:iCs/>
          <w:lang w:val="en-CA"/>
        </w:rPr>
        <w:t xml:space="preserve">Google, </w:t>
      </w:r>
      <w:r w:rsidR="00ED7833" w:rsidRPr="005545AF">
        <w:rPr>
          <w:iCs/>
          <w:lang w:val="en-CA"/>
        </w:rPr>
        <w:t>which publicly presents itself as a provider of reliable sources of information, indexes, and therefore, gives access to</w:t>
      </w:r>
      <w:r w:rsidR="00341461" w:rsidRPr="005545AF">
        <w:rPr>
          <w:iCs/>
          <w:lang w:val="en-CA"/>
        </w:rPr>
        <w:t>,</w:t>
      </w:r>
      <w:r w:rsidR="00ED7833" w:rsidRPr="005545AF">
        <w:rPr>
          <w:iCs/>
          <w:lang w:val="en-CA"/>
        </w:rPr>
        <w:t xml:space="preserve"> a bare link to the </w:t>
      </w:r>
      <w:r w:rsidR="004A5D7E" w:rsidRPr="005545AF">
        <w:rPr>
          <w:iCs/>
          <w:lang w:val="en-CA"/>
        </w:rPr>
        <w:t>Impugned Post</w:t>
      </w:r>
      <w:r w:rsidR="002802DA" w:rsidRPr="005545AF">
        <w:rPr>
          <w:iCs/>
          <w:lang w:val="en-CA"/>
        </w:rPr>
        <w:t xml:space="preserve">. </w:t>
      </w:r>
      <w:r w:rsidR="002802DA" w:rsidRPr="005545AF">
        <w:rPr>
          <w:i/>
          <w:lang w:val="en-CA"/>
        </w:rPr>
        <w:t xml:space="preserve">Crookes </w:t>
      </w:r>
      <w:r w:rsidR="007537AD" w:rsidRPr="005545AF">
        <w:rPr>
          <w:iCs/>
          <w:lang w:val="en-CA"/>
        </w:rPr>
        <w:t xml:space="preserve">thus </w:t>
      </w:r>
      <w:r w:rsidR="008113A4" w:rsidRPr="005545AF">
        <w:rPr>
          <w:iCs/>
          <w:lang w:val="en-CA"/>
        </w:rPr>
        <w:t>involved</w:t>
      </w:r>
      <w:r w:rsidR="007537AD" w:rsidRPr="005545AF">
        <w:rPr>
          <w:iCs/>
          <w:lang w:val="en-CA"/>
        </w:rPr>
        <w:t xml:space="preserve"> the liability of the </w:t>
      </w:r>
      <w:r w:rsidR="002F2C23" w:rsidRPr="005545AF">
        <w:rPr>
          <w:iCs/>
          <w:lang w:val="en-CA"/>
        </w:rPr>
        <w:t xml:space="preserve">content’s </w:t>
      </w:r>
      <w:r w:rsidR="007537AD" w:rsidRPr="005545AF">
        <w:rPr>
          <w:iCs/>
          <w:lang w:val="en-CA"/>
        </w:rPr>
        <w:t xml:space="preserve">author, whereas this case </w:t>
      </w:r>
      <w:r w:rsidR="008113A4" w:rsidRPr="005545AF">
        <w:rPr>
          <w:iCs/>
          <w:lang w:val="en-CA"/>
        </w:rPr>
        <w:t>involves</w:t>
      </w:r>
      <w:r w:rsidR="007537AD" w:rsidRPr="005545AF">
        <w:rPr>
          <w:iCs/>
          <w:lang w:val="en-CA"/>
        </w:rPr>
        <w:t xml:space="preserve"> that of an intermediary.</w:t>
      </w:r>
      <w:r w:rsidR="002802DA" w:rsidRPr="005545AF">
        <w:rPr>
          <w:rStyle w:val="Appelnotedebasdep"/>
          <w:iCs/>
          <w:lang w:val="en-CA"/>
        </w:rPr>
        <w:footnoteReference w:id="11"/>
      </w:r>
    </w:p>
    <w:p w14:paraId="52E6AD76" w14:textId="0A1B8E9B" w:rsidR="002802DA" w:rsidRPr="005545AF" w:rsidRDefault="00341461" w:rsidP="001F7377">
      <w:pPr>
        <w:pStyle w:val="Paragraphe"/>
        <w:spacing w:line="240" w:lineRule="auto"/>
        <w:rPr>
          <w:lang w:val="en-CA"/>
        </w:rPr>
      </w:pPr>
      <w:r w:rsidRPr="005545AF">
        <w:rPr>
          <w:iCs/>
          <w:lang w:val="en-CA"/>
        </w:rPr>
        <w:t>Regarding</w:t>
      </w:r>
      <w:r w:rsidR="00504AA9" w:rsidRPr="005545AF">
        <w:rPr>
          <w:iCs/>
          <w:lang w:val="en-CA"/>
        </w:rPr>
        <w:t xml:space="preserve"> </w:t>
      </w:r>
      <w:r w:rsidR="00C925BA" w:rsidRPr="005545AF">
        <w:rPr>
          <w:iCs/>
          <w:lang w:val="en-CA"/>
        </w:rPr>
        <w:t xml:space="preserve">the legal aspect, the judge </w:t>
      </w:r>
      <w:r w:rsidR="00172EFD" w:rsidRPr="005545AF">
        <w:rPr>
          <w:iCs/>
          <w:lang w:val="en-CA"/>
        </w:rPr>
        <w:t>recalled</w:t>
      </w:r>
      <w:r w:rsidR="00C925BA" w:rsidRPr="005545AF">
        <w:rPr>
          <w:iCs/>
          <w:lang w:val="en-CA"/>
        </w:rPr>
        <w:t xml:space="preserve"> that under Quebec law, an action in defamation </w:t>
      </w:r>
      <w:r w:rsidR="002802DA" w:rsidRPr="005545AF">
        <w:rPr>
          <w:iCs/>
          <w:lang w:val="en-CA"/>
        </w:rPr>
        <w:t xml:space="preserve">– </w:t>
      </w:r>
      <w:r w:rsidR="00C925BA" w:rsidRPr="005545AF">
        <w:rPr>
          <w:iCs/>
          <w:lang w:val="en-CA"/>
        </w:rPr>
        <w:t xml:space="preserve">as he </w:t>
      </w:r>
      <w:r w:rsidR="00A575BC" w:rsidRPr="005545AF">
        <w:rPr>
          <w:iCs/>
          <w:lang w:val="en-CA"/>
        </w:rPr>
        <w:t>characterized</w:t>
      </w:r>
      <w:r w:rsidR="00C925BA" w:rsidRPr="005545AF">
        <w:rPr>
          <w:iCs/>
          <w:lang w:val="en-CA"/>
        </w:rPr>
        <w:t xml:space="preserve"> it</w:t>
      </w:r>
      <w:r w:rsidR="002802DA" w:rsidRPr="005545AF">
        <w:rPr>
          <w:iCs/>
          <w:lang w:val="en-CA"/>
        </w:rPr>
        <w:t xml:space="preserve"> – </w:t>
      </w:r>
      <w:r w:rsidR="00C925BA" w:rsidRPr="005545AF">
        <w:rPr>
          <w:iCs/>
          <w:lang w:val="en-CA"/>
        </w:rPr>
        <w:t>is</w:t>
      </w:r>
      <w:r w:rsidR="002F2C23" w:rsidRPr="005545AF">
        <w:rPr>
          <w:iCs/>
          <w:lang w:val="en-CA"/>
        </w:rPr>
        <w:t xml:space="preserve"> governed by</w:t>
      </w:r>
      <w:r w:rsidR="00C925BA" w:rsidRPr="005545AF">
        <w:rPr>
          <w:iCs/>
          <w:lang w:val="en-CA"/>
        </w:rPr>
        <w:t xml:space="preserve"> </w:t>
      </w:r>
      <w:r w:rsidR="00172EFD" w:rsidRPr="005545AF">
        <w:rPr>
          <w:iCs/>
          <w:lang w:val="en-CA"/>
        </w:rPr>
        <w:t xml:space="preserve">the </w:t>
      </w:r>
      <w:r w:rsidR="00C925BA" w:rsidRPr="005545AF">
        <w:rPr>
          <w:iCs/>
          <w:lang w:val="en-CA"/>
        </w:rPr>
        <w:t xml:space="preserve">general principles of </w:t>
      </w:r>
      <w:r w:rsidR="00172EFD" w:rsidRPr="005545AF">
        <w:rPr>
          <w:iCs/>
          <w:lang w:val="en-CA"/>
        </w:rPr>
        <w:t xml:space="preserve">fault-based </w:t>
      </w:r>
      <w:r w:rsidR="00C925BA" w:rsidRPr="005545AF">
        <w:rPr>
          <w:iCs/>
          <w:lang w:val="en-CA"/>
        </w:rPr>
        <w:t>civil liability</w:t>
      </w:r>
      <w:r w:rsidR="002802DA" w:rsidRPr="005545AF">
        <w:rPr>
          <w:iCs/>
          <w:lang w:val="en-CA"/>
        </w:rPr>
        <w:t xml:space="preserve">. </w:t>
      </w:r>
      <w:r w:rsidR="00172EFD" w:rsidRPr="005545AF">
        <w:rPr>
          <w:iCs/>
          <w:lang w:val="en-CA"/>
        </w:rPr>
        <w:t>The question</w:t>
      </w:r>
      <w:r w:rsidR="002F2C23" w:rsidRPr="005545AF">
        <w:rPr>
          <w:iCs/>
          <w:lang w:val="en-CA"/>
        </w:rPr>
        <w:t>,</w:t>
      </w:r>
      <w:r w:rsidR="00172EFD" w:rsidRPr="005545AF">
        <w:rPr>
          <w:iCs/>
          <w:lang w:val="en-CA"/>
        </w:rPr>
        <w:t xml:space="preserve"> therefore</w:t>
      </w:r>
      <w:r w:rsidR="002F2C23" w:rsidRPr="005545AF">
        <w:rPr>
          <w:iCs/>
          <w:lang w:val="en-CA"/>
        </w:rPr>
        <w:t>, is</w:t>
      </w:r>
      <w:r w:rsidR="00172EFD" w:rsidRPr="005545AF">
        <w:rPr>
          <w:iCs/>
          <w:lang w:val="en-CA"/>
        </w:rPr>
        <w:t xml:space="preserve"> whether</w:t>
      </w:r>
      <w:r w:rsidR="002802DA" w:rsidRPr="005545AF">
        <w:rPr>
          <w:iCs/>
          <w:lang w:val="en-CA"/>
        </w:rPr>
        <w:t xml:space="preserve"> Google </w:t>
      </w:r>
      <w:r w:rsidR="00A575BC" w:rsidRPr="005545AF">
        <w:rPr>
          <w:iCs/>
          <w:lang w:val="en-CA"/>
        </w:rPr>
        <w:t>acted as a reasonable person placed in the same circumstances</w:t>
      </w:r>
      <w:r w:rsidR="002F2C23" w:rsidRPr="005545AF">
        <w:rPr>
          <w:iCs/>
          <w:lang w:val="en-CA"/>
        </w:rPr>
        <w:t>,</w:t>
      </w:r>
      <w:r w:rsidR="00A575BC" w:rsidRPr="005545AF">
        <w:rPr>
          <w:iCs/>
          <w:lang w:val="en-CA"/>
        </w:rPr>
        <w:t xml:space="preserve"> considering s</w:t>
      </w:r>
      <w:r w:rsidR="002F2C23" w:rsidRPr="005545AF">
        <w:rPr>
          <w:iCs/>
          <w:lang w:val="en-CA"/>
        </w:rPr>
        <w:t>ection</w:t>
      </w:r>
      <w:r w:rsidR="002802DA" w:rsidRPr="005545AF">
        <w:rPr>
          <w:iCs/>
          <w:lang w:val="en-CA"/>
        </w:rPr>
        <w:t xml:space="preserve"> 22 </w:t>
      </w:r>
      <w:r w:rsidR="00A575BC" w:rsidRPr="005545AF">
        <w:rPr>
          <w:i/>
          <w:iCs/>
          <w:lang w:val="en-CA"/>
        </w:rPr>
        <w:t>IT Framework Act</w:t>
      </w:r>
      <w:r w:rsidR="002802DA" w:rsidRPr="005545AF">
        <w:rPr>
          <w:iCs/>
          <w:lang w:val="en-CA"/>
        </w:rPr>
        <w:t xml:space="preserve">. </w:t>
      </w:r>
      <w:r w:rsidR="00A575BC" w:rsidRPr="005545AF">
        <w:rPr>
          <w:iCs/>
          <w:lang w:val="en-CA"/>
        </w:rPr>
        <w:t>Th</w:t>
      </w:r>
      <w:r w:rsidR="002F2C23" w:rsidRPr="005545AF">
        <w:rPr>
          <w:iCs/>
          <w:lang w:val="en-CA"/>
        </w:rPr>
        <w:t>e</w:t>
      </w:r>
      <w:r w:rsidR="00A575BC" w:rsidRPr="005545AF">
        <w:rPr>
          <w:iCs/>
          <w:lang w:val="en-CA"/>
        </w:rPr>
        <w:t xml:space="preserve">se </w:t>
      </w:r>
      <w:r w:rsidR="002F2C23" w:rsidRPr="005545AF">
        <w:rPr>
          <w:iCs/>
          <w:lang w:val="en-CA"/>
        </w:rPr>
        <w:t>elements</w:t>
      </w:r>
      <w:r w:rsidR="00A575BC" w:rsidRPr="005545AF">
        <w:rPr>
          <w:iCs/>
          <w:lang w:val="en-CA"/>
        </w:rPr>
        <w:t xml:space="preserve"> being obviously absent in </w:t>
      </w:r>
      <w:r w:rsidR="002802DA" w:rsidRPr="005545AF">
        <w:rPr>
          <w:i/>
          <w:lang w:val="en-CA"/>
        </w:rPr>
        <w:t>Crookes</w:t>
      </w:r>
      <w:r w:rsidR="00A575BC" w:rsidRPr="005545AF">
        <w:rPr>
          <w:iCs/>
          <w:lang w:val="en-CA"/>
        </w:rPr>
        <w:t>,</w:t>
      </w:r>
      <w:r w:rsidR="002802DA" w:rsidRPr="005545AF">
        <w:rPr>
          <w:iCs/>
          <w:lang w:val="en-CA"/>
        </w:rPr>
        <w:t xml:space="preserve"> </w:t>
      </w:r>
      <w:r w:rsidR="00A575BC" w:rsidRPr="005545AF">
        <w:rPr>
          <w:iCs/>
          <w:lang w:val="en-CA"/>
        </w:rPr>
        <w:t>in which were applied the common law principles inherent to the tort of defamation</w:t>
      </w:r>
      <w:r w:rsidR="002F2C23" w:rsidRPr="005545AF">
        <w:rPr>
          <w:iCs/>
          <w:lang w:val="en-CA"/>
        </w:rPr>
        <w:t xml:space="preserve"> under that system</w:t>
      </w:r>
      <w:r w:rsidR="00A575BC" w:rsidRPr="005545AF">
        <w:rPr>
          <w:iCs/>
          <w:lang w:val="en-CA"/>
        </w:rPr>
        <w:t xml:space="preserve">, that decision </w:t>
      </w:r>
      <w:r w:rsidR="00424ED6" w:rsidRPr="005545AF">
        <w:rPr>
          <w:iCs/>
          <w:lang w:val="en-CA"/>
        </w:rPr>
        <w:t>canno</w:t>
      </w:r>
      <w:r w:rsidR="00A575BC" w:rsidRPr="005545AF">
        <w:rPr>
          <w:iCs/>
          <w:lang w:val="en-CA"/>
        </w:rPr>
        <w:t>t apply.</w:t>
      </w:r>
      <w:r w:rsidR="002802DA" w:rsidRPr="005545AF">
        <w:rPr>
          <w:rStyle w:val="Appelnotedebasdep"/>
          <w:iCs/>
          <w:lang w:val="en-CA"/>
        </w:rPr>
        <w:footnoteReference w:id="12"/>
      </w:r>
    </w:p>
    <w:p w14:paraId="76996BE5" w14:textId="4CEC92AC" w:rsidR="002802DA" w:rsidRPr="005545AF" w:rsidRDefault="00424ED6" w:rsidP="001F7377">
      <w:pPr>
        <w:pStyle w:val="Paragraphe"/>
        <w:spacing w:line="240" w:lineRule="auto"/>
        <w:rPr>
          <w:lang w:val="en-CA"/>
        </w:rPr>
      </w:pPr>
      <w:r w:rsidRPr="005545AF">
        <w:rPr>
          <w:iCs/>
          <w:lang w:val="en-CA"/>
        </w:rPr>
        <w:t>Applying</w:t>
      </w:r>
      <w:r w:rsidR="00684F99" w:rsidRPr="005545AF">
        <w:rPr>
          <w:iCs/>
          <w:lang w:val="en-CA"/>
        </w:rPr>
        <w:t xml:space="preserve"> those principles, the judge concluded that Google’s refusal to de-index from its search engine</w:t>
      </w:r>
      <w:r w:rsidR="002802DA" w:rsidRPr="005545AF">
        <w:rPr>
          <w:iCs/>
          <w:lang w:val="en-CA"/>
        </w:rPr>
        <w:t xml:space="preserve"> </w:t>
      </w:r>
      <w:r w:rsidR="00684F99" w:rsidRPr="005545AF">
        <w:rPr>
          <w:iCs/>
          <w:lang w:val="en-CA"/>
        </w:rPr>
        <w:t xml:space="preserve">the </w:t>
      </w:r>
      <w:r w:rsidR="002802DA" w:rsidRPr="005545AF">
        <w:rPr>
          <w:iCs/>
          <w:lang w:val="en-CA"/>
        </w:rPr>
        <w:t>URL</w:t>
      </w:r>
      <w:r w:rsidR="00684F99" w:rsidRPr="005545AF">
        <w:rPr>
          <w:iCs/>
          <w:lang w:val="en-CA"/>
        </w:rPr>
        <w:t xml:space="preserve"> link </w:t>
      </w:r>
      <w:r w:rsidR="00586D45" w:rsidRPr="005545AF">
        <w:rPr>
          <w:iCs/>
          <w:lang w:val="en-CA"/>
        </w:rPr>
        <w:t>of</w:t>
      </w:r>
      <w:r w:rsidR="00684F99" w:rsidRPr="005545AF">
        <w:rPr>
          <w:iCs/>
          <w:lang w:val="en-CA"/>
        </w:rPr>
        <w:t xml:space="preserve"> content</w:t>
      </w:r>
      <w:r w:rsidR="002802DA" w:rsidRPr="005545AF">
        <w:rPr>
          <w:iCs/>
          <w:lang w:val="en-CA"/>
        </w:rPr>
        <w:t xml:space="preserve"> </w:t>
      </w:r>
      <w:r w:rsidR="00684F99" w:rsidRPr="005545AF">
        <w:rPr>
          <w:iCs/>
          <w:lang w:val="en-CA"/>
        </w:rPr>
        <w:t xml:space="preserve">that it knew to be defamatory </w:t>
      </w:r>
      <w:r w:rsidR="002802DA" w:rsidRPr="005545AF">
        <w:rPr>
          <w:lang w:val="en-CA"/>
        </w:rPr>
        <w:t xml:space="preserve">– </w:t>
      </w:r>
      <w:r w:rsidR="00684F99" w:rsidRPr="005545AF">
        <w:rPr>
          <w:iCs/>
          <w:lang w:val="en-CA"/>
        </w:rPr>
        <w:t>and therefore illicit</w:t>
      </w:r>
      <w:r w:rsidR="002802DA" w:rsidRPr="005545AF">
        <w:rPr>
          <w:iCs/>
          <w:lang w:val="en-CA"/>
        </w:rPr>
        <w:t xml:space="preserve"> </w:t>
      </w:r>
      <w:r w:rsidR="002802DA" w:rsidRPr="005545AF">
        <w:rPr>
          <w:lang w:val="en-CA"/>
        </w:rPr>
        <w:t>–</w:t>
      </w:r>
      <w:r w:rsidR="002802DA" w:rsidRPr="005545AF">
        <w:rPr>
          <w:iCs/>
          <w:lang w:val="en-CA"/>
        </w:rPr>
        <w:t xml:space="preserve"> </w:t>
      </w:r>
      <w:r w:rsidR="00684F99" w:rsidRPr="005545AF">
        <w:rPr>
          <w:iCs/>
          <w:lang w:val="en-CA"/>
        </w:rPr>
        <w:t>with</w:t>
      </w:r>
      <w:r w:rsidRPr="005545AF">
        <w:rPr>
          <w:iCs/>
          <w:lang w:val="en-CA"/>
        </w:rPr>
        <w:t>out</w:t>
      </w:r>
      <w:r w:rsidR="00684F99" w:rsidRPr="005545AF">
        <w:rPr>
          <w:iCs/>
          <w:lang w:val="en-CA"/>
        </w:rPr>
        <w:t xml:space="preserve"> further public interest reasons</w:t>
      </w:r>
      <w:r w:rsidR="002802DA" w:rsidRPr="005545AF">
        <w:rPr>
          <w:iCs/>
          <w:lang w:val="en-CA"/>
        </w:rPr>
        <w:t>, constitu</w:t>
      </w:r>
      <w:r w:rsidR="00684F99" w:rsidRPr="005545AF">
        <w:rPr>
          <w:iCs/>
          <w:lang w:val="en-CA"/>
        </w:rPr>
        <w:t>ted</w:t>
      </w:r>
      <w:r w:rsidR="002802DA" w:rsidRPr="005545AF">
        <w:rPr>
          <w:iCs/>
          <w:lang w:val="en-CA"/>
        </w:rPr>
        <w:t xml:space="preserve"> </w:t>
      </w:r>
      <w:r w:rsidR="00684F99" w:rsidRPr="005545AF">
        <w:rPr>
          <w:iCs/>
          <w:lang w:val="en-CA"/>
        </w:rPr>
        <w:t>a fault under both s</w:t>
      </w:r>
      <w:r w:rsidRPr="005545AF">
        <w:rPr>
          <w:iCs/>
          <w:lang w:val="en-CA"/>
        </w:rPr>
        <w:t>ection</w:t>
      </w:r>
      <w:r w:rsidR="002802DA" w:rsidRPr="005545AF">
        <w:rPr>
          <w:iCs/>
          <w:lang w:val="en-CA"/>
        </w:rPr>
        <w:t xml:space="preserve"> 22 </w:t>
      </w:r>
      <w:r w:rsidR="00684F99" w:rsidRPr="005545AF">
        <w:rPr>
          <w:i/>
          <w:iCs/>
          <w:lang w:val="en-CA"/>
        </w:rPr>
        <w:t>IT Framework Act</w:t>
      </w:r>
      <w:r w:rsidR="002802DA" w:rsidRPr="005545AF">
        <w:rPr>
          <w:iCs/>
          <w:lang w:val="en-CA"/>
        </w:rPr>
        <w:t xml:space="preserve"> </w:t>
      </w:r>
      <w:r w:rsidR="00684F99" w:rsidRPr="005545AF">
        <w:rPr>
          <w:iCs/>
          <w:lang w:val="en-CA"/>
        </w:rPr>
        <w:t>and art</w:t>
      </w:r>
      <w:r w:rsidRPr="005545AF">
        <w:rPr>
          <w:iCs/>
          <w:lang w:val="en-CA"/>
        </w:rPr>
        <w:t>icle</w:t>
      </w:r>
      <w:r w:rsidR="002802DA" w:rsidRPr="005545AF">
        <w:rPr>
          <w:iCs/>
          <w:lang w:val="en-CA"/>
        </w:rPr>
        <w:t xml:space="preserve"> 1457 </w:t>
      </w:r>
      <w:r w:rsidR="002802DA" w:rsidRPr="005545AF">
        <w:rPr>
          <w:i/>
          <w:iCs/>
          <w:lang w:val="en-CA"/>
        </w:rPr>
        <w:t>C.</w:t>
      </w:r>
      <w:r w:rsidR="00684F99" w:rsidRPr="005545AF">
        <w:rPr>
          <w:i/>
          <w:iCs/>
          <w:lang w:val="en-CA"/>
        </w:rPr>
        <w:t>C</w:t>
      </w:r>
      <w:r w:rsidR="002802DA" w:rsidRPr="005545AF">
        <w:rPr>
          <w:i/>
          <w:iCs/>
          <w:lang w:val="en-CA"/>
        </w:rPr>
        <w:t>.Q.</w:t>
      </w:r>
      <w:r w:rsidR="002802DA" w:rsidRPr="005545AF">
        <w:rPr>
          <w:iCs/>
          <w:lang w:val="en-CA"/>
        </w:rPr>
        <w:t xml:space="preserve"> </w:t>
      </w:r>
      <w:r w:rsidR="00684F99" w:rsidRPr="005545AF">
        <w:rPr>
          <w:iCs/>
          <w:lang w:val="en-CA"/>
        </w:rPr>
        <w:t>In fact</w:t>
      </w:r>
      <w:r w:rsidR="002802DA" w:rsidRPr="005545AF">
        <w:rPr>
          <w:iCs/>
          <w:lang w:val="en-CA"/>
        </w:rPr>
        <w:t xml:space="preserve">, </w:t>
      </w:r>
      <w:r w:rsidR="00684F99" w:rsidRPr="005545AF">
        <w:rPr>
          <w:iCs/>
          <w:lang w:val="en-CA"/>
        </w:rPr>
        <w:t>he added</w:t>
      </w:r>
      <w:r w:rsidR="002802DA" w:rsidRPr="005545AF">
        <w:rPr>
          <w:iCs/>
          <w:lang w:val="en-CA"/>
        </w:rPr>
        <w:t>, Google</w:t>
      </w:r>
      <w:r w:rsidR="00684F99" w:rsidRPr="005545AF">
        <w:rPr>
          <w:iCs/>
          <w:lang w:val="en-CA"/>
        </w:rPr>
        <w:t>’s conduct prior to</w:t>
      </w:r>
      <w:r w:rsidR="002802DA" w:rsidRPr="005545AF">
        <w:rPr>
          <w:iCs/>
          <w:lang w:val="en-CA"/>
        </w:rPr>
        <w:t xml:space="preserve"> </w:t>
      </w:r>
      <w:r w:rsidR="002802DA" w:rsidRPr="005545AF">
        <w:rPr>
          <w:i/>
          <w:lang w:val="en-CA"/>
        </w:rPr>
        <w:t>Crookes</w:t>
      </w:r>
      <w:r w:rsidR="002802DA" w:rsidRPr="005545AF">
        <w:rPr>
          <w:iCs/>
          <w:lang w:val="en-CA"/>
        </w:rPr>
        <w:t xml:space="preserve">, </w:t>
      </w:r>
      <w:r w:rsidR="00684F99" w:rsidRPr="005545AF">
        <w:rPr>
          <w:iCs/>
          <w:lang w:val="en-CA"/>
        </w:rPr>
        <w:t>wh</w:t>
      </w:r>
      <w:r w:rsidR="00D3303C" w:rsidRPr="005545AF">
        <w:rPr>
          <w:iCs/>
          <w:lang w:val="en-CA"/>
        </w:rPr>
        <w:t>ereas</w:t>
      </w:r>
      <w:r w:rsidR="00684F99" w:rsidRPr="005545AF">
        <w:rPr>
          <w:iCs/>
          <w:lang w:val="en-CA"/>
        </w:rPr>
        <w:t xml:space="preserve"> it </w:t>
      </w:r>
      <w:r w:rsidRPr="005545AF">
        <w:rPr>
          <w:iCs/>
          <w:lang w:val="en-CA"/>
        </w:rPr>
        <w:t xml:space="preserve">had </w:t>
      </w:r>
      <w:r w:rsidR="00684F99" w:rsidRPr="005545AF">
        <w:rPr>
          <w:iCs/>
          <w:lang w:val="en-CA"/>
        </w:rPr>
        <w:t xml:space="preserve">voluntarily agreed to de-index the </w:t>
      </w:r>
      <w:r w:rsidR="002802DA" w:rsidRPr="005545AF">
        <w:rPr>
          <w:iCs/>
          <w:lang w:val="en-CA"/>
        </w:rPr>
        <w:t>URL</w:t>
      </w:r>
      <w:r w:rsidR="00684F99" w:rsidRPr="005545AF">
        <w:rPr>
          <w:iCs/>
          <w:lang w:val="en-CA"/>
        </w:rPr>
        <w:t xml:space="preserve"> link</w:t>
      </w:r>
      <w:r w:rsidR="002802DA" w:rsidRPr="005545AF">
        <w:rPr>
          <w:iCs/>
          <w:lang w:val="en-CA"/>
        </w:rPr>
        <w:t>, constitu</w:t>
      </w:r>
      <w:r w:rsidR="00684F99" w:rsidRPr="005545AF">
        <w:rPr>
          <w:iCs/>
          <w:lang w:val="en-CA"/>
        </w:rPr>
        <w:t>ted</w:t>
      </w:r>
      <w:r w:rsidR="002802DA" w:rsidRPr="005545AF">
        <w:rPr>
          <w:iCs/>
          <w:lang w:val="en-CA"/>
        </w:rPr>
        <w:t xml:space="preserve"> </w:t>
      </w:r>
      <w:r w:rsidR="00684F99" w:rsidRPr="005545AF">
        <w:rPr>
          <w:iCs/>
          <w:lang w:val="en-CA"/>
        </w:rPr>
        <w:t>an</w:t>
      </w:r>
      <w:r w:rsidR="002802DA" w:rsidRPr="005545AF">
        <w:rPr>
          <w:iCs/>
          <w:lang w:val="en-CA"/>
        </w:rPr>
        <w:t xml:space="preserve"> admission </w:t>
      </w:r>
      <w:r w:rsidR="00684F99" w:rsidRPr="005545AF">
        <w:rPr>
          <w:iCs/>
          <w:lang w:val="en-CA"/>
        </w:rPr>
        <w:t>o</w:t>
      </w:r>
      <w:r w:rsidRPr="005545AF">
        <w:rPr>
          <w:iCs/>
          <w:lang w:val="en-CA"/>
        </w:rPr>
        <w:t>f</w:t>
      </w:r>
      <w:r w:rsidR="00684F99" w:rsidRPr="005545AF">
        <w:rPr>
          <w:iCs/>
          <w:lang w:val="en-CA"/>
        </w:rPr>
        <w:t xml:space="preserve"> the illicit nature of the </w:t>
      </w:r>
      <w:r w:rsidR="004A5D7E" w:rsidRPr="005545AF">
        <w:rPr>
          <w:iCs/>
          <w:lang w:val="en-CA"/>
        </w:rPr>
        <w:t>Impugned Post</w:t>
      </w:r>
      <w:r w:rsidR="00684F99" w:rsidRPr="005545AF">
        <w:rPr>
          <w:iCs/>
          <w:lang w:val="en-CA"/>
        </w:rPr>
        <w:t xml:space="preserve"> </w:t>
      </w:r>
      <w:r w:rsidRPr="005545AF">
        <w:rPr>
          <w:iCs/>
          <w:lang w:val="en-CA"/>
        </w:rPr>
        <w:t>under section</w:t>
      </w:r>
      <w:r w:rsidR="002802DA" w:rsidRPr="005545AF">
        <w:rPr>
          <w:iCs/>
          <w:lang w:val="en-CA"/>
        </w:rPr>
        <w:t xml:space="preserve"> 22 </w:t>
      </w:r>
      <w:r w:rsidR="00684F99" w:rsidRPr="005545AF">
        <w:rPr>
          <w:i/>
          <w:lang w:val="en-CA"/>
        </w:rPr>
        <w:t>IT Framework Act</w:t>
      </w:r>
      <w:r w:rsidR="002802DA" w:rsidRPr="005545AF">
        <w:rPr>
          <w:iCs/>
          <w:lang w:val="en-CA"/>
        </w:rPr>
        <w:t xml:space="preserve"> </w:t>
      </w:r>
      <w:r w:rsidR="00684F99" w:rsidRPr="005545AF">
        <w:rPr>
          <w:iCs/>
          <w:lang w:val="en-CA"/>
        </w:rPr>
        <w:t xml:space="preserve">and </w:t>
      </w:r>
      <w:r w:rsidRPr="005545AF">
        <w:rPr>
          <w:iCs/>
          <w:lang w:val="en-CA"/>
        </w:rPr>
        <w:t xml:space="preserve">of </w:t>
      </w:r>
      <w:r w:rsidR="00684F99" w:rsidRPr="005545AF">
        <w:rPr>
          <w:iCs/>
          <w:lang w:val="en-CA"/>
        </w:rPr>
        <w:t xml:space="preserve">the </w:t>
      </w:r>
      <w:r w:rsidRPr="005545AF">
        <w:rPr>
          <w:iCs/>
          <w:lang w:val="en-CA"/>
        </w:rPr>
        <w:t xml:space="preserve">indexing’s </w:t>
      </w:r>
      <w:r w:rsidR="00684F99" w:rsidRPr="005545AF">
        <w:rPr>
          <w:iCs/>
          <w:lang w:val="en-CA"/>
        </w:rPr>
        <w:t>wrongfulness.</w:t>
      </w:r>
      <w:r w:rsidR="002802DA" w:rsidRPr="005545AF">
        <w:rPr>
          <w:rStyle w:val="Appelnotedebasdep"/>
          <w:iCs/>
          <w:lang w:val="en-CA"/>
        </w:rPr>
        <w:footnoteReference w:id="13"/>
      </w:r>
    </w:p>
    <w:p w14:paraId="76CD1CD6" w14:textId="43E69A68" w:rsidR="002802DA" w:rsidRPr="005545AF" w:rsidRDefault="00D3303C" w:rsidP="001F7377">
      <w:pPr>
        <w:pStyle w:val="Paragraphe"/>
        <w:spacing w:line="240" w:lineRule="auto"/>
        <w:rPr>
          <w:lang w:val="en-CA"/>
        </w:rPr>
      </w:pPr>
      <w:r w:rsidRPr="005545AF">
        <w:rPr>
          <w:iCs/>
          <w:lang w:val="en-CA"/>
        </w:rPr>
        <w:t xml:space="preserve">The judge </w:t>
      </w:r>
      <w:r w:rsidR="00BE0A44" w:rsidRPr="005545AF">
        <w:rPr>
          <w:iCs/>
          <w:lang w:val="en-CA"/>
        </w:rPr>
        <w:t>underscored</w:t>
      </w:r>
      <w:r w:rsidRPr="005545AF">
        <w:rPr>
          <w:iCs/>
          <w:lang w:val="en-CA"/>
        </w:rPr>
        <w:t xml:space="preserve"> the limited scope of his conclusion</w:t>
      </w:r>
      <w:r w:rsidR="002802DA" w:rsidRPr="005545AF">
        <w:rPr>
          <w:iCs/>
          <w:lang w:val="en-CA"/>
        </w:rPr>
        <w:t xml:space="preserve">. </w:t>
      </w:r>
      <w:r w:rsidRPr="005545AF">
        <w:rPr>
          <w:iCs/>
          <w:lang w:val="en-CA"/>
        </w:rPr>
        <w:t xml:space="preserve">He noted that the </w:t>
      </w:r>
      <w:r w:rsidR="00E40972" w:rsidRPr="005545AF">
        <w:rPr>
          <w:iCs/>
          <w:lang w:val="en-CA"/>
        </w:rPr>
        <w:t>wording</w:t>
      </w:r>
      <w:r w:rsidRPr="005545AF">
        <w:rPr>
          <w:iCs/>
          <w:lang w:val="en-CA"/>
        </w:rPr>
        <w:t xml:space="preserve"> of s</w:t>
      </w:r>
      <w:r w:rsidR="00C74EE3" w:rsidRPr="005545AF">
        <w:rPr>
          <w:iCs/>
          <w:lang w:val="en-CA"/>
        </w:rPr>
        <w:t>ection</w:t>
      </w:r>
      <w:r w:rsidR="002802DA" w:rsidRPr="005545AF">
        <w:rPr>
          <w:iCs/>
          <w:lang w:val="en-CA"/>
        </w:rPr>
        <w:t xml:space="preserve"> 22</w:t>
      </w:r>
      <w:r w:rsidRPr="005545AF">
        <w:rPr>
          <w:iCs/>
          <w:lang w:val="en-CA"/>
        </w:rPr>
        <w:t xml:space="preserve"> of the</w:t>
      </w:r>
      <w:r w:rsidR="002802DA" w:rsidRPr="005545AF">
        <w:rPr>
          <w:iCs/>
          <w:lang w:val="en-CA"/>
        </w:rPr>
        <w:t xml:space="preserve"> </w:t>
      </w:r>
      <w:r w:rsidRPr="005545AF">
        <w:rPr>
          <w:i/>
          <w:lang w:val="en-CA"/>
        </w:rPr>
        <w:t>IT Framework Act</w:t>
      </w:r>
      <w:r w:rsidR="002802DA" w:rsidRPr="005545AF">
        <w:rPr>
          <w:iCs/>
          <w:lang w:val="en-CA"/>
        </w:rPr>
        <w:t xml:space="preserve"> </w:t>
      </w:r>
      <w:r w:rsidRPr="005545AF">
        <w:rPr>
          <w:iCs/>
          <w:lang w:val="en-CA"/>
        </w:rPr>
        <w:t>itself required a certain level of certainty as to the illicit – in this case defamatory – nature of th</w:t>
      </w:r>
      <w:r w:rsidR="00BE0A44" w:rsidRPr="005545AF">
        <w:rPr>
          <w:iCs/>
          <w:lang w:val="en-CA"/>
        </w:rPr>
        <w:t>e information</w:t>
      </w:r>
      <w:r w:rsidR="002802DA" w:rsidRPr="005545AF">
        <w:rPr>
          <w:iCs/>
          <w:lang w:val="en-CA"/>
        </w:rPr>
        <w:t xml:space="preserve">. Google </w:t>
      </w:r>
      <w:r w:rsidR="00BE0A44" w:rsidRPr="005545AF">
        <w:rPr>
          <w:iCs/>
          <w:lang w:val="en-CA"/>
        </w:rPr>
        <w:t>could therefore</w:t>
      </w:r>
      <w:r w:rsidR="00C9098F" w:rsidRPr="005545AF">
        <w:rPr>
          <w:iCs/>
          <w:lang w:val="en-CA"/>
        </w:rPr>
        <w:t xml:space="preserve"> submit</w:t>
      </w:r>
      <w:r w:rsidR="00E40972" w:rsidRPr="005545AF">
        <w:rPr>
          <w:iCs/>
          <w:lang w:val="en-CA"/>
        </w:rPr>
        <w:t xml:space="preserve">, </w:t>
      </w:r>
      <w:r w:rsidR="00BE0A44" w:rsidRPr="005545AF">
        <w:rPr>
          <w:iCs/>
          <w:lang w:val="en-CA"/>
        </w:rPr>
        <w:t>under that section</w:t>
      </w:r>
      <w:r w:rsidR="002802DA" w:rsidRPr="005545AF">
        <w:rPr>
          <w:iCs/>
          <w:lang w:val="en-CA"/>
        </w:rPr>
        <w:t xml:space="preserve">, </w:t>
      </w:r>
      <w:r w:rsidR="00BE0A44" w:rsidRPr="005545AF">
        <w:rPr>
          <w:iCs/>
          <w:lang w:val="en-CA"/>
        </w:rPr>
        <w:t xml:space="preserve">the de-indexing </w:t>
      </w:r>
      <w:r w:rsidR="00376313" w:rsidRPr="005545AF">
        <w:rPr>
          <w:iCs/>
          <w:lang w:val="en-CA"/>
        </w:rPr>
        <w:t>to the demonstration of the</w:t>
      </w:r>
      <w:r w:rsidR="00C9098F" w:rsidRPr="005545AF">
        <w:rPr>
          <w:iCs/>
          <w:lang w:val="en-CA"/>
        </w:rPr>
        <w:t xml:space="preserve"> content’s</w:t>
      </w:r>
      <w:r w:rsidR="00376313" w:rsidRPr="005545AF">
        <w:rPr>
          <w:iCs/>
          <w:lang w:val="en-CA"/>
        </w:rPr>
        <w:t xml:space="preserve"> illicit nature </w:t>
      </w:r>
      <w:r w:rsidR="00C9098F" w:rsidRPr="005545AF">
        <w:rPr>
          <w:iCs/>
          <w:lang w:val="en-CA"/>
        </w:rPr>
        <w:t xml:space="preserve">with regard to the </w:t>
      </w:r>
      <w:r w:rsidR="00376313" w:rsidRPr="005545AF">
        <w:rPr>
          <w:iCs/>
          <w:lang w:val="en-CA"/>
        </w:rPr>
        <w:t>applicable law or its policies</w:t>
      </w:r>
      <w:r w:rsidR="002802DA" w:rsidRPr="005545AF">
        <w:rPr>
          <w:iCs/>
          <w:lang w:val="en-CA"/>
        </w:rPr>
        <w:t xml:space="preserve">. </w:t>
      </w:r>
      <w:r w:rsidR="00082687" w:rsidRPr="005545AF">
        <w:rPr>
          <w:iCs/>
          <w:lang w:val="en-CA"/>
        </w:rPr>
        <w:t>In the case at bar, however</w:t>
      </w:r>
      <w:r w:rsidR="002802DA" w:rsidRPr="005545AF">
        <w:rPr>
          <w:iCs/>
          <w:lang w:val="en-CA"/>
        </w:rPr>
        <w:t xml:space="preserve">, </w:t>
      </w:r>
      <w:r w:rsidR="00082687" w:rsidRPr="005545AF">
        <w:rPr>
          <w:iCs/>
          <w:lang w:val="en-CA"/>
        </w:rPr>
        <w:t xml:space="preserve">the </w:t>
      </w:r>
      <w:r w:rsidR="00E40972" w:rsidRPr="005545AF">
        <w:rPr>
          <w:iCs/>
          <w:lang w:val="en-CA"/>
        </w:rPr>
        <w:t>illicitness</w:t>
      </w:r>
      <w:r w:rsidR="00082687" w:rsidRPr="005545AF">
        <w:rPr>
          <w:iCs/>
          <w:lang w:val="en-CA"/>
        </w:rPr>
        <w:t xml:space="preserve"> of the </w:t>
      </w:r>
      <w:r w:rsidR="004A5D7E" w:rsidRPr="005545AF">
        <w:rPr>
          <w:iCs/>
          <w:lang w:val="en-CA"/>
        </w:rPr>
        <w:t>Impugned Post</w:t>
      </w:r>
      <w:r w:rsidR="002802DA" w:rsidRPr="005545AF">
        <w:rPr>
          <w:iCs/>
          <w:lang w:val="en-CA"/>
        </w:rPr>
        <w:t xml:space="preserve">, </w:t>
      </w:r>
      <w:r w:rsidR="00E40972" w:rsidRPr="005545AF">
        <w:rPr>
          <w:iCs/>
          <w:lang w:val="en-CA"/>
        </w:rPr>
        <w:t>by reason of</w:t>
      </w:r>
      <w:r w:rsidR="00082687" w:rsidRPr="005545AF">
        <w:rPr>
          <w:iCs/>
          <w:lang w:val="en-CA"/>
        </w:rPr>
        <w:t xml:space="preserve"> its defamatory nature</w:t>
      </w:r>
      <w:r w:rsidR="002802DA" w:rsidRPr="005545AF">
        <w:rPr>
          <w:iCs/>
          <w:lang w:val="en-CA"/>
        </w:rPr>
        <w:t xml:space="preserve">, </w:t>
      </w:r>
      <w:r w:rsidR="00082687" w:rsidRPr="005545AF">
        <w:rPr>
          <w:iCs/>
          <w:lang w:val="en-CA"/>
        </w:rPr>
        <w:t>leaves room for no doubt and is moreover not disputed by</w:t>
      </w:r>
      <w:r w:rsidR="002802DA" w:rsidRPr="005545AF">
        <w:rPr>
          <w:iCs/>
          <w:lang w:val="en-CA"/>
        </w:rPr>
        <w:t xml:space="preserve"> Google</w:t>
      </w:r>
      <w:r w:rsidR="00082687" w:rsidRPr="005545AF">
        <w:rPr>
          <w:iCs/>
          <w:lang w:val="en-CA"/>
        </w:rPr>
        <w:t>.</w:t>
      </w:r>
      <w:r w:rsidR="002802DA" w:rsidRPr="005545AF">
        <w:rPr>
          <w:rStyle w:val="Appelnotedebasdep"/>
          <w:iCs/>
          <w:lang w:val="en-CA"/>
        </w:rPr>
        <w:footnoteReference w:id="14"/>
      </w:r>
    </w:p>
    <w:p w14:paraId="35D82645" w14:textId="7C372E08" w:rsidR="002802DA" w:rsidRPr="005545AF" w:rsidRDefault="00D3303C" w:rsidP="001F7377">
      <w:pPr>
        <w:pStyle w:val="Paragraphe"/>
        <w:spacing w:line="240" w:lineRule="auto"/>
        <w:rPr>
          <w:lang w:val="en-CA"/>
        </w:rPr>
      </w:pPr>
      <w:r w:rsidRPr="005545AF">
        <w:rPr>
          <w:lang w:val="en-CA"/>
        </w:rPr>
        <w:t>The judge then</w:t>
      </w:r>
      <w:r w:rsidR="00376313" w:rsidRPr="005545AF">
        <w:rPr>
          <w:lang w:val="en-CA"/>
        </w:rPr>
        <w:t xml:space="preserve"> </w:t>
      </w:r>
      <w:r w:rsidR="00DF6133" w:rsidRPr="005545AF">
        <w:rPr>
          <w:lang w:val="en-CA"/>
        </w:rPr>
        <w:t>drew a connection between</w:t>
      </w:r>
      <w:r w:rsidR="00376313" w:rsidRPr="005545AF">
        <w:rPr>
          <w:lang w:val="en-CA"/>
        </w:rPr>
        <w:t xml:space="preserve"> that</w:t>
      </w:r>
      <w:r w:rsidR="002802DA" w:rsidRPr="005545AF">
        <w:rPr>
          <w:lang w:val="en-CA"/>
        </w:rPr>
        <w:t xml:space="preserve"> </w:t>
      </w:r>
      <w:r w:rsidR="00376313" w:rsidRPr="005545AF">
        <w:rPr>
          <w:lang w:val="en-CA"/>
        </w:rPr>
        <w:t>state of affairs</w:t>
      </w:r>
      <w:r w:rsidR="00C9098F" w:rsidRPr="005545AF">
        <w:rPr>
          <w:lang w:val="en-CA"/>
        </w:rPr>
        <w:t xml:space="preserve">, </w:t>
      </w:r>
      <w:r w:rsidR="00376313" w:rsidRPr="005545AF">
        <w:rPr>
          <w:lang w:val="en-CA"/>
        </w:rPr>
        <w:t>the standard of conduct</w:t>
      </w:r>
      <w:r w:rsidR="00DF6133" w:rsidRPr="005545AF">
        <w:rPr>
          <w:lang w:val="en-CA"/>
        </w:rPr>
        <w:t xml:space="preserve"> incumbent upon</w:t>
      </w:r>
      <w:r w:rsidR="00C9098F" w:rsidRPr="005545AF">
        <w:rPr>
          <w:lang w:val="en-CA"/>
        </w:rPr>
        <w:t xml:space="preserve"> Google </w:t>
      </w:r>
      <w:r w:rsidR="00376313" w:rsidRPr="005545AF">
        <w:rPr>
          <w:lang w:val="en-CA"/>
        </w:rPr>
        <w:t>and</w:t>
      </w:r>
      <w:r w:rsidR="00C9098F" w:rsidRPr="005545AF">
        <w:rPr>
          <w:lang w:val="en-CA"/>
        </w:rPr>
        <w:t xml:space="preserve"> the</w:t>
      </w:r>
      <w:r w:rsidR="00376313" w:rsidRPr="005545AF">
        <w:rPr>
          <w:lang w:val="en-CA"/>
        </w:rPr>
        <w:t xml:space="preserve"> role that </w:t>
      </w:r>
      <w:r w:rsidR="00C9098F" w:rsidRPr="005545AF">
        <w:rPr>
          <w:lang w:val="en-CA"/>
        </w:rPr>
        <w:t xml:space="preserve">it </w:t>
      </w:r>
      <w:r w:rsidR="00376313" w:rsidRPr="005545AF">
        <w:rPr>
          <w:lang w:val="en-CA"/>
        </w:rPr>
        <w:t>claimed to assume</w:t>
      </w:r>
      <w:r w:rsidR="002802DA" w:rsidRPr="005545AF">
        <w:rPr>
          <w:lang w:val="en-CA"/>
        </w:rPr>
        <w:t xml:space="preserve">. </w:t>
      </w:r>
      <w:r w:rsidR="00376313" w:rsidRPr="005545AF">
        <w:rPr>
          <w:lang w:val="en-CA"/>
        </w:rPr>
        <w:t>On that point</w:t>
      </w:r>
      <w:r w:rsidR="002802DA" w:rsidRPr="005545AF">
        <w:rPr>
          <w:lang w:val="en-CA"/>
        </w:rPr>
        <w:t xml:space="preserve">, </w:t>
      </w:r>
      <w:r w:rsidR="00376313" w:rsidRPr="005545AF">
        <w:rPr>
          <w:lang w:val="en-CA"/>
        </w:rPr>
        <w:t xml:space="preserve">he noted that </w:t>
      </w:r>
      <w:r w:rsidR="00A87FF3" w:rsidRPr="005545AF">
        <w:rPr>
          <w:lang w:val="en-CA"/>
        </w:rPr>
        <w:t>while</w:t>
      </w:r>
      <w:r w:rsidR="002802DA" w:rsidRPr="005545AF">
        <w:rPr>
          <w:lang w:val="en-CA"/>
        </w:rPr>
        <w:t xml:space="preserve"> Google </w:t>
      </w:r>
      <w:r w:rsidR="00376313" w:rsidRPr="005545AF">
        <w:rPr>
          <w:lang w:val="en-CA"/>
        </w:rPr>
        <w:t>sometimes represent</w:t>
      </w:r>
      <w:r w:rsidR="00020416" w:rsidRPr="005545AF">
        <w:rPr>
          <w:lang w:val="en-CA"/>
        </w:rPr>
        <w:t>ed</w:t>
      </w:r>
      <w:r w:rsidR="00A87FF3" w:rsidRPr="005545AF">
        <w:rPr>
          <w:lang w:val="en-CA"/>
        </w:rPr>
        <w:t xml:space="preserve"> itself to b</w:t>
      </w:r>
      <w:r w:rsidR="00F3447A" w:rsidRPr="005545AF">
        <w:rPr>
          <w:lang w:val="en-CA"/>
        </w:rPr>
        <w:t>e</w:t>
      </w:r>
      <w:r w:rsidR="00A87FF3" w:rsidRPr="005545AF">
        <w:rPr>
          <w:lang w:val="en-CA"/>
        </w:rPr>
        <w:t xml:space="preserve"> a mere neutral messenger</w:t>
      </w:r>
      <w:r w:rsidR="002802DA" w:rsidRPr="005545AF">
        <w:rPr>
          <w:lang w:val="en-CA"/>
        </w:rPr>
        <w:t xml:space="preserve"> </w:t>
      </w:r>
      <w:r w:rsidR="00A87FF3" w:rsidRPr="005545AF">
        <w:rPr>
          <w:lang w:val="en-CA"/>
        </w:rPr>
        <w:lastRenderedPageBreak/>
        <w:t xml:space="preserve">making available all the information on the </w:t>
      </w:r>
      <w:r w:rsidR="00020416" w:rsidRPr="005545AF">
        <w:rPr>
          <w:lang w:val="en-CA"/>
        </w:rPr>
        <w:t>I</w:t>
      </w:r>
      <w:r w:rsidR="00A87FF3" w:rsidRPr="005545AF">
        <w:rPr>
          <w:lang w:val="en-CA"/>
        </w:rPr>
        <w:t xml:space="preserve">nternet, it also </w:t>
      </w:r>
      <w:r w:rsidR="00020416" w:rsidRPr="005545AF">
        <w:rPr>
          <w:lang w:val="en-CA"/>
        </w:rPr>
        <w:t>claimed</w:t>
      </w:r>
      <w:r w:rsidR="00A87FF3" w:rsidRPr="005545AF">
        <w:rPr>
          <w:lang w:val="en-CA"/>
        </w:rPr>
        <w:t xml:space="preserve">, </w:t>
      </w:r>
      <w:r w:rsidR="00F3447A" w:rsidRPr="005545AF">
        <w:rPr>
          <w:lang w:val="en-CA"/>
        </w:rPr>
        <w:t>somewhat contradictorily</w:t>
      </w:r>
      <w:r w:rsidR="00A87FF3" w:rsidRPr="005545AF">
        <w:rPr>
          <w:lang w:val="en-CA"/>
        </w:rPr>
        <w:t xml:space="preserve">, </w:t>
      </w:r>
      <w:r w:rsidR="00020416" w:rsidRPr="005545AF">
        <w:rPr>
          <w:lang w:val="en-CA"/>
        </w:rPr>
        <w:t>to</w:t>
      </w:r>
      <w:r w:rsidR="00A87FF3" w:rsidRPr="005545AF">
        <w:rPr>
          <w:lang w:val="en-CA"/>
        </w:rPr>
        <w:t xml:space="preserve"> assumes the role of curator</w:t>
      </w:r>
      <w:r w:rsidR="002802DA" w:rsidRPr="005545AF">
        <w:rPr>
          <w:lang w:val="en-CA"/>
        </w:rPr>
        <w:t xml:space="preserve"> </w:t>
      </w:r>
      <w:r w:rsidR="00A87FF3" w:rsidRPr="005545AF">
        <w:rPr>
          <w:lang w:val="en-CA"/>
        </w:rPr>
        <w:t>of helpful, credible and quality information by limiting harmful disinformation and illegal publications</w:t>
      </w:r>
      <w:r w:rsidR="002802DA" w:rsidRPr="005545AF">
        <w:rPr>
          <w:lang w:val="en-CA"/>
        </w:rPr>
        <w:t xml:space="preserve">. </w:t>
      </w:r>
      <w:r w:rsidR="00A87FF3" w:rsidRPr="005545AF">
        <w:rPr>
          <w:lang w:val="en-CA"/>
        </w:rPr>
        <w:t>The judge referred to</w:t>
      </w:r>
      <w:r w:rsidR="00020416" w:rsidRPr="005545AF">
        <w:rPr>
          <w:lang w:val="en-CA"/>
        </w:rPr>
        <w:t xml:space="preserve"> several</w:t>
      </w:r>
      <w:r w:rsidR="00A87FF3" w:rsidRPr="005545AF">
        <w:rPr>
          <w:lang w:val="en-CA"/>
        </w:rPr>
        <w:t xml:space="preserve"> </w:t>
      </w:r>
      <w:r w:rsidR="00020416" w:rsidRPr="005545AF">
        <w:rPr>
          <w:lang w:val="en-CA"/>
        </w:rPr>
        <w:t xml:space="preserve">statements by </w:t>
      </w:r>
      <w:r w:rsidR="00A87FF3" w:rsidRPr="005545AF">
        <w:rPr>
          <w:lang w:val="en-CA"/>
        </w:rPr>
        <w:t>Google</w:t>
      </w:r>
      <w:r w:rsidR="00020416" w:rsidRPr="005545AF">
        <w:rPr>
          <w:lang w:val="en-CA"/>
        </w:rPr>
        <w:t xml:space="preserve"> </w:t>
      </w:r>
      <w:r w:rsidR="00F3447A" w:rsidRPr="005545AF">
        <w:rPr>
          <w:lang w:val="en-CA"/>
        </w:rPr>
        <w:t>to that effect</w:t>
      </w:r>
      <w:r w:rsidR="002802DA" w:rsidRPr="005545AF">
        <w:rPr>
          <w:lang w:val="en-CA"/>
        </w:rPr>
        <w:t xml:space="preserve"> </w:t>
      </w:r>
      <w:r w:rsidR="00A87FF3" w:rsidRPr="005545AF">
        <w:rPr>
          <w:lang w:val="en-CA"/>
        </w:rPr>
        <w:t>and to the existence of internal policies that it nevertheless decline</w:t>
      </w:r>
      <w:r w:rsidR="001A5223" w:rsidRPr="005545AF">
        <w:rPr>
          <w:lang w:val="en-CA"/>
        </w:rPr>
        <w:t>d</w:t>
      </w:r>
      <w:r w:rsidR="00A87FF3" w:rsidRPr="005545AF">
        <w:rPr>
          <w:lang w:val="en-CA"/>
        </w:rPr>
        <w:t xml:space="preserve"> to communicate.</w:t>
      </w:r>
      <w:r w:rsidR="002802DA" w:rsidRPr="005545AF">
        <w:rPr>
          <w:rStyle w:val="Appelnotedebasdep"/>
          <w:lang w:val="en-CA"/>
        </w:rPr>
        <w:footnoteReference w:id="15"/>
      </w:r>
    </w:p>
    <w:p w14:paraId="4040E787" w14:textId="230E9229" w:rsidR="002802DA" w:rsidRPr="005545AF" w:rsidRDefault="007D540B" w:rsidP="001F7377">
      <w:pPr>
        <w:pStyle w:val="Paragraphe"/>
        <w:spacing w:line="240" w:lineRule="auto"/>
        <w:rPr>
          <w:lang w:val="en-CA"/>
        </w:rPr>
      </w:pPr>
      <w:r w:rsidRPr="005545AF">
        <w:rPr>
          <w:lang w:val="en-CA"/>
        </w:rPr>
        <w:t>In light of those reasons</w:t>
      </w:r>
      <w:r w:rsidR="002802DA" w:rsidRPr="005545AF">
        <w:rPr>
          <w:lang w:val="en-CA"/>
        </w:rPr>
        <w:t xml:space="preserve">, Google </w:t>
      </w:r>
      <w:r w:rsidRPr="005545AF">
        <w:rPr>
          <w:lang w:val="en-CA"/>
        </w:rPr>
        <w:t>argues in its incidental appeal that a bare link cannot be defamatory since it merely constitutes a series of letters or numbers and conveys no content</w:t>
      </w:r>
      <w:r w:rsidR="002802DA" w:rsidRPr="005545AF">
        <w:rPr>
          <w:lang w:val="en-CA"/>
        </w:rPr>
        <w:t xml:space="preserve">. </w:t>
      </w:r>
      <w:r w:rsidRPr="005545AF">
        <w:rPr>
          <w:lang w:val="en-CA"/>
        </w:rPr>
        <w:t>It also claims that the judge erred in holding that the reasoning in</w:t>
      </w:r>
      <w:r w:rsidR="002802DA" w:rsidRPr="005545AF">
        <w:rPr>
          <w:lang w:val="en-CA"/>
        </w:rPr>
        <w:t xml:space="preserve"> </w:t>
      </w:r>
      <w:r w:rsidR="002802DA" w:rsidRPr="005545AF">
        <w:rPr>
          <w:i/>
          <w:iCs/>
          <w:lang w:val="en-CA"/>
        </w:rPr>
        <w:t xml:space="preserve">Crookes </w:t>
      </w:r>
      <w:r w:rsidRPr="005545AF">
        <w:rPr>
          <w:lang w:val="en-CA"/>
        </w:rPr>
        <w:t>does not apply in Quebec law</w:t>
      </w:r>
      <w:r w:rsidR="002802DA" w:rsidRPr="005545AF">
        <w:rPr>
          <w:lang w:val="en-CA"/>
        </w:rPr>
        <w:t xml:space="preserve">. </w:t>
      </w:r>
      <w:r w:rsidRPr="005545AF">
        <w:rPr>
          <w:lang w:val="en-CA"/>
        </w:rPr>
        <w:t>In its view, although the civil law and common law each apply their own analytic</w:t>
      </w:r>
      <w:r w:rsidR="00F91C30" w:rsidRPr="005545AF">
        <w:rPr>
          <w:lang w:val="en-CA"/>
        </w:rPr>
        <w:t>al</w:t>
      </w:r>
      <w:r w:rsidRPr="005545AF">
        <w:rPr>
          <w:lang w:val="en-CA"/>
        </w:rPr>
        <w:t xml:space="preserve"> frameworks</w:t>
      </w:r>
      <w:r w:rsidR="002802DA" w:rsidRPr="005545AF">
        <w:rPr>
          <w:lang w:val="en-CA"/>
        </w:rPr>
        <w:t xml:space="preserve">, </w:t>
      </w:r>
      <w:r w:rsidRPr="005545AF">
        <w:rPr>
          <w:lang w:val="en-CA"/>
        </w:rPr>
        <w:t>they both</w:t>
      </w:r>
      <w:r w:rsidR="00E93FAC" w:rsidRPr="005545AF">
        <w:rPr>
          <w:lang w:val="en-CA"/>
        </w:rPr>
        <w:t xml:space="preserve"> </w:t>
      </w:r>
      <w:r w:rsidRPr="005545AF">
        <w:rPr>
          <w:lang w:val="en-CA"/>
        </w:rPr>
        <w:t>share</w:t>
      </w:r>
      <w:r w:rsidR="00E93FAC" w:rsidRPr="005545AF">
        <w:rPr>
          <w:lang w:val="en-CA"/>
        </w:rPr>
        <w:t xml:space="preserve"> the considerations and values that underpin </w:t>
      </w:r>
      <w:r w:rsidR="002802DA" w:rsidRPr="005545AF">
        <w:rPr>
          <w:i/>
          <w:iCs/>
          <w:lang w:val="en-CA"/>
        </w:rPr>
        <w:t>Crookes</w:t>
      </w:r>
      <w:r w:rsidR="002802DA" w:rsidRPr="005545AF">
        <w:rPr>
          <w:lang w:val="en-CA"/>
        </w:rPr>
        <w:t xml:space="preserve">, </w:t>
      </w:r>
      <w:r w:rsidR="00E93FAC" w:rsidRPr="005545AF">
        <w:rPr>
          <w:lang w:val="en-CA"/>
        </w:rPr>
        <w:t xml:space="preserve">including the protection of freedom of expression and the development of the </w:t>
      </w:r>
      <w:r w:rsidR="00020416" w:rsidRPr="005545AF">
        <w:rPr>
          <w:lang w:val="en-CA"/>
        </w:rPr>
        <w:t>I</w:t>
      </w:r>
      <w:r w:rsidR="00E93FAC" w:rsidRPr="005545AF">
        <w:rPr>
          <w:lang w:val="en-CA"/>
        </w:rPr>
        <w:t>nternet</w:t>
      </w:r>
      <w:r w:rsidR="002802DA" w:rsidRPr="005545AF">
        <w:rPr>
          <w:lang w:val="en-CA"/>
        </w:rPr>
        <w:t>.</w:t>
      </w:r>
    </w:p>
    <w:p w14:paraId="14FF044E" w14:textId="284F5D1E" w:rsidR="002802DA" w:rsidRPr="005545AF" w:rsidRDefault="002802DA" w:rsidP="001F7377">
      <w:pPr>
        <w:pStyle w:val="Paragraphe"/>
        <w:spacing w:line="240" w:lineRule="auto"/>
        <w:rPr>
          <w:lang w:val="en-CA"/>
        </w:rPr>
      </w:pPr>
      <w:r w:rsidRPr="005545AF">
        <w:rPr>
          <w:lang w:val="en-CA"/>
        </w:rPr>
        <w:t xml:space="preserve">Google </w:t>
      </w:r>
      <w:r w:rsidR="00F91C30" w:rsidRPr="005545AF">
        <w:rPr>
          <w:lang w:val="en-CA"/>
        </w:rPr>
        <w:t xml:space="preserve">is also of the view that it cannot be wrong for an </w:t>
      </w:r>
      <w:r w:rsidR="00063104" w:rsidRPr="005545AF">
        <w:rPr>
          <w:lang w:val="en-CA"/>
        </w:rPr>
        <w:t>I</w:t>
      </w:r>
      <w:r w:rsidR="00F91C30" w:rsidRPr="005545AF">
        <w:rPr>
          <w:lang w:val="en-CA"/>
        </w:rPr>
        <w:t>nternet intermediary to give access to defamatory content, since it is not illegal for the user to read it</w:t>
      </w:r>
      <w:r w:rsidRPr="005545AF">
        <w:rPr>
          <w:lang w:val="en-CA"/>
        </w:rPr>
        <w:t xml:space="preserve">. </w:t>
      </w:r>
      <w:r w:rsidR="00F91C30" w:rsidRPr="005545AF">
        <w:rPr>
          <w:lang w:val="en-CA"/>
        </w:rPr>
        <w:t>The fault is limited to the</w:t>
      </w:r>
      <w:r w:rsidRPr="005545AF">
        <w:rPr>
          <w:lang w:val="en-CA"/>
        </w:rPr>
        <w:t xml:space="preserve"> </w:t>
      </w:r>
      <w:r w:rsidRPr="005545AF">
        <w:rPr>
          <w:i/>
          <w:iCs/>
          <w:lang w:val="en-CA"/>
        </w:rPr>
        <w:t>publication</w:t>
      </w:r>
      <w:r w:rsidRPr="005545AF">
        <w:rPr>
          <w:lang w:val="en-CA"/>
        </w:rPr>
        <w:t xml:space="preserve"> </w:t>
      </w:r>
      <w:r w:rsidR="0037155A" w:rsidRPr="005545AF">
        <w:rPr>
          <w:lang w:val="en-CA"/>
        </w:rPr>
        <w:t xml:space="preserve">of </w:t>
      </w:r>
      <w:r w:rsidR="00F91C30" w:rsidRPr="005545AF">
        <w:rPr>
          <w:lang w:val="en-CA"/>
        </w:rPr>
        <w:t xml:space="preserve">such </w:t>
      </w:r>
      <w:r w:rsidR="00063104" w:rsidRPr="005545AF">
        <w:rPr>
          <w:lang w:val="en-CA"/>
        </w:rPr>
        <w:t>material</w:t>
      </w:r>
      <w:r w:rsidR="00F91C30" w:rsidRPr="005545AF">
        <w:rPr>
          <w:lang w:val="en-CA"/>
        </w:rPr>
        <w:t xml:space="preserve"> and does not extend to the fact of simply giving access to it</w:t>
      </w:r>
      <w:r w:rsidR="00020416" w:rsidRPr="005545AF">
        <w:rPr>
          <w:lang w:val="en-CA"/>
        </w:rPr>
        <w:t>:</w:t>
      </w:r>
      <w:r w:rsidR="00F91C30" w:rsidRPr="005545AF">
        <w:rPr>
          <w:lang w:val="en-CA"/>
        </w:rPr>
        <w:t xml:space="preserve"> otherwise</w:t>
      </w:r>
      <w:r w:rsidR="00063104" w:rsidRPr="005545AF">
        <w:rPr>
          <w:lang w:val="en-CA"/>
        </w:rPr>
        <w:t>,</w:t>
      </w:r>
      <w:r w:rsidR="00F91C30" w:rsidRPr="005545AF">
        <w:rPr>
          <w:lang w:val="en-CA"/>
        </w:rPr>
        <w:t xml:space="preserve"> a library or bookstore could be held liable for the illicit content that it keeps</w:t>
      </w:r>
      <w:r w:rsidRPr="005545AF">
        <w:rPr>
          <w:lang w:val="en-CA"/>
        </w:rPr>
        <w:t xml:space="preserve">. </w:t>
      </w:r>
      <w:r w:rsidR="00063104" w:rsidRPr="005545AF">
        <w:rPr>
          <w:lang w:val="en-CA"/>
        </w:rPr>
        <w:t>Lastly</w:t>
      </w:r>
      <w:r w:rsidR="00F91C30" w:rsidRPr="005545AF">
        <w:rPr>
          <w:lang w:val="en-CA"/>
        </w:rPr>
        <w:t xml:space="preserve">, </w:t>
      </w:r>
      <w:r w:rsidR="00063104" w:rsidRPr="005545AF">
        <w:rPr>
          <w:lang w:val="en-CA"/>
        </w:rPr>
        <w:t>regarding</w:t>
      </w:r>
      <w:r w:rsidR="00F91C30" w:rsidRPr="005545AF">
        <w:rPr>
          <w:lang w:val="en-CA"/>
        </w:rPr>
        <w:t xml:space="preserve"> s</w:t>
      </w:r>
      <w:r w:rsidR="00063104" w:rsidRPr="005545AF">
        <w:rPr>
          <w:lang w:val="en-CA"/>
        </w:rPr>
        <w:t>ection</w:t>
      </w:r>
      <w:r w:rsidRPr="005545AF">
        <w:rPr>
          <w:lang w:val="en-CA"/>
        </w:rPr>
        <w:t xml:space="preserve"> 22 </w:t>
      </w:r>
      <w:r w:rsidR="00F91C30" w:rsidRPr="005545AF">
        <w:rPr>
          <w:i/>
          <w:iCs/>
          <w:lang w:val="en-CA"/>
        </w:rPr>
        <w:t>IT Framework Act</w:t>
      </w:r>
      <w:r w:rsidRPr="005545AF">
        <w:rPr>
          <w:i/>
          <w:iCs/>
          <w:lang w:val="en-CA"/>
        </w:rPr>
        <w:t xml:space="preserve">, </w:t>
      </w:r>
      <w:r w:rsidRPr="005545AF">
        <w:rPr>
          <w:lang w:val="en-CA"/>
        </w:rPr>
        <w:t xml:space="preserve">Google </w:t>
      </w:r>
      <w:r w:rsidR="00F91C30" w:rsidRPr="005545AF">
        <w:rPr>
          <w:lang w:val="en-CA"/>
        </w:rPr>
        <w:t>submits that it does not create</w:t>
      </w:r>
      <w:r w:rsidR="0037155A" w:rsidRPr="005545AF">
        <w:rPr>
          <w:lang w:val="en-CA"/>
        </w:rPr>
        <w:t xml:space="preserve"> </w:t>
      </w:r>
      <w:r w:rsidR="00F91C30" w:rsidRPr="005545AF">
        <w:rPr>
          <w:lang w:val="en-CA"/>
        </w:rPr>
        <w:t xml:space="preserve">a duty or standard of behaviour for an intermediary but, rather, </w:t>
      </w:r>
      <w:r w:rsidR="00063104" w:rsidRPr="005545AF">
        <w:rPr>
          <w:lang w:val="en-CA"/>
        </w:rPr>
        <w:t>grants</w:t>
      </w:r>
      <w:r w:rsidR="00F91C30" w:rsidRPr="005545AF">
        <w:rPr>
          <w:lang w:val="en-CA"/>
        </w:rPr>
        <w:t xml:space="preserve"> it partial immunity where the plaintiff has established the existence of a fault under </w:t>
      </w:r>
      <w:r w:rsidRPr="005545AF">
        <w:rPr>
          <w:lang w:val="en-CA"/>
        </w:rPr>
        <w:t>art</w:t>
      </w:r>
      <w:r w:rsidR="00063104" w:rsidRPr="005545AF">
        <w:rPr>
          <w:lang w:val="en-CA"/>
        </w:rPr>
        <w:t>icle</w:t>
      </w:r>
      <w:r w:rsidRPr="005545AF">
        <w:rPr>
          <w:lang w:val="en-CA"/>
        </w:rPr>
        <w:t xml:space="preserve"> 1457 </w:t>
      </w:r>
      <w:r w:rsidRPr="005545AF">
        <w:rPr>
          <w:i/>
          <w:iCs/>
          <w:lang w:val="en-CA"/>
        </w:rPr>
        <w:t>C.</w:t>
      </w:r>
      <w:r w:rsidR="00F91C30" w:rsidRPr="005545AF">
        <w:rPr>
          <w:i/>
          <w:iCs/>
          <w:lang w:val="en-CA"/>
        </w:rPr>
        <w:t>C</w:t>
      </w:r>
      <w:r w:rsidRPr="005545AF">
        <w:rPr>
          <w:i/>
          <w:iCs/>
          <w:lang w:val="en-CA"/>
        </w:rPr>
        <w:t>.Q.</w:t>
      </w:r>
      <w:r w:rsidRPr="005545AF">
        <w:rPr>
          <w:lang w:val="en-CA"/>
        </w:rPr>
        <w:t xml:space="preserve"> Final</w:t>
      </w:r>
      <w:r w:rsidR="00F91C30" w:rsidRPr="005545AF">
        <w:rPr>
          <w:lang w:val="en-CA"/>
        </w:rPr>
        <w:t>ly</w:t>
      </w:r>
      <w:r w:rsidRPr="005545AF">
        <w:rPr>
          <w:lang w:val="en-CA"/>
        </w:rPr>
        <w:t xml:space="preserve">, Google </w:t>
      </w:r>
      <w:r w:rsidR="00F91C30" w:rsidRPr="005545AF">
        <w:rPr>
          <w:lang w:val="en-CA"/>
        </w:rPr>
        <w:t xml:space="preserve">argues that the judge erred in </w:t>
      </w:r>
      <w:r w:rsidR="0037155A" w:rsidRPr="005545AF">
        <w:rPr>
          <w:lang w:val="en-CA"/>
        </w:rPr>
        <w:t>relying</w:t>
      </w:r>
      <w:r w:rsidR="00063104" w:rsidRPr="005545AF">
        <w:rPr>
          <w:lang w:val="en-CA"/>
        </w:rPr>
        <w:t xml:space="preserve"> on</w:t>
      </w:r>
      <w:r w:rsidR="00F91C30" w:rsidRPr="005545AF">
        <w:rPr>
          <w:lang w:val="en-CA"/>
        </w:rPr>
        <w:t xml:space="preserve"> its assertions </w:t>
      </w:r>
      <w:r w:rsidR="0037155A" w:rsidRPr="005545AF">
        <w:rPr>
          <w:lang w:val="en-CA"/>
        </w:rPr>
        <w:t>about</w:t>
      </w:r>
      <w:r w:rsidR="00F91C30" w:rsidRPr="005545AF">
        <w:rPr>
          <w:lang w:val="en-CA"/>
        </w:rPr>
        <w:t xml:space="preserve"> information quality to oust the immunity provided under s</w:t>
      </w:r>
      <w:r w:rsidR="00063104" w:rsidRPr="005545AF">
        <w:rPr>
          <w:lang w:val="en-CA"/>
        </w:rPr>
        <w:t>ection</w:t>
      </w:r>
      <w:r w:rsidRPr="005545AF">
        <w:rPr>
          <w:lang w:val="en-CA"/>
        </w:rPr>
        <w:t xml:space="preserve"> 22 </w:t>
      </w:r>
      <w:r w:rsidR="00F91C30" w:rsidRPr="005545AF">
        <w:rPr>
          <w:i/>
          <w:iCs/>
          <w:lang w:val="en-CA"/>
        </w:rPr>
        <w:t>IT Framework Act</w:t>
      </w:r>
      <w:r w:rsidRPr="005545AF">
        <w:rPr>
          <w:lang w:val="en-CA"/>
        </w:rPr>
        <w:t xml:space="preserve">.  </w:t>
      </w:r>
    </w:p>
    <w:p w14:paraId="1654EB25" w14:textId="031EDEEA" w:rsidR="002802DA" w:rsidRPr="005545AF" w:rsidRDefault="0037155A" w:rsidP="001F7377">
      <w:pPr>
        <w:pStyle w:val="Paragraphe"/>
        <w:spacing w:line="240" w:lineRule="auto"/>
        <w:rPr>
          <w:lang w:val="en-CA"/>
        </w:rPr>
      </w:pPr>
      <w:r w:rsidRPr="005545AF">
        <w:rPr>
          <w:lang w:val="en-CA"/>
        </w:rPr>
        <w:t xml:space="preserve">For his part, </w:t>
      </w:r>
      <w:r w:rsidR="00063104" w:rsidRPr="005545AF">
        <w:rPr>
          <w:lang w:val="en-CA"/>
        </w:rPr>
        <w:t>the appellant</w:t>
      </w:r>
      <w:r w:rsidR="002802DA" w:rsidRPr="005545AF">
        <w:rPr>
          <w:lang w:val="en-CA"/>
        </w:rPr>
        <w:t xml:space="preserve"> </w:t>
      </w:r>
      <w:r w:rsidRPr="005545AF">
        <w:rPr>
          <w:lang w:val="en-CA"/>
        </w:rPr>
        <w:t>argues that the judge did not err in holding that</w:t>
      </w:r>
      <w:r w:rsidR="002802DA" w:rsidRPr="005545AF">
        <w:rPr>
          <w:lang w:val="en-CA"/>
        </w:rPr>
        <w:t xml:space="preserve"> </w:t>
      </w:r>
      <w:r w:rsidR="002802DA" w:rsidRPr="005545AF">
        <w:rPr>
          <w:i/>
          <w:iCs/>
          <w:lang w:val="en-CA"/>
        </w:rPr>
        <w:t>Crookes</w:t>
      </w:r>
      <w:r w:rsidR="002802DA" w:rsidRPr="005545AF">
        <w:rPr>
          <w:lang w:val="en-CA"/>
        </w:rPr>
        <w:t xml:space="preserve"> </w:t>
      </w:r>
      <w:r w:rsidR="00063104" w:rsidRPr="005545AF">
        <w:rPr>
          <w:lang w:val="en-CA"/>
        </w:rPr>
        <w:t>was</w:t>
      </w:r>
      <w:r w:rsidRPr="005545AF">
        <w:rPr>
          <w:lang w:val="en-CA"/>
        </w:rPr>
        <w:t xml:space="preserve"> inapplicable, both on account of factual reasons and</w:t>
      </w:r>
      <w:r w:rsidR="00063104" w:rsidRPr="005545AF">
        <w:rPr>
          <w:lang w:val="en-CA"/>
        </w:rPr>
        <w:t xml:space="preserve"> the </w:t>
      </w:r>
      <w:r w:rsidR="008A4576" w:rsidRPr="005545AF">
        <w:rPr>
          <w:lang w:val="en-CA"/>
        </w:rPr>
        <w:t>different</w:t>
      </w:r>
      <w:r w:rsidRPr="005545AF">
        <w:rPr>
          <w:lang w:val="en-CA"/>
        </w:rPr>
        <w:t xml:space="preserve"> applicable legal principles</w:t>
      </w:r>
      <w:r w:rsidR="002802DA" w:rsidRPr="005545AF">
        <w:rPr>
          <w:lang w:val="en-CA"/>
        </w:rPr>
        <w:t xml:space="preserve">. </w:t>
      </w:r>
      <w:r w:rsidR="000C2448" w:rsidRPr="005545AF">
        <w:rPr>
          <w:lang w:val="en-CA"/>
        </w:rPr>
        <w:t>Also</w:t>
      </w:r>
      <w:r w:rsidRPr="005545AF">
        <w:rPr>
          <w:lang w:val="en-CA"/>
        </w:rPr>
        <w:t>, he is of the view that the judge’s finding as to fault respects the intent of the Quebec legislature, which</w:t>
      </w:r>
      <w:r w:rsidR="000C2448" w:rsidRPr="005545AF">
        <w:rPr>
          <w:lang w:val="en-CA"/>
        </w:rPr>
        <w:t xml:space="preserve"> is concerned with the</w:t>
      </w:r>
      <w:r w:rsidRPr="005545AF">
        <w:rPr>
          <w:lang w:val="en-CA"/>
        </w:rPr>
        <w:t xml:space="preserve"> harm that hyperlinks </w:t>
      </w:r>
      <w:r w:rsidR="008A4576" w:rsidRPr="005545AF">
        <w:rPr>
          <w:lang w:val="en-CA"/>
        </w:rPr>
        <w:t>are liable to</w:t>
      </w:r>
      <w:r w:rsidRPr="005545AF">
        <w:rPr>
          <w:lang w:val="en-CA"/>
        </w:rPr>
        <w:t xml:space="preserve"> cause to individuals, as</w:t>
      </w:r>
      <w:r w:rsidR="000C2448" w:rsidRPr="005545AF">
        <w:rPr>
          <w:lang w:val="en-CA"/>
        </w:rPr>
        <w:t xml:space="preserve"> reflected in s</w:t>
      </w:r>
      <w:r w:rsidR="00063104" w:rsidRPr="005545AF">
        <w:rPr>
          <w:lang w:val="en-CA"/>
        </w:rPr>
        <w:t>ection</w:t>
      </w:r>
      <w:r w:rsidR="002802DA" w:rsidRPr="005545AF">
        <w:rPr>
          <w:lang w:val="en-CA"/>
        </w:rPr>
        <w:t xml:space="preserve"> 22 </w:t>
      </w:r>
      <w:r w:rsidR="000C2448" w:rsidRPr="005545AF">
        <w:rPr>
          <w:i/>
          <w:iCs/>
          <w:lang w:val="en-CA"/>
        </w:rPr>
        <w:t>IT Framework Act</w:t>
      </w:r>
      <w:r w:rsidR="002802DA" w:rsidRPr="005545AF">
        <w:rPr>
          <w:i/>
          <w:iCs/>
          <w:lang w:val="en-CA"/>
        </w:rPr>
        <w:t xml:space="preserve"> </w:t>
      </w:r>
      <w:bookmarkStart w:id="20" w:name="_Hlk204768568"/>
      <w:r w:rsidR="000C2448" w:rsidRPr="005545AF">
        <w:rPr>
          <w:lang w:val="en-CA"/>
        </w:rPr>
        <w:t>as well as</w:t>
      </w:r>
      <w:r w:rsidR="008A4576" w:rsidRPr="005545AF">
        <w:rPr>
          <w:lang w:val="en-CA"/>
        </w:rPr>
        <w:t xml:space="preserve"> in</w:t>
      </w:r>
      <w:r w:rsidR="000C2448" w:rsidRPr="005545AF">
        <w:rPr>
          <w:lang w:val="en-CA"/>
        </w:rPr>
        <w:t xml:space="preserve"> new s</w:t>
      </w:r>
      <w:r w:rsidR="00063104" w:rsidRPr="005545AF">
        <w:rPr>
          <w:lang w:val="en-CA"/>
        </w:rPr>
        <w:t>ection</w:t>
      </w:r>
      <w:r w:rsidR="002802DA" w:rsidRPr="005545AF">
        <w:rPr>
          <w:lang w:val="en-CA"/>
        </w:rPr>
        <w:t xml:space="preserve"> 28.1 </w:t>
      </w:r>
      <w:r w:rsidR="000C2448" w:rsidRPr="005545AF">
        <w:rPr>
          <w:lang w:val="en-CA"/>
        </w:rPr>
        <w:t>of the</w:t>
      </w:r>
      <w:r w:rsidR="002802DA" w:rsidRPr="005545AF">
        <w:rPr>
          <w:lang w:val="en-CA"/>
        </w:rPr>
        <w:t xml:space="preserve"> </w:t>
      </w:r>
      <w:bookmarkEnd w:id="20"/>
      <w:r w:rsidR="000C2448" w:rsidRPr="005545AF">
        <w:rPr>
          <w:i/>
          <w:iCs/>
          <w:lang w:val="en-CA"/>
        </w:rPr>
        <w:t>Act respecting the protection of personal information in the private sector</w:t>
      </w:r>
      <w:r w:rsidR="000C2448" w:rsidRPr="005545AF">
        <w:rPr>
          <w:lang w:val="en-CA"/>
        </w:rPr>
        <w:t>.</w:t>
      </w:r>
      <w:r w:rsidR="002802DA" w:rsidRPr="005545AF">
        <w:rPr>
          <w:rStyle w:val="Appelnotedebasdep"/>
          <w:lang w:val="en-CA"/>
        </w:rPr>
        <w:footnoteReference w:id="16"/>
      </w:r>
      <w:r w:rsidR="002802DA" w:rsidRPr="005545AF">
        <w:rPr>
          <w:lang w:val="en-CA"/>
        </w:rPr>
        <w:t xml:space="preserve"> </w:t>
      </w:r>
      <w:r w:rsidR="000C2448" w:rsidRPr="005545AF">
        <w:rPr>
          <w:lang w:val="en-CA"/>
        </w:rPr>
        <w:t>Finally</w:t>
      </w:r>
      <w:r w:rsidR="002802DA" w:rsidRPr="005545AF">
        <w:rPr>
          <w:lang w:val="en-CA"/>
        </w:rPr>
        <w:t xml:space="preserve">, </w:t>
      </w:r>
      <w:r w:rsidR="00063104" w:rsidRPr="005545AF">
        <w:rPr>
          <w:lang w:val="en-CA"/>
        </w:rPr>
        <w:t>the appellant</w:t>
      </w:r>
      <w:r w:rsidR="002802DA" w:rsidRPr="005545AF">
        <w:rPr>
          <w:lang w:val="en-CA"/>
        </w:rPr>
        <w:t xml:space="preserve"> </w:t>
      </w:r>
      <w:r w:rsidR="000C2448" w:rsidRPr="005545AF">
        <w:rPr>
          <w:lang w:val="en-CA"/>
        </w:rPr>
        <w:t>submits that the scope of s</w:t>
      </w:r>
      <w:r w:rsidR="00063104" w:rsidRPr="005545AF">
        <w:rPr>
          <w:lang w:val="en-CA"/>
        </w:rPr>
        <w:t>ection</w:t>
      </w:r>
      <w:r w:rsidR="002802DA" w:rsidRPr="005545AF">
        <w:rPr>
          <w:lang w:val="en-CA"/>
        </w:rPr>
        <w:t xml:space="preserve"> 22 </w:t>
      </w:r>
      <w:r w:rsidR="000C2448" w:rsidRPr="005545AF">
        <w:rPr>
          <w:i/>
          <w:iCs/>
          <w:lang w:val="en-CA"/>
        </w:rPr>
        <w:t>IT Framework Act</w:t>
      </w:r>
      <w:r w:rsidR="002802DA" w:rsidRPr="005545AF">
        <w:rPr>
          <w:i/>
          <w:iCs/>
          <w:lang w:val="en-CA"/>
        </w:rPr>
        <w:t xml:space="preserve"> </w:t>
      </w:r>
      <w:r w:rsidR="000C2448" w:rsidRPr="005545AF">
        <w:rPr>
          <w:lang w:val="en-CA"/>
        </w:rPr>
        <w:t>is not determinative in this case, because the judge also found a fault under art</w:t>
      </w:r>
      <w:r w:rsidR="00063104" w:rsidRPr="005545AF">
        <w:rPr>
          <w:lang w:val="en-CA"/>
        </w:rPr>
        <w:t>icle</w:t>
      </w:r>
      <w:r w:rsidR="002802DA" w:rsidRPr="005545AF">
        <w:rPr>
          <w:lang w:val="en-CA"/>
        </w:rPr>
        <w:t xml:space="preserve"> 1457 </w:t>
      </w:r>
      <w:r w:rsidR="002802DA" w:rsidRPr="005545AF">
        <w:rPr>
          <w:i/>
          <w:iCs/>
          <w:lang w:val="en-CA"/>
        </w:rPr>
        <w:t>C.</w:t>
      </w:r>
      <w:r w:rsidR="000C2448" w:rsidRPr="005545AF">
        <w:rPr>
          <w:i/>
          <w:iCs/>
          <w:lang w:val="en-CA"/>
        </w:rPr>
        <w:t>C</w:t>
      </w:r>
      <w:r w:rsidR="002802DA" w:rsidRPr="005545AF">
        <w:rPr>
          <w:i/>
          <w:iCs/>
          <w:lang w:val="en-CA"/>
        </w:rPr>
        <w:t>.Q.</w:t>
      </w:r>
      <w:r w:rsidR="008A4576" w:rsidRPr="005545AF">
        <w:rPr>
          <w:lang w:val="en-CA"/>
        </w:rPr>
        <w:t>,</w:t>
      </w:r>
      <w:r w:rsidR="002802DA" w:rsidRPr="005545AF">
        <w:rPr>
          <w:lang w:val="en-CA"/>
        </w:rPr>
        <w:t xml:space="preserve"> </w:t>
      </w:r>
      <w:r w:rsidR="00063104" w:rsidRPr="005545AF">
        <w:rPr>
          <w:lang w:val="en-CA"/>
        </w:rPr>
        <w:t xml:space="preserve">applying the principles </w:t>
      </w:r>
      <w:r w:rsidR="008A4576" w:rsidRPr="005545AF">
        <w:rPr>
          <w:lang w:val="en-CA"/>
        </w:rPr>
        <w:t>set out</w:t>
      </w:r>
      <w:r w:rsidR="00063104" w:rsidRPr="005545AF">
        <w:rPr>
          <w:lang w:val="en-CA"/>
        </w:rPr>
        <w:t xml:space="preserve"> in</w:t>
      </w:r>
      <w:r w:rsidR="002802DA" w:rsidRPr="005545AF">
        <w:rPr>
          <w:lang w:val="en-CA"/>
        </w:rPr>
        <w:t xml:space="preserve"> </w:t>
      </w:r>
      <w:r w:rsidR="002802DA" w:rsidRPr="005545AF">
        <w:rPr>
          <w:i/>
          <w:iCs/>
          <w:lang w:val="en-CA"/>
        </w:rPr>
        <w:t xml:space="preserve">Prud’homme </w:t>
      </w:r>
      <w:r w:rsidR="000C2448" w:rsidRPr="005545AF">
        <w:rPr>
          <w:i/>
          <w:iCs/>
          <w:lang w:val="en-CA"/>
        </w:rPr>
        <w:t>v</w:t>
      </w:r>
      <w:r w:rsidR="002802DA" w:rsidRPr="005545AF">
        <w:rPr>
          <w:i/>
          <w:iCs/>
          <w:lang w:val="en-CA"/>
        </w:rPr>
        <w:t>. Prud’homme</w:t>
      </w:r>
      <w:bookmarkStart w:id="21" w:name="_Ref207543216"/>
      <w:r w:rsidR="001D04F6" w:rsidRPr="005545AF">
        <w:rPr>
          <w:lang w:val="en-CA"/>
        </w:rPr>
        <w:t>.</w:t>
      </w:r>
      <w:r w:rsidR="002802DA" w:rsidRPr="005545AF">
        <w:rPr>
          <w:rStyle w:val="Appelnotedebasdep"/>
          <w:lang w:val="en-CA"/>
        </w:rPr>
        <w:footnoteReference w:id="17"/>
      </w:r>
      <w:bookmarkEnd w:id="21"/>
    </w:p>
    <w:p w14:paraId="52CDB6DE" w14:textId="77777777" w:rsidR="002802DA" w:rsidRPr="005545AF" w:rsidRDefault="002802DA" w:rsidP="001F7377">
      <w:pPr>
        <w:pStyle w:val="Paragraphe"/>
        <w:numPr>
          <w:ilvl w:val="0"/>
          <w:numId w:val="0"/>
        </w:numPr>
        <w:spacing w:line="240" w:lineRule="auto"/>
        <w:jc w:val="center"/>
        <w:rPr>
          <w:lang w:val="en-CA"/>
        </w:rPr>
      </w:pPr>
      <w:r w:rsidRPr="005545AF">
        <w:rPr>
          <w:lang w:val="en-CA"/>
        </w:rPr>
        <w:t>****</w:t>
      </w:r>
    </w:p>
    <w:p w14:paraId="38ED46FA" w14:textId="008F479C" w:rsidR="002802DA" w:rsidRPr="005545AF" w:rsidRDefault="001D04F6" w:rsidP="001F7377">
      <w:pPr>
        <w:pStyle w:val="Paragraphe"/>
        <w:spacing w:line="240" w:lineRule="auto"/>
        <w:rPr>
          <w:lang w:val="en-CA"/>
        </w:rPr>
      </w:pPr>
      <w:bookmarkStart w:id="23" w:name="_Ref207539249"/>
      <w:r w:rsidRPr="005545AF">
        <w:rPr>
          <w:lang w:val="en-CA"/>
        </w:rPr>
        <w:lastRenderedPageBreak/>
        <w:t xml:space="preserve">The determination of </w:t>
      </w:r>
      <w:r w:rsidR="008A4576" w:rsidRPr="005545AF">
        <w:rPr>
          <w:lang w:val="en-CA"/>
        </w:rPr>
        <w:t>whether a</w:t>
      </w:r>
      <w:r w:rsidRPr="005545AF">
        <w:rPr>
          <w:lang w:val="en-CA"/>
        </w:rPr>
        <w:t xml:space="preserve"> fault</w:t>
      </w:r>
      <w:r w:rsidR="008A4576" w:rsidRPr="005545AF">
        <w:rPr>
          <w:lang w:val="en-CA"/>
        </w:rPr>
        <w:t xml:space="preserve"> exists</w:t>
      </w:r>
      <w:r w:rsidRPr="005545AF">
        <w:rPr>
          <w:lang w:val="en-CA"/>
        </w:rPr>
        <w:t xml:space="preserve"> is a question of mixed fact and law.</w:t>
      </w:r>
      <w:r w:rsidR="002802DA" w:rsidRPr="005545AF">
        <w:rPr>
          <w:rStyle w:val="Appelnotedebasdep"/>
          <w:lang w:val="en-CA"/>
        </w:rPr>
        <w:footnoteReference w:id="18"/>
      </w:r>
      <w:bookmarkEnd w:id="23"/>
      <w:r w:rsidR="002802DA" w:rsidRPr="005545AF">
        <w:rPr>
          <w:lang w:val="en-CA"/>
        </w:rPr>
        <w:t xml:space="preserve"> </w:t>
      </w:r>
      <w:r w:rsidRPr="005545AF">
        <w:rPr>
          <w:lang w:val="en-CA"/>
        </w:rPr>
        <w:t xml:space="preserve">Therefore, the Court will only intervene </w:t>
      </w:r>
      <w:r w:rsidR="008A4576" w:rsidRPr="005545AF">
        <w:rPr>
          <w:lang w:val="en-CA"/>
        </w:rPr>
        <w:t>if there is a</w:t>
      </w:r>
      <w:r w:rsidRPr="005545AF">
        <w:rPr>
          <w:lang w:val="en-CA"/>
        </w:rPr>
        <w:t xml:space="preserve"> palpable and overriding error.</w:t>
      </w:r>
      <w:r w:rsidR="002802DA" w:rsidRPr="005545AF">
        <w:rPr>
          <w:rStyle w:val="Appelnotedebasdep"/>
          <w:lang w:val="en-CA"/>
        </w:rPr>
        <w:footnoteReference w:id="19"/>
      </w:r>
      <w:r w:rsidRPr="005545AF">
        <w:rPr>
          <w:lang w:val="en-CA"/>
        </w:rPr>
        <w:t xml:space="preserve"> For the following reasons, I am of the view that the judge did not make such an error in finding that a fault existed under s.</w:t>
      </w:r>
      <w:r w:rsidR="002802DA" w:rsidRPr="005545AF">
        <w:rPr>
          <w:lang w:val="en-CA"/>
        </w:rPr>
        <w:t xml:space="preserve"> 22 </w:t>
      </w:r>
      <w:r w:rsidRPr="005545AF">
        <w:rPr>
          <w:i/>
          <w:iCs/>
          <w:lang w:val="en-CA"/>
        </w:rPr>
        <w:t>IT Framework Act</w:t>
      </w:r>
      <w:r w:rsidR="002802DA" w:rsidRPr="005545AF">
        <w:rPr>
          <w:lang w:val="en-CA"/>
        </w:rPr>
        <w:t xml:space="preserve">. </w:t>
      </w:r>
      <w:r w:rsidRPr="005545AF">
        <w:rPr>
          <w:lang w:val="en-CA"/>
        </w:rPr>
        <w:t>To explain why, I will first address the issue of</w:t>
      </w:r>
      <w:r w:rsidR="008A4576" w:rsidRPr="005545AF">
        <w:rPr>
          <w:lang w:val="en-CA"/>
        </w:rPr>
        <w:t xml:space="preserve"> the</w:t>
      </w:r>
      <w:r w:rsidRPr="005545AF">
        <w:rPr>
          <w:lang w:val="en-CA"/>
        </w:rPr>
        <w:t xml:space="preserve"> application of </w:t>
      </w:r>
      <w:r w:rsidR="002802DA" w:rsidRPr="005545AF">
        <w:rPr>
          <w:i/>
          <w:iCs/>
          <w:lang w:val="en-CA"/>
        </w:rPr>
        <w:t>Crookes</w:t>
      </w:r>
      <w:r w:rsidR="002802DA" w:rsidRPr="005545AF">
        <w:rPr>
          <w:lang w:val="en-CA"/>
        </w:rPr>
        <w:t xml:space="preserve"> </w:t>
      </w:r>
      <w:r w:rsidRPr="005545AF">
        <w:rPr>
          <w:lang w:val="en-CA"/>
        </w:rPr>
        <w:t>in Quebec la</w:t>
      </w:r>
      <w:r w:rsidR="008A4576" w:rsidRPr="005545AF">
        <w:rPr>
          <w:lang w:val="en-CA"/>
        </w:rPr>
        <w:t>w</w:t>
      </w:r>
      <w:r w:rsidR="002802DA" w:rsidRPr="005545AF">
        <w:rPr>
          <w:lang w:val="en-CA"/>
        </w:rPr>
        <w:t xml:space="preserve"> </w:t>
      </w:r>
      <w:r w:rsidR="009D2AE3" w:rsidRPr="005545AF">
        <w:rPr>
          <w:lang w:val="en-CA"/>
        </w:rPr>
        <w:t>[</w:t>
      </w:r>
      <w:r w:rsidR="002802DA" w:rsidRPr="005545AF">
        <w:rPr>
          <w:lang w:val="en-CA"/>
        </w:rPr>
        <w:t>a)</w:t>
      </w:r>
      <w:r w:rsidR="009D2AE3" w:rsidRPr="005545AF">
        <w:rPr>
          <w:lang w:val="en-CA"/>
        </w:rPr>
        <w:t>]</w:t>
      </w:r>
      <w:r w:rsidR="008A4576" w:rsidRPr="005545AF">
        <w:rPr>
          <w:lang w:val="en-CA"/>
        </w:rPr>
        <w:t>,</w:t>
      </w:r>
      <w:r w:rsidR="002802DA" w:rsidRPr="005545AF">
        <w:rPr>
          <w:lang w:val="en-CA"/>
        </w:rPr>
        <w:t xml:space="preserve"> </w:t>
      </w:r>
      <w:r w:rsidRPr="005545AF">
        <w:rPr>
          <w:lang w:val="en-CA"/>
        </w:rPr>
        <w:t>and then turn to the</w:t>
      </w:r>
      <w:r w:rsidR="00932692" w:rsidRPr="005545AF">
        <w:rPr>
          <w:lang w:val="en-CA"/>
        </w:rPr>
        <w:t xml:space="preserve"> applicable</w:t>
      </w:r>
      <w:r w:rsidRPr="005545AF">
        <w:rPr>
          <w:lang w:val="en-CA"/>
        </w:rPr>
        <w:t xml:space="preserve"> standard </w:t>
      </w:r>
      <w:r w:rsidR="00932692" w:rsidRPr="005545AF">
        <w:rPr>
          <w:lang w:val="en-CA"/>
        </w:rPr>
        <w:t>in</w:t>
      </w:r>
      <w:r w:rsidRPr="005545AF">
        <w:rPr>
          <w:lang w:val="en-CA"/>
        </w:rPr>
        <w:t xml:space="preserve"> determin</w:t>
      </w:r>
      <w:r w:rsidR="00932692" w:rsidRPr="005545AF">
        <w:rPr>
          <w:lang w:val="en-CA"/>
        </w:rPr>
        <w:t>ing</w:t>
      </w:r>
      <w:r w:rsidRPr="005545AF">
        <w:rPr>
          <w:lang w:val="en-CA"/>
        </w:rPr>
        <w:t xml:space="preserve"> fault in this case</w:t>
      </w:r>
      <w:r w:rsidR="002802DA" w:rsidRPr="005545AF">
        <w:rPr>
          <w:lang w:val="en-CA"/>
        </w:rPr>
        <w:t xml:space="preserve"> </w:t>
      </w:r>
      <w:r w:rsidR="009D2AE3" w:rsidRPr="005545AF">
        <w:rPr>
          <w:lang w:val="en-CA"/>
        </w:rPr>
        <w:t>[</w:t>
      </w:r>
      <w:r w:rsidR="002802DA" w:rsidRPr="005545AF">
        <w:rPr>
          <w:lang w:val="en-CA"/>
        </w:rPr>
        <w:t>b)</w:t>
      </w:r>
      <w:r w:rsidR="009D2AE3" w:rsidRPr="005545AF">
        <w:rPr>
          <w:lang w:val="en-CA"/>
        </w:rPr>
        <w:t>]</w:t>
      </w:r>
      <w:r w:rsidR="002802DA" w:rsidRPr="005545AF">
        <w:rPr>
          <w:lang w:val="en-CA"/>
        </w:rPr>
        <w:t>.</w:t>
      </w:r>
    </w:p>
    <w:p w14:paraId="01C8C6FB" w14:textId="1AE2ACFB" w:rsidR="002802DA" w:rsidRPr="005545AF" w:rsidRDefault="009F5AD5" w:rsidP="001F7377">
      <w:pPr>
        <w:pStyle w:val="Paragraphe"/>
        <w:numPr>
          <w:ilvl w:val="0"/>
          <w:numId w:val="27"/>
        </w:numPr>
        <w:spacing w:line="240" w:lineRule="auto"/>
        <w:outlineLvl w:val="2"/>
        <w:rPr>
          <w:lang w:val="en-CA"/>
        </w:rPr>
      </w:pPr>
      <w:r w:rsidRPr="005545AF">
        <w:rPr>
          <w:lang w:val="en-CA"/>
        </w:rPr>
        <w:t>Does the principle established in</w:t>
      </w:r>
      <w:r w:rsidR="002802DA" w:rsidRPr="005545AF">
        <w:rPr>
          <w:lang w:val="en-CA"/>
        </w:rPr>
        <w:t xml:space="preserve"> </w:t>
      </w:r>
      <w:r w:rsidR="002802DA" w:rsidRPr="005545AF">
        <w:rPr>
          <w:i/>
          <w:iCs/>
          <w:lang w:val="en-CA"/>
        </w:rPr>
        <w:t xml:space="preserve">Crookes </w:t>
      </w:r>
      <w:r w:rsidRPr="005545AF">
        <w:rPr>
          <w:lang w:val="en-CA"/>
        </w:rPr>
        <w:t>apply in Quebec law</w:t>
      </w:r>
      <w:r w:rsidR="002802DA" w:rsidRPr="005545AF">
        <w:rPr>
          <w:lang w:val="en-CA"/>
        </w:rPr>
        <w:t>?</w:t>
      </w:r>
    </w:p>
    <w:p w14:paraId="0E863CB7" w14:textId="5DC6FFB1" w:rsidR="002802DA" w:rsidRPr="005545AF" w:rsidRDefault="009F5AD5" w:rsidP="001F7377">
      <w:pPr>
        <w:pStyle w:val="Paragraphe"/>
        <w:spacing w:line="240" w:lineRule="auto"/>
        <w:rPr>
          <w:lang w:val="en-CA"/>
        </w:rPr>
      </w:pPr>
      <w:r w:rsidRPr="005545AF">
        <w:rPr>
          <w:lang w:val="en-CA"/>
        </w:rPr>
        <w:t>The debate on wheth</w:t>
      </w:r>
      <w:r w:rsidR="009D2AE3" w:rsidRPr="005545AF">
        <w:rPr>
          <w:lang w:val="en-CA"/>
        </w:rPr>
        <w:t>e</w:t>
      </w:r>
      <w:r w:rsidRPr="005545AF">
        <w:rPr>
          <w:lang w:val="en-CA"/>
        </w:rPr>
        <w:t xml:space="preserve">r a fault existed </w:t>
      </w:r>
      <w:r w:rsidR="009D2AE3" w:rsidRPr="005545AF">
        <w:rPr>
          <w:lang w:val="en-CA"/>
        </w:rPr>
        <w:t xml:space="preserve">focussed </w:t>
      </w:r>
      <w:r w:rsidRPr="005545AF">
        <w:rPr>
          <w:lang w:val="en-CA"/>
        </w:rPr>
        <w:t>largely</w:t>
      </w:r>
      <w:r w:rsidR="009D2AE3" w:rsidRPr="005545AF">
        <w:rPr>
          <w:lang w:val="en-CA"/>
        </w:rPr>
        <w:t xml:space="preserve"> </w:t>
      </w:r>
      <w:r w:rsidRPr="005545AF">
        <w:rPr>
          <w:lang w:val="en-CA"/>
        </w:rPr>
        <w:t xml:space="preserve">on </w:t>
      </w:r>
      <w:r w:rsidR="002802DA" w:rsidRPr="005545AF">
        <w:rPr>
          <w:i/>
          <w:iCs/>
          <w:lang w:val="en-CA"/>
        </w:rPr>
        <w:t>Crookes</w:t>
      </w:r>
      <w:r w:rsidRPr="005545AF">
        <w:rPr>
          <w:i/>
          <w:iCs/>
          <w:lang w:val="en-CA"/>
        </w:rPr>
        <w:t xml:space="preserve">’ </w:t>
      </w:r>
      <w:r w:rsidRPr="005545AF">
        <w:rPr>
          <w:lang w:val="en-CA"/>
        </w:rPr>
        <w:t>impact in Quebec law</w:t>
      </w:r>
      <w:r w:rsidR="002802DA" w:rsidRPr="005545AF">
        <w:rPr>
          <w:lang w:val="en-CA"/>
        </w:rPr>
        <w:t>, Google</w:t>
      </w:r>
      <w:r w:rsidRPr="005545AF">
        <w:rPr>
          <w:lang w:val="en-CA"/>
        </w:rPr>
        <w:t>’s position being that it</w:t>
      </w:r>
      <w:r w:rsidR="0023421C" w:rsidRPr="005545AF">
        <w:rPr>
          <w:lang w:val="en-CA"/>
        </w:rPr>
        <w:t xml:space="preserve"> aligned</w:t>
      </w:r>
      <w:r w:rsidRPr="005545AF">
        <w:rPr>
          <w:lang w:val="en-CA"/>
        </w:rPr>
        <w:t xml:space="preserve"> its de-indexing policy </w:t>
      </w:r>
      <w:r w:rsidR="0023421C" w:rsidRPr="005545AF">
        <w:rPr>
          <w:lang w:val="en-CA"/>
        </w:rPr>
        <w:t xml:space="preserve">with what </w:t>
      </w:r>
      <w:r w:rsidRPr="005545AF">
        <w:rPr>
          <w:lang w:val="en-CA"/>
        </w:rPr>
        <w:t xml:space="preserve">the Supreme Court’s </w:t>
      </w:r>
      <w:r w:rsidR="0023421C" w:rsidRPr="005545AF">
        <w:rPr>
          <w:lang w:val="en-CA"/>
        </w:rPr>
        <w:t>had purporte</w:t>
      </w:r>
      <w:r w:rsidRPr="005545AF">
        <w:rPr>
          <w:lang w:val="en-CA"/>
        </w:rPr>
        <w:t>d</w:t>
      </w:r>
      <w:r w:rsidR="0023421C" w:rsidRPr="005545AF">
        <w:rPr>
          <w:lang w:val="en-CA"/>
        </w:rPr>
        <w:t>ly d</w:t>
      </w:r>
      <w:r w:rsidRPr="005545AF">
        <w:rPr>
          <w:lang w:val="en-CA"/>
        </w:rPr>
        <w:t>etermin</w:t>
      </w:r>
      <w:r w:rsidR="0023421C" w:rsidRPr="005545AF">
        <w:rPr>
          <w:lang w:val="en-CA"/>
        </w:rPr>
        <w:t>ed</w:t>
      </w:r>
      <w:r w:rsidRPr="005545AF">
        <w:rPr>
          <w:lang w:val="en-CA"/>
        </w:rPr>
        <w:t xml:space="preserve"> in that decision, i.e., that the communication of a link did</w:t>
      </w:r>
      <w:r w:rsidR="0023421C" w:rsidRPr="005545AF">
        <w:rPr>
          <w:lang w:val="en-CA"/>
        </w:rPr>
        <w:t>,</w:t>
      </w:r>
      <w:r w:rsidRPr="005545AF">
        <w:rPr>
          <w:lang w:val="en-CA"/>
        </w:rPr>
        <w:t xml:space="preserve"> not in and of itself</w:t>
      </w:r>
      <w:r w:rsidR="0023421C" w:rsidRPr="005545AF">
        <w:rPr>
          <w:lang w:val="en-CA"/>
        </w:rPr>
        <w:t>,</w:t>
      </w:r>
      <w:r w:rsidRPr="005545AF">
        <w:rPr>
          <w:lang w:val="en-CA"/>
        </w:rPr>
        <w:t xml:space="preserve"> constitute a fault</w:t>
      </w:r>
      <w:r w:rsidR="002802DA" w:rsidRPr="005545AF">
        <w:rPr>
          <w:lang w:val="en-CA"/>
        </w:rPr>
        <w:t xml:space="preserve">. </w:t>
      </w:r>
    </w:p>
    <w:p w14:paraId="4ED3EE6E" w14:textId="6FFD1012" w:rsidR="002802DA" w:rsidRPr="005545AF" w:rsidRDefault="0023421C" w:rsidP="001F7377">
      <w:pPr>
        <w:pStyle w:val="Paragraphe"/>
        <w:spacing w:line="240" w:lineRule="auto"/>
        <w:rPr>
          <w:lang w:val="en-CA"/>
        </w:rPr>
      </w:pPr>
      <w:r w:rsidRPr="005545AF">
        <w:rPr>
          <w:lang w:val="en-CA"/>
        </w:rPr>
        <w:t>The</w:t>
      </w:r>
      <w:r w:rsidR="00723859" w:rsidRPr="005545AF">
        <w:rPr>
          <w:lang w:val="en-CA"/>
        </w:rPr>
        <w:t xml:space="preserve"> </w:t>
      </w:r>
      <w:r w:rsidR="009D2AE3" w:rsidRPr="005545AF">
        <w:rPr>
          <w:lang w:val="en-CA"/>
        </w:rPr>
        <w:t>background</w:t>
      </w:r>
      <w:r w:rsidR="00723859" w:rsidRPr="005545AF">
        <w:rPr>
          <w:lang w:val="en-CA"/>
        </w:rPr>
        <w:t xml:space="preserve"> of that case </w:t>
      </w:r>
      <w:r w:rsidR="009D2AE3" w:rsidRPr="005545AF">
        <w:rPr>
          <w:lang w:val="en-CA"/>
        </w:rPr>
        <w:t>is</w:t>
      </w:r>
      <w:r w:rsidR="00723859" w:rsidRPr="005545AF">
        <w:rPr>
          <w:lang w:val="en-CA"/>
        </w:rPr>
        <w:t xml:space="preserve"> as follows</w:t>
      </w:r>
      <w:r w:rsidR="002802DA" w:rsidRPr="005545AF">
        <w:rPr>
          <w:lang w:val="en-CA"/>
        </w:rPr>
        <w:t xml:space="preserve">. Jon Newton </w:t>
      </w:r>
      <w:r w:rsidR="00723859" w:rsidRPr="005545AF">
        <w:rPr>
          <w:lang w:val="en-CA"/>
        </w:rPr>
        <w:t>posted on his blog a</w:t>
      </w:r>
      <w:r w:rsidR="002802DA" w:rsidRPr="005545AF">
        <w:rPr>
          <w:lang w:val="en-CA"/>
        </w:rPr>
        <w:t xml:space="preserve">n article </w:t>
      </w:r>
      <w:r w:rsidR="00723859" w:rsidRPr="005545AF">
        <w:rPr>
          <w:lang w:val="en-CA"/>
        </w:rPr>
        <w:t>on free speech in</w:t>
      </w:r>
      <w:r w:rsidR="002802DA" w:rsidRPr="005545AF">
        <w:rPr>
          <w:lang w:val="en-CA"/>
        </w:rPr>
        <w:t xml:space="preserve"> Canada. </w:t>
      </w:r>
      <w:r w:rsidR="00723859" w:rsidRPr="005545AF">
        <w:rPr>
          <w:lang w:val="en-CA"/>
        </w:rPr>
        <w:t xml:space="preserve">In that article, he mentioned that </w:t>
      </w:r>
      <w:r w:rsidR="002802DA" w:rsidRPr="005545AF">
        <w:rPr>
          <w:lang w:val="en-CA"/>
        </w:rPr>
        <w:t xml:space="preserve">Wayne Crookes </w:t>
      </w:r>
      <w:r w:rsidR="00723859" w:rsidRPr="005545AF">
        <w:rPr>
          <w:lang w:val="en-CA"/>
        </w:rPr>
        <w:t>had sued</w:t>
      </w:r>
      <w:r w:rsidR="002802DA" w:rsidRPr="005545AF">
        <w:rPr>
          <w:lang w:val="en-CA"/>
        </w:rPr>
        <w:t xml:space="preserve"> Michael Piling, </w:t>
      </w:r>
      <w:r w:rsidR="00723859" w:rsidRPr="005545AF">
        <w:rPr>
          <w:lang w:val="en-CA"/>
        </w:rPr>
        <w:t>another blogger</w:t>
      </w:r>
      <w:r w:rsidR="002802DA" w:rsidRPr="005545AF">
        <w:rPr>
          <w:lang w:val="en-CA"/>
        </w:rPr>
        <w:t xml:space="preserve">, </w:t>
      </w:r>
      <w:r w:rsidR="00723859" w:rsidRPr="005545AF">
        <w:rPr>
          <w:lang w:val="en-CA"/>
        </w:rPr>
        <w:t xml:space="preserve">for defamation on account of an article that he alleged to be defamatory. In his </w:t>
      </w:r>
      <w:r w:rsidR="00F6165A" w:rsidRPr="005545AF">
        <w:rPr>
          <w:lang w:val="en-CA"/>
        </w:rPr>
        <w:t xml:space="preserve">posting, Newton included two hyperlinks, one leading to Piling’s site and the other </w:t>
      </w:r>
      <w:r w:rsidR="009D2AE3" w:rsidRPr="005545AF">
        <w:rPr>
          <w:lang w:val="en-CA"/>
        </w:rPr>
        <w:t>directly</w:t>
      </w:r>
      <w:r w:rsidR="00F6165A" w:rsidRPr="005545AF">
        <w:rPr>
          <w:lang w:val="en-CA"/>
        </w:rPr>
        <w:t xml:space="preserve"> to the article </w:t>
      </w:r>
      <w:r w:rsidR="009D2AE3" w:rsidRPr="005545AF">
        <w:rPr>
          <w:lang w:val="en-CA"/>
        </w:rPr>
        <w:t>at issue</w:t>
      </w:r>
      <w:r w:rsidR="00F6165A" w:rsidRPr="005545AF">
        <w:rPr>
          <w:lang w:val="en-CA"/>
        </w:rPr>
        <w:t xml:space="preserve"> in the </w:t>
      </w:r>
      <w:r w:rsidR="002802DA" w:rsidRPr="005545AF">
        <w:rPr>
          <w:lang w:val="en-CA"/>
        </w:rPr>
        <w:t>action</w:t>
      </w:r>
      <w:r w:rsidR="00F6165A" w:rsidRPr="005545AF">
        <w:rPr>
          <w:lang w:val="en-CA"/>
        </w:rPr>
        <w:t>,</w:t>
      </w:r>
      <w:r w:rsidR="002802DA" w:rsidRPr="005545AF">
        <w:rPr>
          <w:rStyle w:val="Appelnotedebasdep"/>
          <w:lang w:val="en-CA"/>
        </w:rPr>
        <w:footnoteReference w:id="20"/>
      </w:r>
      <w:r w:rsidR="002802DA" w:rsidRPr="005545AF">
        <w:rPr>
          <w:lang w:val="en-CA"/>
        </w:rPr>
        <w:t xml:space="preserve"> </w:t>
      </w:r>
      <w:r w:rsidR="00F6165A" w:rsidRPr="005545AF">
        <w:rPr>
          <w:lang w:val="en-CA"/>
        </w:rPr>
        <w:t>without however repeating or otherwise commenting on its content</w:t>
      </w:r>
      <w:r w:rsidR="002802DA" w:rsidRPr="005545AF">
        <w:rPr>
          <w:lang w:val="en-CA"/>
        </w:rPr>
        <w:t xml:space="preserve">. </w:t>
      </w:r>
      <w:r w:rsidR="00A55BF4" w:rsidRPr="005545AF">
        <w:rPr>
          <w:lang w:val="en-CA"/>
        </w:rPr>
        <w:t>While admitting that</w:t>
      </w:r>
      <w:r w:rsidR="002802DA" w:rsidRPr="005545AF">
        <w:rPr>
          <w:lang w:val="en-CA"/>
        </w:rPr>
        <w:t xml:space="preserve"> Newton</w:t>
      </w:r>
      <w:r w:rsidR="00A55BF4" w:rsidRPr="005545AF">
        <w:rPr>
          <w:lang w:val="en-CA"/>
        </w:rPr>
        <w:t>’s article was not defamatory,</w:t>
      </w:r>
      <w:r w:rsidR="002802DA" w:rsidRPr="005545AF">
        <w:rPr>
          <w:lang w:val="en-CA"/>
        </w:rPr>
        <w:t xml:space="preserve"> Crookes </w:t>
      </w:r>
      <w:r w:rsidR="00A55BF4" w:rsidRPr="005545AF">
        <w:rPr>
          <w:lang w:val="en-CA"/>
        </w:rPr>
        <w:t>sued the latter for defamation, alleging that he was the “publisher” of</w:t>
      </w:r>
      <w:r w:rsidR="002802DA" w:rsidRPr="005545AF">
        <w:rPr>
          <w:lang w:val="en-CA"/>
        </w:rPr>
        <w:t xml:space="preserve"> Piling</w:t>
      </w:r>
      <w:r w:rsidR="00A55BF4" w:rsidRPr="005545AF">
        <w:rPr>
          <w:lang w:val="en-CA"/>
        </w:rPr>
        <w:t>’s defamation.</w:t>
      </w:r>
      <w:r w:rsidR="002802DA" w:rsidRPr="005545AF">
        <w:rPr>
          <w:rStyle w:val="Appelnotedebasdep"/>
          <w:lang w:val="en-CA"/>
        </w:rPr>
        <w:footnoteReference w:id="21"/>
      </w:r>
      <w:r w:rsidR="002802DA" w:rsidRPr="005545AF">
        <w:rPr>
          <w:lang w:val="en-CA"/>
        </w:rPr>
        <w:t xml:space="preserve"> </w:t>
      </w:r>
    </w:p>
    <w:p w14:paraId="336EDA69" w14:textId="3EB0E56A" w:rsidR="002802DA" w:rsidRPr="005545AF" w:rsidRDefault="00E026D9" w:rsidP="001F7377">
      <w:pPr>
        <w:pStyle w:val="Paragraphe"/>
        <w:spacing w:line="240" w:lineRule="auto"/>
        <w:rPr>
          <w:lang w:val="en-CA"/>
        </w:rPr>
      </w:pPr>
      <w:r w:rsidRPr="005545AF">
        <w:rPr>
          <w:lang w:val="en-CA"/>
        </w:rPr>
        <w:t>The Supreme Court</w:t>
      </w:r>
      <w:r w:rsidR="002802DA" w:rsidRPr="005545AF">
        <w:rPr>
          <w:lang w:val="en-CA"/>
        </w:rPr>
        <w:t xml:space="preserve"> </w:t>
      </w:r>
      <w:r w:rsidRPr="005545AF">
        <w:rPr>
          <w:lang w:val="en-CA"/>
        </w:rPr>
        <w:t>justices unanimously affirmed the trial judgment and that of the Court of Appeal for British Columbia and concluded that</w:t>
      </w:r>
      <w:r w:rsidR="002802DA" w:rsidRPr="005545AF">
        <w:rPr>
          <w:lang w:val="en-CA"/>
        </w:rPr>
        <w:t xml:space="preserve"> Newton </w:t>
      </w:r>
      <w:r w:rsidRPr="005545AF">
        <w:rPr>
          <w:lang w:val="en-CA"/>
        </w:rPr>
        <w:t>had not “published” the defamatory comments written by Piling, an essential condition for the</w:t>
      </w:r>
      <w:r w:rsidR="002802DA" w:rsidRPr="005545AF">
        <w:rPr>
          <w:lang w:val="en-CA"/>
        </w:rPr>
        <w:t xml:space="preserve"> tort of defamation </w:t>
      </w:r>
      <w:r w:rsidRPr="005545AF">
        <w:rPr>
          <w:lang w:val="en-CA"/>
        </w:rPr>
        <w:t>in common law</w:t>
      </w:r>
      <w:r w:rsidR="002802DA" w:rsidRPr="005545AF">
        <w:rPr>
          <w:lang w:val="en-CA"/>
        </w:rPr>
        <w:t xml:space="preserve">. </w:t>
      </w:r>
      <w:r w:rsidRPr="005545AF">
        <w:rPr>
          <w:lang w:val="en-CA"/>
        </w:rPr>
        <w:t xml:space="preserve">The justices </w:t>
      </w:r>
      <w:r w:rsidR="006B460D" w:rsidRPr="005545AF">
        <w:rPr>
          <w:lang w:val="en-CA"/>
        </w:rPr>
        <w:t>parted ways,</w:t>
      </w:r>
      <w:r w:rsidRPr="005545AF">
        <w:rPr>
          <w:lang w:val="en-CA"/>
        </w:rPr>
        <w:t xml:space="preserve"> however</w:t>
      </w:r>
      <w:r w:rsidR="006B460D" w:rsidRPr="005545AF">
        <w:rPr>
          <w:lang w:val="en-CA"/>
        </w:rPr>
        <w:t>,</w:t>
      </w:r>
      <w:r w:rsidRPr="005545AF">
        <w:rPr>
          <w:lang w:val="en-CA"/>
        </w:rPr>
        <w:t xml:space="preserve"> </w:t>
      </w:r>
      <w:r w:rsidR="006B460D" w:rsidRPr="005545AF">
        <w:rPr>
          <w:lang w:val="en-CA"/>
        </w:rPr>
        <w:t>as to</w:t>
      </w:r>
      <w:r w:rsidRPr="005545AF">
        <w:rPr>
          <w:lang w:val="en-CA"/>
        </w:rPr>
        <w:t xml:space="preserve"> their reasons</w:t>
      </w:r>
      <w:r w:rsidR="002802DA" w:rsidRPr="005545AF">
        <w:rPr>
          <w:lang w:val="en-CA"/>
        </w:rPr>
        <w:t xml:space="preserve">. </w:t>
      </w:r>
      <w:r w:rsidRPr="005545AF">
        <w:rPr>
          <w:lang w:val="en-CA"/>
        </w:rPr>
        <w:t xml:space="preserve">In </w:t>
      </w:r>
      <w:r w:rsidR="002802DA" w:rsidRPr="005545AF">
        <w:rPr>
          <w:lang w:val="en-CA"/>
        </w:rPr>
        <w:t>Abella</w:t>
      </w:r>
      <w:r w:rsidR="00B24CDF" w:rsidRPr="005545AF">
        <w:rPr>
          <w:lang w:val="en-CA"/>
        </w:rPr>
        <w:t xml:space="preserve"> </w:t>
      </w:r>
      <w:r w:rsidRPr="005545AF">
        <w:rPr>
          <w:lang w:val="en-CA"/>
        </w:rPr>
        <w:t>J.’s view</w:t>
      </w:r>
      <w:r w:rsidR="002802DA" w:rsidRPr="005545AF">
        <w:rPr>
          <w:lang w:val="en-CA"/>
        </w:rPr>
        <w:t xml:space="preserve">, </w:t>
      </w:r>
      <w:r w:rsidRPr="005545AF">
        <w:rPr>
          <w:lang w:val="en-CA"/>
        </w:rPr>
        <w:t>on behalf of the majority</w:t>
      </w:r>
      <w:r w:rsidR="002802DA" w:rsidRPr="005545AF">
        <w:rPr>
          <w:lang w:val="en-CA"/>
        </w:rPr>
        <w:t xml:space="preserve">, </w:t>
      </w:r>
      <w:r w:rsidRPr="005545AF">
        <w:rPr>
          <w:lang w:val="en-CA"/>
        </w:rPr>
        <w:t>a hyperlink</w:t>
      </w:r>
      <w:r w:rsidR="00721E38" w:rsidRPr="005545AF">
        <w:rPr>
          <w:lang w:val="en-CA"/>
        </w:rPr>
        <w:t>, by itself, should never be seen</w:t>
      </w:r>
      <w:r w:rsidRPr="005545AF">
        <w:rPr>
          <w:lang w:val="en-CA"/>
        </w:rPr>
        <w:t xml:space="preserve"> </w:t>
      </w:r>
      <w:r w:rsidR="00721E38" w:rsidRPr="005545AF">
        <w:rPr>
          <w:lang w:val="en-CA"/>
        </w:rPr>
        <w:t>as ‘publication’ of the content to which it refers</w:t>
      </w:r>
      <w:r w:rsidR="002802DA" w:rsidRPr="005545AF">
        <w:rPr>
          <w:rStyle w:val="Appelnotedebasdep"/>
          <w:lang w:val="en-CA"/>
        </w:rPr>
        <w:footnoteReference w:id="22"/>
      </w:r>
      <w:r w:rsidR="002802DA" w:rsidRPr="005545AF">
        <w:rPr>
          <w:lang w:val="en-CA"/>
        </w:rPr>
        <w:t xml:space="preserve"> </w:t>
      </w:r>
      <w:r w:rsidR="00721E38" w:rsidRPr="005545AF">
        <w:rPr>
          <w:lang w:val="en-CA"/>
        </w:rPr>
        <w:t xml:space="preserve">since </w:t>
      </w:r>
      <w:r w:rsidR="006B54BF" w:rsidRPr="005545AF">
        <w:rPr>
          <w:lang w:val="en-CA"/>
        </w:rPr>
        <w:t xml:space="preserve">the hyperlink </w:t>
      </w:r>
      <w:r w:rsidR="00F36553" w:rsidRPr="005545AF">
        <w:rPr>
          <w:lang w:val="en-CA"/>
        </w:rPr>
        <w:t>merely mentions the existence of information, without exerting</w:t>
      </w:r>
      <w:r w:rsidR="006B460D" w:rsidRPr="005545AF">
        <w:rPr>
          <w:lang w:val="en-CA"/>
        </w:rPr>
        <w:t xml:space="preserve"> any</w:t>
      </w:r>
      <w:r w:rsidR="00F36553" w:rsidRPr="005545AF">
        <w:rPr>
          <w:lang w:val="en-CA"/>
        </w:rPr>
        <w:t xml:space="preserve"> control over it.</w:t>
      </w:r>
      <w:r w:rsidR="002802DA" w:rsidRPr="005545AF">
        <w:rPr>
          <w:rStyle w:val="Appelnotedebasdep"/>
          <w:lang w:val="en-CA"/>
        </w:rPr>
        <w:footnoteReference w:id="23"/>
      </w:r>
      <w:r w:rsidR="00F36553" w:rsidRPr="005545AF">
        <w:rPr>
          <w:lang w:val="en-CA"/>
        </w:rPr>
        <w:t xml:space="preserve"> While it is true that that reference facilitates the tran</w:t>
      </w:r>
      <w:r w:rsidR="002802DA" w:rsidRPr="005545AF">
        <w:rPr>
          <w:lang w:val="en-CA"/>
        </w:rPr>
        <w:t xml:space="preserve">smission </w:t>
      </w:r>
      <w:r w:rsidR="00F36553" w:rsidRPr="005545AF">
        <w:rPr>
          <w:lang w:val="en-CA"/>
        </w:rPr>
        <w:t>of</w:t>
      </w:r>
      <w:r w:rsidR="00CE099F" w:rsidRPr="005545AF">
        <w:rPr>
          <w:lang w:val="en-CA"/>
        </w:rPr>
        <w:t xml:space="preserve"> </w:t>
      </w:r>
      <w:r w:rsidR="002802DA" w:rsidRPr="005545AF">
        <w:rPr>
          <w:lang w:val="en-CA"/>
        </w:rPr>
        <w:t>information </w:t>
      </w:r>
      <w:r w:rsidR="00F36553" w:rsidRPr="005545AF">
        <w:rPr>
          <w:lang w:val="en-CA"/>
        </w:rPr>
        <w:t>“</w:t>
      </w:r>
      <w:r w:rsidR="002802DA" w:rsidRPr="005545AF">
        <w:rPr>
          <w:lang w:val="en-CA"/>
        </w:rPr>
        <w:t xml:space="preserve">[…] </w:t>
      </w:r>
      <w:r w:rsidR="00F36553" w:rsidRPr="005545AF">
        <w:rPr>
          <w:lang w:val="en-CA"/>
        </w:rPr>
        <w:t>it is equally clear that when a person follows a link they are leaving one source and moving to another</w:t>
      </w:r>
      <w:r w:rsidR="002802DA" w:rsidRPr="005545AF">
        <w:rPr>
          <w:lang w:val="en-CA"/>
        </w:rPr>
        <w:t>»</w:t>
      </w:r>
      <w:r w:rsidR="002802DA" w:rsidRPr="005545AF">
        <w:rPr>
          <w:rStyle w:val="Appelnotedebasdep"/>
          <w:lang w:val="en-CA"/>
        </w:rPr>
        <w:footnoteReference w:id="24"/>
      </w:r>
      <w:r w:rsidR="002802DA" w:rsidRPr="005545AF">
        <w:rPr>
          <w:lang w:val="en-CA"/>
        </w:rPr>
        <w:t xml:space="preserve"> </w:t>
      </w:r>
      <w:r w:rsidR="00F36553" w:rsidRPr="005545AF">
        <w:rPr>
          <w:lang w:val="en-CA"/>
        </w:rPr>
        <w:t xml:space="preserve">as </w:t>
      </w:r>
      <w:r w:rsidR="00CE099F" w:rsidRPr="005545AF">
        <w:rPr>
          <w:lang w:val="en-CA"/>
        </w:rPr>
        <w:t xml:space="preserve">is the case with </w:t>
      </w:r>
      <w:r w:rsidR="00F36553" w:rsidRPr="005545AF">
        <w:rPr>
          <w:lang w:val="en-CA"/>
        </w:rPr>
        <w:t>a footnote</w:t>
      </w:r>
      <w:r w:rsidR="00CE099F" w:rsidRPr="005545AF">
        <w:rPr>
          <w:lang w:val="en-CA"/>
        </w:rPr>
        <w:t>.</w:t>
      </w:r>
      <w:r w:rsidR="002802DA" w:rsidRPr="005545AF">
        <w:rPr>
          <w:rStyle w:val="Appelnotedebasdep"/>
          <w:lang w:val="en-CA"/>
        </w:rPr>
        <w:footnoteReference w:id="25"/>
      </w:r>
      <w:r w:rsidR="002802DA" w:rsidRPr="005545AF">
        <w:rPr>
          <w:lang w:val="en-CA"/>
        </w:rPr>
        <w:t xml:space="preserve"> </w:t>
      </w:r>
      <w:r w:rsidR="00CE099F" w:rsidRPr="005545AF">
        <w:rPr>
          <w:lang w:val="en-CA"/>
        </w:rPr>
        <w:t>Th</w:t>
      </w:r>
      <w:r w:rsidR="006B460D" w:rsidRPr="005545AF">
        <w:rPr>
          <w:lang w:val="en-CA"/>
        </w:rPr>
        <w:t>is</w:t>
      </w:r>
      <w:r w:rsidR="00CE099F" w:rsidRPr="005545AF">
        <w:rPr>
          <w:lang w:val="en-CA"/>
        </w:rPr>
        <w:t xml:space="preserve"> </w:t>
      </w:r>
      <w:r w:rsidR="00B24CDF" w:rsidRPr="005545AF">
        <w:rPr>
          <w:lang w:val="en-CA"/>
        </w:rPr>
        <w:t xml:space="preserve">principled </w:t>
      </w:r>
      <w:r w:rsidR="00CE099F" w:rsidRPr="005545AF">
        <w:rPr>
          <w:lang w:val="en-CA"/>
        </w:rPr>
        <w:t>solution</w:t>
      </w:r>
      <w:r w:rsidR="002802DA" w:rsidRPr="005545AF">
        <w:rPr>
          <w:lang w:val="en-CA"/>
        </w:rPr>
        <w:t xml:space="preserve">, </w:t>
      </w:r>
      <w:r w:rsidR="00CE099F" w:rsidRPr="005545AF">
        <w:rPr>
          <w:lang w:val="en-CA"/>
        </w:rPr>
        <w:t>in</w:t>
      </w:r>
      <w:r w:rsidR="002802DA" w:rsidRPr="005545AF">
        <w:rPr>
          <w:lang w:val="en-CA"/>
        </w:rPr>
        <w:t xml:space="preserve"> Abella</w:t>
      </w:r>
      <w:r w:rsidR="00B24CDF" w:rsidRPr="005545AF">
        <w:rPr>
          <w:lang w:val="en-CA"/>
        </w:rPr>
        <w:t xml:space="preserve"> </w:t>
      </w:r>
      <w:r w:rsidR="00CE099F" w:rsidRPr="005545AF">
        <w:rPr>
          <w:lang w:val="en-CA"/>
        </w:rPr>
        <w:t>J.’s view</w:t>
      </w:r>
      <w:r w:rsidR="002802DA" w:rsidRPr="005545AF">
        <w:rPr>
          <w:lang w:val="en-CA"/>
        </w:rPr>
        <w:t xml:space="preserve">, </w:t>
      </w:r>
      <w:r w:rsidR="00CE099F" w:rsidRPr="005545AF">
        <w:rPr>
          <w:lang w:val="en-CA"/>
        </w:rPr>
        <w:t xml:space="preserve">is that which best </w:t>
      </w:r>
      <w:r w:rsidR="00B24CDF" w:rsidRPr="005545AF">
        <w:rPr>
          <w:lang w:val="en-CA"/>
        </w:rPr>
        <w:t>aligns</w:t>
      </w:r>
      <w:r w:rsidR="00CE099F" w:rsidRPr="005545AF">
        <w:rPr>
          <w:lang w:val="en-CA"/>
        </w:rPr>
        <w:t xml:space="preserve"> with the necessary weighing of an individual’s interest in protecti</w:t>
      </w:r>
      <w:r w:rsidR="00B24CDF" w:rsidRPr="005545AF">
        <w:rPr>
          <w:lang w:val="en-CA"/>
        </w:rPr>
        <w:t xml:space="preserve">ng </w:t>
      </w:r>
      <w:r w:rsidR="00CE099F" w:rsidRPr="005545AF">
        <w:rPr>
          <w:lang w:val="en-CA"/>
        </w:rPr>
        <w:t xml:space="preserve">their reputation and that of </w:t>
      </w:r>
      <w:r w:rsidR="00CE099F" w:rsidRPr="005545AF">
        <w:rPr>
          <w:lang w:val="en-CA"/>
        </w:rPr>
        <w:lastRenderedPageBreak/>
        <w:t>the public in freedom of expression</w:t>
      </w:r>
      <w:r w:rsidR="002802DA" w:rsidRPr="005545AF">
        <w:rPr>
          <w:rStyle w:val="Appelnotedebasdep"/>
          <w:lang w:val="en-CA"/>
        </w:rPr>
        <w:footnoteReference w:id="26"/>
      </w:r>
      <w:r w:rsidR="002802DA" w:rsidRPr="005545AF">
        <w:rPr>
          <w:lang w:val="en-CA"/>
        </w:rPr>
        <w:t xml:space="preserve"> </w:t>
      </w:r>
      <w:r w:rsidR="00CE099F" w:rsidRPr="005545AF">
        <w:rPr>
          <w:lang w:val="en-CA"/>
        </w:rPr>
        <w:t xml:space="preserve">as well as with the fact that the use of hyperlinks is an indispensable element in the development of the </w:t>
      </w:r>
      <w:r w:rsidR="004D3FB2" w:rsidRPr="005545AF">
        <w:rPr>
          <w:lang w:val="en-CA"/>
        </w:rPr>
        <w:t>I</w:t>
      </w:r>
      <w:r w:rsidR="002802DA" w:rsidRPr="005545AF">
        <w:rPr>
          <w:lang w:val="en-CA"/>
        </w:rPr>
        <w:t>nternet</w:t>
      </w:r>
      <w:r w:rsidR="00CE099F" w:rsidRPr="005545AF">
        <w:rPr>
          <w:lang w:val="en-CA"/>
        </w:rPr>
        <w:t>.</w:t>
      </w:r>
      <w:r w:rsidR="002802DA" w:rsidRPr="005545AF">
        <w:rPr>
          <w:rStyle w:val="Appelnotedebasdep"/>
          <w:lang w:val="en-CA"/>
        </w:rPr>
        <w:footnoteReference w:id="27"/>
      </w:r>
      <w:r w:rsidR="00CE099F" w:rsidRPr="005545AF">
        <w:rPr>
          <w:lang w:val="en-CA"/>
        </w:rPr>
        <w:t xml:space="preserve"> </w:t>
      </w:r>
      <w:r w:rsidR="002802DA" w:rsidRPr="005545AF">
        <w:rPr>
          <w:lang w:val="en-CA"/>
        </w:rPr>
        <w:t>Abella</w:t>
      </w:r>
      <w:r w:rsidR="00B24CDF" w:rsidRPr="005545AF">
        <w:rPr>
          <w:lang w:val="en-CA"/>
        </w:rPr>
        <w:t xml:space="preserve"> </w:t>
      </w:r>
      <w:r w:rsidR="00CE099F" w:rsidRPr="005545AF">
        <w:rPr>
          <w:lang w:val="en-CA"/>
        </w:rPr>
        <w:t xml:space="preserve">J. qualifies that principle, however, by noting that if the form or the content of the reference </w:t>
      </w:r>
      <w:r w:rsidR="006B54BF" w:rsidRPr="005545AF">
        <w:rPr>
          <w:lang w:val="en-CA"/>
        </w:rPr>
        <w:t>conveys in itself</w:t>
      </w:r>
      <w:r w:rsidR="001B2646" w:rsidRPr="005545AF">
        <w:rPr>
          <w:lang w:val="en-CA"/>
        </w:rPr>
        <w:t xml:space="preserve"> defamatory meaning </w:t>
      </w:r>
      <w:r w:rsidR="002802DA" w:rsidRPr="005545AF">
        <w:rPr>
          <w:lang w:val="en-CA"/>
        </w:rPr>
        <w:t xml:space="preserve">– </w:t>
      </w:r>
      <w:r w:rsidR="001B2646" w:rsidRPr="005545AF">
        <w:rPr>
          <w:lang w:val="en-CA"/>
        </w:rPr>
        <w:t xml:space="preserve">by incorporating </w:t>
      </w:r>
      <w:r w:rsidR="004D3FB2" w:rsidRPr="005545AF">
        <w:rPr>
          <w:lang w:val="en-CA"/>
        </w:rPr>
        <w:t xml:space="preserve">the defamatory content in the link, </w:t>
      </w:r>
      <w:r w:rsidR="001B2646" w:rsidRPr="005545AF">
        <w:rPr>
          <w:lang w:val="en-CA"/>
        </w:rPr>
        <w:t>for example</w:t>
      </w:r>
      <w:r w:rsidR="004D3FB2" w:rsidRPr="005545AF">
        <w:rPr>
          <w:lang w:val="en-CA"/>
        </w:rPr>
        <w:t xml:space="preserve"> </w:t>
      </w:r>
      <w:r w:rsidR="002802DA" w:rsidRPr="005545AF">
        <w:rPr>
          <w:lang w:val="en-CA"/>
        </w:rPr>
        <w:t xml:space="preserve">– </w:t>
      </w:r>
      <w:r w:rsidR="001B2646" w:rsidRPr="005545AF">
        <w:rPr>
          <w:lang w:val="en-CA"/>
        </w:rPr>
        <w:t>the author’s liability could be engaged.</w:t>
      </w:r>
      <w:r w:rsidR="002802DA" w:rsidRPr="005545AF">
        <w:rPr>
          <w:rStyle w:val="Appelnotedebasdep"/>
          <w:lang w:val="en-CA"/>
        </w:rPr>
        <w:footnoteReference w:id="28"/>
      </w:r>
      <w:r w:rsidR="001B2646" w:rsidRPr="005545AF">
        <w:rPr>
          <w:lang w:val="en-CA"/>
        </w:rPr>
        <w:t xml:space="preserve"> Finally, she added that, in the future, distinctions may need to be drawn between various types of links.</w:t>
      </w:r>
      <w:r w:rsidR="002802DA" w:rsidRPr="005545AF">
        <w:rPr>
          <w:rStyle w:val="Appelnotedebasdep"/>
          <w:lang w:val="en-CA"/>
        </w:rPr>
        <w:footnoteReference w:id="29"/>
      </w:r>
    </w:p>
    <w:p w14:paraId="3EBDCFED" w14:textId="74118C6A" w:rsidR="002802DA" w:rsidRPr="005545AF" w:rsidRDefault="00A157F2" w:rsidP="001F7377">
      <w:pPr>
        <w:pStyle w:val="Paragraphe"/>
        <w:spacing w:line="240" w:lineRule="auto"/>
        <w:rPr>
          <w:lang w:val="en-CA"/>
        </w:rPr>
      </w:pPr>
      <w:r w:rsidRPr="005545AF">
        <w:rPr>
          <w:lang w:val="en-CA"/>
        </w:rPr>
        <w:t xml:space="preserve">In concurring reasons, </w:t>
      </w:r>
      <w:r w:rsidR="002802DA" w:rsidRPr="005545AF">
        <w:rPr>
          <w:lang w:val="en-CA"/>
        </w:rPr>
        <w:t>McLachlin</w:t>
      </w:r>
      <w:r w:rsidR="00B24CDF" w:rsidRPr="005545AF">
        <w:rPr>
          <w:lang w:val="en-CA"/>
        </w:rPr>
        <w:t xml:space="preserve"> C.J.</w:t>
      </w:r>
      <w:r w:rsidR="002802DA" w:rsidRPr="005545AF">
        <w:rPr>
          <w:lang w:val="en-CA"/>
        </w:rPr>
        <w:t xml:space="preserve"> </w:t>
      </w:r>
      <w:r w:rsidR="00B24CDF" w:rsidRPr="005545AF">
        <w:rPr>
          <w:lang w:val="en-CA"/>
        </w:rPr>
        <w:t>and</w:t>
      </w:r>
      <w:r w:rsidR="002802DA" w:rsidRPr="005545AF">
        <w:rPr>
          <w:lang w:val="en-CA"/>
        </w:rPr>
        <w:t xml:space="preserve"> Fish</w:t>
      </w:r>
      <w:r w:rsidRPr="005545AF">
        <w:rPr>
          <w:lang w:val="en-CA"/>
        </w:rPr>
        <w:t xml:space="preserve"> </w:t>
      </w:r>
      <w:r w:rsidR="00B24CDF" w:rsidRPr="005545AF">
        <w:rPr>
          <w:lang w:val="en-CA"/>
        </w:rPr>
        <w:t>J.</w:t>
      </w:r>
      <w:r w:rsidRPr="005545AF">
        <w:rPr>
          <w:lang w:val="en-CA"/>
        </w:rPr>
        <w:t xml:space="preserve"> </w:t>
      </w:r>
      <w:r w:rsidR="00B24CDF" w:rsidRPr="005545AF">
        <w:rPr>
          <w:lang w:val="en-CA"/>
        </w:rPr>
        <w:t>add</w:t>
      </w:r>
      <w:r w:rsidRPr="005545AF">
        <w:rPr>
          <w:lang w:val="en-CA"/>
        </w:rPr>
        <w:t>ed</w:t>
      </w:r>
      <w:r w:rsidR="00B24CDF" w:rsidRPr="005545AF">
        <w:rPr>
          <w:lang w:val="en-CA"/>
        </w:rPr>
        <w:t xml:space="preserve"> a qualification to </w:t>
      </w:r>
      <w:r w:rsidR="002802DA" w:rsidRPr="005545AF">
        <w:rPr>
          <w:lang w:val="en-CA"/>
        </w:rPr>
        <w:t>Abella</w:t>
      </w:r>
      <w:r w:rsidR="00B24CDF" w:rsidRPr="005545AF">
        <w:rPr>
          <w:lang w:val="en-CA"/>
        </w:rPr>
        <w:t xml:space="preserve"> J.</w:t>
      </w:r>
      <w:r w:rsidRPr="005545AF">
        <w:rPr>
          <w:lang w:val="en-CA"/>
        </w:rPr>
        <w:t>’s reasons</w:t>
      </w:r>
      <w:r w:rsidR="002802DA" w:rsidRPr="005545AF">
        <w:rPr>
          <w:lang w:val="en-CA"/>
        </w:rPr>
        <w:t xml:space="preserve"> </w:t>
      </w:r>
      <w:r w:rsidR="00B24CDF" w:rsidRPr="005545AF">
        <w:rPr>
          <w:lang w:val="en-CA"/>
        </w:rPr>
        <w:t>by specifying that</w:t>
      </w:r>
      <w:r w:rsidR="002802DA" w:rsidRPr="005545AF">
        <w:rPr>
          <w:lang w:val="en-CA"/>
        </w:rPr>
        <w:t xml:space="preserve"> </w:t>
      </w:r>
      <w:r w:rsidR="00B24CDF" w:rsidRPr="005545AF">
        <w:rPr>
          <w:lang w:val="en-CA"/>
        </w:rPr>
        <w:t>“</w:t>
      </w:r>
      <w:r w:rsidR="002802DA" w:rsidRPr="005545AF">
        <w:rPr>
          <w:lang w:val="en-CA"/>
        </w:rPr>
        <w:t xml:space="preserve">[…] </w:t>
      </w:r>
      <w:r w:rsidR="00B24CDF" w:rsidRPr="005545AF">
        <w:rPr>
          <w:lang w:val="en-CA"/>
        </w:rPr>
        <w:t>a hyperlink should constitute publication if, read contextually, the text that includes the hyperlink constitutes adoption or endorsement of the specific content it links to</w:t>
      </w:r>
      <w:r w:rsidR="002802DA" w:rsidRPr="005545AF">
        <w:rPr>
          <w:lang w:val="en-CA"/>
        </w:rPr>
        <w:t>.</w:t>
      </w:r>
      <w:r w:rsidR="00B24CDF" w:rsidRPr="005545AF">
        <w:rPr>
          <w:lang w:val="en-CA"/>
        </w:rPr>
        <w:t>”</w:t>
      </w:r>
      <w:r w:rsidR="002802DA" w:rsidRPr="005545AF">
        <w:rPr>
          <w:rStyle w:val="Appelnotedebasdep"/>
          <w:lang w:val="en-CA"/>
        </w:rPr>
        <w:footnoteReference w:id="30"/>
      </w:r>
      <w:r w:rsidR="002802DA" w:rsidRPr="005545AF">
        <w:rPr>
          <w:lang w:val="en-CA"/>
        </w:rPr>
        <w:t xml:space="preserve"> </w:t>
      </w:r>
      <w:r w:rsidR="00B24CDF" w:rsidRPr="005545AF">
        <w:rPr>
          <w:lang w:val="en-CA"/>
        </w:rPr>
        <w:t xml:space="preserve">For her part, </w:t>
      </w:r>
      <w:r w:rsidRPr="005545AF">
        <w:rPr>
          <w:lang w:val="en-CA"/>
        </w:rPr>
        <w:t xml:space="preserve">in her own concurring reasons, </w:t>
      </w:r>
      <w:r w:rsidR="002802DA" w:rsidRPr="005545AF">
        <w:rPr>
          <w:lang w:val="en-CA"/>
        </w:rPr>
        <w:t>Deschamps</w:t>
      </w:r>
      <w:r w:rsidR="00B24CDF" w:rsidRPr="005545AF">
        <w:rPr>
          <w:lang w:val="en-CA"/>
        </w:rPr>
        <w:t xml:space="preserve"> J.</w:t>
      </w:r>
      <w:r w:rsidR="002802DA" w:rsidRPr="005545AF">
        <w:rPr>
          <w:lang w:val="en-CA"/>
        </w:rPr>
        <w:t xml:space="preserve"> </w:t>
      </w:r>
      <w:r w:rsidR="00B24CDF" w:rsidRPr="005545AF">
        <w:rPr>
          <w:lang w:val="en-CA"/>
        </w:rPr>
        <w:t>reject</w:t>
      </w:r>
      <w:r w:rsidRPr="005545AF">
        <w:rPr>
          <w:lang w:val="en-CA"/>
        </w:rPr>
        <w:t>ed</w:t>
      </w:r>
      <w:r w:rsidR="00B24CDF" w:rsidRPr="005545AF">
        <w:rPr>
          <w:lang w:val="en-CA"/>
        </w:rPr>
        <w:t xml:space="preserve"> the creation of an exception excluding</w:t>
      </w:r>
      <w:r w:rsidRPr="005545AF">
        <w:rPr>
          <w:lang w:val="en-CA"/>
        </w:rPr>
        <w:t xml:space="preserve"> the possibility that a</w:t>
      </w:r>
      <w:r w:rsidR="00B24CDF" w:rsidRPr="005545AF">
        <w:rPr>
          <w:lang w:val="en-CA"/>
        </w:rPr>
        <w:t xml:space="preserve"> hyperlink </w:t>
      </w:r>
      <w:r w:rsidRPr="005545AF">
        <w:rPr>
          <w:lang w:val="en-CA"/>
        </w:rPr>
        <w:t>could constitute an</w:t>
      </w:r>
      <w:r w:rsidR="00B24CDF" w:rsidRPr="005545AF">
        <w:rPr>
          <w:lang w:val="en-CA"/>
        </w:rPr>
        <w:t xml:space="preserve"> </w:t>
      </w:r>
      <w:r w:rsidR="000B16FE" w:rsidRPr="005545AF">
        <w:rPr>
          <w:lang w:val="en-CA"/>
        </w:rPr>
        <w:t>act of publication</w:t>
      </w:r>
      <w:r w:rsidR="002802DA" w:rsidRPr="005545AF">
        <w:rPr>
          <w:rStyle w:val="Appelnotedebasdep"/>
          <w:lang w:val="en-CA"/>
        </w:rPr>
        <w:footnoteReference w:id="31"/>
      </w:r>
      <w:r w:rsidR="002802DA" w:rsidRPr="005545AF">
        <w:rPr>
          <w:lang w:val="en-CA"/>
        </w:rPr>
        <w:t xml:space="preserve"> </w:t>
      </w:r>
      <w:r w:rsidR="000B16FE" w:rsidRPr="005545AF">
        <w:rPr>
          <w:lang w:val="en-CA"/>
        </w:rPr>
        <w:t xml:space="preserve">and </w:t>
      </w:r>
      <w:r w:rsidR="003D7E2B" w:rsidRPr="005545AF">
        <w:rPr>
          <w:lang w:val="en-CA"/>
        </w:rPr>
        <w:t>advocate</w:t>
      </w:r>
      <w:r w:rsidR="001A5D97" w:rsidRPr="005545AF">
        <w:rPr>
          <w:lang w:val="en-CA"/>
        </w:rPr>
        <w:t>d</w:t>
      </w:r>
      <w:r w:rsidR="000B16FE" w:rsidRPr="005545AF">
        <w:rPr>
          <w:lang w:val="en-CA"/>
        </w:rPr>
        <w:t xml:space="preserve"> </w:t>
      </w:r>
      <w:r w:rsidR="001A5D97" w:rsidRPr="005545AF">
        <w:rPr>
          <w:lang w:val="en-CA"/>
        </w:rPr>
        <w:t>a flexible approach that is compatible with both</w:t>
      </w:r>
      <w:r w:rsidR="000B16FE" w:rsidRPr="005545AF">
        <w:rPr>
          <w:lang w:val="en-CA"/>
        </w:rPr>
        <w:t xml:space="preserve"> </w:t>
      </w:r>
      <w:r w:rsidR="002802DA" w:rsidRPr="005545AF">
        <w:rPr>
          <w:lang w:val="en-CA"/>
        </w:rPr>
        <w:t xml:space="preserve">common law </w:t>
      </w:r>
      <w:r w:rsidR="000B16FE" w:rsidRPr="005545AF">
        <w:rPr>
          <w:lang w:val="en-CA"/>
        </w:rPr>
        <w:t>and civil law</w:t>
      </w:r>
      <w:r w:rsidR="001A5D97" w:rsidRPr="005545AF">
        <w:rPr>
          <w:lang w:val="en-CA"/>
        </w:rPr>
        <w:t xml:space="preserve"> principles</w:t>
      </w:r>
      <w:r w:rsidR="000B16FE" w:rsidRPr="005545AF">
        <w:rPr>
          <w:lang w:val="en-CA"/>
        </w:rPr>
        <w:t>.</w:t>
      </w:r>
      <w:r w:rsidR="002802DA" w:rsidRPr="005545AF">
        <w:rPr>
          <w:rStyle w:val="Appelnotedebasdep"/>
          <w:lang w:val="en-CA"/>
        </w:rPr>
        <w:footnoteReference w:id="32"/>
      </w:r>
      <w:r w:rsidR="002802DA" w:rsidRPr="005545AF">
        <w:rPr>
          <w:lang w:val="en-CA"/>
        </w:rPr>
        <w:t xml:space="preserve">  </w:t>
      </w:r>
      <w:r w:rsidR="003D7E2B" w:rsidRPr="005545AF">
        <w:rPr>
          <w:lang w:val="en-CA"/>
        </w:rPr>
        <w:t>In her view, therefore,</w:t>
      </w:r>
      <w:r w:rsidR="000B16FE" w:rsidRPr="005545AF">
        <w:rPr>
          <w:lang w:val="en-CA"/>
        </w:rPr>
        <w:t xml:space="preserve"> </w:t>
      </w:r>
      <w:r w:rsidR="00431131" w:rsidRPr="005545AF">
        <w:rPr>
          <w:lang w:val="en-CA"/>
        </w:rPr>
        <w:t>a</w:t>
      </w:r>
      <w:r w:rsidR="003D7E2B" w:rsidRPr="005545AF">
        <w:rPr>
          <w:lang w:val="en-CA"/>
        </w:rPr>
        <w:t xml:space="preserve"> </w:t>
      </w:r>
      <w:r w:rsidR="000B16FE" w:rsidRPr="005545AF">
        <w:rPr>
          <w:lang w:val="en-CA"/>
        </w:rPr>
        <w:t xml:space="preserve">reference can </w:t>
      </w:r>
      <w:r w:rsidR="00431131" w:rsidRPr="005545AF">
        <w:rPr>
          <w:lang w:val="en-CA"/>
        </w:rPr>
        <w:t>give rise</w:t>
      </w:r>
      <w:r w:rsidR="003D7E2B" w:rsidRPr="005545AF">
        <w:rPr>
          <w:lang w:val="en-CA"/>
        </w:rPr>
        <w:t xml:space="preserve"> to a person’s</w:t>
      </w:r>
      <w:r w:rsidR="000B16FE" w:rsidRPr="005545AF">
        <w:rPr>
          <w:lang w:val="en-CA"/>
        </w:rPr>
        <w:t xml:space="preserve"> liability </w:t>
      </w:r>
      <w:r w:rsidR="003D7E2B" w:rsidRPr="005545AF">
        <w:rPr>
          <w:lang w:val="en-CA"/>
        </w:rPr>
        <w:t xml:space="preserve">if </w:t>
      </w:r>
      <w:r w:rsidR="00431131" w:rsidRPr="005545AF">
        <w:rPr>
          <w:lang w:val="en-CA"/>
        </w:rPr>
        <w:t>that person</w:t>
      </w:r>
      <w:r w:rsidR="003D7E2B" w:rsidRPr="005545AF">
        <w:rPr>
          <w:lang w:val="en-CA"/>
        </w:rPr>
        <w:t xml:space="preserve"> deliberately</w:t>
      </w:r>
      <w:r w:rsidR="002802DA" w:rsidRPr="005545AF">
        <w:rPr>
          <w:lang w:val="en-CA"/>
        </w:rPr>
        <w:t xml:space="preserve"> </w:t>
      </w:r>
      <w:r w:rsidR="000B16FE" w:rsidRPr="005545AF">
        <w:rPr>
          <w:lang w:val="en-CA"/>
        </w:rPr>
        <w:t>“</w:t>
      </w:r>
      <w:r w:rsidR="002802DA" w:rsidRPr="005545AF">
        <w:rPr>
          <w:lang w:val="en-CA"/>
        </w:rPr>
        <w:t xml:space="preserve">[…] </w:t>
      </w:r>
      <w:r w:rsidR="000B16FE" w:rsidRPr="005545AF">
        <w:rPr>
          <w:lang w:val="en-CA"/>
        </w:rPr>
        <w:t>make</w:t>
      </w:r>
      <w:r w:rsidR="00431131" w:rsidRPr="005545AF">
        <w:rPr>
          <w:lang w:val="en-CA"/>
        </w:rPr>
        <w:t>s</w:t>
      </w:r>
      <w:r w:rsidR="000B16FE" w:rsidRPr="005545AF">
        <w:rPr>
          <w:lang w:val="en-CA"/>
        </w:rPr>
        <w:t xml:space="preserve"> the defamatory information </w:t>
      </w:r>
      <w:r w:rsidR="000B16FE" w:rsidRPr="005545AF">
        <w:rPr>
          <w:i/>
          <w:iCs/>
          <w:lang w:val="en-CA"/>
        </w:rPr>
        <w:t>readily available</w:t>
      </w:r>
      <w:r w:rsidR="000B16FE" w:rsidRPr="005545AF">
        <w:rPr>
          <w:lang w:val="en-CA"/>
        </w:rPr>
        <w:t xml:space="preserve"> to a third party in a comprehensible form.”</w:t>
      </w:r>
      <w:r w:rsidR="002802DA" w:rsidRPr="005545AF">
        <w:rPr>
          <w:rStyle w:val="Appelnotedebasdep"/>
          <w:lang w:val="en-CA"/>
        </w:rPr>
        <w:footnoteReference w:id="33"/>
      </w:r>
      <w:r w:rsidR="002802DA" w:rsidRPr="005545AF">
        <w:rPr>
          <w:lang w:val="en-CA"/>
        </w:rPr>
        <w:t xml:space="preserve"> </w:t>
      </w:r>
    </w:p>
    <w:p w14:paraId="12DE9283" w14:textId="5B8BF406" w:rsidR="002802DA" w:rsidRPr="005545AF" w:rsidRDefault="00E269A4" w:rsidP="001F7377">
      <w:pPr>
        <w:pStyle w:val="Paragraphe"/>
        <w:spacing w:line="240" w:lineRule="auto"/>
        <w:rPr>
          <w:lang w:val="en-CA"/>
        </w:rPr>
      </w:pPr>
      <w:r w:rsidRPr="005545AF">
        <w:rPr>
          <w:lang w:val="en-CA"/>
        </w:rPr>
        <w:t xml:space="preserve">One need only read the </w:t>
      </w:r>
      <w:r w:rsidR="00E40460" w:rsidRPr="005545AF">
        <w:rPr>
          <w:lang w:val="en-CA"/>
        </w:rPr>
        <w:t>various</w:t>
      </w:r>
      <w:r w:rsidRPr="005545AF">
        <w:rPr>
          <w:lang w:val="en-CA"/>
        </w:rPr>
        <w:t xml:space="preserve"> reasons in that decision</w:t>
      </w:r>
      <w:r w:rsidR="00E40460" w:rsidRPr="005545AF">
        <w:rPr>
          <w:lang w:val="en-CA"/>
        </w:rPr>
        <w:t>, except perhaps those of Deschamps J.,</w:t>
      </w:r>
      <w:r w:rsidRPr="005545AF">
        <w:rPr>
          <w:lang w:val="en-CA"/>
        </w:rPr>
        <w:t xml:space="preserve"> to be convinced that the debate in </w:t>
      </w:r>
      <w:r w:rsidRPr="005545AF">
        <w:rPr>
          <w:i/>
          <w:iCs/>
          <w:lang w:val="en-CA"/>
        </w:rPr>
        <w:t>Crookes</w:t>
      </w:r>
      <w:r w:rsidRPr="005545AF">
        <w:rPr>
          <w:lang w:val="en-CA"/>
        </w:rPr>
        <w:t xml:space="preserve"> </w:t>
      </w:r>
      <w:r w:rsidR="00E40460" w:rsidRPr="005545AF">
        <w:rPr>
          <w:lang w:val="en-CA"/>
        </w:rPr>
        <w:t>was informed by</w:t>
      </w:r>
      <w:r w:rsidRPr="005545AF">
        <w:rPr>
          <w:lang w:val="en-CA"/>
        </w:rPr>
        <w:t xml:space="preserve"> the </w:t>
      </w:r>
      <w:r w:rsidR="0091106A" w:rsidRPr="005545AF">
        <w:rPr>
          <w:lang w:val="en-CA"/>
        </w:rPr>
        <w:t xml:space="preserve">general </w:t>
      </w:r>
      <w:r w:rsidRPr="005545AF">
        <w:rPr>
          <w:lang w:val="en-CA"/>
        </w:rPr>
        <w:t>scheme and analytical approach of the</w:t>
      </w:r>
      <w:r w:rsidR="0091106A" w:rsidRPr="005545AF">
        <w:rPr>
          <w:lang w:val="en-CA"/>
        </w:rPr>
        <w:t xml:space="preserve"> common l</w:t>
      </w:r>
      <w:r w:rsidRPr="005545AF">
        <w:rPr>
          <w:lang w:val="en-CA"/>
        </w:rPr>
        <w:t xml:space="preserve">aw of torts, where </w:t>
      </w:r>
      <w:r w:rsidR="00E40460" w:rsidRPr="005545AF">
        <w:rPr>
          <w:lang w:val="en-CA"/>
        </w:rPr>
        <w:t>a</w:t>
      </w:r>
      <w:r w:rsidRPr="005545AF">
        <w:rPr>
          <w:lang w:val="en-CA"/>
        </w:rPr>
        <w:t xml:space="preserve"> claim must </w:t>
      </w:r>
      <w:r w:rsidR="00A82760" w:rsidRPr="005545AF">
        <w:rPr>
          <w:lang w:val="en-CA"/>
        </w:rPr>
        <w:t>satis</w:t>
      </w:r>
      <w:r w:rsidR="0091106A" w:rsidRPr="005545AF">
        <w:rPr>
          <w:lang w:val="en-CA"/>
        </w:rPr>
        <w:t>f</w:t>
      </w:r>
      <w:r w:rsidR="00A82760" w:rsidRPr="005545AF">
        <w:rPr>
          <w:lang w:val="en-CA"/>
        </w:rPr>
        <w:t>y</w:t>
      </w:r>
      <w:r w:rsidRPr="005545AF">
        <w:rPr>
          <w:lang w:val="en-CA"/>
        </w:rPr>
        <w:t xml:space="preserve"> the conditions applicable to the cause of action</w:t>
      </w:r>
      <w:r w:rsidR="002802DA" w:rsidRPr="005545AF">
        <w:rPr>
          <w:lang w:val="en-CA"/>
        </w:rPr>
        <w:t xml:space="preserve">. </w:t>
      </w:r>
      <w:r w:rsidRPr="005545AF">
        <w:rPr>
          <w:lang w:val="en-CA"/>
        </w:rPr>
        <w:t xml:space="preserve">As our Court has </w:t>
      </w:r>
      <w:r w:rsidR="00DD721D" w:rsidRPr="005545AF">
        <w:rPr>
          <w:lang w:val="en-CA"/>
        </w:rPr>
        <w:t>consistently</w:t>
      </w:r>
      <w:r w:rsidRPr="005545AF">
        <w:rPr>
          <w:lang w:val="en-CA"/>
        </w:rPr>
        <w:t xml:space="preserve"> </w:t>
      </w:r>
      <w:r w:rsidR="00DD721D" w:rsidRPr="005545AF">
        <w:rPr>
          <w:lang w:val="en-CA"/>
        </w:rPr>
        <w:t>not</w:t>
      </w:r>
      <w:r w:rsidRPr="005545AF">
        <w:rPr>
          <w:lang w:val="en-CA"/>
        </w:rPr>
        <w:t>ed</w:t>
      </w:r>
      <w:r w:rsidR="002802DA" w:rsidRPr="005545AF">
        <w:rPr>
          <w:lang w:val="en-CA"/>
        </w:rPr>
        <w:t xml:space="preserve">, </w:t>
      </w:r>
      <w:r w:rsidR="00DD721D" w:rsidRPr="005545AF">
        <w:rPr>
          <w:lang w:val="en-CA"/>
        </w:rPr>
        <w:t xml:space="preserve">civil liability in </w:t>
      </w:r>
      <w:r w:rsidR="00A82760" w:rsidRPr="005545AF">
        <w:rPr>
          <w:lang w:val="en-CA"/>
        </w:rPr>
        <w:t xml:space="preserve">civil law </w:t>
      </w:r>
      <w:r w:rsidR="00DD721D" w:rsidRPr="005545AF">
        <w:rPr>
          <w:lang w:val="en-CA"/>
        </w:rPr>
        <w:t>systems, which includes Quebec law</w:t>
      </w:r>
      <w:r w:rsidR="002802DA" w:rsidRPr="005545AF">
        <w:rPr>
          <w:lang w:val="en-CA"/>
        </w:rPr>
        <w:t xml:space="preserve">, </w:t>
      </w:r>
      <w:r w:rsidR="00DD721D" w:rsidRPr="005545AF">
        <w:rPr>
          <w:lang w:val="en-CA"/>
        </w:rPr>
        <w:t>is</w:t>
      </w:r>
      <w:r w:rsidR="00A82760" w:rsidRPr="005545AF">
        <w:rPr>
          <w:lang w:val="en-CA"/>
        </w:rPr>
        <w:t xml:space="preserve"> based</w:t>
      </w:r>
      <w:r w:rsidR="00E40460" w:rsidRPr="005545AF">
        <w:rPr>
          <w:lang w:val="en-CA"/>
        </w:rPr>
        <w:t>, rather,</w:t>
      </w:r>
      <w:r w:rsidR="00A82760" w:rsidRPr="005545AF">
        <w:rPr>
          <w:lang w:val="en-CA"/>
        </w:rPr>
        <w:t xml:space="preserve"> on a</w:t>
      </w:r>
      <w:r w:rsidR="00DD721D" w:rsidRPr="005545AF">
        <w:rPr>
          <w:lang w:val="en-CA"/>
        </w:rPr>
        <w:t xml:space="preserve"> general liability</w:t>
      </w:r>
      <w:r w:rsidR="00A82760" w:rsidRPr="005545AF">
        <w:rPr>
          <w:lang w:val="en-CA"/>
        </w:rPr>
        <w:t xml:space="preserve"> clause</w:t>
      </w:r>
      <w:r w:rsidR="002802DA" w:rsidRPr="005545AF">
        <w:rPr>
          <w:lang w:val="en-CA"/>
        </w:rPr>
        <w:t xml:space="preserve"> </w:t>
      </w:r>
      <w:r w:rsidR="00A82760" w:rsidRPr="005545AF">
        <w:rPr>
          <w:lang w:val="en-CA"/>
        </w:rPr>
        <w:t>and is</w:t>
      </w:r>
      <w:r w:rsidR="00291A73" w:rsidRPr="005545AF">
        <w:rPr>
          <w:lang w:val="en-CA"/>
        </w:rPr>
        <w:t xml:space="preserve"> rooted in the</w:t>
      </w:r>
      <w:r w:rsidR="00A82760" w:rsidRPr="005545AF">
        <w:rPr>
          <w:lang w:val="en-CA"/>
        </w:rPr>
        <w:t xml:space="preserve"> standard of fault, understood as</w:t>
      </w:r>
      <w:r w:rsidR="00291A73" w:rsidRPr="005545AF">
        <w:rPr>
          <w:lang w:val="en-CA"/>
        </w:rPr>
        <w:t xml:space="preserve"> behaviour that departs from that</w:t>
      </w:r>
      <w:r w:rsidR="00A82760" w:rsidRPr="005545AF">
        <w:rPr>
          <w:lang w:val="en-CA"/>
        </w:rPr>
        <w:t xml:space="preserve"> </w:t>
      </w:r>
      <w:r w:rsidR="0091106A" w:rsidRPr="005545AF">
        <w:rPr>
          <w:lang w:val="en-CA"/>
        </w:rPr>
        <w:t>of</w:t>
      </w:r>
      <w:r w:rsidR="00A82760" w:rsidRPr="005545AF">
        <w:rPr>
          <w:lang w:val="en-CA"/>
        </w:rPr>
        <w:t xml:space="preserve"> a reasonable person </w:t>
      </w:r>
      <w:r w:rsidR="00F76AF1" w:rsidRPr="005545AF">
        <w:rPr>
          <w:lang w:val="en-CA"/>
        </w:rPr>
        <w:t xml:space="preserve">placed </w:t>
      </w:r>
      <w:r w:rsidR="00A82760" w:rsidRPr="005545AF">
        <w:rPr>
          <w:lang w:val="en-CA"/>
        </w:rPr>
        <w:t xml:space="preserve">in the same </w:t>
      </w:r>
      <w:bookmarkStart w:id="27" w:name="_Ref207540765"/>
      <w:r w:rsidR="00E40460" w:rsidRPr="005545AF">
        <w:rPr>
          <w:lang w:val="en-CA"/>
        </w:rPr>
        <w:t>circumstances</w:t>
      </w:r>
      <w:r w:rsidR="00A82760" w:rsidRPr="005545AF">
        <w:rPr>
          <w:lang w:val="en-CA"/>
        </w:rPr>
        <w:t>.</w:t>
      </w:r>
      <w:r w:rsidR="002802DA" w:rsidRPr="005545AF">
        <w:rPr>
          <w:rStyle w:val="Appelnotedebasdep"/>
          <w:lang w:val="en-CA"/>
        </w:rPr>
        <w:footnoteReference w:id="34"/>
      </w:r>
      <w:bookmarkEnd w:id="27"/>
    </w:p>
    <w:p w14:paraId="7FA77624" w14:textId="2CFDE725" w:rsidR="002802DA" w:rsidRPr="005545AF" w:rsidRDefault="00370D3D" w:rsidP="001F7377">
      <w:pPr>
        <w:pStyle w:val="Paragraphe"/>
        <w:spacing w:line="240" w:lineRule="auto"/>
        <w:rPr>
          <w:lang w:val="en-CA"/>
        </w:rPr>
      </w:pPr>
      <w:r w:rsidRPr="005545AF">
        <w:rPr>
          <w:lang w:val="en-CA"/>
        </w:rPr>
        <w:t>Accordingly</w:t>
      </w:r>
      <w:r w:rsidR="002802DA" w:rsidRPr="005545AF">
        <w:rPr>
          <w:lang w:val="en-CA"/>
        </w:rPr>
        <w:t xml:space="preserve">, </w:t>
      </w:r>
      <w:r w:rsidRPr="005545AF">
        <w:rPr>
          <w:lang w:val="en-CA"/>
        </w:rPr>
        <w:t>one must be cautious before adopting</w:t>
      </w:r>
      <w:r w:rsidR="0065603C" w:rsidRPr="005545AF">
        <w:rPr>
          <w:lang w:val="en-CA"/>
        </w:rPr>
        <w:t xml:space="preserve"> </w:t>
      </w:r>
      <w:r w:rsidRPr="005545AF">
        <w:rPr>
          <w:lang w:val="en-CA"/>
        </w:rPr>
        <w:t>common law reasoning</w:t>
      </w:r>
      <w:r w:rsidR="002802DA" w:rsidRPr="005545AF">
        <w:rPr>
          <w:lang w:val="en-CA"/>
        </w:rPr>
        <w:t xml:space="preserve">. </w:t>
      </w:r>
      <w:bookmarkStart w:id="28" w:name="_Ref207618170"/>
      <w:r w:rsidRPr="005545AF">
        <w:rPr>
          <w:lang w:val="en-CA"/>
        </w:rPr>
        <w:t>While the solution</w:t>
      </w:r>
      <w:r w:rsidR="001A7906" w:rsidRPr="005545AF">
        <w:rPr>
          <w:lang w:val="en-CA"/>
        </w:rPr>
        <w:t xml:space="preserve"> </w:t>
      </w:r>
      <w:r w:rsidRPr="005545AF">
        <w:rPr>
          <w:lang w:val="en-CA"/>
        </w:rPr>
        <w:t xml:space="preserve">under the two systems may </w:t>
      </w:r>
      <w:r w:rsidR="001A7906" w:rsidRPr="005545AF">
        <w:rPr>
          <w:lang w:val="en-CA"/>
        </w:rPr>
        <w:t>the same</w:t>
      </w:r>
      <w:r w:rsidRPr="005545AF">
        <w:rPr>
          <w:lang w:val="en-CA"/>
        </w:rPr>
        <w:t>,</w:t>
      </w:r>
      <w:r w:rsidR="002802DA" w:rsidRPr="005545AF">
        <w:rPr>
          <w:rStyle w:val="Appelnotedebasdep"/>
          <w:lang w:val="en-CA"/>
        </w:rPr>
        <w:footnoteReference w:id="35"/>
      </w:r>
      <w:bookmarkEnd w:id="28"/>
      <w:r w:rsidRPr="005545AF">
        <w:rPr>
          <w:lang w:val="en-CA"/>
        </w:rPr>
        <w:t xml:space="preserve"> it must be arrived at </w:t>
      </w:r>
      <w:r w:rsidR="001A7906" w:rsidRPr="005545AF">
        <w:rPr>
          <w:lang w:val="en-CA"/>
        </w:rPr>
        <w:t>under</w:t>
      </w:r>
      <w:r w:rsidRPr="005545AF">
        <w:rPr>
          <w:lang w:val="en-CA"/>
        </w:rPr>
        <w:t xml:space="preserve"> the </w:t>
      </w:r>
      <w:r w:rsidRPr="005545AF">
        <w:rPr>
          <w:lang w:val="en-CA"/>
        </w:rPr>
        <w:lastRenderedPageBreak/>
        <w:t>respective logic</w:t>
      </w:r>
      <w:r w:rsidR="001D3C30" w:rsidRPr="005545AF">
        <w:rPr>
          <w:lang w:val="en-CA"/>
        </w:rPr>
        <w:t>s</w:t>
      </w:r>
      <w:r w:rsidRPr="005545AF">
        <w:rPr>
          <w:lang w:val="en-CA"/>
        </w:rPr>
        <w:t xml:space="preserve"> and approach</w:t>
      </w:r>
      <w:r w:rsidR="001D3C30" w:rsidRPr="005545AF">
        <w:rPr>
          <w:lang w:val="en-CA"/>
        </w:rPr>
        <w:t>es of each</w:t>
      </w:r>
      <w:r w:rsidR="002802DA" w:rsidRPr="005545AF">
        <w:rPr>
          <w:lang w:val="en-CA"/>
        </w:rPr>
        <w:t xml:space="preserve">. </w:t>
      </w:r>
      <w:r w:rsidRPr="005545AF">
        <w:rPr>
          <w:lang w:val="en-CA"/>
        </w:rPr>
        <w:t>In defamation</w:t>
      </w:r>
      <w:r w:rsidR="0065603C" w:rsidRPr="005545AF">
        <w:rPr>
          <w:lang w:val="en-CA"/>
        </w:rPr>
        <w:t xml:space="preserve"> cases</w:t>
      </w:r>
      <w:r w:rsidRPr="005545AF">
        <w:rPr>
          <w:lang w:val="en-CA"/>
        </w:rPr>
        <w:t>, the mechanics of the common law system</w:t>
      </w:r>
      <w:r w:rsidR="003E0E86" w:rsidRPr="005545AF">
        <w:rPr>
          <w:lang w:val="en-CA"/>
        </w:rPr>
        <w:t xml:space="preserve"> differ significantly from that of the civil law. It is a </w:t>
      </w:r>
      <w:r w:rsidR="001A7906" w:rsidRPr="005545AF">
        <w:rPr>
          <w:lang w:val="en-CA"/>
        </w:rPr>
        <w:t xml:space="preserve">regime of </w:t>
      </w:r>
      <w:r w:rsidR="003E0E86" w:rsidRPr="005545AF">
        <w:rPr>
          <w:lang w:val="en-CA"/>
        </w:rPr>
        <w:t>strict liability</w:t>
      </w:r>
      <w:r w:rsidR="001A7906" w:rsidRPr="005545AF">
        <w:rPr>
          <w:lang w:val="en-CA"/>
        </w:rPr>
        <w:t xml:space="preserve"> that is</w:t>
      </w:r>
      <w:r w:rsidR="003E0E86" w:rsidRPr="005545AF">
        <w:rPr>
          <w:lang w:val="en-CA"/>
        </w:rPr>
        <w:t xml:space="preserve"> based on the concept of publishing defamatory information</w:t>
      </w:r>
      <w:r w:rsidR="002802DA" w:rsidRPr="005545AF">
        <w:rPr>
          <w:lang w:val="en-CA"/>
        </w:rPr>
        <w:t>,</w:t>
      </w:r>
      <w:r w:rsidR="002802DA" w:rsidRPr="005545AF">
        <w:rPr>
          <w:rStyle w:val="Appelnotedebasdep"/>
          <w:lang w:val="en-CA"/>
        </w:rPr>
        <w:footnoteReference w:id="36"/>
      </w:r>
      <w:r w:rsidR="003E0E86" w:rsidRPr="005545AF">
        <w:rPr>
          <w:lang w:val="en-CA"/>
        </w:rPr>
        <w:t xml:space="preserve"> a concept</w:t>
      </w:r>
      <w:r w:rsidR="0065603C" w:rsidRPr="005545AF">
        <w:rPr>
          <w:lang w:val="en-CA"/>
        </w:rPr>
        <w:t xml:space="preserve"> </w:t>
      </w:r>
      <w:r w:rsidR="001D3C30" w:rsidRPr="005545AF">
        <w:rPr>
          <w:lang w:val="en-CA"/>
        </w:rPr>
        <w:t xml:space="preserve">which was </w:t>
      </w:r>
      <w:r w:rsidR="001A7906" w:rsidRPr="005545AF">
        <w:rPr>
          <w:lang w:val="en-CA"/>
        </w:rPr>
        <w:t xml:space="preserve">the focus of the </w:t>
      </w:r>
      <w:r w:rsidR="006C3302" w:rsidRPr="005545AF">
        <w:rPr>
          <w:i/>
          <w:iCs/>
          <w:lang w:val="en-CA"/>
        </w:rPr>
        <w:t>Crookes</w:t>
      </w:r>
      <w:r w:rsidR="006C3302" w:rsidRPr="005545AF">
        <w:rPr>
          <w:lang w:val="en-CA"/>
        </w:rPr>
        <w:t xml:space="preserve"> </w:t>
      </w:r>
      <w:r w:rsidR="001A7906" w:rsidRPr="005545AF">
        <w:rPr>
          <w:lang w:val="en-CA"/>
        </w:rPr>
        <w:t>decision</w:t>
      </w:r>
      <w:r w:rsidR="002802DA" w:rsidRPr="005545AF">
        <w:rPr>
          <w:lang w:val="en-CA"/>
        </w:rPr>
        <w:t xml:space="preserve">. </w:t>
      </w:r>
      <w:r w:rsidR="003E0E86" w:rsidRPr="005545AF">
        <w:rPr>
          <w:lang w:val="en-CA"/>
        </w:rPr>
        <w:t>Once the various elements of the cause of action</w:t>
      </w:r>
      <w:r w:rsidR="001D3C30" w:rsidRPr="005545AF">
        <w:rPr>
          <w:lang w:val="en-CA"/>
        </w:rPr>
        <w:t xml:space="preserve"> –</w:t>
      </w:r>
      <w:r w:rsidR="003E0E86" w:rsidRPr="005545AF">
        <w:rPr>
          <w:lang w:val="en-CA"/>
        </w:rPr>
        <w:t xml:space="preserve"> including publication</w:t>
      </w:r>
      <w:r w:rsidR="001D3C30" w:rsidRPr="005545AF">
        <w:rPr>
          <w:lang w:val="en-CA"/>
        </w:rPr>
        <w:t xml:space="preserve"> – are demonstrated, </w:t>
      </w:r>
      <w:r w:rsidR="003E0E86" w:rsidRPr="005545AF">
        <w:rPr>
          <w:lang w:val="en-CA"/>
        </w:rPr>
        <w:t xml:space="preserve">the author has the burden of establishing that </w:t>
      </w:r>
      <w:r w:rsidR="0065603C" w:rsidRPr="005545AF">
        <w:rPr>
          <w:lang w:val="en-CA"/>
        </w:rPr>
        <w:t xml:space="preserve">one of </w:t>
      </w:r>
      <w:r w:rsidR="003E0E86" w:rsidRPr="005545AF">
        <w:rPr>
          <w:lang w:val="en-CA"/>
        </w:rPr>
        <w:t>the available defences</w:t>
      </w:r>
      <w:r w:rsidR="006C3302" w:rsidRPr="005545AF">
        <w:rPr>
          <w:lang w:val="en-CA"/>
        </w:rPr>
        <w:t xml:space="preserve"> to an action in defamation</w:t>
      </w:r>
      <w:r w:rsidR="003E0E86" w:rsidRPr="005545AF">
        <w:rPr>
          <w:lang w:val="en-CA"/>
        </w:rPr>
        <w:t xml:space="preserve">, </w:t>
      </w:r>
      <w:r w:rsidR="0065603C" w:rsidRPr="005545AF">
        <w:rPr>
          <w:lang w:val="en-CA"/>
        </w:rPr>
        <w:t xml:space="preserve">notably </w:t>
      </w:r>
      <w:r w:rsidR="003E0E86" w:rsidRPr="005545AF">
        <w:rPr>
          <w:lang w:val="en-CA"/>
        </w:rPr>
        <w:t>fair and honest comment, appl</w:t>
      </w:r>
      <w:r w:rsidR="0065603C" w:rsidRPr="005545AF">
        <w:rPr>
          <w:lang w:val="en-CA"/>
        </w:rPr>
        <w:t>ies</w:t>
      </w:r>
      <w:r w:rsidR="003E0E86" w:rsidRPr="005545AF">
        <w:rPr>
          <w:lang w:val="en-CA"/>
        </w:rPr>
        <w:t>.</w:t>
      </w:r>
      <w:r w:rsidR="002802DA" w:rsidRPr="005545AF">
        <w:rPr>
          <w:rStyle w:val="Appelnotedebasdep"/>
          <w:lang w:val="en-CA"/>
        </w:rPr>
        <w:footnoteReference w:id="37"/>
      </w:r>
      <w:r w:rsidR="002802DA" w:rsidRPr="005545AF">
        <w:rPr>
          <w:lang w:val="en-CA"/>
        </w:rPr>
        <w:t xml:space="preserve"> </w:t>
      </w:r>
    </w:p>
    <w:p w14:paraId="566C3904" w14:textId="77BBDD72" w:rsidR="002802DA" w:rsidRPr="005545AF" w:rsidRDefault="001D3C30" w:rsidP="001F7377">
      <w:pPr>
        <w:pStyle w:val="Paragraphe"/>
        <w:spacing w:line="240" w:lineRule="auto"/>
        <w:rPr>
          <w:lang w:val="en-CA"/>
        </w:rPr>
      </w:pPr>
      <w:r w:rsidRPr="005545AF">
        <w:rPr>
          <w:lang w:val="en-CA"/>
        </w:rPr>
        <w:t>In Quebec law, defamation actions are based on the principles of civil liability and the concept of fault as describe</w:t>
      </w:r>
      <w:r w:rsidR="000E5CDA" w:rsidRPr="005545AF">
        <w:rPr>
          <w:lang w:val="en-CA"/>
        </w:rPr>
        <w:t>d</w:t>
      </w:r>
      <w:r w:rsidRPr="005545AF">
        <w:rPr>
          <w:lang w:val="en-CA"/>
        </w:rPr>
        <w:t xml:space="preserve"> in the</w:t>
      </w:r>
      <w:r w:rsidR="00725BA9" w:rsidRPr="005545AF">
        <w:rPr>
          <w:lang w:val="en-CA"/>
        </w:rPr>
        <w:t xml:space="preserve"> </w:t>
      </w:r>
      <w:r w:rsidR="000E5CDA" w:rsidRPr="005545AF">
        <w:rPr>
          <w:lang w:val="en-CA"/>
        </w:rPr>
        <w:t>foundational case</w:t>
      </w:r>
      <w:r w:rsidR="00725BA9" w:rsidRPr="005545AF">
        <w:rPr>
          <w:lang w:val="en-CA"/>
        </w:rPr>
        <w:t xml:space="preserve"> of</w:t>
      </w:r>
      <w:r w:rsidR="002802DA" w:rsidRPr="005545AF">
        <w:rPr>
          <w:lang w:val="en-CA"/>
        </w:rPr>
        <w:t xml:space="preserve"> </w:t>
      </w:r>
      <w:r w:rsidR="002802DA" w:rsidRPr="005545AF">
        <w:rPr>
          <w:i/>
          <w:iCs/>
          <w:lang w:val="en-CA"/>
        </w:rPr>
        <w:t>Prud’homme</w:t>
      </w:r>
      <w:r w:rsidR="00725BA9" w:rsidRPr="005545AF">
        <w:rPr>
          <w:lang w:val="en-CA"/>
        </w:rPr>
        <w:t>.</w:t>
      </w:r>
      <w:r w:rsidR="002802DA" w:rsidRPr="005545AF">
        <w:rPr>
          <w:rStyle w:val="Appelnotedebasdep"/>
          <w:lang w:val="en-CA"/>
        </w:rPr>
        <w:footnoteReference w:id="38"/>
      </w:r>
      <w:r w:rsidR="002802DA" w:rsidRPr="005545AF">
        <w:rPr>
          <w:lang w:val="en-CA"/>
        </w:rPr>
        <w:t xml:space="preserve"> </w:t>
      </w:r>
      <w:r w:rsidR="00725BA9" w:rsidRPr="005545AF">
        <w:rPr>
          <w:lang w:val="en-CA"/>
        </w:rPr>
        <w:t>The analysis of that concept in the civil law is eminently circumstantial and incorporates</w:t>
      </w:r>
      <w:r w:rsidR="00EB1CCB" w:rsidRPr="005545AF">
        <w:rPr>
          <w:lang w:val="en-CA"/>
        </w:rPr>
        <w:t xml:space="preserve"> within it</w:t>
      </w:r>
      <w:r w:rsidR="00725BA9" w:rsidRPr="005545AF">
        <w:rPr>
          <w:lang w:val="en-CA"/>
        </w:rPr>
        <w:t xml:space="preserve">, </w:t>
      </w:r>
      <w:r w:rsidR="00725BA9" w:rsidRPr="005545AF">
        <w:rPr>
          <w:i/>
          <w:iCs/>
          <w:lang w:val="en-CA"/>
        </w:rPr>
        <w:t>inter alia</w:t>
      </w:r>
      <w:r w:rsidR="00725BA9" w:rsidRPr="005545AF">
        <w:rPr>
          <w:lang w:val="en-CA"/>
        </w:rPr>
        <w:t>, the defences available</w:t>
      </w:r>
      <w:r w:rsidR="000E5CDA" w:rsidRPr="005545AF">
        <w:rPr>
          <w:lang w:val="en-CA"/>
        </w:rPr>
        <w:t xml:space="preserve"> at common law</w:t>
      </w:r>
      <w:r w:rsidR="00725BA9" w:rsidRPr="005545AF">
        <w:rPr>
          <w:lang w:val="en-CA"/>
        </w:rPr>
        <w:t xml:space="preserve"> with respect to the </w:t>
      </w:r>
      <w:r w:rsidR="002802DA" w:rsidRPr="005545AF">
        <w:rPr>
          <w:lang w:val="en-CA"/>
        </w:rPr>
        <w:t xml:space="preserve">tort of defamation. </w:t>
      </w:r>
      <w:r w:rsidR="00725BA9" w:rsidRPr="005545AF">
        <w:rPr>
          <w:lang w:val="en-CA"/>
        </w:rPr>
        <w:t>That is why</w:t>
      </w:r>
      <w:r w:rsidR="00240D73" w:rsidRPr="005545AF">
        <w:rPr>
          <w:lang w:val="en-CA"/>
        </w:rPr>
        <w:t xml:space="preserve"> the</w:t>
      </w:r>
      <w:r w:rsidR="002802DA" w:rsidRPr="005545AF">
        <w:rPr>
          <w:lang w:val="en-CA"/>
        </w:rPr>
        <w:t xml:space="preserve"> </w:t>
      </w:r>
      <w:r w:rsidR="002802DA" w:rsidRPr="005545AF">
        <w:rPr>
          <w:i/>
          <w:iCs/>
          <w:lang w:val="en-CA"/>
        </w:rPr>
        <w:t>ratio</w:t>
      </w:r>
      <w:r w:rsidR="002802DA" w:rsidRPr="005545AF">
        <w:rPr>
          <w:lang w:val="en-CA"/>
        </w:rPr>
        <w:t xml:space="preserve"> </w:t>
      </w:r>
      <w:r w:rsidR="00725BA9" w:rsidRPr="005545AF">
        <w:rPr>
          <w:lang w:val="en-CA"/>
        </w:rPr>
        <w:t>of the majority in</w:t>
      </w:r>
      <w:r w:rsidR="002802DA" w:rsidRPr="005545AF">
        <w:rPr>
          <w:lang w:val="en-CA"/>
        </w:rPr>
        <w:t xml:space="preserve"> </w:t>
      </w:r>
      <w:r w:rsidR="002802DA" w:rsidRPr="005545AF">
        <w:rPr>
          <w:i/>
          <w:iCs/>
          <w:lang w:val="en-CA"/>
        </w:rPr>
        <w:t>Crookes</w:t>
      </w:r>
      <w:r w:rsidR="002802DA" w:rsidRPr="005545AF">
        <w:rPr>
          <w:lang w:val="en-CA"/>
        </w:rPr>
        <w:t xml:space="preserve">, </w:t>
      </w:r>
      <w:r w:rsidR="00725BA9" w:rsidRPr="005545AF">
        <w:rPr>
          <w:lang w:val="en-CA"/>
        </w:rPr>
        <w:t>which focussed on the recognition of a general and principled exception to the concept of publication in the case of hyperlinks, cannot be directly transposed to the civil law system where the approach is necessarily contextual.</w:t>
      </w:r>
      <w:r w:rsidR="002802DA" w:rsidRPr="005545AF">
        <w:rPr>
          <w:rStyle w:val="Appelnotedebasdep"/>
          <w:lang w:val="en-CA"/>
        </w:rPr>
        <w:footnoteReference w:id="39"/>
      </w:r>
      <w:r w:rsidR="00725BA9" w:rsidRPr="005545AF">
        <w:rPr>
          <w:lang w:val="en-CA"/>
        </w:rPr>
        <w:t xml:space="preserve"> </w:t>
      </w:r>
      <w:r w:rsidR="00240D73" w:rsidRPr="005545AF">
        <w:rPr>
          <w:lang w:val="en-CA"/>
        </w:rPr>
        <w:t xml:space="preserve">Academic commentary on the subject tends to share that opinion, </w:t>
      </w:r>
      <w:r w:rsidR="000F7196" w:rsidRPr="005545AF">
        <w:rPr>
          <w:lang w:val="en-CA"/>
        </w:rPr>
        <w:t>even if it is nuanced</w:t>
      </w:r>
      <w:r w:rsidR="00240D73" w:rsidRPr="005545AF">
        <w:rPr>
          <w:lang w:val="en-CA"/>
        </w:rPr>
        <w:t>.</w:t>
      </w:r>
      <w:r w:rsidR="002802DA" w:rsidRPr="005545AF">
        <w:rPr>
          <w:rStyle w:val="Appelnotedebasdep"/>
          <w:lang w:val="en-CA"/>
        </w:rPr>
        <w:footnoteReference w:id="40"/>
      </w:r>
    </w:p>
    <w:p w14:paraId="10D424B3" w14:textId="1C952118" w:rsidR="002802DA" w:rsidRPr="005545AF" w:rsidRDefault="00880873" w:rsidP="001F7377">
      <w:pPr>
        <w:pStyle w:val="Paragraphe"/>
        <w:spacing w:line="240" w:lineRule="auto"/>
        <w:rPr>
          <w:lang w:val="en-CA"/>
        </w:rPr>
      </w:pPr>
      <w:r w:rsidRPr="005545AF">
        <w:rPr>
          <w:lang w:val="en-CA"/>
        </w:rPr>
        <w:t xml:space="preserve">This </w:t>
      </w:r>
      <w:r w:rsidR="00151C6C" w:rsidRPr="005545AF">
        <w:rPr>
          <w:lang w:val="en-CA"/>
        </w:rPr>
        <w:t>is not to suggest</w:t>
      </w:r>
      <w:r w:rsidRPr="005545AF">
        <w:rPr>
          <w:lang w:val="en-CA"/>
        </w:rPr>
        <w:t>, however</w:t>
      </w:r>
      <w:r w:rsidR="002802DA" w:rsidRPr="005545AF">
        <w:rPr>
          <w:lang w:val="en-CA"/>
        </w:rPr>
        <w:t xml:space="preserve">, </w:t>
      </w:r>
      <w:r w:rsidRPr="005545AF">
        <w:rPr>
          <w:lang w:val="en-CA"/>
        </w:rPr>
        <w:t>as</w:t>
      </w:r>
      <w:r w:rsidR="002802DA" w:rsidRPr="005545AF">
        <w:rPr>
          <w:lang w:val="en-CA"/>
        </w:rPr>
        <w:t xml:space="preserve"> Google</w:t>
      </w:r>
      <w:r w:rsidRPr="005545AF">
        <w:rPr>
          <w:lang w:val="en-CA"/>
        </w:rPr>
        <w:t xml:space="preserve"> </w:t>
      </w:r>
      <w:r w:rsidR="000F7196" w:rsidRPr="005545AF">
        <w:rPr>
          <w:lang w:val="en-CA"/>
        </w:rPr>
        <w:t>rightly</w:t>
      </w:r>
      <w:r w:rsidRPr="005545AF">
        <w:rPr>
          <w:lang w:val="en-CA"/>
        </w:rPr>
        <w:t xml:space="preserve"> points out</w:t>
      </w:r>
      <w:r w:rsidR="002802DA" w:rsidRPr="005545AF">
        <w:rPr>
          <w:lang w:val="en-CA"/>
        </w:rPr>
        <w:t xml:space="preserve">, </w:t>
      </w:r>
      <w:r w:rsidRPr="005545AF">
        <w:rPr>
          <w:lang w:val="en-CA"/>
        </w:rPr>
        <w:t>that the considerations underlying</w:t>
      </w:r>
      <w:r w:rsidR="002802DA" w:rsidRPr="005545AF">
        <w:rPr>
          <w:lang w:val="en-CA"/>
        </w:rPr>
        <w:t xml:space="preserve"> </w:t>
      </w:r>
      <w:r w:rsidR="002802DA" w:rsidRPr="005545AF">
        <w:rPr>
          <w:i/>
          <w:iCs/>
          <w:lang w:val="en-CA"/>
        </w:rPr>
        <w:t>Crookes</w:t>
      </w:r>
      <w:r w:rsidR="002802DA" w:rsidRPr="005545AF">
        <w:rPr>
          <w:lang w:val="en-CA"/>
        </w:rPr>
        <w:t xml:space="preserve">, </w:t>
      </w:r>
      <w:r w:rsidRPr="005545AF">
        <w:rPr>
          <w:lang w:val="en-CA"/>
        </w:rPr>
        <w:t xml:space="preserve">whether </w:t>
      </w:r>
      <w:r w:rsidR="00151C6C" w:rsidRPr="005545AF">
        <w:rPr>
          <w:lang w:val="en-CA"/>
        </w:rPr>
        <w:t>they</w:t>
      </w:r>
      <w:r w:rsidRPr="005545AF">
        <w:rPr>
          <w:lang w:val="en-CA"/>
        </w:rPr>
        <w:t xml:space="preserve"> be </w:t>
      </w:r>
      <w:r w:rsidR="000F7196" w:rsidRPr="005545AF">
        <w:rPr>
          <w:lang w:val="en-CA"/>
        </w:rPr>
        <w:t xml:space="preserve">elements of </w:t>
      </w:r>
      <w:r w:rsidRPr="005545AF">
        <w:rPr>
          <w:lang w:val="en-CA"/>
        </w:rPr>
        <w:t>public policy</w:t>
      </w:r>
      <w:r w:rsidR="00151C6C" w:rsidRPr="005545AF">
        <w:rPr>
          <w:lang w:val="en-CA"/>
        </w:rPr>
        <w:t xml:space="preserve"> </w:t>
      </w:r>
      <w:r w:rsidRPr="005545AF">
        <w:rPr>
          <w:lang w:val="en-CA"/>
        </w:rPr>
        <w:t>or the values that come into play</w:t>
      </w:r>
      <w:r w:rsidR="002802DA" w:rsidRPr="005545AF">
        <w:rPr>
          <w:lang w:val="en-CA"/>
        </w:rPr>
        <w:t xml:space="preserve"> – </w:t>
      </w:r>
      <w:r w:rsidR="00151C6C" w:rsidRPr="005545AF">
        <w:rPr>
          <w:lang w:val="en-CA"/>
        </w:rPr>
        <w:t xml:space="preserve">the </w:t>
      </w:r>
      <w:r w:rsidRPr="005545AF">
        <w:rPr>
          <w:lang w:val="en-CA"/>
        </w:rPr>
        <w:t>protection of</w:t>
      </w:r>
      <w:r w:rsidR="00151C6C" w:rsidRPr="005545AF">
        <w:rPr>
          <w:lang w:val="en-CA"/>
        </w:rPr>
        <w:t xml:space="preserve"> </w:t>
      </w:r>
      <w:r w:rsidRPr="005545AF">
        <w:rPr>
          <w:lang w:val="en-CA"/>
        </w:rPr>
        <w:t xml:space="preserve">reputation, freedom of expression or the development of the </w:t>
      </w:r>
      <w:r w:rsidR="000F7196" w:rsidRPr="005545AF">
        <w:rPr>
          <w:lang w:val="en-CA"/>
        </w:rPr>
        <w:t>I</w:t>
      </w:r>
      <w:r w:rsidRPr="005545AF">
        <w:rPr>
          <w:lang w:val="en-CA"/>
        </w:rPr>
        <w:t xml:space="preserve">nternet </w:t>
      </w:r>
      <w:r w:rsidR="002802DA" w:rsidRPr="005545AF">
        <w:rPr>
          <w:lang w:val="en-CA"/>
        </w:rPr>
        <w:t xml:space="preserve">– </w:t>
      </w:r>
      <w:r w:rsidRPr="005545AF">
        <w:rPr>
          <w:lang w:val="en-CA"/>
        </w:rPr>
        <w:t>are of no use</w:t>
      </w:r>
      <w:r w:rsidR="002802DA" w:rsidRPr="005545AF">
        <w:rPr>
          <w:lang w:val="en-CA"/>
        </w:rPr>
        <w:t xml:space="preserve">. </w:t>
      </w:r>
      <w:r w:rsidRPr="005545AF">
        <w:rPr>
          <w:lang w:val="en-CA"/>
        </w:rPr>
        <w:t xml:space="preserve">Legal systems </w:t>
      </w:r>
      <w:r w:rsidR="000F7196" w:rsidRPr="005545AF">
        <w:rPr>
          <w:lang w:val="en-CA"/>
        </w:rPr>
        <w:t xml:space="preserve">must </w:t>
      </w:r>
      <w:r w:rsidR="00151C6C" w:rsidRPr="005545AF">
        <w:rPr>
          <w:lang w:val="en-CA"/>
        </w:rPr>
        <w:t>face</w:t>
      </w:r>
      <w:r w:rsidRPr="005545AF">
        <w:rPr>
          <w:lang w:val="en-CA"/>
        </w:rPr>
        <w:t xml:space="preserve"> the same </w:t>
      </w:r>
      <w:r w:rsidRPr="005545AF">
        <w:rPr>
          <w:lang w:val="en-CA"/>
        </w:rPr>
        <w:lastRenderedPageBreak/>
        <w:t>challenges</w:t>
      </w:r>
      <w:r w:rsidR="000F7196" w:rsidRPr="005545AF">
        <w:rPr>
          <w:lang w:val="en-CA"/>
        </w:rPr>
        <w:t xml:space="preserve"> and deal</w:t>
      </w:r>
      <w:r w:rsidRPr="005545AF">
        <w:rPr>
          <w:lang w:val="en-CA"/>
        </w:rPr>
        <w:t xml:space="preserve"> </w:t>
      </w:r>
      <w:r w:rsidR="000F7196" w:rsidRPr="005545AF">
        <w:rPr>
          <w:lang w:val="en-CA"/>
        </w:rPr>
        <w:t xml:space="preserve">with </w:t>
      </w:r>
      <w:r w:rsidRPr="005545AF">
        <w:rPr>
          <w:lang w:val="en-CA"/>
        </w:rPr>
        <w:t>the same environment and the same tension</w:t>
      </w:r>
      <w:r w:rsidR="00151C6C" w:rsidRPr="005545AF">
        <w:rPr>
          <w:lang w:val="en-CA"/>
        </w:rPr>
        <w:t>s</w:t>
      </w:r>
      <w:r w:rsidRPr="005545AF">
        <w:rPr>
          <w:lang w:val="en-CA"/>
        </w:rPr>
        <w:t xml:space="preserve">. </w:t>
      </w:r>
      <w:r w:rsidR="002802DA" w:rsidRPr="005545AF">
        <w:rPr>
          <w:rStyle w:val="Appelnotedebasdep"/>
          <w:lang w:val="en-CA"/>
        </w:rPr>
        <w:footnoteReference w:id="41"/>
      </w:r>
      <w:r w:rsidRPr="005545AF">
        <w:rPr>
          <w:lang w:val="en-CA"/>
        </w:rPr>
        <w:t xml:space="preserve"> These </w:t>
      </w:r>
      <w:r w:rsidR="00151C6C" w:rsidRPr="005545AF">
        <w:rPr>
          <w:lang w:val="en-CA"/>
        </w:rPr>
        <w:t xml:space="preserve">various </w:t>
      </w:r>
      <w:r w:rsidRPr="005545AF">
        <w:rPr>
          <w:lang w:val="en-CA"/>
        </w:rPr>
        <w:t>elements can be</w:t>
      </w:r>
      <w:r w:rsidR="000F7196" w:rsidRPr="005545AF">
        <w:rPr>
          <w:lang w:val="en-CA"/>
        </w:rPr>
        <w:t xml:space="preserve"> thus by</w:t>
      </w:r>
      <w:r w:rsidRPr="005545AF">
        <w:rPr>
          <w:lang w:val="en-CA"/>
        </w:rPr>
        <w:t xml:space="preserve"> considered by the courts in determining whether a fault exists</w:t>
      </w:r>
      <w:r w:rsidR="00A72B71" w:rsidRPr="005545AF">
        <w:rPr>
          <w:lang w:val="en-CA"/>
        </w:rPr>
        <w:t>,</w:t>
      </w:r>
      <w:r w:rsidRPr="005545AF">
        <w:rPr>
          <w:lang w:val="en-CA"/>
        </w:rPr>
        <w:t xml:space="preserve"> or</w:t>
      </w:r>
      <w:r w:rsidR="00A72B71" w:rsidRPr="005545AF">
        <w:rPr>
          <w:lang w:val="en-CA"/>
        </w:rPr>
        <w:t xml:space="preserve"> </w:t>
      </w:r>
      <w:r w:rsidRPr="005545AF">
        <w:rPr>
          <w:lang w:val="en-CA"/>
        </w:rPr>
        <w:t xml:space="preserve">by the legislature in the development of </w:t>
      </w:r>
      <w:r w:rsidR="00A72B71" w:rsidRPr="005545AF">
        <w:rPr>
          <w:lang w:val="en-CA"/>
        </w:rPr>
        <w:t>an eventual</w:t>
      </w:r>
      <w:r w:rsidRPr="005545AF">
        <w:rPr>
          <w:lang w:val="en-CA"/>
        </w:rPr>
        <w:t xml:space="preserve"> specific rule, which is </w:t>
      </w:r>
      <w:r w:rsidR="00A72B71" w:rsidRPr="005545AF">
        <w:rPr>
          <w:lang w:val="en-CA"/>
        </w:rPr>
        <w:t>indeed</w:t>
      </w:r>
      <w:r w:rsidRPr="005545AF">
        <w:rPr>
          <w:lang w:val="en-CA"/>
        </w:rPr>
        <w:t xml:space="preserve"> the case here, as will be seen in the following section</w:t>
      </w:r>
      <w:r w:rsidR="002802DA" w:rsidRPr="005545AF">
        <w:rPr>
          <w:lang w:val="en-CA"/>
        </w:rPr>
        <w:t>.</w:t>
      </w:r>
    </w:p>
    <w:p w14:paraId="35909D20" w14:textId="7A57BD89" w:rsidR="002802DA" w:rsidRPr="005545AF" w:rsidRDefault="00F2743B" w:rsidP="001F7377">
      <w:pPr>
        <w:pStyle w:val="Paragraphe"/>
        <w:spacing w:line="240" w:lineRule="auto"/>
        <w:rPr>
          <w:rFonts w:cs="Arial"/>
          <w:szCs w:val="24"/>
          <w:lang w:val="en-CA" w:eastAsia="fr-CA"/>
        </w:rPr>
      </w:pPr>
      <w:bookmarkStart w:id="32" w:name="_Hlk207456293"/>
      <w:r w:rsidRPr="005545AF">
        <w:rPr>
          <w:rStyle w:val="cf01"/>
          <w:rFonts w:ascii="Arial" w:hAnsi="Arial" w:cs="Arial"/>
          <w:sz w:val="24"/>
          <w:szCs w:val="24"/>
          <w:lang w:val="en-CA"/>
        </w:rPr>
        <w:t xml:space="preserve">I would add in closing that I also </w:t>
      </w:r>
      <w:r w:rsidR="00A72B71" w:rsidRPr="005545AF">
        <w:rPr>
          <w:rStyle w:val="cf01"/>
          <w:rFonts w:ascii="Arial" w:hAnsi="Arial" w:cs="Arial"/>
          <w:sz w:val="24"/>
          <w:szCs w:val="24"/>
          <w:lang w:val="en-CA"/>
        </w:rPr>
        <w:t>agree with</w:t>
      </w:r>
      <w:r w:rsidRPr="005545AF">
        <w:rPr>
          <w:rStyle w:val="cf01"/>
          <w:rFonts w:ascii="Arial" w:hAnsi="Arial" w:cs="Arial"/>
          <w:sz w:val="24"/>
          <w:szCs w:val="24"/>
          <w:lang w:val="en-CA"/>
        </w:rPr>
        <w:t xml:space="preserve"> </w:t>
      </w:r>
      <w:r w:rsidR="00A72B71" w:rsidRPr="005545AF">
        <w:rPr>
          <w:rStyle w:val="cf01"/>
          <w:rFonts w:ascii="Arial" w:hAnsi="Arial" w:cs="Arial"/>
          <w:sz w:val="24"/>
          <w:szCs w:val="24"/>
          <w:lang w:val="en-CA"/>
        </w:rPr>
        <w:t>the trial judge that there is an</w:t>
      </w:r>
      <w:r w:rsidRPr="005545AF">
        <w:rPr>
          <w:rStyle w:val="cf01"/>
          <w:rFonts w:ascii="Arial" w:hAnsi="Arial" w:cs="Arial"/>
          <w:sz w:val="24"/>
          <w:szCs w:val="24"/>
          <w:lang w:val="en-CA"/>
        </w:rPr>
        <w:t xml:space="preserve"> important factual difference between </w:t>
      </w:r>
      <w:r w:rsidR="002802DA" w:rsidRPr="005545AF">
        <w:rPr>
          <w:rStyle w:val="cf11"/>
          <w:rFonts w:ascii="Arial" w:hAnsi="Arial" w:cs="Arial"/>
          <w:sz w:val="24"/>
          <w:szCs w:val="24"/>
          <w:lang w:val="en-CA"/>
        </w:rPr>
        <w:t>Crookes</w:t>
      </w:r>
      <w:r w:rsidR="002802DA" w:rsidRPr="005545AF">
        <w:rPr>
          <w:rStyle w:val="cf01"/>
          <w:rFonts w:ascii="Arial" w:hAnsi="Arial" w:cs="Arial"/>
          <w:sz w:val="24"/>
          <w:szCs w:val="24"/>
          <w:lang w:val="en-CA"/>
        </w:rPr>
        <w:t xml:space="preserve"> </w:t>
      </w:r>
      <w:r w:rsidRPr="005545AF">
        <w:rPr>
          <w:rStyle w:val="cf01"/>
          <w:rFonts w:ascii="Arial" w:hAnsi="Arial" w:cs="Arial"/>
          <w:sz w:val="24"/>
          <w:szCs w:val="24"/>
          <w:lang w:val="en-CA"/>
        </w:rPr>
        <w:t xml:space="preserve">and the case at bar. In </w:t>
      </w:r>
      <w:r w:rsidRPr="005545AF">
        <w:rPr>
          <w:rStyle w:val="cf01"/>
          <w:rFonts w:ascii="Arial" w:hAnsi="Arial" w:cs="Arial"/>
          <w:i/>
          <w:iCs/>
          <w:sz w:val="24"/>
          <w:szCs w:val="24"/>
          <w:lang w:val="en-CA"/>
        </w:rPr>
        <w:t>Crookes</w:t>
      </w:r>
      <w:r w:rsidRPr="005545AF">
        <w:rPr>
          <w:rStyle w:val="cf01"/>
          <w:rFonts w:ascii="Arial" w:hAnsi="Arial" w:cs="Arial"/>
          <w:sz w:val="24"/>
          <w:szCs w:val="24"/>
          <w:lang w:val="en-CA"/>
        </w:rPr>
        <w:t xml:space="preserve">, </w:t>
      </w:r>
      <w:r w:rsidR="00C12AA4" w:rsidRPr="005545AF">
        <w:rPr>
          <w:rStyle w:val="cf01"/>
          <w:rFonts w:ascii="Arial" w:hAnsi="Arial" w:cs="Arial"/>
          <w:sz w:val="24"/>
          <w:szCs w:val="24"/>
          <w:lang w:val="en-CA"/>
        </w:rPr>
        <w:t>the issue</w:t>
      </w:r>
      <w:r w:rsidRPr="005545AF">
        <w:rPr>
          <w:rStyle w:val="cf01"/>
          <w:rFonts w:ascii="Arial" w:hAnsi="Arial" w:cs="Arial"/>
          <w:sz w:val="24"/>
          <w:szCs w:val="24"/>
          <w:lang w:val="en-CA"/>
        </w:rPr>
        <w:t xml:space="preserve"> </w:t>
      </w:r>
      <w:r w:rsidR="00C12AA4" w:rsidRPr="005545AF">
        <w:rPr>
          <w:rStyle w:val="cf01"/>
          <w:rFonts w:ascii="Arial" w:hAnsi="Arial" w:cs="Arial"/>
          <w:sz w:val="24"/>
          <w:szCs w:val="24"/>
          <w:lang w:val="en-CA"/>
        </w:rPr>
        <w:t xml:space="preserve">was finding </w:t>
      </w:r>
      <w:r w:rsidRPr="005545AF">
        <w:rPr>
          <w:rStyle w:val="cf01"/>
          <w:rFonts w:ascii="Arial" w:hAnsi="Arial" w:cs="Arial"/>
          <w:sz w:val="24"/>
          <w:szCs w:val="24"/>
          <w:lang w:val="en-CA"/>
        </w:rPr>
        <w:t>the liability of a content creator, who had, in one of his articles, included a hyperlink</w:t>
      </w:r>
      <w:r w:rsidR="002802DA" w:rsidRPr="005545AF">
        <w:rPr>
          <w:rStyle w:val="cf01"/>
          <w:rFonts w:ascii="Arial" w:hAnsi="Arial" w:cs="Arial"/>
          <w:sz w:val="24"/>
          <w:szCs w:val="24"/>
          <w:lang w:val="en-CA"/>
        </w:rPr>
        <w:t xml:space="preserve">. </w:t>
      </w:r>
      <w:r w:rsidRPr="005545AF">
        <w:rPr>
          <w:rStyle w:val="cf01"/>
          <w:rFonts w:ascii="Arial" w:hAnsi="Arial" w:cs="Arial"/>
          <w:sz w:val="24"/>
          <w:szCs w:val="24"/>
          <w:lang w:val="en-CA"/>
        </w:rPr>
        <w:t>Here</w:t>
      </w:r>
      <w:r w:rsidR="002802DA" w:rsidRPr="005545AF">
        <w:rPr>
          <w:rStyle w:val="cf01"/>
          <w:rFonts w:ascii="Arial" w:hAnsi="Arial" w:cs="Arial"/>
          <w:sz w:val="24"/>
          <w:szCs w:val="24"/>
          <w:lang w:val="en-CA"/>
        </w:rPr>
        <w:t xml:space="preserve">, </w:t>
      </w:r>
      <w:r w:rsidRPr="005545AF">
        <w:rPr>
          <w:rStyle w:val="cf01"/>
          <w:rFonts w:ascii="Arial" w:hAnsi="Arial" w:cs="Arial"/>
          <w:sz w:val="24"/>
          <w:szCs w:val="24"/>
          <w:lang w:val="en-CA"/>
        </w:rPr>
        <w:t xml:space="preserve">the issue is rather whether an intermediary, in this case </w:t>
      </w:r>
      <w:r w:rsidR="002802DA" w:rsidRPr="005545AF">
        <w:rPr>
          <w:rStyle w:val="cf01"/>
          <w:rFonts w:ascii="Arial" w:hAnsi="Arial" w:cs="Arial"/>
          <w:sz w:val="24"/>
          <w:szCs w:val="24"/>
          <w:lang w:val="en-CA"/>
        </w:rPr>
        <w:t xml:space="preserve">Google, </w:t>
      </w:r>
      <w:r w:rsidR="00951693" w:rsidRPr="005545AF">
        <w:rPr>
          <w:rStyle w:val="cf01"/>
          <w:rFonts w:ascii="Arial" w:hAnsi="Arial" w:cs="Arial"/>
          <w:sz w:val="24"/>
          <w:szCs w:val="24"/>
          <w:lang w:val="en-CA"/>
        </w:rPr>
        <w:t>who refuse</w:t>
      </w:r>
      <w:r w:rsidR="00576E38" w:rsidRPr="005545AF">
        <w:rPr>
          <w:rStyle w:val="cf01"/>
          <w:rFonts w:ascii="Arial" w:hAnsi="Arial" w:cs="Arial"/>
          <w:sz w:val="24"/>
          <w:szCs w:val="24"/>
          <w:lang w:val="en-CA"/>
        </w:rPr>
        <w:t>s</w:t>
      </w:r>
      <w:r w:rsidR="00951693" w:rsidRPr="005545AF">
        <w:rPr>
          <w:rStyle w:val="cf01"/>
          <w:rFonts w:ascii="Arial" w:hAnsi="Arial" w:cs="Arial"/>
          <w:sz w:val="24"/>
          <w:szCs w:val="24"/>
          <w:lang w:val="en-CA"/>
        </w:rPr>
        <w:t xml:space="preserve"> to de-index a</w:t>
      </w:r>
      <w:r w:rsidR="002802DA" w:rsidRPr="005545AF">
        <w:rPr>
          <w:rStyle w:val="cf01"/>
          <w:rFonts w:ascii="Arial" w:hAnsi="Arial" w:cs="Arial"/>
          <w:sz w:val="24"/>
          <w:szCs w:val="24"/>
          <w:lang w:val="en-CA"/>
        </w:rPr>
        <w:t xml:space="preserve"> URL </w:t>
      </w:r>
      <w:r w:rsidR="00951693" w:rsidRPr="005545AF">
        <w:rPr>
          <w:rStyle w:val="cf01"/>
          <w:rFonts w:ascii="Arial" w:hAnsi="Arial" w:cs="Arial"/>
          <w:sz w:val="24"/>
          <w:szCs w:val="24"/>
          <w:lang w:val="en-CA"/>
        </w:rPr>
        <w:t xml:space="preserve">link that it knows to </w:t>
      </w:r>
      <w:r w:rsidR="00A72B71" w:rsidRPr="005545AF">
        <w:rPr>
          <w:rStyle w:val="cf01"/>
          <w:rFonts w:ascii="Arial" w:hAnsi="Arial" w:cs="Arial"/>
          <w:sz w:val="24"/>
          <w:szCs w:val="24"/>
          <w:lang w:val="en-CA"/>
        </w:rPr>
        <w:t>lead to</w:t>
      </w:r>
      <w:r w:rsidR="00951693" w:rsidRPr="005545AF">
        <w:rPr>
          <w:rStyle w:val="cf01"/>
          <w:rFonts w:ascii="Arial" w:hAnsi="Arial" w:cs="Arial"/>
          <w:sz w:val="24"/>
          <w:szCs w:val="24"/>
          <w:lang w:val="en-CA"/>
        </w:rPr>
        <w:t xml:space="preserve"> defamatory</w:t>
      </w:r>
      <w:r w:rsidR="00A72B71" w:rsidRPr="005545AF">
        <w:rPr>
          <w:rStyle w:val="cf01"/>
          <w:rFonts w:ascii="Arial" w:hAnsi="Arial" w:cs="Arial"/>
          <w:sz w:val="24"/>
          <w:szCs w:val="24"/>
          <w:lang w:val="en-CA"/>
        </w:rPr>
        <w:t xml:space="preserve"> content</w:t>
      </w:r>
      <w:r w:rsidR="00951693" w:rsidRPr="005545AF">
        <w:rPr>
          <w:rStyle w:val="cf01"/>
          <w:rFonts w:ascii="Arial" w:hAnsi="Arial" w:cs="Arial"/>
          <w:sz w:val="24"/>
          <w:szCs w:val="24"/>
          <w:lang w:val="en-CA"/>
        </w:rPr>
        <w:t xml:space="preserve">, thus allowing it to appear in the results of its search engine, can </w:t>
      </w:r>
      <w:r w:rsidR="00576E38" w:rsidRPr="005545AF">
        <w:rPr>
          <w:rStyle w:val="cf01"/>
          <w:rFonts w:ascii="Arial" w:hAnsi="Arial" w:cs="Arial"/>
          <w:sz w:val="24"/>
          <w:szCs w:val="24"/>
          <w:lang w:val="en-CA"/>
        </w:rPr>
        <w:t>be held liable</w:t>
      </w:r>
      <w:r w:rsidR="002802DA" w:rsidRPr="005545AF">
        <w:rPr>
          <w:rStyle w:val="cf01"/>
          <w:rFonts w:ascii="Arial" w:hAnsi="Arial" w:cs="Arial"/>
          <w:sz w:val="24"/>
          <w:szCs w:val="24"/>
          <w:lang w:val="en-CA"/>
        </w:rPr>
        <w:t xml:space="preserve">. </w:t>
      </w:r>
      <w:r w:rsidR="00951693" w:rsidRPr="005545AF">
        <w:rPr>
          <w:rStyle w:val="cf01"/>
          <w:rFonts w:ascii="Arial" w:hAnsi="Arial" w:cs="Arial"/>
          <w:sz w:val="24"/>
          <w:szCs w:val="24"/>
          <w:lang w:val="en-CA"/>
        </w:rPr>
        <w:t>This difference i</w:t>
      </w:r>
      <w:r w:rsidR="00576E38" w:rsidRPr="005545AF">
        <w:rPr>
          <w:rStyle w:val="cf01"/>
          <w:rFonts w:ascii="Arial" w:hAnsi="Arial" w:cs="Arial"/>
          <w:sz w:val="24"/>
          <w:szCs w:val="24"/>
          <w:lang w:val="en-CA"/>
        </w:rPr>
        <w:t>s</w:t>
      </w:r>
      <w:r w:rsidR="00951693" w:rsidRPr="005545AF">
        <w:rPr>
          <w:rStyle w:val="cf01"/>
          <w:rFonts w:ascii="Arial" w:hAnsi="Arial" w:cs="Arial"/>
          <w:sz w:val="24"/>
          <w:szCs w:val="24"/>
          <w:lang w:val="en-CA"/>
        </w:rPr>
        <w:t xml:space="preserve"> in fact reflected in certain </w:t>
      </w:r>
      <w:r w:rsidR="00A83AFA" w:rsidRPr="005545AF">
        <w:rPr>
          <w:rStyle w:val="cf01"/>
          <w:rFonts w:ascii="Arial" w:hAnsi="Arial" w:cs="Arial"/>
          <w:sz w:val="24"/>
          <w:szCs w:val="24"/>
          <w:lang w:val="en-CA"/>
        </w:rPr>
        <w:t>statutes</w:t>
      </w:r>
      <w:r w:rsidR="00951693" w:rsidRPr="005545AF">
        <w:rPr>
          <w:rStyle w:val="cf01"/>
          <w:rFonts w:ascii="Arial" w:hAnsi="Arial" w:cs="Arial"/>
          <w:sz w:val="24"/>
          <w:szCs w:val="24"/>
          <w:lang w:val="en-CA"/>
        </w:rPr>
        <w:t xml:space="preserve"> that deal with the liability of internet service providers and intermediaries differently that that of authors of content, </w:t>
      </w:r>
      <w:r w:rsidR="00A83AFA" w:rsidRPr="005545AF">
        <w:rPr>
          <w:rStyle w:val="cf01"/>
          <w:rFonts w:ascii="Arial" w:hAnsi="Arial" w:cs="Arial"/>
          <w:sz w:val="24"/>
          <w:szCs w:val="24"/>
          <w:lang w:val="en-CA"/>
        </w:rPr>
        <w:t>as is the case</w:t>
      </w:r>
      <w:r w:rsidR="00951693" w:rsidRPr="005545AF">
        <w:rPr>
          <w:rStyle w:val="cf01"/>
          <w:rFonts w:ascii="Arial" w:hAnsi="Arial" w:cs="Arial"/>
          <w:sz w:val="24"/>
          <w:szCs w:val="24"/>
          <w:lang w:val="en-CA"/>
        </w:rPr>
        <w:t xml:space="preserve">, in the United States, </w:t>
      </w:r>
      <w:r w:rsidR="00A83AFA" w:rsidRPr="005545AF">
        <w:rPr>
          <w:rStyle w:val="cf01"/>
          <w:rFonts w:ascii="Arial" w:hAnsi="Arial" w:cs="Arial"/>
          <w:sz w:val="24"/>
          <w:szCs w:val="24"/>
          <w:lang w:val="en-CA"/>
        </w:rPr>
        <w:t xml:space="preserve">of </w:t>
      </w:r>
      <w:r w:rsidR="00951693" w:rsidRPr="005545AF">
        <w:rPr>
          <w:rStyle w:val="cf01"/>
          <w:rFonts w:ascii="Arial" w:hAnsi="Arial" w:cs="Arial"/>
          <w:sz w:val="24"/>
          <w:szCs w:val="24"/>
          <w:lang w:val="en-CA"/>
        </w:rPr>
        <w:t xml:space="preserve">s. </w:t>
      </w:r>
      <w:r w:rsidR="002802DA" w:rsidRPr="005545AF">
        <w:rPr>
          <w:rStyle w:val="cf01"/>
          <w:rFonts w:ascii="Arial" w:hAnsi="Arial" w:cs="Arial"/>
          <w:sz w:val="24"/>
          <w:szCs w:val="24"/>
          <w:lang w:val="en-CA"/>
        </w:rPr>
        <w:t xml:space="preserve">230 (c) (1) </w:t>
      </w:r>
      <w:r w:rsidR="002802DA" w:rsidRPr="005545AF">
        <w:rPr>
          <w:rStyle w:val="cf11"/>
          <w:rFonts w:ascii="Arial" w:hAnsi="Arial" w:cs="Arial"/>
          <w:sz w:val="24"/>
          <w:szCs w:val="24"/>
          <w:lang w:val="en-CA"/>
        </w:rPr>
        <w:t>CDA</w:t>
      </w:r>
      <w:r w:rsidR="002802DA" w:rsidRPr="005545AF">
        <w:rPr>
          <w:rStyle w:val="cf01"/>
          <w:rFonts w:ascii="Arial" w:hAnsi="Arial" w:cs="Arial"/>
          <w:sz w:val="24"/>
          <w:szCs w:val="24"/>
          <w:lang w:val="en-CA"/>
        </w:rPr>
        <w:t xml:space="preserve"> </w:t>
      </w:r>
      <w:r w:rsidR="00951693" w:rsidRPr="005545AF">
        <w:rPr>
          <w:rStyle w:val="cf01"/>
          <w:rFonts w:ascii="Arial" w:hAnsi="Arial" w:cs="Arial"/>
          <w:sz w:val="24"/>
          <w:szCs w:val="24"/>
          <w:lang w:val="en-CA"/>
        </w:rPr>
        <w:t>cited above</w:t>
      </w:r>
      <w:r w:rsidR="002802DA" w:rsidRPr="005545AF">
        <w:rPr>
          <w:rStyle w:val="cf01"/>
          <w:rFonts w:ascii="Arial" w:hAnsi="Arial" w:cs="Arial"/>
          <w:sz w:val="24"/>
          <w:szCs w:val="24"/>
          <w:lang w:val="en-CA"/>
        </w:rPr>
        <w:t xml:space="preserve">, </w:t>
      </w:r>
      <w:r w:rsidR="00951693" w:rsidRPr="005545AF">
        <w:rPr>
          <w:rStyle w:val="cf01"/>
          <w:rFonts w:ascii="Arial" w:hAnsi="Arial" w:cs="Arial"/>
          <w:sz w:val="24"/>
          <w:szCs w:val="24"/>
          <w:lang w:val="en-CA"/>
        </w:rPr>
        <w:t>or in Quebec, as will be seen in the following section</w:t>
      </w:r>
      <w:r w:rsidR="002802DA" w:rsidRPr="005545AF">
        <w:rPr>
          <w:rStyle w:val="cf01"/>
          <w:rFonts w:ascii="Arial" w:hAnsi="Arial" w:cs="Arial"/>
          <w:sz w:val="24"/>
          <w:szCs w:val="24"/>
          <w:lang w:val="en-CA"/>
        </w:rPr>
        <w:t>.</w:t>
      </w:r>
    </w:p>
    <w:p w14:paraId="07E8B403" w14:textId="67F0C2B5" w:rsidR="002802DA" w:rsidRPr="005545AF" w:rsidRDefault="00576E38" w:rsidP="001F7377">
      <w:pPr>
        <w:pStyle w:val="Paragraphe"/>
        <w:spacing w:line="240" w:lineRule="auto"/>
        <w:rPr>
          <w:rFonts w:cs="Arial"/>
          <w:szCs w:val="24"/>
          <w:lang w:val="en-CA"/>
        </w:rPr>
      </w:pPr>
      <w:r w:rsidRPr="005545AF">
        <w:rPr>
          <w:rStyle w:val="cf01"/>
          <w:rFonts w:ascii="Arial" w:hAnsi="Arial" w:cs="Arial"/>
          <w:sz w:val="24"/>
          <w:szCs w:val="24"/>
          <w:lang w:val="en-CA"/>
        </w:rPr>
        <w:t xml:space="preserve">I am not suggesting that the solution </w:t>
      </w:r>
      <w:r w:rsidR="00C12AA4" w:rsidRPr="005545AF">
        <w:rPr>
          <w:rStyle w:val="cf01"/>
          <w:rFonts w:ascii="Arial" w:hAnsi="Arial" w:cs="Arial"/>
          <w:sz w:val="24"/>
          <w:szCs w:val="24"/>
          <w:lang w:val="en-CA"/>
        </w:rPr>
        <w:t>would</w:t>
      </w:r>
      <w:r w:rsidRPr="005545AF">
        <w:rPr>
          <w:rStyle w:val="cf01"/>
          <w:rFonts w:ascii="Arial" w:hAnsi="Arial" w:cs="Arial"/>
          <w:sz w:val="24"/>
          <w:szCs w:val="24"/>
          <w:lang w:val="en-CA"/>
        </w:rPr>
        <w:t xml:space="preserve"> be necessarily</w:t>
      </w:r>
      <w:r w:rsidR="00C12AA4" w:rsidRPr="005545AF">
        <w:rPr>
          <w:rStyle w:val="cf01"/>
          <w:rFonts w:ascii="Arial" w:hAnsi="Arial" w:cs="Arial"/>
          <w:sz w:val="24"/>
          <w:szCs w:val="24"/>
          <w:lang w:val="en-CA"/>
        </w:rPr>
        <w:t xml:space="preserve"> </w:t>
      </w:r>
      <w:r w:rsidRPr="005545AF">
        <w:rPr>
          <w:rStyle w:val="cf01"/>
          <w:rFonts w:ascii="Arial" w:hAnsi="Arial" w:cs="Arial"/>
          <w:sz w:val="24"/>
          <w:szCs w:val="24"/>
          <w:lang w:val="en-CA"/>
        </w:rPr>
        <w:t>different at</w:t>
      </w:r>
      <w:r w:rsidR="002802DA" w:rsidRPr="005545AF">
        <w:rPr>
          <w:rStyle w:val="cf01"/>
          <w:rFonts w:ascii="Arial" w:hAnsi="Arial" w:cs="Arial"/>
          <w:sz w:val="24"/>
          <w:szCs w:val="24"/>
          <w:lang w:val="en-CA"/>
        </w:rPr>
        <w:t xml:space="preserve"> </w:t>
      </w:r>
      <w:r w:rsidR="002802DA" w:rsidRPr="005545AF">
        <w:rPr>
          <w:rStyle w:val="cf11"/>
          <w:rFonts w:ascii="Arial" w:hAnsi="Arial" w:cs="Arial"/>
          <w:i w:val="0"/>
          <w:iCs w:val="0"/>
          <w:sz w:val="24"/>
          <w:szCs w:val="24"/>
          <w:lang w:val="en-CA"/>
        </w:rPr>
        <w:t>common law</w:t>
      </w:r>
      <w:r w:rsidR="002802DA" w:rsidRPr="005545AF">
        <w:rPr>
          <w:rStyle w:val="cf01"/>
          <w:rFonts w:ascii="Arial" w:hAnsi="Arial" w:cs="Arial"/>
          <w:sz w:val="24"/>
          <w:szCs w:val="24"/>
          <w:lang w:val="en-CA"/>
        </w:rPr>
        <w:t xml:space="preserve"> </w:t>
      </w:r>
      <w:r w:rsidRPr="005545AF">
        <w:rPr>
          <w:rStyle w:val="cf01"/>
          <w:rFonts w:ascii="Arial" w:hAnsi="Arial" w:cs="Arial"/>
          <w:sz w:val="24"/>
          <w:szCs w:val="24"/>
          <w:lang w:val="en-CA"/>
        </w:rPr>
        <w:t>in such a case</w:t>
      </w:r>
      <w:r w:rsidR="002802DA" w:rsidRPr="005545AF">
        <w:rPr>
          <w:rStyle w:val="cf01"/>
          <w:rFonts w:ascii="Arial" w:hAnsi="Arial" w:cs="Arial"/>
          <w:sz w:val="24"/>
          <w:szCs w:val="24"/>
          <w:lang w:val="en-CA"/>
        </w:rPr>
        <w:t xml:space="preserve">. </w:t>
      </w:r>
      <w:r w:rsidRPr="005545AF">
        <w:rPr>
          <w:rStyle w:val="cf01"/>
          <w:rFonts w:ascii="Arial" w:hAnsi="Arial" w:cs="Arial"/>
          <w:sz w:val="24"/>
          <w:szCs w:val="24"/>
          <w:lang w:val="en-CA"/>
        </w:rPr>
        <w:t xml:space="preserve">Indeed, </w:t>
      </w:r>
      <w:r w:rsidR="002802DA" w:rsidRPr="005545AF">
        <w:rPr>
          <w:rStyle w:val="cf01"/>
          <w:rFonts w:ascii="Arial" w:hAnsi="Arial" w:cs="Arial"/>
          <w:sz w:val="24"/>
          <w:szCs w:val="24"/>
          <w:lang w:val="en-CA"/>
        </w:rPr>
        <w:t xml:space="preserve">Google </w:t>
      </w:r>
      <w:r w:rsidRPr="005545AF">
        <w:rPr>
          <w:rStyle w:val="cf01"/>
          <w:rFonts w:ascii="Arial" w:hAnsi="Arial" w:cs="Arial"/>
          <w:sz w:val="24"/>
          <w:szCs w:val="24"/>
          <w:lang w:val="en-CA"/>
        </w:rPr>
        <w:t xml:space="preserve">argues that courts have applied the </w:t>
      </w:r>
      <w:r w:rsidR="002802DA" w:rsidRPr="005545AF">
        <w:rPr>
          <w:rStyle w:val="cf11"/>
          <w:rFonts w:ascii="Arial" w:hAnsi="Arial" w:cs="Arial"/>
          <w:sz w:val="24"/>
          <w:szCs w:val="24"/>
          <w:lang w:val="en-CA"/>
        </w:rPr>
        <w:t>Crookes</w:t>
      </w:r>
      <w:r w:rsidR="002802DA" w:rsidRPr="005545AF">
        <w:rPr>
          <w:rStyle w:val="cf01"/>
          <w:rFonts w:ascii="Arial" w:hAnsi="Arial" w:cs="Arial"/>
          <w:sz w:val="24"/>
          <w:szCs w:val="24"/>
          <w:lang w:val="en-CA"/>
        </w:rPr>
        <w:t xml:space="preserve"> </w:t>
      </w:r>
      <w:r w:rsidRPr="005545AF">
        <w:rPr>
          <w:rStyle w:val="cf01"/>
          <w:rFonts w:ascii="Arial" w:hAnsi="Arial" w:cs="Arial"/>
          <w:sz w:val="24"/>
          <w:szCs w:val="24"/>
          <w:lang w:val="en-CA"/>
        </w:rPr>
        <w:t>principle in cases involving it.</w:t>
      </w:r>
      <w:r w:rsidR="002802DA" w:rsidRPr="005545AF">
        <w:rPr>
          <w:rStyle w:val="Appelnotedebasdep"/>
          <w:rFonts w:cs="Arial"/>
          <w:szCs w:val="24"/>
          <w:lang w:val="en-CA"/>
        </w:rPr>
        <w:footnoteReference w:id="42"/>
      </w:r>
      <w:r w:rsidRPr="005545AF">
        <w:rPr>
          <w:rStyle w:val="cf01"/>
          <w:rFonts w:ascii="Arial" w:hAnsi="Arial" w:cs="Arial"/>
          <w:sz w:val="24"/>
          <w:szCs w:val="24"/>
          <w:lang w:val="en-CA"/>
        </w:rPr>
        <w:t xml:space="preserve"> </w:t>
      </w:r>
      <w:r w:rsidR="00C12AA4" w:rsidRPr="005545AF">
        <w:rPr>
          <w:rStyle w:val="cf01"/>
          <w:rFonts w:ascii="Arial" w:hAnsi="Arial" w:cs="Arial"/>
          <w:sz w:val="24"/>
          <w:szCs w:val="24"/>
          <w:lang w:val="en-CA"/>
        </w:rPr>
        <w:t>I</w:t>
      </w:r>
      <w:r w:rsidR="00D2523F" w:rsidRPr="005545AF">
        <w:rPr>
          <w:rStyle w:val="cf01"/>
          <w:rFonts w:ascii="Arial" w:hAnsi="Arial" w:cs="Arial"/>
          <w:sz w:val="24"/>
          <w:szCs w:val="24"/>
          <w:lang w:val="en-CA"/>
        </w:rPr>
        <w:t xml:space="preserve">t is sufficient to </w:t>
      </w:r>
      <w:r w:rsidR="009E25D1" w:rsidRPr="005545AF">
        <w:rPr>
          <w:rStyle w:val="cf01"/>
          <w:rFonts w:ascii="Arial" w:hAnsi="Arial" w:cs="Arial"/>
          <w:sz w:val="24"/>
          <w:szCs w:val="24"/>
          <w:lang w:val="en-CA"/>
        </w:rPr>
        <w:t>note that the case can be distinguished. The contextual analys</w:t>
      </w:r>
      <w:r w:rsidRPr="005545AF">
        <w:rPr>
          <w:rStyle w:val="cf01"/>
          <w:rFonts w:ascii="Arial" w:hAnsi="Arial" w:cs="Arial"/>
          <w:sz w:val="24"/>
          <w:szCs w:val="24"/>
          <w:lang w:val="en-CA"/>
        </w:rPr>
        <w:t xml:space="preserve">is </w:t>
      </w:r>
      <w:r w:rsidR="009E25D1" w:rsidRPr="005545AF">
        <w:rPr>
          <w:rStyle w:val="cf01"/>
          <w:rFonts w:ascii="Arial" w:hAnsi="Arial" w:cs="Arial"/>
          <w:sz w:val="24"/>
          <w:szCs w:val="24"/>
          <w:lang w:val="en-CA"/>
        </w:rPr>
        <w:t xml:space="preserve">is </w:t>
      </w:r>
      <w:r w:rsidRPr="005545AF">
        <w:rPr>
          <w:rStyle w:val="cf01"/>
          <w:rFonts w:ascii="Arial" w:hAnsi="Arial" w:cs="Arial"/>
          <w:sz w:val="24"/>
          <w:szCs w:val="24"/>
          <w:lang w:val="en-CA"/>
        </w:rPr>
        <w:t>not the same</w:t>
      </w:r>
      <w:r w:rsidR="009E25D1" w:rsidRPr="005545AF">
        <w:rPr>
          <w:rStyle w:val="cf01"/>
          <w:rFonts w:ascii="Arial" w:hAnsi="Arial" w:cs="Arial"/>
          <w:sz w:val="24"/>
          <w:szCs w:val="24"/>
          <w:lang w:val="en-CA"/>
        </w:rPr>
        <w:t xml:space="preserve"> and the solution is therefore not</w:t>
      </w:r>
      <w:r w:rsidR="00C12AA4" w:rsidRPr="005545AF">
        <w:rPr>
          <w:rStyle w:val="cf01"/>
          <w:rFonts w:ascii="Arial" w:hAnsi="Arial" w:cs="Arial"/>
          <w:sz w:val="24"/>
          <w:szCs w:val="24"/>
          <w:lang w:val="en-CA"/>
        </w:rPr>
        <w:t xml:space="preserve"> at all</w:t>
      </w:r>
      <w:r w:rsidR="009E25D1" w:rsidRPr="005545AF">
        <w:rPr>
          <w:rStyle w:val="cf01"/>
          <w:rFonts w:ascii="Arial" w:hAnsi="Arial" w:cs="Arial"/>
          <w:sz w:val="24"/>
          <w:szCs w:val="24"/>
          <w:lang w:val="en-CA"/>
        </w:rPr>
        <w:t xml:space="preserve"> obvious.</w:t>
      </w:r>
      <w:r w:rsidR="002802DA" w:rsidRPr="005545AF">
        <w:rPr>
          <w:rStyle w:val="cf01"/>
          <w:rFonts w:ascii="Arial" w:hAnsi="Arial" w:cs="Arial"/>
          <w:sz w:val="24"/>
          <w:szCs w:val="24"/>
          <w:lang w:val="en-CA"/>
        </w:rPr>
        <w:t xml:space="preserve"> </w:t>
      </w:r>
    </w:p>
    <w:p w14:paraId="054E9356" w14:textId="2B2315FD" w:rsidR="002802DA" w:rsidRPr="005545AF" w:rsidRDefault="00697A21" w:rsidP="001F7377">
      <w:pPr>
        <w:pStyle w:val="Paragraphe"/>
        <w:numPr>
          <w:ilvl w:val="0"/>
          <w:numId w:val="27"/>
        </w:numPr>
        <w:spacing w:line="240" w:lineRule="auto"/>
        <w:outlineLvl w:val="2"/>
        <w:rPr>
          <w:lang w:val="en-CA"/>
        </w:rPr>
      </w:pPr>
      <w:bookmarkStart w:id="34" w:name="_Hlk207456243"/>
      <w:bookmarkEnd w:id="32"/>
      <w:r w:rsidRPr="005545AF">
        <w:rPr>
          <w:lang w:val="en-CA"/>
        </w:rPr>
        <w:t xml:space="preserve">What is the </w:t>
      </w:r>
      <w:r w:rsidR="00932692" w:rsidRPr="005545AF">
        <w:rPr>
          <w:lang w:val="en-CA"/>
        </w:rPr>
        <w:t>applicable standard in determining fault in this case</w:t>
      </w:r>
      <w:r w:rsidR="002802DA" w:rsidRPr="005545AF">
        <w:rPr>
          <w:lang w:val="en-CA"/>
        </w:rPr>
        <w:t>?</w:t>
      </w:r>
    </w:p>
    <w:bookmarkEnd w:id="34"/>
    <w:p w14:paraId="3276FF38" w14:textId="18BCA5D6" w:rsidR="002802DA" w:rsidRPr="005545AF" w:rsidRDefault="00697A21" w:rsidP="001F7377">
      <w:pPr>
        <w:pStyle w:val="Paragraphe"/>
        <w:spacing w:line="240" w:lineRule="auto"/>
        <w:rPr>
          <w:lang w:val="en-CA"/>
        </w:rPr>
      </w:pPr>
      <w:r w:rsidRPr="005545AF">
        <w:rPr>
          <w:lang w:val="en-CA"/>
        </w:rPr>
        <w:t>In civil law, fault is</w:t>
      </w:r>
      <w:r w:rsidR="00A27490" w:rsidRPr="005545AF">
        <w:rPr>
          <w:lang w:val="en-CA"/>
        </w:rPr>
        <w:t>,</w:t>
      </w:r>
      <w:r w:rsidRPr="005545AF">
        <w:rPr>
          <w:lang w:val="en-CA"/>
        </w:rPr>
        <w:t xml:space="preserve"> in principle</w:t>
      </w:r>
      <w:r w:rsidR="00A27490" w:rsidRPr="005545AF">
        <w:rPr>
          <w:lang w:val="en-CA"/>
        </w:rPr>
        <w:t>,</w:t>
      </w:r>
      <w:r w:rsidRPr="005545AF">
        <w:rPr>
          <w:lang w:val="en-CA"/>
        </w:rPr>
        <w:t xml:space="preserve"> </w:t>
      </w:r>
      <w:r w:rsidR="00A27490" w:rsidRPr="005545AF">
        <w:rPr>
          <w:lang w:val="en-CA"/>
        </w:rPr>
        <w:t xml:space="preserve">the </w:t>
      </w:r>
      <w:r w:rsidRPr="005545AF">
        <w:rPr>
          <w:lang w:val="en-CA"/>
        </w:rPr>
        <w:t>basis an</w:t>
      </w:r>
      <w:r w:rsidR="00A27490" w:rsidRPr="005545AF">
        <w:rPr>
          <w:lang w:val="en-CA"/>
        </w:rPr>
        <w:t xml:space="preserve">d </w:t>
      </w:r>
      <w:r w:rsidR="00F76AF1" w:rsidRPr="005545AF">
        <w:rPr>
          <w:lang w:val="en-CA"/>
        </w:rPr>
        <w:t xml:space="preserve">the </w:t>
      </w:r>
      <w:r w:rsidR="00A27490" w:rsidRPr="005545AF">
        <w:rPr>
          <w:lang w:val="en-CA"/>
        </w:rPr>
        <w:t>c</w:t>
      </w:r>
      <w:r w:rsidRPr="005545AF">
        <w:rPr>
          <w:lang w:val="en-CA"/>
        </w:rPr>
        <w:t>ondition of liability.</w:t>
      </w:r>
      <w:r w:rsidR="002802DA" w:rsidRPr="005545AF">
        <w:rPr>
          <w:rStyle w:val="Appelnotedebasdep"/>
          <w:lang w:val="en-CA"/>
        </w:rPr>
        <w:footnoteReference w:id="43"/>
      </w:r>
      <w:r w:rsidR="002802DA" w:rsidRPr="005545AF">
        <w:rPr>
          <w:lang w:val="en-CA"/>
        </w:rPr>
        <w:t xml:space="preserve"> </w:t>
      </w:r>
      <w:r w:rsidRPr="005545AF">
        <w:rPr>
          <w:lang w:val="en-CA"/>
        </w:rPr>
        <w:t xml:space="preserve">It consists in </w:t>
      </w:r>
      <w:r w:rsidR="0057419F" w:rsidRPr="005545AF">
        <w:rPr>
          <w:lang w:val="en-CA"/>
        </w:rPr>
        <w:t>a</w:t>
      </w:r>
      <w:r w:rsidRPr="005545AF">
        <w:rPr>
          <w:lang w:val="en-CA"/>
        </w:rPr>
        <w:t xml:space="preserve"> violation of the duty not to cause harm to others</w:t>
      </w:r>
      <w:r w:rsidR="002802DA" w:rsidRPr="005545AF">
        <w:rPr>
          <w:rStyle w:val="Appelnotedebasdep"/>
          <w:lang w:val="en-CA"/>
        </w:rPr>
        <w:footnoteReference w:id="44"/>
      </w:r>
      <w:r w:rsidR="002802DA" w:rsidRPr="005545AF">
        <w:rPr>
          <w:lang w:val="en-CA"/>
        </w:rPr>
        <w:t xml:space="preserve"> </w:t>
      </w:r>
      <w:r w:rsidRPr="005545AF">
        <w:rPr>
          <w:lang w:val="en-CA"/>
        </w:rPr>
        <w:t>and is based on the abstract standard of the behaviour of a reasonable person placed in the same circumstances</w:t>
      </w:r>
      <w:r w:rsidR="002802DA" w:rsidRPr="005545AF">
        <w:rPr>
          <w:lang w:val="en-CA"/>
        </w:rPr>
        <w:t xml:space="preserve">. </w:t>
      </w:r>
      <w:r w:rsidRPr="005545AF">
        <w:rPr>
          <w:lang w:val="en-CA"/>
        </w:rPr>
        <w:t>The approach is pragmatic</w:t>
      </w:r>
      <w:r w:rsidR="0057419F" w:rsidRPr="005545AF">
        <w:rPr>
          <w:lang w:val="en-CA"/>
        </w:rPr>
        <w:t xml:space="preserve">, its </w:t>
      </w:r>
      <w:r w:rsidRPr="005545AF">
        <w:rPr>
          <w:lang w:val="en-CA"/>
        </w:rPr>
        <w:t>assessment, contextual</w:t>
      </w:r>
      <w:r w:rsidR="002802DA" w:rsidRPr="005545AF">
        <w:rPr>
          <w:lang w:val="en-CA"/>
        </w:rPr>
        <w:t xml:space="preserve">. </w:t>
      </w:r>
      <w:r w:rsidRPr="005545AF">
        <w:rPr>
          <w:lang w:val="en-CA"/>
        </w:rPr>
        <w:t>As provided in article</w:t>
      </w:r>
      <w:r w:rsidR="002802DA" w:rsidRPr="005545AF">
        <w:rPr>
          <w:lang w:val="en-CA"/>
        </w:rPr>
        <w:t xml:space="preserve"> 1457 </w:t>
      </w:r>
      <w:r w:rsidR="002802DA" w:rsidRPr="005545AF">
        <w:rPr>
          <w:i/>
          <w:iCs/>
          <w:lang w:val="en-CA"/>
        </w:rPr>
        <w:t>C.</w:t>
      </w:r>
      <w:r w:rsidRPr="005545AF">
        <w:rPr>
          <w:i/>
          <w:iCs/>
          <w:lang w:val="en-CA"/>
        </w:rPr>
        <w:t>C</w:t>
      </w:r>
      <w:r w:rsidR="002802DA" w:rsidRPr="005545AF">
        <w:rPr>
          <w:i/>
          <w:iCs/>
          <w:lang w:val="en-CA"/>
        </w:rPr>
        <w:t>.Q.</w:t>
      </w:r>
      <w:r w:rsidR="002802DA" w:rsidRPr="005545AF">
        <w:rPr>
          <w:lang w:val="en-CA"/>
        </w:rPr>
        <w:t xml:space="preserve">, </w:t>
      </w:r>
      <w:r w:rsidRPr="005545AF">
        <w:rPr>
          <w:lang w:val="en-CA"/>
        </w:rPr>
        <w:t xml:space="preserve">while all the circumstances must be </w:t>
      </w:r>
      <w:r w:rsidR="0057419F" w:rsidRPr="005545AF">
        <w:rPr>
          <w:lang w:val="en-CA"/>
        </w:rPr>
        <w:t>considered</w:t>
      </w:r>
      <w:r w:rsidR="002802DA" w:rsidRPr="005545AF">
        <w:rPr>
          <w:lang w:val="en-CA"/>
        </w:rPr>
        <w:t xml:space="preserve">, </w:t>
      </w:r>
      <w:r w:rsidRPr="005545AF">
        <w:rPr>
          <w:lang w:val="en-CA"/>
        </w:rPr>
        <w:t>usage, but also the law, may assist in determining the</w:t>
      </w:r>
      <w:r w:rsidR="00B8639D" w:rsidRPr="005545AF">
        <w:rPr>
          <w:lang w:val="en-CA"/>
        </w:rPr>
        <w:t xml:space="preserve"> standard of</w:t>
      </w:r>
      <w:r w:rsidRPr="005545AF">
        <w:rPr>
          <w:lang w:val="en-CA"/>
        </w:rPr>
        <w:t xml:space="preserve"> expected</w:t>
      </w:r>
      <w:r w:rsidR="00B8639D" w:rsidRPr="005545AF">
        <w:rPr>
          <w:lang w:val="en-CA"/>
        </w:rPr>
        <w:t xml:space="preserve"> conduct</w:t>
      </w:r>
      <w:r w:rsidR="002802DA" w:rsidRPr="005545AF">
        <w:rPr>
          <w:lang w:val="en-CA"/>
        </w:rPr>
        <w:t xml:space="preserve">. </w:t>
      </w:r>
      <w:r w:rsidR="00B8639D" w:rsidRPr="005545AF">
        <w:rPr>
          <w:lang w:val="en-CA"/>
        </w:rPr>
        <w:t xml:space="preserve">Thus, the legislature can </w:t>
      </w:r>
      <w:r w:rsidR="0057419F" w:rsidRPr="005545AF">
        <w:rPr>
          <w:lang w:val="en-CA"/>
        </w:rPr>
        <w:t>establish</w:t>
      </w:r>
      <w:r w:rsidR="00B8639D" w:rsidRPr="005545AF">
        <w:rPr>
          <w:lang w:val="en-CA"/>
        </w:rPr>
        <w:t xml:space="preserve"> a specific duty whose violation </w:t>
      </w:r>
      <w:r w:rsidR="00F76AF1" w:rsidRPr="005545AF">
        <w:rPr>
          <w:lang w:val="en-CA"/>
        </w:rPr>
        <w:t>constitutes a fault,</w:t>
      </w:r>
      <w:r w:rsidR="00B8639D" w:rsidRPr="005545AF">
        <w:rPr>
          <w:lang w:val="en-CA"/>
        </w:rPr>
        <w:t xml:space="preserve"> generally </w:t>
      </w:r>
      <w:r w:rsidR="00F76AF1" w:rsidRPr="005545AF">
        <w:rPr>
          <w:lang w:val="en-CA"/>
        </w:rPr>
        <w:t>characterized</w:t>
      </w:r>
      <w:r w:rsidR="00B8639D" w:rsidRPr="005545AF">
        <w:rPr>
          <w:lang w:val="en-CA"/>
        </w:rPr>
        <w:t xml:space="preserve"> as a “statutory fault” or “regulatory fault”</w:t>
      </w:r>
      <w:r w:rsidR="002802DA" w:rsidRPr="005545AF">
        <w:rPr>
          <w:lang w:val="en-CA"/>
        </w:rPr>
        <w:t xml:space="preserve">. </w:t>
      </w:r>
      <w:r w:rsidR="00B8639D" w:rsidRPr="005545AF">
        <w:rPr>
          <w:lang w:val="en-CA"/>
        </w:rPr>
        <w:t>The question of whether the legislature intervened in this case to establish such a specific duty, a question that the judge answered in the affirmative, is indeed at the hear</w:t>
      </w:r>
      <w:r w:rsidR="0057419F" w:rsidRPr="005545AF">
        <w:rPr>
          <w:lang w:val="en-CA"/>
        </w:rPr>
        <w:t>t</w:t>
      </w:r>
      <w:r w:rsidR="00B8639D" w:rsidRPr="005545AF">
        <w:rPr>
          <w:lang w:val="en-CA"/>
        </w:rPr>
        <w:t xml:space="preserve"> of the debate between the parties</w:t>
      </w:r>
      <w:r w:rsidR="002802DA" w:rsidRPr="005545AF">
        <w:rPr>
          <w:lang w:val="en-CA"/>
        </w:rPr>
        <w:t>.</w:t>
      </w:r>
    </w:p>
    <w:p w14:paraId="1A29CAEF" w14:textId="4E524798" w:rsidR="002802DA" w:rsidRPr="005545AF" w:rsidRDefault="0057419F" w:rsidP="001F7377">
      <w:pPr>
        <w:pStyle w:val="Paragraphe"/>
        <w:spacing w:line="240" w:lineRule="auto"/>
        <w:rPr>
          <w:lang w:val="en-CA"/>
        </w:rPr>
      </w:pPr>
      <w:r w:rsidRPr="005545AF">
        <w:rPr>
          <w:lang w:val="en-CA"/>
        </w:rPr>
        <w:t>In</w:t>
      </w:r>
      <w:r w:rsidR="002802DA" w:rsidRPr="005545AF">
        <w:rPr>
          <w:lang w:val="en-CA"/>
        </w:rPr>
        <w:t xml:space="preserve"> 2001, </w:t>
      </w:r>
      <w:r w:rsidRPr="005545AF">
        <w:rPr>
          <w:lang w:val="en-CA"/>
        </w:rPr>
        <w:t xml:space="preserve">the Quebec legislature enacted the </w:t>
      </w:r>
      <w:r w:rsidRPr="005545AF">
        <w:rPr>
          <w:i/>
          <w:iCs/>
          <w:lang w:val="en-CA"/>
        </w:rPr>
        <w:t>IT Framwork Act</w:t>
      </w:r>
      <w:r w:rsidR="002802DA" w:rsidRPr="005545AF">
        <w:rPr>
          <w:lang w:val="en-CA"/>
        </w:rPr>
        <w:t xml:space="preserve"> </w:t>
      </w:r>
      <w:r w:rsidRPr="005545AF">
        <w:rPr>
          <w:lang w:val="en-CA"/>
        </w:rPr>
        <w:t>whose section</w:t>
      </w:r>
      <w:r w:rsidR="002802DA" w:rsidRPr="005545AF">
        <w:rPr>
          <w:lang w:val="en-CA"/>
        </w:rPr>
        <w:t xml:space="preserve"> 22</w:t>
      </w:r>
      <w:r w:rsidRPr="005545AF">
        <w:rPr>
          <w:lang w:val="en-CA"/>
        </w:rPr>
        <w:t>,</w:t>
      </w:r>
      <w:r w:rsidR="002802DA" w:rsidRPr="005545AF">
        <w:rPr>
          <w:lang w:val="en-CA"/>
        </w:rPr>
        <w:t xml:space="preserve"> </w:t>
      </w:r>
      <w:r w:rsidRPr="005545AF">
        <w:rPr>
          <w:lang w:val="en-CA"/>
        </w:rPr>
        <w:t>unchanged since</w:t>
      </w:r>
      <w:r w:rsidR="002802DA" w:rsidRPr="005545AF">
        <w:rPr>
          <w:lang w:val="en-CA"/>
        </w:rPr>
        <w:t xml:space="preserve">, </w:t>
      </w:r>
      <w:r w:rsidRPr="005545AF">
        <w:rPr>
          <w:lang w:val="en-CA"/>
        </w:rPr>
        <w:t>reads as follows</w:t>
      </w:r>
      <w:r w:rsidR="002802DA" w:rsidRPr="005545AF">
        <w:rPr>
          <w:lang w:val="en-CA"/>
        </w:rPr>
        <w:t>:</w:t>
      </w:r>
    </w:p>
    <w:tbl>
      <w:tblPr>
        <w:tblW w:w="0" w:type="auto"/>
        <w:tblLayout w:type="fixed"/>
        <w:tblCellMar>
          <w:left w:w="70" w:type="dxa"/>
          <w:right w:w="70" w:type="dxa"/>
        </w:tblCellMar>
        <w:tblLook w:val="0000" w:firstRow="0" w:lastRow="0" w:firstColumn="0" w:lastColumn="0" w:noHBand="0" w:noVBand="0"/>
      </w:tblPr>
      <w:tblGrid>
        <w:gridCol w:w="4681"/>
        <w:gridCol w:w="4681"/>
      </w:tblGrid>
      <w:tr w:rsidR="002802DA" w:rsidRPr="005545AF" w14:paraId="6BDEF64A" w14:textId="77777777" w:rsidTr="00957FE8">
        <w:tc>
          <w:tcPr>
            <w:tcW w:w="4681" w:type="dxa"/>
            <w:shd w:val="clear" w:color="auto" w:fill="auto"/>
          </w:tcPr>
          <w:p w14:paraId="505AE028" w14:textId="07AE820A" w:rsidR="002802DA" w:rsidRPr="005545AF" w:rsidRDefault="002802DA" w:rsidP="001F7377">
            <w:pPr>
              <w:spacing w:line="240" w:lineRule="auto"/>
              <w:rPr>
                <w:lang w:val="en-CA"/>
              </w:rPr>
            </w:pPr>
            <w:hyperlink r:id="rId10" w:anchor="se:22" w:history="1">
              <w:r w:rsidRPr="005545AF">
                <w:rPr>
                  <w:rStyle w:val="Hyperlien"/>
                  <w:b/>
                  <w:bCs/>
                  <w:color w:val="auto"/>
                  <w:u w:val="none"/>
                  <w:lang w:val="en-CA"/>
                </w:rPr>
                <w:t>22.</w:t>
              </w:r>
            </w:hyperlink>
            <w:r w:rsidRPr="005545AF">
              <w:rPr>
                <w:lang w:val="en-CA"/>
              </w:rPr>
              <w:t> </w:t>
            </w:r>
            <w:r w:rsidR="00F76AF1" w:rsidRPr="005545AF">
              <w:rPr>
                <w:sz w:val="22"/>
                <w:szCs w:val="22"/>
                <w:lang w:val="en-CA"/>
              </w:rPr>
              <w:t>A service provider, acting as an intermediary, that provides document storage services on a communication network is not responsible for the activities engaged in by a service user with the use of documents stored by the service user or at the service user’s request.</w:t>
            </w:r>
          </w:p>
          <w:p w14:paraId="49563440" w14:textId="77777777" w:rsidR="002802DA" w:rsidRPr="005545AF" w:rsidRDefault="002802DA" w:rsidP="001F7377">
            <w:pPr>
              <w:pStyle w:val="Tableaugauchefranais"/>
              <w:spacing w:line="240" w:lineRule="auto"/>
              <w:jc w:val="both"/>
              <w:rPr>
                <w:lang w:val="en-CA"/>
              </w:rPr>
            </w:pPr>
          </w:p>
          <w:p w14:paraId="2FFD6EF8" w14:textId="77777777" w:rsidR="00F76AF1" w:rsidRPr="005545AF" w:rsidRDefault="00F76AF1" w:rsidP="001F7377">
            <w:pPr>
              <w:spacing w:after="160" w:line="240" w:lineRule="auto"/>
              <w:rPr>
                <w:sz w:val="22"/>
                <w:szCs w:val="22"/>
                <w:lang w:val="en-CA"/>
              </w:rPr>
            </w:pPr>
          </w:p>
          <w:p w14:paraId="0B1F4D4D" w14:textId="2896F2F7" w:rsidR="002802DA" w:rsidRPr="005545AF" w:rsidRDefault="00F76AF1" w:rsidP="001F7377">
            <w:pPr>
              <w:spacing w:after="160" w:line="240" w:lineRule="auto"/>
              <w:rPr>
                <w:lang w:val="en-CA"/>
              </w:rPr>
            </w:pPr>
            <w:r w:rsidRPr="005545AF">
              <w:rPr>
                <w:sz w:val="22"/>
                <w:szCs w:val="22"/>
                <w:lang w:val="en-CA"/>
              </w:rPr>
              <w:t>However, the service provider may incur responsibility, particularly if, upon becoming aware that the documents are being used for an illicit activity, or of circumstances that make such a use apparent, the service provider does not act promptly to block access to the documents or otherwise prevent the pursuit of the activity</w:t>
            </w:r>
            <w:r w:rsidR="002802DA" w:rsidRPr="005545AF">
              <w:rPr>
                <w:lang w:val="en-CA"/>
              </w:rPr>
              <w:t>.</w:t>
            </w:r>
          </w:p>
          <w:p w14:paraId="13C8F69C" w14:textId="77777777" w:rsidR="00D60A05" w:rsidRPr="005545AF" w:rsidRDefault="00D60A05" w:rsidP="001F7377">
            <w:pPr>
              <w:spacing w:after="160" w:line="240" w:lineRule="auto"/>
              <w:rPr>
                <w:lang w:val="en-CA"/>
              </w:rPr>
            </w:pPr>
          </w:p>
          <w:p w14:paraId="4AE5327A" w14:textId="77777777" w:rsidR="002802DA" w:rsidRPr="005545AF" w:rsidRDefault="002802DA" w:rsidP="001F7377">
            <w:pPr>
              <w:pStyle w:val="Tableaugauchefranais"/>
              <w:spacing w:line="240" w:lineRule="auto"/>
              <w:jc w:val="both"/>
              <w:rPr>
                <w:lang w:val="en-CA"/>
              </w:rPr>
            </w:pPr>
          </w:p>
          <w:p w14:paraId="7FC759FA" w14:textId="77777777" w:rsidR="00D60A05" w:rsidRPr="005545AF" w:rsidRDefault="00D60A05" w:rsidP="001F7377">
            <w:pPr>
              <w:pStyle w:val="Tableaugauchefranais"/>
              <w:spacing w:line="240" w:lineRule="auto"/>
              <w:ind w:left="0"/>
              <w:jc w:val="both"/>
              <w:rPr>
                <w:szCs w:val="22"/>
                <w:u w:val="single"/>
                <w:lang w:val="en-CA"/>
              </w:rPr>
            </w:pPr>
          </w:p>
          <w:p w14:paraId="55CE524D" w14:textId="6F5089E7" w:rsidR="002802DA" w:rsidRPr="005545AF" w:rsidRDefault="00D60A05" w:rsidP="001F7377">
            <w:pPr>
              <w:pStyle w:val="Tableaugauchefranais"/>
              <w:spacing w:line="240" w:lineRule="auto"/>
              <w:ind w:left="0"/>
              <w:jc w:val="both"/>
              <w:rPr>
                <w:szCs w:val="22"/>
                <w:u w:val="single"/>
                <w:lang w:val="en-CA"/>
              </w:rPr>
            </w:pPr>
            <w:r w:rsidRPr="005545AF">
              <w:rPr>
                <w:szCs w:val="22"/>
                <w:u w:val="single"/>
                <w:lang w:val="en-CA"/>
              </w:rPr>
              <w:t>Similarly, an intermediary that provides technology-based documentary referral services, such as an index, hyperlinks, directories or search tools, is not responsible for activities engaged in by a user of such services. However, the service provider may incur responsibility, particularly if, upon becoming aware that the services are being used for an illicit activity, the service provider does not act promptly to cease providing services to the persons known by the service provider to be engaging in such an activity.</w:t>
            </w:r>
          </w:p>
        </w:tc>
        <w:tc>
          <w:tcPr>
            <w:tcW w:w="4681" w:type="dxa"/>
            <w:shd w:val="clear" w:color="auto" w:fill="auto"/>
          </w:tcPr>
          <w:p w14:paraId="673847F6" w14:textId="64821718" w:rsidR="002802DA" w:rsidRPr="005545AF" w:rsidRDefault="002802DA" w:rsidP="001F7377">
            <w:pPr>
              <w:pStyle w:val="Tableaudroiteanglais"/>
              <w:spacing w:line="240" w:lineRule="auto"/>
              <w:rPr>
                <w:lang w:val="fr-CA"/>
              </w:rPr>
            </w:pPr>
            <w:hyperlink r:id="rId11" w:anchor="se:22" w:history="1">
              <w:r w:rsidRPr="005545AF">
                <w:rPr>
                  <w:rStyle w:val="Hyperlien"/>
                  <w:b/>
                  <w:bCs/>
                  <w:color w:val="auto"/>
                  <w:u w:val="none"/>
                </w:rPr>
                <w:t>22.</w:t>
              </w:r>
            </w:hyperlink>
            <w:r w:rsidRPr="005545AF">
              <w:rPr>
                <w:lang w:val="fr-CA"/>
              </w:rPr>
              <w:t> </w:t>
            </w:r>
            <w:r w:rsidR="00F76AF1" w:rsidRPr="005545AF">
              <w:rPr>
                <w:lang w:val="fr-CA"/>
              </w:rPr>
              <w:t>Le prestataire de services qui agit à titre d’intermédiaire pour offrir des services de conservation de documents technologiques sur un réseau de communication n’est pas responsable des activités accomplies par l’utilisateur du service au moyen des documents remisés par ce dernier ou à la demande de celui-ci</w:t>
            </w:r>
            <w:r w:rsidRPr="005545AF">
              <w:rPr>
                <w:lang w:val="fr-CA"/>
              </w:rPr>
              <w:t>.</w:t>
            </w:r>
          </w:p>
          <w:p w14:paraId="752D8919" w14:textId="77777777" w:rsidR="002802DA" w:rsidRPr="005545AF" w:rsidRDefault="002802DA" w:rsidP="001F7377">
            <w:pPr>
              <w:pStyle w:val="Tableaudroiteanglais"/>
              <w:spacing w:line="240" w:lineRule="auto"/>
              <w:rPr>
                <w:lang w:val="fr-CA"/>
              </w:rPr>
            </w:pPr>
          </w:p>
          <w:p w14:paraId="3F89F794" w14:textId="530E554B" w:rsidR="002802DA" w:rsidRPr="005545AF" w:rsidRDefault="00F76AF1" w:rsidP="001F7377">
            <w:pPr>
              <w:pStyle w:val="Tableaudroiteanglais"/>
              <w:spacing w:line="240" w:lineRule="auto"/>
              <w:rPr>
                <w:lang w:val="fr-CA"/>
              </w:rPr>
            </w:pPr>
            <w:r w:rsidRPr="005545AF">
              <w:rPr>
                <w:lang w:val="fr-CA"/>
              </w:rPr>
              <w:t>Cependant, il peut engager sa responsabilité, notamment s’il a de fait connaissance que les documents conservés servent à la réalisation d’une activité à caractère illicite ou s’il a connaissance de circonstances qui la rendent apparente et qu’il n’agit pas promptement pour rendre l’accès aux documents impossible ou pour autrement empêcher la poursuite de cette activité.</w:t>
            </w:r>
          </w:p>
          <w:p w14:paraId="2AEBC11C" w14:textId="77777777" w:rsidR="002802DA" w:rsidRPr="005545AF" w:rsidRDefault="002802DA" w:rsidP="001F7377">
            <w:pPr>
              <w:pStyle w:val="Tableaudroiteanglais"/>
              <w:spacing w:line="240" w:lineRule="auto"/>
              <w:rPr>
                <w:lang w:val="fr-CA"/>
              </w:rPr>
            </w:pPr>
          </w:p>
          <w:p w14:paraId="315C0891" w14:textId="77777777" w:rsidR="002802DA" w:rsidRPr="005545AF" w:rsidRDefault="002802DA" w:rsidP="001F7377">
            <w:pPr>
              <w:pStyle w:val="Tableaudroiteanglais"/>
              <w:spacing w:line="240" w:lineRule="auto"/>
              <w:rPr>
                <w:lang w:val="fr-CA"/>
              </w:rPr>
            </w:pPr>
          </w:p>
          <w:p w14:paraId="32C181C3" w14:textId="642C3823" w:rsidR="002802DA" w:rsidRPr="005545AF" w:rsidRDefault="00D60A05" w:rsidP="001F7377">
            <w:pPr>
              <w:pStyle w:val="Tableaudroiteanglais"/>
              <w:spacing w:line="240" w:lineRule="auto"/>
              <w:rPr>
                <w:u w:val="single"/>
                <w:lang w:val="fr-CA"/>
              </w:rPr>
            </w:pPr>
            <w:r w:rsidRPr="005545AF">
              <w:rPr>
                <w:u w:val="single"/>
                <w:lang w:val="fr-CA"/>
              </w:rPr>
              <w:t>De même, le prestataire qui agit à titre d’intermédiaire pour offrir des services de référence à des documents technologiques, dont un index, des hyperliens, des répertoires ou des outils de recherche, n’est pas responsable des activités accomplies au moyen de ces services. Toutefois, il peut engager sa responsabilité, notamment s’il a de fait connaissance que les services qu’il fournit servent à la réalisation d’une activité à caractère illicite et s’il ne cesse promptement de fournir ses services aux personnes qu’il sait être engagées dans cette activité</w:t>
            </w:r>
            <w:r w:rsidR="002802DA" w:rsidRPr="005545AF">
              <w:rPr>
                <w:u w:val="single"/>
                <w:lang w:val="fr-CA"/>
              </w:rPr>
              <w:t>.</w:t>
            </w:r>
          </w:p>
          <w:p w14:paraId="449BDC92" w14:textId="77777777" w:rsidR="002802DA" w:rsidRPr="005545AF" w:rsidRDefault="002802DA" w:rsidP="001F7377">
            <w:pPr>
              <w:pStyle w:val="Tableaudroiteanglais"/>
              <w:spacing w:line="240" w:lineRule="auto"/>
              <w:rPr>
                <w:u w:val="single"/>
                <w:lang w:val="fr-CA"/>
              </w:rPr>
            </w:pPr>
          </w:p>
          <w:p w14:paraId="2A69B8DD" w14:textId="5F24AC7F" w:rsidR="002802DA" w:rsidRPr="005545AF" w:rsidRDefault="00D60A05" w:rsidP="001F7377">
            <w:pPr>
              <w:pStyle w:val="Tableaudroiteanglais"/>
              <w:spacing w:line="240" w:lineRule="auto"/>
              <w:jc w:val="right"/>
            </w:pPr>
            <w:r w:rsidRPr="005545AF">
              <w:t>[</w:t>
            </w:r>
            <w:r w:rsidR="00B311E7" w:rsidRPr="005545AF">
              <w:t>Emphasis added</w:t>
            </w:r>
            <w:r w:rsidR="002802DA" w:rsidRPr="005545AF">
              <w:t>]</w:t>
            </w:r>
          </w:p>
          <w:p w14:paraId="34E5B85F" w14:textId="77777777" w:rsidR="002802DA" w:rsidRPr="005545AF" w:rsidRDefault="002802DA" w:rsidP="001F7377">
            <w:pPr>
              <w:pStyle w:val="Tableaudroiteanglais"/>
              <w:spacing w:line="240" w:lineRule="auto"/>
              <w:ind w:left="0"/>
            </w:pPr>
          </w:p>
        </w:tc>
      </w:tr>
    </w:tbl>
    <w:p w14:paraId="639B76A8" w14:textId="4BC84B94" w:rsidR="002802DA" w:rsidRPr="005545AF" w:rsidRDefault="00B311E7" w:rsidP="001F7377">
      <w:pPr>
        <w:pStyle w:val="Paragraphe"/>
        <w:spacing w:line="240" w:lineRule="auto"/>
        <w:rPr>
          <w:lang w:val="en-CA"/>
        </w:rPr>
      </w:pPr>
      <w:r w:rsidRPr="005545AF">
        <w:rPr>
          <w:lang w:val="en-CA"/>
        </w:rPr>
        <w:t xml:space="preserve">This provision does not </w:t>
      </w:r>
      <w:r w:rsidR="00D60A05" w:rsidRPr="005545AF">
        <w:rPr>
          <w:lang w:val="en-CA"/>
        </w:rPr>
        <w:t>apply to</w:t>
      </w:r>
      <w:r w:rsidRPr="005545AF">
        <w:rPr>
          <w:lang w:val="en-CA"/>
        </w:rPr>
        <w:t xml:space="preserve"> content creators</w:t>
      </w:r>
      <w:r w:rsidR="002802DA" w:rsidRPr="005545AF">
        <w:rPr>
          <w:lang w:val="en-CA"/>
        </w:rPr>
        <w:t xml:space="preserve"> – </w:t>
      </w:r>
      <w:r w:rsidRPr="005545AF">
        <w:rPr>
          <w:lang w:val="en-CA"/>
        </w:rPr>
        <w:t>as in</w:t>
      </w:r>
      <w:r w:rsidR="002802DA" w:rsidRPr="005545AF">
        <w:rPr>
          <w:lang w:val="en-CA"/>
        </w:rPr>
        <w:t xml:space="preserve"> </w:t>
      </w:r>
      <w:r w:rsidR="002802DA" w:rsidRPr="005545AF">
        <w:rPr>
          <w:i/>
          <w:iCs/>
          <w:lang w:val="en-CA"/>
        </w:rPr>
        <w:t>Crookes –</w:t>
      </w:r>
      <w:r w:rsidR="002802DA" w:rsidRPr="005545AF">
        <w:rPr>
          <w:lang w:val="en-CA"/>
        </w:rPr>
        <w:t xml:space="preserve"> </w:t>
      </w:r>
      <w:r w:rsidRPr="005545AF">
        <w:rPr>
          <w:lang w:val="en-CA"/>
        </w:rPr>
        <w:t>but rather</w:t>
      </w:r>
      <w:r w:rsidR="003D077B" w:rsidRPr="005545AF">
        <w:rPr>
          <w:lang w:val="en-CA"/>
        </w:rPr>
        <w:t xml:space="preserve"> to</w:t>
      </w:r>
      <w:r w:rsidRPr="005545AF">
        <w:rPr>
          <w:lang w:val="en-CA"/>
        </w:rPr>
        <w:t xml:space="preserve"> the </w:t>
      </w:r>
      <w:r w:rsidR="006B42F5" w:rsidRPr="005545AF">
        <w:rPr>
          <w:lang w:val="en-CA"/>
        </w:rPr>
        <w:t>various</w:t>
      </w:r>
      <w:r w:rsidRPr="005545AF">
        <w:rPr>
          <w:lang w:val="en-CA"/>
        </w:rPr>
        <w:t xml:space="preserve"> service providers, notably, in </w:t>
      </w:r>
      <w:r w:rsidR="00D60A05" w:rsidRPr="005545AF">
        <w:rPr>
          <w:lang w:val="en-CA"/>
        </w:rPr>
        <w:t>paragraph</w:t>
      </w:r>
      <w:r w:rsidRPr="005545AF">
        <w:rPr>
          <w:lang w:val="en-CA"/>
        </w:rPr>
        <w:t xml:space="preserve"> 3, those who provide </w:t>
      </w:r>
      <w:r w:rsidR="00A74DEB" w:rsidRPr="005545AF">
        <w:rPr>
          <w:lang w:val="en-CA"/>
        </w:rPr>
        <w:t>referral</w:t>
      </w:r>
      <w:r w:rsidRPr="005545AF">
        <w:rPr>
          <w:lang w:val="en-CA"/>
        </w:rPr>
        <w:t xml:space="preserve"> </w:t>
      </w:r>
      <w:r w:rsidRPr="005545AF">
        <w:rPr>
          <w:lang w:val="en-CA"/>
        </w:rPr>
        <w:lastRenderedPageBreak/>
        <w:t>services.</w:t>
      </w:r>
      <w:r w:rsidR="002802DA" w:rsidRPr="005545AF">
        <w:rPr>
          <w:rStyle w:val="Appelnotedebasdep"/>
          <w:lang w:val="en-CA"/>
        </w:rPr>
        <w:footnoteReference w:id="45"/>
      </w:r>
      <w:r w:rsidR="002802DA" w:rsidRPr="005545AF">
        <w:rPr>
          <w:lang w:val="en-CA"/>
        </w:rPr>
        <w:t xml:space="preserve"> </w:t>
      </w:r>
      <w:r w:rsidRPr="005545AF">
        <w:rPr>
          <w:lang w:val="en-CA"/>
        </w:rPr>
        <w:t xml:space="preserve">There is no dispute that </w:t>
      </w:r>
      <w:r w:rsidR="003D077B" w:rsidRPr="005545AF">
        <w:rPr>
          <w:lang w:val="en-CA"/>
        </w:rPr>
        <w:t xml:space="preserve">this </w:t>
      </w:r>
      <w:r w:rsidR="00594AE5" w:rsidRPr="005545AF">
        <w:rPr>
          <w:lang w:val="en-CA"/>
        </w:rPr>
        <w:t>paragraph</w:t>
      </w:r>
      <w:r w:rsidR="003D077B" w:rsidRPr="005545AF">
        <w:rPr>
          <w:lang w:val="en-CA"/>
        </w:rPr>
        <w:t xml:space="preserve"> applies to </w:t>
      </w:r>
      <w:r w:rsidRPr="005545AF">
        <w:rPr>
          <w:lang w:val="en-CA"/>
        </w:rPr>
        <w:t>Google, but the parties do not agree on what it provide</w:t>
      </w:r>
      <w:r w:rsidR="006B42F5" w:rsidRPr="005545AF">
        <w:rPr>
          <w:lang w:val="en-CA"/>
        </w:rPr>
        <w:t>s. In fairness to them</w:t>
      </w:r>
      <w:r w:rsidR="002802DA" w:rsidRPr="005545AF">
        <w:rPr>
          <w:lang w:val="en-CA"/>
        </w:rPr>
        <w:t xml:space="preserve">, </w:t>
      </w:r>
      <w:r w:rsidR="006B42F5" w:rsidRPr="005545AF">
        <w:rPr>
          <w:lang w:val="en-CA"/>
        </w:rPr>
        <w:t>we note</w:t>
      </w:r>
      <w:r w:rsidR="003D077B" w:rsidRPr="005545AF">
        <w:rPr>
          <w:lang w:val="en-CA"/>
        </w:rPr>
        <w:t xml:space="preserve"> </w:t>
      </w:r>
      <w:r w:rsidR="00594AE5" w:rsidRPr="005545AF">
        <w:rPr>
          <w:lang w:val="en-CA"/>
        </w:rPr>
        <w:t xml:space="preserve">that </w:t>
      </w:r>
      <w:r w:rsidR="003D077B" w:rsidRPr="005545AF">
        <w:rPr>
          <w:lang w:val="en-CA"/>
        </w:rPr>
        <w:t>interpreting the wording of</w:t>
      </w:r>
      <w:r w:rsidR="006B42F5" w:rsidRPr="005545AF">
        <w:rPr>
          <w:lang w:val="en-CA"/>
        </w:rPr>
        <w:t xml:space="preserve"> </w:t>
      </w:r>
      <w:r w:rsidR="003D077B" w:rsidRPr="005545AF">
        <w:rPr>
          <w:lang w:val="en-CA"/>
        </w:rPr>
        <w:t>section 22 is somewhat challeng</w:t>
      </w:r>
      <w:r w:rsidR="00594AE5" w:rsidRPr="005545AF">
        <w:rPr>
          <w:lang w:val="en-CA"/>
        </w:rPr>
        <w:t>ing</w:t>
      </w:r>
      <w:r w:rsidR="002802DA" w:rsidRPr="005545AF">
        <w:rPr>
          <w:lang w:val="en-CA"/>
        </w:rPr>
        <w:t xml:space="preserve">. </w:t>
      </w:r>
    </w:p>
    <w:p w14:paraId="5E23FBF2" w14:textId="1FCA80BD" w:rsidR="002802DA" w:rsidRPr="005545AF" w:rsidRDefault="006B42F5" w:rsidP="001F7377">
      <w:pPr>
        <w:pStyle w:val="Paragraphe"/>
        <w:spacing w:line="240" w:lineRule="auto"/>
        <w:rPr>
          <w:lang w:val="en-CA"/>
        </w:rPr>
      </w:pPr>
      <w:r w:rsidRPr="005545AF">
        <w:rPr>
          <w:lang w:val="en-CA"/>
        </w:rPr>
        <w:t>According to</w:t>
      </w:r>
      <w:r w:rsidR="002802DA" w:rsidRPr="005545AF">
        <w:rPr>
          <w:lang w:val="en-CA"/>
        </w:rPr>
        <w:t xml:space="preserve"> Google, </w:t>
      </w:r>
      <w:r w:rsidRPr="005545AF">
        <w:rPr>
          <w:lang w:val="en-CA"/>
        </w:rPr>
        <w:t>this provision</w:t>
      </w:r>
      <w:r w:rsidR="002802DA" w:rsidRPr="005545AF">
        <w:rPr>
          <w:lang w:val="en-CA"/>
        </w:rPr>
        <w:t xml:space="preserve">, </w:t>
      </w:r>
      <w:r w:rsidR="000157A3" w:rsidRPr="005545AF">
        <w:rPr>
          <w:lang w:val="en-CA"/>
        </w:rPr>
        <w:t xml:space="preserve">read </w:t>
      </w:r>
      <w:r w:rsidRPr="005545AF">
        <w:rPr>
          <w:lang w:val="en-CA"/>
        </w:rPr>
        <w:t>jointly with section</w:t>
      </w:r>
      <w:r w:rsidR="002802DA" w:rsidRPr="005545AF">
        <w:rPr>
          <w:lang w:val="en-CA"/>
        </w:rPr>
        <w:t xml:space="preserve"> 27 </w:t>
      </w:r>
      <w:r w:rsidRPr="005545AF">
        <w:rPr>
          <w:lang w:val="en-CA"/>
        </w:rPr>
        <w:t>of the same Act,</w:t>
      </w:r>
      <w:r w:rsidR="002802DA" w:rsidRPr="005545AF">
        <w:rPr>
          <w:rStyle w:val="Appelnotedebasdep"/>
          <w:lang w:val="en-CA"/>
        </w:rPr>
        <w:footnoteReference w:id="46"/>
      </w:r>
      <w:r w:rsidRPr="005545AF">
        <w:rPr>
          <w:lang w:val="en-CA"/>
        </w:rPr>
        <w:t xml:space="preserve"> does not impose any specific duty</w:t>
      </w:r>
      <w:r w:rsidR="002802DA" w:rsidRPr="005545AF">
        <w:rPr>
          <w:lang w:val="en-CA"/>
        </w:rPr>
        <w:t xml:space="preserve"> </w:t>
      </w:r>
      <w:r w:rsidRPr="005545AF">
        <w:rPr>
          <w:lang w:val="en-CA"/>
        </w:rPr>
        <w:t xml:space="preserve">or standard of behaviour on it, but, </w:t>
      </w:r>
      <w:r w:rsidR="000157A3" w:rsidRPr="005545AF">
        <w:rPr>
          <w:lang w:val="en-CA"/>
        </w:rPr>
        <w:t>on</w:t>
      </w:r>
      <w:r w:rsidRPr="005545AF">
        <w:rPr>
          <w:lang w:val="en-CA"/>
        </w:rPr>
        <w:t xml:space="preserve"> the contrary, grants it immunity</w:t>
      </w:r>
      <w:r w:rsidR="00BB19B3" w:rsidRPr="005545AF">
        <w:rPr>
          <w:lang w:val="en-CA"/>
        </w:rPr>
        <w:t>, thus shielding it from liability, even if it committed a fault under</w:t>
      </w:r>
      <w:r w:rsidR="000157A3" w:rsidRPr="005545AF">
        <w:rPr>
          <w:lang w:val="en-CA"/>
        </w:rPr>
        <w:t xml:space="preserve"> </w:t>
      </w:r>
      <w:r w:rsidR="002802DA" w:rsidRPr="005545AF">
        <w:rPr>
          <w:lang w:val="en-CA"/>
        </w:rPr>
        <w:t xml:space="preserve">article 1457 </w:t>
      </w:r>
      <w:r w:rsidR="002802DA" w:rsidRPr="005545AF">
        <w:rPr>
          <w:i/>
          <w:iCs/>
          <w:lang w:val="en-CA"/>
        </w:rPr>
        <w:t>C.</w:t>
      </w:r>
      <w:r w:rsidR="00BB19B3" w:rsidRPr="005545AF">
        <w:rPr>
          <w:i/>
          <w:iCs/>
          <w:lang w:val="en-CA"/>
        </w:rPr>
        <w:t>C</w:t>
      </w:r>
      <w:r w:rsidR="002802DA" w:rsidRPr="005545AF">
        <w:rPr>
          <w:i/>
          <w:iCs/>
          <w:lang w:val="en-CA"/>
        </w:rPr>
        <w:t>.Q.</w:t>
      </w:r>
      <w:r w:rsidR="002802DA" w:rsidRPr="005545AF">
        <w:rPr>
          <w:lang w:val="en-CA"/>
        </w:rPr>
        <w:t xml:space="preserve"> Google</w:t>
      </w:r>
      <w:r w:rsidR="00BB19B3" w:rsidRPr="005545AF">
        <w:rPr>
          <w:lang w:val="en-CA"/>
        </w:rPr>
        <w:t>’s reasoning is as follows</w:t>
      </w:r>
      <w:r w:rsidR="002802DA" w:rsidRPr="005545AF">
        <w:rPr>
          <w:lang w:val="en-CA"/>
        </w:rPr>
        <w:t xml:space="preserve">: </w:t>
      </w:r>
      <w:r w:rsidR="00BB19B3" w:rsidRPr="005545AF">
        <w:rPr>
          <w:lang w:val="en-CA"/>
        </w:rPr>
        <w:t xml:space="preserve">because the publication of a bare link </w:t>
      </w:r>
      <w:r w:rsidR="002802DA" w:rsidRPr="005545AF">
        <w:rPr>
          <w:lang w:val="en-CA"/>
        </w:rPr>
        <w:t xml:space="preserve"> </w:t>
      </w:r>
      <w:r w:rsidR="00BB19B3" w:rsidRPr="005545AF">
        <w:rPr>
          <w:lang w:val="en-CA"/>
        </w:rPr>
        <w:t xml:space="preserve">is not wrongful </w:t>
      </w:r>
      <w:r w:rsidR="002802DA" w:rsidRPr="005545AF">
        <w:rPr>
          <w:lang w:val="en-CA"/>
        </w:rPr>
        <w:t xml:space="preserve">– </w:t>
      </w:r>
      <w:r w:rsidR="00E267CE">
        <w:rPr>
          <w:lang w:val="en-CA"/>
        </w:rPr>
        <w:t>application of</w:t>
      </w:r>
      <w:r w:rsidR="00BB19B3" w:rsidRPr="005545AF">
        <w:rPr>
          <w:lang w:val="en-CA"/>
        </w:rPr>
        <w:t xml:space="preserve"> the principle developed in</w:t>
      </w:r>
      <w:r w:rsidR="002802DA" w:rsidRPr="005545AF">
        <w:rPr>
          <w:lang w:val="en-CA"/>
        </w:rPr>
        <w:t xml:space="preserve"> </w:t>
      </w:r>
      <w:r w:rsidR="002802DA" w:rsidRPr="005545AF">
        <w:rPr>
          <w:i/>
          <w:iCs/>
          <w:lang w:val="en-CA"/>
        </w:rPr>
        <w:t>Crookes –</w:t>
      </w:r>
      <w:r w:rsidR="002802DA" w:rsidRPr="005545AF">
        <w:rPr>
          <w:lang w:val="en-CA"/>
        </w:rPr>
        <w:t xml:space="preserve"> </w:t>
      </w:r>
      <w:r w:rsidR="00BB19B3" w:rsidRPr="005545AF">
        <w:rPr>
          <w:lang w:val="en-CA"/>
        </w:rPr>
        <w:t xml:space="preserve">it cannot be liable and </w:t>
      </w:r>
      <w:r w:rsidR="002802DA" w:rsidRPr="005545AF">
        <w:rPr>
          <w:lang w:val="en-CA"/>
        </w:rPr>
        <w:t xml:space="preserve"> </w:t>
      </w:r>
      <w:r w:rsidR="00BB19B3" w:rsidRPr="005545AF">
        <w:rPr>
          <w:lang w:val="en-CA"/>
        </w:rPr>
        <w:t xml:space="preserve">section </w:t>
      </w:r>
      <w:r w:rsidR="002802DA" w:rsidRPr="005545AF">
        <w:rPr>
          <w:lang w:val="en-CA"/>
        </w:rPr>
        <w:t xml:space="preserve">22 </w:t>
      </w:r>
      <w:r w:rsidR="00BB19B3" w:rsidRPr="005545AF">
        <w:rPr>
          <w:lang w:val="en-CA"/>
        </w:rPr>
        <w:t>para</w:t>
      </w:r>
      <w:r w:rsidR="002802DA" w:rsidRPr="005545AF">
        <w:rPr>
          <w:lang w:val="en-CA"/>
        </w:rPr>
        <w:t xml:space="preserve">. 3 </w:t>
      </w:r>
      <w:r w:rsidR="00BB19B3" w:rsidRPr="005545AF">
        <w:rPr>
          <w:i/>
          <w:iCs/>
          <w:lang w:val="en-CA"/>
        </w:rPr>
        <w:t>IT Framework Act</w:t>
      </w:r>
      <w:r w:rsidR="002802DA" w:rsidRPr="005545AF">
        <w:rPr>
          <w:lang w:val="en-CA"/>
        </w:rPr>
        <w:t xml:space="preserve"> </w:t>
      </w:r>
      <w:r w:rsidR="00BB19B3" w:rsidRPr="005545AF">
        <w:rPr>
          <w:lang w:val="en-CA"/>
        </w:rPr>
        <w:t>is not engaged</w:t>
      </w:r>
      <w:r w:rsidR="002802DA" w:rsidRPr="005545AF">
        <w:rPr>
          <w:lang w:val="en-CA"/>
        </w:rPr>
        <w:t xml:space="preserve">. </w:t>
      </w:r>
      <w:r w:rsidR="00BB19B3" w:rsidRPr="005545AF">
        <w:rPr>
          <w:lang w:val="en-CA"/>
        </w:rPr>
        <w:t>Should it be held that it</w:t>
      </w:r>
      <w:r w:rsidR="000157A3" w:rsidRPr="005545AF">
        <w:rPr>
          <w:lang w:val="en-CA"/>
        </w:rPr>
        <w:t xml:space="preserve"> did</w:t>
      </w:r>
      <w:r w:rsidR="00BB19B3" w:rsidRPr="005545AF">
        <w:rPr>
          <w:lang w:val="en-CA"/>
        </w:rPr>
        <w:t xml:space="preserve"> commit a fault under article </w:t>
      </w:r>
      <w:r w:rsidR="002802DA" w:rsidRPr="005545AF">
        <w:rPr>
          <w:lang w:val="en-CA"/>
        </w:rPr>
        <w:t xml:space="preserve">1457 </w:t>
      </w:r>
      <w:r w:rsidR="002802DA" w:rsidRPr="005545AF">
        <w:rPr>
          <w:i/>
          <w:iCs/>
          <w:lang w:val="en-CA"/>
        </w:rPr>
        <w:t>C.</w:t>
      </w:r>
      <w:r w:rsidR="00BB19B3" w:rsidRPr="005545AF">
        <w:rPr>
          <w:i/>
          <w:iCs/>
          <w:lang w:val="en-CA"/>
        </w:rPr>
        <w:t>C</w:t>
      </w:r>
      <w:r w:rsidR="002802DA" w:rsidRPr="005545AF">
        <w:rPr>
          <w:i/>
          <w:iCs/>
          <w:lang w:val="en-CA"/>
        </w:rPr>
        <w:t>.Q.</w:t>
      </w:r>
      <w:r w:rsidR="002802DA" w:rsidRPr="005545AF">
        <w:rPr>
          <w:lang w:val="en-CA"/>
        </w:rPr>
        <w:t xml:space="preserve">, </w:t>
      </w:r>
      <w:r w:rsidR="00BB19B3" w:rsidRPr="005545AF">
        <w:rPr>
          <w:lang w:val="en-CA"/>
        </w:rPr>
        <w:t>the immunity under section</w:t>
      </w:r>
      <w:r w:rsidR="002802DA" w:rsidRPr="005545AF">
        <w:rPr>
          <w:lang w:val="en-CA"/>
        </w:rPr>
        <w:t xml:space="preserve"> 22 </w:t>
      </w:r>
      <w:r w:rsidR="00BB19B3" w:rsidRPr="005545AF">
        <w:rPr>
          <w:lang w:val="en-CA"/>
        </w:rPr>
        <w:t>para</w:t>
      </w:r>
      <w:r w:rsidR="002802DA" w:rsidRPr="005545AF">
        <w:rPr>
          <w:lang w:val="en-CA"/>
        </w:rPr>
        <w:t xml:space="preserve">. 3 </w:t>
      </w:r>
      <w:r w:rsidR="00BB19B3" w:rsidRPr="005545AF">
        <w:rPr>
          <w:i/>
          <w:iCs/>
          <w:lang w:val="en-CA"/>
        </w:rPr>
        <w:t>IT Framework Act</w:t>
      </w:r>
      <w:r w:rsidR="002802DA" w:rsidRPr="005545AF">
        <w:rPr>
          <w:lang w:val="en-CA"/>
        </w:rPr>
        <w:t xml:space="preserve"> </w:t>
      </w:r>
      <w:r w:rsidR="00BB19B3" w:rsidRPr="005545AF">
        <w:rPr>
          <w:lang w:val="en-CA"/>
        </w:rPr>
        <w:t xml:space="preserve">would </w:t>
      </w:r>
      <w:r w:rsidR="00594AE5" w:rsidRPr="005545AF">
        <w:rPr>
          <w:lang w:val="en-CA"/>
        </w:rPr>
        <w:t xml:space="preserve">then </w:t>
      </w:r>
      <w:r w:rsidR="00BB19B3" w:rsidRPr="005545AF">
        <w:rPr>
          <w:lang w:val="en-CA"/>
        </w:rPr>
        <w:t>apply</w:t>
      </w:r>
      <w:r w:rsidR="002802DA" w:rsidRPr="005545AF">
        <w:rPr>
          <w:lang w:val="en-CA"/>
        </w:rPr>
        <w:t xml:space="preserve">. </w:t>
      </w:r>
      <w:r w:rsidR="001B3B2C" w:rsidRPr="005545AF">
        <w:rPr>
          <w:lang w:val="en-CA"/>
        </w:rPr>
        <w:t>Still according to</w:t>
      </w:r>
      <w:r w:rsidR="002802DA" w:rsidRPr="005545AF">
        <w:rPr>
          <w:lang w:val="en-CA"/>
        </w:rPr>
        <w:t xml:space="preserve"> Google, </w:t>
      </w:r>
      <w:r w:rsidR="001B3B2C" w:rsidRPr="005545AF">
        <w:rPr>
          <w:lang w:val="en-CA"/>
        </w:rPr>
        <w:t>that section, moreover</w:t>
      </w:r>
      <w:r w:rsidR="000157A3" w:rsidRPr="005545AF">
        <w:rPr>
          <w:lang w:val="en-CA"/>
        </w:rPr>
        <w:t>,</w:t>
      </w:r>
      <w:r w:rsidR="001B3B2C" w:rsidRPr="005545AF">
        <w:rPr>
          <w:lang w:val="en-CA"/>
        </w:rPr>
        <w:t xml:space="preserve"> does not require the de-indexing of the link for that immunity to be maintained, since other means could be sufficient, including the removal of any defamatory text surrounding that link</w:t>
      </w:r>
      <w:r w:rsidR="002802DA" w:rsidRPr="005545AF">
        <w:rPr>
          <w:lang w:val="en-CA"/>
        </w:rPr>
        <w:t xml:space="preserve"> (tit</w:t>
      </w:r>
      <w:r w:rsidR="001B3B2C" w:rsidRPr="005545AF">
        <w:rPr>
          <w:lang w:val="en-CA"/>
        </w:rPr>
        <w:t>le</w:t>
      </w:r>
      <w:r w:rsidR="002802DA" w:rsidRPr="005545AF">
        <w:rPr>
          <w:lang w:val="en-CA"/>
        </w:rPr>
        <w:t xml:space="preserve"> </w:t>
      </w:r>
      <w:r w:rsidR="001B3B2C" w:rsidRPr="005545AF">
        <w:rPr>
          <w:lang w:val="en-CA"/>
        </w:rPr>
        <w:t>and snippet</w:t>
      </w:r>
      <w:r w:rsidR="002802DA" w:rsidRPr="005545AF">
        <w:rPr>
          <w:lang w:val="en-CA"/>
        </w:rPr>
        <w:t xml:space="preserve">), </w:t>
      </w:r>
      <w:r w:rsidR="001B3B2C" w:rsidRPr="005545AF">
        <w:rPr>
          <w:lang w:val="en-CA"/>
        </w:rPr>
        <w:t xml:space="preserve">which is precisely what it did </w:t>
      </w:r>
      <w:r w:rsidR="00594AE5" w:rsidRPr="005545AF">
        <w:rPr>
          <w:lang w:val="en-CA"/>
        </w:rPr>
        <w:t>in this case</w:t>
      </w:r>
      <w:r w:rsidR="001B3B2C" w:rsidRPr="005545AF">
        <w:rPr>
          <w:lang w:val="en-CA"/>
        </w:rPr>
        <w:t xml:space="preserve"> by </w:t>
      </w:r>
      <w:r w:rsidR="000157A3" w:rsidRPr="005545AF">
        <w:rPr>
          <w:lang w:val="en-CA"/>
        </w:rPr>
        <w:t>only</w:t>
      </w:r>
      <w:r w:rsidR="001B3B2C" w:rsidRPr="005545AF">
        <w:rPr>
          <w:lang w:val="en-CA"/>
        </w:rPr>
        <w:t xml:space="preserve"> </w:t>
      </w:r>
      <w:r w:rsidR="00594AE5" w:rsidRPr="005545AF">
        <w:rPr>
          <w:lang w:val="en-CA"/>
        </w:rPr>
        <w:t>displaying</w:t>
      </w:r>
      <w:r w:rsidR="001B3B2C" w:rsidRPr="005545AF">
        <w:rPr>
          <w:lang w:val="en-CA"/>
        </w:rPr>
        <w:t xml:space="preserve"> the bare link in the results</w:t>
      </w:r>
      <w:r w:rsidR="002802DA" w:rsidRPr="005545AF">
        <w:rPr>
          <w:lang w:val="en-CA"/>
        </w:rPr>
        <w:t xml:space="preserve">. </w:t>
      </w:r>
    </w:p>
    <w:p w14:paraId="258568DA" w14:textId="5C9F6D71" w:rsidR="002802DA" w:rsidRPr="005545AF" w:rsidRDefault="006522A1" w:rsidP="001F7377">
      <w:pPr>
        <w:pStyle w:val="Paragraphe"/>
        <w:spacing w:line="240" w:lineRule="auto"/>
        <w:rPr>
          <w:lang w:val="en-CA"/>
        </w:rPr>
      </w:pPr>
      <w:r w:rsidRPr="005545AF">
        <w:rPr>
          <w:lang w:val="en-CA"/>
        </w:rPr>
        <w:t>As for</w:t>
      </w:r>
      <w:r w:rsidR="002802DA" w:rsidRPr="005545AF">
        <w:rPr>
          <w:lang w:val="en-CA"/>
        </w:rPr>
        <w:t xml:space="preserve"> </w:t>
      </w:r>
      <w:r w:rsidR="0074572F" w:rsidRPr="005545AF">
        <w:rPr>
          <w:lang w:val="en-CA"/>
        </w:rPr>
        <w:t>the appellant</w:t>
      </w:r>
      <w:r w:rsidRPr="005545AF">
        <w:rPr>
          <w:lang w:val="en-CA"/>
        </w:rPr>
        <w:t>, he argues that section</w:t>
      </w:r>
      <w:r w:rsidR="002802DA" w:rsidRPr="005545AF">
        <w:rPr>
          <w:lang w:val="en-CA"/>
        </w:rPr>
        <w:t xml:space="preserve"> 22 </w:t>
      </w:r>
      <w:r w:rsidRPr="005545AF">
        <w:rPr>
          <w:lang w:val="en-CA"/>
        </w:rPr>
        <w:t>para</w:t>
      </w:r>
      <w:r w:rsidR="002802DA" w:rsidRPr="005545AF">
        <w:rPr>
          <w:lang w:val="en-CA"/>
        </w:rPr>
        <w:t xml:space="preserve">. 3 </w:t>
      </w:r>
      <w:r w:rsidRPr="005545AF">
        <w:rPr>
          <w:i/>
          <w:iCs/>
          <w:lang w:val="en-CA"/>
        </w:rPr>
        <w:t>IT Framework Act</w:t>
      </w:r>
      <w:r w:rsidR="002802DA" w:rsidRPr="005545AF">
        <w:rPr>
          <w:lang w:val="en-CA"/>
        </w:rPr>
        <w:t xml:space="preserve"> impose</w:t>
      </w:r>
      <w:r w:rsidRPr="005545AF">
        <w:rPr>
          <w:lang w:val="en-CA"/>
        </w:rPr>
        <w:t>s</w:t>
      </w:r>
      <w:r w:rsidR="002802DA" w:rsidRPr="005545AF">
        <w:rPr>
          <w:lang w:val="en-CA"/>
        </w:rPr>
        <w:t xml:space="preserve"> </w:t>
      </w:r>
      <w:r w:rsidRPr="005545AF">
        <w:rPr>
          <w:lang w:val="en-CA"/>
        </w:rPr>
        <w:t>on</w:t>
      </w:r>
      <w:r w:rsidR="002802DA" w:rsidRPr="005545AF">
        <w:rPr>
          <w:lang w:val="en-CA"/>
        </w:rPr>
        <w:t xml:space="preserve"> Google </w:t>
      </w:r>
      <w:r w:rsidR="001E58E5" w:rsidRPr="005545AF">
        <w:rPr>
          <w:lang w:val="en-CA"/>
        </w:rPr>
        <w:t>a</w:t>
      </w:r>
      <w:r w:rsidRPr="005545AF">
        <w:rPr>
          <w:lang w:val="en-CA"/>
        </w:rPr>
        <w:t xml:space="preserve"> duty to remove a link leading to illicit content as soon as it becomes aware </w:t>
      </w:r>
      <w:r w:rsidRPr="005545AF">
        <w:rPr>
          <w:lang w:val="en-CA"/>
        </w:rPr>
        <w:lastRenderedPageBreak/>
        <w:t>of it, a duty which, if it is not discharged, automatically constitutes a civil fault. In this case, because the defamatory content is illicit, the failure to de-index constituted a fault</w:t>
      </w:r>
      <w:r w:rsidR="002802DA" w:rsidRPr="005545AF">
        <w:rPr>
          <w:lang w:val="en-CA"/>
        </w:rPr>
        <w:t>.</w:t>
      </w:r>
    </w:p>
    <w:p w14:paraId="0A14494B" w14:textId="76061010" w:rsidR="002802DA" w:rsidRPr="005545AF" w:rsidRDefault="006522A1" w:rsidP="001F7377">
      <w:pPr>
        <w:pStyle w:val="Paragraphe"/>
        <w:spacing w:line="240" w:lineRule="auto"/>
        <w:rPr>
          <w:lang w:val="en-CA"/>
        </w:rPr>
      </w:pPr>
      <w:r w:rsidRPr="005545AF">
        <w:rPr>
          <w:lang w:val="en-CA"/>
        </w:rPr>
        <w:t xml:space="preserve">The judge, in essence, accepted the interpretation </w:t>
      </w:r>
      <w:r w:rsidR="001E58E5" w:rsidRPr="005545AF">
        <w:rPr>
          <w:lang w:val="en-CA"/>
        </w:rPr>
        <w:t>suggested</w:t>
      </w:r>
      <w:r w:rsidRPr="005545AF">
        <w:rPr>
          <w:lang w:val="en-CA"/>
        </w:rPr>
        <w:t xml:space="preserve"> by </w:t>
      </w:r>
      <w:r w:rsidR="001E58E5" w:rsidRPr="005545AF">
        <w:rPr>
          <w:lang w:val="en-CA"/>
        </w:rPr>
        <w:t>the appellant</w:t>
      </w:r>
      <w:r w:rsidRPr="005545AF">
        <w:rPr>
          <w:lang w:val="en-CA"/>
        </w:rPr>
        <w:t xml:space="preserve">. I </w:t>
      </w:r>
      <w:r w:rsidR="001E58E5" w:rsidRPr="005545AF">
        <w:rPr>
          <w:lang w:val="en-CA"/>
        </w:rPr>
        <w:t>believe</w:t>
      </w:r>
      <w:r w:rsidRPr="005545AF">
        <w:rPr>
          <w:lang w:val="en-CA"/>
        </w:rPr>
        <w:t xml:space="preserve"> he is right</w:t>
      </w:r>
      <w:r w:rsidR="001E58E5" w:rsidRPr="005545AF">
        <w:rPr>
          <w:lang w:val="en-CA"/>
        </w:rPr>
        <w:t xml:space="preserve">, for the following </w:t>
      </w:r>
      <w:r w:rsidR="00E5164B" w:rsidRPr="005545AF">
        <w:rPr>
          <w:lang w:val="en-CA"/>
        </w:rPr>
        <w:t>reasons</w:t>
      </w:r>
      <w:r w:rsidR="002802DA" w:rsidRPr="005545AF">
        <w:rPr>
          <w:lang w:val="en-CA"/>
        </w:rPr>
        <w:t>.</w:t>
      </w:r>
    </w:p>
    <w:p w14:paraId="474C6A68" w14:textId="574BAF91" w:rsidR="002802DA" w:rsidRPr="005545AF" w:rsidRDefault="00E5164B" w:rsidP="001F7377">
      <w:pPr>
        <w:pStyle w:val="Paragraphe"/>
        <w:spacing w:line="240" w:lineRule="auto"/>
        <w:rPr>
          <w:lang w:val="en-CA"/>
        </w:rPr>
      </w:pPr>
      <w:r w:rsidRPr="005545AF">
        <w:rPr>
          <w:lang w:val="en-CA"/>
        </w:rPr>
        <w:t>It is true, as</w:t>
      </w:r>
      <w:r w:rsidR="002802DA" w:rsidRPr="005545AF">
        <w:rPr>
          <w:lang w:val="en-CA"/>
        </w:rPr>
        <w:t xml:space="preserve"> Google</w:t>
      </w:r>
      <w:r w:rsidRPr="005545AF">
        <w:rPr>
          <w:lang w:val="en-CA"/>
        </w:rPr>
        <w:t xml:space="preserve"> argues</w:t>
      </w:r>
      <w:r w:rsidR="002802DA" w:rsidRPr="005545AF">
        <w:rPr>
          <w:lang w:val="en-CA"/>
        </w:rPr>
        <w:t xml:space="preserve">, </w:t>
      </w:r>
      <w:r w:rsidRPr="005545AF">
        <w:rPr>
          <w:lang w:val="en-CA"/>
        </w:rPr>
        <w:t>that the first paragraph of section</w:t>
      </w:r>
      <w:r w:rsidR="002802DA" w:rsidRPr="005545AF">
        <w:rPr>
          <w:lang w:val="en-CA"/>
        </w:rPr>
        <w:t xml:space="preserve"> 22 </w:t>
      </w:r>
      <w:r w:rsidRPr="005545AF">
        <w:rPr>
          <w:i/>
          <w:iCs/>
          <w:lang w:val="en-CA"/>
        </w:rPr>
        <w:t>IT Framework Act</w:t>
      </w:r>
      <w:r w:rsidR="002802DA" w:rsidRPr="005545AF">
        <w:rPr>
          <w:lang w:val="en-CA"/>
        </w:rPr>
        <w:t xml:space="preserve"> </w:t>
      </w:r>
      <w:r w:rsidR="00735FA1" w:rsidRPr="005545AF">
        <w:rPr>
          <w:lang w:val="en-CA"/>
        </w:rPr>
        <w:t>establishes</w:t>
      </w:r>
      <w:r w:rsidRPr="005545AF">
        <w:rPr>
          <w:lang w:val="en-CA"/>
        </w:rPr>
        <w:t xml:space="preserve"> a principle of non-liability of the intermediary providing </w:t>
      </w:r>
      <w:r w:rsidR="00A74DEB" w:rsidRPr="005545AF">
        <w:rPr>
          <w:lang w:val="en-CA"/>
        </w:rPr>
        <w:t>referral</w:t>
      </w:r>
      <w:r w:rsidRPr="005545AF">
        <w:rPr>
          <w:lang w:val="en-CA"/>
        </w:rPr>
        <w:t xml:space="preserve"> services for activities carried out </w:t>
      </w:r>
      <w:r w:rsidR="00735FA1" w:rsidRPr="005545AF">
        <w:rPr>
          <w:lang w:val="en-CA"/>
        </w:rPr>
        <w:t>by means of</w:t>
      </w:r>
      <w:r w:rsidRPr="005545AF">
        <w:rPr>
          <w:lang w:val="en-CA"/>
        </w:rPr>
        <w:t xml:space="preserve"> </w:t>
      </w:r>
      <w:r w:rsidR="00735FA1" w:rsidRPr="005545AF">
        <w:rPr>
          <w:lang w:val="en-CA"/>
        </w:rPr>
        <w:t>its</w:t>
      </w:r>
      <w:r w:rsidRPr="005545AF">
        <w:rPr>
          <w:lang w:val="en-CA"/>
        </w:rPr>
        <w:t xml:space="preserve"> services</w:t>
      </w:r>
      <w:r w:rsidR="002802DA" w:rsidRPr="005545AF">
        <w:rPr>
          <w:lang w:val="en-CA"/>
        </w:rPr>
        <w:t xml:space="preserve">. </w:t>
      </w:r>
      <w:r w:rsidRPr="005545AF">
        <w:rPr>
          <w:lang w:val="en-CA"/>
        </w:rPr>
        <w:t xml:space="preserve">This first part of the section therefore </w:t>
      </w:r>
      <w:r w:rsidR="00735FA1" w:rsidRPr="005545AF">
        <w:rPr>
          <w:lang w:val="en-CA"/>
        </w:rPr>
        <w:t>implicates an</w:t>
      </w:r>
      <w:r w:rsidRPr="005545AF">
        <w:rPr>
          <w:lang w:val="en-CA"/>
        </w:rPr>
        <w:t xml:space="preserve"> immunity</w:t>
      </w:r>
      <w:bookmarkStart w:id="35" w:name="_Ref207631675"/>
      <w:r w:rsidR="002802DA" w:rsidRPr="005545AF">
        <w:rPr>
          <w:rStyle w:val="Appelnotedebasdep"/>
          <w:lang w:val="en-CA"/>
        </w:rPr>
        <w:footnoteReference w:id="47"/>
      </w:r>
      <w:bookmarkEnd w:id="35"/>
      <w:r w:rsidR="002802DA" w:rsidRPr="005545AF">
        <w:rPr>
          <w:lang w:val="en-CA"/>
        </w:rPr>
        <w:t xml:space="preserve"> </w:t>
      </w:r>
      <w:r w:rsidRPr="005545AF">
        <w:rPr>
          <w:lang w:val="en-CA"/>
        </w:rPr>
        <w:t xml:space="preserve">and is consistent with section </w:t>
      </w:r>
      <w:r w:rsidR="002802DA" w:rsidRPr="005545AF">
        <w:rPr>
          <w:lang w:val="en-CA"/>
        </w:rPr>
        <w:t xml:space="preserve">27 </w:t>
      </w:r>
      <w:r w:rsidRPr="005545AF">
        <w:rPr>
          <w:i/>
          <w:iCs/>
          <w:lang w:val="en-CA"/>
        </w:rPr>
        <w:t>IT Framework Act</w:t>
      </w:r>
      <w:r w:rsidR="002802DA" w:rsidRPr="005545AF">
        <w:rPr>
          <w:lang w:val="en-CA"/>
        </w:rPr>
        <w:t xml:space="preserve">, </w:t>
      </w:r>
      <w:r w:rsidRPr="005545AF">
        <w:rPr>
          <w:lang w:val="en-CA"/>
        </w:rPr>
        <w:t xml:space="preserve">which provides that the intermediary is not </w:t>
      </w:r>
      <w:r w:rsidR="009D39BB" w:rsidRPr="005545AF">
        <w:rPr>
          <w:lang w:val="en-CA"/>
        </w:rPr>
        <w:t xml:space="preserve">required to monitor the information conveyed by its services </w:t>
      </w:r>
      <w:r w:rsidR="00735FA1" w:rsidRPr="005545AF">
        <w:rPr>
          <w:lang w:val="en-CA"/>
        </w:rPr>
        <w:t>n</w:t>
      </w:r>
      <w:r w:rsidR="009D39BB" w:rsidRPr="005545AF">
        <w:rPr>
          <w:lang w:val="en-CA"/>
        </w:rPr>
        <w:t xml:space="preserve">or identify circumstances that could indicate the existence of </w:t>
      </w:r>
      <w:r w:rsidR="00735FA1" w:rsidRPr="005545AF">
        <w:rPr>
          <w:lang w:val="en-CA"/>
        </w:rPr>
        <w:t xml:space="preserve">an </w:t>
      </w:r>
      <w:r w:rsidR="009D39BB" w:rsidRPr="005545AF">
        <w:rPr>
          <w:lang w:val="en-CA"/>
        </w:rPr>
        <w:t>illicit activit</w:t>
      </w:r>
      <w:r w:rsidR="00735FA1" w:rsidRPr="005545AF">
        <w:rPr>
          <w:lang w:val="en-CA"/>
        </w:rPr>
        <w:t>y</w:t>
      </w:r>
      <w:r w:rsidR="002802DA" w:rsidRPr="005545AF">
        <w:rPr>
          <w:lang w:val="en-CA"/>
        </w:rPr>
        <w:t xml:space="preserve">. </w:t>
      </w:r>
      <w:r w:rsidR="009D39BB" w:rsidRPr="005545AF">
        <w:rPr>
          <w:lang w:val="en-CA"/>
        </w:rPr>
        <w:t xml:space="preserve">In other words, the intermediary is not duty-bound to investigate or verify the content </w:t>
      </w:r>
      <w:r w:rsidR="001E58E5" w:rsidRPr="005545AF">
        <w:rPr>
          <w:lang w:val="en-CA"/>
        </w:rPr>
        <w:t>for</w:t>
      </w:r>
      <w:r w:rsidR="00672542" w:rsidRPr="005545AF">
        <w:rPr>
          <w:lang w:val="en-CA"/>
        </w:rPr>
        <w:t xml:space="preserve"> which </w:t>
      </w:r>
      <w:r w:rsidR="009D39BB" w:rsidRPr="005545AF">
        <w:rPr>
          <w:lang w:val="en-CA"/>
        </w:rPr>
        <w:t>it provides its services</w:t>
      </w:r>
      <w:r w:rsidR="002802DA" w:rsidRPr="005545AF">
        <w:rPr>
          <w:lang w:val="en-CA"/>
        </w:rPr>
        <w:t xml:space="preserve">. </w:t>
      </w:r>
    </w:p>
    <w:p w14:paraId="599AFF68" w14:textId="1EABBBA4" w:rsidR="002802DA" w:rsidRPr="005545AF" w:rsidRDefault="00DB70E0" w:rsidP="001F7377">
      <w:pPr>
        <w:pStyle w:val="Paragraphe"/>
        <w:spacing w:line="240" w:lineRule="auto"/>
        <w:rPr>
          <w:lang w:val="en-CA"/>
        </w:rPr>
      </w:pPr>
      <w:r w:rsidRPr="005545AF">
        <w:rPr>
          <w:lang w:val="en-CA"/>
        </w:rPr>
        <w:t>However, that is not all that section provides</w:t>
      </w:r>
      <w:r w:rsidR="002802DA" w:rsidRPr="005545AF">
        <w:rPr>
          <w:lang w:val="en-CA"/>
        </w:rPr>
        <w:t xml:space="preserve">. </w:t>
      </w:r>
      <w:r w:rsidRPr="005545AF">
        <w:rPr>
          <w:lang w:val="en-CA"/>
        </w:rPr>
        <w:t>It goes on to specify, in paragraph 3</w:t>
      </w:r>
      <w:r w:rsidR="002802DA" w:rsidRPr="005545AF">
        <w:rPr>
          <w:lang w:val="en-CA"/>
        </w:rPr>
        <w:t xml:space="preserve"> – </w:t>
      </w:r>
      <w:r w:rsidRPr="005545AF">
        <w:rPr>
          <w:lang w:val="en-CA"/>
        </w:rPr>
        <w:t xml:space="preserve">regarding the </w:t>
      </w:r>
      <w:r w:rsidR="00A74DEB" w:rsidRPr="005545AF">
        <w:rPr>
          <w:lang w:val="en-CA"/>
        </w:rPr>
        <w:t>referral</w:t>
      </w:r>
      <w:r w:rsidRPr="005545AF">
        <w:rPr>
          <w:lang w:val="en-CA"/>
        </w:rPr>
        <w:t xml:space="preserve"> intermediary</w:t>
      </w:r>
      <w:r w:rsidR="002802DA" w:rsidRPr="005545AF">
        <w:rPr>
          <w:lang w:val="en-CA"/>
        </w:rPr>
        <w:t xml:space="preserve"> – </w:t>
      </w:r>
      <w:r w:rsidRPr="005545AF">
        <w:rPr>
          <w:lang w:val="en-CA"/>
        </w:rPr>
        <w:t>that the latter “</w:t>
      </w:r>
      <w:r w:rsidRPr="005545AF">
        <w:rPr>
          <w:u w:val="single"/>
          <w:lang w:val="en-CA"/>
        </w:rPr>
        <w:t>may</w:t>
      </w:r>
      <w:r w:rsidRPr="005545AF">
        <w:rPr>
          <w:lang w:val="en-CA"/>
        </w:rPr>
        <w:t xml:space="preserve"> incur responsibility, </w:t>
      </w:r>
      <w:r w:rsidRPr="005545AF">
        <w:rPr>
          <w:u w:val="single"/>
          <w:lang w:val="en-CA"/>
        </w:rPr>
        <w:t>particularly</w:t>
      </w:r>
      <w:r w:rsidRPr="005545AF">
        <w:rPr>
          <w:lang w:val="en-CA"/>
        </w:rPr>
        <w:t xml:space="preserve"> if, </w:t>
      </w:r>
      <w:r w:rsidRPr="005545AF">
        <w:rPr>
          <w:u w:val="single"/>
          <w:lang w:val="en-CA"/>
        </w:rPr>
        <w:t>upon becoming</w:t>
      </w:r>
      <w:r w:rsidRPr="005545AF">
        <w:rPr>
          <w:lang w:val="en-CA"/>
        </w:rPr>
        <w:t xml:space="preserve"> aware that the services are being used for an illicit activity, </w:t>
      </w:r>
      <w:r w:rsidRPr="005545AF">
        <w:rPr>
          <w:u w:val="single"/>
          <w:lang w:val="en-CA"/>
        </w:rPr>
        <w:t>the service provider does not act promptly to cease providing services to the persons known by the service provider to be engaging in such an activity</w:t>
      </w:r>
      <w:r w:rsidRPr="005545AF">
        <w:rPr>
          <w:lang w:val="en-CA"/>
        </w:rPr>
        <w:t>”</w:t>
      </w:r>
      <w:r w:rsidR="002802DA" w:rsidRPr="005545AF">
        <w:rPr>
          <w:rStyle w:val="Appelnotedebasdep"/>
          <w:lang w:val="en-CA"/>
        </w:rPr>
        <w:footnoteReference w:id="48"/>
      </w:r>
      <w:r w:rsidR="002802DA" w:rsidRPr="005545AF">
        <w:rPr>
          <w:lang w:val="en-CA"/>
        </w:rPr>
        <w:t xml:space="preserve"> [</w:t>
      </w:r>
      <w:r w:rsidRPr="005545AF">
        <w:rPr>
          <w:lang w:val="en-CA"/>
        </w:rPr>
        <w:t>Emphasis added</w:t>
      </w:r>
      <w:r w:rsidR="002802DA" w:rsidRPr="005545AF">
        <w:rPr>
          <w:lang w:val="en-CA"/>
        </w:rPr>
        <w:t>].</w:t>
      </w:r>
      <w:r w:rsidR="00BD2688" w:rsidRPr="005545AF">
        <w:rPr>
          <w:lang w:val="en-CA"/>
        </w:rPr>
        <w:t xml:space="preserve"> A</w:t>
      </w:r>
      <w:r w:rsidR="008D38B4" w:rsidRPr="005545AF">
        <w:rPr>
          <w:lang w:val="en-CA"/>
        </w:rPr>
        <w:t xml:space="preserve"> plain reading of</w:t>
      </w:r>
      <w:r w:rsidRPr="005545AF">
        <w:rPr>
          <w:lang w:val="en-CA"/>
        </w:rPr>
        <w:t xml:space="preserve"> this sentence</w:t>
      </w:r>
      <w:r w:rsidR="00BD2688" w:rsidRPr="005545AF">
        <w:rPr>
          <w:lang w:val="en-CA"/>
        </w:rPr>
        <w:t xml:space="preserve"> </w:t>
      </w:r>
      <w:r w:rsidR="00BB1D7E" w:rsidRPr="005545AF">
        <w:rPr>
          <w:lang w:val="en-CA"/>
        </w:rPr>
        <w:t>satisfies us</w:t>
      </w:r>
      <w:r w:rsidR="00BD2688" w:rsidRPr="005545AF">
        <w:rPr>
          <w:lang w:val="en-CA"/>
        </w:rPr>
        <w:t xml:space="preserve"> </w:t>
      </w:r>
      <w:r w:rsidR="008D38B4" w:rsidRPr="005545AF">
        <w:rPr>
          <w:lang w:val="en-CA"/>
        </w:rPr>
        <w:t>that the legislature</w:t>
      </w:r>
      <w:r w:rsidR="00BD2688" w:rsidRPr="005545AF">
        <w:rPr>
          <w:lang w:val="en-CA"/>
        </w:rPr>
        <w:t xml:space="preserve"> thereby</w:t>
      </w:r>
      <w:r w:rsidR="008D38B4" w:rsidRPr="005545AF">
        <w:rPr>
          <w:lang w:val="en-CA"/>
        </w:rPr>
        <w:t xml:space="preserve"> provide</w:t>
      </w:r>
      <w:r w:rsidR="00A74DEB" w:rsidRPr="005545AF">
        <w:rPr>
          <w:lang w:val="en-CA"/>
        </w:rPr>
        <w:t>d</w:t>
      </w:r>
      <w:r w:rsidR="008D38B4" w:rsidRPr="005545AF">
        <w:rPr>
          <w:lang w:val="en-CA"/>
        </w:rPr>
        <w:t xml:space="preserve"> the standard of behaviour expected of the intermediary</w:t>
      </w:r>
      <w:r w:rsidR="002802DA" w:rsidRPr="005545AF">
        <w:rPr>
          <w:lang w:val="en-CA"/>
        </w:rPr>
        <w:t xml:space="preserve">: </w:t>
      </w:r>
      <w:r w:rsidR="00BD2688" w:rsidRPr="005545AF">
        <w:rPr>
          <w:lang w:val="en-CA"/>
        </w:rPr>
        <w:t xml:space="preserve">While the latter is not bound to proactively monitor the </w:t>
      </w:r>
      <w:r w:rsidR="00A74DEB" w:rsidRPr="005545AF">
        <w:rPr>
          <w:lang w:val="en-CA"/>
        </w:rPr>
        <w:t>lawfulness</w:t>
      </w:r>
      <w:r w:rsidR="00BD2688" w:rsidRPr="005545AF">
        <w:rPr>
          <w:lang w:val="en-CA"/>
        </w:rPr>
        <w:t xml:space="preserve"> of the activities that its services allow, it is duty-bound to act upon becoming aware of an illicit activity</w:t>
      </w:r>
      <w:r w:rsidR="002802DA" w:rsidRPr="005545AF">
        <w:rPr>
          <w:lang w:val="en-CA"/>
        </w:rPr>
        <w:t>.</w:t>
      </w:r>
    </w:p>
    <w:p w14:paraId="2A451AA4" w14:textId="5F5D657D" w:rsidR="002802DA" w:rsidRPr="005545AF" w:rsidRDefault="00BB1D7E" w:rsidP="001F7377">
      <w:pPr>
        <w:pStyle w:val="Paragraphe"/>
        <w:spacing w:line="240" w:lineRule="auto"/>
        <w:rPr>
          <w:lang w:val="en-CA"/>
        </w:rPr>
      </w:pPr>
      <w:r w:rsidRPr="005545AF">
        <w:rPr>
          <w:lang w:val="en-CA"/>
        </w:rPr>
        <w:t xml:space="preserve">In my view, </w:t>
      </w:r>
      <w:r w:rsidR="00A74DEB" w:rsidRPr="005545AF">
        <w:rPr>
          <w:lang w:val="en-CA"/>
        </w:rPr>
        <w:t>this</w:t>
      </w:r>
      <w:r w:rsidRPr="005545AF">
        <w:rPr>
          <w:lang w:val="en-CA"/>
        </w:rPr>
        <w:t xml:space="preserve"> is the balanc</w:t>
      </w:r>
      <w:r w:rsidR="00A74DEB" w:rsidRPr="005545AF">
        <w:rPr>
          <w:lang w:val="en-CA"/>
        </w:rPr>
        <w:t>e</w:t>
      </w:r>
      <w:r w:rsidRPr="005545AF">
        <w:rPr>
          <w:lang w:val="en-CA"/>
        </w:rPr>
        <w:t xml:space="preserve"> that the legislature has </w:t>
      </w:r>
      <w:r w:rsidR="00A74DEB" w:rsidRPr="005545AF">
        <w:rPr>
          <w:lang w:val="en-CA"/>
        </w:rPr>
        <w:t>chosen</w:t>
      </w:r>
      <w:r w:rsidRPr="005545AF">
        <w:rPr>
          <w:lang w:val="en-CA"/>
        </w:rPr>
        <w:t xml:space="preserve"> to </w:t>
      </w:r>
      <w:r w:rsidR="00A74DEB" w:rsidRPr="005545AF">
        <w:rPr>
          <w:lang w:val="en-CA"/>
        </w:rPr>
        <w:t>strike</w:t>
      </w:r>
      <w:r w:rsidRPr="005545AF">
        <w:rPr>
          <w:lang w:val="en-CA"/>
        </w:rPr>
        <w:t xml:space="preserve"> between, on the one hand, considerations related to freedom of expression and the development of the </w:t>
      </w:r>
      <w:r w:rsidR="00A74DEB" w:rsidRPr="005545AF">
        <w:rPr>
          <w:lang w:val="en-CA"/>
        </w:rPr>
        <w:t>I</w:t>
      </w:r>
      <w:r w:rsidRPr="005545AF">
        <w:rPr>
          <w:lang w:val="en-CA"/>
        </w:rPr>
        <w:t xml:space="preserve">nternet, and, on the other hand, a </w:t>
      </w:r>
      <w:r w:rsidR="00A74DEB" w:rsidRPr="005545AF">
        <w:rPr>
          <w:lang w:val="en-CA"/>
        </w:rPr>
        <w:t>degree of</w:t>
      </w:r>
      <w:r w:rsidRPr="005545AF">
        <w:rPr>
          <w:lang w:val="en-CA"/>
        </w:rPr>
        <w:t xml:space="preserve"> accountability </w:t>
      </w:r>
      <w:r w:rsidR="00A74DEB" w:rsidRPr="005545AF">
        <w:rPr>
          <w:lang w:val="en-CA"/>
        </w:rPr>
        <w:t xml:space="preserve">on the part </w:t>
      </w:r>
      <w:r w:rsidRPr="005545AF">
        <w:rPr>
          <w:lang w:val="en-CA"/>
        </w:rPr>
        <w:t>of service intermediaries</w:t>
      </w:r>
      <w:r w:rsidR="002802DA" w:rsidRPr="005545AF">
        <w:rPr>
          <w:lang w:val="en-CA"/>
        </w:rPr>
        <w:t xml:space="preserve">. </w:t>
      </w:r>
      <w:r w:rsidR="00E332B4" w:rsidRPr="005545AF">
        <w:rPr>
          <w:lang w:val="en-CA"/>
        </w:rPr>
        <w:t xml:space="preserve">Such </w:t>
      </w:r>
      <w:r w:rsidRPr="005545AF">
        <w:rPr>
          <w:lang w:val="en-CA"/>
        </w:rPr>
        <w:t>balanc</w:t>
      </w:r>
      <w:r w:rsidR="00A74DEB" w:rsidRPr="005545AF">
        <w:rPr>
          <w:lang w:val="en-CA"/>
        </w:rPr>
        <w:t>e</w:t>
      </w:r>
      <w:r w:rsidRPr="005545AF">
        <w:rPr>
          <w:lang w:val="en-CA"/>
        </w:rPr>
        <w:t xml:space="preserve"> </w:t>
      </w:r>
      <w:r w:rsidR="00E332B4" w:rsidRPr="005545AF">
        <w:rPr>
          <w:lang w:val="en-CA"/>
        </w:rPr>
        <w:t>differs from th</w:t>
      </w:r>
      <w:r w:rsidRPr="005545AF">
        <w:rPr>
          <w:lang w:val="en-CA"/>
        </w:rPr>
        <w:t>at</w:t>
      </w:r>
      <w:r w:rsidR="00E332B4" w:rsidRPr="005545AF">
        <w:rPr>
          <w:lang w:val="en-CA"/>
        </w:rPr>
        <w:t xml:space="preserve"> which</w:t>
      </w:r>
      <w:r w:rsidRPr="005545AF">
        <w:rPr>
          <w:lang w:val="en-CA"/>
        </w:rPr>
        <w:t xml:space="preserve"> may have</w:t>
      </w:r>
      <w:r w:rsidR="00E332B4" w:rsidRPr="005545AF">
        <w:rPr>
          <w:lang w:val="en-CA"/>
        </w:rPr>
        <w:t xml:space="preserve"> been</w:t>
      </w:r>
      <w:r w:rsidRPr="005545AF">
        <w:rPr>
          <w:lang w:val="en-CA"/>
        </w:rPr>
        <w:t xml:space="preserve"> chosen </w:t>
      </w:r>
      <w:r w:rsidR="00E332B4" w:rsidRPr="005545AF">
        <w:rPr>
          <w:lang w:val="en-CA"/>
        </w:rPr>
        <w:t xml:space="preserve">by </w:t>
      </w:r>
      <w:r w:rsidRPr="005545AF">
        <w:rPr>
          <w:lang w:val="en-CA"/>
        </w:rPr>
        <w:t>other jurisdictions,</w:t>
      </w:r>
      <w:r w:rsidR="002802DA" w:rsidRPr="005545AF">
        <w:rPr>
          <w:rStyle w:val="Appelnotedebasdep"/>
          <w:lang w:val="en-CA"/>
        </w:rPr>
        <w:footnoteReference w:id="49"/>
      </w:r>
      <w:r w:rsidRPr="005545AF">
        <w:rPr>
          <w:lang w:val="en-CA"/>
        </w:rPr>
        <w:t xml:space="preserve"> for example, the United States, which grants </w:t>
      </w:r>
      <w:r w:rsidR="00E332B4" w:rsidRPr="005545AF">
        <w:rPr>
          <w:lang w:val="en-CA"/>
        </w:rPr>
        <w:t xml:space="preserve">greater immunity to </w:t>
      </w:r>
      <w:r w:rsidR="00E332B4" w:rsidRPr="005545AF">
        <w:rPr>
          <w:lang w:val="en-CA"/>
        </w:rPr>
        <w:lastRenderedPageBreak/>
        <w:t>intermediaries in s.</w:t>
      </w:r>
      <w:r w:rsidR="002802DA" w:rsidRPr="005545AF">
        <w:rPr>
          <w:lang w:val="en-CA"/>
        </w:rPr>
        <w:t xml:space="preserve"> 230(c)(1) </w:t>
      </w:r>
      <w:r w:rsidR="002802DA" w:rsidRPr="005545AF">
        <w:rPr>
          <w:i/>
          <w:iCs/>
          <w:lang w:val="en-CA"/>
        </w:rPr>
        <w:t>CDA</w:t>
      </w:r>
      <w:r w:rsidR="002802DA" w:rsidRPr="005545AF">
        <w:rPr>
          <w:lang w:val="en-CA"/>
        </w:rPr>
        <w:t xml:space="preserve">, </w:t>
      </w:r>
      <w:r w:rsidR="00E332B4" w:rsidRPr="005545AF">
        <w:rPr>
          <w:lang w:val="en-CA"/>
        </w:rPr>
        <w:t xml:space="preserve">but it </w:t>
      </w:r>
      <w:r w:rsidR="0042601A" w:rsidRPr="005545AF">
        <w:rPr>
          <w:lang w:val="en-CA"/>
        </w:rPr>
        <w:t xml:space="preserve">does </w:t>
      </w:r>
      <w:r w:rsidR="00E332B4" w:rsidRPr="005545AF">
        <w:rPr>
          <w:lang w:val="en-CA"/>
        </w:rPr>
        <w:t>expres</w:t>
      </w:r>
      <w:r w:rsidR="0042601A" w:rsidRPr="005545AF">
        <w:rPr>
          <w:lang w:val="en-CA"/>
        </w:rPr>
        <w:t>s</w:t>
      </w:r>
      <w:r w:rsidR="00E332B4" w:rsidRPr="005545AF">
        <w:rPr>
          <w:lang w:val="en-CA"/>
        </w:rPr>
        <w:t xml:space="preserve"> the balance that the Quebec legislature wishe</w:t>
      </w:r>
      <w:r w:rsidR="0042601A" w:rsidRPr="005545AF">
        <w:rPr>
          <w:lang w:val="en-CA"/>
        </w:rPr>
        <w:t>d</w:t>
      </w:r>
      <w:r w:rsidR="00E332B4" w:rsidRPr="005545AF">
        <w:rPr>
          <w:lang w:val="en-CA"/>
        </w:rPr>
        <w:t xml:space="preserve"> to </w:t>
      </w:r>
      <w:r w:rsidR="0042601A" w:rsidRPr="005545AF">
        <w:rPr>
          <w:lang w:val="en-CA"/>
        </w:rPr>
        <w:t>ensure</w:t>
      </w:r>
      <w:r w:rsidR="00E332B4" w:rsidRPr="005545AF">
        <w:rPr>
          <w:lang w:val="en-CA"/>
        </w:rPr>
        <w:t xml:space="preserve"> between the various values in tension.</w:t>
      </w:r>
      <w:r w:rsidR="002802DA" w:rsidRPr="005545AF">
        <w:rPr>
          <w:rStyle w:val="Appelnotedebasdep"/>
          <w:lang w:val="en-CA"/>
        </w:rPr>
        <w:footnoteReference w:id="50"/>
      </w:r>
      <w:r w:rsidR="002802DA" w:rsidRPr="005545AF">
        <w:rPr>
          <w:lang w:val="en-CA"/>
        </w:rPr>
        <w:t xml:space="preserve"> </w:t>
      </w:r>
    </w:p>
    <w:p w14:paraId="381BC199" w14:textId="58F06254" w:rsidR="002802DA" w:rsidRPr="005545AF" w:rsidRDefault="006E3FB4" w:rsidP="001F7377">
      <w:pPr>
        <w:pStyle w:val="Paragraphe"/>
        <w:spacing w:line="240" w:lineRule="auto"/>
        <w:rPr>
          <w:lang w:val="en-CA"/>
        </w:rPr>
      </w:pPr>
      <w:r w:rsidRPr="005545AF">
        <w:rPr>
          <w:lang w:val="en-CA"/>
        </w:rPr>
        <w:t>Having</w:t>
      </w:r>
      <w:r w:rsidR="00650A65" w:rsidRPr="005545AF">
        <w:rPr>
          <w:lang w:val="en-CA"/>
        </w:rPr>
        <w:t xml:space="preserve"> established that section</w:t>
      </w:r>
      <w:r w:rsidR="002802DA" w:rsidRPr="005545AF">
        <w:rPr>
          <w:lang w:val="en-CA"/>
        </w:rPr>
        <w:t xml:space="preserve"> 22 </w:t>
      </w:r>
      <w:r w:rsidR="00650A65" w:rsidRPr="005545AF">
        <w:rPr>
          <w:i/>
          <w:iCs/>
          <w:lang w:val="en-CA"/>
        </w:rPr>
        <w:t>IT Framework Act</w:t>
      </w:r>
      <w:r w:rsidR="002802DA" w:rsidRPr="005545AF">
        <w:rPr>
          <w:lang w:val="en-CA"/>
        </w:rPr>
        <w:t xml:space="preserve"> </w:t>
      </w:r>
      <w:r w:rsidRPr="005545AF">
        <w:rPr>
          <w:lang w:val="en-CA"/>
        </w:rPr>
        <w:t>indeed imposes a</w:t>
      </w:r>
      <w:r w:rsidR="00650A65" w:rsidRPr="005545AF">
        <w:rPr>
          <w:lang w:val="en-CA"/>
        </w:rPr>
        <w:t xml:space="preserve"> specific duty on the intermediary</w:t>
      </w:r>
      <w:r w:rsidR="002802DA" w:rsidRPr="005545AF">
        <w:rPr>
          <w:lang w:val="en-CA"/>
        </w:rPr>
        <w:t xml:space="preserve">, </w:t>
      </w:r>
      <w:r w:rsidRPr="005545AF">
        <w:rPr>
          <w:lang w:val="en-CA"/>
        </w:rPr>
        <w:t>it remains to determine its conditions of application and its content</w:t>
      </w:r>
      <w:r w:rsidR="002802DA" w:rsidRPr="005545AF">
        <w:rPr>
          <w:lang w:val="en-CA"/>
        </w:rPr>
        <w:t>.</w:t>
      </w:r>
    </w:p>
    <w:p w14:paraId="1BDED104" w14:textId="239F97D5" w:rsidR="002802DA" w:rsidRPr="005545AF" w:rsidRDefault="006E3FB4" w:rsidP="001F7377">
      <w:pPr>
        <w:pStyle w:val="Paragraphe"/>
        <w:spacing w:line="240" w:lineRule="auto"/>
        <w:rPr>
          <w:lang w:val="en-CA"/>
        </w:rPr>
      </w:pPr>
      <w:r w:rsidRPr="005545AF">
        <w:rPr>
          <w:lang w:val="en-CA"/>
        </w:rPr>
        <w:t>First, the</w:t>
      </w:r>
      <w:r w:rsidR="002802DA" w:rsidRPr="005545AF">
        <w:rPr>
          <w:lang w:val="en-CA"/>
        </w:rPr>
        <w:t xml:space="preserve"> conditions. </w:t>
      </w:r>
      <w:r w:rsidR="0002543D" w:rsidRPr="005545AF">
        <w:rPr>
          <w:lang w:val="en-CA"/>
        </w:rPr>
        <w:t>Section</w:t>
      </w:r>
      <w:r w:rsidR="002802DA" w:rsidRPr="005545AF">
        <w:rPr>
          <w:lang w:val="en-CA"/>
        </w:rPr>
        <w:t xml:space="preserve"> 22 </w:t>
      </w:r>
      <w:r w:rsidR="0002543D" w:rsidRPr="005545AF">
        <w:rPr>
          <w:i/>
          <w:iCs/>
          <w:lang w:val="en-CA"/>
        </w:rPr>
        <w:t>IT Framwork Act</w:t>
      </w:r>
      <w:r w:rsidR="002802DA" w:rsidRPr="005545AF">
        <w:rPr>
          <w:lang w:val="en-CA"/>
        </w:rPr>
        <w:t xml:space="preserve"> </w:t>
      </w:r>
      <w:r w:rsidR="0002543D" w:rsidRPr="005545AF">
        <w:rPr>
          <w:lang w:val="en-CA"/>
        </w:rPr>
        <w:t>provides that the intermediary</w:t>
      </w:r>
      <w:r w:rsidR="00CC5F8D" w:rsidRPr="005545AF">
        <w:rPr>
          <w:lang w:val="en-CA"/>
        </w:rPr>
        <w:t xml:space="preserve"> may incur responsibility upon becoming aware of an illicit activity.</w:t>
      </w:r>
      <w:r w:rsidR="002802DA" w:rsidRPr="005545AF">
        <w:rPr>
          <w:rStyle w:val="Appelnotedebasdep"/>
          <w:lang w:val="en-CA"/>
        </w:rPr>
        <w:footnoteReference w:id="51"/>
      </w:r>
      <w:r w:rsidR="00CC5F8D" w:rsidRPr="005545AF">
        <w:rPr>
          <w:lang w:val="en-CA"/>
        </w:rPr>
        <w:t xml:space="preserve"> On the point of knowledge </w:t>
      </w:r>
      <w:r w:rsidR="00CC5F8D" w:rsidRPr="005545AF">
        <w:rPr>
          <w:i/>
          <w:iCs/>
          <w:lang w:val="en-CA"/>
        </w:rPr>
        <w:t>per se</w:t>
      </w:r>
      <w:r w:rsidR="00CC5F8D" w:rsidRPr="005545AF">
        <w:rPr>
          <w:lang w:val="en-CA"/>
        </w:rPr>
        <w:t>, this case</w:t>
      </w:r>
      <w:r w:rsidR="006479C1" w:rsidRPr="005545AF">
        <w:rPr>
          <w:lang w:val="en-CA"/>
        </w:rPr>
        <w:t xml:space="preserve"> does not present any difficulties</w:t>
      </w:r>
      <w:r w:rsidR="002802DA" w:rsidRPr="005545AF">
        <w:rPr>
          <w:lang w:val="en-CA"/>
        </w:rPr>
        <w:t xml:space="preserve">. Google </w:t>
      </w:r>
      <w:r w:rsidR="00740EFC" w:rsidRPr="005545AF">
        <w:rPr>
          <w:lang w:val="en-CA"/>
        </w:rPr>
        <w:t>is</w:t>
      </w:r>
      <w:r w:rsidR="006479C1" w:rsidRPr="005545AF">
        <w:rPr>
          <w:lang w:val="en-CA"/>
        </w:rPr>
        <w:t xml:space="preserve"> aware of the</w:t>
      </w:r>
      <w:r w:rsidR="00740EFC" w:rsidRPr="005545AF">
        <w:rPr>
          <w:lang w:val="en-CA"/>
        </w:rPr>
        <w:t xml:space="preserve"> false</w:t>
      </w:r>
      <w:r w:rsidR="0042601A" w:rsidRPr="005545AF">
        <w:rPr>
          <w:lang w:val="en-CA"/>
        </w:rPr>
        <w:t xml:space="preserve"> nature</w:t>
      </w:r>
      <w:r w:rsidR="002802DA" w:rsidRPr="005545AF">
        <w:rPr>
          <w:lang w:val="en-CA"/>
        </w:rPr>
        <w:t xml:space="preserve"> </w:t>
      </w:r>
      <w:r w:rsidR="006479C1" w:rsidRPr="005545AF">
        <w:rPr>
          <w:lang w:val="en-CA"/>
        </w:rPr>
        <w:t xml:space="preserve">of the </w:t>
      </w:r>
      <w:r w:rsidR="004A5D7E" w:rsidRPr="005545AF">
        <w:rPr>
          <w:lang w:val="en-CA"/>
        </w:rPr>
        <w:t>Impugned Post</w:t>
      </w:r>
      <w:r w:rsidR="002802DA" w:rsidRPr="005545AF">
        <w:rPr>
          <w:lang w:val="en-CA"/>
        </w:rPr>
        <w:t xml:space="preserve"> </w:t>
      </w:r>
      <w:r w:rsidR="00740EFC" w:rsidRPr="005545AF">
        <w:rPr>
          <w:lang w:val="en-CA"/>
        </w:rPr>
        <w:t xml:space="preserve">since </w:t>
      </w:r>
      <w:r w:rsidR="002802DA" w:rsidRPr="005545AF">
        <w:rPr>
          <w:lang w:val="en-CA"/>
        </w:rPr>
        <w:t xml:space="preserve">2009 </w:t>
      </w:r>
      <w:r w:rsidR="00740EFC" w:rsidRPr="005545AF">
        <w:rPr>
          <w:lang w:val="en-CA"/>
        </w:rPr>
        <w:t xml:space="preserve">when the RCMP certified that </w:t>
      </w:r>
      <w:r w:rsidR="0042601A" w:rsidRPr="005545AF">
        <w:rPr>
          <w:lang w:val="en-CA"/>
        </w:rPr>
        <w:t>the appellant</w:t>
      </w:r>
      <w:r w:rsidR="00740EFC" w:rsidRPr="005545AF">
        <w:rPr>
          <w:lang w:val="en-CA"/>
        </w:rPr>
        <w:t xml:space="preserve"> had not been convicted of any sex crime</w:t>
      </w:r>
      <w:r w:rsidR="002802DA" w:rsidRPr="005545AF">
        <w:rPr>
          <w:lang w:val="en-CA"/>
        </w:rPr>
        <w:t xml:space="preserve">. </w:t>
      </w:r>
      <w:r w:rsidR="00740EFC" w:rsidRPr="005545AF">
        <w:rPr>
          <w:lang w:val="en-CA"/>
        </w:rPr>
        <w:t>This is a</w:t>
      </w:r>
      <w:r w:rsidR="0016101D" w:rsidRPr="005545AF">
        <w:rPr>
          <w:lang w:val="en-CA"/>
        </w:rPr>
        <w:t>n</w:t>
      </w:r>
      <w:r w:rsidR="00740EFC" w:rsidRPr="005545AF">
        <w:rPr>
          <w:lang w:val="en-CA"/>
        </w:rPr>
        <w:t xml:space="preserve"> </w:t>
      </w:r>
      <w:r w:rsidR="0016101D" w:rsidRPr="005545AF">
        <w:rPr>
          <w:lang w:val="en-CA"/>
        </w:rPr>
        <w:t>either/or</w:t>
      </w:r>
      <w:r w:rsidR="00740EFC" w:rsidRPr="005545AF">
        <w:rPr>
          <w:lang w:val="en-CA"/>
        </w:rPr>
        <w:t xml:space="preserve"> situation that engages no </w:t>
      </w:r>
      <w:r w:rsidR="0016101D" w:rsidRPr="005545AF">
        <w:rPr>
          <w:lang w:val="en-CA"/>
        </w:rPr>
        <w:t>debate</w:t>
      </w:r>
      <w:r w:rsidR="00740EFC" w:rsidRPr="005545AF">
        <w:rPr>
          <w:lang w:val="en-CA"/>
        </w:rPr>
        <w:t xml:space="preserve">: </w:t>
      </w:r>
      <w:r w:rsidR="0042601A" w:rsidRPr="005545AF">
        <w:rPr>
          <w:lang w:val="en-CA"/>
        </w:rPr>
        <w:t>the appellant</w:t>
      </w:r>
      <w:r w:rsidR="002802DA" w:rsidRPr="005545AF">
        <w:rPr>
          <w:lang w:val="en-CA"/>
        </w:rPr>
        <w:t xml:space="preserve"> </w:t>
      </w:r>
      <w:r w:rsidR="008A0303" w:rsidRPr="005545AF">
        <w:rPr>
          <w:lang w:val="en-CA"/>
        </w:rPr>
        <w:t>h</w:t>
      </w:r>
      <w:r w:rsidR="00740EFC" w:rsidRPr="005545AF">
        <w:rPr>
          <w:lang w:val="en-CA"/>
        </w:rPr>
        <w:t xml:space="preserve">as or </w:t>
      </w:r>
      <w:r w:rsidR="008A0303" w:rsidRPr="005545AF">
        <w:rPr>
          <w:lang w:val="en-CA"/>
        </w:rPr>
        <w:t>h</w:t>
      </w:r>
      <w:r w:rsidR="00740EFC" w:rsidRPr="005545AF">
        <w:rPr>
          <w:lang w:val="en-CA"/>
        </w:rPr>
        <w:t>as not</w:t>
      </w:r>
      <w:r w:rsidR="008A0303" w:rsidRPr="005545AF">
        <w:rPr>
          <w:lang w:val="en-CA"/>
        </w:rPr>
        <w:t xml:space="preserve"> been</w:t>
      </w:r>
      <w:r w:rsidR="00740EFC" w:rsidRPr="005545AF">
        <w:rPr>
          <w:lang w:val="en-CA"/>
        </w:rPr>
        <w:t xml:space="preserve"> convicted of a sexual crime</w:t>
      </w:r>
      <w:r w:rsidR="002802DA" w:rsidRPr="005545AF">
        <w:rPr>
          <w:lang w:val="en-CA"/>
        </w:rPr>
        <w:t xml:space="preserve">. </w:t>
      </w:r>
      <w:r w:rsidR="00740EFC" w:rsidRPr="005545AF">
        <w:rPr>
          <w:lang w:val="en-CA"/>
        </w:rPr>
        <w:t>No discussion is possible</w:t>
      </w:r>
      <w:r w:rsidR="002802DA" w:rsidRPr="005545AF">
        <w:rPr>
          <w:lang w:val="en-CA"/>
        </w:rPr>
        <w:t>.</w:t>
      </w:r>
    </w:p>
    <w:p w14:paraId="4E055667" w14:textId="3BC43F2E" w:rsidR="002802DA" w:rsidRPr="005545AF" w:rsidRDefault="0016101D" w:rsidP="001F7377">
      <w:pPr>
        <w:pStyle w:val="Paragraphe"/>
        <w:spacing w:line="240" w:lineRule="auto"/>
        <w:rPr>
          <w:lang w:val="en-CA"/>
        </w:rPr>
      </w:pPr>
      <w:r w:rsidRPr="005545AF">
        <w:rPr>
          <w:lang w:val="en-CA"/>
        </w:rPr>
        <w:t xml:space="preserve">On this point, I </w:t>
      </w:r>
      <w:r w:rsidR="002D0365" w:rsidRPr="005545AF">
        <w:rPr>
          <w:lang w:val="en-CA"/>
        </w:rPr>
        <w:t>find it</w:t>
      </w:r>
      <w:r w:rsidRPr="005545AF">
        <w:rPr>
          <w:lang w:val="en-CA"/>
        </w:rPr>
        <w:t xml:space="preserve"> useful to note that I fully agree with the trial judge’s opinion that the condition related</w:t>
      </w:r>
      <w:r w:rsidR="002D0365" w:rsidRPr="005545AF">
        <w:rPr>
          <w:lang w:val="en-CA"/>
        </w:rPr>
        <w:t xml:space="preserve"> to awareness requires a reasonable level of certainty.</w:t>
      </w:r>
      <w:r w:rsidR="002802DA" w:rsidRPr="005545AF">
        <w:rPr>
          <w:rStyle w:val="Appelnotedebasdep"/>
          <w:lang w:val="en-CA"/>
        </w:rPr>
        <w:footnoteReference w:id="52"/>
      </w:r>
      <w:r w:rsidR="002D0365" w:rsidRPr="005545AF">
        <w:rPr>
          <w:lang w:val="en-CA"/>
        </w:rPr>
        <w:t xml:space="preserve"> Just as </w:t>
      </w:r>
      <w:r w:rsidR="004C2BA9" w:rsidRPr="005545AF">
        <w:rPr>
          <w:lang w:val="en-CA"/>
        </w:rPr>
        <w:t>an</w:t>
      </w:r>
      <w:r w:rsidR="002D0365" w:rsidRPr="005545AF">
        <w:rPr>
          <w:lang w:val="en-CA"/>
        </w:rPr>
        <w:t xml:space="preserve"> intermediary is under no general obligation to monitor content, it cannot </w:t>
      </w:r>
      <w:r w:rsidR="004C2BA9" w:rsidRPr="005545AF">
        <w:rPr>
          <w:lang w:val="en-CA"/>
        </w:rPr>
        <w:t>determine</w:t>
      </w:r>
      <w:r w:rsidR="002D0365" w:rsidRPr="005545AF">
        <w:rPr>
          <w:lang w:val="en-CA"/>
        </w:rPr>
        <w:t xml:space="preserve"> </w:t>
      </w:r>
      <w:r w:rsidR="004C2BA9" w:rsidRPr="005545AF">
        <w:rPr>
          <w:lang w:val="en-CA"/>
        </w:rPr>
        <w:t>whether</w:t>
      </w:r>
      <w:r w:rsidR="002D0365" w:rsidRPr="005545AF">
        <w:rPr>
          <w:lang w:val="en-CA"/>
        </w:rPr>
        <w:t xml:space="preserve"> </w:t>
      </w:r>
      <w:r w:rsidR="008A0303" w:rsidRPr="005545AF">
        <w:rPr>
          <w:lang w:val="en-CA"/>
        </w:rPr>
        <w:t xml:space="preserve">an activity </w:t>
      </w:r>
      <w:r w:rsidR="004C2BA9" w:rsidRPr="005545AF">
        <w:rPr>
          <w:lang w:val="en-CA"/>
        </w:rPr>
        <w:t>is</w:t>
      </w:r>
      <w:r w:rsidR="008A0303" w:rsidRPr="005545AF">
        <w:rPr>
          <w:lang w:val="en-CA"/>
        </w:rPr>
        <w:t xml:space="preserve"> </w:t>
      </w:r>
      <w:r w:rsidR="004C2BA9" w:rsidRPr="005545AF">
        <w:rPr>
          <w:lang w:val="en-CA"/>
        </w:rPr>
        <w:t>illicit</w:t>
      </w:r>
      <w:r w:rsidR="002D0365" w:rsidRPr="005545AF">
        <w:rPr>
          <w:lang w:val="en-CA"/>
        </w:rPr>
        <w:t xml:space="preserve"> on mere suspicions or allegations</w:t>
      </w:r>
      <w:r w:rsidR="002802DA" w:rsidRPr="005545AF">
        <w:rPr>
          <w:lang w:val="en-CA"/>
        </w:rPr>
        <w:t xml:space="preserve">. </w:t>
      </w:r>
      <w:r w:rsidR="00C74517" w:rsidRPr="005545AF">
        <w:rPr>
          <w:lang w:val="en-CA"/>
        </w:rPr>
        <w:t>Here a</w:t>
      </w:r>
      <w:r w:rsidR="002D0365" w:rsidRPr="005545AF">
        <w:rPr>
          <w:lang w:val="en-CA"/>
        </w:rPr>
        <w:t xml:space="preserve">gain, </w:t>
      </w:r>
      <w:r w:rsidR="004C2BA9" w:rsidRPr="005545AF">
        <w:rPr>
          <w:lang w:val="en-CA"/>
        </w:rPr>
        <w:t xml:space="preserve">this goes to </w:t>
      </w:r>
      <w:r w:rsidR="00C74517" w:rsidRPr="005545AF">
        <w:rPr>
          <w:lang w:val="en-CA"/>
        </w:rPr>
        <w:t>striking a proper balance</w:t>
      </w:r>
      <w:r w:rsidR="002D0365" w:rsidRPr="005545AF">
        <w:rPr>
          <w:lang w:val="en-CA"/>
        </w:rPr>
        <w:t xml:space="preserve"> between </w:t>
      </w:r>
      <w:r w:rsidR="004C2BA9" w:rsidRPr="005545AF">
        <w:rPr>
          <w:lang w:val="en-CA"/>
        </w:rPr>
        <w:t>monitoring</w:t>
      </w:r>
      <w:r w:rsidR="002D0365" w:rsidRPr="005545AF">
        <w:rPr>
          <w:lang w:val="en-CA"/>
        </w:rPr>
        <w:t xml:space="preserve"> and freedom</w:t>
      </w:r>
      <w:r w:rsidR="002802DA" w:rsidRPr="005545AF">
        <w:rPr>
          <w:lang w:val="en-CA"/>
        </w:rPr>
        <w:t>. Googl</w:t>
      </w:r>
      <w:r w:rsidR="00C74517" w:rsidRPr="005545AF">
        <w:rPr>
          <w:lang w:val="en-CA"/>
        </w:rPr>
        <w:t xml:space="preserve">e </w:t>
      </w:r>
      <w:r w:rsidR="004C2BA9" w:rsidRPr="005545AF">
        <w:rPr>
          <w:lang w:val="en-CA"/>
        </w:rPr>
        <w:t xml:space="preserve">rightly </w:t>
      </w:r>
      <w:r w:rsidR="006012DD" w:rsidRPr="005545AF">
        <w:rPr>
          <w:lang w:val="en-CA"/>
        </w:rPr>
        <w:t>insists</w:t>
      </w:r>
      <w:r w:rsidR="004C2BA9" w:rsidRPr="005545AF">
        <w:rPr>
          <w:lang w:val="en-CA"/>
        </w:rPr>
        <w:t xml:space="preserve"> on this issue, stating, </w:t>
      </w:r>
      <w:r w:rsidR="008A0303" w:rsidRPr="005545AF">
        <w:rPr>
          <w:lang w:val="en-CA"/>
        </w:rPr>
        <w:t>notably</w:t>
      </w:r>
      <w:r w:rsidR="004C2BA9" w:rsidRPr="005545AF">
        <w:rPr>
          <w:lang w:val="en-CA"/>
        </w:rPr>
        <w:t xml:space="preserve"> during examination of its representative, that it is not </w:t>
      </w:r>
      <w:r w:rsidR="00C74517" w:rsidRPr="005545AF">
        <w:rPr>
          <w:lang w:val="en-CA"/>
        </w:rPr>
        <w:t>for it to determine whether or not content is defamatory</w:t>
      </w:r>
      <w:r w:rsidR="002802DA" w:rsidRPr="005545AF">
        <w:rPr>
          <w:lang w:val="en-CA"/>
        </w:rPr>
        <w:t xml:space="preserve">. </w:t>
      </w:r>
      <w:r w:rsidR="00C74517" w:rsidRPr="005545AF">
        <w:rPr>
          <w:lang w:val="en-CA"/>
        </w:rPr>
        <w:t>An intermediary can therefore</w:t>
      </w:r>
      <w:r w:rsidR="00835CA6" w:rsidRPr="005545AF">
        <w:rPr>
          <w:lang w:val="en-CA"/>
        </w:rPr>
        <w:t>, as Google did in this case, require a</w:t>
      </w:r>
      <w:r w:rsidR="00C74517" w:rsidRPr="005545AF">
        <w:rPr>
          <w:lang w:val="en-CA"/>
        </w:rPr>
        <w:t xml:space="preserve"> certain degree of </w:t>
      </w:r>
      <w:r w:rsidR="006012DD" w:rsidRPr="005545AF">
        <w:rPr>
          <w:lang w:val="en-CA"/>
        </w:rPr>
        <w:t>proof</w:t>
      </w:r>
      <w:r w:rsidR="00C74517" w:rsidRPr="005545AF">
        <w:rPr>
          <w:lang w:val="en-CA"/>
        </w:rPr>
        <w:t xml:space="preserve"> as to </w:t>
      </w:r>
      <w:r w:rsidR="00835CA6" w:rsidRPr="005545AF">
        <w:rPr>
          <w:lang w:val="en-CA"/>
        </w:rPr>
        <w:t>illicit</w:t>
      </w:r>
      <w:r w:rsidR="00A2455E" w:rsidRPr="005545AF">
        <w:rPr>
          <w:lang w:val="en-CA"/>
        </w:rPr>
        <w:t>ness</w:t>
      </w:r>
      <w:r w:rsidR="00835CA6" w:rsidRPr="005545AF">
        <w:rPr>
          <w:lang w:val="en-CA"/>
        </w:rPr>
        <w:t xml:space="preserve"> of the</w:t>
      </w:r>
      <w:r w:rsidR="00C74517" w:rsidRPr="005545AF">
        <w:rPr>
          <w:lang w:val="en-CA"/>
        </w:rPr>
        <w:t xml:space="preserve"> activity </w:t>
      </w:r>
      <w:r w:rsidR="002802DA" w:rsidRPr="005545AF">
        <w:rPr>
          <w:lang w:val="en-CA"/>
        </w:rPr>
        <w:t xml:space="preserve">– </w:t>
      </w:r>
      <w:r w:rsidR="00C74517" w:rsidRPr="005545AF">
        <w:rPr>
          <w:lang w:val="en-CA"/>
        </w:rPr>
        <w:t>in this case, the message’s content</w:t>
      </w:r>
      <w:r w:rsidR="002802DA" w:rsidRPr="005545AF">
        <w:rPr>
          <w:lang w:val="en-CA"/>
        </w:rPr>
        <w:t xml:space="preserve"> – </w:t>
      </w:r>
      <w:r w:rsidR="006012DD" w:rsidRPr="005545AF">
        <w:rPr>
          <w:lang w:val="en-CA"/>
        </w:rPr>
        <w:t>in the absence of</w:t>
      </w:r>
      <w:r w:rsidR="00C74517" w:rsidRPr="005545AF">
        <w:rPr>
          <w:lang w:val="en-CA"/>
        </w:rPr>
        <w:t xml:space="preserve"> which it cannot incur responsibility. This will obviously be a question of circumstances</w:t>
      </w:r>
      <w:r w:rsidR="009A5AC1" w:rsidRPr="005545AF">
        <w:rPr>
          <w:lang w:val="en-CA"/>
        </w:rPr>
        <w:t>,</w:t>
      </w:r>
      <w:r w:rsidR="00C74517" w:rsidRPr="005545AF">
        <w:rPr>
          <w:lang w:val="en-CA"/>
        </w:rPr>
        <w:t xml:space="preserve"> and</w:t>
      </w:r>
      <w:r w:rsidR="006012DD" w:rsidRPr="005545AF">
        <w:rPr>
          <w:lang w:val="en-CA"/>
        </w:rPr>
        <w:t>,</w:t>
      </w:r>
      <w:r w:rsidR="009B56C0" w:rsidRPr="005545AF">
        <w:rPr>
          <w:lang w:val="en-CA"/>
        </w:rPr>
        <w:t xml:space="preserve"> in some case</w:t>
      </w:r>
      <w:r w:rsidR="006012DD" w:rsidRPr="005545AF">
        <w:rPr>
          <w:lang w:val="en-CA"/>
        </w:rPr>
        <w:t>s</w:t>
      </w:r>
      <w:r w:rsidR="009B56C0" w:rsidRPr="005545AF">
        <w:rPr>
          <w:lang w:val="en-CA"/>
        </w:rPr>
        <w:t>, an intermediary will</w:t>
      </w:r>
      <w:r w:rsidR="009A5AC1" w:rsidRPr="005545AF">
        <w:rPr>
          <w:lang w:val="en-CA"/>
        </w:rPr>
        <w:t xml:space="preserve"> </w:t>
      </w:r>
      <w:r w:rsidR="009B56C0" w:rsidRPr="005545AF">
        <w:rPr>
          <w:lang w:val="en-CA"/>
        </w:rPr>
        <w:t>be justified</w:t>
      </w:r>
      <w:r w:rsidR="00835CA6" w:rsidRPr="005545AF">
        <w:rPr>
          <w:lang w:val="en-CA"/>
        </w:rPr>
        <w:t xml:space="preserve"> </w:t>
      </w:r>
      <w:r w:rsidR="009A5AC1" w:rsidRPr="005545AF">
        <w:rPr>
          <w:lang w:val="en-CA"/>
        </w:rPr>
        <w:t>to</w:t>
      </w:r>
      <w:r w:rsidR="00835CA6" w:rsidRPr="005545AF">
        <w:rPr>
          <w:lang w:val="en-CA"/>
        </w:rPr>
        <w:t xml:space="preserve"> </w:t>
      </w:r>
      <w:r w:rsidR="009A5AC1" w:rsidRPr="005545AF">
        <w:rPr>
          <w:lang w:val="en-CA"/>
        </w:rPr>
        <w:t>take action</w:t>
      </w:r>
      <w:r w:rsidR="00835CA6" w:rsidRPr="005545AF">
        <w:rPr>
          <w:lang w:val="en-CA"/>
        </w:rPr>
        <w:t xml:space="preserve"> </w:t>
      </w:r>
      <w:r w:rsidR="009A5AC1" w:rsidRPr="005545AF">
        <w:rPr>
          <w:lang w:val="en-CA"/>
        </w:rPr>
        <w:t xml:space="preserve">only </w:t>
      </w:r>
      <w:r w:rsidR="00835CA6" w:rsidRPr="005545AF">
        <w:rPr>
          <w:lang w:val="en-CA"/>
        </w:rPr>
        <w:t>following a</w:t>
      </w:r>
      <w:r w:rsidR="009B56C0" w:rsidRPr="005545AF">
        <w:rPr>
          <w:lang w:val="en-CA"/>
        </w:rPr>
        <w:t xml:space="preserve"> judgment recognizing </w:t>
      </w:r>
      <w:r w:rsidR="009A5AC1" w:rsidRPr="005545AF">
        <w:rPr>
          <w:lang w:val="en-CA"/>
        </w:rPr>
        <w:t>the existence of</w:t>
      </w:r>
      <w:r w:rsidR="009B56C0" w:rsidRPr="005545AF">
        <w:rPr>
          <w:lang w:val="en-CA"/>
        </w:rPr>
        <w:t xml:space="preserve"> defamation</w:t>
      </w:r>
      <w:r w:rsidR="002802DA" w:rsidRPr="005545AF">
        <w:rPr>
          <w:lang w:val="en-CA"/>
        </w:rPr>
        <w:t>.</w:t>
      </w:r>
    </w:p>
    <w:p w14:paraId="3DD07FFD" w14:textId="7D3B02B9" w:rsidR="002802DA" w:rsidRPr="005545AF" w:rsidRDefault="00A2455E" w:rsidP="001F7377">
      <w:pPr>
        <w:pStyle w:val="Paragraphe"/>
        <w:spacing w:line="240" w:lineRule="auto"/>
        <w:rPr>
          <w:lang w:val="en-CA"/>
        </w:rPr>
      </w:pPr>
      <w:r w:rsidRPr="005545AF">
        <w:rPr>
          <w:lang w:val="en-CA"/>
        </w:rPr>
        <w:t>As to the question of whether</w:t>
      </w:r>
      <w:r w:rsidR="002802DA" w:rsidRPr="005545AF">
        <w:rPr>
          <w:lang w:val="en-CA"/>
        </w:rPr>
        <w:t xml:space="preserve"> </w:t>
      </w:r>
      <w:r w:rsidRPr="005545AF">
        <w:rPr>
          <w:lang w:val="en-CA"/>
        </w:rPr>
        <w:t>the publication of a defamatory post is an “illicit activity”, I have no difficulty in answering this in the affirmative</w:t>
      </w:r>
      <w:r w:rsidR="002802DA" w:rsidRPr="005545AF">
        <w:rPr>
          <w:lang w:val="en-CA"/>
        </w:rPr>
        <w:t xml:space="preserve">. Google </w:t>
      </w:r>
      <w:r w:rsidRPr="005545AF">
        <w:rPr>
          <w:lang w:val="en-CA"/>
        </w:rPr>
        <w:t>claims that th</w:t>
      </w:r>
      <w:r w:rsidR="00E757C9" w:rsidRPr="005545AF">
        <w:rPr>
          <w:lang w:val="en-CA"/>
        </w:rPr>
        <w:t>is</w:t>
      </w:r>
      <w:r w:rsidRPr="005545AF">
        <w:rPr>
          <w:lang w:val="en-CA"/>
        </w:rPr>
        <w:t xml:space="preserve"> is not the case</w:t>
      </w:r>
      <w:r w:rsidR="002802DA" w:rsidRPr="005545AF">
        <w:rPr>
          <w:lang w:val="en-CA"/>
        </w:rPr>
        <w:t xml:space="preserve"> </w:t>
      </w:r>
      <w:r w:rsidR="00971BEC" w:rsidRPr="005545AF">
        <w:rPr>
          <w:lang w:val="en-CA"/>
        </w:rPr>
        <w:t>because nothing prohibits a user from reading a defamatory post</w:t>
      </w:r>
      <w:r w:rsidR="002802DA" w:rsidRPr="005545AF">
        <w:rPr>
          <w:lang w:val="en-CA"/>
        </w:rPr>
        <w:t xml:space="preserve">. </w:t>
      </w:r>
      <w:r w:rsidR="00971BEC" w:rsidRPr="005545AF">
        <w:rPr>
          <w:lang w:val="en-CA"/>
        </w:rPr>
        <w:t>This argument is not persuasive</w:t>
      </w:r>
      <w:r w:rsidR="002802DA" w:rsidRPr="005545AF">
        <w:rPr>
          <w:lang w:val="en-CA"/>
        </w:rPr>
        <w:t xml:space="preserve">. </w:t>
      </w:r>
      <w:r w:rsidR="00971BEC" w:rsidRPr="005545AF">
        <w:rPr>
          <w:lang w:val="en-CA"/>
        </w:rPr>
        <w:t>Section</w:t>
      </w:r>
      <w:r w:rsidR="002802DA" w:rsidRPr="005545AF">
        <w:rPr>
          <w:lang w:val="en-CA"/>
        </w:rPr>
        <w:t xml:space="preserve"> 22 </w:t>
      </w:r>
      <w:r w:rsidR="00971BEC" w:rsidRPr="005545AF">
        <w:rPr>
          <w:i/>
          <w:iCs/>
          <w:lang w:val="en-CA"/>
        </w:rPr>
        <w:t>IT Framework Act</w:t>
      </w:r>
      <w:r w:rsidR="002802DA" w:rsidRPr="005545AF">
        <w:rPr>
          <w:lang w:val="en-CA"/>
        </w:rPr>
        <w:t xml:space="preserve"> </w:t>
      </w:r>
      <w:r w:rsidR="00971BEC" w:rsidRPr="005545AF">
        <w:rPr>
          <w:lang w:val="en-CA"/>
        </w:rPr>
        <w:t xml:space="preserve">does not </w:t>
      </w:r>
      <w:r w:rsidR="00F94F6C" w:rsidRPr="005545AF">
        <w:rPr>
          <w:lang w:val="en-CA"/>
        </w:rPr>
        <w:t>refer</w:t>
      </w:r>
      <w:r w:rsidR="00971BEC" w:rsidRPr="005545AF">
        <w:rPr>
          <w:lang w:val="en-CA"/>
        </w:rPr>
        <w:t xml:space="preserve"> to </w:t>
      </w:r>
      <w:r w:rsidR="00971BEC" w:rsidRPr="00A8077B">
        <w:rPr>
          <w:lang w:val="en-CA"/>
        </w:rPr>
        <w:t>illegal</w:t>
      </w:r>
      <w:r w:rsidR="00971BEC" w:rsidRPr="005545AF">
        <w:rPr>
          <w:lang w:val="en-CA"/>
        </w:rPr>
        <w:t xml:space="preserve"> activities, but rather to </w:t>
      </w:r>
      <w:r w:rsidR="00971BEC" w:rsidRPr="00A8077B">
        <w:rPr>
          <w:lang w:val="en-CA"/>
        </w:rPr>
        <w:t>illicit</w:t>
      </w:r>
      <w:r w:rsidR="00971BEC" w:rsidRPr="005545AF">
        <w:rPr>
          <w:lang w:val="en-CA"/>
        </w:rPr>
        <w:t xml:space="preserve"> activities</w:t>
      </w:r>
      <w:r w:rsidR="002802DA" w:rsidRPr="005545AF">
        <w:rPr>
          <w:lang w:val="en-CA"/>
        </w:rPr>
        <w:t xml:space="preserve">. </w:t>
      </w:r>
      <w:r w:rsidR="0088389C" w:rsidRPr="005545AF">
        <w:rPr>
          <w:lang w:val="en-CA"/>
        </w:rPr>
        <w:t xml:space="preserve">While it is true that it is not against the law to </w:t>
      </w:r>
      <w:r w:rsidR="00812169" w:rsidRPr="005545AF">
        <w:rPr>
          <w:lang w:val="en-CA"/>
        </w:rPr>
        <w:t>read a</w:t>
      </w:r>
      <w:r w:rsidR="0088389C" w:rsidRPr="005545AF">
        <w:rPr>
          <w:lang w:val="en-CA"/>
        </w:rPr>
        <w:t xml:space="preserve"> defamatory </w:t>
      </w:r>
      <w:r w:rsidR="00812169" w:rsidRPr="005545AF">
        <w:rPr>
          <w:lang w:val="en-CA"/>
        </w:rPr>
        <w:t>comment</w:t>
      </w:r>
      <w:r w:rsidR="0088389C" w:rsidRPr="005545AF">
        <w:rPr>
          <w:lang w:val="en-CA"/>
        </w:rPr>
        <w:t xml:space="preserve">, </w:t>
      </w:r>
      <w:r w:rsidR="00812169" w:rsidRPr="005545AF">
        <w:rPr>
          <w:lang w:val="en-CA"/>
        </w:rPr>
        <w:t>the fact remains</w:t>
      </w:r>
      <w:r w:rsidR="0088389C" w:rsidRPr="005545AF">
        <w:rPr>
          <w:lang w:val="en-CA"/>
        </w:rPr>
        <w:t xml:space="preserve"> </w:t>
      </w:r>
      <w:r w:rsidR="00F94F6C" w:rsidRPr="005545AF">
        <w:rPr>
          <w:lang w:val="en-CA"/>
        </w:rPr>
        <w:t>that</w:t>
      </w:r>
      <w:r w:rsidR="0088389C" w:rsidRPr="005545AF">
        <w:rPr>
          <w:lang w:val="en-CA"/>
        </w:rPr>
        <w:t xml:space="preserve"> the </w:t>
      </w:r>
      <w:r w:rsidR="00812169" w:rsidRPr="005545AF">
        <w:rPr>
          <w:lang w:val="en-CA"/>
        </w:rPr>
        <w:t>person</w:t>
      </w:r>
      <w:r w:rsidR="0088389C" w:rsidRPr="005545AF">
        <w:rPr>
          <w:lang w:val="en-CA"/>
        </w:rPr>
        <w:t xml:space="preserve"> who makes</w:t>
      </w:r>
      <w:r w:rsidR="00812169" w:rsidRPr="005545AF">
        <w:rPr>
          <w:lang w:val="en-CA"/>
        </w:rPr>
        <w:t xml:space="preserve"> it</w:t>
      </w:r>
      <w:r w:rsidR="0088389C" w:rsidRPr="005545AF">
        <w:rPr>
          <w:lang w:val="en-CA"/>
        </w:rPr>
        <w:t xml:space="preserve"> or publishes</w:t>
      </w:r>
      <w:r w:rsidR="00812169" w:rsidRPr="005545AF">
        <w:rPr>
          <w:lang w:val="en-CA"/>
        </w:rPr>
        <w:t xml:space="preserve"> it</w:t>
      </w:r>
      <w:r w:rsidR="0088389C" w:rsidRPr="005545AF">
        <w:rPr>
          <w:lang w:val="en-CA"/>
        </w:rPr>
        <w:t xml:space="preserve"> </w:t>
      </w:r>
      <w:r w:rsidR="00812169" w:rsidRPr="005545AF">
        <w:rPr>
          <w:lang w:val="en-CA"/>
        </w:rPr>
        <w:t>commits a fault for which they may be incur</w:t>
      </w:r>
      <w:r w:rsidR="00F94F6C" w:rsidRPr="005545AF">
        <w:rPr>
          <w:lang w:val="en-CA"/>
        </w:rPr>
        <w:t xml:space="preserve"> </w:t>
      </w:r>
      <w:r w:rsidR="0088389C" w:rsidRPr="005545AF">
        <w:rPr>
          <w:lang w:val="en-CA"/>
        </w:rPr>
        <w:t>responsibility</w:t>
      </w:r>
      <w:r w:rsidR="002802DA" w:rsidRPr="005545AF">
        <w:rPr>
          <w:lang w:val="en-CA"/>
        </w:rPr>
        <w:t xml:space="preserve">. </w:t>
      </w:r>
      <w:r w:rsidR="0088389C" w:rsidRPr="005545AF">
        <w:rPr>
          <w:lang w:val="en-CA"/>
        </w:rPr>
        <w:t xml:space="preserve">The act of posting defamatory </w:t>
      </w:r>
      <w:r w:rsidR="0088389C" w:rsidRPr="005545AF">
        <w:rPr>
          <w:lang w:val="en-CA"/>
        </w:rPr>
        <w:lastRenderedPageBreak/>
        <w:t xml:space="preserve">content on the </w:t>
      </w:r>
      <w:r w:rsidR="00812169" w:rsidRPr="005545AF">
        <w:rPr>
          <w:lang w:val="en-CA"/>
        </w:rPr>
        <w:t>I</w:t>
      </w:r>
      <w:r w:rsidR="0088389C" w:rsidRPr="005545AF">
        <w:rPr>
          <w:lang w:val="en-CA"/>
        </w:rPr>
        <w:t>nternet therefore</w:t>
      </w:r>
      <w:r w:rsidR="00F94F6C" w:rsidRPr="005545AF">
        <w:rPr>
          <w:lang w:val="en-CA"/>
        </w:rPr>
        <w:t>,</w:t>
      </w:r>
      <w:r w:rsidR="0088389C" w:rsidRPr="005545AF">
        <w:rPr>
          <w:lang w:val="en-CA"/>
        </w:rPr>
        <w:t xml:space="preserve"> </w:t>
      </w:r>
      <w:r w:rsidR="00812169" w:rsidRPr="005545AF">
        <w:rPr>
          <w:lang w:val="en-CA"/>
        </w:rPr>
        <w:t>seems</w:t>
      </w:r>
      <w:r w:rsidR="0088389C" w:rsidRPr="005545AF">
        <w:rPr>
          <w:lang w:val="en-CA"/>
        </w:rPr>
        <w:t xml:space="preserve"> to</w:t>
      </w:r>
      <w:r w:rsidR="00812169" w:rsidRPr="005545AF">
        <w:rPr>
          <w:lang w:val="en-CA"/>
        </w:rPr>
        <w:t xml:space="preserve"> me to</w:t>
      </w:r>
      <w:r w:rsidR="0088389C" w:rsidRPr="005545AF">
        <w:rPr>
          <w:lang w:val="en-CA"/>
        </w:rPr>
        <w:t xml:space="preserve"> constitute an illicit activity.</w:t>
      </w:r>
      <w:r w:rsidR="002802DA" w:rsidRPr="005545AF">
        <w:rPr>
          <w:rStyle w:val="Appelnotedebasdep"/>
          <w:lang w:val="en-CA"/>
        </w:rPr>
        <w:footnoteReference w:id="53"/>
      </w:r>
      <w:r w:rsidR="0088389C" w:rsidRPr="005545AF">
        <w:rPr>
          <w:lang w:val="en-CA"/>
        </w:rPr>
        <w:t xml:space="preserve"> That is indeed what the Minister responsible for the enactment of the Act</w:t>
      </w:r>
      <w:r w:rsidR="00E757C9" w:rsidRPr="005545AF">
        <w:rPr>
          <w:lang w:val="en-CA"/>
        </w:rPr>
        <w:t xml:space="preserve"> </w:t>
      </w:r>
      <w:r w:rsidR="00812169" w:rsidRPr="005545AF">
        <w:rPr>
          <w:lang w:val="en-CA"/>
        </w:rPr>
        <w:t>sugges</w:t>
      </w:r>
      <w:r w:rsidR="00E757C9" w:rsidRPr="005545AF">
        <w:rPr>
          <w:lang w:val="en-CA"/>
        </w:rPr>
        <w:t>ted in the</w:t>
      </w:r>
      <w:r w:rsidR="0088389C" w:rsidRPr="005545AF">
        <w:rPr>
          <w:lang w:val="en-CA"/>
        </w:rPr>
        <w:t xml:space="preserve"> debate </w:t>
      </w:r>
      <w:r w:rsidR="00E757C9" w:rsidRPr="005545AF">
        <w:rPr>
          <w:lang w:val="en-CA"/>
        </w:rPr>
        <w:t>at the committee stage</w:t>
      </w:r>
      <w:r w:rsidR="002802DA" w:rsidRPr="005545AF">
        <w:rPr>
          <w:lang w:val="en-CA"/>
        </w:rPr>
        <w:t xml:space="preserve">: </w:t>
      </w:r>
    </w:p>
    <w:p w14:paraId="02CAED32" w14:textId="77777777" w:rsidR="002802DA" w:rsidRPr="005545AF" w:rsidRDefault="002802DA" w:rsidP="001F7377">
      <w:pPr>
        <w:pStyle w:val="Citationenretrait"/>
        <w:spacing w:line="240" w:lineRule="auto"/>
      </w:pPr>
      <w:r w:rsidRPr="005545AF">
        <w:t xml:space="preserve">Le prestataire est responsable dans la mesure où il prend connaissance que des documents qu'il conserve sous sa gouverne [sont à caractère illicite]. </w:t>
      </w:r>
    </w:p>
    <w:p w14:paraId="3DFA5A4D" w14:textId="77777777" w:rsidR="002802DA" w:rsidRPr="005545AF" w:rsidRDefault="002802DA" w:rsidP="001F7377">
      <w:pPr>
        <w:pStyle w:val="Citationenretrait"/>
        <w:spacing w:line="240" w:lineRule="auto"/>
      </w:pPr>
      <w:r w:rsidRPr="005545AF">
        <w:t>[…]</w:t>
      </w:r>
    </w:p>
    <w:p w14:paraId="48670C39" w14:textId="77777777" w:rsidR="002802DA" w:rsidRPr="005545AF" w:rsidRDefault="002802DA" w:rsidP="001F7377">
      <w:pPr>
        <w:pStyle w:val="Citationenretrait"/>
        <w:spacing w:line="240" w:lineRule="auto"/>
      </w:pPr>
      <w:r w:rsidRPr="005545AF">
        <w:t xml:space="preserve">On est dans des activités illicites, là. Je pense que c'est un usage usuel. Évidemment, au fil des années, la jurisprudence va se développer de plus en plus, parce que ce sont des nouveaux modes, souvent, de communication. Mais, par exemple, </w:t>
      </w:r>
      <w:r w:rsidRPr="005545AF">
        <w:rPr>
          <w:u w:val="single"/>
        </w:rPr>
        <w:t>atteinte à la réputation, droit à l'image</w:t>
      </w:r>
      <w:r w:rsidRPr="005545AF">
        <w:t>, ce sont des choses qui sont [convenues].</w:t>
      </w:r>
      <w:r w:rsidRPr="005545AF">
        <w:rPr>
          <w:rStyle w:val="Appelnotedebasdep"/>
          <w:lang w:val="en-CA"/>
        </w:rPr>
        <w:footnoteReference w:id="54"/>
      </w:r>
    </w:p>
    <w:p w14:paraId="344CC5CB" w14:textId="23659B8C" w:rsidR="002802DA" w:rsidRPr="005545AF" w:rsidRDefault="002802DA" w:rsidP="001F7377">
      <w:pPr>
        <w:pStyle w:val="Citationenretrait"/>
        <w:spacing w:line="240" w:lineRule="auto"/>
        <w:jc w:val="right"/>
        <w:rPr>
          <w:lang w:val="en-CA"/>
        </w:rPr>
      </w:pPr>
      <w:r w:rsidRPr="005545AF">
        <w:rPr>
          <w:lang w:val="en-CA"/>
        </w:rPr>
        <w:t>[</w:t>
      </w:r>
      <w:r w:rsidR="0088389C" w:rsidRPr="005545AF">
        <w:rPr>
          <w:lang w:val="en-CA"/>
        </w:rPr>
        <w:t>Emphasis added</w:t>
      </w:r>
      <w:r w:rsidRPr="005545AF">
        <w:rPr>
          <w:lang w:val="en-CA"/>
        </w:rPr>
        <w:t>]</w:t>
      </w:r>
    </w:p>
    <w:p w14:paraId="004CC37C" w14:textId="7CB33AE8" w:rsidR="002802DA" w:rsidRPr="005545AF" w:rsidRDefault="001E4998" w:rsidP="001F7377">
      <w:pPr>
        <w:pStyle w:val="Paragraphe"/>
        <w:spacing w:line="240" w:lineRule="auto"/>
        <w:rPr>
          <w:lang w:val="en-CA"/>
        </w:rPr>
      </w:pPr>
      <w:r w:rsidRPr="005545AF">
        <w:rPr>
          <w:lang w:val="en-CA"/>
        </w:rPr>
        <w:t>Th</w:t>
      </w:r>
      <w:r w:rsidR="00800ED0" w:rsidRPr="005545AF">
        <w:rPr>
          <w:lang w:val="en-CA"/>
        </w:rPr>
        <w:t>e</w:t>
      </w:r>
      <w:r w:rsidRPr="005545AF">
        <w:rPr>
          <w:lang w:val="en-CA"/>
        </w:rPr>
        <w:t xml:space="preserve"> conditions </w:t>
      </w:r>
      <w:r w:rsidR="00800ED0" w:rsidRPr="005545AF">
        <w:rPr>
          <w:lang w:val="en-CA"/>
        </w:rPr>
        <w:t xml:space="preserve">being therefore in place </w:t>
      </w:r>
      <w:r w:rsidR="00945A81" w:rsidRPr="005545AF">
        <w:rPr>
          <w:lang w:val="en-CA"/>
        </w:rPr>
        <w:t>to trigger</w:t>
      </w:r>
      <w:r w:rsidRPr="005545AF">
        <w:rPr>
          <w:lang w:val="en-CA"/>
        </w:rPr>
        <w:t xml:space="preserve"> the duty to act provided in section 22 </w:t>
      </w:r>
      <w:r w:rsidRPr="005545AF">
        <w:rPr>
          <w:i/>
          <w:iCs/>
          <w:lang w:val="en-CA"/>
        </w:rPr>
        <w:t>IT Fram</w:t>
      </w:r>
      <w:r w:rsidR="00800ED0" w:rsidRPr="005545AF">
        <w:rPr>
          <w:i/>
          <w:iCs/>
          <w:lang w:val="en-CA"/>
        </w:rPr>
        <w:t>e</w:t>
      </w:r>
      <w:r w:rsidRPr="005545AF">
        <w:rPr>
          <w:i/>
          <w:iCs/>
          <w:lang w:val="en-CA"/>
        </w:rPr>
        <w:t>work Act</w:t>
      </w:r>
      <w:r w:rsidR="002802DA" w:rsidRPr="005545AF">
        <w:rPr>
          <w:lang w:val="en-CA"/>
        </w:rPr>
        <w:t xml:space="preserve">, </w:t>
      </w:r>
      <w:r w:rsidR="00582618" w:rsidRPr="005545AF">
        <w:rPr>
          <w:lang w:val="en-CA"/>
        </w:rPr>
        <w:t>it remains to determine what this duty require</w:t>
      </w:r>
      <w:r w:rsidR="00800ED0" w:rsidRPr="005545AF">
        <w:rPr>
          <w:lang w:val="en-CA"/>
        </w:rPr>
        <w:t>d</w:t>
      </w:r>
      <w:r w:rsidR="00582618" w:rsidRPr="005545AF">
        <w:rPr>
          <w:lang w:val="en-CA"/>
        </w:rPr>
        <w:t xml:space="preserve"> of Google to avoid incurring responsibility</w:t>
      </w:r>
      <w:r w:rsidR="002802DA" w:rsidRPr="005545AF">
        <w:rPr>
          <w:lang w:val="en-CA"/>
        </w:rPr>
        <w:t xml:space="preserve">. </w:t>
      </w:r>
      <w:r w:rsidR="00582618" w:rsidRPr="005545AF">
        <w:rPr>
          <w:lang w:val="en-CA"/>
        </w:rPr>
        <w:t>On this point</w:t>
      </w:r>
      <w:r w:rsidR="002802DA" w:rsidRPr="005545AF">
        <w:rPr>
          <w:lang w:val="en-CA"/>
        </w:rPr>
        <w:t xml:space="preserve">, Google </w:t>
      </w:r>
      <w:r w:rsidR="00582618" w:rsidRPr="005545AF">
        <w:rPr>
          <w:lang w:val="en-CA"/>
        </w:rPr>
        <w:t>argues that section</w:t>
      </w:r>
      <w:r w:rsidR="002802DA" w:rsidRPr="005545AF">
        <w:rPr>
          <w:lang w:val="en-CA"/>
        </w:rPr>
        <w:t xml:space="preserve"> 22 </w:t>
      </w:r>
      <w:r w:rsidR="00582618" w:rsidRPr="005545AF">
        <w:rPr>
          <w:i/>
          <w:iCs/>
          <w:lang w:val="en-CA"/>
        </w:rPr>
        <w:t>IT Fram</w:t>
      </w:r>
      <w:r w:rsidR="00945A81" w:rsidRPr="005545AF">
        <w:rPr>
          <w:i/>
          <w:iCs/>
          <w:lang w:val="en-CA"/>
        </w:rPr>
        <w:t>e</w:t>
      </w:r>
      <w:r w:rsidR="00582618" w:rsidRPr="005545AF">
        <w:rPr>
          <w:i/>
          <w:iCs/>
          <w:lang w:val="en-CA"/>
        </w:rPr>
        <w:t>work Act</w:t>
      </w:r>
      <w:r w:rsidR="002802DA" w:rsidRPr="005545AF">
        <w:rPr>
          <w:lang w:val="en-CA"/>
        </w:rPr>
        <w:t xml:space="preserve"> </w:t>
      </w:r>
      <w:r w:rsidR="00582618" w:rsidRPr="005545AF">
        <w:rPr>
          <w:lang w:val="en-CA"/>
        </w:rPr>
        <w:t xml:space="preserve">does not provide that an intermediary must proceed to de-index </w:t>
      </w:r>
      <w:r w:rsidRPr="005545AF">
        <w:rPr>
          <w:lang w:val="en-CA"/>
        </w:rPr>
        <w:t>a</w:t>
      </w:r>
      <w:r w:rsidR="00582618" w:rsidRPr="005545AF">
        <w:rPr>
          <w:lang w:val="en-CA"/>
        </w:rPr>
        <w:t xml:space="preserve"> link, </w:t>
      </w:r>
      <w:r w:rsidRPr="005545AF">
        <w:rPr>
          <w:lang w:val="en-CA"/>
        </w:rPr>
        <w:t xml:space="preserve">especially </w:t>
      </w:r>
      <w:r w:rsidR="00800ED0" w:rsidRPr="005545AF">
        <w:rPr>
          <w:lang w:val="en-CA"/>
        </w:rPr>
        <w:t>when it is</w:t>
      </w:r>
      <w:r w:rsidR="00582618" w:rsidRPr="005545AF">
        <w:rPr>
          <w:lang w:val="en-CA"/>
        </w:rPr>
        <w:t xml:space="preserve"> “bare”, since it does not in and of itself constitute defamation</w:t>
      </w:r>
      <w:r w:rsidR="002802DA" w:rsidRPr="005545AF">
        <w:rPr>
          <w:lang w:val="en-CA"/>
        </w:rPr>
        <w:t xml:space="preserve"> </w:t>
      </w:r>
      <w:r w:rsidRPr="005545AF">
        <w:rPr>
          <w:lang w:val="en-CA"/>
        </w:rPr>
        <w:t>under</w:t>
      </w:r>
      <w:r w:rsidR="002802DA" w:rsidRPr="005545AF">
        <w:rPr>
          <w:lang w:val="en-CA"/>
        </w:rPr>
        <w:t xml:space="preserve"> </w:t>
      </w:r>
      <w:r w:rsidR="002802DA" w:rsidRPr="005545AF">
        <w:rPr>
          <w:i/>
          <w:iCs/>
          <w:lang w:val="en-CA"/>
        </w:rPr>
        <w:t>Crookes</w:t>
      </w:r>
      <w:r w:rsidR="002802DA" w:rsidRPr="005545AF">
        <w:rPr>
          <w:lang w:val="en-CA"/>
        </w:rPr>
        <w:t>.</w:t>
      </w:r>
    </w:p>
    <w:p w14:paraId="1BF40B25" w14:textId="0EA817D6" w:rsidR="002802DA" w:rsidRPr="005545AF" w:rsidRDefault="001E4998" w:rsidP="001F7377">
      <w:pPr>
        <w:pStyle w:val="Paragraphe"/>
        <w:spacing w:line="240" w:lineRule="auto"/>
        <w:rPr>
          <w:lang w:val="en-CA"/>
        </w:rPr>
      </w:pPr>
      <w:r w:rsidRPr="005545AF">
        <w:rPr>
          <w:lang w:val="en-CA"/>
        </w:rPr>
        <w:t xml:space="preserve">It is true that the </w:t>
      </w:r>
      <w:r w:rsidR="003C00F8" w:rsidRPr="005545AF">
        <w:rPr>
          <w:lang w:val="en-CA"/>
        </w:rPr>
        <w:t>terms</w:t>
      </w:r>
      <w:r w:rsidR="002802DA" w:rsidRPr="005545AF">
        <w:rPr>
          <w:lang w:val="en-CA"/>
        </w:rPr>
        <w:t xml:space="preserve"> </w:t>
      </w:r>
      <w:r w:rsidRPr="005545AF">
        <w:rPr>
          <w:lang w:val="en-CA"/>
        </w:rPr>
        <w:t xml:space="preserve">“if </w:t>
      </w:r>
      <w:r w:rsidR="002802DA" w:rsidRPr="005545AF">
        <w:rPr>
          <w:lang w:val="en-CA"/>
        </w:rPr>
        <w:t>[…]</w:t>
      </w:r>
      <w:r w:rsidRPr="005545AF">
        <w:rPr>
          <w:lang w:val="en-CA"/>
        </w:rPr>
        <w:t xml:space="preserve"> the service provider does not act promptly to cease providing services to the persons known by the service provider to be engaging in such an activity”</w:t>
      </w:r>
      <w:r w:rsidR="002802DA" w:rsidRPr="005545AF">
        <w:rPr>
          <w:rStyle w:val="Appelnotedebasdep"/>
          <w:lang w:val="en-CA"/>
        </w:rPr>
        <w:footnoteReference w:id="55"/>
      </w:r>
      <w:r w:rsidR="002802DA" w:rsidRPr="005545AF">
        <w:rPr>
          <w:lang w:val="en-CA"/>
        </w:rPr>
        <w:t xml:space="preserve"> </w:t>
      </w:r>
      <w:r w:rsidR="003C00F8" w:rsidRPr="005545AF">
        <w:rPr>
          <w:lang w:val="en-CA"/>
        </w:rPr>
        <w:t>leave something to be desired in terms of clarity</w:t>
      </w:r>
      <w:r w:rsidR="002802DA" w:rsidRPr="005545AF">
        <w:rPr>
          <w:lang w:val="en-CA"/>
        </w:rPr>
        <w:t xml:space="preserve">. </w:t>
      </w:r>
      <w:r w:rsidR="003C00F8" w:rsidRPr="005545AF">
        <w:rPr>
          <w:lang w:val="en-CA"/>
        </w:rPr>
        <w:t>In a very interesting article,</w:t>
      </w:r>
      <w:r w:rsidR="002802DA" w:rsidRPr="005545AF">
        <w:rPr>
          <w:rStyle w:val="Appelnotedebasdep"/>
          <w:lang w:val="en-CA"/>
        </w:rPr>
        <w:footnoteReference w:id="56"/>
      </w:r>
      <w:r w:rsidR="003C00F8" w:rsidRPr="005545AF">
        <w:rPr>
          <w:lang w:val="en-CA"/>
        </w:rPr>
        <w:t xml:space="preserve"> written a few years </w:t>
      </w:r>
      <w:r w:rsidR="00567C54" w:rsidRPr="005545AF">
        <w:rPr>
          <w:lang w:val="en-CA"/>
        </w:rPr>
        <w:t>following</w:t>
      </w:r>
      <w:r w:rsidR="003C00F8" w:rsidRPr="005545AF">
        <w:rPr>
          <w:lang w:val="en-CA"/>
        </w:rPr>
        <w:t xml:space="preserve"> the enactment of the </w:t>
      </w:r>
      <w:r w:rsidR="003C00F8" w:rsidRPr="005545AF">
        <w:rPr>
          <w:i/>
          <w:iCs/>
          <w:lang w:val="en-CA"/>
        </w:rPr>
        <w:t>IT Framework Act</w:t>
      </w:r>
      <w:r w:rsidR="002802DA" w:rsidRPr="005545AF">
        <w:rPr>
          <w:lang w:val="en-CA"/>
        </w:rPr>
        <w:t xml:space="preserve">, </w:t>
      </w:r>
      <w:r w:rsidR="003C00F8" w:rsidRPr="005545AF">
        <w:rPr>
          <w:lang w:val="en-CA"/>
        </w:rPr>
        <w:t>professor</w:t>
      </w:r>
      <w:r w:rsidR="002802DA" w:rsidRPr="005545AF">
        <w:rPr>
          <w:lang w:val="en-CA"/>
        </w:rPr>
        <w:t xml:space="preserve"> Vermeys </w:t>
      </w:r>
      <w:r w:rsidR="008E66F2" w:rsidRPr="005545AF">
        <w:rPr>
          <w:lang w:val="en-CA"/>
        </w:rPr>
        <w:t>noted</w:t>
      </w:r>
      <w:r w:rsidR="003C00F8" w:rsidRPr="005545AF">
        <w:rPr>
          <w:lang w:val="en-CA"/>
        </w:rPr>
        <w:t xml:space="preserve"> several ambiguities </w:t>
      </w:r>
      <w:r w:rsidR="008E66F2" w:rsidRPr="005545AF">
        <w:rPr>
          <w:lang w:val="en-CA"/>
        </w:rPr>
        <w:t>arising from</w:t>
      </w:r>
      <w:r w:rsidR="003C00F8" w:rsidRPr="005545AF">
        <w:rPr>
          <w:lang w:val="en-CA"/>
        </w:rPr>
        <w:t xml:space="preserve"> that </w:t>
      </w:r>
      <w:r w:rsidR="008E66F2" w:rsidRPr="005545AF">
        <w:rPr>
          <w:lang w:val="en-CA"/>
        </w:rPr>
        <w:t>wording</w:t>
      </w:r>
      <w:r w:rsidR="00126FE2" w:rsidRPr="005545AF">
        <w:rPr>
          <w:lang w:val="en-CA"/>
        </w:rPr>
        <w:t>.</w:t>
      </w:r>
      <w:r w:rsidR="003C00F8" w:rsidRPr="005545AF">
        <w:rPr>
          <w:lang w:val="en-CA"/>
        </w:rPr>
        <w:t xml:space="preserve"> </w:t>
      </w:r>
      <w:r w:rsidR="00126FE2" w:rsidRPr="005545AF">
        <w:rPr>
          <w:lang w:val="en-CA"/>
        </w:rPr>
        <w:t>For instance,</w:t>
      </w:r>
      <w:r w:rsidR="003C00F8" w:rsidRPr="005545AF">
        <w:rPr>
          <w:lang w:val="en-CA"/>
        </w:rPr>
        <w:t xml:space="preserve"> </w:t>
      </w:r>
      <w:r w:rsidR="00126FE2" w:rsidRPr="005545AF">
        <w:rPr>
          <w:lang w:val="en-CA"/>
        </w:rPr>
        <w:t>w</w:t>
      </w:r>
      <w:r w:rsidR="003C00F8" w:rsidRPr="005545AF">
        <w:rPr>
          <w:lang w:val="en-CA"/>
        </w:rPr>
        <w:t>ho are the persons engaged in the activity</w:t>
      </w:r>
      <w:r w:rsidR="002802DA" w:rsidRPr="005545AF">
        <w:rPr>
          <w:lang w:val="en-CA"/>
        </w:rPr>
        <w:t xml:space="preserve"> – </w:t>
      </w:r>
      <w:r w:rsidR="003C00F8" w:rsidRPr="005545AF">
        <w:rPr>
          <w:lang w:val="en-CA"/>
        </w:rPr>
        <w:t>the content</w:t>
      </w:r>
      <w:r w:rsidR="00945A81" w:rsidRPr="005545AF">
        <w:rPr>
          <w:lang w:val="en-CA"/>
        </w:rPr>
        <w:t>’s</w:t>
      </w:r>
      <w:r w:rsidR="003C00F8" w:rsidRPr="005545AF">
        <w:rPr>
          <w:lang w:val="en-CA"/>
        </w:rPr>
        <w:t xml:space="preserve"> creator or the Internet user </w:t>
      </w:r>
      <w:r w:rsidR="00945A81" w:rsidRPr="005545AF">
        <w:rPr>
          <w:lang w:val="en-CA"/>
        </w:rPr>
        <w:t>who makes</w:t>
      </w:r>
      <w:r w:rsidR="003C00F8" w:rsidRPr="005545AF">
        <w:rPr>
          <w:lang w:val="en-CA"/>
        </w:rPr>
        <w:t xml:space="preserve"> the search</w:t>
      </w:r>
      <w:r w:rsidR="00945A81" w:rsidRPr="005545AF">
        <w:rPr>
          <w:lang w:val="en-CA"/>
        </w:rPr>
        <w:t xml:space="preserve"> query</w:t>
      </w:r>
      <w:r w:rsidR="008E66F2" w:rsidRPr="005545AF">
        <w:rPr>
          <w:lang w:val="en-CA"/>
        </w:rPr>
        <w:t>?</w:t>
      </w:r>
      <w:r w:rsidR="002802DA" w:rsidRPr="005545AF">
        <w:rPr>
          <w:lang w:val="en-CA"/>
        </w:rPr>
        <w:t xml:space="preserve"> </w:t>
      </w:r>
      <w:r w:rsidR="003557A7" w:rsidRPr="005545AF">
        <w:rPr>
          <w:lang w:val="en-CA"/>
        </w:rPr>
        <w:t>Or,</w:t>
      </w:r>
      <w:r w:rsidR="00567C54" w:rsidRPr="005545AF">
        <w:rPr>
          <w:lang w:val="en-CA"/>
        </w:rPr>
        <w:t xml:space="preserve"> w</w:t>
      </w:r>
      <w:r w:rsidR="003C00F8" w:rsidRPr="005545AF">
        <w:rPr>
          <w:lang w:val="en-CA"/>
        </w:rPr>
        <w:t xml:space="preserve">hat </w:t>
      </w:r>
      <w:r w:rsidR="00126FE2" w:rsidRPr="005545AF">
        <w:rPr>
          <w:lang w:val="en-CA"/>
        </w:rPr>
        <w:t>does</w:t>
      </w:r>
      <w:r w:rsidR="003C00F8" w:rsidRPr="005545AF">
        <w:rPr>
          <w:lang w:val="en-CA"/>
        </w:rPr>
        <w:t xml:space="preserve"> </w:t>
      </w:r>
      <w:r w:rsidR="00126FE2" w:rsidRPr="005545AF">
        <w:rPr>
          <w:lang w:val="en-CA"/>
        </w:rPr>
        <w:t>ceasing to provide</w:t>
      </w:r>
      <w:r w:rsidR="003C00F8" w:rsidRPr="005545AF">
        <w:rPr>
          <w:lang w:val="en-CA"/>
        </w:rPr>
        <w:t xml:space="preserve"> services</w:t>
      </w:r>
      <w:r w:rsidR="00126FE2" w:rsidRPr="005545AF">
        <w:rPr>
          <w:lang w:val="en-CA"/>
        </w:rPr>
        <w:t xml:space="preserve"> extend to</w:t>
      </w:r>
      <w:r w:rsidR="002802DA" w:rsidRPr="005545AF">
        <w:rPr>
          <w:lang w:val="en-CA"/>
        </w:rPr>
        <w:t xml:space="preserve"> – </w:t>
      </w:r>
      <w:r w:rsidR="003C00F8" w:rsidRPr="005545AF">
        <w:rPr>
          <w:lang w:val="en-CA"/>
        </w:rPr>
        <w:t>the de-indexing of the whole site or of the specific URL link</w:t>
      </w:r>
      <w:r w:rsidR="008E66F2" w:rsidRPr="005545AF">
        <w:rPr>
          <w:lang w:val="en-CA"/>
        </w:rPr>
        <w:t>?</w:t>
      </w:r>
      <w:r w:rsidR="00B26F98" w:rsidRPr="005545AF">
        <w:rPr>
          <w:lang w:val="en-CA"/>
        </w:rPr>
        <w:t xml:space="preserve"> Here again, the solution can vary according to circumstances, but it seems to me that in this case, the appropriate remedy would be </w:t>
      </w:r>
      <w:r w:rsidR="0031069A" w:rsidRPr="005545AF">
        <w:rPr>
          <w:lang w:val="en-CA"/>
        </w:rPr>
        <w:t>the</w:t>
      </w:r>
      <w:r w:rsidR="00B26F98" w:rsidRPr="005545AF">
        <w:rPr>
          <w:lang w:val="en-CA"/>
        </w:rPr>
        <w:t xml:space="preserve"> de-indexing of the link leading to the </w:t>
      </w:r>
      <w:r w:rsidR="004A5D7E" w:rsidRPr="005545AF">
        <w:rPr>
          <w:lang w:val="en-CA"/>
        </w:rPr>
        <w:t>Impugned Post</w:t>
      </w:r>
      <w:r w:rsidR="00B26F98" w:rsidRPr="005545AF">
        <w:rPr>
          <w:lang w:val="en-CA"/>
        </w:rPr>
        <w:t xml:space="preserve"> so that the search engine will no longer provide the hypertext link allowing it to be accessed.</w:t>
      </w:r>
      <w:r w:rsidR="002802DA" w:rsidRPr="005545AF">
        <w:rPr>
          <w:rStyle w:val="Appelnotedebasdep"/>
          <w:lang w:val="en-CA"/>
        </w:rPr>
        <w:footnoteReference w:id="57"/>
      </w:r>
      <w:r w:rsidR="00B26F98" w:rsidRPr="005545AF">
        <w:rPr>
          <w:lang w:val="en-CA"/>
        </w:rPr>
        <w:t xml:space="preserve"> </w:t>
      </w:r>
      <w:r w:rsidR="002802DA" w:rsidRPr="005545AF">
        <w:rPr>
          <w:lang w:val="en-CA"/>
        </w:rPr>
        <w:t xml:space="preserve"> </w:t>
      </w:r>
      <w:r w:rsidR="00B26F98" w:rsidRPr="005545AF">
        <w:rPr>
          <w:lang w:val="en-CA"/>
        </w:rPr>
        <w:t xml:space="preserve">I would add that this solution </w:t>
      </w:r>
      <w:r w:rsidR="0031069A" w:rsidRPr="005545AF">
        <w:rPr>
          <w:lang w:val="en-CA"/>
        </w:rPr>
        <w:lastRenderedPageBreak/>
        <w:t xml:space="preserve">is </w:t>
      </w:r>
      <w:r w:rsidR="00B26F98" w:rsidRPr="005545AF">
        <w:rPr>
          <w:lang w:val="en-CA"/>
        </w:rPr>
        <w:t>further echoed in recent section</w:t>
      </w:r>
      <w:r w:rsidR="002802DA" w:rsidRPr="005545AF">
        <w:rPr>
          <w:lang w:val="en-CA"/>
        </w:rPr>
        <w:t xml:space="preserve"> 28.1 </w:t>
      </w:r>
      <w:r w:rsidR="00B26F98" w:rsidRPr="005545AF">
        <w:rPr>
          <w:lang w:val="en-CA"/>
        </w:rPr>
        <w:t>of an</w:t>
      </w:r>
      <w:r w:rsidR="002802DA" w:rsidRPr="005545AF">
        <w:rPr>
          <w:lang w:val="en-CA"/>
        </w:rPr>
        <w:t xml:space="preserve"> </w:t>
      </w:r>
      <w:r w:rsidR="00B26F98" w:rsidRPr="005545AF">
        <w:rPr>
          <w:i/>
          <w:iCs/>
          <w:lang w:val="en-CA"/>
        </w:rPr>
        <w:t>Act respecting the protection of personal information in the private sector</w:t>
      </w:r>
      <w:r w:rsidR="00B26F98" w:rsidRPr="005545AF">
        <w:rPr>
          <w:lang w:val="en-CA"/>
        </w:rPr>
        <w:t>.</w:t>
      </w:r>
      <w:r w:rsidR="00B26F98" w:rsidRPr="005545AF">
        <w:rPr>
          <w:rStyle w:val="Appelnotedebasdep"/>
          <w:i/>
          <w:iCs/>
          <w:vertAlign w:val="baseline"/>
          <w:lang w:val="en-CA"/>
        </w:rPr>
        <w:t xml:space="preserve"> </w:t>
      </w:r>
      <w:r w:rsidR="002802DA" w:rsidRPr="005545AF">
        <w:rPr>
          <w:rStyle w:val="Appelnotedebasdep"/>
          <w:lang w:val="en-CA"/>
        </w:rPr>
        <w:footnoteReference w:id="58"/>
      </w:r>
    </w:p>
    <w:p w14:paraId="7C5C4C87" w14:textId="6E87228B" w:rsidR="002802DA" w:rsidRPr="005545AF" w:rsidRDefault="00102E6F" w:rsidP="001F7377">
      <w:pPr>
        <w:pStyle w:val="Paragraphe"/>
        <w:spacing w:line="240" w:lineRule="auto"/>
        <w:rPr>
          <w:lang w:val="en-CA"/>
        </w:rPr>
      </w:pPr>
      <w:r w:rsidRPr="005545AF">
        <w:rPr>
          <w:lang w:val="en-CA"/>
        </w:rPr>
        <w:t xml:space="preserve">As to the </w:t>
      </w:r>
      <w:r w:rsidR="003557A7" w:rsidRPr="005545AF">
        <w:rPr>
          <w:lang w:val="en-CA"/>
        </w:rPr>
        <w:t>argument</w:t>
      </w:r>
      <w:r w:rsidRPr="005545AF">
        <w:rPr>
          <w:lang w:val="en-CA"/>
        </w:rPr>
        <w:t xml:space="preserve"> </w:t>
      </w:r>
      <w:r w:rsidR="003557A7" w:rsidRPr="005545AF">
        <w:rPr>
          <w:lang w:val="en-CA"/>
        </w:rPr>
        <w:t>resting</w:t>
      </w:r>
      <w:r w:rsidRPr="005545AF">
        <w:rPr>
          <w:lang w:val="en-CA"/>
        </w:rPr>
        <w:t xml:space="preserve"> on the fact that section</w:t>
      </w:r>
      <w:r w:rsidR="002802DA" w:rsidRPr="005545AF">
        <w:rPr>
          <w:lang w:val="en-CA"/>
        </w:rPr>
        <w:t xml:space="preserve"> 22 </w:t>
      </w:r>
      <w:r w:rsidRPr="005545AF">
        <w:rPr>
          <w:i/>
          <w:iCs/>
          <w:lang w:val="en-CA"/>
        </w:rPr>
        <w:t xml:space="preserve">IT Framework Act </w:t>
      </w:r>
      <w:r w:rsidRPr="005545AF">
        <w:rPr>
          <w:lang w:val="en-CA"/>
        </w:rPr>
        <w:t>cannot capture a bare</w:t>
      </w:r>
      <w:r w:rsidR="002802DA" w:rsidRPr="005545AF">
        <w:rPr>
          <w:lang w:val="en-CA"/>
        </w:rPr>
        <w:t xml:space="preserve"> URL </w:t>
      </w:r>
      <w:r w:rsidRPr="005545AF">
        <w:rPr>
          <w:lang w:val="en-CA"/>
        </w:rPr>
        <w:t>link because the latter is not in and of itself defamatory</w:t>
      </w:r>
      <w:r w:rsidR="002802DA" w:rsidRPr="005545AF">
        <w:rPr>
          <w:lang w:val="en-CA"/>
        </w:rPr>
        <w:t xml:space="preserve">, </w:t>
      </w:r>
      <w:r w:rsidR="003557A7" w:rsidRPr="005545AF">
        <w:rPr>
          <w:lang w:val="en-CA"/>
        </w:rPr>
        <w:t>this</w:t>
      </w:r>
      <w:r w:rsidRPr="005545AF">
        <w:rPr>
          <w:lang w:val="en-CA"/>
        </w:rPr>
        <w:t xml:space="preserve"> amounts to </w:t>
      </w:r>
      <w:r w:rsidR="003557A7" w:rsidRPr="005545AF">
        <w:rPr>
          <w:lang w:val="en-CA"/>
        </w:rPr>
        <w:t>re</w:t>
      </w:r>
      <w:r w:rsidRPr="005545AF">
        <w:rPr>
          <w:lang w:val="en-CA"/>
        </w:rPr>
        <w:t xml:space="preserve">arguing the general common law principle established in </w:t>
      </w:r>
      <w:r w:rsidR="002802DA" w:rsidRPr="005545AF">
        <w:rPr>
          <w:i/>
          <w:iCs/>
          <w:lang w:val="en-CA"/>
        </w:rPr>
        <w:t>Crookes</w:t>
      </w:r>
      <w:r w:rsidR="003557A7" w:rsidRPr="005545AF">
        <w:rPr>
          <w:i/>
          <w:iCs/>
          <w:lang w:val="en-CA"/>
        </w:rPr>
        <w:t xml:space="preserve"> </w:t>
      </w:r>
      <w:r w:rsidR="003557A7" w:rsidRPr="005545AF">
        <w:rPr>
          <w:lang w:val="en-CA"/>
        </w:rPr>
        <w:t xml:space="preserve">for the content creator. </w:t>
      </w:r>
      <w:r w:rsidRPr="005545AF">
        <w:rPr>
          <w:lang w:val="en-CA"/>
        </w:rPr>
        <w:t xml:space="preserve">As we have seen, however, that principle cannot be directly applied in Quebec law and the analysis must </w:t>
      </w:r>
      <w:r w:rsidR="003557A7" w:rsidRPr="005545AF">
        <w:rPr>
          <w:lang w:val="en-CA"/>
        </w:rPr>
        <w:t>be based upon</w:t>
      </w:r>
      <w:r w:rsidRPr="005545AF">
        <w:rPr>
          <w:lang w:val="en-CA"/>
        </w:rPr>
        <w:t xml:space="preserve"> the concept of fault</w:t>
      </w:r>
      <w:r w:rsidR="002802DA" w:rsidRPr="005545AF">
        <w:rPr>
          <w:lang w:val="en-CA"/>
        </w:rPr>
        <w:t xml:space="preserve">. </w:t>
      </w:r>
      <w:r w:rsidRPr="005545AF">
        <w:rPr>
          <w:lang w:val="en-CA"/>
        </w:rPr>
        <w:t>But there is more</w:t>
      </w:r>
      <w:r w:rsidR="002802DA" w:rsidRPr="005545AF">
        <w:rPr>
          <w:lang w:val="en-CA"/>
        </w:rPr>
        <w:t>.</w:t>
      </w:r>
    </w:p>
    <w:p w14:paraId="7BF0C735" w14:textId="7EE65F40" w:rsidR="002802DA" w:rsidRPr="005545AF" w:rsidRDefault="00EE1D0F" w:rsidP="001F7377">
      <w:pPr>
        <w:pStyle w:val="Paragraphe"/>
        <w:spacing w:line="240" w:lineRule="auto"/>
        <w:rPr>
          <w:lang w:val="en-CA"/>
        </w:rPr>
      </w:pPr>
      <w:r w:rsidRPr="005545AF">
        <w:rPr>
          <w:lang w:val="en-CA"/>
        </w:rPr>
        <w:t xml:space="preserve">The issue in this case is not whether the transmission of a bare URL link is, upstream and </w:t>
      </w:r>
      <w:r w:rsidR="00CD3D14" w:rsidRPr="005545AF">
        <w:rPr>
          <w:lang w:val="en-CA"/>
        </w:rPr>
        <w:t>irrespective of</w:t>
      </w:r>
      <w:r w:rsidRPr="005545AF">
        <w:rPr>
          <w:lang w:val="en-CA"/>
        </w:rPr>
        <w:t xml:space="preserve"> section</w:t>
      </w:r>
      <w:r w:rsidR="002802DA" w:rsidRPr="005545AF">
        <w:rPr>
          <w:lang w:val="en-CA"/>
        </w:rPr>
        <w:t xml:space="preserve"> 22 </w:t>
      </w:r>
      <w:r w:rsidRPr="005545AF">
        <w:rPr>
          <w:i/>
          <w:iCs/>
          <w:lang w:val="en-CA"/>
        </w:rPr>
        <w:t>IT Framework Act</w:t>
      </w:r>
      <w:r w:rsidR="002802DA" w:rsidRPr="005545AF">
        <w:rPr>
          <w:lang w:val="en-CA"/>
        </w:rPr>
        <w:t xml:space="preserve">, </w:t>
      </w:r>
      <w:r w:rsidRPr="005545AF">
        <w:rPr>
          <w:lang w:val="en-CA"/>
        </w:rPr>
        <w:t>a civil fault under article</w:t>
      </w:r>
      <w:r w:rsidR="002802DA" w:rsidRPr="005545AF">
        <w:rPr>
          <w:lang w:val="en-CA"/>
        </w:rPr>
        <w:t xml:space="preserve"> 1457 </w:t>
      </w:r>
      <w:r w:rsidR="002802DA" w:rsidRPr="005545AF">
        <w:rPr>
          <w:i/>
          <w:iCs/>
          <w:lang w:val="en-CA"/>
        </w:rPr>
        <w:t>C.</w:t>
      </w:r>
      <w:r w:rsidRPr="005545AF">
        <w:rPr>
          <w:i/>
          <w:iCs/>
          <w:lang w:val="en-CA"/>
        </w:rPr>
        <w:t>C</w:t>
      </w:r>
      <w:r w:rsidR="002802DA" w:rsidRPr="005545AF">
        <w:rPr>
          <w:i/>
          <w:iCs/>
          <w:lang w:val="en-CA"/>
        </w:rPr>
        <w:t>.Q.</w:t>
      </w:r>
      <w:r w:rsidR="002802DA" w:rsidRPr="005545AF">
        <w:rPr>
          <w:lang w:val="en-CA"/>
        </w:rPr>
        <w:t xml:space="preserve"> </w:t>
      </w:r>
      <w:r w:rsidRPr="005545AF">
        <w:rPr>
          <w:lang w:val="en-CA"/>
        </w:rPr>
        <w:t>The issue is rather to determine whether the mere breach of the standard</w:t>
      </w:r>
      <w:r w:rsidR="002802DA" w:rsidRPr="005545AF">
        <w:rPr>
          <w:lang w:val="en-CA"/>
        </w:rPr>
        <w:t xml:space="preserve"> </w:t>
      </w:r>
      <w:r w:rsidRPr="005545AF">
        <w:rPr>
          <w:lang w:val="en-CA"/>
        </w:rPr>
        <w:t>provided under section</w:t>
      </w:r>
      <w:r w:rsidR="002802DA" w:rsidRPr="005545AF">
        <w:rPr>
          <w:lang w:val="en-CA"/>
        </w:rPr>
        <w:t xml:space="preserve"> 22 </w:t>
      </w:r>
      <w:r w:rsidRPr="005545AF">
        <w:rPr>
          <w:i/>
          <w:iCs/>
          <w:lang w:val="en-CA"/>
        </w:rPr>
        <w:t>IT Framework Act</w:t>
      </w:r>
      <w:r w:rsidRPr="005545AF">
        <w:rPr>
          <w:lang w:val="en-CA"/>
        </w:rPr>
        <w:t>,</w:t>
      </w:r>
      <w:r w:rsidR="002802DA" w:rsidRPr="005545AF">
        <w:rPr>
          <w:lang w:val="en-CA"/>
        </w:rPr>
        <w:t xml:space="preserve">– </w:t>
      </w:r>
      <w:r w:rsidRPr="005545AF">
        <w:rPr>
          <w:lang w:val="en-CA"/>
        </w:rPr>
        <w:t>i.e.,</w:t>
      </w:r>
      <w:r w:rsidRPr="005545AF">
        <w:rPr>
          <w:i/>
          <w:iCs/>
          <w:lang w:val="en-CA"/>
        </w:rPr>
        <w:t xml:space="preserve"> </w:t>
      </w:r>
      <w:r w:rsidR="002802DA" w:rsidRPr="005545AF">
        <w:rPr>
          <w:lang w:val="en-CA"/>
        </w:rPr>
        <w:t>Google</w:t>
      </w:r>
      <w:r w:rsidRPr="005545AF">
        <w:rPr>
          <w:lang w:val="en-CA"/>
        </w:rPr>
        <w:t xml:space="preserve">’s failure </w:t>
      </w:r>
      <w:r w:rsidR="008846DA" w:rsidRPr="005545AF">
        <w:rPr>
          <w:lang w:val="en-CA"/>
        </w:rPr>
        <w:t xml:space="preserve">to </w:t>
      </w:r>
      <w:r w:rsidRPr="005545AF">
        <w:rPr>
          <w:lang w:val="en-CA"/>
        </w:rPr>
        <w:t xml:space="preserve">cease to provide its services to the person engaged on an illicit activity </w:t>
      </w:r>
      <w:r w:rsidR="00CD3D14" w:rsidRPr="005545AF">
        <w:rPr>
          <w:lang w:val="en-CA"/>
        </w:rPr>
        <w:t>by</w:t>
      </w:r>
      <w:r w:rsidRPr="005545AF">
        <w:rPr>
          <w:lang w:val="en-CA"/>
        </w:rPr>
        <w:t xml:space="preserve"> refusing to de-index a URL link leading to defamatory content</w:t>
      </w:r>
      <w:r w:rsidR="002802DA" w:rsidRPr="005545AF">
        <w:rPr>
          <w:lang w:val="en-CA"/>
        </w:rPr>
        <w:t xml:space="preserve"> – </w:t>
      </w:r>
      <w:r w:rsidRPr="005545AF">
        <w:rPr>
          <w:lang w:val="en-CA"/>
        </w:rPr>
        <w:t xml:space="preserve">automatically amounts to a civil fault or whether it should rather be shown that </w:t>
      </w:r>
      <w:r w:rsidR="00A8077B">
        <w:rPr>
          <w:lang w:val="en-CA"/>
        </w:rPr>
        <w:t>the</w:t>
      </w:r>
      <w:r w:rsidRPr="005545AF">
        <w:rPr>
          <w:lang w:val="en-CA"/>
        </w:rPr>
        <w:t xml:space="preserve"> breach of that standard is</w:t>
      </w:r>
      <w:r w:rsidR="00A8077B">
        <w:rPr>
          <w:lang w:val="en-CA"/>
        </w:rPr>
        <w:t>, in this case,</w:t>
      </w:r>
      <w:r w:rsidRPr="005545AF">
        <w:rPr>
          <w:lang w:val="en-CA"/>
        </w:rPr>
        <w:t xml:space="preserve"> wrongful</w:t>
      </w:r>
      <w:r w:rsidR="002802DA" w:rsidRPr="005545AF">
        <w:rPr>
          <w:lang w:val="en-CA"/>
        </w:rPr>
        <w:t xml:space="preserve">. </w:t>
      </w:r>
    </w:p>
    <w:p w14:paraId="5F17394F" w14:textId="7273805D" w:rsidR="002802DA" w:rsidRPr="005545AF" w:rsidRDefault="008846DA" w:rsidP="001F7377">
      <w:pPr>
        <w:pStyle w:val="Paragraphe"/>
        <w:spacing w:line="240" w:lineRule="auto"/>
        <w:rPr>
          <w:lang w:val="en-CA"/>
        </w:rPr>
      </w:pPr>
      <w:r w:rsidRPr="005545AF">
        <w:rPr>
          <w:lang w:val="en-CA"/>
        </w:rPr>
        <w:t xml:space="preserve">This issue of equating a so-called </w:t>
      </w:r>
      <w:r w:rsidR="00621C37" w:rsidRPr="005545AF">
        <w:rPr>
          <w:lang w:val="en-CA"/>
        </w:rPr>
        <w:t>“</w:t>
      </w:r>
      <w:r w:rsidRPr="005545AF">
        <w:rPr>
          <w:lang w:val="en-CA"/>
        </w:rPr>
        <w:t>statutory or regulatory</w:t>
      </w:r>
      <w:r w:rsidR="00621C37" w:rsidRPr="005545AF">
        <w:rPr>
          <w:lang w:val="en-CA"/>
        </w:rPr>
        <w:t>”</w:t>
      </w:r>
      <w:r w:rsidRPr="005545AF">
        <w:rPr>
          <w:lang w:val="en-CA"/>
        </w:rPr>
        <w:t xml:space="preserve"> fault </w:t>
      </w:r>
      <w:r w:rsidR="00345E5A" w:rsidRPr="005545AF">
        <w:rPr>
          <w:lang w:val="en-CA"/>
        </w:rPr>
        <w:t>with</w:t>
      </w:r>
      <w:r w:rsidRPr="005545AF">
        <w:rPr>
          <w:lang w:val="en-CA"/>
        </w:rPr>
        <w:t xml:space="preserve"> a civil fault is not new and has been the subject of case law and academic commentary for many years</w:t>
      </w:r>
      <w:r w:rsidR="002802DA" w:rsidRPr="005545AF">
        <w:rPr>
          <w:lang w:val="en-CA"/>
        </w:rPr>
        <w:t xml:space="preserve">. </w:t>
      </w:r>
      <w:r w:rsidRPr="005545AF">
        <w:rPr>
          <w:lang w:val="en-CA"/>
        </w:rPr>
        <w:t>The Supreme Court</w:t>
      </w:r>
      <w:r w:rsidR="002802DA" w:rsidRPr="005545AF">
        <w:rPr>
          <w:lang w:val="en-CA"/>
        </w:rPr>
        <w:t xml:space="preserve">, </w:t>
      </w:r>
      <w:r w:rsidRPr="005545AF">
        <w:rPr>
          <w:lang w:val="en-CA"/>
        </w:rPr>
        <w:t>in</w:t>
      </w:r>
      <w:r w:rsidR="002802DA" w:rsidRPr="005545AF">
        <w:rPr>
          <w:lang w:val="en-CA"/>
        </w:rPr>
        <w:t xml:space="preserve"> </w:t>
      </w:r>
      <w:r w:rsidR="002802DA" w:rsidRPr="005545AF">
        <w:rPr>
          <w:i/>
          <w:iCs/>
          <w:lang w:val="en-CA"/>
        </w:rPr>
        <w:t xml:space="preserve">Morin </w:t>
      </w:r>
      <w:r w:rsidRPr="005545AF">
        <w:rPr>
          <w:i/>
          <w:iCs/>
          <w:lang w:val="en-CA"/>
        </w:rPr>
        <w:t>v</w:t>
      </w:r>
      <w:r w:rsidR="002802DA" w:rsidRPr="005545AF">
        <w:rPr>
          <w:i/>
          <w:iCs/>
          <w:lang w:val="en-CA"/>
        </w:rPr>
        <w:t>. Blais</w:t>
      </w:r>
      <w:r w:rsidRPr="005545AF">
        <w:rPr>
          <w:lang w:val="en-CA"/>
        </w:rPr>
        <w:t>,</w:t>
      </w:r>
      <w:r w:rsidR="002802DA" w:rsidRPr="005545AF">
        <w:rPr>
          <w:rStyle w:val="Appelnotedebasdep"/>
          <w:lang w:val="en-CA"/>
        </w:rPr>
        <w:footnoteReference w:id="59"/>
      </w:r>
      <w:r w:rsidRPr="005545AF">
        <w:rPr>
          <w:lang w:val="en-CA"/>
        </w:rPr>
        <w:t xml:space="preserve"> held that where a legal duty corresponds to an elementary standard of care</w:t>
      </w:r>
      <w:r w:rsidR="002802DA" w:rsidRPr="005545AF">
        <w:rPr>
          <w:lang w:val="en-CA"/>
        </w:rPr>
        <w:t xml:space="preserve">, </w:t>
      </w:r>
      <w:r w:rsidRPr="005545AF">
        <w:rPr>
          <w:lang w:val="en-CA"/>
        </w:rPr>
        <w:t>a breach thereof constituted a civil fault</w:t>
      </w:r>
      <w:r w:rsidR="002802DA" w:rsidRPr="005545AF">
        <w:rPr>
          <w:lang w:val="en-CA"/>
        </w:rPr>
        <w:t xml:space="preserve">. </w:t>
      </w:r>
      <w:r w:rsidRPr="005545AF">
        <w:rPr>
          <w:lang w:val="en-CA"/>
        </w:rPr>
        <w:t xml:space="preserve">That decision has been </w:t>
      </w:r>
      <w:r w:rsidR="00621C37" w:rsidRPr="005545AF">
        <w:rPr>
          <w:lang w:val="en-CA"/>
        </w:rPr>
        <w:t>interpreted in various way</w:t>
      </w:r>
      <w:r w:rsidRPr="005545AF">
        <w:rPr>
          <w:lang w:val="en-CA"/>
        </w:rPr>
        <w:t>,</w:t>
      </w:r>
      <w:r w:rsidR="002802DA" w:rsidRPr="005545AF">
        <w:rPr>
          <w:rStyle w:val="Appelnotedebasdep"/>
          <w:lang w:val="en-CA"/>
        </w:rPr>
        <w:footnoteReference w:id="60"/>
      </w:r>
      <w:r w:rsidRPr="005545AF">
        <w:rPr>
          <w:lang w:val="en-CA"/>
        </w:rPr>
        <w:t xml:space="preserve"> </w:t>
      </w:r>
      <w:r w:rsidR="003865CA" w:rsidRPr="005545AF">
        <w:rPr>
          <w:lang w:val="en-CA"/>
        </w:rPr>
        <w:t>with some reading into it a direct equation, whereas other</w:t>
      </w:r>
      <w:r w:rsidR="00621C37" w:rsidRPr="005545AF">
        <w:rPr>
          <w:lang w:val="en-CA"/>
        </w:rPr>
        <w:t>s</w:t>
      </w:r>
      <w:r w:rsidR="003865CA" w:rsidRPr="005545AF">
        <w:rPr>
          <w:lang w:val="en-CA"/>
        </w:rPr>
        <w:t xml:space="preserve"> read it rather as a presumption of fault that </w:t>
      </w:r>
      <w:r w:rsidR="00345E5A" w:rsidRPr="005545AF">
        <w:rPr>
          <w:lang w:val="en-CA"/>
        </w:rPr>
        <w:t>c</w:t>
      </w:r>
      <w:r w:rsidR="008D34A3" w:rsidRPr="005545AF">
        <w:rPr>
          <w:lang w:val="en-CA"/>
        </w:rPr>
        <w:t>ould</w:t>
      </w:r>
      <w:r w:rsidR="003865CA" w:rsidRPr="005545AF">
        <w:rPr>
          <w:lang w:val="en-CA"/>
        </w:rPr>
        <w:t xml:space="preserve"> be displaced by proof of diligence</w:t>
      </w:r>
      <w:r w:rsidR="002802DA" w:rsidRPr="005545AF">
        <w:rPr>
          <w:lang w:val="en-CA"/>
        </w:rPr>
        <w:t xml:space="preserve">. </w:t>
      </w:r>
      <w:r w:rsidR="003865CA" w:rsidRPr="005545AF">
        <w:rPr>
          <w:lang w:val="en-CA"/>
        </w:rPr>
        <w:lastRenderedPageBreak/>
        <w:t xml:space="preserve">Then, in </w:t>
      </w:r>
      <w:r w:rsidR="003865CA" w:rsidRPr="005545AF">
        <w:rPr>
          <w:i/>
          <w:iCs/>
          <w:lang w:val="en-CA"/>
        </w:rPr>
        <w:t>St. Lawrence Cement Inc.</w:t>
      </w:r>
      <w:r w:rsidR="002802DA" w:rsidRPr="005545AF">
        <w:rPr>
          <w:i/>
          <w:iCs/>
          <w:lang w:val="en-CA"/>
        </w:rPr>
        <w:t xml:space="preserve"> </w:t>
      </w:r>
      <w:r w:rsidR="003865CA" w:rsidRPr="005545AF">
        <w:rPr>
          <w:i/>
          <w:iCs/>
          <w:lang w:val="en-CA"/>
        </w:rPr>
        <w:t>v</w:t>
      </w:r>
      <w:r w:rsidR="002802DA" w:rsidRPr="005545AF">
        <w:rPr>
          <w:i/>
          <w:iCs/>
          <w:lang w:val="en-CA"/>
        </w:rPr>
        <w:t>. Barrette</w:t>
      </w:r>
      <w:r w:rsidR="003865CA" w:rsidRPr="005545AF">
        <w:rPr>
          <w:i/>
          <w:iCs/>
          <w:lang w:val="en-CA"/>
        </w:rPr>
        <w:t>,</w:t>
      </w:r>
      <w:r w:rsidR="002802DA" w:rsidRPr="005545AF">
        <w:rPr>
          <w:rStyle w:val="Appelnotedebasdep"/>
          <w:lang w:val="en-CA"/>
        </w:rPr>
        <w:footnoteReference w:id="61"/>
      </w:r>
      <w:r w:rsidR="003865CA" w:rsidRPr="005545AF">
        <w:rPr>
          <w:lang w:val="en-CA"/>
        </w:rPr>
        <w:t xml:space="preserve"> the Supreme Court </w:t>
      </w:r>
      <w:r w:rsidR="008D34A3" w:rsidRPr="005545AF">
        <w:rPr>
          <w:lang w:val="en-CA"/>
        </w:rPr>
        <w:t>seems</w:t>
      </w:r>
      <w:r w:rsidR="003865CA" w:rsidRPr="005545AF">
        <w:rPr>
          <w:lang w:val="en-CA"/>
        </w:rPr>
        <w:t xml:space="preserve"> to have decided the issue in favour of this second position, stating that “</w:t>
      </w:r>
      <w:r w:rsidR="002802DA" w:rsidRPr="005545AF">
        <w:rPr>
          <w:lang w:val="en-CA"/>
        </w:rPr>
        <w:t xml:space="preserve"> </w:t>
      </w:r>
      <w:r w:rsidR="003865CA" w:rsidRPr="005545AF">
        <w:rPr>
          <w:lang w:val="en-CA"/>
        </w:rPr>
        <w:t xml:space="preserve">[…] </w:t>
      </w:r>
      <w:r w:rsidR="009B3277" w:rsidRPr="005545AF">
        <w:rPr>
          <w:lang w:val="en-CA"/>
        </w:rPr>
        <w:t>the violation of a legislative standard does not in itself constitute civil fault”</w:t>
      </w:r>
      <w:r w:rsidR="002802DA" w:rsidRPr="005545AF">
        <w:rPr>
          <w:rStyle w:val="Appelnotedebasdep"/>
          <w:lang w:val="en-CA"/>
        </w:rPr>
        <w:footnoteReference w:id="62"/>
      </w:r>
      <w:r w:rsidR="002802DA" w:rsidRPr="005545AF">
        <w:rPr>
          <w:lang w:val="en-CA"/>
        </w:rPr>
        <w:t xml:space="preserve"> </w:t>
      </w:r>
      <w:bookmarkStart w:id="42" w:name="_Ref207548550"/>
      <w:r w:rsidR="009B3277" w:rsidRPr="005545AF">
        <w:rPr>
          <w:lang w:val="en-CA"/>
        </w:rPr>
        <w:t xml:space="preserve">and that the existence of a fault should be determined by considering, </w:t>
      </w:r>
      <w:r w:rsidR="009B3277" w:rsidRPr="005545AF">
        <w:rPr>
          <w:i/>
          <w:iCs/>
          <w:lang w:val="en-CA"/>
        </w:rPr>
        <w:t>inter alia</w:t>
      </w:r>
      <w:r w:rsidR="009B3277" w:rsidRPr="005545AF">
        <w:rPr>
          <w:lang w:val="en-CA"/>
        </w:rPr>
        <w:t>, the legislative standard and the standard of care and diligence.</w:t>
      </w:r>
      <w:r w:rsidR="002802DA" w:rsidRPr="005545AF">
        <w:rPr>
          <w:rStyle w:val="Appelnotedebasdep"/>
          <w:lang w:val="en-CA"/>
        </w:rPr>
        <w:footnoteReference w:id="63"/>
      </w:r>
      <w:bookmarkEnd w:id="42"/>
    </w:p>
    <w:p w14:paraId="18FE6BAF" w14:textId="63E870D8" w:rsidR="002802DA" w:rsidRPr="005545AF" w:rsidRDefault="004749BC" w:rsidP="001F7377">
      <w:pPr>
        <w:pStyle w:val="Paragraphe"/>
        <w:spacing w:line="240" w:lineRule="auto"/>
        <w:rPr>
          <w:lang w:val="en-CA"/>
        </w:rPr>
      </w:pPr>
      <w:r w:rsidRPr="005545AF">
        <w:rPr>
          <w:lang w:val="en-CA"/>
        </w:rPr>
        <w:t>I</w:t>
      </w:r>
      <w:r w:rsidR="00C32DA7" w:rsidRPr="005545AF">
        <w:rPr>
          <w:lang w:val="en-CA"/>
        </w:rPr>
        <w:t xml:space="preserve">nteresting as this debate </w:t>
      </w:r>
      <w:r w:rsidRPr="005545AF">
        <w:rPr>
          <w:lang w:val="en-CA"/>
        </w:rPr>
        <w:t>may</w:t>
      </w:r>
      <w:r w:rsidR="00C32DA7" w:rsidRPr="005545AF">
        <w:rPr>
          <w:lang w:val="en-CA"/>
        </w:rPr>
        <w:t xml:space="preserve"> be, I am of the view, as</w:t>
      </w:r>
      <w:r w:rsidR="002802DA" w:rsidRPr="005545AF">
        <w:rPr>
          <w:lang w:val="en-CA"/>
        </w:rPr>
        <w:t xml:space="preserve"> </w:t>
      </w:r>
      <w:r w:rsidR="008D34A3" w:rsidRPr="005545AF">
        <w:rPr>
          <w:lang w:val="en-CA"/>
        </w:rPr>
        <w:t>the appellant</w:t>
      </w:r>
      <w:r w:rsidR="00C32DA7" w:rsidRPr="005545AF">
        <w:rPr>
          <w:lang w:val="en-CA"/>
        </w:rPr>
        <w:t xml:space="preserve"> suggests</w:t>
      </w:r>
      <w:r w:rsidR="002802DA" w:rsidRPr="005545AF">
        <w:rPr>
          <w:lang w:val="en-CA"/>
        </w:rPr>
        <w:t xml:space="preserve">, </w:t>
      </w:r>
      <w:r w:rsidR="00C32DA7" w:rsidRPr="005545AF">
        <w:rPr>
          <w:lang w:val="en-CA"/>
        </w:rPr>
        <w:t xml:space="preserve">that it is unnecessary to </w:t>
      </w:r>
      <w:r w:rsidRPr="005545AF">
        <w:rPr>
          <w:lang w:val="en-CA"/>
        </w:rPr>
        <w:t>resolve</w:t>
      </w:r>
      <w:r w:rsidR="00C32DA7" w:rsidRPr="005545AF">
        <w:rPr>
          <w:lang w:val="en-CA"/>
        </w:rPr>
        <w:t xml:space="preserve"> it to decide this case, for at least two reasons</w:t>
      </w:r>
      <w:r w:rsidR="002802DA" w:rsidRPr="005545AF">
        <w:rPr>
          <w:lang w:val="en-CA"/>
        </w:rPr>
        <w:t xml:space="preserve">. </w:t>
      </w:r>
    </w:p>
    <w:p w14:paraId="7375E632" w14:textId="665795D0" w:rsidR="002802DA" w:rsidRPr="005545AF" w:rsidRDefault="00C32DA7" w:rsidP="001F7377">
      <w:pPr>
        <w:pStyle w:val="Paragraphe"/>
        <w:spacing w:line="240" w:lineRule="auto"/>
        <w:rPr>
          <w:lang w:val="en-CA"/>
        </w:rPr>
      </w:pPr>
      <w:r w:rsidRPr="005545AF">
        <w:rPr>
          <w:lang w:val="en-CA"/>
        </w:rPr>
        <w:t xml:space="preserve">First, </w:t>
      </w:r>
      <w:r w:rsidR="00F35697" w:rsidRPr="005545AF">
        <w:rPr>
          <w:lang w:val="en-CA"/>
        </w:rPr>
        <w:t>the word</w:t>
      </w:r>
      <w:r w:rsidR="004749BC" w:rsidRPr="005545AF">
        <w:rPr>
          <w:lang w:val="en-CA"/>
        </w:rPr>
        <w:t>ing</w:t>
      </w:r>
      <w:r w:rsidR="00F35697" w:rsidRPr="005545AF">
        <w:rPr>
          <w:lang w:val="en-CA"/>
        </w:rPr>
        <w:t xml:space="preserve"> of </w:t>
      </w:r>
      <w:r w:rsidRPr="005545AF">
        <w:rPr>
          <w:lang w:val="en-CA"/>
        </w:rPr>
        <w:t>section</w:t>
      </w:r>
      <w:r w:rsidR="002802DA" w:rsidRPr="005545AF">
        <w:rPr>
          <w:lang w:val="en-CA"/>
        </w:rPr>
        <w:t xml:space="preserve"> 22 </w:t>
      </w:r>
      <w:r w:rsidRPr="005545AF">
        <w:rPr>
          <w:i/>
          <w:iCs/>
          <w:lang w:val="en-CA"/>
        </w:rPr>
        <w:t>IT Framework Act</w:t>
      </w:r>
      <w:r w:rsidR="004749BC" w:rsidRPr="005545AF">
        <w:rPr>
          <w:i/>
          <w:iCs/>
          <w:lang w:val="en-CA"/>
        </w:rPr>
        <w:t xml:space="preserve"> </w:t>
      </w:r>
      <w:r w:rsidR="004749BC" w:rsidRPr="005545AF">
        <w:rPr>
          <w:lang w:val="en-CA"/>
        </w:rPr>
        <w:t>itself</w:t>
      </w:r>
      <w:r w:rsidR="00A759D4" w:rsidRPr="005545AF">
        <w:rPr>
          <w:lang w:val="en-CA"/>
        </w:rPr>
        <w:t xml:space="preserve"> </w:t>
      </w:r>
      <w:r w:rsidR="007C77CB" w:rsidRPr="005545AF">
        <w:rPr>
          <w:lang w:val="en-CA"/>
        </w:rPr>
        <w:t xml:space="preserve">allows us </w:t>
      </w:r>
      <w:r w:rsidR="00A759D4" w:rsidRPr="005545AF">
        <w:rPr>
          <w:lang w:val="en-CA"/>
        </w:rPr>
        <w:t>to identify</w:t>
      </w:r>
      <w:r w:rsidR="00F35697" w:rsidRPr="005545AF">
        <w:rPr>
          <w:lang w:val="en-CA"/>
        </w:rPr>
        <w:t xml:space="preserve"> </w:t>
      </w:r>
      <w:r w:rsidRPr="005545AF">
        <w:rPr>
          <w:lang w:val="en-CA"/>
        </w:rPr>
        <w:t>the contextual elements</w:t>
      </w:r>
      <w:r w:rsidR="00F35697" w:rsidRPr="005545AF">
        <w:rPr>
          <w:lang w:val="en-CA"/>
        </w:rPr>
        <w:t xml:space="preserve"> </w:t>
      </w:r>
      <w:r w:rsidR="00A759D4" w:rsidRPr="005545AF">
        <w:rPr>
          <w:lang w:val="en-CA"/>
        </w:rPr>
        <w:t xml:space="preserve">necessary </w:t>
      </w:r>
      <w:r w:rsidR="00F35697" w:rsidRPr="005545AF">
        <w:rPr>
          <w:lang w:val="en-CA"/>
        </w:rPr>
        <w:t xml:space="preserve">to </w:t>
      </w:r>
      <w:r w:rsidR="007C77CB" w:rsidRPr="005545AF">
        <w:rPr>
          <w:lang w:val="en-CA"/>
        </w:rPr>
        <w:t>target only</w:t>
      </w:r>
      <w:r w:rsidR="00A759D4" w:rsidRPr="005545AF">
        <w:rPr>
          <w:lang w:val="en-CA"/>
        </w:rPr>
        <w:t xml:space="preserve"> </w:t>
      </w:r>
      <w:r w:rsidR="007C77CB" w:rsidRPr="005545AF">
        <w:rPr>
          <w:lang w:val="en-CA"/>
        </w:rPr>
        <w:t>the intermediary’s wrongful behaviour</w:t>
      </w:r>
      <w:r w:rsidR="00F35697" w:rsidRPr="005545AF">
        <w:rPr>
          <w:lang w:val="en-CA"/>
        </w:rPr>
        <w:t xml:space="preserve">, </w:t>
      </w:r>
      <w:r w:rsidR="00A759D4" w:rsidRPr="005545AF">
        <w:rPr>
          <w:lang w:val="en-CA"/>
        </w:rPr>
        <w:t xml:space="preserve">in </w:t>
      </w:r>
      <w:r w:rsidR="00F35697" w:rsidRPr="005545AF">
        <w:rPr>
          <w:lang w:val="en-CA"/>
        </w:rPr>
        <w:t xml:space="preserve">the </w:t>
      </w:r>
      <w:r w:rsidR="00A759D4" w:rsidRPr="005545AF">
        <w:rPr>
          <w:lang w:val="en-CA"/>
        </w:rPr>
        <w:t>tradition</w:t>
      </w:r>
      <w:r w:rsidR="007C77CB" w:rsidRPr="005545AF">
        <w:rPr>
          <w:lang w:val="en-CA"/>
        </w:rPr>
        <w:t>al</w:t>
      </w:r>
      <w:r w:rsidR="00A759D4" w:rsidRPr="005545AF">
        <w:rPr>
          <w:lang w:val="en-CA"/>
        </w:rPr>
        <w:t xml:space="preserve"> sense</w:t>
      </w:r>
      <w:r w:rsidR="00F35697" w:rsidRPr="005545AF">
        <w:rPr>
          <w:lang w:val="en-CA"/>
        </w:rPr>
        <w:t xml:space="preserve"> of the term</w:t>
      </w:r>
      <w:r w:rsidR="002802DA" w:rsidRPr="005545AF">
        <w:rPr>
          <w:lang w:val="en-CA"/>
        </w:rPr>
        <w:t xml:space="preserve">. </w:t>
      </w:r>
      <w:r w:rsidR="00F35697" w:rsidRPr="005545AF">
        <w:rPr>
          <w:lang w:val="en-CA"/>
        </w:rPr>
        <w:t>These are found both in the determination of the reasonable degree of certainty</w:t>
      </w:r>
      <w:r w:rsidR="002802DA" w:rsidRPr="005545AF">
        <w:rPr>
          <w:lang w:val="en-CA"/>
        </w:rPr>
        <w:t xml:space="preserve"> </w:t>
      </w:r>
      <w:r w:rsidR="001F3BF8" w:rsidRPr="005545AF">
        <w:rPr>
          <w:lang w:val="en-CA"/>
        </w:rPr>
        <w:t>as to</w:t>
      </w:r>
      <w:r w:rsidR="00F35697" w:rsidRPr="005545AF">
        <w:rPr>
          <w:lang w:val="en-CA"/>
        </w:rPr>
        <w:t xml:space="preserve"> the existence of an illicit activity, and the means deployed by the intermediary to </w:t>
      </w:r>
      <w:r w:rsidR="001F3BF8" w:rsidRPr="005545AF">
        <w:rPr>
          <w:lang w:val="en-CA"/>
        </w:rPr>
        <w:t xml:space="preserve">make </w:t>
      </w:r>
      <w:r w:rsidR="007C77CB" w:rsidRPr="005545AF">
        <w:rPr>
          <w:lang w:val="en-CA"/>
        </w:rPr>
        <w:t xml:space="preserve">be </w:t>
      </w:r>
      <w:r w:rsidR="001F3BF8" w:rsidRPr="005545AF">
        <w:rPr>
          <w:lang w:val="en-CA"/>
        </w:rPr>
        <w:t>sure of</w:t>
      </w:r>
      <w:r w:rsidR="00F35697" w:rsidRPr="005545AF">
        <w:rPr>
          <w:lang w:val="en-CA"/>
        </w:rPr>
        <w:t xml:space="preserve"> this, </w:t>
      </w:r>
      <w:r w:rsidR="001F3BF8" w:rsidRPr="005545AF">
        <w:rPr>
          <w:lang w:val="en-CA"/>
        </w:rPr>
        <w:t>and</w:t>
      </w:r>
      <w:r w:rsidR="00F35697" w:rsidRPr="005545AF">
        <w:rPr>
          <w:lang w:val="en-CA"/>
        </w:rPr>
        <w:t xml:space="preserve"> in the technical limitations that the intermediary could invoke in justifying </w:t>
      </w:r>
      <w:r w:rsidR="00797BE4" w:rsidRPr="005545AF">
        <w:rPr>
          <w:lang w:val="en-CA"/>
        </w:rPr>
        <w:t>its</w:t>
      </w:r>
      <w:r w:rsidR="00F35697" w:rsidRPr="005545AF">
        <w:rPr>
          <w:lang w:val="en-CA"/>
        </w:rPr>
        <w:t xml:space="preserve"> </w:t>
      </w:r>
      <w:r w:rsidR="00830F28" w:rsidRPr="005545AF">
        <w:rPr>
          <w:lang w:val="en-CA"/>
        </w:rPr>
        <w:t xml:space="preserve">failure to </w:t>
      </w:r>
      <w:r w:rsidR="00F35697" w:rsidRPr="005545AF">
        <w:rPr>
          <w:lang w:val="en-CA"/>
        </w:rPr>
        <w:t>de-index</w:t>
      </w:r>
      <w:r w:rsidR="00830F28" w:rsidRPr="005545AF">
        <w:rPr>
          <w:lang w:val="en-CA"/>
        </w:rPr>
        <w:t xml:space="preserve"> or </w:t>
      </w:r>
      <w:r w:rsidR="001F3BF8" w:rsidRPr="005545AF">
        <w:rPr>
          <w:lang w:val="en-CA"/>
        </w:rPr>
        <w:t xml:space="preserve">in </w:t>
      </w:r>
      <w:r w:rsidR="00830F28" w:rsidRPr="005545AF">
        <w:rPr>
          <w:lang w:val="en-CA"/>
        </w:rPr>
        <w:t xml:space="preserve">explaining that the </w:t>
      </w:r>
      <w:r w:rsidR="004A5D7E" w:rsidRPr="005545AF">
        <w:rPr>
          <w:lang w:val="en-CA"/>
        </w:rPr>
        <w:t>Impugned Post</w:t>
      </w:r>
      <w:r w:rsidR="00830F28" w:rsidRPr="005545AF">
        <w:rPr>
          <w:lang w:val="en-CA"/>
        </w:rPr>
        <w:t xml:space="preserve"> could be indexed again.</w:t>
      </w:r>
      <w:r w:rsidR="002802DA" w:rsidRPr="005545AF">
        <w:rPr>
          <w:rStyle w:val="Appelnotedebasdep"/>
          <w:lang w:val="en-CA"/>
        </w:rPr>
        <w:footnoteReference w:id="64"/>
      </w:r>
      <w:r w:rsidR="00830F28" w:rsidRPr="005545AF">
        <w:rPr>
          <w:lang w:val="en-CA"/>
        </w:rPr>
        <w:t xml:space="preserve"> These defence</w:t>
      </w:r>
      <w:r w:rsidR="00797BE4" w:rsidRPr="005545AF">
        <w:rPr>
          <w:lang w:val="en-CA"/>
        </w:rPr>
        <w:t>s</w:t>
      </w:r>
      <w:r w:rsidR="00830F28" w:rsidRPr="005545AF">
        <w:rPr>
          <w:lang w:val="en-CA"/>
        </w:rPr>
        <w:t xml:space="preserve"> available to the intermediary allow </w:t>
      </w:r>
      <w:r w:rsidR="00797BE4" w:rsidRPr="005545AF">
        <w:rPr>
          <w:lang w:val="en-CA"/>
        </w:rPr>
        <w:t>its</w:t>
      </w:r>
      <w:r w:rsidR="00830F28" w:rsidRPr="005545AF">
        <w:rPr>
          <w:lang w:val="en-CA"/>
        </w:rPr>
        <w:t xml:space="preserve"> diligence</w:t>
      </w:r>
      <w:r w:rsidR="001F3BF8" w:rsidRPr="005545AF">
        <w:rPr>
          <w:lang w:val="en-CA"/>
        </w:rPr>
        <w:t xml:space="preserve"> to be taken into account</w:t>
      </w:r>
      <w:r w:rsidR="002802DA" w:rsidRPr="005545AF">
        <w:rPr>
          <w:lang w:val="en-CA"/>
        </w:rPr>
        <w:t xml:space="preserve">. </w:t>
      </w:r>
      <w:r w:rsidR="00830F28" w:rsidRPr="005545AF">
        <w:rPr>
          <w:lang w:val="en-CA"/>
        </w:rPr>
        <w:t>However, in the case at bar, none of these apply because, as we have seen, awareness of the illicit activity and the post’s defamatory nature</w:t>
      </w:r>
      <w:r w:rsidR="002802DA" w:rsidRPr="005545AF">
        <w:rPr>
          <w:lang w:val="en-CA"/>
        </w:rPr>
        <w:t xml:space="preserve"> </w:t>
      </w:r>
      <w:r w:rsidR="00830F28" w:rsidRPr="005545AF">
        <w:rPr>
          <w:lang w:val="en-CA"/>
        </w:rPr>
        <w:t>are not disputed</w:t>
      </w:r>
      <w:r w:rsidR="002802DA" w:rsidRPr="005545AF">
        <w:rPr>
          <w:rStyle w:val="Appelnotedebasdep"/>
          <w:lang w:val="en-CA"/>
        </w:rPr>
        <w:footnoteReference w:id="65"/>
      </w:r>
      <w:r w:rsidR="002802DA" w:rsidRPr="005545AF">
        <w:rPr>
          <w:lang w:val="en-CA"/>
        </w:rPr>
        <w:t xml:space="preserve"> </w:t>
      </w:r>
      <w:r w:rsidR="00830F28" w:rsidRPr="005545AF">
        <w:rPr>
          <w:lang w:val="en-CA"/>
        </w:rPr>
        <w:t>and de-indexing was possible, since it had been already done in the past.</w:t>
      </w:r>
      <w:r w:rsidR="002802DA" w:rsidRPr="005545AF">
        <w:rPr>
          <w:rStyle w:val="Appelnotedebasdep"/>
          <w:lang w:val="en-CA"/>
        </w:rPr>
        <w:footnoteReference w:id="66"/>
      </w:r>
    </w:p>
    <w:p w14:paraId="0D0D1343" w14:textId="66E122FE" w:rsidR="002802DA" w:rsidRPr="005545AF" w:rsidRDefault="008E4553" w:rsidP="001F7377">
      <w:pPr>
        <w:pStyle w:val="Paragraphe"/>
        <w:spacing w:line="240" w:lineRule="auto"/>
        <w:rPr>
          <w:lang w:val="en-CA"/>
        </w:rPr>
      </w:pPr>
      <w:r w:rsidRPr="005545AF">
        <w:rPr>
          <w:lang w:val="en-CA"/>
        </w:rPr>
        <w:t>Next</w:t>
      </w:r>
      <w:r w:rsidR="002802DA" w:rsidRPr="005545AF">
        <w:rPr>
          <w:lang w:val="en-CA"/>
        </w:rPr>
        <w:t xml:space="preserve">, </w:t>
      </w:r>
      <w:r w:rsidRPr="005545AF">
        <w:rPr>
          <w:lang w:val="en-CA"/>
        </w:rPr>
        <w:t xml:space="preserve">the only proof of diligence tendered by Google in </w:t>
      </w:r>
      <w:r w:rsidR="0019276D" w:rsidRPr="005545AF">
        <w:rPr>
          <w:lang w:val="en-CA"/>
        </w:rPr>
        <w:t>this</w:t>
      </w:r>
      <w:r w:rsidRPr="005545AF">
        <w:rPr>
          <w:lang w:val="en-CA"/>
        </w:rPr>
        <w:t xml:space="preserve"> case is the fact that it purportedly complied with applicable</w:t>
      </w:r>
      <w:r w:rsidR="002802DA" w:rsidRPr="005545AF">
        <w:rPr>
          <w:lang w:val="en-CA"/>
        </w:rPr>
        <w:t xml:space="preserve"> </w:t>
      </w:r>
      <w:r w:rsidRPr="005545AF">
        <w:rPr>
          <w:lang w:val="en-CA"/>
        </w:rPr>
        <w:t xml:space="preserve">law by satisfying the standard established in </w:t>
      </w:r>
      <w:r w:rsidR="002802DA" w:rsidRPr="005545AF">
        <w:rPr>
          <w:i/>
          <w:iCs/>
          <w:lang w:val="en-CA"/>
        </w:rPr>
        <w:t>Crookes.</w:t>
      </w:r>
      <w:r w:rsidR="002802DA" w:rsidRPr="005545AF">
        <w:rPr>
          <w:lang w:val="en-CA"/>
        </w:rPr>
        <w:t xml:space="preserve"> </w:t>
      </w:r>
      <w:r w:rsidRPr="005545AF">
        <w:rPr>
          <w:lang w:val="en-CA"/>
        </w:rPr>
        <w:t>This argument cannot suffice</w:t>
      </w:r>
      <w:r w:rsidR="002802DA" w:rsidRPr="005545AF">
        <w:rPr>
          <w:lang w:val="en-CA"/>
        </w:rPr>
        <w:t xml:space="preserve">. </w:t>
      </w:r>
      <w:r w:rsidR="0019276D" w:rsidRPr="005545AF">
        <w:rPr>
          <w:lang w:val="en-CA"/>
        </w:rPr>
        <w:t xml:space="preserve">There is </w:t>
      </w:r>
      <w:r w:rsidR="00A6052D" w:rsidRPr="005545AF">
        <w:rPr>
          <w:lang w:val="en-CA"/>
        </w:rPr>
        <w:t>no evidence to support the veracity of</w:t>
      </w:r>
      <w:r w:rsidRPr="005545AF">
        <w:rPr>
          <w:lang w:val="en-CA"/>
        </w:rPr>
        <w:t xml:space="preserve"> </w:t>
      </w:r>
      <w:r w:rsidRPr="005545AF">
        <w:rPr>
          <w:lang w:val="en-CA"/>
        </w:rPr>
        <w:lastRenderedPageBreak/>
        <w:t>that claim, Google having refused to disclose its policy in the matter. Of course, Google did not have the burden of showing absence of fault on its part</w:t>
      </w:r>
      <w:r w:rsidR="002802DA" w:rsidRPr="005545AF">
        <w:rPr>
          <w:lang w:val="en-CA"/>
        </w:rPr>
        <w:t xml:space="preserve">. </w:t>
      </w:r>
      <w:r w:rsidR="001A6FF8" w:rsidRPr="005545AF">
        <w:rPr>
          <w:lang w:val="en-CA"/>
        </w:rPr>
        <w:t xml:space="preserve">Still, it cannot simply claim a sincere belief that it was </w:t>
      </w:r>
      <w:r w:rsidR="0019276D" w:rsidRPr="005545AF">
        <w:rPr>
          <w:lang w:val="en-CA"/>
        </w:rPr>
        <w:t>observing</w:t>
      </w:r>
      <w:r w:rsidR="001A6FF8" w:rsidRPr="005545AF">
        <w:rPr>
          <w:lang w:val="en-CA"/>
        </w:rPr>
        <w:t xml:space="preserve"> applicable law to justify its failure to comply with section </w:t>
      </w:r>
      <w:r w:rsidR="002802DA" w:rsidRPr="005545AF">
        <w:rPr>
          <w:lang w:val="en-CA"/>
        </w:rPr>
        <w:t xml:space="preserve">22 </w:t>
      </w:r>
      <w:r w:rsidR="001A6FF8" w:rsidRPr="005545AF">
        <w:rPr>
          <w:i/>
          <w:iCs/>
          <w:lang w:val="en-CA"/>
        </w:rPr>
        <w:t>IT Framework Act</w:t>
      </w:r>
      <w:r w:rsidR="002802DA" w:rsidRPr="005545AF">
        <w:rPr>
          <w:lang w:val="en-CA"/>
        </w:rPr>
        <w:t xml:space="preserve">. </w:t>
      </w:r>
      <w:bookmarkStart w:id="43" w:name="_Ref207622419"/>
      <w:r w:rsidR="001A6FF8" w:rsidRPr="005545AF">
        <w:rPr>
          <w:lang w:val="en-CA"/>
        </w:rPr>
        <w:t xml:space="preserve">Moreover, it is established that in civil law, the mere fact of satisfying a standard </w:t>
      </w:r>
      <w:bookmarkStart w:id="44" w:name="_Hlk219217636"/>
      <w:r w:rsidR="001A6FF8" w:rsidRPr="005545AF">
        <w:rPr>
          <w:lang w:val="en-CA"/>
        </w:rPr>
        <w:t>–</w:t>
      </w:r>
      <w:bookmarkEnd w:id="44"/>
      <w:r w:rsidR="001A6FF8" w:rsidRPr="005545AF">
        <w:rPr>
          <w:lang w:val="en-CA"/>
        </w:rPr>
        <w:t xml:space="preserve"> in this case </w:t>
      </w:r>
      <w:r w:rsidR="0019276D" w:rsidRPr="005545AF">
        <w:rPr>
          <w:lang w:val="en-CA"/>
        </w:rPr>
        <w:t>judicially developed</w:t>
      </w:r>
      <w:r w:rsidR="001A6FF8" w:rsidRPr="005545AF">
        <w:rPr>
          <w:lang w:val="en-CA"/>
        </w:rPr>
        <w:t xml:space="preserve"> – </w:t>
      </w:r>
      <w:r w:rsidR="00A6052D" w:rsidRPr="005545AF">
        <w:rPr>
          <w:lang w:val="en-CA"/>
        </w:rPr>
        <w:t>is not necessarily sufficient to rule out the possibility</w:t>
      </w:r>
      <w:r w:rsidR="001A6FF8" w:rsidRPr="005545AF">
        <w:rPr>
          <w:lang w:val="en-CA"/>
        </w:rPr>
        <w:t xml:space="preserve"> of a civil fault.</w:t>
      </w:r>
      <w:r w:rsidR="002802DA" w:rsidRPr="005545AF">
        <w:rPr>
          <w:rStyle w:val="Appelnotedebasdep"/>
          <w:lang w:val="en-CA"/>
        </w:rPr>
        <w:footnoteReference w:id="67"/>
      </w:r>
      <w:bookmarkEnd w:id="43"/>
      <w:r w:rsidR="001A6FF8" w:rsidRPr="005545AF">
        <w:rPr>
          <w:lang w:val="en-CA"/>
        </w:rPr>
        <w:t xml:space="preserve"> The same is true, </w:t>
      </w:r>
      <w:r w:rsidR="001A6FF8" w:rsidRPr="005545AF">
        <w:rPr>
          <w:i/>
          <w:iCs/>
          <w:lang w:val="en-CA"/>
        </w:rPr>
        <w:t>a fortiori</w:t>
      </w:r>
      <w:r w:rsidR="001A6FF8" w:rsidRPr="005545AF">
        <w:rPr>
          <w:lang w:val="en-CA"/>
        </w:rPr>
        <w:t xml:space="preserve">, of a defence that consists in relying on one’s own interpretation of applicable law, </w:t>
      </w:r>
      <w:r w:rsidR="000624AA" w:rsidRPr="005545AF">
        <w:rPr>
          <w:lang w:val="en-CA"/>
        </w:rPr>
        <w:t>which turns out to be insufficiently nuanced and, ultimately, erroneous</w:t>
      </w:r>
      <w:r w:rsidR="002802DA" w:rsidRPr="005545AF">
        <w:rPr>
          <w:lang w:val="en-CA"/>
        </w:rPr>
        <w:t>.</w:t>
      </w:r>
    </w:p>
    <w:p w14:paraId="49A8B7FF" w14:textId="4E9A57EF" w:rsidR="002802DA" w:rsidRPr="005545AF" w:rsidRDefault="0019276D" w:rsidP="001F7377">
      <w:pPr>
        <w:pStyle w:val="Paragraphe"/>
        <w:spacing w:line="240" w:lineRule="auto"/>
        <w:rPr>
          <w:lang w:val="en-CA"/>
        </w:rPr>
      </w:pPr>
      <w:r w:rsidRPr="005545AF">
        <w:rPr>
          <w:lang w:val="en-CA"/>
        </w:rPr>
        <w:t>To conclude on the issue of fault</w:t>
      </w:r>
      <w:r w:rsidR="002802DA" w:rsidRPr="005545AF">
        <w:rPr>
          <w:lang w:val="en-CA"/>
        </w:rPr>
        <w:t xml:space="preserve">, </w:t>
      </w:r>
      <w:r w:rsidRPr="005545AF">
        <w:rPr>
          <w:lang w:val="en-CA"/>
        </w:rPr>
        <w:t xml:space="preserve">the judge found that even </w:t>
      </w:r>
      <w:r w:rsidR="00DC164B" w:rsidRPr="005545AF">
        <w:rPr>
          <w:lang w:val="en-CA"/>
        </w:rPr>
        <w:t>disregarding</w:t>
      </w:r>
      <w:r w:rsidRPr="005545AF">
        <w:rPr>
          <w:lang w:val="en-CA"/>
        </w:rPr>
        <w:t xml:space="preserve"> the duty provided</w:t>
      </w:r>
      <w:r w:rsidR="00DC164B" w:rsidRPr="005545AF">
        <w:rPr>
          <w:lang w:val="en-CA"/>
        </w:rPr>
        <w:t xml:space="preserve"> for</w:t>
      </w:r>
      <w:r w:rsidRPr="005545AF">
        <w:rPr>
          <w:lang w:val="en-CA"/>
        </w:rPr>
        <w:t xml:space="preserve"> in section</w:t>
      </w:r>
      <w:r w:rsidR="002802DA" w:rsidRPr="005545AF">
        <w:rPr>
          <w:lang w:val="en-CA"/>
        </w:rPr>
        <w:t xml:space="preserve"> 22 </w:t>
      </w:r>
      <w:r w:rsidRPr="005545AF">
        <w:rPr>
          <w:i/>
          <w:iCs/>
          <w:lang w:val="en-CA"/>
        </w:rPr>
        <w:t>IT Framework Act</w:t>
      </w:r>
      <w:r w:rsidR="002802DA" w:rsidRPr="005545AF">
        <w:rPr>
          <w:lang w:val="en-CA"/>
        </w:rPr>
        <w:t xml:space="preserve"> </w:t>
      </w:r>
      <w:r w:rsidRPr="005545AF">
        <w:rPr>
          <w:lang w:val="en-CA"/>
        </w:rPr>
        <w:t>and relying on</w:t>
      </w:r>
      <w:r w:rsidR="008E5BD7" w:rsidRPr="005545AF">
        <w:rPr>
          <w:lang w:val="en-CA"/>
        </w:rPr>
        <w:t>ly on</w:t>
      </w:r>
      <w:r w:rsidRPr="005545AF">
        <w:rPr>
          <w:lang w:val="en-CA"/>
        </w:rPr>
        <w:t xml:space="preserve"> </w:t>
      </w:r>
      <w:r w:rsidR="006E12E0" w:rsidRPr="005545AF">
        <w:rPr>
          <w:lang w:val="en-CA"/>
        </w:rPr>
        <w:t>general</w:t>
      </w:r>
      <w:r w:rsidRPr="005545AF">
        <w:rPr>
          <w:lang w:val="en-CA"/>
        </w:rPr>
        <w:t xml:space="preserve"> law</w:t>
      </w:r>
      <w:r w:rsidR="006E12E0" w:rsidRPr="005545AF">
        <w:rPr>
          <w:lang w:val="en-CA"/>
        </w:rPr>
        <w:t xml:space="preserve"> </w:t>
      </w:r>
      <w:r w:rsidR="00DC164B" w:rsidRPr="005545AF">
        <w:rPr>
          <w:lang w:val="en-CA"/>
        </w:rPr>
        <w:t>of civil liability principles</w:t>
      </w:r>
      <w:r w:rsidR="008E5BD7" w:rsidRPr="005545AF">
        <w:rPr>
          <w:lang w:val="en-CA"/>
        </w:rPr>
        <w:t xml:space="preserve">, </w:t>
      </w:r>
      <w:r w:rsidR="002802DA" w:rsidRPr="005545AF">
        <w:rPr>
          <w:lang w:val="en-CA"/>
        </w:rPr>
        <w:t>Google</w:t>
      </w:r>
      <w:r w:rsidR="008E5BD7" w:rsidRPr="005545AF">
        <w:rPr>
          <w:lang w:val="en-CA"/>
        </w:rPr>
        <w:t xml:space="preserve">’s refusal to de-index a URL link leading to a </w:t>
      </w:r>
      <w:r w:rsidR="00DC164B" w:rsidRPr="005545AF">
        <w:rPr>
          <w:lang w:val="en-CA"/>
        </w:rPr>
        <w:t>post</w:t>
      </w:r>
      <w:r w:rsidR="008E5BD7" w:rsidRPr="005545AF">
        <w:rPr>
          <w:lang w:val="en-CA"/>
        </w:rPr>
        <w:t xml:space="preserve"> </w:t>
      </w:r>
      <w:r w:rsidR="00047983" w:rsidRPr="005545AF">
        <w:rPr>
          <w:lang w:val="en-CA"/>
        </w:rPr>
        <w:t xml:space="preserve">of </w:t>
      </w:r>
      <w:r w:rsidR="008E5BD7" w:rsidRPr="005545AF">
        <w:rPr>
          <w:lang w:val="en-CA"/>
        </w:rPr>
        <w:t xml:space="preserve">which it had proof </w:t>
      </w:r>
      <w:r w:rsidR="00047983" w:rsidRPr="005545AF">
        <w:rPr>
          <w:lang w:val="en-CA"/>
        </w:rPr>
        <w:t>that it was</w:t>
      </w:r>
      <w:r w:rsidR="008E5BD7" w:rsidRPr="005545AF">
        <w:rPr>
          <w:lang w:val="en-CA"/>
        </w:rPr>
        <w:t xml:space="preserve"> defamatory, and that it had agreed to de-index</w:t>
      </w:r>
      <w:r w:rsidR="002802DA" w:rsidRPr="005545AF">
        <w:rPr>
          <w:lang w:val="en-CA"/>
        </w:rPr>
        <w:t xml:space="preserve"> </w:t>
      </w:r>
      <w:r w:rsidR="008E5BD7" w:rsidRPr="005545AF">
        <w:rPr>
          <w:lang w:val="en-CA"/>
        </w:rPr>
        <w:t>for several years</w:t>
      </w:r>
      <w:r w:rsidR="00DC164B" w:rsidRPr="005545AF">
        <w:rPr>
          <w:lang w:val="en-CA"/>
        </w:rPr>
        <w:t>,</w:t>
      </w:r>
      <w:r w:rsidR="008E5BD7" w:rsidRPr="005545AF">
        <w:rPr>
          <w:lang w:val="en-CA"/>
        </w:rPr>
        <w:t xml:space="preserve"> constitute</w:t>
      </w:r>
      <w:r w:rsidR="00DC164B" w:rsidRPr="005545AF">
        <w:rPr>
          <w:lang w:val="en-CA"/>
        </w:rPr>
        <w:t>d</w:t>
      </w:r>
      <w:r w:rsidR="008E5BD7" w:rsidRPr="005545AF">
        <w:rPr>
          <w:lang w:val="en-CA"/>
        </w:rPr>
        <w:t xml:space="preserve"> a fault under article</w:t>
      </w:r>
      <w:r w:rsidR="002802DA" w:rsidRPr="005545AF">
        <w:rPr>
          <w:lang w:val="en-CA"/>
        </w:rPr>
        <w:t xml:space="preserve"> 1457 </w:t>
      </w:r>
      <w:r w:rsidR="002802DA" w:rsidRPr="005545AF">
        <w:rPr>
          <w:i/>
          <w:iCs/>
          <w:lang w:val="en-CA"/>
        </w:rPr>
        <w:t>C.</w:t>
      </w:r>
      <w:r w:rsidR="008E5BD7" w:rsidRPr="005545AF">
        <w:rPr>
          <w:i/>
          <w:iCs/>
          <w:lang w:val="en-CA"/>
        </w:rPr>
        <w:t>C</w:t>
      </w:r>
      <w:r w:rsidR="002802DA" w:rsidRPr="005545AF">
        <w:rPr>
          <w:i/>
          <w:iCs/>
          <w:lang w:val="en-CA"/>
        </w:rPr>
        <w:t>.Q.</w:t>
      </w:r>
      <w:r w:rsidR="00047983" w:rsidRPr="005545AF">
        <w:rPr>
          <w:rStyle w:val="Appelnotedebasdep"/>
          <w:i/>
          <w:iCs/>
        </w:rPr>
        <w:footnoteReference w:id="68"/>
      </w:r>
      <w:r w:rsidR="002802DA" w:rsidRPr="005545AF">
        <w:rPr>
          <w:lang w:val="en-CA"/>
        </w:rPr>
        <w:t xml:space="preserve"> </w:t>
      </w:r>
      <w:r w:rsidR="008E5BD7" w:rsidRPr="005545AF">
        <w:rPr>
          <w:lang w:val="en-CA"/>
        </w:rPr>
        <w:t>Given my conclusion as to section</w:t>
      </w:r>
      <w:r w:rsidR="002802DA" w:rsidRPr="005545AF">
        <w:rPr>
          <w:lang w:val="en-CA"/>
        </w:rPr>
        <w:t xml:space="preserve"> 22 </w:t>
      </w:r>
      <w:r w:rsidR="008E5BD7" w:rsidRPr="005545AF">
        <w:rPr>
          <w:i/>
          <w:iCs/>
          <w:lang w:val="en-CA"/>
        </w:rPr>
        <w:t>IT Framework Act</w:t>
      </w:r>
      <w:r w:rsidR="002802DA" w:rsidRPr="005545AF">
        <w:rPr>
          <w:i/>
          <w:iCs/>
          <w:lang w:val="en-CA"/>
        </w:rPr>
        <w:t xml:space="preserve">, </w:t>
      </w:r>
      <w:r w:rsidR="008E5BD7" w:rsidRPr="005545AF">
        <w:rPr>
          <w:lang w:val="en-CA"/>
        </w:rPr>
        <w:t>I need not examine that issue</w:t>
      </w:r>
      <w:r w:rsidR="002802DA" w:rsidRPr="005545AF">
        <w:rPr>
          <w:lang w:val="en-CA"/>
        </w:rPr>
        <w:t>.</w:t>
      </w:r>
    </w:p>
    <w:p w14:paraId="68A7967D" w14:textId="15204043" w:rsidR="002802DA" w:rsidRPr="005545AF" w:rsidRDefault="008E4553" w:rsidP="001F7377">
      <w:pPr>
        <w:pStyle w:val="Paragraphe"/>
        <w:spacing w:line="240" w:lineRule="auto"/>
        <w:rPr>
          <w:lang w:val="en-CA"/>
        </w:rPr>
      </w:pPr>
      <w:r w:rsidRPr="005545AF">
        <w:rPr>
          <w:lang w:val="en-CA"/>
        </w:rPr>
        <w:t>For all these reasons, this ground must fail</w:t>
      </w:r>
      <w:r w:rsidR="002802DA" w:rsidRPr="005545AF">
        <w:rPr>
          <w:lang w:val="en-CA"/>
        </w:rPr>
        <w:t>.</w:t>
      </w:r>
    </w:p>
    <w:p w14:paraId="004525FC" w14:textId="6270EF53" w:rsidR="002802DA" w:rsidRPr="005545AF" w:rsidRDefault="002802DA" w:rsidP="001F7377">
      <w:pPr>
        <w:pStyle w:val="Paragraphe"/>
        <w:numPr>
          <w:ilvl w:val="0"/>
          <w:numId w:val="0"/>
        </w:numPr>
        <w:spacing w:line="240" w:lineRule="auto"/>
        <w:ind w:left="1134"/>
        <w:outlineLvl w:val="1"/>
        <w:rPr>
          <w:b/>
          <w:bCs/>
          <w:lang w:val="en-CA"/>
        </w:rPr>
      </w:pPr>
      <w:r w:rsidRPr="005545AF">
        <w:rPr>
          <w:b/>
          <w:bCs/>
          <w:lang w:val="en-CA"/>
        </w:rPr>
        <w:t>2)</w:t>
      </w:r>
      <w:r w:rsidRPr="005545AF">
        <w:rPr>
          <w:b/>
          <w:bCs/>
          <w:lang w:val="en-CA"/>
        </w:rPr>
        <w:tab/>
      </w:r>
      <w:r w:rsidR="003E6087" w:rsidRPr="005545AF">
        <w:rPr>
          <w:b/>
          <w:bCs/>
          <w:lang w:val="en-CA"/>
        </w:rPr>
        <w:t xml:space="preserve">Did the judge err in finding that that fault had caused moral injury to </w:t>
      </w:r>
      <w:r w:rsidR="00BE75CC" w:rsidRPr="005545AF">
        <w:rPr>
          <w:b/>
          <w:bCs/>
          <w:lang w:val="en-CA"/>
        </w:rPr>
        <w:t>the appellant</w:t>
      </w:r>
      <w:r w:rsidR="003E6087" w:rsidRPr="005545AF">
        <w:rPr>
          <w:b/>
          <w:bCs/>
          <w:lang w:val="en-CA"/>
        </w:rPr>
        <w:t xml:space="preserve"> </w:t>
      </w:r>
      <w:r w:rsidR="00E86246" w:rsidRPr="005545AF">
        <w:rPr>
          <w:b/>
          <w:bCs/>
          <w:lang w:val="en-CA"/>
        </w:rPr>
        <w:t xml:space="preserve">and assessing damages at </w:t>
      </w:r>
      <w:r w:rsidR="003E6087" w:rsidRPr="005545AF">
        <w:rPr>
          <w:b/>
          <w:bCs/>
          <w:lang w:val="en-CA"/>
        </w:rPr>
        <w:t>$500,000 (incidental appeal)</w:t>
      </w:r>
      <w:r w:rsidRPr="005545AF">
        <w:rPr>
          <w:b/>
          <w:bCs/>
          <w:lang w:val="en-CA"/>
        </w:rPr>
        <w:t>?</w:t>
      </w:r>
    </w:p>
    <w:p w14:paraId="77CEEF96" w14:textId="32FE9F2F" w:rsidR="002802DA" w:rsidRPr="005545AF" w:rsidRDefault="003E6087" w:rsidP="001F7377">
      <w:pPr>
        <w:pStyle w:val="Paragraphe"/>
        <w:spacing w:line="240" w:lineRule="auto"/>
        <w:rPr>
          <w:lang w:val="en-CA"/>
        </w:rPr>
      </w:pPr>
      <w:r w:rsidRPr="005545AF">
        <w:rPr>
          <w:lang w:val="en-CA"/>
        </w:rPr>
        <w:t xml:space="preserve">The judge </w:t>
      </w:r>
      <w:r w:rsidR="00EA4959" w:rsidRPr="005545AF">
        <w:rPr>
          <w:lang w:val="en-CA"/>
        </w:rPr>
        <w:t>began</w:t>
      </w:r>
      <w:r w:rsidRPr="005545AF">
        <w:rPr>
          <w:lang w:val="en-CA"/>
        </w:rPr>
        <w:t xml:space="preserve"> his </w:t>
      </w:r>
      <w:r w:rsidR="00BC0C5F" w:rsidRPr="005545AF">
        <w:rPr>
          <w:lang w:val="en-CA"/>
        </w:rPr>
        <w:t xml:space="preserve">injury </w:t>
      </w:r>
      <w:r w:rsidRPr="005545AF">
        <w:rPr>
          <w:lang w:val="en-CA"/>
        </w:rPr>
        <w:t xml:space="preserve">analysis by outlining the legal framework applicable </w:t>
      </w:r>
      <w:r w:rsidR="00F669DF" w:rsidRPr="005545AF">
        <w:rPr>
          <w:lang w:val="en-CA"/>
        </w:rPr>
        <w:t>in</w:t>
      </w:r>
      <w:r w:rsidRPr="005545AF">
        <w:rPr>
          <w:lang w:val="en-CA"/>
        </w:rPr>
        <w:t xml:space="preserve"> </w:t>
      </w:r>
      <w:r w:rsidR="00EA4959" w:rsidRPr="005545AF">
        <w:rPr>
          <w:lang w:val="en-CA"/>
        </w:rPr>
        <w:t>determin</w:t>
      </w:r>
      <w:r w:rsidR="00F669DF" w:rsidRPr="005545AF">
        <w:rPr>
          <w:lang w:val="en-CA"/>
        </w:rPr>
        <w:t>ing</w:t>
      </w:r>
      <w:r w:rsidR="00EA4959" w:rsidRPr="005545AF">
        <w:rPr>
          <w:lang w:val="en-CA"/>
        </w:rPr>
        <w:t xml:space="preserve"> the </w:t>
      </w:r>
      <w:r w:rsidRPr="005545AF">
        <w:rPr>
          <w:lang w:val="en-CA"/>
        </w:rPr>
        <w:t>existence</w:t>
      </w:r>
      <w:r w:rsidR="00EA4959" w:rsidRPr="005545AF">
        <w:rPr>
          <w:lang w:val="en-CA"/>
        </w:rPr>
        <w:t xml:space="preserve"> of </w:t>
      </w:r>
      <w:r w:rsidR="00174D26" w:rsidRPr="005545AF">
        <w:rPr>
          <w:lang w:val="en-CA"/>
        </w:rPr>
        <w:t xml:space="preserve">an </w:t>
      </w:r>
      <w:r w:rsidR="00EA4959" w:rsidRPr="005545AF">
        <w:rPr>
          <w:lang w:val="en-CA"/>
        </w:rPr>
        <w:t>injury</w:t>
      </w:r>
      <w:r w:rsidRPr="005545AF">
        <w:rPr>
          <w:lang w:val="en-CA"/>
        </w:rPr>
        <w:t xml:space="preserve"> and </w:t>
      </w:r>
      <w:r w:rsidR="00174D26" w:rsidRPr="005545AF">
        <w:rPr>
          <w:lang w:val="en-CA"/>
        </w:rPr>
        <w:t xml:space="preserve">its </w:t>
      </w:r>
      <w:r w:rsidRPr="005545AF">
        <w:rPr>
          <w:lang w:val="en-CA"/>
        </w:rPr>
        <w:t>quantification</w:t>
      </w:r>
      <w:r w:rsidR="00174D26" w:rsidRPr="005545AF">
        <w:rPr>
          <w:lang w:val="en-CA"/>
        </w:rPr>
        <w:t xml:space="preserve"> </w:t>
      </w:r>
      <w:r w:rsidRPr="005545AF">
        <w:rPr>
          <w:lang w:val="en-CA"/>
        </w:rPr>
        <w:t xml:space="preserve">in defamation cases. </w:t>
      </w:r>
      <w:r w:rsidR="00BC0C5F" w:rsidRPr="005545AF">
        <w:rPr>
          <w:lang w:val="en-CA"/>
        </w:rPr>
        <w:t>Under the</w:t>
      </w:r>
      <w:r w:rsidRPr="005545AF">
        <w:rPr>
          <w:lang w:val="en-CA"/>
        </w:rPr>
        <w:t xml:space="preserve"> first step</w:t>
      </w:r>
      <w:r w:rsidR="00BC0C5F" w:rsidRPr="005545AF">
        <w:rPr>
          <w:lang w:val="en-CA"/>
        </w:rPr>
        <w:t>,</w:t>
      </w:r>
      <w:r w:rsidRPr="005545AF">
        <w:rPr>
          <w:lang w:val="en-CA"/>
        </w:rPr>
        <w:t xml:space="preserve"> </w:t>
      </w:r>
      <w:r w:rsidR="00EA4959" w:rsidRPr="005545AF">
        <w:rPr>
          <w:lang w:val="en-CA"/>
        </w:rPr>
        <w:t>i.e., determin</w:t>
      </w:r>
      <w:r w:rsidR="00174D26" w:rsidRPr="005545AF">
        <w:rPr>
          <w:lang w:val="en-CA"/>
        </w:rPr>
        <w:t>ing</w:t>
      </w:r>
      <w:r w:rsidR="00EA4959" w:rsidRPr="005545AF">
        <w:rPr>
          <w:lang w:val="en-CA"/>
        </w:rPr>
        <w:t xml:space="preserve"> the existence of </w:t>
      </w:r>
      <w:r w:rsidR="00174D26" w:rsidRPr="005545AF">
        <w:rPr>
          <w:lang w:val="en-CA"/>
        </w:rPr>
        <w:t xml:space="preserve">an </w:t>
      </w:r>
      <w:r w:rsidR="00EA4959" w:rsidRPr="005545AF">
        <w:rPr>
          <w:lang w:val="en-CA"/>
        </w:rPr>
        <w:t xml:space="preserve">injury, </w:t>
      </w:r>
      <w:r w:rsidR="00BC0C5F" w:rsidRPr="005545AF">
        <w:rPr>
          <w:lang w:val="en-CA"/>
        </w:rPr>
        <w:t xml:space="preserve">the </w:t>
      </w:r>
      <w:r w:rsidRPr="005545AF">
        <w:rPr>
          <w:lang w:val="en-CA"/>
        </w:rPr>
        <w:t xml:space="preserve">plaintiff </w:t>
      </w:r>
      <w:r w:rsidR="00BC0C5F" w:rsidRPr="005545AF">
        <w:rPr>
          <w:lang w:val="en-CA"/>
        </w:rPr>
        <w:t xml:space="preserve">must show </w:t>
      </w:r>
      <w:r w:rsidRPr="005545AF">
        <w:rPr>
          <w:lang w:val="en-CA"/>
        </w:rPr>
        <w:t>that</w:t>
      </w:r>
      <w:r w:rsidR="002802DA" w:rsidRPr="005545AF">
        <w:rPr>
          <w:lang w:val="en-CA"/>
        </w:rPr>
        <w:t xml:space="preserve"> </w:t>
      </w:r>
      <w:r w:rsidRPr="005545AF">
        <w:rPr>
          <w:lang w:val="en-CA"/>
        </w:rPr>
        <w:t>an ordinary person</w:t>
      </w:r>
      <w:r w:rsidR="002802DA" w:rsidRPr="005545AF">
        <w:rPr>
          <w:lang w:val="en-CA"/>
        </w:rPr>
        <w:t> </w:t>
      </w:r>
      <w:r w:rsidRPr="005545AF">
        <w:rPr>
          <w:lang w:val="en-CA"/>
        </w:rPr>
        <w:t>“</w:t>
      </w:r>
      <w:r w:rsidR="002802DA" w:rsidRPr="005545AF">
        <w:rPr>
          <w:lang w:val="en-CA"/>
        </w:rPr>
        <w:t xml:space="preserve">[…] </w:t>
      </w:r>
      <w:r w:rsidRPr="005545AF">
        <w:rPr>
          <w:lang w:val="en-CA"/>
        </w:rPr>
        <w:t>would believe that the remarks made, when viewed as a whole, brought discredit on the reputation of another person.”</w:t>
      </w:r>
      <w:r w:rsidR="002802DA" w:rsidRPr="005545AF">
        <w:rPr>
          <w:rStyle w:val="Appelnotedebasdep"/>
          <w:lang w:val="en-CA"/>
        </w:rPr>
        <w:footnoteReference w:id="69"/>
      </w:r>
      <w:r w:rsidR="002802DA" w:rsidRPr="005545AF">
        <w:rPr>
          <w:lang w:val="en-CA"/>
        </w:rPr>
        <w:t xml:space="preserve"> </w:t>
      </w:r>
      <w:r w:rsidRPr="005545AF">
        <w:rPr>
          <w:lang w:val="en-CA"/>
        </w:rPr>
        <w:t>Referring to</w:t>
      </w:r>
      <w:r w:rsidR="002802DA" w:rsidRPr="005545AF">
        <w:rPr>
          <w:lang w:val="en-CA"/>
        </w:rPr>
        <w:t xml:space="preserve"> </w:t>
      </w:r>
      <w:r w:rsidR="002802DA" w:rsidRPr="005545AF">
        <w:rPr>
          <w:i/>
          <w:iCs/>
          <w:lang w:val="en-CA"/>
        </w:rPr>
        <w:t>Lalli c. Gravel</w:t>
      </w:r>
      <w:bookmarkStart w:id="46" w:name="_Ref207617308"/>
      <w:r w:rsidRPr="005545AF">
        <w:rPr>
          <w:lang w:val="en-CA"/>
        </w:rPr>
        <w:t>,</w:t>
      </w:r>
      <w:r w:rsidR="002802DA" w:rsidRPr="005545AF">
        <w:rPr>
          <w:rStyle w:val="Appelnotedebasdep"/>
          <w:lang w:val="en-CA"/>
        </w:rPr>
        <w:footnoteReference w:id="70"/>
      </w:r>
      <w:bookmarkEnd w:id="46"/>
      <w:r w:rsidR="002802DA" w:rsidRPr="005545AF">
        <w:rPr>
          <w:lang w:val="en-CA"/>
        </w:rPr>
        <w:t xml:space="preserve"> </w:t>
      </w:r>
      <w:r w:rsidRPr="005545AF">
        <w:rPr>
          <w:lang w:val="en-CA"/>
        </w:rPr>
        <w:t>the judge added</w:t>
      </w:r>
      <w:r w:rsidR="002802DA" w:rsidRPr="005545AF">
        <w:rPr>
          <w:lang w:val="en-CA"/>
        </w:rPr>
        <w:t xml:space="preserve"> </w:t>
      </w:r>
      <w:r w:rsidR="00382240" w:rsidRPr="005545AF">
        <w:rPr>
          <w:lang w:val="en-CA"/>
        </w:rPr>
        <w:t xml:space="preserve">that it was not necessary to prove that the post was in fact read by </w:t>
      </w:r>
      <w:r w:rsidR="00BC0C5F" w:rsidRPr="005545AF">
        <w:rPr>
          <w:lang w:val="en-CA"/>
        </w:rPr>
        <w:t>anyone</w:t>
      </w:r>
      <w:r w:rsidR="002802DA" w:rsidRPr="005545AF">
        <w:rPr>
          <w:lang w:val="en-CA"/>
        </w:rPr>
        <w:t xml:space="preserve">. </w:t>
      </w:r>
      <w:r w:rsidR="00382240" w:rsidRPr="005545AF">
        <w:rPr>
          <w:lang w:val="en-CA"/>
        </w:rPr>
        <w:t xml:space="preserve">He concluded that </w:t>
      </w:r>
      <w:r w:rsidR="00EA4959" w:rsidRPr="005545AF">
        <w:rPr>
          <w:lang w:val="en-CA"/>
        </w:rPr>
        <w:t xml:space="preserve">existence of </w:t>
      </w:r>
      <w:r w:rsidR="00174D26" w:rsidRPr="005545AF">
        <w:rPr>
          <w:lang w:val="en-CA"/>
        </w:rPr>
        <w:t>an</w:t>
      </w:r>
      <w:r w:rsidR="00EA4959" w:rsidRPr="005545AF">
        <w:rPr>
          <w:lang w:val="en-CA"/>
        </w:rPr>
        <w:t xml:space="preserve"> injury had been established</w:t>
      </w:r>
      <w:r w:rsidR="00382240" w:rsidRPr="005545AF">
        <w:rPr>
          <w:lang w:val="en-CA"/>
        </w:rPr>
        <w:t>, notably because Google h</w:t>
      </w:r>
      <w:r w:rsidR="00F669DF" w:rsidRPr="005545AF">
        <w:rPr>
          <w:lang w:val="en-CA"/>
        </w:rPr>
        <w:t>olds</w:t>
      </w:r>
      <w:r w:rsidR="00382240" w:rsidRPr="005545AF">
        <w:rPr>
          <w:lang w:val="en-CA"/>
        </w:rPr>
        <w:t xml:space="preserve"> itself out to be a </w:t>
      </w:r>
      <w:r w:rsidR="00174D26" w:rsidRPr="005545AF">
        <w:rPr>
          <w:lang w:val="en-CA"/>
        </w:rPr>
        <w:t>trustworthy</w:t>
      </w:r>
      <w:r w:rsidR="00382240" w:rsidRPr="005545AF">
        <w:rPr>
          <w:lang w:val="en-CA"/>
        </w:rPr>
        <w:t xml:space="preserve"> source of information</w:t>
      </w:r>
      <w:r w:rsidR="002802DA" w:rsidRPr="005545AF">
        <w:rPr>
          <w:rStyle w:val="Appelnotedebasdep"/>
          <w:lang w:val="en-CA"/>
        </w:rPr>
        <w:footnoteReference w:id="71"/>
      </w:r>
      <w:r w:rsidR="002802DA" w:rsidRPr="005545AF">
        <w:rPr>
          <w:lang w:val="en-CA"/>
        </w:rPr>
        <w:t xml:space="preserve"> </w:t>
      </w:r>
      <w:r w:rsidR="00382240" w:rsidRPr="005545AF">
        <w:rPr>
          <w:lang w:val="en-CA"/>
        </w:rPr>
        <w:t xml:space="preserve">and the expert evidence according to which the allegation of pedophilia, even when </w:t>
      </w:r>
      <w:r w:rsidR="004B1D52" w:rsidRPr="005545AF">
        <w:rPr>
          <w:lang w:val="en-CA"/>
        </w:rPr>
        <w:t>proven to be false</w:t>
      </w:r>
      <w:r w:rsidR="002802DA" w:rsidRPr="005545AF">
        <w:rPr>
          <w:lang w:val="en-CA"/>
        </w:rPr>
        <w:t xml:space="preserve">, </w:t>
      </w:r>
      <w:r w:rsidR="00382240" w:rsidRPr="005545AF">
        <w:rPr>
          <w:lang w:val="en-CA"/>
        </w:rPr>
        <w:t>is especially serious and damaging.</w:t>
      </w:r>
      <w:r w:rsidR="002802DA" w:rsidRPr="005545AF">
        <w:rPr>
          <w:rStyle w:val="Appelnotedebasdep"/>
          <w:lang w:val="en-CA"/>
        </w:rPr>
        <w:footnoteReference w:id="72"/>
      </w:r>
      <w:r w:rsidRPr="005545AF">
        <w:rPr>
          <w:lang w:val="en-CA"/>
        </w:rPr>
        <w:t xml:space="preserve"> The judge noted</w:t>
      </w:r>
      <w:r w:rsidR="00382240" w:rsidRPr="005545AF">
        <w:rPr>
          <w:lang w:val="en-CA"/>
        </w:rPr>
        <w:t xml:space="preserve"> that</w:t>
      </w:r>
      <w:r w:rsidR="002802DA" w:rsidRPr="005545AF">
        <w:rPr>
          <w:lang w:val="en-CA"/>
        </w:rPr>
        <w:t xml:space="preserve"> Google </w:t>
      </w:r>
      <w:r w:rsidR="00382240" w:rsidRPr="005545AF">
        <w:rPr>
          <w:lang w:val="en-CA"/>
        </w:rPr>
        <w:t xml:space="preserve">itself recognized the injurious nature of the </w:t>
      </w:r>
      <w:r w:rsidR="004A5D7E" w:rsidRPr="005545AF">
        <w:rPr>
          <w:lang w:val="en-CA"/>
        </w:rPr>
        <w:t>Impugned Post</w:t>
      </w:r>
      <w:r w:rsidR="00382240" w:rsidRPr="005545AF">
        <w:rPr>
          <w:lang w:val="en-CA"/>
        </w:rPr>
        <w:t xml:space="preserve"> prior to </w:t>
      </w:r>
      <w:r w:rsidR="002802DA" w:rsidRPr="005545AF">
        <w:rPr>
          <w:i/>
          <w:iCs/>
          <w:lang w:val="en-CA"/>
        </w:rPr>
        <w:t>Crookes</w:t>
      </w:r>
      <w:r w:rsidR="00382240" w:rsidRPr="005545AF">
        <w:rPr>
          <w:lang w:val="en-CA"/>
        </w:rPr>
        <w:t>.</w:t>
      </w:r>
      <w:r w:rsidR="002802DA" w:rsidRPr="005545AF">
        <w:rPr>
          <w:rStyle w:val="Appelnotedebasdep"/>
          <w:lang w:val="en-CA"/>
        </w:rPr>
        <w:footnoteReference w:id="73"/>
      </w:r>
      <w:r w:rsidR="002802DA" w:rsidRPr="005545AF">
        <w:rPr>
          <w:i/>
          <w:iCs/>
          <w:lang w:val="en-CA"/>
        </w:rPr>
        <w:t xml:space="preserve"> </w:t>
      </w:r>
    </w:p>
    <w:p w14:paraId="58CA52CA" w14:textId="05D92BBA" w:rsidR="002802DA" w:rsidRPr="005545AF" w:rsidRDefault="00BC0C5F" w:rsidP="001F7377">
      <w:pPr>
        <w:pStyle w:val="Paragraphe"/>
        <w:spacing w:line="240" w:lineRule="auto"/>
        <w:rPr>
          <w:lang w:val="en-CA"/>
        </w:rPr>
      </w:pPr>
      <w:r w:rsidRPr="005545AF">
        <w:rPr>
          <w:lang w:val="en-CA"/>
        </w:rPr>
        <w:lastRenderedPageBreak/>
        <w:t>Under the second step</w:t>
      </w:r>
      <w:r w:rsidR="002802DA" w:rsidRPr="005545AF">
        <w:rPr>
          <w:lang w:val="en-CA"/>
        </w:rPr>
        <w:t>,</w:t>
      </w:r>
      <w:r w:rsidRPr="005545AF">
        <w:rPr>
          <w:lang w:val="en-CA"/>
        </w:rPr>
        <w:t xml:space="preserve"> i.e., quantif</w:t>
      </w:r>
      <w:r w:rsidR="00F669DF" w:rsidRPr="005545AF">
        <w:rPr>
          <w:lang w:val="en-CA"/>
        </w:rPr>
        <w:t>ying</w:t>
      </w:r>
      <w:r w:rsidRPr="005545AF">
        <w:rPr>
          <w:lang w:val="en-CA"/>
        </w:rPr>
        <w:t xml:space="preserve"> the injury, </w:t>
      </w:r>
      <w:r w:rsidR="005C2266" w:rsidRPr="005545AF">
        <w:rPr>
          <w:lang w:val="en-CA"/>
        </w:rPr>
        <w:t>this</w:t>
      </w:r>
      <w:r w:rsidRPr="005545AF">
        <w:rPr>
          <w:lang w:val="en-CA"/>
        </w:rPr>
        <w:t xml:space="preserve"> </w:t>
      </w:r>
      <w:r w:rsidR="00B05D74" w:rsidRPr="005545AF">
        <w:rPr>
          <w:lang w:val="en-CA"/>
        </w:rPr>
        <w:t>must be done by</w:t>
      </w:r>
      <w:r w:rsidR="0021578A" w:rsidRPr="005545AF">
        <w:rPr>
          <w:lang w:val="en-CA"/>
        </w:rPr>
        <w:t xml:space="preserve"> applying the conceptual, functional and personal approaches</w:t>
      </w:r>
      <w:r w:rsidR="00F669DF" w:rsidRPr="005545AF">
        <w:rPr>
          <w:lang w:val="en-CA"/>
        </w:rPr>
        <w:t>,</w:t>
      </w:r>
      <w:r w:rsidR="002802DA" w:rsidRPr="005545AF">
        <w:rPr>
          <w:lang w:val="en-CA"/>
        </w:rPr>
        <w:t xml:space="preserve"> </w:t>
      </w:r>
      <w:r w:rsidR="00F669DF" w:rsidRPr="005545AF">
        <w:rPr>
          <w:lang w:val="en-CA"/>
        </w:rPr>
        <w:t>based on</w:t>
      </w:r>
      <w:r w:rsidR="0021578A" w:rsidRPr="005545AF">
        <w:rPr>
          <w:lang w:val="en-CA"/>
        </w:rPr>
        <w:t xml:space="preserve"> all</w:t>
      </w:r>
      <w:r w:rsidR="00B05D74" w:rsidRPr="005545AF">
        <w:rPr>
          <w:lang w:val="en-CA"/>
        </w:rPr>
        <w:t xml:space="preserve"> </w:t>
      </w:r>
      <w:r w:rsidR="0021578A" w:rsidRPr="005545AF">
        <w:rPr>
          <w:lang w:val="en-CA"/>
        </w:rPr>
        <w:t xml:space="preserve">the relevant circumstances enumerated, </w:t>
      </w:r>
      <w:r w:rsidR="0021578A" w:rsidRPr="005545AF">
        <w:rPr>
          <w:i/>
          <w:iCs/>
          <w:lang w:val="en-CA"/>
        </w:rPr>
        <w:t>inter alia</w:t>
      </w:r>
      <w:r w:rsidR="0021578A" w:rsidRPr="005545AF">
        <w:rPr>
          <w:lang w:val="en-CA"/>
        </w:rPr>
        <w:t>, in</w:t>
      </w:r>
      <w:r w:rsidR="002802DA" w:rsidRPr="005545AF">
        <w:rPr>
          <w:lang w:val="en-CA"/>
        </w:rPr>
        <w:t xml:space="preserve"> </w:t>
      </w:r>
      <w:r w:rsidR="002802DA" w:rsidRPr="005545AF">
        <w:rPr>
          <w:i/>
          <w:iCs/>
          <w:lang w:val="en-CA"/>
        </w:rPr>
        <w:t>Lalli</w:t>
      </w:r>
      <w:r w:rsidR="002802DA" w:rsidRPr="005545AF">
        <w:rPr>
          <w:lang w:val="en-CA"/>
        </w:rPr>
        <w:t xml:space="preserve">. </w:t>
      </w:r>
      <w:r w:rsidR="0021578A" w:rsidRPr="005545AF">
        <w:rPr>
          <w:lang w:val="en-CA"/>
        </w:rPr>
        <w:t xml:space="preserve">For the purposes of that analysis, the judge began by noting that he would only consider </w:t>
      </w:r>
      <w:r w:rsidR="00F8535E" w:rsidRPr="005545AF">
        <w:rPr>
          <w:lang w:val="en-CA"/>
        </w:rPr>
        <w:t>facts</w:t>
      </w:r>
      <w:r w:rsidR="00B05D74" w:rsidRPr="005545AF">
        <w:rPr>
          <w:lang w:val="en-CA"/>
        </w:rPr>
        <w:t xml:space="preserve"> that occurred after</w:t>
      </w:r>
      <w:r w:rsidR="0021578A" w:rsidRPr="005545AF">
        <w:rPr>
          <w:lang w:val="en-CA"/>
        </w:rPr>
        <w:t xml:space="preserve"> April 1,</w:t>
      </w:r>
      <w:r w:rsidR="002802DA" w:rsidRPr="005545AF">
        <w:rPr>
          <w:lang w:val="en-CA"/>
        </w:rPr>
        <w:t xml:space="preserve"> 2015</w:t>
      </w:r>
      <w:r w:rsidR="00B53DF6" w:rsidRPr="005545AF">
        <w:rPr>
          <w:lang w:val="en-CA"/>
        </w:rPr>
        <w:t>,</w:t>
      </w:r>
      <w:r w:rsidR="002802DA" w:rsidRPr="005545AF">
        <w:rPr>
          <w:lang w:val="en-CA"/>
        </w:rPr>
        <w:t xml:space="preserve"> </w:t>
      </w:r>
      <w:r w:rsidR="00B53DF6" w:rsidRPr="005545AF">
        <w:rPr>
          <w:lang w:val="en-CA"/>
        </w:rPr>
        <w:t>given the one-year period for prescription in defamation cases.</w:t>
      </w:r>
      <w:r w:rsidR="002802DA" w:rsidRPr="005545AF">
        <w:rPr>
          <w:rStyle w:val="Appelnotedebasdep"/>
          <w:lang w:val="en-CA"/>
        </w:rPr>
        <w:footnoteReference w:id="74"/>
      </w:r>
      <w:r w:rsidR="00B53DF6" w:rsidRPr="005545AF">
        <w:rPr>
          <w:lang w:val="en-CA"/>
        </w:rPr>
        <w:t xml:space="preserve"> He then considered each of the heads of damages claimed</w:t>
      </w:r>
      <w:r w:rsidR="002802DA" w:rsidRPr="005545AF">
        <w:rPr>
          <w:lang w:val="en-CA"/>
        </w:rPr>
        <w:t xml:space="preserve">. </w:t>
      </w:r>
      <w:r w:rsidR="001C0386" w:rsidRPr="005545AF">
        <w:rPr>
          <w:lang w:val="en-CA"/>
        </w:rPr>
        <w:t>Ultimately</w:t>
      </w:r>
      <w:r w:rsidR="002802DA" w:rsidRPr="005545AF">
        <w:rPr>
          <w:lang w:val="en-CA"/>
        </w:rPr>
        <w:t xml:space="preserve">, </w:t>
      </w:r>
      <w:r w:rsidR="00B53DF6" w:rsidRPr="005545AF">
        <w:rPr>
          <w:lang w:val="en-CA"/>
        </w:rPr>
        <w:t>he preferred the expert reports filed by</w:t>
      </w:r>
      <w:r w:rsidR="002802DA" w:rsidRPr="005545AF">
        <w:rPr>
          <w:lang w:val="en-CA"/>
        </w:rPr>
        <w:t xml:space="preserve"> </w:t>
      </w:r>
      <w:r w:rsidR="00F669DF" w:rsidRPr="005545AF">
        <w:rPr>
          <w:lang w:val="en-CA"/>
        </w:rPr>
        <w:t>the appellant</w:t>
      </w:r>
      <w:r w:rsidR="002802DA" w:rsidRPr="005545AF">
        <w:rPr>
          <w:lang w:val="en-CA"/>
        </w:rPr>
        <w:t xml:space="preserve"> – </w:t>
      </w:r>
      <w:r w:rsidR="00B53DF6" w:rsidRPr="005545AF">
        <w:rPr>
          <w:lang w:val="en-CA"/>
        </w:rPr>
        <w:t>those of</w:t>
      </w:r>
      <w:r w:rsidR="002802DA" w:rsidRPr="005545AF">
        <w:rPr>
          <w:lang w:val="en-CA"/>
        </w:rPr>
        <w:t xml:space="preserve"> Dr</w:t>
      </w:r>
      <w:r w:rsidR="00B53DF6" w:rsidRPr="005545AF">
        <w:rPr>
          <w:lang w:val="en-CA"/>
        </w:rPr>
        <w:t>.</w:t>
      </w:r>
      <w:r w:rsidR="002802DA" w:rsidRPr="005545AF">
        <w:rPr>
          <w:lang w:val="en-CA"/>
        </w:rPr>
        <w:t xml:space="preserve"> Franck </w:t>
      </w:r>
      <w:r w:rsidR="00B53DF6" w:rsidRPr="005545AF">
        <w:rPr>
          <w:lang w:val="en-CA"/>
        </w:rPr>
        <w:t>and Dr.</w:t>
      </w:r>
      <w:r w:rsidR="002802DA" w:rsidRPr="005545AF">
        <w:rPr>
          <w:lang w:val="en-CA"/>
        </w:rPr>
        <w:t xml:space="preserve"> Houle – </w:t>
      </w:r>
      <w:r w:rsidR="005C2266" w:rsidRPr="005545AF">
        <w:rPr>
          <w:lang w:val="en-CA"/>
        </w:rPr>
        <w:t>to</w:t>
      </w:r>
      <w:r w:rsidR="00B53DF6" w:rsidRPr="005545AF">
        <w:rPr>
          <w:lang w:val="en-CA"/>
        </w:rPr>
        <w:t xml:space="preserve"> that of</w:t>
      </w:r>
      <w:r w:rsidR="002802DA" w:rsidRPr="005545AF">
        <w:rPr>
          <w:lang w:val="en-CA"/>
        </w:rPr>
        <w:t xml:space="preserve"> Dr</w:t>
      </w:r>
      <w:r w:rsidR="00B53DF6" w:rsidRPr="005545AF">
        <w:rPr>
          <w:lang w:val="en-CA"/>
        </w:rPr>
        <w:t>.</w:t>
      </w:r>
      <w:r w:rsidR="002802DA" w:rsidRPr="005545AF">
        <w:rPr>
          <w:lang w:val="en-CA"/>
        </w:rPr>
        <w:t xml:space="preserve"> Côté</w:t>
      </w:r>
      <w:r w:rsidR="00B05D74" w:rsidRPr="005545AF">
        <w:rPr>
          <w:lang w:val="en-CA"/>
        </w:rPr>
        <w:t>, filed by Google,</w:t>
      </w:r>
      <w:r w:rsidR="002802DA" w:rsidRPr="005545AF">
        <w:rPr>
          <w:lang w:val="en-CA"/>
        </w:rPr>
        <w:t xml:space="preserve"> </w:t>
      </w:r>
      <w:r w:rsidR="00B53DF6" w:rsidRPr="005545AF">
        <w:rPr>
          <w:lang w:val="en-CA"/>
        </w:rPr>
        <w:t xml:space="preserve">and concluded </w:t>
      </w:r>
      <w:r w:rsidR="00B56A91" w:rsidRPr="005545AF">
        <w:rPr>
          <w:lang w:val="en-CA"/>
        </w:rPr>
        <w:t xml:space="preserve">that the plaintiff had suffered </w:t>
      </w:r>
      <w:r w:rsidR="00B53DF6" w:rsidRPr="005545AF">
        <w:rPr>
          <w:lang w:val="en-CA"/>
        </w:rPr>
        <w:t xml:space="preserve">personal psychological </w:t>
      </w:r>
      <w:r w:rsidR="00B56A91" w:rsidRPr="005545AF">
        <w:rPr>
          <w:lang w:val="en-CA"/>
        </w:rPr>
        <w:t>injury independent</w:t>
      </w:r>
      <w:r w:rsidR="001C0386" w:rsidRPr="005545AF">
        <w:rPr>
          <w:lang w:val="en-CA"/>
        </w:rPr>
        <w:t xml:space="preserve"> of</w:t>
      </w:r>
      <w:r w:rsidR="00B56A91" w:rsidRPr="005545AF">
        <w:rPr>
          <w:lang w:val="en-CA"/>
        </w:rPr>
        <w:t xml:space="preserve"> </w:t>
      </w:r>
      <w:r w:rsidR="005C2266" w:rsidRPr="005545AF">
        <w:rPr>
          <w:lang w:val="en-CA"/>
        </w:rPr>
        <w:t>any</w:t>
      </w:r>
      <w:r w:rsidR="00B53DF6" w:rsidRPr="005545AF">
        <w:rPr>
          <w:lang w:val="en-CA"/>
        </w:rPr>
        <w:t xml:space="preserve"> reading of the </w:t>
      </w:r>
      <w:r w:rsidR="004A5D7E" w:rsidRPr="005545AF">
        <w:rPr>
          <w:lang w:val="en-CA"/>
        </w:rPr>
        <w:t>Impugned Post</w:t>
      </w:r>
      <w:r w:rsidR="00B53DF6" w:rsidRPr="005545AF">
        <w:rPr>
          <w:lang w:val="en-CA"/>
        </w:rPr>
        <w:t xml:space="preserve"> by third parties.</w:t>
      </w:r>
      <w:r w:rsidR="002802DA" w:rsidRPr="005545AF">
        <w:rPr>
          <w:rStyle w:val="Appelnotedebasdep"/>
          <w:lang w:val="en-CA"/>
        </w:rPr>
        <w:footnoteReference w:id="75"/>
      </w:r>
      <w:r w:rsidR="002802DA" w:rsidRPr="005545AF">
        <w:rPr>
          <w:lang w:val="en-CA"/>
        </w:rPr>
        <w:t xml:space="preserve"> </w:t>
      </w:r>
      <w:r w:rsidR="00B56A91" w:rsidRPr="005545AF">
        <w:rPr>
          <w:lang w:val="en-CA"/>
        </w:rPr>
        <w:t>He also foun</w:t>
      </w:r>
      <w:r w:rsidR="00FB08AD" w:rsidRPr="005545AF">
        <w:rPr>
          <w:lang w:val="en-CA"/>
        </w:rPr>
        <w:t>d</w:t>
      </w:r>
      <w:r w:rsidR="00B56A91" w:rsidRPr="005545AF">
        <w:rPr>
          <w:lang w:val="en-CA"/>
        </w:rPr>
        <w:t xml:space="preserve">, based on the testimony of </w:t>
      </w:r>
      <w:r w:rsidR="00F669DF" w:rsidRPr="005545AF">
        <w:rPr>
          <w:lang w:val="en-CA"/>
        </w:rPr>
        <w:t>the appellant</w:t>
      </w:r>
      <w:r w:rsidR="00B56A91" w:rsidRPr="005545AF">
        <w:rPr>
          <w:lang w:val="en-CA"/>
        </w:rPr>
        <w:t xml:space="preserve">’s children and expert witness </w:t>
      </w:r>
      <w:r w:rsidR="002802DA" w:rsidRPr="005545AF">
        <w:rPr>
          <w:lang w:val="en-CA"/>
        </w:rPr>
        <w:t>Dr</w:t>
      </w:r>
      <w:r w:rsidR="00B56A91" w:rsidRPr="005545AF">
        <w:rPr>
          <w:lang w:val="en-CA"/>
        </w:rPr>
        <w:t>.</w:t>
      </w:r>
      <w:r w:rsidR="002802DA" w:rsidRPr="005545AF">
        <w:rPr>
          <w:lang w:val="en-CA"/>
        </w:rPr>
        <w:t xml:space="preserve"> Houle, </w:t>
      </w:r>
      <w:r w:rsidR="00B56A91" w:rsidRPr="005545AF">
        <w:rPr>
          <w:lang w:val="en-CA"/>
        </w:rPr>
        <w:t>that the plaintiff had suffered</w:t>
      </w:r>
      <w:r w:rsidR="00FB08AD" w:rsidRPr="005545AF">
        <w:rPr>
          <w:lang w:val="en-CA"/>
        </w:rPr>
        <w:t xml:space="preserve"> a moral injury</w:t>
      </w:r>
      <w:r w:rsidR="00FF3A61" w:rsidRPr="005545AF">
        <w:rPr>
          <w:lang w:val="en-CA"/>
        </w:rPr>
        <w:t xml:space="preserve"> due to </w:t>
      </w:r>
      <w:r w:rsidR="001C0386" w:rsidRPr="005545AF">
        <w:rPr>
          <w:lang w:val="en-CA"/>
        </w:rPr>
        <w:t xml:space="preserve">a </w:t>
      </w:r>
      <w:r w:rsidR="00FF3A61" w:rsidRPr="005545AF">
        <w:rPr>
          <w:lang w:val="en-CA"/>
        </w:rPr>
        <w:t>deterioration of relationships with family and friends</w:t>
      </w:r>
      <w:r w:rsidR="005C2266" w:rsidRPr="005545AF">
        <w:rPr>
          <w:lang w:val="en-CA"/>
        </w:rPr>
        <w:t>,</w:t>
      </w:r>
      <w:r w:rsidR="00FF3A61" w:rsidRPr="005545AF">
        <w:rPr>
          <w:lang w:val="en-CA"/>
        </w:rPr>
        <w:t xml:space="preserve"> </w:t>
      </w:r>
      <w:r w:rsidR="001C0386" w:rsidRPr="005545AF">
        <w:rPr>
          <w:lang w:val="en-CA"/>
        </w:rPr>
        <w:t xml:space="preserve">having been </w:t>
      </w:r>
      <w:r w:rsidR="00FF3A61" w:rsidRPr="005545AF">
        <w:rPr>
          <w:lang w:val="en-CA"/>
        </w:rPr>
        <w:t>“revived”</w:t>
      </w:r>
      <w:r w:rsidR="002802DA" w:rsidRPr="005545AF">
        <w:rPr>
          <w:lang w:val="en-CA"/>
        </w:rPr>
        <w:t xml:space="preserve"> </w:t>
      </w:r>
      <w:r w:rsidR="00FF3A61" w:rsidRPr="005545AF">
        <w:rPr>
          <w:lang w:val="en-CA"/>
        </w:rPr>
        <w:t>in July</w:t>
      </w:r>
      <w:r w:rsidR="002802DA" w:rsidRPr="005545AF">
        <w:rPr>
          <w:lang w:val="en-CA"/>
        </w:rPr>
        <w:t xml:space="preserve"> 2015</w:t>
      </w:r>
      <w:r w:rsidR="00FF3A61" w:rsidRPr="005545AF">
        <w:rPr>
          <w:lang w:val="en-CA"/>
        </w:rPr>
        <w:t>.</w:t>
      </w:r>
      <w:r w:rsidR="002802DA" w:rsidRPr="005545AF">
        <w:rPr>
          <w:rStyle w:val="Appelnotedebasdep"/>
          <w:lang w:val="en-CA"/>
        </w:rPr>
        <w:footnoteReference w:id="76"/>
      </w:r>
      <w:r w:rsidR="002802DA" w:rsidRPr="005545AF">
        <w:rPr>
          <w:lang w:val="en-CA"/>
        </w:rPr>
        <w:t xml:space="preserve"> </w:t>
      </w:r>
      <w:r w:rsidR="00FF3A61" w:rsidRPr="005545AF">
        <w:rPr>
          <w:lang w:val="en-CA"/>
        </w:rPr>
        <w:t xml:space="preserve">The judge excluded </w:t>
      </w:r>
      <w:r w:rsidR="000C0EFA" w:rsidRPr="005545AF">
        <w:rPr>
          <w:lang w:val="en-CA"/>
        </w:rPr>
        <w:t xml:space="preserve">however </w:t>
      </w:r>
      <w:r w:rsidR="00FF3A61" w:rsidRPr="005545AF">
        <w:rPr>
          <w:lang w:val="en-CA"/>
        </w:rPr>
        <w:t xml:space="preserve">any injury to </w:t>
      </w:r>
      <w:r w:rsidR="00F669DF" w:rsidRPr="005545AF">
        <w:rPr>
          <w:lang w:val="en-CA"/>
        </w:rPr>
        <w:t>the appellant</w:t>
      </w:r>
      <w:r w:rsidR="00FF3A61" w:rsidRPr="005545AF">
        <w:rPr>
          <w:lang w:val="en-CA"/>
        </w:rPr>
        <w:t>’s love life</w:t>
      </w:r>
      <w:r w:rsidR="002802DA" w:rsidRPr="005545AF">
        <w:rPr>
          <w:lang w:val="en-CA"/>
        </w:rPr>
        <w:t xml:space="preserve">, </w:t>
      </w:r>
      <w:r w:rsidR="00FF3A61" w:rsidRPr="005545AF">
        <w:rPr>
          <w:lang w:val="en-CA"/>
        </w:rPr>
        <w:t xml:space="preserve">the </w:t>
      </w:r>
      <w:r w:rsidR="00F8535E" w:rsidRPr="005545AF">
        <w:rPr>
          <w:lang w:val="en-CA"/>
        </w:rPr>
        <w:t>facts</w:t>
      </w:r>
      <w:r w:rsidR="00B05D74" w:rsidRPr="005545AF">
        <w:rPr>
          <w:lang w:val="en-CA"/>
        </w:rPr>
        <w:t xml:space="preserve"> having occurred</w:t>
      </w:r>
      <w:r w:rsidR="00FF3A61" w:rsidRPr="005545AF">
        <w:rPr>
          <w:lang w:val="en-CA"/>
        </w:rPr>
        <w:t xml:space="preserve"> </w:t>
      </w:r>
      <w:r w:rsidR="00B05D74" w:rsidRPr="005545AF">
        <w:rPr>
          <w:lang w:val="en-CA"/>
        </w:rPr>
        <w:t>before</w:t>
      </w:r>
      <w:r w:rsidR="00FF3A61" w:rsidRPr="005545AF">
        <w:rPr>
          <w:lang w:val="en-CA"/>
        </w:rPr>
        <w:t xml:space="preserve"> April 1, </w:t>
      </w:r>
      <w:r w:rsidR="002802DA" w:rsidRPr="005545AF">
        <w:rPr>
          <w:lang w:val="en-CA"/>
        </w:rPr>
        <w:t>2015</w:t>
      </w:r>
      <w:r w:rsidR="002802DA" w:rsidRPr="005545AF">
        <w:rPr>
          <w:rStyle w:val="Appelnotedebasdep"/>
          <w:lang w:val="en-CA"/>
        </w:rPr>
        <w:footnoteReference w:id="77"/>
      </w:r>
      <w:r w:rsidR="002802DA" w:rsidRPr="005545AF">
        <w:rPr>
          <w:lang w:val="en-CA"/>
        </w:rPr>
        <w:t xml:space="preserve"> </w:t>
      </w:r>
      <w:r w:rsidR="000C0EFA" w:rsidRPr="005545AF">
        <w:rPr>
          <w:lang w:val="en-CA"/>
        </w:rPr>
        <w:t>as well as, for the same reason</w:t>
      </w:r>
      <w:r w:rsidR="002802DA" w:rsidRPr="005545AF">
        <w:rPr>
          <w:lang w:val="en-CA"/>
        </w:rPr>
        <w:t xml:space="preserve">, </w:t>
      </w:r>
      <w:r w:rsidR="000C0EFA" w:rsidRPr="005545AF">
        <w:rPr>
          <w:lang w:val="en-CA"/>
        </w:rPr>
        <w:t>any moral injury relating to loss of business opportunity and loss of reputation in public life.</w:t>
      </w:r>
      <w:r w:rsidR="002802DA" w:rsidRPr="005545AF">
        <w:rPr>
          <w:rStyle w:val="Appelnotedebasdep"/>
          <w:lang w:val="en-CA"/>
        </w:rPr>
        <w:footnoteReference w:id="78"/>
      </w:r>
      <w:r w:rsidR="000C0EFA" w:rsidRPr="005545AF">
        <w:rPr>
          <w:lang w:val="en-CA"/>
        </w:rPr>
        <w:t xml:space="preserve"> On that point, however, he acknowledge</w:t>
      </w:r>
      <w:r w:rsidR="001C0386" w:rsidRPr="005545AF">
        <w:rPr>
          <w:lang w:val="en-CA"/>
        </w:rPr>
        <w:t>d</w:t>
      </w:r>
      <w:r w:rsidR="000C0EFA" w:rsidRPr="005545AF">
        <w:rPr>
          <w:lang w:val="en-CA"/>
        </w:rPr>
        <w:t xml:space="preserve"> that it is usual in </w:t>
      </w:r>
      <w:r w:rsidR="00F669DF" w:rsidRPr="005545AF">
        <w:rPr>
          <w:lang w:val="en-CA"/>
        </w:rPr>
        <w:t>the appellant</w:t>
      </w:r>
      <w:r w:rsidR="005C2266" w:rsidRPr="005545AF">
        <w:rPr>
          <w:lang w:val="en-CA"/>
        </w:rPr>
        <w:t xml:space="preserve">’s circle </w:t>
      </w:r>
      <w:r w:rsidR="000C0EFA" w:rsidRPr="005545AF">
        <w:rPr>
          <w:lang w:val="en-CA"/>
        </w:rPr>
        <w:t>to</w:t>
      </w:r>
      <w:r w:rsidR="002802DA" w:rsidRPr="005545AF">
        <w:rPr>
          <w:lang w:val="en-CA"/>
        </w:rPr>
        <w:t xml:space="preserve"> </w:t>
      </w:r>
      <w:r w:rsidR="000C0EFA" w:rsidRPr="005545AF">
        <w:rPr>
          <w:lang w:val="en-CA"/>
        </w:rPr>
        <w:t>“</w:t>
      </w:r>
      <w:r w:rsidR="002802DA" w:rsidRPr="005545AF">
        <w:rPr>
          <w:lang w:val="en-CA"/>
        </w:rPr>
        <w:t>google</w:t>
      </w:r>
      <w:r w:rsidR="000C0EFA" w:rsidRPr="005545AF">
        <w:rPr>
          <w:lang w:val="en-CA"/>
        </w:rPr>
        <w:t>”</w:t>
      </w:r>
      <w:r w:rsidR="002802DA" w:rsidRPr="005545AF">
        <w:rPr>
          <w:lang w:val="en-CA"/>
        </w:rPr>
        <w:t xml:space="preserve"> </w:t>
      </w:r>
      <w:r w:rsidR="000C0EFA" w:rsidRPr="005545AF">
        <w:rPr>
          <w:lang w:val="en-CA"/>
        </w:rPr>
        <w:t xml:space="preserve">business partners and concluded that it is not speculative to think that the </w:t>
      </w:r>
      <w:r w:rsidR="004A5D7E" w:rsidRPr="005545AF">
        <w:rPr>
          <w:lang w:val="en-CA"/>
        </w:rPr>
        <w:t>Impugned Post</w:t>
      </w:r>
      <w:r w:rsidR="000C0EFA" w:rsidRPr="005545AF">
        <w:rPr>
          <w:lang w:val="en-CA"/>
        </w:rPr>
        <w:t xml:space="preserve"> caused, and causes still</w:t>
      </w:r>
      <w:r w:rsidR="001C0386" w:rsidRPr="005545AF">
        <w:rPr>
          <w:lang w:val="en-CA"/>
        </w:rPr>
        <w:t>,</w:t>
      </w:r>
      <w:r w:rsidR="000C0EFA" w:rsidRPr="005545AF">
        <w:rPr>
          <w:lang w:val="en-CA"/>
        </w:rPr>
        <w:t xml:space="preserve"> a loss of reputation in business and public life</w:t>
      </w:r>
      <w:r w:rsidR="002802DA" w:rsidRPr="005545AF">
        <w:rPr>
          <w:lang w:val="en-CA"/>
        </w:rPr>
        <w:t xml:space="preserve">, </w:t>
      </w:r>
      <w:r w:rsidR="000C0EFA" w:rsidRPr="005545AF">
        <w:rPr>
          <w:lang w:val="en-CA"/>
        </w:rPr>
        <w:t xml:space="preserve">which </w:t>
      </w:r>
      <w:r w:rsidR="001C0386" w:rsidRPr="005545AF">
        <w:rPr>
          <w:lang w:val="en-CA"/>
        </w:rPr>
        <w:t>he would</w:t>
      </w:r>
      <w:r w:rsidR="000C0EFA" w:rsidRPr="005545AF">
        <w:rPr>
          <w:lang w:val="en-CA"/>
        </w:rPr>
        <w:t xml:space="preserve"> take</w:t>
      </w:r>
      <w:r w:rsidR="001C0386" w:rsidRPr="005545AF">
        <w:rPr>
          <w:lang w:val="en-CA"/>
        </w:rPr>
        <w:t xml:space="preserve"> </w:t>
      </w:r>
      <w:r w:rsidR="000C0EFA" w:rsidRPr="005545AF">
        <w:rPr>
          <w:lang w:val="en-CA"/>
        </w:rPr>
        <w:t>into account in the assessment of quantum.</w:t>
      </w:r>
      <w:r w:rsidR="002802DA" w:rsidRPr="005545AF">
        <w:rPr>
          <w:rStyle w:val="Appelnotedebasdep"/>
          <w:lang w:val="en-CA"/>
        </w:rPr>
        <w:footnoteReference w:id="79"/>
      </w:r>
      <w:r w:rsidR="002802DA" w:rsidRPr="005545AF">
        <w:rPr>
          <w:lang w:val="en-CA"/>
        </w:rPr>
        <w:t xml:space="preserve"> </w:t>
      </w:r>
    </w:p>
    <w:p w14:paraId="64D6FD00" w14:textId="64DBBE5A" w:rsidR="002802DA" w:rsidRPr="005545AF" w:rsidRDefault="001C0386" w:rsidP="001F7377">
      <w:pPr>
        <w:pStyle w:val="Paragraphe"/>
        <w:spacing w:line="240" w:lineRule="auto"/>
        <w:rPr>
          <w:lang w:val="en-CA"/>
        </w:rPr>
      </w:pPr>
      <w:r w:rsidRPr="005545AF">
        <w:rPr>
          <w:lang w:val="en-CA"/>
        </w:rPr>
        <w:t>On the issue of causation</w:t>
      </w:r>
      <w:r w:rsidR="002802DA" w:rsidRPr="005545AF">
        <w:rPr>
          <w:lang w:val="en-CA"/>
        </w:rPr>
        <w:t xml:space="preserve">, </w:t>
      </w:r>
      <w:r w:rsidRPr="005545AF">
        <w:rPr>
          <w:lang w:val="en-CA"/>
        </w:rPr>
        <w:t xml:space="preserve">the judge concluded that the evidence overwhelmingly supported the finding that there </w:t>
      </w:r>
      <w:r w:rsidR="009C53A2" w:rsidRPr="005545AF">
        <w:rPr>
          <w:lang w:val="en-CA"/>
        </w:rPr>
        <w:t>was</w:t>
      </w:r>
      <w:r w:rsidRPr="005545AF">
        <w:rPr>
          <w:lang w:val="en-CA"/>
        </w:rPr>
        <w:t xml:space="preserve"> a causal link between the </w:t>
      </w:r>
      <w:r w:rsidR="004A5D7E" w:rsidRPr="005545AF">
        <w:rPr>
          <w:lang w:val="en-CA"/>
        </w:rPr>
        <w:t>Impugned Post</w:t>
      </w:r>
      <w:r w:rsidRPr="005545AF">
        <w:rPr>
          <w:lang w:val="en-CA"/>
        </w:rPr>
        <w:t xml:space="preserve"> and the moral injury suffered by </w:t>
      </w:r>
      <w:r w:rsidR="008749E1" w:rsidRPr="005545AF">
        <w:rPr>
          <w:lang w:val="en-CA"/>
        </w:rPr>
        <w:t>the appellant,</w:t>
      </w:r>
      <w:r w:rsidRPr="005545AF">
        <w:rPr>
          <w:lang w:val="en-CA"/>
        </w:rPr>
        <w:t xml:space="preserve"> given </w:t>
      </w:r>
      <w:r w:rsidR="002802DA" w:rsidRPr="005545AF">
        <w:rPr>
          <w:lang w:val="en-CA"/>
        </w:rPr>
        <w:t>Google</w:t>
      </w:r>
      <w:r w:rsidR="00FC04DC" w:rsidRPr="005545AF">
        <w:rPr>
          <w:lang w:val="en-CA"/>
        </w:rPr>
        <w:t>’s market share in</w:t>
      </w:r>
      <w:r w:rsidR="002802DA" w:rsidRPr="005545AF">
        <w:rPr>
          <w:lang w:val="en-CA"/>
        </w:rPr>
        <w:t xml:space="preserve"> Canada</w:t>
      </w:r>
      <w:r w:rsidR="002802DA" w:rsidRPr="005545AF">
        <w:rPr>
          <w:rStyle w:val="Appelnotedebasdep"/>
          <w:lang w:val="en-CA"/>
        </w:rPr>
        <w:footnoteReference w:id="80"/>
      </w:r>
      <w:r w:rsidR="002802DA" w:rsidRPr="005545AF">
        <w:rPr>
          <w:lang w:val="en-CA"/>
        </w:rPr>
        <w:t xml:space="preserve"> </w:t>
      </w:r>
      <w:r w:rsidR="00FC04DC" w:rsidRPr="005545AF">
        <w:rPr>
          <w:lang w:val="en-CA"/>
        </w:rPr>
        <w:t>and the fact that</w:t>
      </w:r>
      <w:r w:rsidR="002802DA" w:rsidRPr="005545AF">
        <w:rPr>
          <w:lang w:val="en-CA"/>
        </w:rPr>
        <w:t xml:space="preserve">, </w:t>
      </w:r>
      <w:r w:rsidR="009C53A2" w:rsidRPr="005545AF">
        <w:rPr>
          <w:lang w:val="en-CA"/>
        </w:rPr>
        <w:t xml:space="preserve">had </w:t>
      </w:r>
      <w:r w:rsidR="00FC04DC" w:rsidRPr="005545AF">
        <w:rPr>
          <w:lang w:val="en-CA"/>
        </w:rPr>
        <w:t>Google</w:t>
      </w:r>
      <w:r w:rsidR="009C53A2" w:rsidRPr="005545AF">
        <w:rPr>
          <w:lang w:val="en-CA"/>
        </w:rPr>
        <w:t xml:space="preserve"> not</w:t>
      </w:r>
      <w:r w:rsidR="00FC04DC" w:rsidRPr="005545AF">
        <w:rPr>
          <w:lang w:val="en-CA"/>
        </w:rPr>
        <w:t xml:space="preserve"> index</w:t>
      </w:r>
      <w:r w:rsidR="009C53A2" w:rsidRPr="005545AF">
        <w:rPr>
          <w:lang w:val="en-CA"/>
        </w:rPr>
        <w:t>ed</w:t>
      </w:r>
      <w:r w:rsidR="00FC04DC" w:rsidRPr="005545AF">
        <w:rPr>
          <w:lang w:val="en-CA"/>
        </w:rPr>
        <w:t xml:space="preserve"> </w:t>
      </w:r>
      <w:r w:rsidR="009C53A2" w:rsidRPr="005545AF">
        <w:rPr>
          <w:lang w:val="en-CA"/>
        </w:rPr>
        <w:t>the</w:t>
      </w:r>
      <w:r w:rsidR="00FC04DC" w:rsidRPr="005545AF">
        <w:rPr>
          <w:lang w:val="en-CA"/>
        </w:rPr>
        <w:t xml:space="preserve"> link, dissemination of the </w:t>
      </w:r>
      <w:r w:rsidR="004A5D7E" w:rsidRPr="005545AF">
        <w:rPr>
          <w:lang w:val="en-CA"/>
        </w:rPr>
        <w:t>Impugned Post</w:t>
      </w:r>
      <w:r w:rsidR="00FC04DC" w:rsidRPr="005545AF">
        <w:rPr>
          <w:lang w:val="en-CA"/>
        </w:rPr>
        <w:t xml:space="preserve"> would have been minimal.</w:t>
      </w:r>
      <w:r w:rsidR="002802DA" w:rsidRPr="005545AF">
        <w:rPr>
          <w:rStyle w:val="Appelnotedebasdep"/>
          <w:lang w:val="en-CA"/>
        </w:rPr>
        <w:footnoteReference w:id="81"/>
      </w:r>
      <w:r w:rsidR="00FC04DC" w:rsidRPr="005545AF">
        <w:rPr>
          <w:lang w:val="en-CA"/>
        </w:rPr>
        <w:t xml:space="preserve"> The judge then rejected the submission that </w:t>
      </w:r>
      <w:r w:rsidR="008749E1" w:rsidRPr="005545AF">
        <w:rPr>
          <w:lang w:val="en-CA"/>
        </w:rPr>
        <w:t>the appellant</w:t>
      </w:r>
      <w:r w:rsidR="00FC04DC" w:rsidRPr="005545AF">
        <w:rPr>
          <w:lang w:val="en-CA"/>
        </w:rPr>
        <w:t xml:space="preserve">’s personality </w:t>
      </w:r>
      <w:r w:rsidR="009C53A2" w:rsidRPr="005545AF">
        <w:rPr>
          <w:lang w:val="en-CA"/>
        </w:rPr>
        <w:t>had purportedly</w:t>
      </w:r>
      <w:r w:rsidR="00FC04DC" w:rsidRPr="005545AF">
        <w:rPr>
          <w:lang w:val="en-CA"/>
        </w:rPr>
        <w:t xml:space="preserve"> broken the causal link.</w:t>
      </w:r>
      <w:r w:rsidR="002802DA" w:rsidRPr="005545AF">
        <w:rPr>
          <w:rStyle w:val="Appelnotedebasdep"/>
          <w:lang w:val="en-CA"/>
        </w:rPr>
        <w:footnoteReference w:id="82"/>
      </w:r>
      <w:r w:rsidR="00FC04DC" w:rsidRPr="005545AF">
        <w:rPr>
          <w:lang w:val="en-CA"/>
        </w:rPr>
        <w:t xml:space="preserve"> </w:t>
      </w:r>
      <w:r w:rsidR="002802DA" w:rsidRPr="005545AF">
        <w:rPr>
          <w:lang w:val="en-CA"/>
        </w:rPr>
        <w:t>Final</w:t>
      </w:r>
      <w:r w:rsidR="00FC04DC" w:rsidRPr="005545AF">
        <w:rPr>
          <w:lang w:val="en-CA"/>
        </w:rPr>
        <w:t>ly</w:t>
      </w:r>
      <w:r w:rsidR="002802DA" w:rsidRPr="005545AF">
        <w:rPr>
          <w:lang w:val="en-CA"/>
        </w:rPr>
        <w:t xml:space="preserve">, </w:t>
      </w:r>
      <w:r w:rsidR="00FC04DC" w:rsidRPr="005545AF">
        <w:rPr>
          <w:lang w:val="en-CA"/>
        </w:rPr>
        <w:t xml:space="preserve">the judge concluded that </w:t>
      </w:r>
      <w:r w:rsidR="008749E1" w:rsidRPr="005545AF">
        <w:rPr>
          <w:lang w:val="en-CA"/>
        </w:rPr>
        <w:t>the appellant</w:t>
      </w:r>
      <w:r w:rsidR="002802DA" w:rsidRPr="005545AF">
        <w:rPr>
          <w:lang w:val="en-CA"/>
        </w:rPr>
        <w:t xml:space="preserve"> </w:t>
      </w:r>
      <w:r w:rsidR="00FC04DC" w:rsidRPr="005545AF">
        <w:rPr>
          <w:lang w:val="en-CA"/>
        </w:rPr>
        <w:t xml:space="preserve">had not failed </w:t>
      </w:r>
      <w:r w:rsidR="009C53A2" w:rsidRPr="005545AF">
        <w:rPr>
          <w:lang w:val="en-CA"/>
        </w:rPr>
        <w:t>to meet</w:t>
      </w:r>
      <w:r w:rsidR="00FC04DC" w:rsidRPr="005545AF">
        <w:rPr>
          <w:lang w:val="en-CA"/>
        </w:rPr>
        <w:t xml:space="preserve"> his obligation </w:t>
      </w:r>
      <w:r w:rsidR="009C53A2" w:rsidRPr="005545AF">
        <w:rPr>
          <w:lang w:val="en-CA"/>
        </w:rPr>
        <w:t xml:space="preserve">to </w:t>
      </w:r>
      <w:r w:rsidR="00FC04DC" w:rsidRPr="005545AF">
        <w:rPr>
          <w:lang w:val="en-CA"/>
        </w:rPr>
        <w:t xml:space="preserve">mitigate </w:t>
      </w:r>
      <w:r w:rsidR="008749E1" w:rsidRPr="005545AF">
        <w:rPr>
          <w:lang w:val="en-CA"/>
        </w:rPr>
        <w:t>his injury</w:t>
      </w:r>
      <w:r w:rsidR="00FC04DC" w:rsidRPr="005545AF">
        <w:rPr>
          <w:lang w:val="en-CA"/>
        </w:rPr>
        <w:t xml:space="preserve"> by not acting directly against the post’s author or the </w:t>
      </w:r>
      <w:r w:rsidR="002802DA" w:rsidRPr="005545AF">
        <w:rPr>
          <w:lang w:val="en-CA"/>
        </w:rPr>
        <w:t>ripoffreport.com et usacomplaints.com</w:t>
      </w:r>
      <w:r w:rsidR="00FC04DC" w:rsidRPr="005545AF">
        <w:rPr>
          <w:lang w:val="en-CA"/>
        </w:rPr>
        <w:t xml:space="preserve"> sites,</w:t>
      </w:r>
      <w:r w:rsidR="002802DA" w:rsidRPr="005545AF">
        <w:rPr>
          <w:lang w:val="en-CA"/>
        </w:rPr>
        <w:t xml:space="preserve"> </w:t>
      </w:r>
      <w:r w:rsidR="009C53A2" w:rsidRPr="005545AF">
        <w:rPr>
          <w:lang w:val="en-CA"/>
        </w:rPr>
        <w:t>since</w:t>
      </w:r>
      <w:r w:rsidR="00FC04DC" w:rsidRPr="005545AF">
        <w:rPr>
          <w:lang w:val="en-CA"/>
        </w:rPr>
        <w:t xml:space="preserve"> the </w:t>
      </w:r>
      <w:r w:rsidR="00493BB2" w:rsidRPr="005545AF">
        <w:rPr>
          <w:lang w:val="en-CA"/>
        </w:rPr>
        <w:t>fault found was the fact that Google had ceased, in</w:t>
      </w:r>
      <w:r w:rsidR="002802DA" w:rsidRPr="005545AF">
        <w:rPr>
          <w:lang w:val="en-CA"/>
        </w:rPr>
        <w:t xml:space="preserve"> 2015, </w:t>
      </w:r>
      <w:r w:rsidR="00493BB2" w:rsidRPr="005545AF">
        <w:rPr>
          <w:lang w:val="en-CA"/>
        </w:rPr>
        <w:t>to de-index the link.</w:t>
      </w:r>
      <w:r w:rsidR="002802DA" w:rsidRPr="005545AF">
        <w:rPr>
          <w:rStyle w:val="Appelnotedebasdep"/>
          <w:lang w:val="en-CA"/>
        </w:rPr>
        <w:footnoteReference w:id="83"/>
      </w:r>
    </w:p>
    <w:p w14:paraId="26B4DF3D" w14:textId="6096B506" w:rsidR="002802DA" w:rsidRPr="005545AF" w:rsidRDefault="009C53A2" w:rsidP="001F7377">
      <w:pPr>
        <w:pStyle w:val="Paragraphe"/>
        <w:spacing w:line="240" w:lineRule="auto"/>
        <w:rPr>
          <w:lang w:val="en-CA"/>
        </w:rPr>
      </w:pPr>
      <w:r w:rsidRPr="005545AF">
        <w:rPr>
          <w:lang w:val="en-CA"/>
        </w:rPr>
        <w:t>The judge then proceeded to quantify the injury</w:t>
      </w:r>
      <w:r w:rsidR="008749E1" w:rsidRPr="005545AF">
        <w:rPr>
          <w:lang w:val="en-CA"/>
        </w:rPr>
        <w:t>,</w:t>
      </w:r>
      <w:r w:rsidRPr="005545AF">
        <w:rPr>
          <w:lang w:val="en-CA"/>
        </w:rPr>
        <w:t xml:space="preserve"> </w:t>
      </w:r>
      <w:r w:rsidR="00D57B72" w:rsidRPr="005545AF">
        <w:rPr>
          <w:lang w:val="en-CA"/>
        </w:rPr>
        <w:t>applying</w:t>
      </w:r>
      <w:r w:rsidRPr="005545AF">
        <w:rPr>
          <w:lang w:val="en-CA"/>
        </w:rPr>
        <w:t xml:space="preserve"> the different approaches</w:t>
      </w:r>
      <w:r w:rsidR="002802DA" w:rsidRPr="005545AF">
        <w:rPr>
          <w:lang w:val="en-CA"/>
        </w:rPr>
        <w:t xml:space="preserve">. </w:t>
      </w:r>
      <w:r w:rsidRPr="005545AF">
        <w:rPr>
          <w:lang w:val="en-CA"/>
        </w:rPr>
        <w:t>Under the conceptual approach</w:t>
      </w:r>
      <w:r w:rsidR="002802DA" w:rsidRPr="005545AF">
        <w:rPr>
          <w:lang w:val="en-CA"/>
        </w:rPr>
        <w:t xml:space="preserve">, </w:t>
      </w:r>
      <w:r w:rsidRPr="005545AF">
        <w:rPr>
          <w:lang w:val="en-CA"/>
        </w:rPr>
        <w:t xml:space="preserve">he </w:t>
      </w:r>
      <w:r w:rsidR="002D37DB" w:rsidRPr="005545AF">
        <w:rPr>
          <w:lang w:val="en-CA"/>
        </w:rPr>
        <w:t>accepted</w:t>
      </w:r>
      <w:r w:rsidRPr="005545AF">
        <w:rPr>
          <w:lang w:val="en-CA"/>
        </w:rPr>
        <w:t xml:space="preserve"> the seriousness of the allegations</w:t>
      </w:r>
      <w:r w:rsidR="002D37DB" w:rsidRPr="005545AF">
        <w:rPr>
          <w:lang w:val="en-CA"/>
        </w:rPr>
        <w:t>, their duration and the absence of any freedom of expression considerations</w:t>
      </w:r>
      <w:r w:rsidR="002802DA" w:rsidRPr="005545AF">
        <w:rPr>
          <w:lang w:val="en-CA"/>
        </w:rPr>
        <w:t xml:space="preserve">. </w:t>
      </w:r>
      <w:r w:rsidR="002D37DB" w:rsidRPr="005545AF">
        <w:rPr>
          <w:lang w:val="en-CA"/>
        </w:rPr>
        <w:t>On that point</w:t>
      </w:r>
      <w:r w:rsidR="002802DA" w:rsidRPr="005545AF">
        <w:rPr>
          <w:lang w:val="en-CA"/>
        </w:rPr>
        <w:t xml:space="preserve">, </w:t>
      </w:r>
      <w:r w:rsidR="002D37DB" w:rsidRPr="005545AF">
        <w:rPr>
          <w:lang w:val="en-CA"/>
        </w:rPr>
        <w:t xml:space="preserve">the judge noted that had freedom of expression truly been </w:t>
      </w:r>
      <w:r w:rsidR="005A32F1" w:rsidRPr="005545AF">
        <w:rPr>
          <w:lang w:val="en-CA"/>
        </w:rPr>
        <w:t>at stake</w:t>
      </w:r>
      <w:r w:rsidR="002D37DB" w:rsidRPr="005545AF">
        <w:rPr>
          <w:lang w:val="en-CA"/>
        </w:rPr>
        <w:t xml:space="preserve">, </w:t>
      </w:r>
      <w:r w:rsidR="002802DA" w:rsidRPr="005545AF">
        <w:rPr>
          <w:lang w:val="en-CA"/>
        </w:rPr>
        <w:t xml:space="preserve">Google </w:t>
      </w:r>
      <w:r w:rsidR="002D37DB" w:rsidRPr="005545AF">
        <w:rPr>
          <w:lang w:val="en-CA"/>
        </w:rPr>
        <w:t>would not have agreed to de-index the link prior to</w:t>
      </w:r>
      <w:r w:rsidR="002802DA" w:rsidRPr="005545AF">
        <w:rPr>
          <w:lang w:val="en-CA"/>
        </w:rPr>
        <w:t xml:space="preserve"> </w:t>
      </w:r>
      <w:r w:rsidR="002802DA" w:rsidRPr="005545AF">
        <w:rPr>
          <w:i/>
          <w:iCs/>
          <w:lang w:val="en-CA"/>
        </w:rPr>
        <w:t>Crookes</w:t>
      </w:r>
      <w:r w:rsidR="002D37DB" w:rsidRPr="005545AF">
        <w:rPr>
          <w:lang w:val="en-CA"/>
        </w:rPr>
        <w:t>.</w:t>
      </w:r>
      <w:r w:rsidR="002802DA" w:rsidRPr="005545AF">
        <w:rPr>
          <w:rStyle w:val="Appelnotedebasdep"/>
          <w:lang w:val="en-CA"/>
        </w:rPr>
        <w:footnoteReference w:id="84"/>
      </w:r>
      <w:r w:rsidR="002802DA" w:rsidRPr="005545AF">
        <w:rPr>
          <w:lang w:val="en-CA"/>
        </w:rPr>
        <w:t xml:space="preserve"> </w:t>
      </w:r>
      <w:r w:rsidR="002D37DB" w:rsidRPr="005545AF">
        <w:rPr>
          <w:lang w:val="en-CA"/>
        </w:rPr>
        <w:t>Under the personal approach</w:t>
      </w:r>
      <w:r w:rsidR="002802DA" w:rsidRPr="005545AF">
        <w:rPr>
          <w:lang w:val="en-CA"/>
        </w:rPr>
        <w:t xml:space="preserve">, </w:t>
      </w:r>
      <w:r w:rsidR="002D37DB" w:rsidRPr="005545AF">
        <w:rPr>
          <w:lang w:val="en-CA"/>
        </w:rPr>
        <w:t xml:space="preserve">the judge </w:t>
      </w:r>
      <w:r w:rsidR="002D37DB" w:rsidRPr="005545AF">
        <w:rPr>
          <w:lang w:val="en-CA"/>
        </w:rPr>
        <w:lastRenderedPageBreak/>
        <w:t xml:space="preserve">accepted </w:t>
      </w:r>
      <w:r w:rsidR="00D57B72" w:rsidRPr="005545AF">
        <w:rPr>
          <w:lang w:val="en-CA"/>
        </w:rPr>
        <w:t xml:space="preserve">that </w:t>
      </w:r>
      <w:r w:rsidR="008749E1" w:rsidRPr="005545AF">
        <w:rPr>
          <w:lang w:val="en-CA"/>
        </w:rPr>
        <w:t>the appellant</w:t>
      </w:r>
      <w:r w:rsidR="00D57B72" w:rsidRPr="005545AF">
        <w:rPr>
          <w:lang w:val="en-CA"/>
        </w:rPr>
        <w:t xml:space="preserve"> had </w:t>
      </w:r>
      <w:r w:rsidR="002D37DB" w:rsidRPr="005545AF">
        <w:rPr>
          <w:lang w:val="en-CA"/>
        </w:rPr>
        <w:t>great</w:t>
      </w:r>
      <w:r w:rsidR="00D57B72" w:rsidRPr="005545AF">
        <w:rPr>
          <w:lang w:val="en-CA"/>
        </w:rPr>
        <w:t>ly</w:t>
      </w:r>
      <w:r w:rsidR="002D37DB" w:rsidRPr="005545AF">
        <w:rPr>
          <w:lang w:val="en-CA"/>
        </w:rPr>
        <w:t xml:space="preserve"> suffer</w:t>
      </w:r>
      <w:r w:rsidR="00D57B72" w:rsidRPr="005545AF">
        <w:rPr>
          <w:lang w:val="en-CA"/>
        </w:rPr>
        <w:t>ed</w:t>
      </w:r>
      <w:r w:rsidR="002802DA" w:rsidRPr="005545AF">
        <w:rPr>
          <w:lang w:val="en-CA"/>
        </w:rPr>
        <w:t>.</w:t>
      </w:r>
      <w:r w:rsidR="002802DA" w:rsidRPr="005545AF">
        <w:rPr>
          <w:rStyle w:val="Appelnotedebasdep"/>
          <w:lang w:val="en-CA"/>
        </w:rPr>
        <w:footnoteReference w:id="85"/>
      </w:r>
      <w:r w:rsidR="002802DA" w:rsidRPr="005545AF">
        <w:rPr>
          <w:lang w:val="en-CA"/>
        </w:rPr>
        <w:t xml:space="preserve"> </w:t>
      </w:r>
      <w:r w:rsidR="00E71CB5" w:rsidRPr="005545AF">
        <w:rPr>
          <w:lang w:val="en-CA"/>
        </w:rPr>
        <w:t>Finally, under the functional approach</w:t>
      </w:r>
      <w:r w:rsidR="002802DA" w:rsidRPr="005545AF">
        <w:rPr>
          <w:lang w:val="en-CA"/>
        </w:rPr>
        <w:t xml:space="preserve">, </w:t>
      </w:r>
      <w:r w:rsidR="00E71CB5" w:rsidRPr="005545AF">
        <w:rPr>
          <w:lang w:val="en-CA"/>
        </w:rPr>
        <w:t xml:space="preserve">the judge considered the </w:t>
      </w:r>
      <w:r w:rsidR="008749E1" w:rsidRPr="005545AF">
        <w:rPr>
          <w:lang w:val="en-CA"/>
        </w:rPr>
        <w:t>sums</w:t>
      </w:r>
      <w:r w:rsidR="00E71CB5" w:rsidRPr="005545AF">
        <w:rPr>
          <w:lang w:val="en-CA"/>
        </w:rPr>
        <w:t xml:space="preserve"> awarded in similar cases, the fact that he rejected certain heads of damages as well as the unique nature of this case, notably </w:t>
      </w:r>
      <w:r w:rsidR="00D57B72" w:rsidRPr="005545AF">
        <w:rPr>
          <w:lang w:val="en-CA"/>
        </w:rPr>
        <w:t>on account</w:t>
      </w:r>
      <w:r w:rsidR="00E71CB5" w:rsidRPr="005545AF">
        <w:rPr>
          <w:lang w:val="en-CA"/>
        </w:rPr>
        <w:t xml:space="preserve"> of </w:t>
      </w:r>
      <w:r w:rsidR="008749E1" w:rsidRPr="005545AF">
        <w:rPr>
          <w:lang w:val="en-CA"/>
        </w:rPr>
        <w:t>the appellant</w:t>
      </w:r>
      <w:r w:rsidR="00E71CB5" w:rsidRPr="005545AF">
        <w:rPr>
          <w:lang w:val="en-CA"/>
        </w:rPr>
        <w:t>’s</w:t>
      </w:r>
      <w:r w:rsidR="002802DA" w:rsidRPr="005545AF">
        <w:rPr>
          <w:lang w:val="en-CA"/>
        </w:rPr>
        <w:t xml:space="preserve"> </w:t>
      </w:r>
      <w:r w:rsidR="00E71CB5" w:rsidRPr="005545AF">
        <w:rPr>
          <w:lang w:val="en-CA"/>
        </w:rPr>
        <w:t>highly accomplished life and the effect of Google’s</w:t>
      </w:r>
      <w:r w:rsidR="005A32F1" w:rsidRPr="005545AF">
        <w:rPr>
          <w:lang w:val="en-CA"/>
        </w:rPr>
        <w:t xml:space="preserve"> </w:t>
      </w:r>
      <w:r w:rsidR="00E71CB5" w:rsidRPr="005545AF">
        <w:rPr>
          <w:lang w:val="en-CA"/>
        </w:rPr>
        <w:t>“</w:t>
      </w:r>
      <w:r w:rsidR="002802DA" w:rsidRPr="005545AF">
        <w:rPr>
          <w:lang w:val="en-CA"/>
        </w:rPr>
        <w:t>super-spreading communications technology</w:t>
      </w:r>
      <w:r w:rsidR="00E71CB5" w:rsidRPr="005545AF">
        <w:rPr>
          <w:lang w:val="en-CA"/>
        </w:rPr>
        <w:t>”.</w:t>
      </w:r>
      <w:r w:rsidR="002802DA" w:rsidRPr="005545AF">
        <w:rPr>
          <w:rStyle w:val="Appelnotedebasdep"/>
          <w:lang w:val="en-CA"/>
        </w:rPr>
        <w:footnoteReference w:id="86"/>
      </w:r>
      <w:r w:rsidR="002802DA" w:rsidRPr="005545AF">
        <w:rPr>
          <w:lang w:val="en-CA"/>
        </w:rPr>
        <w:t xml:space="preserve"> </w:t>
      </w:r>
      <w:r w:rsidR="00E71CB5" w:rsidRPr="005545AF">
        <w:rPr>
          <w:lang w:val="en-CA"/>
        </w:rPr>
        <w:t xml:space="preserve">For all those reasons, the judge awarded </w:t>
      </w:r>
      <w:r w:rsidR="005A32F1" w:rsidRPr="005545AF">
        <w:rPr>
          <w:lang w:val="en-CA"/>
        </w:rPr>
        <w:t>the appellant</w:t>
      </w:r>
      <w:r w:rsidR="00E71CB5" w:rsidRPr="005545AF">
        <w:rPr>
          <w:lang w:val="en-CA"/>
        </w:rPr>
        <w:t xml:space="preserve"> $500,000 in compensatory damages.</w:t>
      </w:r>
      <w:r w:rsidR="002802DA" w:rsidRPr="005545AF">
        <w:rPr>
          <w:rStyle w:val="Appelnotedebasdep"/>
          <w:lang w:val="en-CA"/>
        </w:rPr>
        <w:footnoteReference w:id="87"/>
      </w:r>
    </w:p>
    <w:p w14:paraId="03E4F2C4" w14:textId="77777777" w:rsidR="002802DA" w:rsidRPr="005545AF" w:rsidRDefault="002802DA" w:rsidP="001F7377">
      <w:pPr>
        <w:pStyle w:val="Paragraphe"/>
        <w:numPr>
          <w:ilvl w:val="0"/>
          <w:numId w:val="0"/>
        </w:numPr>
        <w:spacing w:line="240" w:lineRule="auto"/>
        <w:jc w:val="center"/>
        <w:rPr>
          <w:rFonts w:cs="Arial"/>
          <w:szCs w:val="24"/>
          <w:lang w:val="en-CA" w:eastAsia="en-US"/>
        </w:rPr>
      </w:pPr>
      <w:r w:rsidRPr="005545AF">
        <w:rPr>
          <w:rFonts w:cs="Arial"/>
          <w:szCs w:val="24"/>
          <w:lang w:val="en-CA" w:eastAsia="en-US"/>
        </w:rPr>
        <w:t>* * *</w:t>
      </w:r>
    </w:p>
    <w:p w14:paraId="0142073F" w14:textId="24709026" w:rsidR="002802DA" w:rsidRPr="005545AF" w:rsidRDefault="007A095D" w:rsidP="001F7377">
      <w:pPr>
        <w:pStyle w:val="Paragraphe"/>
        <w:spacing w:line="240" w:lineRule="auto"/>
        <w:rPr>
          <w:rFonts w:cs="Arial"/>
          <w:szCs w:val="24"/>
          <w:lang w:val="en-CA" w:eastAsia="en-US"/>
        </w:rPr>
      </w:pPr>
      <w:r w:rsidRPr="005545AF">
        <w:rPr>
          <w:rFonts w:cs="Arial"/>
          <w:szCs w:val="24"/>
          <w:lang w:val="en-CA" w:eastAsia="en-US"/>
        </w:rPr>
        <w:t>On this issue, it is not an exaggeration to say that Google is</w:t>
      </w:r>
      <w:r w:rsidR="00A8077B">
        <w:rPr>
          <w:rFonts w:cs="Arial"/>
          <w:szCs w:val="24"/>
          <w:lang w:val="en-CA" w:eastAsia="en-US"/>
        </w:rPr>
        <w:t xml:space="preserve"> leaving no stone unturned</w:t>
      </w:r>
      <w:r w:rsidR="002802DA" w:rsidRPr="005545AF">
        <w:rPr>
          <w:rFonts w:cs="Arial"/>
          <w:szCs w:val="24"/>
          <w:lang w:val="en-CA" w:eastAsia="en-US"/>
        </w:rPr>
        <w:t xml:space="preserve">. </w:t>
      </w:r>
      <w:r w:rsidR="00F75947" w:rsidRPr="005545AF">
        <w:rPr>
          <w:rFonts w:cs="Arial"/>
          <w:szCs w:val="24"/>
          <w:lang w:val="en-CA" w:eastAsia="en-US"/>
        </w:rPr>
        <w:t xml:space="preserve">It </w:t>
      </w:r>
      <w:r w:rsidR="00001D64" w:rsidRPr="005545AF">
        <w:rPr>
          <w:rFonts w:cs="Arial"/>
          <w:szCs w:val="24"/>
          <w:lang w:val="en-CA" w:eastAsia="en-US"/>
        </w:rPr>
        <w:t>begins by claiming</w:t>
      </w:r>
      <w:r w:rsidR="00F75947" w:rsidRPr="005545AF">
        <w:rPr>
          <w:rFonts w:cs="Arial"/>
          <w:szCs w:val="24"/>
          <w:lang w:val="en-CA" w:eastAsia="en-US"/>
        </w:rPr>
        <w:t xml:space="preserve"> that no monetary loss has been made out, the judge merely </w:t>
      </w:r>
      <w:r w:rsidR="005A32F1" w:rsidRPr="005545AF">
        <w:rPr>
          <w:rFonts w:cs="Arial"/>
          <w:szCs w:val="24"/>
          <w:lang w:val="en-CA" w:eastAsia="en-US"/>
        </w:rPr>
        <w:t>acknowledging</w:t>
      </w:r>
      <w:r w:rsidR="00F75947" w:rsidRPr="005545AF">
        <w:rPr>
          <w:rFonts w:cs="Arial"/>
          <w:szCs w:val="24"/>
          <w:lang w:val="en-CA" w:eastAsia="en-US"/>
        </w:rPr>
        <w:t xml:space="preserve"> moral damages for loss of reputation.</w:t>
      </w:r>
      <w:r w:rsidR="002802DA" w:rsidRPr="005545AF">
        <w:rPr>
          <w:rFonts w:cs="Arial"/>
          <w:szCs w:val="24"/>
          <w:lang w:val="en-CA" w:eastAsia="en-US"/>
        </w:rPr>
        <w:t xml:space="preserve"> </w:t>
      </w:r>
      <w:r w:rsidR="00F75947" w:rsidRPr="005545AF">
        <w:rPr>
          <w:rFonts w:cs="Arial"/>
          <w:szCs w:val="24"/>
          <w:lang w:val="en-CA" w:eastAsia="en-US"/>
        </w:rPr>
        <w:t xml:space="preserve">Here again, however, </w:t>
      </w:r>
      <w:r w:rsidR="002802DA" w:rsidRPr="005545AF">
        <w:rPr>
          <w:rFonts w:cs="Arial"/>
          <w:szCs w:val="24"/>
          <w:lang w:val="en-CA" w:eastAsia="en-US"/>
        </w:rPr>
        <w:t xml:space="preserve">Google </w:t>
      </w:r>
      <w:r w:rsidR="00001D64" w:rsidRPr="005545AF">
        <w:rPr>
          <w:rFonts w:cs="Arial"/>
          <w:szCs w:val="24"/>
          <w:lang w:val="en-CA" w:eastAsia="en-US"/>
        </w:rPr>
        <w:t>argues</w:t>
      </w:r>
      <w:r w:rsidR="00F75947" w:rsidRPr="005545AF">
        <w:rPr>
          <w:rFonts w:cs="Arial"/>
          <w:szCs w:val="24"/>
          <w:lang w:val="en-CA" w:eastAsia="en-US"/>
        </w:rPr>
        <w:t xml:space="preserve"> that there is no evidence showing that</w:t>
      </w:r>
      <w:r w:rsidR="00001D64" w:rsidRPr="005545AF">
        <w:rPr>
          <w:rFonts w:cs="Arial"/>
          <w:szCs w:val="24"/>
          <w:lang w:val="en-CA" w:eastAsia="en-US"/>
        </w:rPr>
        <w:t>,</w:t>
      </w:r>
      <w:r w:rsidR="00F75947" w:rsidRPr="005545AF">
        <w:rPr>
          <w:rFonts w:cs="Arial"/>
          <w:szCs w:val="24"/>
          <w:lang w:val="en-CA" w:eastAsia="en-US"/>
        </w:rPr>
        <w:t xml:space="preserve"> since 2015</w:t>
      </w:r>
      <w:r w:rsidR="00001D64" w:rsidRPr="005545AF">
        <w:rPr>
          <w:rFonts w:cs="Arial"/>
          <w:szCs w:val="24"/>
          <w:lang w:val="en-CA" w:eastAsia="en-US"/>
        </w:rPr>
        <w:t>,</w:t>
      </w:r>
      <w:r w:rsidR="00F75947" w:rsidRPr="005545AF">
        <w:rPr>
          <w:rFonts w:cs="Arial"/>
          <w:szCs w:val="24"/>
          <w:lang w:val="en-CA" w:eastAsia="en-US"/>
        </w:rPr>
        <w:t xml:space="preserve"> </w:t>
      </w:r>
      <w:r w:rsidR="003C757E" w:rsidRPr="005545AF">
        <w:rPr>
          <w:rFonts w:cs="Arial"/>
          <w:szCs w:val="24"/>
          <w:lang w:val="en-CA" w:eastAsia="en-US"/>
        </w:rPr>
        <w:t>anyone</w:t>
      </w:r>
      <w:r w:rsidR="00F75947" w:rsidRPr="005545AF">
        <w:rPr>
          <w:rFonts w:cs="Arial"/>
          <w:szCs w:val="24"/>
          <w:lang w:val="en-CA" w:eastAsia="en-US"/>
        </w:rPr>
        <w:t xml:space="preserve"> </w:t>
      </w:r>
      <w:r w:rsidR="003C757E" w:rsidRPr="005545AF">
        <w:rPr>
          <w:rFonts w:cs="Arial"/>
          <w:szCs w:val="24"/>
          <w:lang w:val="en-CA" w:eastAsia="en-US"/>
        </w:rPr>
        <w:t>was able to</w:t>
      </w:r>
      <w:r w:rsidR="00F75947" w:rsidRPr="005545AF">
        <w:rPr>
          <w:rFonts w:cs="Arial"/>
          <w:szCs w:val="24"/>
          <w:lang w:val="en-CA" w:eastAsia="en-US"/>
        </w:rPr>
        <w:t xml:space="preserve"> access the </w:t>
      </w:r>
      <w:r w:rsidR="004A5D7E" w:rsidRPr="005545AF">
        <w:rPr>
          <w:rFonts w:cs="Arial"/>
          <w:szCs w:val="24"/>
          <w:lang w:val="en-CA" w:eastAsia="en-US"/>
        </w:rPr>
        <w:t>Impugned Post</w:t>
      </w:r>
      <w:r w:rsidR="00F75947" w:rsidRPr="005545AF">
        <w:rPr>
          <w:rFonts w:cs="Arial"/>
          <w:szCs w:val="24"/>
          <w:lang w:val="en-CA" w:eastAsia="en-US"/>
        </w:rPr>
        <w:t xml:space="preserve"> via the link</w:t>
      </w:r>
      <w:r w:rsidR="002802DA" w:rsidRPr="005545AF">
        <w:rPr>
          <w:rFonts w:cs="Arial"/>
          <w:szCs w:val="24"/>
          <w:lang w:val="en-CA" w:eastAsia="en-US"/>
        </w:rPr>
        <w:t xml:space="preserve">. </w:t>
      </w:r>
      <w:r w:rsidR="003C757E" w:rsidRPr="005545AF">
        <w:rPr>
          <w:rFonts w:cs="Arial"/>
          <w:szCs w:val="24"/>
          <w:lang w:val="en-CA" w:eastAsia="en-US"/>
        </w:rPr>
        <w:t>Without</w:t>
      </w:r>
      <w:r w:rsidR="00F75947" w:rsidRPr="005545AF">
        <w:rPr>
          <w:rFonts w:cs="Arial"/>
          <w:szCs w:val="24"/>
          <w:lang w:val="en-CA" w:eastAsia="en-US"/>
        </w:rPr>
        <w:t xml:space="preserve"> evidence</w:t>
      </w:r>
      <w:r w:rsidR="003C757E" w:rsidRPr="005545AF">
        <w:rPr>
          <w:rFonts w:cs="Arial"/>
          <w:szCs w:val="24"/>
          <w:lang w:val="en-CA" w:eastAsia="en-US"/>
        </w:rPr>
        <w:t xml:space="preserve"> of this</w:t>
      </w:r>
      <w:r w:rsidR="00F75947" w:rsidRPr="005545AF">
        <w:rPr>
          <w:rFonts w:cs="Arial"/>
          <w:szCs w:val="24"/>
          <w:lang w:val="en-CA" w:eastAsia="en-US"/>
        </w:rPr>
        <w:t xml:space="preserve">, </w:t>
      </w:r>
      <w:r w:rsidR="00001D64" w:rsidRPr="005545AF">
        <w:rPr>
          <w:rFonts w:cs="Arial"/>
          <w:szCs w:val="24"/>
          <w:lang w:val="en-CA" w:eastAsia="en-US"/>
        </w:rPr>
        <w:t>which</w:t>
      </w:r>
      <w:r w:rsidR="000E5EA8" w:rsidRPr="005545AF">
        <w:rPr>
          <w:rFonts w:cs="Arial"/>
          <w:szCs w:val="24"/>
          <w:lang w:val="en-CA" w:eastAsia="en-US"/>
        </w:rPr>
        <w:t xml:space="preserve"> the judge could not </w:t>
      </w:r>
      <w:r w:rsidR="003C757E" w:rsidRPr="005545AF">
        <w:rPr>
          <w:rFonts w:cs="Arial"/>
          <w:szCs w:val="24"/>
          <w:lang w:val="en-CA" w:eastAsia="en-US"/>
        </w:rPr>
        <w:t>pre</w:t>
      </w:r>
      <w:r w:rsidR="000E5EA8" w:rsidRPr="005545AF">
        <w:rPr>
          <w:rFonts w:cs="Arial"/>
          <w:szCs w:val="24"/>
          <w:lang w:val="en-CA" w:eastAsia="en-US"/>
        </w:rPr>
        <w:t>sume</w:t>
      </w:r>
      <w:r w:rsidR="005A32F1" w:rsidRPr="005545AF">
        <w:rPr>
          <w:rFonts w:cs="Arial"/>
          <w:szCs w:val="24"/>
          <w:lang w:val="en-CA" w:eastAsia="en-US"/>
        </w:rPr>
        <w:t>,</w:t>
      </w:r>
      <w:r w:rsidR="002802DA" w:rsidRPr="005545AF">
        <w:rPr>
          <w:rStyle w:val="Appelnotedebasdep"/>
          <w:rFonts w:cs="Arial"/>
          <w:szCs w:val="24"/>
          <w:lang w:val="en-CA" w:eastAsia="en-US"/>
        </w:rPr>
        <w:footnoteReference w:id="88"/>
      </w:r>
      <w:r w:rsidR="005A32F1" w:rsidRPr="005545AF">
        <w:rPr>
          <w:rFonts w:cs="Arial"/>
          <w:szCs w:val="24"/>
          <w:lang w:val="en-CA" w:eastAsia="en-US"/>
        </w:rPr>
        <w:t xml:space="preserve"> </w:t>
      </w:r>
      <w:r w:rsidR="000E5EA8" w:rsidRPr="005545AF">
        <w:rPr>
          <w:rFonts w:cs="Arial"/>
          <w:szCs w:val="24"/>
          <w:lang w:val="en-CA" w:eastAsia="en-US"/>
        </w:rPr>
        <w:t xml:space="preserve">the injury could only </w:t>
      </w:r>
      <w:r w:rsidR="00D04E3D" w:rsidRPr="005545AF">
        <w:rPr>
          <w:rFonts w:cs="Arial"/>
          <w:szCs w:val="24"/>
          <w:lang w:val="en-CA" w:eastAsia="en-US"/>
        </w:rPr>
        <w:t>rest on</w:t>
      </w:r>
      <w:r w:rsidR="00001D64" w:rsidRPr="005545AF">
        <w:rPr>
          <w:rFonts w:cs="Arial"/>
          <w:szCs w:val="24"/>
          <w:lang w:val="en-CA" w:eastAsia="en-US"/>
        </w:rPr>
        <w:t xml:space="preserve"> </w:t>
      </w:r>
      <w:r w:rsidR="000E5EA8" w:rsidRPr="005545AF">
        <w:rPr>
          <w:rFonts w:cs="Arial"/>
          <w:szCs w:val="24"/>
          <w:lang w:val="en-CA" w:eastAsia="en-US"/>
        </w:rPr>
        <w:t xml:space="preserve">the presence of the </w:t>
      </w:r>
      <w:r w:rsidR="004A5D7E" w:rsidRPr="005545AF">
        <w:rPr>
          <w:rFonts w:cs="Arial"/>
          <w:szCs w:val="24"/>
          <w:lang w:val="en-CA" w:eastAsia="en-US"/>
        </w:rPr>
        <w:t>Impugned Post</w:t>
      </w:r>
      <w:r w:rsidR="000E5EA8" w:rsidRPr="005545AF">
        <w:rPr>
          <w:rFonts w:cs="Arial"/>
          <w:szCs w:val="24"/>
          <w:lang w:val="en-CA" w:eastAsia="en-US"/>
        </w:rPr>
        <w:t xml:space="preserve"> on the Internet, over which Google ha</w:t>
      </w:r>
      <w:r w:rsidR="005A32F1" w:rsidRPr="005545AF">
        <w:rPr>
          <w:rFonts w:cs="Arial"/>
          <w:szCs w:val="24"/>
          <w:lang w:val="en-CA" w:eastAsia="en-US"/>
        </w:rPr>
        <w:t>d</w:t>
      </w:r>
      <w:r w:rsidR="000E5EA8" w:rsidRPr="005545AF">
        <w:rPr>
          <w:rFonts w:cs="Arial"/>
          <w:szCs w:val="24"/>
          <w:lang w:val="en-CA" w:eastAsia="en-US"/>
        </w:rPr>
        <w:t xml:space="preserve"> no control, thereby breaking any causal link</w:t>
      </w:r>
      <w:r w:rsidR="002802DA" w:rsidRPr="005545AF">
        <w:rPr>
          <w:rFonts w:cs="Arial"/>
          <w:szCs w:val="24"/>
          <w:lang w:val="en-CA" w:eastAsia="en-US"/>
        </w:rPr>
        <w:t xml:space="preserve">.  </w:t>
      </w:r>
    </w:p>
    <w:p w14:paraId="5D1CBEA5" w14:textId="5FB7494A" w:rsidR="002802DA" w:rsidRPr="005545AF" w:rsidRDefault="00D04E3D" w:rsidP="001F7377">
      <w:pPr>
        <w:pStyle w:val="Paragraphe"/>
        <w:spacing w:line="240" w:lineRule="auto"/>
        <w:rPr>
          <w:rFonts w:cs="Arial"/>
          <w:szCs w:val="24"/>
          <w:lang w:val="en-CA" w:eastAsia="en-US"/>
        </w:rPr>
      </w:pPr>
      <w:r w:rsidRPr="005545AF">
        <w:rPr>
          <w:rFonts w:cs="Arial"/>
          <w:szCs w:val="24"/>
          <w:lang w:val="en-CA" w:eastAsia="en-US"/>
        </w:rPr>
        <w:t xml:space="preserve">Regarding the </w:t>
      </w:r>
      <w:r w:rsidR="002802DA" w:rsidRPr="005545AF">
        <w:rPr>
          <w:rFonts w:cs="Arial"/>
          <w:szCs w:val="24"/>
          <w:lang w:val="en-CA" w:eastAsia="en-US"/>
        </w:rPr>
        <w:t>2015</w:t>
      </w:r>
      <w:r w:rsidRPr="005545AF">
        <w:rPr>
          <w:rFonts w:cs="Arial"/>
          <w:szCs w:val="24"/>
          <w:lang w:val="en-CA" w:eastAsia="en-US"/>
        </w:rPr>
        <w:t xml:space="preserve"> time-based limit</w:t>
      </w:r>
      <w:r w:rsidR="002802DA" w:rsidRPr="005545AF">
        <w:rPr>
          <w:rFonts w:cs="Arial"/>
          <w:szCs w:val="24"/>
          <w:lang w:val="en-CA" w:eastAsia="en-US"/>
        </w:rPr>
        <w:t xml:space="preserve">, Google </w:t>
      </w:r>
      <w:r w:rsidRPr="005545AF">
        <w:rPr>
          <w:rFonts w:cs="Arial"/>
          <w:szCs w:val="24"/>
          <w:lang w:val="en-CA" w:eastAsia="en-US"/>
        </w:rPr>
        <w:t>submits that the judge, despite his claim to the contrary, relie</w:t>
      </w:r>
      <w:r w:rsidR="00A5421D" w:rsidRPr="005545AF">
        <w:rPr>
          <w:rFonts w:cs="Arial"/>
          <w:szCs w:val="24"/>
          <w:lang w:val="en-CA" w:eastAsia="en-US"/>
        </w:rPr>
        <w:t>d</w:t>
      </w:r>
      <w:r w:rsidRPr="005545AF">
        <w:rPr>
          <w:rFonts w:cs="Arial"/>
          <w:szCs w:val="24"/>
          <w:lang w:val="en-CA" w:eastAsia="en-US"/>
        </w:rPr>
        <w:t xml:space="preserve"> on</w:t>
      </w:r>
      <w:r w:rsidR="00486A62" w:rsidRPr="005545AF">
        <w:rPr>
          <w:rFonts w:cs="Arial"/>
          <w:szCs w:val="24"/>
          <w:lang w:val="en-CA" w:eastAsia="en-US"/>
        </w:rPr>
        <w:t xml:space="preserve"> facts that predated that limit, and were therefore</w:t>
      </w:r>
      <w:r w:rsidR="00F8535E" w:rsidRPr="005545AF">
        <w:rPr>
          <w:rFonts w:cs="Arial"/>
          <w:szCs w:val="24"/>
          <w:lang w:val="en-CA" w:eastAsia="en-US"/>
        </w:rPr>
        <w:t xml:space="preserve"> </w:t>
      </w:r>
      <w:r w:rsidRPr="005545AF">
        <w:rPr>
          <w:rFonts w:cs="Arial"/>
          <w:szCs w:val="24"/>
          <w:lang w:val="en-CA" w:eastAsia="en-US"/>
        </w:rPr>
        <w:t>time-barred but, especially, th</w:t>
      </w:r>
      <w:r w:rsidR="00D928F7" w:rsidRPr="005545AF">
        <w:rPr>
          <w:rFonts w:cs="Arial"/>
          <w:szCs w:val="24"/>
          <w:lang w:val="en-CA" w:eastAsia="en-US"/>
        </w:rPr>
        <w:t>at</w:t>
      </w:r>
      <w:r w:rsidRPr="005545AF">
        <w:rPr>
          <w:rFonts w:cs="Arial"/>
          <w:szCs w:val="24"/>
          <w:lang w:val="en-CA" w:eastAsia="en-US"/>
        </w:rPr>
        <w:t xml:space="preserve"> the judge himself accepted that Google’s pre-</w:t>
      </w:r>
      <w:r w:rsidRPr="005545AF">
        <w:rPr>
          <w:rFonts w:cs="Arial"/>
          <w:i/>
          <w:iCs/>
          <w:szCs w:val="24"/>
          <w:lang w:val="en-CA" w:eastAsia="en-US"/>
        </w:rPr>
        <w:t>Crookes</w:t>
      </w:r>
      <w:r w:rsidRPr="005545AF">
        <w:rPr>
          <w:rFonts w:cs="Arial"/>
          <w:szCs w:val="24"/>
          <w:lang w:val="en-CA" w:eastAsia="en-US"/>
        </w:rPr>
        <w:t xml:space="preserve"> policy </w:t>
      </w:r>
      <w:r w:rsidR="00D928F7" w:rsidRPr="005545AF">
        <w:rPr>
          <w:rFonts w:cs="Arial"/>
          <w:szCs w:val="24"/>
          <w:lang w:val="en-CA" w:eastAsia="en-US"/>
        </w:rPr>
        <w:t>complied with Quebec law and was therefore not wrongful.</w:t>
      </w:r>
      <w:r w:rsidR="002802DA" w:rsidRPr="005545AF">
        <w:rPr>
          <w:rStyle w:val="Appelnotedebasdep"/>
          <w:rFonts w:cs="Arial"/>
          <w:szCs w:val="24"/>
          <w:lang w:val="en-CA" w:eastAsia="en-US"/>
        </w:rPr>
        <w:footnoteReference w:id="89"/>
      </w:r>
      <w:r w:rsidR="00D928F7" w:rsidRPr="005545AF">
        <w:rPr>
          <w:rFonts w:cs="Arial"/>
          <w:szCs w:val="24"/>
          <w:lang w:val="en-CA" w:eastAsia="en-US"/>
        </w:rPr>
        <w:t xml:space="preserve"> It was thus </w:t>
      </w:r>
      <w:r w:rsidR="00A5421D" w:rsidRPr="005545AF">
        <w:rPr>
          <w:rFonts w:cs="Arial"/>
          <w:szCs w:val="24"/>
          <w:lang w:val="en-CA" w:eastAsia="en-US"/>
        </w:rPr>
        <w:t xml:space="preserve">not </w:t>
      </w:r>
      <w:r w:rsidR="00D928F7" w:rsidRPr="005545AF">
        <w:rPr>
          <w:rFonts w:cs="Arial"/>
          <w:szCs w:val="24"/>
          <w:lang w:val="en-CA" w:eastAsia="en-US"/>
        </w:rPr>
        <w:t xml:space="preserve">open to the judge to </w:t>
      </w:r>
      <w:r w:rsidR="00A5421D" w:rsidRPr="005545AF">
        <w:rPr>
          <w:rFonts w:cs="Arial"/>
          <w:szCs w:val="24"/>
          <w:lang w:val="en-CA" w:eastAsia="en-US"/>
        </w:rPr>
        <w:t>find</w:t>
      </w:r>
      <w:r w:rsidR="00D928F7" w:rsidRPr="005545AF">
        <w:rPr>
          <w:rFonts w:cs="Arial"/>
          <w:szCs w:val="24"/>
          <w:lang w:val="en-CA" w:eastAsia="en-US"/>
        </w:rPr>
        <w:t xml:space="preserve"> that the post</w:t>
      </w:r>
      <w:r w:rsidR="00A5421D" w:rsidRPr="005545AF">
        <w:rPr>
          <w:rFonts w:cs="Arial"/>
          <w:szCs w:val="24"/>
          <w:lang w:val="en-CA" w:eastAsia="en-US"/>
        </w:rPr>
        <w:t>-</w:t>
      </w:r>
      <w:r w:rsidR="002802DA" w:rsidRPr="005545AF">
        <w:rPr>
          <w:rFonts w:cs="Arial"/>
          <w:szCs w:val="24"/>
          <w:lang w:val="en-CA" w:eastAsia="en-US"/>
        </w:rPr>
        <w:t>2015</w:t>
      </w:r>
      <w:r w:rsidR="00D928F7" w:rsidRPr="005545AF">
        <w:rPr>
          <w:rFonts w:cs="Arial"/>
          <w:szCs w:val="24"/>
          <w:lang w:val="en-CA" w:eastAsia="en-US"/>
        </w:rPr>
        <w:t xml:space="preserve"> fault</w:t>
      </w:r>
      <w:r w:rsidR="002802DA" w:rsidRPr="005545AF">
        <w:rPr>
          <w:rFonts w:cs="Arial"/>
          <w:szCs w:val="24"/>
          <w:lang w:val="en-CA" w:eastAsia="en-US"/>
        </w:rPr>
        <w:t xml:space="preserve">, </w:t>
      </w:r>
      <w:r w:rsidR="00A5421D" w:rsidRPr="005545AF">
        <w:rPr>
          <w:rFonts w:cs="Arial"/>
          <w:szCs w:val="24"/>
          <w:lang w:val="en-CA" w:eastAsia="en-US"/>
        </w:rPr>
        <w:t>if</w:t>
      </w:r>
      <w:r w:rsidR="00D928F7" w:rsidRPr="005545AF">
        <w:rPr>
          <w:rFonts w:cs="Arial"/>
          <w:szCs w:val="24"/>
          <w:lang w:val="en-CA" w:eastAsia="en-US"/>
        </w:rPr>
        <w:t xml:space="preserve"> it existed</w:t>
      </w:r>
      <w:r w:rsidR="00A5421D" w:rsidRPr="005545AF">
        <w:rPr>
          <w:rFonts w:cs="Arial"/>
          <w:szCs w:val="24"/>
          <w:lang w:val="en-CA" w:eastAsia="en-US"/>
        </w:rPr>
        <w:t xml:space="preserve"> at all</w:t>
      </w:r>
      <w:r w:rsidR="00D928F7" w:rsidRPr="005545AF">
        <w:rPr>
          <w:rFonts w:cs="Arial"/>
          <w:szCs w:val="24"/>
          <w:lang w:val="en-CA" w:eastAsia="en-US"/>
        </w:rPr>
        <w:t xml:space="preserve">, revived and aggravated the </w:t>
      </w:r>
      <w:r w:rsidR="00A5421D" w:rsidRPr="005545AF">
        <w:rPr>
          <w:rFonts w:cs="Arial"/>
          <w:szCs w:val="24"/>
          <w:lang w:val="en-CA" w:eastAsia="en-US"/>
        </w:rPr>
        <w:t>prior</w:t>
      </w:r>
      <w:r w:rsidR="00D928F7" w:rsidRPr="005545AF">
        <w:rPr>
          <w:rFonts w:cs="Arial"/>
          <w:szCs w:val="24"/>
          <w:lang w:val="en-CA" w:eastAsia="en-US"/>
        </w:rPr>
        <w:t xml:space="preserve"> injury by repeated wrongful conduct</w:t>
      </w:r>
      <w:r w:rsidR="002802DA" w:rsidRPr="005545AF">
        <w:rPr>
          <w:rFonts w:cs="Arial"/>
          <w:szCs w:val="24"/>
          <w:lang w:val="en-CA" w:eastAsia="en-US"/>
        </w:rPr>
        <w:t>.</w:t>
      </w:r>
    </w:p>
    <w:p w14:paraId="32CABA14" w14:textId="23FD292C" w:rsidR="002802DA" w:rsidRPr="005545AF" w:rsidRDefault="00B9327F" w:rsidP="001F7377">
      <w:pPr>
        <w:pStyle w:val="Paragraphe"/>
        <w:spacing w:line="240" w:lineRule="auto"/>
        <w:rPr>
          <w:lang w:val="en-CA"/>
        </w:rPr>
      </w:pPr>
      <w:r w:rsidRPr="005545AF">
        <w:rPr>
          <w:lang w:val="en-CA"/>
        </w:rPr>
        <w:t xml:space="preserve">Finally, Google criticizes the judge for taking into account </w:t>
      </w:r>
      <w:r w:rsidR="00486A62" w:rsidRPr="005545AF">
        <w:rPr>
          <w:lang w:val="en-CA"/>
        </w:rPr>
        <w:t xml:space="preserve">hearsay </w:t>
      </w:r>
      <w:r w:rsidRPr="005545AF">
        <w:rPr>
          <w:lang w:val="en-CA"/>
        </w:rPr>
        <w:t xml:space="preserve">statements by </w:t>
      </w:r>
      <w:r w:rsidR="00486A62" w:rsidRPr="005545AF">
        <w:rPr>
          <w:lang w:val="en-CA"/>
        </w:rPr>
        <w:t>the appellant</w:t>
      </w:r>
      <w:r w:rsidRPr="005545AF">
        <w:rPr>
          <w:lang w:val="en-CA"/>
        </w:rPr>
        <w:t>,</w:t>
      </w:r>
      <w:r w:rsidR="00486A62" w:rsidRPr="005545AF">
        <w:rPr>
          <w:lang w:val="en-CA"/>
        </w:rPr>
        <w:t xml:space="preserve"> </w:t>
      </w:r>
      <w:r w:rsidRPr="005545AF">
        <w:rPr>
          <w:lang w:val="en-CA"/>
        </w:rPr>
        <w:t xml:space="preserve">and for determining the quantum of moral damages on the basis of </w:t>
      </w:r>
      <w:r w:rsidR="00486A62" w:rsidRPr="005545AF">
        <w:rPr>
          <w:lang w:val="en-CA"/>
        </w:rPr>
        <w:t>the appellant’</w:t>
      </w:r>
      <w:r w:rsidRPr="005545AF">
        <w:rPr>
          <w:lang w:val="en-CA"/>
        </w:rPr>
        <w:t>s purely subjective assessment, thus departing from the principles applicable in such cases and from the sums awarded in similar cases.</w:t>
      </w:r>
    </w:p>
    <w:p w14:paraId="2651530E" w14:textId="0F669E8B" w:rsidR="002802DA" w:rsidRPr="005545AF" w:rsidRDefault="000A3BD3" w:rsidP="001F7377">
      <w:pPr>
        <w:pStyle w:val="Paragraphe"/>
        <w:spacing w:line="240" w:lineRule="auto"/>
        <w:rPr>
          <w:lang w:val="en-CA"/>
        </w:rPr>
      </w:pPr>
      <w:r w:rsidRPr="005545AF">
        <w:rPr>
          <w:lang w:val="en-CA"/>
        </w:rPr>
        <w:t>For his part</w:t>
      </w:r>
      <w:r w:rsidR="002802DA" w:rsidRPr="005545AF">
        <w:rPr>
          <w:lang w:val="en-CA"/>
        </w:rPr>
        <w:t xml:space="preserve">, </w:t>
      </w:r>
      <w:r w:rsidR="00486A62" w:rsidRPr="005545AF">
        <w:rPr>
          <w:lang w:val="en-CA"/>
        </w:rPr>
        <w:t>the appellant</w:t>
      </w:r>
      <w:r w:rsidR="002802DA" w:rsidRPr="005545AF">
        <w:rPr>
          <w:lang w:val="en-CA"/>
        </w:rPr>
        <w:t xml:space="preserve"> </w:t>
      </w:r>
      <w:r w:rsidR="00792019" w:rsidRPr="005545AF">
        <w:rPr>
          <w:lang w:val="en-CA"/>
        </w:rPr>
        <w:t>first submits</w:t>
      </w:r>
      <w:r w:rsidR="000143F2" w:rsidRPr="005545AF">
        <w:rPr>
          <w:lang w:val="en-CA"/>
        </w:rPr>
        <w:t xml:space="preserve"> that the Court must show great deference towards the judge’s </w:t>
      </w:r>
      <w:r w:rsidR="003E3F85" w:rsidRPr="005545AF">
        <w:rPr>
          <w:lang w:val="en-CA"/>
        </w:rPr>
        <w:t xml:space="preserve">assessment of </w:t>
      </w:r>
      <w:r w:rsidR="000143F2" w:rsidRPr="005545AF">
        <w:rPr>
          <w:lang w:val="en-CA"/>
        </w:rPr>
        <w:t>damage</w:t>
      </w:r>
      <w:r w:rsidR="003E3F85" w:rsidRPr="005545AF">
        <w:rPr>
          <w:lang w:val="en-CA"/>
        </w:rPr>
        <w:t>s</w:t>
      </w:r>
      <w:r w:rsidR="000143F2" w:rsidRPr="005545AF">
        <w:rPr>
          <w:lang w:val="en-CA"/>
        </w:rPr>
        <w:t>, especially when it comes to moral damages</w:t>
      </w:r>
      <w:r w:rsidR="002802DA" w:rsidRPr="005545AF">
        <w:rPr>
          <w:lang w:val="en-CA"/>
        </w:rPr>
        <w:t xml:space="preserve">. </w:t>
      </w:r>
      <w:r w:rsidR="000143F2" w:rsidRPr="005545AF">
        <w:rPr>
          <w:lang w:val="en-CA"/>
        </w:rPr>
        <w:t>In his view</w:t>
      </w:r>
      <w:r w:rsidR="002802DA" w:rsidRPr="005545AF">
        <w:rPr>
          <w:lang w:val="en-CA"/>
        </w:rPr>
        <w:t xml:space="preserve">, Google </w:t>
      </w:r>
      <w:r w:rsidR="000143F2" w:rsidRPr="005545AF">
        <w:rPr>
          <w:lang w:val="en-CA"/>
        </w:rPr>
        <w:t>is wrong in limiting the compensable injury in defamation</w:t>
      </w:r>
      <w:r w:rsidR="005D205B" w:rsidRPr="005545AF">
        <w:rPr>
          <w:lang w:val="en-CA"/>
        </w:rPr>
        <w:t xml:space="preserve"> </w:t>
      </w:r>
      <w:r w:rsidR="000143F2" w:rsidRPr="005545AF">
        <w:rPr>
          <w:lang w:val="en-CA"/>
        </w:rPr>
        <w:t xml:space="preserve">to loss of consideration in the eyes of third parties having had access to the </w:t>
      </w:r>
      <w:r w:rsidR="004A5D7E" w:rsidRPr="005545AF">
        <w:rPr>
          <w:lang w:val="en-CA"/>
        </w:rPr>
        <w:t>Impugned Post</w:t>
      </w:r>
      <w:r w:rsidR="002802DA" w:rsidRPr="005545AF">
        <w:rPr>
          <w:lang w:val="en-CA"/>
        </w:rPr>
        <w:t xml:space="preserve">. </w:t>
      </w:r>
      <w:r w:rsidR="000143F2" w:rsidRPr="005545AF">
        <w:rPr>
          <w:lang w:val="en-CA"/>
        </w:rPr>
        <w:t>However, courts frequently compensate</w:t>
      </w:r>
      <w:r w:rsidR="00C474FD" w:rsidRPr="005545AF">
        <w:rPr>
          <w:lang w:val="en-CA"/>
        </w:rPr>
        <w:t xml:space="preserve"> psychological harm</w:t>
      </w:r>
      <w:r w:rsidR="002802DA" w:rsidRPr="005545AF">
        <w:rPr>
          <w:lang w:val="en-CA"/>
        </w:rPr>
        <w:t xml:space="preserve"> </w:t>
      </w:r>
      <w:r w:rsidR="00C474FD" w:rsidRPr="005545AF">
        <w:rPr>
          <w:lang w:val="en-CA"/>
        </w:rPr>
        <w:t>such as that established in this case by experts, including Google’s</w:t>
      </w:r>
      <w:r w:rsidR="002802DA" w:rsidRPr="005545AF">
        <w:rPr>
          <w:lang w:val="en-CA"/>
        </w:rPr>
        <w:t xml:space="preserve">. </w:t>
      </w:r>
      <w:r w:rsidR="00C474FD" w:rsidRPr="005545AF">
        <w:rPr>
          <w:lang w:val="en-CA"/>
        </w:rPr>
        <w:t xml:space="preserve">As to </w:t>
      </w:r>
      <w:r w:rsidR="00FD36C0" w:rsidRPr="005545AF">
        <w:rPr>
          <w:lang w:val="en-CA"/>
        </w:rPr>
        <w:t>facts</w:t>
      </w:r>
      <w:r w:rsidR="00C474FD" w:rsidRPr="005545AF">
        <w:rPr>
          <w:lang w:val="en-CA"/>
        </w:rPr>
        <w:t xml:space="preserve"> </w:t>
      </w:r>
      <w:r w:rsidR="005D205B" w:rsidRPr="005545AF">
        <w:rPr>
          <w:lang w:val="en-CA"/>
        </w:rPr>
        <w:t>that occurred prior</w:t>
      </w:r>
      <w:r w:rsidR="00C474FD" w:rsidRPr="005545AF">
        <w:rPr>
          <w:lang w:val="en-CA"/>
        </w:rPr>
        <w:t xml:space="preserve"> to</w:t>
      </w:r>
      <w:r w:rsidR="002802DA" w:rsidRPr="005545AF">
        <w:rPr>
          <w:lang w:val="en-CA"/>
        </w:rPr>
        <w:t xml:space="preserve"> 2015, </w:t>
      </w:r>
      <w:r w:rsidR="00C474FD" w:rsidRPr="005545AF">
        <w:rPr>
          <w:lang w:val="en-CA"/>
        </w:rPr>
        <w:t>the judge explicitly excluded them</w:t>
      </w:r>
      <w:r w:rsidR="002802DA" w:rsidRPr="005545AF">
        <w:rPr>
          <w:lang w:val="en-CA"/>
        </w:rPr>
        <w:t xml:space="preserve">. </w:t>
      </w:r>
      <w:r w:rsidR="00C474FD" w:rsidRPr="005545AF">
        <w:rPr>
          <w:lang w:val="en-CA"/>
        </w:rPr>
        <w:t xml:space="preserve">Nor did he accept </w:t>
      </w:r>
      <w:r w:rsidR="00FD36C0" w:rsidRPr="005545AF">
        <w:rPr>
          <w:lang w:val="en-CA"/>
        </w:rPr>
        <w:t>facts</w:t>
      </w:r>
      <w:r w:rsidR="00C474FD" w:rsidRPr="005545AF">
        <w:rPr>
          <w:lang w:val="en-CA"/>
        </w:rPr>
        <w:t xml:space="preserve"> introduced </w:t>
      </w:r>
      <w:r w:rsidR="003E3F85" w:rsidRPr="005545AF">
        <w:rPr>
          <w:lang w:val="en-CA"/>
        </w:rPr>
        <w:t>by</w:t>
      </w:r>
      <w:r w:rsidR="00C474FD" w:rsidRPr="005545AF">
        <w:rPr>
          <w:lang w:val="en-CA"/>
        </w:rPr>
        <w:t xml:space="preserve"> hearsay</w:t>
      </w:r>
      <w:r w:rsidR="003E3F85" w:rsidRPr="005545AF">
        <w:rPr>
          <w:lang w:val="en-CA"/>
        </w:rPr>
        <w:t xml:space="preserve"> </w:t>
      </w:r>
      <w:r w:rsidR="00C474FD" w:rsidRPr="005545AF">
        <w:rPr>
          <w:lang w:val="en-CA"/>
        </w:rPr>
        <w:t xml:space="preserve">but simply </w:t>
      </w:r>
      <w:r w:rsidR="00792019" w:rsidRPr="005545AF">
        <w:rPr>
          <w:lang w:val="en-CA"/>
        </w:rPr>
        <w:t>stated</w:t>
      </w:r>
      <w:r w:rsidR="00C474FD" w:rsidRPr="005545AF">
        <w:rPr>
          <w:lang w:val="en-CA"/>
        </w:rPr>
        <w:t xml:space="preserve"> that </w:t>
      </w:r>
      <w:r w:rsidR="003E3F85" w:rsidRPr="005545AF">
        <w:rPr>
          <w:lang w:val="en-CA"/>
        </w:rPr>
        <w:t>the appellant</w:t>
      </w:r>
      <w:r w:rsidR="00C474FD" w:rsidRPr="005545AF">
        <w:rPr>
          <w:lang w:val="en-CA"/>
        </w:rPr>
        <w:t xml:space="preserve"> </w:t>
      </w:r>
      <w:r w:rsidR="00FD36C0" w:rsidRPr="005545AF">
        <w:rPr>
          <w:lang w:val="en-CA"/>
        </w:rPr>
        <w:t>had</w:t>
      </w:r>
      <w:r w:rsidR="001F6C2D" w:rsidRPr="005545AF">
        <w:rPr>
          <w:lang w:val="en-CA"/>
        </w:rPr>
        <w:t xml:space="preserve"> </w:t>
      </w:r>
      <w:r w:rsidR="00C474FD" w:rsidRPr="005545AF">
        <w:rPr>
          <w:lang w:val="en-CA"/>
        </w:rPr>
        <w:t>mentioned them</w:t>
      </w:r>
      <w:r w:rsidR="002802DA" w:rsidRPr="005545AF">
        <w:rPr>
          <w:lang w:val="en-CA"/>
        </w:rPr>
        <w:t xml:space="preserve">. </w:t>
      </w:r>
      <w:r w:rsidR="00C474FD" w:rsidRPr="005545AF">
        <w:rPr>
          <w:lang w:val="en-CA"/>
        </w:rPr>
        <w:t>Finally, as to the importance given to the</w:t>
      </w:r>
      <w:r w:rsidR="003E3F85" w:rsidRPr="005545AF">
        <w:rPr>
          <w:lang w:val="en-CA"/>
        </w:rPr>
        <w:t xml:space="preserve"> appellant’s</w:t>
      </w:r>
      <w:r w:rsidR="00C474FD" w:rsidRPr="005545AF">
        <w:rPr>
          <w:lang w:val="en-CA"/>
        </w:rPr>
        <w:t xml:space="preserve"> one million dollar assessment</w:t>
      </w:r>
      <w:r w:rsidR="003E3F85" w:rsidRPr="005545AF">
        <w:rPr>
          <w:lang w:val="en-CA"/>
        </w:rPr>
        <w:t xml:space="preserve"> of his own injury</w:t>
      </w:r>
      <w:r w:rsidR="002802DA" w:rsidRPr="005545AF">
        <w:rPr>
          <w:lang w:val="en-CA"/>
        </w:rPr>
        <w:t xml:space="preserve">, </w:t>
      </w:r>
      <w:r w:rsidR="003E3F85" w:rsidRPr="005545AF">
        <w:rPr>
          <w:lang w:val="en-CA"/>
        </w:rPr>
        <w:t>the appellant</w:t>
      </w:r>
      <w:r w:rsidR="002802DA" w:rsidRPr="005545AF">
        <w:rPr>
          <w:lang w:val="en-CA"/>
        </w:rPr>
        <w:t xml:space="preserve"> </w:t>
      </w:r>
      <w:r w:rsidR="00C474FD" w:rsidRPr="005545AF">
        <w:rPr>
          <w:lang w:val="en-CA"/>
        </w:rPr>
        <w:t xml:space="preserve">notes that the judge wrote more than 200 paragraphs in his injury analysis showing that </w:t>
      </w:r>
      <w:r w:rsidR="00C474FD" w:rsidRPr="005545AF">
        <w:rPr>
          <w:lang w:val="en-CA"/>
        </w:rPr>
        <w:lastRenderedPageBreak/>
        <w:t>he based his assessment</w:t>
      </w:r>
      <w:r w:rsidR="00792019" w:rsidRPr="005545AF">
        <w:rPr>
          <w:lang w:val="en-CA"/>
        </w:rPr>
        <w:t>, rather,</w:t>
      </w:r>
      <w:r w:rsidR="00C474FD" w:rsidRPr="005545AF">
        <w:rPr>
          <w:lang w:val="en-CA"/>
        </w:rPr>
        <w:t xml:space="preserve"> on the evidence as a whole, whether</w:t>
      </w:r>
      <w:r w:rsidR="003E3F85" w:rsidRPr="005545AF">
        <w:rPr>
          <w:lang w:val="en-CA"/>
        </w:rPr>
        <w:t xml:space="preserve"> it be</w:t>
      </w:r>
      <w:r w:rsidR="00C474FD" w:rsidRPr="005545AF">
        <w:rPr>
          <w:lang w:val="en-CA"/>
        </w:rPr>
        <w:t xml:space="preserve"> the expert evi</w:t>
      </w:r>
      <w:r w:rsidR="00EA54EF" w:rsidRPr="005545AF">
        <w:rPr>
          <w:lang w:val="en-CA"/>
        </w:rPr>
        <w:t>dence</w:t>
      </w:r>
      <w:r w:rsidR="00C474FD" w:rsidRPr="005545AF">
        <w:rPr>
          <w:lang w:val="en-CA"/>
        </w:rPr>
        <w:t xml:space="preserve">, testimony or </w:t>
      </w:r>
      <w:r w:rsidR="003E3F85" w:rsidRPr="005545AF">
        <w:rPr>
          <w:lang w:val="en-CA"/>
        </w:rPr>
        <w:t xml:space="preserve">the </w:t>
      </w:r>
      <w:r w:rsidR="00C474FD" w:rsidRPr="005545AF">
        <w:rPr>
          <w:lang w:val="en-CA"/>
        </w:rPr>
        <w:t>exhibits on file</w:t>
      </w:r>
      <w:r w:rsidR="003E3F85" w:rsidRPr="005545AF">
        <w:rPr>
          <w:lang w:val="en-CA"/>
        </w:rPr>
        <w:t>,</w:t>
      </w:r>
      <w:r w:rsidR="00C474FD" w:rsidRPr="005545AF">
        <w:rPr>
          <w:lang w:val="en-CA"/>
        </w:rPr>
        <w:t xml:space="preserve"> to a arrive at a fair quantum</w:t>
      </w:r>
      <w:r w:rsidR="002802DA" w:rsidRPr="005545AF">
        <w:rPr>
          <w:lang w:val="en-CA"/>
        </w:rPr>
        <w:t>.</w:t>
      </w:r>
    </w:p>
    <w:p w14:paraId="18EC05FF" w14:textId="77777777" w:rsidR="002802DA" w:rsidRPr="005545AF" w:rsidRDefault="002802DA" w:rsidP="001F7377">
      <w:pPr>
        <w:pStyle w:val="Paragraphe"/>
        <w:numPr>
          <w:ilvl w:val="0"/>
          <w:numId w:val="0"/>
        </w:numPr>
        <w:spacing w:line="240" w:lineRule="auto"/>
        <w:jc w:val="center"/>
        <w:rPr>
          <w:rFonts w:cs="Arial"/>
          <w:szCs w:val="24"/>
          <w:lang w:val="en-CA" w:eastAsia="en-US"/>
        </w:rPr>
      </w:pPr>
      <w:r w:rsidRPr="005545AF">
        <w:rPr>
          <w:rFonts w:cs="Arial"/>
          <w:szCs w:val="24"/>
          <w:lang w:val="en-CA" w:eastAsia="en-US"/>
        </w:rPr>
        <w:t>* * *</w:t>
      </w:r>
    </w:p>
    <w:p w14:paraId="31AECD2C" w14:textId="69554A8B" w:rsidR="002802DA" w:rsidRPr="005545AF" w:rsidRDefault="00232D2D" w:rsidP="001F7377">
      <w:pPr>
        <w:pStyle w:val="Paragraphe"/>
        <w:spacing w:line="240" w:lineRule="auto"/>
        <w:rPr>
          <w:rFonts w:cs="Arial"/>
          <w:szCs w:val="24"/>
          <w:lang w:val="en-CA" w:eastAsia="en-US"/>
        </w:rPr>
      </w:pPr>
      <w:r w:rsidRPr="005545AF">
        <w:rPr>
          <w:rFonts w:cs="Arial"/>
          <w:szCs w:val="24"/>
          <w:lang w:val="en-CA" w:eastAsia="en-US"/>
        </w:rPr>
        <w:t xml:space="preserve">It is trite law that </w:t>
      </w:r>
      <w:r w:rsidR="00A90B39" w:rsidRPr="005545AF">
        <w:rPr>
          <w:rFonts w:cs="Arial"/>
          <w:szCs w:val="24"/>
          <w:lang w:val="en-CA" w:eastAsia="en-US"/>
        </w:rPr>
        <w:t xml:space="preserve">the </w:t>
      </w:r>
      <w:r w:rsidRPr="005545AF">
        <w:rPr>
          <w:rFonts w:cs="Arial"/>
          <w:szCs w:val="24"/>
          <w:lang w:val="en-CA" w:eastAsia="en-US"/>
        </w:rPr>
        <w:t xml:space="preserve">assessment of injury is </w:t>
      </w:r>
      <w:r w:rsidR="00A90B39" w:rsidRPr="005545AF">
        <w:rPr>
          <w:rFonts w:cs="Arial"/>
          <w:szCs w:val="24"/>
          <w:lang w:val="en-CA" w:eastAsia="en-US"/>
        </w:rPr>
        <w:t xml:space="preserve">part </w:t>
      </w:r>
      <w:r w:rsidRPr="005545AF">
        <w:rPr>
          <w:rFonts w:cs="Arial"/>
          <w:szCs w:val="24"/>
          <w:lang w:val="en-CA" w:eastAsia="en-US"/>
        </w:rPr>
        <w:t xml:space="preserve">of </w:t>
      </w:r>
      <w:r w:rsidR="00A90B39" w:rsidRPr="005545AF">
        <w:rPr>
          <w:rFonts w:cs="Arial"/>
          <w:szCs w:val="24"/>
          <w:lang w:val="en-CA" w:eastAsia="en-US"/>
        </w:rPr>
        <w:t xml:space="preserve">the trial judge’s exercise of their discretion </w:t>
      </w:r>
      <w:r w:rsidR="00FD36C0" w:rsidRPr="005545AF">
        <w:rPr>
          <w:rFonts w:cs="Arial"/>
          <w:szCs w:val="24"/>
          <w:lang w:val="en-CA" w:eastAsia="en-US"/>
        </w:rPr>
        <w:t>in such matters</w:t>
      </w:r>
      <w:r w:rsidR="00A90B39" w:rsidRPr="005545AF">
        <w:rPr>
          <w:rFonts w:cs="Arial"/>
          <w:szCs w:val="24"/>
          <w:lang w:val="en-CA" w:eastAsia="en-US"/>
        </w:rPr>
        <w:t>.</w:t>
      </w:r>
      <w:r w:rsidR="002802DA" w:rsidRPr="005545AF">
        <w:rPr>
          <w:rStyle w:val="Appelnotedebasdep"/>
          <w:rFonts w:cs="Arial"/>
          <w:szCs w:val="24"/>
          <w:lang w:val="en-CA" w:eastAsia="en-US"/>
        </w:rPr>
        <w:footnoteReference w:id="90"/>
      </w:r>
      <w:r w:rsidR="00A90B39" w:rsidRPr="005545AF">
        <w:rPr>
          <w:rFonts w:cs="Arial"/>
          <w:szCs w:val="24"/>
          <w:lang w:val="en-CA" w:eastAsia="en-US"/>
        </w:rPr>
        <w:t xml:space="preserve"> This is </w:t>
      </w:r>
      <w:r w:rsidR="00B67D24" w:rsidRPr="005545AF">
        <w:rPr>
          <w:rFonts w:cs="Arial"/>
          <w:szCs w:val="24"/>
          <w:lang w:val="en-CA" w:eastAsia="en-US"/>
        </w:rPr>
        <w:t>all the more</w:t>
      </w:r>
      <w:r w:rsidR="00A90B39" w:rsidRPr="005545AF">
        <w:rPr>
          <w:rFonts w:cs="Arial"/>
          <w:szCs w:val="24"/>
          <w:lang w:val="en-CA" w:eastAsia="en-US"/>
        </w:rPr>
        <w:t xml:space="preserve"> true with respect </w:t>
      </w:r>
      <w:r w:rsidR="00B67D24" w:rsidRPr="005545AF">
        <w:rPr>
          <w:rFonts w:cs="Arial"/>
          <w:szCs w:val="24"/>
          <w:lang w:val="en-CA" w:eastAsia="en-US"/>
        </w:rPr>
        <w:t>to</w:t>
      </w:r>
      <w:r w:rsidR="00A90B39" w:rsidRPr="005545AF">
        <w:rPr>
          <w:rFonts w:cs="Arial"/>
          <w:szCs w:val="24"/>
          <w:lang w:val="en-CA" w:eastAsia="en-US"/>
        </w:rPr>
        <w:t xml:space="preserve"> non</w:t>
      </w:r>
      <w:r w:rsidR="00B67D24" w:rsidRPr="005545AF">
        <w:rPr>
          <w:rFonts w:cs="Arial"/>
          <w:szCs w:val="24"/>
          <w:lang w:val="en-CA" w:eastAsia="en-US"/>
        </w:rPr>
        <w:t>-pecuni</w:t>
      </w:r>
      <w:r w:rsidR="00A90B39" w:rsidRPr="005545AF">
        <w:rPr>
          <w:rFonts w:cs="Arial"/>
          <w:szCs w:val="24"/>
          <w:lang w:val="en-CA" w:eastAsia="en-US"/>
        </w:rPr>
        <w:t xml:space="preserve">ary losses, </w:t>
      </w:r>
      <w:r w:rsidR="00B67D24" w:rsidRPr="005545AF">
        <w:rPr>
          <w:rFonts w:cs="Arial"/>
          <w:szCs w:val="24"/>
          <w:lang w:val="en-CA" w:eastAsia="en-US"/>
        </w:rPr>
        <w:t>the</w:t>
      </w:r>
      <w:r w:rsidR="00A90B39" w:rsidRPr="005545AF">
        <w:rPr>
          <w:rFonts w:cs="Arial"/>
          <w:szCs w:val="24"/>
          <w:lang w:val="en-CA" w:eastAsia="en-US"/>
        </w:rPr>
        <w:t xml:space="preserve"> quantification</w:t>
      </w:r>
      <w:r w:rsidR="00B67D24" w:rsidRPr="005545AF">
        <w:rPr>
          <w:rFonts w:cs="Arial"/>
          <w:szCs w:val="24"/>
          <w:lang w:val="en-CA" w:eastAsia="en-US"/>
        </w:rPr>
        <w:t xml:space="preserve"> of which</w:t>
      </w:r>
      <w:r w:rsidR="002802DA" w:rsidRPr="005545AF">
        <w:rPr>
          <w:rFonts w:cs="Arial"/>
          <w:szCs w:val="24"/>
          <w:lang w:val="en-CA" w:eastAsia="en-US"/>
        </w:rPr>
        <w:t xml:space="preserve"> « […] relève plus d’un exercice philosophique que d’un calcul rigoureux »</w:t>
      </w:r>
      <w:bookmarkStart w:id="50" w:name="_Ref207619369"/>
      <w:r w:rsidR="00A90B39" w:rsidRPr="005545AF">
        <w:rPr>
          <w:rFonts w:cs="Arial"/>
          <w:szCs w:val="24"/>
          <w:lang w:val="en-CA" w:eastAsia="en-US"/>
        </w:rPr>
        <w:t>,</w:t>
      </w:r>
      <w:r w:rsidR="002802DA" w:rsidRPr="005545AF">
        <w:rPr>
          <w:rStyle w:val="Appelnotedebasdep"/>
          <w:rFonts w:cs="Arial"/>
          <w:szCs w:val="24"/>
          <w:lang w:val="en-CA" w:eastAsia="en-US"/>
        </w:rPr>
        <w:footnoteReference w:id="91"/>
      </w:r>
      <w:bookmarkEnd w:id="50"/>
      <w:r w:rsidR="002B6344" w:rsidRPr="005545AF">
        <w:rPr>
          <w:rFonts w:cs="Arial"/>
          <w:szCs w:val="24"/>
          <w:lang w:val="en-CA" w:eastAsia="en-US"/>
        </w:rPr>
        <w:t xml:space="preserve"> </w:t>
      </w:r>
      <w:r w:rsidR="00FD36C0" w:rsidRPr="005545AF">
        <w:rPr>
          <w:rFonts w:cs="Arial"/>
          <w:szCs w:val="24"/>
          <w:lang w:val="en-CA" w:eastAsia="en-US"/>
        </w:rPr>
        <w:t>especially since that</w:t>
      </w:r>
      <w:r w:rsidR="002B6344" w:rsidRPr="005545AF">
        <w:rPr>
          <w:rFonts w:cs="Arial"/>
          <w:szCs w:val="24"/>
          <w:lang w:val="en-CA" w:eastAsia="en-US"/>
        </w:rPr>
        <w:t xml:space="preserve"> exercise </w:t>
      </w:r>
      <w:r w:rsidR="00B67D24" w:rsidRPr="005545AF">
        <w:rPr>
          <w:rFonts w:cs="Arial"/>
          <w:szCs w:val="24"/>
          <w:lang w:val="en-CA" w:eastAsia="en-US"/>
        </w:rPr>
        <w:t>is not capable</w:t>
      </w:r>
      <w:r w:rsidR="002B6344" w:rsidRPr="005545AF">
        <w:rPr>
          <w:rFonts w:cs="Arial"/>
          <w:szCs w:val="24"/>
          <w:lang w:val="en-CA" w:eastAsia="en-US"/>
        </w:rPr>
        <w:t xml:space="preserve"> o</w:t>
      </w:r>
      <w:r w:rsidR="00B67D24" w:rsidRPr="005545AF">
        <w:rPr>
          <w:rFonts w:cs="Arial"/>
          <w:szCs w:val="24"/>
          <w:lang w:val="en-CA" w:eastAsia="en-US"/>
        </w:rPr>
        <w:t>f</w:t>
      </w:r>
      <w:r w:rsidR="002B6344" w:rsidRPr="005545AF">
        <w:rPr>
          <w:rFonts w:cs="Arial"/>
          <w:szCs w:val="24"/>
          <w:lang w:val="en-CA" w:eastAsia="en-US"/>
        </w:rPr>
        <w:t xml:space="preserve"> mathematical precision, </w:t>
      </w:r>
      <w:r w:rsidR="00B67D24" w:rsidRPr="005545AF">
        <w:rPr>
          <w:rFonts w:cs="Arial"/>
          <w:szCs w:val="24"/>
          <w:lang w:val="en-CA" w:eastAsia="en-US"/>
        </w:rPr>
        <w:t xml:space="preserve">given that </w:t>
      </w:r>
      <w:r w:rsidR="002B6344" w:rsidRPr="005545AF">
        <w:rPr>
          <w:rFonts w:cs="Arial"/>
          <w:szCs w:val="24"/>
          <w:lang w:val="en-CA" w:eastAsia="en-US"/>
        </w:rPr>
        <w:t xml:space="preserve">what is to be compensated </w:t>
      </w:r>
      <w:r w:rsidR="00B67D24" w:rsidRPr="005545AF">
        <w:rPr>
          <w:rFonts w:cs="Arial"/>
          <w:szCs w:val="24"/>
          <w:lang w:val="en-CA" w:eastAsia="en-US"/>
        </w:rPr>
        <w:t>is</w:t>
      </w:r>
      <w:r w:rsidR="002B6344" w:rsidRPr="005545AF">
        <w:rPr>
          <w:rFonts w:cs="Arial"/>
          <w:szCs w:val="24"/>
          <w:lang w:val="en-CA" w:eastAsia="en-US"/>
        </w:rPr>
        <w:t>, by nature, qualitative and irreparable.</w:t>
      </w:r>
      <w:r w:rsidR="002802DA" w:rsidRPr="005545AF">
        <w:rPr>
          <w:rStyle w:val="Appelnotedebasdep"/>
          <w:rFonts w:cs="Arial"/>
          <w:szCs w:val="24"/>
          <w:lang w:val="en-CA" w:eastAsia="en-US"/>
        </w:rPr>
        <w:footnoteReference w:id="92"/>
      </w:r>
      <w:r w:rsidR="002B6344" w:rsidRPr="005545AF">
        <w:rPr>
          <w:rFonts w:cs="Arial"/>
          <w:szCs w:val="24"/>
          <w:lang w:val="en-CA" w:eastAsia="en-US"/>
        </w:rPr>
        <w:t xml:space="preserve"> The Court must therefore show deference and intervene only when the amount awarded is </w:t>
      </w:r>
      <w:r w:rsidR="001F6C2D" w:rsidRPr="005545AF">
        <w:rPr>
          <w:rFonts w:cs="Arial"/>
          <w:szCs w:val="24"/>
          <w:lang w:val="en-CA" w:eastAsia="en-US"/>
        </w:rPr>
        <w:t>patently</w:t>
      </w:r>
      <w:r w:rsidR="002B6344" w:rsidRPr="005545AF">
        <w:rPr>
          <w:rFonts w:cs="Arial"/>
          <w:szCs w:val="24"/>
          <w:lang w:val="en-CA" w:eastAsia="en-US"/>
        </w:rPr>
        <w:t xml:space="preserve"> disproportionate or unreasonable, and not simply substitute its opinion to that of the trial judge.</w:t>
      </w:r>
      <w:r w:rsidR="002802DA" w:rsidRPr="005545AF">
        <w:rPr>
          <w:rStyle w:val="Appelnotedebasdep"/>
          <w:rFonts w:cs="Arial"/>
          <w:szCs w:val="24"/>
          <w:lang w:val="en-CA" w:eastAsia="en-US"/>
        </w:rPr>
        <w:footnoteReference w:id="93"/>
      </w:r>
      <w:r w:rsidR="002B6344" w:rsidRPr="005545AF">
        <w:rPr>
          <w:rFonts w:cs="Arial"/>
          <w:szCs w:val="24"/>
          <w:lang w:val="en-CA" w:eastAsia="en-US"/>
        </w:rPr>
        <w:t xml:space="preserve"> The same is true when assessing </w:t>
      </w:r>
      <w:r w:rsidR="00B67D24" w:rsidRPr="005545AF">
        <w:rPr>
          <w:rFonts w:cs="Arial"/>
          <w:szCs w:val="24"/>
          <w:lang w:val="en-CA" w:eastAsia="en-US"/>
        </w:rPr>
        <w:t>the</w:t>
      </w:r>
      <w:r w:rsidR="002B6344" w:rsidRPr="005545AF">
        <w:rPr>
          <w:rFonts w:cs="Arial"/>
          <w:szCs w:val="24"/>
          <w:lang w:val="en-CA" w:eastAsia="en-US"/>
        </w:rPr>
        <w:t xml:space="preserve"> exist</w:t>
      </w:r>
      <w:r w:rsidR="00B67D24" w:rsidRPr="005545AF">
        <w:rPr>
          <w:rFonts w:cs="Arial"/>
          <w:szCs w:val="24"/>
          <w:lang w:val="en-CA" w:eastAsia="en-US"/>
        </w:rPr>
        <w:t>ence of</w:t>
      </w:r>
      <w:r w:rsidR="002B6344" w:rsidRPr="005545AF">
        <w:rPr>
          <w:rFonts w:cs="Arial"/>
          <w:szCs w:val="24"/>
          <w:lang w:val="en-CA" w:eastAsia="en-US"/>
        </w:rPr>
        <w:t xml:space="preserve"> a causal link, a ground</w:t>
      </w:r>
      <w:r w:rsidR="00B67D24" w:rsidRPr="005545AF">
        <w:rPr>
          <w:rFonts w:cs="Arial"/>
          <w:szCs w:val="24"/>
          <w:lang w:val="en-CA" w:eastAsia="en-US"/>
        </w:rPr>
        <w:t xml:space="preserve"> incidentally</w:t>
      </w:r>
      <w:r w:rsidR="002B6344" w:rsidRPr="005545AF">
        <w:rPr>
          <w:rFonts w:cs="Arial"/>
          <w:szCs w:val="24"/>
          <w:lang w:val="en-CA" w:eastAsia="en-US"/>
        </w:rPr>
        <w:t xml:space="preserve"> raised by </w:t>
      </w:r>
      <w:r w:rsidR="002802DA" w:rsidRPr="005545AF">
        <w:rPr>
          <w:rFonts w:cs="Arial"/>
          <w:szCs w:val="24"/>
          <w:lang w:val="en-CA" w:eastAsia="en-US"/>
        </w:rPr>
        <w:t xml:space="preserve"> Google, </w:t>
      </w:r>
      <w:r w:rsidR="002B6344" w:rsidRPr="005545AF">
        <w:rPr>
          <w:rFonts w:cs="Arial"/>
          <w:szCs w:val="24"/>
          <w:lang w:val="en-CA" w:eastAsia="en-US"/>
        </w:rPr>
        <w:t>which is also a question of fact</w:t>
      </w:r>
      <w:r w:rsidR="002802DA" w:rsidRPr="005545AF">
        <w:rPr>
          <w:rFonts w:cs="Arial"/>
          <w:szCs w:val="24"/>
          <w:lang w:val="en-CA" w:eastAsia="en-US"/>
        </w:rPr>
        <w:t xml:space="preserve"> </w:t>
      </w:r>
      <w:r w:rsidR="002B6344" w:rsidRPr="005545AF">
        <w:rPr>
          <w:rFonts w:cs="Arial"/>
          <w:szCs w:val="24"/>
          <w:lang w:val="en-CA" w:eastAsia="en-US"/>
        </w:rPr>
        <w:t>which is owed appellate deference.</w:t>
      </w:r>
      <w:r w:rsidR="002802DA" w:rsidRPr="005545AF">
        <w:rPr>
          <w:rStyle w:val="Appelnotedebasdep"/>
          <w:rFonts w:cs="Arial"/>
          <w:szCs w:val="24"/>
          <w:lang w:val="en-CA" w:eastAsia="en-US"/>
        </w:rPr>
        <w:footnoteReference w:id="94"/>
      </w:r>
      <w:r w:rsidR="002B6344" w:rsidRPr="005545AF">
        <w:rPr>
          <w:rFonts w:cs="Arial"/>
          <w:szCs w:val="24"/>
          <w:lang w:val="en-CA" w:eastAsia="en-US"/>
        </w:rPr>
        <w:t xml:space="preserve"> Let us begin by examining injury</w:t>
      </w:r>
      <w:r w:rsidR="002802DA" w:rsidRPr="005545AF">
        <w:rPr>
          <w:rFonts w:cs="Arial"/>
          <w:szCs w:val="24"/>
          <w:lang w:val="en-CA" w:eastAsia="en-US"/>
        </w:rPr>
        <w:t>.</w:t>
      </w:r>
    </w:p>
    <w:p w14:paraId="1A01DA0B" w14:textId="2C96BBA6" w:rsidR="002802DA" w:rsidRPr="005545AF" w:rsidRDefault="002802DA" w:rsidP="001F7377">
      <w:pPr>
        <w:pStyle w:val="Paragraphe"/>
        <w:spacing w:line="240" w:lineRule="auto"/>
        <w:rPr>
          <w:rFonts w:cs="Arial"/>
          <w:szCs w:val="24"/>
          <w:lang w:val="en-CA" w:eastAsia="en-US"/>
        </w:rPr>
      </w:pPr>
      <w:r w:rsidRPr="005545AF">
        <w:rPr>
          <w:rFonts w:cs="Arial"/>
          <w:szCs w:val="24"/>
          <w:lang w:val="en-CA" w:eastAsia="en-US"/>
        </w:rPr>
        <w:t xml:space="preserve">Google </w:t>
      </w:r>
      <w:r w:rsidR="00203A84" w:rsidRPr="005545AF">
        <w:rPr>
          <w:rFonts w:cs="Arial"/>
          <w:szCs w:val="24"/>
          <w:lang w:val="en-CA" w:eastAsia="en-US"/>
        </w:rPr>
        <w:t>submits that injury</w:t>
      </w:r>
      <w:r w:rsidR="00A74241" w:rsidRPr="005545AF">
        <w:rPr>
          <w:rFonts w:cs="Arial"/>
          <w:szCs w:val="24"/>
          <w:lang w:val="en-CA" w:eastAsia="en-US"/>
        </w:rPr>
        <w:t xml:space="preserve"> was not shown to exist because no evidence was adduced indicating that anyone accessed the </w:t>
      </w:r>
      <w:r w:rsidR="004A5D7E" w:rsidRPr="005545AF">
        <w:rPr>
          <w:rFonts w:cs="Arial"/>
          <w:szCs w:val="24"/>
          <w:lang w:val="en-CA" w:eastAsia="en-US"/>
        </w:rPr>
        <w:t>Impugned Post</w:t>
      </w:r>
      <w:r w:rsidR="00A74241" w:rsidRPr="005545AF">
        <w:rPr>
          <w:rFonts w:cs="Arial"/>
          <w:szCs w:val="24"/>
          <w:lang w:val="en-CA" w:eastAsia="en-US"/>
        </w:rPr>
        <w:t xml:space="preserve"> via Google’s search services since</w:t>
      </w:r>
      <w:r w:rsidRPr="005545AF">
        <w:rPr>
          <w:rFonts w:cs="Arial"/>
          <w:szCs w:val="24"/>
          <w:lang w:val="en-CA" w:eastAsia="en-US"/>
        </w:rPr>
        <w:t xml:space="preserve"> 2015. </w:t>
      </w:r>
      <w:r w:rsidR="00A74241" w:rsidRPr="005545AF">
        <w:rPr>
          <w:rFonts w:cs="Arial"/>
          <w:szCs w:val="24"/>
          <w:lang w:val="en-CA" w:eastAsia="en-US"/>
        </w:rPr>
        <w:t>Since the concept of reputation rests on a consideration of “others”</w:t>
      </w:r>
      <w:r w:rsidRPr="005545AF">
        <w:rPr>
          <w:rStyle w:val="Appelnotedebasdep"/>
          <w:rFonts w:cs="Arial"/>
          <w:szCs w:val="24"/>
          <w:lang w:val="en-CA" w:eastAsia="en-US"/>
        </w:rPr>
        <w:footnoteReference w:id="95"/>
      </w:r>
      <w:r w:rsidRPr="005545AF">
        <w:rPr>
          <w:rFonts w:cs="Arial"/>
          <w:szCs w:val="24"/>
          <w:lang w:val="en-CA" w:eastAsia="en-US"/>
        </w:rPr>
        <w:t xml:space="preserve">, </w:t>
      </w:r>
      <w:r w:rsidR="00A74241" w:rsidRPr="005545AF">
        <w:rPr>
          <w:rFonts w:cs="Arial"/>
          <w:szCs w:val="24"/>
          <w:lang w:val="en-CA" w:eastAsia="en-US"/>
        </w:rPr>
        <w:t>the absence of such evidence negates any injury</w:t>
      </w:r>
      <w:r w:rsidRPr="005545AF">
        <w:rPr>
          <w:rFonts w:cs="Arial"/>
          <w:szCs w:val="24"/>
          <w:lang w:val="en-CA" w:eastAsia="en-US"/>
        </w:rPr>
        <w:t xml:space="preserve">. </w:t>
      </w:r>
    </w:p>
    <w:p w14:paraId="54168F4B" w14:textId="01051625" w:rsidR="002802DA" w:rsidRPr="005545AF" w:rsidRDefault="00A74241" w:rsidP="001F7377">
      <w:pPr>
        <w:pStyle w:val="Paragraphe"/>
        <w:spacing w:line="240" w:lineRule="auto"/>
        <w:rPr>
          <w:rFonts w:cs="Arial"/>
          <w:szCs w:val="24"/>
          <w:lang w:val="en-CA" w:eastAsia="en-US"/>
        </w:rPr>
      </w:pPr>
      <w:r w:rsidRPr="005545AF">
        <w:rPr>
          <w:rFonts w:cs="Arial"/>
          <w:szCs w:val="24"/>
          <w:lang w:val="en-CA" w:eastAsia="en-US"/>
        </w:rPr>
        <w:t xml:space="preserve">It is true that the Supreme Court bases the existence of injury in defamation cases on the objective standard of </w:t>
      </w:r>
      <w:r w:rsidR="00360FED" w:rsidRPr="005545AF">
        <w:rPr>
          <w:rFonts w:cs="Arial"/>
          <w:szCs w:val="24"/>
          <w:lang w:val="en-CA" w:eastAsia="en-US"/>
        </w:rPr>
        <w:t xml:space="preserve">whether an </w:t>
      </w:r>
      <w:r w:rsidRPr="005545AF">
        <w:rPr>
          <w:rFonts w:cs="Arial"/>
          <w:szCs w:val="24"/>
          <w:lang w:val="en-CA" w:eastAsia="en-US"/>
        </w:rPr>
        <w:t>“</w:t>
      </w:r>
      <w:r w:rsidR="002802DA" w:rsidRPr="005545AF">
        <w:rPr>
          <w:rFonts w:cs="Arial"/>
          <w:szCs w:val="24"/>
          <w:lang w:val="en-CA" w:eastAsia="en-US"/>
        </w:rPr>
        <w:t xml:space="preserve">[…] </w:t>
      </w:r>
      <w:r w:rsidRPr="005545AF">
        <w:rPr>
          <w:rFonts w:cs="Arial"/>
          <w:szCs w:val="24"/>
          <w:lang w:val="en-CA" w:eastAsia="en-US"/>
        </w:rPr>
        <w:t>ordinary person would believe that the remarks made, when viewed as a whole, brought discredit on the reputation of another person.”</w:t>
      </w:r>
      <w:r w:rsidR="002802DA" w:rsidRPr="005545AF">
        <w:rPr>
          <w:rStyle w:val="Appelnotedebasdep"/>
          <w:rFonts w:cs="Arial"/>
          <w:szCs w:val="24"/>
          <w:lang w:val="en-CA" w:eastAsia="en-US"/>
        </w:rPr>
        <w:footnoteReference w:id="96"/>
      </w:r>
      <w:r w:rsidRPr="005545AF">
        <w:rPr>
          <w:rFonts w:cs="Arial"/>
          <w:szCs w:val="24"/>
          <w:lang w:val="en-CA" w:eastAsia="en-US"/>
        </w:rPr>
        <w:t xml:space="preserve"> </w:t>
      </w:r>
      <w:r w:rsidR="007E5053" w:rsidRPr="005545AF">
        <w:rPr>
          <w:rFonts w:cs="Arial"/>
          <w:szCs w:val="24"/>
          <w:lang w:val="en-CA" w:eastAsia="en-US"/>
        </w:rPr>
        <w:t>This goes to the balance sought between</w:t>
      </w:r>
      <w:r w:rsidR="001F6C2D" w:rsidRPr="005545AF">
        <w:rPr>
          <w:rFonts w:cs="Arial"/>
          <w:szCs w:val="24"/>
          <w:lang w:val="en-CA" w:eastAsia="en-US"/>
        </w:rPr>
        <w:t xml:space="preserve"> </w:t>
      </w:r>
      <w:r w:rsidR="007E5053" w:rsidRPr="005545AF">
        <w:rPr>
          <w:rFonts w:cs="Arial"/>
          <w:szCs w:val="24"/>
          <w:lang w:val="en-CA" w:eastAsia="en-US"/>
        </w:rPr>
        <w:t>the protection of reputation, on the one hand, and freedom of expression, on the other</w:t>
      </w:r>
      <w:r w:rsidR="002802DA" w:rsidRPr="005545AF">
        <w:rPr>
          <w:rFonts w:cs="Arial"/>
          <w:szCs w:val="24"/>
          <w:lang w:val="en-CA" w:eastAsia="en-US"/>
        </w:rPr>
        <w:t xml:space="preserve">. </w:t>
      </w:r>
      <w:r w:rsidR="007E5053" w:rsidRPr="005545AF">
        <w:rPr>
          <w:rFonts w:cs="Arial"/>
          <w:szCs w:val="24"/>
          <w:lang w:val="en-CA" w:eastAsia="en-US"/>
        </w:rPr>
        <w:t xml:space="preserve">It thus </w:t>
      </w:r>
      <w:r w:rsidR="00360FED" w:rsidRPr="005545AF">
        <w:rPr>
          <w:rFonts w:cs="Arial"/>
          <w:szCs w:val="24"/>
          <w:lang w:val="en-CA" w:eastAsia="en-US"/>
        </w:rPr>
        <w:t>established</w:t>
      </w:r>
      <w:r w:rsidR="007E5053" w:rsidRPr="005545AF">
        <w:rPr>
          <w:rFonts w:cs="Arial"/>
          <w:szCs w:val="24"/>
          <w:lang w:val="en-CA" w:eastAsia="en-US"/>
        </w:rPr>
        <w:t xml:space="preserve"> for defamation an objective threshold that extends beyond the purely subjective </w:t>
      </w:r>
      <w:r w:rsidR="002802DA" w:rsidRPr="005545AF">
        <w:rPr>
          <w:rFonts w:cs="Arial"/>
          <w:szCs w:val="24"/>
          <w:lang w:val="en-CA" w:eastAsia="en-US"/>
        </w:rPr>
        <w:t xml:space="preserve">– </w:t>
      </w:r>
      <w:r w:rsidR="007E5053" w:rsidRPr="005545AF">
        <w:rPr>
          <w:rFonts w:cs="Arial"/>
          <w:szCs w:val="24"/>
          <w:lang w:val="en-CA" w:eastAsia="en-US"/>
        </w:rPr>
        <w:t>but no less real</w:t>
      </w:r>
      <w:r w:rsidR="002802DA" w:rsidRPr="005545AF">
        <w:rPr>
          <w:rFonts w:cs="Arial"/>
          <w:szCs w:val="24"/>
          <w:lang w:val="en-CA" w:eastAsia="en-US"/>
        </w:rPr>
        <w:t xml:space="preserve"> – </w:t>
      </w:r>
      <w:r w:rsidR="007E5053" w:rsidRPr="005545AF">
        <w:rPr>
          <w:rFonts w:cs="Arial"/>
          <w:szCs w:val="24"/>
          <w:lang w:val="en-CA" w:eastAsia="en-US"/>
        </w:rPr>
        <w:t xml:space="preserve">feeling </w:t>
      </w:r>
      <w:r w:rsidR="007E5053" w:rsidRPr="005545AF">
        <w:rPr>
          <w:rFonts w:cs="Arial"/>
          <w:szCs w:val="24"/>
          <w:lang w:val="en-CA" w:eastAsia="en-US"/>
        </w:rPr>
        <w:lastRenderedPageBreak/>
        <w:t>of being “humiliated, sad or frustrated”</w:t>
      </w:r>
      <w:r w:rsidR="002802DA" w:rsidRPr="005545AF">
        <w:rPr>
          <w:rStyle w:val="Appelnotedebasdep"/>
          <w:rFonts w:cs="Arial"/>
          <w:szCs w:val="24"/>
          <w:lang w:val="en-CA" w:eastAsia="en-US"/>
        </w:rPr>
        <w:footnoteReference w:id="97"/>
      </w:r>
      <w:r w:rsidR="002802DA" w:rsidRPr="005545AF">
        <w:rPr>
          <w:rFonts w:cs="Arial"/>
          <w:szCs w:val="24"/>
          <w:lang w:val="en-CA" w:eastAsia="en-US"/>
        </w:rPr>
        <w:t xml:space="preserve"> </w:t>
      </w:r>
      <w:r w:rsidR="007E5053" w:rsidRPr="005545AF">
        <w:rPr>
          <w:rFonts w:cs="Arial"/>
          <w:szCs w:val="24"/>
          <w:lang w:val="en-CA" w:eastAsia="en-US"/>
        </w:rPr>
        <w:t>which necessarily varies according to one’s sensibility</w:t>
      </w:r>
      <w:r w:rsidR="002802DA" w:rsidRPr="005545AF">
        <w:rPr>
          <w:rFonts w:cs="Arial"/>
          <w:szCs w:val="24"/>
          <w:lang w:val="en-CA" w:eastAsia="en-US"/>
        </w:rPr>
        <w:t>.</w:t>
      </w:r>
    </w:p>
    <w:p w14:paraId="00840C0A" w14:textId="51F947B8" w:rsidR="002802DA" w:rsidRPr="005545AF" w:rsidRDefault="009B2D66" w:rsidP="001F7377">
      <w:pPr>
        <w:pStyle w:val="Paragraphe"/>
        <w:spacing w:line="240" w:lineRule="auto"/>
        <w:rPr>
          <w:rFonts w:cs="Arial"/>
          <w:szCs w:val="24"/>
          <w:lang w:val="en-CA" w:eastAsia="en-US"/>
        </w:rPr>
      </w:pPr>
      <w:r w:rsidRPr="005545AF">
        <w:rPr>
          <w:rFonts w:cs="Arial"/>
          <w:szCs w:val="24"/>
          <w:lang w:val="en-CA"/>
        </w:rPr>
        <w:t xml:space="preserve">Clearly, under the objective ordinary person standard, there is no doubt that the impugned comments could </w:t>
      </w:r>
      <w:r w:rsidR="009B7664" w:rsidRPr="005545AF">
        <w:rPr>
          <w:rFonts w:cs="Arial"/>
          <w:szCs w:val="24"/>
          <w:lang w:val="en-CA"/>
        </w:rPr>
        <w:t>harm</w:t>
      </w:r>
      <w:r w:rsidRPr="005545AF">
        <w:rPr>
          <w:rFonts w:cs="Arial"/>
          <w:szCs w:val="24"/>
          <w:lang w:val="en-CA"/>
        </w:rPr>
        <w:t xml:space="preserve"> reputation</w:t>
      </w:r>
      <w:r w:rsidR="002802DA" w:rsidRPr="005545AF">
        <w:rPr>
          <w:rFonts w:cs="Arial"/>
          <w:szCs w:val="24"/>
          <w:lang w:val="en-CA"/>
        </w:rPr>
        <w:t xml:space="preserve">. </w:t>
      </w:r>
      <w:r w:rsidR="009B7664" w:rsidRPr="005545AF">
        <w:rPr>
          <w:rFonts w:cs="Arial"/>
          <w:szCs w:val="24"/>
          <w:lang w:val="en-CA"/>
        </w:rPr>
        <w:t>No one disputes</w:t>
      </w:r>
      <w:r w:rsidR="002802DA" w:rsidRPr="005545AF">
        <w:rPr>
          <w:rFonts w:cs="Arial"/>
          <w:szCs w:val="24"/>
          <w:lang w:val="en-CA"/>
        </w:rPr>
        <w:t xml:space="preserve">, </w:t>
      </w:r>
      <w:r w:rsidR="00132256" w:rsidRPr="005545AF">
        <w:rPr>
          <w:rFonts w:cs="Arial"/>
          <w:szCs w:val="24"/>
          <w:lang w:val="en-CA"/>
        </w:rPr>
        <w:t>including</w:t>
      </w:r>
      <w:r w:rsidR="002802DA" w:rsidRPr="005545AF">
        <w:rPr>
          <w:rFonts w:cs="Arial"/>
          <w:szCs w:val="24"/>
          <w:lang w:val="en-CA"/>
        </w:rPr>
        <w:t xml:space="preserve"> Google</w:t>
      </w:r>
      <w:r w:rsidR="005D52EB" w:rsidRPr="005545AF">
        <w:rPr>
          <w:rFonts w:cs="Arial"/>
          <w:szCs w:val="24"/>
          <w:lang w:val="en-CA"/>
        </w:rPr>
        <w:t xml:space="preserve"> </w:t>
      </w:r>
      <w:r w:rsidR="00132256" w:rsidRPr="005545AF">
        <w:rPr>
          <w:rFonts w:cs="Arial"/>
          <w:szCs w:val="24"/>
          <w:lang w:val="en-CA"/>
        </w:rPr>
        <w:t>for that</w:t>
      </w:r>
      <w:r w:rsidR="00A5656D" w:rsidRPr="005545AF">
        <w:rPr>
          <w:rFonts w:cs="Arial"/>
          <w:szCs w:val="24"/>
          <w:lang w:val="en-CA"/>
        </w:rPr>
        <w:t xml:space="preserve"> matter</w:t>
      </w:r>
      <w:r w:rsidR="002802DA" w:rsidRPr="005545AF">
        <w:rPr>
          <w:rFonts w:cs="Arial"/>
          <w:szCs w:val="24"/>
          <w:lang w:val="en-CA"/>
        </w:rPr>
        <w:t xml:space="preserve">, </w:t>
      </w:r>
      <w:r w:rsidR="005D52EB" w:rsidRPr="005545AF">
        <w:rPr>
          <w:rFonts w:cs="Arial"/>
          <w:szCs w:val="24"/>
          <w:lang w:val="en-CA"/>
        </w:rPr>
        <w:t xml:space="preserve">that the comments in the </w:t>
      </w:r>
      <w:r w:rsidR="004A5D7E" w:rsidRPr="005545AF">
        <w:rPr>
          <w:rFonts w:cs="Arial"/>
          <w:szCs w:val="24"/>
          <w:lang w:val="en-CA"/>
        </w:rPr>
        <w:t>Impugned Post</w:t>
      </w:r>
      <w:r w:rsidR="005D52EB" w:rsidRPr="005545AF">
        <w:rPr>
          <w:rFonts w:cs="Arial"/>
          <w:szCs w:val="24"/>
          <w:lang w:val="en-CA"/>
        </w:rPr>
        <w:t xml:space="preserve"> satisf</w:t>
      </w:r>
      <w:r w:rsidR="00132256" w:rsidRPr="005545AF">
        <w:rPr>
          <w:rFonts w:cs="Arial"/>
          <w:szCs w:val="24"/>
          <w:lang w:val="en-CA"/>
        </w:rPr>
        <w:t>y</w:t>
      </w:r>
      <w:r w:rsidR="005D52EB" w:rsidRPr="005545AF">
        <w:rPr>
          <w:rFonts w:cs="Arial"/>
          <w:szCs w:val="24"/>
          <w:lang w:val="en-CA"/>
        </w:rPr>
        <w:t xml:space="preserve"> that threshold</w:t>
      </w:r>
      <w:r w:rsidR="002802DA" w:rsidRPr="005545AF">
        <w:rPr>
          <w:rFonts w:cs="Arial"/>
          <w:szCs w:val="24"/>
          <w:lang w:val="en-CA"/>
        </w:rPr>
        <w:t xml:space="preserve">. </w:t>
      </w:r>
      <w:r w:rsidR="005D52EB" w:rsidRPr="005545AF">
        <w:rPr>
          <w:rFonts w:cs="Arial"/>
          <w:szCs w:val="24"/>
          <w:lang w:val="en-CA"/>
        </w:rPr>
        <w:t xml:space="preserve">Rather, the issue raised by Google is whether proof of </w:t>
      </w:r>
      <w:r w:rsidR="005B4D10" w:rsidRPr="005545AF">
        <w:rPr>
          <w:rFonts w:cs="Arial"/>
          <w:szCs w:val="24"/>
          <w:lang w:val="en-CA"/>
        </w:rPr>
        <w:t>reputational damage</w:t>
      </w:r>
      <w:r w:rsidR="005D52EB" w:rsidRPr="005545AF">
        <w:rPr>
          <w:rFonts w:cs="Arial"/>
          <w:szCs w:val="24"/>
          <w:lang w:val="en-CA"/>
        </w:rPr>
        <w:t xml:space="preserve"> has been made out in </w:t>
      </w:r>
      <w:r w:rsidR="00A5656D" w:rsidRPr="005545AF">
        <w:rPr>
          <w:rFonts w:cs="Arial"/>
          <w:szCs w:val="24"/>
          <w:lang w:val="en-CA"/>
        </w:rPr>
        <w:t>circumstances</w:t>
      </w:r>
      <w:r w:rsidR="005D52EB" w:rsidRPr="005545AF">
        <w:rPr>
          <w:rFonts w:cs="Arial"/>
          <w:szCs w:val="24"/>
          <w:lang w:val="en-CA"/>
        </w:rPr>
        <w:t xml:space="preserve"> where it has not been shown that anyone accessed the Post via Google’s search engine during the period that was not time-barred</w:t>
      </w:r>
      <w:r w:rsidR="002802DA" w:rsidRPr="005545AF">
        <w:rPr>
          <w:rFonts w:cs="Arial"/>
          <w:szCs w:val="24"/>
          <w:lang w:val="en-CA"/>
        </w:rPr>
        <w:t>.</w:t>
      </w:r>
      <w:r w:rsidR="002802DA" w:rsidRPr="005545AF">
        <w:rPr>
          <w:rFonts w:cs="Arial"/>
          <w:szCs w:val="24"/>
          <w:lang w:val="en-CA" w:eastAsia="en-US"/>
        </w:rPr>
        <w:t xml:space="preserve"> </w:t>
      </w:r>
      <w:r w:rsidR="005D52EB" w:rsidRPr="005545AF">
        <w:rPr>
          <w:rFonts w:cs="Arial"/>
          <w:szCs w:val="24"/>
          <w:lang w:val="en-CA" w:eastAsia="en-US"/>
        </w:rPr>
        <w:t>On this latter point</w:t>
      </w:r>
      <w:r w:rsidR="002802DA" w:rsidRPr="005545AF">
        <w:rPr>
          <w:rFonts w:cs="Arial"/>
          <w:szCs w:val="24"/>
          <w:lang w:val="en-CA" w:eastAsia="en-US"/>
        </w:rPr>
        <w:t xml:space="preserve">, Google </w:t>
      </w:r>
      <w:r w:rsidR="005D52EB" w:rsidRPr="005545AF">
        <w:rPr>
          <w:rFonts w:cs="Arial"/>
          <w:szCs w:val="24"/>
          <w:lang w:val="en-CA" w:eastAsia="en-US"/>
        </w:rPr>
        <w:t>submits that the judge distort</w:t>
      </w:r>
      <w:r w:rsidR="00A5656D" w:rsidRPr="005545AF">
        <w:rPr>
          <w:rFonts w:cs="Arial"/>
          <w:szCs w:val="24"/>
          <w:lang w:val="en-CA" w:eastAsia="en-US"/>
        </w:rPr>
        <w:t>ed</w:t>
      </w:r>
      <w:r w:rsidR="005D52EB" w:rsidRPr="005545AF">
        <w:rPr>
          <w:rFonts w:cs="Arial"/>
          <w:szCs w:val="24"/>
          <w:lang w:val="en-CA" w:eastAsia="en-US"/>
        </w:rPr>
        <w:t xml:space="preserve"> the Court’s teachings in</w:t>
      </w:r>
      <w:r w:rsidR="002802DA" w:rsidRPr="005545AF">
        <w:rPr>
          <w:rFonts w:cs="Arial"/>
          <w:szCs w:val="24"/>
          <w:lang w:val="en-CA" w:eastAsia="en-US"/>
        </w:rPr>
        <w:t xml:space="preserve"> </w:t>
      </w:r>
      <w:r w:rsidR="002802DA" w:rsidRPr="005545AF">
        <w:rPr>
          <w:rFonts w:cs="Arial"/>
          <w:i/>
          <w:iCs/>
          <w:szCs w:val="24"/>
          <w:lang w:val="en-CA" w:eastAsia="en-US"/>
        </w:rPr>
        <w:t>Lalli</w:t>
      </w:r>
      <w:r w:rsidR="002802DA" w:rsidRPr="005545AF">
        <w:rPr>
          <w:rFonts w:cs="Arial"/>
          <w:szCs w:val="24"/>
          <w:lang w:val="en-CA" w:eastAsia="en-US"/>
        </w:rPr>
        <w:t xml:space="preserve">. </w:t>
      </w:r>
      <w:r w:rsidR="005D52EB" w:rsidRPr="005545AF">
        <w:rPr>
          <w:rFonts w:cs="Arial"/>
          <w:szCs w:val="24"/>
          <w:lang w:val="en-CA" w:eastAsia="en-US"/>
        </w:rPr>
        <w:t>While the objective ordinary person standard does not require specific proof, th</w:t>
      </w:r>
      <w:r w:rsidR="00A8077B">
        <w:rPr>
          <w:rFonts w:cs="Arial"/>
          <w:szCs w:val="24"/>
          <w:lang w:val="en-CA" w:eastAsia="en-US"/>
        </w:rPr>
        <w:t>e</w:t>
      </w:r>
      <w:r w:rsidR="005D52EB" w:rsidRPr="005545AF">
        <w:rPr>
          <w:rFonts w:cs="Arial"/>
          <w:szCs w:val="24"/>
          <w:lang w:val="en-CA" w:eastAsia="en-US"/>
        </w:rPr>
        <w:t xml:space="preserve"> fact that the </w:t>
      </w:r>
      <w:r w:rsidR="00132256" w:rsidRPr="005545AF">
        <w:rPr>
          <w:rFonts w:cs="Arial"/>
          <w:szCs w:val="24"/>
          <w:lang w:val="en-CA" w:eastAsia="en-US"/>
        </w:rPr>
        <w:t>article</w:t>
      </w:r>
      <w:r w:rsidR="005D52EB" w:rsidRPr="005545AF">
        <w:rPr>
          <w:rFonts w:cs="Arial"/>
          <w:szCs w:val="24"/>
          <w:lang w:val="en-CA" w:eastAsia="en-US"/>
        </w:rPr>
        <w:t xml:space="preserve"> was</w:t>
      </w:r>
      <w:r w:rsidR="00A5656D" w:rsidRPr="005545AF">
        <w:rPr>
          <w:rFonts w:cs="Arial"/>
          <w:szCs w:val="24"/>
          <w:lang w:val="en-CA" w:eastAsia="en-US"/>
        </w:rPr>
        <w:t xml:space="preserve"> actually</w:t>
      </w:r>
      <w:r w:rsidR="005D52EB" w:rsidRPr="005545AF">
        <w:rPr>
          <w:rFonts w:cs="Arial"/>
          <w:szCs w:val="24"/>
          <w:lang w:val="en-CA" w:eastAsia="en-US"/>
        </w:rPr>
        <w:t xml:space="preserve"> communicated to person</w:t>
      </w:r>
      <w:r w:rsidR="00A5656D" w:rsidRPr="005545AF">
        <w:rPr>
          <w:rFonts w:cs="Arial"/>
          <w:szCs w:val="24"/>
          <w:lang w:val="en-CA" w:eastAsia="en-US"/>
        </w:rPr>
        <w:t>s</w:t>
      </w:r>
      <w:r w:rsidR="005D52EB" w:rsidRPr="005545AF">
        <w:rPr>
          <w:rFonts w:cs="Arial"/>
          <w:szCs w:val="24"/>
          <w:lang w:val="en-CA" w:eastAsia="en-US"/>
        </w:rPr>
        <w:t xml:space="preserve"> </w:t>
      </w:r>
      <w:r w:rsidR="001B17C9" w:rsidRPr="005545AF">
        <w:rPr>
          <w:rFonts w:cs="Arial"/>
          <w:szCs w:val="24"/>
          <w:lang w:val="en-CA" w:eastAsia="en-US"/>
        </w:rPr>
        <w:t xml:space="preserve">does </w:t>
      </w:r>
      <w:r w:rsidR="005D52EB" w:rsidRPr="005545AF">
        <w:rPr>
          <w:rFonts w:cs="Arial"/>
          <w:szCs w:val="24"/>
          <w:lang w:val="en-CA" w:eastAsia="en-US"/>
        </w:rPr>
        <w:t xml:space="preserve">require such proof, </w:t>
      </w:r>
      <w:r w:rsidR="001B17C9" w:rsidRPr="005545AF">
        <w:rPr>
          <w:rFonts w:cs="Arial"/>
          <w:szCs w:val="24"/>
          <w:lang w:val="en-CA" w:eastAsia="en-US"/>
        </w:rPr>
        <w:t>given that</w:t>
      </w:r>
      <w:r w:rsidR="005D52EB" w:rsidRPr="005545AF">
        <w:rPr>
          <w:rFonts w:cs="Arial"/>
          <w:szCs w:val="24"/>
          <w:lang w:val="en-CA" w:eastAsia="en-US"/>
        </w:rPr>
        <w:t xml:space="preserve"> </w:t>
      </w:r>
      <w:r w:rsidR="00A5656D" w:rsidRPr="005545AF">
        <w:rPr>
          <w:rFonts w:cs="Arial"/>
          <w:szCs w:val="24"/>
          <w:lang w:val="en-CA" w:eastAsia="en-US"/>
        </w:rPr>
        <w:t>a</w:t>
      </w:r>
      <w:r w:rsidR="00132256" w:rsidRPr="005545AF">
        <w:rPr>
          <w:rFonts w:cs="Arial"/>
          <w:szCs w:val="24"/>
          <w:lang w:val="en-CA" w:eastAsia="en-US"/>
        </w:rPr>
        <w:t>n</w:t>
      </w:r>
      <w:r w:rsidR="00A5656D" w:rsidRPr="005545AF">
        <w:rPr>
          <w:rFonts w:cs="Arial"/>
          <w:szCs w:val="24"/>
          <w:lang w:val="en-CA" w:eastAsia="en-US"/>
        </w:rPr>
        <w:t xml:space="preserve"> </w:t>
      </w:r>
      <w:r w:rsidR="00132256" w:rsidRPr="005545AF">
        <w:rPr>
          <w:rFonts w:cs="Arial"/>
          <w:szCs w:val="24"/>
          <w:lang w:val="en-CA" w:eastAsia="en-US"/>
        </w:rPr>
        <w:t>article</w:t>
      </w:r>
      <w:r w:rsidR="00A5656D" w:rsidRPr="005545AF">
        <w:rPr>
          <w:rFonts w:cs="Arial"/>
          <w:szCs w:val="24"/>
          <w:lang w:val="en-CA" w:eastAsia="en-US"/>
        </w:rPr>
        <w:t xml:space="preserve"> that no one</w:t>
      </w:r>
      <w:r w:rsidR="00132256" w:rsidRPr="005545AF">
        <w:rPr>
          <w:rFonts w:cs="Arial"/>
          <w:szCs w:val="24"/>
          <w:lang w:val="en-CA" w:eastAsia="en-US"/>
        </w:rPr>
        <w:t xml:space="preserve"> </w:t>
      </w:r>
      <w:r w:rsidR="00314114" w:rsidRPr="005545AF">
        <w:rPr>
          <w:rFonts w:cs="Arial"/>
          <w:szCs w:val="24"/>
          <w:lang w:val="en-CA" w:eastAsia="en-US"/>
        </w:rPr>
        <w:t xml:space="preserve">has </w:t>
      </w:r>
      <w:r w:rsidR="00132256" w:rsidRPr="005545AF">
        <w:rPr>
          <w:rFonts w:cs="Arial"/>
          <w:szCs w:val="24"/>
          <w:lang w:val="en-CA" w:eastAsia="en-US"/>
        </w:rPr>
        <w:t>presumably</w:t>
      </w:r>
      <w:r w:rsidR="00A5656D" w:rsidRPr="005545AF">
        <w:rPr>
          <w:rFonts w:cs="Arial"/>
          <w:szCs w:val="24"/>
          <w:lang w:val="en-CA" w:eastAsia="en-US"/>
        </w:rPr>
        <w:t xml:space="preserve"> </w:t>
      </w:r>
      <w:r w:rsidR="001B17C9" w:rsidRPr="005545AF">
        <w:rPr>
          <w:rFonts w:cs="Arial"/>
          <w:szCs w:val="24"/>
          <w:lang w:val="en-CA" w:eastAsia="en-US"/>
        </w:rPr>
        <w:t xml:space="preserve">read </w:t>
      </w:r>
      <w:r w:rsidR="00A5656D" w:rsidRPr="005545AF">
        <w:rPr>
          <w:rFonts w:cs="Arial"/>
          <w:szCs w:val="24"/>
          <w:lang w:val="en-CA" w:eastAsia="en-US"/>
        </w:rPr>
        <w:t xml:space="preserve">could not have harmed the reputation of the person concerned </w:t>
      </w:r>
      <w:r w:rsidR="001B17C9" w:rsidRPr="005545AF">
        <w:rPr>
          <w:rFonts w:cs="Arial"/>
          <w:szCs w:val="24"/>
          <w:lang w:val="en-CA" w:eastAsia="en-US"/>
        </w:rPr>
        <w:t>in the eyes of</w:t>
      </w:r>
      <w:r w:rsidR="00A5656D" w:rsidRPr="005545AF">
        <w:rPr>
          <w:rFonts w:cs="Arial"/>
          <w:szCs w:val="24"/>
          <w:lang w:val="en-CA" w:eastAsia="en-US"/>
        </w:rPr>
        <w:t xml:space="preserve"> “others”</w:t>
      </w:r>
      <w:r w:rsidR="002802DA" w:rsidRPr="005545AF">
        <w:rPr>
          <w:rFonts w:cs="Arial"/>
          <w:szCs w:val="24"/>
          <w:lang w:val="en-CA" w:eastAsia="en-US"/>
        </w:rPr>
        <w:t xml:space="preserve">. </w:t>
      </w:r>
    </w:p>
    <w:p w14:paraId="64CE7C4D" w14:textId="1BE4B54E" w:rsidR="002802DA" w:rsidRPr="005545AF" w:rsidRDefault="001B17C9" w:rsidP="001F7377">
      <w:pPr>
        <w:pStyle w:val="Paragraphe"/>
        <w:spacing w:line="240" w:lineRule="auto"/>
        <w:rPr>
          <w:rFonts w:cs="Arial"/>
          <w:szCs w:val="24"/>
          <w:lang w:val="en-CA" w:eastAsia="en-US"/>
        </w:rPr>
      </w:pPr>
      <w:r w:rsidRPr="005545AF">
        <w:rPr>
          <w:rFonts w:cs="Arial"/>
          <w:szCs w:val="24"/>
          <w:lang w:val="en-CA" w:eastAsia="en-US"/>
        </w:rPr>
        <w:t xml:space="preserve">That submission raises the issue of the true nature of </w:t>
      </w:r>
      <w:r w:rsidR="0025118E" w:rsidRPr="005545AF">
        <w:rPr>
          <w:rFonts w:cs="Arial"/>
          <w:szCs w:val="24"/>
          <w:lang w:val="en-CA" w:eastAsia="en-US"/>
        </w:rPr>
        <w:t>the appellant</w:t>
      </w:r>
      <w:r w:rsidRPr="005545AF">
        <w:rPr>
          <w:rFonts w:cs="Arial"/>
          <w:szCs w:val="24"/>
          <w:lang w:val="en-CA" w:eastAsia="en-US"/>
        </w:rPr>
        <w:t>’s claim.</w:t>
      </w:r>
      <w:r w:rsidR="002802DA" w:rsidRPr="005545AF">
        <w:rPr>
          <w:rFonts w:cs="Arial"/>
          <w:szCs w:val="24"/>
          <w:lang w:val="en-CA" w:eastAsia="en-US"/>
        </w:rPr>
        <w:t xml:space="preserve"> </w:t>
      </w:r>
      <w:r w:rsidRPr="005545AF">
        <w:rPr>
          <w:rFonts w:cs="Arial"/>
          <w:szCs w:val="24"/>
          <w:lang w:val="en-CA" w:eastAsia="en-US"/>
        </w:rPr>
        <w:t xml:space="preserve">While the judge did adopt the framework of a defamation action, and while, in large measure, </w:t>
      </w:r>
      <w:r w:rsidR="007A3496" w:rsidRPr="005545AF">
        <w:rPr>
          <w:rFonts w:cs="Arial"/>
          <w:szCs w:val="24"/>
          <w:lang w:val="en-CA" w:eastAsia="en-US"/>
        </w:rPr>
        <w:t xml:space="preserve">that framework was the focus of </w:t>
      </w:r>
      <w:r w:rsidR="00E42D15" w:rsidRPr="005545AF">
        <w:rPr>
          <w:rFonts w:cs="Arial"/>
          <w:szCs w:val="24"/>
          <w:lang w:val="en-CA" w:eastAsia="en-US"/>
        </w:rPr>
        <w:t>the</w:t>
      </w:r>
      <w:r w:rsidR="00A9601A" w:rsidRPr="005545AF">
        <w:rPr>
          <w:rFonts w:cs="Arial"/>
          <w:szCs w:val="24"/>
          <w:lang w:val="en-CA" w:eastAsia="en-US"/>
        </w:rPr>
        <w:t xml:space="preserve"> debate between the</w:t>
      </w:r>
      <w:r w:rsidR="00E42D15" w:rsidRPr="005545AF">
        <w:rPr>
          <w:rFonts w:cs="Arial"/>
          <w:szCs w:val="24"/>
          <w:lang w:val="en-CA" w:eastAsia="en-US"/>
        </w:rPr>
        <w:t xml:space="preserve"> parties</w:t>
      </w:r>
      <w:r w:rsidRPr="005545AF">
        <w:rPr>
          <w:rFonts w:cs="Arial"/>
          <w:szCs w:val="24"/>
          <w:lang w:val="en-CA" w:eastAsia="en-US"/>
        </w:rPr>
        <w:t>, th</w:t>
      </w:r>
      <w:r w:rsidR="00E42D15" w:rsidRPr="005545AF">
        <w:rPr>
          <w:rFonts w:cs="Arial"/>
          <w:szCs w:val="24"/>
          <w:lang w:val="en-CA" w:eastAsia="en-US"/>
        </w:rPr>
        <w:t>is</w:t>
      </w:r>
      <w:r w:rsidRPr="005545AF">
        <w:rPr>
          <w:rFonts w:cs="Arial"/>
          <w:szCs w:val="24"/>
          <w:lang w:val="en-CA" w:eastAsia="en-US"/>
        </w:rPr>
        <w:t xml:space="preserve"> case </w:t>
      </w:r>
      <w:r w:rsidR="0025118E" w:rsidRPr="005545AF">
        <w:rPr>
          <w:rFonts w:cs="Arial"/>
          <w:szCs w:val="24"/>
          <w:lang w:val="en-CA" w:eastAsia="en-US"/>
        </w:rPr>
        <w:t>can in fact be framed</w:t>
      </w:r>
      <w:r w:rsidRPr="005545AF">
        <w:rPr>
          <w:rFonts w:cs="Arial"/>
          <w:szCs w:val="24"/>
          <w:lang w:val="en-CA" w:eastAsia="en-US"/>
        </w:rPr>
        <w:t xml:space="preserve"> </w:t>
      </w:r>
      <w:r w:rsidR="00E42D15" w:rsidRPr="005545AF">
        <w:rPr>
          <w:rFonts w:cs="Arial"/>
          <w:szCs w:val="24"/>
          <w:lang w:val="en-CA" w:eastAsia="en-US"/>
        </w:rPr>
        <w:t>in simpler terms</w:t>
      </w:r>
      <w:r w:rsidR="002802DA" w:rsidRPr="005545AF">
        <w:rPr>
          <w:rFonts w:cs="Arial"/>
          <w:szCs w:val="24"/>
          <w:lang w:val="en-CA" w:eastAsia="en-US"/>
        </w:rPr>
        <w:t xml:space="preserve">. </w:t>
      </w:r>
      <w:r w:rsidR="00A9601A" w:rsidRPr="005545AF">
        <w:rPr>
          <w:rFonts w:cs="Arial"/>
          <w:szCs w:val="24"/>
          <w:lang w:val="en-CA" w:eastAsia="en-US"/>
        </w:rPr>
        <w:t>As noted above</w:t>
      </w:r>
      <w:r w:rsidR="002802DA" w:rsidRPr="005545AF">
        <w:rPr>
          <w:rFonts w:cs="Arial"/>
          <w:szCs w:val="24"/>
          <w:lang w:val="en-CA" w:eastAsia="en-US"/>
        </w:rPr>
        <w:t>, Google</w:t>
      </w:r>
      <w:r w:rsidR="00A9601A" w:rsidRPr="005545AF">
        <w:rPr>
          <w:rFonts w:cs="Arial"/>
          <w:szCs w:val="24"/>
          <w:lang w:val="en-CA" w:eastAsia="en-US"/>
        </w:rPr>
        <w:t>’s alleged fault is its failure, contrary to section</w:t>
      </w:r>
      <w:r w:rsidR="002802DA" w:rsidRPr="005545AF">
        <w:rPr>
          <w:rFonts w:cs="Arial"/>
          <w:szCs w:val="24"/>
          <w:lang w:val="en-CA" w:eastAsia="en-US"/>
        </w:rPr>
        <w:t xml:space="preserve"> 22 </w:t>
      </w:r>
      <w:r w:rsidR="00A9601A" w:rsidRPr="005545AF">
        <w:rPr>
          <w:rFonts w:cs="Arial"/>
          <w:i/>
          <w:iCs/>
          <w:szCs w:val="24"/>
          <w:lang w:val="en-CA" w:eastAsia="en-US"/>
        </w:rPr>
        <w:t>IT Fram</w:t>
      </w:r>
      <w:r w:rsidR="00003655" w:rsidRPr="005545AF">
        <w:rPr>
          <w:rFonts w:cs="Arial"/>
          <w:i/>
          <w:iCs/>
          <w:szCs w:val="24"/>
          <w:lang w:val="en-CA" w:eastAsia="en-US"/>
        </w:rPr>
        <w:t>e</w:t>
      </w:r>
      <w:r w:rsidR="00A9601A" w:rsidRPr="005545AF">
        <w:rPr>
          <w:rFonts w:cs="Arial"/>
          <w:i/>
          <w:iCs/>
          <w:szCs w:val="24"/>
          <w:lang w:val="en-CA" w:eastAsia="en-US"/>
        </w:rPr>
        <w:t>work Act</w:t>
      </w:r>
      <w:r w:rsidR="002802DA" w:rsidRPr="005545AF">
        <w:rPr>
          <w:rFonts w:cs="Arial"/>
          <w:szCs w:val="24"/>
          <w:lang w:val="en-CA" w:eastAsia="en-US"/>
        </w:rPr>
        <w:t xml:space="preserve">, </w:t>
      </w:r>
      <w:r w:rsidR="00A9601A" w:rsidRPr="005545AF">
        <w:rPr>
          <w:rFonts w:cs="Arial"/>
          <w:szCs w:val="24"/>
          <w:lang w:val="en-CA" w:eastAsia="en-US"/>
        </w:rPr>
        <w:t xml:space="preserve">to de-index the </w:t>
      </w:r>
      <w:r w:rsidR="004A5D7E" w:rsidRPr="005545AF">
        <w:rPr>
          <w:rFonts w:cs="Arial"/>
          <w:szCs w:val="24"/>
          <w:lang w:val="en-CA" w:eastAsia="en-US"/>
        </w:rPr>
        <w:t>Impugned Post</w:t>
      </w:r>
      <w:r w:rsidR="002802DA" w:rsidRPr="005545AF">
        <w:rPr>
          <w:rFonts w:cs="Arial"/>
          <w:szCs w:val="24"/>
          <w:lang w:val="en-CA" w:eastAsia="en-US"/>
        </w:rPr>
        <w:t xml:space="preserve">. </w:t>
      </w:r>
      <w:r w:rsidR="00A9601A" w:rsidRPr="005545AF">
        <w:rPr>
          <w:rFonts w:cs="Arial"/>
          <w:szCs w:val="24"/>
          <w:lang w:val="en-CA" w:eastAsia="en-US"/>
        </w:rPr>
        <w:t xml:space="preserve">The Post’s defamatory nature, which is undisputed, is not </w:t>
      </w:r>
      <w:r w:rsidR="00003655" w:rsidRPr="005545AF">
        <w:rPr>
          <w:rFonts w:cs="Arial"/>
          <w:szCs w:val="24"/>
          <w:lang w:val="en-CA" w:eastAsia="en-US"/>
        </w:rPr>
        <w:t xml:space="preserve">in </w:t>
      </w:r>
      <w:r w:rsidR="00A9601A" w:rsidRPr="005545AF">
        <w:rPr>
          <w:rFonts w:cs="Arial"/>
          <w:szCs w:val="24"/>
          <w:lang w:val="en-CA" w:eastAsia="en-US"/>
        </w:rPr>
        <w:t xml:space="preserve">itself the source of </w:t>
      </w:r>
      <w:r w:rsidR="002802DA" w:rsidRPr="005545AF">
        <w:rPr>
          <w:rFonts w:cs="Arial"/>
          <w:szCs w:val="24"/>
          <w:lang w:val="en-CA" w:eastAsia="en-US"/>
        </w:rPr>
        <w:t>Google</w:t>
      </w:r>
      <w:r w:rsidR="00A9601A" w:rsidRPr="005545AF">
        <w:rPr>
          <w:rFonts w:cs="Arial"/>
          <w:szCs w:val="24"/>
          <w:lang w:val="en-CA" w:eastAsia="en-US"/>
        </w:rPr>
        <w:t>’s liability</w:t>
      </w:r>
      <w:r w:rsidR="002802DA" w:rsidRPr="005545AF">
        <w:rPr>
          <w:rFonts w:cs="Arial"/>
          <w:szCs w:val="24"/>
          <w:lang w:val="en-CA" w:eastAsia="en-US"/>
        </w:rPr>
        <w:t xml:space="preserve">. </w:t>
      </w:r>
      <w:r w:rsidR="00003655" w:rsidRPr="005545AF">
        <w:rPr>
          <w:rFonts w:cs="Arial"/>
          <w:szCs w:val="24"/>
          <w:lang w:val="en-CA" w:eastAsia="en-US"/>
        </w:rPr>
        <w:t>Rather, i</w:t>
      </w:r>
      <w:r w:rsidR="00A9601A" w:rsidRPr="005545AF">
        <w:rPr>
          <w:rFonts w:cs="Arial"/>
          <w:szCs w:val="24"/>
          <w:lang w:val="en-CA" w:eastAsia="en-US"/>
        </w:rPr>
        <w:t xml:space="preserve">t </w:t>
      </w:r>
      <w:r w:rsidR="00003655" w:rsidRPr="005545AF">
        <w:rPr>
          <w:rFonts w:cs="Arial"/>
          <w:szCs w:val="24"/>
          <w:lang w:val="en-CA" w:eastAsia="en-US"/>
        </w:rPr>
        <w:t>triggered</w:t>
      </w:r>
      <w:r w:rsidR="00A9601A" w:rsidRPr="005545AF">
        <w:rPr>
          <w:rFonts w:cs="Arial"/>
          <w:szCs w:val="24"/>
          <w:lang w:val="en-CA" w:eastAsia="en-US"/>
        </w:rPr>
        <w:t xml:space="preserve">, </w:t>
      </w:r>
      <w:r w:rsidR="00003655" w:rsidRPr="005545AF">
        <w:rPr>
          <w:rFonts w:cs="Arial"/>
          <w:szCs w:val="24"/>
          <w:lang w:val="en-CA" w:eastAsia="en-US"/>
        </w:rPr>
        <w:t>via</w:t>
      </w:r>
      <w:r w:rsidR="00A9601A" w:rsidRPr="005545AF">
        <w:rPr>
          <w:rFonts w:cs="Arial"/>
          <w:szCs w:val="24"/>
          <w:lang w:val="en-CA" w:eastAsia="en-US"/>
        </w:rPr>
        <w:t xml:space="preserve"> the concept of “illicit activity”</w:t>
      </w:r>
      <w:r w:rsidR="002802DA" w:rsidRPr="005545AF">
        <w:rPr>
          <w:rFonts w:cs="Arial"/>
          <w:szCs w:val="24"/>
          <w:lang w:val="en-CA" w:eastAsia="en-US"/>
        </w:rPr>
        <w:t xml:space="preserve">, </w:t>
      </w:r>
      <w:r w:rsidR="00263CDA" w:rsidRPr="005545AF">
        <w:rPr>
          <w:rFonts w:cs="Arial"/>
          <w:szCs w:val="24"/>
          <w:lang w:val="en-CA" w:eastAsia="en-US"/>
        </w:rPr>
        <w:t xml:space="preserve">the duty </w:t>
      </w:r>
      <w:r w:rsidR="00003655" w:rsidRPr="005545AF">
        <w:rPr>
          <w:rFonts w:cs="Arial"/>
          <w:szCs w:val="24"/>
          <w:lang w:val="en-CA" w:eastAsia="en-US"/>
        </w:rPr>
        <w:t>under</w:t>
      </w:r>
      <w:r w:rsidR="00263CDA" w:rsidRPr="005545AF">
        <w:rPr>
          <w:rFonts w:cs="Arial"/>
          <w:szCs w:val="24"/>
          <w:lang w:val="en-CA" w:eastAsia="en-US"/>
        </w:rPr>
        <w:t xml:space="preserve"> section</w:t>
      </w:r>
      <w:r w:rsidR="002802DA" w:rsidRPr="005545AF">
        <w:rPr>
          <w:rFonts w:cs="Arial"/>
          <w:szCs w:val="24"/>
          <w:lang w:val="en-CA" w:eastAsia="en-US"/>
        </w:rPr>
        <w:t xml:space="preserve"> 22 </w:t>
      </w:r>
      <w:r w:rsidR="00263CDA" w:rsidRPr="005545AF">
        <w:rPr>
          <w:rFonts w:cs="Arial"/>
          <w:i/>
          <w:iCs/>
          <w:szCs w:val="24"/>
          <w:lang w:val="en-CA" w:eastAsia="en-US"/>
        </w:rPr>
        <w:t>IT Framework Act</w:t>
      </w:r>
      <w:r w:rsidR="002802DA" w:rsidRPr="005545AF">
        <w:rPr>
          <w:rFonts w:cs="Arial"/>
          <w:szCs w:val="24"/>
          <w:lang w:val="en-CA" w:eastAsia="en-US"/>
        </w:rPr>
        <w:t xml:space="preserve">. </w:t>
      </w:r>
      <w:r w:rsidR="00263CDA" w:rsidRPr="005545AF">
        <w:rPr>
          <w:rFonts w:cs="Arial"/>
          <w:szCs w:val="24"/>
          <w:lang w:val="en-CA" w:eastAsia="en-US"/>
        </w:rPr>
        <w:t xml:space="preserve">It is therefore unnecessary here, as we have seen, to refer to the analytical framework for defamation to </w:t>
      </w:r>
      <w:r w:rsidR="00003655" w:rsidRPr="005545AF">
        <w:rPr>
          <w:rFonts w:cs="Arial"/>
          <w:szCs w:val="24"/>
          <w:lang w:val="en-CA" w:eastAsia="en-US"/>
        </w:rPr>
        <w:t>recognize</w:t>
      </w:r>
      <w:r w:rsidR="00263CDA" w:rsidRPr="005545AF">
        <w:rPr>
          <w:rFonts w:cs="Arial"/>
          <w:szCs w:val="24"/>
          <w:lang w:val="en-CA" w:eastAsia="en-US"/>
        </w:rPr>
        <w:t xml:space="preserve"> the existence of a fault, even though the judge did </w:t>
      </w:r>
      <w:r w:rsidR="00003655" w:rsidRPr="005545AF">
        <w:rPr>
          <w:rFonts w:cs="Arial"/>
          <w:szCs w:val="24"/>
          <w:lang w:val="en-CA" w:eastAsia="en-US"/>
        </w:rPr>
        <w:t>so</w:t>
      </w:r>
      <w:r w:rsidR="00263CDA" w:rsidRPr="005545AF">
        <w:rPr>
          <w:rFonts w:cs="Arial"/>
          <w:szCs w:val="24"/>
          <w:lang w:val="en-CA" w:eastAsia="en-US"/>
        </w:rPr>
        <w:t xml:space="preserve"> in the alternative</w:t>
      </w:r>
      <w:r w:rsidR="002802DA" w:rsidRPr="005545AF">
        <w:rPr>
          <w:rFonts w:cs="Arial"/>
          <w:szCs w:val="24"/>
          <w:lang w:val="en-CA" w:eastAsia="en-US"/>
        </w:rPr>
        <w:t>.</w:t>
      </w:r>
    </w:p>
    <w:p w14:paraId="6083774E" w14:textId="69748293" w:rsidR="002802DA" w:rsidRPr="005545AF" w:rsidRDefault="000C30DB" w:rsidP="001F7377">
      <w:pPr>
        <w:pStyle w:val="Paragraphe"/>
        <w:spacing w:line="240" w:lineRule="auto"/>
        <w:rPr>
          <w:rFonts w:cs="Arial"/>
          <w:szCs w:val="24"/>
          <w:lang w:val="en-CA" w:eastAsia="en-US"/>
        </w:rPr>
      </w:pPr>
      <w:r w:rsidRPr="005545AF">
        <w:rPr>
          <w:rFonts w:cs="Arial"/>
          <w:szCs w:val="24"/>
          <w:lang w:val="en-CA" w:eastAsia="en-US"/>
        </w:rPr>
        <w:t>The same is true of injury</w:t>
      </w:r>
      <w:r w:rsidR="002802DA" w:rsidRPr="005545AF">
        <w:rPr>
          <w:rFonts w:cs="Arial"/>
          <w:szCs w:val="24"/>
          <w:lang w:val="en-CA" w:eastAsia="en-US"/>
        </w:rPr>
        <w:t xml:space="preserve">. </w:t>
      </w:r>
      <w:r w:rsidRPr="005545AF">
        <w:rPr>
          <w:rFonts w:cs="Arial"/>
          <w:szCs w:val="24"/>
          <w:lang w:val="en-CA" w:eastAsia="en-US"/>
        </w:rPr>
        <w:t xml:space="preserve">The </w:t>
      </w:r>
      <w:r w:rsidR="0025118E" w:rsidRPr="005545AF">
        <w:rPr>
          <w:rFonts w:cs="Arial"/>
          <w:szCs w:val="24"/>
          <w:lang w:val="en-CA" w:eastAsia="en-US"/>
        </w:rPr>
        <w:t>possibility</w:t>
      </w:r>
      <w:r w:rsidRPr="005545AF">
        <w:rPr>
          <w:rFonts w:cs="Arial"/>
          <w:szCs w:val="24"/>
          <w:lang w:val="en-CA" w:eastAsia="en-US"/>
        </w:rPr>
        <w:t xml:space="preserve"> that, at any time</w:t>
      </w:r>
      <w:r w:rsidR="002802DA" w:rsidRPr="005545AF">
        <w:rPr>
          <w:rFonts w:cs="Arial"/>
          <w:szCs w:val="24"/>
          <w:lang w:val="en-CA" w:eastAsia="en-US"/>
        </w:rPr>
        <w:t xml:space="preserve">, </w:t>
      </w:r>
      <w:r w:rsidRPr="005545AF">
        <w:rPr>
          <w:rFonts w:cs="Arial"/>
          <w:szCs w:val="24"/>
          <w:lang w:val="en-CA" w:eastAsia="en-US"/>
        </w:rPr>
        <w:t xml:space="preserve">the </w:t>
      </w:r>
      <w:r w:rsidR="004A5D7E" w:rsidRPr="005545AF">
        <w:rPr>
          <w:rFonts w:cs="Arial"/>
          <w:szCs w:val="24"/>
          <w:lang w:val="en-CA" w:eastAsia="en-US"/>
        </w:rPr>
        <w:t>Impugned Post</w:t>
      </w:r>
      <w:r w:rsidR="002802DA" w:rsidRPr="005545AF">
        <w:rPr>
          <w:rFonts w:cs="Arial"/>
          <w:szCs w:val="24"/>
          <w:lang w:val="en-CA" w:eastAsia="en-US"/>
        </w:rPr>
        <w:t xml:space="preserve"> </w:t>
      </w:r>
      <w:r w:rsidR="002D7F3C" w:rsidRPr="005545AF">
        <w:rPr>
          <w:rFonts w:cs="Arial"/>
          <w:szCs w:val="24"/>
          <w:lang w:val="en-CA" w:eastAsia="en-US"/>
        </w:rPr>
        <w:t>c</w:t>
      </w:r>
      <w:r w:rsidR="0025118E" w:rsidRPr="005545AF">
        <w:rPr>
          <w:rFonts w:cs="Arial"/>
          <w:szCs w:val="24"/>
          <w:lang w:val="en-CA" w:eastAsia="en-US"/>
        </w:rPr>
        <w:t>ould</w:t>
      </w:r>
      <w:r w:rsidR="002D7F3C" w:rsidRPr="005545AF">
        <w:rPr>
          <w:rFonts w:cs="Arial"/>
          <w:szCs w:val="24"/>
          <w:lang w:val="en-CA" w:eastAsia="en-US"/>
        </w:rPr>
        <w:t xml:space="preserve"> </w:t>
      </w:r>
      <w:r w:rsidRPr="005545AF">
        <w:rPr>
          <w:rFonts w:cs="Arial"/>
          <w:szCs w:val="24"/>
          <w:lang w:val="en-CA" w:eastAsia="en-US"/>
        </w:rPr>
        <w:t>be</w:t>
      </w:r>
      <w:r w:rsidR="002802DA" w:rsidRPr="005545AF">
        <w:rPr>
          <w:rFonts w:cs="Arial"/>
          <w:szCs w:val="24"/>
          <w:lang w:val="en-CA" w:eastAsia="en-US"/>
        </w:rPr>
        <w:t xml:space="preserve"> </w:t>
      </w:r>
      <w:r w:rsidR="0025118E" w:rsidRPr="005545AF">
        <w:rPr>
          <w:rFonts w:cs="Arial"/>
          <w:szCs w:val="24"/>
          <w:lang w:val="en-CA" w:eastAsia="en-US"/>
        </w:rPr>
        <w:t>suggested</w:t>
      </w:r>
      <w:r w:rsidRPr="005545AF">
        <w:rPr>
          <w:rFonts w:cs="Arial"/>
          <w:szCs w:val="24"/>
          <w:lang w:val="en-CA" w:eastAsia="en-US"/>
        </w:rPr>
        <w:t xml:space="preserve"> by </w:t>
      </w:r>
      <w:r w:rsidR="002802DA" w:rsidRPr="005545AF">
        <w:rPr>
          <w:rFonts w:cs="Arial"/>
          <w:szCs w:val="24"/>
          <w:lang w:val="en-CA" w:eastAsia="en-US"/>
        </w:rPr>
        <w:t>Google</w:t>
      </w:r>
      <w:r w:rsidRPr="005545AF">
        <w:rPr>
          <w:rFonts w:cs="Arial"/>
          <w:szCs w:val="24"/>
          <w:lang w:val="en-CA" w:eastAsia="en-US"/>
        </w:rPr>
        <w:t>’s algorithm constitutes in and of itself the injury suffered by</w:t>
      </w:r>
      <w:r w:rsidR="002802DA" w:rsidRPr="005545AF">
        <w:rPr>
          <w:rFonts w:cs="Arial"/>
          <w:szCs w:val="24"/>
          <w:lang w:val="en-CA" w:eastAsia="en-US"/>
        </w:rPr>
        <w:t xml:space="preserve"> </w:t>
      </w:r>
      <w:r w:rsidR="0025118E" w:rsidRPr="005545AF">
        <w:rPr>
          <w:rFonts w:cs="Arial"/>
          <w:szCs w:val="24"/>
          <w:lang w:val="en-CA" w:eastAsia="en-US"/>
        </w:rPr>
        <w:t>the appellant.</w:t>
      </w:r>
      <w:r w:rsidR="002802DA" w:rsidRPr="005545AF">
        <w:rPr>
          <w:rFonts w:cs="Arial"/>
          <w:szCs w:val="24"/>
          <w:lang w:val="en-CA" w:eastAsia="en-US"/>
        </w:rPr>
        <w:t xml:space="preserve"> </w:t>
      </w:r>
      <w:r w:rsidRPr="005545AF">
        <w:rPr>
          <w:rFonts w:cs="Arial"/>
          <w:szCs w:val="24"/>
          <w:lang w:val="en-CA" w:eastAsia="en-US"/>
        </w:rPr>
        <w:t xml:space="preserve">This point </w:t>
      </w:r>
      <w:r w:rsidR="002D7F3C" w:rsidRPr="005545AF">
        <w:rPr>
          <w:rFonts w:cs="Arial"/>
          <w:szCs w:val="24"/>
          <w:lang w:val="en-CA" w:eastAsia="en-US"/>
        </w:rPr>
        <w:t>seems</w:t>
      </w:r>
      <w:r w:rsidRPr="005545AF">
        <w:rPr>
          <w:rFonts w:cs="Arial"/>
          <w:szCs w:val="24"/>
          <w:lang w:val="en-CA" w:eastAsia="en-US"/>
        </w:rPr>
        <w:t xml:space="preserve"> important</w:t>
      </w:r>
      <w:r w:rsidR="002D7F3C" w:rsidRPr="005545AF">
        <w:rPr>
          <w:rFonts w:cs="Arial"/>
          <w:szCs w:val="24"/>
          <w:lang w:val="en-CA" w:eastAsia="en-US"/>
        </w:rPr>
        <w:t xml:space="preserve"> to me</w:t>
      </w:r>
      <w:r w:rsidR="002802DA" w:rsidRPr="005545AF">
        <w:rPr>
          <w:rFonts w:cs="Arial"/>
          <w:szCs w:val="24"/>
          <w:lang w:val="en-CA" w:eastAsia="en-US"/>
        </w:rPr>
        <w:t xml:space="preserve">. </w:t>
      </w:r>
      <w:r w:rsidR="003C70B9" w:rsidRPr="005545AF">
        <w:rPr>
          <w:rFonts w:cs="Arial"/>
          <w:szCs w:val="24"/>
          <w:lang w:val="en-CA" w:eastAsia="en-US"/>
        </w:rPr>
        <w:t>Indeed, t</w:t>
      </w:r>
      <w:r w:rsidRPr="005545AF">
        <w:rPr>
          <w:rFonts w:cs="Arial"/>
          <w:szCs w:val="24"/>
          <w:lang w:val="en-CA" w:eastAsia="en-US"/>
        </w:rPr>
        <w:t xml:space="preserve">he trial judge did not so much indemnify </w:t>
      </w:r>
      <w:r w:rsidR="005B4D10" w:rsidRPr="005545AF">
        <w:rPr>
          <w:rFonts w:cs="Arial"/>
          <w:szCs w:val="24"/>
          <w:lang w:val="en-CA" w:eastAsia="en-US"/>
        </w:rPr>
        <w:t>reputational damage</w:t>
      </w:r>
      <w:r w:rsidR="002802DA" w:rsidRPr="005545AF">
        <w:rPr>
          <w:rFonts w:cs="Arial"/>
          <w:szCs w:val="24"/>
          <w:lang w:val="en-CA" w:eastAsia="en-US"/>
        </w:rPr>
        <w:t xml:space="preserve"> – </w:t>
      </w:r>
      <w:r w:rsidR="003C70B9" w:rsidRPr="005545AF">
        <w:rPr>
          <w:rFonts w:cs="Arial"/>
          <w:szCs w:val="24"/>
          <w:lang w:val="en-CA" w:eastAsia="en-US"/>
        </w:rPr>
        <w:t xml:space="preserve">i.e., </w:t>
      </w:r>
      <w:r w:rsidR="002D7F3C" w:rsidRPr="005545AF">
        <w:rPr>
          <w:rFonts w:cs="Arial"/>
          <w:szCs w:val="24"/>
          <w:lang w:val="en-CA" w:eastAsia="en-US"/>
        </w:rPr>
        <w:t>an</w:t>
      </w:r>
      <w:r w:rsidR="003C70B9" w:rsidRPr="005545AF">
        <w:rPr>
          <w:rFonts w:cs="Arial"/>
          <w:szCs w:val="24"/>
          <w:lang w:val="en-CA" w:eastAsia="en-US"/>
        </w:rPr>
        <w:t xml:space="preserve"> injury resulting from loss of esteem in the eyes of others</w:t>
      </w:r>
      <w:r w:rsidR="002802DA" w:rsidRPr="005545AF">
        <w:rPr>
          <w:rFonts w:cs="Arial"/>
          <w:szCs w:val="24"/>
          <w:lang w:val="en-CA" w:eastAsia="en-US"/>
        </w:rPr>
        <w:t xml:space="preserve"> – </w:t>
      </w:r>
      <w:r w:rsidR="003C70B9" w:rsidRPr="005545AF">
        <w:rPr>
          <w:rFonts w:cs="Arial"/>
          <w:szCs w:val="24"/>
          <w:lang w:val="en-CA" w:eastAsia="en-US"/>
        </w:rPr>
        <w:t xml:space="preserve">but rather psychological harm </w:t>
      </w:r>
      <w:r w:rsidR="002802DA" w:rsidRPr="005545AF">
        <w:rPr>
          <w:rFonts w:cs="Arial"/>
          <w:szCs w:val="24"/>
          <w:lang w:val="en-CA" w:eastAsia="en-US"/>
        </w:rPr>
        <w:t>–</w:t>
      </w:r>
      <w:r w:rsidR="003C70B9" w:rsidRPr="005545AF">
        <w:rPr>
          <w:rFonts w:cs="Arial"/>
          <w:szCs w:val="24"/>
          <w:lang w:val="en-CA" w:eastAsia="en-US"/>
        </w:rPr>
        <w:t xml:space="preserve"> or </w:t>
      </w:r>
      <w:r w:rsidR="002D7F3C" w:rsidRPr="005545AF">
        <w:rPr>
          <w:rFonts w:cs="Arial"/>
          <w:szCs w:val="24"/>
          <w:lang w:val="en-CA" w:eastAsia="en-US"/>
        </w:rPr>
        <w:t xml:space="preserve">interference with </w:t>
      </w:r>
      <w:r w:rsidR="003C70B9" w:rsidRPr="005545AF">
        <w:rPr>
          <w:rFonts w:cs="Arial"/>
          <w:szCs w:val="24"/>
          <w:lang w:val="en-CA" w:eastAsia="en-US"/>
        </w:rPr>
        <w:t xml:space="preserve">integrity – recognized by the expert </w:t>
      </w:r>
      <w:r w:rsidR="002D7F3C" w:rsidRPr="005545AF">
        <w:rPr>
          <w:rFonts w:cs="Arial"/>
          <w:szCs w:val="24"/>
          <w:lang w:val="en-CA" w:eastAsia="en-US"/>
        </w:rPr>
        <w:t>assessments of</w:t>
      </w:r>
      <w:r w:rsidR="002802DA" w:rsidRPr="005545AF">
        <w:rPr>
          <w:rFonts w:cs="Arial"/>
          <w:szCs w:val="24"/>
          <w:lang w:val="en-CA" w:eastAsia="en-US"/>
        </w:rPr>
        <w:t xml:space="preserve"> Dr</w:t>
      </w:r>
      <w:r w:rsidR="002D7F3C" w:rsidRPr="005545AF">
        <w:rPr>
          <w:rFonts w:cs="Arial"/>
          <w:szCs w:val="24"/>
          <w:lang w:val="en-CA" w:eastAsia="en-US"/>
        </w:rPr>
        <w:t>.</w:t>
      </w:r>
      <w:r w:rsidR="002802DA" w:rsidRPr="005545AF">
        <w:rPr>
          <w:rFonts w:cs="Arial"/>
          <w:szCs w:val="24"/>
          <w:lang w:val="en-CA" w:eastAsia="en-US"/>
        </w:rPr>
        <w:t xml:space="preserve"> Franck </w:t>
      </w:r>
      <w:r w:rsidR="002D7F3C" w:rsidRPr="005545AF">
        <w:rPr>
          <w:rFonts w:cs="Arial"/>
          <w:szCs w:val="24"/>
          <w:lang w:val="en-CA" w:eastAsia="en-US"/>
        </w:rPr>
        <w:t>and</w:t>
      </w:r>
      <w:r w:rsidR="002802DA" w:rsidRPr="005545AF">
        <w:rPr>
          <w:rFonts w:cs="Arial"/>
          <w:szCs w:val="24"/>
          <w:lang w:val="en-CA" w:eastAsia="en-US"/>
        </w:rPr>
        <w:t xml:space="preserve"> Dr</w:t>
      </w:r>
      <w:r w:rsidR="002D7F3C" w:rsidRPr="005545AF">
        <w:rPr>
          <w:rFonts w:cs="Arial"/>
          <w:szCs w:val="24"/>
          <w:lang w:val="en-CA" w:eastAsia="en-US"/>
        </w:rPr>
        <w:t>.</w:t>
      </w:r>
      <w:r w:rsidR="002802DA" w:rsidRPr="005545AF">
        <w:rPr>
          <w:rFonts w:cs="Arial"/>
          <w:szCs w:val="24"/>
          <w:lang w:val="en-CA" w:eastAsia="en-US"/>
        </w:rPr>
        <w:t xml:space="preserve"> Houle, </w:t>
      </w:r>
      <w:r w:rsidR="0025118E" w:rsidRPr="005545AF">
        <w:rPr>
          <w:rFonts w:cs="Arial"/>
          <w:szCs w:val="24"/>
          <w:lang w:val="en-CA" w:eastAsia="en-US"/>
        </w:rPr>
        <w:t>which is independent</w:t>
      </w:r>
      <w:r w:rsidR="002D7F3C" w:rsidRPr="005545AF">
        <w:rPr>
          <w:rFonts w:cs="Arial"/>
          <w:szCs w:val="24"/>
          <w:lang w:val="en-CA" w:eastAsia="en-US"/>
        </w:rPr>
        <w:t xml:space="preserve"> of </w:t>
      </w:r>
      <w:r w:rsidR="0025118E" w:rsidRPr="005545AF">
        <w:rPr>
          <w:rFonts w:cs="Arial"/>
          <w:szCs w:val="24"/>
          <w:lang w:val="en-CA" w:eastAsia="en-US"/>
        </w:rPr>
        <w:t>whether</w:t>
      </w:r>
      <w:r w:rsidR="002D7F3C" w:rsidRPr="005545AF">
        <w:rPr>
          <w:rFonts w:cs="Arial"/>
          <w:szCs w:val="24"/>
          <w:lang w:val="en-CA" w:eastAsia="en-US"/>
        </w:rPr>
        <w:t xml:space="preserve"> third parties actually accessed the </w:t>
      </w:r>
      <w:r w:rsidR="004A5D7E" w:rsidRPr="005545AF">
        <w:rPr>
          <w:rFonts w:cs="Arial"/>
          <w:szCs w:val="24"/>
          <w:lang w:val="en-CA" w:eastAsia="en-US"/>
        </w:rPr>
        <w:t>Impugned Post</w:t>
      </w:r>
      <w:r w:rsidR="002D7F3C" w:rsidRPr="005545AF">
        <w:rPr>
          <w:rFonts w:cs="Arial"/>
          <w:szCs w:val="24"/>
          <w:lang w:val="en-CA" w:eastAsia="en-US"/>
        </w:rPr>
        <w:t>.</w:t>
      </w:r>
      <w:r w:rsidR="002802DA" w:rsidRPr="005545AF">
        <w:rPr>
          <w:rFonts w:cs="Arial"/>
          <w:szCs w:val="24"/>
          <w:lang w:val="en-CA" w:eastAsia="en-US"/>
        </w:rPr>
        <w:t xml:space="preserve"> </w:t>
      </w:r>
      <w:r w:rsidR="002D7F3C" w:rsidRPr="005545AF">
        <w:rPr>
          <w:rFonts w:cs="Arial"/>
          <w:szCs w:val="24"/>
          <w:lang w:val="en-CA" w:eastAsia="en-US"/>
        </w:rPr>
        <w:t>Here is what the judge wrote:</w:t>
      </w:r>
      <w:r w:rsidR="002802DA" w:rsidRPr="005545AF">
        <w:rPr>
          <w:rStyle w:val="Appelnotedebasdep"/>
          <w:rFonts w:cs="Arial"/>
          <w:szCs w:val="24"/>
          <w:lang w:val="en-CA" w:eastAsia="en-US"/>
        </w:rPr>
        <w:footnoteReference w:id="98"/>
      </w:r>
      <w:r w:rsidR="002802DA" w:rsidRPr="005545AF">
        <w:rPr>
          <w:rFonts w:cs="Arial"/>
          <w:szCs w:val="24"/>
          <w:lang w:val="en-CA" w:eastAsia="en-US"/>
        </w:rPr>
        <w:t> </w:t>
      </w:r>
    </w:p>
    <w:p w14:paraId="2E84CEC4" w14:textId="77777777" w:rsidR="002802DA" w:rsidRPr="005545AF" w:rsidRDefault="002802DA" w:rsidP="001F7377">
      <w:pPr>
        <w:pStyle w:val="Citationenretrait"/>
        <w:spacing w:line="240" w:lineRule="auto"/>
        <w:rPr>
          <w:lang w:val="en-CA" w:eastAsia="en-US"/>
        </w:rPr>
      </w:pPr>
      <w:r w:rsidRPr="005545AF">
        <w:rPr>
          <w:lang w:val="en-CA" w:eastAsia="en-US"/>
        </w:rPr>
        <w:t>[402]</w:t>
      </w:r>
      <w:r w:rsidRPr="005545AF">
        <w:rPr>
          <w:lang w:val="en-CA" w:eastAsia="en-US"/>
        </w:rPr>
        <w:tab/>
        <w:t xml:space="preserve">The Court concludes that the Plaintiff has suffered moral injury spanning loss of self-esteem, loss of self-confidence, and loss of self-respect in connection with the Defamatory Post. </w:t>
      </w:r>
    </w:p>
    <w:p w14:paraId="37FD1077" w14:textId="77777777" w:rsidR="002802DA" w:rsidRPr="005545AF" w:rsidRDefault="002802DA" w:rsidP="001F7377">
      <w:pPr>
        <w:pStyle w:val="Citationenretrait"/>
        <w:spacing w:line="240" w:lineRule="auto"/>
        <w:rPr>
          <w:lang w:val="en-CA" w:eastAsia="en-US"/>
        </w:rPr>
      </w:pPr>
      <w:r w:rsidRPr="005545AF">
        <w:rPr>
          <w:lang w:val="en-CA" w:eastAsia="en-US"/>
        </w:rPr>
        <w:t>[403]</w:t>
      </w:r>
      <w:r w:rsidRPr="005545AF">
        <w:rPr>
          <w:lang w:val="en-CA" w:eastAsia="en-US"/>
        </w:rPr>
        <w:tab/>
        <w:t xml:space="preserve">The nature of these forms of moral injury and the nature of the communication, i.e. the ever-present possibility of the link to the Defamatory Post </w:t>
      </w:r>
      <w:r w:rsidRPr="005545AF">
        <w:rPr>
          <w:lang w:val="en-CA" w:eastAsia="en-US"/>
        </w:rPr>
        <w:lastRenderedPageBreak/>
        <w:t>popping up in a search of the Plaintiff’s name, are such that the intensity of the injury is not diminished by the absence of proof of third parties having read the Defamatory Post since 1 April 2015.</w:t>
      </w:r>
    </w:p>
    <w:p w14:paraId="026D8837" w14:textId="77777777" w:rsidR="002802DA" w:rsidRPr="005545AF" w:rsidRDefault="002802DA" w:rsidP="001F7377">
      <w:pPr>
        <w:pStyle w:val="Citationenretrait"/>
        <w:spacing w:line="240" w:lineRule="auto"/>
        <w:rPr>
          <w:lang w:val="en-CA" w:eastAsia="en-US"/>
        </w:rPr>
      </w:pPr>
      <w:r w:rsidRPr="005545AF">
        <w:rPr>
          <w:lang w:val="en-CA" w:eastAsia="en-US"/>
        </w:rPr>
        <w:t>[404]</w:t>
      </w:r>
      <w:r w:rsidRPr="005545AF">
        <w:rPr>
          <w:lang w:val="en-CA" w:eastAsia="en-US"/>
        </w:rPr>
        <w:tab/>
        <w:t>What is important is that the Plaintiff is haunted by the wrongful nature of the contents of the Defamatory Post and he is terrified by Google’s confirmation that it will forever make the link to it available to users.</w:t>
      </w:r>
    </w:p>
    <w:p w14:paraId="3F0F576F" w14:textId="77777777" w:rsidR="002802DA" w:rsidRPr="005545AF" w:rsidRDefault="002802DA" w:rsidP="001F7377">
      <w:pPr>
        <w:pStyle w:val="Paragraphe"/>
        <w:numPr>
          <w:ilvl w:val="0"/>
          <w:numId w:val="0"/>
        </w:numPr>
        <w:spacing w:line="240" w:lineRule="auto"/>
        <w:ind w:left="720"/>
        <w:rPr>
          <w:rFonts w:cs="Arial"/>
          <w:szCs w:val="24"/>
          <w:lang w:val="en-CA" w:eastAsia="en-US"/>
        </w:rPr>
      </w:pPr>
      <w:r w:rsidRPr="005545AF">
        <w:rPr>
          <w:rFonts w:cs="Arial"/>
          <w:szCs w:val="24"/>
          <w:lang w:val="en-CA" w:eastAsia="en-US"/>
        </w:rPr>
        <w:t xml:space="preserve">[…] </w:t>
      </w:r>
    </w:p>
    <w:p w14:paraId="4A9A12AB" w14:textId="77777777" w:rsidR="002802DA" w:rsidRPr="005545AF" w:rsidRDefault="002802DA" w:rsidP="001F7377">
      <w:pPr>
        <w:pStyle w:val="Citationenretrait"/>
        <w:spacing w:line="240" w:lineRule="auto"/>
        <w:rPr>
          <w:lang w:val="en-CA" w:eastAsia="en-US"/>
        </w:rPr>
      </w:pPr>
      <w:r w:rsidRPr="005545AF">
        <w:rPr>
          <w:lang w:val="en-CA" w:eastAsia="en-US"/>
        </w:rPr>
        <w:t>[555]</w:t>
      </w:r>
      <w:r w:rsidRPr="005545AF">
        <w:rPr>
          <w:lang w:val="en-CA" w:eastAsia="en-US"/>
        </w:rPr>
        <w:tab/>
        <w:t>The harm in this particular case is in the fact that the link to the Defamatory Post is always lurking in cyberspace, waiting to be captured by Google Search’s dynamic and kaleidoscopic algorithms (as applied by Googlebot), in order to inject its poison far and wide.</w:t>
      </w:r>
    </w:p>
    <w:p w14:paraId="13CB16B2" w14:textId="77777777" w:rsidR="002802DA" w:rsidRPr="005545AF" w:rsidRDefault="002802DA" w:rsidP="001F7377">
      <w:pPr>
        <w:pStyle w:val="Citationenretrait"/>
        <w:spacing w:line="240" w:lineRule="auto"/>
        <w:rPr>
          <w:lang w:val="en-CA" w:eastAsia="en-US"/>
        </w:rPr>
      </w:pPr>
      <w:r w:rsidRPr="005545AF">
        <w:rPr>
          <w:lang w:val="en-CA" w:eastAsia="en-US"/>
        </w:rPr>
        <w:t>[556]</w:t>
      </w:r>
      <w:r w:rsidRPr="005545AF">
        <w:rPr>
          <w:lang w:val="en-CA" w:eastAsia="en-US"/>
        </w:rPr>
        <w:tab/>
        <w:t>Uncertainty itself can be experienced by human beings as a form of mental torment, and that is what the Plaintiff has vividly and emotionally described.</w:t>
      </w:r>
    </w:p>
    <w:p w14:paraId="713265B4" w14:textId="0520C2EC" w:rsidR="002802DA" w:rsidRPr="005545AF" w:rsidRDefault="00845D41" w:rsidP="001F7377">
      <w:pPr>
        <w:pStyle w:val="Paragraphe"/>
        <w:spacing w:line="240" w:lineRule="auto"/>
        <w:rPr>
          <w:rFonts w:cs="Arial"/>
          <w:szCs w:val="24"/>
          <w:lang w:val="en-CA" w:eastAsia="en-US"/>
        </w:rPr>
      </w:pPr>
      <w:r w:rsidRPr="005545AF">
        <w:rPr>
          <w:rFonts w:cs="Arial"/>
          <w:szCs w:val="24"/>
          <w:lang w:val="en-CA" w:eastAsia="en-US"/>
        </w:rPr>
        <w:t xml:space="preserve">In the circumstances of this case, </w:t>
      </w:r>
      <w:r w:rsidR="00591F2F" w:rsidRPr="005545AF">
        <w:rPr>
          <w:rFonts w:cs="Arial"/>
          <w:szCs w:val="24"/>
          <w:lang w:val="en-CA" w:eastAsia="en-US"/>
        </w:rPr>
        <w:t>and considering</w:t>
      </w:r>
      <w:r w:rsidR="00023232" w:rsidRPr="005545AF">
        <w:rPr>
          <w:rFonts w:cs="Arial"/>
          <w:szCs w:val="24"/>
          <w:lang w:val="en-CA" w:eastAsia="en-US"/>
        </w:rPr>
        <w:t xml:space="preserve"> </w:t>
      </w:r>
      <w:r w:rsidRPr="005545AF">
        <w:rPr>
          <w:rFonts w:cs="Arial"/>
          <w:szCs w:val="24"/>
          <w:lang w:val="en-CA" w:eastAsia="en-US"/>
        </w:rPr>
        <w:t xml:space="preserve">the unique reality of the Internet environment, which, through the power of search engines, including Google’s, allows information, even dated, to be constantly </w:t>
      </w:r>
      <w:r w:rsidR="00591F2F" w:rsidRPr="005545AF">
        <w:rPr>
          <w:rFonts w:cs="Arial"/>
          <w:szCs w:val="24"/>
          <w:lang w:val="en-CA" w:eastAsia="en-US"/>
        </w:rPr>
        <w:t>referred to</w:t>
      </w:r>
      <w:r w:rsidRPr="005545AF">
        <w:rPr>
          <w:rFonts w:cs="Arial"/>
          <w:szCs w:val="24"/>
          <w:lang w:val="en-CA" w:eastAsia="en-US"/>
        </w:rPr>
        <w:t>, that injury then, if it is established as is the case here, is real and distinct from that of loss of reputation.</w:t>
      </w:r>
      <w:r w:rsidR="002802DA" w:rsidRPr="005545AF">
        <w:rPr>
          <w:rFonts w:cs="Arial"/>
          <w:szCs w:val="24"/>
          <w:lang w:val="en-CA" w:eastAsia="en-US"/>
        </w:rPr>
        <w:t xml:space="preserve"> </w:t>
      </w:r>
      <w:r w:rsidRPr="005545AF">
        <w:rPr>
          <w:rFonts w:cs="Arial"/>
          <w:szCs w:val="24"/>
          <w:lang w:val="en-CA" w:eastAsia="en-US"/>
        </w:rPr>
        <w:t>Indeed, it is because of this reality that the legislature intervened by enacting section</w:t>
      </w:r>
      <w:r w:rsidR="002802DA" w:rsidRPr="005545AF">
        <w:rPr>
          <w:rFonts w:cs="Arial"/>
          <w:szCs w:val="24"/>
          <w:lang w:val="en-CA" w:eastAsia="en-US"/>
        </w:rPr>
        <w:t xml:space="preserve"> 22 </w:t>
      </w:r>
      <w:r w:rsidRPr="005545AF">
        <w:rPr>
          <w:rFonts w:cs="Arial"/>
          <w:i/>
          <w:iCs/>
          <w:szCs w:val="24"/>
          <w:lang w:val="en-CA" w:eastAsia="en-US"/>
        </w:rPr>
        <w:t>IT Framework Act</w:t>
      </w:r>
      <w:r w:rsidR="002802DA" w:rsidRPr="005545AF">
        <w:rPr>
          <w:rFonts w:cs="Arial"/>
          <w:szCs w:val="24"/>
          <w:lang w:val="en-CA" w:eastAsia="en-US"/>
        </w:rPr>
        <w:t xml:space="preserve">. </w:t>
      </w:r>
      <w:r w:rsidR="00591F2F" w:rsidRPr="005545AF">
        <w:rPr>
          <w:rFonts w:cs="Arial"/>
          <w:szCs w:val="24"/>
          <w:lang w:val="en-CA" w:eastAsia="en-US"/>
        </w:rPr>
        <w:t>What is</w:t>
      </w:r>
      <w:r w:rsidRPr="005545AF">
        <w:rPr>
          <w:rFonts w:cs="Arial"/>
          <w:szCs w:val="24"/>
          <w:lang w:val="en-CA" w:eastAsia="en-US"/>
        </w:rPr>
        <w:t xml:space="preserve"> sanctioned here is the interference with </w:t>
      </w:r>
      <w:r w:rsidR="00591F2F" w:rsidRPr="005545AF">
        <w:rPr>
          <w:rFonts w:cs="Arial"/>
          <w:szCs w:val="24"/>
          <w:lang w:val="en-CA" w:eastAsia="en-US"/>
        </w:rPr>
        <w:t>the appellant</w:t>
      </w:r>
      <w:r w:rsidRPr="005545AF">
        <w:rPr>
          <w:rFonts w:cs="Arial"/>
          <w:szCs w:val="24"/>
          <w:lang w:val="en-CA" w:eastAsia="en-US"/>
        </w:rPr>
        <w:t>’s psychological integrity, despite the absence of proof of loss of reputation during the period that is not time-barred</w:t>
      </w:r>
      <w:r w:rsidR="002802DA" w:rsidRPr="005545AF">
        <w:rPr>
          <w:rFonts w:cs="Arial"/>
          <w:szCs w:val="24"/>
          <w:lang w:val="en-CA" w:eastAsia="en-US"/>
        </w:rPr>
        <w:t>.</w:t>
      </w:r>
    </w:p>
    <w:p w14:paraId="3574AFB0" w14:textId="1094E21C" w:rsidR="002802DA" w:rsidRPr="005545AF" w:rsidRDefault="00023232" w:rsidP="001F7377">
      <w:pPr>
        <w:pStyle w:val="Paragraphe"/>
        <w:spacing w:line="240" w:lineRule="auto"/>
        <w:rPr>
          <w:rFonts w:cs="Arial"/>
          <w:szCs w:val="24"/>
          <w:lang w:val="en-CA" w:eastAsia="en-US"/>
        </w:rPr>
      </w:pPr>
      <w:r w:rsidRPr="005545AF">
        <w:rPr>
          <w:rFonts w:cs="Arial"/>
          <w:szCs w:val="24"/>
          <w:lang w:val="en-CA" w:eastAsia="en-US"/>
        </w:rPr>
        <w:t xml:space="preserve">This characterization of the injury also </w:t>
      </w:r>
      <w:r w:rsidR="00783F05" w:rsidRPr="005545AF">
        <w:rPr>
          <w:rFonts w:cs="Arial"/>
          <w:szCs w:val="24"/>
          <w:lang w:val="en-CA" w:eastAsia="en-US"/>
        </w:rPr>
        <w:t>seals the fate</w:t>
      </w:r>
      <w:r w:rsidRPr="005545AF">
        <w:rPr>
          <w:rFonts w:cs="Arial"/>
          <w:szCs w:val="24"/>
          <w:lang w:val="en-CA" w:eastAsia="en-US"/>
        </w:rPr>
        <w:t xml:space="preserve"> Google’s main argument with respect to causation</w:t>
      </w:r>
      <w:r w:rsidR="002802DA" w:rsidRPr="005545AF">
        <w:rPr>
          <w:rFonts w:cs="Arial"/>
          <w:szCs w:val="24"/>
          <w:lang w:val="en-CA" w:eastAsia="en-US"/>
        </w:rPr>
        <w:t xml:space="preserve">. </w:t>
      </w:r>
      <w:r w:rsidRPr="005545AF">
        <w:rPr>
          <w:rFonts w:cs="Arial"/>
          <w:szCs w:val="24"/>
          <w:lang w:val="en-CA" w:eastAsia="en-US"/>
        </w:rPr>
        <w:t>Google submits that the absence of proof</w:t>
      </w:r>
      <w:r w:rsidR="002802DA" w:rsidRPr="005545AF">
        <w:rPr>
          <w:rFonts w:cs="Arial"/>
          <w:szCs w:val="24"/>
          <w:lang w:val="en-CA" w:eastAsia="en-US"/>
        </w:rPr>
        <w:t xml:space="preserve"> </w:t>
      </w:r>
      <w:r w:rsidRPr="005545AF">
        <w:rPr>
          <w:rFonts w:cs="Arial"/>
          <w:szCs w:val="24"/>
          <w:lang w:val="en-CA" w:eastAsia="en-US"/>
        </w:rPr>
        <w:t xml:space="preserve">that </w:t>
      </w:r>
      <w:r w:rsidR="00783F05" w:rsidRPr="005545AF">
        <w:rPr>
          <w:rFonts w:cs="Arial"/>
          <w:szCs w:val="24"/>
          <w:lang w:val="en-CA" w:eastAsia="en-US"/>
        </w:rPr>
        <w:t>anyone</w:t>
      </w:r>
      <w:r w:rsidR="00E378A7" w:rsidRPr="005545AF">
        <w:rPr>
          <w:rFonts w:cs="Arial"/>
          <w:szCs w:val="24"/>
          <w:lang w:val="en-CA" w:eastAsia="en-US"/>
        </w:rPr>
        <w:t>,</w:t>
      </w:r>
      <w:r w:rsidRPr="005545AF">
        <w:rPr>
          <w:rFonts w:cs="Arial"/>
          <w:szCs w:val="24"/>
          <w:lang w:val="en-CA" w:eastAsia="en-US"/>
        </w:rPr>
        <w:t xml:space="preserve"> </w:t>
      </w:r>
      <w:r w:rsidR="00E378A7" w:rsidRPr="005545AF">
        <w:rPr>
          <w:rFonts w:cs="Arial"/>
          <w:szCs w:val="24"/>
          <w:lang w:val="en-CA" w:eastAsia="en-US"/>
        </w:rPr>
        <w:t xml:space="preserve">since 2015, </w:t>
      </w:r>
      <w:r w:rsidRPr="005545AF">
        <w:rPr>
          <w:rFonts w:cs="Arial"/>
          <w:szCs w:val="24"/>
          <w:lang w:val="en-CA" w:eastAsia="en-US"/>
        </w:rPr>
        <w:t>accessed</w:t>
      </w:r>
      <w:r w:rsidR="00E378A7" w:rsidRPr="005545AF">
        <w:rPr>
          <w:rFonts w:cs="Arial"/>
          <w:szCs w:val="24"/>
          <w:lang w:val="en-CA" w:eastAsia="en-US"/>
        </w:rPr>
        <w:t xml:space="preserve"> </w:t>
      </w:r>
      <w:r w:rsidRPr="005545AF">
        <w:rPr>
          <w:rFonts w:cs="Arial"/>
          <w:szCs w:val="24"/>
          <w:lang w:val="en-CA" w:eastAsia="en-US"/>
        </w:rPr>
        <w:t xml:space="preserve">the </w:t>
      </w:r>
      <w:r w:rsidR="004A5D7E" w:rsidRPr="005545AF">
        <w:rPr>
          <w:rFonts w:cs="Arial"/>
          <w:szCs w:val="24"/>
          <w:lang w:val="en-CA" w:eastAsia="en-US"/>
        </w:rPr>
        <w:t>Impugned Post</w:t>
      </w:r>
      <w:r w:rsidRPr="005545AF">
        <w:rPr>
          <w:rFonts w:cs="Arial"/>
          <w:szCs w:val="24"/>
          <w:lang w:val="en-CA" w:eastAsia="en-US"/>
        </w:rPr>
        <w:t xml:space="preserve"> </w:t>
      </w:r>
      <w:r w:rsidR="00783F05" w:rsidRPr="005545AF">
        <w:rPr>
          <w:rFonts w:cs="Arial"/>
          <w:szCs w:val="24"/>
          <w:lang w:val="en-CA" w:eastAsia="en-US"/>
        </w:rPr>
        <w:t>thought</w:t>
      </w:r>
      <w:r w:rsidRPr="005545AF">
        <w:rPr>
          <w:rFonts w:cs="Arial"/>
          <w:szCs w:val="24"/>
          <w:lang w:val="en-CA" w:eastAsia="en-US"/>
        </w:rPr>
        <w:t xml:space="preserve"> its services implies that </w:t>
      </w:r>
      <w:r w:rsidR="00591F2F" w:rsidRPr="005545AF">
        <w:rPr>
          <w:rFonts w:cs="Arial"/>
          <w:szCs w:val="24"/>
          <w:lang w:val="en-CA" w:eastAsia="en-US"/>
        </w:rPr>
        <w:t>the appellant</w:t>
      </w:r>
      <w:r w:rsidRPr="005545AF">
        <w:rPr>
          <w:rFonts w:cs="Arial"/>
          <w:szCs w:val="24"/>
          <w:lang w:val="en-CA" w:eastAsia="en-US"/>
        </w:rPr>
        <w:t xml:space="preserve">’s injury resulted solely from the presence of that post on the Internet, which cannot be attributed to Google, but rather to the author of the </w:t>
      </w:r>
      <w:r w:rsidR="004A5D7E" w:rsidRPr="005545AF">
        <w:rPr>
          <w:rFonts w:cs="Arial"/>
          <w:szCs w:val="24"/>
          <w:lang w:val="en-CA" w:eastAsia="en-US"/>
        </w:rPr>
        <w:t>Impugned Post</w:t>
      </w:r>
      <w:r w:rsidR="000D7056" w:rsidRPr="005545AF">
        <w:rPr>
          <w:rFonts w:cs="Arial"/>
          <w:szCs w:val="24"/>
          <w:lang w:val="en-CA" w:eastAsia="en-US"/>
        </w:rPr>
        <w:t xml:space="preserve"> or to whoever operated the site on which it is found. However, the judge concluded, </w:t>
      </w:r>
      <w:r w:rsidR="00E378A7" w:rsidRPr="005545AF">
        <w:rPr>
          <w:rFonts w:cs="Arial"/>
          <w:szCs w:val="24"/>
          <w:lang w:val="en-CA" w:eastAsia="en-US"/>
        </w:rPr>
        <w:t>relying</w:t>
      </w:r>
      <w:r w:rsidR="000D7056" w:rsidRPr="005545AF">
        <w:rPr>
          <w:rFonts w:cs="Arial"/>
          <w:szCs w:val="24"/>
          <w:lang w:val="en-CA" w:eastAsia="en-US"/>
        </w:rPr>
        <w:t xml:space="preserve"> notably on Google’s market domination</w:t>
      </w:r>
      <w:r w:rsidR="002802DA" w:rsidRPr="005545AF">
        <w:rPr>
          <w:rFonts w:cs="Arial"/>
          <w:szCs w:val="24"/>
          <w:vertAlign w:val="superscript"/>
          <w:lang w:val="en-CA" w:eastAsia="en-US"/>
        </w:rPr>
        <w:footnoteReference w:id="99"/>
      </w:r>
      <w:r w:rsidR="002802DA" w:rsidRPr="005545AF">
        <w:rPr>
          <w:rFonts w:cs="Arial"/>
          <w:szCs w:val="24"/>
          <w:lang w:val="en-CA" w:eastAsia="en-US"/>
        </w:rPr>
        <w:t xml:space="preserve"> </w:t>
      </w:r>
      <w:r w:rsidR="000D7056" w:rsidRPr="005545AF">
        <w:rPr>
          <w:rFonts w:cs="Arial"/>
          <w:szCs w:val="24"/>
          <w:lang w:val="en-CA" w:eastAsia="en-US"/>
        </w:rPr>
        <w:t xml:space="preserve">and on the testimony of </w:t>
      </w:r>
      <w:r w:rsidR="00591F2F" w:rsidRPr="005545AF">
        <w:rPr>
          <w:rFonts w:cs="Arial"/>
          <w:szCs w:val="24"/>
          <w:lang w:val="en-CA" w:eastAsia="en-US"/>
        </w:rPr>
        <w:t>the appellant</w:t>
      </w:r>
      <w:r w:rsidR="002802DA" w:rsidRPr="005545AF">
        <w:rPr>
          <w:rFonts w:cs="Arial"/>
          <w:szCs w:val="24"/>
          <w:lang w:val="en-CA" w:eastAsia="en-US"/>
        </w:rPr>
        <w:t xml:space="preserve"> </w:t>
      </w:r>
      <w:r w:rsidR="000D7056" w:rsidRPr="005545AF">
        <w:rPr>
          <w:rFonts w:cs="Arial"/>
          <w:szCs w:val="24"/>
          <w:lang w:val="en-CA" w:eastAsia="en-US"/>
        </w:rPr>
        <w:t xml:space="preserve">and third parties who learned of the existence of the </w:t>
      </w:r>
      <w:r w:rsidR="004A5D7E" w:rsidRPr="005545AF">
        <w:rPr>
          <w:rFonts w:cs="Arial"/>
          <w:szCs w:val="24"/>
          <w:lang w:val="en-CA" w:eastAsia="en-US"/>
        </w:rPr>
        <w:t>Impugned Post</w:t>
      </w:r>
      <w:r w:rsidR="000D7056" w:rsidRPr="005545AF">
        <w:rPr>
          <w:rFonts w:cs="Arial"/>
          <w:szCs w:val="24"/>
          <w:lang w:val="en-CA" w:eastAsia="en-US"/>
        </w:rPr>
        <w:t xml:space="preserve"> via Google, that the latter’s fault,</w:t>
      </w:r>
      <w:r w:rsidR="002802DA" w:rsidRPr="005545AF">
        <w:rPr>
          <w:rFonts w:cs="Arial"/>
          <w:szCs w:val="24"/>
          <w:vertAlign w:val="superscript"/>
          <w:lang w:val="en-CA" w:eastAsia="en-US"/>
        </w:rPr>
        <w:footnoteReference w:id="100"/>
      </w:r>
      <w:r w:rsidR="000D7056" w:rsidRPr="005545AF">
        <w:rPr>
          <w:rFonts w:cs="Arial"/>
          <w:szCs w:val="24"/>
          <w:lang w:val="en-CA" w:eastAsia="en-US"/>
        </w:rPr>
        <w:t xml:space="preserve"> through the power of its technology,</w:t>
      </w:r>
      <w:r w:rsidR="002802DA" w:rsidRPr="005545AF">
        <w:rPr>
          <w:rFonts w:cs="Arial"/>
          <w:szCs w:val="24"/>
          <w:vertAlign w:val="superscript"/>
          <w:lang w:val="en-CA" w:eastAsia="en-US"/>
        </w:rPr>
        <w:footnoteReference w:id="101"/>
      </w:r>
      <w:r w:rsidR="000D7056" w:rsidRPr="005545AF">
        <w:rPr>
          <w:rFonts w:cs="Arial"/>
          <w:szCs w:val="24"/>
          <w:lang w:val="en-CA" w:eastAsia="en-US"/>
        </w:rPr>
        <w:t xml:space="preserve"> </w:t>
      </w:r>
      <w:r w:rsidR="00E378A7" w:rsidRPr="005545AF">
        <w:rPr>
          <w:rFonts w:cs="Arial"/>
          <w:szCs w:val="24"/>
          <w:lang w:val="en-CA" w:eastAsia="en-US"/>
        </w:rPr>
        <w:t>contributed to</w:t>
      </w:r>
      <w:r w:rsidR="000D7056" w:rsidRPr="005545AF">
        <w:rPr>
          <w:rFonts w:cs="Arial"/>
          <w:szCs w:val="24"/>
          <w:lang w:val="en-CA" w:eastAsia="en-US"/>
        </w:rPr>
        <w:t xml:space="preserve"> </w:t>
      </w:r>
      <w:r w:rsidR="00591F2F" w:rsidRPr="005545AF">
        <w:rPr>
          <w:rFonts w:cs="Arial"/>
          <w:szCs w:val="24"/>
          <w:lang w:val="en-CA" w:eastAsia="en-US"/>
        </w:rPr>
        <w:t>the appellant</w:t>
      </w:r>
      <w:r w:rsidR="000D7056" w:rsidRPr="005545AF">
        <w:rPr>
          <w:rFonts w:cs="Arial"/>
          <w:szCs w:val="24"/>
          <w:lang w:val="en-CA" w:eastAsia="en-US"/>
        </w:rPr>
        <w:t>’s injury.</w:t>
      </w:r>
      <w:r w:rsidR="002802DA" w:rsidRPr="005545AF">
        <w:rPr>
          <w:rFonts w:cs="Arial"/>
          <w:szCs w:val="24"/>
          <w:lang w:val="en-CA" w:eastAsia="en-US"/>
        </w:rPr>
        <w:t xml:space="preserve"> </w:t>
      </w:r>
      <w:r w:rsidR="000D7056" w:rsidRPr="005545AF">
        <w:rPr>
          <w:rFonts w:cs="Arial"/>
          <w:szCs w:val="24"/>
          <w:lang w:val="en-CA" w:eastAsia="en-US"/>
        </w:rPr>
        <w:t xml:space="preserve">In </w:t>
      </w:r>
      <w:r w:rsidR="00783F05" w:rsidRPr="005545AF">
        <w:rPr>
          <w:rFonts w:cs="Arial"/>
          <w:szCs w:val="24"/>
          <w:lang w:val="en-CA" w:eastAsia="en-US"/>
        </w:rPr>
        <w:t xml:space="preserve">the </w:t>
      </w:r>
      <w:r w:rsidR="000D7056" w:rsidRPr="005545AF">
        <w:rPr>
          <w:rFonts w:cs="Arial"/>
          <w:szCs w:val="24"/>
          <w:lang w:val="en-CA" w:eastAsia="en-US"/>
        </w:rPr>
        <w:t>determin</w:t>
      </w:r>
      <w:r w:rsidR="00783F05" w:rsidRPr="005545AF">
        <w:rPr>
          <w:rFonts w:cs="Arial"/>
          <w:szCs w:val="24"/>
          <w:lang w:val="en-CA" w:eastAsia="en-US"/>
        </w:rPr>
        <w:t>ation of</w:t>
      </w:r>
      <w:r w:rsidR="000D7056" w:rsidRPr="005545AF">
        <w:rPr>
          <w:rFonts w:cs="Arial"/>
          <w:szCs w:val="24"/>
          <w:lang w:val="en-CA" w:eastAsia="en-US"/>
        </w:rPr>
        <w:t xml:space="preserve"> the latter’s true nature, as I have just described it, I find no reviewable error</w:t>
      </w:r>
      <w:r w:rsidR="002802DA" w:rsidRPr="005545AF">
        <w:rPr>
          <w:rFonts w:cs="Arial"/>
          <w:szCs w:val="24"/>
          <w:lang w:val="en-CA" w:eastAsia="en-US"/>
        </w:rPr>
        <w:t>.</w:t>
      </w:r>
    </w:p>
    <w:p w14:paraId="5884D22C" w14:textId="02E07422" w:rsidR="002802DA" w:rsidRPr="005545AF" w:rsidRDefault="002D1FA3" w:rsidP="001F7377">
      <w:pPr>
        <w:pStyle w:val="Paragraphe"/>
        <w:spacing w:line="240" w:lineRule="auto"/>
        <w:rPr>
          <w:rFonts w:cs="Arial"/>
          <w:szCs w:val="24"/>
          <w:lang w:val="en-CA" w:eastAsia="en-US"/>
        </w:rPr>
      </w:pPr>
      <w:r w:rsidRPr="005545AF">
        <w:rPr>
          <w:rFonts w:cs="Arial"/>
          <w:szCs w:val="24"/>
          <w:lang w:val="en-CA" w:eastAsia="en-US"/>
        </w:rPr>
        <w:t xml:space="preserve">Finally, still on the issue of causation, I do not find any reviewable error in the judge’s </w:t>
      </w:r>
      <w:r w:rsidR="00E378A7" w:rsidRPr="005545AF">
        <w:rPr>
          <w:rFonts w:cs="Arial"/>
          <w:szCs w:val="24"/>
          <w:lang w:val="en-CA" w:eastAsia="en-US"/>
        </w:rPr>
        <w:t>decision on</w:t>
      </w:r>
      <w:r w:rsidRPr="005545AF">
        <w:rPr>
          <w:rFonts w:cs="Arial"/>
          <w:szCs w:val="24"/>
          <w:lang w:val="en-CA" w:eastAsia="en-US"/>
        </w:rPr>
        <w:t xml:space="preserve"> Google’s arguments that any causal link would have been broken by </w:t>
      </w:r>
      <w:r w:rsidR="00E378A7" w:rsidRPr="005545AF">
        <w:rPr>
          <w:rFonts w:cs="Arial"/>
          <w:szCs w:val="24"/>
          <w:lang w:val="en-CA" w:eastAsia="en-US"/>
        </w:rPr>
        <w:lastRenderedPageBreak/>
        <w:t>the appellant</w:t>
      </w:r>
      <w:r w:rsidRPr="005545AF">
        <w:rPr>
          <w:rFonts w:cs="Arial"/>
          <w:szCs w:val="24"/>
          <w:lang w:val="en-CA" w:eastAsia="en-US"/>
        </w:rPr>
        <w:t xml:space="preserve">’s personality or the failure to mitigate damages stemming from his inaction against the </w:t>
      </w:r>
      <w:r w:rsidR="004A5D7E" w:rsidRPr="005545AF">
        <w:rPr>
          <w:rFonts w:cs="Arial"/>
          <w:szCs w:val="24"/>
          <w:lang w:val="en-CA" w:eastAsia="en-US"/>
        </w:rPr>
        <w:t>Impugned Post</w:t>
      </w:r>
      <w:r w:rsidRPr="005545AF">
        <w:rPr>
          <w:rFonts w:cs="Arial"/>
          <w:szCs w:val="24"/>
          <w:lang w:val="en-CA" w:eastAsia="en-US"/>
        </w:rPr>
        <w:t>’s author and the sites that hosted it.</w:t>
      </w:r>
      <w:r w:rsidR="002802DA" w:rsidRPr="005545AF">
        <w:rPr>
          <w:rStyle w:val="Appelnotedebasdep"/>
          <w:rFonts w:cs="Arial"/>
          <w:szCs w:val="24"/>
          <w:lang w:val="en-CA" w:eastAsia="en-US"/>
        </w:rPr>
        <w:footnoteReference w:id="102"/>
      </w:r>
    </w:p>
    <w:p w14:paraId="7A7FB6A6" w14:textId="1E3F1F0D" w:rsidR="002802DA" w:rsidRPr="005545AF" w:rsidRDefault="002D1FA3" w:rsidP="001F7377">
      <w:pPr>
        <w:pStyle w:val="Paragraphe"/>
        <w:spacing w:line="240" w:lineRule="auto"/>
        <w:rPr>
          <w:rFonts w:cs="Arial"/>
          <w:szCs w:val="24"/>
          <w:lang w:val="en-CA" w:eastAsia="en-US"/>
        </w:rPr>
      </w:pPr>
      <w:r w:rsidRPr="005545AF">
        <w:rPr>
          <w:rFonts w:cs="Arial"/>
          <w:szCs w:val="24"/>
          <w:lang w:val="en-CA" w:eastAsia="en-US"/>
        </w:rPr>
        <w:t>Causation and injury being established</w:t>
      </w:r>
      <w:r w:rsidR="002802DA" w:rsidRPr="005545AF">
        <w:rPr>
          <w:rFonts w:cs="Arial"/>
          <w:szCs w:val="24"/>
          <w:lang w:val="en-CA" w:eastAsia="en-US"/>
        </w:rPr>
        <w:t xml:space="preserve">, </w:t>
      </w:r>
      <w:r w:rsidR="00F25A7A" w:rsidRPr="005545AF">
        <w:rPr>
          <w:rFonts w:cs="Arial"/>
          <w:szCs w:val="24"/>
          <w:lang w:val="en-CA" w:eastAsia="en-US"/>
        </w:rPr>
        <w:t>the only remaining question is its assessment</w:t>
      </w:r>
      <w:r w:rsidR="002802DA" w:rsidRPr="005545AF">
        <w:rPr>
          <w:rFonts w:cs="Arial"/>
          <w:szCs w:val="24"/>
          <w:lang w:val="en-CA" w:eastAsia="en-US"/>
        </w:rPr>
        <w:t>.</w:t>
      </w:r>
    </w:p>
    <w:p w14:paraId="108F0840" w14:textId="5B5BAEF2" w:rsidR="002802DA" w:rsidRPr="005545AF" w:rsidRDefault="00F25A7A" w:rsidP="001F7377">
      <w:pPr>
        <w:pStyle w:val="Paragraphe"/>
        <w:spacing w:line="240" w:lineRule="auto"/>
        <w:rPr>
          <w:rFonts w:cs="Arial"/>
          <w:szCs w:val="24"/>
          <w:lang w:val="en-CA" w:eastAsia="en-US"/>
        </w:rPr>
      </w:pPr>
      <w:r w:rsidRPr="005545AF">
        <w:rPr>
          <w:rFonts w:cs="Arial"/>
          <w:szCs w:val="24"/>
          <w:lang w:val="en-CA"/>
        </w:rPr>
        <w:t>On this point, despite the difficulty of the operation and the trial judge’s broad discretion in the matter, I am of the view that intervention is warranted</w:t>
      </w:r>
      <w:r w:rsidR="002802DA" w:rsidRPr="005545AF">
        <w:rPr>
          <w:rFonts w:cs="Arial"/>
          <w:szCs w:val="24"/>
          <w:lang w:val="en-CA"/>
        </w:rPr>
        <w:t xml:space="preserve">. </w:t>
      </w:r>
    </w:p>
    <w:p w14:paraId="5A3C4229" w14:textId="6A904416" w:rsidR="002802DA" w:rsidRPr="005545AF" w:rsidRDefault="00F25A7A" w:rsidP="001F7377">
      <w:pPr>
        <w:pStyle w:val="Paragraphe"/>
        <w:spacing w:line="240" w:lineRule="auto"/>
        <w:rPr>
          <w:rFonts w:cs="Arial"/>
          <w:szCs w:val="24"/>
          <w:lang w:val="en-CA" w:eastAsia="en-US"/>
        </w:rPr>
      </w:pPr>
      <w:r w:rsidRPr="005545AF">
        <w:rPr>
          <w:rFonts w:cs="Arial"/>
          <w:szCs w:val="24"/>
          <w:lang w:val="en-CA"/>
        </w:rPr>
        <w:t xml:space="preserve">Far </w:t>
      </w:r>
      <w:r w:rsidR="00C86A20" w:rsidRPr="005545AF">
        <w:rPr>
          <w:rFonts w:cs="Arial"/>
          <w:szCs w:val="24"/>
          <w:lang w:val="en-CA"/>
        </w:rPr>
        <w:t xml:space="preserve">be it </w:t>
      </w:r>
      <w:r w:rsidRPr="005545AF">
        <w:rPr>
          <w:rFonts w:cs="Arial"/>
          <w:szCs w:val="24"/>
          <w:lang w:val="en-CA"/>
        </w:rPr>
        <w:t xml:space="preserve">from me to want to minimize the situation in which </w:t>
      </w:r>
      <w:r w:rsidR="007355C3" w:rsidRPr="005545AF">
        <w:rPr>
          <w:rFonts w:cs="Arial"/>
          <w:szCs w:val="24"/>
          <w:lang w:val="en-CA"/>
        </w:rPr>
        <w:t>the appellant</w:t>
      </w:r>
      <w:r w:rsidRPr="005545AF">
        <w:rPr>
          <w:rFonts w:cs="Arial"/>
          <w:szCs w:val="24"/>
          <w:lang w:val="en-CA"/>
        </w:rPr>
        <w:t xml:space="preserve"> found himself and the injury that he has suffered since the </w:t>
      </w:r>
      <w:r w:rsidR="004A5D7E" w:rsidRPr="005545AF">
        <w:rPr>
          <w:rFonts w:cs="Arial"/>
          <w:szCs w:val="24"/>
          <w:lang w:val="en-CA"/>
        </w:rPr>
        <w:t>Impugned Post</w:t>
      </w:r>
      <w:r w:rsidRPr="005545AF">
        <w:rPr>
          <w:rFonts w:cs="Arial"/>
          <w:szCs w:val="24"/>
          <w:lang w:val="en-CA"/>
        </w:rPr>
        <w:t xml:space="preserve"> appeared on the Internet</w:t>
      </w:r>
      <w:r w:rsidR="002802DA" w:rsidRPr="005545AF">
        <w:rPr>
          <w:rFonts w:cs="Arial"/>
          <w:szCs w:val="24"/>
          <w:lang w:val="en-CA"/>
        </w:rPr>
        <w:t xml:space="preserve">. </w:t>
      </w:r>
      <w:r w:rsidRPr="005545AF">
        <w:rPr>
          <w:rFonts w:cs="Arial"/>
          <w:szCs w:val="24"/>
          <w:lang w:val="en-CA"/>
        </w:rPr>
        <w:t>The</w:t>
      </w:r>
      <w:r w:rsidR="00C86A20" w:rsidRPr="005545AF">
        <w:rPr>
          <w:rFonts w:cs="Arial"/>
          <w:szCs w:val="24"/>
          <w:lang w:val="en-CA"/>
        </w:rPr>
        <w:t xml:space="preserve"> seriousness of the comments is not in doubt </w:t>
      </w:r>
      <w:r w:rsidR="007C46C3" w:rsidRPr="005545AF">
        <w:rPr>
          <w:rFonts w:cs="Arial"/>
          <w:szCs w:val="24"/>
          <w:lang w:val="en-CA"/>
        </w:rPr>
        <w:t xml:space="preserve">and </w:t>
      </w:r>
      <w:r w:rsidR="00C86A20" w:rsidRPr="005545AF">
        <w:rPr>
          <w:rFonts w:cs="Arial"/>
          <w:szCs w:val="24"/>
          <w:lang w:val="en-CA"/>
        </w:rPr>
        <w:t>certainly falls on the higher end of the spectrum</w:t>
      </w:r>
      <w:r w:rsidR="002802DA" w:rsidRPr="005545AF">
        <w:rPr>
          <w:rFonts w:cs="Arial"/>
          <w:szCs w:val="24"/>
          <w:lang w:val="en-CA"/>
        </w:rPr>
        <w:t xml:space="preserve">. </w:t>
      </w:r>
      <w:r w:rsidR="007C46C3" w:rsidRPr="005545AF">
        <w:rPr>
          <w:rFonts w:cs="Arial"/>
          <w:szCs w:val="24"/>
          <w:lang w:val="en-CA"/>
        </w:rPr>
        <w:t xml:space="preserve">The impact </w:t>
      </w:r>
      <w:r w:rsidR="00C86A20" w:rsidRPr="005545AF">
        <w:rPr>
          <w:rFonts w:cs="Arial"/>
          <w:szCs w:val="24"/>
          <w:lang w:val="en-CA"/>
        </w:rPr>
        <w:t xml:space="preserve">of those comments </w:t>
      </w:r>
      <w:r w:rsidR="007C46C3" w:rsidRPr="005545AF">
        <w:rPr>
          <w:rFonts w:cs="Arial"/>
          <w:szCs w:val="24"/>
          <w:lang w:val="en-CA"/>
        </w:rPr>
        <w:t xml:space="preserve">on </w:t>
      </w:r>
      <w:r w:rsidR="007355C3" w:rsidRPr="005545AF">
        <w:rPr>
          <w:rFonts w:cs="Arial"/>
          <w:szCs w:val="24"/>
          <w:lang w:val="en-CA"/>
        </w:rPr>
        <w:t>the appellant</w:t>
      </w:r>
      <w:r w:rsidR="007C46C3" w:rsidRPr="005545AF">
        <w:rPr>
          <w:rFonts w:cs="Arial"/>
          <w:szCs w:val="24"/>
          <w:lang w:val="en-CA"/>
        </w:rPr>
        <w:t xml:space="preserve">’s feelings, </w:t>
      </w:r>
      <w:r w:rsidR="00C86A20" w:rsidRPr="005545AF">
        <w:rPr>
          <w:rFonts w:cs="Arial"/>
          <w:szCs w:val="24"/>
          <w:lang w:val="en-CA"/>
        </w:rPr>
        <w:t xml:space="preserve">but even </w:t>
      </w:r>
      <w:r w:rsidR="007C46C3" w:rsidRPr="005545AF">
        <w:rPr>
          <w:rFonts w:cs="Arial"/>
          <w:szCs w:val="24"/>
          <w:lang w:val="en-CA"/>
        </w:rPr>
        <w:t>more so on his psychological health</w:t>
      </w:r>
      <w:r w:rsidR="00C86A20" w:rsidRPr="005545AF">
        <w:rPr>
          <w:rFonts w:cs="Arial"/>
          <w:szCs w:val="24"/>
          <w:lang w:val="en-CA"/>
        </w:rPr>
        <w:t>,</w:t>
      </w:r>
      <w:r w:rsidR="007C46C3" w:rsidRPr="005545AF">
        <w:rPr>
          <w:rFonts w:cs="Arial"/>
          <w:szCs w:val="24"/>
          <w:lang w:val="en-CA"/>
        </w:rPr>
        <w:t xml:space="preserve"> is amply shown by </w:t>
      </w:r>
      <w:r w:rsidR="007355C3" w:rsidRPr="005545AF">
        <w:rPr>
          <w:rFonts w:cs="Arial"/>
          <w:szCs w:val="24"/>
          <w:lang w:val="en-CA"/>
        </w:rPr>
        <w:t>the appellant</w:t>
      </w:r>
      <w:r w:rsidR="007C46C3" w:rsidRPr="005545AF">
        <w:rPr>
          <w:rFonts w:cs="Arial"/>
          <w:szCs w:val="24"/>
          <w:lang w:val="en-CA"/>
        </w:rPr>
        <w:t xml:space="preserve">’s testimony </w:t>
      </w:r>
      <w:r w:rsidR="00FA569F" w:rsidRPr="005545AF">
        <w:rPr>
          <w:rFonts w:cs="Arial"/>
          <w:szCs w:val="24"/>
          <w:lang w:val="en-CA"/>
        </w:rPr>
        <w:t>and</w:t>
      </w:r>
      <w:r w:rsidR="007C46C3" w:rsidRPr="005545AF">
        <w:rPr>
          <w:rFonts w:cs="Arial"/>
          <w:szCs w:val="24"/>
          <w:lang w:val="en-CA"/>
        </w:rPr>
        <w:t xml:space="preserve"> that of </w:t>
      </w:r>
      <w:r w:rsidR="005878B2" w:rsidRPr="005545AF">
        <w:rPr>
          <w:rFonts w:cs="Arial"/>
          <w:szCs w:val="24"/>
          <w:lang w:val="en-CA"/>
        </w:rPr>
        <w:t>people close to him</w:t>
      </w:r>
      <w:r w:rsidR="007C46C3" w:rsidRPr="005545AF">
        <w:rPr>
          <w:rFonts w:cs="Arial"/>
          <w:szCs w:val="24"/>
          <w:lang w:val="en-CA"/>
        </w:rPr>
        <w:t xml:space="preserve"> and experts, including Google’s</w:t>
      </w:r>
      <w:r w:rsidR="002802DA" w:rsidRPr="005545AF">
        <w:rPr>
          <w:rFonts w:cs="Arial"/>
          <w:szCs w:val="24"/>
          <w:lang w:val="en-CA"/>
        </w:rPr>
        <w:t xml:space="preserve">. </w:t>
      </w:r>
      <w:r w:rsidR="007C46C3" w:rsidRPr="005545AF">
        <w:rPr>
          <w:rFonts w:cs="Arial"/>
          <w:szCs w:val="24"/>
          <w:lang w:val="en-CA"/>
        </w:rPr>
        <w:t xml:space="preserve">The fact </w:t>
      </w:r>
      <w:r w:rsidR="005878B2" w:rsidRPr="005545AF">
        <w:rPr>
          <w:rFonts w:cs="Arial"/>
          <w:szCs w:val="24"/>
          <w:lang w:val="en-CA"/>
        </w:rPr>
        <w:t xml:space="preserve">that </w:t>
      </w:r>
      <w:r w:rsidR="007C46C3" w:rsidRPr="005545AF">
        <w:rPr>
          <w:rFonts w:cs="Arial"/>
          <w:szCs w:val="24"/>
          <w:lang w:val="en-CA"/>
        </w:rPr>
        <w:t xml:space="preserve">the link leading to the </w:t>
      </w:r>
      <w:r w:rsidR="004A5D7E" w:rsidRPr="005545AF">
        <w:rPr>
          <w:rFonts w:cs="Arial"/>
          <w:szCs w:val="24"/>
          <w:lang w:val="en-CA"/>
        </w:rPr>
        <w:t>Impugned Post</w:t>
      </w:r>
      <w:r w:rsidR="007C46C3" w:rsidRPr="005545AF">
        <w:rPr>
          <w:rFonts w:cs="Arial"/>
          <w:szCs w:val="24"/>
          <w:lang w:val="en-CA"/>
        </w:rPr>
        <w:t xml:space="preserve"> is constantly capable of being captured by Google’s algorithm and indexed creates a permanent state of uncertainty that is in and of itself the indemnified injury.</w:t>
      </w:r>
      <w:r w:rsidR="002802DA" w:rsidRPr="005545AF">
        <w:rPr>
          <w:rStyle w:val="Appelnotedebasdep"/>
          <w:rFonts w:cs="Arial"/>
          <w:szCs w:val="24"/>
          <w:lang w:val="en-CA"/>
        </w:rPr>
        <w:footnoteReference w:id="103"/>
      </w:r>
      <w:r w:rsidR="007C46C3" w:rsidRPr="005545AF">
        <w:rPr>
          <w:rFonts w:cs="Arial"/>
          <w:szCs w:val="24"/>
          <w:lang w:val="en-CA"/>
        </w:rPr>
        <w:t xml:space="preserve"> Despite all of these considerations, I am of the view that the judge made three errors</w:t>
      </w:r>
      <w:r w:rsidR="00C86A20" w:rsidRPr="005545AF">
        <w:rPr>
          <w:rFonts w:cs="Arial"/>
          <w:szCs w:val="24"/>
          <w:lang w:val="en-CA"/>
        </w:rPr>
        <w:t xml:space="preserve"> that had an impact on the determination of the quantum</w:t>
      </w:r>
      <w:r w:rsidR="002802DA" w:rsidRPr="005545AF">
        <w:rPr>
          <w:rFonts w:cs="Arial"/>
          <w:szCs w:val="24"/>
          <w:lang w:val="en-CA"/>
        </w:rPr>
        <w:t xml:space="preserve">. </w:t>
      </w:r>
    </w:p>
    <w:p w14:paraId="54C3009A" w14:textId="6C76FEDB" w:rsidR="002802DA" w:rsidRPr="005545AF" w:rsidRDefault="005878B2" w:rsidP="001F7377">
      <w:pPr>
        <w:pStyle w:val="Paragraphe"/>
        <w:spacing w:line="240" w:lineRule="auto"/>
        <w:rPr>
          <w:rFonts w:cs="Arial"/>
          <w:szCs w:val="24"/>
          <w:lang w:val="en-CA" w:eastAsia="en-US"/>
        </w:rPr>
      </w:pPr>
      <w:r w:rsidRPr="005545AF">
        <w:rPr>
          <w:rFonts w:cs="Arial"/>
          <w:szCs w:val="24"/>
          <w:lang w:val="en-CA"/>
        </w:rPr>
        <w:t xml:space="preserve">First, although he </w:t>
      </w:r>
      <w:r w:rsidR="00FD3DA1" w:rsidRPr="005545AF">
        <w:rPr>
          <w:rFonts w:cs="Arial"/>
          <w:szCs w:val="24"/>
          <w:lang w:val="en-CA"/>
        </w:rPr>
        <w:t xml:space="preserve">repeatedly </w:t>
      </w:r>
      <w:r w:rsidR="00FA569F" w:rsidRPr="005545AF">
        <w:rPr>
          <w:rFonts w:cs="Arial"/>
          <w:szCs w:val="24"/>
          <w:lang w:val="en-CA"/>
        </w:rPr>
        <w:t>asserted</w:t>
      </w:r>
      <w:r w:rsidRPr="005545AF">
        <w:rPr>
          <w:rFonts w:cs="Arial"/>
          <w:szCs w:val="24"/>
          <w:lang w:val="en-CA"/>
        </w:rPr>
        <w:t xml:space="preserve"> the </w:t>
      </w:r>
      <w:r w:rsidR="00FD3DA1" w:rsidRPr="005545AF">
        <w:rPr>
          <w:rFonts w:cs="Arial"/>
          <w:szCs w:val="24"/>
          <w:lang w:val="en-CA"/>
        </w:rPr>
        <w:t>opposite</w:t>
      </w:r>
      <w:r w:rsidRPr="005545AF">
        <w:rPr>
          <w:rFonts w:cs="Arial"/>
          <w:szCs w:val="24"/>
          <w:lang w:val="en-CA"/>
        </w:rPr>
        <w:t xml:space="preserve">, the judge did not limit himself to </w:t>
      </w:r>
      <w:r w:rsidR="00FA569F" w:rsidRPr="005545AF">
        <w:rPr>
          <w:rFonts w:cs="Arial"/>
          <w:szCs w:val="24"/>
          <w:lang w:val="en-CA"/>
        </w:rPr>
        <w:t>injury</w:t>
      </w:r>
      <w:r w:rsidRPr="005545AF">
        <w:rPr>
          <w:rFonts w:cs="Arial"/>
          <w:szCs w:val="24"/>
          <w:lang w:val="en-CA"/>
        </w:rPr>
        <w:t xml:space="preserve"> resulting from the only fault capable of being compensated here</w:t>
      </w:r>
      <w:r w:rsidR="002802DA" w:rsidRPr="005545AF">
        <w:rPr>
          <w:rFonts w:cs="Arial"/>
          <w:szCs w:val="24"/>
          <w:lang w:val="en-CA"/>
        </w:rPr>
        <w:t xml:space="preserve">. </w:t>
      </w:r>
      <w:r w:rsidRPr="005545AF">
        <w:rPr>
          <w:rFonts w:cs="Arial"/>
          <w:szCs w:val="24"/>
          <w:lang w:val="en-CA"/>
        </w:rPr>
        <w:t xml:space="preserve">Google is not the author of the </w:t>
      </w:r>
      <w:r w:rsidR="004A5D7E" w:rsidRPr="005545AF">
        <w:rPr>
          <w:rFonts w:cs="Arial"/>
          <w:szCs w:val="24"/>
          <w:lang w:val="en-CA"/>
        </w:rPr>
        <w:t>Impugned Post</w:t>
      </w:r>
      <w:r w:rsidRPr="005545AF">
        <w:rPr>
          <w:rFonts w:cs="Arial"/>
          <w:szCs w:val="24"/>
          <w:lang w:val="en-CA"/>
        </w:rPr>
        <w:t xml:space="preserve"> and it does not have any control over its presence on the Internet. The only fault at issue here is the failure to de-index the</w:t>
      </w:r>
      <w:r w:rsidR="00FA569F" w:rsidRPr="005545AF">
        <w:rPr>
          <w:rFonts w:cs="Arial"/>
          <w:szCs w:val="24"/>
          <w:lang w:val="en-CA"/>
        </w:rPr>
        <w:t xml:space="preserve"> </w:t>
      </w:r>
      <w:r w:rsidR="004A5D7E" w:rsidRPr="005545AF">
        <w:rPr>
          <w:rFonts w:cs="Arial"/>
          <w:szCs w:val="24"/>
          <w:lang w:val="en-CA"/>
        </w:rPr>
        <w:t>Impugned Post</w:t>
      </w:r>
      <w:r w:rsidR="00FA569F" w:rsidRPr="005545AF">
        <w:rPr>
          <w:rFonts w:cs="Arial"/>
          <w:szCs w:val="24"/>
          <w:lang w:val="en-CA"/>
        </w:rPr>
        <w:t>’s</w:t>
      </w:r>
      <w:r w:rsidRPr="005545AF">
        <w:rPr>
          <w:rFonts w:cs="Arial"/>
          <w:szCs w:val="24"/>
          <w:lang w:val="en-CA"/>
        </w:rPr>
        <w:t xml:space="preserve"> bare link</w:t>
      </w:r>
      <w:r w:rsidR="00FA569F" w:rsidRPr="005545AF">
        <w:rPr>
          <w:rFonts w:cs="Arial"/>
          <w:szCs w:val="24"/>
          <w:lang w:val="en-CA"/>
        </w:rPr>
        <w:t xml:space="preserve"> </w:t>
      </w:r>
      <w:r w:rsidRPr="005545AF">
        <w:rPr>
          <w:rFonts w:cs="Arial"/>
          <w:szCs w:val="24"/>
          <w:lang w:val="en-CA"/>
        </w:rPr>
        <w:t xml:space="preserve">as of </w:t>
      </w:r>
      <w:r w:rsidR="002802DA" w:rsidRPr="005545AF">
        <w:rPr>
          <w:rFonts w:cs="Arial"/>
          <w:szCs w:val="24"/>
          <w:lang w:val="en-CA"/>
        </w:rPr>
        <w:t xml:space="preserve">2015. </w:t>
      </w:r>
      <w:r w:rsidRPr="005545AF">
        <w:rPr>
          <w:rFonts w:cs="Arial"/>
          <w:szCs w:val="24"/>
          <w:lang w:val="en-CA"/>
        </w:rPr>
        <w:t xml:space="preserve">The claim for </w:t>
      </w:r>
      <w:r w:rsidR="00FA569F" w:rsidRPr="005545AF">
        <w:rPr>
          <w:rFonts w:cs="Arial"/>
          <w:szCs w:val="24"/>
          <w:lang w:val="en-CA"/>
        </w:rPr>
        <w:t xml:space="preserve">the </w:t>
      </w:r>
      <w:r w:rsidRPr="005545AF">
        <w:rPr>
          <w:rFonts w:cs="Arial"/>
          <w:szCs w:val="24"/>
          <w:lang w:val="en-CA"/>
        </w:rPr>
        <w:t>injury sustained prior to that date is therefore impossible</w:t>
      </w:r>
      <w:r w:rsidR="00770E4F" w:rsidRPr="005545AF">
        <w:rPr>
          <w:rFonts w:cs="Arial"/>
          <w:szCs w:val="24"/>
          <w:lang w:val="en-CA"/>
        </w:rPr>
        <w:t xml:space="preserve"> because, according to </w:t>
      </w:r>
      <w:r w:rsidR="00FD3DA1" w:rsidRPr="005545AF">
        <w:rPr>
          <w:rFonts w:cs="Arial"/>
          <w:szCs w:val="24"/>
          <w:lang w:val="en-CA"/>
        </w:rPr>
        <w:t xml:space="preserve">what </w:t>
      </w:r>
      <w:r w:rsidR="00770E4F" w:rsidRPr="005545AF">
        <w:rPr>
          <w:rFonts w:cs="Arial"/>
          <w:szCs w:val="24"/>
          <w:lang w:val="en-CA"/>
        </w:rPr>
        <w:t>the judge</w:t>
      </w:r>
      <w:r w:rsidR="00FD3DA1" w:rsidRPr="005545AF">
        <w:rPr>
          <w:rFonts w:cs="Arial"/>
          <w:szCs w:val="24"/>
          <w:lang w:val="en-CA"/>
        </w:rPr>
        <w:t xml:space="preserve"> found</w:t>
      </w:r>
      <w:r w:rsidR="00770E4F" w:rsidRPr="005545AF">
        <w:rPr>
          <w:rFonts w:cs="Arial"/>
          <w:szCs w:val="24"/>
          <w:lang w:val="en-CA"/>
        </w:rPr>
        <w:t xml:space="preserve">, Google had committed no fault until </w:t>
      </w:r>
      <w:r w:rsidR="002802DA" w:rsidRPr="005545AF">
        <w:rPr>
          <w:rFonts w:cs="Arial"/>
          <w:szCs w:val="24"/>
          <w:lang w:val="en-CA"/>
        </w:rPr>
        <w:t xml:space="preserve">2015. </w:t>
      </w:r>
      <w:r w:rsidR="00FD3DA1" w:rsidRPr="005545AF">
        <w:rPr>
          <w:rFonts w:cs="Arial"/>
          <w:szCs w:val="24"/>
          <w:lang w:val="en-CA"/>
        </w:rPr>
        <w:t>However</w:t>
      </w:r>
      <w:r w:rsidR="00770E4F" w:rsidRPr="005545AF">
        <w:rPr>
          <w:rFonts w:cs="Arial"/>
          <w:szCs w:val="24"/>
          <w:lang w:val="en-CA"/>
        </w:rPr>
        <w:t xml:space="preserve">, upon my reading of the judge’s reasons, of the importance that he attached in his </w:t>
      </w:r>
      <w:r w:rsidR="00FD3DA1" w:rsidRPr="005545AF">
        <w:rPr>
          <w:rFonts w:cs="Arial"/>
          <w:szCs w:val="24"/>
          <w:lang w:val="en-CA"/>
        </w:rPr>
        <w:t>narrative</w:t>
      </w:r>
      <w:r w:rsidR="00770E4F" w:rsidRPr="005545AF">
        <w:rPr>
          <w:rFonts w:cs="Arial"/>
          <w:szCs w:val="24"/>
          <w:lang w:val="en-CA"/>
        </w:rPr>
        <w:t xml:space="preserve"> to considerations prior to that time limit and, especially, of paragraph </w:t>
      </w:r>
      <w:r w:rsidR="002802DA" w:rsidRPr="005545AF">
        <w:rPr>
          <w:rFonts w:cs="Arial"/>
          <w:szCs w:val="24"/>
          <w:lang w:val="en-CA"/>
        </w:rPr>
        <w:t xml:space="preserve">509 </w:t>
      </w:r>
      <w:r w:rsidR="00770E4F" w:rsidRPr="005545AF">
        <w:rPr>
          <w:rFonts w:cs="Arial"/>
          <w:szCs w:val="24"/>
          <w:lang w:val="en-CA"/>
        </w:rPr>
        <w:t>of his judgment where he claim</w:t>
      </w:r>
      <w:r w:rsidR="00FD3DA1" w:rsidRPr="005545AF">
        <w:rPr>
          <w:rFonts w:cs="Arial"/>
          <w:szCs w:val="24"/>
          <w:lang w:val="en-CA"/>
        </w:rPr>
        <w:t>ed</w:t>
      </w:r>
      <w:r w:rsidR="00770E4F" w:rsidRPr="005545AF">
        <w:rPr>
          <w:rFonts w:cs="Arial"/>
          <w:szCs w:val="24"/>
          <w:lang w:val="en-CA"/>
        </w:rPr>
        <w:t xml:space="preserve"> that the prior injury was aggravated by the post-</w:t>
      </w:r>
      <w:r w:rsidR="002802DA" w:rsidRPr="005545AF">
        <w:rPr>
          <w:rFonts w:cs="Arial"/>
          <w:i/>
          <w:iCs/>
          <w:szCs w:val="24"/>
          <w:lang w:val="en-CA"/>
        </w:rPr>
        <w:t>Crookes</w:t>
      </w:r>
      <w:r w:rsidR="00770E4F" w:rsidRPr="005545AF">
        <w:rPr>
          <w:rFonts w:cs="Arial"/>
          <w:szCs w:val="24"/>
          <w:lang w:val="en-CA"/>
        </w:rPr>
        <w:t xml:space="preserve"> policy, he did not limit himself to th</w:t>
      </w:r>
      <w:r w:rsidR="00FA569F" w:rsidRPr="005545AF">
        <w:rPr>
          <w:rFonts w:cs="Arial"/>
          <w:szCs w:val="24"/>
          <w:lang w:val="en-CA"/>
        </w:rPr>
        <w:t>e pre-2015 pe</w:t>
      </w:r>
      <w:r w:rsidR="00770E4F" w:rsidRPr="005545AF">
        <w:rPr>
          <w:rFonts w:cs="Arial"/>
          <w:szCs w:val="24"/>
          <w:lang w:val="en-CA"/>
        </w:rPr>
        <w:t>riod</w:t>
      </w:r>
      <w:r w:rsidR="002802DA" w:rsidRPr="005545AF">
        <w:rPr>
          <w:rFonts w:cs="Arial"/>
          <w:szCs w:val="24"/>
          <w:lang w:val="en-CA"/>
        </w:rPr>
        <w:t xml:space="preserve">. </w:t>
      </w:r>
      <w:r w:rsidR="00770E4F" w:rsidRPr="005545AF">
        <w:rPr>
          <w:rFonts w:cs="Arial"/>
          <w:szCs w:val="24"/>
          <w:lang w:val="en-CA"/>
        </w:rPr>
        <w:t xml:space="preserve">While the absence of proof that anyone knew about the </w:t>
      </w:r>
      <w:r w:rsidR="004A5D7E" w:rsidRPr="005545AF">
        <w:rPr>
          <w:rFonts w:cs="Arial"/>
          <w:szCs w:val="24"/>
          <w:lang w:val="en-CA"/>
        </w:rPr>
        <w:t>Impugned Post</w:t>
      </w:r>
      <w:r w:rsidR="00770E4F" w:rsidRPr="005545AF">
        <w:rPr>
          <w:rFonts w:cs="Arial"/>
          <w:szCs w:val="24"/>
          <w:lang w:val="en-CA"/>
        </w:rPr>
        <w:t xml:space="preserve"> via Google did </w:t>
      </w:r>
      <w:r w:rsidR="002A7F3E" w:rsidRPr="005545AF">
        <w:rPr>
          <w:rFonts w:cs="Arial"/>
          <w:szCs w:val="24"/>
          <w:lang w:val="en-CA"/>
        </w:rPr>
        <w:t>not rule out the existence of personal</w:t>
      </w:r>
      <w:r w:rsidR="00770E4F" w:rsidRPr="005545AF">
        <w:rPr>
          <w:rFonts w:cs="Arial"/>
          <w:szCs w:val="24"/>
          <w:lang w:val="en-CA"/>
        </w:rPr>
        <w:t xml:space="preserve"> injury </w:t>
      </w:r>
      <w:r w:rsidR="00FA569F" w:rsidRPr="005545AF">
        <w:rPr>
          <w:rFonts w:cs="Arial"/>
          <w:szCs w:val="24"/>
          <w:lang w:val="en-CA"/>
        </w:rPr>
        <w:t>caused to</w:t>
      </w:r>
      <w:r w:rsidR="002802DA" w:rsidRPr="005545AF">
        <w:rPr>
          <w:rFonts w:cs="Arial"/>
          <w:szCs w:val="24"/>
          <w:lang w:val="en-CA"/>
        </w:rPr>
        <w:t xml:space="preserve"> </w:t>
      </w:r>
      <w:r w:rsidR="00FA569F" w:rsidRPr="005545AF">
        <w:rPr>
          <w:rFonts w:cs="Arial"/>
          <w:szCs w:val="24"/>
          <w:lang w:val="en-CA"/>
        </w:rPr>
        <w:t>the appellant</w:t>
      </w:r>
      <w:r w:rsidR="002802DA" w:rsidRPr="005545AF">
        <w:rPr>
          <w:rFonts w:cs="Arial"/>
          <w:szCs w:val="24"/>
          <w:lang w:val="en-CA"/>
        </w:rPr>
        <w:t xml:space="preserve">, </w:t>
      </w:r>
      <w:r w:rsidR="00770E4F" w:rsidRPr="005545AF">
        <w:rPr>
          <w:rFonts w:cs="Arial"/>
          <w:szCs w:val="24"/>
          <w:lang w:val="en-CA"/>
        </w:rPr>
        <w:t>that factor is undeniably important in the quantification of that injury, especially given that the evidence showed that any search capable of leading to such a result had to be very precise</w:t>
      </w:r>
      <w:r w:rsidR="002802DA" w:rsidRPr="005545AF">
        <w:rPr>
          <w:rFonts w:cs="Arial"/>
          <w:szCs w:val="24"/>
          <w:lang w:val="en-CA"/>
        </w:rPr>
        <w:t xml:space="preserve">. </w:t>
      </w:r>
    </w:p>
    <w:p w14:paraId="57FAE863" w14:textId="42C8A8DF" w:rsidR="002802DA" w:rsidRPr="005545AF" w:rsidRDefault="0056778B" w:rsidP="001F7377">
      <w:pPr>
        <w:pStyle w:val="Paragraphe"/>
        <w:spacing w:line="240" w:lineRule="auto"/>
        <w:rPr>
          <w:rFonts w:cs="Arial"/>
          <w:szCs w:val="24"/>
          <w:lang w:val="en-CA" w:eastAsia="en-US"/>
        </w:rPr>
      </w:pPr>
      <w:r w:rsidRPr="005545AF">
        <w:rPr>
          <w:rFonts w:cs="Arial"/>
          <w:szCs w:val="24"/>
          <w:lang w:val="en-CA"/>
        </w:rPr>
        <w:t>The second error was the fact that the judge</w:t>
      </w:r>
      <w:r w:rsidR="002802DA" w:rsidRPr="005545AF">
        <w:rPr>
          <w:rFonts w:cs="Arial"/>
          <w:szCs w:val="24"/>
          <w:lang w:val="en-CA"/>
        </w:rPr>
        <w:t xml:space="preserve">, </w:t>
      </w:r>
      <w:r w:rsidR="002802DA" w:rsidRPr="005545AF">
        <w:rPr>
          <w:rFonts w:cs="Arial"/>
          <w:i/>
          <w:iCs/>
          <w:szCs w:val="24"/>
          <w:lang w:val="en-CA"/>
        </w:rPr>
        <w:t>in fine</w:t>
      </w:r>
      <w:r w:rsidR="002802DA" w:rsidRPr="005545AF">
        <w:rPr>
          <w:rFonts w:cs="Arial"/>
          <w:szCs w:val="24"/>
          <w:lang w:val="en-CA"/>
        </w:rPr>
        <w:t xml:space="preserve">, </w:t>
      </w:r>
      <w:r w:rsidRPr="005545AF">
        <w:rPr>
          <w:rFonts w:cs="Arial"/>
          <w:szCs w:val="24"/>
          <w:lang w:val="en-CA"/>
        </w:rPr>
        <w:t>assessed the damages backward</w:t>
      </w:r>
      <w:r w:rsidR="00A33DFD" w:rsidRPr="005545AF">
        <w:rPr>
          <w:rFonts w:cs="Arial"/>
          <w:szCs w:val="24"/>
          <w:lang w:val="en-CA"/>
        </w:rPr>
        <w:t>s</w:t>
      </w:r>
      <w:r w:rsidRPr="005545AF">
        <w:rPr>
          <w:rFonts w:cs="Arial"/>
          <w:szCs w:val="24"/>
          <w:lang w:val="en-CA"/>
        </w:rPr>
        <w:t xml:space="preserve"> by starting from the purely subjective estimate proposed by</w:t>
      </w:r>
      <w:r w:rsidR="002802DA" w:rsidRPr="005545AF">
        <w:rPr>
          <w:rFonts w:cs="Arial"/>
          <w:szCs w:val="24"/>
          <w:lang w:val="en-CA"/>
        </w:rPr>
        <w:t xml:space="preserve"> </w:t>
      </w:r>
      <w:r w:rsidR="00A33DFD" w:rsidRPr="005545AF">
        <w:rPr>
          <w:rFonts w:cs="Arial"/>
          <w:szCs w:val="24"/>
          <w:lang w:val="en-CA"/>
        </w:rPr>
        <w:t>the appellant</w:t>
      </w:r>
      <w:r w:rsidR="002802DA" w:rsidRPr="005545AF">
        <w:rPr>
          <w:rFonts w:cs="Arial"/>
          <w:szCs w:val="24"/>
          <w:lang w:val="en-CA"/>
        </w:rPr>
        <w:t xml:space="preserve"> </w:t>
      </w:r>
      <w:r w:rsidRPr="005545AF">
        <w:rPr>
          <w:rFonts w:cs="Arial"/>
          <w:szCs w:val="24"/>
          <w:lang w:val="en-CA"/>
        </w:rPr>
        <w:t xml:space="preserve">and by simply deducting therefrom a correlative portion of the heads of damages that he </w:t>
      </w:r>
      <w:r w:rsidRPr="005545AF">
        <w:rPr>
          <w:rFonts w:cs="Arial"/>
          <w:szCs w:val="24"/>
          <w:lang w:val="en-CA"/>
        </w:rPr>
        <w:lastRenderedPageBreak/>
        <w:t>disallowed.</w:t>
      </w:r>
      <w:r w:rsidR="002802DA" w:rsidRPr="005545AF">
        <w:rPr>
          <w:rStyle w:val="Appelnotedebasdep"/>
          <w:rFonts w:cs="Arial"/>
          <w:szCs w:val="24"/>
          <w:lang w:val="en-CA"/>
        </w:rPr>
        <w:footnoteReference w:id="104"/>
      </w:r>
      <w:r w:rsidR="002802DA" w:rsidRPr="005545AF">
        <w:rPr>
          <w:rFonts w:cs="Arial"/>
          <w:szCs w:val="24"/>
          <w:lang w:val="en-CA"/>
        </w:rPr>
        <w:t xml:space="preserve"> </w:t>
      </w:r>
      <w:r w:rsidR="008A1739" w:rsidRPr="005545AF">
        <w:rPr>
          <w:rFonts w:cs="Arial"/>
          <w:szCs w:val="24"/>
          <w:lang w:val="en-CA"/>
        </w:rPr>
        <w:t>This approach</w:t>
      </w:r>
      <w:r w:rsidRPr="005545AF">
        <w:rPr>
          <w:rFonts w:cs="Arial"/>
          <w:szCs w:val="24"/>
          <w:lang w:val="en-CA"/>
        </w:rPr>
        <w:t xml:space="preserve"> is </w:t>
      </w:r>
      <w:r w:rsidR="008A1739" w:rsidRPr="005545AF">
        <w:rPr>
          <w:rFonts w:cs="Arial"/>
          <w:szCs w:val="24"/>
          <w:lang w:val="en-CA"/>
        </w:rPr>
        <w:t>to be avoided</w:t>
      </w:r>
      <w:r w:rsidRPr="005545AF">
        <w:rPr>
          <w:rFonts w:cs="Arial"/>
          <w:szCs w:val="24"/>
          <w:lang w:val="en-CA"/>
        </w:rPr>
        <w:t xml:space="preserve"> because it risks being an additional incentive for parties to overestimate their claims</w:t>
      </w:r>
      <w:r w:rsidR="002802DA" w:rsidRPr="005545AF">
        <w:rPr>
          <w:rFonts w:cs="Arial"/>
          <w:szCs w:val="24"/>
          <w:lang w:val="en-CA"/>
        </w:rPr>
        <w:t>.</w:t>
      </w:r>
    </w:p>
    <w:p w14:paraId="4FB21301" w14:textId="7C1CF018" w:rsidR="002802DA" w:rsidRPr="005545AF" w:rsidRDefault="008A1739" w:rsidP="001F7377">
      <w:pPr>
        <w:pStyle w:val="Paragraphe"/>
        <w:spacing w:line="240" w:lineRule="auto"/>
        <w:rPr>
          <w:rFonts w:cs="Arial"/>
          <w:szCs w:val="24"/>
          <w:lang w:val="en-CA" w:eastAsia="en-US"/>
        </w:rPr>
      </w:pPr>
      <w:bookmarkStart w:id="54" w:name="_Ref207619176"/>
      <w:r w:rsidRPr="005545AF">
        <w:rPr>
          <w:rFonts w:cs="Arial"/>
          <w:szCs w:val="24"/>
          <w:lang w:val="en-CA" w:eastAsia="en-US"/>
        </w:rPr>
        <w:t>Finally, although the judge provided a list of precedents – as is required for the awarding of non-pecuniary damages</w:t>
      </w:r>
      <w:r w:rsidR="003B3992" w:rsidRPr="005545AF">
        <w:rPr>
          <w:rFonts w:cs="Arial"/>
          <w:szCs w:val="24"/>
          <w:lang w:val="en-CA" w:eastAsia="en-US"/>
        </w:rPr>
        <w:t xml:space="preserve"> which</w:t>
      </w:r>
      <w:r w:rsidRPr="005545AF">
        <w:rPr>
          <w:rFonts w:cs="Arial"/>
          <w:szCs w:val="24"/>
          <w:lang w:val="en-CA" w:eastAsia="en-US"/>
        </w:rPr>
        <w:t xml:space="preserve"> must not become a sort of lottery</w:t>
      </w:r>
      <w:r w:rsidR="002802DA" w:rsidRPr="005545AF">
        <w:rPr>
          <w:rStyle w:val="Appelnotedebasdep"/>
          <w:rFonts w:cs="Arial"/>
          <w:szCs w:val="24"/>
          <w:lang w:val="en-CA" w:eastAsia="en-US"/>
        </w:rPr>
        <w:footnoteReference w:id="105"/>
      </w:r>
      <w:bookmarkEnd w:id="54"/>
      <w:r w:rsidR="002802DA" w:rsidRPr="005545AF">
        <w:rPr>
          <w:rFonts w:cs="Arial"/>
          <w:szCs w:val="24"/>
          <w:lang w:val="en-CA" w:eastAsia="en-US"/>
        </w:rPr>
        <w:t xml:space="preserve"> – </w:t>
      </w:r>
      <w:r w:rsidRPr="005545AF">
        <w:rPr>
          <w:rFonts w:cs="Arial"/>
          <w:szCs w:val="24"/>
          <w:lang w:val="en-CA" w:eastAsia="en-US"/>
        </w:rPr>
        <w:t xml:space="preserve">it seems to me that he departed therefrom and awarded an amount that largely exceeded those </w:t>
      </w:r>
      <w:r w:rsidR="00A33DFD" w:rsidRPr="005545AF">
        <w:rPr>
          <w:rFonts w:cs="Arial"/>
          <w:szCs w:val="24"/>
          <w:lang w:val="en-CA" w:eastAsia="en-US"/>
        </w:rPr>
        <w:t>awarded in</w:t>
      </w:r>
      <w:r w:rsidRPr="005545AF">
        <w:rPr>
          <w:rFonts w:cs="Arial"/>
          <w:szCs w:val="24"/>
          <w:lang w:val="en-CA" w:eastAsia="en-US"/>
        </w:rPr>
        <w:t xml:space="preserve"> the </w:t>
      </w:r>
      <w:r w:rsidR="003B3992" w:rsidRPr="005545AF">
        <w:rPr>
          <w:rFonts w:cs="Arial"/>
          <w:szCs w:val="24"/>
          <w:lang w:val="en-CA" w:eastAsia="en-US"/>
        </w:rPr>
        <w:t>vast</w:t>
      </w:r>
      <w:r w:rsidRPr="005545AF">
        <w:rPr>
          <w:rFonts w:cs="Arial"/>
          <w:szCs w:val="24"/>
          <w:lang w:val="en-CA" w:eastAsia="en-US"/>
        </w:rPr>
        <w:t xml:space="preserve"> majority of the cases cited, without really explaining why</w:t>
      </w:r>
      <w:r w:rsidR="002802DA" w:rsidRPr="005545AF">
        <w:rPr>
          <w:rFonts w:cs="Arial"/>
          <w:szCs w:val="24"/>
          <w:lang w:val="en-CA" w:eastAsia="en-US"/>
        </w:rPr>
        <w:t xml:space="preserve">. </w:t>
      </w:r>
      <w:r w:rsidR="003B3992" w:rsidRPr="005545AF">
        <w:rPr>
          <w:rFonts w:cs="Arial"/>
          <w:szCs w:val="24"/>
          <w:lang w:val="en-CA" w:eastAsia="en-US"/>
        </w:rPr>
        <w:t>Taking into account</w:t>
      </w:r>
      <w:r w:rsidRPr="005545AF">
        <w:rPr>
          <w:rFonts w:cs="Arial"/>
          <w:szCs w:val="24"/>
          <w:lang w:val="en-CA" w:eastAsia="en-US"/>
        </w:rPr>
        <w:t xml:space="preserve"> </w:t>
      </w:r>
      <w:r w:rsidR="003B3992" w:rsidRPr="005545AF">
        <w:rPr>
          <w:rFonts w:cs="Arial"/>
          <w:szCs w:val="24"/>
          <w:lang w:val="en-CA" w:eastAsia="en-US"/>
        </w:rPr>
        <w:t>the totality of</w:t>
      </w:r>
      <w:r w:rsidRPr="005545AF">
        <w:rPr>
          <w:rFonts w:cs="Arial"/>
          <w:szCs w:val="24"/>
          <w:lang w:val="en-CA" w:eastAsia="en-US"/>
        </w:rPr>
        <w:t xml:space="preserve"> the circumstances, and particularly the scope of the liability limited to the publi</w:t>
      </w:r>
      <w:r w:rsidR="00A33DFD" w:rsidRPr="005545AF">
        <w:rPr>
          <w:rFonts w:cs="Arial"/>
          <w:szCs w:val="24"/>
          <w:lang w:val="en-CA" w:eastAsia="en-US"/>
        </w:rPr>
        <w:t>cation</w:t>
      </w:r>
      <w:r w:rsidRPr="005545AF">
        <w:rPr>
          <w:rFonts w:cs="Arial"/>
          <w:szCs w:val="24"/>
          <w:lang w:val="en-CA" w:eastAsia="en-US"/>
        </w:rPr>
        <w:t xml:space="preserve"> of the bare link</w:t>
      </w:r>
      <w:r w:rsidR="00A33DFD" w:rsidRPr="005545AF">
        <w:rPr>
          <w:rFonts w:cs="Arial"/>
          <w:szCs w:val="24"/>
          <w:lang w:val="en-CA" w:eastAsia="en-US"/>
        </w:rPr>
        <w:t xml:space="preserve"> after 2015</w:t>
      </w:r>
      <w:r w:rsidR="002802DA" w:rsidRPr="005545AF">
        <w:rPr>
          <w:rFonts w:cs="Arial"/>
          <w:szCs w:val="24"/>
          <w:lang w:val="en-CA" w:eastAsia="en-US"/>
        </w:rPr>
        <w:t xml:space="preserve">, </w:t>
      </w:r>
      <w:r w:rsidRPr="005545AF">
        <w:rPr>
          <w:rFonts w:cs="Arial"/>
          <w:szCs w:val="24"/>
          <w:lang w:val="en-CA" w:eastAsia="en-US"/>
        </w:rPr>
        <w:t xml:space="preserve">as well as the true nature of the injury found, as we have seen, that result, respectfully, seems </w:t>
      </w:r>
      <w:r w:rsidR="002F7CCE" w:rsidRPr="005545AF">
        <w:rPr>
          <w:rFonts w:cs="Arial"/>
          <w:szCs w:val="24"/>
          <w:lang w:val="en-CA" w:eastAsia="en-US"/>
        </w:rPr>
        <w:t xml:space="preserve">unreasonable </w:t>
      </w:r>
      <w:r w:rsidRPr="005545AF">
        <w:rPr>
          <w:rFonts w:cs="Arial"/>
          <w:szCs w:val="24"/>
          <w:lang w:val="en-CA" w:eastAsia="en-US"/>
        </w:rPr>
        <w:t>to me</w:t>
      </w:r>
      <w:r w:rsidR="002802DA" w:rsidRPr="005545AF">
        <w:rPr>
          <w:rFonts w:cs="Arial"/>
          <w:szCs w:val="24"/>
          <w:lang w:val="en-CA" w:eastAsia="en-US"/>
        </w:rPr>
        <w:t xml:space="preserve">. </w:t>
      </w:r>
      <w:r w:rsidR="002F7CCE" w:rsidRPr="005545AF">
        <w:rPr>
          <w:rFonts w:cs="Arial"/>
          <w:szCs w:val="24"/>
          <w:lang w:val="en-CA" w:eastAsia="en-US"/>
        </w:rPr>
        <w:t>Considering the</w:t>
      </w:r>
      <w:r w:rsidR="003B3992" w:rsidRPr="005545AF">
        <w:rPr>
          <w:rFonts w:cs="Arial"/>
          <w:szCs w:val="24"/>
          <w:lang w:val="en-CA" w:eastAsia="en-US"/>
        </w:rPr>
        <w:t xml:space="preserve"> totality of the</w:t>
      </w:r>
      <w:r w:rsidR="002F7CCE" w:rsidRPr="005545AF">
        <w:rPr>
          <w:rFonts w:cs="Arial"/>
          <w:szCs w:val="24"/>
          <w:lang w:val="en-CA" w:eastAsia="en-US"/>
        </w:rPr>
        <w:t xml:space="preserve"> circumstances, I would reduce compensatory damages to $</w:t>
      </w:r>
      <w:r w:rsidR="002802DA" w:rsidRPr="005545AF">
        <w:rPr>
          <w:rFonts w:cs="Arial"/>
          <w:szCs w:val="24"/>
          <w:lang w:val="en-CA" w:eastAsia="en-US"/>
        </w:rPr>
        <w:t>25</w:t>
      </w:r>
      <w:r w:rsidR="002F7CCE" w:rsidRPr="005545AF">
        <w:rPr>
          <w:rFonts w:cs="Arial"/>
          <w:szCs w:val="24"/>
          <w:lang w:val="en-CA" w:eastAsia="en-US"/>
        </w:rPr>
        <w:t>,</w:t>
      </w:r>
      <w:r w:rsidR="002802DA" w:rsidRPr="005545AF">
        <w:rPr>
          <w:rFonts w:cs="Arial"/>
          <w:szCs w:val="24"/>
          <w:lang w:val="en-CA" w:eastAsia="en-US"/>
        </w:rPr>
        <w:t>000.</w:t>
      </w:r>
    </w:p>
    <w:p w14:paraId="7D8FDC8F" w14:textId="49883760" w:rsidR="002802DA" w:rsidRPr="005545AF" w:rsidRDefault="002802DA" w:rsidP="001F7377">
      <w:pPr>
        <w:pStyle w:val="Paragraphe"/>
        <w:numPr>
          <w:ilvl w:val="0"/>
          <w:numId w:val="0"/>
        </w:numPr>
        <w:spacing w:line="240" w:lineRule="auto"/>
        <w:ind w:left="1134"/>
        <w:outlineLvl w:val="1"/>
        <w:rPr>
          <w:b/>
          <w:bCs/>
          <w:lang w:val="en-CA"/>
        </w:rPr>
      </w:pPr>
      <w:bookmarkStart w:id="57" w:name="_Hlk207451267"/>
      <w:r w:rsidRPr="005545AF">
        <w:rPr>
          <w:b/>
          <w:bCs/>
          <w:lang w:val="en-CA"/>
        </w:rPr>
        <w:t>3)</w:t>
      </w:r>
      <w:r w:rsidRPr="005545AF">
        <w:rPr>
          <w:b/>
          <w:bCs/>
          <w:lang w:val="en-CA"/>
        </w:rPr>
        <w:tab/>
      </w:r>
      <w:r w:rsidR="007A23AC" w:rsidRPr="005545AF">
        <w:rPr>
          <w:b/>
          <w:bCs/>
          <w:lang w:val="en-CA"/>
        </w:rPr>
        <w:t xml:space="preserve">Did the judge err in </w:t>
      </w:r>
      <w:r w:rsidR="008231FD" w:rsidRPr="005545AF">
        <w:rPr>
          <w:b/>
          <w:bCs/>
          <w:lang w:val="en-CA"/>
        </w:rPr>
        <w:t>declining</w:t>
      </w:r>
      <w:r w:rsidR="007A23AC" w:rsidRPr="005545AF">
        <w:rPr>
          <w:b/>
          <w:bCs/>
          <w:lang w:val="en-CA"/>
        </w:rPr>
        <w:t xml:space="preserve"> to award punitive damages (principal appeal)</w:t>
      </w:r>
      <w:r w:rsidRPr="005545AF">
        <w:rPr>
          <w:b/>
          <w:bCs/>
          <w:lang w:val="en-CA"/>
        </w:rPr>
        <w:t>?</w:t>
      </w:r>
    </w:p>
    <w:bookmarkEnd w:id="57"/>
    <w:p w14:paraId="130D59EE" w14:textId="7695ED8E" w:rsidR="002802DA" w:rsidRPr="005545AF" w:rsidRDefault="007A23AC" w:rsidP="001F7377">
      <w:pPr>
        <w:pStyle w:val="Paragraphe"/>
        <w:spacing w:line="240" w:lineRule="auto"/>
        <w:rPr>
          <w:lang w:val="en-CA"/>
        </w:rPr>
      </w:pPr>
      <w:r w:rsidRPr="005545AF">
        <w:rPr>
          <w:lang w:val="en-CA"/>
        </w:rPr>
        <w:t>The judge dismissed</w:t>
      </w:r>
      <w:r w:rsidR="002802DA" w:rsidRPr="005545AF">
        <w:rPr>
          <w:lang w:val="en-CA"/>
        </w:rPr>
        <w:t xml:space="preserve"> </w:t>
      </w:r>
      <w:r w:rsidR="009E6F8F" w:rsidRPr="005545AF">
        <w:rPr>
          <w:lang w:val="en-CA"/>
        </w:rPr>
        <w:t>the appellant’</w:t>
      </w:r>
      <w:r w:rsidRPr="005545AF">
        <w:rPr>
          <w:lang w:val="en-CA"/>
        </w:rPr>
        <w:t>s claim</w:t>
      </w:r>
      <w:r w:rsidR="002802DA" w:rsidRPr="005545AF">
        <w:rPr>
          <w:lang w:val="en-CA"/>
        </w:rPr>
        <w:t xml:space="preserve"> </w:t>
      </w:r>
      <w:r w:rsidRPr="005545AF">
        <w:rPr>
          <w:lang w:val="en-CA"/>
        </w:rPr>
        <w:t>in punitive damages.</w:t>
      </w:r>
      <w:r w:rsidR="002802DA" w:rsidRPr="005545AF">
        <w:rPr>
          <w:rStyle w:val="Appelnotedebasdep"/>
          <w:lang w:val="en-CA"/>
        </w:rPr>
        <w:footnoteReference w:id="106"/>
      </w:r>
      <w:r w:rsidR="002802DA" w:rsidRPr="005545AF">
        <w:rPr>
          <w:lang w:val="en-CA"/>
        </w:rPr>
        <w:t xml:space="preserve"> </w:t>
      </w:r>
      <w:r w:rsidRPr="005545AF">
        <w:rPr>
          <w:lang w:val="en-CA"/>
        </w:rPr>
        <w:t>In his view, Google</w:t>
      </w:r>
      <w:r w:rsidR="009E6F8F" w:rsidRPr="005545AF">
        <w:rPr>
          <w:lang w:val="en-CA"/>
        </w:rPr>
        <w:t>,</w:t>
      </w:r>
      <w:r w:rsidRPr="005545AF">
        <w:rPr>
          <w:lang w:val="en-CA"/>
        </w:rPr>
        <w:t xml:space="preserve"> having in good faith amended its de-indexing policy based on what it believed to be the applicable law in Quebec following </w:t>
      </w:r>
      <w:r w:rsidR="002802DA" w:rsidRPr="005545AF">
        <w:rPr>
          <w:i/>
          <w:iCs/>
          <w:lang w:val="en-CA"/>
        </w:rPr>
        <w:t>Crookes</w:t>
      </w:r>
      <w:r w:rsidR="002802DA" w:rsidRPr="005545AF">
        <w:rPr>
          <w:lang w:val="en-CA"/>
        </w:rPr>
        <w:t xml:space="preserve">, </w:t>
      </w:r>
      <w:r w:rsidRPr="005545AF">
        <w:rPr>
          <w:lang w:val="en-CA"/>
        </w:rPr>
        <w:t xml:space="preserve">had no intention of breaching </w:t>
      </w:r>
      <w:r w:rsidR="009E6F8F" w:rsidRPr="005545AF">
        <w:rPr>
          <w:lang w:val="en-CA"/>
        </w:rPr>
        <w:t>the appellant</w:t>
      </w:r>
      <w:r w:rsidRPr="005545AF">
        <w:rPr>
          <w:lang w:val="en-CA"/>
        </w:rPr>
        <w:t xml:space="preserve">’s </w:t>
      </w:r>
      <w:r w:rsidR="002802DA" w:rsidRPr="005545AF">
        <w:rPr>
          <w:i/>
          <w:iCs/>
          <w:lang w:val="en-CA"/>
        </w:rPr>
        <w:t>Charte</w:t>
      </w:r>
      <w:r w:rsidRPr="005545AF">
        <w:rPr>
          <w:i/>
          <w:iCs/>
          <w:lang w:val="en-CA"/>
        </w:rPr>
        <w:t xml:space="preserve">r </w:t>
      </w:r>
      <w:r w:rsidRPr="005545AF">
        <w:rPr>
          <w:lang w:val="en-CA"/>
        </w:rPr>
        <w:t>rights</w:t>
      </w:r>
      <w:r w:rsidR="002802DA" w:rsidRPr="005545AF">
        <w:rPr>
          <w:lang w:val="en-CA"/>
        </w:rPr>
        <w:t xml:space="preserve">.  </w:t>
      </w:r>
      <w:r w:rsidRPr="005545AF">
        <w:rPr>
          <w:lang w:val="en-CA"/>
        </w:rPr>
        <w:t>On appeal</w:t>
      </w:r>
      <w:r w:rsidR="002802DA" w:rsidRPr="005545AF">
        <w:rPr>
          <w:lang w:val="en-CA"/>
        </w:rPr>
        <w:t xml:space="preserve">, </w:t>
      </w:r>
      <w:r w:rsidR="009E6F8F" w:rsidRPr="005545AF">
        <w:rPr>
          <w:lang w:val="en-CA"/>
        </w:rPr>
        <w:t>the appellant</w:t>
      </w:r>
      <w:r w:rsidR="002802DA" w:rsidRPr="005545AF">
        <w:rPr>
          <w:lang w:val="en-CA"/>
        </w:rPr>
        <w:t xml:space="preserve"> </w:t>
      </w:r>
      <w:r w:rsidRPr="005545AF">
        <w:rPr>
          <w:lang w:val="en-CA"/>
        </w:rPr>
        <w:t>submits that the judge erred both in law and in fact</w:t>
      </w:r>
      <w:r w:rsidR="002802DA" w:rsidRPr="005545AF">
        <w:rPr>
          <w:lang w:val="en-CA"/>
        </w:rPr>
        <w:t>.</w:t>
      </w:r>
    </w:p>
    <w:p w14:paraId="023FBC3B" w14:textId="6F1A60DB" w:rsidR="002802DA" w:rsidRPr="005545AF" w:rsidRDefault="007A23AC" w:rsidP="001F7377">
      <w:pPr>
        <w:pStyle w:val="Paragraphe"/>
        <w:spacing w:line="240" w:lineRule="auto"/>
        <w:rPr>
          <w:lang w:val="en-CA"/>
        </w:rPr>
      </w:pPr>
      <w:r w:rsidRPr="005545AF">
        <w:rPr>
          <w:lang w:val="en-CA"/>
        </w:rPr>
        <w:t>As a matter of law</w:t>
      </w:r>
      <w:r w:rsidR="002802DA" w:rsidRPr="005545AF">
        <w:rPr>
          <w:lang w:val="en-CA"/>
        </w:rPr>
        <w:t xml:space="preserve">, </w:t>
      </w:r>
      <w:r w:rsidR="00E701AA" w:rsidRPr="005545AF">
        <w:rPr>
          <w:lang w:val="en-CA"/>
        </w:rPr>
        <w:t>the appellant</w:t>
      </w:r>
      <w:r w:rsidR="002802DA" w:rsidRPr="005545AF">
        <w:rPr>
          <w:lang w:val="en-CA"/>
        </w:rPr>
        <w:t xml:space="preserve"> </w:t>
      </w:r>
      <w:r w:rsidR="002F2AF5" w:rsidRPr="005545AF">
        <w:rPr>
          <w:lang w:val="en-CA"/>
        </w:rPr>
        <w:t>argues</w:t>
      </w:r>
      <w:r w:rsidRPr="005545AF">
        <w:rPr>
          <w:lang w:val="en-CA"/>
        </w:rPr>
        <w:t xml:space="preserve"> that the judge departed from the intentional </w:t>
      </w:r>
      <w:r w:rsidR="002F2AF5" w:rsidRPr="005545AF">
        <w:rPr>
          <w:lang w:val="en-CA"/>
        </w:rPr>
        <w:t>interference</w:t>
      </w:r>
      <w:r w:rsidRPr="005545AF">
        <w:rPr>
          <w:lang w:val="en-CA"/>
        </w:rPr>
        <w:t xml:space="preserve"> test </w:t>
      </w:r>
      <w:r w:rsidR="002F2AF5" w:rsidRPr="005545AF">
        <w:rPr>
          <w:lang w:val="en-CA"/>
        </w:rPr>
        <w:t>articulated</w:t>
      </w:r>
      <w:r w:rsidR="00DA2FAE" w:rsidRPr="005545AF">
        <w:rPr>
          <w:lang w:val="en-CA"/>
        </w:rPr>
        <w:t xml:space="preserve"> by the Supreme Court in</w:t>
      </w:r>
      <w:r w:rsidR="002802DA" w:rsidRPr="005545AF">
        <w:rPr>
          <w:lang w:val="en-CA"/>
        </w:rPr>
        <w:t xml:space="preserve"> </w:t>
      </w:r>
      <w:r w:rsidR="002802DA" w:rsidRPr="005545AF">
        <w:rPr>
          <w:i/>
          <w:iCs/>
          <w:lang w:val="en-CA"/>
        </w:rPr>
        <w:t>Qu</w:t>
      </w:r>
      <w:r w:rsidR="00DA2FAE" w:rsidRPr="005545AF">
        <w:rPr>
          <w:i/>
          <w:iCs/>
          <w:lang w:val="en-CA"/>
        </w:rPr>
        <w:t>e</w:t>
      </w:r>
      <w:r w:rsidR="002802DA" w:rsidRPr="005545AF">
        <w:rPr>
          <w:i/>
          <w:iCs/>
          <w:lang w:val="en-CA"/>
        </w:rPr>
        <w:t>bec (</w:t>
      </w:r>
      <w:r w:rsidR="00DA2FAE" w:rsidRPr="005545AF">
        <w:rPr>
          <w:i/>
          <w:iCs/>
          <w:lang w:val="en-CA"/>
        </w:rPr>
        <w:t>Public Curator</w:t>
      </w:r>
      <w:r w:rsidR="002802DA" w:rsidRPr="005545AF">
        <w:rPr>
          <w:i/>
          <w:iCs/>
          <w:lang w:val="en-CA"/>
        </w:rPr>
        <w:t xml:space="preserve">) </w:t>
      </w:r>
      <w:r w:rsidR="00DA2FAE" w:rsidRPr="005545AF">
        <w:rPr>
          <w:i/>
          <w:iCs/>
          <w:lang w:val="en-CA"/>
        </w:rPr>
        <w:t>v</w:t>
      </w:r>
      <w:r w:rsidR="002802DA" w:rsidRPr="005545AF">
        <w:rPr>
          <w:i/>
          <w:iCs/>
          <w:lang w:val="en-CA"/>
        </w:rPr>
        <w:t>. Syndicat national des employés de l’hôpital St-Ferdinand</w:t>
      </w:r>
      <w:bookmarkStart w:id="58" w:name="_Ref207621508"/>
      <w:r w:rsidR="00DA2FAE" w:rsidRPr="005545AF">
        <w:rPr>
          <w:lang w:val="en-CA"/>
        </w:rPr>
        <w:t>.</w:t>
      </w:r>
      <w:r w:rsidR="002802DA" w:rsidRPr="005545AF">
        <w:rPr>
          <w:rStyle w:val="Appelnotedebasdep"/>
          <w:lang w:val="en-CA"/>
        </w:rPr>
        <w:footnoteReference w:id="107"/>
      </w:r>
      <w:bookmarkEnd w:id="58"/>
      <w:r w:rsidR="002802DA" w:rsidRPr="005545AF">
        <w:rPr>
          <w:lang w:val="en-CA"/>
        </w:rPr>
        <w:t xml:space="preserve"> </w:t>
      </w:r>
      <w:r w:rsidR="00DA2FAE" w:rsidRPr="005545AF">
        <w:rPr>
          <w:lang w:val="en-CA"/>
        </w:rPr>
        <w:t>In his view, when the Supreme Court, in that decision, refer</w:t>
      </w:r>
      <w:r w:rsidR="00E701AA" w:rsidRPr="005545AF">
        <w:rPr>
          <w:lang w:val="en-CA"/>
        </w:rPr>
        <w:t>red</w:t>
      </w:r>
      <w:r w:rsidR="00DA2FAE" w:rsidRPr="005545AF">
        <w:rPr>
          <w:lang w:val="en-CA"/>
        </w:rPr>
        <w:t xml:space="preserve"> to</w:t>
      </w:r>
      <w:r w:rsidR="002802DA" w:rsidRPr="005545AF">
        <w:rPr>
          <w:lang w:val="en-CA"/>
        </w:rPr>
        <w:t xml:space="preserve"> </w:t>
      </w:r>
      <w:r w:rsidR="00DA2FAE" w:rsidRPr="005545AF">
        <w:rPr>
          <w:lang w:val="en-CA"/>
        </w:rPr>
        <w:t>“intent to cause the consequences of his or her wrongful conduct, or [the fact of acting] with full knowledge of the immediate and natural or at least extremely probable consequences that his or her conduct will cause”</w:t>
      </w:r>
      <w:r w:rsidR="002802DA" w:rsidRPr="005545AF">
        <w:rPr>
          <w:rStyle w:val="Appelnotedebasdep"/>
          <w:lang w:val="en-CA"/>
        </w:rPr>
        <w:footnoteReference w:id="108"/>
      </w:r>
      <w:r w:rsidR="002802DA" w:rsidRPr="005545AF">
        <w:rPr>
          <w:lang w:val="en-CA"/>
        </w:rPr>
        <w:t xml:space="preserve"> </w:t>
      </w:r>
      <w:r w:rsidR="00DA2FAE" w:rsidRPr="005545AF">
        <w:rPr>
          <w:lang w:val="en-CA"/>
        </w:rPr>
        <w:t xml:space="preserve">it </w:t>
      </w:r>
      <w:r w:rsidR="00E701AA" w:rsidRPr="005545AF">
        <w:rPr>
          <w:lang w:val="en-CA"/>
        </w:rPr>
        <w:t>was</w:t>
      </w:r>
      <w:r w:rsidR="00DA2FAE" w:rsidRPr="005545AF">
        <w:rPr>
          <w:lang w:val="en-CA"/>
        </w:rPr>
        <w:t xml:space="preserve"> not referring</w:t>
      </w:r>
      <w:r w:rsidR="002F2AF5" w:rsidRPr="005545AF">
        <w:rPr>
          <w:lang w:val="en-CA"/>
        </w:rPr>
        <w:t xml:space="preserve"> to</w:t>
      </w:r>
      <w:r w:rsidR="00DA2FAE" w:rsidRPr="005545AF">
        <w:rPr>
          <w:lang w:val="en-CA"/>
        </w:rPr>
        <w:t xml:space="preserve"> </w:t>
      </w:r>
      <w:r w:rsidR="002F2AF5" w:rsidRPr="005545AF">
        <w:rPr>
          <w:lang w:val="en-CA"/>
        </w:rPr>
        <w:t>interference with the right</w:t>
      </w:r>
      <w:r w:rsidR="00DA2FAE" w:rsidRPr="005545AF">
        <w:rPr>
          <w:lang w:val="en-CA"/>
        </w:rPr>
        <w:t>, but</w:t>
      </w:r>
      <w:r w:rsidR="002F2AF5" w:rsidRPr="005545AF">
        <w:rPr>
          <w:lang w:val="en-CA"/>
        </w:rPr>
        <w:t xml:space="preserve"> </w:t>
      </w:r>
      <w:r w:rsidR="003602FC" w:rsidRPr="005545AF">
        <w:rPr>
          <w:lang w:val="en-CA"/>
        </w:rPr>
        <w:t xml:space="preserve">rather </w:t>
      </w:r>
      <w:r w:rsidR="002F2AF5" w:rsidRPr="005545AF">
        <w:rPr>
          <w:lang w:val="en-CA"/>
        </w:rPr>
        <w:t>to</w:t>
      </w:r>
      <w:r w:rsidR="00DA2FAE" w:rsidRPr="005545AF">
        <w:rPr>
          <w:lang w:val="en-CA"/>
        </w:rPr>
        <w:t xml:space="preserve"> the </w:t>
      </w:r>
      <w:r w:rsidR="002F2AF5" w:rsidRPr="005545AF">
        <w:rPr>
          <w:lang w:val="en-CA"/>
        </w:rPr>
        <w:t>tangible</w:t>
      </w:r>
      <w:r w:rsidR="00DA2FAE" w:rsidRPr="005545AF">
        <w:rPr>
          <w:lang w:val="en-CA"/>
        </w:rPr>
        <w:t xml:space="preserve"> consequences </w:t>
      </w:r>
      <w:r w:rsidR="002F2AF5" w:rsidRPr="005545AF">
        <w:rPr>
          <w:lang w:val="en-CA"/>
        </w:rPr>
        <w:t>thereof</w:t>
      </w:r>
      <w:r w:rsidR="00DA2FAE" w:rsidRPr="005545AF">
        <w:rPr>
          <w:lang w:val="en-CA"/>
        </w:rPr>
        <w:t>.</w:t>
      </w:r>
      <w:r w:rsidR="002802DA" w:rsidRPr="005545AF">
        <w:rPr>
          <w:rStyle w:val="Appelnotedebasdep"/>
          <w:lang w:val="en-CA"/>
        </w:rPr>
        <w:footnoteReference w:id="109"/>
      </w:r>
      <w:r w:rsidR="00DA2FAE" w:rsidRPr="005545AF">
        <w:rPr>
          <w:lang w:val="en-CA"/>
        </w:rPr>
        <w:t xml:space="preserve"> In the case at bar</w:t>
      </w:r>
      <w:r w:rsidR="002802DA" w:rsidRPr="005545AF">
        <w:rPr>
          <w:lang w:val="en-CA"/>
        </w:rPr>
        <w:t xml:space="preserve">, Google </w:t>
      </w:r>
      <w:r w:rsidR="002F2AF5" w:rsidRPr="005545AF">
        <w:rPr>
          <w:lang w:val="en-CA"/>
        </w:rPr>
        <w:t xml:space="preserve">knew that its conduct, which was both deliberate and intentional, </w:t>
      </w:r>
      <w:r w:rsidR="000A1ADC" w:rsidRPr="005545AF">
        <w:rPr>
          <w:lang w:val="en-CA"/>
        </w:rPr>
        <w:t xml:space="preserve">was </w:t>
      </w:r>
      <w:r w:rsidR="002F2AF5" w:rsidRPr="005545AF">
        <w:rPr>
          <w:lang w:val="en-CA"/>
        </w:rPr>
        <w:t>caus</w:t>
      </w:r>
      <w:r w:rsidR="000A1ADC" w:rsidRPr="005545AF">
        <w:rPr>
          <w:lang w:val="en-CA"/>
        </w:rPr>
        <w:t>ing</w:t>
      </w:r>
      <w:r w:rsidR="002F2AF5" w:rsidRPr="005545AF">
        <w:rPr>
          <w:lang w:val="en-CA"/>
        </w:rPr>
        <w:t xml:space="preserve"> serious injury to </w:t>
      </w:r>
      <w:r w:rsidR="00E701AA" w:rsidRPr="005545AF">
        <w:rPr>
          <w:lang w:val="en-CA"/>
        </w:rPr>
        <w:t>the appellant</w:t>
      </w:r>
      <w:r w:rsidR="002F2AF5" w:rsidRPr="005545AF">
        <w:rPr>
          <w:lang w:val="en-CA"/>
        </w:rPr>
        <w:t>, but remained indifferent to it,</w:t>
      </w:r>
      <w:r w:rsidR="002802DA" w:rsidRPr="005545AF">
        <w:rPr>
          <w:rStyle w:val="Appelnotedebasdep"/>
          <w:lang w:val="en-CA"/>
        </w:rPr>
        <w:footnoteReference w:id="110"/>
      </w:r>
      <w:r w:rsidR="002F2AF5" w:rsidRPr="005545AF">
        <w:rPr>
          <w:lang w:val="en-CA"/>
        </w:rPr>
        <w:t xml:space="preserve"> which </w:t>
      </w:r>
      <w:r w:rsidR="000A1ADC" w:rsidRPr="005545AF">
        <w:rPr>
          <w:lang w:val="en-CA"/>
        </w:rPr>
        <w:t xml:space="preserve">is </w:t>
      </w:r>
      <w:r w:rsidR="002F2AF5" w:rsidRPr="005545AF">
        <w:rPr>
          <w:lang w:val="en-CA"/>
        </w:rPr>
        <w:t>suffic</w:t>
      </w:r>
      <w:r w:rsidR="000A1ADC" w:rsidRPr="005545AF">
        <w:rPr>
          <w:lang w:val="en-CA"/>
        </w:rPr>
        <w:t>ient</w:t>
      </w:r>
      <w:r w:rsidR="002F2AF5" w:rsidRPr="005545AF">
        <w:rPr>
          <w:lang w:val="en-CA"/>
        </w:rPr>
        <w:t xml:space="preserve"> to meet the intentionality </w:t>
      </w:r>
      <w:r w:rsidR="009A5AE5" w:rsidRPr="005545AF">
        <w:rPr>
          <w:lang w:val="en-CA"/>
        </w:rPr>
        <w:t>requirement</w:t>
      </w:r>
      <w:r w:rsidR="002F2AF5" w:rsidRPr="005545AF">
        <w:rPr>
          <w:lang w:val="en-CA"/>
        </w:rPr>
        <w:t>.</w:t>
      </w:r>
      <w:r w:rsidR="002802DA" w:rsidRPr="005545AF">
        <w:rPr>
          <w:vertAlign w:val="superscript"/>
          <w:lang w:val="en-CA"/>
        </w:rPr>
        <w:footnoteReference w:id="111"/>
      </w:r>
      <w:r w:rsidR="002F2AF5" w:rsidRPr="005545AF">
        <w:rPr>
          <w:lang w:val="en-CA"/>
        </w:rPr>
        <w:t xml:space="preserve"> </w:t>
      </w:r>
      <w:r w:rsidR="00E701AA" w:rsidRPr="005545AF">
        <w:rPr>
          <w:lang w:val="en-CA"/>
        </w:rPr>
        <w:t>The appellant</w:t>
      </w:r>
      <w:r w:rsidR="002802DA" w:rsidRPr="005545AF">
        <w:rPr>
          <w:lang w:val="en-CA"/>
        </w:rPr>
        <w:t xml:space="preserve"> </w:t>
      </w:r>
      <w:r w:rsidR="009A5AE5" w:rsidRPr="005545AF">
        <w:rPr>
          <w:lang w:val="en-CA"/>
        </w:rPr>
        <w:t xml:space="preserve">adds that the defense of error </w:t>
      </w:r>
      <w:r w:rsidR="003602FC" w:rsidRPr="005545AF">
        <w:rPr>
          <w:lang w:val="en-CA"/>
        </w:rPr>
        <w:t>concerning the applicable law</w:t>
      </w:r>
      <w:r w:rsidR="009A5AE5" w:rsidRPr="005545AF">
        <w:rPr>
          <w:lang w:val="en-CA"/>
        </w:rPr>
        <w:t xml:space="preserve"> </w:t>
      </w:r>
      <w:r w:rsidR="000A1ADC" w:rsidRPr="005545AF">
        <w:rPr>
          <w:lang w:val="en-CA"/>
        </w:rPr>
        <w:t xml:space="preserve">and </w:t>
      </w:r>
      <w:r w:rsidR="009A5AE5" w:rsidRPr="005545AF">
        <w:rPr>
          <w:lang w:val="en-CA"/>
        </w:rPr>
        <w:t xml:space="preserve">the fact that Google believed that it </w:t>
      </w:r>
      <w:r w:rsidR="009A5AE5" w:rsidRPr="005545AF">
        <w:rPr>
          <w:lang w:val="en-CA"/>
        </w:rPr>
        <w:lastRenderedPageBreak/>
        <w:t>was complying with the teachings of</w:t>
      </w:r>
      <w:r w:rsidR="002802DA" w:rsidRPr="005545AF">
        <w:rPr>
          <w:lang w:val="en-CA"/>
        </w:rPr>
        <w:t xml:space="preserve"> </w:t>
      </w:r>
      <w:r w:rsidR="002802DA" w:rsidRPr="005545AF">
        <w:rPr>
          <w:i/>
          <w:iCs/>
          <w:lang w:val="en-CA"/>
        </w:rPr>
        <w:t>Crookes</w:t>
      </w:r>
      <w:r w:rsidR="002802DA" w:rsidRPr="005545AF">
        <w:rPr>
          <w:lang w:val="en-CA"/>
        </w:rPr>
        <w:t xml:space="preserve"> </w:t>
      </w:r>
      <w:r w:rsidR="009A5AE5" w:rsidRPr="005545AF">
        <w:rPr>
          <w:lang w:val="en-CA"/>
        </w:rPr>
        <w:t xml:space="preserve">did not suffice to </w:t>
      </w:r>
      <w:r w:rsidR="00E701AA" w:rsidRPr="005545AF">
        <w:rPr>
          <w:lang w:val="en-CA"/>
        </w:rPr>
        <w:t>rule out</w:t>
      </w:r>
      <w:r w:rsidR="009A5AE5" w:rsidRPr="005545AF">
        <w:rPr>
          <w:lang w:val="en-CA"/>
        </w:rPr>
        <w:t xml:space="preserve"> the intentional nature of the interference</w:t>
      </w:r>
      <w:r w:rsidR="002802DA" w:rsidRPr="005545AF">
        <w:rPr>
          <w:lang w:val="en-CA"/>
        </w:rPr>
        <w:t xml:space="preserve">. </w:t>
      </w:r>
    </w:p>
    <w:p w14:paraId="6224E2D2" w14:textId="42D148B0" w:rsidR="002802DA" w:rsidRPr="005545AF" w:rsidRDefault="007D32A6" w:rsidP="001F7377">
      <w:pPr>
        <w:pStyle w:val="Paragraphe"/>
        <w:spacing w:line="240" w:lineRule="auto"/>
        <w:rPr>
          <w:lang w:val="en-CA"/>
        </w:rPr>
      </w:pPr>
      <w:r w:rsidRPr="005545AF">
        <w:rPr>
          <w:lang w:val="en-CA"/>
        </w:rPr>
        <w:t>Alternatively</w:t>
      </w:r>
      <w:r w:rsidR="002802DA" w:rsidRPr="005545AF">
        <w:rPr>
          <w:lang w:val="en-CA"/>
        </w:rPr>
        <w:t xml:space="preserve">, </w:t>
      </w:r>
      <w:r w:rsidRPr="005545AF">
        <w:rPr>
          <w:lang w:val="en-CA"/>
        </w:rPr>
        <w:t xml:space="preserve">even </w:t>
      </w:r>
      <w:r w:rsidR="003E6CAA" w:rsidRPr="005545AF">
        <w:rPr>
          <w:lang w:val="en-CA"/>
        </w:rPr>
        <w:t xml:space="preserve">if </w:t>
      </w:r>
      <w:r w:rsidRPr="005545AF">
        <w:rPr>
          <w:lang w:val="en-CA"/>
        </w:rPr>
        <w:t>such a defence</w:t>
      </w:r>
      <w:r w:rsidR="003E6CAA" w:rsidRPr="005545AF">
        <w:rPr>
          <w:lang w:val="en-CA"/>
        </w:rPr>
        <w:t xml:space="preserve"> was available to Google</w:t>
      </w:r>
      <w:r w:rsidR="002802DA" w:rsidRPr="005545AF">
        <w:rPr>
          <w:lang w:val="en-CA"/>
        </w:rPr>
        <w:t xml:space="preserve">, </w:t>
      </w:r>
      <w:r w:rsidR="000A1ADC" w:rsidRPr="005545AF">
        <w:rPr>
          <w:lang w:val="en-CA"/>
        </w:rPr>
        <w:t>the appellant</w:t>
      </w:r>
      <w:r w:rsidR="002802DA" w:rsidRPr="005545AF">
        <w:rPr>
          <w:lang w:val="en-CA"/>
        </w:rPr>
        <w:t xml:space="preserve"> </w:t>
      </w:r>
      <w:r w:rsidRPr="005545AF">
        <w:rPr>
          <w:lang w:val="en-CA"/>
        </w:rPr>
        <w:t xml:space="preserve">submits that the judge erred in fact </w:t>
      </w:r>
      <w:r w:rsidR="00951385" w:rsidRPr="005545AF">
        <w:rPr>
          <w:lang w:val="en-CA"/>
        </w:rPr>
        <w:t>by</w:t>
      </w:r>
      <w:r w:rsidRPr="005545AF">
        <w:rPr>
          <w:lang w:val="en-CA"/>
        </w:rPr>
        <w:t xml:space="preserve"> </w:t>
      </w:r>
      <w:r w:rsidR="00951385" w:rsidRPr="005545AF">
        <w:rPr>
          <w:lang w:val="en-CA"/>
        </w:rPr>
        <w:t>finding</w:t>
      </w:r>
      <w:r w:rsidRPr="005545AF">
        <w:rPr>
          <w:lang w:val="en-CA"/>
        </w:rPr>
        <w:t xml:space="preserve"> that Google believed in good faith that it was acting legally</w:t>
      </w:r>
      <w:r w:rsidR="002802DA" w:rsidRPr="005545AF">
        <w:rPr>
          <w:lang w:val="en-CA"/>
        </w:rPr>
        <w:t xml:space="preserve">. </w:t>
      </w:r>
      <w:r w:rsidR="000A1ADC" w:rsidRPr="005545AF">
        <w:rPr>
          <w:lang w:val="en-CA"/>
        </w:rPr>
        <w:t>The appellant</w:t>
      </w:r>
      <w:r w:rsidR="002802DA" w:rsidRPr="005545AF">
        <w:rPr>
          <w:lang w:val="en-CA"/>
        </w:rPr>
        <w:t xml:space="preserve"> </w:t>
      </w:r>
      <w:r w:rsidRPr="005545AF">
        <w:rPr>
          <w:lang w:val="en-CA"/>
        </w:rPr>
        <w:t>argues that</w:t>
      </w:r>
      <w:r w:rsidR="002802DA" w:rsidRPr="005545AF">
        <w:rPr>
          <w:lang w:val="en-CA"/>
        </w:rPr>
        <w:t xml:space="preserve"> </w:t>
      </w:r>
      <w:r w:rsidRPr="005545AF">
        <w:rPr>
          <w:lang w:val="en-CA"/>
        </w:rPr>
        <w:t xml:space="preserve">because </w:t>
      </w:r>
      <w:r w:rsidR="002802DA" w:rsidRPr="005545AF">
        <w:rPr>
          <w:lang w:val="en-CA"/>
        </w:rPr>
        <w:t xml:space="preserve">Google </w:t>
      </w:r>
      <w:r w:rsidRPr="005545AF">
        <w:rPr>
          <w:lang w:val="en-CA"/>
        </w:rPr>
        <w:t xml:space="preserve">refused to </w:t>
      </w:r>
      <w:r w:rsidR="00951385" w:rsidRPr="005545AF">
        <w:rPr>
          <w:lang w:val="en-CA"/>
        </w:rPr>
        <w:t>adduce</w:t>
      </w:r>
      <w:r w:rsidRPr="005545AF">
        <w:rPr>
          <w:lang w:val="en-CA"/>
        </w:rPr>
        <w:t xml:space="preserve"> evidence</w:t>
      </w:r>
      <w:r w:rsidR="00951385" w:rsidRPr="005545AF">
        <w:rPr>
          <w:lang w:val="en-CA"/>
        </w:rPr>
        <w:t xml:space="preserve"> of</w:t>
      </w:r>
      <w:r w:rsidRPr="005545AF">
        <w:rPr>
          <w:lang w:val="en-CA"/>
        </w:rPr>
        <w:t xml:space="preserve"> its de-indexing policies, a</w:t>
      </w:r>
      <w:r w:rsidR="00951385" w:rsidRPr="005545AF">
        <w:rPr>
          <w:lang w:val="en-CA"/>
        </w:rPr>
        <w:t xml:space="preserve">s well as the legal analyses </w:t>
      </w:r>
      <w:r w:rsidR="003E6CAA" w:rsidRPr="005545AF">
        <w:rPr>
          <w:lang w:val="en-CA"/>
        </w:rPr>
        <w:t>conducted</w:t>
      </w:r>
      <w:r w:rsidR="00951385" w:rsidRPr="005545AF">
        <w:rPr>
          <w:lang w:val="en-CA"/>
        </w:rPr>
        <w:t xml:space="preserve"> as to the consequences of</w:t>
      </w:r>
      <w:r w:rsidR="002802DA" w:rsidRPr="005545AF">
        <w:rPr>
          <w:lang w:val="en-CA"/>
        </w:rPr>
        <w:t xml:space="preserve"> </w:t>
      </w:r>
      <w:r w:rsidR="002802DA" w:rsidRPr="005545AF">
        <w:rPr>
          <w:i/>
          <w:iCs/>
          <w:lang w:val="en-CA"/>
        </w:rPr>
        <w:t>Crookes</w:t>
      </w:r>
      <w:r w:rsidR="002802DA" w:rsidRPr="005545AF">
        <w:rPr>
          <w:lang w:val="en-CA"/>
        </w:rPr>
        <w:t xml:space="preserve"> </w:t>
      </w:r>
      <w:r w:rsidR="00951385" w:rsidRPr="005545AF">
        <w:rPr>
          <w:lang w:val="en-CA"/>
        </w:rPr>
        <w:t>and its application in Quebec law</w:t>
      </w:r>
      <w:r w:rsidR="002802DA" w:rsidRPr="005545AF">
        <w:rPr>
          <w:lang w:val="en-CA"/>
        </w:rPr>
        <w:t xml:space="preserve">, </w:t>
      </w:r>
      <w:r w:rsidR="00951385" w:rsidRPr="005545AF">
        <w:rPr>
          <w:lang w:val="en-CA"/>
        </w:rPr>
        <w:t>the judge could not make such a finding</w:t>
      </w:r>
      <w:r w:rsidR="002802DA" w:rsidRPr="005545AF">
        <w:rPr>
          <w:lang w:val="en-CA"/>
        </w:rPr>
        <w:t>.</w:t>
      </w:r>
    </w:p>
    <w:p w14:paraId="3C1E85C2" w14:textId="5B44AC9F" w:rsidR="002802DA" w:rsidRPr="005545AF" w:rsidRDefault="004852E8" w:rsidP="001F7377">
      <w:pPr>
        <w:pStyle w:val="Paragraphe"/>
        <w:spacing w:line="240" w:lineRule="auto"/>
        <w:rPr>
          <w:lang w:val="en-CA"/>
        </w:rPr>
      </w:pPr>
      <w:r w:rsidRPr="005545AF">
        <w:rPr>
          <w:lang w:val="en-CA"/>
        </w:rPr>
        <w:t>As to</w:t>
      </w:r>
      <w:r w:rsidR="002802DA" w:rsidRPr="005545AF">
        <w:rPr>
          <w:lang w:val="en-CA"/>
        </w:rPr>
        <w:t xml:space="preserve"> quantum, </w:t>
      </w:r>
      <w:r w:rsidR="003E6CAA" w:rsidRPr="005545AF">
        <w:rPr>
          <w:lang w:val="en-CA"/>
        </w:rPr>
        <w:t>the appellant</w:t>
      </w:r>
      <w:r w:rsidR="002802DA" w:rsidRPr="005545AF">
        <w:rPr>
          <w:lang w:val="en-CA"/>
        </w:rPr>
        <w:t xml:space="preserve"> </w:t>
      </w:r>
      <w:r w:rsidRPr="005545AF">
        <w:rPr>
          <w:lang w:val="en-CA"/>
        </w:rPr>
        <w:t>stresses the importance of denouncing Google’s practice of refusing to de-index to the very detriment of the protection o</w:t>
      </w:r>
      <w:r w:rsidR="003E6CAA" w:rsidRPr="005545AF">
        <w:rPr>
          <w:lang w:val="en-CA"/>
        </w:rPr>
        <w:t>f</w:t>
      </w:r>
      <w:r w:rsidRPr="005545AF">
        <w:rPr>
          <w:lang w:val="en-CA"/>
        </w:rPr>
        <w:t xml:space="preserve"> individuals’ rights and of encouraging it to </w:t>
      </w:r>
      <w:r w:rsidR="003E6CAA" w:rsidRPr="005545AF">
        <w:rPr>
          <w:lang w:val="en-CA"/>
        </w:rPr>
        <w:t>review</w:t>
      </w:r>
      <w:r w:rsidRPr="005545AF">
        <w:rPr>
          <w:lang w:val="en-CA"/>
        </w:rPr>
        <w:t xml:space="preserve"> its priorities and align its practices with its own public representations to the effect that it </w:t>
      </w:r>
      <w:r w:rsidR="008D535A" w:rsidRPr="005545AF">
        <w:rPr>
          <w:lang w:val="en-CA"/>
        </w:rPr>
        <w:t xml:space="preserve">is </w:t>
      </w:r>
      <w:r w:rsidRPr="005545AF">
        <w:rPr>
          <w:lang w:val="en-CA"/>
        </w:rPr>
        <w:t>fighting disinformation and harmful content</w:t>
      </w:r>
      <w:r w:rsidR="002802DA" w:rsidRPr="005545AF">
        <w:rPr>
          <w:lang w:val="en-CA"/>
        </w:rPr>
        <w:t xml:space="preserve">. </w:t>
      </w:r>
      <w:r w:rsidR="003E6CAA" w:rsidRPr="005545AF">
        <w:rPr>
          <w:lang w:val="en-CA"/>
        </w:rPr>
        <w:t>Considering the partly deterrent function of</w:t>
      </w:r>
      <w:r w:rsidRPr="005545AF">
        <w:rPr>
          <w:lang w:val="en-CA"/>
        </w:rPr>
        <w:t xml:space="preserve"> punitive damages </w:t>
      </w:r>
      <w:r w:rsidR="003E6CAA" w:rsidRPr="005545AF">
        <w:rPr>
          <w:lang w:val="en-CA"/>
        </w:rPr>
        <w:t>a</w:t>
      </w:r>
      <w:r w:rsidRPr="005545AF">
        <w:rPr>
          <w:lang w:val="en-CA"/>
        </w:rPr>
        <w:t xml:space="preserve">nd </w:t>
      </w:r>
      <w:r w:rsidR="002802DA" w:rsidRPr="005545AF">
        <w:rPr>
          <w:lang w:val="en-CA"/>
        </w:rPr>
        <w:t>Google</w:t>
      </w:r>
      <w:r w:rsidRPr="005545AF">
        <w:rPr>
          <w:lang w:val="en-CA"/>
        </w:rPr>
        <w:t>’s financial situation</w:t>
      </w:r>
      <w:r w:rsidR="002802DA" w:rsidRPr="005545AF">
        <w:rPr>
          <w:lang w:val="en-CA"/>
        </w:rPr>
        <w:t xml:space="preserve">, </w:t>
      </w:r>
      <w:r w:rsidR="003E6CAA" w:rsidRPr="005545AF">
        <w:rPr>
          <w:lang w:val="en-CA"/>
        </w:rPr>
        <w:t>the appellant</w:t>
      </w:r>
      <w:r w:rsidR="002802DA" w:rsidRPr="005545AF">
        <w:rPr>
          <w:lang w:val="en-CA"/>
        </w:rPr>
        <w:t xml:space="preserve"> </w:t>
      </w:r>
      <w:r w:rsidRPr="005545AF">
        <w:rPr>
          <w:lang w:val="en-CA"/>
        </w:rPr>
        <w:t>claims the sum of $</w:t>
      </w:r>
      <w:r w:rsidR="002802DA" w:rsidRPr="005545AF">
        <w:rPr>
          <w:lang w:val="en-CA"/>
        </w:rPr>
        <w:t>5</w:t>
      </w:r>
      <w:r w:rsidRPr="005545AF">
        <w:rPr>
          <w:lang w:val="en-CA"/>
        </w:rPr>
        <w:t>,</w:t>
      </w:r>
      <w:r w:rsidR="002802DA" w:rsidRPr="005545AF">
        <w:rPr>
          <w:lang w:val="en-CA"/>
        </w:rPr>
        <w:t>000</w:t>
      </w:r>
      <w:r w:rsidRPr="005545AF">
        <w:rPr>
          <w:lang w:val="en-CA"/>
        </w:rPr>
        <w:t>,</w:t>
      </w:r>
      <w:r w:rsidR="002802DA" w:rsidRPr="005545AF">
        <w:rPr>
          <w:lang w:val="en-CA"/>
        </w:rPr>
        <w:t>000</w:t>
      </w:r>
      <w:r w:rsidR="00D748C8" w:rsidRPr="005545AF">
        <w:rPr>
          <w:lang w:val="en-CA"/>
        </w:rPr>
        <w:t xml:space="preserve"> under that head</w:t>
      </w:r>
      <w:r w:rsidR="002802DA" w:rsidRPr="005545AF">
        <w:rPr>
          <w:lang w:val="en-CA"/>
        </w:rPr>
        <w:t>.</w:t>
      </w:r>
    </w:p>
    <w:p w14:paraId="79FE2A6E" w14:textId="451B542E" w:rsidR="002802DA" w:rsidRPr="005545AF" w:rsidRDefault="002802DA" w:rsidP="001F7377">
      <w:pPr>
        <w:pStyle w:val="Paragraphe"/>
        <w:spacing w:line="240" w:lineRule="auto"/>
        <w:rPr>
          <w:lang w:val="en-CA"/>
        </w:rPr>
      </w:pPr>
      <w:r w:rsidRPr="005545AF">
        <w:rPr>
          <w:lang w:val="en-CA"/>
        </w:rPr>
        <w:t xml:space="preserve">Google, </w:t>
      </w:r>
      <w:r w:rsidR="009C2689" w:rsidRPr="005545AF">
        <w:rPr>
          <w:lang w:val="en-CA"/>
        </w:rPr>
        <w:t>for its part</w:t>
      </w:r>
      <w:r w:rsidRPr="005545AF">
        <w:rPr>
          <w:lang w:val="en-CA"/>
        </w:rPr>
        <w:t xml:space="preserve">, </w:t>
      </w:r>
      <w:r w:rsidR="009C2689" w:rsidRPr="005545AF">
        <w:rPr>
          <w:lang w:val="en-CA"/>
        </w:rPr>
        <w:t>recalls that in civil law, the awarding of punitive damages is exceptional and constitutes the exercise of the trial judge</w:t>
      </w:r>
      <w:r w:rsidR="00D748C8" w:rsidRPr="005545AF">
        <w:rPr>
          <w:lang w:val="en-CA"/>
        </w:rPr>
        <w:t>’s discretion</w:t>
      </w:r>
      <w:r w:rsidR="009C2689" w:rsidRPr="005545AF">
        <w:rPr>
          <w:lang w:val="en-CA"/>
        </w:rPr>
        <w:t>, to which the Court owes great deference</w:t>
      </w:r>
      <w:r w:rsidRPr="005545AF">
        <w:rPr>
          <w:lang w:val="en-CA"/>
        </w:rPr>
        <w:t xml:space="preserve">. </w:t>
      </w:r>
      <w:r w:rsidR="009C2689" w:rsidRPr="005545AF">
        <w:rPr>
          <w:lang w:val="en-CA"/>
        </w:rPr>
        <w:t xml:space="preserve">It submits that the judge did not err in finding </w:t>
      </w:r>
      <w:r w:rsidR="00F6750B" w:rsidRPr="005545AF">
        <w:rPr>
          <w:lang w:val="en-CA"/>
        </w:rPr>
        <w:t>that it had acted in</w:t>
      </w:r>
      <w:r w:rsidR="009C2689" w:rsidRPr="005545AF">
        <w:rPr>
          <w:lang w:val="en-CA"/>
        </w:rPr>
        <w:t xml:space="preserve"> good faith, thus precluding any intentionality of the interference</w:t>
      </w:r>
      <w:r w:rsidRPr="005545AF">
        <w:rPr>
          <w:lang w:val="en-CA"/>
        </w:rPr>
        <w:t xml:space="preserve">. </w:t>
      </w:r>
      <w:r w:rsidR="00F6750B" w:rsidRPr="005545AF">
        <w:rPr>
          <w:lang w:val="en-CA"/>
        </w:rPr>
        <w:t>Its interpretation of</w:t>
      </w:r>
      <w:r w:rsidRPr="005545AF">
        <w:rPr>
          <w:lang w:val="en-CA"/>
        </w:rPr>
        <w:t xml:space="preserve"> </w:t>
      </w:r>
      <w:r w:rsidRPr="005545AF">
        <w:rPr>
          <w:i/>
          <w:iCs/>
          <w:lang w:val="en-CA"/>
        </w:rPr>
        <w:t xml:space="preserve">Crookes </w:t>
      </w:r>
      <w:r w:rsidR="00F6750B" w:rsidRPr="005545AF">
        <w:rPr>
          <w:lang w:val="en-CA"/>
        </w:rPr>
        <w:t xml:space="preserve">and its application in Quebec law was reasonable and shared by </w:t>
      </w:r>
      <w:r w:rsidR="00D748C8" w:rsidRPr="005545AF">
        <w:rPr>
          <w:lang w:val="en-CA"/>
        </w:rPr>
        <w:t>scholarly opinion</w:t>
      </w:r>
      <w:r w:rsidR="00F6750B" w:rsidRPr="005545AF">
        <w:rPr>
          <w:lang w:val="en-CA"/>
        </w:rPr>
        <w:t xml:space="preserve"> and case law</w:t>
      </w:r>
      <w:r w:rsidRPr="005545AF">
        <w:rPr>
          <w:lang w:val="en-CA"/>
        </w:rPr>
        <w:t xml:space="preserve">. </w:t>
      </w:r>
      <w:r w:rsidR="00F6750B" w:rsidRPr="005545AF">
        <w:rPr>
          <w:lang w:val="en-CA"/>
        </w:rPr>
        <w:t xml:space="preserve">Consequently, since that decision established that a bare </w:t>
      </w:r>
      <w:r w:rsidRPr="005545AF">
        <w:rPr>
          <w:lang w:val="en-CA"/>
        </w:rPr>
        <w:t xml:space="preserve">URL </w:t>
      </w:r>
      <w:r w:rsidR="00F6750B" w:rsidRPr="005545AF">
        <w:rPr>
          <w:lang w:val="en-CA"/>
        </w:rPr>
        <w:t>link was not defamatory</w:t>
      </w:r>
      <w:r w:rsidRPr="005545AF">
        <w:rPr>
          <w:lang w:val="en-CA"/>
        </w:rPr>
        <w:t xml:space="preserve">, Google </w:t>
      </w:r>
      <w:r w:rsidR="00F6750B" w:rsidRPr="005545AF">
        <w:rPr>
          <w:lang w:val="en-CA"/>
        </w:rPr>
        <w:t xml:space="preserve">could not have intended to cause interference to </w:t>
      </w:r>
      <w:r w:rsidR="00D748C8" w:rsidRPr="005545AF">
        <w:rPr>
          <w:lang w:val="en-CA"/>
        </w:rPr>
        <w:t>the appellant</w:t>
      </w:r>
      <w:r w:rsidR="00F6750B" w:rsidRPr="005545AF">
        <w:rPr>
          <w:lang w:val="en-CA"/>
        </w:rPr>
        <w:t xml:space="preserve"> nor have </w:t>
      </w:r>
      <w:r w:rsidR="00B65F31" w:rsidRPr="005545AF">
        <w:rPr>
          <w:lang w:val="en-CA"/>
        </w:rPr>
        <w:t>known</w:t>
      </w:r>
      <w:r w:rsidR="00F6750B" w:rsidRPr="005545AF">
        <w:rPr>
          <w:lang w:val="en-CA"/>
        </w:rPr>
        <w:t xml:space="preserve"> that th</w:t>
      </w:r>
      <w:r w:rsidR="00D748C8" w:rsidRPr="005545AF">
        <w:rPr>
          <w:lang w:val="en-CA"/>
        </w:rPr>
        <w:t>is</w:t>
      </w:r>
      <w:r w:rsidR="00F6750B" w:rsidRPr="005545AF">
        <w:rPr>
          <w:lang w:val="en-CA"/>
        </w:rPr>
        <w:t xml:space="preserve"> would occur</w:t>
      </w:r>
      <w:r w:rsidRPr="005545AF">
        <w:rPr>
          <w:lang w:val="en-CA"/>
        </w:rPr>
        <w:t>.</w:t>
      </w:r>
    </w:p>
    <w:p w14:paraId="26AEBEB1" w14:textId="4BD9D03F" w:rsidR="002802DA" w:rsidRPr="005545AF" w:rsidRDefault="002802DA" w:rsidP="001F7377">
      <w:pPr>
        <w:pStyle w:val="Paragraphe"/>
        <w:spacing w:line="240" w:lineRule="auto"/>
        <w:rPr>
          <w:lang w:val="en-CA"/>
        </w:rPr>
      </w:pPr>
      <w:r w:rsidRPr="005545AF">
        <w:rPr>
          <w:lang w:val="en-CA"/>
        </w:rPr>
        <w:t xml:space="preserve">Google </w:t>
      </w:r>
      <w:r w:rsidR="00D40D70" w:rsidRPr="005545AF">
        <w:rPr>
          <w:lang w:val="en-CA"/>
        </w:rPr>
        <w:t>adds that the facts do not justify the awarding of punitive damages</w:t>
      </w:r>
      <w:r w:rsidRPr="005545AF">
        <w:rPr>
          <w:lang w:val="en-CA"/>
        </w:rPr>
        <w:t xml:space="preserve">. </w:t>
      </w:r>
      <w:r w:rsidR="00D748C8" w:rsidRPr="005545AF">
        <w:rPr>
          <w:lang w:val="en-CA"/>
        </w:rPr>
        <w:t>The appellant</w:t>
      </w:r>
      <w:r w:rsidRPr="005545AF">
        <w:rPr>
          <w:lang w:val="en-CA"/>
        </w:rPr>
        <w:t xml:space="preserve"> </w:t>
      </w:r>
      <w:r w:rsidR="00D40D70" w:rsidRPr="005545AF">
        <w:rPr>
          <w:lang w:val="en-CA"/>
        </w:rPr>
        <w:t xml:space="preserve">admits that Google was not targeting him specifically, that there is no evidence that anyone had accessed the </w:t>
      </w:r>
      <w:r w:rsidR="004A5D7E" w:rsidRPr="005545AF">
        <w:rPr>
          <w:lang w:val="en-CA"/>
        </w:rPr>
        <w:t>Impugned Post</w:t>
      </w:r>
      <w:r w:rsidR="00D40D70" w:rsidRPr="005545AF">
        <w:rPr>
          <w:lang w:val="en-CA"/>
        </w:rPr>
        <w:t xml:space="preserve"> </w:t>
      </w:r>
      <w:r w:rsidR="0070073A" w:rsidRPr="005545AF">
        <w:rPr>
          <w:lang w:val="en-CA"/>
        </w:rPr>
        <w:t>using the search engine</w:t>
      </w:r>
      <w:r w:rsidR="00D40D70" w:rsidRPr="005545AF">
        <w:rPr>
          <w:lang w:val="en-CA"/>
        </w:rPr>
        <w:t xml:space="preserve">, that Google is not the post’s author, but a mere intermediary and that it always </w:t>
      </w:r>
      <w:r w:rsidR="0070073A" w:rsidRPr="005545AF">
        <w:rPr>
          <w:lang w:val="en-CA"/>
        </w:rPr>
        <w:t>intend</w:t>
      </w:r>
      <w:r w:rsidR="00D40D70" w:rsidRPr="005545AF">
        <w:rPr>
          <w:lang w:val="en-CA"/>
        </w:rPr>
        <w:t>ed to obey the law</w:t>
      </w:r>
      <w:r w:rsidRPr="005545AF">
        <w:rPr>
          <w:lang w:val="en-CA"/>
        </w:rPr>
        <w:t xml:space="preserve">. </w:t>
      </w:r>
    </w:p>
    <w:p w14:paraId="18D6422D" w14:textId="77777777" w:rsidR="002802DA" w:rsidRPr="005545AF" w:rsidRDefault="002802DA" w:rsidP="001F7377">
      <w:pPr>
        <w:pStyle w:val="Paragraphe"/>
        <w:numPr>
          <w:ilvl w:val="0"/>
          <w:numId w:val="0"/>
        </w:numPr>
        <w:spacing w:line="240" w:lineRule="auto"/>
        <w:jc w:val="center"/>
        <w:rPr>
          <w:lang w:val="en-CA"/>
        </w:rPr>
      </w:pPr>
      <w:r w:rsidRPr="005545AF">
        <w:rPr>
          <w:lang w:val="en-CA"/>
        </w:rPr>
        <w:t>* * *</w:t>
      </w:r>
    </w:p>
    <w:p w14:paraId="6EB582D3" w14:textId="782E43A1" w:rsidR="002802DA" w:rsidRPr="005545AF" w:rsidRDefault="00D40D70" w:rsidP="001F7377">
      <w:pPr>
        <w:pStyle w:val="Paragraphe"/>
        <w:spacing w:line="240" w:lineRule="auto"/>
        <w:rPr>
          <w:rFonts w:cs="Arial"/>
          <w:szCs w:val="24"/>
          <w:lang w:val="en-CA" w:eastAsia="en-US"/>
        </w:rPr>
      </w:pPr>
      <w:r w:rsidRPr="005545AF">
        <w:rPr>
          <w:rFonts w:cs="Arial"/>
          <w:szCs w:val="24"/>
          <w:lang w:val="en-CA" w:eastAsia="en-US"/>
        </w:rPr>
        <w:t xml:space="preserve">The awarding of punitive damages, as well as their assessment, are matters </w:t>
      </w:r>
      <w:r w:rsidR="009F567B" w:rsidRPr="005545AF">
        <w:rPr>
          <w:rFonts w:cs="Arial"/>
          <w:szCs w:val="24"/>
          <w:lang w:val="en-CA" w:eastAsia="en-US"/>
        </w:rPr>
        <w:t>within</w:t>
      </w:r>
      <w:r w:rsidRPr="005545AF">
        <w:rPr>
          <w:rFonts w:cs="Arial"/>
          <w:szCs w:val="24"/>
          <w:lang w:val="en-CA" w:eastAsia="en-US"/>
        </w:rPr>
        <w:t xml:space="preserve"> </w:t>
      </w:r>
      <w:r w:rsidR="009F567B" w:rsidRPr="005545AF">
        <w:rPr>
          <w:rFonts w:cs="Arial"/>
          <w:szCs w:val="24"/>
          <w:lang w:val="en-CA" w:eastAsia="en-US"/>
        </w:rPr>
        <w:t xml:space="preserve">the trial judge’s </w:t>
      </w:r>
      <w:r w:rsidRPr="005545AF">
        <w:rPr>
          <w:rFonts w:cs="Arial"/>
          <w:szCs w:val="24"/>
          <w:lang w:val="en-CA" w:eastAsia="en-US"/>
        </w:rPr>
        <w:t>discretion</w:t>
      </w:r>
      <w:r w:rsidR="009F567B" w:rsidRPr="005545AF">
        <w:rPr>
          <w:rFonts w:cs="Arial"/>
          <w:szCs w:val="24"/>
          <w:lang w:val="en-CA" w:eastAsia="en-US"/>
        </w:rPr>
        <w:t>, which is</w:t>
      </w:r>
      <w:r w:rsidRPr="005545AF">
        <w:rPr>
          <w:rFonts w:cs="Arial"/>
          <w:szCs w:val="24"/>
          <w:lang w:val="en-CA" w:eastAsia="en-US"/>
        </w:rPr>
        <w:t xml:space="preserve"> owed deference</w:t>
      </w:r>
      <w:r w:rsidR="002802DA" w:rsidRPr="005545AF">
        <w:rPr>
          <w:rFonts w:cs="Arial"/>
          <w:szCs w:val="24"/>
          <w:lang w:val="en-CA" w:eastAsia="en-US"/>
        </w:rPr>
        <w:t xml:space="preserve">. </w:t>
      </w:r>
      <w:r w:rsidRPr="005545AF">
        <w:rPr>
          <w:rFonts w:cs="Arial"/>
          <w:szCs w:val="24"/>
          <w:lang w:val="en-CA" w:eastAsia="en-US"/>
        </w:rPr>
        <w:t xml:space="preserve">Our Court will therefore intervene </w:t>
      </w:r>
      <w:r w:rsidR="009F567B" w:rsidRPr="005545AF">
        <w:rPr>
          <w:rFonts w:cs="Arial"/>
          <w:szCs w:val="24"/>
          <w:lang w:val="en-CA" w:eastAsia="en-US"/>
        </w:rPr>
        <w:t xml:space="preserve">only </w:t>
      </w:r>
      <w:r w:rsidRPr="005545AF">
        <w:rPr>
          <w:rFonts w:cs="Arial"/>
          <w:szCs w:val="24"/>
          <w:lang w:val="en-CA" w:eastAsia="en-US"/>
        </w:rPr>
        <w:t xml:space="preserve">in the presence </w:t>
      </w:r>
      <w:r w:rsidR="009F567B" w:rsidRPr="005545AF">
        <w:rPr>
          <w:rFonts w:cs="Arial"/>
          <w:szCs w:val="24"/>
          <w:lang w:val="en-CA" w:eastAsia="en-US"/>
        </w:rPr>
        <w:t>“</w:t>
      </w:r>
      <w:r w:rsidR="002802DA" w:rsidRPr="005545AF">
        <w:rPr>
          <w:rFonts w:cs="Arial"/>
          <w:szCs w:val="24"/>
          <w:lang w:val="en-CA" w:eastAsia="en-US"/>
        </w:rPr>
        <w:t>d’une erreur de principe ou d’une erreur sérieuse d’évaluation</w:t>
      </w:r>
      <w:r w:rsidR="009F567B" w:rsidRPr="005545AF">
        <w:rPr>
          <w:rFonts w:cs="Arial"/>
          <w:szCs w:val="24"/>
          <w:lang w:val="en-CA" w:eastAsia="en-US"/>
        </w:rPr>
        <w:t>.”</w:t>
      </w:r>
      <w:r w:rsidR="002802DA" w:rsidRPr="005545AF">
        <w:rPr>
          <w:rStyle w:val="Appelnotedebasdep"/>
          <w:rFonts w:cs="Arial"/>
          <w:szCs w:val="24"/>
          <w:lang w:val="en-CA" w:eastAsia="en-US"/>
        </w:rPr>
        <w:footnoteReference w:id="112"/>
      </w:r>
      <w:r w:rsidR="002802DA" w:rsidRPr="005545AF">
        <w:rPr>
          <w:rFonts w:cs="Arial"/>
          <w:szCs w:val="24"/>
          <w:lang w:val="en-CA" w:eastAsia="en-US"/>
        </w:rPr>
        <w:t xml:space="preserve"> </w:t>
      </w:r>
      <w:r w:rsidR="009F567B" w:rsidRPr="005545AF">
        <w:rPr>
          <w:rFonts w:cs="Arial"/>
          <w:szCs w:val="24"/>
          <w:lang w:val="en-CA" w:eastAsia="en-US"/>
        </w:rPr>
        <w:t xml:space="preserve">Respectfully, I am of the view that </w:t>
      </w:r>
      <w:r w:rsidR="00E71DEB" w:rsidRPr="005545AF">
        <w:rPr>
          <w:rFonts w:cs="Arial"/>
          <w:szCs w:val="24"/>
          <w:lang w:val="en-CA" w:eastAsia="en-US"/>
        </w:rPr>
        <w:t xml:space="preserve">this is </w:t>
      </w:r>
      <w:r w:rsidR="009F567B" w:rsidRPr="005545AF">
        <w:rPr>
          <w:rFonts w:cs="Arial"/>
          <w:szCs w:val="24"/>
          <w:lang w:val="en-CA" w:eastAsia="en-US"/>
        </w:rPr>
        <w:t xml:space="preserve">such </w:t>
      </w:r>
      <w:r w:rsidR="00E71DEB" w:rsidRPr="005545AF">
        <w:rPr>
          <w:rFonts w:cs="Arial"/>
          <w:szCs w:val="24"/>
          <w:lang w:val="en-CA" w:eastAsia="en-US"/>
        </w:rPr>
        <w:t xml:space="preserve">a </w:t>
      </w:r>
      <w:r w:rsidR="009F567B" w:rsidRPr="005545AF">
        <w:rPr>
          <w:rFonts w:cs="Arial"/>
          <w:szCs w:val="24"/>
          <w:lang w:val="en-CA" w:eastAsia="en-US"/>
        </w:rPr>
        <w:t>case</w:t>
      </w:r>
      <w:r w:rsidR="002802DA" w:rsidRPr="005545AF">
        <w:rPr>
          <w:rFonts w:cs="Arial"/>
          <w:szCs w:val="24"/>
          <w:lang w:val="en-CA" w:eastAsia="en-US"/>
        </w:rPr>
        <w:t>.</w:t>
      </w:r>
    </w:p>
    <w:p w14:paraId="4468C79F" w14:textId="20488881" w:rsidR="002802DA" w:rsidRPr="005545AF" w:rsidRDefault="009F567B" w:rsidP="001F7377">
      <w:pPr>
        <w:pStyle w:val="Paragraphe"/>
        <w:spacing w:line="240" w:lineRule="auto"/>
        <w:rPr>
          <w:rFonts w:cs="Arial"/>
          <w:szCs w:val="24"/>
          <w:lang w:val="en-CA" w:eastAsia="en-US"/>
        </w:rPr>
      </w:pPr>
      <w:r w:rsidRPr="005545AF">
        <w:rPr>
          <w:rFonts w:cs="Arial"/>
          <w:szCs w:val="24"/>
          <w:lang w:val="en-CA" w:eastAsia="en-US"/>
        </w:rPr>
        <w:t>As an i</w:t>
      </w:r>
      <w:r w:rsidR="002802DA" w:rsidRPr="005545AF">
        <w:rPr>
          <w:rFonts w:cs="Arial"/>
          <w:szCs w:val="24"/>
          <w:lang w:val="en-CA" w:eastAsia="en-US"/>
        </w:rPr>
        <w:t xml:space="preserve">llustration </w:t>
      </w:r>
      <w:r w:rsidRPr="005545AF">
        <w:rPr>
          <w:rFonts w:cs="Arial"/>
          <w:szCs w:val="24"/>
          <w:lang w:val="en-CA" w:eastAsia="en-US"/>
        </w:rPr>
        <w:t>of the mixed nature of its legal system</w:t>
      </w:r>
      <w:r w:rsidR="002802DA" w:rsidRPr="005545AF">
        <w:rPr>
          <w:rFonts w:cs="Arial"/>
          <w:szCs w:val="24"/>
          <w:lang w:val="en-CA" w:eastAsia="en-US"/>
        </w:rPr>
        <w:t xml:space="preserve">, </w:t>
      </w:r>
      <w:r w:rsidRPr="005545AF">
        <w:rPr>
          <w:rFonts w:cs="Arial"/>
          <w:szCs w:val="24"/>
          <w:lang w:val="en-CA" w:eastAsia="en-US"/>
        </w:rPr>
        <w:t>Quebec law allows the awarding of punitive damages</w:t>
      </w:r>
      <w:r w:rsidR="002802DA" w:rsidRPr="005545AF">
        <w:rPr>
          <w:rFonts w:cs="Arial"/>
          <w:szCs w:val="24"/>
          <w:lang w:val="en-CA" w:eastAsia="en-US"/>
        </w:rPr>
        <w:t xml:space="preserve"> – </w:t>
      </w:r>
      <w:r w:rsidRPr="005545AF">
        <w:rPr>
          <w:rFonts w:cs="Arial"/>
          <w:szCs w:val="24"/>
          <w:lang w:val="en-CA" w:eastAsia="en-US"/>
        </w:rPr>
        <w:t>recognized in common law traditions</w:t>
      </w:r>
      <w:r w:rsidR="002802DA" w:rsidRPr="005545AF">
        <w:rPr>
          <w:rFonts w:cs="Arial"/>
          <w:szCs w:val="24"/>
          <w:lang w:val="en-CA" w:eastAsia="en-US"/>
        </w:rPr>
        <w:t xml:space="preserve"> </w:t>
      </w:r>
      <w:r w:rsidRPr="005545AF">
        <w:rPr>
          <w:rFonts w:cs="Arial"/>
          <w:szCs w:val="24"/>
          <w:lang w:val="en-CA" w:eastAsia="en-US"/>
        </w:rPr>
        <w:t>but</w:t>
      </w:r>
      <w:r w:rsidR="00B94072" w:rsidRPr="005545AF">
        <w:rPr>
          <w:rFonts w:cs="Arial"/>
          <w:szCs w:val="24"/>
          <w:lang w:val="en-CA" w:eastAsia="en-US"/>
        </w:rPr>
        <w:t xml:space="preserve"> not in </w:t>
      </w:r>
      <w:r w:rsidR="00E71DEB" w:rsidRPr="005545AF">
        <w:rPr>
          <w:rFonts w:cs="Arial"/>
          <w:szCs w:val="24"/>
          <w:lang w:val="en-CA" w:eastAsia="en-US"/>
        </w:rPr>
        <w:t>those</w:t>
      </w:r>
      <w:r w:rsidR="00B94072" w:rsidRPr="005545AF">
        <w:rPr>
          <w:rFonts w:cs="Arial"/>
          <w:szCs w:val="24"/>
          <w:lang w:val="en-CA" w:eastAsia="en-US"/>
        </w:rPr>
        <w:t xml:space="preserve"> of </w:t>
      </w:r>
      <w:r w:rsidR="00E71DEB" w:rsidRPr="005545AF">
        <w:rPr>
          <w:rFonts w:cs="Arial"/>
          <w:szCs w:val="24"/>
          <w:lang w:val="en-CA" w:eastAsia="en-US"/>
        </w:rPr>
        <w:t xml:space="preserve">the </w:t>
      </w:r>
      <w:r w:rsidR="00B94072" w:rsidRPr="005545AF">
        <w:rPr>
          <w:rFonts w:cs="Arial"/>
          <w:szCs w:val="24"/>
          <w:lang w:val="en-CA" w:eastAsia="en-US"/>
        </w:rPr>
        <w:t>civil law</w:t>
      </w:r>
      <w:r w:rsidRPr="005545AF">
        <w:rPr>
          <w:rFonts w:cs="Arial"/>
          <w:szCs w:val="24"/>
          <w:lang w:val="en-CA" w:eastAsia="en-US"/>
        </w:rPr>
        <w:t xml:space="preserve"> </w:t>
      </w:r>
      <w:r w:rsidR="002802DA" w:rsidRPr="005545AF">
        <w:rPr>
          <w:rFonts w:cs="Arial"/>
          <w:szCs w:val="24"/>
          <w:lang w:val="en-CA" w:eastAsia="en-US"/>
        </w:rPr>
        <w:t xml:space="preserve">– </w:t>
      </w:r>
      <w:r w:rsidR="00B94072" w:rsidRPr="005545AF">
        <w:rPr>
          <w:rFonts w:cs="Arial"/>
          <w:szCs w:val="24"/>
          <w:lang w:val="en-CA" w:eastAsia="en-US"/>
        </w:rPr>
        <w:t>only when they are provided for by law.</w:t>
      </w:r>
      <w:r w:rsidR="002802DA" w:rsidRPr="005545AF">
        <w:rPr>
          <w:rStyle w:val="Appelnotedebasdep"/>
          <w:rFonts w:cs="Arial"/>
          <w:szCs w:val="24"/>
          <w:lang w:val="en-CA" w:eastAsia="en-US"/>
        </w:rPr>
        <w:footnoteReference w:id="113"/>
      </w:r>
      <w:r w:rsidR="00B94072" w:rsidRPr="005545AF">
        <w:rPr>
          <w:rFonts w:cs="Arial"/>
          <w:szCs w:val="24"/>
          <w:lang w:val="en-CA" w:eastAsia="en-US"/>
        </w:rPr>
        <w:t xml:space="preserve"> In the case at bar, th</w:t>
      </w:r>
      <w:r w:rsidR="002D67E6" w:rsidRPr="005545AF">
        <w:rPr>
          <w:rFonts w:cs="Arial"/>
          <w:szCs w:val="24"/>
          <w:lang w:val="en-CA" w:eastAsia="en-US"/>
        </w:rPr>
        <w:t>is</w:t>
      </w:r>
      <w:r w:rsidR="00B94072" w:rsidRPr="005545AF">
        <w:rPr>
          <w:rFonts w:cs="Arial"/>
          <w:szCs w:val="24"/>
          <w:lang w:val="en-CA" w:eastAsia="en-US"/>
        </w:rPr>
        <w:t xml:space="preserve"> claim is</w:t>
      </w:r>
      <w:r w:rsidR="002802DA" w:rsidRPr="005545AF">
        <w:rPr>
          <w:rFonts w:cs="Arial"/>
          <w:szCs w:val="24"/>
          <w:lang w:val="en-CA" w:eastAsia="en-US"/>
        </w:rPr>
        <w:t xml:space="preserve"> </w:t>
      </w:r>
      <w:r w:rsidR="00B94072" w:rsidRPr="005545AF">
        <w:rPr>
          <w:rFonts w:cs="Arial"/>
          <w:szCs w:val="24"/>
          <w:lang w:val="en-CA" w:eastAsia="en-US"/>
        </w:rPr>
        <w:lastRenderedPageBreak/>
        <w:t>based on the</w:t>
      </w:r>
      <w:r w:rsidR="002802DA" w:rsidRPr="005545AF">
        <w:rPr>
          <w:rFonts w:cs="Arial"/>
          <w:szCs w:val="24"/>
          <w:lang w:val="en-CA" w:eastAsia="en-US"/>
        </w:rPr>
        <w:t xml:space="preserve"> </w:t>
      </w:r>
      <w:r w:rsidR="00B94072" w:rsidRPr="005545AF">
        <w:rPr>
          <w:rFonts w:cs="Arial"/>
          <w:i/>
          <w:iCs/>
          <w:szCs w:val="24"/>
          <w:lang w:val="en-CA" w:eastAsia="en-US"/>
        </w:rPr>
        <w:t>Quebec Charter</w:t>
      </w:r>
      <w:r w:rsidR="002802DA" w:rsidRPr="005545AF">
        <w:rPr>
          <w:rFonts w:cs="Arial"/>
          <w:szCs w:val="24"/>
          <w:lang w:val="en-CA" w:eastAsia="en-US"/>
        </w:rPr>
        <w:t xml:space="preserve">. </w:t>
      </w:r>
      <w:r w:rsidR="00B94072" w:rsidRPr="005545AF">
        <w:rPr>
          <w:rFonts w:cs="Arial"/>
          <w:szCs w:val="24"/>
          <w:lang w:val="en-CA" w:eastAsia="en-US"/>
        </w:rPr>
        <w:t xml:space="preserve">The criteria for awarding such damages are provided in </w:t>
      </w:r>
      <w:r w:rsidR="00E71DEB" w:rsidRPr="005545AF">
        <w:rPr>
          <w:rFonts w:cs="Arial"/>
          <w:szCs w:val="24"/>
          <w:lang w:val="en-CA" w:eastAsia="en-US"/>
        </w:rPr>
        <w:t xml:space="preserve">the second paragraph of </w:t>
      </w:r>
      <w:r w:rsidR="00B94072" w:rsidRPr="005545AF">
        <w:rPr>
          <w:rFonts w:cs="Arial"/>
          <w:szCs w:val="24"/>
          <w:lang w:val="en-CA" w:eastAsia="en-US"/>
        </w:rPr>
        <w:t>section</w:t>
      </w:r>
      <w:r w:rsidR="002802DA" w:rsidRPr="005545AF">
        <w:rPr>
          <w:rFonts w:cs="Arial"/>
          <w:szCs w:val="24"/>
          <w:lang w:val="en-CA" w:eastAsia="en-US"/>
        </w:rPr>
        <w:t xml:space="preserve"> 49</w:t>
      </w:r>
      <w:r w:rsidR="00B94072" w:rsidRPr="005545AF">
        <w:rPr>
          <w:rFonts w:cs="Arial"/>
          <w:szCs w:val="24"/>
          <w:lang w:val="en-CA" w:eastAsia="en-US"/>
        </w:rPr>
        <w:t xml:space="preserve"> thereof</w:t>
      </w:r>
      <w:r w:rsidR="002802DA" w:rsidRPr="005545AF">
        <w:rPr>
          <w:rFonts w:cs="Arial"/>
          <w:szCs w:val="24"/>
          <w:lang w:val="en-CA" w:eastAsia="en-US"/>
        </w:rPr>
        <w:t xml:space="preserve">, </w:t>
      </w:r>
      <w:r w:rsidR="00B94072" w:rsidRPr="005545AF">
        <w:rPr>
          <w:rFonts w:cs="Arial"/>
          <w:szCs w:val="24"/>
          <w:lang w:val="en-CA" w:eastAsia="en-US"/>
        </w:rPr>
        <w:t>which reads as follows</w:t>
      </w:r>
      <w:r w:rsidR="002802DA" w:rsidRPr="005545AF">
        <w:rPr>
          <w:rFonts w:cs="Arial"/>
          <w:szCs w:val="24"/>
          <w:lang w:val="en-CA" w:eastAsia="en-US"/>
        </w:rPr>
        <w:t>:</w:t>
      </w:r>
    </w:p>
    <w:tbl>
      <w:tblPr>
        <w:tblW w:w="0" w:type="auto"/>
        <w:tblLayout w:type="fixed"/>
        <w:tblCellMar>
          <w:left w:w="70" w:type="dxa"/>
          <w:right w:w="70" w:type="dxa"/>
        </w:tblCellMar>
        <w:tblLook w:val="0000" w:firstRow="0" w:lastRow="0" w:firstColumn="0" w:lastColumn="0" w:noHBand="0" w:noVBand="0"/>
      </w:tblPr>
      <w:tblGrid>
        <w:gridCol w:w="4681"/>
        <w:gridCol w:w="4681"/>
      </w:tblGrid>
      <w:tr w:rsidR="002802DA" w:rsidRPr="005545AF" w14:paraId="2E926BDC" w14:textId="77777777" w:rsidTr="00957FE8">
        <w:tc>
          <w:tcPr>
            <w:tcW w:w="4681" w:type="dxa"/>
            <w:shd w:val="clear" w:color="auto" w:fill="auto"/>
          </w:tcPr>
          <w:p w14:paraId="02BEF90E" w14:textId="03B8A3FD" w:rsidR="002802DA" w:rsidRPr="005545AF" w:rsidRDefault="002802DA" w:rsidP="001F7377">
            <w:pPr>
              <w:pStyle w:val="Tableaugauchefranais"/>
              <w:spacing w:line="240" w:lineRule="auto"/>
              <w:jc w:val="both"/>
              <w:rPr>
                <w:lang w:val="en-CA" w:eastAsia="en-US"/>
              </w:rPr>
            </w:pPr>
            <w:hyperlink r:id="rId12" w:anchor="se:49" w:history="1">
              <w:r w:rsidRPr="005545AF">
                <w:rPr>
                  <w:rStyle w:val="Hyperlien"/>
                  <w:b/>
                  <w:bCs/>
                  <w:color w:val="auto"/>
                  <w:u w:val="none"/>
                  <w:lang w:val="en-CA" w:eastAsia="en-US"/>
                </w:rPr>
                <w:t>49.</w:t>
              </w:r>
            </w:hyperlink>
            <w:r w:rsidRPr="005545AF">
              <w:rPr>
                <w:lang w:val="en-CA" w:eastAsia="en-US"/>
              </w:rPr>
              <w:t> </w:t>
            </w:r>
            <w:r w:rsidR="00E71DEB" w:rsidRPr="005545AF">
              <w:rPr>
                <w:szCs w:val="22"/>
                <w:lang w:val="en-CA" w:eastAsia="en-US"/>
              </w:rPr>
              <w:t>Any unlawful interference with any right or freedom recognized by this Charter entitles the victim to obtain the cessation of such interference and compensation for the moral or material prejudice resulting therefrom</w:t>
            </w:r>
            <w:r w:rsidRPr="005545AF">
              <w:rPr>
                <w:lang w:val="en-CA" w:eastAsia="en-US"/>
              </w:rPr>
              <w:t>.</w:t>
            </w:r>
          </w:p>
          <w:p w14:paraId="73653CD7" w14:textId="77777777" w:rsidR="002802DA" w:rsidRPr="005545AF" w:rsidRDefault="002802DA" w:rsidP="001F7377">
            <w:pPr>
              <w:pStyle w:val="Tableaugauchefranais"/>
              <w:spacing w:line="240" w:lineRule="auto"/>
              <w:jc w:val="both"/>
              <w:rPr>
                <w:lang w:val="en-CA" w:eastAsia="en-US"/>
              </w:rPr>
            </w:pPr>
          </w:p>
          <w:p w14:paraId="0DDBEB23" w14:textId="04411B46" w:rsidR="002802DA" w:rsidRPr="005545AF" w:rsidRDefault="00E71DEB" w:rsidP="001F7377">
            <w:pPr>
              <w:pStyle w:val="Tableaugauchefranais"/>
              <w:spacing w:line="240" w:lineRule="auto"/>
              <w:jc w:val="both"/>
              <w:rPr>
                <w:lang w:val="en-CA" w:eastAsia="en-US"/>
              </w:rPr>
            </w:pPr>
            <w:r w:rsidRPr="005545AF">
              <w:rPr>
                <w:szCs w:val="22"/>
                <w:lang w:val="en-CA" w:eastAsia="en-US"/>
              </w:rPr>
              <w:t>In case of unlawful and intentional interference, the tribunal may, in addition, condemn the person guilty of it to punitive damages</w:t>
            </w:r>
            <w:r w:rsidR="002802DA" w:rsidRPr="005545AF">
              <w:rPr>
                <w:lang w:val="en-CA" w:eastAsia="en-US"/>
              </w:rPr>
              <w:t>.</w:t>
            </w:r>
          </w:p>
        </w:tc>
        <w:tc>
          <w:tcPr>
            <w:tcW w:w="4681" w:type="dxa"/>
            <w:shd w:val="clear" w:color="auto" w:fill="auto"/>
          </w:tcPr>
          <w:p w14:paraId="48D85ED4" w14:textId="5AA859CA" w:rsidR="002802DA" w:rsidRPr="005545AF" w:rsidRDefault="002802DA" w:rsidP="001F7377">
            <w:pPr>
              <w:pStyle w:val="Tableaudroiteanglais"/>
              <w:spacing w:line="240" w:lineRule="auto"/>
              <w:rPr>
                <w:lang w:val="fr-CA" w:eastAsia="en-US"/>
              </w:rPr>
            </w:pPr>
            <w:hyperlink r:id="rId13" w:anchor="se:49" w:history="1">
              <w:r w:rsidRPr="005545AF">
                <w:rPr>
                  <w:rStyle w:val="Hyperlien"/>
                  <w:b/>
                  <w:bCs/>
                  <w:color w:val="auto"/>
                  <w:u w:val="none"/>
                  <w:lang w:eastAsia="en-US"/>
                </w:rPr>
                <w:t>49.</w:t>
              </w:r>
            </w:hyperlink>
            <w:r w:rsidRPr="005545AF">
              <w:rPr>
                <w:lang w:val="fr-CA" w:eastAsia="en-US"/>
              </w:rPr>
              <w:t> </w:t>
            </w:r>
            <w:r w:rsidR="00E71DEB" w:rsidRPr="005545AF">
              <w:rPr>
                <w:lang w:val="fr-CA" w:eastAsia="en-US"/>
              </w:rPr>
              <w:t>Une atteinte illicite à un droit ou à une liberté reconnu par la présente Charte confère à la victime le droit d’obtenir la cessation de cette atteinte et la réparation du préjudice moral ou matériel qui en résulte</w:t>
            </w:r>
            <w:r w:rsidRPr="005545AF">
              <w:rPr>
                <w:lang w:val="fr-CA" w:eastAsia="en-US"/>
              </w:rPr>
              <w:t>.</w:t>
            </w:r>
          </w:p>
          <w:p w14:paraId="2FBABEF0" w14:textId="77777777" w:rsidR="002802DA" w:rsidRPr="005545AF" w:rsidRDefault="002802DA" w:rsidP="001F7377">
            <w:pPr>
              <w:pStyle w:val="Tableaudroiteanglais"/>
              <w:spacing w:line="240" w:lineRule="auto"/>
              <w:rPr>
                <w:lang w:val="fr-CA" w:eastAsia="en-US"/>
              </w:rPr>
            </w:pPr>
          </w:p>
          <w:p w14:paraId="2A3BC173" w14:textId="7EA72B72" w:rsidR="002802DA" w:rsidRPr="005545AF" w:rsidRDefault="00E71DEB" w:rsidP="001F7377">
            <w:pPr>
              <w:pStyle w:val="Tableaudroiteanglais"/>
              <w:spacing w:line="240" w:lineRule="auto"/>
              <w:rPr>
                <w:lang w:val="fr-CA" w:eastAsia="en-US"/>
              </w:rPr>
            </w:pPr>
            <w:r w:rsidRPr="005545AF">
              <w:rPr>
                <w:lang w:val="fr-CA" w:eastAsia="en-US"/>
              </w:rPr>
              <w:t>En cas d’atteinte illicite et intentionnelle, le tribunal peut en outre condamner son auteur à des dommages-intérêts punitifs</w:t>
            </w:r>
            <w:r w:rsidR="002802DA" w:rsidRPr="005545AF">
              <w:rPr>
                <w:lang w:val="fr-CA" w:eastAsia="en-US"/>
              </w:rPr>
              <w:t>.</w:t>
            </w:r>
          </w:p>
          <w:p w14:paraId="51791E76" w14:textId="77777777" w:rsidR="002802DA" w:rsidRPr="005545AF" w:rsidRDefault="002802DA" w:rsidP="001F7377">
            <w:pPr>
              <w:pStyle w:val="Tableaudroiteanglais"/>
              <w:spacing w:line="240" w:lineRule="auto"/>
              <w:rPr>
                <w:lang w:val="fr-CA" w:eastAsia="en-US"/>
              </w:rPr>
            </w:pPr>
          </w:p>
        </w:tc>
      </w:tr>
    </w:tbl>
    <w:p w14:paraId="4240AC57" w14:textId="4D450994" w:rsidR="002802DA" w:rsidRPr="005545AF" w:rsidRDefault="002D67E6" w:rsidP="001F7377">
      <w:pPr>
        <w:pStyle w:val="Paragraphe"/>
        <w:spacing w:line="240" w:lineRule="auto"/>
        <w:rPr>
          <w:rFonts w:cs="Arial"/>
          <w:szCs w:val="24"/>
          <w:lang w:val="en-CA" w:eastAsia="en-US"/>
        </w:rPr>
      </w:pPr>
      <w:r w:rsidRPr="005545AF">
        <w:rPr>
          <w:rFonts w:cs="Arial"/>
          <w:szCs w:val="24"/>
          <w:lang w:val="en-CA" w:eastAsia="en-US"/>
        </w:rPr>
        <w:t xml:space="preserve">The two criteria that the interference must satisfy to justify the award of damages are therefore unlawfulness and intentionality. </w:t>
      </w:r>
      <w:r w:rsidR="006E12E0" w:rsidRPr="005545AF">
        <w:rPr>
          <w:rFonts w:cs="Arial"/>
          <w:szCs w:val="24"/>
          <w:lang w:val="en-CA" w:eastAsia="en-US"/>
        </w:rPr>
        <w:t xml:space="preserve">An interference’s </w:t>
      </w:r>
      <w:r w:rsidR="00F32DAA" w:rsidRPr="005545AF">
        <w:rPr>
          <w:rFonts w:cs="Arial"/>
          <w:szCs w:val="24"/>
          <w:lang w:val="en-CA" w:eastAsia="en-US"/>
        </w:rPr>
        <w:t>unlawful</w:t>
      </w:r>
      <w:r w:rsidR="006E12E0" w:rsidRPr="005545AF">
        <w:rPr>
          <w:rFonts w:cs="Arial"/>
          <w:szCs w:val="24"/>
          <w:lang w:val="en-CA" w:eastAsia="en-US"/>
        </w:rPr>
        <w:t>ness refers to its wrongfulness,</w:t>
      </w:r>
      <w:r w:rsidR="002802DA" w:rsidRPr="005545AF">
        <w:rPr>
          <w:rStyle w:val="Appelnotedebasdep"/>
          <w:rFonts w:cs="Arial"/>
          <w:szCs w:val="24"/>
          <w:lang w:val="en-CA" w:eastAsia="en-US"/>
        </w:rPr>
        <w:footnoteReference w:id="114"/>
      </w:r>
      <w:r w:rsidR="00CB50DA" w:rsidRPr="005545AF">
        <w:rPr>
          <w:rFonts w:cs="Arial"/>
          <w:szCs w:val="24"/>
          <w:lang w:val="en-CA" w:eastAsia="en-US"/>
        </w:rPr>
        <w:t xml:space="preserve"> </w:t>
      </w:r>
      <w:r w:rsidR="006E12E0" w:rsidRPr="005545AF">
        <w:rPr>
          <w:rFonts w:cs="Arial"/>
          <w:szCs w:val="24"/>
          <w:lang w:val="en-CA" w:eastAsia="en-US"/>
        </w:rPr>
        <w:t xml:space="preserve">as opposed to </w:t>
      </w:r>
      <w:r w:rsidR="00CB50DA" w:rsidRPr="005545AF">
        <w:rPr>
          <w:rFonts w:cs="Arial"/>
          <w:szCs w:val="24"/>
          <w:lang w:val="en-CA" w:eastAsia="en-US"/>
        </w:rPr>
        <w:t xml:space="preserve">an </w:t>
      </w:r>
      <w:r w:rsidR="006E12E0" w:rsidRPr="005545AF">
        <w:rPr>
          <w:rFonts w:cs="Arial"/>
          <w:szCs w:val="24"/>
          <w:lang w:val="en-CA" w:eastAsia="en-US"/>
        </w:rPr>
        <w:t xml:space="preserve">interference allowed by law or </w:t>
      </w:r>
      <w:r w:rsidRPr="005545AF">
        <w:rPr>
          <w:rFonts w:cs="Arial"/>
          <w:szCs w:val="24"/>
          <w:lang w:val="en-CA" w:eastAsia="en-US"/>
        </w:rPr>
        <w:t xml:space="preserve">to which the person concerned </w:t>
      </w:r>
      <w:r w:rsidR="006E12E0" w:rsidRPr="005545AF">
        <w:rPr>
          <w:rFonts w:cs="Arial"/>
          <w:szCs w:val="24"/>
          <w:lang w:val="en-CA" w:eastAsia="en-US"/>
        </w:rPr>
        <w:t>consented</w:t>
      </w:r>
      <w:r w:rsidR="002802DA" w:rsidRPr="005545AF">
        <w:rPr>
          <w:rFonts w:cs="Arial"/>
          <w:szCs w:val="24"/>
          <w:lang w:val="en-CA" w:eastAsia="en-US"/>
        </w:rPr>
        <w:t xml:space="preserve">. </w:t>
      </w:r>
      <w:r w:rsidR="00CB50DA" w:rsidRPr="005545AF">
        <w:rPr>
          <w:rFonts w:cs="Arial"/>
          <w:szCs w:val="24"/>
          <w:lang w:val="en-CA" w:eastAsia="en-US"/>
        </w:rPr>
        <w:t xml:space="preserve">Because </w:t>
      </w:r>
      <w:r w:rsidRPr="005545AF">
        <w:rPr>
          <w:rFonts w:cs="Arial"/>
          <w:szCs w:val="24"/>
          <w:lang w:val="en-CA" w:eastAsia="en-US"/>
        </w:rPr>
        <w:t xml:space="preserve">I have already found </w:t>
      </w:r>
      <w:r w:rsidR="006E12E0" w:rsidRPr="005545AF">
        <w:rPr>
          <w:rFonts w:cs="Arial"/>
          <w:szCs w:val="24"/>
          <w:lang w:val="en-CA" w:eastAsia="en-US"/>
        </w:rPr>
        <w:t xml:space="preserve">that </w:t>
      </w:r>
      <w:r w:rsidR="002802DA" w:rsidRPr="005545AF">
        <w:rPr>
          <w:rFonts w:cs="Arial"/>
          <w:szCs w:val="24"/>
          <w:lang w:val="en-CA" w:eastAsia="en-US"/>
        </w:rPr>
        <w:t xml:space="preserve">Google </w:t>
      </w:r>
      <w:r w:rsidR="006E12E0" w:rsidRPr="005545AF">
        <w:rPr>
          <w:rFonts w:cs="Arial"/>
          <w:szCs w:val="24"/>
          <w:lang w:val="en-CA" w:eastAsia="en-US"/>
        </w:rPr>
        <w:t>committed a fault in refusing since 2015 to de-index the</w:t>
      </w:r>
      <w:r w:rsidR="00CB50DA" w:rsidRPr="005545AF">
        <w:rPr>
          <w:rFonts w:cs="Arial"/>
          <w:szCs w:val="24"/>
          <w:lang w:val="en-CA" w:eastAsia="en-US"/>
        </w:rPr>
        <w:t xml:space="preserve"> </w:t>
      </w:r>
      <w:r w:rsidR="004A5D7E" w:rsidRPr="005545AF">
        <w:rPr>
          <w:rFonts w:cs="Arial"/>
          <w:szCs w:val="24"/>
          <w:lang w:val="en-CA" w:eastAsia="en-US"/>
        </w:rPr>
        <w:t>Impugned Post</w:t>
      </w:r>
      <w:r w:rsidR="00CB50DA" w:rsidRPr="005545AF">
        <w:rPr>
          <w:rFonts w:cs="Arial"/>
          <w:szCs w:val="24"/>
          <w:lang w:val="en-CA" w:eastAsia="en-US"/>
        </w:rPr>
        <w:t>’s</w:t>
      </w:r>
      <w:r w:rsidR="006E12E0" w:rsidRPr="005545AF">
        <w:rPr>
          <w:rFonts w:cs="Arial"/>
          <w:szCs w:val="24"/>
          <w:lang w:val="en-CA" w:eastAsia="en-US"/>
        </w:rPr>
        <w:t xml:space="preserve"> URL link</w:t>
      </w:r>
      <w:r w:rsidR="002802DA" w:rsidRPr="005545AF">
        <w:rPr>
          <w:rFonts w:cs="Arial"/>
          <w:szCs w:val="24"/>
          <w:lang w:val="en-CA" w:eastAsia="en-US"/>
        </w:rPr>
        <w:t xml:space="preserve"> </w:t>
      </w:r>
      <w:r w:rsidR="00CB50DA" w:rsidRPr="005545AF">
        <w:rPr>
          <w:rFonts w:cs="Arial"/>
          <w:szCs w:val="24"/>
          <w:lang w:val="en-CA" w:eastAsia="en-US"/>
        </w:rPr>
        <w:t>and</w:t>
      </w:r>
      <w:r w:rsidRPr="005545AF">
        <w:rPr>
          <w:rFonts w:cs="Arial"/>
          <w:szCs w:val="24"/>
          <w:lang w:val="en-CA" w:eastAsia="en-US"/>
        </w:rPr>
        <w:t xml:space="preserve"> awarded</w:t>
      </w:r>
      <w:r w:rsidR="00CB50DA" w:rsidRPr="005545AF">
        <w:rPr>
          <w:rFonts w:cs="Arial"/>
          <w:szCs w:val="24"/>
          <w:lang w:val="en-CA" w:eastAsia="en-US"/>
        </w:rPr>
        <w:t xml:space="preserve"> </w:t>
      </w:r>
      <w:r w:rsidRPr="005545AF">
        <w:rPr>
          <w:rFonts w:cs="Arial"/>
          <w:szCs w:val="24"/>
          <w:lang w:val="en-CA" w:eastAsia="en-US"/>
        </w:rPr>
        <w:t>compensation for the</w:t>
      </w:r>
      <w:r w:rsidR="00CB50DA" w:rsidRPr="005545AF">
        <w:rPr>
          <w:rFonts w:cs="Arial"/>
          <w:szCs w:val="24"/>
          <w:lang w:val="en-CA" w:eastAsia="en-US"/>
        </w:rPr>
        <w:t xml:space="preserve"> injury defined above,</w:t>
      </w:r>
      <w:r w:rsidR="002802DA" w:rsidRPr="005545AF">
        <w:rPr>
          <w:rFonts w:cs="Arial"/>
          <w:szCs w:val="24"/>
          <w:lang w:val="en-CA" w:eastAsia="en-US"/>
        </w:rPr>
        <w:t xml:space="preserve"> </w:t>
      </w:r>
      <w:r w:rsidR="00CB50DA" w:rsidRPr="005545AF">
        <w:rPr>
          <w:rFonts w:cs="Arial"/>
          <w:szCs w:val="24"/>
          <w:lang w:val="en-CA" w:eastAsia="en-US"/>
        </w:rPr>
        <w:t xml:space="preserve">recognizing an interference with </w:t>
      </w:r>
      <w:r w:rsidR="005A461E" w:rsidRPr="005545AF">
        <w:rPr>
          <w:rFonts w:cs="Arial"/>
          <w:szCs w:val="24"/>
          <w:lang w:val="en-CA" w:eastAsia="en-US"/>
        </w:rPr>
        <w:t>the appellant</w:t>
      </w:r>
      <w:r w:rsidR="00CB50DA" w:rsidRPr="005545AF">
        <w:rPr>
          <w:rFonts w:cs="Arial"/>
          <w:szCs w:val="24"/>
          <w:lang w:val="en-CA" w:eastAsia="en-US"/>
        </w:rPr>
        <w:t>’s psychological integrity,</w:t>
      </w:r>
      <w:r w:rsidR="002802DA" w:rsidRPr="005545AF">
        <w:rPr>
          <w:rStyle w:val="Appelnotedebasdep"/>
          <w:rFonts w:cs="Arial"/>
          <w:szCs w:val="24"/>
          <w:lang w:val="en-CA" w:eastAsia="en-US"/>
        </w:rPr>
        <w:footnoteReference w:id="115"/>
      </w:r>
      <w:r w:rsidR="00CB50DA" w:rsidRPr="005545AF">
        <w:rPr>
          <w:rFonts w:cs="Arial"/>
          <w:szCs w:val="24"/>
          <w:lang w:val="en-CA" w:eastAsia="en-US"/>
        </w:rPr>
        <w:t xml:space="preserve"> </w:t>
      </w:r>
      <w:r w:rsidR="006E12E0" w:rsidRPr="005545AF">
        <w:rPr>
          <w:rFonts w:cs="Arial"/>
          <w:szCs w:val="24"/>
          <w:lang w:val="en-CA" w:eastAsia="en-US"/>
        </w:rPr>
        <w:t xml:space="preserve">this first </w:t>
      </w:r>
      <w:r w:rsidRPr="005545AF">
        <w:rPr>
          <w:rFonts w:cs="Arial"/>
          <w:szCs w:val="24"/>
          <w:lang w:val="en-CA" w:eastAsia="en-US"/>
        </w:rPr>
        <w:t>criteria</w:t>
      </w:r>
      <w:r w:rsidR="006E12E0" w:rsidRPr="005545AF">
        <w:rPr>
          <w:rFonts w:cs="Arial"/>
          <w:szCs w:val="24"/>
          <w:lang w:val="en-CA" w:eastAsia="en-US"/>
        </w:rPr>
        <w:t xml:space="preserve"> is met</w:t>
      </w:r>
      <w:r w:rsidR="002802DA" w:rsidRPr="005545AF">
        <w:rPr>
          <w:rFonts w:cs="Arial"/>
          <w:szCs w:val="24"/>
          <w:lang w:val="en-CA" w:eastAsia="en-US"/>
        </w:rPr>
        <w:t xml:space="preserve">. </w:t>
      </w:r>
      <w:r w:rsidR="006E12E0" w:rsidRPr="005545AF">
        <w:rPr>
          <w:rFonts w:cs="Arial"/>
          <w:szCs w:val="24"/>
          <w:lang w:val="en-CA" w:eastAsia="en-US"/>
        </w:rPr>
        <w:t xml:space="preserve">The debate therefore </w:t>
      </w:r>
      <w:r w:rsidR="005A461E" w:rsidRPr="005545AF">
        <w:rPr>
          <w:rFonts w:cs="Arial"/>
          <w:szCs w:val="24"/>
          <w:lang w:val="en-CA" w:eastAsia="en-US"/>
        </w:rPr>
        <w:t>centres</w:t>
      </w:r>
      <w:r w:rsidR="006E12E0" w:rsidRPr="005545AF">
        <w:rPr>
          <w:rFonts w:cs="Arial"/>
          <w:szCs w:val="24"/>
          <w:lang w:val="en-CA" w:eastAsia="en-US"/>
        </w:rPr>
        <w:t xml:space="preserve"> on </w:t>
      </w:r>
      <w:r w:rsidR="005A461E" w:rsidRPr="005545AF">
        <w:rPr>
          <w:rFonts w:cs="Arial"/>
          <w:szCs w:val="24"/>
          <w:lang w:val="en-CA" w:eastAsia="en-US"/>
        </w:rPr>
        <w:t>whether the</w:t>
      </w:r>
      <w:r w:rsidR="006E12E0" w:rsidRPr="005545AF">
        <w:rPr>
          <w:rFonts w:cs="Arial"/>
          <w:szCs w:val="24"/>
          <w:lang w:val="en-CA" w:eastAsia="en-US"/>
        </w:rPr>
        <w:t xml:space="preserve"> interference</w:t>
      </w:r>
      <w:r w:rsidR="005A461E" w:rsidRPr="005545AF">
        <w:rPr>
          <w:rFonts w:cs="Arial"/>
          <w:szCs w:val="24"/>
          <w:lang w:val="en-CA" w:eastAsia="en-US"/>
        </w:rPr>
        <w:t xml:space="preserve"> was intentional</w:t>
      </w:r>
      <w:r w:rsidR="002802DA" w:rsidRPr="005545AF">
        <w:rPr>
          <w:rFonts w:cs="Arial"/>
          <w:szCs w:val="24"/>
          <w:lang w:val="en-CA" w:eastAsia="en-US"/>
        </w:rPr>
        <w:t>.</w:t>
      </w:r>
    </w:p>
    <w:p w14:paraId="46206224" w14:textId="2FD58120" w:rsidR="002802DA" w:rsidRPr="005545AF" w:rsidRDefault="00CB50DA" w:rsidP="001F7377">
      <w:pPr>
        <w:pStyle w:val="Paragraphe"/>
        <w:spacing w:line="240" w:lineRule="auto"/>
        <w:rPr>
          <w:rFonts w:cs="Arial"/>
          <w:szCs w:val="24"/>
          <w:lang w:val="en-CA" w:eastAsia="en-US"/>
        </w:rPr>
      </w:pPr>
      <w:r w:rsidRPr="005545AF">
        <w:rPr>
          <w:rFonts w:cs="Arial"/>
          <w:szCs w:val="24"/>
          <w:lang w:val="en-CA" w:eastAsia="en-US"/>
        </w:rPr>
        <w:t>The Supreme Court established the meaning to be given to that criterion in</w:t>
      </w:r>
      <w:r w:rsidR="002802DA" w:rsidRPr="005545AF">
        <w:rPr>
          <w:rFonts w:cs="Arial"/>
          <w:szCs w:val="24"/>
          <w:lang w:val="en-CA" w:eastAsia="en-US"/>
        </w:rPr>
        <w:t xml:space="preserve"> </w:t>
      </w:r>
      <w:r w:rsidR="002802DA" w:rsidRPr="005545AF">
        <w:rPr>
          <w:rFonts w:cs="Arial"/>
          <w:i/>
          <w:iCs/>
          <w:szCs w:val="24"/>
          <w:lang w:val="en-CA" w:eastAsia="en-US"/>
        </w:rPr>
        <w:t>St-Ferdinand</w:t>
      </w:r>
      <w:r w:rsidR="002802DA" w:rsidRPr="005545AF">
        <w:rPr>
          <w:rFonts w:cs="Arial"/>
          <w:szCs w:val="24"/>
          <w:lang w:val="en-CA" w:eastAsia="en-US"/>
        </w:rPr>
        <w:t xml:space="preserve">. </w:t>
      </w:r>
      <w:r w:rsidRPr="005545AF">
        <w:rPr>
          <w:rFonts w:cs="Arial"/>
          <w:szCs w:val="24"/>
          <w:lang w:val="en-CA" w:eastAsia="en-US"/>
        </w:rPr>
        <w:t xml:space="preserve">The relevant portion of that decision, </w:t>
      </w:r>
      <w:r w:rsidR="00F32DAA" w:rsidRPr="005545AF">
        <w:rPr>
          <w:rFonts w:cs="Arial"/>
          <w:szCs w:val="24"/>
          <w:lang w:val="en-CA" w:eastAsia="en-US"/>
        </w:rPr>
        <w:t xml:space="preserve">since then </w:t>
      </w:r>
      <w:r w:rsidRPr="005545AF">
        <w:rPr>
          <w:rFonts w:cs="Arial"/>
          <w:szCs w:val="24"/>
          <w:lang w:val="en-CA" w:eastAsia="en-US"/>
        </w:rPr>
        <w:t xml:space="preserve">consistently </w:t>
      </w:r>
      <w:r w:rsidR="00F32DAA" w:rsidRPr="005545AF">
        <w:rPr>
          <w:rFonts w:cs="Arial"/>
          <w:szCs w:val="24"/>
          <w:lang w:val="en-CA" w:eastAsia="en-US"/>
        </w:rPr>
        <w:t>upheld</w:t>
      </w:r>
      <w:r w:rsidRPr="005545AF">
        <w:rPr>
          <w:rFonts w:cs="Arial"/>
          <w:szCs w:val="24"/>
          <w:lang w:val="en-CA" w:eastAsia="en-US"/>
        </w:rPr>
        <w:t xml:space="preserve"> by case law, reads as follows</w:t>
      </w:r>
      <w:r w:rsidR="002802DA" w:rsidRPr="005545AF">
        <w:rPr>
          <w:rFonts w:cs="Arial"/>
          <w:szCs w:val="24"/>
          <w:lang w:val="en-CA" w:eastAsia="en-US"/>
        </w:rPr>
        <w:t>:</w:t>
      </w:r>
    </w:p>
    <w:p w14:paraId="6361E56E" w14:textId="36B80104" w:rsidR="002802DA" w:rsidRPr="005545AF" w:rsidRDefault="002802DA" w:rsidP="001F7377">
      <w:pPr>
        <w:pStyle w:val="Citationenretrait"/>
        <w:spacing w:line="240" w:lineRule="auto"/>
        <w:rPr>
          <w:lang w:val="en-CA" w:eastAsia="en-US"/>
        </w:rPr>
      </w:pPr>
      <w:r w:rsidRPr="005545AF">
        <w:rPr>
          <w:lang w:val="en-CA" w:eastAsia="en-US"/>
        </w:rPr>
        <w:t xml:space="preserve">[121]     </w:t>
      </w:r>
      <w:r w:rsidR="00F32DAA" w:rsidRPr="005545AF">
        <w:rPr>
          <w:lang w:val="en-CA" w:eastAsia="en-US"/>
        </w:rPr>
        <w:t xml:space="preserve">Consequently, there will be unlawful and intentional interference within the meaning of the second paragraph of s. 49 of the </w:t>
      </w:r>
      <w:r w:rsidR="00F32DAA" w:rsidRPr="005545AF">
        <w:rPr>
          <w:i/>
          <w:iCs/>
          <w:lang w:val="en-CA" w:eastAsia="en-US"/>
        </w:rPr>
        <w:t>Charter</w:t>
      </w:r>
      <w:r w:rsidR="00F32DAA" w:rsidRPr="005545AF">
        <w:rPr>
          <w:lang w:val="en-CA" w:eastAsia="en-US"/>
        </w:rPr>
        <w:t xml:space="preserve"> when the person who commits the unlawful interference has a state of mind that implies a desire or intent to cause the consequences of his or her wrongful conduct, or when that person acts with full knowledge of the immediate and natural or at least extremely probable consequences that his or her conduct will cause.  This test is not as strict as specific intent, but it does go beyond simple negligence.  Thus, an individual’s recklessness, however wild and foolhardy, as to the consequences of his or her wrongful acts will not in itself satisfy this test</w:t>
      </w:r>
      <w:r w:rsidRPr="005545AF">
        <w:rPr>
          <w:lang w:val="en-CA" w:eastAsia="en-US"/>
        </w:rPr>
        <w:t>.</w:t>
      </w:r>
      <w:r w:rsidRPr="005545AF">
        <w:rPr>
          <w:rStyle w:val="Appelnotedebasdep"/>
          <w:rFonts w:cs="Arial"/>
          <w:szCs w:val="24"/>
          <w:lang w:val="en-CA" w:eastAsia="en-US"/>
        </w:rPr>
        <w:footnoteReference w:id="116"/>
      </w:r>
    </w:p>
    <w:p w14:paraId="3DAB8B72" w14:textId="2EAF5E76" w:rsidR="002802DA" w:rsidRPr="005545AF" w:rsidRDefault="00B840DF" w:rsidP="001F7377">
      <w:pPr>
        <w:pStyle w:val="Paragraphe"/>
        <w:spacing w:line="240" w:lineRule="auto"/>
        <w:rPr>
          <w:rFonts w:cs="Arial"/>
          <w:szCs w:val="24"/>
          <w:lang w:val="en-CA" w:eastAsia="en-US"/>
        </w:rPr>
      </w:pPr>
      <w:r w:rsidRPr="005545AF">
        <w:rPr>
          <w:rFonts w:cs="Arial"/>
          <w:szCs w:val="24"/>
          <w:lang w:val="en-CA" w:eastAsia="en-US"/>
        </w:rPr>
        <w:t>On</w:t>
      </w:r>
      <w:r w:rsidR="00F32DAA" w:rsidRPr="005545AF">
        <w:rPr>
          <w:rFonts w:cs="Arial"/>
          <w:szCs w:val="24"/>
          <w:lang w:val="en-CA" w:eastAsia="en-US"/>
        </w:rPr>
        <w:t xml:space="preserve"> reading this passage</w:t>
      </w:r>
      <w:r w:rsidRPr="005545AF">
        <w:rPr>
          <w:rFonts w:cs="Arial"/>
          <w:szCs w:val="24"/>
          <w:lang w:val="en-CA" w:eastAsia="en-US"/>
        </w:rPr>
        <w:t>, we see</w:t>
      </w:r>
      <w:r w:rsidR="00F32DAA" w:rsidRPr="005545AF">
        <w:rPr>
          <w:rFonts w:cs="Arial"/>
          <w:szCs w:val="24"/>
          <w:lang w:val="en-CA" w:eastAsia="en-US"/>
        </w:rPr>
        <w:t xml:space="preserve"> that two states of mind can </w:t>
      </w:r>
      <w:r w:rsidR="00126A04" w:rsidRPr="005545AF">
        <w:rPr>
          <w:rFonts w:cs="Arial"/>
          <w:szCs w:val="24"/>
          <w:lang w:val="en-CA" w:eastAsia="en-US"/>
        </w:rPr>
        <w:t>correspond to</w:t>
      </w:r>
      <w:r w:rsidR="00F32DAA" w:rsidRPr="005545AF">
        <w:rPr>
          <w:rFonts w:cs="Arial"/>
          <w:szCs w:val="24"/>
          <w:lang w:val="en-CA" w:eastAsia="en-US"/>
        </w:rPr>
        <w:t xml:space="preserve"> the </w:t>
      </w:r>
      <w:r w:rsidRPr="005545AF">
        <w:rPr>
          <w:rFonts w:cs="Arial"/>
          <w:szCs w:val="24"/>
          <w:lang w:val="en-CA" w:eastAsia="en-US"/>
        </w:rPr>
        <w:t xml:space="preserve">intent requirement </w:t>
      </w:r>
      <w:r w:rsidR="005A461E" w:rsidRPr="005545AF">
        <w:rPr>
          <w:rFonts w:cs="Arial"/>
          <w:szCs w:val="24"/>
          <w:lang w:val="en-CA" w:eastAsia="en-US"/>
        </w:rPr>
        <w:t>set forth in</w:t>
      </w:r>
      <w:r w:rsidRPr="005545AF">
        <w:rPr>
          <w:rFonts w:cs="Arial"/>
          <w:szCs w:val="24"/>
          <w:lang w:val="en-CA" w:eastAsia="en-US"/>
        </w:rPr>
        <w:t xml:space="preserve"> section </w:t>
      </w:r>
      <w:r w:rsidR="002802DA" w:rsidRPr="005545AF">
        <w:rPr>
          <w:rFonts w:cs="Arial"/>
          <w:szCs w:val="24"/>
          <w:lang w:val="en-CA" w:eastAsia="en-US"/>
        </w:rPr>
        <w:t xml:space="preserve">49 </w:t>
      </w:r>
      <w:r w:rsidRPr="005545AF">
        <w:rPr>
          <w:rFonts w:cs="Arial"/>
          <w:szCs w:val="24"/>
          <w:lang w:val="en-CA" w:eastAsia="en-US"/>
        </w:rPr>
        <w:t>of the</w:t>
      </w:r>
      <w:r w:rsidR="002802DA" w:rsidRPr="005545AF">
        <w:rPr>
          <w:rFonts w:cs="Arial"/>
          <w:szCs w:val="24"/>
          <w:lang w:val="en-CA" w:eastAsia="en-US"/>
        </w:rPr>
        <w:t xml:space="preserve"> </w:t>
      </w:r>
      <w:r w:rsidR="002802DA" w:rsidRPr="005545AF">
        <w:rPr>
          <w:rFonts w:cs="Arial"/>
          <w:i/>
          <w:iCs/>
          <w:szCs w:val="24"/>
          <w:lang w:val="en-CA" w:eastAsia="en-US"/>
        </w:rPr>
        <w:t>Charte</w:t>
      </w:r>
      <w:r w:rsidRPr="005545AF">
        <w:rPr>
          <w:rFonts w:cs="Arial"/>
          <w:i/>
          <w:iCs/>
          <w:szCs w:val="24"/>
          <w:lang w:val="en-CA" w:eastAsia="en-US"/>
        </w:rPr>
        <w:t>r</w:t>
      </w:r>
      <w:r w:rsidR="002802DA" w:rsidRPr="005545AF">
        <w:rPr>
          <w:rFonts w:cs="Arial"/>
          <w:szCs w:val="24"/>
          <w:lang w:val="en-CA" w:eastAsia="en-US"/>
        </w:rPr>
        <w:t xml:space="preserve">: 1) </w:t>
      </w:r>
      <w:r w:rsidRPr="005545AF">
        <w:rPr>
          <w:rFonts w:cs="Arial"/>
          <w:szCs w:val="24"/>
          <w:lang w:val="en-CA" w:eastAsia="en-US"/>
        </w:rPr>
        <w:t>the desire or intent to cause the consequences of his or her wrongful conduct</w:t>
      </w:r>
      <w:r w:rsidR="002802DA" w:rsidRPr="005545AF">
        <w:rPr>
          <w:rFonts w:cs="Arial"/>
          <w:szCs w:val="24"/>
          <w:lang w:val="en-CA" w:eastAsia="en-US"/>
        </w:rPr>
        <w:t>; o</w:t>
      </w:r>
      <w:r w:rsidRPr="005545AF">
        <w:rPr>
          <w:rFonts w:cs="Arial"/>
          <w:szCs w:val="24"/>
          <w:lang w:val="en-CA" w:eastAsia="en-US"/>
        </w:rPr>
        <w:t>r</w:t>
      </w:r>
      <w:r w:rsidR="002802DA" w:rsidRPr="005545AF">
        <w:rPr>
          <w:rFonts w:cs="Arial"/>
          <w:szCs w:val="24"/>
          <w:lang w:val="en-CA" w:eastAsia="en-US"/>
        </w:rPr>
        <w:t xml:space="preserve"> 2) </w:t>
      </w:r>
      <w:r w:rsidRPr="005545AF">
        <w:rPr>
          <w:rFonts w:cs="Arial"/>
          <w:szCs w:val="24"/>
          <w:lang w:val="en-CA" w:eastAsia="en-US"/>
        </w:rPr>
        <w:t xml:space="preserve">knowledge of the immediate and </w:t>
      </w:r>
      <w:r w:rsidRPr="005545AF">
        <w:rPr>
          <w:rFonts w:cs="Arial"/>
          <w:szCs w:val="24"/>
          <w:lang w:val="en-CA" w:eastAsia="en-US"/>
        </w:rPr>
        <w:lastRenderedPageBreak/>
        <w:t>natural or at least extremely probable consequences that this wrongful conduct will cause.</w:t>
      </w:r>
      <w:r w:rsidR="002802DA" w:rsidRPr="005545AF">
        <w:rPr>
          <w:rStyle w:val="Appelnotedebasdep"/>
          <w:rFonts w:cs="Arial"/>
          <w:szCs w:val="24"/>
          <w:lang w:val="en-CA" w:eastAsia="en-US"/>
        </w:rPr>
        <w:footnoteReference w:id="117"/>
      </w:r>
      <w:r w:rsidRPr="005545AF">
        <w:rPr>
          <w:rFonts w:cs="Arial"/>
          <w:szCs w:val="24"/>
          <w:lang w:val="en-CA" w:eastAsia="en-US"/>
        </w:rPr>
        <w:t xml:space="preserve"> This interpretation of the</w:t>
      </w:r>
      <w:r w:rsidR="00126A04" w:rsidRPr="005545AF">
        <w:rPr>
          <w:rFonts w:cs="Arial"/>
          <w:szCs w:val="24"/>
          <w:lang w:val="en-CA" w:eastAsia="en-US"/>
        </w:rPr>
        <w:t xml:space="preserve"> intentionality requirement</w:t>
      </w:r>
      <w:r w:rsidRPr="005545AF">
        <w:rPr>
          <w:rFonts w:cs="Arial"/>
          <w:szCs w:val="24"/>
          <w:lang w:val="en-CA" w:eastAsia="en-US"/>
        </w:rPr>
        <w:t xml:space="preserve"> </w:t>
      </w:r>
      <w:r w:rsidR="00126A04" w:rsidRPr="005545AF">
        <w:rPr>
          <w:rFonts w:cs="Arial"/>
          <w:szCs w:val="24"/>
          <w:lang w:val="en-CA" w:eastAsia="en-US"/>
        </w:rPr>
        <w:t>is informed by the principle of large and liberal interpretation of legislation aimed at protecting fundamental rights.</w:t>
      </w:r>
      <w:r w:rsidR="002802DA" w:rsidRPr="005545AF">
        <w:rPr>
          <w:rStyle w:val="Appelnotedebasdep"/>
          <w:rFonts w:cs="Arial"/>
          <w:szCs w:val="24"/>
          <w:lang w:val="en-CA" w:eastAsia="en-US"/>
        </w:rPr>
        <w:footnoteReference w:id="118"/>
      </w:r>
    </w:p>
    <w:p w14:paraId="79117020" w14:textId="6914CAC6" w:rsidR="002802DA" w:rsidRPr="005545AF" w:rsidRDefault="00126A04" w:rsidP="001F7377">
      <w:pPr>
        <w:pStyle w:val="Paragraphe"/>
        <w:spacing w:line="240" w:lineRule="auto"/>
        <w:rPr>
          <w:rFonts w:cs="Arial"/>
          <w:szCs w:val="24"/>
          <w:lang w:val="en-CA" w:eastAsia="en-US"/>
        </w:rPr>
      </w:pPr>
      <w:r w:rsidRPr="005545AF">
        <w:rPr>
          <w:rFonts w:cs="Arial"/>
          <w:szCs w:val="24"/>
          <w:lang w:val="en-CA" w:eastAsia="en-US"/>
        </w:rPr>
        <w:t>I agree with</w:t>
      </w:r>
      <w:r w:rsidR="002802DA" w:rsidRPr="005545AF">
        <w:rPr>
          <w:rFonts w:cs="Arial"/>
          <w:szCs w:val="24"/>
          <w:lang w:val="en-CA" w:eastAsia="en-US"/>
        </w:rPr>
        <w:t xml:space="preserve"> </w:t>
      </w:r>
      <w:r w:rsidR="00C57DB2" w:rsidRPr="005545AF">
        <w:rPr>
          <w:rFonts w:cs="Arial"/>
          <w:szCs w:val="24"/>
          <w:lang w:val="en-CA" w:eastAsia="en-US"/>
        </w:rPr>
        <w:t>the appellant</w:t>
      </w:r>
      <w:r w:rsidR="002802DA" w:rsidRPr="005545AF">
        <w:rPr>
          <w:rFonts w:cs="Arial"/>
          <w:szCs w:val="24"/>
          <w:lang w:val="en-CA" w:eastAsia="en-US"/>
        </w:rPr>
        <w:t xml:space="preserve"> </w:t>
      </w:r>
      <w:r w:rsidRPr="005545AF">
        <w:rPr>
          <w:rFonts w:cs="Arial"/>
          <w:szCs w:val="24"/>
          <w:lang w:val="en-CA" w:eastAsia="en-US"/>
        </w:rPr>
        <w:t>that the judge</w:t>
      </w:r>
      <w:r w:rsidR="0007602D" w:rsidRPr="005545AF">
        <w:rPr>
          <w:rFonts w:cs="Arial"/>
          <w:szCs w:val="24"/>
          <w:lang w:val="en-CA" w:eastAsia="en-US"/>
        </w:rPr>
        <w:t xml:space="preserve"> erred in the application of that requirement</w:t>
      </w:r>
      <w:r w:rsidR="00C57DB2" w:rsidRPr="005545AF">
        <w:rPr>
          <w:rFonts w:cs="Arial"/>
          <w:szCs w:val="24"/>
          <w:lang w:val="en-CA" w:eastAsia="en-US"/>
        </w:rPr>
        <w:t>, but I will express the reason in a slightly different way</w:t>
      </w:r>
      <w:r w:rsidR="002802DA" w:rsidRPr="005545AF">
        <w:rPr>
          <w:rFonts w:cs="Arial"/>
          <w:szCs w:val="24"/>
          <w:lang w:val="en-CA" w:eastAsia="en-US"/>
        </w:rPr>
        <w:t xml:space="preserve">. </w:t>
      </w:r>
      <w:r w:rsidR="0007602D" w:rsidRPr="005545AF">
        <w:rPr>
          <w:rFonts w:cs="Arial"/>
          <w:szCs w:val="24"/>
          <w:lang w:val="en-CA" w:eastAsia="en-US"/>
        </w:rPr>
        <w:t>In my view, the judge’s error was that he applied the intentionality requirement to the fault</w:t>
      </w:r>
      <w:r w:rsidR="00A8077B">
        <w:rPr>
          <w:rFonts w:cs="Arial"/>
          <w:szCs w:val="24"/>
          <w:lang w:val="en-CA" w:eastAsia="en-US"/>
        </w:rPr>
        <w:t xml:space="preserve"> – the unlawfulness of the interference</w:t>
      </w:r>
      <w:r w:rsidR="002802DA" w:rsidRPr="005545AF">
        <w:rPr>
          <w:rFonts w:cs="Arial"/>
          <w:szCs w:val="24"/>
          <w:lang w:val="en-CA" w:eastAsia="en-US"/>
        </w:rPr>
        <w:t xml:space="preserve"> – </w:t>
      </w:r>
      <w:r w:rsidR="0007602D" w:rsidRPr="005545AF">
        <w:rPr>
          <w:rFonts w:cs="Arial"/>
          <w:szCs w:val="24"/>
          <w:lang w:val="en-CA" w:eastAsia="en-US"/>
        </w:rPr>
        <w:t>rather than to the interference itself or its consequences</w:t>
      </w:r>
      <w:r w:rsidR="002802DA" w:rsidRPr="005545AF">
        <w:rPr>
          <w:rFonts w:cs="Arial"/>
          <w:szCs w:val="24"/>
          <w:lang w:val="en-CA" w:eastAsia="en-US"/>
        </w:rPr>
        <w:t xml:space="preserve">. </w:t>
      </w:r>
      <w:r w:rsidR="0007602D" w:rsidRPr="005545AF">
        <w:rPr>
          <w:rFonts w:cs="Arial"/>
          <w:szCs w:val="24"/>
          <w:lang w:val="en-CA" w:eastAsia="en-US"/>
        </w:rPr>
        <w:t>However, both the Supreme Court and our Court recall th</w:t>
      </w:r>
      <w:r w:rsidR="007C1099" w:rsidRPr="005545AF">
        <w:rPr>
          <w:rFonts w:cs="Arial"/>
          <w:szCs w:val="24"/>
          <w:lang w:val="en-CA" w:eastAsia="en-US"/>
        </w:rPr>
        <w:t>at</w:t>
      </w:r>
      <w:r w:rsidR="0007602D" w:rsidRPr="005545AF">
        <w:rPr>
          <w:rFonts w:cs="Arial"/>
          <w:szCs w:val="24"/>
          <w:lang w:val="en-CA" w:eastAsia="en-US"/>
        </w:rPr>
        <w:t xml:space="preserve"> intentionality must not relate to the behaviour, but rather to its result.</w:t>
      </w:r>
      <w:r w:rsidR="002802DA" w:rsidRPr="005545AF">
        <w:rPr>
          <w:rStyle w:val="Appelnotedebasdep"/>
          <w:rFonts w:cs="Arial"/>
          <w:szCs w:val="24"/>
          <w:lang w:val="en-CA" w:eastAsia="en-US"/>
        </w:rPr>
        <w:footnoteReference w:id="119"/>
      </w:r>
      <w:r w:rsidR="0007602D" w:rsidRPr="005545AF">
        <w:rPr>
          <w:rFonts w:cs="Arial"/>
          <w:szCs w:val="24"/>
          <w:lang w:val="en-CA" w:eastAsia="en-US"/>
        </w:rPr>
        <w:t xml:space="preserve"> It is not necessary to show that the fault, i.e., the unlawfulness of the interference</w:t>
      </w:r>
      <w:r w:rsidR="007C1099" w:rsidRPr="005545AF">
        <w:rPr>
          <w:rFonts w:cs="Arial"/>
          <w:szCs w:val="24"/>
          <w:lang w:val="en-CA" w:eastAsia="en-US"/>
        </w:rPr>
        <w:t>,</w:t>
      </w:r>
      <w:r w:rsidR="0007602D" w:rsidRPr="005545AF">
        <w:rPr>
          <w:rFonts w:cs="Arial"/>
          <w:szCs w:val="24"/>
          <w:lang w:val="en-CA" w:eastAsia="en-US"/>
        </w:rPr>
        <w:t xml:space="preserve"> is in and of itself voluntary</w:t>
      </w:r>
      <w:r w:rsidR="002802DA" w:rsidRPr="005545AF">
        <w:rPr>
          <w:rFonts w:cs="Arial"/>
          <w:szCs w:val="24"/>
          <w:lang w:val="en-CA" w:eastAsia="en-US"/>
        </w:rPr>
        <w:t xml:space="preserve">. </w:t>
      </w:r>
      <w:r w:rsidR="007C1099" w:rsidRPr="005545AF">
        <w:rPr>
          <w:rFonts w:cs="Arial"/>
          <w:szCs w:val="24"/>
          <w:lang w:val="en-CA" w:eastAsia="en-US"/>
        </w:rPr>
        <w:t>As</w:t>
      </w:r>
      <w:r w:rsidR="002802DA" w:rsidRPr="005545AF">
        <w:rPr>
          <w:rFonts w:cs="Arial"/>
          <w:szCs w:val="24"/>
          <w:lang w:val="en-CA" w:eastAsia="en-US"/>
        </w:rPr>
        <w:t xml:space="preserve"> L’Heureux-Dubé</w:t>
      </w:r>
      <w:r w:rsidR="0007602D" w:rsidRPr="005545AF">
        <w:rPr>
          <w:rFonts w:cs="Arial"/>
          <w:szCs w:val="24"/>
          <w:lang w:val="en-CA" w:eastAsia="en-US"/>
        </w:rPr>
        <w:t xml:space="preserve"> J.</w:t>
      </w:r>
      <w:r w:rsidR="002802DA" w:rsidRPr="005545AF">
        <w:rPr>
          <w:rFonts w:cs="Arial"/>
          <w:szCs w:val="24"/>
          <w:lang w:val="en-CA" w:eastAsia="en-US"/>
        </w:rPr>
        <w:t xml:space="preserve"> </w:t>
      </w:r>
      <w:r w:rsidR="007C1099" w:rsidRPr="005545AF">
        <w:rPr>
          <w:rFonts w:cs="Arial"/>
          <w:szCs w:val="24"/>
          <w:lang w:val="en-CA" w:eastAsia="en-US"/>
        </w:rPr>
        <w:t xml:space="preserve">noted </w:t>
      </w:r>
      <w:r w:rsidR="0007602D" w:rsidRPr="005545AF">
        <w:rPr>
          <w:rFonts w:cs="Arial"/>
          <w:szCs w:val="24"/>
          <w:lang w:val="en-CA" w:eastAsia="en-US"/>
        </w:rPr>
        <w:t xml:space="preserve">in </w:t>
      </w:r>
      <w:r w:rsidR="002802DA" w:rsidRPr="005545AF">
        <w:rPr>
          <w:rFonts w:cs="Arial"/>
          <w:i/>
          <w:iCs/>
          <w:szCs w:val="24"/>
          <w:lang w:val="en-CA" w:eastAsia="en-US"/>
        </w:rPr>
        <w:t>St-Ferdinand</w:t>
      </w:r>
      <w:r w:rsidR="002802DA" w:rsidRPr="005545AF">
        <w:rPr>
          <w:rFonts w:cs="Arial"/>
          <w:szCs w:val="24"/>
          <w:lang w:val="en-CA" w:eastAsia="en-US"/>
        </w:rPr>
        <w:t xml:space="preserve">: </w:t>
      </w:r>
    </w:p>
    <w:p w14:paraId="2D07620E" w14:textId="101834D0" w:rsidR="002802DA" w:rsidRPr="005545AF" w:rsidRDefault="00985F84" w:rsidP="001F7377">
      <w:pPr>
        <w:pStyle w:val="Citationenretrait"/>
        <w:spacing w:line="240" w:lineRule="auto"/>
        <w:rPr>
          <w:lang w:val="en-CA" w:eastAsia="en-US"/>
        </w:rPr>
      </w:pPr>
      <w:r w:rsidRPr="005545AF">
        <w:rPr>
          <w:lang w:val="en-CA" w:eastAsia="en-US"/>
        </w:rPr>
        <w:t xml:space="preserve">From this perspective, in interpreting the expression “unlawful and intentional interference”, it is important not to confuse the intent to commit a wrongful act with the intent to cause the consequences of that act.  In this regard, the second paragraph of s. 49 of the </w:t>
      </w:r>
      <w:r w:rsidRPr="005545AF">
        <w:rPr>
          <w:i/>
          <w:iCs/>
          <w:lang w:val="en-CA" w:eastAsia="en-US"/>
        </w:rPr>
        <w:t>Charter</w:t>
      </w:r>
      <w:r w:rsidRPr="005545AF">
        <w:rPr>
          <w:lang w:val="en-CA" w:eastAsia="en-US"/>
        </w:rPr>
        <w:t xml:space="preserve"> could not be any clearer: it is the unlawful interference </w:t>
      </w:r>
      <w:r w:rsidRPr="005545AF">
        <w:rPr>
          <w:rFonts w:ascii="Cambria Math" w:hAnsi="Cambria Math" w:cs="Cambria Math"/>
          <w:lang w:val="en-CA" w:eastAsia="en-US"/>
        </w:rPr>
        <w:t>‑‑</w:t>
      </w:r>
      <w:r w:rsidRPr="005545AF">
        <w:rPr>
          <w:lang w:val="en-CA" w:eastAsia="en-US"/>
        </w:rPr>
        <w:t xml:space="preserve"> and not merely the fault </w:t>
      </w:r>
      <w:r w:rsidRPr="005545AF">
        <w:rPr>
          <w:rFonts w:ascii="Cambria Math" w:hAnsi="Cambria Math" w:cs="Cambria Math"/>
          <w:lang w:val="en-CA" w:eastAsia="en-US"/>
        </w:rPr>
        <w:t>‑‑</w:t>
      </w:r>
      <w:r w:rsidRPr="005545AF">
        <w:rPr>
          <w:lang w:val="en-CA" w:eastAsia="en-US"/>
        </w:rPr>
        <w:t xml:space="preserve"> that must be intentional</w:t>
      </w:r>
      <w:r w:rsidR="002802DA" w:rsidRPr="005545AF">
        <w:rPr>
          <w:lang w:val="en-CA" w:eastAsia="en-US"/>
        </w:rPr>
        <w:t>.</w:t>
      </w:r>
      <w:r w:rsidR="002802DA" w:rsidRPr="005545AF">
        <w:rPr>
          <w:rStyle w:val="Appelnotedebasdep"/>
          <w:rFonts w:cs="Arial"/>
          <w:szCs w:val="24"/>
          <w:lang w:val="en-CA" w:eastAsia="en-US"/>
        </w:rPr>
        <w:footnoteReference w:id="120"/>
      </w:r>
    </w:p>
    <w:p w14:paraId="0F497241" w14:textId="2E4BFB9D" w:rsidR="002802DA" w:rsidRPr="005545AF" w:rsidRDefault="002802DA" w:rsidP="001F7377">
      <w:pPr>
        <w:pStyle w:val="Paragraphe"/>
        <w:spacing w:line="240" w:lineRule="auto"/>
        <w:rPr>
          <w:rFonts w:cs="Arial"/>
          <w:szCs w:val="24"/>
          <w:lang w:val="en-CA" w:eastAsia="en-US"/>
        </w:rPr>
      </w:pPr>
      <w:bookmarkStart w:id="60" w:name="_Hlk207446507"/>
      <w:bookmarkStart w:id="61" w:name="_Hlk207447971"/>
      <w:r w:rsidRPr="005545AF">
        <w:rPr>
          <w:rFonts w:cs="Arial"/>
          <w:szCs w:val="24"/>
          <w:lang w:val="en-CA" w:eastAsia="en-US"/>
        </w:rPr>
        <w:t xml:space="preserve">Google </w:t>
      </w:r>
      <w:r w:rsidR="003D1AD2" w:rsidRPr="005545AF">
        <w:rPr>
          <w:rFonts w:cs="Arial"/>
          <w:szCs w:val="24"/>
          <w:lang w:val="en-CA" w:eastAsia="en-US"/>
        </w:rPr>
        <w:t>knew the information to be false</w:t>
      </w:r>
      <w:r w:rsidRPr="005545AF">
        <w:rPr>
          <w:rFonts w:cs="Arial"/>
          <w:szCs w:val="24"/>
          <w:lang w:val="en-CA" w:eastAsia="en-US"/>
        </w:rPr>
        <w:t xml:space="preserve">. </w:t>
      </w:r>
      <w:bookmarkStart w:id="62" w:name="_Hlk207449877"/>
      <w:r w:rsidR="003D1AD2" w:rsidRPr="005545AF">
        <w:rPr>
          <w:rFonts w:cs="Arial"/>
          <w:szCs w:val="24"/>
          <w:lang w:val="en-CA" w:eastAsia="en-US"/>
        </w:rPr>
        <w:t xml:space="preserve">It knew, having received </w:t>
      </w:r>
      <w:r w:rsidR="00BC76CE" w:rsidRPr="005545AF">
        <w:rPr>
          <w:rFonts w:cs="Arial"/>
          <w:szCs w:val="24"/>
          <w:lang w:val="en-CA" w:eastAsia="en-US"/>
        </w:rPr>
        <w:t>several emails and letters on the subject since</w:t>
      </w:r>
      <w:r w:rsidRPr="005545AF">
        <w:rPr>
          <w:rFonts w:cs="Arial"/>
          <w:szCs w:val="24"/>
          <w:lang w:val="en-CA" w:eastAsia="en-US"/>
        </w:rPr>
        <w:t xml:space="preserve"> 2007, </w:t>
      </w:r>
      <w:r w:rsidR="003D1AD2" w:rsidRPr="005545AF">
        <w:rPr>
          <w:rFonts w:cs="Arial"/>
          <w:szCs w:val="24"/>
          <w:lang w:val="en-CA" w:eastAsia="en-US"/>
        </w:rPr>
        <w:t xml:space="preserve">that </w:t>
      </w:r>
      <w:r w:rsidR="00BC76CE" w:rsidRPr="005545AF">
        <w:rPr>
          <w:rFonts w:cs="Arial"/>
          <w:szCs w:val="24"/>
          <w:lang w:val="en-CA" w:eastAsia="en-US"/>
        </w:rPr>
        <w:t>the appellant</w:t>
      </w:r>
      <w:r w:rsidR="003D1AD2" w:rsidRPr="005545AF">
        <w:rPr>
          <w:rFonts w:cs="Arial"/>
          <w:szCs w:val="24"/>
          <w:lang w:val="en-CA" w:eastAsia="en-US"/>
        </w:rPr>
        <w:t xml:space="preserve"> was suffering serious injury related to the indexing</w:t>
      </w:r>
      <w:r w:rsidRPr="005545AF">
        <w:rPr>
          <w:rFonts w:cs="Arial"/>
          <w:szCs w:val="24"/>
          <w:lang w:val="en-CA" w:eastAsia="en-US"/>
        </w:rPr>
        <w:t xml:space="preserve">. </w:t>
      </w:r>
      <w:bookmarkEnd w:id="62"/>
      <w:r w:rsidR="003D1AD2" w:rsidRPr="005545AF">
        <w:rPr>
          <w:rFonts w:cs="Arial"/>
          <w:szCs w:val="24"/>
          <w:lang w:val="en-CA" w:eastAsia="en-US"/>
        </w:rPr>
        <w:t>Not only did it know</w:t>
      </w:r>
      <w:r w:rsidR="00435641" w:rsidRPr="005545AF">
        <w:rPr>
          <w:rFonts w:cs="Arial"/>
          <w:szCs w:val="24"/>
          <w:lang w:val="en-CA" w:eastAsia="en-US"/>
        </w:rPr>
        <w:t xml:space="preserve"> this</w:t>
      </w:r>
      <w:r w:rsidR="003D1AD2" w:rsidRPr="005545AF">
        <w:rPr>
          <w:rFonts w:cs="Arial"/>
          <w:szCs w:val="24"/>
          <w:lang w:val="en-CA" w:eastAsia="en-US"/>
        </w:rPr>
        <w:t xml:space="preserve">, but it is reasonable to assume that it </w:t>
      </w:r>
      <w:r w:rsidR="00435641" w:rsidRPr="005545AF">
        <w:rPr>
          <w:rFonts w:cs="Arial"/>
          <w:szCs w:val="24"/>
          <w:lang w:val="en-CA" w:eastAsia="en-US"/>
        </w:rPr>
        <w:t>acknowledged this to be the case</w:t>
      </w:r>
      <w:r w:rsidR="003D1AD2" w:rsidRPr="005545AF">
        <w:rPr>
          <w:rFonts w:cs="Arial"/>
          <w:szCs w:val="24"/>
          <w:lang w:val="en-CA" w:eastAsia="en-US"/>
        </w:rPr>
        <w:t xml:space="preserve">, </w:t>
      </w:r>
      <w:r w:rsidR="00435641" w:rsidRPr="005545AF">
        <w:rPr>
          <w:rFonts w:cs="Arial"/>
          <w:szCs w:val="24"/>
          <w:lang w:val="en-CA" w:eastAsia="en-US"/>
        </w:rPr>
        <w:t>because</w:t>
      </w:r>
      <w:r w:rsidR="00BC76CE" w:rsidRPr="005545AF">
        <w:rPr>
          <w:rFonts w:cs="Arial"/>
          <w:szCs w:val="24"/>
          <w:lang w:val="en-CA" w:eastAsia="en-US"/>
        </w:rPr>
        <w:t xml:space="preserve"> it</w:t>
      </w:r>
      <w:r w:rsidR="00830F16" w:rsidRPr="005545AF">
        <w:rPr>
          <w:rFonts w:cs="Arial"/>
          <w:szCs w:val="24"/>
          <w:lang w:val="en-CA" w:eastAsia="en-US"/>
        </w:rPr>
        <w:t xml:space="preserve"> </w:t>
      </w:r>
      <w:r w:rsidR="00435641" w:rsidRPr="005545AF">
        <w:rPr>
          <w:rFonts w:cs="Arial"/>
          <w:szCs w:val="24"/>
          <w:lang w:val="en-CA" w:eastAsia="en-US"/>
        </w:rPr>
        <w:t xml:space="preserve">agreed </w:t>
      </w:r>
      <w:r w:rsidR="003D1AD2" w:rsidRPr="005545AF">
        <w:rPr>
          <w:rFonts w:cs="Arial"/>
          <w:szCs w:val="24"/>
          <w:lang w:val="en-CA" w:eastAsia="en-US"/>
        </w:rPr>
        <w:t xml:space="preserve">to de-index that link </w:t>
      </w:r>
      <w:r w:rsidR="00435641" w:rsidRPr="005545AF">
        <w:rPr>
          <w:rFonts w:cs="Arial"/>
          <w:szCs w:val="24"/>
          <w:lang w:val="en-CA" w:eastAsia="en-US"/>
        </w:rPr>
        <w:t xml:space="preserve">until December 2015 </w:t>
      </w:r>
      <w:r w:rsidR="003507A1" w:rsidRPr="005545AF">
        <w:rPr>
          <w:rFonts w:cs="Arial"/>
          <w:szCs w:val="24"/>
          <w:lang w:val="en-CA" w:eastAsia="en-US"/>
        </w:rPr>
        <w:t>despite the importance it claims to attach to freedom of expression and its stated policy of limiting the circulation of information as little as possible</w:t>
      </w:r>
      <w:r w:rsidRPr="005545AF">
        <w:rPr>
          <w:rFonts w:cs="Arial"/>
          <w:szCs w:val="24"/>
          <w:lang w:val="en-CA" w:eastAsia="en-US"/>
        </w:rPr>
        <w:t>.</w:t>
      </w:r>
    </w:p>
    <w:p w14:paraId="0FB0DFD0" w14:textId="1E94B383" w:rsidR="002802DA" w:rsidRPr="005545AF" w:rsidRDefault="00830F16" w:rsidP="001F7377">
      <w:pPr>
        <w:pStyle w:val="Paragraphe"/>
        <w:spacing w:line="240" w:lineRule="auto"/>
        <w:rPr>
          <w:rFonts w:cs="Arial"/>
          <w:szCs w:val="24"/>
          <w:lang w:val="en-CA" w:eastAsia="en-US"/>
        </w:rPr>
      </w:pPr>
      <w:r w:rsidRPr="005545AF">
        <w:rPr>
          <w:rFonts w:cs="Arial"/>
          <w:szCs w:val="24"/>
          <w:lang w:val="en-CA" w:eastAsia="en-US"/>
        </w:rPr>
        <w:t>Yet</w:t>
      </w:r>
      <w:r w:rsidR="002802DA" w:rsidRPr="005545AF">
        <w:rPr>
          <w:rFonts w:cs="Arial"/>
          <w:szCs w:val="24"/>
          <w:lang w:val="en-CA" w:eastAsia="en-US"/>
        </w:rPr>
        <w:t xml:space="preserve">, Google </w:t>
      </w:r>
      <w:r w:rsidRPr="005545AF">
        <w:rPr>
          <w:rFonts w:cs="Arial"/>
          <w:szCs w:val="24"/>
          <w:lang w:val="en-CA" w:eastAsia="en-US"/>
        </w:rPr>
        <w:t xml:space="preserve">maintained its position </w:t>
      </w:r>
      <w:r w:rsidR="003507A1" w:rsidRPr="005545AF">
        <w:rPr>
          <w:rFonts w:cs="Arial"/>
          <w:szCs w:val="24"/>
          <w:lang w:val="en-CA" w:eastAsia="en-US"/>
        </w:rPr>
        <w:t xml:space="preserve">and refused to proceed with the de-indexing, </w:t>
      </w:r>
      <w:r w:rsidRPr="005545AF">
        <w:rPr>
          <w:rFonts w:cs="Arial"/>
          <w:szCs w:val="24"/>
          <w:lang w:val="en-CA" w:eastAsia="en-US"/>
        </w:rPr>
        <w:t xml:space="preserve">even during the proceedings and after having read the expert reports, including that of its own expert, </w:t>
      </w:r>
      <w:r w:rsidR="003507A1" w:rsidRPr="005545AF">
        <w:rPr>
          <w:rFonts w:cs="Arial"/>
          <w:szCs w:val="24"/>
          <w:lang w:val="en-CA" w:eastAsia="en-US"/>
        </w:rPr>
        <w:t>certifying</w:t>
      </w:r>
      <w:r w:rsidRPr="005545AF">
        <w:rPr>
          <w:rFonts w:cs="Arial"/>
          <w:szCs w:val="24"/>
          <w:lang w:val="en-CA" w:eastAsia="en-US"/>
        </w:rPr>
        <w:t xml:space="preserve"> the interference with </w:t>
      </w:r>
      <w:r w:rsidR="003507A1" w:rsidRPr="005545AF">
        <w:rPr>
          <w:rFonts w:cs="Arial"/>
          <w:szCs w:val="24"/>
          <w:lang w:val="en-CA" w:eastAsia="en-US"/>
        </w:rPr>
        <w:t>the appellant</w:t>
      </w:r>
      <w:r w:rsidRPr="005545AF">
        <w:rPr>
          <w:rFonts w:cs="Arial"/>
          <w:szCs w:val="24"/>
          <w:lang w:val="en-CA" w:eastAsia="en-US"/>
        </w:rPr>
        <w:t>’s psychological integrity, and th</w:t>
      </w:r>
      <w:r w:rsidR="003507A1" w:rsidRPr="005545AF">
        <w:rPr>
          <w:rFonts w:cs="Arial"/>
          <w:szCs w:val="24"/>
          <w:lang w:val="en-CA" w:eastAsia="en-US"/>
        </w:rPr>
        <w:t>is</w:t>
      </w:r>
      <w:r w:rsidRPr="005545AF">
        <w:rPr>
          <w:rFonts w:cs="Arial"/>
          <w:szCs w:val="24"/>
          <w:lang w:val="en-CA" w:eastAsia="en-US"/>
        </w:rPr>
        <w:t>, always for the same reason</w:t>
      </w:r>
      <w:r w:rsidR="003507A1" w:rsidRPr="005545AF">
        <w:rPr>
          <w:rFonts w:cs="Arial"/>
          <w:szCs w:val="24"/>
          <w:lang w:val="en-CA" w:eastAsia="en-US"/>
        </w:rPr>
        <w:t>:</w:t>
      </w:r>
      <w:r w:rsidR="002802DA" w:rsidRPr="005545AF">
        <w:rPr>
          <w:rFonts w:cs="Arial"/>
          <w:szCs w:val="24"/>
          <w:lang w:val="en-CA" w:eastAsia="en-US"/>
        </w:rPr>
        <w:t xml:space="preserve"> </w:t>
      </w:r>
      <w:r w:rsidR="003507A1" w:rsidRPr="005545AF">
        <w:rPr>
          <w:rFonts w:cs="Arial"/>
          <w:szCs w:val="24"/>
          <w:lang w:val="en-CA" w:eastAsia="en-US"/>
        </w:rPr>
        <w:t>a</w:t>
      </w:r>
      <w:r w:rsidRPr="005545AF">
        <w:rPr>
          <w:rFonts w:cs="Arial"/>
          <w:szCs w:val="24"/>
          <w:lang w:val="en-CA" w:eastAsia="en-US"/>
        </w:rPr>
        <w:t xml:space="preserve">ccording to its interpretation of Quebec law, it was not duty-bound to de-index the bare link, </w:t>
      </w:r>
      <w:r w:rsidR="003507A1" w:rsidRPr="005545AF">
        <w:rPr>
          <w:rFonts w:cs="Arial"/>
          <w:szCs w:val="24"/>
          <w:lang w:val="en-CA" w:eastAsia="en-US"/>
        </w:rPr>
        <w:t>because</w:t>
      </w:r>
      <w:r w:rsidRPr="005545AF">
        <w:rPr>
          <w:rFonts w:cs="Arial"/>
          <w:szCs w:val="24"/>
          <w:lang w:val="en-CA" w:eastAsia="en-US"/>
        </w:rPr>
        <w:t xml:space="preserve"> it did not constitute defamation</w:t>
      </w:r>
      <w:r w:rsidR="002802DA" w:rsidRPr="005545AF">
        <w:rPr>
          <w:rFonts w:cs="Arial"/>
          <w:szCs w:val="24"/>
          <w:lang w:val="en-CA" w:eastAsia="en-US"/>
        </w:rPr>
        <w:t>.</w:t>
      </w:r>
    </w:p>
    <w:bookmarkEnd w:id="60"/>
    <w:p w14:paraId="0F86EAE2" w14:textId="00D6DFE7" w:rsidR="002802DA" w:rsidRPr="005545AF" w:rsidRDefault="005D190E" w:rsidP="001F7377">
      <w:pPr>
        <w:pStyle w:val="Paragraphe"/>
        <w:spacing w:line="240" w:lineRule="auto"/>
        <w:rPr>
          <w:lang w:val="en-CA"/>
        </w:rPr>
      </w:pPr>
      <w:r w:rsidRPr="005545AF">
        <w:rPr>
          <w:rFonts w:cs="Arial"/>
          <w:szCs w:val="24"/>
          <w:lang w:val="en-CA" w:eastAsia="en-US"/>
        </w:rPr>
        <w:t xml:space="preserve">On this point, </w:t>
      </w:r>
      <w:r w:rsidR="007E6947" w:rsidRPr="005545AF">
        <w:rPr>
          <w:rFonts w:cs="Arial"/>
          <w:szCs w:val="24"/>
          <w:lang w:val="en-CA" w:eastAsia="en-US"/>
        </w:rPr>
        <w:t xml:space="preserve">it is reasonable to assume that Google’s explanation </w:t>
      </w:r>
      <w:r w:rsidR="00C7627A" w:rsidRPr="005545AF">
        <w:rPr>
          <w:rFonts w:cs="Arial"/>
          <w:szCs w:val="24"/>
          <w:lang w:val="en-CA" w:eastAsia="en-US"/>
        </w:rPr>
        <w:t>whereas</w:t>
      </w:r>
      <w:r w:rsidR="007E6947" w:rsidRPr="005545AF">
        <w:rPr>
          <w:rFonts w:cs="Arial"/>
          <w:szCs w:val="24"/>
          <w:lang w:val="en-CA" w:eastAsia="en-US"/>
        </w:rPr>
        <w:t xml:space="preserve"> its policy was to comply with applicable law is not sufficient to displace the element of intentionality in this context</w:t>
      </w:r>
      <w:r w:rsidR="002802DA" w:rsidRPr="005545AF">
        <w:rPr>
          <w:rFonts w:cs="Arial"/>
          <w:szCs w:val="24"/>
          <w:lang w:val="en-CA" w:eastAsia="en-US"/>
        </w:rPr>
        <w:t xml:space="preserve">. Google </w:t>
      </w:r>
      <w:r w:rsidR="007E6947" w:rsidRPr="005545AF">
        <w:rPr>
          <w:rFonts w:cs="Arial"/>
          <w:szCs w:val="24"/>
          <w:lang w:val="en-CA" w:eastAsia="en-US"/>
        </w:rPr>
        <w:t xml:space="preserve">never claimed that it felt obliged to maintain indexing </w:t>
      </w:r>
      <w:r w:rsidR="007E6947" w:rsidRPr="005545AF">
        <w:rPr>
          <w:rFonts w:cs="Arial"/>
          <w:szCs w:val="24"/>
          <w:lang w:val="en-CA" w:eastAsia="en-US"/>
        </w:rPr>
        <w:lastRenderedPageBreak/>
        <w:t>of the link nor to defend legitimate expression</w:t>
      </w:r>
      <w:r w:rsidR="002802DA" w:rsidRPr="005545AF">
        <w:rPr>
          <w:rFonts w:cs="Arial"/>
          <w:szCs w:val="24"/>
          <w:lang w:val="en-CA" w:eastAsia="en-US"/>
        </w:rPr>
        <w:t xml:space="preserve">. </w:t>
      </w:r>
      <w:r w:rsidR="007E6947" w:rsidRPr="005545AF">
        <w:rPr>
          <w:rFonts w:cs="Arial"/>
          <w:szCs w:val="24"/>
          <w:lang w:val="en-CA" w:eastAsia="en-US"/>
        </w:rPr>
        <w:t xml:space="preserve">As the judge observed, alongside this minimal de-indexing policy </w:t>
      </w:r>
      <w:r w:rsidR="0086250A" w:rsidRPr="005545AF">
        <w:rPr>
          <w:rFonts w:cs="Arial"/>
          <w:szCs w:val="24"/>
          <w:lang w:val="en-CA" w:eastAsia="en-US"/>
        </w:rPr>
        <w:t>to</w:t>
      </w:r>
      <w:r w:rsidR="007E6947" w:rsidRPr="005545AF">
        <w:rPr>
          <w:rFonts w:cs="Arial"/>
          <w:szCs w:val="24"/>
          <w:lang w:val="en-CA" w:eastAsia="en-US"/>
        </w:rPr>
        <w:t xml:space="preserve"> comply with applicable law, Google publicly </w:t>
      </w:r>
      <w:r w:rsidR="0086250A" w:rsidRPr="005545AF">
        <w:rPr>
          <w:rFonts w:cs="Arial"/>
          <w:szCs w:val="24"/>
          <w:lang w:val="en-CA" w:eastAsia="en-US"/>
        </w:rPr>
        <w:t>claim</w:t>
      </w:r>
      <w:r w:rsidR="00C7627A" w:rsidRPr="005545AF">
        <w:rPr>
          <w:rFonts w:cs="Arial"/>
          <w:szCs w:val="24"/>
          <w:lang w:val="en-CA" w:eastAsia="en-US"/>
        </w:rPr>
        <w:t>ed</w:t>
      </w:r>
      <w:r w:rsidR="0086250A" w:rsidRPr="005545AF">
        <w:rPr>
          <w:rFonts w:cs="Arial"/>
          <w:szCs w:val="24"/>
          <w:lang w:val="en-CA" w:eastAsia="en-US"/>
        </w:rPr>
        <w:t xml:space="preserve"> to be</w:t>
      </w:r>
      <w:r w:rsidR="007E6947" w:rsidRPr="005545AF">
        <w:rPr>
          <w:rFonts w:cs="Arial"/>
          <w:szCs w:val="24"/>
          <w:lang w:val="en-CA" w:eastAsia="en-US"/>
        </w:rPr>
        <w:t xml:space="preserve"> a reliable source of information and </w:t>
      </w:r>
      <w:r w:rsidR="0086250A" w:rsidRPr="005545AF">
        <w:rPr>
          <w:rFonts w:cs="Arial"/>
          <w:szCs w:val="24"/>
          <w:lang w:val="en-CA" w:eastAsia="en-US"/>
        </w:rPr>
        <w:t>aim</w:t>
      </w:r>
      <w:r w:rsidR="00C7627A" w:rsidRPr="005545AF">
        <w:rPr>
          <w:rFonts w:cs="Arial"/>
          <w:szCs w:val="24"/>
          <w:lang w:val="en-CA" w:eastAsia="en-US"/>
        </w:rPr>
        <w:t>ed</w:t>
      </w:r>
      <w:r w:rsidR="007E6947" w:rsidRPr="005545AF">
        <w:rPr>
          <w:rFonts w:cs="Arial"/>
          <w:szCs w:val="24"/>
          <w:lang w:val="en-CA" w:eastAsia="en-US"/>
        </w:rPr>
        <w:t xml:space="preserve"> to combat disinformation or otherwise harmful content.</w:t>
      </w:r>
      <w:r w:rsidR="002802DA" w:rsidRPr="005545AF">
        <w:rPr>
          <w:rStyle w:val="Appelnotedebasdep"/>
          <w:rFonts w:cs="Arial"/>
          <w:szCs w:val="24"/>
          <w:lang w:val="en-CA" w:eastAsia="en-US"/>
        </w:rPr>
        <w:footnoteReference w:id="121"/>
      </w:r>
      <w:r w:rsidR="007E6947" w:rsidRPr="005545AF">
        <w:rPr>
          <w:rFonts w:cs="Arial"/>
          <w:szCs w:val="24"/>
          <w:lang w:val="en-CA" w:eastAsia="en-US"/>
        </w:rPr>
        <w:t xml:space="preserve"> Why, then, re-index a link that is known to be both? In his testimony</w:t>
      </w:r>
      <w:r w:rsidR="002802DA" w:rsidRPr="005545AF">
        <w:rPr>
          <w:rFonts w:cs="Arial"/>
          <w:szCs w:val="24"/>
          <w:lang w:val="en-CA" w:eastAsia="en-US"/>
        </w:rPr>
        <w:t>, Anthony Nichols</w:t>
      </w:r>
      <w:r w:rsidR="007E6947" w:rsidRPr="005545AF">
        <w:rPr>
          <w:rFonts w:cs="Arial"/>
          <w:szCs w:val="24"/>
          <w:lang w:val="en-CA" w:eastAsia="en-US"/>
        </w:rPr>
        <w:t>,</w:t>
      </w:r>
      <w:r w:rsidR="002802DA" w:rsidRPr="005545AF">
        <w:rPr>
          <w:rFonts w:cs="Arial"/>
          <w:szCs w:val="24"/>
          <w:lang w:val="en-CA" w:eastAsia="en-US"/>
        </w:rPr>
        <w:t xml:space="preserve"> </w:t>
      </w:r>
      <w:r w:rsidR="007E6947" w:rsidRPr="005545AF">
        <w:rPr>
          <w:rFonts w:cs="Arial"/>
          <w:szCs w:val="24"/>
          <w:lang w:val="en-CA" w:eastAsia="en-US"/>
        </w:rPr>
        <w:t>“</w:t>
      </w:r>
      <w:r w:rsidR="002802DA" w:rsidRPr="005545AF">
        <w:rPr>
          <w:rFonts w:cs="Arial"/>
          <w:szCs w:val="24"/>
          <w:lang w:val="en-CA" w:eastAsia="en-US"/>
        </w:rPr>
        <w:t>Legal Removal Specialist</w:t>
      </w:r>
      <w:r w:rsidR="007E6947" w:rsidRPr="005545AF">
        <w:rPr>
          <w:rFonts w:cs="Arial"/>
          <w:szCs w:val="24"/>
          <w:lang w:val="en-CA" w:eastAsia="en-US"/>
        </w:rPr>
        <w:t>”</w:t>
      </w:r>
      <w:r w:rsidR="002802DA" w:rsidRPr="005545AF">
        <w:rPr>
          <w:rFonts w:cs="Arial"/>
          <w:szCs w:val="24"/>
          <w:lang w:val="en-CA" w:eastAsia="en-US"/>
        </w:rPr>
        <w:t xml:space="preserve"> </w:t>
      </w:r>
      <w:r w:rsidR="007E6947" w:rsidRPr="005545AF">
        <w:rPr>
          <w:rFonts w:cs="Arial"/>
          <w:szCs w:val="24"/>
          <w:lang w:val="en-CA" w:eastAsia="en-US"/>
        </w:rPr>
        <w:t>at</w:t>
      </w:r>
      <w:r w:rsidR="002802DA" w:rsidRPr="005545AF">
        <w:rPr>
          <w:rFonts w:cs="Arial"/>
          <w:szCs w:val="24"/>
          <w:lang w:val="en-CA" w:eastAsia="en-US"/>
        </w:rPr>
        <w:t xml:space="preserve"> Google, </w:t>
      </w:r>
      <w:r w:rsidR="007E6947" w:rsidRPr="005545AF">
        <w:rPr>
          <w:rFonts w:cs="Arial"/>
          <w:szCs w:val="24"/>
          <w:lang w:val="en-CA" w:eastAsia="en-US"/>
        </w:rPr>
        <w:t>claimed that the latter has a voluntary de-indexing policy when a court declares content to be defamatory and orders its author to remove it even when no</w:t>
      </w:r>
      <w:r w:rsidR="0086250A" w:rsidRPr="005545AF">
        <w:rPr>
          <w:rFonts w:cs="Arial"/>
          <w:szCs w:val="24"/>
          <w:lang w:val="en-CA" w:eastAsia="en-US"/>
        </w:rPr>
        <w:t xml:space="preserve"> injunction is </w:t>
      </w:r>
      <w:r w:rsidR="00DB4623" w:rsidRPr="005545AF">
        <w:rPr>
          <w:rFonts w:cs="Arial"/>
          <w:szCs w:val="24"/>
          <w:lang w:val="en-CA" w:eastAsia="en-US"/>
        </w:rPr>
        <w:t>directed</w:t>
      </w:r>
      <w:r w:rsidR="0086250A" w:rsidRPr="005545AF">
        <w:rPr>
          <w:rFonts w:cs="Arial"/>
          <w:szCs w:val="24"/>
          <w:lang w:val="en-CA" w:eastAsia="en-US"/>
        </w:rPr>
        <w:t xml:space="preserve"> at</w:t>
      </w:r>
      <w:r w:rsidR="002802DA" w:rsidRPr="005545AF">
        <w:rPr>
          <w:rFonts w:cs="Arial"/>
          <w:szCs w:val="24"/>
          <w:lang w:val="en-CA" w:eastAsia="en-US"/>
        </w:rPr>
        <w:t xml:space="preserve"> Google</w:t>
      </w:r>
      <w:r w:rsidR="0086250A" w:rsidRPr="005545AF">
        <w:rPr>
          <w:rFonts w:cs="Arial"/>
          <w:szCs w:val="24"/>
          <w:lang w:val="en-CA" w:eastAsia="en-US"/>
        </w:rPr>
        <w:t>.</w:t>
      </w:r>
      <w:r w:rsidR="002802DA" w:rsidRPr="005545AF">
        <w:rPr>
          <w:rFonts w:cs="Arial"/>
          <w:szCs w:val="24"/>
          <w:vertAlign w:val="superscript"/>
          <w:lang w:val="en-CA" w:eastAsia="en-US"/>
        </w:rPr>
        <w:footnoteReference w:id="122"/>
      </w:r>
      <w:r w:rsidR="0086250A" w:rsidRPr="005545AF">
        <w:rPr>
          <w:rFonts w:cs="Arial"/>
          <w:szCs w:val="24"/>
          <w:lang w:val="en-CA" w:eastAsia="en-US"/>
        </w:rPr>
        <w:t xml:space="preserve"> He also stated that Google voluntarily de-indexes other undesirable content.</w:t>
      </w:r>
      <w:r w:rsidR="002802DA" w:rsidRPr="005545AF">
        <w:rPr>
          <w:rFonts w:cs="Arial"/>
          <w:szCs w:val="24"/>
          <w:vertAlign w:val="superscript"/>
          <w:lang w:val="en-CA" w:eastAsia="en-US"/>
        </w:rPr>
        <w:footnoteReference w:id="123"/>
      </w:r>
      <w:r w:rsidR="002802DA" w:rsidRPr="005545AF">
        <w:rPr>
          <w:rFonts w:cs="Arial"/>
          <w:szCs w:val="24"/>
          <w:lang w:val="en-CA" w:eastAsia="en-US"/>
        </w:rPr>
        <w:t xml:space="preserve"> </w:t>
      </w:r>
      <w:r w:rsidR="0086250A" w:rsidRPr="005545AF">
        <w:rPr>
          <w:rFonts w:cs="Arial"/>
          <w:szCs w:val="24"/>
          <w:lang w:val="en-CA" w:eastAsia="en-US"/>
        </w:rPr>
        <w:t>What</w:t>
      </w:r>
      <w:r w:rsidR="002802DA" w:rsidRPr="005545AF">
        <w:rPr>
          <w:rFonts w:cs="Arial"/>
          <w:szCs w:val="24"/>
          <w:lang w:val="en-CA" w:eastAsia="en-US"/>
        </w:rPr>
        <w:t xml:space="preserve"> Google</w:t>
      </w:r>
      <w:r w:rsidR="0086250A" w:rsidRPr="005545AF">
        <w:rPr>
          <w:rFonts w:cs="Arial"/>
          <w:szCs w:val="24"/>
          <w:lang w:val="en-CA" w:eastAsia="en-US"/>
        </w:rPr>
        <w:t xml:space="preserve"> does not </w:t>
      </w:r>
      <w:r w:rsidR="00DB4623" w:rsidRPr="005545AF">
        <w:rPr>
          <w:rFonts w:cs="Arial"/>
          <w:szCs w:val="24"/>
          <w:lang w:val="en-CA" w:eastAsia="en-US"/>
        </w:rPr>
        <w:t>want</w:t>
      </w:r>
      <w:r w:rsidR="002802DA" w:rsidRPr="005545AF">
        <w:rPr>
          <w:rFonts w:cs="Arial"/>
          <w:szCs w:val="24"/>
          <w:lang w:val="en-CA" w:eastAsia="en-US"/>
        </w:rPr>
        <w:t xml:space="preserve">, </w:t>
      </w:r>
      <w:r w:rsidR="0086250A" w:rsidRPr="005545AF">
        <w:rPr>
          <w:rFonts w:cs="Arial"/>
          <w:szCs w:val="24"/>
          <w:lang w:val="en-CA" w:eastAsia="en-US"/>
        </w:rPr>
        <w:t>and this is easily understandable</w:t>
      </w:r>
      <w:r w:rsidR="002802DA" w:rsidRPr="005545AF">
        <w:rPr>
          <w:rFonts w:cs="Arial"/>
          <w:szCs w:val="24"/>
          <w:lang w:val="en-CA" w:eastAsia="en-US"/>
        </w:rPr>
        <w:t xml:space="preserve">, </w:t>
      </w:r>
      <w:r w:rsidR="0086250A" w:rsidRPr="005545AF">
        <w:rPr>
          <w:rFonts w:cs="Arial"/>
          <w:szCs w:val="24"/>
          <w:lang w:val="en-CA" w:eastAsia="en-US"/>
        </w:rPr>
        <w:t>is to have to assess whether information is defamatory</w:t>
      </w:r>
      <w:r w:rsidR="002802DA" w:rsidRPr="005545AF">
        <w:rPr>
          <w:rFonts w:cs="Arial"/>
          <w:szCs w:val="24"/>
          <w:lang w:val="en-CA" w:eastAsia="en-US"/>
        </w:rPr>
        <w:t xml:space="preserve">. </w:t>
      </w:r>
      <w:r w:rsidR="0086250A" w:rsidRPr="005545AF">
        <w:rPr>
          <w:rFonts w:cs="Arial"/>
          <w:szCs w:val="24"/>
          <w:lang w:val="en-CA" w:eastAsia="en-US"/>
        </w:rPr>
        <w:t xml:space="preserve">It will therefore de-index carefully, based on the circumstances </w:t>
      </w:r>
      <w:r w:rsidR="00C7627A" w:rsidRPr="005545AF">
        <w:rPr>
          <w:rFonts w:cs="Arial"/>
          <w:szCs w:val="24"/>
          <w:lang w:val="en-CA" w:eastAsia="en-US"/>
        </w:rPr>
        <w:t xml:space="preserve">and </w:t>
      </w:r>
      <w:r w:rsidR="0086250A" w:rsidRPr="005545AF">
        <w:rPr>
          <w:rFonts w:cs="Arial"/>
          <w:szCs w:val="24"/>
          <w:lang w:val="en-CA" w:eastAsia="en-US"/>
        </w:rPr>
        <w:t>type of content</w:t>
      </w:r>
      <w:r w:rsidR="002802DA" w:rsidRPr="005545AF">
        <w:rPr>
          <w:rFonts w:cs="Arial"/>
          <w:szCs w:val="24"/>
          <w:lang w:val="en-CA" w:eastAsia="en-US"/>
        </w:rPr>
        <w:t xml:space="preserve">. </w:t>
      </w:r>
    </w:p>
    <w:p w14:paraId="45ED9C0B" w14:textId="08826813" w:rsidR="002802DA" w:rsidRPr="005545AF" w:rsidRDefault="006007F2" w:rsidP="001F7377">
      <w:pPr>
        <w:pStyle w:val="Paragraphe"/>
        <w:spacing w:line="240" w:lineRule="auto"/>
        <w:rPr>
          <w:rFonts w:cs="Arial"/>
          <w:szCs w:val="24"/>
          <w:lang w:val="en-CA" w:eastAsia="en-US"/>
        </w:rPr>
      </w:pPr>
      <w:r w:rsidRPr="005545AF">
        <w:rPr>
          <w:rFonts w:cs="Arial"/>
          <w:szCs w:val="24"/>
          <w:lang w:val="en-CA" w:eastAsia="en-US"/>
        </w:rPr>
        <w:t>But, once again</w:t>
      </w:r>
      <w:r w:rsidR="002802DA" w:rsidRPr="005545AF">
        <w:rPr>
          <w:rFonts w:cs="Arial"/>
          <w:szCs w:val="24"/>
          <w:lang w:val="en-CA" w:eastAsia="en-US"/>
        </w:rPr>
        <w:t xml:space="preserve">, </w:t>
      </w:r>
      <w:r w:rsidRPr="005545AF">
        <w:rPr>
          <w:rFonts w:cs="Arial"/>
          <w:szCs w:val="24"/>
          <w:lang w:val="en-CA" w:eastAsia="en-US"/>
        </w:rPr>
        <w:t>that difficulty does not arise here</w:t>
      </w:r>
      <w:r w:rsidR="002802DA" w:rsidRPr="005545AF">
        <w:rPr>
          <w:rFonts w:cs="Arial"/>
          <w:szCs w:val="24"/>
          <w:lang w:val="en-CA" w:eastAsia="en-US"/>
        </w:rPr>
        <w:t xml:space="preserve">. </w:t>
      </w:r>
      <w:r w:rsidRPr="005545AF">
        <w:rPr>
          <w:lang w:val="en-CA"/>
        </w:rPr>
        <w:t>Google refuse</w:t>
      </w:r>
      <w:r w:rsidR="00C56521" w:rsidRPr="005545AF">
        <w:rPr>
          <w:lang w:val="en-CA"/>
        </w:rPr>
        <w:t>d</w:t>
      </w:r>
      <w:r w:rsidRPr="005545AF">
        <w:rPr>
          <w:lang w:val="en-CA"/>
        </w:rPr>
        <w:t xml:space="preserve"> </w:t>
      </w:r>
      <w:r w:rsidR="00B024C5" w:rsidRPr="005545AF">
        <w:rPr>
          <w:lang w:val="en-CA"/>
        </w:rPr>
        <w:t>to</w:t>
      </w:r>
      <w:r w:rsidRPr="005545AF">
        <w:rPr>
          <w:lang w:val="en-CA"/>
        </w:rPr>
        <w:t xml:space="preserve"> </w:t>
      </w:r>
      <w:r w:rsidR="00F73142" w:rsidRPr="005545AF">
        <w:rPr>
          <w:lang w:val="en-CA"/>
        </w:rPr>
        <w:t xml:space="preserve">once more </w:t>
      </w:r>
      <w:r w:rsidRPr="005545AF">
        <w:rPr>
          <w:lang w:val="en-CA"/>
        </w:rPr>
        <w:t>de-index</w:t>
      </w:r>
      <w:r w:rsidR="00B024C5" w:rsidRPr="005545AF">
        <w:rPr>
          <w:lang w:val="en-CA"/>
        </w:rPr>
        <w:t xml:space="preserve"> </w:t>
      </w:r>
      <w:r w:rsidRPr="005545AF">
        <w:rPr>
          <w:lang w:val="en-CA"/>
        </w:rPr>
        <w:t xml:space="preserve">the link leading to the </w:t>
      </w:r>
      <w:r w:rsidR="004A5D7E" w:rsidRPr="005545AF">
        <w:rPr>
          <w:lang w:val="en-CA"/>
        </w:rPr>
        <w:t>Impugned Post</w:t>
      </w:r>
      <w:r w:rsidR="00F73142" w:rsidRPr="005545AF">
        <w:rPr>
          <w:lang w:val="en-CA"/>
        </w:rPr>
        <w:t>,</w:t>
      </w:r>
      <w:r w:rsidR="002802DA" w:rsidRPr="005545AF">
        <w:rPr>
          <w:lang w:val="en-CA"/>
        </w:rPr>
        <w:t xml:space="preserve"> </w:t>
      </w:r>
      <w:r w:rsidR="00B024C5" w:rsidRPr="005545AF">
        <w:rPr>
          <w:lang w:val="en-CA"/>
        </w:rPr>
        <w:t xml:space="preserve">knowing that its content </w:t>
      </w:r>
      <w:r w:rsidR="00F73142" w:rsidRPr="005545AF">
        <w:rPr>
          <w:lang w:val="en-CA"/>
        </w:rPr>
        <w:t>was</w:t>
      </w:r>
      <w:r w:rsidR="00B024C5" w:rsidRPr="005545AF">
        <w:rPr>
          <w:lang w:val="en-CA"/>
        </w:rPr>
        <w:t xml:space="preserve"> false and aware of the consequences that its conduct had on </w:t>
      </w:r>
      <w:r w:rsidR="002B268A" w:rsidRPr="005545AF">
        <w:rPr>
          <w:lang w:val="en-CA"/>
        </w:rPr>
        <w:t>the appellant</w:t>
      </w:r>
      <w:r w:rsidR="00B024C5" w:rsidRPr="005545AF">
        <w:rPr>
          <w:lang w:val="en-CA"/>
        </w:rPr>
        <w:t>’s integrity.</w:t>
      </w:r>
      <w:r w:rsidR="002802DA" w:rsidRPr="005545AF">
        <w:rPr>
          <w:lang w:val="en-CA"/>
        </w:rPr>
        <w:t xml:space="preserve"> </w:t>
      </w:r>
      <w:r w:rsidR="00C40220" w:rsidRPr="005545AF">
        <w:rPr>
          <w:lang w:val="en-CA"/>
        </w:rPr>
        <w:t>These were not</w:t>
      </w:r>
      <w:r w:rsidR="00B024C5" w:rsidRPr="005545AF">
        <w:rPr>
          <w:lang w:val="en-CA"/>
        </w:rPr>
        <w:t xml:space="preserve"> extremely </w:t>
      </w:r>
      <w:r w:rsidR="00C40220" w:rsidRPr="005545AF">
        <w:rPr>
          <w:lang w:val="en-CA"/>
        </w:rPr>
        <w:t>probable</w:t>
      </w:r>
      <w:r w:rsidR="00B024C5" w:rsidRPr="005545AF">
        <w:rPr>
          <w:lang w:val="en-CA"/>
        </w:rPr>
        <w:t xml:space="preserve"> future consequences, but</w:t>
      </w:r>
      <w:r w:rsidR="00C40220" w:rsidRPr="005545AF">
        <w:rPr>
          <w:lang w:val="en-CA"/>
        </w:rPr>
        <w:t xml:space="preserve">, rather, </w:t>
      </w:r>
      <w:r w:rsidR="00B024C5" w:rsidRPr="005545AF">
        <w:rPr>
          <w:lang w:val="en-CA"/>
        </w:rPr>
        <w:t xml:space="preserve">consequences that had already occurred and </w:t>
      </w:r>
      <w:r w:rsidR="00C40220" w:rsidRPr="005545AF">
        <w:rPr>
          <w:lang w:val="en-CA"/>
        </w:rPr>
        <w:t xml:space="preserve">that </w:t>
      </w:r>
      <w:r w:rsidR="00B024C5" w:rsidRPr="005545AF">
        <w:rPr>
          <w:lang w:val="en-CA"/>
        </w:rPr>
        <w:t xml:space="preserve">were </w:t>
      </w:r>
      <w:r w:rsidR="00F73142" w:rsidRPr="005545AF">
        <w:rPr>
          <w:lang w:val="en-CA"/>
        </w:rPr>
        <w:t>ongoi</w:t>
      </w:r>
      <w:r w:rsidR="00B024C5" w:rsidRPr="005545AF">
        <w:rPr>
          <w:lang w:val="en-CA"/>
        </w:rPr>
        <w:t>ng</w:t>
      </w:r>
      <w:r w:rsidR="002802DA" w:rsidRPr="005545AF">
        <w:rPr>
          <w:lang w:val="en-CA"/>
        </w:rPr>
        <w:t xml:space="preserve">. </w:t>
      </w:r>
      <w:r w:rsidR="00B024C5" w:rsidRPr="005545AF">
        <w:rPr>
          <w:lang w:val="en-CA"/>
        </w:rPr>
        <w:t xml:space="preserve">Indeed, not only </w:t>
      </w:r>
      <w:r w:rsidR="00F73142" w:rsidRPr="005545AF">
        <w:rPr>
          <w:lang w:val="en-CA"/>
        </w:rPr>
        <w:t>was</w:t>
      </w:r>
      <w:r w:rsidR="00B024C5" w:rsidRPr="005545AF">
        <w:rPr>
          <w:lang w:val="en-CA"/>
        </w:rPr>
        <w:t xml:space="preserve"> the post </w:t>
      </w:r>
      <w:r w:rsidR="00F73142" w:rsidRPr="005545AF">
        <w:rPr>
          <w:lang w:val="en-CA"/>
        </w:rPr>
        <w:t>evidently</w:t>
      </w:r>
      <w:r w:rsidR="00B024C5" w:rsidRPr="005545AF">
        <w:rPr>
          <w:lang w:val="en-CA"/>
        </w:rPr>
        <w:t xml:space="preserve"> defamatory </w:t>
      </w:r>
      <w:r w:rsidR="00A276D0" w:rsidRPr="005545AF">
        <w:rPr>
          <w:lang w:val="en-CA"/>
        </w:rPr>
        <w:t xml:space="preserve">on its face </w:t>
      </w:r>
      <w:r w:rsidR="002B268A" w:rsidRPr="005545AF">
        <w:rPr>
          <w:lang w:val="en-CA"/>
        </w:rPr>
        <w:t>given the seriousness and</w:t>
      </w:r>
      <w:r w:rsidR="00A276D0" w:rsidRPr="005545AF">
        <w:rPr>
          <w:lang w:val="en-CA"/>
        </w:rPr>
        <w:t xml:space="preserve"> falsity of the information re</w:t>
      </w:r>
      <w:r w:rsidR="00C40220" w:rsidRPr="005545AF">
        <w:rPr>
          <w:lang w:val="en-CA"/>
        </w:rPr>
        <w:t>ported</w:t>
      </w:r>
      <w:r w:rsidR="00A276D0" w:rsidRPr="005545AF">
        <w:rPr>
          <w:lang w:val="en-CA"/>
        </w:rPr>
        <w:t>, but</w:t>
      </w:r>
      <w:r w:rsidR="00B024C5" w:rsidRPr="005545AF">
        <w:rPr>
          <w:lang w:val="en-CA"/>
        </w:rPr>
        <w:t xml:space="preserve"> Google</w:t>
      </w:r>
      <w:r w:rsidR="00F73142" w:rsidRPr="005545AF">
        <w:rPr>
          <w:lang w:val="en-CA"/>
        </w:rPr>
        <w:t xml:space="preserve"> had</w:t>
      </w:r>
      <w:r w:rsidR="00B024C5" w:rsidRPr="005545AF">
        <w:rPr>
          <w:lang w:val="en-CA"/>
        </w:rPr>
        <w:t xml:space="preserve"> been</w:t>
      </w:r>
      <w:r w:rsidR="00A276D0" w:rsidRPr="005545AF">
        <w:rPr>
          <w:lang w:val="en-CA"/>
        </w:rPr>
        <w:t xml:space="preserve"> expressly informed since</w:t>
      </w:r>
      <w:r w:rsidR="002802DA" w:rsidRPr="005545AF">
        <w:rPr>
          <w:lang w:val="en-CA"/>
        </w:rPr>
        <w:t xml:space="preserve"> 2007 </w:t>
      </w:r>
      <w:r w:rsidR="002B268A" w:rsidRPr="005545AF">
        <w:rPr>
          <w:lang w:val="en-CA"/>
        </w:rPr>
        <w:t xml:space="preserve">of the consequences </w:t>
      </w:r>
      <w:r w:rsidR="00A276D0" w:rsidRPr="005545AF">
        <w:rPr>
          <w:lang w:val="en-CA"/>
        </w:rPr>
        <w:t>of the indexing of the Contentious Link</w:t>
      </w:r>
      <w:r w:rsidR="002B268A" w:rsidRPr="005545AF">
        <w:rPr>
          <w:lang w:val="en-CA"/>
        </w:rPr>
        <w:t xml:space="preserve"> on the appellant</w:t>
      </w:r>
      <w:r w:rsidR="00A276D0" w:rsidRPr="005545AF">
        <w:rPr>
          <w:lang w:val="en-CA"/>
        </w:rPr>
        <w:t xml:space="preserve">, which </w:t>
      </w:r>
      <w:r w:rsidR="00C40220" w:rsidRPr="005545AF">
        <w:rPr>
          <w:lang w:val="en-CA"/>
        </w:rPr>
        <w:t>in fact</w:t>
      </w:r>
      <w:r w:rsidR="00A276D0" w:rsidRPr="005545AF">
        <w:rPr>
          <w:lang w:val="en-CA"/>
        </w:rPr>
        <w:t xml:space="preserve"> led to its decision to de-index the link until</w:t>
      </w:r>
      <w:r w:rsidR="002802DA" w:rsidRPr="005545AF">
        <w:rPr>
          <w:lang w:val="en-CA"/>
        </w:rPr>
        <w:t xml:space="preserve"> 2015. </w:t>
      </w:r>
      <w:r w:rsidR="00A276D0" w:rsidRPr="005545AF">
        <w:rPr>
          <w:lang w:val="en-CA"/>
        </w:rPr>
        <w:t xml:space="preserve">Thus, in </w:t>
      </w:r>
      <w:r w:rsidR="002B268A" w:rsidRPr="005545AF">
        <w:rPr>
          <w:lang w:val="en-CA"/>
        </w:rPr>
        <w:t>his</w:t>
      </w:r>
      <w:r w:rsidR="00A276D0" w:rsidRPr="005545AF">
        <w:rPr>
          <w:lang w:val="en-CA"/>
        </w:rPr>
        <w:t xml:space="preserve"> letter dated April 2</w:t>
      </w:r>
      <w:r w:rsidR="002802DA" w:rsidRPr="005545AF">
        <w:rPr>
          <w:lang w:val="en-CA"/>
        </w:rPr>
        <w:t>7</w:t>
      </w:r>
      <w:r w:rsidR="00A276D0" w:rsidRPr="005545AF">
        <w:rPr>
          <w:lang w:val="en-CA"/>
        </w:rPr>
        <w:t>,</w:t>
      </w:r>
      <w:r w:rsidR="002802DA" w:rsidRPr="005545AF">
        <w:rPr>
          <w:lang w:val="en-CA"/>
        </w:rPr>
        <w:t xml:space="preserve"> 2007, </w:t>
      </w:r>
      <w:r w:rsidR="002B268A" w:rsidRPr="005545AF">
        <w:rPr>
          <w:lang w:val="en-CA"/>
        </w:rPr>
        <w:t>a friend of the appellant</w:t>
      </w:r>
      <w:r w:rsidR="002802DA" w:rsidRPr="005545AF">
        <w:rPr>
          <w:lang w:val="en-CA"/>
        </w:rPr>
        <w:t xml:space="preserve"> </w:t>
      </w:r>
      <w:r w:rsidR="00A276D0" w:rsidRPr="005545AF">
        <w:rPr>
          <w:lang w:val="en-CA"/>
        </w:rPr>
        <w:t>informed</w:t>
      </w:r>
      <w:r w:rsidR="002802DA" w:rsidRPr="005545AF">
        <w:rPr>
          <w:lang w:val="en-CA"/>
        </w:rPr>
        <w:t xml:space="preserve"> Google </w:t>
      </w:r>
      <w:r w:rsidR="00A276D0" w:rsidRPr="005545AF">
        <w:rPr>
          <w:lang w:val="en-CA"/>
        </w:rPr>
        <w:t>that “[g]</w:t>
      </w:r>
      <w:r w:rsidR="002802DA" w:rsidRPr="005545AF">
        <w:rPr>
          <w:lang w:val="en-CA"/>
        </w:rPr>
        <w:t xml:space="preserve">iven Google’s pre-eminence in Internet search, this represents a crippling and permanent blow to </w:t>
      </w:r>
      <w:r w:rsidR="00FC23C6" w:rsidRPr="005545AF">
        <w:rPr>
          <w:lang w:val="en-CA"/>
        </w:rPr>
        <w:t>[A.B.]</w:t>
      </w:r>
      <w:r w:rsidR="002802DA" w:rsidRPr="005545AF">
        <w:rPr>
          <w:lang w:val="en-CA"/>
        </w:rPr>
        <w:t>’s name, reputation and business</w:t>
      </w:r>
      <w:r w:rsidR="00A276D0" w:rsidRPr="005545AF">
        <w:rPr>
          <w:lang w:val="en-CA"/>
        </w:rPr>
        <w:t>.”</w:t>
      </w:r>
      <w:r w:rsidR="00E347C9" w:rsidRPr="005545AF">
        <w:rPr>
          <w:rStyle w:val="Appelnotedebasdep"/>
        </w:rPr>
        <w:footnoteReference w:id="124"/>
      </w:r>
      <w:r w:rsidR="00A276D0" w:rsidRPr="005545AF">
        <w:rPr>
          <w:lang w:val="en-CA"/>
        </w:rPr>
        <w:t xml:space="preserve"> Th</w:t>
      </w:r>
      <w:r w:rsidR="00086E31" w:rsidRPr="005545AF">
        <w:rPr>
          <w:lang w:val="en-CA"/>
        </w:rPr>
        <w:t>erefore</w:t>
      </w:r>
      <w:r w:rsidR="00A276D0" w:rsidRPr="005545AF">
        <w:rPr>
          <w:lang w:val="en-CA"/>
        </w:rPr>
        <w:t>, in</w:t>
      </w:r>
      <w:r w:rsidR="002802DA" w:rsidRPr="005545AF">
        <w:rPr>
          <w:lang w:val="en-CA"/>
        </w:rPr>
        <w:t xml:space="preserve"> 2015, </w:t>
      </w:r>
      <w:r w:rsidR="00A276D0" w:rsidRPr="005545AF">
        <w:rPr>
          <w:lang w:val="en-CA"/>
        </w:rPr>
        <w:t xml:space="preserve">when Google refused to de-index the </w:t>
      </w:r>
      <w:r w:rsidR="004A5D7E" w:rsidRPr="005545AF">
        <w:rPr>
          <w:lang w:val="en-CA"/>
        </w:rPr>
        <w:t>Impugned Post</w:t>
      </w:r>
      <w:r w:rsidR="00A276D0" w:rsidRPr="005545AF">
        <w:rPr>
          <w:lang w:val="en-CA"/>
        </w:rPr>
        <w:t xml:space="preserve">, consequently committing a civil fault, it was acting with full knowledge of the interference caused to </w:t>
      </w:r>
      <w:r w:rsidR="002B268A" w:rsidRPr="005545AF">
        <w:rPr>
          <w:lang w:val="en-CA"/>
        </w:rPr>
        <w:t>the appellant</w:t>
      </w:r>
      <w:r w:rsidR="00A276D0" w:rsidRPr="005545AF">
        <w:rPr>
          <w:lang w:val="en-CA"/>
        </w:rPr>
        <w:t xml:space="preserve"> who</w:t>
      </w:r>
      <w:r w:rsidR="00F73142" w:rsidRPr="005545AF">
        <w:rPr>
          <w:lang w:val="en-CA"/>
        </w:rPr>
        <w:t xml:space="preserve"> </w:t>
      </w:r>
      <w:r w:rsidR="00A276D0" w:rsidRPr="005545AF">
        <w:rPr>
          <w:lang w:val="en-CA"/>
        </w:rPr>
        <w:t>informed it</w:t>
      </w:r>
      <w:r w:rsidR="002802DA" w:rsidRPr="005545AF">
        <w:rPr>
          <w:lang w:val="en-CA"/>
        </w:rPr>
        <w:t xml:space="preserve">: </w:t>
      </w:r>
      <w:r w:rsidR="00A276D0" w:rsidRPr="005545AF">
        <w:rPr>
          <w:lang w:val="en-CA"/>
        </w:rPr>
        <w:t>“</w:t>
      </w:r>
      <w:r w:rsidR="002802DA" w:rsidRPr="005545AF">
        <w:rPr>
          <w:lang w:val="en-CA"/>
        </w:rPr>
        <w:t>I cannot overstate the injury that this label is doing to me as an individual and as a business person</w:t>
      </w:r>
      <w:r w:rsidR="00A276D0" w:rsidRPr="005545AF">
        <w:rPr>
          <w:lang w:val="en-CA"/>
        </w:rPr>
        <w:t>.”</w:t>
      </w:r>
      <w:bookmarkEnd w:id="61"/>
      <w:r w:rsidR="00E347C9" w:rsidRPr="005545AF">
        <w:rPr>
          <w:rStyle w:val="Appelnotedebasdep"/>
        </w:rPr>
        <w:footnoteReference w:id="125"/>
      </w:r>
    </w:p>
    <w:p w14:paraId="478837D3" w14:textId="18B6A1EE" w:rsidR="002802DA" w:rsidRPr="005545AF" w:rsidRDefault="00BA4EE9" w:rsidP="001F7377">
      <w:pPr>
        <w:pStyle w:val="Paragraphe"/>
        <w:spacing w:line="240" w:lineRule="auto"/>
        <w:rPr>
          <w:rFonts w:cs="Arial"/>
          <w:szCs w:val="24"/>
          <w:lang w:val="en-CA" w:eastAsia="en-US"/>
        </w:rPr>
      </w:pPr>
      <w:r w:rsidRPr="005545AF">
        <w:rPr>
          <w:lang w:val="en-CA"/>
        </w:rPr>
        <w:t>All this suggests that</w:t>
      </w:r>
      <w:bookmarkStart w:id="63" w:name="_Hlk207450723"/>
      <w:r w:rsidRPr="005545AF">
        <w:rPr>
          <w:lang w:val="en-CA"/>
        </w:rPr>
        <w:t xml:space="preserve"> </w:t>
      </w:r>
      <w:r w:rsidR="002802DA" w:rsidRPr="005545AF">
        <w:rPr>
          <w:lang w:val="en-CA"/>
        </w:rPr>
        <w:t xml:space="preserve">Google </w:t>
      </w:r>
      <w:r w:rsidRPr="005545AF">
        <w:rPr>
          <w:lang w:val="en-CA"/>
        </w:rPr>
        <w:t>acted for years</w:t>
      </w:r>
      <w:r w:rsidR="002802DA" w:rsidRPr="005545AF">
        <w:rPr>
          <w:lang w:val="en-CA"/>
        </w:rPr>
        <w:t xml:space="preserve">, </w:t>
      </w:r>
      <w:r w:rsidRPr="005545AF">
        <w:rPr>
          <w:lang w:val="en-CA"/>
        </w:rPr>
        <w:t>knowingly and with premeditation, deliberation and repetition</w:t>
      </w:r>
      <w:r w:rsidR="002802DA" w:rsidRPr="005545AF">
        <w:rPr>
          <w:lang w:val="en-CA"/>
        </w:rPr>
        <w:t xml:space="preserve">, </w:t>
      </w:r>
      <w:r w:rsidRPr="005545AF">
        <w:rPr>
          <w:lang w:val="en-CA"/>
        </w:rPr>
        <w:t>which are all “</w:t>
      </w:r>
      <w:r w:rsidR="002802DA" w:rsidRPr="005545AF">
        <w:rPr>
          <w:i/>
          <w:iCs/>
          <w:lang w:val="en-CA"/>
        </w:rPr>
        <w:t>des indicateurs d’une atteinte illicite et intentionnelle</w:t>
      </w:r>
      <w:r w:rsidRPr="005545AF">
        <w:rPr>
          <w:lang w:val="en-CA"/>
        </w:rPr>
        <w:t>”</w:t>
      </w:r>
      <w:r w:rsidR="002802DA" w:rsidRPr="005545AF">
        <w:rPr>
          <w:vertAlign w:val="superscript"/>
          <w:lang w:val="en-CA"/>
        </w:rPr>
        <w:footnoteReference w:id="126"/>
      </w:r>
      <w:r w:rsidR="002802DA" w:rsidRPr="005545AF">
        <w:rPr>
          <w:lang w:val="en-CA"/>
        </w:rPr>
        <w:t xml:space="preserve"> </w:t>
      </w:r>
      <w:r w:rsidR="00DA2E81" w:rsidRPr="005545AF">
        <w:rPr>
          <w:lang w:val="en-CA"/>
        </w:rPr>
        <w:t>thus demonstrating a clear indifference towards</w:t>
      </w:r>
      <w:r w:rsidR="002802DA" w:rsidRPr="005545AF">
        <w:rPr>
          <w:lang w:val="en-CA"/>
        </w:rPr>
        <w:t xml:space="preserve"> </w:t>
      </w:r>
      <w:r w:rsidR="00086E31" w:rsidRPr="005545AF">
        <w:rPr>
          <w:lang w:val="en-CA"/>
        </w:rPr>
        <w:t>the appellant</w:t>
      </w:r>
      <w:r w:rsidR="00DA2E81" w:rsidRPr="005545AF">
        <w:rPr>
          <w:lang w:val="en-CA"/>
        </w:rPr>
        <w:t>’s right to integrity</w:t>
      </w:r>
      <w:r w:rsidR="002802DA" w:rsidRPr="005545AF">
        <w:rPr>
          <w:lang w:val="en-CA"/>
        </w:rPr>
        <w:t xml:space="preserve"> </w:t>
      </w:r>
      <w:r w:rsidR="00DA2E81" w:rsidRPr="005545AF">
        <w:rPr>
          <w:lang w:val="en-CA"/>
        </w:rPr>
        <w:t>and, therefore, satisfying the intentionality requirement</w:t>
      </w:r>
      <w:r w:rsidR="002802DA" w:rsidRPr="005545AF">
        <w:rPr>
          <w:lang w:val="en-CA"/>
        </w:rPr>
        <w:t xml:space="preserve">. </w:t>
      </w:r>
      <w:r w:rsidR="00DA2E81" w:rsidRPr="005545AF">
        <w:rPr>
          <w:lang w:val="en-CA"/>
        </w:rPr>
        <w:t>Punitive damages should, accordingly, be awarded</w:t>
      </w:r>
      <w:r w:rsidR="002802DA" w:rsidRPr="005545AF">
        <w:rPr>
          <w:lang w:val="en-CA"/>
        </w:rPr>
        <w:t xml:space="preserve">. </w:t>
      </w:r>
      <w:r w:rsidR="00DA2E81" w:rsidRPr="005545AF">
        <w:rPr>
          <w:lang w:val="en-CA"/>
        </w:rPr>
        <w:t>It remains to quantify them</w:t>
      </w:r>
      <w:r w:rsidR="002802DA" w:rsidRPr="005545AF">
        <w:rPr>
          <w:lang w:val="en-CA"/>
        </w:rPr>
        <w:t xml:space="preserve">, </w:t>
      </w:r>
      <w:r w:rsidR="00086E31" w:rsidRPr="005545AF">
        <w:rPr>
          <w:lang w:val="en-CA"/>
        </w:rPr>
        <w:t>the appellant</w:t>
      </w:r>
      <w:r w:rsidR="002802DA" w:rsidRPr="005545AF">
        <w:rPr>
          <w:lang w:val="en-CA"/>
        </w:rPr>
        <w:t xml:space="preserve"> </w:t>
      </w:r>
      <w:r w:rsidR="00DA2E81" w:rsidRPr="005545AF">
        <w:rPr>
          <w:lang w:val="en-CA"/>
        </w:rPr>
        <w:t>claiming</w:t>
      </w:r>
      <w:r w:rsidR="002802DA" w:rsidRPr="005545AF">
        <w:rPr>
          <w:lang w:val="en-CA"/>
        </w:rPr>
        <w:t xml:space="preserve"> </w:t>
      </w:r>
      <w:r w:rsidR="00DA2E81" w:rsidRPr="005545AF">
        <w:rPr>
          <w:lang w:val="en-CA"/>
        </w:rPr>
        <w:t>$</w:t>
      </w:r>
      <w:r w:rsidR="002802DA" w:rsidRPr="005545AF">
        <w:rPr>
          <w:lang w:val="en-CA"/>
        </w:rPr>
        <w:t>5</w:t>
      </w:r>
      <w:r w:rsidR="00DA2E81" w:rsidRPr="005545AF">
        <w:rPr>
          <w:lang w:val="en-CA"/>
        </w:rPr>
        <w:t>,</w:t>
      </w:r>
      <w:r w:rsidR="002802DA" w:rsidRPr="005545AF">
        <w:rPr>
          <w:lang w:val="en-CA"/>
        </w:rPr>
        <w:t>000</w:t>
      </w:r>
      <w:r w:rsidR="00DA2E81" w:rsidRPr="005545AF">
        <w:rPr>
          <w:lang w:val="en-CA"/>
        </w:rPr>
        <w:t>,</w:t>
      </w:r>
      <w:r w:rsidR="002802DA" w:rsidRPr="005545AF">
        <w:rPr>
          <w:lang w:val="en-CA"/>
        </w:rPr>
        <w:t xml:space="preserve">000 </w:t>
      </w:r>
      <w:bookmarkEnd w:id="63"/>
      <w:r w:rsidR="00DA2E81" w:rsidRPr="005545AF">
        <w:rPr>
          <w:lang w:val="en-CA"/>
        </w:rPr>
        <w:t>under that head</w:t>
      </w:r>
      <w:r w:rsidR="002802DA" w:rsidRPr="005545AF">
        <w:rPr>
          <w:lang w:val="en-CA"/>
        </w:rPr>
        <w:t>.</w:t>
      </w:r>
    </w:p>
    <w:p w14:paraId="4FD26DB9" w14:textId="55A289EE" w:rsidR="002802DA" w:rsidRPr="005545AF" w:rsidRDefault="007D1E23" w:rsidP="001F7377">
      <w:pPr>
        <w:pStyle w:val="Paragraphe"/>
        <w:spacing w:line="240" w:lineRule="auto"/>
        <w:rPr>
          <w:lang w:val="en-CA"/>
        </w:rPr>
      </w:pPr>
      <w:r w:rsidRPr="005545AF">
        <w:rPr>
          <w:lang w:val="en-CA"/>
        </w:rPr>
        <w:t>As for the determination of their quantum</w:t>
      </w:r>
      <w:r w:rsidR="002802DA" w:rsidRPr="005545AF">
        <w:rPr>
          <w:lang w:val="en-CA"/>
        </w:rPr>
        <w:t xml:space="preserve">, article 1621 </w:t>
      </w:r>
      <w:r w:rsidR="002802DA" w:rsidRPr="005545AF">
        <w:rPr>
          <w:i/>
          <w:iCs/>
          <w:lang w:val="en-CA"/>
        </w:rPr>
        <w:t>C.</w:t>
      </w:r>
      <w:r w:rsidRPr="005545AF">
        <w:rPr>
          <w:i/>
          <w:iCs/>
          <w:lang w:val="en-CA"/>
        </w:rPr>
        <w:t>C</w:t>
      </w:r>
      <w:r w:rsidR="002802DA" w:rsidRPr="005545AF">
        <w:rPr>
          <w:i/>
          <w:iCs/>
          <w:lang w:val="en-CA"/>
        </w:rPr>
        <w:t>.Q.</w:t>
      </w:r>
      <w:r w:rsidR="002802DA" w:rsidRPr="005545AF">
        <w:rPr>
          <w:lang w:val="en-CA"/>
        </w:rPr>
        <w:t xml:space="preserve"> </w:t>
      </w:r>
      <w:r w:rsidRPr="005545AF">
        <w:rPr>
          <w:lang w:val="en-CA"/>
        </w:rPr>
        <w:t>provides</w:t>
      </w:r>
      <w:r w:rsidR="002802DA" w:rsidRPr="005545AF">
        <w:rPr>
          <w:lang w:val="en-CA"/>
        </w:rPr>
        <w:t>:</w:t>
      </w:r>
    </w:p>
    <w:tbl>
      <w:tblPr>
        <w:tblW w:w="0" w:type="auto"/>
        <w:tblCellMar>
          <w:left w:w="70" w:type="dxa"/>
          <w:right w:w="70" w:type="dxa"/>
        </w:tblCellMar>
        <w:tblLook w:val="0000" w:firstRow="0" w:lastRow="0" w:firstColumn="0" w:lastColumn="0" w:noHBand="0" w:noVBand="0"/>
      </w:tblPr>
      <w:tblGrid>
        <w:gridCol w:w="4681"/>
        <w:gridCol w:w="4681"/>
      </w:tblGrid>
      <w:tr w:rsidR="002802DA" w:rsidRPr="005545AF" w14:paraId="35FB0220" w14:textId="77777777" w:rsidTr="00957FE8">
        <w:tc>
          <w:tcPr>
            <w:tcW w:w="4681" w:type="dxa"/>
          </w:tcPr>
          <w:p w14:paraId="56C82467" w14:textId="0C3EC5B8" w:rsidR="002802DA" w:rsidRPr="005545AF" w:rsidRDefault="002802DA" w:rsidP="001F7377">
            <w:pPr>
              <w:pStyle w:val="Tableaugauchefranais"/>
              <w:spacing w:line="240" w:lineRule="auto"/>
              <w:jc w:val="both"/>
              <w:rPr>
                <w:lang w:val="en-CA"/>
              </w:rPr>
            </w:pPr>
            <w:r w:rsidRPr="005545AF">
              <w:rPr>
                <w:b/>
                <w:bCs/>
                <w:lang w:val="en-CA"/>
              </w:rPr>
              <w:lastRenderedPageBreak/>
              <w:t>1621. </w:t>
            </w:r>
            <w:r w:rsidRPr="005545AF">
              <w:rPr>
                <w:lang w:val="en-CA"/>
              </w:rPr>
              <w:t xml:space="preserve"> </w:t>
            </w:r>
            <w:r w:rsidR="00086E31" w:rsidRPr="005545AF">
              <w:rPr>
                <w:szCs w:val="22"/>
                <w:lang w:val="en-CA"/>
              </w:rPr>
              <w:t>Where the awarding of punitive damages is provided for by law, the amount of such damages may not exceed what is sufficient to fulfil their preventive purpose</w:t>
            </w:r>
            <w:r w:rsidR="00086E31" w:rsidRPr="005545AF">
              <w:rPr>
                <w:szCs w:val="22"/>
                <w:lang w:val="en-CA" w:eastAsia="en-US"/>
              </w:rPr>
              <w:t xml:space="preserve"> therefrom</w:t>
            </w:r>
            <w:r w:rsidRPr="005545AF">
              <w:rPr>
                <w:lang w:val="en-CA"/>
              </w:rPr>
              <w:t>.</w:t>
            </w:r>
          </w:p>
          <w:p w14:paraId="57296739" w14:textId="77777777" w:rsidR="002802DA" w:rsidRPr="005545AF" w:rsidRDefault="002802DA" w:rsidP="001F7377">
            <w:pPr>
              <w:pStyle w:val="Tableaugauchefranais"/>
              <w:spacing w:line="240" w:lineRule="auto"/>
              <w:jc w:val="both"/>
              <w:rPr>
                <w:lang w:val="en-CA"/>
              </w:rPr>
            </w:pPr>
          </w:p>
          <w:p w14:paraId="6A69CD72" w14:textId="55B6B28C" w:rsidR="002802DA" w:rsidRPr="005545AF" w:rsidRDefault="00E347C9" w:rsidP="001F7377">
            <w:pPr>
              <w:pStyle w:val="Tableaugauchefranais"/>
              <w:spacing w:line="240" w:lineRule="auto"/>
              <w:jc w:val="both"/>
              <w:rPr>
                <w:lang w:val="en-CA"/>
              </w:rPr>
            </w:pPr>
            <w:r w:rsidRPr="005545AF">
              <w:rPr>
                <w:lang w:val="en-CA"/>
              </w:rPr>
              <w:t>Punitive damages are assessed in the light of all the appropriate circumstances, in particular the gravity of the debtor’s fault, his patrimonial situation, the extent of the reparation for which he is already liable to the creditor and, where such is the case, the fact that the payment of the reparatory damages is wholly or partly assumed by a third person</w:t>
            </w:r>
            <w:r w:rsidR="002802DA" w:rsidRPr="005545AF">
              <w:rPr>
                <w:lang w:val="en-CA"/>
              </w:rPr>
              <w:t>.</w:t>
            </w:r>
          </w:p>
        </w:tc>
        <w:tc>
          <w:tcPr>
            <w:tcW w:w="4681" w:type="dxa"/>
          </w:tcPr>
          <w:p w14:paraId="77FB8326" w14:textId="22C7B1A0" w:rsidR="002802DA" w:rsidRPr="005545AF" w:rsidRDefault="002802DA" w:rsidP="001F7377">
            <w:pPr>
              <w:pStyle w:val="Tableaudroiteanglais"/>
              <w:spacing w:line="240" w:lineRule="auto"/>
              <w:rPr>
                <w:lang w:val="fr-CA"/>
              </w:rPr>
            </w:pPr>
            <w:r w:rsidRPr="005545AF">
              <w:rPr>
                <w:b/>
                <w:bCs/>
                <w:lang w:val="fr-CA"/>
              </w:rPr>
              <w:t>1621.</w:t>
            </w:r>
            <w:r w:rsidR="00086E31" w:rsidRPr="005545AF">
              <w:rPr>
                <w:lang w:val="fr-CA"/>
              </w:rPr>
              <w:t xml:space="preserve"> Lorsque la loi prévoit l’attribution de dommages-intérêts punitifs, ceux-ci ne peuvent excéder, en valeur, ce qui est suffisant pour assurer leur fonction préventive</w:t>
            </w:r>
            <w:r w:rsidRPr="005545AF">
              <w:rPr>
                <w:lang w:val="fr-CA"/>
              </w:rPr>
              <w:t>.</w:t>
            </w:r>
          </w:p>
          <w:p w14:paraId="06E348DC" w14:textId="77777777" w:rsidR="002802DA" w:rsidRPr="005545AF" w:rsidRDefault="002802DA" w:rsidP="001F7377">
            <w:pPr>
              <w:pStyle w:val="Tableaudroiteanglais"/>
              <w:spacing w:line="240" w:lineRule="auto"/>
              <w:rPr>
                <w:lang w:val="fr-CA"/>
              </w:rPr>
            </w:pPr>
          </w:p>
          <w:p w14:paraId="586EE3BB" w14:textId="1A1AA9EF" w:rsidR="002802DA" w:rsidRPr="005545AF" w:rsidRDefault="00E347C9" w:rsidP="001F7377">
            <w:pPr>
              <w:pStyle w:val="Tableaudroiteanglais"/>
              <w:spacing w:line="240" w:lineRule="auto"/>
              <w:rPr>
                <w:lang w:val="fr-CA"/>
              </w:rPr>
            </w:pPr>
            <w:r w:rsidRPr="005545AF">
              <w:rPr>
                <w:lang w:val="fr-CA"/>
              </w:rPr>
              <w:t>Ils s’apprécient en tenant compte de toutes les circonstances appropriées, notamment de la gravité de la faute du débiteur, de sa situation patrimoniale ou de l’étendue de la réparation à laquelle il est déjà tenu envers le créancier, ainsi que, le cas échéant, du fait que la prise en charge du paiement réparateur est, en tout ou en partie, assumée par un tiers</w:t>
            </w:r>
            <w:r w:rsidR="002802DA" w:rsidRPr="005545AF">
              <w:rPr>
                <w:lang w:val="fr-CA"/>
              </w:rPr>
              <w:t>.</w:t>
            </w:r>
          </w:p>
          <w:p w14:paraId="31236589" w14:textId="77777777" w:rsidR="002802DA" w:rsidRPr="005545AF" w:rsidRDefault="002802DA" w:rsidP="001F7377">
            <w:pPr>
              <w:pStyle w:val="Tableaudroiteanglais"/>
              <w:spacing w:line="240" w:lineRule="auto"/>
              <w:rPr>
                <w:lang w:val="fr-CA"/>
              </w:rPr>
            </w:pPr>
          </w:p>
        </w:tc>
      </w:tr>
    </w:tbl>
    <w:p w14:paraId="798D58CB" w14:textId="18C27340" w:rsidR="002802DA" w:rsidRPr="00D91846" w:rsidRDefault="00886229" w:rsidP="001F7377">
      <w:pPr>
        <w:pStyle w:val="Paragraphe"/>
        <w:spacing w:line="240" w:lineRule="auto"/>
        <w:rPr>
          <w:rFonts w:cs="Arial"/>
          <w:szCs w:val="24"/>
          <w:lang w:eastAsia="en-US"/>
        </w:rPr>
      </w:pPr>
      <w:r w:rsidRPr="005545AF">
        <w:rPr>
          <w:rFonts w:cs="Arial"/>
          <w:szCs w:val="24"/>
          <w:lang w:val="en-CA" w:eastAsia="en-US"/>
        </w:rPr>
        <w:t xml:space="preserve">As use of the term “in particular” </w:t>
      </w:r>
      <w:r w:rsidR="00814F22" w:rsidRPr="005545AF">
        <w:rPr>
          <w:rFonts w:cs="Arial"/>
          <w:szCs w:val="24"/>
          <w:lang w:val="en-CA" w:eastAsia="en-US"/>
        </w:rPr>
        <w:t>suggests</w:t>
      </w:r>
      <w:r w:rsidRPr="005545AF">
        <w:rPr>
          <w:rFonts w:cs="Arial"/>
          <w:szCs w:val="24"/>
          <w:lang w:val="en-CA" w:eastAsia="en-US"/>
        </w:rPr>
        <w:t>, these criteria</w:t>
      </w:r>
      <w:r w:rsidR="008C5EB6" w:rsidRPr="005545AF">
        <w:rPr>
          <w:rFonts w:cs="Arial"/>
          <w:szCs w:val="24"/>
          <w:lang w:val="en-CA" w:eastAsia="en-US"/>
        </w:rPr>
        <w:t xml:space="preserve"> for the assessment of punitive damages</w:t>
      </w:r>
      <w:r w:rsidRPr="005545AF">
        <w:rPr>
          <w:rFonts w:cs="Arial"/>
          <w:szCs w:val="24"/>
          <w:lang w:val="en-CA" w:eastAsia="en-US"/>
        </w:rPr>
        <w:t xml:space="preserve"> are not exhaustive</w:t>
      </w:r>
      <w:bookmarkStart w:id="64" w:name="_Ref207623811"/>
      <w:r w:rsidR="002802DA" w:rsidRPr="005545AF">
        <w:rPr>
          <w:rFonts w:cs="Arial"/>
          <w:szCs w:val="24"/>
          <w:vertAlign w:val="superscript"/>
          <w:lang w:val="en-CA" w:eastAsia="en-US"/>
        </w:rPr>
        <w:footnoteReference w:id="127"/>
      </w:r>
      <w:bookmarkEnd w:id="64"/>
      <w:r w:rsidR="002802DA" w:rsidRPr="005545AF">
        <w:rPr>
          <w:rFonts w:cs="Arial"/>
          <w:szCs w:val="24"/>
          <w:lang w:val="en-CA" w:eastAsia="en-US"/>
        </w:rPr>
        <w:t xml:space="preserve"> </w:t>
      </w:r>
      <w:r w:rsidRPr="005545AF">
        <w:rPr>
          <w:rFonts w:cs="Arial"/>
          <w:szCs w:val="24"/>
          <w:lang w:val="en-CA" w:eastAsia="en-US"/>
        </w:rPr>
        <w:t>and the court may consider all relevant circumstances.</w:t>
      </w:r>
      <w:r w:rsidR="002802DA" w:rsidRPr="005545AF">
        <w:rPr>
          <w:rFonts w:cs="Arial"/>
          <w:szCs w:val="24"/>
          <w:vertAlign w:val="superscript"/>
          <w:lang w:val="en-CA" w:eastAsia="en-US"/>
        </w:rPr>
        <w:footnoteReference w:id="128"/>
      </w:r>
      <w:r w:rsidRPr="005545AF">
        <w:rPr>
          <w:rFonts w:cs="Arial"/>
          <w:szCs w:val="24"/>
          <w:lang w:val="en-CA" w:eastAsia="en-US"/>
        </w:rPr>
        <w:t xml:space="preserve"> </w:t>
      </w:r>
      <w:r w:rsidR="00D45F67" w:rsidRPr="005545AF">
        <w:rPr>
          <w:rFonts w:cs="Arial"/>
          <w:szCs w:val="24"/>
          <w:lang w:val="en-CA" w:eastAsia="en-US"/>
        </w:rPr>
        <w:t>Though called</w:t>
      </w:r>
      <w:r w:rsidRPr="005545AF">
        <w:rPr>
          <w:rFonts w:cs="Arial"/>
          <w:szCs w:val="24"/>
          <w:lang w:val="en-CA" w:eastAsia="en-US"/>
        </w:rPr>
        <w:t xml:space="preserve"> “punitive”, </w:t>
      </w:r>
      <w:r w:rsidR="00253B71" w:rsidRPr="005545AF">
        <w:rPr>
          <w:rFonts w:cs="Arial"/>
          <w:szCs w:val="24"/>
          <w:lang w:val="en-CA" w:eastAsia="en-US"/>
        </w:rPr>
        <w:t>punishment is not the sole objective of the</w:t>
      </w:r>
      <w:r w:rsidR="00814F22" w:rsidRPr="005545AF">
        <w:rPr>
          <w:rFonts w:cs="Arial"/>
          <w:szCs w:val="24"/>
          <w:lang w:val="en-CA" w:eastAsia="en-US"/>
        </w:rPr>
        <w:t>se damages</w:t>
      </w:r>
      <w:r w:rsidR="002802DA" w:rsidRPr="005545AF">
        <w:rPr>
          <w:rFonts w:cs="Arial"/>
          <w:szCs w:val="24"/>
          <w:lang w:val="en-CA" w:eastAsia="en-US"/>
        </w:rPr>
        <w:t xml:space="preserve">. </w:t>
      </w:r>
      <w:r w:rsidRPr="005545AF">
        <w:rPr>
          <w:rFonts w:cs="Arial"/>
          <w:szCs w:val="24"/>
          <w:lang w:val="en-CA" w:eastAsia="en-US"/>
        </w:rPr>
        <w:t xml:space="preserve">In </w:t>
      </w:r>
      <w:r w:rsidR="002802DA" w:rsidRPr="005545AF">
        <w:rPr>
          <w:rFonts w:cs="Arial"/>
          <w:i/>
          <w:iCs/>
          <w:szCs w:val="24"/>
          <w:lang w:val="en-CA" w:eastAsia="en-US"/>
        </w:rPr>
        <w:t xml:space="preserve">de Montigny </w:t>
      </w:r>
      <w:r w:rsidRPr="005545AF">
        <w:rPr>
          <w:rFonts w:cs="Arial"/>
          <w:i/>
          <w:iCs/>
          <w:szCs w:val="24"/>
          <w:lang w:val="en-CA" w:eastAsia="en-US"/>
        </w:rPr>
        <w:t>v</w:t>
      </w:r>
      <w:r w:rsidR="002802DA" w:rsidRPr="005545AF">
        <w:rPr>
          <w:rFonts w:cs="Arial"/>
          <w:i/>
          <w:iCs/>
          <w:szCs w:val="24"/>
          <w:lang w:val="en-CA" w:eastAsia="en-US"/>
        </w:rPr>
        <w:t>. Brossard (</w:t>
      </w:r>
      <w:r w:rsidR="00553FDC" w:rsidRPr="005545AF">
        <w:rPr>
          <w:rFonts w:cs="Arial"/>
          <w:i/>
          <w:iCs/>
          <w:szCs w:val="24"/>
          <w:lang w:val="en-CA" w:eastAsia="en-US"/>
        </w:rPr>
        <w:t>Successio</w:t>
      </w:r>
      <w:r w:rsidR="008C5EB6" w:rsidRPr="005545AF">
        <w:rPr>
          <w:rFonts w:cs="Arial"/>
          <w:i/>
          <w:iCs/>
          <w:szCs w:val="24"/>
          <w:lang w:val="en-CA" w:eastAsia="en-US"/>
        </w:rPr>
        <w:t>n</w:t>
      </w:r>
      <w:r w:rsidR="002802DA" w:rsidRPr="005545AF">
        <w:rPr>
          <w:rFonts w:cs="Arial"/>
          <w:i/>
          <w:iCs/>
          <w:szCs w:val="24"/>
          <w:lang w:val="en-CA" w:eastAsia="en-US"/>
        </w:rPr>
        <w:t>)</w:t>
      </w:r>
      <w:r w:rsidR="00D93C56" w:rsidRPr="005545AF">
        <w:rPr>
          <w:rFonts w:cs="Arial"/>
          <w:i/>
          <w:iCs/>
          <w:szCs w:val="24"/>
          <w:lang w:val="en-CA" w:eastAsia="en-US"/>
        </w:rPr>
        <w:t xml:space="preserve"> </w:t>
      </w:r>
      <w:r w:rsidRPr="005545AF">
        <w:rPr>
          <w:rFonts w:cs="Arial"/>
          <w:szCs w:val="24"/>
          <w:lang w:val="en-CA" w:eastAsia="en-US"/>
        </w:rPr>
        <w:t>the Supreme</w:t>
      </w:r>
      <w:r w:rsidR="00D45F67" w:rsidRPr="005545AF">
        <w:rPr>
          <w:rFonts w:cs="Arial"/>
          <w:szCs w:val="24"/>
          <w:lang w:val="en-CA" w:eastAsia="en-US"/>
        </w:rPr>
        <w:t xml:space="preserve"> Court</w:t>
      </w:r>
      <w:r w:rsidRPr="005545AF">
        <w:rPr>
          <w:rFonts w:cs="Arial"/>
          <w:szCs w:val="24"/>
          <w:lang w:val="en-CA" w:eastAsia="en-US"/>
        </w:rPr>
        <w:t xml:space="preserve"> added</w:t>
      </w:r>
      <w:r w:rsidR="00D93C56" w:rsidRPr="005545AF">
        <w:rPr>
          <w:rFonts w:cs="Arial"/>
          <w:szCs w:val="24"/>
          <w:lang w:val="en-CA" w:eastAsia="en-US"/>
        </w:rPr>
        <w:t xml:space="preserve"> to that objective</w:t>
      </w:r>
      <w:r w:rsidRPr="005545AF">
        <w:rPr>
          <w:rFonts w:cs="Arial"/>
          <w:szCs w:val="24"/>
          <w:lang w:val="en-CA" w:eastAsia="en-US"/>
        </w:rPr>
        <w:t xml:space="preserve"> </w:t>
      </w:r>
      <w:r w:rsidR="00D93C56" w:rsidRPr="005545AF">
        <w:rPr>
          <w:rFonts w:cs="Arial"/>
          <w:szCs w:val="24"/>
          <w:lang w:val="en-CA" w:eastAsia="en-US"/>
        </w:rPr>
        <w:t>those</w:t>
      </w:r>
      <w:r w:rsidRPr="005545AF">
        <w:rPr>
          <w:rFonts w:cs="Arial"/>
          <w:szCs w:val="24"/>
          <w:lang w:val="en-CA" w:eastAsia="en-US"/>
        </w:rPr>
        <w:t xml:space="preserve"> of deterrence and denunciation.</w:t>
      </w:r>
      <w:r w:rsidR="00D93C56" w:rsidRPr="005545AF">
        <w:rPr>
          <w:rStyle w:val="Appelnotedebasdep"/>
          <w:rFonts w:cs="Arial"/>
          <w:szCs w:val="24"/>
          <w:lang w:eastAsia="en-US"/>
        </w:rPr>
        <w:footnoteReference w:id="129"/>
      </w:r>
      <w:r w:rsidRPr="005545AF">
        <w:rPr>
          <w:rFonts w:cs="Arial"/>
          <w:szCs w:val="24"/>
          <w:lang w:val="en-CA" w:eastAsia="en-US"/>
        </w:rPr>
        <w:t xml:space="preserve"> </w:t>
      </w:r>
      <w:r w:rsidR="00814F22" w:rsidRPr="005545AF">
        <w:rPr>
          <w:rFonts w:cs="Arial"/>
          <w:szCs w:val="24"/>
          <w:lang w:val="en-CA" w:eastAsia="en-US"/>
        </w:rPr>
        <w:t>Moreover</w:t>
      </w:r>
      <w:r w:rsidRPr="005545AF">
        <w:rPr>
          <w:rFonts w:cs="Arial"/>
          <w:szCs w:val="24"/>
          <w:lang w:val="en-CA" w:eastAsia="en-US"/>
        </w:rPr>
        <w:t xml:space="preserve">, deterrence </w:t>
      </w:r>
      <w:r w:rsidR="00814F22" w:rsidRPr="005545AF">
        <w:rPr>
          <w:rFonts w:cs="Arial"/>
          <w:szCs w:val="24"/>
          <w:lang w:val="en-CA" w:eastAsia="en-US"/>
        </w:rPr>
        <w:t>operates at two levels</w:t>
      </w:r>
      <w:r w:rsidR="002802DA" w:rsidRPr="005545AF">
        <w:rPr>
          <w:rFonts w:cs="Arial"/>
          <w:szCs w:val="24"/>
          <w:lang w:val="en-CA" w:eastAsia="en-US"/>
        </w:rPr>
        <w:t xml:space="preserve">. </w:t>
      </w:r>
      <w:r w:rsidR="00553FDC" w:rsidRPr="00D91846">
        <w:rPr>
          <w:rFonts w:cs="Arial"/>
          <w:szCs w:val="24"/>
          <w:lang w:eastAsia="en-US"/>
        </w:rPr>
        <w:t>Not only</w:t>
      </w:r>
      <w:r w:rsidR="00D93C56" w:rsidRPr="00D91846">
        <w:rPr>
          <w:rFonts w:cs="Arial"/>
          <w:szCs w:val="24"/>
          <w:lang w:eastAsia="en-US"/>
        </w:rPr>
        <w:t xml:space="preserve"> </w:t>
      </w:r>
      <w:r w:rsidR="00814F22" w:rsidRPr="00D91846">
        <w:rPr>
          <w:rFonts w:cs="Arial"/>
          <w:szCs w:val="24"/>
          <w:lang w:eastAsia="en-US"/>
        </w:rPr>
        <w:t>is it intended</w:t>
      </w:r>
      <w:r w:rsidR="00553FDC" w:rsidRPr="00D91846">
        <w:rPr>
          <w:rFonts w:cs="Arial"/>
          <w:szCs w:val="24"/>
          <w:lang w:eastAsia="en-US"/>
        </w:rPr>
        <w:t xml:space="preserve"> </w:t>
      </w:r>
      <w:r w:rsidR="00814F22" w:rsidRPr="00D91846">
        <w:rPr>
          <w:rFonts w:cs="Arial"/>
          <w:szCs w:val="24"/>
          <w:lang w:eastAsia="en-US"/>
        </w:rPr>
        <w:t>to deter</w:t>
      </w:r>
      <w:r w:rsidRPr="00D91846">
        <w:rPr>
          <w:rFonts w:cs="Arial"/>
          <w:szCs w:val="24"/>
          <w:lang w:eastAsia="en-US"/>
        </w:rPr>
        <w:t xml:space="preserve"> the wrongdoer</w:t>
      </w:r>
      <w:r w:rsidR="00D93C56" w:rsidRPr="00D91846">
        <w:rPr>
          <w:rFonts w:cs="Arial"/>
          <w:szCs w:val="24"/>
          <w:lang w:eastAsia="en-US"/>
        </w:rPr>
        <w:t xml:space="preserve"> specifically</w:t>
      </w:r>
      <w:r w:rsidR="002802DA" w:rsidRPr="00D91846">
        <w:rPr>
          <w:rFonts w:cs="Arial"/>
          <w:szCs w:val="24"/>
          <w:lang w:eastAsia="en-US"/>
        </w:rPr>
        <w:t xml:space="preserve">, </w:t>
      </w:r>
      <w:r w:rsidR="005C0A56" w:rsidRPr="00D91846">
        <w:rPr>
          <w:rFonts w:cs="Arial"/>
          <w:szCs w:val="24"/>
          <w:lang w:eastAsia="en-US"/>
        </w:rPr>
        <w:t>it also</w:t>
      </w:r>
      <w:r w:rsidR="00D93C56" w:rsidRPr="00D91846">
        <w:rPr>
          <w:rFonts w:cs="Arial"/>
          <w:szCs w:val="24"/>
          <w:lang w:eastAsia="en-US"/>
        </w:rPr>
        <w:t xml:space="preserve"> act</w:t>
      </w:r>
      <w:r w:rsidR="005C0A56" w:rsidRPr="00D91846">
        <w:rPr>
          <w:rFonts w:cs="Arial"/>
          <w:szCs w:val="24"/>
          <w:lang w:eastAsia="en-US"/>
        </w:rPr>
        <w:t>s</w:t>
      </w:r>
      <w:r w:rsidR="00253B71" w:rsidRPr="00D91846">
        <w:rPr>
          <w:rFonts w:cs="Arial"/>
          <w:szCs w:val="24"/>
          <w:lang w:eastAsia="en-US"/>
        </w:rPr>
        <w:t xml:space="preserve"> as</w:t>
      </w:r>
      <w:r w:rsidR="00553FDC" w:rsidRPr="00D91846">
        <w:rPr>
          <w:rFonts w:cs="Arial"/>
          <w:szCs w:val="24"/>
          <w:lang w:eastAsia="en-US"/>
        </w:rPr>
        <w:t xml:space="preserve"> a</w:t>
      </w:r>
      <w:r w:rsidR="002802DA" w:rsidRPr="00D91846">
        <w:rPr>
          <w:rFonts w:cs="Arial"/>
          <w:szCs w:val="24"/>
          <w:lang w:eastAsia="en-US"/>
        </w:rPr>
        <w:t xml:space="preserve"> </w:t>
      </w:r>
      <w:r w:rsidR="00553FDC" w:rsidRPr="00D91846">
        <w:rPr>
          <w:rFonts w:cs="Arial"/>
          <w:szCs w:val="24"/>
          <w:lang w:eastAsia="en-US"/>
        </w:rPr>
        <w:t>“</w:t>
      </w:r>
      <w:r w:rsidR="002802DA" w:rsidRPr="00D91846">
        <w:rPr>
          <w:rFonts w:cs="Arial"/>
          <w:szCs w:val="24"/>
          <w:lang w:eastAsia="en-US"/>
        </w:rPr>
        <w:t>dissuasion générale ou sociétale, c’est-à-dire […] la dissuasion des industries qui se retrouveraient […] devant un dilemme moral de la même nature</w:t>
      </w:r>
      <w:r w:rsidR="00553FDC" w:rsidRPr="00D91846">
        <w:rPr>
          <w:rFonts w:cs="Arial"/>
          <w:szCs w:val="24"/>
          <w:lang w:eastAsia="en-US"/>
        </w:rPr>
        <w:t>.”</w:t>
      </w:r>
      <w:r w:rsidR="002802DA" w:rsidRPr="005545AF">
        <w:rPr>
          <w:rFonts w:cs="Arial"/>
          <w:szCs w:val="24"/>
          <w:vertAlign w:val="superscript"/>
          <w:lang w:val="en-CA" w:eastAsia="en-US"/>
        </w:rPr>
        <w:footnoteReference w:id="130"/>
      </w:r>
      <w:r w:rsidR="002802DA" w:rsidRPr="00D91846">
        <w:rPr>
          <w:rFonts w:cs="Arial"/>
          <w:szCs w:val="24"/>
          <w:lang w:eastAsia="en-US"/>
        </w:rPr>
        <w:t xml:space="preserve"> </w:t>
      </w:r>
    </w:p>
    <w:p w14:paraId="3E94556A" w14:textId="548DF350" w:rsidR="002802DA" w:rsidRPr="005545AF" w:rsidRDefault="00253B71" w:rsidP="001F7377">
      <w:pPr>
        <w:pStyle w:val="Paragraphe"/>
        <w:spacing w:line="240" w:lineRule="auto"/>
        <w:rPr>
          <w:rFonts w:cs="Arial"/>
          <w:szCs w:val="24"/>
          <w:lang w:val="en-CA" w:eastAsia="en-US"/>
        </w:rPr>
      </w:pPr>
      <w:r w:rsidRPr="005545AF">
        <w:rPr>
          <w:rFonts w:cs="Arial"/>
          <w:szCs w:val="24"/>
          <w:lang w:val="en-CA" w:eastAsia="en-US"/>
        </w:rPr>
        <w:t xml:space="preserve">While </w:t>
      </w:r>
      <w:r w:rsidR="00395931" w:rsidRPr="005545AF">
        <w:rPr>
          <w:rFonts w:cs="Arial"/>
          <w:szCs w:val="24"/>
          <w:lang w:val="en-CA" w:eastAsia="en-US"/>
        </w:rPr>
        <w:t>quantifying</w:t>
      </w:r>
      <w:r w:rsidRPr="005545AF">
        <w:rPr>
          <w:rFonts w:cs="Arial"/>
          <w:szCs w:val="24"/>
          <w:lang w:val="en-CA" w:eastAsia="en-US"/>
        </w:rPr>
        <w:t xml:space="preserve"> punitive damages is always a delicate exercise, it is </w:t>
      </w:r>
      <w:r w:rsidR="005C0A56" w:rsidRPr="005545AF">
        <w:rPr>
          <w:rFonts w:cs="Arial"/>
          <w:szCs w:val="24"/>
          <w:lang w:val="en-CA" w:eastAsia="en-US"/>
        </w:rPr>
        <w:t>particularly</w:t>
      </w:r>
      <w:r w:rsidRPr="005545AF">
        <w:rPr>
          <w:rFonts w:cs="Arial"/>
          <w:szCs w:val="24"/>
          <w:lang w:val="en-CA" w:eastAsia="en-US"/>
        </w:rPr>
        <w:t xml:space="preserve"> so in this case </w:t>
      </w:r>
      <w:r w:rsidR="005C0A56" w:rsidRPr="005545AF">
        <w:rPr>
          <w:rFonts w:cs="Arial"/>
          <w:szCs w:val="24"/>
          <w:lang w:val="en-CA" w:eastAsia="en-US"/>
        </w:rPr>
        <w:t>on account</w:t>
      </w:r>
      <w:r w:rsidRPr="005545AF">
        <w:rPr>
          <w:rFonts w:cs="Arial"/>
          <w:szCs w:val="24"/>
          <w:lang w:val="en-CA" w:eastAsia="en-US"/>
        </w:rPr>
        <w:t xml:space="preserve"> of</w:t>
      </w:r>
      <w:r w:rsidR="002802DA" w:rsidRPr="005545AF">
        <w:rPr>
          <w:rFonts w:cs="Arial"/>
          <w:szCs w:val="24"/>
          <w:lang w:val="en-CA" w:eastAsia="en-US"/>
        </w:rPr>
        <w:t xml:space="preserve"> Google</w:t>
      </w:r>
      <w:r w:rsidRPr="005545AF">
        <w:rPr>
          <w:rFonts w:cs="Arial"/>
          <w:szCs w:val="24"/>
          <w:lang w:val="en-CA" w:eastAsia="en-US"/>
        </w:rPr>
        <w:t xml:space="preserve">’s </w:t>
      </w:r>
      <w:r w:rsidR="001D2116" w:rsidRPr="005545AF">
        <w:rPr>
          <w:rFonts w:cs="Arial"/>
          <w:szCs w:val="24"/>
          <w:lang w:val="en-CA" w:eastAsia="en-US"/>
        </w:rPr>
        <w:t xml:space="preserve">unique </w:t>
      </w:r>
      <w:r w:rsidR="00395931" w:rsidRPr="005545AF">
        <w:rPr>
          <w:rFonts w:cs="Arial"/>
          <w:szCs w:val="24"/>
          <w:lang w:val="en-CA" w:eastAsia="en-US"/>
        </w:rPr>
        <w:t>patrimonial -- i.e., financial --</w:t>
      </w:r>
      <w:r w:rsidR="001D2116" w:rsidRPr="005545AF">
        <w:rPr>
          <w:rFonts w:cs="Arial"/>
          <w:szCs w:val="24"/>
          <w:lang w:val="en-CA" w:eastAsia="en-US"/>
        </w:rPr>
        <w:t xml:space="preserve"> situation, </w:t>
      </w:r>
      <w:r w:rsidR="005C0A56" w:rsidRPr="005545AF">
        <w:rPr>
          <w:rFonts w:cs="Arial"/>
          <w:szCs w:val="24"/>
          <w:lang w:val="en-CA" w:eastAsia="en-US"/>
        </w:rPr>
        <w:t>considering</w:t>
      </w:r>
      <w:r w:rsidR="001D2116" w:rsidRPr="005545AF">
        <w:rPr>
          <w:rFonts w:cs="Arial"/>
          <w:szCs w:val="24"/>
          <w:lang w:val="en-CA" w:eastAsia="en-US"/>
        </w:rPr>
        <w:t xml:space="preserve"> that the net quarterly income of its parent company, Alphabet, was in excess of</w:t>
      </w:r>
      <w:r w:rsidR="002802DA" w:rsidRPr="005545AF">
        <w:rPr>
          <w:rFonts w:cs="Arial"/>
          <w:szCs w:val="24"/>
          <w:lang w:val="en-CA" w:eastAsia="en-US"/>
        </w:rPr>
        <w:t xml:space="preserve"> </w:t>
      </w:r>
      <w:r w:rsidR="001D2116" w:rsidRPr="005545AF">
        <w:rPr>
          <w:rFonts w:cs="Arial"/>
          <w:szCs w:val="24"/>
          <w:lang w:val="en-CA" w:eastAsia="en-US"/>
        </w:rPr>
        <w:t>$</w:t>
      </w:r>
      <w:r w:rsidR="002802DA" w:rsidRPr="005545AF">
        <w:rPr>
          <w:rFonts w:cs="Arial"/>
          <w:szCs w:val="24"/>
          <w:lang w:val="en-CA" w:eastAsia="en-US"/>
        </w:rPr>
        <w:t>16</w:t>
      </w:r>
      <w:r w:rsidR="001D2116" w:rsidRPr="005545AF">
        <w:rPr>
          <w:rFonts w:cs="Arial"/>
          <w:szCs w:val="24"/>
          <w:lang w:val="en-CA" w:eastAsia="en-US"/>
        </w:rPr>
        <w:t>,</w:t>
      </w:r>
      <w:r w:rsidR="002802DA" w:rsidRPr="005545AF">
        <w:rPr>
          <w:rFonts w:cs="Arial"/>
          <w:szCs w:val="24"/>
          <w:lang w:val="en-CA" w:eastAsia="en-US"/>
        </w:rPr>
        <w:t>000</w:t>
      </w:r>
      <w:r w:rsidR="001D2116" w:rsidRPr="005545AF">
        <w:rPr>
          <w:rFonts w:cs="Arial"/>
          <w:szCs w:val="24"/>
          <w:lang w:val="en-CA" w:eastAsia="en-US"/>
        </w:rPr>
        <w:t>,</w:t>
      </w:r>
      <w:r w:rsidR="002802DA" w:rsidRPr="005545AF">
        <w:rPr>
          <w:rFonts w:cs="Arial"/>
          <w:szCs w:val="24"/>
          <w:lang w:val="en-CA" w:eastAsia="en-US"/>
        </w:rPr>
        <w:t>000</w:t>
      </w:r>
      <w:r w:rsidR="001D2116" w:rsidRPr="005545AF">
        <w:rPr>
          <w:rFonts w:cs="Arial"/>
          <w:szCs w:val="24"/>
          <w:lang w:val="en-CA" w:eastAsia="en-US"/>
        </w:rPr>
        <w:t>,</w:t>
      </w:r>
      <w:r w:rsidR="002802DA" w:rsidRPr="005545AF">
        <w:rPr>
          <w:rFonts w:cs="Arial"/>
          <w:szCs w:val="24"/>
          <w:lang w:val="en-CA" w:eastAsia="en-US"/>
        </w:rPr>
        <w:t xml:space="preserve">000 </w:t>
      </w:r>
      <w:r w:rsidR="001D2116" w:rsidRPr="005545AF">
        <w:rPr>
          <w:rFonts w:cs="Arial"/>
          <w:szCs w:val="24"/>
          <w:lang w:val="en-CA" w:eastAsia="en-US"/>
        </w:rPr>
        <w:t>in 2022.</w:t>
      </w:r>
      <w:r w:rsidR="002802DA" w:rsidRPr="005545AF">
        <w:rPr>
          <w:rStyle w:val="Appelnotedebasdep"/>
          <w:rFonts w:cs="Arial"/>
          <w:szCs w:val="24"/>
          <w:lang w:val="en-CA" w:eastAsia="en-US"/>
        </w:rPr>
        <w:footnoteReference w:id="131"/>
      </w:r>
      <w:r w:rsidR="002802DA" w:rsidRPr="005545AF">
        <w:rPr>
          <w:rFonts w:cs="Arial"/>
          <w:szCs w:val="24"/>
          <w:lang w:val="en-CA" w:eastAsia="en-US"/>
        </w:rPr>
        <w:t xml:space="preserve"> </w:t>
      </w:r>
    </w:p>
    <w:p w14:paraId="5B9D8C1D" w14:textId="5822D66F" w:rsidR="002802DA" w:rsidRPr="005545AF" w:rsidRDefault="00395931" w:rsidP="001F7377">
      <w:pPr>
        <w:pStyle w:val="Paragraphe"/>
        <w:spacing w:line="240" w:lineRule="auto"/>
        <w:rPr>
          <w:rFonts w:cs="Arial"/>
          <w:szCs w:val="24"/>
          <w:lang w:val="en-CA" w:eastAsia="en-US"/>
        </w:rPr>
      </w:pPr>
      <w:r w:rsidRPr="005545AF">
        <w:rPr>
          <w:rFonts w:cs="Arial"/>
          <w:szCs w:val="24"/>
          <w:lang w:val="en-CA" w:eastAsia="en-US"/>
        </w:rPr>
        <w:t xml:space="preserve">This singularity somewhat upends </w:t>
      </w:r>
      <w:r w:rsidR="00FA6DBA" w:rsidRPr="005545AF">
        <w:rPr>
          <w:rFonts w:cs="Arial"/>
          <w:szCs w:val="24"/>
          <w:lang w:val="en-CA" w:eastAsia="en-US"/>
        </w:rPr>
        <w:t xml:space="preserve">the </w:t>
      </w:r>
      <w:r w:rsidRPr="005545AF">
        <w:rPr>
          <w:rFonts w:cs="Arial"/>
          <w:szCs w:val="24"/>
          <w:lang w:val="en-CA" w:eastAsia="en-US"/>
        </w:rPr>
        <w:t>role played by the debtor’s patrimonial situation</w:t>
      </w:r>
      <w:r w:rsidR="00C92C7B" w:rsidRPr="005545AF">
        <w:rPr>
          <w:rFonts w:cs="Arial"/>
          <w:szCs w:val="24"/>
          <w:lang w:val="en-CA" w:eastAsia="en-US"/>
        </w:rPr>
        <w:t xml:space="preserve"> criterion</w:t>
      </w:r>
      <w:r w:rsidRPr="005545AF">
        <w:rPr>
          <w:rFonts w:cs="Arial"/>
          <w:szCs w:val="24"/>
          <w:lang w:val="en-CA" w:eastAsia="en-US"/>
        </w:rPr>
        <w:t>, which is usually of paramount importance</w:t>
      </w:r>
      <w:r w:rsidR="002802DA" w:rsidRPr="005545AF">
        <w:rPr>
          <w:rStyle w:val="Appelnotedebasdep"/>
          <w:rFonts w:cs="Arial"/>
          <w:szCs w:val="24"/>
          <w:lang w:val="en-CA" w:eastAsia="en-US"/>
        </w:rPr>
        <w:footnoteReference w:id="132"/>
      </w:r>
      <w:r w:rsidR="002802DA" w:rsidRPr="005545AF">
        <w:rPr>
          <w:rFonts w:cs="Arial"/>
          <w:szCs w:val="24"/>
          <w:lang w:val="en-CA" w:eastAsia="en-US"/>
        </w:rPr>
        <w:t xml:space="preserve"> </w:t>
      </w:r>
      <w:r w:rsidR="005C0A56" w:rsidRPr="005545AF">
        <w:rPr>
          <w:rFonts w:cs="Arial"/>
          <w:szCs w:val="24"/>
          <w:lang w:val="en-CA" w:eastAsia="en-US"/>
        </w:rPr>
        <w:t>in that it allows both the punitive aspect and the specific deterrent aspect of punitive damages to be calibrated</w:t>
      </w:r>
      <w:r w:rsidR="002802DA" w:rsidRPr="005545AF">
        <w:rPr>
          <w:rFonts w:cs="Arial"/>
          <w:szCs w:val="24"/>
          <w:lang w:val="en-CA" w:eastAsia="en-US"/>
        </w:rPr>
        <w:t xml:space="preserve">. </w:t>
      </w:r>
      <w:r w:rsidR="00C92C7B" w:rsidRPr="005545AF">
        <w:rPr>
          <w:rFonts w:cs="Arial"/>
          <w:szCs w:val="24"/>
          <w:lang w:val="en-CA" w:eastAsia="en-US"/>
        </w:rPr>
        <w:t>Indeed</w:t>
      </w:r>
      <w:r w:rsidR="002802DA" w:rsidRPr="005545AF">
        <w:rPr>
          <w:rFonts w:cs="Arial"/>
          <w:szCs w:val="24"/>
          <w:lang w:val="en-CA" w:eastAsia="en-US"/>
        </w:rPr>
        <w:t xml:space="preserve">, </w:t>
      </w:r>
      <w:r w:rsidR="00C92C7B" w:rsidRPr="005545AF">
        <w:rPr>
          <w:rFonts w:cs="Arial"/>
          <w:szCs w:val="24"/>
          <w:lang w:val="en-CA" w:eastAsia="en-US"/>
        </w:rPr>
        <w:t>while the Supreme Court recalled in</w:t>
      </w:r>
      <w:r w:rsidR="002802DA" w:rsidRPr="005545AF">
        <w:rPr>
          <w:rFonts w:cs="Arial"/>
          <w:szCs w:val="24"/>
          <w:lang w:val="en-CA" w:eastAsia="en-US"/>
        </w:rPr>
        <w:t xml:space="preserve"> </w:t>
      </w:r>
      <w:r w:rsidR="002802DA" w:rsidRPr="005545AF">
        <w:rPr>
          <w:rFonts w:cs="Arial"/>
          <w:i/>
          <w:iCs/>
          <w:szCs w:val="24"/>
          <w:lang w:val="en-CA" w:eastAsia="en-US"/>
        </w:rPr>
        <w:t xml:space="preserve">Richard </w:t>
      </w:r>
      <w:r w:rsidR="00C92C7B" w:rsidRPr="005545AF">
        <w:rPr>
          <w:rFonts w:cs="Arial"/>
          <w:szCs w:val="24"/>
          <w:lang w:val="en-CA" w:eastAsia="en-US"/>
        </w:rPr>
        <w:t>that</w:t>
      </w:r>
      <w:r w:rsidR="002802DA" w:rsidRPr="005545AF">
        <w:rPr>
          <w:rFonts w:cs="Arial"/>
          <w:szCs w:val="24"/>
          <w:lang w:val="en-CA" w:eastAsia="en-US"/>
        </w:rPr>
        <w:t xml:space="preserve"> « […] </w:t>
      </w:r>
      <w:r w:rsidR="00C92C7B" w:rsidRPr="005545AF">
        <w:rPr>
          <w:rFonts w:cs="Arial"/>
          <w:szCs w:val="24"/>
          <w:lang w:val="en-CA" w:eastAsia="en-US"/>
        </w:rPr>
        <w:t xml:space="preserve">the larger the debtor’s patrimony, the higher the award of punitive damages must be to ensure that the general objectives of such damages are achieved and to discourage any repetition,”  </w:t>
      </w:r>
      <w:r w:rsidR="005C0A56" w:rsidRPr="005545AF">
        <w:rPr>
          <w:rFonts w:cs="Arial"/>
          <w:szCs w:val="24"/>
          <w:lang w:val="en-CA" w:eastAsia="en-US"/>
        </w:rPr>
        <w:t>it</w:t>
      </w:r>
      <w:r w:rsidR="00C92C7B" w:rsidRPr="005545AF">
        <w:rPr>
          <w:rFonts w:cs="Arial"/>
          <w:szCs w:val="24"/>
          <w:lang w:val="en-CA" w:eastAsia="en-US"/>
        </w:rPr>
        <w:t xml:space="preserve"> remains</w:t>
      </w:r>
      <w:r w:rsidR="002802DA" w:rsidRPr="005545AF">
        <w:rPr>
          <w:rFonts w:cs="Arial"/>
          <w:szCs w:val="24"/>
          <w:lang w:val="en-CA" w:eastAsia="en-US"/>
        </w:rPr>
        <w:t xml:space="preserve"> </w:t>
      </w:r>
      <w:r w:rsidR="00C92C7B" w:rsidRPr="005545AF">
        <w:rPr>
          <w:rFonts w:cs="Arial"/>
          <w:szCs w:val="24"/>
          <w:lang w:val="en-CA" w:eastAsia="en-US"/>
        </w:rPr>
        <w:lastRenderedPageBreak/>
        <w:t>that “</w:t>
      </w:r>
      <w:r w:rsidR="002802DA" w:rsidRPr="005545AF">
        <w:rPr>
          <w:rFonts w:cs="Arial"/>
          <w:szCs w:val="24"/>
          <w:lang w:val="en-CA" w:eastAsia="en-US"/>
        </w:rPr>
        <w:t>[…]</w:t>
      </w:r>
      <w:r w:rsidR="00C92C7B" w:rsidRPr="005545AF">
        <w:rPr>
          <w:rFonts w:cs="Arial"/>
          <w:szCs w:val="24"/>
          <w:lang w:val="en-CA" w:eastAsia="en-US"/>
        </w:rPr>
        <w:t>even where an offender is extremely wealthy, the amount of the award must still be rationally connected with the purposes for which punitive damages are awarded in a particular case.”</w:t>
      </w:r>
      <w:r w:rsidR="002802DA" w:rsidRPr="005545AF">
        <w:rPr>
          <w:rStyle w:val="Appelnotedebasdep"/>
          <w:rFonts w:cs="Arial"/>
          <w:szCs w:val="24"/>
          <w:lang w:val="en-CA" w:eastAsia="en-US"/>
        </w:rPr>
        <w:footnoteReference w:id="133"/>
      </w:r>
      <w:r w:rsidR="00C92C7B" w:rsidRPr="005545AF">
        <w:rPr>
          <w:rFonts w:cs="Arial"/>
          <w:szCs w:val="24"/>
          <w:lang w:val="en-CA" w:eastAsia="en-US"/>
        </w:rPr>
        <w:t xml:space="preserve"> While still taking into account this particular aspect of the case, it </w:t>
      </w:r>
      <w:r w:rsidR="00FA6DBA" w:rsidRPr="005545AF">
        <w:rPr>
          <w:rFonts w:cs="Arial"/>
          <w:szCs w:val="24"/>
          <w:lang w:val="en-CA" w:eastAsia="en-US"/>
        </w:rPr>
        <w:t xml:space="preserve">therefore </w:t>
      </w:r>
      <w:r w:rsidR="00C92C7B" w:rsidRPr="005545AF">
        <w:rPr>
          <w:rFonts w:cs="Arial"/>
          <w:szCs w:val="24"/>
          <w:lang w:val="en-CA" w:eastAsia="en-US"/>
        </w:rPr>
        <w:t>seems preferable to me to focus</w:t>
      </w:r>
      <w:r w:rsidR="00670C1B" w:rsidRPr="005545AF">
        <w:rPr>
          <w:rFonts w:cs="Arial"/>
          <w:szCs w:val="24"/>
          <w:lang w:val="en-CA" w:eastAsia="en-US"/>
        </w:rPr>
        <w:t>, rather,</w:t>
      </w:r>
      <w:r w:rsidR="00C92C7B" w:rsidRPr="005545AF">
        <w:rPr>
          <w:rFonts w:cs="Arial"/>
          <w:szCs w:val="24"/>
          <w:lang w:val="en-CA" w:eastAsia="en-US"/>
        </w:rPr>
        <w:t xml:space="preserve"> on the objectives of general deterrence and denunciation</w:t>
      </w:r>
      <w:r w:rsidR="002802DA" w:rsidRPr="005545AF">
        <w:rPr>
          <w:rFonts w:cs="Arial"/>
          <w:szCs w:val="24"/>
          <w:lang w:val="en-CA" w:eastAsia="en-US"/>
        </w:rPr>
        <w:t>.</w:t>
      </w:r>
    </w:p>
    <w:p w14:paraId="46150EC0" w14:textId="14BBC2B1" w:rsidR="002802DA" w:rsidRPr="005545AF" w:rsidRDefault="00FA6DBA" w:rsidP="001F7377">
      <w:pPr>
        <w:pStyle w:val="Paragraphe"/>
        <w:spacing w:line="240" w:lineRule="auto"/>
        <w:rPr>
          <w:rFonts w:cs="Arial"/>
          <w:szCs w:val="24"/>
          <w:lang w:val="en-CA" w:eastAsia="en-US"/>
        </w:rPr>
      </w:pPr>
      <w:r w:rsidRPr="005545AF">
        <w:rPr>
          <w:rFonts w:cs="Arial"/>
          <w:szCs w:val="24"/>
          <w:lang w:val="en-CA" w:eastAsia="en-US"/>
        </w:rPr>
        <w:t>As for the properly punitive aspect</w:t>
      </w:r>
      <w:r w:rsidR="002802DA" w:rsidRPr="005545AF">
        <w:rPr>
          <w:rFonts w:cs="Arial"/>
          <w:szCs w:val="24"/>
          <w:lang w:val="en-CA" w:eastAsia="en-US"/>
        </w:rPr>
        <w:t>, Google</w:t>
      </w:r>
      <w:r w:rsidRPr="005545AF">
        <w:rPr>
          <w:rFonts w:cs="Arial"/>
          <w:szCs w:val="24"/>
          <w:lang w:val="en-CA" w:eastAsia="en-US"/>
        </w:rPr>
        <w:t>’s fault</w:t>
      </w:r>
      <w:r w:rsidR="002802DA" w:rsidRPr="005545AF">
        <w:rPr>
          <w:rFonts w:cs="Arial"/>
          <w:szCs w:val="24"/>
          <w:lang w:val="en-CA" w:eastAsia="en-US"/>
        </w:rPr>
        <w:t xml:space="preserve">, </w:t>
      </w:r>
      <w:r w:rsidRPr="005545AF">
        <w:rPr>
          <w:rFonts w:cs="Arial"/>
          <w:szCs w:val="24"/>
          <w:lang w:val="en-CA" w:eastAsia="en-US"/>
        </w:rPr>
        <w:t>but especially its steadfastness, even stubbornness, in maintaining</w:t>
      </w:r>
      <w:r w:rsidR="002802DA" w:rsidRPr="005545AF">
        <w:rPr>
          <w:rFonts w:cs="Arial"/>
          <w:szCs w:val="24"/>
          <w:lang w:val="en-CA" w:eastAsia="en-US"/>
        </w:rPr>
        <w:t xml:space="preserve"> </w:t>
      </w:r>
      <w:r w:rsidRPr="005545AF">
        <w:rPr>
          <w:rFonts w:cs="Arial"/>
          <w:szCs w:val="24"/>
          <w:lang w:val="en-CA" w:eastAsia="en-US"/>
        </w:rPr>
        <w:t>its position in the face of a serious and persistent interference seem to me to be an aggravating factor</w:t>
      </w:r>
      <w:r w:rsidR="002802DA" w:rsidRPr="005545AF">
        <w:rPr>
          <w:rFonts w:cs="Arial"/>
          <w:szCs w:val="24"/>
          <w:lang w:val="en-CA" w:eastAsia="en-US"/>
        </w:rPr>
        <w:t xml:space="preserve">. </w:t>
      </w:r>
      <w:r w:rsidRPr="005545AF">
        <w:rPr>
          <w:rFonts w:cs="Arial"/>
          <w:szCs w:val="24"/>
          <w:lang w:val="en-CA" w:eastAsia="en-US"/>
        </w:rPr>
        <w:t xml:space="preserve">The effectiveness of </w:t>
      </w:r>
      <w:r w:rsidR="002802DA" w:rsidRPr="005545AF">
        <w:rPr>
          <w:rFonts w:cs="Arial"/>
          <w:szCs w:val="24"/>
          <w:lang w:val="en-CA" w:eastAsia="en-US"/>
        </w:rPr>
        <w:t>Google</w:t>
      </w:r>
      <w:r w:rsidRPr="005545AF">
        <w:rPr>
          <w:rFonts w:cs="Arial"/>
          <w:szCs w:val="24"/>
          <w:lang w:val="en-CA" w:eastAsia="en-US"/>
        </w:rPr>
        <w:t>’s technology is proportional to its danger</w:t>
      </w:r>
      <w:r w:rsidR="00670C1B" w:rsidRPr="005545AF">
        <w:rPr>
          <w:rFonts w:cs="Arial"/>
          <w:szCs w:val="24"/>
          <w:lang w:val="en-CA" w:eastAsia="en-US"/>
        </w:rPr>
        <w:t>ousness</w:t>
      </w:r>
      <w:r w:rsidRPr="005545AF">
        <w:rPr>
          <w:rFonts w:cs="Arial"/>
          <w:szCs w:val="24"/>
          <w:lang w:val="en-CA" w:eastAsia="en-US"/>
        </w:rPr>
        <w:t xml:space="preserve"> and to the accountability that it demands</w:t>
      </w:r>
      <w:r w:rsidR="002802DA" w:rsidRPr="005545AF">
        <w:rPr>
          <w:rFonts w:cs="Arial"/>
          <w:szCs w:val="24"/>
          <w:lang w:val="en-CA" w:eastAsia="en-US"/>
        </w:rPr>
        <w:t xml:space="preserve">. </w:t>
      </w:r>
      <w:r w:rsidRPr="005545AF">
        <w:rPr>
          <w:rFonts w:cs="Arial"/>
          <w:szCs w:val="24"/>
          <w:lang w:val="en-CA" w:eastAsia="en-US"/>
        </w:rPr>
        <w:t>For these reasons, I am of the view that the sum of $1,500,000 in punitive damages is reasonable</w:t>
      </w:r>
      <w:r w:rsidR="002802DA" w:rsidRPr="005545AF">
        <w:rPr>
          <w:rFonts w:cs="Arial"/>
          <w:szCs w:val="24"/>
          <w:lang w:val="en-CA" w:eastAsia="en-US"/>
        </w:rPr>
        <w:t>.</w:t>
      </w:r>
    </w:p>
    <w:p w14:paraId="30E3A9E7" w14:textId="2B3DA251" w:rsidR="002802DA" w:rsidRPr="005545AF" w:rsidRDefault="002802DA" w:rsidP="001F7377">
      <w:pPr>
        <w:pStyle w:val="Paragraphe"/>
        <w:numPr>
          <w:ilvl w:val="0"/>
          <w:numId w:val="0"/>
        </w:numPr>
        <w:spacing w:line="240" w:lineRule="auto"/>
        <w:ind w:left="1134"/>
        <w:outlineLvl w:val="1"/>
        <w:rPr>
          <w:b/>
          <w:bCs/>
          <w:lang w:val="en-CA"/>
        </w:rPr>
      </w:pPr>
      <w:r w:rsidRPr="005545AF">
        <w:rPr>
          <w:b/>
          <w:bCs/>
          <w:lang w:val="en-CA"/>
        </w:rPr>
        <w:t>4)</w:t>
      </w:r>
      <w:r w:rsidRPr="005545AF">
        <w:rPr>
          <w:b/>
          <w:bCs/>
          <w:lang w:val="en-CA"/>
        </w:rPr>
        <w:tab/>
      </w:r>
      <w:r w:rsidR="00965830" w:rsidRPr="005545AF">
        <w:rPr>
          <w:b/>
          <w:bCs/>
          <w:lang w:val="en-CA"/>
        </w:rPr>
        <w:t xml:space="preserve">Did the judge err in </w:t>
      </w:r>
      <w:r w:rsidR="008231FD" w:rsidRPr="005545AF">
        <w:rPr>
          <w:b/>
          <w:bCs/>
          <w:lang w:val="en-CA"/>
        </w:rPr>
        <w:t>declining</w:t>
      </w:r>
      <w:r w:rsidR="00965830" w:rsidRPr="005545AF">
        <w:rPr>
          <w:b/>
          <w:bCs/>
          <w:lang w:val="en-CA"/>
        </w:rPr>
        <w:t xml:space="preserve"> to grant a permanent publication ban on </w:t>
      </w:r>
      <w:r w:rsidR="00670C1B" w:rsidRPr="005545AF">
        <w:rPr>
          <w:b/>
          <w:bCs/>
          <w:lang w:val="en-CA"/>
        </w:rPr>
        <w:t>the appellant</w:t>
      </w:r>
      <w:r w:rsidR="00965830" w:rsidRPr="005545AF">
        <w:rPr>
          <w:b/>
          <w:bCs/>
          <w:lang w:val="en-CA"/>
        </w:rPr>
        <w:t>’s name (principal appeal)</w:t>
      </w:r>
      <w:r w:rsidRPr="005545AF">
        <w:rPr>
          <w:b/>
          <w:bCs/>
          <w:lang w:val="en-CA"/>
        </w:rPr>
        <w:t>?</w:t>
      </w:r>
    </w:p>
    <w:p w14:paraId="28F9C7B4" w14:textId="6F2AB4C1" w:rsidR="002802DA" w:rsidRPr="005545AF" w:rsidRDefault="006E66D7" w:rsidP="001F7377">
      <w:pPr>
        <w:pStyle w:val="Paragraphe"/>
        <w:spacing w:line="240" w:lineRule="auto"/>
        <w:rPr>
          <w:lang w:val="en-CA"/>
        </w:rPr>
      </w:pPr>
      <w:r w:rsidRPr="005545AF">
        <w:rPr>
          <w:lang w:val="en-CA"/>
        </w:rPr>
        <w:t>In a judgment rendered on October 12,</w:t>
      </w:r>
      <w:r w:rsidR="00AD1B44" w:rsidRPr="005545AF">
        <w:rPr>
          <w:lang w:val="en-CA"/>
        </w:rPr>
        <w:t xml:space="preserve"> </w:t>
      </w:r>
      <w:r w:rsidR="002802DA" w:rsidRPr="005545AF">
        <w:rPr>
          <w:lang w:val="en-CA"/>
        </w:rPr>
        <w:t xml:space="preserve">2016 </w:t>
      </w:r>
      <w:r w:rsidRPr="005545AF">
        <w:rPr>
          <w:lang w:val="en-CA"/>
        </w:rPr>
        <w:t xml:space="preserve">by </w:t>
      </w:r>
      <w:r w:rsidR="0061719D" w:rsidRPr="005545AF">
        <w:rPr>
          <w:lang w:val="en-CA"/>
        </w:rPr>
        <w:t xml:space="preserve">Justice </w:t>
      </w:r>
      <w:r w:rsidRPr="005545AF">
        <w:rPr>
          <w:lang w:val="en-CA"/>
        </w:rPr>
        <w:t>Granosik</w:t>
      </w:r>
      <w:r w:rsidR="00E769CD" w:rsidRPr="005545AF">
        <w:rPr>
          <w:lang w:val="en-CA"/>
        </w:rPr>
        <w:t>,</w:t>
      </w:r>
      <w:r w:rsidR="002802DA" w:rsidRPr="005545AF">
        <w:rPr>
          <w:rStyle w:val="Appelnotedebasdep"/>
          <w:lang w:val="en-CA"/>
        </w:rPr>
        <w:footnoteReference w:id="134"/>
      </w:r>
      <w:r w:rsidR="002802DA" w:rsidRPr="005545AF">
        <w:rPr>
          <w:lang w:val="en-CA"/>
        </w:rPr>
        <w:t xml:space="preserve"> </w:t>
      </w:r>
      <w:r w:rsidR="006931AE" w:rsidRPr="005545AF">
        <w:rPr>
          <w:lang w:val="en-CA"/>
        </w:rPr>
        <w:t>the appellant</w:t>
      </w:r>
      <w:r w:rsidR="002802DA" w:rsidRPr="005545AF">
        <w:rPr>
          <w:lang w:val="en-CA"/>
        </w:rPr>
        <w:t xml:space="preserve"> </w:t>
      </w:r>
      <w:r w:rsidRPr="005545AF">
        <w:rPr>
          <w:lang w:val="en-CA"/>
        </w:rPr>
        <w:t xml:space="preserve">obtained an anonymization order as well as </w:t>
      </w:r>
      <w:r w:rsidR="0061719D" w:rsidRPr="005545AF">
        <w:rPr>
          <w:lang w:val="en-CA"/>
        </w:rPr>
        <w:t>a</w:t>
      </w:r>
      <w:r w:rsidR="00AD1B44" w:rsidRPr="005545AF">
        <w:rPr>
          <w:lang w:val="en-CA"/>
        </w:rPr>
        <w:t>n</w:t>
      </w:r>
      <w:r w:rsidR="0061719D" w:rsidRPr="005545AF">
        <w:rPr>
          <w:lang w:val="en-CA"/>
        </w:rPr>
        <w:t xml:space="preserve"> order</w:t>
      </w:r>
      <w:r w:rsidR="005455FD" w:rsidRPr="005545AF">
        <w:rPr>
          <w:lang w:val="en-CA"/>
        </w:rPr>
        <w:t xml:space="preserve"> </w:t>
      </w:r>
      <w:r w:rsidR="00C823E9" w:rsidRPr="005545AF">
        <w:rPr>
          <w:lang w:val="en-CA"/>
        </w:rPr>
        <w:t>enjoining the non-</w:t>
      </w:r>
      <w:r w:rsidR="005455FD" w:rsidRPr="005545AF">
        <w:rPr>
          <w:lang w:val="en-CA"/>
        </w:rPr>
        <w:t xml:space="preserve">circulation of </w:t>
      </w:r>
      <w:r w:rsidRPr="005545AF">
        <w:rPr>
          <w:lang w:val="en-CA"/>
        </w:rPr>
        <w:t>proceedings, exhibits and testimony</w:t>
      </w:r>
      <w:r w:rsidR="005455FD" w:rsidRPr="005545AF">
        <w:rPr>
          <w:lang w:val="en-CA"/>
        </w:rPr>
        <w:t xml:space="preserve"> </w:t>
      </w:r>
      <w:r w:rsidR="0061719D" w:rsidRPr="005545AF">
        <w:rPr>
          <w:lang w:val="en-CA"/>
        </w:rPr>
        <w:t>pending judgment on the merits</w:t>
      </w:r>
      <w:r w:rsidR="002802DA" w:rsidRPr="005545AF">
        <w:rPr>
          <w:lang w:val="en-CA"/>
        </w:rPr>
        <w:t xml:space="preserve">. </w:t>
      </w:r>
      <w:r w:rsidR="0061719D" w:rsidRPr="005545AF">
        <w:rPr>
          <w:lang w:val="en-CA"/>
        </w:rPr>
        <w:t xml:space="preserve">The judgment under appeal dismissed the </w:t>
      </w:r>
      <w:r w:rsidR="00C823E9" w:rsidRPr="005545AF">
        <w:rPr>
          <w:lang w:val="en-CA"/>
        </w:rPr>
        <w:t xml:space="preserve">application for a </w:t>
      </w:r>
      <w:r w:rsidR="0061719D" w:rsidRPr="005545AF">
        <w:rPr>
          <w:lang w:val="en-CA"/>
        </w:rPr>
        <w:t xml:space="preserve">permanent </w:t>
      </w:r>
      <w:r w:rsidR="00C823E9" w:rsidRPr="005545AF">
        <w:rPr>
          <w:lang w:val="en-CA"/>
        </w:rPr>
        <w:t>order</w:t>
      </w:r>
      <w:r w:rsidR="00AD1B44" w:rsidRPr="005545AF">
        <w:rPr>
          <w:lang w:val="en-CA"/>
        </w:rPr>
        <w:t xml:space="preserve"> </w:t>
      </w:r>
      <w:r w:rsidR="00C823E9" w:rsidRPr="005545AF">
        <w:rPr>
          <w:lang w:val="en-CA"/>
        </w:rPr>
        <w:t xml:space="preserve">enjoining </w:t>
      </w:r>
      <w:r w:rsidR="00AD1B44" w:rsidRPr="005545AF">
        <w:rPr>
          <w:lang w:val="en-CA"/>
        </w:rPr>
        <w:t xml:space="preserve">the non-disclosure of </w:t>
      </w:r>
      <w:r w:rsidR="006931AE" w:rsidRPr="005545AF">
        <w:rPr>
          <w:lang w:val="en-CA"/>
        </w:rPr>
        <w:t>the appellant</w:t>
      </w:r>
      <w:r w:rsidR="0061719D" w:rsidRPr="005545AF">
        <w:rPr>
          <w:lang w:val="en-CA"/>
        </w:rPr>
        <w:t>’s name and that of members of his family, as well as information that could identify them</w:t>
      </w:r>
      <w:r w:rsidR="002802DA" w:rsidRPr="005545AF">
        <w:rPr>
          <w:lang w:val="en-CA"/>
        </w:rPr>
        <w:t xml:space="preserve">. </w:t>
      </w:r>
      <w:r w:rsidR="006931AE" w:rsidRPr="005545AF">
        <w:rPr>
          <w:lang w:val="en-CA"/>
        </w:rPr>
        <w:t>The appellant</w:t>
      </w:r>
      <w:r w:rsidR="002802DA" w:rsidRPr="005545AF">
        <w:rPr>
          <w:lang w:val="en-CA"/>
        </w:rPr>
        <w:t xml:space="preserve"> </w:t>
      </w:r>
      <w:r w:rsidR="00AD1B44" w:rsidRPr="005545AF">
        <w:rPr>
          <w:lang w:val="en-CA"/>
        </w:rPr>
        <w:t>appeals that decision</w:t>
      </w:r>
      <w:r w:rsidR="002802DA" w:rsidRPr="005545AF">
        <w:rPr>
          <w:lang w:val="en-CA"/>
        </w:rPr>
        <w:t xml:space="preserve">. </w:t>
      </w:r>
      <w:r w:rsidR="00AD1B44" w:rsidRPr="005545AF">
        <w:rPr>
          <w:lang w:val="en-CA"/>
        </w:rPr>
        <w:t>As was the case at trial</w:t>
      </w:r>
      <w:r w:rsidR="002802DA" w:rsidRPr="005545AF">
        <w:rPr>
          <w:lang w:val="en-CA"/>
        </w:rPr>
        <w:t xml:space="preserve">, Google </w:t>
      </w:r>
      <w:r w:rsidR="00AD1B44" w:rsidRPr="005545AF">
        <w:rPr>
          <w:lang w:val="en-CA"/>
        </w:rPr>
        <w:t>submits no argument on this issue</w:t>
      </w:r>
      <w:r w:rsidR="002802DA" w:rsidRPr="005545AF">
        <w:rPr>
          <w:lang w:val="en-CA"/>
        </w:rPr>
        <w:t>. I</w:t>
      </w:r>
      <w:r w:rsidR="00AD1B44" w:rsidRPr="005545AF">
        <w:rPr>
          <w:lang w:val="en-CA"/>
        </w:rPr>
        <w:t>t is also worth noting that no media, after having been impleaded, has intervened in the debate.</w:t>
      </w:r>
      <w:r w:rsidR="002802DA" w:rsidRPr="005545AF">
        <w:rPr>
          <w:rStyle w:val="Appelnotedebasdep"/>
          <w:lang w:val="en-CA"/>
        </w:rPr>
        <w:footnoteReference w:id="135"/>
      </w:r>
    </w:p>
    <w:p w14:paraId="116F147E" w14:textId="4C0E39CD" w:rsidR="002802DA" w:rsidRPr="005545AF" w:rsidRDefault="006931AE" w:rsidP="001F7377">
      <w:pPr>
        <w:pStyle w:val="Paragraphe"/>
        <w:spacing w:line="240" w:lineRule="auto"/>
        <w:rPr>
          <w:lang w:val="en-CA"/>
        </w:rPr>
      </w:pPr>
      <w:r w:rsidRPr="005545AF">
        <w:rPr>
          <w:lang w:val="en-CA"/>
        </w:rPr>
        <w:t>Like</w:t>
      </w:r>
      <w:r w:rsidR="00BC194D" w:rsidRPr="005545AF">
        <w:rPr>
          <w:lang w:val="en-CA"/>
        </w:rPr>
        <w:t xml:space="preserve"> Justice Granosik, t</w:t>
      </w:r>
      <w:r w:rsidR="00C823E9" w:rsidRPr="005545AF">
        <w:rPr>
          <w:lang w:val="en-CA"/>
        </w:rPr>
        <w:t>he trial judge</w:t>
      </w:r>
      <w:r w:rsidR="00BC194D" w:rsidRPr="005545AF">
        <w:rPr>
          <w:lang w:val="en-CA"/>
        </w:rPr>
        <w:t xml:space="preserve"> </w:t>
      </w:r>
      <w:r w:rsidR="00C823E9" w:rsidRPr="005545AF">
        <w:rPr>
          <w:lang w:val="en-CA"/>
        </w:rPr>
        <w:t>began by noting the somewhat paradox</w:t>
      </w:r>
      <w:r w:rsidR="00BC194D" w:rsidRPr="005545AF">
        <w:rPr>
          <w:lang w:val="en-CA"/>
        </w:rPr>
        <w:t>ic</w:t>
      </w:r>
      <w:r w:rsidR="00C823E9" w:rsidRPr="005545AF">
        <w:rPr>
          <w:lang w:val="en-CA"/>
        </w:rPr>
        <w:t>al</w:t>
      </w:r>
      <w:r w:rsidR="00BC194D" w:rsidRPr="005545AF">
        <w:rPr>
          <w:lang w:val="en-CA"/>
        </w:rPr>
        <w:t xml:space="preserve"> nature of </w:t>
      </w:r>
      <w:r w:rsidRPr="005545AF">
        <w:rPr>
          <w:lang w:val="en-CA"/>
        </w:rPr>
        <w:t>the appellant</w:t>
      </w:r>
      <w:r w:rsidR="00BC194D" w:rsidRPr="005545AF">
        <w:rPr>
          <w:lang w:val="en-CA"/>
        </w:rPr>
        <w:t xml:space="preserve">’s application, in that he wishes to keep his identity confidential in a judgment that would essentially condemn the circulation of the </w:t>
      </w:r>
      <w:r w:rsidR="004A5D7E" w:rsidRPr="005545AF">
        <w:rPr>
          <w:lang w:val="en-CA"/>
        </w:rPr>
        <w:t>Impugned Post</w:t>
      </w:r>
      <w:r w:rsidR="00BC194D" w:rsidRPr="005545AF">
        <w:rPr>
          <w:lang w:val="en-CA"/>
        </w:rPr>
        <w:t>, which still remains available on the Internet, and publicly establish its falseness</w:t>
      </w:r>
      <w:r w:rsidRPr="005545AF">
        <w:rPr>
          <w:lang w:val="en-CA"/>
        </w:rPr>
        <w:t>.</w:t>
      </w:r>
      <w:r w:rsidR="002802DA" w:rsidRPr="005545AF">
        <w:rPr>
          <w:rStyle w:val="Appelnotedebasdep"/>
          <w:lang w:val="en-CA"/>
        </w:rPr>
        <w:footnoteReference w:id="136"/>
      </w:r>
      <w:r w:rsidR="002802DA" w:rsidRPr="005545AF">
        <w:rPr>
          <w:lang w:val="en-CA"/>
        </w:rPr>
        <w:t xml:space="preserve">  </w:t>
      </w:r>
    </w:p>
    <w:p w14:paraId="6D71DFEA" w14:textId="7CACD7FA" w:rsidR="002802DA" w:rsidRPr="005545AF" w:rsidRDefault="00BC194D" w:rsidP="001F7377">
      <w:pPr>
        <w:pStyle w:val="Paragraphe"/>
        <w:spacing w:line="240" w:lineRule="auto"/>
        <w:rPr>
          <w:lang w:val="en-CA"/>
        </w:rPr>
      </w:pPr>
      <w:r w:rsidRPr="005545AF">
        <w:rPr>
          <w:lang w:val="en-CA"/>
        </w:rPr>
        <w:t xml:space="preserve">Following this </w:t>
      </w:r>
      <w:r w:rsidR="00E769CD" w:rsidRPr="005545AF">
        <w:rPr>
          <w:lang w:val="en-CA"/>
        </w:rPr>
        <w:t>preliminary</w:t>
      </w:r>
      <w:r w:rsidRPr="005545AF">
        <w:rPr>
          <w:lang w:val="en-CA"/>
        </w:rPr>
        <w:t xml:space="preserve"> comment</w:t>
      </w:r>
      <w:r w:rsidR="002802DA" w:rsidRPr="005545AF">
        <w:rPr>
          <w:lang w:val="en-CA"/>
        </w:rPr>
        <w:t xml:space="preserve">, </w:t>
      </w:r>
      <w:r w:rsidRPr="005545AF">
        <w:rPr>
          <w:lang w:val="en-CA"/>
        </w:rPr>
        <w:t xml:space="preserve">which </w:t>
      </w:r>
      <w:r w:rsidR="00E769CD" w:rsidRPr="005545AF">
        <w:rPr>
          <w:lang w:val="en-CA"/>
        </w:rPr>
        <w:t>appears</w:t>
      </w:r>
      <w:r w:rsidR="00F57598" w:rsidRPr="005545AF">
        <w:rPr>
          <w:lang w:val="en-CA"/>
        </w:rPr>
        <w:t xml:space="preserve"> to be decisive </w:t>
      </w:r>
      <w:r w:rsidRPr="005545AF">
        <w:rPr>
          <w:lang w:val="en-CA"/>
        </w:rPr>
        <w:t>in his reasoning</w:t>
      </w:r>
      <w:r w:rsidR="002802DA" w:rsidRPr="005545AF">
        <w:rPr>
          <w:lang w:val="en-CA"/>
        </w:rPr>
        <w:t xml:space="preserve">, </w:t>
      </w:r>
      <w:r w:rsidRPr="005545AF">
        <w:rPr>
          <w:lang w:val="en-CA"/>
        </w:rPr>
        <w:t xml:space="preserve">the judge </w:t>
      </w:r>
      <w:r w:rsidR="001C7A71" w:rsidRPr="005545AF">
        <w:rPr>
          <w:lang w:val="en-CA"/>
        </w:rPr>
        <w:t>outlined</w:t>
      </w:r>
      <w:r w:rsidRPr="005545AF">
        <w:rPr>
          <w:lang w:val="en-CA"/>
        </w:rPr>
        <w:t xml:space="preserve"> the analytical framework articulated by the Supreme Court</w:t>
      </w:r>
      <w:r w:rsidR="002802DA" w:rsidRPr="005545AF">
        <w:rPr>
          <w:lang w:val="en-CA"/>
        </w:rPr>
        <w:t xml:space="preserve"> </w:t>
      </w:r>
      <w:r w:rsidR="001C7A71" w:rsidRPr="005545AF">
        <w:rPr>
          <w:lang w:val="en-CA"/>
        </w:rPr>
        <w:t xml:space="preserve">in </w:t>
      </w:r>
      <w:r w:rsidR="002802DA" w:rsidRPr="005545AF">
        <w:rPr>
          <w:i/>
          <w:iCs/>
          <w:lang w:val="en-CA"/>
        </w:rPr>
        <w:t>Sherman</w:t>
      </w:r>
      <w:r w:rsidR="00930D81" w:rsidRPr="005545AF">
        <w:rPr>
          <w:i/>
          <w:iCs/>
          <w:lang w:val="en-CA"/>
        </w:rPr>
        <w:t xml:space="preserve"> </w:t>
      </w:r>
      <w:r w:rsidR="001C7A71" w:rsidRPr="005545AF">
        <w:rPr>
          <w:i/>
          <w:iCs/>
          <w:lang w:val="en-CA"/>
        </w:rPr>
        <w:t>Estate</w:t>
      </w:r>
      <w:r w:rsidR="002802DA" w:rsidRPr="005545AF">
        <w:rPr>
          <w:i/>
          <w:iCs/>
          <w:lang w:val="en-CA"/>
        </w:rPr>
        <w:t xml:space="preserve"> </w:t>
      </w:r>
      <w:r w:rsidR="001C7A71" w:rsidRPr="005545AF">
        <w:rPr>
          <w:i/>
          <w:iCs/>
          <w:lang w:val="en-CA"/>
        </w:rPr>
        <w:t>v</w:t>
      </w:r>
      <w:r w:rsidR="002802DA" w:rsidRPr="005545AF">
        <w:rPr>
          <w:i/>
          <w:iCs/>
          <w:lang w:val="en-CA"/>
        </w:rPr>
        <w:t>. Donovan</w:t>
      </w:r>
      <w:bookmarkStart w:id="67" w:name="_Ref207625299"/>
      <w:r w:rsidR="00E769CD" w:rsidRPr="005545AF">
        <w:rPr>
          <w:lang w:val="en-CA"/>
        </w:rPr>
        <w:t>.</w:t>
      </w:r>
      <w:r w:rsidR="002802DA" w:rsidRPr="005545AF">
        <w:rPr>
          <w:rStyle w:val="Appelnotedebasdep"/>
          <w:lang w:val="en-CA"/>
        </w:rPr>
        <w:footnoteReference w:id="137"/>
      </w:r>
      <w:bookmarkEnd w:id="67"/>
      <w:r w:rsidR="002802DA" w:rsidRPr="005545AF">
        <w:rPr>
          <w:i/>
          <w:iCs/>
          <w:lang w:val="en-CA"/>
        </w:rPr>
        <w:t xml:space="preserve"> </w:t>
      </w:r>
      <w:r w:rsidR="001C7A71" w:rsidRPr="005545AF">
        <w:rPr>
          <w:lang w:val="en-CA"/>
        </w:rPr>
        <w:t>Although, pursuant thereto, dignity can be an important public interest justifying limitation of the open-court principle, the judge recall</w:t>
      </w:r>
      <w:r w:rsidR="00F57598" w:rsidRPr="005545AF">
        <w:rPr>
          <w:lang w:val="en-CA"/>
        </w:rPr>
        <w:t>ed that</w:t>
      </w:r>
      <w:r w:rsidR="001C7A71" w:rsidRPr="005545AF">
        <w:rPr>
          <w:lang w:val="en-CA"/>
        </w:rPr>
        <w:t xml:space="preserve"> the threshold remains high, given that anyone requesting </w:t>
      </w:r>
      <w:r w:rsidR="00F57598" w:rsidRPr="005545AF">
        <w:rPr>
          <w:lang w:val="en-CA"/>
        </w:rPr>
        <w:t>intervention of</w:t>
      </w:r>
      <w:r w:rsidR="001C7A71" w:rsidRPr="005545AF">
        <w:rPr>
          <w:lang w:val="en-CA"/>
        </w:rPr>
        <w:t xml:space="preserve"> the justice system waives, in part at least, their right to privacy</w:t>
      </w:r>
      <w:r w:rsidR="00E769CD" w:rsidRPr="005545AF">
        <w:rPr>
          <w:lang w:val="en-CA"/>
        </w:rPr>
        <w:t>.</w:t>
      </w:r>
      <w:r w:rsidR="002802DA" w:rsidRPr="005545AF">
        <w:rPr>
          <w:rStyle w:val="Appelnotedebasdep"/>
          <w:lang w:val="en-CA"/>
        </w:rPr>
        <w:footnoteReference w:id="138"/>
      </w:r>
      <w:r w:rsidR="002802DA" w:rsidRPr="005545AF">
        <w:rPr>
          <w:lang w:val="en-CA"/>
        </w:rPr>
        <w:t xml:space="preserve">  </w:t>
      </w:r>
      <w:r w:rsidR="001C7A71" w:rsidRPr="005545AF">
        <w:rPr>
          <w:lang w:val="en-CA"/>
        </w:rPr>
        <w:t>While the judge agree</w:t>
      </w:r>
      <w:r w:rsidR="00E769CD" w:rsidRPr="005545AF">
        <w:rPr>
          <w:lang w:val="en-CA"/>
        </w:rPr>
        <w:t>d</w:t>
      </w:r>
      <w:r w:rsidR="001C7A71" w:rsidRPr="005545AF">
        <w:rPr>
          <w:lang w:val="en-CA"/>
        </w:rPr>
        <w:t xml:space="preserve"> that the </w:t>
      </w:r>
      <w:r w:rsidR="001C7A71" w:rsidRPr="005545AF">
        <w:rPr>
          <w:lang w:val="en-CA"/>
        </w:rPr>
        <w:lastRenderedPageBreak/>
        <w:t>information in the case</w:t>
      </w:r>
      <w:r w:rsidR="00F57598" w:rsidRPr="005545AF">
        <w:rPr>
          <w:lang w:val="en-CA"/>
        </w:rPr>
        <w:t xml:space="preserve"> strikes at </w:t>
      </w:r>
      <w:r w:rsidR="00E769CD" w:rsidRPr="005545AF">
        <w:rPr>
          <w:lang w:val="en-CA"/>
        </w:rPr>
        <w:t>the appellant</w:t>
      </w:r>
      <w:r w:rsidR="00F57598" w:rsidRPr="005545AF">
        <w:rPr>
          <w:lang w:val="en-CA"/>
        </w:rPr>
        <w:t xml:space="preserve">’s biographical core, he nevertheless found that there was no serious risk </w:t>
      </w:r>
      <w:r w:rsidR="00550723" w:rsidRPr="005545AF">
        <w:rPr>
          <w:lang w:val="en-CA"/>
        </w:rPr>
        <w:t>to that</w:t>
      </w:r>
      <w:r w:rsidR="00F57598" w:rsidRPr="005545AF">
        <w:rPr>
          <w:lang w:val="en-CA"/>
        </w:rPr>
        <w:t xml:space="preserve"> public interest</w:t>
      </w:r>
      <w:r w:rsidR="00550723" w:rsidRPr="005545AF">
        <w:rPr>
          <w:lang w:val="en-CA"/>
        </w:rPr>
        <w:t xml:space="preserve"> in dignity</w:t>
      </w:r>
      <w:r w:rsidR="00F57598" w:rsidRPr="005545AF">
        <w:rPr>
          <w:lang w:val="en-CA"/>
        </w:rPr>
        <w:t>.</w:t>
      </w:r>
      <w:r w:rsidR="002802DA" w:rsidRPr="005545AF">
        <w:rPr>
          <w:rStyle w:val="Appelnotedebasdep"/>
          <w:lang w:val="en-CA"/>
        </w:rPr>
        <w:footnoteReference w:id="139"/>
      </w:r>
      <w:r w:rsidR="002802DA" w:rsidRPr="005545AF">
        <w:rPr>
          <w:lang w:val="en-CA"/>
        </w:rPr>
        <w:t xml:space="preserve"> </w:t>
      </w:r>
    </w:p>
    <w:p w14:paraId="44A81269" w14:textId="59C8EB8F" w:rsidR="002802DA" w:rsidRPr="005545AF" w:rsidRDefault="00550723" w:rsidP="001F7377">
      <w:pPr>
        <w:pStyle w:val="Paragraphe"/>
        <w:spacing w:line="240" w:lineRule="auto"/>
        <w:rPr>
          <w:lang w:val="en-CA"/>
        </w:rPr>
      </w:pPr>
      <w:r w:rsidRPr="005545AF">
        <w:rPr>
          <w:lang w:val="en-CA"/>
        </w:rPr>
        <w:t>In support of that finding, the judge began by noting that defamation is not one of the exceptions to the open-court principle provided in articles</w:t>
      </w:r>
      <w:r w:rsidR="002802DA" w:rsidRPr="005545AF">
        <w:rPr>
          <w:lang w:val="en-CA"/>
        </w:rPr>
        <w:t xml:space="preserve"> 13, 15 </w:t>
      </w:r>
      <w:r w:rsidRPr="005545AF">
        <w:rPr>
          <w:lang w:val="en-CA"/>
        </w:rPr>
        <w:t>and</w:t>
      </w:r>
      <w:r w:rsidR="002802DA" w:rsidRPr="005545AF">
        <w:rPr>
          <w:lang w:val="en-CA"/>
        </w:rPr>
        <w:t xml:space="preserve"> 16 </w:t>
      </w:r>
      <w:r w:rsidR="002802DA" w:rsidRPr="005545AF">
        <w:rPr>
          <w:i/>
          <w:iCs/>
          <w:lang w:val="en-CA"/>
        </w:rPr>
        <w:t>C.</w:t>
      </w:r>
      <w:r w:rsidRPr="005545AF">
        <w:rPr>
          <w:i/>
          <w:iCs/>
          <w:lang w:val="en-CA"/>
        </w:rPr>
        <w:t>C.P</w:t>
      </w:r>
      <w:r w:rsidR="002802DA" w:rsidRPr="005545AF">
        <w:rPr>
          <w:i/>
          <w:iCs/>
          <w:lang w:val="en-CA"/>
        </w:rPr>
        <w:t>.</w:t>
      </w:r>
      <w:r w:rsidR="002802DA" w:rsidRPr="005545AF">
        <w:rPr>
          <w:lang w:val="en-CA"/>
        </w:rPr>
        <w:t xml:space="preserve"> </w:t>
      </w:r>
      <w:r w:rsidRPr="005545AF">
        <w:rPr>
          <w:lang w:val="en-CA"/>
        </w:rPr>
        <w:t>Although a defamation claim generally involves the disclosure of private and sensitive information, it is not open to the courts to create a new general exception to the rule</w:t>
      </w:r>
      <w:r w:rsidR="002802DA" w:rsidRPr="005545AF">
        <w:rPr>
          <w:lang w:val="en-CA"/>
        </w:rPr>
        <w:t xml:space="preserve">. </w:t>
      </w:r>
      <w:r w:rsidRPr="005545AF">
        <w:rPr>
          <w:lang w:val="en-CA"/>
        </w:rPr>
        <w:t>In the case at bar</w:t>
      </w:r>
      <w:r w:rsidR="002802DA" w:rsidRPr="005545AF">
        <w:rPr>
          <w:lang w:val="en-CA"/>
        </w:rPr>
        <w:t xml:space="preserve">, </w:t>
      </w:r>
      <w:r w:rsidRPr="005545AF">
        <w:rPr>
          <w:lang w:val="en-CA"/>
        </w:rPr>
        <w:t xml:space="preserve">the judge </w:t>
      </w:r>
      <w:r w:rsidR="002F2161" w:rsidRPr="005545AF">
        <w:rPr>
          <w:lang w:val="en-CA"/>
        </w:rPr>
        <w:t>wa</w:t>
      </w:r>
      <w:r w:rsidRPr="005545AF">
        <w:rPr>
          <w:lang w:val="en-CA"/>
        </w:rPr>
        <w:t xml:space="preserve">s of the view that the judgment will </w:t>
      </w:r>
      <w:r w:rsidR="004C0177" w:rsidRPr="005545AF">
        <w:rPr>
          <w:lang w:val="en-CA"/>
        </w:rPr>
        <w:t>assist in</w:t>
      </w:r>
      <w:r w:rsidR="002802DA" w:rsidRPr="005545AF">
        <w:rPr>
          <w:lang w:val="en-CA"/>
        </w:rPr>
        <w:t xml:space="preserve"> </w:t>
      </w:r>
      <w:r w:rsidRPr="005545AF">
        <w:rPr>
          <w:lang w:val="en-CA"/>
        </w:rPr>
        <w:t>“</w:t>
      </w:r>
      <w:r w:rsidR="002802DA" w:rsidRPr="005545AF">
        <w:rPr>
          <w:lang w:val="en-CA"/>
        </w:rPr>
        <w:t>setting the record straight</w:t>
      </w:r>
      <w:r w:rsidRPr="005545AF">
        <w:rPr>
          <w:lang w:val="en-CA"/>
        </w:rPr>
        <w:t>”</w:t>
      </w:r>
      <w:r w:rsidR="002802DA" w:rsidRPr="005545AF">
        <w:rPr>
          <w:lang w:val="en-CA"/>
        </w:rPr>
        <w:t xml:space="preserve"> </w:t>
      </w:r>
      <w:r w:rsidR="004C0177" w:rsidRPr="005545AF">
        <w:rPr>
          <w:lang w:val="en-CA"/>
        </w:rPr>
        <w:t>and that it is through</w:t>
      </w:r>
      <w:r w:rsidR="002802DA" w:rsidRPr="005545AF">
        <w:rPr>
          <w:lang w:val="en-CA"/>
        </w:rPr>
        <w:t xml:space="preserve"> </w:t>
      </w:r>
      <w:r w:rsidR="00E769CD" w:rsidRPr="005545AF">
        <w:rPr>
          <w:lang w:val="en-CA"/>
        </w:rPr>
        <w:t>the appellant</w:t>
      </w:r>
      <w:r w:rsidR="004C0177" w:rsidRPr="005545AF">
        <w:rPr>
          <w:lang w:val="en-CA"/>
        </w:rPr>
        <w:t>’s identification that his name and reputation can be rehabilitated</w:t>
      </w:r>
      <w:r w:rsidR="00E769CD" w:rsidRPr="005545AF">
        <w:rPr>
          <w:lang w:val="en-CA"/>
        </w:rPr>
        <w:t>.</w:t>
      </w:r>
      <w:r w:rsidR="002802DA" w:rsidRPr="005545AF">
        <w:rPr>
          <w:rStyle w:val="Appelnotedebasdep"/>
          <w:lang w:val="en-CA"/>
        </w:rPr>
        <w:footnoteReference w:id="140"/>
      </w:r>
    </w:p>
    <w:p w14:paraId="7ED73077" w14:textId="7C435C6B" w:rsidR="002802DA" w:rsidRPr="005545AF" w:rsidRDefault="0059468B" w:rsidP="001F7377">
      <w:pPr>
        <w:pStyle w:val="Paragraphe"/>
        <w:spacing w:line="240" w:lineRule="auto"/>
        <w:rPr>
          <w:lang w:val="en-CA"/>
        </w:rPr>
      </w:pPr>
      <w:r w:rsidRPr="005545AF">
        <w:rPr>
          <w:lang w:val="en-CA"/>
        </w:rPr>
        <w:t>The judge then specifically turned his attention to two factual elements of the case</w:t>
      </w:r>
      <w:r w:rsidR="002802DA" w:rsidRPr="005545AF">
        <w:rPr>
          <w:lang w:val="en-CA"/>
        </w:rPr>
        <w:t xml:space="preserve">. </w:t>
      </w:r>
      <w:r w:rsidRPr="005545AF">
        <w:rPr>
          <w:lang w:val="en-CA"/>
        </w:rPr>
        <w:t>First, he referred to the opinion of</w:t>
      </w:r>
      <w:r w:rsidR="002802DA" w:rsidRPr="005545AF">
        <w:rPr>
          <w:lang w:val="en-CA"/>
        </w:rPr>
        <w:t xml:space="preserve"> </w:t>
      </w:r>
      <w:r w:rsidRPr="005545AF">
        <w:rPr>
          <w:lang w:val="en-CA"/>
        </w:rPr>
        <w:t>Dr.</w:t>
      </w:r>
      <w:r w:rsidR="002802DA" w:rsidRPr="005545AF">
        <w:rPr>
          <w:lang w:val="en-CA"/>
        </w:rPr>
        <w:t xml:space="preserve"> Houle, </w:t>
      </w:r>
      <w:r w:rsidRPr="005545AF">
        <w:rPr>
          <w:lang w:val="en-CA"/>
        </w:rPr>
        <w:t>who explained that</w:t>
      </w:r>
      <w:r w:rsidR="00F35349" w:rsidRPr="005545AF">
        <w:rPr>
          <w:lang w:val="en-CA"/>
        </w:rPr>
        <w:t>,</w:t>
      </w:r>
      <w:r w:rsidRPr="005545AF">
        <w:rPr>
          <w:lang w:val="en-CA"/>
        </w:rPr>
        <w:t xml:space="preserve"> </w:t>
      </w:r>
      <w:r w:rsidR="00F35349" w:rsidRPr="005545AF">
        <w:rPr>
          <w:lang w:val="en-CA"/>
        </w:rPr>
        <w:t>because</w:t>
      </w:r>
      <w:r w:rsidRPr="005545AF">
        <w:rPr>
          <w:lang w:val="en-CA"/>
        </w:rPr>
        <w:t xml:space="preserve"> of his personality, </w:t>
      </w:r>
      <w:r w:rsidR="00F35349" w:rsidRPr="005545AF">
        <w:rPr>
          <w:lang w:val="en-CA"/>
        </w:rPr>
        <w:t>the appellant</w:t>
      </w:r>
      <w:r w:rsidRPr="005545AF">
        <w:rPr>
          <w:lang w:val="en-CA"/>
        </w:rPr>
        <w:t xml:space="preserve"> would be devasted by the </w:t>
      </w:r>
      <w:r w:rsidR="00726261" w:rsidRPr="005545AF">
        <w:rPr>
          <w:lang w:val="en-CA"/>
        </w:rPr>
        <w:t>publicity</w:t>
      </w:r>
      <w:r w:rsidRPr="005545AF">
        <w:rPr>
          <w:lang w:val="en-CA"/>
        </w:rPr>
        <w:t xml:space="preserve"> of proceedings </w:t>
      </w:r>
      <w:r w:rsidR="00F35349" w:rsidRPr="005545AF">
        <w:rPr>
          <w:lang w:val="en-CA"/>
        </w:rPr>
        <w:t>disclosing</w:t>
      </w:r>
      <w:r w:rsidRPr="005545AF">
        <w:rPr>
          <w:lang w:val="en-CA"/>
        </w:rPr>
        <w:t xml:space="preserve"> his identity</w:t>
      </w:r>
      <w:r w:rsidR="00A55C55" w:rsidRPr="005545AF">
        <w:rPr>
          <w:lang w:val="en-CA"/>
        </w:rPr>
        <w:t>, whereas others would be comforted by it</w:t>
      </w:r>
      <w:r w:rsidR="002802DA" w:rsidRPr="005545AF">
        <w:rPr>
          <w:lang w:val="en-CA"/>
        </w:rPr>
        <w:t xml:space="preserve">. </w:t>
      </w:r>
      <w:r w:rsidRPr="005545AF">
        <w:rPr>
          <w:lang w:val="en-CA"/>
        </w:rPr>
        <w:t xml:space="preserve">The judge found that this was an element specific to </w:t>
      </w:r>
      <w:r w:rsidR="00F35349" w:rsidRPr="005545AF">
        <w:rPr>
          <w:lang w:val="en-CA"/>
        </w:rPr>
        <w:t>the appellant</w:t>
      </w:r>
      <w:r w:rsidRPr="005545AF">
        <w:rPr>
          <w:lang w:val="en-CA"/>
        </w:rPr>
        <w:t xml:space="preserve"> that cannot be a relevant factor in analy</w:t>
      </w:r>
      <w:r w:rsidR="00F35349" w:rsidRPr="005545AF">
        <w:rPr>
          <w:lang w:val="en-CA"/>
        </w:rPr>
        <w:t>zing</w:t>
      </w:r>
      <w:r w:rsidRPr="005545AF">
        <w:rPr>
          <w:lang w:val="en-CA"/>
        </w:rPr>
        <w:t xml:space="preserve"> whether the </w:t>
      </w:r>
      <w:r w:rsidR="00A55C55" w:rsidRPr="005545AF">
        <w:rPr>
          <w:lang w:val="en-CA"/>
        </w:rPr>
        <w:t xml:space="preserve">interference with dignity in this case met the required threshold that justified </w:t>
      </w:r>
      <w:r w:rsidR="00726261" w:rsidRPr="005545AF">
        <w:rPr>
          <w:lang w:val="en-CA"/>
        </w:rPr>
        <w:t>restricting</w:t>
      </w:r>
      <w:r w:rsidR="00B379E6" w:rsidRPr="005545AF">
        <w:rPr>
          <w:lang w:val="en-CA"/>
        </w:rPr>
        <w:t xml:space="preserve"> court openness</w:t>
      </w:r>
      <w:r w:rsidR="00F35349" w:rsidRPr="005545AF">
        <w:rPr>
          <w:lang w:val="en-CA"/>
        </w:rPr>
        <w:t>.</w:t>
      </w:r>
      <w:r w:rsidR="002802DA" w:rsidRPr="005545AF">
        <w:rPr>
          <w:rStyle w:val="Appelnotedebasdep"/>
          <w:lang w:val="en-CA"/>
        </w:rPr>
        <w:footnoteReference w:id="141"/>
      </w:r>
      <w:r w:rsidR="002802DA" w:rsidRPr="005545AF">
        <w:rPr>
          <w:lang w:val="en-CA"/>
        </w:rPr>
        <w:t xml:space="preserve"> </w:t>
      </w:r>
      <w:r w:rsidR="00B379E6" w:rsidRPr="005545AF">
        <w:rPr>
          <w:lang w:val="en-CA"/>
        </w:rPr>
        <w:t>Further, t</w:t>
      </w:r>
      <w:r w:rsidR="00A55C55" w:rsidRPr="005545AF">
        <w:rPr>
          <w:lang w:val="en-CA"/>
        </w:rPr>
        <w:t xml:space="preserve">he judge considered that the same held true of the fears </w:t>
      </w:r>
      <w:r w:rsidR="00B379E6" w:rsidRPr="005545AF">
        <w:rPr>
          <w:lang w:val="en-CA"/>
        </w:rPr>
        <w:t>expressed by</w:t>
      </w:r>
      <w:r w:rsidR="00A55C55" w:rsidRPr="005545AF">
        <w:rPr>
          <w:lang w:val="en-CA"/>
        </w:rPr>
        <w:t xml:space="preserve"> one of </w:t>
      </w:r>
      <w:r w:rsidR="00F35349" w:rsidRPr="005545AF">
        <w:rPr>
          <w:lang w:val="en-CA"/>
        </w:rPr>
        <w:t>the appellant</w:t>
      </w:r>
      <w:r w:rsidR="00A55C55" w:rsidRPr="005545AF">
        <w:rPr>
          <w:lang w:val="en-CA"/>
        </w:rPr>
        <w:t xml:space="preserve">’s sons as to </w:t>
      </w:r>
      <w:r w:rsidR="00B379E6" w:rsidRPr="005545AF">
        <w:rPr>
          <w:lang w:val="en-CA"/>
        </w:rPr>
        <w:t>the very harmful effect on his career that gossip</w:t>
      </w:r>
      <w:r w:rsidR="00A55C55" w:rsidRPr="005545AF">
        <w:rPr>
          <w:lang w:val="en-CA"/>
        </w:rPr>
        <w:t xml:space="preserve"> surrounding the case</w:t>
      </w:r>
      <w:r w:rsidR="00B379E6" w:rsidRPr="005545AF">
        <w:rPr>
          <w:lang w:val="en-CA"/>
        </w:rPr>
        <w:t xml:space="preserve"> could have</w:t>
      </w:r>
      <w:r w:rsidR="00A55C55" w:rsidRPr="005545AF">
        <w:rPr>
          <w:lang w:val="en-CA"/>
        </w:rPr>
        <w:t>.</w:t>
      </w:r>
      <w:r w:rsidR="002802DA" w:rsidRPr="005545AF">
        <w:rPr>
          <w:rStyle w:val="Appelnotedebasdep"/>
          <w:lang w:val="en-CA"/>
        </w:rPr>
        <w:footnoteReference w:id="142"/>
      </w:r>
      <w:r w:rsidR="002802DA" w:rsidRPr="005545AF">
        <w:rPr>
          <w:lang w:val="en-CA"/>
        </w:rPr>
        <w:t xml:space="preserve"> </w:t>
      </w:r>
    </w:p>
    <w:p w14:paraId="206B3BC5" w14:textId="7AB8A0B0" w:rsidR="002802DA" w:rsidRPr="005545AF" w:rsidRDefault="00930D81" w:rsidP="001F7377">
      <w:pPr>
        <w:pStyle w:val="Paragraphe"/>
        <w:spacing w:line="240" w:lineRule="auto"/>
        <w:rPr>
          <w:lang w:val="en-CA"/>
        </w:rPr>
      </w:pPr>
      <w:r w:rsidRPr="005545AF">
        <w:rPr>
          <w:lang w:val="en-CA"/>
        </w:rPr>
        <w:t>Finally, the judge held that the third criterion of the test in</w:t>
      </w:r>
      <w:r w:rsidR="002802DA" w:rsidRPr="005545AF">
        <w:rPr>
          <w:lang w:val="en-CA"/>
        </w:rPr>
        <w:t xml:space="preserve"> </w:t>
      </w:r>
      <w:r w:rsidR="002802DA" w:rsidRPr="005545AF">
        <w:rPr>
          <w:i/>
          <w:iCs/>
          <w:lang w:val="en-CA"/>
        </w:rPr>
        <w:t>Sherman</w:t>
      </w:r>
      <w:r w:rsidR="002802DA" w:rsidRPr="005545AF">
        <w:rPr>
          <w:lang w:val="en-CA"/>
        </w:rPr>
        <w:t xml:space="preserve">, </w:t>
      </w:r>
      <w:r w:rsidRPr="005545AF">
        <w:rPr>
          <w:lang w:val="en-CA"/>
        </w:rPr>
        <w:t>that of the balancing of effects, was not met</w:t>
      </w:r>
      <w:r w:rsidR="002802DA" w:rsidRPr="005545AF">
        <w:rPr>
          <w:lang w:val="en-CA"/>
        </w:rPr>
        <w:t xml:space="preserve">. </w:t>
      </w:r>
      <w:r w:rsidRPr="005545AF">
        <w:rPr>
          <w:lang w:val="en-CA"/>
        </w:rPr>
        <w:t xml:space="preserve">In his view, </w:t>
      </w:r>
      <w:r w:rsidR="00B9087F" w:rsidRPr="005545AF">
        <w:rPr>
          <w:lang w:val="en-CA"/>
        </w:rPr>
        <w:t>the</w:t>
      </w:r>
      <w:r w:rsidRPr="005545AF">
        <w:rPr>
          <w:lang w:val="en-CA"/>
        </w:rPr>
        <w:t xml:space="preserve"> beneficial effects of the publication ban </w:t>
      </w:r>
      <w:r w:rsidR="00F1625E" w:rsidRPr="005545AF">
        <w:rPr>
          <w:lang w:val="en-CA"/>
        </w:rPr>
        <w:t>did</w:t>
      </w:r>
      <w:r w:rsidRPr="005545AF">
        <w:rPr>
          <w:lang w:val="en-CA"/>
        </w:rPr>
        <w:t xml:space="preserve"> </w:t>
      </w:r>
      <w:r w:rsidR="00F1625E" w:rsidRPr="005545AF">
        <w:rPr>
          <w:lang w:val="en-CA"/>
        </w:rPr>
        <w:t xml:space="preserve">not </w:t>
      </w:r>
      <w:r w:rsidRPr="005545AF">
        <w:rPr>
          <w:lang w:val="en-CA"/>
        </w:rPr>
        <w:t xml:space="preserve">outweigh </w:t>
      </w:r>
      <w:r w:rsidR="00F1625E" w:rsidRPr="005545AF">
        <w:rPr>
          <w:lang w:val="en-CA"/>
        </w:rPr>
        <w:t>its</w:t>
      </w:r>
      <w:r w:rsidRPr="005545AF">
        <w:rPr>
          <w:lang w:val="en-CA"/>
        </w:rPr>
        <w:t xml:space="preserve"> harmful effects on </w:t>
      </w:r>
      <w:r w:rsidR="00B9087F" w:rsidRPr="005545AF">
        <w:rPr>
          <w:lang w:val="en-CA"/>
        </w:rPr>
        <w:t>the rights and interests of the public in a public judicial process, an effective administration of justice, and the protection of freedom of expression, rights and interests that he held to be constitutional in nature.</w:t>
      </w:r>
      <w:r w:rsidR="002802DA" w:rsidRPr="005545AF">
        <w:rPr>
          <w:rStyle w:val="Appelnotedebasdep"/>
          <w:lang w:val="en-CA"/>
        </w:rPr>
        <w:footnoteReference w:id="143"/>
      </w:r>
    </w:p>
    <w:p w14:paraId="4CE0B5D4" w14:textId="77777777" w:rsidR="002802DA" w:rsidRPr="005545AF" w:rsidRDefault="002802DA" w:rsidP="001F7377">
      <w:pPr>
        <w:pStyle w:val="Paragraphe"/>
        <w:numPr>
          <w:ilvl w:val="0"/>
          <w:numId w:val="0"/>
        </w:numPr>
        <w:spacing w:line="240" w:lineRule="auto"/>
        <w:jc w:val="center"/>
        <w:rPr>
          <w:lang w:val="en-CA"/>
        </w:rPr>
      </w:pPr>
      <w:r w:rsidRPr="005545AF">
        <w:rPr>
          <w:lang w:val="en-CA"/>
        </w:rPr>
        <w:t>* * *</w:t>
      </w:r>
    </w:p>
    <w:p w14:paraId="63AC67DF" w14:textId="30D86E3A" w:rsidR="002802DA" w:rsidRPr="005545AF" w:rsidRDefault="00553E78" w:rsidP="001F7377">
      <w:pPr>
        <w:pStyle w:val="Paragraphe"/>
        <w:spacing w:line="240" w:lineRule="auto"/>
        <w:rPr>
          <w:lang w:val="en-CA"/>
        </w:rPr>
      </w:pPr>
      <w:r w:rsidRPr="005545AF">
        <w:rPr>
          <w:lang w:val="en-CA"/>
        </w:rPr>
        <w:t>On appeal</w:t>
      </w:r>
      <w:r w:rsidR="002802DA" w:rsidRPr="005545AF">
        <w:rPr>
          <w:lang w:val="en-CA"/>
        </w:rPr>
        <w:t xml:space="preserve">, </w:t>
      </w:r>
      <w:r w:rsidR="00B9087F" w:rsidRPr="005545AF">
        <w:rPr>
          <w:lang w:val="en-CA"/>
        </w:rPr>
        <w:t>the appellant</w:t>
      </w:r>
      <w:r w:rsidR="002802DA" w:rsidRPr="005545AF">
        <w:rPr>
          <w:lang w:val="en-CA"/>
        </w:rPr>
        <w:t xml:space="preserve"> </w:t>
      </w:r>
      <w:r w:rsidRPr="005545AF">
        <w:rPr>
          <w:lang w:val="en-CA"/>
        </w:rPr>
        <w:t xml:space="preserve">submits that </w:t>
      </w:r>
      <w:r w:rsidR="00371212" w:rsidRPr="005545AF">
        <w:rPr>
          <w:lang w:val="en-CA"/>
        </w:rPr>
        <w:t xml:space="preserve">the </w:t>
      </w:r>
      <w:r w:rsidR="004A5D7E" w:rsidRPr="005545AF">
        <w:rPr>
          <w:lang w:val="en-CA"/>
        </w:rPr>
        <w:t>Impugned Post</w:t>
      </w:r>
      <w:r w:rsidR="00371212" w:rsidRPr="005545AF">
        <w:rPr>
          <w:lang w:val="en-CA"/>
        </w:rPr>
        <w:t xml:space="preserve"> has ruined </w:t>
      </w:r>
      <w:r w:rsidRPr="005545AF">
        <w:rPr>
          <w:lang w:val="en-CA"/>
        </w:rPr>
        <w:t xml:space="preserve">his life and that only a publication ban can </w:t>
      </w:r>
      <w:r w:rsidR="00371212" w:rsidRPr="005545AF">
        <w:rPr>
          <w:lang w:val="en-CA"/>
        </w:rPr>
        <w:t>alleviate</w:t>
      </w:r>
      <w:r w:rsidRPr="005545AF">
        <w:rPr>
          <w:lang w:val="en-CA"/>
        </w:rPr>
        <w:t xml:space="preserve"> the paraly</w:t>
      </w:r>
      <w:r w:rsidR="00B9087F" w:rsidRPr="005545AF">
        <w:rPr>
          <w:lang w:val="en-CA"/>
        </w:rPr>
        <w:t>s</w:t>
      </w:r>
      <w:r w:rsidRPr="005545AF">
        <w:rPr>
          <w:lang w:val="en-CA"/>
        </w:rPr>
        <w:t>ing fear that is gripping him and protect him from further harm</w:t>
      </w:r>
      <w:r w:rsidR="002802DA" w:rsidRPr="005545AF">
        <w:rPr>
          <w:lang w:val="en-CA"/>
        </w:rPr>
        <w:t xml:space="preserve">. </w:t>
      </w:r>
      <w:r w:rsidRPr="005545AF">
        <w:rPr>
          <w:lang w:val="en-CA"/>
        </w:rPr>
        <w:t xml:space="preserve">He argues that the protection of human dignity is of public interest and is aimed at countering the stigmas that can </w:t>
      </w:r>
      <w:r w:rsidR="00B9087F" w:rsidRPr="005545AF">
        <w:rPr>
          <w:lang w:val="en-CA"/>
        </w:rPr>
        <w:t>lead to injurious impacts on</w:t>
      </w:r>
      <w:r w:rsidRPr="005545AF">
        <w:rPr>
          <w:lang w:val="en-CA"/>
        </w:rPr>
        <w:t xml:space="preserve"> a person</w:t>
      </w:r>
      <w:r w:rsidR="002802DA" w:rsidRPr="005545AF">
        <w:rPr>
          <w:lang w:val="en-CA"/>
        </w:rPr>
        <w:t xml:space="preserve">. </w:t>
      </w:r>
      <w:r w:rsidRPr="005545AF">
        <w:rPr>
          <w:lang w:val="en-CA"/>
        </w:rPr>
        <w:t>He also raises the risk that fear of the magnifying effect of a publicized lawsuit in such cases c</w:t>
      </w:r>
      <w:r w:rsidR="00371212" w:rsidRPr="005545AF">
        <w:rPr>
          <w:lang w:val="en-CA"/>
        </w:rPr>
        <w:t>ould</w:t>
      </w:r>
      <w:r w:rsidRPr="005545AF">
        <w:rPr>
          <w:lang w:val="en-CA"/>
        </w:rPr>
        <w:t xml:space="preserve"> affect access to justice</w:t>
      </w:r>
      <w:r w:rsidR="002802DA" w:rsidRPr="005545AF">
        <w:rPr>
          <w:lang w:val="en-CA"/>
        </w:rPr>
        <w:t xml:space="preserve">. </w:t>
      </w:r>
    </w:p>
    <w:p w14:paraId="6819B864" w14:textId="56590235" w:rsidR="002802DA" w:rsidRPr="005545AF" w:rsidRDefault="00B9087F" w:rsidP="001F7377">
      <w:pPr>
        <w:pStyle w:val="Paragraphe"/>
        <w:spacing w:line="240" w:lineRule="auto"/>
        <w:rPr>
          <w:lang w:val="en-CA"/>
        </w:rPr>
      </w:pPr>
      <w:r w:rsidRPr="005545AF">
        <w:rPr>
          <w:lang w:val="en-CA"/>
        </w:rPr>
        <w:t>The appellant</w:t>
      </w:r>
      <w:r w:rsidR="002802DA" w:rsidRPr="005545AF">
        <w:rPr>
          <w:lang w:val="en-CA"/>
        </w:rPr>
        <w:t xml:space="preserve"> </w:t>
      </w:r>
      <w:r w:rsidR="00371212" w:rsidRPr="005545AF">
        <w:rPr>
          <w:lang w:val="en-CA"/>
        </w:rPr>
        <w:t>also argues that public interest does not</w:t>
      </w:r>
      <w:r w:rsidRPr="005545AF">
        <w:rPr>
          <w:lang w:val="en-CA"/>
        </w:rPr>
        <w:t xml:space="preserve"> at all</w:t>
      </w:r>
      <w:r w:rsidR="00371212" w:rsidRPr="005545AF">
        <w:rPr>
          <w:lang w:val="en-CA"/>
        </w:rPr>
        <w:t xml:space="preserve"> require </w:t>
      </w:r>
      <w:r w:rsidR="00804B52" w:rsidRPr="005545AF">
        <w:rPr>
          <w:lang w:val="en-CA"/>
        </w:rPr>
        <w:t>that</w:t>
      </w:r>
      <w:r w:rsidR="00371212" w:rsidRPr="005545AF">
        <w:rPr>
          <w:lang w:val="en-CA"/>
        </w:rPr>
        <w:t xml:space="preserve"> his name</w:t>
      </w:r>
      <w:r w:rsidR="00804B52" w:rsidRPr="005545AF">
        <w:rPr>
          <w:lang w:val="en-CA"/>
        </w:rPr>
        <w:t xml:space="preserve"> be associated with</w:t>
      </w:r>
      <w:r w:rsidR="00371212" w:rsidRPr="005545AF">
        <w:rPr>
          <w:lang w:val="en-CA"/>
        </w:rPr>
        <w:t xml:space="preserve"> false allegations of pedophil</w:t>
      </w:r>
      <w:r w:rsidR="00804B52" w:rsidRPr="005545AF">
        <w:rPr>
          <w:lang w:val="en-CA"/>
        </w:rPr>
        <w:t>i</w:t>
      </w:r>
      <w:r w:rsidR="00371212" w:rsidRPr="005545AF">
        <w:rPr>
          <w:lang w:val="en-CA"/>
        </w:rPr>
        <w:t xml:space="preserve">a and that it would not </w:t>
      </w:r>
      <w:r w:rsidR="00804B52" w:rsidRPr="005545AF">
        <w:rPr>
          <w:lang w:val="en-CA"/>
        </w:rPr>
        <w:t>be</w:t>
      </w:r>
      <w:r w:rsidR="00371212" w:rsidRPr="005545AF">
        <w:rPr>
          <w:lang w:val="en-CA"/>
        </w:rPr>
        <w:t xml:space="preserve"> adverse</w:t>
      </w:r>
      <w:r w:rsidR="00804B52" w:rsidRPr="005545AF">
        <w:rPr>
          <w:lang w:val="en-CA"/>
        </w:rPr>
        <w:t>ly</w:t>
      </w:r>
      <w:r w:rsidR="00371212" w:rsidRPr="005545AF">
        <w:rPr>
          <w:lang w:val="en-CA"/>
        </w:rPr>
        <w:t xml:space="preserve"> </w:t>
      </w:r>
      <w:r w:rsidR="00DC4F91" w:rsidRPr="005545AF">
        <w:rPr>
          <w:lang w:val="en-CA"/>
        </w:rPr>
        <w:t>a</w:t>
      </w:r>
      <w:r w:rsidR="00371212" w:rsidRPr="005545AF">
        <w:rPr>
          <w:lang w:val="en-CA"/>
        </w:rPr>
        <w:t>ffect</w:t>
      </w:r>
      <w:r w:rsidR="00804B52" w:rsidRPr="005545AF">
        <w:rPr>
          <w:lang w:val="en-CA"/>
        </w:rPr>
        <w:t>ed</w:t>
      </w:r>
      <w:r w:rsidR="00371212" w:rsidRPr="005545AF">
        <w:rPr>
          <w:lang w:val="en-CA"/>
        </w:rPr>
        <w:t xml:space="preserve"> </w:t>
      </w:r>
      <w:r w:rsidR="00804B52" w:rsidRPr="005545AF">
        <w:rPr>
          <w:lang w:val="en-CA"/>
        </w:rPr>
        <w:t>by not doing so</w:t>
      </w:r>
      <w:r w:rsidR="002802DA" w:rsidRPr="005545AF">
        <w:rPr>
          <w:lang w:val="en-CA"/>
        </w:rPr>
        <w:t xml:space="preserve">. </w:t>
      </w:r>
      <w:r w:rsidR="00371212" w:rsidRPr="005545AF">
        <w:rPr>
          <w:lang w:val="en-CA"/>
        </w:rPr>
        <w:t>He adds that</w:t>
      </w:r>
      <w:r w:rsidR="00804B52" w:rsidRPr="005545AF">
        <w:rPr>
          <w:lang w:val="en-CA"/>
        </w:rPr>
        <w:t>,</w:t>
      </w:r>
      <w:r w:rsidR="00371212" w:rsidRPr="005545AF">
        <w:rPr>
          <w:lang w:val="en-CA"/>
        </w:rPr>
        <w:t xml:space="preserve"> in this case, and unlike other precedents invoked </w:t>
      </w:r>
      <w:r w:rsidR="00371212" w:rsidRPr="005545AF">
        <w:rPr>
          <w:lang w:val="en-CA"/>
        </w:rPr>
        <w:lastRenderedPageBreak/>
        <w:t>that were rendered at the interlocutory stage</w:t>
      </w:r>
      <w:r w:rsidR="002802DA" w:rsidRPr="005545AF">
        <w:rPr>
          <w:lang w:val="en-CA"/>
        </w:rPr>
        <w:t xml:space="preserve">, </w:t>
      </w:r>
      <w:r w:rsidR="00371212" w:rsidRPr="005545AF">
        <w:rPr>
          <w:lang w:val="en-CA"/>
        </w:rPr>
        <w:t xml:space="preserve">the injury to his psychological health </w:t>
      </w:r>
      <w:r w:rsidRPr="005545AF">
        <w:rPr>
          <w:lang w:val="en-CA"/>
        </w:rPr>
        <w:t>arising</w:t>
      </w:r>
      <w:r w:rsidR="00371212" w:rsidRPr="005545AF">
        <w:rPr>
          <w:lang w:val="en-CA"/>
        </w:rPr>
        <w:t xml:space="preserve"> from the </w:t>
      </w:r>
      <w:r w:rsidR="004A5D7E" w:rsidRPr="005545AF">
        <w:rPr>
          <w:lang w:val="en-CA"/>
        </w:rPr>
        <w:t>Impugned Post</w:t>
      </w:r>
      <w:r w:rsidR="00371212" w:rsidRPr="005545AF">
        <w:rPr>
          <w:lang w:val="en-CA"/>
        </w:rPr>
        <w:t xml:space="preserve"> was established by expert evidence</w:t>
      </w:r>
      <w:r w:rsidR="002802DA" w:rsidRPr="005545AF">
        <w:rPr>
          <w:lang w:val="en-CA"/>
        </w:rPr>
        <w:t xml:space="preserve">. </w:t>
      </w:r>
      <w:r w:rsidR="00371212" w:rsidRPr="005545AF">
        <w:rPr>
          <w:lang w:val="en-CA"/>
        </w:rPr>
        <w:t xml:space="preserve">He alleges that the judge </w:t>
      </w:r>
      <w:r w:rsidRPr="005545AF">
        <w:rPr>
          <w:lang w:val="en-CA"/>
        </w:rPr>
        <w:t xml:space="preserve">thus </w:t>
      </w:r>
      <w:r w:rsidR="00371212" w:rsidRPr="005545AF">
        <w:rPr>
          <w:lang w:val="en-CA"/>
        </w:rPr>
        <w:t xml:space="preserve">conflated </w:t>
      </w:r>
      <w:r w:rsidR="00804B52" w:rsidRPr="005545AF">
        <w:rPr>
          <w:lang w:val="en-CA"/>
        </w:rPr>
        <w:t xml:space="preserve">the </w:t>
      </w:r>
      <w:r w:rsidR="00804B52" w:rsidRPr="005545AF">
        <w:rPr>
          <w:i/>
          <w:iCs/>
          <w:lang w:val="en-CA"/>
        </w:rPr>
        <w:t>effect</w:t>
      </w:r>
      <w:r w:rsidR="00804B52" w:rsidRPr="005545AF">
        <w:rPr>
          <w:lang w:val="en-CA"/>
        </w:rPr>
        <w:t xml:space="preserve"> of the violation of dignity on </w:t>
      </w:r>
      <w:r w:rsidRPr="005545AF">
        <w:rPr>
          <w:lang w:val="en-CA"/>
        </w:rPr>
        <w:t>the appellant</w:t>
      </w:r>
      <w:r w:rsidR="00804B52" w:rsidRPr="005545AF">
        <w:rPr>
          <w:lang w:val="en-CA"/>
        </w:rPr>
        <w:t xml:space="preserve"> with the general objective of protecting dignity as a matter of public interest</w:t>
      </w:r>
      <w:r w:rsidR="002802DA" w:rsidRPr="005545AF">
        <w:rPr>
          <w:lang w:val="en-CA"/>
        </w:rPr>
        <w:t>.</w:t>
      </w:r>
    </w:p>
    <w:p w14:paraId="3DC3C120" w14:textId="77777777" w:rsidR="002802DA" w:rsidRPr="005545AF" w:rsidRDefault="002802DA" w:rsidP="001F7377">
      <w:pPr>
        <w:pStyle w:val="Paragraphe"/>
        <w:numPr>
          <w:ilvl w:val="0"/>
          <w:numId w:val="0"/>
        </w:numPr>
        <w:spacing w:line="240" w:lineRule="auto"/>
        <w:jc w:val="center"/>
        <w:rPr>
          <w:lang w:val="en-CA"/>
        </w:rPr>
      </w:pPr>
      <w:r w:rsidRPr="005545AF">
        <w:rPr>
          <w:lang w:val="en-CA"/>
        </w:rPr>
        <w:t>* * *</w:t>
      </w:r>
    </w:p>
    <w:p w14:paraId="19D4B893" w14:textId="6AF17BB7" w:rsidR="002802DA" w:rsidRPr="005545AF" w:rsidRDefault="00084201" w:rsidP="001F7377">
      <w:pPr>
        <w:pStyle w:val="Paragraphe"/>
        <w:spacing w:line="240" w:lineRule="auto"/>
        <w:rPr>
          <w:lang w:val="en-CA"/>
        </w:rPr>
      </w:pPr>
      <w:r w:rsidRPr="005545AF">
        <w:rPr>
          <w:lang w:val="en-CA"/>
        </w:rPr>
        <w:t xml:space="preserve">The decision on an application for a confidentiality order </w:t>
      </w:r>
      <w:r w:rsidR="000173F9" w:rsidRPr="005545AF">
        <w:rPr>
          <w:lang w:val="en-CA"/>
        </w:rPr>
        <w:t xml:space="preserve">amounts to the exercise of </w:t>
      </w:r>
      <w:r w:rsidRPr="005545AF">
        <w:rPr>
          <w:lang w:val="en-CA"/>
        </w:rPr>
        <w:t xml:space="preserve">the trial judge’s </w:t>
      </w:r>
      <w:r w:rsidR="000173F9" w:rsidRPr="005545AF">
        <w:rPr>
          <w:lang w:val="en-CA"/>
        </w:rPr>
        <w:t>discretion</w:t>
      </w:r>
      <w:r w:rsidR="002802DA" w:rsidRPr="005545AF">
        <w:rPr>
          <w:lang w:val="en-CA"/>
        </w:rPr>
        <w:t xml:space="preserve">. </w:t>
      </w:r>
      <w:r w:rsidRPr="005545AF">
        <w:t>As is the case in such matters, our Court’s standard for intervention is “</w:t>
      </w:r>
      <w:r w:rsidR="002802DA" w:rsidRPr="005545AF">
        <w:t>celle de l’erreur manifeste et déterminante dans l’appréciation des faits, ou celle de la décision correcte lorsqu’il y a erreur de droit</w:t>
      </w:r>
      <w:r w:rsidRPr="005545AF">
        <w:t>.”</w:t>
      </w:r>
      <w:r w:rsidR="002802DA" w:rsidRPr="005545AF">
        <w:rPr>
          <w:rStyle w:val="Appelnotedebasdep"/>
          <w:lang w:val="en-CA"/>
        </w:rPr>
        <w:footnoteReference w:id="144"/>
      </w:r>
      <w:r w:rsidRPr="005545AF">
        <w:t xml:space="preserve"> </w:t>
      </w:r>
      <w:r w:rsidR="002802DA" w:rsidRPr="005545AF">
        <w:t xml:space="preserve"> </w:t>
      </w:r>
      <w:r w:rsidR="000173F9" w:rsidRPr="005545AF">
        <w:rPr>
          <w:lang w:val="en-CA"/>
        </w:rPr>
        <w:t>In this case</w:t>
      </w:r>
      <w:r w:rsidR="002802DA" w:rsidRPr="005545AF">
        <w:rPr>
          <w:lang w:val="en-CA"/>
        </w:rPr>
        <w:t xml:space="preserve">, </w:t>
      </w:r>
      <w:r w:rsidR="000173F9" w:rsidRPr="005545AF">
        <w:rPr>
          <w:lang w:val="en-CA"/>
        </w:rPr>
        <w:t>the judge correctly articulated the applicable legal framework established by Kasirer J. on behalf a a unanimous Supreme Court in</w:t>
      </w:r>
      <w:r w:rsidR="002802DA" w:rsidRPr="005545AF">
        <w:rPr>
          <w:lang w:val="en-CA"/>
        </w:rPr>
        <w:t xml:space="preserve"> </w:t>
      </w:r>
      <w:r w:rsidR="002802DA" w:rsidRPr="005545AF">
        <w:rPr>
          <w:i/>
          <w:iCs/>
          <w:lang w:val="en-CA"/>
        </w:rPr>
        <w:t>Sherman</w:t>
      </w:r>
      <w:r w:rsidR="000173F9" w:rsidRPr="005545AF">
        <w:rPr>
          <w:lang w:val="en-CA"/>
        </w:rPr>
        <w:t>.</w:t>
      </w:r>
      <w:r w:rsidR="002802DA" w:rsidRPr="005545AF">
        <w:rPr>
          <w:rStyle w:val="Appelnotedebasdep"/>
          <w:lang w:val="en-CA"/>
        </w:rPr>
        <w:footnoteReference w:id="145"/>
      </w:r>
      <w:r w:rsidR="000173F9" w:rsidRPr="005545AF">
        <w:rPr>
          <w:i/>
          <w:iCs/>
          <w:lang w:val="en-CA"/>
        </w:rPr>
        <w:t xml:space="preserve"> </w:t>
      </w:r>
      <w:r w:rsidR="000173F9" w:rsidRPr="005545AF">
        <w:rPr>
          <w:lang w:val="en-CA"/>
        </w:rPr>
        <w:t>In that decision</w:t>
      </w:r>
      <w:r w:rsidR="002802DA" w:rsidRPr="005545AF">
        <w:rPr>
          <w:lang w:val="en-CA"/>
        </w:rPr>
        <w:t xml:space="preserve">, </w:t>
      </w:r>
      <w:r w:rsidR="000173F9" w:rsidRPr="005545AF">
        <w:rPr>
          <w:lang w:val="en-CA"/>
        </w:rPr>
        <w:t>the Court established a</w:t>
      </w:r>
      <w:r w:rsidR="002D5484" w:rsidRPr="005545AF">
        <w:rPr>
          <w:lang w:val="en-CA"/>
        </w:rPr>
        <w:t>n</w:t>
      </w:r>
      <w:r w:rsidR="000173F9" w:rsidRPr="005545AF">
        <w:rPr>
          <w:lang w:val="en-CA"/>
        </w:rPr>
        <w:t xml:space="preserve"> </w:t>
      </w:r>
      <w:r w:rsidR="002D5484" w:rsidRPr="005545AF">
        <w:rPr>
          <w:lang w:val="en-CA"/>
        </w:rPr>
        <w:t>analytical framework</w:t>
      </w:r>
      <w:r w:rsidR="000173F9" w:rsidRPr="005545AF">
        <w:rPr>
          <w:lang w:val="en-CA"/>
        </w:rPr>
        <w:t xml:space="preserve"> </w:t>
      </w:r>
      <w:r w:rsidR="00C837E3" w:rsidRPr="005545AF">
        <w:rPr>
          <w:lang w:val="en-CA"/>
        </w:rPr>
        <w:t xml:space="preserve">resting on three </w:t>
      </w:r>
      <w:r w:rsidR="00DC4F91" w:rsidRPr="005545AF">
        <w:rPr>
          <w:lang w:val="en-CA"/>
        </w:rPr>
        <w:t xml:space="preserve">cumulative </w:t>
      </w:r>
      <w:r w:rsidR="00C837E3" w:rsidRPr="005545AF">
        <w:rPr>
          <w:lang w:val="en-CA"/>
        </w:rPr>
        <w:t>prerequisites</w:t>
      </w:r>
      <w:r w:rsidR="00DC4F91" w:rsidRPr="005545AF">
        <w:rPr>
          <w:lang w:val="en-CA"/>
        </w:rPr>
        <w:t xml:space="preserve"> to overturn the strong presumption in favour of court openness</w:t>
      </w:r>
      <w:r w:rsidR="002802DA" w:rsidRPr="005545AF">
        <w:rPr>
          <w:lang w:val="en-CA"/>
        </w:rPr>
        <w:t>:</w:t>
      </w:r>
    </w:p>
    <w:p w14:paraId="10B9B1FA" w14:textId="6D5BE465" w:rsidR="002802DA" w:rsidRPr="005545AF" w:rsidRDefault="002802DA" w:rsidP="001F7377">
      <w:pPr>
        <w:pStyle w:val="Citationenretrait"/>
        <w:spacing w:line="240" w:lineRule="auto"/>
        <w:rPr>
          <w:lang w:val="en-CA"/>
        </w:rPr>
      </w:pPr>
      <w:r w:rsidRPr="005545AF">
        <w:rPr>
          <w:lang w:val="en-CA"/>
        </w:rPr>
        <w:t xml:space="preserve">(1) </w:t>
      </w:r>
      <w:r w:rsidR="00DC4F91" w:rsidRPr="005545AF">
        <w:rPr>
          <w:lang w:val="en-CA"/>
        </w:rPr>
        <w:t>court openness poses a serious risk to an important public interest</w:t>
      </w:r>
      <w:r w:rsidRPr="005545AF">
        <w:rPr>
          <w:lang w:val="en-CA"/>
        </w:rPr>
        <w:t>;</w:t>
      </w:r>
    </w:p>
    <w:p w14:paraId="3EED7DBE" w14:textId="52EAACC4" w:rsidR="002802DA" w:rsidRPr="005545AF" w:rsidRDefault="002802DA" w:rsidP="001F7377">
      <w:pPr>
        <w:pStyle w:val="Citationenretrait"/>
        <w:spacing w:line="240" w:lineRule="auto"/>
        <w:rPr>
          <w:lang w:val="en-CA"/>
        </w:rPr>
      </w:pPr>
      <w:r w:rsidRPr="005545AF">
        <w:rPr>
          <w:lang w:val="en-CA"/>
        </w:rPr>
        <w:t xml:space="preserve">(2) </w:t>
      </w:r>
      <w:r w:rsidR="00DC4F91" w:rsidRPr="005545AF">
        <w:rPr>
          <w:lang w:val="en-CA"/>
        </w:rPr>
        <w:t>the order sought is necessary to prevent this serious risk to the identified interest because reasonably alternative measures will not prevent this risk</w:t>
      </w:r>
      <w:r w:rsidRPr="005545AF">
        <w:rPr>
          <w:lang w:val="en-CA"/>
        </w:rPr>
        <w:t xml:space="preserve">; </w:t>
      </w:r>
      <w:r w:rsidR="00DC4F91" w:rsidRPr="005545AF">
        <w:rPr>
          <w:lang w:val="en-CA"/>
        </w:rPr>
        <w:t>and</w:t>
      </w:r>
    </w:p>
    <w:p w14:paraId="37FDA529" w14:textId="51C5A0C2" w:rsidR="002802DA" w:rsidRPr="005545AF" w:rsidRDefault="002802DA" w:rsidP="001F7377">
      <w:pPr>
        <w:pStyle w:val="Citationenretrait"/>
        <w:spacing w:line="240" w:lineRule="auto"/>
        <w:rPr>
          <w:lang w:val="en-CA"/>
        </w:rPr>
      </w:pPr>
      <w:r w:rsidRPr="005545AF">
        <w:rPr>
          <w:lang w:val="en-CA"/>
        </w:rPr>
        <w:t xml:space="preserve">(3) </w:t>
      </w:r>
      <w:r w:rsidR="00DC4F91" w:rsidRPr="005545AF">
        <w:rPr>
          <w:lang w:val="en-CA"/>
        </w:rPr>
        <w:t>as a matter of proportionality, the benefits of the order outweigh its negative effects</w:t>
      </w:r>
      <w:r w:rsidRPr="005545AF">
        <w:rPr>
          <w:lang w:val="en-CA"/>
        </w:rPr>
        <w:t>.</w:t>
      </w:r>
      <w:r w:rsidRPr="005545AF">
        <w:rPr>
          <w:rStyle w:val="Appelnotedebasdep"/>
          <w:lang w:val="en-CA"/>
        </w:rPr>
        <w:footnoteReference w:id="146"/>
      </w:r>
    </w:p>
    <w:p w14:paraId="18B5E625" w14:textId="722215E2" w:rsidR="002802DA" w:rsidRPr="005545AF" w:rsidRDefault="002D5484" w:rsidP="001F7377">
      <w:pPr>
        <w:pStyle w:val="Paragraphe"/>
        <w:spacing w:line="240" w:lineRule="auto"/>
        <w:rPr>
          <w:lang w:val="en-CA"/>
        </w:rPr>
      </w:pPr>
      <w:r w:rsidRPr="005545AF">
        <w:rPr>
          <w:lang w:val="en-CA"/>
        </w:rPr>
        <w:t>T</w:t>
      </w:r>
      <w:r w:rsidR="00DC4F91" w:rsidRPr="005545AF">
        <w:rPr>
          <w:lang w:val="en-CA"/>
        </w:rPr>
        <w:t xml:space="preserve">he Supreme Court </w:t>
      </w:r>
      <w:r w:rsidRPr="005545AF">
        <w:rPr>
          <w:lang w:val="en-CA"/>
        </w:rPr>
        <w:t xml:space="preserve">moreover </w:t>
      </w:r>
      <w:r w:rsidR="00DC4F91" w:rsidRPr="005545AF">
        <w:rPr>
          <w:lang w:val="en-CA"/>
        </w:rPr>
        <w:t xml:space="preserve">articulated several teachings useful to </w:t>
      </w:r>
      <w:r w:rsidRPr="005545AF">
        <w:rPr>
          <w:lang w:val="en-CA"/>
        </w:rPr>
        <w:t>the</w:t>
      </w:r>
      <w:r w:rsidR="00DC4F91" w:rsidRPr="005545AF">
        <w:rPr>
          <w:lang w:val="en-CA"/>
        </w:rPr>
        <w:t xml:space="preserve"> interpretation and application</w:t>
      </w:r>
      <w:r w:rsidRPr="005545AF">
        <w:rPr>
          <w:lang w:val="en-CA"/>
        </w:rPr>
        <w:t xml:space="preserve"> of that framework</w:t>
      </w:r>
      <w:r w:rsidR="002802DA" w:rsidRPr="005545AF">
        <w:rPr>
          <w:lang w:val="en-CA"/>
        </w:rPr>
        <w:t xml:space="preserve">. </w:t>
      </w:r>
      <w:r w:rsidR="00DC4F91" w:rsidRPr="005545AF">
        <w:rPr>
          <w:lang w:val="en-CA"/>
        </w:rPr>
        <w:t>First, it recalled that</w:t>
      </w:r>
      <w:r w:rsidR="002802DA" w:rsidRPr="005545AF">
        <w:rPr>
          <w:lang w:val="en-CA"/>
        </w:rPr>
        <w:t xml:space="preserve"> </w:t>
      </w:r>
      <w:r w:rsidR="00736C0E" w:rsidRPr="005545AF">
        <w:rPr>
          <w:lang w:val="en-CA"/>
        </w:rPr>
        <w:t>“</w:t>
      </w:r>
      <w:r w:rsidR="00DC4F91" w:rsidRPr="005545AF">
        <w:rPr>
          <w:lang w:val="en-CA"/>
        </w:rPr>
        <w:t>limits on openness in service of other public interests have been recognized, but sparingly and always with an eye to preserving a strong presumption that justice should proceed in public view.”</w:t>
      </w:r>
      <w:r w:rsidR="002802DA" w:rsidRPr="005545AF">
        <w:rPr>
          <w:rStyle w:val="Appelnotedebasdep"/>
          <w:lang w:val="en-CA"/>
        </w:rPr>
        <w:footnoteReference w:id="147"/>
      </w:r>
    </w:p>
    <w:p w14:paraId="154AE186" w14:textId="4A3214FE" w:rsidR="002802DA" w:rsidRPr="005545AF" w:rsidRDefault="002802DA" w:rsidP="001F7377">
      <w:pPr>
        <w:pStyle w:val="Paragraphe"/>
        <w:spacing w:line="240" w:lineRule="auto"/>
        <w:rPr>
          <w:lang w:val="en-CA"/>
        </w:rPr>
      </w:pPr>
      <w:r w:rsidRPr="005545AF">
        <w:rPr>
          <w:lang w:val="en-CA"/>
        </w:rPr>
        <w:t xml:space="preserve"> </w:t>
      </w:r>
      <w:r w:rsidR="0006715D" w:rsidRPr="005545AF">
        <w:rPr>
          <w:lang w:val="en-CA"/>
        </w:rPr>
        <w:t>Next</w:t>
      </w:r>
      <w:r w:rsidRPr="005545AF">
        <w:rPr>
          <w:lang w:val="en-CA"/>
        </w:rPr>
        <w:t xml:space="preserve">, </w:t>
      </w:r>
      <w:r w:rsidR="0006715D" w:rsidRPr="005545AF">
        <w:rPr>
          <w:lang w:val="en-CA"/>
        </w:rPr>
        <w:t xml:space="preserve">as to the first prerequisite, the Supreme Court </w:t>
      </w:r>
      <w:r w:rsidR="008241D2" w:rsidRPr="005545AF">
        <w:rPr>
          <w:lang w:val="en-CA"/>
        </w:rPr>
        <w:t>declined</w:t>
      </w:r>
      <w:r w:rsidR="0006715D" w:rsidRPr="005545AF">
        <w:rPr>
          <w:lang w:val="en-CA"/>
        </w:rPr>
        <w:t xml:space="preserve"> </w:t>
      </w:r>
      <w:r w:rsidR="002D5484" w:rsidRPr="005545AF">
        <w:rPr>
          <w:lang w:val="en-CA"/>
        </w:rPr>
        <w:t xml:space="preserve">to </w:t>
      </w:r>
      <w:r w:rsidR="008241D2" w:rsidRPr="005545AF">
        <w:rPr>
          <w:lang w:val="en-CA"/>
        </w:rPr>
        <w:t>consider</w:t>
      </w:r>
      <w:r w:rsidR="0006715D" w:rsidRPr="005545AF">
        <w:rPr>
          <w:lang w:val="en-CA"/>
        </w:rPr>
        <w:t xml:space="preserve"> the mere protection of privacy a</w:t>
      </w:r>
      <w:r w:rsidR="008241D2" w:rsidRPr="005545AF">
        <w:rPr>
          <w:lang w:val="en-CA"/>
        </w:rPr>
        <w:t>s a</w:t>
      </w:r>
      <w:r w:rsidR="0006715D" w:rsidRPr="005545AF">
        <w:rPr>
          <w:lang w:val="en-CA"/>
        </w:rPr>
        <w:t xml:space="preserve"> public interest sufficient to justify a limitation of the open-court principle</w:t>
      </w:r>
      <w:r w:rsidRPr="005545AF">
        <w:rPr>
          <w:lang w:val="en-CA"/>
        </w:rPr>
        <w:t xml:space="preserve">. </w:t>
      </w:r>
      <w:r w:rsidR="0006715D" w:rsidRPr="005545AF">
        <w:rPr>
          <w:lang w:val="en-CA"/>
        </w:rPr>
        <w:t>Such a criterion would be too permissive, since it is acknowledged that some degree of privacy loss is inherent in any court proceeding.</w:t>
      </w:r>
      <w:r w:rsidRPr="005545AF">
        <w:rPr>
          <w:rStyle w:val="Appelnotedebasdep"/>
          <w:lang w:val="en-CA"/>
        </w:rPr>
        <w:footnoteReference w:id="148"/>
      </w:r>
      <w:r w:rsidR="0006715D" w:rsidRPr="005545AF">
        <w:rPr>
          <w:lang w:val="en-CA"/>
        </w:rPr>
        <w:t xml:space="preserve"> </w:t>
      </w:r>
      <w:r w:rsidR="00736C0E" w:rsidRPr="005545AF">
        <w:rPr>
          <w:lang w:val="en-CA"/>
        </w:rPr>
        <w:t>Thus,</w:t>
      </w:r>
      <w:r w:rsidRPr="005545AF">
        <w:rPr>
          <w:lang w:val="en-CA"/>
        </w:rPr>
        <w:t xml:space="preserve"> </w:t>
      </w:r>
      <w:r w:rsidR="00736C0E" w:rsidRPr="005545AF">
        <w:rPr>
          <w:lang w:val="en-CA"/>
        </w:rPr>
        <w:t>“</w:t>
      </w:r>
      <w:r w:rsidRPr="005545AF">
        <w:rPr>
          <w:lang w:val="en-CA"/>
        </w:rPr>
        <w:t xml:space="preserve">[…] </w:t>
      </w:r>
      <w:r w:rsidR="00736C0E" w:rsidRPr="005545AF">
        <w:rPr>
          <w:lang w:val="en-CA"/>
        </w:rPr>
        <w:t>neither individual sensibilities nor mere personal discomfort associated with participating in judicial proceedings are likely to justify the exclusion of the public from court.”</w:t>
      </w:r>
      <w:r w:rsidRPr="005545AF">
        <w:rPr>
          <w:rStyle w:val="Appelnotedebasdep"/>
          <w:lang w:val="en-CA"/>
        </w:rPr>
        <w:footnoteReference w:id="149"/>
      </w:r>
    </w:p>
    <w:p w14:paraId="74BAA17A" w14:textId="2530891F" w:rsidR="002802DA" w:rsidRPr="005545AF" w:rsidRDefault="008241D2" w:rsidP="001F7377">
      <w:pPr>
        <w:pStyle w:val="Paragraphe"/>
        <w:spacing w:line="240" w:lineRule="auto"/>
        <w:rPr>
          <w:lang w:val="en-CA"/>
        </w:rPr>
      </w:pPr>
      <w:r w:rsidRPr="005545AF">
        <w:rPr>
          <w:lang w:val="en-CA"/>
        </w:rPr>
        <w:lastRenderedPageBreak/>
        <w:t xml:space="preserve">The Supreme Court went on however </w:t>
      </w:r>
      <w:r w:rsidR="006C6FCF" w:rsidRPr="005545AF">
        <w:rPr>
          <w:lang w:val="en-CA"/>
        </w:rPr>
        <w:t>to</w:t>
      </w:r>
      <w:r w:rsidRPr="005545AF">
        <w:rPr>
          <w:lang w:val="en-CA"/>
        </w:rPr>
        <w:t xml:space="preserve"> not</w:t>
      </w:r>
      <w:r w:rsidR="006C6FCF" w:rsidRPr="005545AF">
        <w:rPr>
          <w:lang w:val="en-CA"/>
        </w:rPr>
        <w:t>e</w:t>
      </w:r>
      <w:r w:rsidRPr="005545AF">
        <w:rPr>
          <w:lang w:val="en-CA"/>
        </w:rPr>
        <w:t xml:space="preserve"> that the </w:t>
      </w:r>
      <w:r w:rsidR="00CF5F50" w:rsidRPr="005545AF">
        <w:rPr>
          <w:lang w:val="en-CA"/>
        </w:rPr>
        <w:t xml:space="preserve">intrusion on </w:t>
      </w:r>
      <w:r w:rsidRPr="005545AF">
        <w:rPr>
          <w:lang w:val="en-CA"/>
        </w:rPr>
        <w:t xml:space="preserve">privacy </w:t>
      </w:r>
      <w:r w:rsidR="00CF5F50" w:rsidRPr="005545AF">
        <w:rPr>
          <w:lang w:val="en-CA"/>
        </w:rPr>
        <w:t xml:space="preserve">may </w:t>
      </w:r>
      <w:r w:rsidRPr="005545AF">
        <w:rPr>
          <w:lang w:val="en-CA"/>
        </w:rPr>
        <w:t xml:space="preserve">reach such a </w:t>
      </w:r>
      <w:r w:rsidR="00CF5F50" w:rsidRPr="005545AF">
        <w:rPr>
          <w:lang w:val="en-CA"/>
        </w:rPr>
        <w:t>bar</w:t>
      </w:r>
      <w:r w:rsidRPr="005545AF">
        <w:rPr>
          <w:lang w:val="en-CA"/>
        </w:rPr>
        <w:t xml:space="preserve"> that it constitutes a public interest sufficient to overturn the strong presumption in favour of court openness</w:t>
      </w:r>
      <w:r w:rsidR="002802DA" w:rsidRPr="005545AF">
        <w:rPr>
          <w:lang w:val="en-CA"/>
        </w:rPr>
        <w:t xml:space="preserve">. </w:t>
      </w:r>
      <w:r w:rsidRPr="005545AF">
        <w:rPr>
          <w:lang w:val="en-CA"/>
        </w:rPr>
        <w:t xml:space="preserve">That threshold is embodied by the concept of dignity of the person </w:t>
      </w:r>
      <w:r w:rsidR="002802DA" w:rsidRPr="005545AF">
        <w:rPr>
          <w:lang w:val="en-CA"/>
        </w:rPr>
        <w:t xml:space="preserve">– </w:t>
      </w:r>
      <w:r w:rsidRPr="005545AF">
        <w:rPr>
          <w:lang w:val="en-CA"/>
        </w:rPr>
        <w:t>the term used by the legislature in article</w:t>
      </w:r>
      <w:r w:rsidR="002802DA" w:rsidRPr="005545AF">
        <w:rPr>
          <w:lang w:val="en-CA"/>
        </w:rPr>
        <w:t xml:space="preserve"> 12 </w:t>
      </w:r>
      <w:r w:rsidR="002802DA" w:rsidRPr="005545AF">
        <w:rPr>
          <w:i/>
          <w:iCs/>
          <w:lang w:val="en-CA"/>
        </w:rPr>
        <w:t>C.</w:t>
      </w:r>
      <w:r w:rsidRPr="005545AF">
        <w:rPr>
          <w:i/>
          <w:iCs/>
          <w:lang w:val="en-CA"/>
        </w:rPr>
        <w:t>C.P</w:t>
      </w:r>
      <w:r w:rsidR="002802DA" w:rsidRPr="005545AF">
        <w:rPr>
          <w:i/>
          <w:iCs/>
          <w:lang w:val="en-CA"/>
        </w:rPr>
        <w:t xml:space="preserve">. </w:t>
      </w:r>
      <w:r w:rsidR="002802DA" w:rsidRPr="005545AF">
        <w:rPr>
          <w:lang w:val="en-CA"/>
        </w:rPr>
        <w:t xml:space="preserve">– </w:t>
      </w:r>
      <w:r w:rsidRPr="005545AF">
        <w:rPr>
          <w:lang w:val="en-CA"/>
        </w:rPr>
        <w:t>and is articulated by Kasirer J. as follows</w:t>
      </w:r>
      <w:r w:rsidR="002802DA" w:rsidRPr="005545AF">
        <w:rPr>
          <w:lang w:val="en-CA"/>
        </w:rPr>
        <w:t xml:space="preserve">: </w:t>
      </w:r>
    </w:p>
    <w:p w14:paraId="36D1B052" w14:textId="7BF58A91" w:rsidR="002802DA" w:rsidRPr="005545AF" w:rsidRDefault="00736C0E" w:rsidP="001F7377">
      <w:pPr>
        <w:pStyle w:val="Paragraphe"/>
        <w:numPr>
          <w:ilvl w:val="0"/>
          <w:numId w:val="0"/>
        </w:numPr>
        <w:spacing w:line="240" w:lineRule="auto"/>
        <w:ind w:left="720" w:right="720"/>
        <w:rPr>
          <w:sz w:val="22"/>
          <w:szCs w:val="22"/>
          <w:lang w:val="en-CA"/>
        </w:rPr>
      </w:pPr>
      <w:r w:rsidRPr="005545AF">
        <w:rPr>
          <w:sz w:val="22"/>
          <w:szCs w:val="22"/>
          <w:lang w:val="en-CA"/>
        </w:rPr>
        <w:t>This public interest will only be seriously at risk where the information in question strikes at what is sometimes said to be the core identity of the individual concerned: information so sensitive that its dissemination could be an affront to dignity that the public would not tolerate, even in service of open proceedings</w:t>
      </w:r>
      <w:r w:rsidR="002802DA" w:rsidRPr="005545AF">
        <w:rPr>
          <w:sz w:val="22"/>
          <w:szCs w:val="22"/>
          <w:lang w:val="en-CA"/>
        </w:rPr>
        <w:t>.</w:t>
      </w:r>
      <w:r w:rsidR="002802DA" w:rsidRPr="005545AF">
        <w:rPr>
          <w:rStyle w:val="Appelnotedebasdep"/>
          <w:sz w:val="22"/>
          <w:szCs w:val="22"/>
          <w:lang w:val="en-CA"/>
        </w:rPr>
        <w:footnoteReference w:id="150"/>
      </w:r>
    </w:p>
    <w:p w14:paraId="2565FBF4" w14:textId="63F4B35F" w:rsidR="002802DA" w:rsidRPr="005545AF" w:rsidRDefault="00C837E3" w:rsidP="001F7377">
      <w:pPr>
        <w:pStyle w:val="Paragraphe"/>
        <w:spacing w:line="240" w:lineRule="auto"/>
        <w:rPr>
          <w:lang w:val="en-CA"/>
        </w:rPr>
      </w:pPr>
      <w:r w:rsidRPr="005545AF">
        <w:rPr>
          <w:lang w:val="en-CA"/>
        </w:rPr>
        <w:t>Applicants</w:t>
      </w:r>
      <w:r w:rsidR="002802DA" w:rsidRPr="005545AF">
        <w:rPr>
          <w:lang w:val="en-CA"/>
        </w:rPr>
        <w:t xml:space="preserve"> </w:t>
      </w:r>
      <w:r w:rsidR="00736C0E" w:rsidRPr="005545AF">
        <w:rPr>
          <w:lang w:val="en-CA"/>
        </w:rPr>
        <w:t xml:space="preserve">cannot </w:t>
      </w:r>
      <w:r w:rsidR="006C6FCF" w:rsidRPr="005545AF">
        <w:rPr>
          <w:lang w:val="en-CA"/>
        </w:rPr>
        <w:t xml:space="preserve">however </w:t>
      </w:r>
      <w:r w:rsidR="00736C0E" w:rsidRPr="005545AF">
        <w:rPr>
          <w:lang w:val="en-CA"/>
        </w:rPr>
        <w:t xml:space="preserve">content </w:t>
      </w:r>
      <w:r w:rsidRPr="005545AF">
        <w:rPr>
          <w:lang w:val="en-CA"/>
        </w:rPr>
        <w:t>them</w:t>
      </w:r>
      <w:r w:rsidR="00736C0E" w:rsidRPr="005545AF">
        <w:rPr>
          <w:lang w:val="en-CA"/>
        </w:rPr>
        <w:t>sel</w:t>
      </w:r>
      <w:r w:rsidRPr="005545AF">
        <w:rPr>
          <w:lang w:val="en-CA"/>
        </w:rPr>
        <w:t>ves</w:t>
      </w:r>
      <w:r w:rsidR="00736C0E" w:rsidRPr="005545AF">
        <w:rPr>
          <w:lang w:val="en-CA"/>
        </w:rPr>
        <w:t xml:space="preserve"> with an unsubstantiated claim that this public interest in dignity is compromised</w:t>
      </w:r>
      <w:r w:rsidR="002802DA" w:rsidRPr="005545AF">
        <w:rPr>
          <w:lang w:val="en-CA"/>
        </w:rPr>
        <w:t xml:space="preserve">. </w:t>
      </w:r>
      <w:r w:rsidRPr="005545AF">
        <w:rPr>
          <w:lang w:val="en-CA"/>
        </w:rPr>
        <w:t>They</w:t>
      </w:r>
      <w:r w:rsidR="00736C0E" w:rsidRPr="005545AF">
        <w:rPr>
          <w:lang w:val="en-CA"/>
        </w:rPr>
        <w:t xml:space="preserve"> must</w:t>
      </w:r>
      <w:r w:rsidR="002802DA" w:rsidRPr="005545AF">
        <w:rPr>
          <w:lang w:val="en-CA"/>
        </w:rPr>
        <w:t xml:space="preserve"> </w:t>
      </w:r>
      <w:r w:rsidR="00736C0E" w:rsidRPr="005545AF">
        <w:rPr>
          <w:lang w:val="en-CA"/>
        </w:rPr>
        <w:t>demonstrate that</w:t>
      </w:r>
      <w:r w:rsidR="002802DA" w:rsidRPr="005545AF">
        <w:rPr>
          <w:lang w:val="en-CA"/>
        </w:rPr>
        <w:t xml:space="preserve"> </w:t>
      </w:r>
      <w:r w:rsidRPr="005545AF">
        <w:rPr>
          <w:lang w:val="en-CA"/>
        </w:rPr>
        <w:t>the information “[…] is sufficiently sensitive such that it can be said to strike at the biographical core of the individual and, in the broader circumstances, that there is a serious risk that, without an exceptional order, the affected individual will suffer an affront to their dignity.”</w:t>
      </w:r>
      <w:r w:rsidR="002802DA" w:rsidRPr="005545AF">
        <w:rPr>
          <w:rStyle w:val="Appelnotedebasdep"/>
          <w:lang w:val="en-CA"/>
        </w:rPr>
        <w:footnoteReference w:id="151"/>
      </w:r>
      <w:r w:rsidR="002802DA" w:rsidRPr="005545AF">
        <w:rPr>
          <w:lang w:val="en-CA"/>
        </w:rPr>
        <w:t xml:space="preserve"> </w:t>
      </w:r>
    </w:p>
    <w:p w14:paraId="547F8207" w14:textId="28285020" w:rsidR="002802DA" w:rsidRPr="005545AF" w:rsidRDefault="00CF5F50" w:rsidP="001F7377">
      <w:pPr>
        <w:pStyle w:val="Paragraphe"/>
        <w:spacing w:line="240" w:lineRule="auto"/>
        <w:rPr>
          <w:lang w:val="en-CA"/>
        </w:rPr>
      </w:pPr>
      <w:r w:rsidRPr="005545AF">
        <w:rPr>
          <w:lang w:val="en-CA"/>
        </w:rPr>
        <w:t xml:space="preserve">Determining whether there exists a sufficient public interest on one hand and whether there exists a serious risk </w:t>
      </w:r>
      <w:r w:rsidR="00CC251B" w:rsidRPr="005545AF">
        <w:rPr>
          <w:lang w:val="en-CA"/>
        </w:rPr>
        <w:t>facing the</w:t>
      </w:r>
      <w:r w:rsidRPr="005545AF">
        <w:rPr>
          <w:lang w:val="en-CA"/>
        </w:rPr>
        <w:t xml:space="preserve"> applicant on the other </w:t>
      </w:r>
      <w:r w:rsidR="00CC251B" w:rsidRPr="005545AF">
        <w:rPr>
          <w:lang w:val="en-CA"/>
        </w:rPr>
        <w:t>h</w:t>
      </w:r>
      <w:r w:rsidRPr="005545AF">
        <w:rPr>
          <w:lang w:val="en-CA"/>
        </w:rPr>
        <w:t>and, are two distinct operations, the first resting on general principles that extend beyond the parties, the second being rather a factual finding inherent to the specific context of each case</w:t>
      </w:r>
      <w:r w:rsidR="00094CA8" w:rsidRPr="005545AF">
        <w:rPr>
          <w:lang w:val="en-CA"/>
        </w:rPr>
        <w:t>.</w:t>
      </w:r>
      <w:r w:rsidR="002802DA" w:rsidRPr="005545AF">
        <w:rPr>
          <w:rStyle w:val="Appelnotedebasdep"/>
          <w:lang w:val="en-CA"/>
        </w:rPr>
        <w:footnoteReference w:id="152"/>
      </w:r>
    </w:p>
    <w:p w14:paraId="3AAC1DD6" w14:textId="0113DB9E" w:rsidR="002802DA" w:rsidRPr="005545AF" w:rsidRDefault="00CC251B" w:rsidP="001F7377">
      <w:pPr>
        <w:pStyle w:val="Paragraphe"/>
        <w:spacing w:line="240" w:lineRule="auto"/>
        <w:rPr>
          <w:lang w:val="en-CA"/>
        </w:rPr>
      </w:pPr>
      <w:r w:rsidRPr="005545AF">
        <w:rPr>
          <w:lang w:val="en-CA"/>
        </w:rPr>
        <w:t xml:space="preserve">We must all be sensitive, </w:t>
      </w:r>
      <w:r w:rsidR="00852F9D" w:rsidRPr="005545AF">
        <w:rPr>
          <w:lang w:val="en-CA"/>
        </w:rPr>
        <w:t>and</w:t>
      </w:r>
      <w:r w:rsidRPr="005545AF">
        <w:rPr>
          <w:lang w:val="en-CA"/>
        </w:rPr>
        <w:t xml:space="preserve"> I am, to </w:t>
      </w:r>
      <w:r w:rsidR="006C6FCF" w:rsidRPr="005545AF">
        <w:rPr>
          <w:lang w:val="en-CA"/>
        </w:rPr>
        <w:t>the appellant</w:t>
      </w:r>
      <w:r w:rsidRPr="005545AF">
        <w:rPr>
          <w:lang w:val="en-CA"/>
        </w:rPr>
        <w:t xml:space="preserve">’s personal circumstances and to the significant psychological consequences that he is experiencing </w:t>
      </w:r>
      <w:r w:rsidR="001F15E7" w:rsidRPr="005545AF">
        <w:rPr>
          <w:lang w:val="en-CA"/>
        </w:rPr>
        <w:t>because</w:t>
      </w:r>
      <w:r w:rsidRPr="005545AF">
        <w:rPr>
          <w:lang w:val="en-CA"/>
        </w:rPr>
        <w:t xml:space="preserve"> of the </w:t>
      </w:r>
      <w:r w:rsidR="004A5D7E" w:rsidRPr="005545AF">
        <w:rPr>
          <w:lang w:val="en-CA"/>
        </w:rPr>
        <w:t>Impugned Post</w:t>
      </w:r>
      <w:r w:rsidR="002802DA" w:rsidRPr="005545AF">
        <w:rPr>
          <w:lang w:val="en-CA"/>
        </w:rPr>
        <w:t xml:space="preserve">. </w:t>
      </w:r>
      <w:r w:rsidRPr="005545AF">
        <w:rPr>
          <w:lang w:val="en-CA"/>
        </w:rPr>
        <w:t xml:space="preserve">In this </w:t>
      </w:r>
      <w:r w:rsidR="004806DD" w:rsidRPr="005545AF">
        <w:rPr>
          <w:lang w:val="en-CA"/>
        </w:rPr>
        <w:t>age</w:t>
      </w:r>
      <w:r w:rsidRPr="005545AF">
        <w:rPr>
          <w:lang w:val="en-CA"/>
        </w:rPr>
        <w:t xml:space="preserve"> where information</w:t>
      </w:r>
      <w:r w:rsidR="002802DA" w:rsidRPr="005545AF">
        <w:rPr>
          <w:lang w:val="en-CA"/>
        </w:rPr>
        <w:t xml:space="preserve">, </w:t>
      </w:r>
      <w:r w:rsidRPr="005545AF">
        <w:rPr>
          <w:lang w:val="en-CA"/>
        </w:rPr>
        <w:t>even false</w:t>
      </w:r>
      <w:r w:rsidR="002802DA" w:rsidRPr="005545AF">
        <w:rPr>
          <w:lang w:val="en-CA"/>
        </w:rPr>
        <w:t xml:space="preserve">, </w:t>
      </w:r>
      <w:r w:rsidR="00852F9D" w:rsidRPr="005545AF">
        <w:rPr>
          <w:lang w:val="en-CA"/>
        </w:rPr>
        <w:t>circulates</w:t>
      </w:r>
      <w:r w:rsidR="006C6FCF" w:rsidRPr="005545AF">
        <w:rPr>
          <w:lang w:val="en-CA"/>
        </w:rPr>
        <w:t xml:space="preserve"> </w:t>
      </w:r>
      <w:r w:rsidR="00852F9D" w:rsidRPr="005545AF">
        <w:rPr>
          <w:lang w:val="en-CA"/>
        </w:rPr>
        <w:t>at high speed</w:t>
      </w:r>
      <w:r w:rsidRPr="005545AF">
        <w:rPr>
          <w:lang w:val="en-CA"/>
        </w:rPr>
        <w:t>, reaches the masses, strike</w:t>
      </w:r>
      <w:r w:rsidR="003E4978" w:rsidRPr="005545AF">
        <w:rPr>
          <w:lang w:val="en-CA"/>
        </w:rPr>
        <w:t>s</w:t>
      </w:r>
      <w:r w:rsidRPr="005545AF">
        <w:rPr>
          <w:lang w:val="en-CA"/>
        </w:rPr>
        <w:t xml:space="preserve"> collective imaginations and crystallizes individual opinions, we can agree that </w:t>
      </w:r>
      <w:r w:rsidR="00852F9D" w:rsidRPr="005545AF">
        <w:rPr>
          <w:lang w:val="en-CA"/>
        </w:rPr>
        <w:t>the appellant</w:t>
      </w:r>
      <w:r w:rsidR="001C31D4" w:rsidRPr="005545AF">
        <w:rPr>
          <w:lang w:val="en-CA"/>
        </w:rPr>
        <w:t>’s only</w:t>
      </w:r>
      <w:r w:rsidR="000F67F4" w:rsidRPr="005545AF">
        <w:rPr>
          <w:lang w:val="en-CA"/>
        </w:rPr>
        <w:t xml:space="preserve"> fully effective remedy would be for the dissemination of those false allegations to </w:t>
      </w:r>
      <w:r w:rsidR="001C31D4" w:rsidRPr="005545AF">
        <w:rPr>
          <w:lang w:val="en-CA"/>
        </w:rPr>
        <w:t>stop</w:t>
      </w:r>
      <w:r w:rsidR="000F67F4" w:rsidRPr="005545AF">
        <w:rPr>
          <w:lang w:val="en-CA"/>
        </w:rPr>
        <w:t>, were that possible</w:t>
      </w:r>
      <w:r w:rsidR="002802DA" w:rsidRPr="005545AF">
        <w:rPr>
          <w:lang w:val="en-CA"/>
        </w:rPr>
        <w:t xml:space="preserve">. </w:t>
      </w:r>
      <w:r w:rsidR="000F67F4" w:rsidRPr="005545AF">
        <w:rPr>
          <w:lang w:val="en-CA"/>
        </w:rPr>
        <w:t>But</w:t>
      </w:r>
      <w:r w:rsidR="003E4978" w:rsidRPr="005545AF">
        <w:rPr>
          <w:lang w:val="en-CA"/>
        </w:rPr>
        <w:t>,</w:t>
      </w:r>
      <w:r w:rsidR="000F67F4" w:rsidRPr="005545AF">
        <w:rPr>
          <w:lang w:val="en-CA"/>
        </w:rPr>
        <w:t xml:space="preserve"> in the case at bar, I </w:t>
      </w:r>
      <w:r w:rsidR="00175EF6" w:rsidRPr="005545AF">
        <w:rPr>
          <w:lang w:val="en-CA"/>
        </w:rPr>
        <w:t>cannot accept</w:t>
      </w:r>
      <w:r w:rsidR="000F67F4" w:rsidRPr="005545AF">
        <w:rPr>
          <w:lang w:val="en-CA"/>
        </w:rPr>
        <w:t xml:space="preserve"> that such a remedy </w:t>
      </w:r>
      <w:r w:rsidR="003E4978" w:rsidRPr="005545AF">
        <w:rPr>
          <w:lang w:val="en-CA"/>
        </w:rPr>
        <w:t>necessarily</w:t>
      </w:r>
      <w:r w:rsidR="000F67F4" w:rsidRPr="005545AF">
        <w:rPr>
          <w:lang w:val="en-CA"/>
        </w:rPr>
        <w:t xml:space="preserve"> involve</w:t>
      </w:r>
      <w:r w:rsidR="001C31D4" w:rsidRPr="005545AF">
        <w:rPr>
          <w:lang w:val="en-CA"/>
        </w:rPr>
        <w:t>s</w:t>
      </w:r>
      <w:r w:rsidR="000F67F4" w:rsidRPr="005545AF">
        <w:rPr>
          <w:lang w:val="en-CA"/>
        </w:rPr>
        <w:t xml:space="preserve"> a publication ban on </w:t>
      </w:r>
      <w:r w:rsidR="00852F9D" w:rsidRPr="005545AF">
        <w:rPr>
          <w:lang w:val="en-CA"/>
        </w:rPr>
        <w:t>the appellant</w:t>
      </w:r>
      <w:r w:rsidR="000F67F4" w:rsidRPr="005545AF">
        <w:rPr>
          <w:lang w:val="en-CA"/>
        </w:rPr>
        <w:t>’s name</w:t>
      </w:r>
      <w:r w:rsidR="002802DA" w:rsidRPr="005545AF">
        <w:rPr>
          <w:lang w:val="en-CA"/>
        </w:rPr>
        <w:t xml:space="preserve">. </w:t>
      </w:r>
    </w:p>
    <w:p w14:paraId="780165AB" w14:textId="79B41887" w:rsidR="002802DA" w:rsidRPr="005545AF" w:rsidRDefault="007C6B2F" w:rsidP="001F7377">
      <w:pPr>
        <w:pStyle w:val="Paragraphe"/>
        <w:spacing w:line="240" w:lineRule="auto"/>
        <w:rPr>
          <w:lang w:val="en-CA"/>
        </w:rPr>
      </w:pPr>
      <w:r w:rsidRPr="005545AF">
        <w:rPr>
          <w:lang w:val="en-CA"/>
        </w:rPr>
        <w:t>It is true, as we have seen,</w:t>
      </w:r>
      <w:r w:rsidR="002802DA" w:rsidRPr="005545AF">
        <w:rPr>
          <w:lang w:val="en-CA"/>
        </w:rPr>
        <w:t xml:space="preserve"> </w:t>
      </w:r>
      <w:r w:rsidRPr="005545AF">
        <w:rPr>
          <w:lang w:val="en-CA"/>
        </w:rPr>
        <w:t xml:space="preserve">that </w:t>
      </w:r>
      <w:r w:rsidR="001F15E7" w:rsidRPr="005545AF">
        <w:rPr>
          <w:lang w:val="en-CA"/>
        </w:rPr>
        <w:t>the appellant</w:t>
      </w:r>
      <w:r w:rsidR="002802DA" w:rsidRPr="005545AF">
        <w:rPr>
          <w:lang w:val="en-CA"/>
        </w:rPr>
        <w:t xml:space="preserve"> </w:t>
      </w:r>
      <w:r w:rsidRPr="005545AF">
        <w:rPr>
          <w:lang w:val="en-CA"/>
        </w:rPr>
        <w:t xml:space="preserve">has tendered, notably </w:t>
      </w:r>
      <w:r w:rsidR="0066397A" w:rsidRPr="005545AF">
        <w:rPr>
          <w:lang w:val="en-CA"/>
        </w:rPr>
        <w:t xml:space="preserve">by way of </w:t>
      </w:r>
      <w:r w:rsidR="002802DA" w:rsidRPr="005545AF">
        <w:rPr>
          <w:lang w:val="en-CA"/>
        </w:rPr>
        <w:t>Dr</w:t>
      </w:r>
      <w:r w:rsidRPr="005545AF">
        <w:rPr>
          <w:lang w:val="en-CA"/>
        </w:rPr>
        <w:t>.</w:t>
      </w:r>
      <w:r w:rsidR="002802DA" w:rsidRPr="005545AF">
        <w:rPr>
          <w:lang w:val="en-CA"/>
        </w:rPr>
        <w:t xml:space="preserve"> Houle</w:t>
      </w:r>
      <w:r w:rsidRPr="005545AF">
        <w:rPr>
          <w:lang w:val="en-CA"/>
        </w:rPr>
        <w:t>’s report</w:t>
      </w:r>
      <w:r w:rsidR="002802DA" w:rsidRPr="005545AF">
        <w:rPr>
          <w:lang w:val="en-CA"/>
        </w:rPr>
        <w:t xml:space="preserve">, </w:t>
      </w:r>
      <w:r w:rsidRPr="005545AF">
        <w:rPr>
          <w:lang w:val="en-CA"/>
        </w:rPr>
        <w:t>evidence of the existence of psychological injury purportedly resulting from the publicity of the judgment</w:t>
      </w:r>
      <w:r w:rsidR="002802DA" w:rsidRPr="005545AF">
        <w:rPr>
          <w:lang w:val="en-CA"/>
        </w:rPr>
        <w:t xml:space="preserve">. </w:t>
      </w:r>
      <w:r w:rsidRPr="005545AF">
        <w:rPr>
          <w:lang w:val="en-CA"/>
        </w:rPr>
        <w:t>It is also true that</w:t>
      </w:r>
      <w:r w:rsidR="002802DA" w:rsidRPr="005545AF">
        <w:rPr>
          <w:lang w:val="en-CA"/>
        </w:rPr>
        <w:t xml:space="preserve"> Kasirer</w:t>
      </w:r>
      <w:r w:rsidRPr="005545AF">
        <w:rPr>
          <w:lang w:val="en-CA"/>
        </w:rPr>
        <w:t xml:space="preserve"> J. recalls that courts must be responsive to the harm to the physical well-being or psychological distress that the openness of court proceedings could</w:t>
      </w:r>
      <w:r w:rsidR="0066397A" w:rsidRPr="005545AF">
        <w:rPr>
          <w:lang w:val="en-CA"/>
        </w:rPr>
        <w:t xml:space="preserve"> cause</w:t>
      </w:r>
      <w:r w:rsidRPr="005545AF">
        <w:rPr>
          <w:lang w:val="en-CA"/>
        </w:rPr>
        <w:t>.</w:t>
      </w:r>
      <w:r w:rsidR="002802DA" w:rsidRPr="005545AF">
        <w:rPr>
          <w:rStyle w:val="Appelnotedebasdep"/>
          <w:lang w:val="en-CA"/>
        </w:rPr>
        <w:footnoteReference w:id="153"/>
      </w:r>
      <w:r w:rsidRPr="005545AF">
        <w:rPr>
          <w:lang w:val="en-CA"/>
        </w:rPr>
        <w:t xml:space="preserve"> It remains that determining the existence of a serious risk to a person</w:t>
      </w:r>
      <w:r w:rsidR="0066397A" w:rsidRPr="005545AF">
        <w:rPr>
          <w:lang w:val="en-CA"/>
        </w:rPr>
        <w:t>’</w:t>
      </w:r>
      <w:r w:rsidRPr="005545AF">
        <w:rPr>
          <w:lang w:val="en-CA"/>
        </w:rPr>
        <w:t xml:space="preserve">s dignity </w:t>
      </w:r>
      <w:r w:rsidR="0066397A" w:rsidRPr="005545AF">
        <w:rPr>
          <w:lang w:val="en-CA"/>
        </w:rPr>
        <w:t>is</w:t>
      </w:r>
      <w:r w:rsidRPr="005545AF">
        <w:rPr>
          <w:lang w:val="en-CA"/>
        </w:rPr>
        <w:t xml:space="preserve"> a question of fact</w:t>
      </w:r>
      <w:r w:rsidR="002802DA" w:rsidRPr="005545AF">
        <w:rPr>
          <w:lang w:val="en-CA"/>
        </w:rPr>
        <w:t xml:space="preserve">. </w:t>
      </w:r>
      <w:r w:rsidR="0066397A" w:rsidRPr="005545AF">
        <w:rPr>
          <w:lang w:val="en-CA"/>
        </w:rPr>
        <w:t>However</w:t>
      </w:r>
      <w:r w:rsidRPr="005545AF">
        <w:rPr>
          <w:lang w:val="en-CA"/>
        </w:rPr>
        <w:t>, the judge did not make any palpable and overriding error in finding that no such serious risk exists</w:t>
      </w:r>
      <w:r w:rsidR="002802DA" w:rsidRPr="005545AF">
        <w:rPr>
          <w:lang w:val="en-CA"/>
        </w:rPr>
        <w:t>.</w:t>
      </w:r>
    </w:p>
    <w:p w14:paraId="68A64389" w14:textId="40732554" w:rsidR="002802DA" w:rsidRPr="005545AF" w:rsidRDefault="0066397A" w:rsidP="001F7377">
      <w:pPr>
        <w:pStyle w:val="Paragraphe"/>
        <w:spacing w:line="240" w:lineRule="auto"/>
        <w:rPr>
          <w:lang w:val="en-CA"/>
        </w:rPr>
      </w:pPr>
      <w:r w:rsidRPr="005545AF">
        <w:rPr>
          <w:lang w:val="en-CA"/>
        </w:rPr>
        <w:lastRenderedPageBreak/>
        <w:t>In the case at bar</w:t>
      </w:r>
      <w:r w:rsidR="002802DA" w:rsidRPr="005545AF">
        <w:rPr>
          <w:lang w:val="en-CA"/>
        </w:rPr>
        <w:t xml:space="preserve">, </w:t>
      </w:r>
      <w:r w:rsidRPr="005545AF">
        <w:rPr>
          <w:lang w:val="en-CA"/>
        </w:rPr>
        <w:t>the only information that can be said to “strike at the biographical core of the individual”</w:t>
      </w:r>
      <w:r w:rsidR="002802DA" w:rsidRPr="005545AF">
        <w:rPr>
          <w:rStyle w:val="Appelnotedebasdep"/>
          <w:lang w:val="en-CA"/>
        </w:rPr>
        <w:footnoteReference w:id="154"/>
      </w:r>
      <w:r w:rsidR="002802DA" w:rsidRPr="005545AF">
        <w:rPr>
          <w:lang w:val="en-CA"/>
        </w:rPr>
        <w:t xml:space="preserve"> </w:t>
      </w:r>
      <w:r w:rsidRPr="005545AF">
        <w:rPr>
          <w:lang w:val="en-CA"/>
        </w:rPr>
        <w:t>is tha</w:t>
      </w:r>
      <w:r w:rsidR="009270E3" w:rsidRPr="005545AF">
        <w:rPr>
          <w:lang w:val="en-CA"/>
        </w:rPr>
        <w:t>t</w:t>
      </w:r>
      <w:r w:rsidR="002802DA" w:rsidRPr="005545AF">
        <w:rPr>
          <w:lang w:val="en-CA"/>
        </w:rPr>
        <w:t xml:space="preserve"> </w:t>
      </w:r>
      <w:r w:rsidR="001F15E7" w:rsidRPr="005545AF">
        <w:rPr>
          <w:lang w:val="en-CA"/>
        </w:rPr>
        <w:t>the appellant</w:t>
      </w:r>
      <w:r w:rsidR="002802DA" w:rsidRPr="005545AF">
        <w:rPr>
          <w:lang w:val="en-CA"/>
        </w:rPr>
        <w:t xml:space="preserve"> </w:t>
      </w:r>
      <w:r w:rsidRPr="005545AF">
        <w:rPr>
          <w:i/>
          <w:iCs/>
          <w:lang w:val="en-CA"/>
        </w:rPr>
        <w:t>was not</w:t>
      </w:r>
      <w:r w:rsidR="002802DA" w:rsidRPr="005545AF">
        <w:rPr>
          <w:i/>
          <w:iCs/>
          <w:lang w:val="en-CA"/>
        </w:rPr>
        <w:t xml:space="preserve"> </w:t>
      </w:r>
      <w:r w:rsidRPr="005545AF">
        <w:rPr>
          <w:lang w:val="en-CA"/>
        </w:rPr>
        <w:t xml:space="preserve">convicted of </w:t>
      </w:r>
      <w:r w:rsidR="001300E4" w:rsidRPr="005545AF">
        <w:rPr>
          <w:lang w:val="en-CA"/>
        </w:rPr>
        <w:t xml:space="preserve">child </w:t>
      </w:r>
      <w:r w:rsidR="00175EF6" w:rsidRPr="005545AF">
        <w:rPr>
          <w:lang w:val="en-CA"/>
        </w:rPr>
        <w:t xml:space="preserve">molestation </w:t>
      </w:r>
      <w:r w:rsidR="001300E4" w:rsidRPr="005545AF">
        <w:rPr>
          <w:lang w:val="en-CA"/>
        </w:rPr>
        <w:t xml:space="preserve">and therefore that the public </w:t>
      </w:r>
      <w:r w:rsidR="009A4DD9" w:rsidRPr="005545AF">
        <w:rPr>
          <w:lang w:val="en-CA"/>
        </w:rPr>
        <w:t>assertion</w:t>
      </w:r>
      <w:r w:rsidR="001300E4" w:rsidRPr="005545AF">
        <w:rPr>
          <w:lang w:val="en-CA"/>
        </w:rPr>
        <w:t xml:space="preserve"> involving him is false</w:t>
      </w:r>
      <w:r w:rsidR="002802DA" w:rsidRPr="005545AF">
        <w:rPr>
          <w:lang w:val="en-CA"/>
        </w:rPr>
        <w:t xml:space="preserve">. </w:t>
      </w:r>
      <w:r w:rsidR="001300E4" w:rsidRPr="005545AF">
        <w:rPr>
          <w:lang w:val="en-CA"/>
        </w:rPr>
        <w:t>Like the trial judge</w:t>
      </w:r>
      <w:r w:rsidR="002802DA" w:rsidRPr="005545AF">
        <w:rPr>
          <w:lang w:val="en-CA"/>
        </w:rPr>
        <w:t xml:space="preserve">, </w:t>
      </w:r>
      <w:r w:rsidR="001300E4" w:rsidRPr="005545AF">
        <w:rPr>
          <w:lang w:val="en-CA"/>
        </w:rPr>
        <w:t>and like Justice</w:t>
      </w:r>
      <w:r w:rsidR="002802DA" w:rsidRPr="005545AF">
        <w:rPr>
          <w:lang w:val="en-CA"/>
        </w:rPr>
        <w:t xml:space="preserve"> Granosik </w:t>
      </w:r>
      <w:r w:rsidR="001300E4" w:rsidRPr="005545AF">
        <w:rPr>
          <w:lang w:val="en-CA"/>
        </w:rPr>
        <w:t>before him</w:t>
      </w:r>
      <w:r w:rsidR="002802DA" w:rsidRPr="005545AF">
        <w:rPr>
          <w:lang w:val="en-CA"/>
        </w:rPr>
        <w:t xml:space="preserve">, </w:t>
      </w:r>
      <w:r w:rsidR="001300E4" w:rsidRPr="005545AF">
        <w:rPr>
          <w:lang w:val="en-CA"/>
        </w:rPr>
        <w:t xml:space="preserve">I </w:t>
      </w:r>
      <w:r w:rsidR="00175EF6" w:rsidRPr="005545AF">
        <w:rPr>
          <w:lang w:val="en-CA"/>
        </w:rPr>
        <w:t>cannot accept</w:t>
      </w:r>
      <w:r w:rsidR="001300E4" w:rsidRPr="005545AF">
        <w:rPr>
          <w:lang w:val="en-CA"/>
        </w:rPr>
        <w:t xml:space="preserve"> that such information</w:t>
      </w:r>
      <w:r w:rsidR="001F15E7" w:rsidRPr="005545AF">
        <w:rPr>
          <w:lang w:val="en-CA"/>
        </w:rPr>
        <w:t xml:space="preserve"> can create a</w:t>
      </w:r>
      <w:r w:rsidR="001300E4" w:rsidRPr="005545AF">
        <w:rPr>
          <w:lang w:val="en-CA"/>
        </w:rPr>
        <w:t xml:space="preserve"> </w:t>
      </w:r>
      <w:r w:rsidR="001F15E7" w:rsidRPr="005545AF">
        <w:rPr>
          <w:lang w:val="en-CA"/>
        </w:rPr>
        <w:t>serious risk that the appellant will suffer an affront to his dignity</w:t>
      </w:r>
      <w:r w:rsidR="001300E4" w:rsidRPr="005545AF">
        <w:rPr>
          <w:lang w:val="en-CA"/>
        </w:rPr>
        <w:t>.</w:t>
      </w:r>
      <w:r w:rsidR="002802DA" w:rsidRPr="005545AF">
        <w:rPr>
          <w:lang w:val="en-CA"/>
        </w:rPr>
        <w:t xml:space="preserve"> </w:t>
      </w:r>
      <w:r w:rsidR="001300E4" w:rsidRPr="005545AF">
        <w:rPr>
          <w:lang w:val="en-CA"/>
        </w:rPr>
        <w:t xml:space="preserve">What </w:t>
      </w:r>
      <w:r w:rsidR="001300E4" w:rsidRPr="00A8077B">
        <w:rPr>
          <w:lang w:val="en-CA"/>
        </w:rPr>
        <w:t>is</w:t>
      </w:r>
      <w:r w:rsidR="001300E4" w:rsidRPr="005545AF">
        <w:rPr>
          <w:lang w:val="en-CA"/>
        </w:rPr>
        <w:t xml:space="preserve"> </w:t>
      </w:r>
      <w:r w:rsidR="001F15E7" w:rsidRPr="005545AF">
        <w:rPr>
          <w:lang w:val="en-CA"/>
        </w:rPr>
        <w:t>an affront</w:t>
      </w:r>
      <w:r w:rsidR="001300E4" w:rsidRPr="005545AF">
        <w:rPr>
          <w:lang w:val="en-CA"/>
        </w:rPr>
        <w:t xml:space="preserve"> to his dignity is the </w:t>
      </w:r>
      <w:r w:rsidR="004A5D7E" w:rsidRPr="005545AF">
        <w:rPr>
          <w:lang w:val="en-CA"/>
        </w:rPr>
        <w:t>Impugned Post</w:t>
      </w:r>
      <w:r w:rsidR="001300E4" w:rsidRPr="005545AF">
        <w:rPr>
          <w:lang w:val="en-CA"/>
        </w:rPr>
        <w:t xml:space="preserve"> that is </w:t>
      </w:r>
      <w:r w:rsidR="009A4DD9" w:rsidRPr="005545AF">
        <w:rPr>
          <w:lang w:val="en-CA"/>
        </w:rPr>
        <w:t>already</w:t>
      </w:r>
      <w:r w:rsidR="001300E4" w:rsidRPr="005545AF">
        <w:rPr>
          <w:lang w:val="en-CA"/>
        </w:rPr>
        <w:t xml:space="preserve"> in the public domain</w:t>
      </w:r>
      <w:r w:rsidR="002802DA" w:rsidRPr="005545AF">
        <w:rPr>
          <w:lang w:val="en-CA"/>
        </w:rPr>
        <w:t xml:space="preserve">. </w:t>
      </w:r>
      <w:r w:rsidR="001300E4" w:rsidRPr="005545AF">
        <w:rPr>
          <w:lang w:val="en-CA"/>
        </w:rPr>
        <w:t xml:space="preserve">While it is true that the Supreme Court does not exclude that the additional </w:t>
      </w:r>
      <w:r w:rsidR="009A4DD9" w:rsidRPr="005545AF">
        <w:rPr>
          <w:lang w:val="en-CA"/>
        </w:rPr>
        <w:t>dissemination</w:t>
      </w:r>
      <w:r w:rsidR="001300E4" w:rsidRPr="005545AF">
        <w:rPr>
          <w:lang w:val="en-CA"/>
        </w:rPr>
        <w:t xml:space="preserve"> of already public information may constitute a sufficient public interest, it remains that it will be difficult to meet that bar where </w:t>
      </w:r>
      <w:r w:rsidR="003D1C3C" w:rsidRPr="005545AF">
        <w:rPr>
          <w:lang w:val="en-CA"/>
        </w:rPr>
        <w:t>“court openness will simply make available what is already broadly and easily accessible.”</w:t>
      </w:r>
      <w:bookmarkStart w:id="69" w:name="_Ref207627575"/>
      <w:r w:rsidR="002802DA" w:rsidRPr="005545AF">
        <w:rPr>
          <w:rStyle w:val="Appelnotedebasdep"/>
          <w:lang w:val="en-CA"/>
        </w:rPr>
        <w:footnoteReference w:id="155"/>
      </w:r>
      <w:bookmarkEnd w:id="69"/>
      <w:r w:rsidR="002802DA" w:rsidRPr="005545AF">
        <w:rPr>
          <w:lang w:val="en-CA"/>
        </w:rPr>
        <w:t xml:space="preserve"> </w:t>
      </w:r>
      <w:r w:rsidR="003D1C3C" w:rsidRPr="005545AF">
        <w:rPr>
          <w:lang w:val="en-CA"/>
        </w:rPr>
        <w:t>But there is more</w:t>
      </w:r>
      <w:r w:rsidR="002802DA" w:rsidRPr="005545AF">
        <w:rPr>
          <w:lang w:val="en-CA"/>
        </w:rPr>
        <w:t xml:space="preserve">. </w:t>
      </w:r>
      <w:r w:rsidR="003D1C3C" w:rsidRPr="005545AF">
        <w:rPr>
          <w:lang w:val="en-CA"/>
        </w:rPr>
        <w:t xml:space="preserve">What the judgment would publicize would </w:t>
      </w:r>
      <w:r w:rsidR="00CD0796" w:rsidRPr="005545AF">
        <w:rPr>
          <w:lang w:val="en-CA"/>
        </w:rPr>
        <w:t xml:space="preserve">simply </w:t>
      </w:r>
      <w:r w:rsidR="003D1C3C" w:rsidRPr="005545AF">
        <w:rPr>
          <w:lang w:val="en-CA"/>
        </w:rPr>
        <w:t>be an uncompromising confirmation of the falsity of already public information</w:t>
      </w:r>
      <w:r w:rsidR="002802DA" w:rsidRPr="005545AF">
        <w:rPr>
          <w:lang w:val="en-CA"/>
        </w:rPr>
        <w:t xml:space="preserve">. </w:t>
      </w:r>
      <w:r w:rsidR="003D1C3C" w:rsidRPr="005545AF">
        <w:rPr>
          <w:lang w:val="en-CA"/>
        </w:rPr>
        <w:t>Indeed, the judgment</w:t>
      </w:r>
      <w:r w:rsidR="002802DA" w:rsidRPr="005545AF">
        <w:rPr>
          <w:lang w:val="en-CA"/>
        </w:rPr>
        <w:t xml:space="preserve"> </w:t>
      </w:r>
      <w:r w:rsidR="003D1C3C" w:rsidRPr="005545AF">
        <w:rPr>
          <w:lang w:val="en-CA"/>
        </w:rPr>
        <w:t xml:space="preserve">contains </w:t>
      </w:r>
      <w:r w:rsidR="002802DA" w:rsidRPr="005545AF">
        <w:rPr>
          <w:lang w:val="en-CA"/>
        </w:rPr>
        <w:t xml:space="preserve">– </w:t>
      </w:r>
      <w:r w:rsidR="003D1C3C" w:rsidRPr="005545AF">
        <w:rPr>
          <w:lang w:val="en-CA"/>
        </w:rPr>
        <w:t xml:space="preserve">and this is what distinguishes </w:t>
      </w:r>
      <w:r w:rsidR="00CD0796" w:rsidRPr="005545AF">
        <w:rPr>
          <w:lang w:val="en-CA"/>
        </w:rPr>
        <w:t>this case</w:t>
      </w:r>
      <w:r w:rsidR="003D1C3C" w:rsidRPr="005545AF">
        <w:rPr>
          <w:lang w:val="en-CA"/>
        </w:rPr>
        <w:t xml:space="preserve"> from many others</w:t>
      </w:r>
      <w:r w:rsidR="002802DA" w:rsidRPr="005545AF">
        <w:rPr>
          <w:lang w:val="en-CA"/>
        </w:rPr>
        <w:t xml:space="preserve"> – </w:t>
      </w:r>
      <w:r w:rsidR="003D1C3C" w:rsidRPr="005545AF">
        <w:rPr>
          <w:lang w:val="en-CA"/>
        </w:rPr>
        <w:t xml:space="preserve">no other sensitive information concerning </w:t>
      </w:r>
      <w:r w:rsidR="009A4DD9" w:rsidRPr="005545AF">
        <w:rPr>
          <w:lang w:val="en-CA"/>
        </w:rPr>
        <w:t>the appellant</w:t>
      </w:r>
      <w:r w:rsidR="003D1C3C" w:rsidRPr="005545AF">
        <w:rPr>
          <w:lang w:val="en-CA"/>
        </w:rPr>
        <w:t>’s privacy</w:t>
      </w:r>
      <w:r w:rsidR="002802DA" w:rsidRPr="005545AF">
        <w:rPr>
          <w:lang w:val="en-CA"/>
        </w:rPr>
        <w:t xml:space="preserve">, </w:t>
      </w:r>
      <w:bookmarkStart w:id="70" w:name="_Ref207629609"/>
      <w:r w:rsidR="003D1C3C" w:rsidRPr="005545AF">
        <w:rPr>
          <w:lang w:val="en-CA"/>
        </w:rPr>
        <w:t>whether it be financial information, or intimate information about his health, his sexual orientation or habits, or a stigmatizing event that he may have suffered, such as a sexual assault,</w:t>
      </w:r>
      <w:r w:rsidR="002802DA" w:rsidRPr="005545AF">
        <w:rPr>
          <w:rStyle w:val="Appelnotedebasdep"/>
          <w:lang w:val="en-CA"/>
        </w:rPr>
        <w:footnoteReference w:id="156"/>
      </w:r>
      <w:bookmarkEnd w:id="70"/>
      <w:r w:rsidR="003D1C3C" w:rsidRPr="005545AF">
        <w:rPr>
          <w:lang w:val="en-CA"/>
        </w:rPr>
        <w:t xml:space="preserve"> to give but a few examples.</w:t>
      </w:r>
      <w:r w:rsidR="002802DA" w:rsidRPr="005545AF">
        <w:rPr>
          <w:rStyle w:val="Appelnotedebasdep"/>
          <w:lang w:val="en-CA"/>
        </w:rPr>
        <w:footnoteReference w:id="157"/>
      </w:r>
      <w:r w:rsidR="002802DA" w:rsidRPr="005545AF">
        <w:rPr>
          <w:lang w:val="en-CA"/>
        </w:rPr>
        <w:t xml:space="preserve"> </w:t>
      </w:r>
    </w:p>
    <w:p w14:paraId="4D79C6B2" w14:textId="6973F33D" w:rsidR="002802DA" w:rsidRPr="005545AF" w:rsidRDefault="006932A1" w:rsidP="001F7377">
      <w:pPr>
        <w:pStyle w:val="Paragraphe"/>
        <w:spacing w:line="240" w:lineRule="auto"/>
        <w:rPr>
          <w:lang w:val="en-CA"/>
        </w:rPr>
      </w:pPr>
      <w:bookmarkStart w:id="74" w:name="_Ref207629449"/>
      <w:r w:rsidRPr="005545AF">
        <w:rPr>
          <w:lang w:val="en-CA"/>
        </w:rPr>
        <w:t>Also, and contrary to what is generally the case,</w:t>
      </w:r>
      <w:r w:rsidR="002802DA" w:rsidRPr="005545AF">
        <w:rPr>
          <w:rStyle w:val="Appelnotedebasdep"/>
          <w:lang w:val="en-CA"/>
        </w:rPr>
        <w:footnoteReference w:id="158"/>
      </w:r>
      <w:bookmarkEnd w:id="74"/>
      <w:r w:rsidRPr="005545AF">
        <w:rPr>
          <w:lang w:val="en-CA"/>
        </w:rPr>
        <w:t xml:space="preserve"> the court </w:t>
      </w:r>
      <w:r w:rsidR="00A83E8B" w:rsidRPr="005545AF">
        <w:rPr>
          <w:lang w:val="en-CA"/>
        </w:rPr>
        <w:t>wa</w:t>
      </w:r>
      <w:r w:rsidRPr="005545AF">
        <w:rPr>
          <w:lang w:val="en-CA"/>
        </w:rPr>
        <w:t xml:space="preserve">s not called upon </w:t>
      </w:r>
      <w:r w:rsidR="00A83E8B" w:rsidRPr="005545AF">
        <w:rPr>
          <w:lang w:val="en-CA"/>
        </w:rPr>
        <w:t>here</w:t>
      </w:r>
      <w:r w:rsidRPr="005545AF">
        <w:rPr>
          <w:lang w:val="en-CA"/>
        </w:rPr>
        <w:t xml:space="preserve"> to determine, at the merits stage, whether the potentially defamatory allegations </w:t>
      </w:r>
      <w:r w:rsidR="00A83E8B" w:rsidRPr="005545AF">
        <w:rPr>
          <w:lang w:val="en-CA"/>
        </w:rPr>
        <w:t xml:space="preserve">were </w:t>
      </w:r>
      <w:r w:rsidRPr="005545AF">
        <w:rPr>
          <w:lang w:val="en-CA"/>
        </w:rPr>
        <w:t>true or not</w:t>
      </w:r>
      <w:r w:rsidR="002802DA" w:rsidRPr="005545AF">
        <w:rPr>
          <w:lang w:val="en-CA"/>
        </w:rPr>
        <w:t xml:space="preserve">. </w:t>
      </w:r>
      <w:r w:rsidR="00A83E8B" w:rsidRPr="005545AF">
        <w:rPr>
          <w:lang w:val="en-CA"/>
        </w:rPr>
        <w:t>In the case at bar</w:t>
      </w:r>
      <w:r w:rsidR="002802DA" w:rsidRPr="005545AF">
        <w:rPr>
          <w:lang w:val="en-CA"/>
        </w:rPr>
        <w:t xml:space="preserve">, </w:t>
      </w:r>
      <w:r w:rsidRPr="005545AF">
        <w:rPr>
          <w:lang w:val="en-CA"/>
        </w:rPr>
        <w:t>these allegations</w:t>
      </w:r>
      <w:r w:rsidR="00CD0796" w:rsidRPr="005545AF">
        <w:rPr>
          <w:lang w:val="en-CA"/>
        </w:rPr>
        <w:t xml:space="preserve"> are</w:t>
      </w:r>
      <w:r w:rsidRPr="005545AF">
        <w:rPr>
          <w:lang w:val="en-CA"/>
        </w:rPr>
        <w:t>, as a matter of public knowledge, false an</w:t>
      </w:r>
      <w:r w:rsidR="00A83E8B" w:rsidRPr="005545AF">
        <w:rPr>
          <w:lang w:val="en-CA"/>
        </w:rPr>
        <w:t>d</w:t>
      </w:r>
      <w:r w:rsidRPr="005545AF">
        <w:rPr>
          <w:lang w:val="en-CA"/>
        </w:rPr>
        <w:t xml:space="preserve"> the judgment simply found that that it is undisputed that the appellant was never convicted of a sexual crime, or</w:t>
      </w:r>
      <w:r w:rsidR="00A83E8B" w:rsidRPr="005545AF">
        <w:rPr>
          <w:lang w:val="en-CA"/>
        </w:rPr>
        <w:t xml:space="preserve"> of</w:t>
      </w:r>
      <w:r w:rsidRPr="005545AF">
        <w:rPr>
          <w:lang w:val="en-CA"/>
        </w:rPr>
        <w:t xml:space="preserve"> any other crime for that matter</w:t>
      </w:r>
      <w:r w:rsidR="002802DA" w:rsidRPr="005545AF">
        <w:rPr>
          <w:lang w:val="en-CA"/>
        </w:rPr>
        <w:t xml:space="preserve">. </w:t>
      </w:r>
    </w:p>
    <w:p w14:paraId="53C87208" w14:textId="29063AB7" w:rsidR="002802DA" w:rsidRPr="005545AF" w:rsidRDefault="00CD0796" w:rsidP="001F7377">
      <w:pPr>
        <w:pStyle w:val="Paragraphe"/>
        <w:spacing w:line="240" w:lineRule="auto"/>
        <w:rPr>
          <w:lang w:val="en-CA"/>
        </w:rPr>
      </w:pPr>
      <w:r w:rsidRPr="005545AF">
        <w:rPr>
          <w:lang w:val="en-CA"/>
        </w:rPr>
        <w:t>The appellant</w:t>
      </w:r>
      <w:r w:rsidR="00A83E8B" w:rsidRPr="005545AF">
        <w:rPr>
          <w:lang w:val="en-CA"/>
        </w:rPr>
        <w:t xml:space="preserve"> argues that th</w:t>
      </w:r>
      <w:r w:rsidR="006B45F2" w:rsidRPr="005545AF">
        <w:rPr>
          <w:lang w:val="en-CA"/>
        </w:rPr>
        <w:t>e</w:t>
      </w:r>
      <w:r w:rsidR="00A83E8B" w:rsidRPr="005545AF">
        <w:rPr>
          <w:lang w:val="en-CA"/>
        </w:rPr>
        <w:t xml:space="preserve">se considerations should, rather, </w:t>
      </w:r>
      <w:r w:rsidR="006B45F2" w:rsidRPr="005545AF">
        <w:rPr>
          <w:lang w:val="en-CA"/>
        </w:rPr>
        <w:t xml:space="preserve">weigh in </w:t>
      </w:r>
      <w:r w:rsidR="00A83E8B" w:rsidRPr="005545AF">
        <w:rPr>
          <w:lang w:val="en-CA"/>
        </w:rPr>
        <w:t>favour</w:t>
      </w:r>
      <w:r w:rsidR="006B45F2" w:rsidRPr="005545AF">
        <w:rPr>
          <w:lang w:val="en-CA"/>
        </w:rPr>
        <w:t xml:space="preserve"> of</w:t>
      </w:r>
      <w:r w:rsidR="00A83E8B" w:rsidRPr="005545AF">
        <w:rPr>
          <w:lang w:val="en-CA"/>
        </w:rPr>
        <w:t xml:space="preserve"> a publication ban and that the burden for obtaining it </w:t>
      </w:r>
      <w:r w:rsidR="006B45F2" w:rsidRPr="005545AF">
        <w:rPr>
          <w:lang w:val="en-CA"/>
        </w:rPr>
        <w:t>is</w:t>
      </w:r>
      <w:r w:rsidR="00A83E8B" w:rsidRPr="005545AF">
        <w:rPr>
          <w:lang w:val="en-CA"/>
        </w:rPr>
        <w:t xml:space="preserve"> less</w:t>
      </w:r>
      <w:r w:rsidR="006B45F2" w:rsidRPr="005545AF">
        <w:rPr>
          <w:lang w:val="en-CA"/>
        </w:rPr>
        <w:t xml:space="preserve"> demanding</w:t>
      </w:r>
      <w:r w:rsidR="00A83E8B" w:rsidRPr="005545AF">
        <w:rPr>
          <w:lang w:val="en-CA"/>
        </w:rPr>
        <w:t xml:space="preserve"> at the merits stage, </w:t>
      </w:r>
      <w:r w:rsidR="001E1C9A" w:rsidRPr="005545AF">
        <w:rPr>
          <w:lang w:val="en-CA"/>
        </w:rPr>
        <w:t xml:space="preserve">when the </w:t>
      </w:r>
      <w:r w:rsidR="006B45F2" w:rsidRPr="005545AF">
        <w:rPr>
          <w:lang w:val="en-CA"/>
        </w:rPr>
        <w:t>case is made out</w:t>
      </w:r>
      <w:r w:rsidR="001E1C9A" w:rsidRPr="005545AF">
        <w:rPr>
          <w:lang w:val="en-CA"/>
        </w:rPr>
        <w:t xml:space="preserve">, than it is at the interlocutory </w:t>
      </w:r>
      <w:r w:rsidR="006B45F2" w:rsidRPr="005545AF">
        <w:rPr>
          <w:lang w:val="en-CA"/>
        </w:rPr>
        <w:t>stage</w:t>
      </w:r>
      <w:r w:rsidR="002802DA" w:rsidRPr="005545AF">
        <w:rPr>
          <w:lang w:val="en-CA"/>
        </w:rPr>
        <w:t xml:space="preserve">. </w:t>
      </w:r>
      <w:r w:rsidR="001E1C9A" w:rsidRPr="005545AF">
        <w:rPr>
          <w:lang w:val="en-CA"/>
        </w:rPr>
        <w:t>This argument is not persuasive and is, in fact, impractic</w:t>
      </w:r>
      <w:r w:rsidR="006B45F2" w:rsidRPr="005545AF">
        <w:rPr>
          <w:lang w:val="en-CA"/>
        </w:rPr>
        <w:t>able:</w:t>
      </w:r>
      <w:r w:rsidR="001E1C9A" w:rsidRPr="005545AF">
        <w:rPr>
          <w:lang w:val="en-CA"/>
        </w:rPr>
        <w:t xml:space="preserve"> </w:t>
      </w:r>
      <w:r w:rsidR="006B45F2" w:rsidRPr="005545AF">
        <w:rPr>
          <w:lang w:val="en-CA"/>
        </w:rPr>
        <w:t>indeed,</w:t>
      </w:r>
      <w:r w:rsidR="001E1C9A" w:rsidRPr="005545AF">
        <w:rPr>
          <w:lang w:val="en-CA"/>
        </w:rPr>
        <w:t xml:space="preserve"> if a publication ban is denied at the interlocutory stage, the</w:t>
      </w:r>
      <w:r w:rsidR="006B45F2" w:rsidRPr="005545AF">
        <w:rPr>
          <w:lang w:val="en-CA"/>
        </w:rPr>
        <w:t>re is nothing that the</w:t>
      </w:r>
      <w:r w:rsidR="001E1C9A" w:rsidRPr="005545AF">
        <w:rPr>
          <w:lang w:val="en-CA"/>
        </w:rPr>
        <w:t xml:space="preserve"> trial judge </w:t>
      </w:r>
      <w:r w:rsidR="006B45F2" w:rsidRPr="005545AF">
        <w:rPr>
          <w:lang w:val="en-CA"/>
        </w:rPr>
        <w:t>can do about it</w:t>
      </w:r>
      <w:r w:rsidR="002802DA" w:rsidRPr="005545AF">
        <w:rPr>
          <w:lang w:val="en-CA"/>
        </w:rPr>
        <w:t xml:space="preserve">. </w:t>
      </w:r>
      <w:r w:rsidR="001E1C9A" w:rsidRPr="005545AF">
        <w:rPr>
          <w:lang w:val="en-CA"/>
        </w:rPr>
        <w:t>The precautionary principle</w:t>
      </w:r>
      <w:r w:rsidR="002802DA" w:rsidRPr="005545AF">
        <w:rPr>
          <w:lang w:val="en-CA"/>
        </w:rPr>
        <w:t xml:space="preserve"> </w:t>
      </w:r>
      <w:r w:rsidR="001E1C9A" w:rsidRPr="005545AF">
        <w:rPr>
          <w:lang w:val="en-CA"/>
        </w:rPr>
        <w:t xml:space="preserve">requires, rather, </w:t>
      </w:r>
      <w:r w:rsidRPr="005545AF">
        <w:rPr>
          <w:lang w:val="en-CA"/>
        </w:rPr>
        <w:t>consideration</w:t>
      </w:r>
      <w:r w:rsidR="001C0E40" w:rsidRPr="005545AF">
        <w:rPr>
          <w:lang w:val="en-CA"/>
        </w:rPr>
        <w:t xml:space="preserve"> of</w:t>
      </w:r>
      <w:r w:rsidR="001E1C9A" w:rsidRPr="005545AF">
        <w:rPr>
          <w:lang w:val="en-CA"/>
        </w:rPr>
        <w:t xml:space="preserve"> the impacts of the decision</w:t>
      </w:r>
      <w:r w:rsidR="001C0E40" w:rsidRPr="005545AF">
        <w:rPr>
          <w:lang w:val="en-CA"/>
        </w:rPr>
        <w:t xml:space="preserve"> </w:t>
      </w:r>
      <w:r w:rsidR="001E1C9A" w:rsidRPr="005545AF">
        <w:rPr>
          <w:lang w:val="en-CA"/>
        </w:rPr>
        <w:t xml:space="preserve">and the fact that </w:t>
      </w:r>
      <w:r w:rsidR="001E1C9A" w:rsidRPr="005545AF">
        <w:rPr>
          <w:lang w:val="en-CA"/>
        </w:rPr>
        <w:lastRenderedPageBreak/>
        <w:t>th</w:t>
      </w:r>
      <w:r w:rsidR="001C0E40" w:rsidRPr="005545AF">
        <w:rPr>
          <w:lang w:val="en-CA"/>
        </w:rPr>
        <w:t xml:space="preserve">e case is </w:t>
      </w:r>
      <w:r w:rsidR="001E1C9A" w:rsidRPr="005545AF">
        <w:rPr>
          <w:lang w:val="en-CA"/>
        </w:rPr>
        <w:t>at the interlocutory stage</w:t>
      </w:r>
      <w:r w:rsidR="006B45F2" w:rsidRPr="005545AF">
        <w:rPr>
          <w:lang w:val="en-CA"/>
        </w:rPr>
        <w:t xml:space="preserve">, especially since the trial judge is not bound by </w:t>
      </w:r>
      <w:r w:rsidR="001C0E40" w:rsidRPr="005545AF">
        <w:rPr>
          <w:lang w:val="en-CA"/>
        </w:rPr>
        <w:t>that decision</w:t>
      </w:r>
      <w:r w:rsidR="006B45F2" w:rsidRPr="005545AF">
        <w:rPr>
          <w:lang w:val="en-CA"/>
        </w:rPr>
        <w:t>.</w:t>
      </w:r>
      <w:r w:rsidR="002802DA" w:rsidRPr="005545AF">
        <w:rPr>
          <w:rStyle w:val="Appelnotedebasdep"/>
          <w:lang w:val="en-CA"/>
        </w:rPr>
        <w:footnoteReference w:id="159"/>
      </w:r>
    </w:p>
    <w:p w14:paraId="4BCB6ECD" w14:textId="7074FFF4" w:rsidR="002802DA" w:rsidRPr="005545AF" w:rsidRDefault="00CD0796" w:rsidP="001F7377">
      <w:pPr>
        <w:pStyle w:val="Paragraphe"/>
        <w:spacing w:line="240" w:lineRule="auto"/>
        <w:rPr>
          <w:lang w:val="en-CA"/>
        </w:rPr>
      </w:pPr>
      <w:r w:rsidRPr="005545AF">
        <w:rPr>
          <w:lang w:val="en-CA"/>
        </w:rPr>
        <w:t>The appellant</w:t>
      </w:r>
      <w:r w:rsidR="002802DA" w:rsidRPr="005545AF">
        <w:rPr>
          <w:lang w:val="en-CA"/>
        </w:rPr>
        <w:t xml:space="preserve"> </w:t>
      </w:r>
      <w:r w:rsidR="001C0E40" w:rsidRPr="005545AF">
        <w:rPr>
          <w:lang w:val="en-CA"/>
        </w:rPr>
        <w:t>adds that the judge erred in his assessment of Dr. Houle’s testimony</w:t>
      </w:r>
      <w:r w:rsidR="002802DA" w:rsidRPr="005545AF">
        <w:rPr>
          <w:lang w:val="en-CA"/>
        </w:rPr>
        <w:t xml:space="preserve">. </w:t>
      </w:r>
      <w:r w:rsidR="001C0E40" w:rsidRPr="005545AF">
        <w:rPr>
          <w:lang w:val="en-CA"/>
        </w:rPr>
        <w:t>In his view</w:t>
      </w:r>
      <w:r w:rsidR="000F47AE" w:rsidRPr="005545AF">
        <w:rPr>
          <w:lang w:val="en-CA"/>
        </w:rPr>
        <w:t xml:space="preserve">, Dr. Houle did not claim that his </w:t>
      </w:r>
      <w:r w:rsidR="00DC7B06" w:rsidRPr="005545AF">
        <w:rPr>
          <w:lang w:val="en-CA"/>
        </w:rPr>
        <w:t>distinctive</w:t>
      </w:r>
      <w:r w:rsidR="000F47AE" w:rsidRPr="005545AF">
        <w:rPr>
          <w:lang w:val="en-CA"/>
        </w:rPr>
        <w:t xml:space="preserve"> personality justified a publication ban, but rather</w:t>
      </w:r>
      <w:r w:rsidR="00526506" w:rsidRPr="005545AF">
        <w:rPr>
          <w:lang w:val="en-CA"/>
        </w:rPr>
        <w:t xml:space="preserve"> that </w:t>
      </w:r>
      <w:r w:rsidR="000F47AE" w:rsidRPr="005545AF">
        <w:rPr>
          <w:lang w:val="en-CA"/>
        </w:rPr>
        <w:t xml:space="preserve">the context </w:t>
      </w:r>
      <w:r w:rsidR="00526506" w:rsidRPr="005545AF">
        <w:rPr>
          <w:lang w:val="en-CA"/>
        </w:rPr>
        <w:t>in which</w:t>
      </w:r>
      <w:r w:rsidR="000F47AE" w:rsidRPr="005545AF">
        <w:rPr>
          <w:lang w:val="en-CA"/>
        </w:rPr>
        <w:t xml:space="preserve"> he finds himself </w:t>
      </w:r>
      <w:r w:rsidR="00526506" w:rsidRPr="005545AF">
        <w:rPr>
          <w:lang w:val="en-CA"/>
        </w:rPr>
        <w:t>wa</w:t>
      </w:r>
      <w:r w:rsidR="000F47AE" w:rsidRPr="005545AF">
        <w:rPr>
          <w:lang w:val="en-CA"/>
        </w:rPr>
        <w:t xml:space="preserve">s unique, since members of the public, who are </w:t>
      </w:r>
      <w:r w:rsidR="006A696A" w:rsidRPr="005545AF">
        <w:rPr>
          <w:lang w:val="en-CA"/>
        </w:rPr>
        <w:t>un</w:t>
      </w:r>
      <w:r w:rsidR="000F47AE" w:rsidRPr="005545AF">
        <w:rPr>
          <w:lang w:val="en-CA"/>
        </w:rPr>
        <w:t xml:space="preserve">aware of the </w:t>
      </w:r>
      <w:r w:rsidR="004A5D7E" w:rsidRPr="005545AF">
        <w:rPr>
          <w:lang w:val="en-CA"/>
        </w:rPr>
        <w:t>Impugned Post</w:t>
      </w:r>
      <w:r w:rsidR="000F47AE" w:rsidRPr="005545AF">
        <w:rPr>
          <w:lang w:val="en-CA"/>
        </w:rPr>
        <w:t xml:space="preserve">, could become </w:t>
      </w:r>
      <w:r w:rsidR="006A696A" w:rsidRPr="005545AF">
        <w:rPr>
          <w:lang w:val="en-CA"/>
        </w:rPr>
        <w:t>aware of it</w:t>
      </w:r>
      <w:r w:rsidR="000F47AE" w:rsidRPr="005545AF">
        <w:rPr>
          <w:lang w:val="en-CA"/>
        </w:rPr>
        <w:t xml:space="preserve"> </w:t>
      </w:r>
      <w:r w:rsidRPr="005545AF">
        <w:rPr>
          <w:lang w:val="en-CA"/>
        </w:rPr>
        <w:t>because</w:t>
      </w:r>
      <w:r w:rsidR="000F47AE" w:rsidRPr="005545AF">
        <w:rPr>
          <w:lang w:val="en-CA"/>
        </w:rPr>
        <w:t xml:space="preserve"> of the publication of the judgment and could </w:t>
      </w:r>
      <w:r w:rsidR="00526506" w:rsidRPr="005545AF">
        <w:rPr>
          <w:lang w:val="en-CA"/>
        </w:rPr>
        <w:t>always</w:t>
      </w:r>
      <w:r w:rsidR="000F47AE" w:rsidRPr="005545AF">
        <w:rPr>
          <w:lang w:val="en-CA"/>
        </w:rPr>
        <w:t xml:space="preserve"> consider that </w:t>
      </w:r>
      <w:r w:rsidR="00DC7B06" w:rsidRPr="005545AF">
        <w:rPr>
          <w:lang w:val="en-CA"/>
        </w:rPr>
        <w:t>there’s no</w:t>
      </w:r>
      <w:r w:rsidR="000F47AE" w:rsidRPr="005545AF">
        <w:rPr>
          <w:lang w:val="en-CA"/>
        </w:rPr>
        <w:t xml:space="preserve"> smoke</w:t>
      </w:r>
      <w:r w:rsidR="00DC7B06" w:rsidRPr="005545AF">
        <w:rPr>
          <w:lang w:val="en-CA"/>
        </w:rPr>
        <w:t xml:space="preserve"> without</w:t>
      </w:r>
      <w:r w:rsidR="000F47AE" w:rsidRPr="005545AF">
        <w:rPr>
          <w:lang w:val="en-CA"/>
        </w:rPr>
        <w:t xml:space="preserve"> fire</w:t>
      </w:r>
      <w:r w:rsidR="002802DA" w:rsidRPr="005545AF">
        <w:rPr>
          <w:lang w:val="en-CA"/>
        </w:rPr>
        <w:t xml:space="preserve">. </w:t>
      </w:r>
    </w:p>
    <w:p w14:paraId="56669CC4" w14:textId="26E44C07" w:rsidR="002802DA" w:rsidRPr="005545AF" w:rsidRDefault="00AA6FE3" w:rsidP="001F7377">
      <w:pPr>
        <w:pStyle w:val="Paragraphe"/>
        <w:spacing w:line="240" w:lineRule="auto"/>
        <w:rPr>
          <w:lang w:val="en-CA"/>
        </w:rPr>
      </w:pPr>
      <w:r w:rsidRPr="005545AF">
        <w:rPr>
          <w:lang w:val="en-CA"/>
        </w:rPr>
        <w:t>Respectfully, I do not see that the judge erred here, and I add that this argument is not only speculative</w:t>
      </w:r>
      <w:r w:rsidR="00E77193" w:rsidRPr="005545AF">
        <w:rPr>
          <w:lang w:val="en-CA"/>
        </w:rPr>
        <w:t xml:space="preserve"> </w:t>
      </w:r>
      <w:r w:rsidRPr="005545AF">
        <w:rPr>
          <w:lang w:val="en-CA"/>
        </w:rPr>
        <w:t xml:space="preserve">but </w:t>
      </w:r>
      <w:r w:rsidR="00E77193" w:rsidRPr="005545AF">
        <w:rPr>
          <w:lang w:val="en-CA"/>
        </w:rPr>
        <w:t xml:space="preserve">constitutes a </w:t>
      </w:r>
      <w:r w:rsidRPr="005545AF">
        <w:rPr>
          <w:lang w:val="en-CA"/>
        </w:rPr>
        <w:t>slippery slope</w:t>
      </w:r>
      <w:r w:rsidR="00E77193" w:rsidRPr="005545AF">
        <w:rPr>
          <w:lang w:val="en-CA"/>
        </w:rPr>
        <w:t xml:space="preserve"> that we should not venture upon</w:t>
      </w:r>
      <w:r w:rsidR="002802DA" w:rsidRPr="005545AF">
        <w:rPr>
          <w:lang w:val="en-CA"/>
        </w:rPr>
        <w:t xml:space="preserve">. </w:t>
      </w:r>
      <w:r w:rsidR="006A696A" w:rsidRPr="005545AF">
        <w:rPr>
          <w:lang w:val="en-CA"/>
        </w:rPr>
        <w:t>S</w:t>
      </w:r>
      <w:r w:rsidR="00E77193" w:rsidRPr="005545AF">
        <w:rPr>
          <w:lang w:val="en-CA"/>
        </w:rPr>
        <w:t>uspicion reasoning can be adopted in any case involving defamatory information as well as in many other matters, notably in any criminal case where the accused was acquitted</w:t>
      </w:r>
      <w:r w:rsidR="002802DA" w:rsidRPr="005545AF">
        <w:rPr>
          <w:lang w:val="en-CA"/>
        </w:rPr>
        <w:t xml:space="preserve">. </w:t>
      </w:r>
      <w:r w:rsidR="00E77193" w:rsidRPr="005545AF">
        <w:rPr>
          <w:lang w:val="en-CA"/>
        </w:rPr>
        <w:t>Accepting this logic would end up completely eroding the open-court principle and</w:t>
      </w:r>
      <w:r w:rsidR="002802DA" w:rsidRPr="005545AF">
        <w:rPr>
          <w:lang w:val="en-CA"/>
        </w:rPr>
        <w:t xml:space="preserve">, </w:t>
      </w:r>
      <w:r w:rsidR="00E77193" w:rsidRPr="005545AF">
        <w:rPr>
          <w:lang w:val="en-CA"/>
        </w:rPr>
        <w:t>as the trial judge noted</w:t>
      </w:r>
      <w:r w:rsidR="002802DA" w:rsidRPr="005545AF">
        <w:rPr>
          <w:lang w:val="en-CA"/>
        </w:rPr>
        <w:t xml:space="preserve">, </w:t>
      </w:r>
      <w:r w:rsidR="00E77193" w:rsidRPr="005545AF">
        <w:rPr>
          <w:lang w:val="en-CA"/>
        </w:rPr>
        <w:t xml:space="preserve">it would create, in defamation cases, </w:t>
      </w:r>
      <w:r w:rsidR="00F32F3A" w:rsidRPr="005545AF">
        <w:rPr>
          <w:lang w:val="en-CA"/>
        </w:rPr>
        <w:t>a judge-made general exception to that principle.</w:t>
      </w:r>
      <w:r w:rsidR="002802DA" w:rsidRPr="005545AF">
        <w:rPr>
          <w:rStyle w:val="Appelnotedebasdep"/>
          <w:lang w:val="en-CA"/>
        </w:rPr>
        <w:footnoteReference w:id="160"/>
      </w:r>
      <w:r w:rsidR="00F32F3A" w:rsidRPr="005545AF">
        <w:rPr>
          <w:lang w:val="en-CA"/>
        </w:rPr>
        <w:t xml:space="preserve"> This would run contrary not only to the</w:t>
      </w:r>
      <w:r w:rsidR="00AA2EA9" w:rsidRPr="005545AF">
        <w:rPr>
          <w:lang w:val="en-CA"/>
        </w:rPr>
        <w:t xml:space="preserve"> intent of the</w:t>
      </w:r>
      <w:r w:rsidR="00F32F3A" w:rsidRPr="005545AF">
        <w:rPr>
          <w:lang w:val="en-CA"/>
        </w:rPr>
        <w:t xml:space="preserve"> legislature </w:t>
      </w:r>
      <w:r w:rsidR="006A696A" w:rsidRPr="005545AF">
        <w:rPr>
          <w:lang w:val="en-CA"/>
        </w:rPr>
        <w:t>that</w:t>
      </w:r>
      <w:r w:rsidR="00F32F3A" w:rsidRPr="005545AF">
        <w:rPr>
          <w:lang w:val="en-CA"/>
        </w:rPr>
        <w:t xml:space="preserve"> did not create such an exception, but also </w:t>
      </w:r>
      <w:r w:rsidR="006A696A" w:rsidRPr="005545AF">
        <w:rPr>
          <w:lang w:val="en-CA"/>
        </w:rPr>
        <w:t xml:space="preserve">to </w:t>
      </w:r>
      <w:r w:rsidR="00F32F3A" w:rsidRPr="005545AF">
        <w:rPr>
          <w:lang w:val="en-CA"/>
        </w:rPr>
        <w:t>the Supreme Court’s teachings in</w:t>
      </w:r>
      <w:r w:rsidR="002802DA" w:rsidRPr="005545AF">
        <w:rPr>
          <w:lang w:val="en-CA"/>
        </w:rPr>
        <w:t xml:space="preserve"> </w:t>
      </w:r>
      <w:r w:rsidR="002802DA" w:rsidRPr="005545AF">
        <w:rPr>
          <w:i/>
          <w:iCs/>
          <w:lang w:val="en-CA"/>
        </w:rPr>
        <w:t>Sherman</w:t>
      </w:r>
      <w:r w:rsidR="002802DA" w:rsidRPr="005545AF">
        <w:rPr>
          <w:lang w:val="en-CA"/>
        </w:rPr>
        <w:t xml:space="preserve">. </w:t>
      </w:r>
      <w:r w:rsidR="00F32F3A" w:rsidRPr="005545AF">
        <w:rPr>
          <w:lang w:val="en-CA"/>
        </w:rPr>
        <w:t xml:space="preserve">In such matters, </w:t>
      </w:r>
      <w:r w:rsidR="00A35B77" w:rsidRPr="005545AF">
        <w:rPr>
          <w:lang w:val="en-CA"/>
        </w:rPr>
        <w:t>each case must be assessed on its own facts</w:t>
      </w:r>
      <w:r w:rsidR="002802DA" w:rsidRPr="005545AF">
        <w:rPr>
          <w:rStyle w:val="Appelnotedebasdep"/>
          <w:lang w:val="en-CA"/>
        </w:rPr>
        <w:footnoteReference w:id="161"/>
      </w:r>
      <w:r w:rsidR="002802DA" w:rsidRPr="005545AF">
        <w:rPr>
          <w:lang w:val="en-CA"/>
        </w:rPr>
        <w:t xml:space="preserve"> </w:t>
      </w:r>
      <w:r w:rsidR="00A35B77" w:rsidRPr="005545AF">
        <w:rPr>
          <w:lang w:val="en-CA"/>
        </w:rPr>
        <w:t>and</w:t>
      </w:r>
      <w:r w:rsidR="002802DA" w:rsidRPr="005545AF">
        <w:rPr>
          <w:lang w:val="en-CA"/>
        </w:rPr>
        <w:t xml:space="preserve">, </w:t>
      </w:r>
      <w:r w:rsidR="00A35B77" w:rsidRPr="005545AF">
        <w:rPr>
          <w:lang w:val="en-CA"/>
        </w:rPr>
        <w:t>as our Court recalled in</w:t>
      </w:r>
      <w:r w:rsidR="002802DA" w:rsidRPr="005545AF">
        <w:rPr>
          <w:lang w:val="en-CA"/>
        </w:rPr>
        <w:t xml:space="preserve"> </w:t>
      </w:r>
      <w:r w:rsidR="002802DA" w:rsidRPr="005545AF">
        <w:rPr>
          <w:i/>
          <w:iCs/>
          <w:lang w:val="en-CA"/>
        </w:rPr>
        <w:t>Robillard</w:t>
      </w:r>
      <w:r w:rsidR="002802DA" w:rsidRPr="005545AF">
        <w:rPr>
          <w:lang w:val="en-CA"/>
        </w:rPr>
        <w:t xml:space="preserve">, </w:t>
      </w:r>
      <w:r w:rsidR="00A35B77" w:rsidRPr="005545AF">
        <w:rPr>
          <w:lang w:val="en-CA"/>
        </w:rPr>
        <w:t xml:space="preserve">in which, </w:t>
      </w:r>
      <w:r w:rsidR="00AA2EA9" w:rsidRPr="005545AF">
        <w:rPr>
          <w:lang w:val="en-CA"/>
        </w:rPr>
        <w:t>like in the case at bar</w:t>
      </w:r>
      <w:r w:rsidR="002802DA" w:rsidRPr="005545AF">
        <w:rPr>
          <w:lang w:val="en-CA"/>
        </w:rPr>
        <w:t xml:space="preserve">, </w:t>
      </w:r>
      <w:r w:rsidR="00A35B77" w:rsidRPr="005545AF">
        <w:rPr>
          <w:lang w:val="en-CA"/>
        </w:rPr>
        <w:t>a plaintiff in a civil liability claim for defamation sought a publication ban on his identity</w:t>
      </w:r>
      <w:r w:rsidR="00AA2EA9" w:rsidRPr="005545AF">
        <w:rPr>
          <w:lang w:val="en-CA"/>
        </w:rPr>
        <w:t>,</w:t>
      </w:r>
      <w:r w:rsidR="002802DA" w:rsidRPr="005545AF">
        <w:rPr>
          <w:lang w:val="en-CA"/>
        </w:rPr>
        <w:t xml:space="preserve"> </w:t>
      </w:r>
      <w:r w:rsidR="00F32F3A" w:rsidRPr="005545AF">
        <w:rPr>
          <w:lang w:val="en-CA"/>
        </w:rPr>
        <w:t>it is</w:t>
      </w:r>
      <w:r w:rsidR="002802DA" w:rsidRPr="005545AF">
        <w:rPr>
          <w:lang w:val="en-CA"/>
        </w:rPr>
        <w:t xml:space="preserve"> </w:t>
      </w:r>
      <w:r w:rsidR="00F32F3A" w:rsidRPr="005545AF">
        <w:rPr>
          <w:lang w:val="en-CA"/>
        </w:rPr>
        <w:t>“</w:t>
      </w:r>
      <w:r w:rsidR="002802DA" w:rsidRPr="005545AF">
        <w:rPr>
          <w:lang w:val="en-CA"/>
        </w:rPr>
        <w:t xml:space="preserve">[…] </w:t>
      </w:r>
      <w:r w:rsidR="00F32F3A" w:rsidRPr="005545AF">
        <w:rPr>
          <w:lang w:val="en-CA"/>
        </w:rPr>
        <w:t>imprudent to lay down generalities and attempt to categorize legal proceedings in advance by asserting that in some of them, the openness principle can be overcome and that in others, it cannot.”</w:t>
      </w:r>
      <w:r w:rsidR="002802DA" w:rsidRPr="005545AF">
        <w:rPr>
          <w:rStyle w:val="Appelnotedebasdep"/>
          <w:lang w:val="en-CA"/>
        </w:rPr>
        <w:footnoteReference w:id="162"/>
      </w:r>
    </w:p>
    <w:p w14:paraId="3998F36E" w14:textId="4E12AD13" w:rsidR="002802DA" w:rsidRPr="005545AF" w:rsidRDefault="00AA2EA9" w:rsidP="001F7377">
      <w:pPr>
        <w:pStyle w:val="Paragraphe"/>
        <w:spacing w:line="240" w:lineRule="auto"/>
        <w:rPr>
          <w:lang w:val="en-CA"/>
        </w:rPr>
      </w:pPr>
      <w:r w:rsidRPr="005545AF">
        <w:rPr>
          <w:lang w:val="en-CA"/>
        </w:rPr>
        <w:t>For these reason</w:t>
      </w:r>
      <w:r w:rsidR="00475A1A" w:rsidRPr="005545AF">
        <w:rPr>
          <w:lang w:val="en-CA"/>
        </w:rPr>
        <w:t>s</w:t>
      </w:r>
      <w:r w:rsidRPr="005545AF">
        <w:rPr>
          <w:lang w:val="en-CA"/>
        </w:rPr>
        <w:t>, this ground of appeal must fail</w:t>
      </w:r>
      <w:r w:rsidR="002802DA" w:rsidRPr="005545AF">
        <w:rPr>
          <w:lang w:val="en-CA"/>
        </w:rPr>
        <w:t xml:space="preserve">. </w:t>
      </w:r>
      <w:r w:rsidRPr="005545AF">
        <w:rPr>
          <w:lang w:val="en-CA"/>
        </w:rPr>
        <w:t>I am however of the view that the publication ban granted by my colleague</w:t>
      </w:r>
      <w:r w:rsidR="002802DA" w:rsidRPr="005545AF">
        <w:rPr>
          <w:lang w:val="en-CA"/>
        </w:rPr>
        <w:t xml:space="preserve"> Baudouin </w:t>
      </w:r>
      <w:r w:rsidRPr="005545AF">
        <w:rPr>
          <w:lang w:val="en-CA"/>
        </w:rPr>
        <w:t>J.A. should be extended during the appeal proceedings until the expiry of the applicable time limit to file an application for leave to appeal to the Supreme Court or, if such leave is requested, until the judgement dismissing it or until the judgment of the Supreme Court on the merits so that any application on that issue becomes moot</w:t>
      </w:r>
      <w:r w:rsidR="002802DA" w:rsidRPr="005545AF">
        <w:rPr>
          <w:lang w:val="en-CA"/>
        </w:rPr>
        <w:t>.</w:t>
      </w:r>
    </w:p>
    <w:p w14:paraId="3BBF8FD7" w14:textId="1A23CA05" w:rsidR="002802DA" w:rsidRPr="005545AF" w:rsidRDefault="002802DA" w:rsidP="001F7377">
      <w:pPr>
        <w:pStyle w:val="Paragraphe"/>
        <w:numPr>
          <w:ilvl w:val="0"/>
          <w:numId w:val="0"/>
        </w:numPr>
        <w:spacing w:line="240" w:lineRule="auto"/>
        <w:ind w:left="851"/>
        <w:outlineLvl w:val="1"/>
        <w:rPr>
          <w:b/>
          <w:bCs/>
          <w:lang w:val="en-CA"/>
        </w:rPr>
      </w:pPr>
      <w:r w:rsidRPr="005545AF">
        <w:rPr>
          <w:b/>
          <w:bCs/>
          <w:lang w:val="en-CA"/>
        </w:rPr>
        <w:t xml:space="preserve">5) </w:t>
      </w:r>
      <w:r w:rsidR="00552515" w:rsidRPr="005545AF">
        <w:rPr>
          <w:b/>
          <w:bCs/>
          <w:lang w:val="en-CA"/>
        </w:rPr>
        <w:t>Did the judge err in granting an injunction (incidental appeal) or in</w:t>
      </w:r>
      <w:r w:rsidR="000548F7" w:rsidRPr="005545AF">
        <w:rPr>
          <w:b/>
          <w:bCs/>
          <w:lang w:val="en-CA"/>
        </w:rPr>
        <w:t xml:space="preserve"> </w:t>
      </w:r>
      <w:r w:rsidR="00AA3A94" w:rsidRPr="005545AF">
        <w:rPr>
          <w:b/>
          <w:bCs/>
          <w:lang w:val="en-CA"/>
        </w:rPr>
        <w:t>determining</w:t>
      </w:r>
      <w:r w:rsidR="00552515" w:rsidRPr="005545AF">
        <w:rPr>
          <w:b/>
          <w:bCs/>
          <w:lang w:val="en-CA"/>
        </w:rPr>
        <w:t xml:space="preserve"> its </w:t>
      </w:r>
      <w:r w:rsidR="00132435" w:rsidRPr="005545AF">
        <w:rPr>
          <w:b/>
          <w:bCs/>
          <w:lang w:val="en-CA"/>
        </w:rPr>
        <w:t>substantive</w:t>
      </w:r>
      <w:r w:rsidR="00552515" w:rsidRPr="005545AF">
        <w:rPr>
          <w:b/>
          <w:bCs/>
          <w:lang w:val="en-CA"/>
        </w:rPr>
        <w:t xml:space="preserve"> and geographic</w:t>
      </w:r>
      <w:r w:rsidR="00132435" w:rsidRPr="005545AF">
        <w:rPr>
          <w:b/>
          <w:bCs/>
          <w:lang w:val="en-CA"/>
        </w:rPr>
        <w:t>al</w:t>
      </w:r>
      <w:r w:rsidR="00552515" w:rsidRPr="005545AF">
        <w:rPr>
          <w:b/>
          <w:bCs/>
          <w:lang w:val="en-CA"/>
        </w:rPr>
        <w:t xml:space="preserve"> scope (principal appeal)</w:t>
      </w:r>
      <w:r w:rsidRPr="005545AF">
        <w:rPr>
          <w:b/>
          <w:bCs/>
          <w:lang w:val="en-CA"/>
        </w:rPr>
        <w:t>?</w:t>
      </w:r>
    </w:p>
    <w:p w14:paraId="3EFDEC85" w14:textId="7B096281" w:rsidR="002802DA" w:rsidRPr="005545AF" w:rsidRDefault="009C7D61" w:rsidP="001F7377">
      <w:pPr>
        <w:pStyle w:val="Paragraphe"/>
        <w:spacing w:line="240" w:lineRule="auto"/>
        <w:rPr>
          <w:lang w:val="en-CA"/>
        </w:rPr>
      </w:pPr>
      <w:r w:rsidRPr="005545AF">
        <w:rPr>
          <w:lang w:val="en-CA"/>
        </w:rPr>
        <w:t xml:space="preserve">The judge granted </w:t>
      </w:r>
      <w:r w:rsidR="00AA3A94" w:rsidRPr="005545AF">
        <w:rPr>
          <w:lang w:val="en-CA"/>
        </w:rPr>
        <w:t xml:space="preserve">in part </w:t>
      </w:r>
      <w:r w:rsidRPr="005545AF">
        <w:rPr>
          <w:lang w:val="en-CA"/>
        </w:rPr>
        <w:t xml:space="preserve">the appellant’s application for a permanent injunction by limiting both (a) its </w:t>
      </w:r>
      <w:r w:rsidR="00132435" w:rsidRPr="005545AF">
        <w:rPr>
          <w:lang w:val="en-CA"/>
        </w:rPr>
        <w:t>substantive</w:t>
      </w:r>
      <w:r w:rsidRPr="005545AF">
        <w:rPr>
          <w:lang w:val="en-CA"/>
        </w:rPr>
        <w:t xml:space="preserve"> and </w:t>
      </w:r>
      <w:r w:rsidR="002802DA" w:rsidRPr="005545AF">
        <w:rPr>
          <w:lang w:val="en-CA"/>
        </w:rPr>
        <w:t>(b)</w:t>
      </w:r>
      <w:r w:rsidRPr="005545AF">
        <w:rPr>
          <w:lang w:val="en-CA"/>
        </w:rPr>
        <w:t xml:space="preserve"> geographic</w:t>
      </w:r>
      <w:r w:rsidR="00132435" w:rsidRPr="005545AF">
        <w:rPr>
          <w:lang w:val="en-CA"/>
        </w:rPr>
        <w:t>al</w:t>
      </w:r>
      <w:r w:rsidRPr="005545AF">
        <w:rPr>
          <w:lang w:val="en-CA"/>
        </w:rPr>
        <w:t xml:space="preserve"> scope</w:t>
      </w:r>
      <w:r w:rsidR="002802DA" w:rsidRPr="005545AF">
        <w:rPr>
          <w:lang w:val="en-CA"/>
        </w:rPr>
        <w:t xml:space="preserve">.  </w:t>
      </w:r>
      <w:r w:rsidRPr="005545AF">
        <w:rPr>
          <w:lang w:val="en-CA"/>
        </w:rPr>
        <w:t>The parties both appeal various aspects of those conclusions</w:t>
      </w:r>
      <w:r w:rsidR="002802DA" w:rsidRPr="005545AF">
        <w:rPr>
          <w:lang w:val="en-CA"/>
        </w:rPr>
        <w:t xml:space="preserve">. </w:t>
      </w:r>
      <w:r w:rsidR="00132435" w:rsidRPr="005545AF">
        <w:rPr>
          <w:lang w:val="en-CA"/>
        </w:rPr>
        <w:t>I will examine each in turn</w:t>
      </w:r>
      <w:r w:rsidR="002802DA" w:rsidRPr="005545AF">
        <w:rPr>
          <w:lang w:val="en-CA"/>
        </w:rPr>
        <w:t>.</w:t>
      </w:r>
    </w:p>
    <w:p w14:paraId="2E6773BF" w14:textId="161E0D0A" w:rsidR="002802DA" w:rsidRPr="005545AF" w:rsidRDefault="00132435" w:rsidP="001F7377">
      <w:pPr>
        <w:pStyle w:val="Paragraphe"/>
        <w:numPr>
          <w:ilvl w:val="0"/>
          <w:numId w:val="28"/>
        </w:numPr>
        <w:spacing w:line="240" w:lineRule="auto"/>
        <w:outlineLvl w:val="2"/>
        <w:rPr>
          <w:lang w:val="en-CA"/>
        </w:rPr>
      </w:pPr>
      <w:r w:rsidRPr="005545AF">
        <w:rPr>
          <w:lang w:val="en-CA"/>
        </w:rPr>
        <w:lastRenderedPageBreak/>
        <w:t>Substantive</w:t>
      </w:r>
      <w:r w:rsidR="009C7D61" w:rsidRPr="005545AF">
        <w:rPr>
          <w:lang w:val="en-CA"/>
        </w:rPr>
        <w:t xml:space="preserve"> scope of the injunction</w:t>
      </w:r>
    </w:p>
    <w:p w14:paraId="51D04086" w14:textId="00E71768" w:rsidR="002802DA" w:rsidRPr="005545AF" w:rsidRDefault="00132435" w:rsidP="001F7377">
      <w:pPr>
        <w:pStyle w:val="Paragraphe"/>
        <w:spacing w:line="240" w:lineRule="auto"/>
        <w:rPr>
          <w:lang w:val="en-CA"/>
        </w:rPr>
      </w:pPr>
      <w:r w:rsidRPr="005545AF">
        <w:rPr>
          <w:lang w:val="en-CA"/>
        </w:rPr>
        <w:t>I recall that</w:t>
      </w:r>
      <w:r w:rsidR="00FC53DD" w:rsidRPr="005545AF">
        <w:rPr>
          <w:lang w:val="en-CA"/>
        </w:rPr>
        <w:t xml:space="preserve"> the injunctive </w:t>
      </w:r>
      <w:r w:rsidR="00F2216B" w:rsidRPr="005545AF">
        <w:rPr>
          <w:lang w:val="en-CA"/>
        </w:rPr>
        <w:t>relief</w:t>
      </w:r>
      <w:r w:rsidR="00FC53DD" w:rsidRPr="005545AF">
        <w:rPr>
          <w:lang w:val="en-CA"/>
        </w:rPr>
        <w:t xml:space="preserve"> sought by the appellant </w:t>
      </w:r>
      <w:r w:rsidR="00F2216B" w:rsidRPr="005545AF">
        <w:rPr>
          <w:lang w:val="en-CA"/>
        </w:rPr>
        <w:t>included</w:t>
      </w:r>
      <w:r w:rsidR="00FC53DD" w:rsidRPr="005545AF">
        <w:rPr>
          <w:lang w:val="en-CA"/>
        </w:rPr>
        <w:t xml:space="preserve"> two </w:t>
      </w:r>
      <w:r w:rsidR="0044698B" w:rsidRPr="005545AF">
        <w:rPr>
          <w:lang w:val="en-CA"/>
        </w:rPr>
        <w:t>separate branches</w:t>
      </w:r>
      <w:r w:rsidR="002802DA" w:rsidRPr="005545AF">
        <w:rPr>
          <w:lang w:val="en-CA"/>
        </w:rPr>
        <w:t xml:space="preserve">. </w:t>
      </w:r>
      <w:r w:rsidR="00F2216B" w:rsidRPr="005545AF">
        <w:rPr>
          <w:lang w:val="en-CA"/>
        </w:rPr>
        <w:t>Under</w:t>
      </w:r>
      <w:r w:rsidR="00FC53DD" w:rsidRPr="005545AF">
        <w:rPr>
          <w:lang w:val="en-CA"/>
        </w:rPr>
        <w:t xml:space="preserve"> the first, the appellant </w:t>
      </w:r>
      <w:r w:rsidR="00F2216B" w:rsidRPr="005545AF">
        <w:rPr>
          <w:lang w:val="en-CA"/>
        </w:rPr>
        <w:t>requested that</w:t>
      </w:r>
      <w:r w:rsidR="00FC53DD" w:rsidRPr="005545AF">
        <w:rPr>
          <w:lang w:val="en-CA"/>
        </w:rPr>
        <w:t xml:space="preserve"> the court </w:t>
      </w:r>
      <w:r w:rsidR="00F2216B" w:rsidRPr="005545AF">
        <w:rPr>
          <w:lang w:val="en-CA"/>
        </w:rPr>
        <w:t>order</w:t>
      </w:r>
      <w:r w:rsidR="00FC53DD" w:rsidRPr="005545AF">
        <w:rPr>
          <w:lang w:val="en-CA"/>
        </w:rPr>
        <w:t xml:space="preserve"> Google to withdraw any link referring to any page containing his name within 15 words of the terms “</w:t>
      </w:r>
      <w:r w:rsidR="002802DA" w:rsidRPr="005545AF">
        <w:rPr>
          <w:lang w:val="en-CA"/>
        </w:rPr>
        <w:t>child molestation</w:t>
      </w:r>
      <w:r w:rsidR="00FC53DD" w:rsidRPr="005545AF">
        <w:rPr>
          <w:lang w:val="en-CA"/>
        </w:rPr>
        <w:t>”, “</w:t>
      </w:r>
      <w:r w:rsidR="002802DA" w:rsidRPr="005545AF">
        <w:rPr>
          <w:lang w:val="en-CA"/>
        </w:rPr>
        <w:t>child molester</w:t>
      </w:r>
      <w:r w:rsidR="00FC53DD" w:rsidRPr="005545AF">
        <w:rPr>
          <w:lang w:val="en-CA"/>
        </w:rPr>
        <w:t>”</w:t>
      </w:r>
      <w:r w:rsidR="002802DA" w:rsidRPr="005545AF">
        <w:rPr>
          <w:lang w:val="en-CA"/>
        </w:rPr>
        <w:t xml:space="preserve"> </w:t>
      </w:r>
      <w:r w:rsidR="00FC53DD" w:rsidRPr="005545AF">
        <w:rPr>
          <w:lang w:val="en-CA"/>
        </w:rPr>
        <w:t>and</w:t>
      </w:r>
      <w:r w:rsidR="002802DA" w:rsidRPr="005545AF">
        <w:rPr>
          <w:lang w:val="en-CA"/>
        </w:rPr>
        <w:t xml:space="preserve"> </w:t>
      </w:r>
      <w:r w:rsidR="00FC53DD" w:rsidRPr="005545AF">
        <w:rPr>
          <w:lang w:val="en-CA"/>
        </w:rPr>
        <w:t>“</w:t>
      </w:r>
      <w:r w:rsidR="002802DA" w:rsidRPr="005545AF">
        <w:rPr>
          <w:lang w:val="en-CA"/>
        </w:rPr>
        <w:t>pederast</w:t>
      </w:r>
      <w:r w:rsidR="00FC53DD" w:rsidRPr="005545AF">
        <w:rPr>
          <w:lang w:val="en-CA"/>
        </w:rPr>
        <w:t>”</w:t>
      </w:r>
      <w:r w:rsidR="002802DA" w:rsidRPr="005545AF">
        <w:rPr>
          <w:lang w:val="en-CA"/>
        </w:rPr>
        <w:t xml:space="preserve"> (</w:t>
      </w:r>
      <w:r w:rsidR="00FC53DD" w:rsidRPr="005545AF">
        <w:rPr>
          <w:lang w:val="en-CA"/>
        </w:rPr>
        <w:t>the “</w:t>
      </w:r>
      <w:r w:rsidR="00CC2D2F" w:rsidRPr="005545AF">
        <w:rPr>
          <w:lang w:val="en-CA"/>
        </w:rPr>
        <w:t>keywords injunction</w:t>
      </w:r>
      <w:r w:rsidR="00FC53DD" w:rsidRPr="005545AF">
        <w:rPr>
          <w:lang w:val="en-CA"/>
        </w:rPr>
        <w:t>”</w:t>
      </w:r>
      <w:r w:rsidR="002802DA" w:rsidRPr="005545AF">
        <w:rPr>
          <w:lang w:val="en-CA"/>
        </w:rPr>
        <w:t>).</w:t>
      </w:r>
      <w:r w:rsidR="002802DA" w:rsidRPr="005545AF">
        <w:rPr>
          <w:kern w:val="0"/>
          <w:lang w:val="en-CA"/>
        </w:rPr>
        <w:t xml:space="preserve"> </w:t>
      </w:r>
      <w:r w:rsidR="00F2216B" w:rsidRPr="005545AF">
        <w:rPr>
          <w:lang w:val="en-CA"/>
        </w:rPr>
        <w:t>Under</w:t>
      </w:r>
      <w:r w:rsidR="00FC53DD" w:rsidRPr="005545AF">
        <w:rPr>
          <w:lang w:val="en-CA"/>
        </w:rPr>
        <w:t xml:space="preserve"> the</w:t>
      </w:r>
      <w:r w:rsidR="002802DA" w:rsidRPr="005545AF">
        <w:rPr>
          <w:lang w:val="en-CA"/>
        </w:rPr>
        <w:t xml:space="preserve"> second, </w:t>
      </w:r>
      <w:r w:rsidR="00FC53DD" w:rsidRPr="005545AF">
        <w:rPr>
          <w:lang w:val="en-CA"/>
        </w:rPr>
        <w:t xml:space="preserve">the appellant </w:t>
      </w:r>
      <w:r w:rsidR="00F2216B" w:rsidRPr="005545AF">
        <w:rPr>
          <w:lang w:val="en-CA"/>
        </w:rPr>
        <w:t>requested that</w:t>
      </w:r>
      <w:r w:rsidR="00FC53DD" w:rsidRPr="005545AF">
        <w:rPr>
          <w:lang w:val="en-CA"/>
        </w:rPr>
        <w:t xml:space="preserve"> the court </w:t>
      </w:r>
      <w:r w:rsidR="00F2216B" w:rsidRPr="005545AF">
        <w:rPr>
          <w:lang w:val="en-CA"/>
        </w:rPr>
        <w:t>order</w:t>
      </w:r>
      <w:r w:rsidR="002802DA" w:rsidRPr="005545AF">
        <w:rPr>
          <w:lang w:val="en-CA"/>
        </w:rPr>
        <w:t xml:space="preserve"> Google </w:t>
      </w:r>
      <w:r w:rsidR="00FC53DD" w:rsidRPr="005545AF">
        <w:rPr>
          <w:lang w:val="en-CA"/>
        </w:rPr>
        <w:t>to ensure</w:t>
      </w:r>
      <w:r w:rsidR="00890C5F" w:rsidRPr="005545AF">
        <w:rPr>
          <w:lang w:val="en-CA"/>
        </w:rPr>
        <w:t xml:space="preserve"> that</w:t>
      </w:r>
      <w:r w:rsidR="00FC53DD" w:rsidRPr="005545AF">
        <w:rPr>
          <w:lang w:val="en-CA"/>
        </w:rPr>
        <w:t xml:space="preserve"> </w:t>
      </w:r>
      <w:r w:rsidR="00890C5F" w:rsidRPr="005545AF">
        <w:rPr>
          <w:lang w:val="en-CA"/>
        </w:rPr>
        <w:t>no</w:t>
      </w:r>
      <w:r w:rsidR="00FC53DD" w:rsidRPr="005545AF">
        <w:rPr>
          <w:lang w:val="en-CA"/>
        </w:rPr>
        <w:t xml:space="preserve"> link leading </w:t>
      </w:r>
      <w:r w:rsidR="00890C5F" w:rsidRPr="005545AF">
        <w:rPr>
          <w:lang w:val="en-CA"/>
        </w:rPr>
        <w:t xml:space="preserve">to </w:t>
      </w:r>
      <w:r w:rsidR="00FC53DD" w:rsidRPr="005545AF">
        <w:rPr>
          <w:lang w:val="en-CA"/>
        </w:rPr>
        <w:t>pages of</w:t>
      </w:r>
      <w:r w:rsidR="00890C5F" w:rsidRPr="005545AF">
        <w:rPr>
          <w:lang w:val="en-CA"/>
        </w:rPr>
        <w:t xml:space="preserve"> the</w:t>
      </w:r>
      <w:r w:rsidR="002802DA" w:rsidRPr="005545AF">
        <w:rPr>
          <w:lang w:val="en-CA"/>
        </w:rPr>
        <w:t xml:space="preserve"> </w:t>
      </w:r>
      <w:r w:rsidR="00FC53DD" w:rsidRPr="005545AF">
        <w:rPr>
          <w:lang w:val="en-CA"/>
        </w:rPr>
        <w:t>“</w:t>
      </w:r>
      <w:r w:rsidR="002802DA" w:rsidRPr="005545AF">
        <w:rPr>
          <w:lang w:val="en-CA"/>
        </w:rPr>
        <w:t>ripoffreport.com</w:t>
      </w:r>
      <w:r w:rsidR="00FC53DD" w:rsidRPr="005545AF">
        <w:rPr>
          <w:lang w:val="en-CA"/>
        </w:rPr>
        <w:t>”</w:t>
      </w:r>
      <w:r w:rsidR="002802DA" w:rsidRPr="005545AF">
        <w:rPr>
          <w:lang w:val="en-CA"/>
        </w:rPr>
        <w:t xml:space="preserve"> </w:t>
      </w:r>
      <w:r w:rsidR="00FC53DD" w:rsidRPr="005545AF">
        <w:rPr>
          <w:lang w:val="en-CA"/>
        </w:rPr>
        <w:t>and “</w:t>
      </w:r>
      <w:r w:rsidR="002802DA" w:rsidRPr="005545AF">
        <w:rPr>
          <w:lang w:val="en-CA"/>
        </w:rPr>
        <w:t>usacomplaints.com</w:t>
      </w:r>
      <w:r w:rsidR="00FC53DD" w:rsidRPr="005545AF">
        <w:rPr>
          <w:lang w:val="en-CA"/>
        </w:rPr>
        <w:t>”</w:t>
      </w:r>
      <w:r w:rsidR="002802DA" w:rsidRPr="005545AF">
        <w:rPr>
          <w:lang w:val="en-CA"/>
        </w:rPr>
        <w:t xml:space="preserve"> </w:t>
      </w:r>
      <w:r w:rsidR="00890C5F" w:rsidRPr="005545AF">
        <w:rPr>
          <w:lang w:val="en-CA"/>
        </w:rPr>
        <w:t xml:space="preserve">sites </w:t>
      </w:r>
      <w:r w:rsidR="00FC53DD" w:rsidRPr="005545AF">
        <w:rPr>
          <w:lang w:val="en-CA"/>
        </w:rPr>
        <w:t>containing his name</w:t>
      </w:r>
      <w:r w:rsidR="002802DA" w:rsidRPr="005545AF">
        <w:rPr>
          <w:lang w:val="en-CA"/>
        </w:rPr>
        <w:t xml:space="preserve"> </w:t>
      </w:r>
      <w:r w:rsidR="00890C5F" w:rsidRPr="005545AF">
        <w:rPr>
          <w:lang w:val="en-CA"/>
        </w:rPr>
        <w:t xml:space="preserve">appear in the search results </w:t>
      </w:r>
      <w:r w:rsidR="002802DA" w:rsidRPr="005545AF">
        <w:rPr>
          <w:lang w:val="en-CA"/>
        </w:rPr>
        <w:t>(</w:t>
      </w:r>
      <w:r w:rsidR="00FC53DD" w:rsidRPr="005545AF">
        <w:rPr>
          <w:lang w:val="en-CA"/>
        </w:rPr>
        <w:t>the “websites injunction”</w:t>
      </w:r>
      <w:r w:rsidR="002802DA" w:rsidRPr="005545AF">
        <w:rPr>
          <w:lang w:val="en-CA"/>
        </w:rPr>
        <w:t xml:space="preserve">). </w:t>
      </w:r>
      <w:r w:rsidR="00890C5F" w:rsidRPr="005545AF">
        <w:rPr>
          <w:lang w:val="en-CA"/>
        </w:rPr>
        <w:t xml:space="preserve">The judgment under appeal dismissed the first branch, which the appellant </w:t>
      </w:r>
      <w:r w:rsidR="00F2216B" w:rsidRPr="005545AF">
        <w:rPr>
          <w:lang w:val="en-CA"/>
        </w:rPr>
        <w:t>is challenging</w:t>
      </w:r>
      <w:r w:rsidR="00890C5F" w:rsidRPr="005545AF">
        <w:rPr>
          <w:lang w:val="en-CA"/>
        </w:rPr>
        <w:t xml:space="preserve"> in his principal appeal, and allowed the second, which Google </w:t>
      </w:r>
      <w:r w:rsidR="00F2216B" w:rsidRPr="005545AF">
        <w:rPr>
          <w:lang w:val="en-CA"/>
        </w:rPr>
        <w:t>is challenging</w:t>
      </w:r>
      <w:r w:rsidR="00890C5F" w:rsidRPr="005545AF">
        <w:rPr>
          <w:lang w:val="en-CA"/>
        </w:rPr>
        <w:t xml:space="preserve"> </w:t>
      </w:r>
      <w:r w:rsidR="00F2216B" w:rsidRPr="005545AF">
        <w:rPr>
          <w:lang w:val="en-CA"/>
        </w:rPr>
        <w:t>in</w:t>
      </w:r>
      <w:r w:rsidR="00890C5F" w:rsidRPr="005545AF">
        <w:rPr>
          <w:lang w:val="en-CA"/>
        </w:rPr>
        <w:t xml:space="preserve"> in its incidental appeal</w:t>
      </w:r>
      <w:r w:rsidR="002802DA" w:rsidRPr="005545AF">
        <w:rPr>
          <w:lang w:val="en-CA"/>
        </w:rPr>
        <w:t xml:space="preserve">. </w:t>
      </w:r>
    </w:p>
    <w:p w14:paraId="3D48423A" w14:textId="4F9F6CBA" w:rsidR="002802DA" w:rsidRPr="005545AF" w:rsidRDefault="00913A9A" w:rsidP="001F7377">
      <w:pPr>
        <w:pStyle w:val="Paragraphe"/>
        <w:spacing w:line="240" w:lineRule="auto"/>
        <w:rPr>
          <w:lang w:val="en-CA"/>
        </w:rPr>
      </w:pPr>
      <w:r w:rsidRPr="005545AF">
        <w:rPr>
          <w:lang w:val="en-CA"/>
        </w:rPr>
        <w:t xml:space="preserve">I shall consider each of these </w:t>
      </w:r>
      <w:r w:rsidR="00863CC7" w:rsidRPr="005545AF">
        <w:rPr>
          <w:lang w:val="en-CA"/>
        </w:rPr>
        <w:t>two branches</w:t>
      </w:r>
      <w:r w:rsidRPr="005545AF">
        <w:rPr>
          <w:lang w:val="en-CA"/>
        </w:rPr>
        <w:t xml:space="preserve"> in turn,</w:t>
      </w:r>
      <w:r w:rsidR="00863CC7" w:rsidRPr="005545AF">
        <w:rPr>
          <w:lang w:val="en-CA"/>
        </w:rPr>
        <w:t xml:space="preserve"> by first recalling that granting a permanent injunction is a matter of discretion on the part of the trial judge</w:t>
      </w:r>
      <w:r w:rsidR="002802DA" w:rsidRPr="005545AF">
        <w:rPr>
          <w:lang w:val="en-CA"/>
        </w:rPr>
        <w:t xml:space="preserve">. </w:t>
      </w:r>
      <w:r w:rsidR="00863CC7" w:rsidRPr="005545AF">
        <w:rPr>
          <w:lang w:val="en-CA"/>
        </w:rPr>
        <w:t>Th</w:t>
      </w:r>
      <w:r w:rsidR="009D3738" w:rsidRPr="005545AF">
        <w:rPr>
          <w:lang w:val="en-CA"/>
        </w:rPr>
        <w:t>us,</w:t>
      </w:r>
      <w:r w:rsidR="00863CC7" w:rsidRPr="005545AF">
        <w:rPr>
          <w:lang w:val="en-CA"/>
        </w:rPr>
        <w:t xml:space="preserve"> judge must not </w:t>
      </w:r>
      <w:r w:rsidR="009D3738" w:rsidRPr="005545AF">
        <w:rPr>
          <w:lang w:val="en-CA"/>
        </w:rPr>
        <w:t xml:space="preserve">simply </w:t>
      </w:r>
      <w:r w:rsidR="00863CC7" w:rsidRPr="005545AF">
        <w:rPr>
          <w:lang w:val="en-CA"/>
        </w:rPr>
        <w:t xml:space="preserve">determine whether the applicant </w:t>
      </w:r>
      <w:r w:rsidRPr="005545AF">
        <w:rPr>
          <w:lang w:val="en-CA"/>
        </w:rPr>
        <w:t>is</w:t>
      </w:r>
      <w:r w:rsidR="00863CC7" w:rsidRPr="005545AF">
        <w:rPr>
          <w:lang w:val="en-CA"/>
        </w:rPr>
        <w:t xml:space="preserve"> </w:t>
      </w:r>
      <w:r w:rsidRPr="005545AF">
        <w:rPr>
          <w:lang w:val="en-CA"/>
        </w:rPr>
        <w:t>strictly entitled to one</w:t>
      </w:r>
      <w:r w:rsidR="00863CC7" w:rsidRPr="005545AF">
        <w:rPr>
          <w:lang w:val="en-CA"/>
        </w:rPr>
        <w:t xml:space="preserve">. </w:t>
      </w:r>
      <w:r w:rsidR="009D3738" w:rsidRPr="005545AF">
        <w:rPr>
          <w:lang w:val="en-CA"/>
        </w:rPr>
        <w:t>The judge must also</w:t>
      </w:r>
      <w:r w:rsidR="00863CC7" w:rsidRPr="005545AF">
        <w:rPr>
          <w:lang w:val="en-CA"/>
        </w:rPr>
        <w:t xml:space="preserve"> determine</w:t>
      </w:r>
      <w:r w:rsidR="009D3738" w:rsidRPr="005545AF">
        <w:rPr>
          <w:lang w:val="en-CA"/>
        </w:rPr>
        <w:t xml:space="preserve"> whether it is necessary and </w:t>
      </w:r>
      <w:r w:rsidRPr="005545AF">
        <w:rPr>
          <w:lang w:val="en-CA"/>
        </w:rPr>
        <w:t>advisable in the circumstances of the case.</w:t>
      </w:r>
      <w:r w:rsidR="002802DA" w:rsidRPr="005545AF">
        <w:rPr>
          <w:rStyle w:val="Appelnotedebasdep"/>
          <w:lang w:val="en-CA"/>
        </w:rPr>
        <w:footnoteReference w:id="163"/>
      </w:r>
      <w:r w:rsidR="002802DA" w:rsidRPr="005545AF">
        <w:rPr>
          <w:lang w:val="en-CA"/>
        </w:rPr>
        <w:t xml:space="preserve"> </w:t>
      </w:r>
      <w:r w:rsidRPr="005545AF">
        <w:rPr>
          <w:lang w:val="en-CA"/>
        </w:rPr>
        <w:t xml:space="preserve">That is why our Court </w:t>
      </w:r>
      <w:r w:rsidR="00250DB3" w:rsidRPr="005545AF">
        <w:rPr>
          <w:lang w:val="en-CA"/>
        </w:rPr>
        <w:t>will intervene only when it considers that the decision to grant or not to grant an injunction is</w:t>
      </w:r>
      <w:r w:rsidR="002802DA" w:rsidRPr="005545AF">
        <w:rPr>
          <w:lang w:val="en-CA"/>
        </w:rPr>
        <w:t xml:space="preserve"> </w:t>
      </w:r>
      <w:r w:rsidR="009D3738" w:rsidRPr="005545AF">
        <w:rPr>
          <w:lang w:val="en-CA"/>
        </w:rPr>
        <w:t>“</w:t>
      </w:r>
      <w:r w:rsidR="002802DA" w:rsidRPr="005545AF">
        <w:rPr>
          <w:lang w:val="en-CA"/>
        </w:rPr>
        <w:t>[…] abusive, déraisonnable ou non judiciaire, c’est-à-dire fondée sur des considérations erronées</w:t>
      </w:r>
      <w:r w:rsidR="009D3738" w:rsidRPr="005545AF">
        <w:rPr>
          <w:lang w:val="en-CA"/>
        </w:rPr>
        <w:t>.”</w:t>
      </w:r>
      <w:r w:rsidR="002802DA" w:rsidRPr="005545AF">
        <w:rPr>
          <w:rStyle w:val="Appelnotedebasdep"/>
          <w:lang w:val="en-CA"/>
        </w:rPr>
        <w:footnoteReference w:id="164"/>
      </w:r>
    </w:p>
    <w:p w14:paraId="182173FA" w14:textId="44AECA8E" w:rsidR="002802DA" w:rsidRPr="005545AF" w:rsidRDefault="00B756E2" w:rsidP="001F7377">
      <w:pPr>
        <w:pStyle w:val="Paragraphe"/>
        <w:spacing w:line="240" w:lineRule="auto"/>
        <w:rPr>
          <w:lang w:val="en-CA"/>
        </w:rPr>
      </w:pPr>
      <w:r w:rsidRPr="005545AF">
        <w:rPr>
          <w:lang w:val="en-CA"/>
        </w:rPr>
        <w:t>Regarding</w:t>
      </w:r>
      <w:r w:rsidR="00913A9A" w:rsidRPr="005545AF">
        <w:rPr>
          <w:lang w:val="en-CA"/>
        </w:rPr>
        <w:t xml:space="preserve"> the first branch, i.e., the </w:t>
      </w:r>
      <w:r w:rsidR="00CC2D2F" w:rsidRPr="005545AF">
        <w:rPr>
          <w:lang w:val="en-CA"/>
        </w:rPr>
        <w:t>keywords injunction</w:t>
      </w:r>
      <w:r w:rsidR="00913A9A" w:rsidRPr="005545AF">
        <w:rPr>
          <w:lang w:val="en-CA"/>
        </w:rPr>
        <w:t xml:space="preserve">, the judge based his </w:t>
      </w:r>
      <w:r w:rsidRPr="005545AF">
        <w:rPr>
          <w:lang w:val="en-CA"/>
        </w:rPr>
        <w:t>refusal</w:t>
      </w:r>
      <w:r w:rsidR="00913A9A" w:rsidRPr="005545AF">
        <w:rPr>
          <w:lang w:val="en-CA"/>
        </w:rPr>
        <w:t xml:space="preserve"> </w:t>
      </w:r>
      <w:r w:rsidR="00CC2D2F" w:rsidRPr="005545AF">
        <w:rPr>
          <w:lang w:val="en-CA"/>
        </w:rPr>
        <w:t>primarily</w:t>
      </w:r>
      <w:r w:rsidRPr="005545AF">
        <w:rPr>
          <w:lang w:val="en-CA"/>
        </w:rPr>
        <w:t xml:space="preserve"> on the ground</w:t>
      </w:r>
      <w:r w:rsidR="00CC2D2F" w:rsidRPr="005545AF">
        <w:rPr>
          <w:lang w:val="en-CA"/>
        </w:rPr>
        <w:t>s</w:t>
      </w:r>
      <w:r w:rsidRPr="005545AF">
        <w:rPr>
          <w:lang w:val="en-CA"/>
        </w:rPr>
        <w:t xml:space="preserve"> that, since he was</w:t>
      </w:r>
      <w:r w:rsidR="00F9160D" w:rsidRPr="005545AF">
        <w:rPr>
          <w:lang w:val="en-CA"/>
        </w:rPr>
        <w:t xml:space="preserve"> also</w:t>
      </w:r>
      <w:r w:rsidRPr="005545AF">
        <w:rPr>
          <w:lang w:val="en-CA"/>
        </w:rPr>
        <w:t xml:space="preserve"> refusing the permanent publication ban on the appellant’s identity, such an injunction risked causing the non-indexing of articles pertaining to </w:t>
      </w:r>
      <w:r w:rsidR="00F9160D" w:rsidRPr="005545AF">
        <w:rPr>
          <w:lang w:val="en-CA"/>
        </w:rPr>
        <w:t>the present</w:t>
      </w:r>
      <w:r w:rsidRPr="005545AF">
        <w:rPr>
          <w:lang w:val="en-CA"/>
        </w:rPr>
        <w:t xml:space="preserve"> judgment.</w:t>
      </w:r>
      <w:r w:rsidR="002802DA" w:rsidRPr="005545AF">
        <w:rPr>
          <w:lang w:val="en-CA"/>
        </w:rPr>
        <w:t xml:space="preserve"> </w:t>
      </w:r>
      <w:r w:rsidRPr="005545AF">
        <w:rPr>
          <w:lang w:val="en-CA"/>
        </w:rPr>
        <w:t>It would thus limit public access to the judicial process and would indirectly constitute a publication ban.</w:t>
      </w:r>
      <w:r w:rsidR="002802DA" w:rsidRPr="005545AF">
        <w:rPr>
          <w:rStyle w:val="Appelnotedebasdep"/>
          <w:lang w:val="en-CA"/>
        </w:rPr>
        <w:footnoteReference w:id="165"/>
      </w:r>
      <w:r w:rsidR="002802DA" w:rsidRPr="005545AF">
        <w:rPr>
          <w:lang w:val="en-CA"/>
        </w:rPr>
        <w:t xml:space="preserve"> </w:t>
      </w:r>
    </w:p>
    <w:p w14:paraId="566B0D8B" w14:textId="5D621DEB" w:rsidR="002802DA" w:rsidRPr="005545AF" w:rsidRDefault="00F9160D" w:rsidP="001F7377">
      <w:pPr>
        <w:pStyle w:val="Paragraphe"/>
        <w:spacing w:line="240" w:lineRule="auto"/>
        <w:rPr>
          <w:lang w:val="en-CA"/>
        </w:rPr>
      </w:pPr>
      <w:r w:rsidRPr="005545AF">
        <w:rPr>
          <w:lang w:val="en-CA"/>
        </w:rPr>
        <w:t>On appeal</w:t>
      </w:r>
      <w:r w:rsidR="002802DA" w:rsidRPr="005545AF">
        <w:rPr>
          <w:lang w:val="en-CA"/>
        </w:rPr>
        <w:t xml:space="preserve">, </w:t>
      </w:r>
      <w:r w:rsidRPr="005545AF">
        <w:rPr>
          <w:lang w:val="en-CA"/>
        </w:rPr>
        <w:t>the appellant</w:t>
      </w:r>
      <w:r w:rsidR="002802DA" w:rsidRPr="005545AF">
        <w:rPr>
          <w:lang w:val="en-CA"/>
        </w:rPr>
        <w:t xml:space="preserve"> </w:t>
      </w:r>
      <w:r w:rsidRPr="005545AF">
        <w:rPr>
          <w:lang w:val="en-CA"/>
        </w:rPr>
        <w:t xml:space="preserve">submits that, even </w:t>
      </w:r>
      <w:r w:rsidR="00D42040" w:rsidRPr="005545AF">
        <w:rPr>
          <w:lang w:val="en-CA"/>
        </w:rPr>
        <w:t>were</w:t>
      </w:r>
      <w:r w:rsidRPr="005545AF">
        <w:rPr>
          <w:lang w:val="en-CA"/>
        </w:rPr>
        <w:t xml:space="preserve"> his appeal regarding the publication ban on his identity </w:t>
      </w:r>
      <w:r w:rsidR="00D42040" w:rsidRPr="005545AF">
        <w:rPr>
          <w:lang w:val="en-CA"/>
        </w:rPr>
        <w:t xml:space="preserve">to </w:t>
      </w:r>
      <w:r w:rsidRPr="005545AF">
        <w:rPr>
          <w:lang w:val="en-CA"/>
        </w:rPr>
        <w:t xml:space="preserve">be dismissed, the </w:t>
      </w:r>
      <w:r w:rsidR="00CC2D2F" w:rsidRPr="005545AF">
        <w:rPr>
          <w:lang w:val="en-CA"/>
        </w:rPr>
        <w:t>keywords injunction</w:t>
      </w:r>
      <w:r w:rsidRPr="005545AF">
        <w:rPr>
          <w:lang w:val="en-CA"/>
        </w:rPr>
        <w:t xml:space="preserve"> should be granted in that it does not aim to limit court openness no</w:t>
      </w:r>
      <w:r w:rsidR="00D42040" w:rsidRPr="005545AF">
        <w:rPr>
          <w:lang w:val="en-CA"/>
        </w:rPr>
        <w:t>r</w:t>
      </w:r>
      <w:r w:rsidRPr="005545AF">
        <w:rPr>
          <w:lang w:val="en-CA"/>
        </w:rPr>
        <w:t xml:space="preserve"> even access to the judgment under appeal, but rather the association of his identity with defamatory and unfounded allegations</w:t>
      </w:r>
      <w:r w:rsidR="002802DA" w:rsidRPr="005545AF">
        <w:rPr>
          <w:lang w:val="en-CA"/>
        </w:rPr>
        <w:t xml:space="preserve">. </w:t>
      </w:r>
      <w:r w:rsidRPr="005545AF">
        <w:rPr>
          <w:lang w:val="en-CA"/>
        </w:rPr>
        <w:t>He adds that media coverage of a judgment is not part of the judicial process and that</w:t>
      </w:r>
      <w:r w:rsidR="00D42040" w:rsidRPr="005545AF">
        <w:rPr>
          <w:lang w:val="en-CA"/>
        </w:rPr>
        <w:t xml:space="preserve"> because</w:t>
      </w:r>
      <w:r w:rsidRPr="005545AF">
        <w:rPr>
          <w:lang w:val="en-CA"/>
        </w:rPr>
        <w:t xml:space="preserve"> </w:t>
      </w:r>
      <w:r w:rsidR="00D42040" w:rsidRPr="005545AF">
        <w:rPr>
          <w:lang w:val="en-CA"/>
        </w:rPr>
        <w:t>that</w:t>
      </w:r>
      <w:r w:rsidRPr="005545AF">
        <w:rPr>
          <w:lang w:val="en-CA"/>
        </w:rPr>
        <w:t xml:space="preserve"> </w:t>
      </w:r>
      <w:r w:rsidR="00CC2D2F" w:rsidRPr="005545AF">
        <w:rPr>
          <w:lang w:val="en-CA"/>
        </w:rPr>
        <w:t>coverage</w:t>
      </w:r>
      <w:r w:rsidR="00D42040" w:rsidRPr="005545AF">
        <w:rPr>
          <w:lang w:val="en-CA"/>
        </w:rPr>
        <w:t xml:space="preserve"> is liable to exacerbate his injury by giving greater visibility to the allegations, he has a legitimate interest in the injunction</w:t>
      </w:r>
      <w:r w:rsidR="002802DA" w:rsidRPr="005545AF">
        <w:rPr>
          <w:lang w:val="en-CA"/>
        </w:rPr>
        <w:t xml:space="preserve">. </w:t>
      </w:r>
    </w:p>
    <w:p w14:paraId="63F37186" w14:textId="7CCB11DE" w:rsidR="002802DA" w:rsidRPr="005545AF" w:rsidRDefault="004A1E31" w:rsidP="001F7377">
      <w:pPr>
        <w:pStyle w:val="Paragraphe"/>
        <w:spacing w:line="240" w:lineRule="auto"/>
        <w:rPr>
          <w:lang w:val="en-CA"/>
        </w:rPr>
      </w:pPr>
      <w:r w:rsidRPr="005545AF">
        <w:rPr>
          <w:lang w:val="en-CA"/>
        </w:rPr>
        <w:t>This is not persuasive</w:t>
      </w:r>
      <w:r w:rsidR="002802DA" w:rsidRPr="005545AF">
        <w:rPr>
          <w:lang w:val="en-CA"/>
        </w:rPr>
        <w:t xml:space="preserve">. </w:t>
      </w:r>
      <w:r w:rsidRPr="005545AF">
        <w:rPr>
          <w:lang w:val="en-CA"/>
        </w:rPr>
        <w:t>The Supreme Court has recently recalled the importan</w:t>
      </w:r>
      <w:r w:rsidR="00641BDF" w:rsidRPr="005545AF">
        <w:rPr>
          <w:lang w:val="en-CA"/>
        </w:rPr>
        <w:t>ce of the media’s role in the</w:t>
      </w:r>
      <w:r w:rsidRPr="005545AF">
        <w:rPr>
          <w:lang w:val="en-CA"/>
        </w:rPr>
        <w:t xml:space="preserve"> </w:t>
      </w:r>
      <w:r w:rsidR="00641BDF" w:rsidRPr="005545AF">
        <w:rPr>
          <w:lang w:val="en-CA"/>
        </w:rPr>
        <w:t>“social and democratic functions of the open court principle”</w:t>
      </w:r>
      <w:r w:rsidR="002802DA" w:rsidRPr="005545AF">
        <w:rPr>
          <w:rStyle w:val="Appelnotedebasdep"/>
          <w:lang w:val="en-CA"/>
        </w:rPr>
        <w:footnoteReference w:id="166"/>
      </w:r>
      <w:r w:rsidR="002802DA" w:rsidRPr="005545AF">
        <w:rPr>
          <w:lang w:val="en-CA"/>
        </w:rPr>
        <w:t xml:space="preserve"> </w:t>
      </w:r>
      <w:r w:rsidR="00641BDF" w:rsidRPr="005545AF">
        <w:rPr>
          <w:lang w:val="en-CA"/>
        </w:rPr>
        <w:t>and I fail to see how media coverage or, more generally, the publicity given to a judgment, should be excluded therefrom or otherwise see its importance reduced</w:t>
      </w:r>
      <w:r w:rsidR="002802DA" w:rsidRPr="005545AF">
        <w:rPr>
          <w:lang w:val="en-CA"/>
        </w:rPr>
        <w:t xml:space="preserve">. </w:t>
      </w:r>
      <w:r w:rsidR="00641BDF" w:rsidRPr="005545AF">
        <w:rPr>
          <w:lang w:val="en-CA"/>
        </w:rPr>
        <w:t xml:space="preserve">In that sense, the </w:t>
      </w:r>
      <w:r w:rsidR="00641BDF" w:rsidRPr="005545AF">
        <w:rPr>
          <w:lang w:val="en-CA"/>
        </w:rPr>
        <w:lastRenderedPageBreak/>
        <w:t xml:space="preserve">judge was correct in </w:t>
      </w:r>
      <w:r w:rsidR="009820D6" w:rsidRPr="005545AF">
        <w:rPr>
          <w:lang w:val="en-CA"/>
        </w:rPr>
        <w:t>fin</w:t>
      </w:r>
      <w:r w:rsidR="00641BDF" w:rsidRPr="005545AF">
        <w:rPr>
          <w:lang w:val="en-CA"/>
        </w:rPr>
        <w:t xml:space="preserve">ding that the </w:t>
      </w:r>
      <w:r w:rsidR="00CC2D2F" w:rsidRPr="005545AF">
        <w:rPr>
          <w:lang w:val="en-CA"/>
        </w:rPr>
        <w:t>keywords injunction</w:t>
      </w:r>
      <w:r w:rsidR="00641BDF" w:rsidRPr="005545AF">
        <w:rPr>
          <w:lang w:val="en-CA"/>
        </w:rPr>
        <w:t xml:space="preserve"> would amount to, at least in part, indirectly grant</w:t>
      </w:r>
      <w:r w:rsidR="009820D6" w:rsidRPr="005545AF">
        <w:rPr>
          <w:lang w:val="en-CA"/>
        </w:rPr>
        <w:t>ing</w:t>
      </w:r>
      <w:r w:rsidR="00641BDF" w:rsidRPr="005545AF">
        <w:rPr>
          <w:lang w:val="en-CA"/>
        </w:rPr>
        <w:t xml:space="preserve"> to the appellant the publication ban that </w:t>
      </w:r>
      <w:r w:rsidR="00CC2D2F" w:rsidRPr="005545AF">
        <w:rPr>
          <w:lang w:val="en-CA"/>
        </w:rPr>
        <w:t>he</w:t>
      </w:r>
      <w:r w:rsidR="00641BDF" w:rsidRPr="005545AF">
        <w:rPr>
          <w:lang w:val="en-CA"/>
        </w:rPr>
        <w:t xml:space="preserve"> had denied</w:t>
      </w:r>
      <w:r w:rsidR="009820D6" w:rsidRPr="005545AF">
        <w:rPr>
          <w:lang w:val="en-CA"/>
        </w:rPr>
        <w:t xml:space="preserve"> him</w:t>
      </w:r>
      <w:r w:rsidR="00641BDF" w:rsidRPr="005545AF">
        <w:rPr>
          <w:lang w:val="en-CA"/>
        </w:rPr>
        <w:t xml:space="preserve"> otherwise</w:t>
      </w:r>
      <w:r w:rsidR="002802DA" w:rsidRPr="005545AF">
        <w:rPr>
          <w:lang w:val="en-CA"/>
        </w:rPr>
        <w:t>.</w:t>
      </w:r>
    </w:p>
    <w:p w14:paraId="0D570E54" w14:textId="71DCF1BF" w:rsidR="002802DA" w:rsidRPr="005545AF" w:rsidRDefault="009820D6" w:rsidP="001F7377">
      <w:pPr>
        <w:pStyle w:val="Paragraphe"/>
        <w:spacing w:line="240" w:lineRule="auto"/>
        <w:rPr>
          <w:lang w:val="en-CA"/>
        </w:rPr>
      </w:pPr>
      <w:r w:rsidRPr="005545AF">
        <w:rPr>
          <w:lang w:val="en-CA"/>
        </w:rPr>
        <w:t>But there is more</w:t>
      </w:r>
      <w:r w:rsidR="002802DA" w:rsidRPr="005545AF">
        <w:rPr>
          <w:lang w:val="en-CA"/>
        </w:rPr>
        <w:t xml:space="preserve">. </w:t>
      </w:r>
      <w:r w:rsidR="00B65BCE" w:rsidRPr="005545AF">
        <w:rPr>
          <w:lang w:val="en-CA"/>
        </w:rPr>
        <w:t>Irrespective of that aspect</w:t>
      </w:r>
      <w:r w:rsidR="002802DA" w:rsidRPr="005545AF">
        <w:rPr>
          <w:lang w:val="en-CA"/>
        </w:rPr>
        <w:t xml:space="preserve">, Google </w:t>
      </w:r>
      <w:r w:rsidR="00B65BCE" w:rsidRPr="005545AF">
        <w:rPr>
          <w:lang w:val="en-CA"/>
        </w:rPr>
        <w:t>rightly submits that the utility of such an injunction has not been established</w:t>
      </w:r>
      <w:r w:rsidR="002802DA" w:rsidRPr="005545AF">
        <w:rPr>
          <w:lang w:val="en-CA"/>
        </w:rPr>
        <w:t xml:space="preserve">. </w:t>
      </w:r>
      <w:r w:rsidR="00B65BCE" w:rsidRPr="005545AF">
        <w:rPr>
          <w:lang w:val="en-CA"/>
        </w:rPr>
        <w:t xml:space="preserve">Not only is there nothing in the record that leads to believe that the </w:t>
      </w:r>
      <w:r w:rsidR="004A5D7E" w:rsidRPr="005545AF">
        <w:rPr>
          <w:lang w:val="en-CA"/>
        </w:rPr>
        <w:t>Impugned Post</w:t>
      </w:r>
      <w:r w:rsidR="00B65BCE" w:rsidRPr="005545AF">
        <w:rPr>
          <w:lang w:val="en-CA"/>
        </w:rPr>
        <w:t xml:space="preserve"> is </w:t>
      </w:r>
      <w:r w:rsidR="001828F7" w:rsidRPr="005545AF">
        <w:rPr>
          <w:lang w:val="en-CA"/>
        </w:rPr>
        <w:t xml:space="preserve">to be </w:t>
      </w:r>
      <w:r w:rsidR="00B65BCE" w:rsidRPr="005545AF">
        <w:rPr>
          <w:lang w:val="en-CA"/>
        </w:rPr>
        <w:t xml:space="preserve">found elsewhere than on the pages covered by the second branch of the injunction, but, </w:t>
      </w:r>
      <w:r w:rsidR="001828F7" w:rsidRPr="005545AF">
        <w:rPr>
          <w:lang w:val="en-CA"/>
        </w:rPr>
        <w:t>rather</w:t>
      </w:r>
      <w:r w:rsidR="00B65BCE" w:rsidRPr="005545AF">
        <w:rPr>
          <w:lang w:val="en-CA"/>
        </w:rPr>
        <w:t xml:space="preserve">, when searches were done, only the URL link leading to those </w:t>
      </w:r>
      <w:r w:rsidR="004801B8" w:rsidRPr="005545AF">
        <w:rPr>
          <w:lang w:val="en-CA"/>
        </w:rPr>
        <w:t xml:space="preserve">same </w:t>
      </w:r>
      <w:r w:rsidR="00B65BCE" w:rsidRPr="005545AF">
        <w:rPr>
          <w:lang w:val="en-CA"/>
        </w:rPr>
        <w:t>pages came out as a result.</w:t>
      </w:r>
      <w:r w:rsidR="002802DA" w:rsidRPr="005545AF">
        <w:rPr>
          <w:rStyle w:val="Appelnotedebasdep"/>
          <w:lang w:val="en-CA"/>
        </w:rPr>
        <w:footnoteReference w:id="167"/>
      </w:r>
      <w:r w:rsidR="002802DA" w:rsidRPr="005545AF">
        <w:rPr>
          <w:lang w:val="en-CA"/>
        </w:rPr>
        <w:t xml:space="preserve"> </w:t>
      </w:r>
      <w:r w:rsidR="00B65BCE" w:rsidRPr="005545AF">
        <w:rPr>
          <w:lang w:val="en-CA"/>
        </w:rPr>
        <w:t xml:space="preserve">Finally, and </w:t>
      </w:r>
      <w:r w:rsidR="004801B8" w:rsidRPr="005545AF">
        <w:rPr>
          <w:lang w:val="en-CA"/>
        </w:rPr>
        <w:t>perhaps most importantly</w:t>
      </w:r>
      <w:r w:rsidR="00B65BCE" w:rsidRPr="005545AF">
        <w:rPr>
          <w:lang w:val="en-CA"/>
        </w:rPr>
        <w:t>, such an injunction would</w:t>
      </w:r>
      <w:r w:rsidR="002802DA" w:rsidRPr="005545AF">
        <w:rPr>
          <w:lang w:val="en-CA"/>
        </w:rPr>
        <w:t xml:space="preserve"> </w:t>
      </w:r>
      <w:r w:rsidR="00B65BCE" w:rsidRPr="005545AF">
        <w:rPr>
          <w:lang w:val="en-CA"/>
        </w:rPr>
        <w:t xml:space="preserve">in this case have an excessive scope that is difficult to quantify and which would therefore unduly limit freedom of expression by risking the </w:t>
      </w:r>
      <w:r w:rsidR="00D703F3" w:rsidRPr="005545AF">
        <w:rPr>
          <w:lang w:val="en-CA"/>
        </w:rPr>
        <w:t>de-indexing of certain content without just cause. While it is true that the judge did not express such a finding to justify his decision</w:t>
      </w:r>
      <w:r w:rsidR="002802DA" w:rsidRPr="005545AF">
        <w:rPr>
          <w:lang w:val="en-CA"/>
        </w:rPr>
        <w:t xml:space="preserve">, </w:t>
      </w:r>
      <w:r w:rsidR="00D703F3" w:rsidRPr="005545AF">
        <w:rPr>
          <w:lang w:val="en-CA"/>
        </w:rPr>
        <w:t>the appellant is wrong to submit that he found otherwise, since the judge’s comments on freedom of expression concern rather the second branch of the injunction, to which we now turn.</w:t>
      </w:r>
      <w:r w:rsidR="002802DA" w:rsidRPr="005545AF">
        <w:rPr>
          <w:rStyle w:val="Appelnotedebasdep"/>
          <w:lang w:val="en-CA"/>
        </w:rPr>
        <w:footnoteReference w:id="168"/>
      </w:r>
      <w:r w:rsidR="002802DA" w:rsidRPr="005545AF">
        <w:rPr>
          <w:lang w:val="en-CA"/>
        </w:rPr>
        <w:t xml:space="preserve"> </w:t>
      </w:r>
    </w:p>
    <w:p w14:paraId="5FCD6E87" w14:textId="7513D75C" w:rsidR="002802DA" w:rsidRPr="005545AF" w:rsidRDefault="00B0637C" w:rsidP="001F7377">
      <w:pPr>
        <w:pStyle w:val="Paragraphe"/>
        <w:spacing w:line="240" w:lineRule="auto"/>
        <w:rPr>
          <w:lang w:val="en-CA"/>
        </w:rPr>
      </w:pPr>
      <w:r w:rsidRPr="005545AF">
        <w:rPr>
          <w:lang w:val="en-CA"/>
        </w:rPr>
        <w:t xml:space="preserve">The judge granted the second branch of the injunction </w:t>
      </w:r>
      <w:r w:rsidR="002802DA" w:rsidRPr="005545AF">
        <w:rPr>
          <w:rFonts w:cs="Arial"/>
          <w:szCs w:val="24"/>
          <w:lang w:val="en-CA" w:eastAsia="en-US"/>
        </w:rPr>
        <w:t xml:space="preserve">– </w:t>
      </w:r>
      <w:r w:rsidRPr="005545AF">
        <w:rPr>
          <w:lang w:val="en-CA"/>
        </w:rPr>
        <w:t>that dealing with the websites</w:t>
      </w:r>
      <w:r w:rsidR="002802DA" w:rsidRPr="005545AF">
        <w:rPr>
          <w:lang w:val="en-CA"/>
        </w:rPr>
        <w:t xml:space="preserve"> </w:t>
      </w:r>
      <w:r w:rsidR="002802DA" w:rsidRPr="005545AF">
        <w:rPr>
          <w:rFonts w:cs="Arial"/>
          <w:szCs w:val="24"/>
          <w:lang w:val="en-CA" w:eastAsia="en-US"/>
        </w:rPr>
        <w:t>–</w:t>
      </w:r>
      <w:r w:rsidRPr="005545AF">
        <w:rPr>
          <w:rFonts w:cs="Arial"/>
          <w:szCs w:val="24"/>
          <w:lang w:val="en-CA" w:eastAsia="en-US"/>
        </w:rPr>
        <w:t xml:space="preserve"> </w:t>
      </w:r>
      <w:r w:rsidRPr="005545AF">
        <w:rPr>
          <w:lang w:val="en-CA"/>
        </w:rPr>
        <w:t>in the following terms</w:t>
      </w:r>
      <w:r w:rsidR="002802DA" w:rsidRPr="005545AF">
        <w:rPr>
          <w:lang w:val="en-CA"/>
        </w:rPr>
        <w:t>:</w:t>
      </w:r>
    </w:p>
    <w:p w14:paraId="67160BDB" w14:textId="77777777" w:rsidR="002802DA" w:rsidRPr="005545AF" w:rsidRDefault="002802DA" w:rsidP="001F7377">
      <w:pPr>
        <w:pStyle w:val="Citationenretrait"/>
        <w:spacing w:line="240" w:lineRule="auto"/>
        <w:rPr>
          <w:lang w:val="en-CA"/>
        </w:rPr>
      </w:pPr>
      <w:r w:rsidRPr="005545AF">
        <w:rPr>
          <w:lang w:val="en-CA"/>
        </w:rPr>
        <w:t>[638]</w:t>
      </w:r>
      <w:r w:rsidRPr="005545AF">
        <w:rPr>
          <w:lang w:val="en-CA"/>
        </w:rPr>
        <w:tab/>
      </w:r>
      <w:r w:rsidRPr="005545AF">
        <w:rPr>
          <w:b/>
          <w:bCs/>
          <w:lang w:val="en-CA"/>
        </w:rPr>
        <w:t>ORDERS</w:t>
      </w:r>
      <w:r w:rsidRPr="005545AF">
        <w:rPr>
          <w:lang w:val="en-CA"/>
        </w:rPr>
        <w:t xml:space="preserve"> Google to ensure that its search results not list any webpages from the domains “ripoffreport.com”, “www.ripoffreport.com”, “www.usacomplaints.com”, or “usacomplaints.com” containing the words “A. B.”, this injunction being restricted in geographical scope to all users of the search service offered by Google, Google Search, located in the province of Quebec.</w:t>
      </w:r>
    </w:p>
    <w:p w14:paraId="53D1B017" w14:textId="7FEA146E" w:rsidR="002802DA" w:rsidRPr="005545AF" w:rsidRDefault="002802DA" w:rsidP="001F7377">
      <w:pPr>
        <w:pStyle w:val="Paragraphe"/>
        <w:spacing w:line="240" w:lineRule="auto"/>
        <w:rPr>
          <w:lang w:val="en-CA"/>
        </w:rPr>
      </w:pPr>
      <w:r w:rsidRPr="005545AF">
        <w:rPr>
          <w:lang w:val="en-CA"/>
        </w:rPr>
        <w:t xml:space="preserve"> </w:t>
      </w:r>
      <w:r w:rsidR="00B0637C" w:rsidRPr="005545AF">
        <w:rPr>
          <w:lang w:val="en-CA"/>
        </w:rPr>
        <w:t>The judge held that such an order naturally flowed from the wording of section</w:t>
      </w:r>
      <w:r w:rsidRPr="005545AF">
        <w:rPr>
          <w:lang w:val="en-CA"/>
        </w:rPr>
        <w:t xml:space="preserve"> 22 </w:t>
      </w:r>
      <w:r w:rsidR="00B0637C" w:rsidRPr="005545AF">
        <w:rPr>
          <w:i/>
          <w:iCs/>
          <w:lang w:val="en-CA"/>
        </w:rPr>
        <w:t>IT Framework Act</w:t>
      </w:r>
      <w:r w:rsidRPr="005545AF">
        <w:rPr>
          <w:lang w:val="en-CA"/>
        </w:rPr>
        <w:t xml:space="preserve"> </w:t>
      </w:r>
      <w:r w:rsidR="00B0637C" w:rsidRPr="005545AF">
        <w:rPr>
          <w:lang w:val="en-CA"/>
        </w:rPr>
        <w:t>without otherwise running afoul of section</w:t>
      </w:r>
      <w:r w:rsidRPr="005545AF">
        <w:rPr>
          <w:lang w:val="en-CA"/>
        </w:rPr>
        <w:t xml:space="preserve"> 27 </w:t>
      </w:r>
      <w:r w:rsidR="00B0637C" w:rsidRPr="005545AF">
        <w:rPr>
          <w:lang w:val="en-CA"/>
        </w:rPr>
        <w:t>of that same Act</w:t>
      </w:r>
      <w:r w:rsidRPr="005545AF">
        <w:rPr>
          <w:lang w:val="en-CA"/>
        </w:rPr>
        <w:t xml:space="preserve">. </w:t>
      </w:r>
      <w:r w:rsidR="00B0637C" w:rsidRPr="005545AF">
        <w:rPr>
          <w:lang w:val="en-CA"/>
        </w:rPr>
        <w:t xml:space="preserve">He also found that its scope </w:t>
      </w:r>
      <w:r w:rsidR="00C62775" w:rsidRPr="005545AF">
        <w:rPr>
          <w:lang w:val="en-CA"/>
        </w:rPr>
        <w:t>was</w:t>
      </w:r>
      <w:r w:rsidR="00B0637C" w:rsidRPr="005545AF">
        <w:rPr>
          <w:lang w:val="en-CA"/>
        </w:rPr>
        <w:t xml:space="preserve"> not overbroad, the evidence showing that the searches </w:t>
      </w:r>
      <w:r w:rsidR="00C62775" w:rsidRPr="005545AF">
        <w:rPr>
          <w:lang w:val="en-CA"/>
        </w:rPr>
        <w:t>returned only</w:t>
      </w:r>
      <w:r w:rsidR="00B0637C" w:rsidRPr="005545AF">
        <w:rPr>
          <w:lang w:val="en-CA"/>
        </w:rPr>
        <w:t xml:space="preserve"> the link leading to the </w:t>
      </w:r>
      <w:r w:rsidR="004A5D7E" w:rsidRPr="005545AF">
        <w:rPr>
          <w:lang w:val="en-CA"/>
        </w:rPr>
        <w:t>Impugned Post</w:t>
      </w:r>
      <w:r w:rsidRPr="005545AF">
        <w:rPr>
          <w:lang w:val="en-CA"/>
        </w:rPr>
        <w:t xml:space="preserve">. </w:t>
      </w:r>
      <w:r w:rsidR="00C62775" w:rsidRPr="005545AF">
        <w:rPr>
          <w:lang w:val="en-CA"/>
        </w:rPr>
        <w:t>Consequently, the websites injunction did not unduly impinge upon freedom of expression and could have no chilling effect on it given that, according to the judge, “d</w:t>
      </w:r>
      <w:r w:rsidRPr="005545AF">
        <w:rPr>
          <w:lang w:val="en-CA"/>
        </w:rPr>
        <w:t>efamation is not protected expression, and the act of making it available to users as an intermediary is not a protected right either</w:t>
      </w:r>
      <w:r w:rsidR="00C62775" w:rsidRPr="005545AF">
        <w:rPr>
          <w:lang w:val="en-CA"/>
        </w:rPr>
        <w:t>.”</w:t>
      </w:r>
      <w:r w:rsidRPr="005545AF">
        <w:rPr>
          <w:rStyle w:val="Appelnotedebasdep"/>
          <w:lang w:val="en-CA"/>
        </w:rPr>
        <w:footnoteReference w:id="169"/>
      </w:r>
      <w:r w:rsidRPr="005545AF">
        <w:rPr>
          <w:lang w:val="en-CA"/>
        </w:rPr>
        <w:t xml:space="preserve">  </w:t>
      </w:r>
    </w:p>
    <w:p w14:paraId="2E5D52E6" w14:textId="7FB948B2" w:rsidR="002802DA" w:rsidRPr="005545AF" w:rsidRDefault="00C62775" w:rsidP="001F7377">
      <w:pPr>
        <w:pStyle w:val="Paragraphe"/>
        <w:spacing w:line="240" w:lineRule="auto"/>
        <w:rPr>
          <w:lang w:val="en-CA"/>
        </w:rPr>
      </w:pPr>
      <w:r w:rsidRPr="005545AF">
        <w:rPr>
          <w:lang w:val="en-CA"/>
        </w:rPr>
        <w:t>On appeal</w:t>
      </w:r>
      <w:r w:rsidR="002802DA" w:rsidRPr="005545AF">
        <w:rPr>
          <w:lang w:val="en-CA"/>
        </w:rPr>
        <w:t xml:space="preserve">, Google </w:t>
      </w:r>
      <w:r w:rsidRPr="005545AF">
        <w:rPr>
          <w:lang w:val="en-CA"/>
        </w:rPr>
        <w:t>argues that the websites injunction is not necessary, since the evidence shows that it</w:t>
      </w:r>
      <w:r w:rsidR="006A25EB" w:rsidRPr="005545AF">
        <w:rPr>
          <w:lang w:val="en-CA"/>
        </w:rPr>
        <w:t xml:space="preserve"> has</w:t>
      </w:r>
      <w:r w:rsidRPr="005545AF">
        <w:rPr>
          <w:lang w:val="en-CA"/>
        </w:rPr>
        <w:t xml:space="preserve"> always removed illegal content and that it will continue to do so </w:t>
      </w:r>
      <w:r w:rsidR="006A25EB" w:rsidRPr="005545AF">
        <w:rPr>
          <w:lang w:val="en-CA"/>
        </w:rPr>
        <w:t>should</w:t>
      </w:r>
      <w:r w:rsidRPr="005545AF">
        <w:rPr>
          <w:lang w:val="en-CA"/>
        </w:rPr>
        <w:t xml:space="preserve"> the Court determine that that is the case here</w:t>
      </w:r>
      <w:r w:rsidR="002802DA" w:rsidRPr="005545AF">
        <w:rPr>
          <w:lang w:val="en-CA"/>
        </w:rPr>
        <w:t xml:space="preserve">. </w:t>
      </w:r>
      <w:r w:rsidRPr="005545AF">
        <w:rPr>
          <w:lang w:val="en-CA"/>
        </w:rPr>
        <w:t>It further submits that the injunction is unduly overbroad in that it is not aimed at specific URLs of</w:t>
      </w:r>
      <w:r w:rsidR="006A25EB" w:rsidRPr="005545AF">
        <w:rPr>
          <w:lang w:val="en-CA"/>
        </w:rPr>
        <w:t xml:space="preserve"> the</w:t>
      </w:r>
      <w:r w:rsidRPr="005545AF">
        <w:rPr>
          <w:lang w:val="en-CA"/>
        </w:rPr>
        <w:t xml:space="preserve"> </w:t>
      </w:r>
      <w:r w:rsidR="004A5D7E" w:rsidRPr="005545AF">
        <w:rPr>
          <w:lang w:val="en-CA"/>
        </w:rPr>
        <w:t>Impugned Post</w:t>
      </w:r>
      <w:r w:rsidRPr="005545AF">
        <w:rPr>
          <w:lang w:val="en-CA"/>
        </w:rPr>
        <w:t xml:space="preserve">, but </w:t>
      </w:r>
      <w:r w:rsidR="006A25EB" w:rsidRPr="005545AF">
        <w:rPr>
          <w:lang w:val="en-CA"/>
        </w:rPr>
        <w:t>rather at the</w:t>
      </w:r>
      <w:r w:rsidR="002802DA" w:rsidRPr="005545AF">
        <w:rPr>
          <w:lang w:val="en-CA"/>
        </w:rPr>
        <w:t xml:space="preserve"> ripoffreport.com </w:t>
      </w:r>
      <w:r w:rsidR="006A25EB" w:rsidRPr="005545AF">
        <w:rPr>
          <w:lang w:val="en-CA"/>
        </w:rPr>
        <w:t>or</w:t>
      </w:r>
      <w:r w:rsidR="002802DA" w:rsidRPr="005545AF">
        <w:rPr>
          <w:lang w:val="en-CA"/>
        </w:rPr>
        <w:t xml:space="preserve"> usacomplaints.com</w:t>
      </w:r>
      <w:r w:rsidR="006A25EB" w:rsidRPr="005545AF">
        <w:rPr>
          <w:lang w:val="en-CA"/>
        </w:rPr>
        <w:t xml:space="preserve"> sites</w:t>
      </w:r>
      <w:r w:rsidR="002802DA" w:rsidRPr="005545AF">
        <w:rPr>
          <w:lang w:val="en-CA"/>
        </w:rPr>
        <w:t xml:space="preserve">, </w:t>
      </w:r>
      <w:r w:rsidR="006A25EB" w:rsidRPr="005545AF">
        <w:rPr>
          <w:lang w:val="en-CA"/>
        </w:rPr>
        <w:t>t</w:t>
      </w:r>
      <w:r w:rsidR="000A61DB" w:rsidRPr="005545AF">
        <w:rPr>
          <w:lang w:val="en-CA"/>
        </w:rPr>
        <w:t>hus</w:t>
      </w:r>
      <w:r w:rsidR="006A25EB" w:rsidRPr="005545AF">
        <w:rPr>
          <w:lang w:val="en-CA"/>
        </w:rPr>
        <w:t xml:space="preserve"> risking censorship of other publications that are not illicit</w:t>
      </w:r>
      <w:r w:rsidR="002802DA" w:rsidRPr="005545AF">
        <w:rPr>
          <w:lang w:val="en-CA"/>
        </w:rPr>
        <w:t>.</w:t>
      </w:r>
    </w:p>
    <w:p w14:paraId="4D4214A6" w14:textId="1FBE4070" w:rsidR="002802DA" w:rsidRPr="005545AF" w:rsidRDefault="006A25EB" w:rsidP="001F7377">
      <w:pPr>
        <w:pStyle w:val="Paragraphe"/>
        <w:spacing w:line="240" w:lineRule="auto"/>
        <w:rPr>
          <w:lang w:val="en-CA"/>
        </w:rPr>
      </w:pPr>
      <w:r w:rsidRPr="005545AF">
        <w:rPr>
          <w:lang w:val="en-CA"/>
        </w:rPr>
        <w:t xml:space="preserve">These two submissions, addressing the injunction’s necessity and scope, are essentially based on </w:t>
      </w:r>
      <w:r w:rsidR="002047AE" w:rsidRPr="005545AF">
        <w:rPr>
          <w:lang w:val="en-CA"/>
        </w:rPr>
        <w:t xml:space="preserve">findings of fact by </w:t>
      </w:r>
      <w:r w:rsidRPr="005545AF">
        <w:rPr>
          <w:lang w:val="en-CA"/>
        </w:rPr>
        <w:t xml:space="preserve">the trial judge, which are owed deference. </w:t>
      </w:r>
      <w:r w:rsidRPr="005545AF">
        <w:rPr>
          <w:lang w:val="en-CA"/>
        </w:rPr>
        <w:lastRenderedPageBreak/>
        <w:t xml:space="preserve">However, I am of the view that </w:t>
      </w:r>
      <w:r w:rsidR="002802DA" w:rsidRPr="005545AF">
        <w:rPr>
          <w:lang w:val="en-CA"/>
        </w:rPr>
        <w:t xml:space="preserve">Google </w:t>
      </w:r>
      <w:r w:rsidRPr="005545AF">
        <w:rPr>
          <w:lang w:val="en-CA"/>
        </w:rPr>
        <w:t>has not succeeded in showing that the ju</w:t>
      </w:r>
      <w:r w:rsidR="002047AE" w:rsidRPr="005545AF">
        <w:rPr>
          <w:lang w:val="en-CA"/>
        </w:rPr>
        <w:t>d</w:t>
      </w:r>
      <w:r w:rsidRPr="005545AF">
        <w:rPr>
          <w:lang w:val="en-CA"/>
        </w:rPr>
        <w:t>ge made a palpable and overriding error</w:t>
      </w:r>
      <w:r w:rsidR="002802DA" w:rsidRPr="005545AF">
        <w:rPr>
          <w:lang w:val="en-CA"/>
        </w:rPr>
        <w:t xml:space="preserve"> </w:t>
      </w:r>
      <w:r w:rsidRPr="005545AF">
        <w:rPr>
          <w:lang w:val="en-CA"/>
        </w:rPr>
        <w:t>and th</w:t>
      </w:r>
      <w:r w:rsidR="002047AE" w:rsidRPr="005545AF">
        <w:rPr>
          <w:lang w:val="en-CA"/>
        </w:rPr>
        <w:t>us</w:t>
      </w:r>
      <w:r w:rsidRPr="005545AF">
        <w:rPr>
          <w:lang w:val="en-CA"/>
        </w:rPr>
        <w:t xml:space="preserve"> exercised his discretion unreasonably</w:t>
      </w:r>
      <w:r w:rsidR="002802DA" w:rsidRPr="005545AF">
        <w:rPr>
          <w:lang w:val="en-CA"/>
        </w:rPr>
        <w:t>.</w:t>
      </w:r>
    </w:p>
    <w:p w14:paraId="7B1F0F00" w14:textId="5EC9D482" w:rsidR="002802DA" w:rsidRPr="005545AF" w:rsidRDefault="002047AE" w:rsidP="001F7377">
      <w:pPr>
        <w:pStyle w:val="Paragraphe"/>
        <w:spacing w:line="240" w:lineRule="auto"/>
        <w:rPr>
          <w:lang w:val="en-CA"/>
        </w:rPr>
      </w:pPr>
      <w:r w:rsidRPr="005545AF">
        <w:rPr>
          <w:lang w:val="en-CA"/>
        </w:rPr>
        <w:t xml:space="preserve">It is true that courts sometimes </w:t>
      </w:r>
      <w:r w:rsidR="00FA2573" w:rsidRPr="005545AF">
        <w:rPr>
          <w:lang w:val="en-CA"/>
        </w:rPr>
        <w:t>refuse</w:t>
      </w:r>
      <w:r w:rsidRPr="005545AF">
        <w:rPr>
          <w:lang w:val="en-CA"/>
        </w:rPr>
        <w:t xml:space="preserve"> to grant an injunction </w:t>
      </w:r>
      <w:r w:rsidR="00FA2573" w:rsidRPr="005545AF">
        <w:rPr>
          <w:lang w:val="en-CA"/>
        </w:rPr>
        <w:t>on the basis that</w:t>
      </w:r>
      <w:r w:rsidRPr="005545AF">
        <w:rPr>
          <w:lang w:val="en-CA"/>
        </w:rPr>
        <w:t xml:space="preserve"> it is not necessary where, for example, no past breach</w:t>
      </w:r>
      <w:r w:rsidR="00FA2573" w:rsidRPr="005545AF">
        <w:rPr>
          <w:lang w:val="en-CA"/>
        </w:rPr>
        <w:t xml:space="preserve"> of the</w:t>
      </w:r>
      <w:r w:rsidR="000A61DB" w:rsidRPr="005545AF">
        <w:rPr>
          <w:lang w:val="en-CA"/>
        </w:rPr>
        <w:t xml:space="preserve"> applicable</w:t>
      </w:r>
      <w:r w:rsidR="00FA2573" w:rsidRPr="005545AF">
        <w:rPr>
          <w:lang w:val="en-CA"/>
        </w:rPr>
        <w:t xml:space="preserve"> legal duty has been shown</w:t>
      </w:r>
      <w:r w:rsidR="002802DA" w:rsidRPr="005545AF">
        <w:rPr>
          <w:rStyle w:val="Appelnotedebasdep"/>
          <w:lang w:val="en-CA"/>
        </w:rPr>
        <w:footnoteReference w:id="170"/>
      </w:r>
      <w:r w:rsidR="002802DA" w:rsidRPr="005545AF">
        <w:rPr>
          <w:lang w:val="en-CA"/>
        </w:rPr>
        <w:t xml:space="preserve"> </w:t>
      </w:r>
      <w:r w:rsidR="00FA2573" w:rsidRPr="005545AF">
        <w:rPr>
          <w:lang w:val="en-CA"/>
        </w:rPr>
        <w:t xml:space="preserve">or where the judge finds that the facts reveal no risk of </w:t>
      </w:r>
      <w:r w:rsidR="000A61DB" w:rsidRPr="005545AF">
        <w:rPr>
          <w:lang w:val="en-CA"/>
        </w:rPr>
        <w:t>recidivism</w:t>
      </w:r>
      <w:r w:rsidR="00FA2573" w:rsidRPr="005545AF">
        <w:rPr>
          <w:lang w:val="en-CA"/>
        </w:rPr>
        <w:t>.</w:t>
      </w:r>
      <w:r w:rsidR="002802DA" w:rsidRPr="005545AF">
        <w:rPr>
          <w:rStyle w:val="Appelnotedebasdep"/>
          <w:lang w:val="en-CA"/>
        </w:rPr>
        <w:footnoteReference w:id="171"/>
      </w:r>
      <w:r w:rsidR="002802DA" w:rsidRPr="005545AF">
        <w:rPr>
          <w:lang w:val="en-CA"/>
        </w:rPr>
        <w:t xml:space="preserve"> </w:t>
      </w:r>
      <w:r w:rsidR="00FA2573" w:rsidRPr="005545AF">
        <w:rPr>
          <w:lang w:val="en-CA"/>
        </w:rPr>
        <w:t xml:space="preserve">I note that such reservations, without necessarily being limitative, generally present themselves when the order merely aims at enjoining the defendant, generally, to obey the law or immediately cease any defamation against </w:t>
      </w:r>
      <w:r w:rsidR="000A61DB" w:rsidRPr="005545AF">
        <w:rPr>
          <w:lang w:val="en-CA"/>
        </w:rPr>
        <w:t>the applicant</w:t>
      </w:r>
      <w:r w:rsidR="002802DA" w:rsidRPr="005545AF">
        <w:rPr>
          <w:lang w:val="en-CA"/>
        </w:rPr>
        <w:t xml:space="preserve">. </w:t>
      </w:r>
    </w:p>
    <w:p w14:paraId="718F6603" w14:textId="4CD65867" w:rsidR="002802DA" w:rsidRPr="005545AF" w:rsidRDefault="00FA2573" w:rsidP="001F7377">
      <w:pPr>
        <w:pStyle w:val="Paragraphe"/>
        <w:spacing w:line="240" w:lineRule="auto"/>
        <w:rPr>
          <w:lang w:val="en-CA"/>
        </w:rPr>
      </w:pPr>
      <w:r w:rsidRPr="005545AF">
        <w:rPr>
          <w:lang w:val="en-CA"/>
        </w:rPr>
        <w:t>But such is not the case here</w:t>
      </w:r>
      <w:r w:rsidR="002802DA" w:rsidRPr="005545AF">
        <w:rPr>
          <w:lang w:val="en-CA"/>
        </w:rPr>
        <w:t xml:space="preserve">. </w:t>
      </w:r>
      <w:r w:rsidRPr="005545AF">
        <w:rPr>
          <w:lang w:val="en-CA"/>
        </w:rPr>
        <w:t>While it is true that</w:t>
      </w:r>
      <w:r w:rsidR="002802DA" w:rsidRPr="005545AF">
        <w:rPr>
          <w:lang w:val="en-CA"/>
        </w:rPr>
        <w:t xml:space="preserve"> Google </w:t>
      </w:r>
      <w:r w:rsidRPr="005545AF">
        <w:rPr>
          <w:lang w:val="en-CA"/>
        </w:rPr>
        <w:t>claims to obey</w:t>
      </w:r>
      <w:r w:rsidR="00FE51A0" w:rsidRPr="005545AF">
        <w:rPr>
          <w:lang w:val="en-CA"/>
        </w:rPr>
        <w:t xml:space="preserve"> the law</w:t>
      </w:r>
      <w:r w:rsidRPr="005545AF">
        <w:rPr>
          <w:lang w:val="en-CA"/>
        </w:rPr>
        <w:t xml:space="preserve"> applicable </w:t>
      </w:r>
      <w:r w:rsidR="00FE51A0" w:rsidRPr="005545AF">
        <w:rPr>
          <w:lang w:val="en-CA"/>
        </w:rPr>
        <w:t>in</w:t>
      </w:r>
      <w:r w:rsidRPr="005545AF">
        <w:rPr>
          <w:lang w:val="en-CA"/>
        </w:rPr>
        <w:t xml:space="preserve"> a given jurisdiction</w:t>
      </w:r>
      <w:r w:rsidR="00FE51A0" w:rsidRPr="005545AF">
        <w:rPr>
          <w:lang w:val="en-CA"/>
        </w:rPr>
        <w:t xml:space="preserve">, what </w:t>
      </w:r>
      <w:r w:rsidR="003215E5" w:rsidRPr="005545AF">
        <w:rPr>
          <w:lang w:val="en-CA"/>
        </w:rPr>
        <w:t>that</w:t>
      </w:r>
      <w:r w:rsidR="00FE51A0" w:rsidRPr="005545AF">
        <w:rPr>
          <w:lang w:val="en-CA"/>
        </w:rPr>
        <w:t xml:space="preserve"> law requires </w:t>
      </w:r>
      <w:r w:rsidR="003215E5" w:rsidRPr="005545AF">
        <w:rPr>
          <w:lang w:val="en-CA"/>
        </w:rPr>
        <w:t>must still</w:t>
      </w:r>
      <w:r w:rsidR="00FE51A0" w:rsidRPr="005545AF">
        <w:rPr>
          <w:lang w:val="en-CA"/>
        </w:rPr>
        <w:t xml:space="preserve"> be clearly established. This is best illustrated by the parties’ disagreement as to the scope of an eventual injunction</w:t>
      </w:r>
      <w:r w:rsidR="00803EFE" w:rsidRPr="005545AF">
        <w:rPr>
          <w:lang w:val="en-CA"/>
        </w:rPr>
        <w:t>,</w:t>
      </w:r>
      <w:r w:rsidR="00FE51A0" w:rsidRPr="005545AF">
        <w:rPr>
          <w:lang w:val="en-CA"/>
        </w:rPr>
        <w:t xml:space="preserve"> which we will address below</w:t>
      </w:r>
      <w:r w:rsidR="002802DA" w:rsidRPr="005545AF">
        <w:rPr>
          <w:lang w:val="en-CA"/>
        </w:rPr>
        <w:t xml:space="preserve">. </w:t>
      </w:r>
      <w:r w:rsidR="00FE51A0" w:rsidRPr="005545AF">
        <w:rPr>
          <w:lang w:val="en-CA"/>
        </w:rPr>
        <w:t>Absent any injunction, there could therefore be an ongoing debate as to the sufficiency of G</w:t>
      </w:r>
      <w:r w:rsidR="002802DA" w:rsidRPr="005545AF">
        <w:rPr>
          <w:lang w:val="en-CA"/>
        </w:rPr>
        <w:t>oogle</w:t>
      </w:r>
      <w:r w:rsidR="00FE51A0" w:rsidRPr="005545AF">
        <w:rPr>
          <w:lang w:val="en-CA"/>
        </w:rPr>
        <w:t>’s action</w:t>
      </w:r>
      <w:r w:rsidR="003215E5" w:rsidRPr="005545AF">
        <w:rPr>
          <w:lang w:val="en-CA"/>
        </w:rPr>
        <w:t>s</w:t>
      </w:r>
      <w:r w:rsidR="002802DA" w:rsidRPr="005545AF">
        <w:rPr>
          <w:lang w:val="en-CA"/>
        </w:rPr>
        <w:t xml:space="preserve">, </w:t>
      </w:r>
      <w:r w:rsidR="00FE51A0" w:rsidRPr="005545AF">
        <w:rPr>
          <w:lang w:val="en-CA"/>
        </w:rPr>
        <w:t xml:space="preserve">a debate that can be avoided by an injunction </w:t>
      </w:r>
      <w:r w:rsidR="003916F8" w:rsidRPr="005545AF">
        <w:rPr>
          <w:lang w:val="en-CA"/>
        </w:rPr>
        <w:t xml:space="preserve">order that will </w:t>
      </w:r>
      <w:r w:rsidR="00FE51A0" w:rsidRPr="005545AF">
        <w:rPr>
          <w:lang w:val="en-CA"/>
        </w:rPr>
        <w:t xml:space="preserve">specifically </w:t>
      </w:r>
      <w:r w:rsidR="003916F8" w:rsidRPr="005545AF">
        <w:rPr>
          <w:lang w:val="en-CA"/>
        </w:rPr>
        <w:t>target</w:t>
      </w:r>
      <w:r w:rsidR="00FE51A0" w:rsidRPr="005545AF">
        <w:rPr>
          <w:lang w:val="en-CA"/>
        </w:rPr>
        <w:t xml:space="preserve"> what Google is minimally </w:t>
      </w:r>
      <w:r w:rsidR="003215E5" w:rsidRPr="005545AF">
        <w:rPr>
          <w:lang w:val="en-CA"/>
        </w:rPr>
        <w:t>required</w:t>
      </w:r>
      <w:r w:rsidR="00FE51A0" w:rsidRPr="005545AF">
        <w:rPr>
          <w:lang w:val="en-CA"/>
        </w:rPr>
        <w:t xml:space="preserve"> to</w:t>
      </w:r>
      <w:r w:rsidR="00803EFE" w:rsidRPr="005545AF">
        <w:rPr>
          <w:lang w:val="en-CA"/>
        </w:rPr>
        <w:t xml:space="preserve"> do or not to do</w:t>
      </w:r>
      <w:r w:rsidR="002802DA" w:rsidRPr="005545AF">
        <w:rPr>
          <w:lang w:val="en-CA"/>
        </w:rPr>
        <w:t xml:space="preserve">. </w:t>
      </w:r>
      <w:r w:rsidR="00FE51A0" w:rsidRPr="005545AF">
        <w:rPr>
          <w:lang w:val="en-CA"/>
        </w:rPr>
        <w:t>In such a context, it was open to the judge to find that the websites injunction was necessary, even though he was confident that Google would comply with it.</w:t>
      </w:r>
      <w:r w:rsidR="002802DA" w:rsidRPr="005545AF">
        <w:rPr>
          <w:rStyle w:val="Appelnotedebasdep"/>
          <w:lang w:val="en-CA"/>
        </w:rPr>
        <w:footnoteReference w:id="172"/>
      </w:r>
    </w:p>
    <w:p w14:paraId="25497A67" w14:textId="1247B5A8" w:rsidR="002802DA" w:rsidRPr="005545AF" w:rsidRDefault="00803EFE" w:rsidP="001F7377">
      <w:pPr>
        <w:pStyle w:val="Paragraphe"/>
        <w:spacing w:line="240" w:lineRule="auto"/>
        <w:rPr>
          <w:lang w:val="en-CA"/>
        </w:rPr>
      </w:pPr>
      <w:r w:rsidRPr="005545AF">
        <w:rPr>
          <w:lang w:val="en-CA"/>
        </w:rPr>
        <w:t>Regarding the injunction’s scope</w:t>
      </w:r>
      <w:r w:rsidR="002802DA" w:rsidRPr="005545AF">
        <w:rPr>
          <w:lang w:val="en-CA"/>
        </w:rPr>
        <w:t xml:space="preserve">, </w:t>
      </w:r>
      <w:r w:rsidRPr="005545AF">
        <w:rPr>
          <w:lang w:val="en-CA"/>
        </w:rPr>
        <w:t>it is true that great caution is required where the order’s subject matter limits freedom of expression.</w:t>
      </w:r>
      <w:r w:rsidR="002802DA" w:rsidRPr="005545AF">
        <w:rPr>
          <w:rStyle w:val="Appelnotedebasdep"/>
          <w:lang w:val="en-CA"/>
        </w:rPr>
        <w:footnoteReference w:id="173"/>
      </w:r>
      <w:r w:rsidR="002802DA" w:rsidRPr="005545AF">
        <w:rPr>
          <w:lang w:val="en-CA"/>
        </w:rPr>
        <w:t xml:space="preserve"> </w:t>
      </w:r>
      <w:r w:rsidRPr="005545AF">
        <w:rPr>
          <w:lang w:val="en-CA"/>
        </w:rPr>
        <w:t>That is why, as we have just seen, courts may be reluctant to render a very general, or even generic, order, in this area</w:t>
      </w:r>
      <w:r w:rsidR="002802DA" w:rsidRPr="005545AF">
        <w:rPr>
          <w:lang w:val="en-CA"/>
        </w:rPr>
        <w:t xml:space="preserve">. </w:t>
      </w:r>
      <w:r w:rsidRPr="005545AF">
        <w:rPr>
          <w:lang w:val="en-CA"/>
        </w:rPr>
        <w:t>It remains</w:t>
      </w:r>
      <w:r w:rsidR="003916F8" w:rsidRPr="005545AF">
        <w:rPr>
          <w:lang w:val="en-CA"/>
        </w:rPr>
        <w:t>,</w:t>
      </w:r>
      <w:r w:rsidRPr="005545AF">
        <w:rPr>
          <w:lang w:val="en-CA"/>
        </w:rPr>
        <w:t xml:space="preserve"> </w:t>
      </w:r>
      <w:r w:rsidR="003916F8" w:rsidRPr="005545AF">
        <w:rPr>
          <w:lang w:val="en-CA"/>
        </w:rPr>
        <w:t>however,</w:t>
      </w:r>
      <w:r w:rsidRPr="005545AF">
        <w:rPr>
          <w:lang w:val="en-CA"/>
        </w:rPr>
        <w:t xml:space="preserve"> that such a remedy is available to the court when it appears justified.</w:t>
      </w:r>
      <w:r w:rsidR="002802DA" w:rsidRPr="005545AF">
        <w:rPr>
          <w:rStyle w:val="Appelnotedebasdep"/>
          <w:lang w:val="en-CA"/>
        </w:rPr>
        <w:footnoteReference w:id="174"/>
      </w:r>
    </w:p>
    <w:p w14:paraId="0EE977E5" w14:textId="5FB1D62F" w:rsidR="002802DA" w:rsidRPr="005545AF" w:rsidRDefault="00C321BE" w:rsidP="001F7377">
      <w:pPr>
        <w:pStyle w:val="Paragraphe"/>
        <w:spacing w:line="240" w:lineRule="auto"/>
        <w:rPr>
          <w:lang w:val="en-CA"/>
        </w:rPr>
      </w:pPr>
      <w:r w:rsidRPr="005545AF">
        <w:rPr>
          <w:lang w:val="en-CA"/>
        </w:rPr>
        <w:t>In the case at bar, the judge made no reviewable error as to the injunction’s scope</w:t>
      </w:r>
      <w:r w:rsidR="002802DA" w:rsidRPr="005545AF">
        <w:rPr>
          <w:lang w:val="en-CA"/>
        </w:rPr>
        <w:t xml:space="preserve">. </w:t>
      </w:r>
      <w:r w:rsidRPr="005545AF">
        <w:rPr>
          <w:lang w:val="en-CA"/>
        </w:rPr>
        <w:t xml:space="preserve">The </w:t>
      </w:r>
      <w:r w:rsidR="009A3F5B" w:rsidRPr="005545AF">
        <w:rPr>
          <w:lang w:val="en-CA"/>
        </w:rPr>
        <w:t xml:space="preserve">evidence in the </w:t>
      </w:r>
      <w:r w:rsidRPr="005545AF">
        <w:rPr>
          <w:lang w:val="en-CA"/>
        </w:rPr>
        <w:t xml:space="preserve">record shows that the link leading to the </w:t>
      </w:r>
      <w:r w:rsidR="004A5D7E" w:rsidRPr="005545AF">
        <w:rPr>
          <w:lang w:val="en-CA"/>
        </w:rPr>
        <w:t>Impugned Post</w:t>
      </w:r>
      <w:r w:rsidRPr="005545AF">
        <w:rPr>
          <w:lang w:val="en-CA"/>
        </w:rPr>
        <w:t xml:space="preserve"> change</w:t>
      </w:r>
      <w:r w:rsidR="00E14164" w:rsidRPr="005545AF">
        <w:rPr>
          <w:lang w:val="en-CA"/>
        </w:rPr>
        <w:t>d</w:t>
      </w:r>
      <w:r w:rsidRPr="005545AF">
        <w:rPr>
          <w:lang w:val="en-CA"/>
        </w:rPr>
        <w:t xml:space="preserve"> several times in the past, which </w:t>
      </w:r>
      <w:r w:rsidR="009A3F5B" w:rsidRPr="005545AF">
        <w:rPr>
          <w:lang w:val="en-CA"/>
        </w:rPr>
        <w:t>obliged</w:t>
      </w:r>
      <w:r w:rsidR="002802DA" w:rsidRPr="005545AF">
        <w:rPr>
          <w:lang w:val="en-CA"/>
        </w:rPr>
        <w:t xml:space="preserve"> Google</w:t>
      </w:r>
      <w:r w:rsidRPr="005545AF">
        <w:rPr>
          <w:lang w:val="en-CA"/>
        </w:rPr>
        <w:t xml:space="preserve"> to proceed to</w:t>
      </w:r>
      <w:r w:rsidR="002802DA" w:rsidRPr="005545AF">
        <w:rPr>
          <w:lang w:val="en-CA"/>
        </w:rPr>
        <w:t xml:space="preserve"> </w:t>
      </w:r>
      <w:r w:rsidRPr="005545AF">
        <w:rPr>
          <w:lang w:val="en-CA"/>
        </w:rPr>
        <w:t>successive de-indexing</w:t>
      </w:r>
      <w:r w:rsidR="003916F8" w:rsidRPr="005545AF">
        <w:rPr>
          <w:lang w:val="en-CA"/>
        </w:rPr>
        <w:t>s</w:t>
      </w:r>
      <w:r w:rsidRPr="005545AF">
        <w:rPr>
          <w:lang w:val="en-CA"/>
        </w:rPr>
        <w:t>,</w:t>
      </w:r>
      <w:r w:rsidR="002802DA" w:rsidRPr="005545AF">
        <w:rPr>
          <w:rStyle w:val="Appelnotedebasdep"/>
          <w:lang w:val="en-CA"/>
        </w:rPr>
        <w:footnoteReference w:id="175"/>
      </w:r>
      <w:r w:rsidRPr="005545AF">
        <w:rPr>
          <w:lang w:val="en-CA"/>
        </w:rPr>
        <w:t xml:space="preserve"> This state of affairs could justify the judge</w:t>
      </w:r>
      <w:r w:rsidR="009A3F5B" w:rsidRPr="005545AF">
        <w:rPr>
          <w:lang w:val="en-CA"/>
        </w:rPr>
        <w:t>’s</w:t>
      </w:r>
      <w:r w:rsidRPr="005545AF">
        <w:rPr>
          <w:lang w:val="en-CA"/>
        </w:rPr>
        <w:t xml:space="preserve"> fram</w:t>
      </w:r>
      <w:r w:rsidR="009A3F5B" w:rsidRPr="005545AF">
        <w:rPr>
          <w:lang w:val="en-CA"/>
        </w:rPr>
        <w:t>ing of</w:t>
      </w:r>
      <w:r w:rsidRPr="005545AF">
        <w:rPr>
          <w:lang w:val="en-CA"/>
        </w:rPr>
        <w:t xml:space="preserve"> the order based on the site hosting the post, rather than </w:t>
      </w:r>
      <w:r w:rsidR="009A3F5B" w:rsidRPr="005545AF">
        <w:rPr>
          <w:lang w:val="en-CA"/>
        </w:rPr>
        <w:t xml:space="preserve">on </w:t>
      </w:r>
      <w:r w:rsidRPr="005545AF">
        <w:rPr>
          <w:lang w:val="en-CA"/>
        </w:rPr>
        <w:t>the specific link</w:t>
      </w:r>
      <w:r w:rsidR="002802DA" w:rsidRPr="005545AF">
        <w:rPr>
          <w:lang w:val="en-CA"/>
        </w:rPr>
        <w:t xml:space="preserve">. </w:t>
      </w:r>
      <w:r w:rsidRPr="005545AF">
        <w:rPr>
          <w:lang w:val="en-CA"/>
        </w:rPr>
        <w:t xml:space="preserve">Also, as the judge found, searches done at the hearing or in preparation thereof clearly showed that only the link of the </w:t>
      </w:r>
      <w:r w:rsidR="004A5D7E" w:rsidRPr="005545AF">
        <w:rPr>
          <w:lang w:val="en-CA"/>
        </w:rPr>
        <w:t>Impugned Post</w:t>
      </w:r>
      <w:r w:rsidRPr="005545AF">
        <w:rPr>
          <w:lang w:val="en-CA"/>
        </w:rPr>
        <w:t xml:space="preserve"> was returned when the words </w:t>
      </w:r>
      <w:r w:rsidR="00E14164" w:rsidRPr="005545AF">
        <w:rPr>
          <w:lang w:val="en-CA"/>
        </w:rPr>
        <w:t>covered by the order were used in the query</w:t>
      </w:r>
      <w:r w:rsidR="002802DA" w:rsidRPr="005545AF">
        <w:rPr>
          <w:lang w:val="en-CA"/>
        </w:rPr>
        <w:t xml:space="preserve">. </w:t>
      </w:r>
      <w:r w:rsidR="00E14164" w:rsidRPr="005545AF">
        <w:rPr>
          <w:lang w:val="en-CA"/>
        </w:rPr>
        <w:t xml:space="preserve">The scope of the injunction as ordered therefore appears to be precise, limited and proportional and </w:t>
      </w:r>
      <w:r w:rsidR="00E14164" w:rsidRPr="005545AF">
        <w:rPr>
          <w:lang w:val="en-CA"/>
        </w:rPr>
        <w:lastRenderedPageBreak/>
        <w:t>the risks alleged by Google of undue impingement of third parties’ freedom of expression remain purely speculative</w:t>
      </w:r>
      <w:r w:rsidR="002802DA" w:rsidRPr="005545AF">
        <w:rPr>
          <w:lang w:val="en-CA"/>
        </w:rPr>
        <w:t>.</w:t>
      </w:r>
    </w:p>
    <w:p w14:paraId="2DA941B1" w14:textId="7663F540" w:rsidR="002802DA" w:rsidRPr="005545AF" w:rsidRDefault="00E14164" w:rsidP="001F7377">
      <w:pPr>
        <w:pStyle w:val="Paragraphe"/>
        <w:numPr>
          <w:ilvl w:val="0"/>
          <w:numId w:val="28"/>
        </w:numPr>
        <w:spacing w:line="240" w:lineRule="auto"/>
        <w:outlineLvl w:val="2"/>
        <w:rPr>
          <w:lang w:val="en-CA"/>
        </w:rPr>
      </w:pPr>
      <w:r w:rsidRPr="005545AF">
        <w:rPr>
          <w:lang w:val="en-CA"/>
        </w:rPr>
        <w:t>Geographical scope of the websites injunction</w:t>
      </w:r>
    </w:p>
    <w:p w14:paraId="5149F14D" w14:textId="65916430" w:rsidR="002802DA" w:rsidRPr="005545AF" w:rsidRDefault="002E4E1F" w:rsidP="001F7377">
      <w:pPr>
        <w:pStyle w:val="Paragraphe"/>
        <w:spacing w:line="240" w:lineRule="auto"/>
        <w:rPr>
          <w:lang w:val="en-CA"/>
        </w:rPr>
      </w:pPr>
      <w:r w:rsidRPr="005545AF">
        <w:rPr>
          <w:lang w:val="en-CA"/>
        </w:rPr>
        <w:t>While the judge did grant the websites injunction</w:t>
      </w:r>
      <w:r w:rsidR="002802DA" w:rsidRPr="005545AF">
        <w:rPr>
          <w:lang w:val="en-CA"/>
        </w:rPr>
        <w:t xml:space="preserve">, </w:t>
      </w:r>
      <w:r w:rsidRPr="005545AF">
        <w:rPr>
          <w:lang w:val="en-CA"/>
        </w:rPr>
        <w:t xml:space="preserve">he refused </w:t>
      </w:r>
      <w:r w:rsidR="00E82BDC" w:rsidRPr="005545AF">
        <w:rPr>
          <w:lang w:val="en-CA"/>
        </w:rPr>
        <w:t xml:space="preserve">to give it the </w:t>
      </w:r>
      <w:r w:rsidR="004A45DA" w:rsidRPr="005545AF">
        <w:rPr>
          <w:lang w:val="en-CA"/>
        </w:rPr>
        <w:t xml:space="preserve">world-wide </w:t>
      </w:r>
      <w:r w:rsidR="00E82BDC" w:rsidRPr="005545AF">
        <w:rPr>
          <w:lang w:val="en-CA"/>
        </w:rPr>
        <w:t>reach sought by</w:t>
      </w:r>
      <w:r w:rsidRPr="005545AF">
        <w:rPr>
          <w:lang w:val="en-CA"/>
        </w:rPr>
        <w:t xml:space="preserve"> the appellant</w:t>
      </w:r>
      <w:r w:rsidR="002802DA" w:rsidRPr="005545AF">
        <w:rPr>
          <w:lang w:val="en-CA"/>
        </w:rPr>
        <w:t xml:space="preserve">. </w:t>
      </w:r>
      <w:r w:rsidR="00E82BDC" w:rsidRPr="005545AF">
        <w:rPr>
          <w:lang w:val="en-CA"/>
        </w:rPr>
        <w:t xml:space="preserve">In support of his decision, the judge distinguished this case from </w:t>
      </w:r>
      <w:r w:rsidR="002802DA" w:rsidRPr="005545AF">
        <w:rPr>
          <w:i/>
          <w:iCs/>
          <w:lang w:val="en-CA"/>
        </w:rPr>
        <w:t xml:space="preserve">Google Inc. </w:t>
      </w:r>
      <w:r w:rsidR="00E82BDC" w:rsidRPr="005545AF">
        <w:rPr>
          <w:i/>
          <w:iCs/>
          <w:lang w:val="en-CA"/>
        </w:rPr>
        <w:t>v</w:t>
      </w:r>
      <w:r w:rsidR="002802DA" w:rsidRPr="005545AF">
        <w:rPr>
          <w:i/>
          <w:iCs/>
          <w:lang w:val="en-CA"/>
        </w:rPr>
        <w:t>.</w:t>
      </w:r>
      <w:r w:rsidR="002802DA" w:rsidRPr="005545AF">
        <w:rPr>
          <w:lang w:val="en-CA"/>
        </w:rPr>
        <w:t xml:space="preserve"> </w:t>
      </w:r>
      <w:r w:rsidR="002802DA" w:rsidRPr="005545AF">
        <w:rPr>
          <w:i/>
          <w:iCs/>
          <w:lang w:val="en-CA"/>
        </w:rPr>
        <w:t>Equustek Solutions Inc.</w:t>
      </w:r>
      <w:bookmarkStart w:id="78" w:name="_Ref207631990"/>
      <w:r w:rsidR="00E82BDC" w:rsidRPr="005545AF">
        <w:rPr>
          <w:lang w:val="en-CA"/>
        </w:rPr>
        <w:t>,</w:t>
      </w:r>
      <w:r w:rsidR="002802DA" w:rsidRPr="005545AF">
        <w:rPr>
          <w:rStyle w:val="Appelnotedebasdep"/>
          <w:lang w:val="en-CA"/>
        </w:rPr>
        <w:footnoteReference w:id="176"/>
      </w:r>
      <w:bookmarkEnd w:id="78"/>
      <w:r w:rsidR="00E82BDC" w:rsidRPr="005545AF">
        <w:rPr>
          <w:lang w:val="en-CA"/>
        </w:rPr>
        <w:t xml:space="preserve"> upon </w:t>
      </w:r>
      <w:r w:rsidR="004A45DA" w:rsidRPr="005545AF">
        <w:rPr>
          <w:lang w:val="en-CA"/>
        </w:rPr>
        <w:t xml:space="preserve">which </w:t>
      </w:r>
      <w:r w:rsidR="00E82BDC" w:rsidRPr="005545AF">
        <w:rPr>
          <w:lang w:val="en-CA"/>
        </w:rPr>
        <w:t>the appellant</w:t>
      </w:r>
      <w:r w:rsidR="004A45DA" w:rsidRPr="005545AF">
        <w:rPr>
          <w:lang w:val="en-CA"/>
        </w:rPr>
        <w:t xml:space="preserve"> relied</w:t>
      </w:r>
      <w:r w:rsidR="00E82BDC" w:rsidRPr="005545AF">
        <w:rPr>
          <w:lang w:val="en-CA"/>
        </w:rPr>
        <w:t xml:space="preserve">, </w:t>
      </w:r>
      <w:r w:rsidR="00E8590D" w:rsidRPr="005545AF">
        <w:rPr>
          <w:lang w:val="en-CA"/>
        </w:rPr>
        <w:t>because</w:t>
      </w:r>
      <w:r w:rsidR="00C2333E" w:rsidRPr="005545AF">
        <w:rPr>
          <w:lang w:val="en-CA"/>
        </w:rPr>
        <w:t xml:space="preserve"> that </w:t>
      </w:r>
      <w:r w:rsidR="00E82BDC" w:rsidRPr="005545AF">
        <w:rPr>
          <w:lang w:val="en-CA"/>
        </w:rPr>
        <w:t xml:space="preserve">case, </w:t>
      </w:r>
      <w:r w:rsidR="00C55C2D" w:rsidRPr="005545AF">
        <w:rPr>
          <w:lang w:val="en-CA"/>
        </w:rPr>
        <w:t>which involved</w:t>
      </w:r>
      <w:r w:rsidR="00E82BDC" w:rsidRPr="005545AF">
        <w:rPr>
          <w:lang w:val="en-CA"/>
        </w:rPr>
        <w:t xml:space="preserve"> </w:t>
      </w:r>
      <w:r w:rsidR="00C55C2D" w:rsidRPr="005545AF">
        <w:rPr>
          <w:lang w:val="en-CA"/>
        </w:rPr>
        <w:t xml:space="preserve">the infringement of intellectual </w:t>
      </w:r>
      <w:r w:rsidR="00E82BDC" w:rsidRPr="005545AF">
        <w:rPr>
          <w:lang w:val="en-CA"/>
        </w:rPr>
        <w:t>property</w:t>
      </w:r>
      <w:r w:rsidR="002802DA" w:rsidRPr="005545AF">
        <w:rPr>
          <w:lang w:val="en-CA"/>
        </w:rPr>
        <w:t xml:space="preserve">, </w:t>
      </w:r>
      <w:r w:rsidR="00C2333E" w:rsidRPr="005545AF">
        <w:rPr>
          <w:lang w:val="en-CA"/>
        </w:rPr>
        <w:t xml:space="preserve">raised </w:t>
      </w:r>
      <w:r w:rsidR="00C55C2D" w:rsidRPr="005545AF">
        <w:rPr>
          <w:lang w:val="en-CA"/>
        </w:rPr>
        <w:t xml:space="preserve">an important issue of protecting the effectiveness and integrity of the Canadian judicial process, </w:t>
      </w:r>
      <w:r w:rsidR="00C2333E" w:rsidRPr="005545AF">
        <w:rPr>
          <w:lang w:val="en-CA"/>
        </w:rPr>
        <w:t>an issue that is not found here</w:t>
      </w:r>
      <w:r w:rsidR="002802DA" w:rsidRPr="005545AF">
        <w:rPr>
          <w:lang w:val="en-CA"/>
        </w:rPr>
        <w:t xml:space="preserve">. </w:t>
      </w:r>
      <w:r w:rsidR="00C55C2D" w:rsidRPr="005545AF">
        <w:rPr>
          <w:lang w:val="en-CA"/>
        </w:rPr>
        <w:t>The judge determined that the websites injunction should be limited to Qu</w:t>
      </w:r>
      <w:r w:rsidR="00372291" w:rsidRPr="005545AF">
        <w:rPr>
          <w:lang w:val="en-CA"/>
        </w:rPr>
        <w:t>e</w:t>
      </w:r>
      <w:r w:rsidR="00C55C2D" w:rsidRPr="005545AF">
        <w:rPr>
          <w:lang w:val="en-CA"/>
        </w:rPr>
        <w:t xml:space="preserve">bec, since it </w:t>
      </w:r>
      <w:r w:rsidR="00372291" w:rsidRPr="005545AF">
        <w:rPr>
          <w:lang w:val="en-CA"/>
        </w:rPr>
        <w:t xml:space="preserve">was ordered to remedy an injury sustained in Quebec. Finally, regarding the ineffectiveness of the remedy </w:t>
      </w:r>
      <w:r w:rsidR="00C2333E" w:rsidRPr="005545AF">
        <w:rPr>
          <w:lang w:val="en-CA"/>
        </w:rPr>
        <w:t>with respect to</w:t>
      </w:r>
      <w:r w:rsidR="00372291" w:rsidRPr="005545AF">
        <w:rPr>
          <w:lang w:val="en-CA"/>
        </w:rPr>
        <w:t xml:space="preserve"> searches done in the United States, the judge concluded that </w:t>
      </w:r>
      <w:r w:rsidR="00C2333E" w:rsidRPr="005545AF">
        <w:rPr>
          <w:lang w:val="en-CA"/>
        </w:rPr>
        <w:t>it</w:t>
      </w:r>
      <w:r w:rsidR="00372291" w:rsidRPr="005545AF">
        <w:rPr>
          <w:lang w:val="en-CA"/>
        </w:rPr>
        <w:t xml:space="preserve"> is the result of American legislative policy,</w:t>
      </w:r>
      <w:r w:rsidR="002802DA" w:rsidRPr="005545AF">
        <w:rPr>
          <w:lang w:val="en-CA"/>
        </w:rPr>
        <w:t xml:space="preserve"> </w:t>
      </w:r>
      <w:r w:rsidR="00372291" w:rsidRPr="005545AF">
        <w:rPr>
          <w:lang w:val="en-CA"/>
        </w:rPr>
        <w:t>embodied by s.</w:t>
      </w:r>
      <w:r w:rsidR="002802DA" w:rsidRPr="005545AF">
        <w:rPr>
          <w:lang w:val="en-CA"/>
        </w:rPr>
        <w:t xml:space="preserve"> 230(c)(1) </w:t>
      </w:r>
      <w:r w:rsidR="002802DA" w:rsidRPr="005545AF">
        <w:rPr>
          <w:i/>
          <w:iCs/>
          <w:lang w:val="en-CA"/>
        </w:rPr>
        <w:t>CDA</w:t>
      </w:r>
      <w:r w:rsidR="00C2333E" w:rsidRPr="005545AF">
        <w:rPr>
          <w:lang w:val="en-CA"/>
        </w:rPr>
        <w:t>,</w:t>
      </w:r>
      <w:r w:rsidR="002802DA" w:rsidRPr="005545AF">
        <w:rPr>
          <w:lang w:val="en-CA"/>
        </w:rPr>
        <w:t xml:space="preserve"> </w:t>
      </w:r>
      <w:r w:rsidR="00C2333E" w:rsidRPr="005545AF">
        <w:rPr>
          <w:lang w:val="en-CA"/>
        </w:rPr>
        <w:t>which</w:t>
      </w:r>
      <w:r w:rsidR="00372291" w:rsidRPr="005545AF">
        <w:rPr>
          <w:lang w:val="en-CA"/>
        </w:rPr>
        <w:t xml:space="preserve"> should not be </w:t>
      </w:r>
      <w:r w:rsidR="00C2333E" w:rsidRPr="005545AF">
        <w:rPr>
          <w:lang w:val="en-CA"/>
        </w:rPr>
        <w:t>permitted</w:t>
      </w:r>
      <w:r w:rsidR="00372291" w:rsidRPr="005545AF">
        <w:rPr>
          <w:lang w:val="en-CA"/>
        </w:rPr>
        <w:t xml:space="preserve"> to be circumvented, as a matter of international comity.</w:t>
      </w:r>
      <w:r w:rsidR="002802DA" w:rsidRPr="005545AF">
        <w:rPr>
          <w:rStyle w:val="Appelnotedebasdep"/>
          <w:lang w:val="en-CA"/>
        </w:rPr>
        <w:footnoteReference w:id="177"/>
      </w:r>
    </w:p>
    <w:p w14:paraId="1CBAF430" w14:textId="17184055" w:rsidR="002802DA" w:rsidRPr="005545AF" w:rsidRDefault="00C2333E" w:rsidP="001F7377">
      <w:pPr>
        <w:pStyle w:val="Paragraphe"/>
        <w:spacing w:line="240" w:lineRule="auto"/>
        <w:rPr>
          <w:lang w:val="en-CA"/>
        </w:rPr>
      </w:pPr>
      <w:r w:rsidRPr="005545AF">
        <w:rPr>
          <w:lang w:val="en-CA"/>
        </w:rPr>
        <w:t xml:space="preserve">On appeal, the appellant argues that the Superior Court has jurisdiction to order a world-wide injunction and that the sole criterion that should guide the Court here is the necessity of such a measure </w:t>
      </w:r>
      <w:r w:rsidR="000E7C7C" w:rsidRPr="005545AF">
        <w:rPr>
          <w:lang w:val="en-CA"/>
        </w:rPr>
        <w:t>in</w:t>
      </w:r>
      <w:r w:rsidRPr="005545AF">
        <w:rPr>
          <w:lang w:val="en-CA"/>
        </w:rPr>
        <w:t xml:space="preserve"> ensur</w:t>
      </w:r>
      <w:r w:rsidR="000E7C7C" w:rsidRPr="005545AF">
        <w:rPr>
          <w:lang w:val="en-CA"/>
        </w:rPr>
        <w:t>ing</w:t>
      </w:r>
      <w:r w:rsidRPr="005545AF">
        <w:rPr>
          <w:lang w:val="en-CA"/>
        </w:rPr>
        <w:t xml:space="preserve"> the remedy’s</w:t>
      </w:r>
      <w:r w:rsidR="00BF2386" w:rsidRPr="005545AF">
        <w:rPr>
          <w:lang w:val="en-CA"/>
        </w:rPr>
        <w:t xml:space="preserve"> effectiveness</w:t>
      </w:r>
      <w:r w:rsidR="002802DA" w:rsidRPr="005545AF">
        <w:rPr>
          <w:lang w:val="en-CA"/>
        </w:rPr>
        <w:t xml:space="preserve">. </w:t>
      </w:r>
      <w:r w:rsidR="00BF2386" w:rsidRPr="005545AF">
        <w:rPr>
          <w:lang w:val="en-CA"/>
        </w:rPr>
        <w:t>However, he argues, because the injury he is sustaining comes from the search results generated by Google throughout the world, an injunction limited to Quebec would maintain him in a permanent state of fear, thus allowing the injury to continue</w:t>
      </w:r>
      <w:r w:rsidR="002802DA" w:rsidRPr="005545AF">
        <w:rPr>
          <w:lang w:val="en-CA"/>
        </w:rPr>
        <w:t xml:space="preserve">. </w:t>
      </w:r>
      <w:r w:rsidR="00BF2386" w:rsidRPr="005545AF">
        <w:rPr>
          <w:lang w:val="en-CA"/>
        </w:rPr>
        <w:t xml:space="preserve">Regarding the </w:t>
      </w:r>
      <w:r w:rsidR="00E8590D" w:rsidRPr="005545AF">
        <w:rPr>
          <w:lang w:val="en-CA"/>
        </w:rPr>
        <w:t xml:space="preserve">principle of </w:t>
      </w:r>
      <w:r w:rsidR="00BF2386" w:rsidRPr="005545AF">
        <w:rPr>
          <w:lang w:val="en-CA"/>
        </w:rPr>
        <w:t>international comity</w:t>
      </w:r>
      <w:r w:rsidR="002802DA" w:rsidRPr="005545AF">
        <w:rPr>
          <w:lang w:val="en-CA"/>
        </w:rPr>
        <w:t xml:space="preserve">, </w:t>
      </w:r>
      <w:r w:rsidR="00BF2386" w:rsidRPr="005545AF">
        <w:rPr>
          <w:lang w:val="en-CA"/>
        </w:rPr>
        <w:t>the appellant</w:t>
      </w:r>
      <w:r w:rsidR="006D490D" w:rsidRPr="005545AF">
        <w:rPr>
          <w:lang w:val="en-CA"/>
        </w:rPr>
        <w:t xml:space="preserve"> argues that the judge misapprehended </w:t>
      </w:r>
      <w:r w:rsidR="002802DA" w:rsidRPr="005545AF">
        <w:rPr>
          <w:i/>
          <w:iCs/>
          <w:lang w:val="en-CA"/>
        </w:rPr>
        <w:t>Equutstek</w:t>
      </w:r>
      <w:r w:rsidR="006D490D" w:rsidRPr="005545AF">
        <w:rPr>
          <w:lang w:val="en-CA"/>
        </w:rPr>
        <w:t xml:space="preserve">, given that in this case, the injunctions sought would not place </w:t>
      </w:r>
      <w:r w:rsidR="002802DA" w:rsidRPr="005545AF">
        <w:rPr>
          <w:lang w:val="en-CA"/>
        </w:rPr>
        <w:t xml:space="preserve">Google </w:t>
      </w:r>
      <w:r w:rsidR="006D490D" w:rsidRPr="005545AF">
        <w:rPr>
          <w:lang w:val="en-CA"/>
        </w:rPr>
        <w:t>in a position where it would have to violate U.S. laws to comply with the injunction</w:t>
      </w:r>
      <w:r w:rsidR="002802DA" w:rsidRPr="005545AF">
        <w:rPr>
          <w:lang w:val="en-CA"/>
        </w:rPr>
        <w:t xml:space="preserve">. </w:t>
      </w:r>
      <w:r w:rsidR="006D490D" w:rsidRPr="005545AF">
        <w:rPr>
          <w:lang w:val="en-CA"/>
        </w:rPr>
        <w:t>As proof of this,</w:t>
      </w:r>
      <w:r w:rsidR="002802DA" w:rsidRPr="005545AF">
        <w:rPr>
          <w:lang w:val="en-CA"/>
        </w:rPr>
        <w:t xml:space="preserve"> Anthony Nichols, </w:t>
      </w:r>
      <w:r w:rsidR="006D490D" w:rsidRPr="005545AF">
        <w:rPr>
          <w:lang w:val="en-CA"/>
        </w:rPr>
        <w:t>Google’s representative, testified that Google would voluntarily de-index the link if a court found that the content it referenced was defamatory</w:t>
      </w:r>
      <w:r w:rsidR="002802DA" w:rsidRPr="005545AF">
        <w:rPr>
          <w:lang w:val="en-CA"/>
        </w:rPr>
        <w:t xml:space="preserve">. </w:t>
      </w:r>
    </w:p>
    <w:p w14:paraId="4B36876A" w14:textId="4293024C" w:rsidR="002802DA" w:rsidRPr="005545AF" w:rsidRDefault="006955C2" w:rsidP="001F7377">
      <w:pPr>
        <w:pStyle w:val="Paragraphe"/>
        <w:spacing w:line="240" w:lineRule="auto"/>
        <w:rPr>
          <w:lang w:val="en-CA"/>
        </w:rPr>
      </w:pPr>
      <w:r w:rsidRPr="005545AF">
        <w:rPr>
          <w:lang w:val="en-CA"/>
        </w:rPr>
        <w:t xml:space="preserve">For its part, </w:t>
      </w:r>
      <w:r w:rsidR="002802DA" w:rsidRPr="005545AF">
        <w:rPr>
          <w:lang w:val="en-CA"/>
        </w:rPr>
        <w:t xml:space="preserve">Google </w:t>
      </w:r>
      <w:r w:rsidRPr="005545AF">
        <w:rPr>
          <w:lang w:val="en-CA"/>
        </w:rPr>
        <w:t>argues that the effectiveness test articulated in</w:t>
      </w:r>
      <w:r w:rsidR="002802DA" w:rsidRPr="005545AF">
        <w:rPr>
          <w:lang w:val="en-CA"/>
        </w:rPr>
        <w:t xml:space="preserve"> </w:t>
      </w:r>
      <w:r w:rsidR="00855FA8" w:rsidRPr="005545AF">
        <w:rPr>
          <w:i/>
          <w:iCs/>
          <w:lang w:val="en-CA"/>
        </w:rPr>
        <w:t>Equustek</w:t>
      </w:r>
      <w:r w:rsidR="002802DA" w:rsidRPr="005545AF">
        <w:rPr>
          <w:lang w:val="en-CA"/>
        </w:rPr>
        <w:t xml:space="preserve"> </w:t>
      </w:r>
      <w:r w:rsidRPr="005545AF">
        <w:rPr>
          <w:lang w:val="en-CA"/>
        </w:rPr>
        <w:t>means that a world-wide injunction is justified only where there exists a risk that a defendant will avoid its application by circumventing the court’s territorial jurisdiction, which is not the case here</w:t>
      </w:r>
      <w:r w:rsidR="002802DA" w:rsidRPr="005545AF">
        <w:rPr>
          <w:lang w:val="en-CA"/>
        </w:rPr>
        <w:t xml:space="preserve">. </w:t>
      </w:r>
      <w:r w:rsidRPr="005545AF">
        <w:rPr>
          <w:lang w:val="en-CA"/>
        </w:rPr>
        <w:t>Mo</w:t>
      </w:r>
      <w:r w:rsidR="00855FA8" w:rsidRPr="005545AF">
        <w:rPr>
          <w:lang w:val="en-CA"/>
        </w:rPr>
        <w:t>st</w:t>
      </w:r>
      <w:r w:rsidRPr="005545AF">
        <w:rPr>
          <w:lang w:val="en-CA"/>
        </w:rPr>
        <w:t xml:space="preserve"> importantly, however,</w:t>
      </w:r>
      <w:r w:rsidR="002802DA" w:rsidRPr="005545AF">
        <w:rPr>
          <w:lang w:val="en-CA"/>
        </w:rPr>
        <w:t xml:space="preserve"> </w:t>
      </w:r>
      <w:r w:rsidRPr="005545AF">
        <w:rPr>
          <w:lang w:val="en-CA"/>
        </w:rPr>
        <w:t xml:space="preserve">Google points out that </w:t>
      </w:r>
      <w:r w:rsidR="00855FA8" w:rsidRPr="005545AF">
        <w:rPr>
          <w:i/>
          <w:iCs/>
          <w:lang w:val="en-CA"/>
        </w:rPr>
        <w:t>Equustek</w:t>
      </w:r>
      <w:r w:rsidRPr="005545AF">
        <w:rPr>
          <w:lang w:val="en-CA"/>
        </w:rPr>
        <w:t xml:space="preserve"> involved the protection of intellectual property which</w:t>
      </w:r>
      <w:r w:rsidR="00855FA8" w:rsidRPr="005545AF">
        <w:rPr>
          <w:lang w:val="en-CA"/>
        </w:rPr>
        <w:t xml:space="preserve">, again, </w:t>
      </w:r>
      <w:r w:rsidRPr="005545AF">
        <w:rPr>
          <w:lang w:val="en-CA"/>
        </w:rPr>
        <w:t xml:space="preserve">is not the case here. While the infringement of intellectual property rights is illegal </w:t>
      </w:r>
      <w:r w:rsidR="005E2F6E" w:rsidRPr="005545AF">
        <w:rPr>
          <w:lang w:val="en-CA"/>
        </w:rPr>
        <w:t>throughout the world, the balancing between freedom of expression and the removal of defamatory posts varies according to nation-specific values</w:t>
      </w:r>
      <w:r w:rsidR="002802DA" w:rsidRPr="005545AF">
        <w:rPr>
          <w:lang w:val="en-CA"/>
        </w:rPr>
        <w:t xml:space="preserve">. </w:t>
      </w:r>
      <w:r w:rsidR="005E2F6E" w:rsidRPr="005545AF">
        <w:rPr>
          <w:lang w:val="en-CA"/>
        </w:rPr>
        <w:t>In such a case</w:t>
      </w:r>
      <w:r w:rsidR="002802DA" w:rsidRPr="005545AF">
        <w:rPr>
          <w:lang w:val="en-CA"/>
        </w:rPr>
        <w:t xml:space="preserve">, </w:t>
      </w:r>
      <w:r w:rsidR="005E2F6E" w:rsidRPr="005545AF">
        <w:rPr>
          <w:lang w:val="en-CA"/>
        </w:rPr>
        <w:t xml:space="preserve">it is important to ensure that national laws, in this case, s. 230 (c)(1) </w:t>
      </w:r>
      <w:r w:rsidR="005E2F6E" w:rsidRPr="005545AF">
        <w:rPr>
          <w:i/>
          <w:iCs/>
          <w:lang w:val="en-CA"/>
        </w:rPr>
        <w:t>CDA</w:t>
      </w:r>
      <w:r w:rsidR="005E2F6E" w:rsidRPr="005545AF">
        <w:rPr>
          <w:lang w:val="en-CA"/>
        </w:rPr>
        <w:t>, are not circumvented by seeking the court most likely to grant the order sought</w:t>
      </w:r>
      <w:r w:rsidR="002802DA" w:rsidRPr="005545AF">
        <w:rPr>
          <w:lang w:val="en-CA"/>
        </w:rPr>
        <w:t xml:space="preserve">. </w:t>
      </w:r>
      <w:r w:rsidR="005E2F6E" w:rsidRPr="005545AF">
        <w:rPr>
          <w:lang w:val="en-CA"/>
        </w:rPr>
        <w:t>In that sense</w:t>
      </w:r>
      <w:r w:rsidR="002802DA" w:rsidRPr="005545AF">
        <w:rPr>
          <w:lang w:val="en-CA"/>
        </w:rPr>
        <w:t xml:space="preserve">, </w:t>
      </w:r>
      <w:r w:rsidR="005E2F6E" w:rsidRPr="005545AF">
        <w:rPr>
          <w:lang w:val="en-CA"/>
        </w:rPr>
        <w:t>the principle of international comity must be taken into account</w:t>
      </w:r>
      <w:r w:rsidR="002802DA" w:rsidRPr="005545AF">
        <w:rPr>
          <w:lang w:val="en-CA"/>
        </w:rPr>
        <w:t xml:space="preserve">, </w:t>
      </w:r>
      <w:r w:rsidR="005E2F6E" w:rsidRPr="005545AF">
        <w:rPr>
          <w:lang w:val="en-CA"/>
        </w:rPr>
        <w:t xml:space="preserve">as did the judge, where the order sought is unavailable under foreign law, which is the case here, to avoid giving an extraterritorial effect to the </w:t>
      </w:r>
      <w:r w:rsidR="005E2F6E" w:rsidRPr="005545AF">
        <w:rPr>
          <w:i/>
          <w:iCs/>
          <w:lang w:val="en-CA"/>
        </w:rPr>
        <w:t>IT Framework Act</w:t>
      </w:r>
      <w:r w:rsidR="002802DA" w:rsidRPr="005545AF">
        <w:rPr>
          <w:lang w:val="en-CA"/>
        </w:rPr>
        <w:t xml:space="preserve">. </w:t>
      </w:r>
      <w:r w:rsidR="005E2F6E" w:rsidRPr="005545AF">
        <w:rPr>
          <w:lang w:val="en-CA"/>
        </w:rPr>
        <w:t xml:space="preserve">Finally, </w:t>
      </w:r>
      <w:r w:rsidR="005E2F6E" w:rsidRPr="005545AF">
        <w:rPr>
          <w:lang w:val="en-CA"/>
        </w:rPr>
        <w:lastRenderedPageBreak/>
        <w:t xml:space="preserve">Google submits that because of the relativism of values and the protection of freedom of expression, the </w:t>
      </w:r>
      <w:r w:rsidR="009E1410" w:rsidRPr="005545AF">
        <w:rPr>
          <w:lang w:val="en-CA"/>
        </w:rPr>
        <w:t xml:space="preserve">idea of a world-wide injunction in such matters creates a real danger that </w:t>
      </w:r>
      <w:r w:rsidR="00C93EB9" w:rsidRPr="005545AF">
        <w:rPr>
          <w:lang w:val="en-CA"/>
        </w:rPr>
        <w:t>Google</w:t>
      </w:r>
      <w:r w:rsidR="009E1410" w:rsidRPr="005545AF">
        <w:rPr>
          <w:lang w:val="en-CA"/>
        </w:rPr>
        <w:t xml:space="preserve"> would have to de-index, at the request of courts in non-democratic countries, political or otherwise prohibited content in those countries</w:t>
      </w:r>
      <w:r w:rsidR="002802DA" w:rsidRPr="005545AF">
        <w:rPr>
          <w:lang w:val="en-CA"/>
        </w:rPr>
        <w:t>.</w:t>
      </w:r>
    </w:p>
    <w:p w14:paraId="05F5CD45" w14:textId="0F654D6D" w:rsidR="002802DA" w:rsidRPr="005545AF" w:rsidRDefault="00F0084C" w:rsidP="001F7377">
      <w:pPr>
        <w:pStyle w:val="Paragraphe"/>
        <w:spacing w:line="240" w:lineRule="auto"/>
        <w:rPr>
          <w:lang w:val="en-CA"/>
        </w:rPr>
      </w:pPr>
      <w:r w:rsidRPr="005545AF">
        <w:rPr>
          <w:lang w:val="en-CA"/>
        </w:rPr>
        <w:t xml:space="preserve">The issue is certainly not simple and implies a difficult arbitration between what is </w:t>
      </w:r>
      <w:r w:rsidR="00172400" w:rsidRPr="005545AF">
        <w:rPr>
          <w:lang w:val="en-CA"/>
        </w:rPr>
        <w:t xml:space="preserve">required to </w:t>
      </w:r>
      <w:r w:rsidRPr="005545AF">
        <w:rPr>
          <w:lang w:val="en-CA"/>
        </w:rPr>
        <w:t>full</w:t>
      </w:r>
      <w:r w:rsidR="00172400" w:rsidRPr="005545AF">
        <w:rPr>
          <w:lang w:val="en-CA"/>
        </w:rPr>
        <w:t>y</w:t>
      </w:r>
      <w:r w:rsidRPr="005545AF">
        <w:rPr>
          <w:lang w:val="en-CA"/>
        </w:rPr>
        <w:t xml:space="preserve"> repair the appellant’s injury, on the one hand, </w:t>
      </w:r>
      <w:r w:rsidR="003D43E6" w:rsidRPr="005545AF">
        <w:rPr>
          <w:lang w:val="en-CA"/>
        </w:rPr>
        <w:t>and a consideration</w:t>
      </w:r>
      <w:r w:rsidRPr="005545AF">
        <w:rPr>
          <w:lang w:val="en-CA"/>
        </w:rPr>
        <w:t xml:space="preserve"> </w:t>
      </w:r>
      <w:r w:rsidR="003D43E6" w:rsidRPr="005545AF">
        <w:rPr>
          <w:lang w:val="en-CA"/>
        </w:rPr>
        <w:t xml:space="preserve">of </w:t>
      </w:r>
      <w:r w:rsidRPr="005545AF">
        <w:rPr>
          <w:lang w:val="en-CA"/>
        </w:rPr>
        <w:t>the danger properly raised by Google, on the other.</w:t>
      </w:r>
      <w:r w:rsidR="002802DA" w:rsidRPr="005545AF">
        <w:rPr>
          <w:rStyle w:val="Appelnotedebasdep"/>
          <w:lang w:val="en-CA"/>
        </w:rPr>
        <w:footnoteReference w:id="178"/>
      </w:r>
      <w:r w:rsidR="002802DA" w:rsidRPr="005545AF">
        <w:rPr>
          <w:lang w:val="en-CA"/>
        </w:rPr>
        <w:t xml:space="preserve"> </w:t>
      </w:r>
      <w:r w:rsidRPr="005545AF">
        <w:rPr>
          <w:lang w:val="en-CA"/>
        </w:rPr>
        <w:t>That assessment is a matter of discretion on the part of the trier of fact and the Court should only intervene in the event of a palpable and overriding error, which is not the case here</w:t>
      </w:r>
      <w:r w:rsidR="002802DA" w:rsidRPr="005545AF">
        <w:rPr>
          <w:lang w:val="en-CA"/>
        </w:rPr>
        <w:t xml:space="preserve">. </w:t>
      </w:r>
      <w:r w:rsidRPr="005545AF">
        <w:rPr>
          <w:lang w:val="en-CA"/>
        </w:rPr>
        <w:t>In the case at bar, the judge had good reasons to reach a conclusion</w:t>
      </w:r>
      <w:r w:rsidR="002802DA" w:rsidRPr="005545AF">
        <w:rPr>
          <w:lang w:val="en-CA"/>
        </w:rPr>
        <w:t xml:space="preserve"> </w:t>
      </w:r>
      <w:r w:rsidRPr="005545AF">
        <w:rPr>
          <w:lang w:val="en-CA"/>
        </w:rPr>
        <w:t>that differed from that in</w:t>
      </w:r>
      <w:r w:rsidR="002802DA" w:rsidRPr="005545AF">
        <w:rPr>
          <w:lang w:val="en-CA"/>
        </w:rPr>
        <w:t xml:space="preserve"> </w:t>
      </w:r>
      <w:r w:rsidR="00855FA8" w:rsidRPr="005545AF">
        <w:rPr>
          <w:i/>
          <w:iCs/>
          <w:lang w:val="en-CA"/>
        </w:rPr>
        <w:t>Equustek</w:t>
      </w:r>
      <w:r w:rsidR="002802DA" w:rsidRPr="005545AF">
        <w:rPr>
          <w:lang w:val="en-CA"/>
        </w:rPr>
        <w:t xml:space="preserve">. </w:t>
      </w:r>
      <w:r w:rsidRPr="005545AF">
        <w:rPr>
          <w:lang w:val="en-CA"/>
        </w:rPr>
        <w:t>Considering its importance</w:t>
      </w:r>
      <w:r w:rsidR="00172400" w:rsidRPr="005545AF">
        <w:rPr>
          <w:lang w:val="en-CA"/>
        </w:rPr>
        <w:t xml:space="preserve"> for the debate, it is helpful to recall the context and the majority reasons of the Supreme Court in that decision</w:t>
      </w:r>
      <w:r w:rsidR="002802DA" w:rsidRPr="005545AF">
        <w:rPr>
          <w:lang w:val="en-CA"/>
        </w:rPr>
        <w:t>.</w:t>
      </w:r>
    </w:p>
    <w:p w14:paraId="41D088CA" w14:textId="2560D4F7" w:rsidR="002802DA" w:rsidRPr="005545AF" w:rsidRDefault="00855FA8" w:rsidP="001F7377">
      <w:pPr>
        <w:pStyle w:val="Paragraphe"/>
        <w:spacing w:line="240" w:lineRule="auto"/>
        <w:rPr>
          <w:lang w:val="en-CA"/>
        </w:rPr>
      </w:pPr>
      <w:r w:rsidRPr="005545AF">
        <w:rPr>
          <w:i/>
          <w:iCs/>
          <w:lang w:val="en-CA"/>
        </w:rPr>
        <w:t>Equustek</w:t>
      </w:r>
      <w:r w:rsidR="002802DA" w:rsidRPr="005545AF">
        <w:rPr>
          <w:lang w:val="en-CA"/>
        </w:rPr>
        <w:t xml:space="preserve">, </w:t>
      </w:r>
      <w:r w:rsidR="00172400" w:rsidRPr="005545AF">
        <w:rPr>
          <w:lang w:val="en-CA"/>
        </w:rPr>
        <w:t>a British Columbia technology company</w:t>
      </w:r>
      <w:r w:rsidR="002802DA" w:rsidRPr="005545AF">
        <w:rPr>
          <w:lang w:val="en-CA"/>
        </w:rPr>
        <w:t xml:space="preserve">, </w:t>
      </w:r>
      <w:r w:rsidR="00172400" w:rsidRPr="005545AF">
        <w:rPr>
          <w:lang w:val="en-CA"/>
        </w:rPr>
        <w:t>sued</w:t>
      </w:r>
      <w:r w:rsidR="002802DA" w:rsidRPr="005545AF">
        <w:rPr>
          <w:lang w:val="en-CA"/>
        </w:rPr>
        <w:t xml:space="preserve"> Datalink, </w:t>
      </w:r>
      <w:r w:rsidR="00172400" w:rsidRPr="005545AF">
        <w:rPr>
          <w:lang w:val="en-CA"/>
        </w:rPr>
        <w:t>a former distributor of its products</w:t>
      </w:r>
      <w:r w:rsidR="002802DA" w:rsidRPr="005545AF">
        <w:rPr>
          <w:lang w:val="en-CA"/>
        </w:rPr>
        <w:t xml:space="preserve">, </w:t>
      </w:r>
      <w:r w:rsidR="007F4AB3" w:rsidRPr="005545AF">
        <w:rPr>
          <w:lang w:val="en-CA"/>
        </w:rPr>
        <w:t xml:space="preserve">to prevent the latter from manufacturing and selling products developed through the use of confidential information and illegally </w:t>
      </w:r>
      <w:r w:rsidR="00E84627" w:rsidRPr="005545AF">
        <w:rPr>
          <w:lang w:val="en-CA"/>
        </w:rPr>
        <w:t>acquired</w:t>
      </w:r>
      <w:r w:rsidR="007F4AB3" w:rsidRPr="005545AF">
        <w:rPr>
          <w:lang w:val="en-CA"/>
        </w:rPr>
        <w:t xml:space="preserve"> trade secrets. Following the breach of an interlocutory injunction, Datalink abandoned the proceedings and left the </w:t>
      </w:r>
      <w:r w:rsidR="00E84627" w:rsidRPr="005545AF">
        <w:rPr>
          <w:lang w:val="en-CA"/>
        </w:rPr>
        <w:t>province</w:t>
      </w:r>
      <w:r w:rsidR="007F4AB3" w:rsidRPr="005545AF">
        <w:rPr>
          <w:lang w:val="en-CA"/>
        </w:rPr>
        <w:t xml:space="preserve"> to pursue its activities elsewhere, reaching its clients via the Internet</w:t>
      </w:r>
      <w:r w:rsidR="002802DA" w:rsidRPr="005545AF">
        <w:rPr>
          <w:lang w:val="en-CA"/>
        </w:rPr>
        <w:t xml:space="preserve">. </w:t>
      </w:r>
      <w:r w:rsidR="007F4AB3" w:rsidRPr="005545AF">
        <w:rPr>
          <w:lang w:val="en-CA"/>
        </w:rPr>
        <w:t xml:space="preserve">After </w:t>
      </w:r>
      <w:r w:rsidR="007F1984" w:rsidRPr="005545AF">
        <w:rPr>
          <w:lang w:val="en-CA"/>
        </w:rPr>
        <w:t>various</w:t>
      </w:r>
      <w:r w:rsidR="007F4AB3" w:rsidRPr="005545AF">
        <w:rPr>
          <w:lang w:val="en-CA"/>
        </w:rPr>
        <w:t xml:space="preserve"> intermediate steps</w:t>
      </w:r>
      <w:r w:rsidR="002802DA" w:rsidRPr="005545AF">
        <w:rPr>
          <w:lang w:val="en-CA"/>
        </w:rPr>
        <w:t xml:space="preserve">, </w:t>
      </w:r>
      <w:r w:rsidRPr="005545AF">
        <w:rPr>
          <w:i/>
          <w:iCs/>
          <w:lang w:val="en-CA"/>
        </w:rPr>
        <w:t>Equustek</w:t>
      </w:r>
      <w:r w:rsidR="002802DA" w:rsidRPr="005545AF">
        <w:rPr>
          <w:lang w:val="en-CA"/>
        </w:rPr>
        <w:t xml:space="preserve"> </w:t>
      </w:r>
      <w:r w:rsidR="007F4AB3" w:rsidRPr="005545AF">
        <w:rPr>
          <w:lang w:val="en-CA"/>
        </w:rPr>
        <w:t>finally obtained from Supreme Court</w:t>
      </w:r>
      <w:r w:rsidR="00DF3D77" w:rsidRPr="005545AF">
        <w:rPr>
          <w:lang w:val="en-CA"/>
        </w:rPr>
        <w:t xml:space="preserve"> of British Columbia</w:t>
      </w:r>
      <w:r w:rsidR="002802DA" w:rsidRPr="005545AF">
        <w:rPr>
          <w:lang w:val="en-CA"/>
        </w:rPr>
        <w:t xml:space="preserve"> </w:t>
      </w:r>
      <w:r w:rsidR="00DF3D77" w:rsidRPr="005545AF">
        <w:rPr>
          <w:lang w:val="en-CA"/>
        </w:rPr>
        <w:t xml:space="preserve">an injunction enjoining </w:t>
      </w:r>
      <w:r w:rsidR="002802DA" w:rsidRPr="005545AF">
        <w:rPr>
          <w:lang w:val="en-CA"/>
        </w:rPr>
        <w:t xml:space="preserve">Google </w:t>
      </w:r>
      <w:r w:rsidR="00DF3D77" w:rsidRPr="005545AF">
        <w:rPr>
          <w:lang w:val="en-CA"/>
        </w:rPr>
        <w:t>to de-index any part of the Datalink websites worldwide</w:t>
      </w:r>
      <w:r w:rsidR="002802DA" w:rsidRPr="005545AF">
        <w:rPr>
          <w:lang w:val="en-CA"/>
        </w:rPr>
        <w:t xml:space="preserve">. </w:t>
      </w:r>
      <w:r w:rsidR="00DF3D77" w:rsidRPr="005545AF">
        <w:rPr>
          <w:lang w:val="en-CA"/>
        </w:rPr>
        <w:t>That decision was based on the judge’s finding that</w:t>
      </w:r>
      <w:r w:rsidR="002802DA" w:rsidRPr="005545AF">
        <w:rPr>
          <w:lang w:val="en-CA"/>
        </w:rPr>
        <w:t xml:space="preserve"> 1) </w:t>
      </w:r>
      <w:r w:rsidR="00DF3D77" w:rsidRPr="005545AF">
        <w:rPr>
          <w:lang w:val="en-CA"/>
        </w:rPr>
        <w:t>Datalink’s ability to sell its product was, in large part, contingent on customers being able to locate the company’s link via Google and</w:t>
      </w:r>
      <w:r w:rsidR="002802DA" w:rsidRPr="005545AF">
        <w:rPr>
          <w:lang w:val="en-CA"/>
        </w:rPr>
        <w:t xml:space="preserve"> 2) </w:t>
      </w:r>
      <w:r w:rsidR="007F1984" w:rsidRPr="005545AF">
        <w:rPr>
          <w:lang w:val="en-CA"/>
        </w:rPr>
        <w:t>to be effective</w:t>
      </w:r>
      <w:r w:rsidR="00DF3D77" w:rsidRPr="005545AF">
        <w:rPr>
          <w:lang w:val="en-CA"/>
        </w:rPr>
        <w:t xml:space="preserve">, even in Canada, </w:t>
      </w:r>
      <w:r w:rsidR="007F1984" w:rsidRPr="005545AF">
        <w:rPr>
          <w:lang w:val="en-CA"/>
        </w:rPr>
        <w:t>the injunction had to be</w:t>
      </w:r>
      <w:r w:rsidR="00DF3D77" w:rsidRPr="005545AF">
        <w:rPr>
          <w:lang w:val="en-CA"/>
        </w:rPr>
        <w:t xml:space="preserve"> world-wide.</w:t>
      </w:r>
      <w:r w:rsidR="002802DA" w:rsidRPr="005545AF">
        <w:rPr>
          <w:rStyle w:val="Appelnotedebasdep"/>
          <w:lang w:val="en-CA"/>
        </w:rPr>
        <w:footnoteReference w:id="179"/>
      </w:r>
      <w:r w:rsidR="00DF3D77" w:rsidRPr="005545AF">
        <w:rPr>
          <w:lang w:val="en-CA"/>
        </w:rPr>
        <w:t xml:space="preserve"> After the Court of Appeal </w:t>
      </w:r>
      <w:r w:rsidR="001F6C2D" w:rsidRPr="005545AF">
        <w:rPr>
          <w:lang w:val="en-CA"/>
        </w:rPr>
        <w:t>uphel</w:t>
      </w:r>
      <w:r w:rsidR="00DF3D77" w:rsidRPr="005545AF">
        <w:rPr>
          <w:lang w:val="en-CA"/>
        </w:rPr>
        <w:t>d that decision, the Supreme Court did likewise in a majority decision</w:t>
      </w:r>
      <w:r w:rsidR="002802DA" w:rsidRPr="005545AF">
        <w:rPr>
          <w:lang w:val="en-CA"/>
        </w:rPr>
        <w:t>.</w:t>
      </w:r>
    </w:p>
    <w:p w14:paraId="781C741D" w14:textId="04F97365" w:rsidR="002802DA" w:rsidRPr="005545AF" w:rsidRDefault="007F1984" w:rsidP="001F7377">
      <w:pPr>
        <w:pStyle w:val="Paragraphe"/>
        <w:spacing w:line="240" w:lineRule="auto"/>
        <w:rPr>
          <w:lang w:val="en-CA"/>
        </w:rPr>
      </w:pPr>
      <w:r w:rsidRPr="005545AF">
        <w:rPr>
          <w:lang w:val="en-CA"/>
        </w:rPr>
        <w:t>The majority of the Supreme Court recognized that a court can grant an injunction enjoining that person’s conduct anywhere in the world</w:t>
      </w:r>
      <w:r w:rsidRPr="005545AF">
        <w:rPr>
          <w:rStyle w:val="Appelnotedebasdep"/>
          <w:vertAlign w:val="baseline"/>
          <w:lang w:val="en-CA"/>
        </w:rPr>
        <w:t xml:space="preserve"> </w:t>
      </w:r>
      <w:r w:rsidRPr="005545AF">
        <w:rPr>
          <w:lang w:val="en-CA"/>
        </w:rPr>
        <w:t xml:space="preserve">when it has </w:t>
      </w:r>
      <w:r w:rsidRPr="005545AF">
        <w:rPr>
          <w:i/>
          <w:iCs/>
          <w:lang w:val="en-CA"/>
        </w:rPr>
        <w:t>in personam</w:t>
      </w:r>
      <w:r w:rsidRPr="005545AF">
        <w:rPr>
          <w:lang w:val="en-CA"/>
        </w:rPr>
        <w:t xml:space="preserve"> jurisdiction over that person, and where it is necessary to ensure the injunction’s effectiveness.</w:t>
      </w:r>
      <w:r w:rsidR="002802DA" w:rsidRPr="005545AF">
        <w:rPr>
          <w:rStyle w:val="Appelnotedebasdep"/>
          <w:lang w:val="en-CA"/>
        </w:rPr>
        <w:footnoteReference w:id="180"/>
      </w:r>
    </w:p>
    <w:p w14:paraId="769F685B" w14:textId="4999457E" w:rsidR="002802DA" w:rsidRPr="005545AF" w:rsidRDefault="00CC3F4D" w:rsidP="001F7377">
      <w:pPr>
        <w:pStyle w:val="Paragraphe"/>
        <w:spacing w:line="240" w:lineRule="auto"/>
        <w:rPr>
          <w:lang w:val="en-CA"/>
        </w:rPr>
      </w:pPr>
      <w:r w:rsidRPr="005545AF">
        <w:rPr>
          <w:lang w:val="en-CA"/>
        </w:rPr>
        <w:t xml:space="preserve">As is the case here, the Court’s </w:t>
      </w:r>
      <w:r w:rsidRPr="005545AF">
        <w:rPr>
          <w:i/>
          <w:iCs/>
          <w:lang w:val="en-CA"/>
        </w:rPr>
        <w:t>in personam</w:t>
      </w:r>
      <w:r w:rsidRPr="005545AF">
        <w:rPr>
          <w:lang w:val="en-CA"/>
        </w:rPr>
        <w:t xml:space="preserve"> jurisdiction was not in dispute in</w:t>
      </w:r>
      <w:r w:rsidR="002802DA" w:rsidRPr="005545AF">
        <w:rPr>
          <w:lang w:val="en-CA"/>
        </w:rPr>
        <w:t xml:space="preserve"> </w:t>
      </w:r>
      <w:r w:rsidR="00855FA8" w:rsidRPr="005545AF">
        <w:rPr>
          <w:i/>
          <w:iCs/>
          <w:lang w:val="en-CA"/>
        </w:rPr>
        <w:t>Equustek</w:t>
      </w:r>
      <w:r w:rsidR="002802DA" w:rsidRPr="005545AF">
        <w:rPr>
          <w:lang w:val="en-CA"/>
        </w:rPr>
        <w:t xml:space="preserve"> </w:t>
      </w:r>
      <w:r w:rsidRPr="005545AF">
        <w:rPr>
          <w:lang w:val="en-CA"/>
        </w:rPr>
        <w:t xml:space="preserve">and the debate focussed entirely on the necessity of a world-wide injunction and the </w:t>
      </w:r>
      <w:r w:rsidR="004B16B2" w:rsidRPr="005545AF">
        <w:rPr>
          <w:lang w:val="en-CA"/>
        </w:rPr>
        <w:t>consideration</w:t>
      </w:r>
      <w:r w:rsidRPr="005545AF">
        <w:rPr>
          <w:lang w:val="en-CA"/>
        </w:rPr>
        <w:t xml:space="preserve"> of international comity.  Here is what</w:t>
      </w:r>
      <w:r w:rsidR="002802DA" w:rsidRPr="005545AF">
        <w:rPr>
          <w:lang w:val="en-CA"/>
        </w:rPr>
        <w:t xml:space="preserve"> Abella</w:t>
      </w:r>
      <w:r w:rsidRPr="005545AF">
        <w:rPr>
          <w:lang w:val="en-CA"/>
        </w:rPr>
        <w:t xml:space="preserve"> J. wrote on behal</w:t>
      </w:r>
      <w:r w:rsidR="004B16B2" w:rsidRPr="005545AF">
        <w:rPr>
          <w:lang w:val="en-CA"/>
        </w:rPr>
        <w:t>f</w:t>
      </w:r>
      <w:r w:rsidRPr="005545AF">
        <w:rPr>
          <w:lang w:val="en-CA"/>
        </w:rPr>
        <w:t xml:space="preserve"> of the majority on these </w:t>
      </w:r>
      <w:r w:rsidR="002802DA" w:rsidRPr="005545AF">
        <w:rPr>
          <w:lang w:val="en-CA"/>
        </w:rPr>
        <w:t>points:</w:t>
      </w:r>
    </w:p>
    <w:p w14:paraId="5C735395" w14:textId="19B88D51" w:rsidR="002802DA" w:rsidRPr="005545AF" w:rsidRDefault="002802DA" w:rsidP="001F7377">
      <w:pPr>
        <w:pStyle w:val="Citationenretrait"/>
        <w:spacing w:line="240" w:lineRule="auto"/>
        <w:rPr>
          <w:rFonts w:ascii="Times New Roman" w:hAnsi="Times New Roman"/>
          <w:lang w:val="en-CA" w:eastAsia="fr-CA"/>
        </w:rPr>
      </w:pPr>
      <w:r w:rsidRPr="005545AF">
        <w:rPr>
          <w:lang w:val="en-CA"/>
        </w:rPr>
        <w:lastRenderedPageBreak/>
        <w:t>[40]</w:t>
      </w:r>
      <w:r w:rsidRPr="005545AF">
        <w:rPr>
          <w:lang w:val="en-CA"/>
        </w:rPr>
        <w:tab/>
      </w:r>
      <w:r w:rsidRPr="005545AF">
        <w:rPr>
          <w:sz w:val="14"/>
          <w:szCs w:val="14"/>
          <w:lang w:val="en-CA"/>
        </w:rPr>
        <w:t xml:space="preserve"> </w:t>
      </w:r>
      <w:r w:rsidR="000033D8" w:rsidRPr="005545AF">
        <w:rPr>
          <w:lang w:val="en-CA"/>
        </w:rPr>
        <w:t>Fenlon J. explained why Equustek’s request that the order have worldwide effect was necessary as follows</w:t>
      </w:r>
      <w:r w:rsidRPr="005545AF">
        <w:rPr>
          <w:lang w:val="en-CA"/>
        </w:rPr>
        <w:t xml:space="preserve">: </w:t>
      </w:r>
    </w:p>
    <w:p w14:paraId="4F5A63F4" w14:textId="253954A2" w:rsidR="002802DA" w:rsidRPr="005545AF" w:rsidRDefault="000033D8" w:rsidP="001F7377">
      <w:pPr>
        <w:pStyle w:val="Citationenretrait"/>
        <w:spacing w:line="240" w:lineRule="auto"/>
        <w:ind w:left="1440"/>
        <w:rPr>
          <w:lang w:val="en-CA"/>
        </w:rPr>
      </w:pPr>
      <w:r w:rsidRPr="005545AF">
        <w:rPr>
          <w:lang w:val="en-CA"/>
        </w:rPr>
        <w:t>The majority of GW1000 sales occur outside Canada. Thus, quite apart from the practical problem of endless website iterations, the option Google proposes is not equivalent to the order now sought which would compel Google to remove the [Datalink] websites from all search results generated by any of Google’s websites worldwide. I therefore conclude that [Equustek does] not have an out-of-court remedy available to [it]</w:t>
      </w:r>
      <w:r w:rsidR="002802DA" w:rsidRPr="005545AF">
        <w:rPr>
          <w:lang w:val="en-CA"/>
        </w:rPr>
        <w:t>.</w:t>
      </w:r>
    </w:p>
    <w:p w14:paraId="59B965E6" w14:textId="77777777" w:rsidR="002802DA" w:rsidRPr="005545AF" w:rsidRDefault="002802DA" w:rsidP="001F7377">
      <w:pPr>
        <w:pStyle w:val="Citationenretrait"/>
        <w:spacing w:line="240" w:lineRule="auto"/>
        <w:jc w:val="center"/>
        <w:rPr>
          <w:lang w:val="en-CA"/>
        </w:rPr>
      </w:pPr>
      <w:r w:rsidRPr="005545AF">
        <w:rPr>
          <w:lang w:val="en-CA"/>
        </w:rPr>
        <w:t>. . .</w:t>
      </w:r>
    </w:p>
    <w:p w14:paraId="388715BA" w14:textId="2E3F9E04" w:rsidR="002802DA" w:rsidRPr="005545AF" w:rsidRDefault="000033D8" w:rsidP="001F7377">
      <w:pPr>
        <w:pStyle w:val="Citationenretrait"/>
        <w:spacing w:line="240" w:lineRule="auto"/>
        <w:ind w:left="1440"/>
        <w:rPr>
          <w:lang w:val="en-CA"/>
        </w:rPr>
      </w:pPr>
      <w:r w:rsidRPr="005545AF">
        <w:rPr>
          <w:lang w:val="en-CA"/>
        </w:rPr>
        <w:t>. . . to be effective, even within Canada, Google must block search results on all of its websites</w:t>
      </w:r>
      <w:r w:rsidR="002802DA" w:rsidRPr="005545AF">
        <w:rPr>
          <w:lang w:val="en-CA"/>
        </w:rPr>
        <w:t>.</w:t>
      </w:r>
    </w:p>
    <w:p w14:paraId="31594D00" w14:textId="5C6753C4" w:rsidR="002802DA" w:rsidRPr="005545AF" w:rsidRDefault="000033D8" w:rsidP="001F7377">
      <w:pPr>
        <w:pStyle w:val="Citationenretrait"/>
        <w:spacing w:line="240" w:lineRule="auto"/>
        <w:rPr>
          <w:lang w:val="en-CA"/>
        </w:rPr>
      </w:pPr>
      <w:r w:rsidRPr="005545AF">
        <w:rPr>
          <w:lang w:val="en-CA"/>
        </w:rPr>
        <w:t>As a result, to ensure that Google did not facilitate Datalink’s breach of court orders whose purposes were to prevent irreparable harm to Equustek, she concluded that the injunction had to have worldwide effect</w:t>
      </w:r>
      <w:r w:rsidR="002802DA" w:rsidRPr="005545AF">
        <w:rPr>
          <w:lang w:val="en-CA"/>
        </w:rPr>
        <w:t xml:space="preserve">. </w:t>
      </w:r>
    </w:p>
    <w:p w14:paraId="49EBB6F7" w14:textId="36C51978" w:rsidR="002802DA" w:rsidRPr="005545AF" w:rsidRDefault="002802DA" w:rsidP="001F7377">
      <w:pPr>
        <w:pStyle w:val="Citationenretrait"/>
        <w:spacing w:line="240" w:lineRule="auto"/>
        <w:rPr>
          <w:lang w:val="en-CA"/>
        </w:rPr>
      </w:pPr>
      <w:r w:rsidRPr="005545AF">
        <w:rPr>
          <w:lang w:val="en-CA"/>
        </w:rPr>
        <w:t>[41]</w:t>
      </w:r>
      <w:r w:rsidRPr="005545AF">
        <w:rPr>
          <w:sz w:val="14"/>
          <w:szCs w:val="14"/>
          <w:lang w:val="en-CA"/>
        </w:rPr>
        <w:t xml:space="preserve">                             </w:t>
      </w:r>
      <w:r w:rsidR="000033D8" w:rsidRPr="005545AF">
        <w:rPr>
          <w:lang w:val="en-CA"/>
        </w:rPr>
        <w:t>I agree. The problem in this case is occurring online and globally. The Internet has no borders — its natural habitat is global. The only way to ensure that the interlocutory injunction attained its objective was to have it apply where Google operates — globally. As Fenlon J. found, the majority of Datalink’s sales take place outside Canada. If the injunction were restricted to Canada alone or to google.ca, as Google suggests it should have been, the remedy would be deprived of its intended ability to prevent irreparable harm. Purchasers outside Canada could easily continue purchasing from Datalink’s websites, and Canadian purchasers could easily find Datalink’s websites even if those websites were de-indexed on google.ca. Google would still be facilitating Datalink’s breach of the court’s order which had prohibited it from carrying on business on the Internet. There is no equity in ordering an interlocutory injunction which has no realistic prospect of preventing irreparable harm</w:t>
      </w:r>
      <w:r w:rsidRPr="005545AF">
        <w:rPr>
          <w:lang w:val="en-CA"/>
        </w:rPr>
        <w:t xml:space="preserve">. </w:t>
      </w:r>
    </w:p>
    <w:p w14:paraId="72D703E2" w14:textId="774C5642" w:rsidR="002802DA" w:rsidRPr="005545AF" w:rsidRDefault="002802DA" w:rsidP="001F7377">
      <w:pPr>
        <w:pStyle w:val="Citationenretrait"/>
        <w:spacing w:line="240" w:lineRule="auto"/>
        <w:rPr>
          <w:lang w:val="en-CA"/>
        </w:rPr>
      </w:pPr>
      <w:r w:rsidRPr="005545AF">
        <w:rPr>
          <w:lang w:val="en-CA"/>
        </w:rPr>
        <w:t>[42]</w:t>
      </w:r>
      <w:r w:rsidRPr="005545AF">
        <w:rPr>
          <w:sz w:val="14"/>
          <w:szCs w:val="14"/>
          <w:lang w:val="en-CA"/>
        </w:rPr>
        <w:t xml:space="preserve">                             </w:t>
      </w:r>
      <w:r w:rsidR="0069084D" w:rsidRPr="005545AF">
        <w:rPr>
          <w:lang w:val="en-CA"/>
        </w:rPr>
        <w:t>The interlocutory injunction in this case is necessary to prevent the irreparable harm that flows from Datalink carrying on business on the Internet, a business which would be commercially impossible without Google’s facilitation. The order targets Datalink’s websites — the list of which has been updated as Datalink has sought to thwart the injunction — and prevents them from being displayed where they do the most harm: on Google’s global search results</w:t>
      </w:r>
      <w:r w:rsidRPr="005545AF">
        <w:rPr>
          <w:lang w:val="en-CA"/>
        </w:rPr>
        <w:t xml:space="preserve">. </w:t>
      </w:r>
    </w:p>
    <w:p w14:paraId="3DBCF35B" w14:textId="77777777" w:rsidR="002802DA" w:rsidRPr="005545AF" w:rsidRDefault="002802DA" w:rsidP="001F7377">
      <w:pPr>
        <w:pStyle w:val="Citationenretrait"/>
        <w:spacing w:line="240" w:lineRule="auto"/>
        <w:rPr>
          <w:lang w:val="en-CA"/>
        </w:rPr>
      </w:pPr>
      <w:r w:rsidRPr="005545AF">
        <w:rPr>
          <w:lang w:val="en-CA"/>
        </w:rPr>
        <w:t>[…]</w:t>
      </w:r>
    </w:p>
    <w:p w14:paraId="14D0C673" w14:textId="1BD35DA3" w:rsidR="002802DA" w:rsidRPr="005545AF" w:rsidRDefault="002802DA" w:rsidP="001F7377">
      <w:pPr>
        <w:pStyle w:val="Citationenretrait"/>
        <w:spacing w:line="240" w:lineRule="auto"/>
        <w:rPr>
          <w:lang w:val="en-CA"/>
        </w:rPr>
      </w:pPr>
      <w:r w:rsidRPr="005545AF">
        <w:rPr>
          <w:lang w:val="en-CA"/>
        </w:rPr>
        <w:t>[44]</w:t>
      </w:r>
      <w:r w:rsidRPr="005545AF">
        <w:rPr>
          <w:sz w:val="14"/>
          <w:szCs w:val="14"/>
          <w:lang w:val="en-CA"/>
        </w:rPr>
        <w:t xml:space="preserve">                             </w:t>
      </w:r>
      <w:r w:rsidR="0069084D" w:rsidRPr="005545AF">
        <w:rPr>
          <w:lang w:val="en-CA"/>
        </w:rPr>
        <w:t>Google’s argument that a global injunction violates international comity because it is possible that the order could not have been obtained in a foreign jurisdiction, or that to comply with it would result in Google violating the laws of that jurisdiction is, with respect, theoretical. As Fenlon J. noted, “Google acknowledges that most countries will likely recognize intellectual property rights and view the selling of pirated products as a legal wrong”</w:t>
      </w:r>
      <w:r w:rsidRPr="005545AF">
        <w:rPr>
          <w:lang w:val="en-CA"/>
        </w:rPr>
        <w:t xml:space="preserve">. </w:t>
      </w:r>
    </w:p>
    <w:p w14:paraId="2859DBD5" w14:textId="1AD41CE0" w:rsidR="002802DA" w:rsidRPr="005545AF" w:rsidRDefault="002802DA" w:rsidP="001F7377">
      <w:pPr>
        <w:pStyle w:val="Citationenretrait"/>
        <w:spacing w:line="240" w:lineRule="auto"/>
        <w:rPr>
          <w:lang w:val="en-CA"/>
        </w:rPr>
      </w:pPr>
      <w:r w:rsidRPr="005545AF">
        <w:rPr>
          <w:lang w:val="en-CA"/>
        </w:rPr>
        <w:lastRenderedPageBreak/>
        <w:t>[45]</w:t>
      </w:r>
      <w:r w:rsidRPr="005545AF">
        <w:rPr>
          <w:sz w:val="14"/>
          <w:szCs w:val="14"/>
          <w:lang w:val="en-CA"/>
        </w:rPr>
        <w:t xml:space="preserve">                             </w:t>
      </w:r>
      <w:r w:rsidR="0069084D" w:rsidRPr="005545AF">
        <w:rPr>
          <w:lang w:val="en-CA"/>
        </w:rPr>
        <w:t>And while it is always important to pay respectful attention to freedom of expression concerns, particularly when dealing with the core values of another country, I do not see freedom of expression issues being engaged in any way that tips the balance of convenience towards Google in this case. As Groberman J.A. concluded</w:t>
      </w:r>
      <w:r w:rsidRPr="005545AF">
        <w:rPr>
          <w:lang w:val="en-CA"/>
        </w:rPr>
        <w:t>:</w:t>
      </w:r>
    </w:p>
    <w:p w14:paraId="1A533ABF" w14:textId="7EBFE77A" w:rsidR="002802DA" w:rsidRPr="005545AF" w:rsidRDefault="0069084D" w:rsidP="001F7377">
      <w:pPr>
        <w:pStyle w:val="Citationenretrait"/>
        <w:spacing w:line="240" w:lineRule="auto"/>
        <w:ind w:left="1440" w:firstLine="885"/>
        <w:rPr>
          <w:lang w:val="en-CA"/>
        </w:rPr>
      </w:pPr>
      <w:r w:rsidRPr="005545AF">
        <w:rPr>
          <w:lang w:val="en-CA"/>
        </w:rPr>
        <w:t>In the case before us, there is no realistic assertion that the judge’s order will offend the sensibilities of any other nation. It has not been suggested that the order prohibiting the defendants from advertising wares that violate the intellectual property rights of the plaintiffs offends the core values of any nation. The order made against Google is a very limited ancillary order designed to ensure that the plaintiffs’ core rights are respected</w:t>
      </w:r>
      <w:r w:rsidR="002802DA" w:rsidRPr="005545AF">
        <w:rPr>
          <w:lang w:val="en-CA"/>
        </w:rPr>
        <w:t>.</w:t>
      </w:r>
    </w:p>
    <w:p w14:paraId="060165FE" w14:textId="68CBB9E3" w:rsidR="002802DA" w:rsidRPr="005545AF" w:rsidRDefault="0069084D" w:rsidP="001F7377">
      <w:pPr>
        <w:pStyle w:val="Citationenretrait"/>
        <w:spacing w:line="240" w:lineRule="auto"/>
        <w:ind w:left="1440" w:firstLine="900"/>
        <w:rPr>
          <w:lang w:val="en-CA"/>
        </w:rPr>
      </w:pPr>
      <w:r w:rsidRPr="005545AF">
        <w:rPr>
          <w:lang w:val="en-CA"/>
        </w:rPr>
        <w:t>. . . the order in this case is an interlocutory one, and one that can be varied by the court. In the unlikely event that any jurisdiction finds the order offensive to its core values, an application could be made to the court to modify the order so as to avoid the problem</w:t>
      </w:r>
      <w:r w:rsidR="002802DA" w:rsidRPr="005545AF">
        <w:rPr>
          <w:lang w:val="en-CA"/>
        </w:rPr>
        <w:t>.</w:t>
      </w:r>
    </w:p>
    <w:p w14:paraId="7EB26203" w14:textId="77777777" w:rsidR="002802DA" w:rsidRPr="005545AF" w:rsidRDefault="002802DA" w:rsidP="001F7377">
      <w:pPr>
        <w:pStyle w:val="Citationenretrait"/>
        <w:spacing w:line="240" w:lineRule="auto"/>
        <w:rPr>
          <w:lang w:val="en-CA"/>
        </w:rPr>
      </w:pPr>
      <w:r w:rsidRPr="005545AF">
        <w:rPr>
          <w:lang w:val="en-CA"/>
        </w:rPr>
        <w:t>[…]</w:t>
      </w:r>
    </w:p>
    <w:p w14:paraId="1C671BC1" w14:textId="48F3B4C0" w:rsidR="002802DA" w:rsidRPr="005545AF" w:rsidRDefault="002802DA" w:rsidP="001F7377">
      <w:pPr>
        <w:pStyle w:val="Citationenretrait"/>
        <w:spacing w:line="240" w:lineRule="auto"/>
        <w:rPr>
          <w:lang w:val="en-CA"/>
        </w:rPr>
      </w:pPr>
      <w:r w:rsidRPr="005545AF">
        <w:rPr>
          <w:lang w:val="en-CA"/>
        </w:rPr>
        <w:t>[47]</w:t>
      </w:r>
      <w:r w:rsidRPr="005545AF">
        <w:rPr>
          <w:sz w:val="14"/>
          <w:szCs w:val="14"/>
          <w:lang w:val="en-CA"/>
        </w:rPr>
        <w:t xml:space="preserve">                             </w:t>
      </w:r>
      <w:r w:rsidR="00D65A7E" w:rsidRPr="005545AF">
        <w:rPr>
          <w:lang w:val="en-CA"/>
        </w:rPr>
        <w:t>In the absence of an evidentiary foundation, and given Google’s right to seek a rectifying order, it hardly seems equitable to deny Equustek the extraterritorial scope it needs to make the remedy effective, or even to put the onus on it to demonstrate, country by country, where such an order is legally permissible. We are dealing with the Internet after all, and the balance of convenience test has to take full account of its inevitable extraterritorial reach when injunctive relief is being sought against an entity like Google</w:t>
      </w:r>
      <w:r w:rsidRPr="005545AF">
        <w:rPr>
          <w:lang w:val="en-CA"/>
        </w:rPr>
        <w:t>.</w:t>
      </w:r>
    </w:p>
    <w:p w14:paraId="3AA08EF5" w14:textId="427C5065" w:rsidR="002802DA" w:rsidRPr="005545AF" w:rsidRDefault="002802DA" w:rsidP="001F7377">
      <w:pPr>
        <w:pStyle w:val="Citationenretrait"/>
        <w:spacing w:line="240" w:lineRule="auto"/>
        <w:rPr>
          <w:lang w:val="en-CA"/>
        </w:rPr>
      </w:pPr>
      <w:r w:rsidRPr="005545AF">
        <w:rPr>
          <w:lang w:val="en-CA"/>
        </w:rPr>
        <w:t>[48]</w:t>
      </w:r>
      <w:r w:rsidRPr="005545AF">
        <w:rPr>
          <w:sz w:val="14"/>
          <w:szCs w:val="14"/>
          <w:lang w:val="en-CA"/>
        </w:rPr>
        <w:t xml:space="preserve">                             </w:t>
      </w:r>
      <w:r w:rsidR="00D65A7E" w:rsidRPr="005545AF">
        <w:rPr>
          <w:lang w:val="en-CA"/>
        </w:rPr>
        <w:t>This is not an order to remove speech that, on its face, engages freedom of expression values, it is an order to de-index websites that are in violation of several court orders. We have not, to date, accepted that freedom of expression requires the facilitation of the unlawful sale of goods</w:t>
      </w:r>
      <w:r w:rsidRPr="005545AF">
        <w:rPr>
          <w:lang w:val="en-CA"/>
        </w:rPr>
        <w:t xml:space="preserve">. </w:t>
      </w:r>
    </w:p>
    <w:p w14:paraId="3C9930A9" w14:textId="677AEF5F" w:rsidR="002802DA" w:rsidRPr="005545AF" w:rsidRDefault="002802DA" w:rsidP="001F7377">
      <w:pPr>
        <w:pStyle w:val="Citationenretrait"/>
        <w:spacing w:before="0" w:line="240" w:lineRule="auto"/>
        <w:jc w:val="right"/>
        <w:rPr>
          <w:lang w:val="en-CA"/>
        </w:rPr>
      </w:pPr>
      <w:r w:rsidRPr="005545AF">
        <w:rPr>
          <w:lang w:val="en-CA"/>
        </w:rPr>
        <w:t>[</w:t>
      </w:r>
      <w:r w:rsidR="00D65A7E" w:rsidRPr="005545AF">
        <w:rPr>
          <w:lang w:val="en-CA"/>
        </w:rPr>
        <w:t>References omitted</w:t>
      </w:r>
      <w:r w:rsidRPr="005545AF">
        <w:rPr>
          <w:lang w:val="en-CA"/>
        </w:rPr>
        <w:t>]</w:t>
      </w:r>
    </w:p>
    <w:p w14:paraId="5BEC8D33" w14:textId="32271B56" w:rsidR="002802DA" w:rsidRPr="005545AF" w:rsidRDefault="002633C8" w:rsidP="001F7377">
      <w:pPr>
        <w:pStyle w:val="Paragraphe"/>
        <w:spacing w:line="240" w:lineRule="auto"/>
        <w:rPr>
          <w:lang w:val="en-CA"/>
        </w:rPr>
      </w:pPr>
      <w:r w:rsidRPr="005545AF">
        <w:rPr>
          <w:lang w:val="en-CA"/>
        </w:rPr>
        <w:t xml:space="preserve">The present case differs significantly from </w:t>
      </w:r>
      <w:r w:rsidR="00855FA8" w:rsidRPr="005545AF">
        <w:rPr>
          <w:i/>
          <w:iCs/>
          <w:lang w:val="en-CA"/>
        </w:rPr>
        <w:t>Equustek</w:t>
      </w:r>
      <w:r w:rsidRPr="005545AF">
        <w:rPr>
          <w:lang w:val="en-CA"/>
        </w:rPr>
        <w:t xml:space="preserve"> in a number of respects</w:t>
      </w:r>
      <w:r w:rsidR="002802DA" w:rsidRPr="005545AF">
        <w:rPr>
          <w:lang w:val="en-CA"/>
        </w:rPr>
        <w:t xml:space="preserve">. </w:t>
      </w:r>
      <w:r w:rsidRPr="005545AF">
        <w:rPr>
          <w:lang w:val="en-CA"/>
        </w:rPr>
        <w:t xml:space="preserve">First, it involves a permanent injunction, as opposed to an interlocutory injunction, which </w:t>
      </w:r>
      <w:r w:rsidR="004B16B2" w:rsidRPr="005545AF">
        <w:rPr>
          <w:lang w:val="en-CA"/>
        </w:rPr>
        <w:t>can</w:t>
      </w:r>
      <w:r w:rsidRPr="005545AF">
        <w:rPr>
          <w:lang w:val="en-CA"/>
        </w:rPr>
        <w:t xml:space="preserve"> always </w:t>
      </w:r>
      <w:r w:rsidR="004B16B2" w:rsidRPr="005545AF">
        <w:rPr>
          <w:lang w:val="en-CA"/>
        </w:rPr>
        <w:t>be</w:t>
      </w:r>
      <w:r w:rsidRPr="005545AF">
        <w:rPr>
          <w:lang w:val="en-CA"/>
        </w:rPr>
        <w:t xml:space="preserve"> amended.</w:t>
      </w:r>
      <w:r w:rsidR="002802DA" w:rsidRPr="005545AF">
        <w:rPr>
          <w:rStyle w:val="Appelnotedebasdep"/>
          <w:lang w:val="en-CA"/>
        </w:rPr>
        <w:footnoteReference w:id="181"/>
      </w:r>
      <w:r w:rsidR="002802DA" w:rsidRPr="005545AF">
        <w:rPr>
          <w:lang w:val="en-CA"/>
        </w:rPr>
        <w:t xml:space="preserve"> </w:t>
      </w:r>
    </w:p>
    <w:p w14:paraId="1CF1B426" w14:textId="1DDCCF24" w:rsidR="002802DA" w:rsidRPr="005545AF" w:rsidRDefault="002633C8" w:rsidP="001F7377">
      <w:pPr>
        <w:pStyle w:val="Paragraphe"/>
        <w:spacing w:line="240" w:lineRule="auto"/>
        <w:rPr>
          <w:lang w:val="en-CA"/>
        </w:rPr>
      </w:pPr>
      <w:r w:rsidRPr="005545AF">
        <w:rPr>
          <w:lang w:val="en-CA"/>
        </w:rPr>
        <w:t>Next, and this is Google’s principal argument before the Court, the majority note</w:t>
      </w:r>
      <w:r w:rsidR="00FB3E4F" w:rsidRPr="005545AF">
        <w:rPr>
          <w:lang w:val="en-CA"/>
        </w:rPr>
        <w:t>d</w:t>
      </w:r>
      <w:r w:rsidRPr="005545AF">
        <w:rPr>
          <w:lang w:val="en-CA"/>
        </w:rPr>
        <w:t xml:space="preserve"> that the order was aimed at </w:t>
      </w:r>
      <w:r w:rsidR="0068322D" w:rsidRPr="005545AF">
        <w:rPr>
          <w:lang w:val="en-CA"/>
        </w:rPr>
        <w:t xml:space="preserve">countering illegal sales contrary to intellectual property rules, </w:t>
      </w:r>
      <w:r w:rsidR="00FB3E4F" w:rsidRPr="005545AF">
        <w:rPr>
          <w:lang w:val="en-CA"/>
        </w:rPr>
        <w:t>without</w:t>
      </w:r>
      <w:r w:rsidR="0068322D" w:rsidRPr="005545AF">
        <w:rPr>
          <w:lang w:val="en-CA"/>
        </w:rPr>
        <w:t xml:space="preserve"> engaging the values related to</w:t>
      </w:r>
      <w:r w:rsidR="00FB3E4F" w:rsidRPr="005545AF">
        <w:rPr>
          <w:lang w:val="en-CA"/>
        </w:rPr>
        <w:t xml:space="preserve"> the protection of</w:t>
      </w:r>
      <w:r w:rsidR="0068322D" w:rsidRPr="005545AF">
        <w:rPr>
          <w:lang w:val="en-CA"/>
        </w:rPr>
        <w:t xml:space="preserve"> freedom of expression</w:t>
      </w:r>
      <w:r w:rsidR="002802DA" w:rsidRPr="005545AF">
        <w:rPr>
          <w:lang w:val="en-CA"/>
        </w:rPr>
        <w:t xml:space="preserve">. </w:t>
      </w:r>
      <w:r w:rsidR="0068322D" w:rsidRPr="005545AF">
        <w:rPr>
          <w:lang w:val="en-CA"/>
        </w:rPr>
        <w:t>Not only was the advisability of the injunction</w:t>
      </w:r>
      <w:r w:rsidR="00FB3E4F" w:rsidRPr="005545AF">
        <w:rPr>
          <w:lang w:val="en-CA"/>
        </w:rPr>
        <w:t xml:space="preserve"> </w:t>
      </w:r>
      <w:r w:rsidR="0068322D" w:rsidRPr="005545AF">
        <w:rPr>
          <w:lang w:val="en-CA"/>
        </w:rPr>
        <w:t>easier to establish, but</w:t>
      </w:r>
      <w:r w:rsidR="00FF1798" w:rsidRPr="005545AF">
        <w:rPr>
          <w:lang w:val="en-CA"/>
        </w:rPr>
        <w:t xml:space="preserve"> </w:t>
      </w:r>
      <w:r w:rsidR="0068322D" w:rsidRPr="005545AF">
        <w:rPr>
          <w:lang w:val="en-CA"/>
        </w:rPr>
        <w:t>international comity appeared to be rather theoretical, in the words of the Supreme Court</w:t>
      </w:r>
      <w:r w:rsidR="002802DA" w:rsidRPr="005545AF">
        <w:rPr>
          <w:lang w:val="en-CA"/>
        </w:rPr>
        <w:t xml:space="preserve">. </w:t>
      </w:r>
      <w:r w:rsidR="0068322D" w:rsidRPr="005545AF">
        <w:rPr>
          <w:lang w:val="en-CA"/>
        </w:rPr>
        <w:t xml:space="preserve">However, it must be </w:t>
      </w:r>
      <w:r w:rsidR="00FB3E4F" w:rsidRPr="005545AF">
        <w:rPr>
          <w:lang w:val="en-CA"/>
        </w:rPr>
        <w:t>noted</w:t>
      </w:r>
      <w:r w:rsidR="0068322D" w:rsidRPr="005545AF">
        <w:rPr>
          <w:lang w:val="en-CA"/>
        </w:rPr>
        <w:t xml:space="preserve"> that </w:t>
      </w:r>
      <w:r w:rsidR="00FB3E4F" w:rsidRPr="005545AF">
        <w:rPr>
          <w:lang w:val="en-CA"/>
        </w:rPr>
        <w:t>this is not the</w:t>
      </w:r>
      <w:r w:rsidR="0068322D" w:rsidRPr="005545AF">
        <w:rPr>
          <w:lang w:val="en-CA"/>
        </w:rPr>
        <w:t xml:space="preserve"> case</w:t>
      </w:r>
      <w:r w:rsidR="00FB3E4F" w:rsidRPr="005545AF">
        <w:rPr>
          <w:lang w:val="en-CA"/>
        </w:rPr>
        <w:t xml:space="preserve"> here,</w:t>
      </w:r>
      <w:r w:rsidR="0068322D" w:rsidRPr="005545AF">
        <w:rPr>
          <w:lang w:val="en-CA"/>
        </w:rPr>
        <w:t xml:space="preserve"> where the weighing of the fundamental values between </w:t>
      </w:r>
      <w:r w:rsidR="0068322D" w:rsidRPr="005545AF">
        <w:rPr>
          <w:lang w:val="en-CA"/>
        </w:rPr>
        <w:lastRenderedPageBreak/>
        <w:t xml:space="preserve">protecting freedom of expression, on the one hand, and </w:t>
      </w:r>
      <w:r w:rsidR="00FB3E4F" w:rsidRPr="005545AF">
        <w:rPr>
          <w:lang w:val="en-CA"/>
        </w:rPr>
        <w:t>neutralizing</w:t>
      </w:r>
      <w:r w:rsidR="0068322D" w:rsidRPr="005545AF">
        <w:rPr>
          <w:lang w:val="en-CA"/>
        </w:rPr>
        <w:t xml:space="preserve"> defamatory posts, on the other, differs from country to country as </w:t>
      </w:r>
      <w:r w:rsidR="00BB4512" w:rsidRPr="005545AF">
        <w:rPr>
          <w:lang w:val="en-CA"/>
        </w:rPr>
        <w:t>can be seen, for example, in the comparison between ss.</w:t>
      </w:r>
      <w:r w:rsidR="002802DA" w:rsidRPr="005545AF">
        <w:rPr>
          <w:lang w:val="en-CA"/>
        </w:rPr>
        <w:t xml:space="preserve"> 22 </w:t>
      </w:r>
      <w:r w:rsidR="00BB4512" w:rsidRPr="005545AF">
        <w:rPr>
          <w:i/>
          <w:iCs/>
          <w:lang w:val="en-CA"/>
        </w:rPr>
        <w:t>IT Framework Act</w:t>
      </w:r>
      <w:r w:rsidR="002802DA" w:rsidRPr="005545AF">
        <w:rPr>
          <w:lang w:val="en-CA"/>
        </w:rPr>
        <w:t xml:space="preserve"> </w:t>
      </w:r>
      <w:r w:rsidR="00BB4512" w:rsidRPr="005545AF">
        <w:rPr>
          <w:lang w:val="en-CA"/>
        </w:rPr>
        <w:t>and</w:t>
      </w:r>
      <w:r w:rsidR="002802DA" w:rsidRPr="005545AF">
        <w:rPr>
          <w:lang w:val="en-CA"/>
        </w:rPr>
        <w:t xml:space="preserve"> 230 (c)(1) </w:t>
      </w:r>
      <w:r w:rsidR="002802DA" w:rsidRPr="005545AF">
        <w:rPr>
          <w:i/>
          <w:iCs/>
          <w:lang w:val="en-CA"/>
        </w:rPr>
        <w:t>CDA</w:t>
      </w:r>
      <w:r w:rsidR="002802DA" w:rsidRPr="005545AF">
        <w:rPr>
          <w:lang w:val="en-CA"/>
        </w:rPr>
        <w:t xml:space="preserve">. </w:t>
      </w:r>
    </w:p>
    <w:p w14:paraId="7F98C861" w14:textId="30DC8F92" w:rsidR="002802DA" w:rsidRPr="005545AF" w:rsidRDefault="00FB3E4F" w:rsidP="001F7377">
      <w:pPr>
        <w:pStyle w:val="Paragraphe"/>
        <w:spacing w:line="240" w:lineRule="auto"/>
        <w:rPr>
          <w:lang w:val="en-CA"/>
        </w:rPr>
      </w:pPr>
      <w:r w:rsidRPr="005545AF">
        <w:rPr>
          <w:lang w:val="en-CA"/>
        </w:rPr>
        <w:t>Finally</w:t>
      </w:r>
      <w:r w:rsidR="002802DA" w:rsidRPr="005545AF">
        <w:rPr>
          <w:lang w:val="en-CA"/>
        </w:rPr>
        <w:t xml:space="preserve">, </w:t>
      </w:r>
      <w:r w:rsidRPr="005545AF">
        <w:rPr>
          <w:lang w:val="en-CA"/>
        </w:rPr>
        <w:t>at the time</w:t>
      </w:r>
      <w:r w:rsidR="002512C7" w:rsidRPr="005545AF">
        <w:rPr>
          <w:lang w:val="en-CA"/>
        </w:rPr>
        <w:t xml:space="preserve"> </w:t>
      </w:r>
      <w:r w:rsidR="00855FA8" w:rsidRPr="005545AF">
        <w:rPr>
          <w:i/>
          <w:iCs/>
          <w:lang w:val="en-CA"/>
        </w:rPr>
        <w:t>Equustek</w:t>
      </w:r>
      <w:r w:rsidRPr="005545AF">
        <w:rPr>
          <w:lang w:val="en-CA"/>
        </w:rPr>
        <w:t xml:space="preserve"> was decided,</w:t>
      </w:r>
      <w:r w:rsidR="002802DA" w:rsidRPr="005545AF">
        <w:rPr>
          <w:lang w:val="en-CA"/>
        </w:rPr>
        <w:t xml:space="preserve"> Google </w:t>
      </w:r>
      <w:r w:rsidRPr="005545AF">
        <w:rPr>
          <w:lang w:val="en-CA"/>
        </w:rPr>
        <w:t>user</w:t>
      </w:r>
      <w:r w:rsidR="002512C7" w:rsidRPr="005545AF">
        <w:rPr>
          <w:lang w:val="en-CA"/>
        </w:rPr>
        <w:t>s</w:t>
      </w:r>
      <w:r w:rsidRPr="005545AF">
        <w:rPr>
          <w:lang w:val="en-CA"/>
        </w:rPr>
        <w:t xml:space="preserve"> </w:t>
      </w:r>
      <w:r w:rsidR="002512C7" w:rsidRPr="005545AF">
        <w:rPr>
          <w:lang w:val="en-CA"/>
        </w:rPr>
        <w:t>were</w:t>
      </w:r>
      <w:r w:rsidRPr="005545AF">
        <w:rPr>
          <w:lang w:val="en-CA"/>
        </w:rPr>
        <w:t xml:space="preserve"> redirected to the American search engine as soon as they used</w:t>
      </w:r>
      <w:r w:rsidR="00FF1798" w:rsidRPr="005545AF">
        <w:rPr>
          <w:lang w:val="en-CA"/>
        </w:rPr>
        <w:t xml:space="preserve"> the</w:t>
      </w:r>
      <w:r w:rsidRPr="005545AF">
        <w:rPr>
          <w:lang w:val="en-CA"/>
        </w:rPr>
        <w:t xml:space="preserve"> </w:t>
      </w:r>
      <w:r w:rsidR="002802DA" w:rsidRPr="005545AF">
        <w:rPr>
          <w:lang w:val="en-CA"/>
        </w:rPr>
        <w:t>google.com</w:t>
      </w:r>
      <w:r w:rsidRPr="005545AF">
        <w:rPr>
          <w:lang w:val="en-CA"/>
        </w:rPr>
        <w:t xml:space="preserve"> address</w:t>
      </w:r>
      <w:r w:rsidR="002802DA" w:rsidRPr="005545AF">
        <w:rPr>
          <w:lang w:val="en-CA"/>
        </w:rPr>
        <w:t xml:space="preserve">, </w:t>
      </w:r>
      <w:r w:rsidRPr="005545AF">
        <w:rPr>
          <w:lang w:val="en-CA"/>
        </w:rPr>
        <w:t xml:space="preserve">even if the search was done in </w:t>
      </w:r>
      <w:r w:rsidR="002802DA" w:rsidRPr="005545AF">
        <w:rPr>
          <w:lang w:val="en-CA"/>
        </w:rPr>
        <w:t xml:space="preserve">Canada. </w:t>
      </w:r>
      <w:r w:rsidRPr="005545AF">
        <w:rPr>
          <w:lang w:val="en-CA"/>
        </w:rPr>
        <w:t>That reality explained why the effectiveness of the injunction, even in Canada, as well as the protection of the judicial process, required that the injunction be world-wide</w:t>
      </w:r>
      <w:r w:rsidR="002802DA" w:rsidRPr="005545AF">
        <w:rPr>
          <w:lang w:val="en-CA"/>
        </w:rPr>
        <w:t xml:space="preserve">. </w:t>
      </w:r>
      <w:r w:rsidR="000344C9" w:rsidRPr="005545AF">
        <w:rPr>
          <w:lang w:val="en-CA"/>
        </w:rPr>
        <w:t>However, according to</w:t>
      </w:r>
      <w:r w:rsidR="002802DA" w:rsidRPr="005545AF">
        <w:rPr>
          <w:lang w:val="en-CA"/>
        </w:rPr>
        <w:t xml:space="preserve"> Google</w:t>
      </w:r>
      <w:r w:rsidR="000344C9" w:rsidRPr="005545AF">
        <w:rPr>
          <w:lang w:val="en-CA"/>
        </w:rPr>
        <w:t>’s defence allegations</w:t>
      </w:r>
      <w:r w:rsidR="002802DA" w:rsidRPr="005545AF">
        <w:rPr>
          <w:rStyle w:val="Appelnotedebasdep"/>
          <w:lang w:val="en-CA"/>
        </w:rPr>
        <w:footnoteReference w:id="182"/>
      </w:r>
      <w:r w:rsidR="002802DA" w:rsidRPr="005545AF">
        <w:rPr>
          <w:lang w:val="en-CA"/>
        </w:rPr>
        <w:t xml:space="preserve"> </w:t>
      </w:r>
      <w:r w:rsidR="000344C9" w:rsidRPr="005545AF">
        <w:rPr>
          <w:lang w:val="en-CA"/>
        </w:rPr>
        <w:t>and the testimony of its representative,</w:t>
      </w:r>
      <w:r w:rsidR="002802DA" w:rsidRPr="005545AF">
        <w:rPr>
          <w:rStyle w:val="Appelnotedebasdep"/>
          <w:lang w:val="en-CA"/>
        </w:rPr>
        <w:footnoteReference w:id="183"/>
      </w:r>
      <w:r w:rsidR="000344C9" w:rsidRPr="005545AF">
        <w:rPr>
          <w:lang w:val="en-CA"/>
        </w:rPr>
        <w:t xml:space="preserve"> since</w:t>
      </w:r>
      <w:r w:rsidR="002802DA" w:rsidRPr="005545AF">
        <w:rPr>
          <w:lang w:val="en-CA"/>
        </w:rPr>
        <w:t xml:space="preserve"> 2017, </w:t>
      </w:r>
      <w:r w:rsidR="000344C9" w:rsidRPr="005545AF">
        <w:rPr>
          <w:lang w:val="en-CA"/>
        </w:rPr>
        <w:t>a search done in Canada is automatically redirected to the Canadian engine, even if the user requests another</w:t>
      </w:r>
      <w:r w:rsidR="002802DA" w:rsidRPr="005545AF">
        <w:rPr>
          <w:lang w:val="en-CA"/>
        </w:rPr>
        <w:t xml:space="preserve">. </w:t>
      </w:r>
    </w:p>
    <w:p w14:paraId="234C2262" w14:textId="6BD00AC0" w:rsidR="002802DA" w:rsidRPr="005545AF" w:rsidRDefault="002512C7" w:rsidP="001F7377">
      <w:pPr>
        <w:pStyle w:val="Paragraphe"/>
        <w:spacing w:line="240" w:lineRule="auto"/>
        <w:rPr>
          <w:lang w:val="en-CA"/>
        </w:rPr>
      </w:pPr>
      <w:r w:rsidRPr="005545AF">
        <w:rPr>
          <w:lang w:val="en-CA"/>
        </w:rPr>
        <w:t xml:space="preserve">These distinctions allowed the judge to conclude that both the necessity test and the international comity test justified restricting the injunction within the boundaries of Quebec, </w:t>
      </w:r>
      <w:r w:rsidR="008A7A65" w:rsidRPr="005545AF">
        <w:rPr>
          <w:lang w:val="en-CA"/>
        </w:rPr>
        <w:t>thus yielding a result</w:t>
      </w:r>
      <w:r w:rsidRPr="005545AF">
        <w:rPr>
          <w:lang w:val="en-CA"/>
        </w:rPr>
        <w:t xml:space="preserve"> similar to that </w:t>
      </w:r>
      <w:r w:rsidR="008A7A65" w:rsidRPr="005545AF">
        <w:rPr>
          <w:lang w:val="en-CA"/>
        </w:rPr>
        <w:t>which</w:t>
      </w:r>
      <w:r w:rsidRPr="005545AF">
        <w:rPr>
          <w:lang w:val="en-CA"/>
        </w:rPr>
        <w:t xml:space="preserve"> existed from 2009 to 2015. In the absence of any palpable and overriding error, the Court should not intervene on this point</w:t>
      </w:r>
      <w:r w:rsidR="002802DA" w:rsidRPr="005545AF">
        <w:rPr>
          <w:lang w:val="en-CA"/>
        </w:rPr>
        <w:t>.</w:t>
      </w:r>
    </w:p>
    <w:p w14:paraId="3ACFC7DE" w14:textId="77777777" w:rsidR="002802DA" w:rsidRPr="005545AF" w:rsidRDefault="002802DA" w:rsidP="001F7377">
      <w:pPr>
        <w:pStyle w:val="Paragraphe"/>
        <w:numPr>
          <w:ilvl w:val="0"/>
          <w:numId w:val="0"/>
        </w:numPr>
        <w:spacing w:line="240" w:lineRule="auto"/>
        <w:outlineLvl w:val="0"/>
        <w:rPr>
          <w:b/>
          <w:bCs/>
          <w:lang w:val="en-CA"/>
        </w:rPr>
      </w:pPr>
      <w:r w:rsidRPr="005545AF">
        <w:rPr>
          <w:b/>
          <w:bCs/>
          <w:lang w:val="en-CA"/>
        </w:rPr>
        <w:t>CONCLUSION</w:t>
      </w:r>
    </w:p>
    <w:p w14:paraId="50336750" w14:textId="65E78147" w:rsidR="002802DA" w:rsidRPr="005545AF" w:rsidRDefault="002512C7" w:rsidP="001F7377">
      <w:pPr>
        <w:pStyle w:val="Paragraphe"/>
        <w:spacing w:line="240" w:lineRule="auto"/>
        <w:rPr>
          <w:lang w:val="en-CA"/>
        </w:rPr>
      </w:pPr>
      <w:r w:rsidRPr="005545AF">
        <w:rPr>
          <w:lang w:val="en-CA"/>
        </w:rPr>
        <w:t xml:space="preserve">For all these reasons, I </w:t>
      </w:r>
      <w:r w:rsidR="00590200" w:rsidRPr="005545AF">
        <w:rPr>
          <w:lang w:val="en-CA"/>
        </w:rPr>
        <w:t xml:space="preserve">propose that the Court allow in part the principal appeal to </w:t>
      </w:r>
      <w:r w:rsidR="00A8077B">
        <w:rPr>
          <w:lang w:val="en-CA"/>
        </w:rPr>
        <w:t>condemn</w:t>
      </w:r>
      <w:r w:rsidR="00590200" w:rsidRPr="005545AF">
        <w:rPr>
          <w:lang w:val="en-CA"/>
        </w:rPr>
        <w:t xml:space="preserve"> the respondent </w:t>
      </w:r>
      <w:r w:rsidR="00A8077B">
        <w:rPr>
          <w:lang w:val="en-CA"/>
        </w:rPr>
        <w:t xml:space="preserve">to </w:t>
      </w:r>
      <w:r w:rsidR="00590200" w:rsidRPr="005545AF">
        <w:rPr>
          <w:lang w:val="en-CA"/>
        </w:rPr>
        <w:t>pay the sum of</w:t>
      </w:r>
      <w:r w:rsidR="002802DA" w:rsidRPr="005545AF">
        <w:rPr>
          <w:lang w:val="en-CA"/>
        </w:rPr>
        <w:t xml:space="preserve"> </w:t>
      </w:r>
      <w:r w:rsidR="00590200" w:rsidRPr="005545AF">
        <w:rPr>
          <w:lang w:val="en-CA"/>
        </w:rPr>
        <w:t>$</w:t>
      </w:r>
      <w:r w:rsidR="002802DA" w:rsidRPr="005545AF">
        <w:rPr>
          <w:lang w:val="en-CA"/>
        </w:rPr>
        <w:t>1</w:t>
      </w:r>
      <w:r w:rsidR="00590200" w:rsidRPr="005545AF">
        <w:rPr>
          <w:lang w:val="en-CA"/>
        </w:rPr>
        <w:t>,</w:t>
      </w:r>
      <w:r w:rsidR="002802DA" w:rsidRPr="005545AF">
        <w:rPr>
          <w:lang w:val="en-CA"/>
        </w:rPr>
        <w:t>500</w:t>
      </w:r>
      <w:r w:rsidR="00590200" w:rsidRPr="005545AF">
        <w:rPr>
          <w:lang w:val="en-CA"/>
        </w:rPr>
        <w:t>,</w:t>
      </w:r>
      <w:r w:rsidR="002802DA" w:rsidRPr="005545AF">
        <w:rPr>
          <w:lang w:val="en-CA"/>
        </w:rPr>
        <w:t xml:space="preserve">000 </w:t>
      </w:r>
      <w:r w:rsidR="00590200" w:rsidRPr="005545AF">
        <w:rPr>
          <w:lang w:val="en-CA"/>
        </w:rPr>
        <w:t>in punitive damages</w:t>
      </w:r>
      <w:r w:rsidR="002802DA" w:rsidRPr="005545AF">
        <w:rPr>
          <w:lang w:val="en-CA"/>
        </w:rPr>
        <w:t xml:space="preserve">. </w:t>
      </w:r>
      <w:r w:rsidR="00590200" w:rsidRPr="005545AF">
        <w:rPr>
          <w:lang w:val="en-CA"/>
        </w:rPr>
        <w:t xml:space="preserve">I also propose that it allow in part the incidental appeal to reduce the sum that the respondent was </w:t>
      </w:r>
      <w:r w:rsidR="00A8077B">
        <w:rPr>
          <w:lang w:val="en-CA"/>
        </w:rPr>
        <w:t>condemned</w:t>
      </w:r>
      <w:r w:rsidR="00590200" w:rsidRPr="005545AF">
        <w:rPr>
          <w:lang w:val="en-CA"/>
        </w:rPr>
        <w:t xml:space="preserve"> to pay </w:t>
      </w:r>
      <w:r w:rsidR="00E7717C" w:rsidRPr="005545AF">
        <w:rPr>
          <w:lang w:val="en-CA"/>
        </w:rPr>
        <w:t>in compensatory damages to</w:t>
      </w:r>
      <w:r w:rsidR="002802DA" w:rsidRPr="005545AF">
        <w:rPr>
          <w:lang w:val="en-CA"/>
        </w:rPr>
        <w:t xml:space="preserve"> </w:t>
      </w:r>
      <w:r w:rsidR="00590200" w:rsidRPr="005545AF">
        <w:rPr>
          <w:lang w:val="en-CA"/>
        </w:rPr>
        <w:t>$</w:t>
      </w:r>
      <w:r w:rsidR="002802DA" w:rsidRPr="005545AF">
        <w:rPr>
          <w:lang w:val="en-CA"/>
        </w:rPr>
        <w:t>25</w:t>
      </w:r>
      <w:r w:rsidR="00590200" w:rsidRPr="005545AF">
        <w:rPr>
          <w:lang w:val="en-CA"/>
        </w:rPr>
        <w:t>,</w:t>
      </w:r>
      <w:r w:rsidR="002802DA" w:rsidRPr="005545AF">
        <w:rPr>
          <w:lang w:val="en-CA"/>
        </w:rPr>
        <w:t xml:space="preserve">000. </w:t>
      </w:r>
      <w:r w:rsidR="00590200" w:rsidRPr="005545AF">
        <w:rPr>
          <w:lang w:val="en-CA"/>
        </w:rPr>
        <w:t>Finally</w:t>
      </w:r>
      <w:r w:rsidR="008A7A65" w:rsidRPr="005545AF">
        <w:rPr>
          <w:lang w:val="en-CA"/>
        </w:rPr>
        <w:t>,</w:t>
      </w:r>
      <w:r w:rsidR="00590200" w:rsidRPr="005545AF">
        <w:rPr>
          <w:lang w:val="en-CA"/>
        </w:rPr>
        <w:t xml:space="preserve"> </w:t>
      </w:r>
      <w:r w:rsidR="00E7717C" w:rsidRPr="005545AF">
        <w:rPr>
          <w:lang w:val="en-CA"/>
        </w:rPr>
        <w:t>I</w:t>
      </w:r>
      <w:r w:rsidR="00590200" w:rsidRPr="005545AF">
        <w:rPr>
          <w:lang w:val="en-CA"/>
        </w:rPr>
        <w:t xml:space="preserve"> propose that it extend the publication ban </w:t>
      </w:r>
      <w:r w:rsidR="00E7717C" w:rsidRPr="005545AF">
        <w:rPr>
          <w:lang w:val="en-CA"/>
        </w:rPr>
        <w:t xml:space="preserve">until the expiry of the time limit to file an application for leave to appeal to the Supreme Court or, if such </w:t>
      </w:r>
      <w:r w:rsidR="008A7A65" w:rsidRPr="005545AF">
        <w:rPr>
          <w:lang w:val="en-CA"/>
        </w:rPr>
        <w:t>an application</w:t>
      </w:r>
      <w:r w:rsidR="00E7717C" w:rsidRPr="005545AF">
        <w:rPr>
          <w:lang w:val="en-CA"/>
        </w:rPr>
        <w:t xml:space="preserve"> is </w:t>
      </w:r>
      <w:r w:rsidR="008A7A65" w:rsidRPr="005545AF">
        <w:rPr>
          <w:lang w:val="en-CA"/>
        </w:rPr>
        <w:t>filed</w:t>
      </w:r>
      <w:r w:rsidR="00E7717C" w:rsidRPr="005545AF">
        <w:rPr>
          <w:lang w:val="en-CA"/>
        </w:rPr>
        <w:t>, until the judgement dismissing it or until the judgment of the Supreme Court on the merits of the appeal.</w:t>
      </w:r>
      <w:r w:rsidR="00590200" w:rsidRPr="005545AF">
        <w:rPr>
          <w:lang w:val="en-CA"/>
        </w:rPr>
        <w:t xml:space="preserve"> The whole without legal costs, given the mitigated result of the principal appeal and the incidental appeal</w:t>
      </w:r>
      <w:r w:rsidR="002802DA" w:rsidRPr="005545AF">
        <w:rPr>
          <w:lang w:val="en-CA"/>
        </w:rPr>
        <w:t>.</w:t>
      </w:r>
    </w:p>
    <w:bookmarkEnd w:id="9"/>
    <w:p w14:paraId="6FA9AA21" w14:textId="77777777" w:rsidR="00740A17" w:rsidRDefault="00740A17" w:rsidP="001F7377">
      <w:pPr>
        <w:spacing w:line="240" w:lineRule="auto"/>
        <w:rPr>
          <w:lang w:val="en-CA"/>
        </w:rPr>
      </w:pPr>
    </w:p>
    <w:p w14:paraId="6B8C2C93" w14:textId="77777777" w:rsidR="00952C7E" w:rsidRPr="008D5770" w:rsidRDefault="00952C7E" w:rsidP="00952C7E">
      <w:pPr>
        <w:spacing w:line="240" w:lineRule="auto"/>
        <w:rPr>
          <w:lang w:val="en-CA"/>
        </w:rPr>
      </w:pPr>
    </w:p>
    <w:tbl>
      <w:tblPr>
        <w:tblW w:w="0" w:type="auto"/>
        <w:tblLayout w:type="fixed"/>
        <w:tblCellMar>
          <w:left w:w="0" w:type="dxa"/>
          <w:right w:w="0" w:type="dxa"/>
        </w:tblCellMar>
        <w:tblLook w:val="0000" w:firstRow="0" w:lastRow="0" w:firstColumn="0" w:lastColumn="0" w:noHBand="0" w:noVBand="0"/>
      </w:tblPr>
      <w:tblGrid>
        <w:gridCol w:w="4735"/>
        <w:gridCol w:w="4625"/>
      </w:tblGrid>
      <w:tr w:rsidR="00952C7E" w:rsidRPr="00A82909" w14:paraId="676D115A" w14:textId="77777777" w:rsidTr="008508D3">
        <w:trPr>
          <w:cantSplit/>
          <w:trHeight w:val="513"/>
        </w:trPr>
        <w:tc>
          <w:tcPr>
            <w:tcW w:w="9360" w:type="dxa"/>
            <w:gridSpan w:val="2"/>
          </w:tcPr>
          <w:p w14:paraId="7B96E8C7" w14:textId="77777777" w:rsidR="00952C7E" w:rsidRPr="008D5770" w:rsidRDefault="00952C7E" w:rsidP="008508D3">
            <w:pPr>
              <w:rPr>
                <w:lang w:val="en-CA"/>
              </w:rPr>
            </w:pPr>
          </w:p>
        </w:tc>
      </w:tr>
      <w:tr w:rsidR="00952C7E" w:rsidRPr="00A82909" w14:paraId="3E97293C" w14:textId="77777777" w:rsidTr="008508D3">
        <w:trPr>
          <w:cantSplit/>
          <w:trHeight w:val="277"/>
        </w:trPr>
        <w:tc>
          <w:tcPr>
            <w:tcW w:w="4735" w:type="dxa"/>
            <w:vMerge w:val="restart"/>
          </w:tcPr>
          <w:p w14:paraId="5E3F9BA9" w14:textId="77777777" w:rsidR="00952C7E" w:rsidRPr="008D5770" w:rsidRDefault="00952C7E" w:rsidP="008508D3">
            <w:pPr>
              <w:rPr>
                <w:lang w:val="en-CA"/>
              </w:rPr>
            </w:pPr>
          </w:p>
        </w:tc>
        <w:tc>
          <w:tcPr>
            <w:tcW w:w="4625" w:type="dxa"/>
            <w:tcBorders>
              <w:bottom w:val="single" w:sz="8" w:space="0" w:color="auto"/>
            </w:tcBorders>
          </w:tcPr>
          <w:p w14:paraId="494386CC" w14:textId="77777777" w:rsidR="00952C7E" w:rsidRPr="008D5770" w:rsidRDefault="00952C7E" w:rsidP="008508D3">
            <w:pPr>
              <w:rPr>
                <w:lang w:val="en-CA"/>
              </w:rPr>
            </w:pPr>
          </w:p>
        </w:tc>
      </w:tr>
      <w:tr w:rsidR="00952C7E" w:rsidRPr="00513B11" w14:paraId="037F7EB7" w14:textId="77777777" w:rsidTr="008508D3">
        <w:trPr>
          <w:cantSplit/>
          <w:trHeight w:val="276"/>
        </w:trPr>
        <w:tc>
          <w:tcPr>
            <w:tcW w:w="4735" w:type="dxa"/>
            <w:vMerge/>
          </w:tcPr>
          <w:p w14:paraId="4815B691" w14:textId="77777777" w:rsidR="00952C7E" w:rsidRPr="008D5770" w:rsidRDefault="00952C7E" w:rsidP="008508D3">
            <w:pPr>
              <w:rPr>
                <w:lang w:val="en-CA"/>
              </w:rPr>
            </w:pPr>
          </w:p>
        </w:tc>
        <w:tc>
          <w:tcPr>
            <w:tcW w:w="4625" w:type="dxa"/>
          </w:tcPr>
          <w:p w14:paraId="0409B55E" w14:textId="2ED42490" w:rsidR="00952C7E" w:rsidRPr="002A50D4" w:rsidRDefault="00952C7E" w:rsidP="008508D3">
            <w:pPr>
              <w:rPr>
                <w:lang w:val="en-CA"/>
              </w:rPr>
            </w:pPr>
            <w:r>
              <w:fldChar w:fldCharType="begin"/>
            </w:r>
            <w:r w:rsidRPr="002A50D4">
              <w:rPr>
                <w:lang w:val="en-CA"/>
              </w:rPr>
              <w:instrText xml:space="preserve"> REF NomJuge2 </w:instrText>
            </w:r>
            <w:r>
              <w:fldChar w:fldCharType="separate"/>
            </w:r>
            <w:r w:rsidR="00A82909" w:rsidRPr="005545AF">
              <w:rPr>
                <w:lang w:val="en-CA"/>
              </w:rPr>
              <w:t>BENOÎT MOORE, J.A.</w:t>
            </w:r>
            <w:r>
              <w:fldChar w:fldCharType="end"/>
            </w:r>
          </w:p>
        </w:tc>
      </w:tr>
    </w:tbl>
    <w:p w14:paraId="4D2CE25C" w14:textId="77777777" w:rsidR="00952C7E" w:rsidRPr="002A50D4" w:rsidRDefault="00952C7E" w:rsidP="00952C7E">
      <w:pPr>
        <w:rPr>
          <w:lang w:val="en-CA"/>
        </w:rPr>
      </w:pPr>
    </w:p>
    <w:p w14:paraId="4DF4BFE2" w14:textId="77777777" w:rsidR="00952C7E" w:rsidRPr="00127136" w:rsidRDefault="00952C7E" w:rsidP="00952C7E">
      <w:pPr>
        <w:spacing w:line="240" w:lineRule="auto"/>
        <w:rPr>
          <w:lang w:val="en-CA"/>
        </w:rPr>
      </w:pPr>
    </w:p>
    <w:p w14:paraId="3F98FF6F" w14:textId="77777777" w:rsidR="00952C7E" w:rsidRPr="00FE7B74" w:rsidRDefault="00952C7E" w:rsidP="001F7377">
      <w:pPr>
        <w:spacing w:line="240" w:lineRule="auto"/>
        <w:rPr>
          <w:lang w:val="en-CA"/>
        </w:rPr>
      </w:pPr>
    </w:p>
    <w:sectPr w:rsidR="00952C7E" w:rsidRPr="00FE7B74" w:rsidSect="002802DA">
      <w:headerReference w:type="even" r:id="rId14"/>
      <w:headerReference w:type="default" r:id="rId15"/>
      <w:footerReference w:type="even" r:id="rId16"/>
      <w:footerReference w:type="default" r:id="rId17"/>
      <w:headerReference w:type="first" r:id="rId18"/>
      <w:footerReference w:type="first" r:id="rId19"/>
      <w:pgSz w:w="12242" w:h="15842" w:code="1"/>
      <w:pgMar w:top="1440" w:right="1008" w:bottom="1440" w:left="1872" w:header="1440" w:footer="79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7E256" w14:textId="77777777" w:rsidR="004E6260" w:rsidRDefault="004E6260">
      <w:r>
        <w:separator/>
      </w:r>
    </w:p>
  </w:endnote>
  <w:endnote w:type="continuationSeparator" w:id="0">
    <w:p w14:paraId="44918745" w14:textId="77777777" w:rsidR="004E6260" w:rsidRDefault="004E6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FF81" w14:textId="2A7960A5" w:rsidR="002802DA" w:rsidRDefault="00B172D8" w:rsidP="00B172D8">
    <w:pPr>
      <w:pStyle w:val="zSoquijdatRepertorie"/>
      <w:jc w:val="right"/>
      <w:rPr>
        <w:lang w:val="en-CA"/>
      </w:rPr>
    </w:pPr>
    <w:r>
      <w:rPr>
        <w:lang w:val="en-CA"/>
      </w:rPr>
      <w:t xml:space="preserve">English translation of the judgment of </w:t>
    </w:r>
    <w:r w:rsidR="00952C7E">
      <w:rPr>
        <w:lang w:val="en-CA"/>
      </w:rPr>
      <w:t>the Court</w:t>
    </w:r>
  </w:p>
  <w:p w14:paraId="72BD4F64" w14:textId="77777777" w:rsidR="00B172D8" w:rsidRPr="00B172D8" w:rsidRDefault="00B172D8" w:rsidP="00B172D8">
    <w:pPr>
      <w:pStyle w:val="zSoquijdatRepertorie"/>
      <w:jc w:val="right"/>
      <w:rPr>
        <w:lang w:val="en-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2335" w14:textId="77777777" w:rsidR="00E059D1" w:rsidRDefault="00E059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52B56" w14:textId="77777777" w:rsidR="00952C7E" w:rsidRDefault="00952C7E" w:rsidP="00952C7E">
    <w:pPr>
      <w:pStyle w:val="zSoquijdatRepertorie"/>
      <w:jc w:val="right"/>
      <w:rPr>
        <w:lang w:val="en-CA"/>
      </w:rPr>
    </w:pPr>
    <w:r>
      <w:rPr>
        <w:lang w:val="en-CA"/>
      </w:rPr>
      <w:t>English translation of the judgment of the Court</w:t>
    </w:r>
  </w:p>
  <w:p w14:paraId="53F74526" w14:textId="77777777" w:rsidR="00E059D1" w:rsidRPr="00952C7E" w:rsidRDefault="00E059D1">
    <w:pPr>
      <w:pStyle w:val="Pieddepage"/>
      <w:rPr>
        <w:lang w:val="en-C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D279" w14:textId="77777777" w:rsidR="00E059D1" w:rsidRDefault="00E059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FC659" w14:textId="77777777" w:rsidR="004E6260" w:rsidRDefault="004E6260">
      <w:r>
        <w:separator/>
      </w:r>
    </w:p>
  </w:footnote>
  <w:footnote w:type="continuationSeparator" w:id="0">
    <w:p w14:paraId="6F40C6EA" w14:textId="77777777" w:rsidR="004E6260" w:rsidRDefault="004E6260">
      <w:r>
        <w:continuationSeparator/>
      </w:r>
    </w:p>
  </w:footnote>
  <w:footnote w:id="1">
    <w:p w14:paraId="5F0F55D5" w14:textId="0FCE1E80" w:rsidR="002802DA" w:rsidRPr="00CF4634" w:rsidRDefault="002802DA" w:rsidP="002802DA">
      <w:pPr>
        <w:pStyle w:val="Notedebasdepage"/>
        <w:rPr>
          <w:lang w:val="en-CA"/>
        </w:rPr>
      </w:pPr>
      <w:r w:rsidRPr="003F1C76">
        <w:rPr>
          <w:rStyle w:val="Appelnotedebasdep"/>
        </w:rPr>
        <w:footnoteRef/>
      </w:r>
      <w:r w:rsidRPr="009B3437">
        <w:rPr>
          <w:lang w:val="en-CA"/>
        </w:rPr>
        <w:t xml:space="preserve"> </w:t>
      </w:r>
      <w:r w:rsidRPr="009B3437">
        <w:rPr>
          <w:lang w:val="en-CA"/>
        </w:rPr>
        <w:tab/>
      </w:r>
      <w:r w:rsidRPr="00CF4634">
        <w:rPr>
          <w:i/>
          <w:lang w:val="en-CA"/>
        </w:rPr>
        <w:t>A.B.</w:t>
      </w:r>
      <w:r w:rsidRPr="00CF4634">
        <w:rPr>
          <w:lang w:val="en-CA"/>
        </w:rPr>
        <w:t xml:space="preserve"> </w:t>
      </w:r>
      <w:r w:rsidRPr="00CF4634">
        <w:rPr>
          <w:i/>
          <w:lang w:val="en-CA"/>
        </w:rPr>
        <w:t>c.</w:t>
      </w:r>
      <w:r w:rsidRPr="00CF4634">
        <w:rPr>
          <w:lang w:val="en-CA"/>
        </w:rPr>
        <w:t xml:space="preserve"> </w:t>
      </w:r>
      <w:r w:rsidRPr="00CF4634">
        <w:rPr>
          <w:i/>
          <w:lang w:val="en-CA"/>
        </w:rPr>
        <w:t>Google</w:t>
      </w:r>
      <w:r w:rsidRPr="00CF4634">
        <w:rPr>
          <w:lang w:val="en-CA"/>
        </w:rPr>
        <w:t>, 2023 QCCS 1167 [</w:t>
      </w:r>
      <w:r w:rsidR="00CF4634" w:rsidRPr="00CF4634">
        <w:rPr>
          <w:lang w:val="en-CA"/>
        </w:rPr>
        <w:t>judgment under appeal</w:t>
      </w:r>
      <w:r w:rsidRPr="00CF4634">
        <w:rPr>
          <w:lang w:val="en-CA"/>
        </w:rPr>
        <w:t>].</w:t>
      </w:r>
    </w:p>
  </w:footnote>
  <w:footnote w:id="2">
    <w:p w14:paraId="6A5CAA30" w14:textId="60506F59" w:rsidR="002802DA" w:rsidRPr="00CF4634" w:rsidRDefault="002802DA" w:rsidP="002802DA">
      <w:pPr>
        <w:pStyle w:val="Notedebasdepage"/>
        <w:rPr>
          <w:i/>
          <w:lang w:val="en-CA"/>
        </w:rPr>
      </w:pPr>
      <w:r w:rsidRPr="00CF4634">
        <w:rPr>
          <w:rStyle w:val="Appelnotedebasdep"/>
          <w:lang w:val="en-CA"/>
        </w:rPr>
        <w:footnoteRef/>
      </w:r>
      <w:r w:rsidRPr="00CF4634">
        <w:rPr>
          <w:lang w:val="en-CA"/>
        </w:rPr>
        <w:t xml:space="preserve"> </w:t>
      </w:r>
      <w:r w:rsidRPr="00CF4634">
        <w:rPr>
          <w:lang w:val="en-CA"/>
        </w:rPr>
        <w:tab/>
        <w:t>2011 CSC 47 [</w:t>
      </w:r>
      <w:r w:rsidRPr="00CF4634">
        <w:rPr>
          <w:i/>
          <w:iCs/>
          <w:lang w:val="en-CA"/>
        </w:rPr>
        <w:t>Crookes</w:t>
      </w:r>
      <w:r w:rsidRPr="00CF4634">
        <w:rPr>
          <w:lang w:val="en-CA"/>
        </w:rPr>
        <w:t xml:space="preserve">]. </w:t>
      </w:r>
      <w:r w:rsidR="00CF4634">
        <w:rPr>
          <w:iCs/>
          <w:lang w:val="en-CA"/>
        </w:rPr>
        <w:t>That decision</w:t>
      </w:r>
      <w:r w:rsidRPr="00CF4634">
        <w:rPr>
          <w:iCs/>
          <w:lang w:val="en-CA"/>
        </w:rPr>
        <w:t xml:space="preserve">, </w:t>
      </w:r>
      <w:r w:rsidR="00CF4634">
        <w:rPr>
          <w:iCs/>
          <w:lang w:val="en-CA"/>
        </w:rPr>
        <w:t>to which we will return</w:t>
      </w:r>
      <w:r w:rsidRPr="00CF4634">
        <w:rPr>
          <w:iCs/>
          <w:lang w:val="en-CA"/>
        </w:rPr>
        <w:t xml:space="preserve">, </w:t>
      </w:r>
      <w:r w:rsidR="00CF4634">
        <w:rPr>
          <w:iCs/>
          <w:lang w:val="en-CA"/>
        </w:rPr>
        <w:t xml:space="preserve">determined that </w:t>
      </w:r>
      <w:r w:rsidR="00E13F9C">
        <w:rPr>
          <w:iCs/>
          <w:lang w:val="en-CA"/>
        </w:rPr>
        <w:t>a blogger’s</w:t>
      </w:r>
      <w:r w:rsidR="00CF4634">
        <w:rPr>
          <w:iCs/>
          <w:lang w:val="en-CA"/>
        </w:rPr>
        <w:t xml:space="preserve"> mere reference to a page containing defamatory </w:t>
      </w:r>
      <w:r w:rsidR="00E13F9C">
        <w:rPr>
          <w:iCs/>
          <w:lang w:val="en-CA"/>
        </w:rPr>
        <w:t>material</w:t>
      </w:r>
      <w:r w:rsidR="00CF4634">
        <w:rPr>
          <w:iCs/>
          <w:lang w:val="en-CA"/>
        </w:rPr>
        <w:t xml:space="preserve">, without otherwise reproducing or otherwise repeating the content, did not satisfy the “publication’ </w:t>
      </w:r>
      <w:r w:rsidR="00E13F9C">
        <w:rPr>
          <w:iCs/>
          <w:lang w:val="en-CA"/>
        </w:rPr>
        <w:t>requirement</w:t>
      </w:r>
      <w:r w:rsidR="00CF4634">
        <w:rPr>
          <w:iCs/>
          <w:lang w:val="en-CA"/>
        </w:rPr>
        <w:t xml:space="preserve"> specific to the</w:t>
      </w:r>
      <w:r w:rsidRPr="00CF4634">
        <w:rPr>
          <w:iCs/>
          <w:lang w:val="en-CA"/>
        </w:rPr>
        <w:t xml:space="preserve"> tort of defamation.</w:t>
      </w:r>
    </w:p>
  </w:footnote>
  <w:footnote w:id="3">
    <w:p w14:paraId="7FF9DD28" w14:textId="09AAFFD6" w:rsidR="002802DA" w:rsidRPr="009B3437" w:rsidRDefault="002802DA" w:rsidP="002802DA">
      <w:pPr>
        <w:pStyle w:val="Notedebasdepage"/>
        <w:rPr>
          <w:lang w:val="en-CA"/>
        </w:rPr>
      </w:pPr>
      <w:r w:rsidRPr="003F1C76">
        <w:rPr>
          <w:rStyle w:val="Appelnotedebasdep"/>
        </w:rPr>
        <w:footnoteRef/>
      </w:r>
      <w:r w:rsidRPr="009B3437">
        <w:rPr>
          <w:lang w:val="en-CA"/>
        </w:rPr>
        <w:t xml:space="preserve"> </w:t>
      </w:r>
      <w:r w:rsidRPr="009B3437">
        <w:rPr>
          <w:lang w:val="en-CA"/>
        </w:rPr>
        <w:tab/>
      </w:r>
      <w:r w:rsidR="00746723" w:rsidRPr="009B3437">
        <w:rPr>
          <w:lang w:val="en-CA"/>
        </w:rPr>
        <w:t>CQLR</w:t>
      </w:r>
      <w:r w:rsidRPr="009B3437">
        <w:rPr>
          <w:lang w:val="en-CA"/>
        </w:rPr>
        <w:t xml:space="preserve">, c. C-1.1, </w:t>
      </w:r>
      <w:r w:rsidR="00746723" w:rsidRPr="009B3437">
        <w:rPr>
          <w:lang w:val="en-CA"/>
        </w:rPr>
        <w:t>ss</w:t>
      </w:r>
      <w:r w:rsidRPr="009B3437">
        <w:rPr>
          <w:lang w:val="en-CA"/>
        </w:rPr>
        <w:t xml:space="preserve">. 22 </w:t>
      </w:r>
      <w:r w:rsidR="00746723" w:rsidRPr="009B3437">
        <w:rPr>
          <w:lang w:val="en-CA"/>
        </w:rPr>
        <w:t>and</w:t>
      </w:r>
      <w:r w:rsidRPr="009B3437">
        <w:rPr>
          <w:lang w:val="en-CA"/>
        </w:rPr>
        <w:t xml:space="preserve"> 27 [</w:t>
      </w:r>
      <w:r w:rsidR="00746723" w:rsidRPr="009B3437">
        <w:rPr>
          <w:i/>
          <w:iCs/>
          <w:lang w:val="en-CA"/>
        </w:rPr>
        <w:t>IT Framework Act</w:t>
      </w:r>
      <w:r w:rsidRPr="009B3437">
        <w:rPr>
          <w:lang w:val="en-CA"/>
        </w:rPr>
        <w:t>].</w:t>
      </w:r>
    </w:p>
  </w:footnote>
  <w:footnote w:id="4">
    <w:p w14:paraId="2FA6530D" w14:textId="2AB873A6" w:rsidR="002802DA" w:rsidRPr="009B3437" w:rsidRDefault="002802DA" w:rsidP="002802DA">
      <w:pPr>
        <w:pStyle w:val="Notedebasdepage"/>
        <w:rPr>
          <w:lang w:val="en-CA"/>
        </w:rPr>
      </w:pPr>
      <w:r w:rsidRPr="003F1C76">
        <w:rPr>
          <w:rStyle w:val="Appelnotedebasdep"/>
        </w:rPr>
        <w:footnoteRef/>
      </w:r>
      <w:r w:rsidRPr="009B3437">
        <w:rPr>
          <w:lang w:val="en-CA"/>
        </w:rPr>
        <w:t xml:space="preserve"> </w:t>
      </w:r>
      <w:r w:rsidRPr="009B3437">
        <w:rPr>
          <w:lang w:val="en-CA"/>
        </w:rPr>
        <w:tab/>
      </w:r>
      <w:r w:rsidR="00746723" w:rsidRPr="009B3437">
        <w:rPr>
          <w:lang w:val="en-CA"/>
        </w:rPr>
        <w:t>CQLR</w:t>
      </w:r>
      <w:r w:rsidRPr="009B3437">
        <w:rPr>
          <w:lang w:val="en-CA"/>
        </w:rPr>
        <w:t>, c. C-12 [</w:t>
      </w:r>
      <w:r w:rsidRPr="009B3437">
        <w:rPr>
          <w:i/>
          <w:iCs/>
          <w:lang w:val="en-CA"/>
        </w:rPr>
        <w:t>Charte</w:t>
      </w:r>
      <w:r w:rsidR="00746723" w:rsidRPr="009B3437">
        <w:rPr>
          <w:i/>
          <w:iCs/>
          <w:lang w:val="en-CA"/>
        </w:rPr>
        <w:t>r</w:t>
      </w:r>
      <w:r w:rsidRPr="009B3437">
        <w:rPr>
          <w:lang w:val="en-CA"/>
        </w:rPr>
        <w:t>].</w:t>
      </w:r>
    </w:p>
  </w:footnote>
  <w:footnote w:id="5">
    <w:p w14:paraId="1ACCD598" w14:textId="4F5833F9" w:rsidR="002802DA" w:rsidRPr="009B3437" w:rsidRDefault="002802DA" w:rsidP="002802DA">
      <w:pPr>
        <w:pStyle w:val="Notedebasdepage"/>
        <w:rPr>
          <w:lang w:val="en-CA"/>
        </w:rPr>
      </w:pPr>
      <w:r w:rsidRPr="003F1C76">
        <w:rPr>
          <w:rStyle w:val="Appelnotedebasdep"/>
        </w:rPr>
        <w:footnoteRef/>
      </w:r>
      <w:r w:rsidRPr="009B3437">
        <w:rPr>
          <w:lang w:val="en-CA"/>
        </w:rPr>
        <w:t xml:space="preserve"> </w:t>
      </w:r>
      <w:r w:rsidRPr="009B3437">
        <w:rPr>
          <w:lang w:val="en-CA"/>
        </w:rPr>
        <w:tab/>
      </w:r>
      <w:r w:rsidR="00B70701" w:rsidRPr="00B70701">
        <w:rPr>
          <w:lang w:val="en-CA"/>
        </w:rPr>
        <w:t>Judgment under appeal</w:t>
      </w:r>
      <w:r w:rsidRPr="00B70701">
        <w:rPr>
          <w:i/>
          <w:iCs/>
          <w:lang w:val="en-CA"/>
        </w:rPr>
        <w:t xml:space="preserve">, </w:t>
      </w:r>
      <w:r w:rsidRPr="00B70701">
        <w:rPr>
          <w:rFonts w:cs="Arial"/>
          <w:lang w:val="en-CA"/>
        </w:rPr>
        <w:t>para. 47</w:t>
      </w:r>
      <w:r w:rsidRPr="00B70701">
        <w:rPr>
          <w:lang w:val="en-CA"/>
        </w:rPr>
        <w:t xml:space="preserve">; </w:t>
      </w:r>
      <w:r w:rsidR="00B70701">
        <w:rPr>
          <w:lang w:val="en-CA"/>
        </w:rPr>
        <w:t>Exhibit</w:t>
      </w:r>
      <w:r w:rsidRPr="00B70701">
        <w:rPr>
          <w:lang w:val="en-CA"/>
        </w:rPr>
        <w:t xml:space="preserve"> P-10, </w:t>
      </w:r>
      <w:r w:rsidR="00B70701">
        <w:rPr>
          <w:lang w:val="en-CA"/>
        </w:rPr>
        <w:t>A.B</w:t>
      </w:r>
      <w:r w:rsidRPr="00B70701">
        <w:rPr>
          <w:lang w:val="en-CA"/>
        </w:rPr>
        <w:t xml:space="preserve">., </w:t>
      </w:r>
      <w:r w:rsidR="00B70701">
        <w:rPr>
          <w:lang w:val="en-CA"/>
        </w:rPr>
        <w:t xml:space="preserve">conf. </w:t>
      </w:r>
      <w:r w:rsidRPr="00B70701">
        <w:rPr>
          <w:lang w:val="en-CA"/>
        </w:rPr>
        <w:t>vol. 2, p. 1390</w:t>
      </w:r>
      <w:r w:rsidRPr="009B3437">
        <w:rPr>
          <w:lang w:val="en-CA"/>
        </w:rPr>
        <w:t xml:space="preserve">. </w:t>
      </w:r>
    </w:p>
  </w:footnote>
  <w:footnote w:id="6">
    <w:p w14:paraId="3F2AE0B7" w14:textId="00D77E4E" w:rsidR="002802DA" w:rsidRPr="00BE0FB2" w:rsidRDefault="002802DA" w:rsidP="002802DA">
      <w:pPr>
        <w:pStyle w:val="Notedebasdepage"/>
        <w:rPr>
          <w:lang w:val="en-CA"/>
        </w:rPr>
      </w:pPr>
      <w:r w:rsidRPr="003F1C76">
        <w:rPr>
          <w:rStyle w:val="Appelnotedebasdep"/>
        </w:rPr>
        <w:footnoteRef/>
      </w:r>
      <w:r w:rsidRPr="009B3437">
        <w:rPr>
          <w:lang w:val="en-CA"/>
        </w:rPr>
        <w:t xml:space="preserve"> </w:t>
      </w:r>
      <w:r w:rsidRPr="009B3437">
        <w:rPr>
          <w:lang w:val="en-CA"/>
        </w:rPr>
        <w:tab/>
      </w:r>
      <w:r w:rsidR="0078650E" w:rsidRPr="00BE0FB2">
        <w:rPr>
          <w:lang w:val="en-CA"/>
        </w:rPr>
        <w:t>U.S. federal statute enacted in</w:t>
      </w:r>
      <w:r w:rsidRPr="00BE0FB2">
        <w:rPr>
          <w:lang w:val="en-CA"/>
        </w:rPr>
        <w:t xml:space="preserve"> 1996: </w:t>
      </w:r>
      <w:r w:rsidRPr="00BE0FB2">
        <w:rPr>
          <w:i/>
          <w:iCs/>
          <w:lang w:val="en-CA"/>
        </w:rPr>
        <w:t>Communications Decency Act</w:t>
      </w:r>
      <w:r w:rsidRPr="00BE0FB2">
        <w:rPr>
          <w:lang w:val="en-CA"/>
        </w:rPr>
        <w:t xml:space="preserve">, 47 USC § 230(c)(1) (1996). </w:t>
      </w:r>
      <w:r w:rsidR="0078650E" w:rsidRPr="00BE0FB2">
        <w:rPr>
          <w:lang w:val="en-CA"/>
        </w:rPr>
        <w:t>That provision reads as follows</w:t>
      </w:r>
      <w:r w:rsidRPr="00BE0FB2">
        <w:rPr>
          <w:lang w:val="en-CA"/>
        </w:rPr>
        <w:t xml:space="preserve">: </w:t>
      </w:r>
    </w:p>
    <w:p w14:paraId="6AFBA4AB" w14:textId="77777777" w:rsidR="002802DA" w:rsidRPr="00BE0FB2" w:rsidRDefault="002802DA" w:rsidP="002802DA">
      <w:pPr>
        <w:pStyle w:val="Notedebasdepage"/>
        <w:ind w:firstLine="0"/>
        <w:rPr>
          <w:sz w:val="18"/>
          <w:szCs w:val="18"/>
          <w:lang w:val="en-CA"/>
        </w:rPr>
      </w:pPr>
      <w:r w:rsidRPr="00BE0FB2">
        <w:rPr>
          <w:sz w:val="18"/>
          <w:szCs w:val="18"/>
          <w:lang w:val="en-CA"/>
        </w:rPr>
        <w:t>(c ) Protection for “Good Samaritan” blocking and screening of offensive material</w:t>
      </w:r>
      <w:bookmarkStart w:id="13" w:name="c_1"/>
      <w:bookmarkEnd w:id="13"/>
      <w:r w:rsidRPr="00BE0FB2">
        <w:rPr>
          <w:sz w:val="18"/>
          <w:szCs w:val="18"/>
          <w:lang w:val="en-CA"/>
        </w:rPr>
        <w:t xml:space="preserve"> </w:t>
      </w:r>
    </w:p>
    <w:p w14:paraId="52E92C4E" w14:textId="77777777" w:rsidR="002802DA" w:rsidRPr="00BE0FB2" w:rsidRDefault="002802DA" w:rsidP="002802DA">
      <w:pPr>
        <w:pStyle w:val="Notedebasdepage"/>
        <w:numPr>
          <w:ilvl w:val="0"/>
          <w:numId w:val="29"/>
        </w:numPr>
        <w:ind w:left="1080"/>
        <w:rPr>
          <w:sz w:val="18"/>
          <w:szCs w:val="18"/>
          <w:lang w:val="en-CA"/>
        </w:rPr>
      </w:pPr>
      <w:r w:rsidRPr="00BE0FB2">
        <w:rPr>
          <w:sz w:val="18"/>
          <w:szCs w:val="18"/>
          <w:lang w:val="en-CA"/>
        </w:rPr>
        <w:t>Treatment of publisher or speaker</w:t>
      </w:r>
    </w:p>
    <w:p w14:paraId="565593A9" w14:textId="07EE08CC" w:rsidR="002802DA" w:rsidRPr="00BE0FB2" w:rsidRDefault="002802DA" w:rsidP="002802DA">
      <w:pPr>
        <w:pStyle w:val="Notedebasdepage"/>
        <w:ind w:left="720" w:firstLine="0"/>
        <w:rPr>
          <w:sz w:val="18"/>
          <w:szCs w:val="18"/>
          <w:lang w:val="en-CA"/>
        </w:rPr>
      </w:pPr>
      <w:r w:rsidRPr="00BE0FB2">
        <w:rPr>
          <w:sz w:val="18"/>
          <w:szCs w:val="18"/>
          <w:lang w:val="en-CA"/>
        </w:rPr>
        <w:t>No provider or user of an </w:t>
      </w:r>
      <w:hyperlink r:id="rId1" w:history="1">
        <w:r w:rsidRPr="00BE0FB2">
          <w:rPr>
            <w:rStyle w:val="Hyperlien"/>
            <w:color w:val="auto"/>
            <w:sz w:val="18"/>
            <w:szCs w:val="18"/>
            <w:u w:val="none"/>
            <w:lang w:val="en-CA"/>
          </w:rPr>
          <w:t>interactive computer service</w:t>
        </w:r>
      </w:hyperlink>
      <w:r w:rsidRPr="00BE0FB2">
        <w:rPr>
          <w:sz w:val="18"/>
          <w:szCs w:val="18"/>
          <w:lang w:val="en-CA"/>
        </w:rPr>
        <w:t> shall be treated as the publisher or speaker of any information provided by another </w:t>
      </w:r>
      <w:hyperlink r:id="rId2" w:history="1">
        <w:r w:rsidRPr="00BE0FB2">
          <w:rPr>
            <w:rStyle w:val="Hyperlien"/>
            <w:color w:val="auto"/>
            <w:sz w:val="18"/>
            <w:szCs w:val="18"/>
            <w:u w:val="none"/>
            <w:lang w:val="en-CA"/>
          </w:rPr>
          <w:t>information content provider</w:t>
        </w:r>
      </w:hyperlink>
      <w:r w:rsidRPr="00BE0FB2">
        <w:rPr>
          <w:sz w:val="18"/>
          <w:szCs w:val="18"/>
          <w:lang w:val="en-CA"/>
        </w:rPr>
        <w:t>.</w:t>
      </w:r>
    </w:p>
    <w:p w14:paraId="2C0EA6BE" w14:textId="77777777" w:rsidR="002802DA" w:rsidRPr="00255838" w:rsidRDefault="002802DA" w:rsidP="002802DA">
      <w:pPr>
        <w:pStyle w:val="Notedebasdepage"/>
        <w:numPr>
          <w:ilvl w:val="0"/>
          <w:numId w:val="29"/>
        </w:numPr>
        <w:ind w:left="1080"/>
        <w:rPr>
          <w:sz w:val="18"/>
          <w:szCs w:val="18"/>
        </w:rPr>
      </w:pPr>
      <w:bookmarkStart w:id="14" w:name="c_2"/>
      <w:bookmarkEnd w:id="14"/>
      <w:r w:rsidRPr="00255838">
        <w:rPr>
          <w:sz w:val="18"/>
          <w:szCs w:val="18"/>
        </w:rPr>
        <w:t xml:space="preserve">Civil liability </w:t>
      </w:r>
    </w:p>
    <w:p w14:paraId="491F9386" w14:textId="5607CC97" w:rsidR="002802DA" w:rsidRPr="0046515E" w:rsidRDefault="002802DA" w:rsidP="002802DA">
      <w:pPr>
        <w:pStyle w:val="Notedebasdepage"/>
        <w:ind w:firstLine="360"/>
        <w:rPr>
          <w:sz w:val="18"/>
          <w:szCs w:val="18"/>
          <w:lang w:val="en-CA"/>
        </w:rPr>
      </w:pPr>
      <w:r w:rsidRPr="0046515E">
        <w:rPr>
          <w:sz w:val="18"/>
          <w:szCs w:val="18"/>
          <w:lang w:val="en-CA"/>
        </w:rPr>
        <w:t>No provider or user of an </w:t>
      </w:r>
      <w:hyperlink r:id="rId3" w:history="1">
        <w:r w:rsidRPr="0046515E">
          <w:rPr>
            <w:rStyle w:val="Hyperlien"/>
            <w:color w:val="auto"/>
            <w:sz w:val="18"/>
            <w:szCs w:val="18"/>
            <w:u w:val="none"/>
            <w:lang w:val="en-CA"/>
          </w:rPr>
          <w:t>interactive computer service</w:t>
        </w:r>
      </w:hyperlink>
      <w:r w:rsidRPr="0046515E">
        <w:rPr>
          <w:sz w:val="18"/>
          <w:szCs w:val="18"/>
          <w:lang w:val="en-CA"/>
        </w:rPr>
        <w:t> shall be held liable on account of—</w:t>
      </w:r>
    </w:p>
    <w:p w14:paraId="5B6B66FA" w14:textId="77777777" w:rsidR="002802DA" w:rsidRPr="0046515E" w:rsidRDefault="002802DA" w:rsidP="002802DA">
      <w:pPr>
        <w:pStyle w:val="Notedebasdepage"/>
        <w:ind w:left="1080" w:firstLine="0"/>
        <w:rPr>
          <w:sz w:val="18"/>
          <w:szCs w:val="18"/>
          <w:lang w:val="en-CA"/>
        </w:rPr>
      </w:pPr>
      <w:bookmarkStart w:id="15" w:name="c_2_A"/>
      <w:bookmarkEnd w:id="15"/>
      <w:r w:rsidRPr="0046515E">
        <w:rPr>
          <w:sz w:val="18"/>
          <w:szCs w:val="18"/>
          <w:lang w:val="en-CA"/>
        </w:rPr>
        <w:t>(A)</w:t>
      </w:r>
      <w:r w:rsidRPr="0046515E">
        <w:rPr>
          <w:sz w:val="18"/>
          <w:szCs w:val="18"/>
          <w:lang w:val="en-CA"/>
        </w:rPr>
        <w:tab/>
        <w:t>any action voluntarily taken in good faith to restrict access to or availability of material that the provider or user considers to be obscene, lewd, lascivious, filthy, excessively violent, harassing, or otherwise objectionable, whether or not such material is constitutionally protected; or</w:t>
      </w:r>
    </w:p>
    <w:p w14:paraId="425A62DB" w14:textId="4034D60E" w:rsidR="002802DA" w:rsidRPr="0046515E" w:rsidRDefault="002802DA" w:rsidP="002802DA">
      <w:pPr>
        <w:pStyle w:val="Notedebasdepage"/>
        <w:ind w:left="1080" w:firstLine="0"/>
        <w:rPr>
          <w:lang w:val="en-CA"/>
        </w:rPr>
      </w:pPr>
      <w:bookmarkStart w:id="16" w:name="c_2_B"/>
      <w:bookmarkEnd w:id="16"/>
      <w:r w:rsidRPr="0046515E">
        <w:rPr>
          <w:sz w:val="18"/>
          <w:szCs w:val="18"/>
          <w:lang w:val="en-CA"/>
        </w:rPr>
        <w:t>(B)</w:t>
      </w:r>
      <w:r w:rsidRPr="0046515E">
        <w:rPr>
          <w:sz w:val="18"/>
          <w:szCs w:val="18"/>
          <w:lang w:val="en-CA"/>
        </w:rPr>
        <w:tab/>
        <w:t>any action taken to enable or make available to </w:t>
      </w:r>
      <w:hyperlink r:id="rId4" w:history="1">
        <w:r w:rsidRPr="0046515E">
          <w:rPr>
            <w:rStyle w:val="Hyperlien"/>
            <w:color w:val="auto"/>
            <w:sz w:val="18"/>
            <w:szCs w:val="18"/>
            <w:u w:val="none"/>
            <w:lang w:val="en-CA"/>
          </w:rPr>
          <w:t>information content providers</w:t>
        </w:r>
      </w:hyperlink>
      <w:r w:rsidRPr="0046515E">
        <w:rPr>
          <w:sz w:val="18"/>
          <w:szCs w:val="18"/>
          <w:lang w:val="en-CA"/>
        </w:rPr>
        <w:t> or others the technical means to restrict access to material described in paragraph (1).</w:t>
      </w:r>
      <w:r w:rsidRPr="0046515E">
        <w:rPr>
          <w:lang w:val="en-CA"/>
        </w:rPr>
        <w:t xml:space="preserve"> </w:t>
      </w:r>
    </w:p>
  </w:footnote>
  <w:footnote w:id="7">
    <w:p w14:paraId="208F43D4" w14:textId="3E1DF919" w:rsidR="002802DA" w:rsidRPr="0046515E" w:rsidRDefault="002802DA" w:rsidP="002802DA">
      <w:pPr>
        <w:pStyle w:val="Notedebasdepage"/>
        <w:rPr>
          <w:lang w:val="en-CA"/>
        </w:rPr>
      </w:pPr>
      <w:r w:rsidRPr="003F1C76">
        <w:rPr>
          <w:rStyle w:val="Appelnotedebasdep"/>
        </w:rPr>
        <w:footnoteRef/>
      </w:r>
      <w:r w:rsidRPr="0046515E">
        <w:rPr>
          <w:lang w:val="en-CA"/>
        </w:rPr>
        <w:t xml:space="preserve"> </w:t>
      </w:r>
      <w:r w:rsidRPr="0046515E">
        <w:rPr>
          <w:lang w:val="en-CA"/>
        </w:rPr>
        <w:tab/>
      </w:r>
      <w:r w:rsidRPr="0046515E">
        <w:rPr>
          <w:i/>
          <w:iCs/>
          <w:lang w:val="en-CA"/>
        </w:rPr>
        <w:t>A.B. c. Google inc.</w:t>
      </w:r>
      <w:r w:rsidRPr="0046515E">
        <w:rPr>
          <w:lang w:val="en-CA"/>
        </w:rPr>
        <w:t xml:space="preserve">, </w:t>
      </w:r>
      <w:hyperlink r:id="rId5" w:history="1">
        <w:r w:rsidRPr="0046515E">
          <w:rPr>
            <w:rStyle w:val="Hyperlien"/>
            <w:color w:val="auto"/>
            <w:u w:val="none"/>
            <w:lang w:val="en-CA"/>
          </w:rPr>
          <w:t>2016 QCCS 4913</w:t>
        </w:r>
      </w:hyperlink>
      <w:r w:rsidRPr="0046515E">
        <w:rPr>
          <w:lang w:val="en-CA"/>
        </w:rPr>
        <w:t>.</w:t>
      </w:r>
    </w:p>
  </w:footnote>
  <w:footnote w:id="8">
    <w:p w14:paraId="3329CE72" w14:textId="110B8C1A" w:rsidR="002802DA" w:rsidRPr="0046515E" w:rsidRDefault="002802DA" w:rsidP="002802DA">
      <w:pPr>
        <w:pStyle w:val="Notedebasdepage"/>
        <w:rPr>
          <w:lang w:val="en-CA"/>
        </w:rPr>
      </w:pPr>
      <w:r w:rsidRPr="003F1C76">
        <w:rPr>
          <w:rStyle w:val="Appelnotedebasdep"/>
        </w:rPr>
        <w:footnoteRef/>
      </w:r>
      <w:r w:rsidRPr="0046515E">
        <w:rPr>
          <w:lang w:val="en-CA"/>
        </w:rPr>
        <w:t xml:space="preserve"> </w:t>
      </w:r>
      <w:r w:rsidRPr="0046515E">
        <w:rPr>
          <w:lang w:val="en-CA"/>
        </w:rPr>
        <w:tab/>
      </w:r>
      <w:r w:rsidRPr="0046515E">
        <w:rPr>
          <w:i/>
          <w:iCs/>
          <w:lang w:val="en-CA"/>
        </w:rPr>
        <w:t>A.B. c. Google</w:t>
      </w:r>
      <w:r w:rsidRPr="0046515E">
        <w:rPr>
          <w:lang w:val="en-CA"/>
        </w:rPr>
        <w:t xml:space="preserve">, </w:t>
      </w:r>
      <w:hyperlink r:id="rId6" w:history="1">
        <w:r w:rsidRPr="0046515E">
          <w:rPr>
            <w:rStyle w:val="Hyperlien"/>
            <w:color w:val="auto"/>
            <w:u w:val="none"/>
            <w:lang w:val="en-CA"/>
          </w:rPr>
          <w:t>2023 QCCA 630</w:t>
        </w:r>
      </w:hyperlink>
      <w:r w:rsidRPr="0046515E">
        <w:rPr>
          <w:lang w:val="en-CA"/>
        </w:rPr>
        <w:t>.</w:t>
      </w:r>
    </w:p>
  </w:footnote>
  <w:footnote w:id="9">
    <w:p w14:paraId="65E1A841" w14:textId="12E122DC" w:rsidR="002802DA" w:rsidRPr="00504AA9" w:rsidRDefault="002802DA" w:rsidP="002802DA">
      <w:pPr>
        <w:pStyle w:val="Notedebasdepage"/>
        <w:rPr>
          <w:lang w:val="en-CA"/>
        </w:rPr>
      </w:pPr>
      <w:r w:rsidRPr="003F1C76">
        <w:rPr>
          <w:rStyle w:val="Appelnotedebasdep"/>
        </w:rPr>
        <w:footnoteRef/>
      </w:r>
      <w:r w:rsidRPr="009B3437">
        <w:rPr>
          <w:lang w:val="en-CA"/>
        </w:rPr>
        <w:t xml:space="preserve"> </w:t>
      </w:r>
      <w:r w:rsidRPr="009B3437">
        <w:rPr>
          <w:lang w:val="en-CA"/>
        </w:rPr>
        <w:tab/>
      </w:r>
      <w:r w:rsidR="00504AA9" w:rsidRPr="00504AA9">
        <w:rPr>
          <w:lang w:val="en-CA"/>
        </w:rPr>
        <w:t>The judge acknowledge</w:t>
      </w:r>
      <w:r w:rsidR="008113A4">
        <w:rPr>
          <w:lang w:val="en-CA"/>
        </w:rPr>
        <w:t>d</w:t>
      </w:r>
      <w:r w:rsidR="00504AA9" w:rsidRPr="00504AA9">
        <w:rPr>
          <w:lang w:val="en-CA"/>
        </w:rPr>
        <w:t xml:space="preserve"> </w:t>
      </w:r>
      <w:r w:rsidR="00504AA9">
        <w:rPr>
          <w:lang w:val="en-CA"/>
        </w:rPr>
        <w:t>that that such conduct was entirely blameless</w:t>
      </w:r>
      <w:r w:rsidRPr="00504AA9">
        <w:rPr>
          <w:lang w:val="en-CA"/>
        </w:rPr>
        <w:t xml:space="preserve">: </w:t>
      </w:r>
      <w:r w:rsidR="00504AA9">
        <w:rPr>
          <w:lang w:val="en-CA"/>
        </w:rPr>
        <w:t>judgment under appeal</w:t>
      </w:r>
      <w:r w:rsidRPr="00504AA9">
        <w:rPr>
          <w:lang w:val="en-CA"/>
        </w:rPr>
        <w:t>,</w:t>
      </w:r>
      <w:r w:rsidRPr="00504AA9">
        <w:rPr>
          <w:i/>
          <w:iCs/>
          <w:lang w:val="en-CA"/>
        </w:rPr>
        <w:t xml:space="preserve"> </w:t>
      </w:r>
      <w:r w:rsidRPr="00504AA9">
        <w:rPr>
          <w:lang w:val="en-CA"/>
        </w:rPr>
        <w:t>para. 220.</w:t>
      </w:r>
    </w:p>
  </w:footnote>
  <w:footnote w:id="10">
    <w:p w14:paraId="1D00B256" w14:textId="585BE2BC" w:rsidR="002802DA" w:rsidRPr="00504AA9" w:rsidRDefault="002802DA" w:rsidP="002802DA">
      <w:pPr>
        <w:pStyle w:val="Notedebasdepage"/>
        <w:rPr>
          <w:lang w:val="en-CA"/>
        </w:rPr>
      </w:pPr>
      <w:r w:rsidRPr="00504AA9">
        <w:rPr>
          <w:rStyle w:val="Appelnotedebasdep"/>
          <w:lang w:val="en-CA"/>
        </w:rPr>
        <w:footnoteRef/>
      </w:r>
      <w:r w:rsidRPr="00504AA9">
        <w:rPr>
          <w:lang w:val="en-CA"/>
        </w:rPr>
        <w:t xml:space="preserve"> </w:t>
      </w:r>
      <w:r w:rsidRPr="00504AA9">
        <w:rPr>
          <w:lang w:val="en-CA"/>
        </w:rPr>
        <w:tab/>
      </w:r>
      <w:r w:rsidR="00504AA9">
        <w:rPr>
          <w:lang w:val="en-CA"/>
        </w:rPr>
        <w:t>Judgment under appeal</w:t>
      </w:r>
      <w:r w:rsidRPr="00504AA9">
        <w:rPr>
          <w:lang w:val="en-CA"/>
        </w:rPr>
        <w:t>, para. 215.</w:t>
      </w:r>
    </w:p>
  </w:footnote>
  <w:footnote w:id="11">
    <w:p w14:paraId="3EC65639" w14:textId="7AA52806" w:rsidR="002802DA" w:rsidRPr="009B3437" w:rsidRDefault="002802DA" w:rsidP="002802DA">
      <w:pPr>
        <w:pStyle w:val="Notedebasdepage"/>
        <w:rPr>
          <w:lang w:val="en-CA"/>
        </w:rPr>
      </w:pPr>
      <w:r w:rsidRPr="00504AA9">
        <w:rPr>
          <w:rStyle w:val="Appelnotedebasdep"/>
          <w:lang w:val="en-CA"/>
        </w:rPr>
        <w:footnoteRef/>
      </w:r>
      <w:r w:rsidRPr="00504AA9">
        <w:rPr>
          <w:lang w:val="en-CA"/>
        </w:rPr>
        <w:t xml:space="preserve"> </w:t>
      </w:r>
      <w:r w:rsidRPr="00504AA9">
        <w:rPr>
          <w:lang w:val="en-CA"/>
        </w:rPr>
        <w:tab/>
      </w:r>
      <w:r w:rsidR="00504AA9">
        <w:rPr>
          <w:lang w:val="en-CA"/>
        </w:rPr>
        <w:t>Judgment under appeal</w:t>
      </w:r>
      <w:r w:rsidRPr="00504AA9">
        <w:rPr>
          <w:lang w:val="en-CA"/>
        </w:rPr>
        <w:t>, para. 223.</w:t>
      </w:r>
    </w:p>
  </w:footnote>
  <w:footnote w:id="12">
    <w:p w14:paraId="59E69F66" w14:textId="33F9C048" w:rsidR="002802DA" w:rsidRPr="00D3303C" w:rsidRDefault="002802DA" w:rsidP="002802DA">
      <w:pPr>
        <w:pStyle w:val="Notedebasdepage"/>
        <w:rPr>
          <w:lang w:val="en-CA"/>
        </w:rPr>
      </w:pPr>
      <w:r w:rsidRPr="003F1C76">
        <w:rPr>
          <w:rStyle w:val="Appelnotedebasdep"/>
        </w:rPr>
        <w:footnoteRef/>
      </w:r>
      <w:r w:rsidRPr="009B3437">
        <w:rPr>
          <w:lang w:val="en-CA"/>
        </w:rPr>
        <w:t xml:space="preserve"> </w:t>
      </w:r>
      <w:r w:rsidRPr="009B3437">
        <w:rPr>
          <w:lang w:val="en-CA"/>
        </w:rPr>
        <w:tab/>
      </w:r>
      <w:r w:rsidR="00D3303C" w:rsidRPr="00D3303C">
        <w:rPr>
          <w:lang w:val="en-CA"/>
        </w:rPr>
        <w:t>Judgment under appeal</w:t>
      </w:r>
      <w:r w:rsidRPr="00D3303C">
        <w:rPr>
          <w:lang w:val="en-CA"/>
        </w:rPr>
        <w:t>, para</w:t>
      </w:r>
      <w:r w:rsidR="00D3303C">
        <w:rPr>
          <w:lang w:val="en-CA"/>
        </w:rPr>
        <w:t>s</w:t>
      </w:r>
      <w:r w:rsidRPr="00D3303C">
        <w:rPr>
          <w:lang w:val="en-CA"/>
        </w:rPr>
        <w:t>. 236-250.</w:t>
      </w:r>
    </w:p>
  </w:footnote>
  <w:footnote w:id="13">
    <w:p w14:paraId="7F7DEBF6" w14:textId="65E42668" w:rsidR="002802DA" w:rsidRPr="00D3303C" w:rsidRDefault="002802DA" w:rsidP="002802DA">
      <w:pPr>
        <w:pStyle w:val="Notedebasdepage"/>
        <w:rPr>
          <w:lang w:val="en-CA"/>
        </w:rPr>
      </w:pPr>
      <w:r w:rsidRPr="00D3303C">
        <w:rPr>
          <w:rStyle w:val="Appelnotedebasdep"/>
          <w:lang w:val="en-CA"/>
        </w:rPr>
        <w:footnoteRef/>
      </w:r>
      <w:r w:rsidRPr="00D3303C">
        <w:rPr>
          <w:lang w:val="en-CA"/>
        </w:rPr>
        <w:t xml:space="preserve"> </w:t>
      </w:r>
      <w:r w:rsidRPr="00D3303C">
        <w:rPr>
          <w:lang w:val="en-CA"/>
        </w:rPr>
        <w:tab/>
      </w:r>
      <w:r w:rsidR="00D3303C" w:rsidRPr="00D3303C">
        <w:rPr>
          <w:lang w:val="en-CA"/>
        </w:rPr>
        <w:t>Judgment under appeal</w:t>
      </w:r>
      <w:r w:rsidRPr="00D3303C">
        <w:rPr>
          <w:lang w:val="en-CA"/>
        </w:rPr>
        <w:t>, para</w:t>
      </w:r>
      <w:r w:rsidR="00D3303C">
        <w:rPr>
          <w:lang w:val="en-CA"/>
        </w:rPr>
        <w:t>s</w:t>
      </w:r>
      <w:r w:rsidRPr="00D3303C">
        <w:rPr>
          <w:lang w:val="en-CA"/>
        </w:rPr>
        <w:t>. 251-258.</w:t>
      </w:r>
    </w:p>
  </w:footnote>
  <w:footnote w:id="14">
    <w:p w14:paraId="1CD22964" w14:textId="7C33341B" w:rsidR="002802DA" w:rsidRPr="009B3437" w:rsidRDefault="002802DA" w:rsidP="002802DA">
      <w:pPr>
        <w:pStyle w:val="Notedebasdepage"/>
        <w:rPr>
          <w:lang w:val="en-CA"/>
        </w:rPr>
      </w:pPr>
      <w:r w:rsidRPr="00D3303C">
        <w:rPr>
          <w:rStyle w:val="Appelnotedebasdep"/>
          <w:lang w:val="en-CA"/>
        </w:rPr>
        <w:footnoteRef/>
      </w:r>
      <w:r w:rsidRPr="00D3303C">
        <w:rPr>
          <w:lang w:val="en-CA"/>
        </w:rPr>
        <w:t xml:space="preserve"> </w:t>
      </w:r>
      <w:r w:rsidRPr="00D3303C">
        <w:rPr>
          <w:lang w:val="en-CA"/>
        </w:rPr>
        <w:tab/>
      </w:r>
      <w:r w:rsidR="00D3303C" w:rsidRPr="00D3303C">
        <w:rPr>
          <w:lang w:val="en-CA"/>
        </w:rPr>
        <w:t>Judgment under appeal</w:t>
      </w:r>
      <w:r w:rsidRPr="00D3303C">
        <w:rPr>
          <w:i/>
          <w:iCs/>
          <w:lang w:val="en-CA"/>
        </w:rPr>
        <w:t xml:space="preserve">, </w:t>
      </w:r>
      <w:r w:rsidRPr="00D3303C">
        <w:rPr>
          <w:lang w:val="en-CA"/>
        </w:rPr>
        <w:t>para</w:t>
      </w:r>
      <w:r w:rsidR="00D3303C">
        <w:rPr>
          <w:lang w:val="en-CA"/>
        </w:rPr>
        <w:t>s</w:t>
      </w:r>
      <w:r w:rsidRPr="00D3303C">
        <w:rPr>
          <w:lang w:val="en-CA"/>
        </w:rPr>
        <w:t>. 260-275.</w:t>
      </w:r>
    </w:p>
  </w:footnote>
  <w:footnote w:id="15">
    <w:p w14:paraId="458A9FE5" w14:textId="620CBA42" w:rsidR="002802DA" w:rsidRPr="000C2448" w:rsidRDefault="002802DA" w:rsidP="002802DA">
      <w:pPr>
        <w:pStyle w:val="Notedebasdepage"/>
        <w:rPr>
          <w:lang w:val="en-CA"/>
        </w:rPr>
      </w:pPr>
      <w:r w:rsidRPr="003F1C76">
        <w:rPr>
          <w:rStyle w:val="Appelnotedebasdep"/>
        </w:rPr>
        <w:footnoteRef/>
      </w:r>
      <w:r w:rsidRPr="009B3437">
        <w:rPr>
          <w:lang w:val="en-CA"/>
        </w:rPr>
        <w:t xml:space="preserve"> </w:t>
      </w:r>
      <w:r w:rsidRPr="009B3437">
        <w:rPr>
          <w:lang w:val="en-CA"/>
        </w:rPr>
        <w:tab/>
      </w:r>
      <w:r w:rsidR="000C2448" w:rsidRPr="000C2448">
        <w:rPr>
          <w:lang w:val="en-CA"/>
        </w:rPr>
        <w:t>Judgment under appeal</w:t>
      </w:r>
      <w:r w:rsidRPr="000C2448">
        <w:rPr>
          <w:lang w:val="en-CA"/>
        </w:rPr>
        <w:t>, para</w:t>
      </w:r>
      <w:r w:rsidR="000C2448">
        <w:rPr>
          <w:lang w:val="en-CA"/>
        </w:rPr>
        <w:t>s</w:t>
      </w:r>
      <w:r w:rsidRPr="000C2448">
        <w:rPr>
          <w:lang w:val="en-CA"/>
        </w:rPr>
        <w:t>. 276-296.</w:t>
      </w:r>
    </w:p>
  </w:footnote>
  <w:footnote w:id="16">
    <w:p w14:paraId="7224E15D" w14:textId="6D8D85AE" w:rsidR="002802DA" w:rsidRPr="00A55BF4" w:rsidRDefault="002802DA" w:rsidP="002802DA">
      <w:pPr>
        <w:pStyle w:val="Notedebasdepage"/>
        <w:rPr>
          <w:lang w:val="en-CA"/>
        </w:rPr>
      </w:pPr>
      <w:r w:rsidRPr="003F1C76">
        <w:rPr>
          <w:rStyle w:val="Appelnotedebasdep"/>
        </w:rPr>
        <w:footnoteRef/>
      </w:r>
      <w:r w:rsidRPr="009B3437">
        <w:rPr>
          <w:lang w:val="en-CA"/>
        </w:rPr>
        <w:t xml:space="preserve"> </w:t>
      </w:r>
      <w:r w:rsidRPr="009B3437">
        <w:rPr>
          <w:lang w:val="en-CA"/>
        </w:rPr>
        <w:tab/>
      </w:r>
      <w:r w:rsidR="00A55BF4" w:rsidRPr="00A55BF4">
        <w:rPr>
          <w:lang w:val="en-CA"/>
        </w:rPr>
        <w:t>CQLR</w:t>
      </w:r>
      <w:r w:rsidRPr="00A55BF4">
        <w:rPr>
          <w:lang w:val="en-CA"/>
        </w:rPr>
        <w:t xml:space="preserve"> c. P-39.1.</w:t>
      </w:r>
    </w:p>
  </w:footnote>
  <w:footnote w:id="17">
    <w:p w14:paraId="0BE6B070" w14:textId="51CB6725" w:rsidR="002802DA" w:rsidRPr="009B3437" w:rsidRDefault="002802DA" w:rsidP="002802DA">
      <w:pPr>
        <w:pStyle w:val="Notedebasdepage"/>
      </w:pPr>
      <w:r w:rsidRPr="00A55BF4">
        <w:rPr>
          <w:rStyle w:val="Appelnotedebasdep"/>
          <w:lang w:val="en-CA"/>
        </w:rPr>
        <w:footnoteRef/>
      </w:r>
      <w:r w:rsidRPr="009B3437">
        <w:t xml:space="preserve">  </w:t>
      </w:r>
      <w:r w:rsidRPr="009B3437">
        <w:tab/>
      </w:r>
      <w:r w:rsidRPr="009B3437">
        <w:rPr>
          <w:i/>
          <w:iCs/>
        </w:rPr>
        <w:t xml:space="preserve">Prud’homme </w:t>
      </w:r>
      <w:r w:rsidR="00A55BF4" w:rsidRPr="009B3437">
        <w:rPr>
          <w:i/>
          <w:iCs/>
        </w:rPr>
        <w:t>v</w:t>
      </w:r>
      <w:r w:rsidRPr="009B3437">
        <w:rPr>
          <w:i/>
          <w:iCs/>
        </w:rPr>
        <w:t>. Prud’homme</w:t>
      </w:r>
      <w:r w:rsidRPr="009B3437">
        <w:t xml:space="preserve">, 2002 </w:t>
      </w:r>
      <w:r w:rsidR="00A55BF4" w:rsidRPr="009B3437">
        <w:t>SCC</w:t>
      </w:r>
      <w:r w:rsidRPr="009B3437">
        <w:t xml:space="preserve"> 85 [</w:t>
      </w:r>
      <w:bookmarkStart w:id="22" w:name="_Hlk207538966"/>
      <w:r w:rsidRPr="009B3437">
        <w:rPr>
          <w:i/>
          <w:iCs/>
        </w:rPr>
        <w:t>Prud’homme</w:t>
      </w:r>
      <w:bookmarkEnd w:id="22"/>
      <w:r w:rsidRPr="009B3437">
        <w:t>].</w:t>
      </w:r>
    </w:p>
  </w:footnote>
  <w:footnote w:id="18">
    <w:p w14:paraId="2C0B71B6" w14:textId="46DD693F" w:rsidR="002802DA" w:rsidRPr="00A55BF4" w:rsidRDefault="002802DA" w:rsidP="002802DA">
      <w:pPr>
        <w:pStyle w:val="Notedebasdepage"/>
        <w:rPr>
          <w:lang w:val="en-CA"/>
        </w:rPr>
      </w:pPr>
      <w:r w:rsidRPr="00A55BF4">
        <w:rPr>
          <w:rStyle w:val="Appelnotedebasdep"/>
          <w:lang w:val="en-CA"/>
        </w:rPr>
        <w:footnoteRef/>
      </w:r>
      <w:r w:rsidRPr="009B3437">
        <w:t xml:space="preserve"> </w:t>
      </w:r>
      <w:r w:rsidRPr="009B3437">
        <w:tab/>
      </w:r>
      <w:r w:rsidRPr="009B3437">
        <w:rPr>
          <w:i/>
          <w:iCs/>
        </w:rPr>
        <w:t xml:space="preserve">Salomon </w:t>
      </w:r>
      <w:r w:rsidR="00A55BF4" w:rsidRPr="009B3437">
        <w:rPr>
          <w:i/>
          <w:iCs/>
        </w:rPr>
        <w:t>v</w:t>
      </w:r>
      <w:r w:rsidRPr="009B3437">
        <w:rPr>
          <w:i/>
          <w:iCs/>
        </w:rPr>
        <w:t>. Matte</w:t>
      </w:r>
      <w:r w:rsidRPr="009B3437">
        <w:rPr>
          <w:rFonts w:ascii="Cambria Math" w:hAnsi="Cambria Math" w:cs="Cambria Math"/>
          <w:i/>
          <w:iCs/>
        </w:rPr>
        <w:t>‑</w:t>
      </w:r>
      <w:r w:rsidRPr="009B3437">
        <w:rPr>
          <w:i/>
          <w:iCs/>
        </w:rPr>
        <w:t>Thompson</w:t>
      </w:r>
      <w:r w:rsidRPr="009B3437">
        <w:t xml:space="preserve">, </w:t>
      </w:r>
      <w:bookmarkStart w:id="24" w:name="_Hlk207539032"/>
      <w:r w:rsidRPr="00A55BF4">
        <w:rPr>
          <w:lang w:val="en-CA"/>
        </w:rPr>
        <w:fldChar w:fldCharType="begin"/>
      </w:r>
      <w:r w:rsidRPr="009B3437">
        <w:instrText>HYPERLINK "https://canlii.ca/t/hxrk4"</w:instrText>
      </w:r>
      <w:r w:rsidRPr="00A55BF4">
        <w:rPr>
          <w:lang w:val="en-CA"/>
        </w:rPr>
      </w:r>
      <w:r w:rsidRPr="00A55BF4">
        <w:rPr>
          <w:lang w:val="en-CA"/>
        </w:rPr>
        <w:fldChar w:fldCharType="separate"/>
      </w:r>
      <w:r w:rsidRPr="009B3437">
        <w:rPr>
          <w:rStyle w:val="Hyperlien"/>
          <w:color w:val="auto"/>
          <w:u w:val="none"/>
        </w:rPr>
        <w:t>2019 CSC 14</w:t>
      </w:r>
      <w:r w:rsidRPr="00A55BF4">
        <w:rPr>
          <w:lang w:val="en-CA"/>
        </w:rPr>
        <w:fldChar w:fldCharType="end"/>
      </w:r>
      <w:bookmarkEnd w:id="24"/>
      <w:r w:rsidRPr="009B3437">
        <w:t>, para. 32 [</w:t>
      </w:r>
      <w:bookmarkStart w:id="25" w:name="_Hlk207539038"/>
      <w:r w:rsidRPr="009B3437">
        <w:rPr>
          <w:i/>
          <w:iCs/>
        </w:rPr>
        <w:t>Salomon</w:t>
      </w:r>
      <w:bookmarkEnd w:id="25"/>
      <w:r w:rsidRPr="009B3437">
        <w:t xml:space="preserve">]; </w:t>
      </w:r>
      <w:r w:rsidRPr="009B3437">
        <w:rPr>
          <w:i/>
          <w:iCs/>
        </w:rPr>
        <w:t>Cormier c. Ville de Montréal</w:t>
      </w:r>
      <w:r w:rsidRPr="009B3437">
        <w:t xml:space="preserve">, 2023 QCCA 462, para. </w:t>
      </w:r>
      <w:r w:rsidRPr="00A55BF4">
        <w:rPr>
          <w:lang w:val="en-CA"/>
        </w:rPr>
        <w:t>57.</w:t>
      </w:r>
    </w:p>
  </w:footnote>
  <w:footnote w:id="19">
    <w:p w14:paraId="4E160F5C" w14:textId="30F9B36C" w:rsidR="002802DA" w:rsidRPr="00A55BF4" w:rsidRDefault="002802DA" w:rsidP="002802DA">
      <w:pPr>
        <w:pStyle w:val="Notedebasdepage"/>
        <w:rPr>
          <w:lang w:val="en-CA"/>
        </w:rPr>
      </w:pPr>
      <w:r w:rsidRPr="00A55BF4">
        <w:rPr>
          <w:rStyle w:val="Appelnotedebasdep"/>
          <w:lang w:val="en-CA"/>
        </w:rPr>
        <w:footnoteRef/>
      </w:r>
      <w:r w:rsidRPr="00A55BF4">
        <w:rPr>
          <w:lang w:val="en-CA"/>
        </w:rPr>
        <w:t xml:space="preserve"> </w:t>
      </w:r>
      <w:r w:rsidRPr="00A55BF4">
        <w:rPr>
          <w:lang w:val="en-CA"/>
        </w:rPr>
        <w:tab/>
      </w:r>
      <w:r w:rsidRPr="00A55BF4">
        <w:rPr>
          <w:i/>
          <w:iCs/>
          <w:lang w:val="en-CA"/>
        </w:rPr>
        <w:t xml:space="preserve">Salomon </w:t>
      </w:r>
      <w:r w:rsidR="00A55BF4" w:rsidRPr="00A55BF4">
        <w:rPr>
          <w:i/>
          <w:iCs/>
          <w:lang w:val="en-CA"/>
        </w:rPr>
        <w:t>v</w:t>
      </w:r>
      <w:r w:rsidRPr="00A55BF4">
        <w:rPr>
          <w:i/>
          <w:iCs/>
          <w:lang w:val="en-CA"/>
        </w:rPr>
        <w:t>. Matte</w:t>
      </w:r>
      <w:r w:rsidRPr="00A55BF4">
        <w:rPr>
          <w:rFonts w:ascii="Cambria Math" w:hAnsi="Cambria Math" w:cs="Cambria Math"/>
          <w:i/>
          <w:iCs/>
          <w:lang w:val="en-CA"/>
        </w:rPr>
        <w:t>‑</w:t>
      </w:r>
      <w:r w:rsidRPr="00A55BF4">
        <w:rPr>
          <w:i/>
          <w:iCs/>
          <w:lang w:val="en-CA"/>
        </w:rPr>
        <w:t>Thompson</w:t>
      </w:r>
      <w:r w:rsidRPr="00A55BF4">
        <w:rPr>
          <w:lang w:val="en-CA"/>
        </w:rPr>
        <w:t xml:space="preserve">, </w:t>
      </w:r>
      <w:hyperlink r:id="rId7" w:history="1">
        <w:r w:rsidRPr="00A55BF4">
          <w:rPr>
            <w:rStyle w:val="Hyperlien"/>
            <w:color w:val="auto"/>
            <w:u w:val="none"/>
            <w:lang w:val="en-CA"/>
          </w:rPr>
          <w:t>2019 CSC 14</w:t>
        </w:r>
      </w:hyperlink>
      <w:r w:rsidRPr="00A55BF4">
        <w:rPr>
          <w:lang w:val="en-CA"/>
        </w:rPr>
        <w:t xml:space="preserve">, para. 32-33; </w:t>
      </w:r>
      <w:r w:rsidRPr="00A55BF4">
        <w:rPr>
          <w:i/>
          <w:iCs/>
          <w:lang w:val="en-CA"/>
        </w:rPr>
        <w:t>Costco Wholesale c. Pominville</w:t>
      </w:r>
      <w:r w:rsidRPr="00A55BF4">
        <w:rPr>
          <w:lang w:val="en-CA"/>
        </w:rPr>
        <w:t xml:space="preserve">, </w:t>
      </w:r>
      <w:hyperlink r:id="rId8" w:history="1">
        <w:r w:rsidRPr="00A55BF4">
          <w:rPr>
            <w:rStyle w:val="Hyperlien"/>
            <w:color w:val="auto"/>
            <w:u w:val="none"/>
            <w:lang w:val="en-CA"/>
          </w:rPr>
          <w:t>2021 QCCA 1753</w:t>
        </w:r>
      </w:hyperlink>
      <w:r w:rsidRPr="00A55BF4">
        <w:rPr>
          <w:lang w:val="en-CA"/>
        </w:rPr>
        <w:t>, para. 13.</w:t>
      </w:r>
    </w:p>
  </w:footnote>
  <w:footnote w:id="20">
    <w:p w14:paraId="3F5817C3" w14:textId="50CFD9E0" w:rsidR="002802DA" w:rsidRPr="00A55BF4" w:rsidRDefault="002802DA" w:rsidP="002802DA">
      <w:pPr>
        <w:pStyle w:val="Notedebasdepage"/>
        <w:rPr>
          <w:lang w:val="en-CA"/>
        </w:rPr>
      </w:pPr>
      <w:r w:rsidRPr="00A55BF4">
        <w:rPr>
          <w:rStyle w:val="Appelnotedebasdep"/>
          <w:lang w:val="en-CA"/>
        </w:rPr>
        <w:footnoteRef/>
      </w:r>
      <w:r w:rsidRPr="00A55BF4">
        <w:rPr>
          <w:lang w:val="en-CA"/>
        </w:rPr>
        <w:t xml:space="preserve"> </w:t>
      </w:r>
      <w:r w:rsidRPr="00A55BF4">
        <w:rPr>
          <w:lang w:val="en-CA"/>
        </w:rPr>
        <w:tab/>
        <w:t>Abella</w:t>
      </w:r>
      <w:r w:rsidR="00A55BF4" w:rsidRPr="00A55BF4">
        <w:rPr>
          <w:lang w:val="en-CA"/>
        </w:rPr>
        <w:t>, J.</w:t>
      </w:r>
      <w:r w:rsidRPr="00A55BF4">
        <w:rPr>
          <w:lang w:val="en-CA"/>
        </w:rPr>
        <w:t xml:space="preserve"> distingu</w:t>
      </w:r>
      <w:r w:rsidR="00A55BF4" w:rsidRPr="00A55BF4">
        <w:rPr>
          <w:lang w:val="en-CA"/>
        </w:rPr>
        <w:t>ishes</w:t>
      </w:r>
      <w:r w:rsidRPr="00A55BF4">
        <w:rPr>
          <w:lang w:val="en-CA"/>
        </w:rPr>
        <w:t xml:space="preserve"> </w:t>
      </w:r>
      <w:r w:rsidR="00A55BF4" w:rsidRPr="00A55BF4">
        <w:rPr>
          <w:lang w:val="en-CA"/>
        </w:rPr>
        <w:t>betwee</w:t>
      </w:r>
      <w:r w:rsidR="00A3676A">
        <w:rPr>
          <w:lang w:val="en-CA"/>
        </w:rPr>
        <w:t>n</w:t>
      </w:r>
      <w:r w:rsidR="00A55BF4" w:rsidRPr="00A55BF4">
        <w:rPr>
          <w:lang w:val="en-CA"/>
        </w:rPr>
        <w:t xml:space="preserve"> two</w:t>
      </w:r>
      <w:r w:rsidRPr="00A55BF4">
        <w:rPr>
          <w:lang w:val="en-CA"/>
        </w:rPr>
        <w:t xml:space="preserve"> types </w:t>
      </w:r>
      <w:r w:rsidR="00A55BF4">
        <w:rPr>
          <w:lang w:val="en-CA"/>
        </w:rPr>
        <w:t>of link</w:t>
      </w:r>
      <w:r w:rsidR="00E40460">
        <w:rPr>
          <w:lang w:val="en-CA"/>
        </w:rPr>
        <w:t>s</w:t>
      </w:r>
      <w:r w:rsidRPr="00A55BF4">
        <w:rPr>
          <w:lang w:val="en-CA"/>
        </w:rPr>
        <w:t xml:space="preserve">, </w:t>
      </w:r>
      <w:r w:rsidR="00A3676A">
        <w:rPr>
          <w:lang w:val="en-CA"/>
        </w:rPr>
        <w:t xml:space="preserve">i.e., </w:t>
      </w:r>
      <w:r w:rsidR="006B54BF">
        <w:rPr>
          <w:lang w:val="en-CA"/>
        </w:rPr>
        <w:t xml:space="preserve">what she terms </w:t>
      </w:r>
      <w:r w:rsidR="00A3676A">
        <w:rPr>
          <w:lang w:val="en-CA"/>
        </w:rPr>
        <w:t>“</w:t>
      </w:r>
      <w:r w:rsidR="00A55BF4">
        <w:rPr>
          <w:lang w:val="en-CA"/>
        </w:rPr>
        <w:t>shallow</w:t>
      </w:r>
      <w:r w:rsidR="00A3676A">
        <w:rPr>
          <w:lang w:val="en-CA"/>
        </w:rPr>
        <w:t>”</w:t>
      </w:r>
      <w:r w:rsidR="00A55BF4">
        <w:rPr>
          <w:lang w:val="en-CA"/>
        </w:rPr>
        <w:t xml:space="preserve"> link</w:t>
      </w:r>
      <w:r w:rsidR="00A3676A">
        <w:rPr>
          <w:lang w:val="en-CA"/>
        </w:rPr>
        <w:t>s and “</w:t>
      </w:r>
      <w:r w:rsidR="00A55BF4">
        <w:rPr>
          <w:lang w:val="en-CA"/>
        </w:rPr>
        <w:t>deep</w:t>
      </w:r>
      <w:r w:rsidR="00A3676A">
        <w:rPr>
          <w:lang w:val="en-CA"/>
        </w:rPr>
        <w:t>”</w:t>
      </w:r>
      <w:r w:rsidR="00A55BF4">
        <w:rPr>
          <w:lang w:val="en-CA"/>
        </w:rPr>
        <w:t xml:space="preserve"> link</w:t>
      </w:r>
      <w:r w:rsidR="00A3676A">
        <w:rPr>
          <w:lang w:val="en-CA"/>
        </w:rPr>
        <w:t>s</w:t>
      </w:r>
      <w:r w:rsidRPr="00A55BF4">
        <w:rPr>
          <w:lang w:val="en-CA"/>
        </w:rPr>
        <w:t xml:space="preserve">: </w:t>
      </w:r>
      <w:r w:rsidRPr="00A55BF4">
        <w:rPr>
          <w:i/>
          <w:iCs/>
          <w:lang w:val="en-CA"/>
        </w:rPr>
        <w:t>Crookes</w:t>
      </w:r>
      <w:r w:rsidRPr="00A55BF4">
        <w:rPr>
          <w:lang w:val="en-CA"/>
        </w:rPr>
        <w:t xml:space="preserve">, </w:t>
      </w:r>
      <w:r w:rsidRPr="00A55BF4">
        <w:rPr>
          <w:rFonts w:cs="Arial"/>
          <w:lang w:val="en-CA"/>
        </w:rPr>
        <w:t>para. 6.</w:t>
      </w:r>
    </w:p>
  </w:footnote>
  <w:footnote w:id="21">
    <w:p w14:paraId="3194576D" w14:textId="43DE9EA4" w:rsidR="002802DA" w:rsidRPr="0046515E" w:rsidRDefault="002802DA" w:rsidP="002802DA">
      <w:pPr>
        <w:pStyle w:val="Notedebasdepage"/>
        <w:rPr>
          <w:lang w:val="en-CA"/>
        </w:rPr>
      </w:pPr>
      <w:r w:rsidRPr="003F1C76">
        <w:rPr>
          <w:rStyle w:val="Appelnotedebasdep"/>
        </w:rPr>
        <w:footnoteRef/>
      </w:r>
      <w:r w:rsidRPr="0046515E">
        <w:rPr>
          <w:lang w:val="en-CA"/>
        </w:rPr>
        <w:t xml:space="preserve"> </w:t>
      </w:r>
      <w:r w:rsidRPr="0046515E">
        <w:rPr>
          <w:lang w:val="en-CA"/>
        </w:rPr>
        <w:tab/>
      </w:r>
      <w:r w:rsidRPr="0046515E">
        <w:rPr>
          <w:i/>
          <w:iCs/>
          <w:lang w:val="en-CA"/>
        </w:rPr>
        <w:t xml:space="preserve">Crookes, </w:t>
      </w:r>
      <w:r w:rsidRPr="0046515E">
        <w:rPr>
          <w:lang w:val="en-CA"/>
        </w:rPr>
        <w:t>para</w:t>
      </w:r>
      <w:r w:rsidR="00721E38">
        <w:rPr>
          <w:lang w:val="en-CA"/>
        </w:rPr>
        <w:t>s</w:t>
      </w:r>
      <w:r w:rsidRPr="0046515E">
        <w:rPr>
          <w:lang w:val="en-CA"/>
        </w:rPr>
        <w:t>. 4-10.</w:t>
      </w:r>
    </w:p>
  </w:footnote>
  <w:footnote w:id="22">
    <w:p w14:paraId="22EAC44B" w14:textId="0CAF7D68" w:rsidR="002802DA" w:rsidRPr="0046515E" w:rsidRDefault="002802DA" w:rsidP="002802DA">
      <w:pPr>
        <w:pStyle w:val="Notedebasdepage"/>
        <w:rPr>
          <w:lang w:val="en-CA"/>
        </w:rPr>
      </w:pPr>
      <w:r w:rsidRPr="003F1C76">
        <w:rPr>
          <w:rStyle w:val="Appelnotedebasdep"/>
        </w:rPr>
        <w:footnoteRef/>
      </w:r>
      <w:r w:rsidRPr="0046515E">
        <w:rPr>
          <w:lang w:val="en-CA"/>
        </w:rPr>
        <w:t xml:space="preserve"> </w:t>
      </w:r>
      <w:r w:rsidRPr="0046515E">
        <w:rPr>
          <w:lang w:val="en-CA"/>
        </w:rPr>
        <w:tab/>
      </w:r>
      <w:r w:rsidRPr="0046515E">
        <w:rPr>
          <w:i/>
          <w:iCs/>
          <w:lang w:val="en-CA"/>
        </w:rPr>
        <w:t>Crookes</w:t>
      </w:r>
      <w:r w:rsidRPr="0046515E">
        <w:rPr>
          <w:lang w:val="en-CA"/>
        </w:rPr>
        <w:t>, para. 14.</w:t>
      </w:r>
    </w:p>
  </w:footnote>
  <w:footnote w:id="23">
    <w:p w14:paraId="237946F7" w14:textId="726FFB2D" w:rsidR="002802DA" w:rsidRPr="0046515E" w:rsidRDefault="002802DA" w:rsidP="002802DA">
      <w:pPr>
        <w:pStyle w:val="Notedebasdepage"/>
        <w:rPr>
          <w:lang w:val="en-CA"/>
        </w:rPr>
      </w:pPr>
      <w:r w:rsidRPr="003F1C76">
        <w:rPr>
          <w:rStyle w:val="Appelnotedebasdep"/>
        </w:rPr>
        <w:footnoteRef/>
      </w:r>
      <w:r w:rsidRPr="0046515E">
        <w:rPr>
          <w:lang w:val="en-CA"/>
        </w:rPr>
        <w:t xml:space="preserve"> </w:t>
      </w:r>
      <w:r w:rsidRPr="0046515E">
        <w:rPr>
          <w:lang w:val="en-CA"/>
        </w:rPr>
        <w:tab/>
      </w:r>
      <w:bookmarkStart w:id="26" w:name="_Hlk204857030"/>
      <w:r w:rsidRPr="0046515E">
        <w:rPr>
          <w:i/>
          <w:iCs/>
          <w:lang w:val="en-CA"/>
        </w:rPr>
        <w:t>Crookes</w:t>
      </w:r>
      <w:r w:rsidRPr="0046515E">
        <w:rPr>
          <w:lang w:val="en-CA"/>
        </w:rPr>
        <w:t xml:space="preserve">, para. </w:t>
      </w:r>
      <w:bookmarkEnd w:id="26"/>
      <w:r w:rsidRPr="0046515E">
        <w:rPr>
          <w:lang w:val="en-CA"/>
        </w:rPr>
        <w:t>26.</w:t>
      </w:r>
    </w:p>
  </w:footnote>
  <w:footnote w:id="24">
    <w:p w14:paraId="7EA443C6" w14:textId="28FCA025" w:rsidR="002802DA" w:rsidRPr="0046515E" w:rsidRDefault="002802DA" w:rsidP="002802DA">
      <w:pPr>
        <w:pStyle w:val="Notedebasdepage"/>
        <w:rPr>
          <w:lang w:val="en-CA"/>
        </w:rPr>
      </w:pPr>
      <w:r w:rsidRPr="003F1C76">
        <w:rPr>
          <w:rStyle w:val="Appelnotedebasdep"/>
        </w:rPr>
        <w:footnoteRef/>
      </w:r>
      <w:r w:rsidRPr="0046515E">
        <w:rPr>
          <w:lang w:val="en-CA"/>
        </w:rPr>
        <w:t xml:space="preserve"> </w:t>
      </w:r>
      <w:r w:rsidRPr="0046515E">
        <w:rPr>
          <w:lang w:val="en-CA"/>
        </w:rPr>
        <w:tab/>
      </w:r>
      <w:r w:rsidRPr="0046515E">
        <w:rPr>
          <w:i/>
          <w:iCs/>
          <w:lang w:val="en-CA"/>
        </w:rPr>
        <w:t>Crookes</w:t>
      </w:r>
      <w:r w:rsidRPr="0046515E">
        <w:rPr>
          <w:lang w:val="en-CA"/>
        </w:rPr>
        <w:t>, para. 29.</w:t>
      </w:r>
    </w:p>
  </w:footnote>
  <w:footnote w:id="25">
    <w:p w14:paraId="7EC8FF28" w14:textId="3BD3919D" w:rsidR="002802DA" w:rsidRPr="0046515E" w:rsidRDefault="002802DA" w:rsidP="002802DA">
      <w:pPr>
        <w:pStyle w:val="Notedebasdepage"/>
        <w:rPr>
          <w:lang w:val="en-CA"/>
        </w:rPr>
      </w:pPr>
      <w:r w:rsidRPr="003F1C76">
        <w:rPr>
          <w:rStyle w:val="Appelnotedebasdep"/>
        </w:rPr>
        <w:footnoteRef/>
      </w:r>
      <w:r w:rsidRPr="0046515E">
        <w:rPr>
          <w:lang w:val="en-CA"/>
        </w:rPr>
        <w:t xml:space="preserve"> </w:t>
      </w:r>
      <w:r w:rsidRPr="0046515E">
        <w:rPr>
          <w:lang w:val="en-CA"/>
        </w:rPr>
        <w:tab/>
      </w:r>
      <w:r w:rsidRPr="0046515E">
        <w:rPr>
          <w:i/>
          <w:iCs/>
          <w:lang w:val="en-CA"/>
        </w:rPr>
        <w:t>Crookes</w:t>
      </w:r>
      <w:r w:rsidRPr="0046515E">
        <w:rPr>
          <w:lang w:val="en-CA"/>
        </w:rPr>
        <w:t>, para. 30.</w:t>
      </w:r>
    </w:p>
  </w:footnote>
  <w:footnote w:id="26">
    <w:p w14:paraId="7FF1A806" w14:textId="379B5E60" w:rsidR="002802DA" w:rsidRPr="0046515E" w:rsidRDefault="002802DA" w:rsidP="002802DA">
      <w:pPr>
        <w:pStyle w:val="Notedebasdepage"/>
        <w:rPr>
          <w:lang w:val="en-CA"/>
        </w:rPr>
      </w:pPr>
      <w:r w:rsidRPr="003F1C76">
        <w:rPr>
          <w:rStyle w:val="Appelnotedebasdep"/>
        </w:rPr>
        <w:footnoteRef/>
      </w:r>
      <w:r w:rsidRPr="0046515E">
        <w:rPr>
          <w:lang w:val="en-CA"/>
        </w:rPr>
        <w:t xml:space="preserve"> </w:t>
      </w:r>
      <w:r w:rsidRPr="0046515E">
        <w:rPr>
          <w:lang w:val="en-CA"/>
        </w:rPr>
        <w:tab/>
      </w:r>
      <w:r w:rsidRPr="0046515E">
        <w:rPr>
          <w:i/>
          <w:iCs/>
          <w:lang w:val="en-CA"/>
        </w:rPr>
        <w:t>Crookes</w:t>
      </w:r>
      <w:r w:rsidRPr="0046515E">
        <w:rPr>
          <w:lang w:val="en-CA"/>
        </w:rPr>
        <w:t>, para. 31.</w:t>
      </w:r>
    </w:p>
  </w:footnote>
  <w:footnote w:id="27">
    <w:p w14:paraId="74C7F02D" w14:textId="7DE4DD52" w:rsidR="002802DA" w:rsidRPr="0046515E" w:rsidRDefault="002802DA" w:rsidP="002802DA">
      <w:pPr>
        <w:pStyle w:val="Notedebasdepage"/>
        <w:rPr>
          <w:lang w:val="en-CA"/>
        </w:rPr>
      </w:pPr>
      <w:r w:rsidRPr="003F1C76">
        <w:rPr>
          <w:rStyle w:val="Appelnotedebasdep"/>
        </w:rPr>
        <w:footnoteRef/>
      </w:r>
      <w:r w:rsidRPr="0046515E">
        <w:rPr>
          <w:lang w:val="en-CA"/>
        </w:rPr>
        <w:t xml:space="preserve"> </w:t>
      </w:r>
      <w:r w:rsidRPr="0046515E">
        <w:rPr>
          <w:lang w:val="en-CA"/>
        </w:rPr>
        <w:tab/>
      </w:r>
      <w:r w:rsidRPr="0046515E">
        <w:rPr>
          <w:i/>
          <w:iCs/>
          <w:lang w:val="en-CA"/>
        </w:rPr>
        <w:t>Crookes</w:t>
      </w:r>
      <w:r w:rsidRPr="0046515E">
        <w:rPr>
          <w:lang w:val="en-CA"/>
        </w:rPr>
        <w:t>, para</w:t>
      </w:r>
      <w:r w:rsidR="00721E38">
        <w:rPr>
          <w:lang w:val="en-CA"/>
        </w:rPr>
        <w:t>s</w:t>
      </w:r>
      <w:r w:rsidRPr="0046515E">
        <w:rPr>
          <w:lang w:val="en-CA"/>
        </w:rPr>
        <w:t>. 34-36.</w:t>
      </w:r>
    </w:p>
  </w:footnote>
  <w:footnote w:id="28">
    <w:p w14:paraId="3555F43F" w14:textId="68B69923" w:rsidR="002802DA" w:rsidRPr="0046515E" w:rsidRDefault="002802DA" w:rsidP="002802DA">
      <w:pPr>
        <w:pStyle w:val="Notedebasdepage"/>
        <w:rPr>
          <w:lang w:val="en-CA"/>
        </w:rPr>
      </w:pPr>
      <w:r w:rsidRPr="003F1C76">
        <w:rPr>
          <w:rStyle w:val="Appelnotedebasdep"/>
        </w:rPr>
        <w:footnoteRef/>
      </w:r>
      <w:r w:rsidRPr="0046515E">
        <w:rPr>
          <w:lang w:val="en-CA"/>
        </w:rPr>
        <w:t xml:space="preserve"> </w:t>
      </w:r>
      <w:r w:rsidRPr="0046515E">
        <w:rPr>
          <w:lang w:val="en-CA"/>
        </w:rPr>
        <w:tab/>
      </w:r>
      <w:r w:rsidRPr="0046515E">
        <w:rPr>
          <w:i/>
          <w:iCs/>
          <w:lang w:val="en-CA"/>
        </w:rPr>
        <w:t>Crookes</w:t>
      </w:r>
      <w:r w:rsidRPr="0046515E">
        <w:rPr>
          <w:lang w:val="en-CA"/>
        </w:rPr>
        <w:t>, para. 40.</w:t>
      </w:r>
    </w:p>
  </w:footnote>
  <w:footnote w:id="29">
    <w:p w14:paraId="3D87DF24" w14:textId="5063B20E" w:rsidR="002802DA" w:rsidRPr="0046515E" w:rsidRDefault="002802DA" w:rsidP="002802DA">
      <w:pPr>
        <w:pStyle w:val="Notedebasdepage"/>
        <w:rPr>
          <w:lang w:val="en-CA"/>
        </w:rPr>
      </w:pPr>
      <w:r w:rsidRPr="003F1C76">
        <w:rPr>
          <w:rStyle w:val="Appelnotedebasdep"/>
        </w:rPr>
        <w:footnoteRef/>
      </w:r>
      <w:r w:rsidRPr="0046515E">
        <w:rPr>
          <w:lang w:val="en-CA"/>
        </w:rPr>
        <w:t xml:space="preserve"> </w:t>
      </w:r>
      <w:r w:rsidRPr="0046515E">
        <w:rPr>
          <w:lang w:val="en-CA"/>
        </w:rPr>
        <w:tab/>
      </w:r>
      <w:r w:rsidRPr="0046515E">
        <w:rPr>
          <w:i/>
          <w:iCs/>
          <w:lang w:val="en-CA"/>
        </w:rPr>
        <w:t>Crookes</w:t>
      </w:r>
      <w:r w:rsidRPr="0046515E">
        <w:rPr>
          <w:lang w:val="en-CA"/>
        </w:rPr>
        <w:t>, para. 43.</w:t>
      </w:r>
    </w:p>
  </w:footnote>
  <w:footnote w:id="30">
    <w:p w14:paraId="20884225" w14:textId="22325E46" w:rsidR="002802DA" w:rsidRPr="00291A73" w:rsidRDefault="002802DA" w:rsidP="002802DA">
      <w:pPr>
        <w:pStyle w:val="Notedebasdepage"/>
        <w:rPr>
          <w:lang w:val="en-CA"/>
        </w:rPr>
      </w:pPr>
      <w:r w:rsidRPr="003F1C76">
        <w:rPr>
          <w:rStyle w:val="Appelnotedebasdep"/>
        </w:rPr>
        <w:footnoteRef/>
      </w:r>
      <w:r w:rsidRPr="0046515E">
        <w:rPr>
          <w:lang w:val="en-CA"/>
        </w:rPr>
        <w:t xml:space="preserve"> </w:t>
      </w:r>
      <w:r w:rsidRPr="0046515E">
        <w:rPr>
          <w:lang w:val="en-CA"/>
        </w:rPr>
        <w:tab/>
      </w:r>
      <w:r w:rsidRPr="00291A73">
        <w:rPr>
          <w:i/>
          <w:iCs/>
          <w:lang w:val="en-CA"/>
        </w:rPr>
        <w:t>Crookes</w:t>
      </w:r>
      <w:r w:rsidRPr="00291A73">
        <w:rPr>
          <w:lang w:val="en-CA"/>
        </w:rPr>
        <w:t>, para. 50.</w:t>
      </w:r>
    </w:p>
  </w:footnote>
  <w:footnote w:id="31">
    <w:p w14:paraId="265E45A8" w14:textId="105A20B0" w:rsidR="002802DA" w:rsidRPr="00291A73" w:rsidRDefault="002802DA" w:rsidP="002802DA">
      <w:pPr>
        <w:pStyle w:val="Notedebasdepage"/>
        <w:rPr>
          <w:lang w:val="en-CA"/>
        </w:rPr>
      </w:pPr>
      <w:r w:rsidRPr="00291A73">
        <w:rPr>
          <w:rStyle w:val="Appelnotedebasdep"/>
          <w:lang w:val="en-CA"/>
        </w:rPr>
        <w:footnoteRef/>
      </w:r>
      <w:r w:rsidRPr="00291A73">
        <w:rPr>
          <w:lang w:val="en-CA"/>
        </w:rPr>
        <w:t xml:space="preserve"> </w:t>
      </w:r>
      <w:r w:rsidRPr="00291A73">
        <w:rPr>
          <w:lang w:val="en-CA"/>
        </w:rPr>
        <w:tab/>
      </w:r>
      <w:r w:rsidRPr="00291A73">
        <w:rPr>
          <w:i/>
          <w:iCs/>
          <w:lang w:val="en-CA"/>
        </w:rPr>
        <w:t>Crookes</w:t>
      </w:r>
      <w:r w:rsidRPr="00291A73">
        <w:rPr>
          <w:lang w:val="en-CA"/>
        </w:rPr>
        <w:t>, para. 58.</w:t>
      </w:r>
    </w:p>
  </w:footnote>
  <w:footnote w:id="32">
    <w:p w14:paraId="09A30B10" w14:textId="0569E7D9" w:rsidR="002802DA" w:rsidRPr="00291A73" w:rsidRDefault="002802DA" w:rsidP="002802DA">
      <w:pPr>
        <w:pStyle w:val="Notedebasdepage"/>
        <w:rPr>
          <w:lang w:val="en-CA"/>
        </w:rPr>
      </w:pPr>
      <w:r w:rsidRPr="00291A73">
        <w:rPr>
          <w:rStyle w:val="Appelnotedebasdep"/>
          <w:lang w:val="en-CA"/>
        </w:rPr>
        <w:footnoteRef/>
      </w:r>
      <w:r w:rsidRPr="00291A73">
        <w:rPr>
          <w:lang w:val="en-CA"/>
        </w:rPr>
        <w:t xml:space="preserve"> </w:t>
      </w:r>
      <w:r w:rsidRPr="00291A73">
        <w:rPr>
          <w:lang w:val="en-CA"/>
        </w:rPr>
        <w:tab/>
      </w:r>
      <w:r w:rsidRPr="00291A73">
        <w:rPr>
          <w:i/>
          <w:iCs/>
          <w:lang w:val="en-CA"/>
        </w:rPr>
        <w:t>Crookes</w:t>
      </w:r>
      <w:r w:rsidRPr="00291A73">
        <w:rPr>
          <w:lang w:val="en-CA"/>
        </w:rPr>
        <w:t>, para. 57.</w:t>
      </w:r>
    </w:p>
  </w:footnote>
  <w:footnote w:id="33">
    <w:p w14:paraId="4EEC0DCC" w14:textId="1AA11A70" w:rsidR="002802DA" w:rsidRPr="009B3437" w:rsidRDefault="002802DA" w:rsidP="002802DA">
      <w:pPr>
        <w:pStyle w:val="Notedebasdepage"/>
      </w:pPr>
      <w:r w:rsidRPr="00291A73">
        <w:rPr>
          <w:rStyle w:val="Appelnotedebasdep"/>
          <w:lang w:val="en-CA"/>
        </w:rPr>
        <w:footnoteRef/>
      </w:r>
      <w:r w:rsidRPr="00291A73">
        <w:rPr>
          <w:lang w:val="en-CA"/>
        </w:rPr>
        <w:t xml:space="preserve"> </w:t>
      </w:r>
      <w:r w:rsidRPr="00291A73">
        <w:rPr>
          <w:lang w:val="en-CA"/>
        </w:rPr>
        <w:tab/>
      </w:r>
      <w:r w:rsidRPr="00291A73">
        <w:rPr>
          <w:i/>
          <w:iCs/>
          <w:lang w:val="en-CA"/>
        </w:rPr>
        <w:t>Crookes</w:t>
      </w:r>
      <w:r w:rsidRPr="00291A73">
        <w:rPr>
          <w:lang w:val="en-CA"/>
        </w:rPr>
        <w:t xml:space="preserve">, para. 59. </w:t>
      </w:r>
      <w:r w:rsidR="00291A73" w:rsidRPr="00291A73">
        <w:rPr>
          <w:lang w:val="en-CA"/>
        </w:rPr>
        <w:t>See also</w:t>
      </w:r>
      <w:r w:rsidRPr="00291A73">
        <w:rPr>
          <w:lang w:val="en-CA"/>
        </w:rPr>
        <w:t xml:space="preserve"> </w:t>
      </w:r>
      <w:r w:rsidRPr="00291A73">
        <w:rPr>
          <w:i/>
          <w:iCs/>
          <w:lang w:val="en-CA"/>
        </w:rPr>
        <w:t>Crookes</w:t>
      </w:r>
      <w:r w:rsidRPr="00291A73">
        <w:rPr>
          <w:lang w:val="en-CA"/>
        </w:rPr>
        <w:t xml:space="preserve"> </w:t>
      </w:r>
      <w:r w:rsidRPr="00291A73">
        <w:rPr>
          <w:rFonts w:cs="Arial"/>
          <w:lang w:val="en-CA"/>
        </w:rPr>
        <w:t>para</w:t>
      </w:r>
      <w:r w:rsidR="00291A73" w:rsidRPr="00291A73">
        <w:rPr>
          <w:rFonts w:cs="Arial"/>
          <w:lang w:val="en-CA"/>
        </w:rPr>
        <w:t>s</w:t>
      </w:r>
      <w:r w:rsidRPr="00291A73">
        <w:rPr>
          <w:rFonts w:cs="Arial"/>
          <w:lang w:val="en-CA"/>
        </w:rPr>
        <w:t>. </w:t>
      </w:r>
      <w:r w:rsidRPr="009B3437">
        <w:t>92-95.</w:t>
      </w:r>
    </w:p>
  </w:footnote>
  <w:footnote w:id="34">
    <w:p w14:paraId="50DA32A9" w14:textId="2C81D9B3" w:rsidR="002802DA" w:rsidRPr="00291A73" w:rsidRDefault="002802DA" w:rsidP="002802DA">
      <w:pPr>
        <w:pStyle w:val="Notedebasdepage"/>
        <w:rPr>
          <w:lang w:val="en-CA"/>
        </w:rPr>
      </w:pPr>
      <w:r w:rsidRPr="00291A73">
        <w:rPr>
          <w:rStyle w:val="Appelnotedebasdep"/>
          <w:lang w:val="en-CA"/>
        </w:rPr>
        <w:footnoteRef/>
      </w:r>
      <w:r w:rsidRPr="009B3437">
        <w:t xml:space="preserve">  </w:t>
      </w:r>
      <w:r w:rsidRPr="009B3437">
        <w:tab/>
      </w:r>
      <w:r w:rsidR="00291A73" w:rsidRPr="009B3437">
        <w:t>See</w:t>
      </w:r>
      <w:r w:rsidRPr="009B3437">
        <w:t xml:space="preserve"> </w:t>
      </w:r>
      <w:r w:rsidRPr="009B3437">
        <w:rPr>
          <w:i/>
          <w:iCs/>
        </w:rPr>
        <w:t>Marcheterre c. Fédération (la), compagnie d’assurances du Canada</w:t>
      </w:r>
      <w:r w:rsidRPr="009B3437">
        <w:t xml:space="preserve">, 2014 QCCA 1026, para. 35; </w:t>
      </w:r>
      <w:r w:rsidRPr="009B3437">
        <w:rPr>
          <w:i/>
          <w:iCs/>
        </w:rPr>
        <w:t xml:space="preserve">Droit de la famille – 24915, </w:t>
      </w:r>
      <w:r w:rsidRPr="009B3437">
        <w:t>2024 QCCA 767, para</w:t>
      </w:r>
      <w:r w:rsidR="00291A73" w:rsidRPr="009B3437">
        <w:t>s</w:t>
      </w:r>
      <w:r w:rsidRPr="009B3437">
        <w:t>.</w:t>
      </w:r>
      <w:r w:rsidRPr="009B3437">
        <w:rPr>
          <w:i/>
          <w:iCs/>
        </w:rPr>
        <w:t xml:space="preserve"> </w:t>
      </w:r>
      <w:r w:rsidRPr="009B3437">
        <w:t xml:space="preserve">45-48; </w:t>
      </w:r>
      <w:r w:rsidRPr="009B3437">
        <w:rPr>
          <w:i/>
          <w:iCs/>
        </w:rPr>
        <w:t>Royer c. Capital One Bank (Canada Branch)</w:t>
      </w:r>
      <w:r w:rsidRPr="009B3437">
        <w:t>, 2025 QCCA 217, para</w:t>
      </w:r>
      <w:r w:rsidR="00291A73" w:rsidRPr="009B3437">
        <w:t>s</w:t>
      </w:r>
      <w:r w:rsidRPr="009B3437">
        <w:t xml:space="preserve">. </w:t>
      </w:r>
      <w:r w:rsidRPr="00291A73">
        <w:rPr>
          <w:lang w:val="en-CA"/>
        </w:rPr>
        <w:t>18-21.</w:t>
      </w:r>
    </w:p>
  </w:footnote>
  <w:footnote w:id="35">
    <w:p w14:paraId="5DD65848" w14:textId="634F61C5" w:rsidR="002802DA" w:rsidRPr="009B3437" w:rsidRDefault="002802DA" w:rsidP="002802DA">
      <w:pPr>
        <w:pStyle w:val="Notedebasdepage"/>
      </w:pPr>
      <w:r w:rsidRPr="00291A73">
        <w:rPr>
          <w:rStyle w:val="Appelnotedebasdep"/>
          <w:lang w:val="en-CA"/>
        </w:rPr>
        <w:footnoteRef/>
      </w:r>
      <w:r w:rsidRPr="00291A73">
        <w:rPr>
          <w:lang w:val="en-CA"/>
        </w:rPr>
        <w:t xml:space="preserve"> </w:t>
      </w:r>
      <w:r w:rsidRPr="00291A73">
        <w:rPr>
          <w:lang w:val="en-CA"/>
        </w:rPr>
        <w:tab/>
      </w:r>
      <w:r w:rsidR="00291A73" w:rsidRPr="00291A73">
        <w:rPr>
          <w:lang w:val="en-CA"/>
        </w:rPr>
        <w:t xml:space="preserve">It is indeed </w:t>
      </w:r>
      <w:r w:rsidR="00E40460">
        <w:rPr>
          <w:lang w:val="en-CA"/>
        </w:rPr>
        <w:t>quite</w:t>
      </w:r>
      <w:r w:rsidR="00291A73" w:rsidRPr="00291A73">
        <w:rPr>
          <w:lang w:val="en-CA"/>
        </w:rPr>
        <w:t xml:space="preserve"> possible</w:t>
      </w:r>
      <w:r w:rsidRPr="00291A73">
        <w:rPr>
          <w:lang w:val="en-CA"/>
        </w:rPr>
        <w:t xml:space="preserve"> </w:t>
      </w:r>
      <w:r w:rsidR="00291A73">
        <w:rPr>
          <w:lang w:val="en-CA"/>
        </w:rPr>
        <w:t>that</w:t>
      </w:r>
      <w:r w:rsidR="0089403F">
        <w:rPr>
          <w:lang w:val="en-CA"/>
        </w:rPr>
        <w:t>,</w:t>
      </w:r>
      <w:r w:rsidR="00291A73">
        <w:rPr>
          <w:lang w:val="en-CA"/>
        </w:rPr>
        <w:t xml:space="preserve"> </w:t>
      </w:r>
      <w:r w:rsidR="0089403F">
        <w:rPr>
          <w:lang w:val="en-CA"/>
        </w:rPr>
        <w:t>applying</w:t>
      </w:r>
      <w:r w:rsidR="00291A73">
        <w:rPr>
          <w:lang w:val="en-CA"/>
        </w:rPr>
        <w:t xml:space="preserve"> the rules of Quebec law and the concept of fault</w:t>
      </w:r>
      <w:r w:rsidR="0089403F">
        <w:rPr>
          <w:lang w:val="en-CA"/>
        </w:rPr>
        <w:t>,</w:t>
      </w:r>
      <w:r w:rsidR="00291A73">
        <w:rPr>
          <w:lang w:val="en-CA"/>
        </w:rPr>
        <w:t xml:space="preserve"> the solution to a case </w:t>
      </w:r>
      <w:r w:rsidR="0089403F">
        <w:rPr>
          <w:lang w:val="en-CA"/>
        </w:rPr>
        <w:t>analogous</w:t>
      </w:r>
      <w:r w:rsidR="00291A73">
        <w:rPr>
          <w:lang w:val="en-CA"/>
        </w:rPr>
        <w:t xml:space="preserve"> to </w:t>
      </w:r>
      <w:r w:rsidRPr="00291A73">
        <w:rPr>
          <w:i/>
          <w:iCs/>
          <w:lang w:val="en-CA"/>
        </w:rPr>
        <w:t>Crookes</w:t>
      </w:r>
      <w:r w:rsidRPr="00291A73">
        <w:rPr>
          <w:lang w:val="en-CA"/>
        </w:rPr>
        <w:t xml:space="preserve"> </w:t>
      </w:r>
      <w:r w:rsidR="0089403F">
        <w:rPr>
          <w:lang w:val="en-CA"/>
        </w:rPr>
        <w:t xml:space="preserve">would </w:t>
      </w:r>
      <w:r w:rsidR="00291A73">
        <w:rPr>
          <w:lang w:val="en-CA"/>
        </w:rPr>
        <w:t>be the same</w:t>
      </w:r>
      <w:r w:rsidRPr="00291A73">
        <w:rPr>
          <w:lang w:val="en-CA"/>
        </w:rPr>
        <w:t xml:space="preserve">. </w:t>
      </w:r>
      <w:r w:rsidR="00291A73">
        <w:rPr>
          <w:lang w:val="en-CA"/>
        </w:rPr>
        <w:t>We need not determine that issue, however, since the liability sought in the case at bar is not that of the author using a hyperlink, but that of an intermediary</w:t>
      </w:r>
      <w:r w:rsidRPr="00291A73">
        <w:rPr>
          <w:lang w:val="en-CA"/>
        </w:rPr>
        <w:t xml:space="preserve">. </w:t>
      </w:r>
      <w:r w:rsidR="00E40460">
        <w:rPr>
          <w:lang w:val="en-CA"/>
        </w:rPr>
        <w:t>We n</w:t>
      </w:r>
      <w:r w:rsidR="000949E5">
        <w:rPr>
          <w:lang w:val="en-CA"/>
        </w:rPr>
        <w:t>ote</w:t>
      </w:r>
      <w:r w:rsidR="006C3302">
        <w:rPr>
          <w:lang w:val="en-CA"/>
        </w:rPr>
        <w:t>,</w:t>
      </w:r>
      <w:r w:rsidR="000949E5">
        <w:rPr>
          <w:lang w:val="en-CA"/>
        </w:rPr>
        <w:t xml:space="preserve"> however</w:t>
      </w:r>
      <w:r w:rsidR="00E40460">
        <w:rPr>
          <w:lang w:val="en-CA"/>
        </w:rPr>
        <w:t>,</w:t>
      </w:r>
      <w:r w:rsidR="000949E5">
        <w:rPr>
          <w:lang w:val="en-CA"/>
        </w:rPr>
        <w:t xml:space="preserve"> some trial decisions that, in circumstances similar to</w:t>
      </w:r>
      <w:r w:rsidR="0089403F">
        <w:rPr>
          <w:lang w:val="en-CA"/>
        </w:rPr>
        <w:t xml:space="preserve"> those </w:t>
      </w:r>
      <w:r w:rsidR="006C3302">
        <w:rPr>
          <w:lang w:val="en-CA"/>
        </w:rPr>
        <w:t>which</w:t>
      </w:r>
      <w:r w:rsidR="0089403F">
        <w:rPr>
          <w:lang w:val="en-CA"/>
        </w:rPr>
        <w:t xml:space="preserve"> gave rise to</w:t>
      </w:r>
      <w:r w:rsidRPr="00291A73">
        <w:rPr>
          <w:lang w:val="en-CA"/>
        </w:rPr>
        <w:t xml:space="preserve"> </w:t>
      </w:r>
      <w:r w:rsidRPr="00291A73">
        <w:rPr>
          <w:i/>
          <w:iCs/>
          <w:lang w:val="en-CA"/>
        </w:rPr>
        <w:t>Crookes</w:t>
      </w:r>
      <w:r w:rsidRPr="00291A73">
        <w:rPr>
          <w:lang w:val="en-CA"/>
        </w:rPr>
        <w:t xml:space="preserve">, </w:t>
      </w:r>
      <w:r w:rsidR="000949E5">
        <w:rPr>
          <w:lang w:val="en-CA"/>
        </w:rPr>
        <w:t>arrive at the same result</w:t>
      </w:r>
      <w:r w:rsidRPr="00291A73">
        <w:rPr>
          <w:lang w:val="en-CA"/>
        </w:rPr>
        <w:t xml:space="preserve">. </w:t>
      </w:r>
      <w:r w:rsidR="000949E5">
        <w:rPr>
          <w:lang w:val="en-CA"/>
        </w:rPr>
        <w:t>Indeed, those decisions cite, and even apply</w:t>
      </w:r>
      <w:r w:rsidRPr="00291A73">
        <w:rPr>
          <w:lang w:val="en-CA"/>
        </w:rPr>
        <w:t>,</w:t>
      </w:r>
      <w:r w:rsidR="000949E5">
        <w:rPr>
          <w:lang w:val="en-CA"/>
        </w:rPr>
        <w:t xml:space="preserve"> </w:t>
      </w:r>
      <w:r w:rsidRPr="00291A73">
        <w:rPr>
          <w:i/>
          <w:iCs/>
          <w:lang w:val="en-CA"/>
        </w:rPr>
        <w:t>Crookes</w:t>
      </w:r>
      <w:r w:rsidRPr="00291A73">
        <w:rPr>
          <w:lang w:val="en-CA"/>
        </w:rPr>
        <w:t xml:space="preserve">: </w:t>
      </w:r>
      <w:r w:rsidRPr="00291A73">
        <w:rPr>
          <w:i/>
          <w:iCs/>
          <w:lang w:val="en-CA"/>
        </w:rPr>
        <w:t>Laforest c. Collins</w:t>
      </w:r>
      <w:r w:rsidRPr="00291A73">
        <w:rPr>
          <w:lang w:val="en-CA"/>
        </w:rPr>
        <w:t xml:space="preserve">, 2012 QCCS 3078; </w:t>
      </w:r>
      <w:r w:rsidRPr="00291A73">
        <w:rPr>
          <w:i/>
          <w:iCs/>
          <w:lang w:val="en-CA"/>
        </w:rPr>
        <w:t>Rosenberg c. Lacerte</w:t>
      </w:r>
      <w:r w:rsidRPr="00291A73">
        <w:rPr>
          <w:lang w:val="en-CA"/>
        </w:rPr>
        <w:t xml:space="preserve">, 2013 QCCS 6286, para. 156; </w:t>
      </w:r>
      <w:r w:rsidRPr="00291A73">
        <w:rPr>
          <w:i/>
          <w:iCs/>
          <w:lang w:val="en-CA"/>
        </w:rPr>
        <w:t>Chayer c. Vaillancourt</w:t>
      </w:r>
      <w:r w:rsidRPr="00291A73">
        <w:rPr>
          <w:lang w:val="en-CA"/>
        </w:rPr>
        <w:t>, 2012 QCCQ 1354, para</w:t>
      </w:r>
      <w:r w:rsidR="000949E5">
        <w:rPr>
          <w:lang w:val="en-CA"/>
        </w:rPr>
        <w:t>s</w:t>
      </w:r>
      <w:r w:rsidRPr="00291A73">
        <w:rPr>
          <w:lang w:val="en-CA"/>
        </w:rPr>
        <w:t xml:space="preserve">. 51 </w:t>
      </w:r>
      <w:r w:rsidR="000949E5">
        <w:rPr>
          <w:lang w:val="en-CA"/>
        </w:rPr>
        <w:t>and ff.</w:t>
      </w:r>
      <w:r w:rsidRPr="00291A73">
        <w:rPr>
          <w:lang w:val="en-CA"/>
        </w:rPr>
        <w:t xml:space="preserve"> </w:t>
      </w:r>
      <w:r w:rsidR="000949E5">
        <w:rPr>
          <w:lang w:val="en-CA"/>
        </w:rPr>
        <w:t>The Court has also referred to</w:t>
      </w:r>
      <w:r w:rsidRPr="00291A73">
        <w:rPr>
          <w:lang w:val="en-CA"/>
        </w:rPr>
        <w:t xml:space="preserve"> </w:t>
      </w:r>
      <w:r w:rsidRPr="00291A73">
        <w:rPr>
          <w:i/>
          <w:iCs/>
          <w:lang w:val="en-CA"/>
        </w:rPr>
        <w:t>Crookes</w:t>
      </w:r>
      <w:r w:rsidR="000949E5">
        <w:rPr>
          <w:lang w:val="en-CA"/>
        </w:rPr>
        <w:t>, but in a general way and in different circumstances</w:t>
      </w:r>
      <w:r w:rsidRPr="00291A73">
        <w:rPr>
          <w:lang w:val="en-CA"/>
        </w:rPr>
        <w:t xml:space="preserve">. </w:t>
      </w:r>
      <w:r w:rsidR="000949E5" w:rsidRPr="009B3437">
        <w:t xml:space="preserve">See, </w:t>
      </w:r>
      <w:r w:rsidR="000949E5" w:rsidRPr="009B3437">
        <w:rPr>
          <w:i/>
          <w:iCs/>
        </w:rPr>
        <w:t>inter alia</w:t>
      </w:r>
      <w:r w:rsidRPr="009B3437">
        <w:t xml:space="preserve">: </w:t>
      </w:r>
      <w:r w:rsidRPr="009B3437">
        <w:rPr>
          <w:i/>
          <w:iCs/>
        </w:rPr>
        <w:t>Boyer c. Loto-Québec</w:t>
      </w:r>
      <w:r w:rsidRPr="009B3437">
        <w:t xml:space="preserve">, 2017 QCCA 951, para. 26; </w:t>
      </w:r>
      <w:r w:rsidRPr="009B3437">
        <w:rPr>
          <w:i/>
          <w:iCs/>
        </w:rPr>
        <w:t>Parisien c. Hôtel du Lac Tremblant inc.</w:t>
      </w:r>
      <w:r w:rsidRPr="009B3437">
        <w:t>, 2018 QCCA 2217, para. 14 [</w:t>
      </w:r>
      <w:bookmarkStart w:id="29" w:name="_Hlk207618125"/>
      <w:r w:rsidRPr="009B3437">
        <w:rPr>
          <w:i/>
          <w:iCs/>
        </w:rPr>
        <w:t>Parisien</w:t>
      </w:r>
      <w:bookmarkEnd w:id="29"/>
      <w:r w:rsidRPr="009B3437">
        <w:t xml:space="preserve">]; </w:t>
      </w:r>
      <w:r w:rsidRPr="009B3437">
        <w:rPr>
          <w:i/>
          <w:iCs/>
        </w:rPr>
        <w:t>Therrien c. Directeur général des élections du Québec inc.</w:t>
      </w:r>
      <w:r w:rsidRPr="009B3437">
        <w:t xml:space="preserve">, 2022 QCCA 1070, para. 71. </w:t>
      </w:r>
    </w:p>
  </w:footnote>
  <w:footnote w:id="36">
    <w:p w14:paraId="0305A8AA" w14:textId="381744CA" w:rsidR="002802DA" w:rsidRPr="009B3437" w:rsidRDefault="002802DA" w:rsidP="002802DA">
      <w:pPr>
        <w:pStyle w:val="Notedebasdepage"/>
      </w:pPr>
      <w:r w:rsidRPr="003F1C76">
        <w:rPr>
          <w:rStyle w:val="Appelnotedebasdep"/>
        </w:rPr>
        <w:footnoteRef/>
      </w:r>
      <w:r w:rsidRPr="00366799">
        <w:t xml:space="preserve"> </w:t>
      </w:r>
      <w:r w:rsidRPr="00366799">
        <w:tab/>
      </w:r>
      <w:r w:rsidRPr="009B3437">
        <w:rPr>
          <w:i/>
          <w:iCs/>
        </w:rPr>
        <w:t xml:space="preserve">Grant </w:t>
      </w:r>
      <w:r w:rsidR="006D05EA" w:rsidRPr="009B3437">
        <w:rPr>
          <w:i/>
          <w:iCs/>
        </w:rPr>
        <w:t>v</w:t>
      </w:r>
      <w:r w:rsidRPr="009B3437">
        <w:rPr>
          <w:i/>
          <w:iCs/>
        </w:rPr>
        <w:t>. Torstar Corp</w:t>
      </w:r>
      <w:r w:rsidRPr="009B3437">
        <w:t xml:space="preserve">., </w:t>
      </w:r>
      <w:r w:rsidRPr="009B3437">
        <w:rPr>
          <w:color w:val="000000" w:themeColor="text1"/>
        </w:rPr>
        <w:t xml:space="preserve">2009 </w:t>
      </w:r>
      <w:r w:rsidR="006D05EA" w:rsidRPr="009B3437">
        <w:rPr>
          <w:color w:val="000000" w:themeColor="text1"/>
        </w:rPr>
        <w:t>SCC</w:t>
      </w:r>
      <w:r w:rsidRPr="009B3437">
        <w:rPr>
          <w:color w:val="000000" w:themeColor="text1"/>
        </w:rPr>
        <w:t xml:space="preserve"> 61, </w:t>
      </w:r>
      <w:r w:rsidRPr="009B3437">
        <w:t xml:space="preserve">para. 28. </w:t>
      </w:r>
      <w:r w:rsidR="006D05EA" w:rsidRPr="009B3437">
        <w:t>See also</w:t>
      </w:r>
      <w:r w:rsidRPr="009B3437">
        <w:t xml:space="preserve">: Denis Boivin </w:t>
      </w:r>
      <w:r w:rsidR="006D05EA" w:rsidRPr="009B3437">
        <w:t>and</w:t>
      </w:r>
      <w:r w:rsidRPr="009B3437">
        <w:t xml:space="preserve"> Louise Bélanger Hardy, </w:t>
      </w:r>
      <w:r w:rsidRPr="009B3437">
        <w:rPr>
          <w:i/>
          <w:iCs/>
        </w:rPr>
        <w:t>La responsabilité délictuelle en common law</w:t>
      </w:r>
      <w:r w:rsidRPr="009B3437">
        <w:t>, 2</w:t>
      </w:r>
      <w:r w:rsidR="006D05EA" w:rsidRPr="009B3437">
        <w:rPr>
          <w:vertAlign w:val="superscript"/>
        </w:rPr>
        <w:t>nd</w:t>
      </w:r>
      <w:r w:rsidRPr="009B3437">
        <w:t xml:space="preserve"> </w:t>
      </w:r>
      <w:r w:rsidR="006D05EA" w:rsidRPr="009B3437">
        <w:t>e</w:t>
      </w:r>
      <w:r w:rsidRPr="009B3437">
        <w:t>d., Montral, Yvon Blais, 2023, p. 1004.</w:t>
      </w:r>
    </w:p>
  </w:footnote>
  <w:footnote w:id="37">
    <w:p w14:paraId="0B242175" w14:textId="481CD862" w:rsidR="002802DA" w:rsidRPr="006D05EA" w:rsidRDefault="002802DA" w:rsidP="002802DA">
      <w:pPr>
        <w:pStyle w:val="Notedebasdepage"/>
        <w:rPr>
          <w:lang w:val="en-CA"/>
        </w:rPr>
      </w:pPr>
      <w:r w:rsidRPr="006D05EA">
        <w:rPr>
          <w:rStyle w:val="Appelnotedebasdep"/>
          <w:lang w:val="en-CA"/>
        </w:rPr>
        <w:footnoteRef/>
      </w:r>
      <w:r w:rsidRPr="009B3437">
        <w:t xml:space="preserve"> </w:t>
      </w:r>
      <w:r w:rsidRPr="009B3437">
        <w:tab/>
        <w:t xml:space="preserve">Louis Bélanger-Hardy, </w:t>
      </w:r>
      <w:r w:rsidR="006D05EA" w:rsidRPr="009B3437">
        <w:t>“</w:t>
      </w:r>
      <w:r w:rsidRPr="009B3437">
        <w:t>Droit des délits</w:t>
      </w:r>
      <w:r w:rsidR="006D05EA" w:rsidRPr="009B3437">
        <w:t>”</w:t>
      </w:r>
      <w:r w:rsidRPr="009B3437">
        <w:t xml:space="preserve"> </w:t>
      </w:r>
      <w:r w:rsidR="006D05EA" w:rsidRPr="009B3437">
        <w:t>in</w:t>
      </w:r>
      <w:r w:rsidRPr="009B3437">
        <w:t xml:space="preserve"> Yan Campagnolo, Louise Bélanger-Hardy </w:t>
      </w:r>
      <w:r w:rsidR="006D05EA" w:rsidRPr="009B3437">
        <w:t>and</w:t>
      </w:r>
      <w:r w:rsidRPr="009B3437">
        <w:t xml:space="preserve"> Aline Grenon (</w:t>
      </w:r>
      <w:r w:rsidR="0089403F" w:rsidRPr="009B3437">
        <w:t>e</w:t>
      </w:r>
      <w:r w:rsidR="006D05EA" w:rsidRPr="009B3437">
        <w:t>ds</w:t>
      </w:r>
      <w:r w:rsidRPr="009B3437">
        <w:t xml:space="preserve">.), </w:t>
      </w:r>
      <w:r w:rsidRPr="009B3437">
        <w:rPr>
          <w:i/>
          <w:iCs/>
        </w:rPr>
        <w:t xml:space="preserve">Éléments de </w:t>
      </w:r>
      <w:r w:rsidRPr="009B3437">
        <w:t>common law</w:t>
      </w:r>
      <w:r w:rsidRPr="009B3437">
        <w:rPr>
          <w:i/>
          <w:iCs/>
        </w:rPr>
        <w:t xml:space="preserve"> canadienne – Comparaison avec le droit civil québécois</w:t>
      </w:r>
      <w:r w:rsidRPr="009B3437">
        <w:t>, 2</w:t>
      </w:r>
      <w:r w:rsidR="006D05EA" w:rsidRPr="009B3437">
        <w:rPr>
          <w:vertAlign w:val="superscript"/>
        </w:rPr>
        <w:t>nd</w:t>
      </w:r>
      <w:r w:rsidRPr="009B3437">
        <w:t xml:space="preserve"> </w:t>
      </w:r>
      <w:r w:rsidR="006D05EA" w:rsidRPr="009B3437">
        <w:t>e</w:t>
      </w:r>
      <w:r w:rsidRPr="009B3437">
        <w:t xml:space="preserve">d., Montréal, Yvon Blais, 2024, p. 435 </w:t>
      </w:r>
      <w:r w:rsidR="006D05EA" w:rsidRPr="009B3437">
        <w:t>and ff</w:t>
      </w:r>
      <w:r w:rsidRPr="009B3437">
        <w:t xml:space="preserve">.; Marie Annik Grégoire, </w:t>
      </w:r>
      <w:r w:rsidR="006D05EA" w:rsidRPr="009B3437">
        <w:t>“</w:t>
      </w:r>
      <w:r w:rsidRPr="009B3437">
        <w:t>Éléments des atteintes à la réputation et à la vie privée</w:t>
      </w:r>
      <w:r w:rsidR="006D05EA" w:rsidRPr="009B3437">
        <w:t>”</w:t>
      </w:r>
      <w:r w:rsidRPr="009B3437">
        <w:t xml:space="preserve">, </w:t>
      </w:r>
      <w:r w:rsidR="006D05EA" w:rsidRPr="009B3437">
        <w:t>in</w:t>
      </w:r>
      <w:r w:rsidRPr="009B3437">
        <w:t xml:space="preserve"> </w:t>
      </w:r>
      <w:r w:rsidRPr="009B3437">
        <w:rPr>
          <w:i/>
          <w:iCs/>
        </w:rPr>
        <w:t>JurisClasseur Québec</w:t>
      </w:r>
      <w:r w:rsidRPr="009B3437">
        <w:t xml:space="preserve">, vol. </w:t>
      </w:r>
      <w:r w:rsidR="006D05EA">
        <w:rPr>
          <w:lang w:val="en-CA"/>
        </w:rPr>
        <w:t>“</w:t>
      </w:r>
      <w:r w:rsidRPr="006D05EA">
        <w:rPr>
          <w:lang w:val="en-CA"/>
        </w:rPr>
        <w:t>Personnes et famille</w:t>
      </w:r>
      <w:r w:rsidR="006D05EA">
        <w:rPr>
          <w:lang w:val="en-CA"/>
        </w:rPr>
        <w:t>”</w:t>
      </w:r>
      <w:r w:rsidRPr="006D05EA">
        <w:rPr>
          <w:lang w:val="en-CA"/>
        </w:rPr>
        <w:t xml:space="preserve">, Montréal, Lexis Nexis, </w:t>
      </w:r>
      <w:r w:rsidR="006D05EA">
        <w:rPr>
          <w:lang w:val="en-CA"/>
        </w:rPr>
        <w:t>updated</w:t>
      </w:r>
      <w:r w:rsidRPr="006D05EA">
        <w:rPr>
          <w:lang w:val="en-CA"/>
        </w:rPr>
        <w:t xml:space="preserve"> </w:t>
      </w:r>
      <w:r w:rsidR="006D05EA">
        <w:rPr>
          <w:lang w:val="en-CA"/>
        </w:rPr>
        <w:t>to April 15,</w:t>
      </w:r>
      <w:r w:rsidRPr="006D05EA">
        <w:rPr>
          <w:lang w:val="en-CA"/>
        </w:rPr>
        <w:t xml:space="preserve"> 2021, </w:t>
      </w:r>
      <w:r w:rsidR="006D05EA">
        <w:rPr>
          <w:lang w:val="en-CA"/>
        </w:rPr>
        <w:t>no.</w:t>
      </w:r>
      <w:r w:rsidRPr="006D05EA">
        <w:rPr>
          <w:lang w:val="en-CA"/>
        </w:rPr>
        <w:t xml:space="preserve"> 6.</w:t>
      </w:r>
    </w:p>
  </w:footnote>
  <w:footnote w:id="38">
    <w:p w14:paraId="0424329E" w14:textId="033E1634" w:rsidR="002802DA" w:rsidRPr="006D05EA" w:rsidRDefault="002802DA" w:rsidP="002802DA">
      <w:pPr>
        <w:pStyle w:val="Notedebasdepage"/>
        <w:rPr>
          <w:lang w:val="en-CA"/>
        </w:rPr>
      </w:pPr>
      <w:r w:rsidRPr="006D05EA">
        <w:rPr>
          <w:rStyle w:val="Appelnotedebasdep"/>
          <w:lang w:val="en-CA"/>
        </w:rPr>
        <w:footnoteRef/>
      </w:r>
      <w:r w:rsidRPr="006D05EA">
        <w:rPr>
          <w:lang w:val="en-CA"/>
        </w:rPr>
        <w:t xml:space="preserve"> </w:t>
      </w:r>
      <w:r w:rsidRPr="006D05EA">
        <w:rPr>
          <w:lang w:val="en-CA"/>
        </w:rPr>
        <w:tab/>
      </w:r>
      <w:r w:rsidRPr="006D05EA">
        <w:rPr>
          <w:i/>
          <w:iCs/>
          <w:lang w:val="en-CA"/>
        </w:rPr>
        <w:t>Prud’homme</w:t>
      </w:r>
      <w:r w:rsidRPr="006D05EA" w:rsidDel="006F48C3">
        <w:rPr>
          <w:i/>
          <w:iCs/>
          <w:lang w:val="en-CA"/>
        </w:rPr>
        <w:t xml:space="preserve"> </w:t>
      </w:r>
      <w:r w:rsidR="006D05EA">
        <w:rPr>
          <w:i/>
          <w:iCs/>
          <w:lang w:val="en-CA"/>
        </w:rPr>
        <w:t>v</w:t>
      </w:r>
      <w:r w:rsidRPr="006D05EA">
        <w:rPr>
          <w:i/>
          <w:iCs/>
          <w:lang w:val="en-CA"/>
        </w:rPr>
        <w:t xml:space="preserve">. Prud’homme, </w:t>
      </w:r>
      <w:r w:rsidRPr="006D05EA">
        <w:rPr>
          <w:lang w:val="en-CA"/>
        </w:rPr>
        <w:t xml:space="preserve">2002 </w:t>
      </w:r>
      <w:r w:rsidR="006D05EA">
        <w:rPr>
          <w:lang w:val="en-CA"/>
        </w:rPr>
        <w:t>SCC</w:t>
      </w:r>
      <w:r w:rsidRPr="006D05EA">
        <w:rPr>
          <w:lang w:val="en-CA"/>
        </w:rPr>
        <w:t xml:space="preserve"> 85, para. 36. </w:t>
      </w:r>
    </w:p>
  </w:footnote>
  <w:footnote w:id="39">
    <w:p w14:paraId="7BB688D7" w14:textId="5CE128B5" w:rsidR="002802DA" w:rsidRPr="009B3437" w:rsidRDefault="002802DA" w:rsidP="002802DA">
      <w:pPr>
        <w:pStyle w:val="Notedebasdepage"/>
      </w:pPr>
      <w:r w:rsidRPr="006D05EA">
        <w:rPr>
          <w:rStyle w:val="Appelnotedebasdep"/>
          <w:lang w:val="en-CA"/>
        </w:rPr>
        <w:footnoteRef/>
      </w:r>
      <w:r w:rsidRPr="006D05EA">
        <w:rPr>
          <w:lang w:val="en-CA"/>
        </w:rPr>
        <w:t xml:space="preserve"> </w:t>
      </w:r>
      <w:r w:rsidRPr="006D05EA">
        <w:rPr>
          <w:lang w:val="en-CA"/>
        </w:rPr>
        <w:tab/>
      </w:r>
      <w:r w:rsidR="006D05EA">
        <w:rPr>
          <w:lang w:val="en-CA"/>
        </w:rPr>
        <w:t>As</w:t>
      </w:r>
      <w:r w:rsidRPr="006D05EA">
        <w:rPr>
          <w:lang w:val="en-CA"/>
        </w:rPr>
        <w:t xml:space="preserve"> Deschamps</w:t>
      </w:r>
      <w:r w:rsidR="006D05EA">
        <w:rPr>
          <w:lang w:val="en-CA"/>
        </w:rPr>
        <w:t xml:space="preserve"> J. pointed out in her reasons</w:t>
      </w:r>
      <w:r w:rsidRPr="006D05EA">
        <w:rPr>
          <w:lang w:val="en-CA"/>
        </w:rPr>
        <w:t xml:space="preserve"> (</w:t>
      </w:r>
      <w:r w:rsidRPr="006D05EA">
        <w:rPr>
          <w:i/>
          <w:iCs/>
          <w:lang w:val="en-CA"/>
        </w:rPr>
        <w:t>Crookes</w:t>
      </w:r>
      <w:r w:rsidRPr="006D05EA">
        <w:rPr>
          <w:lang w:val="en-CA"/>
        </w:rPr>
        <w:t xml:space="preserve">, para. 57) </w:t>
      </w:r>
      <w:r w:rsidR="006D05EA">
        <w:rPr>
          <w:lang w:val="en-CA"/>
        </w:rPr>
        <w:t xml:space="preserve">and, to a lesser extent, </w:t>
      </w:r>
      <w:r w:rsidRPr="006D05EA">
        <w:rPr>
          <w:lang w:val="en-CA"/>
        </w:rPr>
        <w:t>McLachlin</w:t>
      </w:r>
      <w:r w:rsidR="006D05EA">
        <w:rPr>
          <w:lang w:val="en-CA"/>
        </w:rPr>
        <w:t xml:space="preserve"> C.J.</w:t>
      </w:r>
      <w:r w:rsidRPr="006D05EA">
        <w:rPr>
          <w:lang w:val="en-CA"/>
        </w:rPr>
        <w:t xml:space="preserve"> </w:t>
      </w:r>
      <w:r w:rsidR="006D05EA">
        <w:rPr>
          <w:lang w:val="en-CA"/>
        </w:rPr>
        <w:t>and</w:t>
      </w:r>
      <w:r w:rsidRPr="006D05EA">
        <w:rPr>
          <w:lang w:val="en-CA"/>
        </w:rPr>
        <w:t xml:space="preserve"> Fish </w:t>
      </w:r>
      <w:r w:rsidR="006D05EA">
        <w:rPr>
          <w:lang w:val="en-CA"/>
        </w:rPr>
        <w:t xml:space="preserve">J. </w:t>
      </w:r>
      <w:r w:rsidRPr="006D05EA">
        <w:rPr>
          <w:lang w:val="en-CA"/>
        </w:rPr>
        <w:t>(</w:t>
      </w:r>
      <w:r w:rsidRPr="006D05EA">
        <w:rPr>
          <w:i/>
          <w:iCs/>
          <w:lang w:val="en-CA"/>
        </w:rPr>
        <w:t>Crookes</w:t>
      </w:r>
      <w:r w:rsidRPr="006D05EA">
        <w:rPr>
          <w:lang w:val="en-CA"/>
        </w:rPr>
        <w:t xml:space="preserve">, para. </w:t>
      </w:r>
      <w:r w:rsidRPr="009B3437">
        <w:t>50).</w:t>
      </w:r>
    </w:p>
  </w:footnote>
  <w:footnote w:id="40">
    <w:p w14:paraId="24AC8C8F" w14:textId="175C9A5A" w:rsidR="002802DA" w:rsidRPr="009B3437" w:rsidRDefault="002802DA" w:rsidP="002802DA">
      <w:pPr>
        <w:pStyle w:val="Notedebasdepage"/>
      </w:pPr>
      <w:r w:rsidRPr="006D05EA">
        <w:rPr>
          <w:rStyle w:val="Appelnotedebasdep"/>
          <w:lang w:val="en-CA"/>
        </w:rPr>
        <w:footnoteRef/>
      </w:r>
      <w:r w:rsidRPr="009B3437">
        <w:t xml:space="preserve"> </w:t>
      </w:r>
      <w:r w:rsidRPr="009B3437">
        <w:tab/>
      </w:r>
      <w:r w:rsidR="006D05EA" w:rsidRPr="009B3437">
        <w:t>See</w:t>
      </w:r>
      <w:r w:rsidRPr="009B3437">
        <w:t xml:space="preserve">: Marie Annik Grégoire, </w:t>
      </w:r>
      <w:r w:rsidR="006D05EA" w:rsidRPr="009B3437">
        <w:t>“</w:t>
      </w:r>
      <w:r w:rsidRPr="009B3437">
        <w:t>Éléments des atteintes à la réputation et à la vie privée</w:t>
      </w:r>
      <w:r w:rsidR="006D05EA" w:rsidRPr="009B3437">
        <w:t>”</w:t>
      </w:r>
      <w:r w:rsidRPr="009B3437">
        <w:t xml:space="preserve">, </w:t>
      </w:r>
      <w:r w:rsidR="006D05EA" w:rsidRPr="009B3437">
        <w:t>in</w:t>
      </w:r>
      <w:r w:rsidRPr="009B3437">
        <w:t xml:space="preserve"> </w:t>
      </w:r>
      <w:r w:rsidRPr="009B3437">
        <w:rPr>
          <w:i/>
          <w:iCs/>
        </w:rPr>
        <w:t>JurisClasseur Québec</w:t>
      </w:r>
      <w:r w:rsidRPr="009B3437">
        <w:t xml:space="preserve">, vol. </w:t>
      </w:r>
      <w:r w:rsidR="006D05EA" w:rsidRPr="009B3437">
        <w:t>“</w:t>
      </w:r>
      <w:r w:rsidRPr="009B3437">
        <w:t>Personnes et famille</w:t>
      </w:r>
      <w:r w:rsidR="006D05EA" w:rsidRPr="009B3437">
        <w:t>”</w:t>
      </w:r>
      <w:r w:rsidRPr="009B3437">
        <w:t>, Montr</w:t>
      </w:r>
      <w:r w:rsidR="006D05EA" w:rsidRPr="009B3437">
        <w:t>e</w:t>
      </w:r>
      <w:r w:rsidRPr="009B3437">
        <w:t xml:space="preserve">al, Lexis Nexis, </w:t>
      </w:r>
      <w:r w:rsidR="00A34518" w:rsidRPr="009B3437">
        <w:t>updated to April 15, 2021, no. 6</w:t>
      </w:r>
      <w:r w:rsidRPr="009B3437">
        <w:t xml:space="preserve">; </w:t>
      </w:r>
      <w:bookmarkStart w:id="30" w:name="_Hlk205557284"/>
      <w:r w:rsidRPr="009B3437">
        <w:t xml:space="preserve">Nicolas W. Vermeys, </w:t>
      </w:r>
      <w:r w:rsidRPr="009B3437">
        <w:rPr>
          <w:i/>
          <w:iCs/>
        </w:rPr>
        <w:t>Droit codifié et nouvelles technologies : le Code civil</w:t>
      </w:r>
      <w:r w:rsidRPr="009B3437">
        <w:t>, Montréal, Yvon Blais, 2015, p</w:t>
      </w:r>
      <w:r w:rsidR="00A34518" w:rsidRPr="009B3437">
        <w:t>p</w:t>
      </w:r>
      <w:r w:rsidRPr="009B3437">
        <w:t xml:space="preserve">. </w:t>
      </w:r>
      <w:bookmarkEnd w:id="30"/>
      <w:r w:rsidRPr="009B3437">
        <w:t xml:space="preserve">126 </w:t>
      </w:r>
      <w:r w:rsidR="00A34518" w:rsidRPr="009B3437">
        <w:t>and</w:t>
      </w:r>
      <w:r w:rsidRPr="009B3437">
        <w:t xml:space="preserve"> 143-144 (</w:t>
      </w:r>
      <w:r w:rsidR="00A34518" w:rsidRPr="009B3437">
        <w:t>in a more nuanced way</w:t>
      </w:r>
      <w:r w:rsidRPr="009B3437">
        <w:t>);</w:t>
      </w:r>
      <w:r w:rsidRPr="009B3437">
        <w:rPr>
          <w:sz w:val="24"/>
        </w:rPr>
        <w:t xml:space="preserve"> </w:t>
      </w:r>
      <w:r w:rsidRPr="009B3437">
        <w:t xml:space="preserve">Serge Kablan </w:t>
      </w:r>
      <w:r w:rsidR="00A34518" w:rsidRPr="009B3437">
        <w:t>and</w:t>
      </w:r>
      <w:r w:rsidRPr="009B3437">
        <w:t xml:space="preserve"> Arthur Oulaï, </w:t>
      </w:r>
      <w:r w:rsidR="00A34518" w:rsidRPr="009B3437">
        <w:t>“</w:t>
      </w:r>
      <w:r w:rsidRPr="009B3437">
        <w:t>Vers une responsabilisation accrue ? A. B. contre Google et l’avenir de la régulation des services en ligne</w:t>
      </w:r>
      <w:r w:rsidR="00A34518" w:rsidRPr="009B3437">
        <w:t>”</w:t>
      </w:r>
      <w:r w:rsidRPr="009B3437">
        <w:t xml:space="preserve">, (2024) 36 : 1- 2 </w:t>
      </w:r>
      <w:r w:rsidRPr="009B3437">
        <w:rPr>
          <w:i/>
          <w:iCs/>
        </w:rPr>
        <w:t>Les Cahiers de propriété intellectuelle</w:t>
      </w:r>
      <w:r w:rsidRPr="009B3437">
        <w:t xml:space="preserve"> 127, </w:t>
      </w:r>
      <w:r w:rsidRPr="009B3437">
        <w:rPr>
          <w:rFonts w:cs="Arial"/>
        </w:rPr>
        <w:t>p. </w:t>
      </w:r>
      <w:r w:rsidRPr="009B3437">
        <w:t xml:space="preserve">148. </w:t>
      </w:r>
      <w:r w:rsidR="00A34518" w:rsidRPr="009B3437">
        <w:rPr>
          <w:i/>
          <w:iCs/>
        </w:rPr>
        <w:t>A contrario</w:t>
      </w:r>
      <w:r w:rsidRPr="009B3437">
        <w:t xml:space="preserve">: Barry Gamache, </w:t>
      </w:r>
      <w:r w:rsidR="00A34518" w:rsidRPr="009B3437">
        <w:t>“</w:t>
      </w:r>
      <w:r w:rsidRPr="009B3437">
        <w:t>La diffamation en ligne : Ce qu’il ne faut pas mettre sur un blogue</w:t>
      </w:r>
      <w:r w:rsidR="00A34518" w:rsidRPr="009B3437">
        <w:t>”</w:t>
      </w:r>
      <w:r w:rsidRPr="009B3437">
        <w:t xml:space="preserve">, </w:t>
      </w:r>
      <w:r w:rsidR="00A34518" w:rsidRPr="009B3437">
        <w:t>in</w:t>
      </w:r>
      <w:r w:rsidRPr="009B3437">
        <w:t xml:space="preserve"> Barreau du Québec, Service de la formation continue (</w:t>
      </w:r>
      <w:r w:rsidR="00A34518" w:rsidRPr="009B3437">
        <w:t>ed</w:t>
      </w:r>
      <w:r w:rsidRPr="009B3437">
        <w:t xml:space="preserve">.), </w:t>
      </w:r>
      <w:r w:rsidRPr="009B3437">
        <w:rPr>
          <w:i/>
          <w:iCs/>
        </w:rPr>
        <w:t>Développements récents en droit de la propriété intellectuelle</w:t>
      </w:r>
      <w:r w:rsidRPr="009B3437">
        <w:t xml:space="preserve">, </w:t>
      </w:r>
      <w:r w:rsidRPr="009B3437">
        <w:rPr>
          <w:rFonts w:cs="Arial"/>
        </w:rPr>
        <w:t>vol. </w:t>
      </w:r>
      <w:r w:rsidRPr="009B3437">
        <w:t xml:space="preserve"> </w:t>
      </w:r>
      <w:r w:rsidRPr="006D05EA">
        <w:rPr>
          <w:lang w:val="en-CA"/>
        </w:rPr>
        <w:t xml:space="preserve">375, 2013. </w:t>
      </w:r>
      <w:r w:rsidR="00A34518">
        <w:rPr>
          <w:lang w:val="en-CA"/>
        </w:rPr>
        <w:t xml:space="preserve">In the case of an intermediary such as </w:t>
      </w:r>
      <w:r w:rsidRPr="006D05EA">
        <w:rPr>
          <w:lang w:val="en-CA"/>
        </w:rPr>
        <w:t xml:space="preserve">Google, </w:t>
      </w:r>
      <w:r w:rsidR="00A34518">
        <w:rPr>
          <w:lang w:val="en-CA"/>
        </w:rPr>
        <w:t>this issue is often blurred by that of the interpretation of s.</w:t>
      </w:r>
      <w:r w:rsidRPr="006D05EA">
        <w:rPr>
          <w:lang w:val="en-CA"/>
        </w:rPr>
        <w:t xml:space="preserve"> 22 </w:t>
      </w:r>
      <w:r w:rsidR="00A34518">
        <w:rPr>
          <w:i/>
          <w:iCs/>
          <w:lang w:val="en-CA"/>
        </w:rPr>
        <w:t>IT Framework Act</w:t>
      </w:r>
      <w:r w:rsidR="00A34518">
        <w:rPr>
          <w:lang w:val="en-CA"/>
        </w:rPr>
        <w:t xml:space="preserve"> which I will address below</w:t>
      </w:r>
      <w:r w:rsidRPr="006D05EA">
        <w:rPr>
          <w:lang w:val="en-CA"/>
        </w:rPr>
        <w:t xml:space="preserve">. </w:t>
      </w:r>
      <w:r w:rsidR="00A34518" w:rsidRPr="009B3437">
        <w:t>See</w:t>
      </w:r>
      <w:r w:rsidRPr="009B3437">
        <w:t xml:space="preserve">: Pierre Trudel, </w:t>
      </w:r>
      <w:r w:rsidRPr="009B3437">
        <w:rPr>
          <w:i/>
          <w:iCs/>
        </w:rPr>
        <w:t>Introduction à la Loi concernant le cadre juridique des technologies de l’information</w:t>
      </w:r>
      <w:r w:rsidRPr="009B3437">
        <w:t>, Montréal, Yvon Blais, 2012, p. 215 (</w:t>
      </w:r>
      <w:r w:rsidR="00A34518" w:rsidRPr="009B3437">
        <w:t xml:space="preserve">which notes that hyperlinks do not constitute, in and of themselves, </w:t>
      </w:r>
      <w:r w:rsidR="004A173E" w:rsidRPr="009B3437">
        <w:t xml:space="preserve">publication according to </w:t>
      </w:r>
      <w:r w:rsidRPr="009B3437">
        <w:rPr>
          <w:i/>
          <w:iCs/>
        </w:rPr>
        <w:t>Crookes</w:t>
      </w:r>
      <w:r w:rsidRPr="009B3437">
        <w:t xml:space="preserve">); </w:t>
      </w:r>
      <w:bookmarkStart w:id="31" w:name="_Hlk204953432"/>
      <w:r w:rsidRPr="009B3437">
        <w:t xml:space="preserve">Pierre Trudel, </w:t>
      </w:r>
      <w:r w:rsidR="004A173E" w:rsidRPr="009B3437">
        <w:t>“</w:t>
      </w:r>
      <w:r w:rsidRPr="009B3437">
        <w:t>Moteurs de recherche, déréférencement, oubli et vie privée en droit québécois</w:t>
      </w:r>
      <w:r w:rsidR="004A173E" w:rsidRPr="009B3437">
        <w:t>”</w:t>
      </w:r>
      <w:r w:rsidRPr="009B3437">
        <w:t xml:space="preserve">, (2016) 21 </w:t>
      </w:r>
      <w:r w:rsidRPr="009B3437">
        <w:rPr>
          <w:i/>
          <w:iCs/>
        </w:rPr>
        <w:t>Lex Electronica</w:t>
      </w:r>
      <w:r w:rsidRPr="009B3437">
        <w:t xml:space="preserve"> 89, p. </w:t>
      </w:r>
      <w:bookmarkEnd w:id="31"/>
      <w:r w:rsidRPr="009B3437">
        <w:t>102.</w:t>
      </w:r>
    </w:p>
  </w:footnote>
  <w:footnote w:id="41">
    <w:p w14:paraId="0A98FE7A" w14:textId="66FAB398" w:rsidR="002802DA" w:rsidRPr="003F1C76" w:rsidRDefault="002802DA" w:rsidP="002802DA">
      <w:pPr>
        <w:pStyle w:val="Notedebasdepage"/>
      </w:pPr>
      <w:r w:rsidRPr="003F1C76">
        <w:rPr>
          <w:rStyle w:val="Appelnotedebasdep"/>
        </w:rPr>
        <w:footnoteRef/>
      </w:r>
      <w:r w:rsidRPr="003F1C76">
        <w:t xml:space="preserve"> </w:t>
      </w:r>
      <w:r w:rsidRPr="003F1C76">
        <w:tab/>
      </w:r>
      <w:r w:rsidR="009E25D1">
        <w:t>See</w:t>
      </w:r>
      <w:r w:rsidRPr="003F1C76">
        <w:t> </w:t>
      </w:r>
      <w:r w:rsidRPr="003F1C76">
        <w:rPr>
          <w:i/>
          <w:iCs/>
        </w:rPr>
        <w:t>Desbiens c. Standish</w:t>
      </w:r>
      <w:r w:rsidRPr="003F1C76">
        <w:t>, 2024 QCCA 725, para. 92.</w:t>
      </w:r>
    </w:p>
  </w:footnote>
  <w:footnote w:id="42">
    <w:p w14:paraId="2A674E76" w14:textId="326A451A" w:rsidR="002802DA" w:rsidRPr="009B3437" w:rsidRDefault="002802DA" w:rsidP="002802DA">
      <w:pPr>
        <w:pStyle w:val="Notedebasdepage"/>
      </w:pPr>
      <w:r>
        <w:rPr>
          <w:rStyle w:val="Appelnotedebasdep"/>
        </w:rPr>
        <w:footnoteRef/>
      </w:r>
      <w:r>
        <w:t xml:space="preserve"> </w:t>
      </w:r>
      <w:r>
        <w:tab/>
      </w:r>
      <w:r w:rsidRPr="009B3437">
        <w:rPr>
          <w:i/>
          <w:iCs/>
        </w:rPr>
        <w:t>Niemela v. Malamas</w:t>
      </w:r>
      <w:r w:rsidRPr="009B3437">
        <w:t>, 2015 BCSC 1024, para</w:t>
      </w:r>
      <w:r w:rsidR="009E25D1" w:rsidRPr="009B3437">
        <w:t>s</w:t>
      </w:r>
      <w:r w:rsidRPr="009B3437">
        <w:t xml:space="preserve">. </w:t>
      </w:r>
      <w:r w:rsidRPr="001A0A24">
        <w:rPr>
          <w:lang w:val="en-CA"/>
        </w:rPr>
        <w:t xml:space="preserve">56-60. </w:t>
      </w:r>
      <w:r w:rsidR="009E25D1" w:rsidRPr="001A0A24">
        <w:rPr>
          <w:lang w:val="en-CA"/>
        </w:rPr>
        <w:t>See also</w:t>
      </w:r>
      <w:r w:rsidRPr="001A0A24">
        <w:rPr>
          <w:lang w:val="en-CA"/>
        </w:rPr>
        <w:t xml:space="preserve"> </w:t>
      </w:r>
      <w:r w:rsidR="001A0A24" w:rsidRPr="001A0A24">
        <w:rPr>
          <w:lang w:val="en-CA"/>
        </w:rPr>
        <w:t>High Court of Au</w:t>
      </w:r>
      <w:r w:rsidR="005E31B4">
        <w:rPr>
          <w:lang w:val="en-CA"/>
        </w:rPr>
        <w:t>s</w:t>
      </w:r>
      <w:r w:rsidR="001A0A24" w:rsidRPr="001A0A24">
        <w:rPr>
          <w:lang w:val="en-CA"/>
        </w:rPr>
        <w:t>tralia</w:t>
      </w:r>
      <w:r w:rsidRPr="001A0A24">
        <w:rPr>
          <w:lang w:val="en-CA"/>
        </w:rPr>
        <w:t xml:space="preserve">: </w:t>
      </w:r>
      <w:r w:rsidRPr="001A0A24">
        <w:rPr>
          <w:i/>
          <w:iCs/>
          <w:lang w:val="en-CA"/>
        </w:rPr>
        <w:t>Google LLC v. Defteros</w:t>
      </w:r>
      <w:r w:rsidRPr="001A0A24">
        <w:rPr>
          <w:lang w:val="en-CA"/>
        </w:rPr>
        <w:t xml:space="preserve">, [2022] HCA 27. </w:t>
      </w:r>
      <w:r w:rsidR="001A0A24">
        <w:rPr>
          <w:lang w:val="en-CA"/>
        </w:rPr>
        <w:t>In Quebec law</w:t>
      </w:r>
      <w:r w:rsidRPr="001A0A24">
        <w:rPr>
          <w:lang w:val="en-CA"/>
        </w:rPr>
        <w:t xml:space="preserve">, </w:t>
      </w:r>
      <w:r w:rsidRPr="001A0A24">
        <w:rPr>
          <w:i/>
          <w:iCs/>
          <w:lang w:val="en-CA"/>
        </w:rPr>
        <w:t xml:space="preserve">Crookes </w:t>
      </w:r>
      <w:r w:rsidR="001A0A24">
        <w:rPr>
          <w:lang w:val="en-CA"/>
        </w:rPr>
        <w:t>was used by the Superior Court in a case involving</w:t>
      </w:r>
      <w:r w:rsidRPr="001A0A24">
        <w:rPr>
          <w:lang w:val="en-CA"/>
        </w:rPr>
        <w:t xml:space="preserve"> Facebook </w:t>
      </w:r>
      <w:r w:rsidR="001A0A24">
        <w:rPr>
          <w:lang w:val="en-CA"/>
        </w:rPr>
        <w:t xml:space="preserve">after having </w:t>
      </w:r>
      <w:r w:rsidR="00752C67">
        <w:rPr>
          <w:lang w:val="en-CA"/>
        </w:rPr>
        <w:t>made a finding of non-liability</w:t>
      </w:r>
      <w:r w:rsidRPr="001A0A24">
        <w:rPr>
          <w:lang w:val="en-CA"/>
        </w:rPr>
        <w:t xml:space="preserve"> </w:t>
      </w:r>
      <w:r w:rsidR="001A0A24">
        <w:rPr>
          <w:lang w:val="en-CA"/>
        </w:rPr>
        <w:t>pursuant to s.</w:t>
      </w:r>
      <w:r w:rsidRPr="001A0A24">
        <w:rPr>
          <w:lang w:val="en-CA"/>
        </w:rPr>
        <w:t xml:space="preserve"> 22 </w:t>
      </w:r>
      <w:r w:rsidR="001A0A24">
        <w:rPr>
          <w:i/>
          <w:iCs/>
          <w:lang w:val="en-CA"/>
        </w:rPr>
        <w:t>IT Framework Act</w:t>
      </w:r>
      <w:r w:rsidR="005E31B4" w:rsidRPr="005E31B4">
        <w:rPr>
          <w:lang w:val="en-CA"/>
        </w:rPr>
        <w:t>,</w:t>
      </w:r>
      <w:r w:rsidR="00752C67" w:rsidRPr="00752C67">
        <w:rPr>
          <w:lang w:val="en-CA"/>
        </w:rPr>
        <w:t xml:space="preserve"> </w:t>
      </w:r>
      <w:r w:rsidR="00752C67">
        <w:rPr>
          <w:lang w:val="en-CA"/>
        </w:rPr>
        <w:t>however</w:t>
      </w:r>
      <w:r w:rsidRPr="001A0A24">
        <w:rPr>
          <w:lang w:val="en-CA"/>
        </w:rPr>
        <w:t xml:space="preserve">: </w:t>
      </w:r>
      <w:r w:rsidRPr="001A0A24">
        <w:rPr>
          <w:i/>
          <w:iCs/>
          <w:lang w:val="en-CA"/>
        </w:rPr>
        <w:t>Lehouillier-Dumas c. Facebook inc.</w:t>
      </w:r>
      <w:r w:rsidRPr="001A0A24">
        <w:rPr>
          <w:lang w:val="en-CA"/>
        </w:rPr>
        <w:t>, 2021 QCCS 3524, para</w:t>
      </w:r>
      <w:r w:rsidR="001A0A24">
        <w:rPr>
          <w:lang w:val="en-CA"/>
        </w:rPr>
        <w:t>s</w:t>
      </w:r>
      <w:r w:rsidRPr="001A0A24">
        <w:rPr>
          <w:lang w:val="en-CA"/>
        </w:rPr>
        <w:t xml:space="preserve">. </w:t>
      </w:r>
      <w:r w:rsidRPr="009B3437">
        <w:t>103-104 [</w:t>
      </w:r>
      <w:bookmarkStart w:id="33" w:name="_Hlk207546529"/>
      <w:r w:rsidRPr="009B3437">
        <w:rPr>
          <w:i/>
          <w:iCs/>
        </w:rPr>
        <w:t>Lehouillier-Dumas</w:t>
      </w:r>
      <w:bookmarkEnd w:id="33"/>
      <w:r w:rsidRPr="009B3437">
        <w:t>].</w:t>
      </w:r>
    </w:p>
  </w:footnote>
  <w:footnote w:id="43">
    <w:p w14:paraId="5839CAED" w14:textId="755547D0" w:rsidR="002802DA" w:rsidRPr="009B3437" w:rsidRDefault="002802DA" w:rsidP="002802DA">
      <w:pPr>
        <w:pStyle w:val="Notedebasdepage"/>
      </w:pPr>
      <w:r w:rsidRPr="003F1C76">
        <w:rPr>
          <w:rStyle w:val="Appelnotedebasdep"/>
        </w:rPr>
        <w:footnoteRef/>
      </w:r>
      <w:r w:rsidRPr="003F1C76">
        <w:t xml:space="preserve"> </w:t>
      </w:r>
      <w:r w:rsidRPr="003F1C76">
        <w:tab/>
      </w:r>
      <w:r w:rsidRPr="009B3437">
        <w:t xml:space="preserve">Mariève Lacroix, </w:t>
      </w:r>
      <w:r w:rsidR="00B311E7" w:rsidRPr="009B3437">
        <w:t>“</w:t>
      </w:r>
      <w:r w:rsidRPr="009B3437">
        <w:t xml:space="preserve">Le fait générateur de responsabilité civile extracontractuelle personnelle : continuum de l’illicéité à la faute simple au regard de l’article 1457 </w:t>
      </w:r>
      <w:r w:rsidRPr="009B3437">
        <w:rPr>
          <w:i/>
          <w:iCs/>
        </w:rPr>
        <w:t>C.c.Q.</w:t>
      </w:r>
      <w:r w:rsidR="00B311E7" w:rsidRPr="009B3437">
        <w:t>”</w:t>
      </w:r>
      <w:r w:rsidRPr="009B3437">
        <w:t xml:space="preserve">, (2012) 46 </w:t>
      </w:r>
      <w:r w:rsidRPr="009B3437">
        <w:rPr>
          <w:i/>
          <w:iCs/>
        </w:rPr>
        <w:t xml:space="preserve">R.J.T. </w:t>
      </w:r>
      <w:r w:rsidRPr="009B3437">
        <w:t xml:space="preserve">25, </w:t>
      </w:r>
      <w:r w:rsidRPr="009B3437">
        <w:rPr>
          <w:rFonts w:cs="Arial"/>
        </w:rPr>
        <w:t>p. </w:t>
      </w:r>
      <w:r w:rsidRPr="009B3437">
        <w:t>31.</w:t>
      </w:r>
    </w:p>
  </w:footnote>
  <w:footnote w:id="44">
    <w:p w14:paraId="3C2AB991" w14:textId="1750AB05" w:rsidR="002802DA" w:rsidRPr="00B311E7" w:rsidRDefault="002802DA" w:rsidP="002802DA">
      <w:pPr>
        <w:pStyle w:val="Notedebasdepage"/>
        <w:rPr>
          <w:lang w:val="en-CA"/>
        </w:rPr>
      </w:pPr>
      <w:r w:rsidRPr="00B311E7">
        <w:rPr>
          <w:rStyle w:val="Appelnotedebasdep"/>
          <w:lang w:val="en-CA"/>
        </w:rPr>
        <w:footnoteRef/>
      </w:r>
      <w:r w:rsidRPr="00B311E7">
        <w:rPr>
          <w:lang w:val="en-CA"/>
        </w:rPr>
        <w:t xml:space="preserve"> </w:t>
      </w:r>
      <w:r w:rsidRPr="00B311E7">
        <w:rPr>
          <w:lang w:val="en-CA"/>
        </w:rPr>
        <w:tab/>
        <w:t xml:space="preserve">Art. 1457 </w:t>
      </w:r>
      <w:r w:rsidRPr="00B311E7">
        <w:rPr>
          <w:i/>
          <w:iCs/>
          <w:lang w:val="en-CA"/>
        </w:rPr>
        <w:t>C.</w:t>
      </w:r>
      <w:r w:rsidR="00B311E7">
        <w:rPr>
          <w:i/>
          <w:iCs/>
          <w:lang w:val="en-CA"/>
        </w:rPr>
        <w:t>C</w:t>
      </w:r>
      <w:r w:rsidRPr="00B311E7">
        <w:rPr>
          <w:i/>
          <w:iCs/>
          <w:lang w:val="en-CA"/>
        </w:rPr>
        <w:t>.Q.</w:t>
      </w:r>
    </w:p>
  </w:footnote>
  <w:footnote w:id="45">
    <w:p w14:paraId="69C8479A" w14:textId="1F36409A" w:rsidR="002802DA" w:rsidRPr="000157A3" w:rsidRDefault="002802DA" w:rsidP="002802DA">
      <w:pPr>
        <w:pStyle w:val="Notedebasdepage"/>
        <w:rPr>
          <w:lang w:val="en-CA"/>
        </w:rPr>
      </w:pPr>
      <w:r>
        <w:rPr>
          <w:rStyle w:val="Appelnotedebasdep"/>
        </w:rPr>
        <w:footnoteRef/>
      </w:r>
      <w:r w:rsidRPr="009B3437">
        <w:rPr>
          <w:lang w:val="en-CA"/>
        </w:rPr>
        <w:t xml:space="preserve"> </w:t>
      </w:r>
      <w:r w:rsidRPr="009B3437">
        <w:rPr>
          <w:lang w:val="en-CA"/>
        </w:rPr>
        <w:tab/>
      </w:r>
      <w:r w:rsidR="000157A3" w:rsidRPr="000157A3">
        <w:rPr>
          <w:lang w:val="en-CA"/>
        </w:rPr>
        <w:t>For its part</w:t>
      </w:r>
      <w:r w:rsidR="000157A3">
        <w:rPr>
          <w:lang w:val="en-CA"/>
        </w:rPr>
        <w:t xml:space="preserve">, paragraph 2 </w:t>
      </w:r>
      <w:r w:rsidR="003D077B">
        <w:rPr>
          <w:lang w:val="en-CA"/>
        </w:rPr>
        <w:t>applies to</w:t>
      </w:r>
      <w:r w:rsidR="000157A3">
        <w:rPr>
          <w:lang w:val="en-CA"/>
        </w:rPr>
        <w:t xml:space="preserve"> the </w:t>
      </w:r>
      <w:r w:rsidR="00260C29">
        <w:rPr>
          <w:lang w:val="en-CA"/>
        </w:rPr>
        <w:t>provider of storage services</w:t>
      </w:r>
      <w:r w:rsidRPr="000157A3">
        <w:rPr>
          <w:lang w:val="en-CA"/>
        </w:rPr>
        <w:t xml:space="preserve">. </w:t>
      </w:r>
      <w:r w:rsidR="003D077B">
        <w:rPr>
          <w:lang w:val="en-CA"/>
        </w:rPr>
        <w:t>In the case at bar</w:t>
      </w:r>
      <w:r w:rsidRPr="000157A3">
        <w:rPr>
          <w:lang w:val="en-CA"/>
        </w:rPr>
        <w:t xml:space="preserve">, Google </w:t>
      </w:r>
      <w:r w:rsidR="00260C29">
        <w:rPr>
          <w:lang w:val="en-CA"/>
        </w:rPr>
        <w:t>is essentially acting as a</w:t>
      </w:r>
      <w:r w:rsidR="00735FA1">
        <w:rPr>
          <w:lang w:val="en-CA"/>
        </w:rPr>
        <w:t xml:space="preserve"> referral</w:t>
      </w:r>
      <w:r w:rsidR="00260C29">
        <w:rPr>
          <w:lang w:val="en-CA"/>
        </w:rPr>
        <w:t xml:space="preserve"> service</w:t>
      </w:r>
      <w:r w:rsidR="00A74DEB">
        <w:rPr>
          <w:lang w:val="en-CA"/>
        </w:rPr>
        <w:t>s</w:t>
      </w:r>
      <w:r w:rsidRPr="000157A3">
        <w:rPr>
          <w:lang w:val="en-CA"/>
        </w:rPr>
        <w:t xml:space="preserve"> </w:t>
      </w:r>
      <w:r w:rsidR="00260C29">
        <w:rPr>
          <w:lang w:val="en-CA"/>
        </w:rPr>
        <w:t>intermediary</w:t>
      </w:r>
      <w:r w:rsidR="00260C29" w:rsidRPr="000157A3">
        <w:rPr>
          <w:lang w:val="en-CA"/>
        </w:rPr>
        <w:t xml:space="preserve"> </w:t>
      </w:r>
      <w:r w:rsidRPr="000157A3">
        <w:rPr>
          <w:lang w:val="en-CA"/>
        </w:rPr>
        <w:t>(</w:t>
      </w:r>
      <w:r w:rsidR="00260C29">
        <w:rPr>
          <w:lang w:val="en-CA"/>
        </w:rPr>
        <w:t>para</w:t>
      </w:r>
      <w:r w:rsidRPr="000157A3">
        <w:rPr>
          <w:lang w:val="en-CA"/>
        </w:rPr>
        <w:t xml:space="preserve">. 3). </w:t>
      </w:r>
      <w:r w:rsidR="00260C29">
        <w:rPr>
          <w:lang w:val="en-CA"/>
        </w:rPr>
        <w:t xml:space="preserve">If one </w:t>
      </w:r>
      <w:r w:rsidR="003D077B">
        <w:rPr>
          <w:lang w:val="en-CA"/>
        </w:rPr>
        <w:t>takes</w:t>
      </w:r>
      <w:r w:rsidR="00260C29">
        <w:rPr>
          <w:lang w:val="en-CA"/>
        </w:rPr>
        <w:t xml:space="preserve"> the view </w:t>
      </w:r>
      <w:r w:rsidR="003D077B">
        <w:rPr>
          <w:lang w:val="en-CA"/>
        </w:rPr>
        <w:t xml:space="preserve">that </w:t>
      </w:r>
      <w:r w:rsidR="00260C29">
        <w:rPr>
          <w:lang w:val="en-CA"/>
        </w:rPr>
        <w:t>para</w:t>
      </w:r>
      <w:r w:rsidRPr="000157A3">
        <w:rPr>
          <w:lang w:val="en-CA"/>
        </w:rPr>
        <w:t>. 2</w:t>
      </w:r>
      <w:r w:rsidR="003D077B">
        <w:rPr>
          <w:lang w:val="en-CA"/>
        </w:rPr>
        <w:t xml:space="preserve"> also applies to it</w:t>
      </w:r>
      <w:r w:rsidRPr="000157A3">
        <w:rPr>
          <w:lang w:val="en-CA"/>
        </w:rPr>
        <w:t xml:space="preserve"> – </w:t>
      </w:r>
      <w:r w:rsidR="00260C29">
        <w:rPr>
          <w:lang w:val="en-CA"/>
        </w:rPr>
        <w:t>which was not the subject of submissions</w:t>
      </w:r>
      <w:r w:rsidRPr="000157A3">
        <w:rPr>
          <w:lang w:val="en-CA"/>
        </w:rPr>
        <w:t xml:space="preserve"> –, </w:t>
      </w:r>
      <w:r w:rsidR="00260C29">
        <w:rPr>
          <w:lang w:val="en-CA"/>
        </w:rPr>
        <w:t>the content of the duty provided therein is</w:t>
      </w:r>
      <w:r w:rsidR="003D077B">
        <w:rPr>
          <w:lang w:val="en-CA"/>
        </w:rPr>
        <w:t>, in substance,</w:t>
      </w:r>
      <w:r w:rsidR="00260C29">
        <w:rPr>
          <w:lang w:val="en-CA"/>
        </w:rPr>
        <w:t xml:space="preserve"> the same</w:t>
      </w:r>
      <w:r w:rsidRPr="000157A3">
        <w:rPr>
          <w:lang w:val="en-CA"/>
        </w:rPr>
        <w:t>.</w:t>
      </w:r>
    </w:p>
  </w:footnote>
  <w:footnote w:id="46">
    <w:p w14:paraId="436FDA0D" w14:textId="276FB90F" w:rsidR="002802DA" w:rsidRPr="000157A3" w:rsidRDefault="002802DA" w:rsidP="002802DA">
      <w:pPr>
        <w:pStyle w:val="Notedebasdepage"/>
        <w:rPr>
          <w:lang w:val="en-CA"/>
        </w:rPr>
      </w:pPr>
      <w:r w:rsidRPr="000157A3">
        <w:rPr>
          <w:rStyle w:val="Appelnotedebasdep"/>
          <w:lang w:val="en-CA"/>
        </w:rPr>
        <w:footnoteRef/>
      </w:r>
      <w:r w:rsidRPr="000157A3">
        <w:rPr>
          <w:lang w:val="en-CA"/>
        </w:rPr>
        <w:t xml:space="preserve">  </w:t>
      </w:r>
      <w:r w:rsidR="00260C29">
        <w:rPr>
          <w:lang w:val="en-CA"/>
        </w:rPr>
        <w:t>Section</w:t>
      </w:r>
      <w:r w:rsidRPr="000157A3">
        <w:rPr>
          <w:lang w:val="en-CA"/>
        </w:rPr>
        <w:t xml:space="preserve"> 27 </w:t>
      </w:r>
      <w:r w:rsidR="00260C29">
        <w:rPr>
          <w:lang w:val="en-CA"/>
        </w:rPr>
        <w:t>of the</w:t>
      </w:r>
      <w:r w:rsidRPr="000157A3">
        <w:rPr>
          <w:lang w:val="en-CA"/>
        </w:rPr>
        <w:t xml:space="preserve"> </w:t>
      </w:r>
      <w:r w:rsidR="00260C29">
        <w:rPr>
          <w:i/>
          <w:iCs/>
          <w:lang w:val="en-CA"/>
        </w:rPr>
        <w:t>IT Framework Act</w:t>
      </w:r>
      <w:r w:rsidRPr="000157A3">
        <w:rPr>
          <w:lang w:val="en-CA"/>
        </w:rPr>
        <w:t xml:space="preserve"> </w:t>
      </w:r>
      <w:r w:rsidR="00260C29">
        <w:rPr>
          <w:lang w:val="en-CA"/>
        </w:rPr>
        <w:t>reads as follows</w:t>
      </w:r>
      <w:r w:rsidRPr="000157A3">
        <w:rPr>
          <w:lang w:val="en-CA"/>
        </w:rPr>
        <w:t>:</w:t>
      </w:r>
    </w:p>
    <w:tbl>
      <w:tblPr>
        <w:tblW w:w="0" w:type="auto"/>
        <w:tblLayout w:type="fixed"/>
        <w:tblCellMar>
          <w:left w:w="70" w:type="dxa"/>
          <w:right w:w="70" w:type="dxa"/>
        </w:tblCellMar>
        <w:tblLook w:val="0000" w:firstRow="0" w:lastRow="0" w:firstColumn="0" w:lastColumn="0" w:noHBand="0" w:noVBand="0"/>
      </w:tblPr>
      <w:tblGrid>
        <w:gridCol w:w="4681"/>
        <w:gridCol w:w="4681"/>
      </w:tblGrid>
      <w:tr w:rsidR="002802DA" w:rsidRPr="00366799" w14:paraId="71952A4E" w14:textId="77777777" w:rsidTr="00A32CD9">
        <w:tc>
          <w:tcPr>
            <w:tcW w:w="4681" w:type="dxa"/>
            <w:shd w:val="clear" w:color="auto" w:fill="auto"/>
          </w:tcPr>
          <w:p w14:paraId="350D0F46" w14:textId="1EBBF3DA" w:rsidR="002802DA" w:rsidRPr="009B3437" w:rsidRDefault="002802DA" w:rsidP="00E14C44">
            <w:pPr>
              <w:pStyle w:val="Tableaugauchefranais"/>
              <w:spacing w:line="240" w:lineRule="auto"/>
              <w:jc w:val="both"/>
              <w:rPr>
                <w:sz w:val="20"/>
                <w:lang w:val="en-CA"/>
              </w:rPr>
            </w:pPr>
            <w:hyperlink r:id="rId9" w:anchor="se:27" w:history="1">
              <w:r w:rsidRPr="009B3437">
                <w:rPr>
                  <w:rStyle w:val="Hyperlien"/>
                  <w:b/>
                  <w:bCs/>
                  <w:color w:val="auto"/>
                  <w:sz w:val="20"/>
                  <w:u w:val="none"/>
                  <w:lang w:val="en-CA"/>
                </w:rPr>
                <w:t>27.</w:t>
              </w:r>
            </w:hyperlink>
            <w:r w:rsidRPr="009B3437">
              <w:rPr>
                <w:sz w:val="20"/>
                <w:lang w:val="en-CA"/>
              </w:rPr>
              <w:t> </w:t>
            </w:r>
            <w:r w:rsidR="00594AE5" w:rsidRPr="0074572F">
              <w:rPr>
                <w:sz w:val="20"/>
                <w:lang w:val="en-CA"/>
              </w:rPr>
              <w:t>A service provider, acting as an intermediary, that provides communication network services or who stores or transmits technology-based documents on a communication network is not required to monitor the information communicated on the network or contained in the documents or to identify circumstances indicating that the documents are used for illicit activi</w:t>
            </w:r>
            <w:r w:rsidR="0074572F" w:rsidRPr="0074572F">
              <w:rPr>
                <w:sz w:val="20"/>
                <w:lang w:val="en-CA"/>
              </w:rPr>
              <w:t>ties</w:t>
            </w:r>
            <w:r w:rsidRPr="0074572F">
              <w:rPr>
                <w:sz w:val="20"/>
                <w:lang w:val="en-CA"/>
              </w:rPr>
              <w:t>.</w:t>
            </w:r>
          </w:p>
          <w:p w14:paraId="510FAF25" w14:textId="77777777" w:rsidR="002802DA" w:rsidRPr="009B3437" w:rsidRDefault="002802DA" w:rsidP="00E14C44">
            <w:pPr>
              <w:pStyle w:val="Tableaugauchefranais"/>
              <w:spacing w:line="240" w:lineRule="auto"/>
              <w:jc w:val="both"/>
              <w:rPr>
                <w:sz w:val="20"/>
                <w:lang w:val="en-CA"/>
              </w:rPr>
            </w:pPr>
          </w:p>
          <w:p w14:paraId="767891A0" w14:textId="700FE17F" w:rsidR="002802DA" w:rsidRPr="0074572F" w:rsidRDefault="0074572F" w:rsidP="00E14C44">
            <w:pPr>
              <w:pStyle w:val="Tableaugauchefranais"/>
              <w:spacing w:line="240" w:lineRule="auto"/>
              <w:jc w:val="both"/>
              <w:rPr>
                <w:sz w:val="20"/>
                <w:lang w:val="en-CA"/>
              </w:rPr>
            </w:pPr>
            <w:r w:rsidRPr="0074572F">
              <w:rPr>
                <w:sz w:val="20"/>
                <w:lang w:val="en-CA"/>
              </w:rPr>
              <w:t>However, the service provider may not take measures to prevent the person responsible for access to documents from exercising his or her functions, in particular as regards confidentiality, or to prevent the competent authorities from exercising their functions, in accordance with the applicable legislative provisions, as regards public security or the prevention, detection, proof and prosecution of offences</w:t>
            </w:r>
            <w:r w:rsidR="002802DA" w:rsidRPr="0074572F">
              <w:rPr>
                <w:sz w:val="20"/>
                <w:lang w:val="en-CA"/>
              </w:rPr>
              <w:t>.</w:t>
            </w:r>
          </w:p>
          <w:p w14:paraId="0A77AD8D" w14:textId="77777777" w:rsidR="002802DA" w:rsidRPr="009B3437" w:rsidRDefault="002802DA" w:rsidP="00E14C44">
            <w:pPr>
              <w:pStyle w:val="Tableaugauchefranais"/>
              <w:spacing w:line="240" w:lineRule="auto"/>
              <w:jc w:val="both"/>
              <w:rPr>
                <w:sz w:val="20"/>
                <w:lang w:val="en-CA"/>
              </w:rPr>
            </w:pPr>
          </w:p>
        </w:tc>
        <w:tc>
          <w:tcPr>
            <w:tcW w:w="4681" w:type="dxa"/>
            <w:shd w:val="clear" w:color="auto" w:fill="auto"/>
          </w:tcPr>
          <w:p w14:paraId="2C49A89B" w14:textId="69E46E41" w:rsidR="002802DA" w:rsidRPr="009B3437" w:rsidRDefault="002802DA" w:rsidP="00E14C44">
            <w:pPr>
              <w:pStyle w:val="Tableaudroiteanglais"/>
              <w:spacing w:line="240" w:lineRule="auto"/>
              <w:rPr>
                <w:sz w:val="20"/>
                <w:lang w:val="fr-CA"/>
              </w:rPr>
            </w:pPr>
            <w:hyperlink r:id="rId10" w:anchor="se:27" w:history="1">
              <w:r w:rsidRPr="009B3437">
                <w:rPr>
                  <w:rStyle w:val="Hyperlien"/>
                  <w:b/>
                  <w:bCs/>
                  <w:color w:val="auto"/>
                  <w:sz w:val="20"/>
                  <w:u w:val="none"/>
                </w:rPr>
                <w:t>27.</w:t>
              </w:r>
            </w:hyperlink>
            <w:r w:rsidRPr="009B3437">
              <w:rPr>
                <w:sz w:val="20"/>
                <w:lang w:val="fr-CA"/>
              </w:rPr>
              <w:t> </w:t>
            </w:r>
            <w:r w:rsidR="00594AE5" w:rsidRPr="0074572F">
              <w:rPr>
                <w:sz w:val="20"/>
                <w:lang w:val="fr-CA"/>
              </w:rPr>
              <w:t>Le prestataire de services qui agit à titre d’intermédiaire pour fournir des services sur un réseau de communication ou qui y conserve ou y transporte des documents technologiques n’est pas tenu d’en surveiller l’information, ni de rechercher des circonstances indiquant que les documents permettent la réalisation d’activités à caractère illicite</w:t>
            </w:r>
            <w:r w:rsidRPr="009B3437">
              <w:rPr>
                <w:sz w:val="20"/>
                <w:lang w:val="fr-CA"/>
              </w:rPr>
              <w:t>.</w:t>
            </w:r>
          </w:p>
          <w:p w14:paraId="20D6067F" w14:textId="77777777" w:rsidR="002802DA" w:rsidRPr="009B3437" w:rsidRDefault="002802DA" w:rsidP="00E14C44">
            <w:pPr>
              <w:pStyle w:val="Tableaudroiteanglais"/>
              <w:spacing w:line="240" w:lineRule="auto"/>
              <w:rPr>
                <w:sz w:val="20"/>
                <w:lang w:val="fr-CA"/>
              </w:rPr>
            </w:pPr>
          </w:p>
          <w:p w14:paraId="606C7F95" w14:textId="77777777" w:rsidR="0074572F" w:rsidRPr="009B3437" w:rsidRDefault="0074572F" w:rsidP="00E14C44">
            <w:pPr>
              <w:pStyle w:val="Tableaudroiteanglais"/>
              <w:spacing w:line="240" w:lineRule="auto"/>
              <w:rPr>
                <w:sz w:val="20"/>
                <w:lang w:val="fr-CA"/>
              </w:rPr>
            </w:pPr>
          </w:p>
          <w:p w14:paraId="4DC3F4DA" w14:textId="2A09E513" w:rsidR="002802DA" w:rsidRPr="009B3437" w:rsidRDefault="0074572F" w:rsidP="00E14C44">
            <w:pPr>
              <w:pStyle w:val="Tableaudroiteanglais"/>
              <w:spacing w:line="240" w:lineRule="auto"/>
              <w:rPr>
                <w:sz w:val="20"/>
                <w:lang w:val="fr-CA"/>
              </w:rPr>
            </w:pPr>
            <w:r w:rsidRPr="0074572F">
              <w:rPr>
                <w:sz w:val="20"/>
                <w:lang w:val="fr-CA"/>
              </w:rPr>
              <w:t>Toutefois, il ne doit prendre aucun moyen pour empêcher la personne responsable de l’accès aux documents d’exercer ses fonctions, notamment en ce qui a trait à la confidentialité, ou pour empêcher les autorités responsables d’exercer leurs fonctions, conformément à la loi, relativement à la sécurité publique ou à la prévention, à la détection, à la preuve ou à la poursuite d’infractions</w:t>
            </w:r>
            <w:r w:rsidR="002802DA" w:rsidRPr="009B3437">
              <w:rPr>
                <w:sz w:val="20"/>
                <w:lang w:val="fr-CA"/>
              </w:rPr>
              <w:t>.</w:t>
            </w:r>
          </w:p>
        </w:tc>
      </w:tr>
    </w:tbl>
    <w:p w14:paraId="0284EDBF" w14:textId="77777777" w:rsidR="002802DA" w:rsidRPr="009B3437" w:rsidRDefault="002802DA" w:rsidP="002802DA">
      <w:pPr>
        <w:pStyle w:val="Notedebasdepage"/>
      </w:pPr>
    </w:p>
  </w:footnote>
  <w:footnote w:id="47">
    <w:p w14:paraId="40A17228" w14:textId="3088F32A" w:rsidR="002802DA" w:rsidRPr="003F1C76" w:rsidRDefault="002802DA" w:rsidP="002802DA">
      <w:pPr>
        <w:pStyle w:val="Notedebasdepage"/>
      </w:pPr>
      <w:r w:rsidRPr="003F1C76">
        <w:rPr>
          <w:rStyle w:val="Appelnotedebasdep"/>
        </w:rPr>
        <w:footnoteRef/>
      </w:r>
      <w:r w:rsidRPr="003F1C76">
        <w:t xml:space="preserve"> </w:t>
      </w:r>
      <w:r w:rsidRPr="003F1C76">
        <w:tab/>
      </w:r>
      <w:r w:rsidR="00AF4408">
        <w:t>See, in this regard</w:t>
      </w:r>
      <w:r w:rsidRPr="003F1C76">
        <w:t xml:space="preserve">: </w:t>
      </w:r>
      <w:r w:rsidRPr="00ED1B65">
        <w:rPr>
          <w:i/>
          <w:iCs/>
        </w:rPr>
        <w:t>Prud'homme c. Rawdon (Municipalité de)</w:t>
      </w:r>
      <w:r w:rsidRPr="003F1C76">
        <w:t xml:space="preserve">, 2010 QCCA 584, </w:t>
      </w:r>
      <w:r w:rsidR="00AF4408">
        <w:t>at note</w:t>
      </w:r>
      <w:r w:rsidRPr="003F1C76">
        <w:t xml:space="preserve"> 24 [</w:t>
      </w:r>
      <w:bookmarkStart w:id="36" w:name="_Hlk207545866"/>
      <w:r w:rsidRPr="00ED1B65">
        <w:rPr>
          <w:i/>
          <w:iCs/>
        </w:rPr>
        <w:t>Rawdon</w:t>
      </w:r>
      <w:bookmarkEnd w:id="36"/>
      <w:r w:rsidRPr="003F1C76">
        <w:t>].</w:t>
      </w:r>
    </w:p>
  </w:footnote>
  <w:footnote w:id="48">
    <w:p w14:paraId="0CA54419" w14:textId="136EA8B7" w:rsidR="002802DA" w:rsidRPr="003F1C76" w:rsidRDefault="002802DA" w:rsidP="002802DA">
      <w:pPr>
        <w:pStyle w:val="Notedebasdepage"/>
      </w:pPr>
      <w:r w:rsidRPr="003F1C76">
        <w:rPr>
          <w:rStyle w:val="Appelnotedebasdep"/>
        </w:rPr>
        <w:footnoteRef/>
      </w:r>
      <w:r w:rsidRPr="003F1C76">
        <w:t xml:space="preserve"> </w:t>
      </w:r>
      <w:r w:rsidRPr="003F1C76">
        <w:tab/>
      </w:r>
      <w:r w:rsidR="00AF4408">
        <w:rPr>
          <w:i/>
          <w:iCs/>
        </w:rPr>
        <w:t>IT Framewok Act</w:t>
      </w:r>
      <w:r w:rsidRPr="003F1C76">
        <w:t xml:space="preserve">, </w:t>
      </w:r>
      <w:r w:rsidR="00AF4408">
        <w:t>s</w:t>
      </w:r>
      <w:r w:rsidRPr="003F1C76">
        <w:t xml:space="preserve">. 22 </w:t>
      </w:r>
      <w:r w:rsidR="00AF4408">
        <w:t>para</w:t>
      </w:r>
      <w:r w:rsidRPr="003F1C76">
        <w:t xml:space="preserve">. 3. </w:t>
      </w:r>
    </w:p>
  </w:footnote>
  <w:footnote w:id="49">
    <w:p w14:paraId="3B323C36" w14:textId="04BD1AD2" w:rsidR="002802DA" w:rsidRPr="003F1C76" w:rsidRDefault="002802DA" w:rsidP="002802DA">
      <w:pPr>
        <w:pStyle w:val="Notedebasdepage"/>
      </w:pPr>
      <w:r w:rsidRPr="003F1C76">
        <w:rPr>
          <w:rStyle w:val="Appelnotedebasdep"/>
        </w:rPr>
        <w:footnoteRef/>
      </w:r>
      <w:r w:rsidRPr="003F1C76">
        <w:t xml:space="preserve"> </w:t>
      </w:r>
      <w:r w:rsidRPr="003F1C76">
        <w:tab/>
      </w:r>
      <w:r w:rsidR="00AF4408" w:rsidRPr="009B3437">
        <w:t xml:space="preserve">In their remarkable report on an eventual reform of the </w:t>
      </w:r>
      <w:r w:rsidR="00AF4408" w:rsidRPr="009B3437">
        <w:rPr>
          <w:i/>
          <w:iCs/>
        </w:rPr>
        <w:t>IT Framework Act</w:t>
      </w:r>
      <w:r w:rsidR="00AF4408" w:rsidRPr="009B3437">
        <w:t xml:space="preserve">, professors </w:t>
      </w:r>
      <w:r w:rsidRPr="009B3437">
        <w:t xml:space="preserve">Vincent Gautrais, Pierre Trudel </w:t>
      </w:r>
      <w:r w:rsidR="00AF4408" w:rsidRPr="009B3437">
        <w:t>and</w:t>
      </w:r>
      <w:r w:rsidRPr="009B3437">
        <w:t xml:space="preserve"> Nicolas Vermeys</w:t>
      </w:r>
      <w:r w:rsidR="00AF4408" w:rsidRPr="009B3437">
        <w:t xml:space="preserve"> wrote</w:t>
      </w:r>
      <w:r w:rsidRPr="009B3437">
        <w:t xml:space="preserve">: </w:t>
      </w:r>
      <w:r w:rsidR="00AF4408" w:rsidRPr="009B3437">
        <w:t>“</w:t>
      </w:r>
      <w:r w:rsidRPr="009B3437">
        <w:t>Lorsque les lois répartissant la responsabilité pour les activités se déroulant sur Internet ont été mises en place dans les années 1990, les législateurs européens et américains souhaitaient un cadre légal qui renforcerait la liberté de chaque individu de s’exprimer. Pour cette raison, on a évité d’imposer aux intermédiaires (à l’époque, il s’agissait surtout des sites qui hébergeaient des blogues) une responsabilité trop lourde pour les propos ou les images émanant de tiers. Aux États-Unis, dans les années 1990, le Congrès a adopté une loi qui exonère presque totalement les plateformes de toute responsabilité pour propos et comportements délictueux émanant de tiers qui utilisent leurs sites pour mettre des contenus en ligne. En Europe et au Québec, on a opté pour des règles prescrivant que les intermédiaires ne sont responsables qu’à compter du moment où ils ont connaissance du caractère illicite des propos ou des activités menées sur leur plateforme</w:t>
      </w:r>
      <w:r w:rsidR="00AF4408" w:rsidRPr="009B3437">
        <w:t>”</w:t>
      </w:r>
      <w:r w:rsidRPr="009B3437">
        <w:t xml:space="preserve">: </w:t>
      </w:r>
      <w:r w:rsidRPr="009B3437">
        <w:rPr>
          <w:i/>
          <w:iCs/>
        </w:rPr>
        <w:t>LCCJTI+ : perspectives de mise à jour de la Loi concernant le cadre juridique des technologies de l’information (RLRQ c. C-1.1)</w:t>
      </w:r>
      <w:r w:rsidRPr="009B3437">
        <w:t>, Rapport final – 28 novembre 2023, Centre de recherche en droit public, p</w:t>
      </w:r>
      <w:r w:rsidR="00AF4408" w:rsidRPr="009B3437">
        <w:t>p</w:t>
      </w:r>
      <w:r w:rsidRPr="009B3437">
        <w:t>. 71-72</w:t>
      </w:r>
      <w:r w:rsidRPr="003F1C76">
        <w:t>.</w:t>
      </w:r>
    </w:p>
  </w:footnote>
  <w:footnote w:id="50">
    <w:p w14:paraId="113CC840" w14:textId="6DE84225" w:rsidR="002802DA" w:rsidRPr="009B56C0" w:rsidRDefault="002802DA" w:rsidP="002802DA">
      <w:pPr>
        <w:pStyle w:val="Notedebasdepage"/>
        <w:rPr>
          <w:lang w:val="en-CA"/>
        </w:rPr>
      </w:pPr>
      <w:r w:rsidRPr="003F1C76">
        <w:rPr>
          <w:rStyle w:val="Appelnotedebasdep"/>
        </w:rPr>
        <w:footnoteRef/>
      </w:r>
      <w:r w:rsidRPr="009B3437">
        <w:rPr>
          <w:lang w:val="en-CA"/>
        </w:rPr>
        <w:t xml:space="preserve"> </w:t>
      </w:r>
      <w:r w:rsidRPr="009B3437">
        <w:rPr>
          <w:lang w:val="en-CA"/>
        </w:rPr>
        <w:tab/>
      </w:r>
      <w:r w:rsidR="009B56C0" w:rsidRPr="009B56C0">
        <w:rPr>
          <w:lang w:val="en-CA"/>
        </w:rPr>
        <w:t>See:</w:t>
      </w:r>
      <w:r w:rsidRPr="009B56C0">
        <w:rPr>
          <w:lang w:val="en-CA"/>
        </w:rPr>
        <w:t xml:space="preserve"> </w:t>
      </w:r>
      <w:bookmarkStart w:id="37" w:name="_Hlk219199022"/>
      <w:r w:rsidR="009B56C0">
        <w:rPr>
          <w:lang w:val="en-CA"/>
        </w:rPr>
        <w:t>National Assembly</w:t>
      </w:r>
      <w:r w:rsidRPr="009B56C0">
        <w:rPr>
          <w:lang w:val="en-CA"/>
        </w:rPr>
        <w:t xml:space="preserve">, </w:t>
      </w:r>
      <w:r w:rsidR="009B56C0" w:rsidRPr="009B56C0">
        <w:rPr>
          <w:lang w:val="en-CA"/>
        </w:rPr>
        <w:t>Committee on Labour and the Economy</w:t>
      </w:r>
      <w:r w:rsidRPr="009B56C0">
        <w:rPr>
          <w:lang w:val="en-CA"/>
        </w:rPr>
        <w:t xml:space="preserve">, </w:t>
      </w:r>
      <w:r w:rsidRPr="009B56C0">
        <w:rPr>
          <w:i/>
          <w:iCs/>
          <w:lang w:val="en-CA"/>
        </w:rPr>
        <w:t>Journal des débats</w:t>
      </w:r>
      <w:r w:rsidR="009B56C0">
        <w:rPr>
          <w:i/>
          <w:iCs/>
          <w:lang w:val="en-CA"/>
        </w:rPr>
        <w:t xml:space="preserve"> (Hansard)</w:t>
      </w:r>
      <w:r w:rsidRPr="009B56C0">
        <w:rPr>
          <w:lang w:val="en-CA"/>
        </w:rPr>
        <w:t>, 36</w:t>
      </w:r>
      <w:r w:rsidR="009B56C0">
        <w:rPr>
          <w:vertAlign w:val="superscript"/>
          <w:lang w:val="en-CA"/>
        </w:rPr>
        <w:t>th</w:t>
      </w:r>
      <w:r w:rsidRPr="009B56C0">
        <w:rPr>
          <w:lang w:val="en-CA"/>
        </w:rPr>
        <w:t xml:space="preserve"> </w:t>
      </w:r>
      <w:r w:rsidR="009B56C0">
        <w:rPr>
          <w:lang w:val="en-CA"/>
        </w:rPr>
        <w:t>Le</w:t>
      </w:r>
      <w:r w:rsidRPr="009B56C0">
        <w:rPr>
          <w:lang w:val="en-CA"/>
        </w:rPr>
        <w:t>g., 2</w:t>
      </w:r>
      <w:r w:rsidR="009B56C0">
        <w:rPr>
          <w:vertAlign w:val="superscript"/>
          <w:lang w:val="en-CA"/>
        </w:rPr>
        <w:t>nd</w:t>
      </w:r>
      <w:r w:rsidRPr="009B56C0">
        <w:rPr>
          <w:vertAlign w:val="superscript"/>
          <w:lang w:val="en-CA"/>
        </w:rPr>
        <w:t> </w:t>
      </w:r>
      <w:r w:rsidRPr="009B56C0">
        <w:rPr>
          <w:lang w:val="en-CA"/>
        </w:rPr>
        <w:t xml:space="preserve">sess., </w:t>
      </w:r>
      <w:r w:rsidR="009B56C0">
        <w:rPr>
          <w:lang w:val="en-CA"/>
        </w:rPr>
        <w:t>V</w:t>
      </w:r>
      <w:r w:rsidRPr="009B56C0">
        <w:rPr>
          <w:lang w:val="en-CA"/>
        </w:rPr>
        <w:t>ol 37</w:t>
      </w:r>
      <w:r w:rsidR="009B56C0">
        <w:rPr>
          <w:lang w:val="en-CA"/>
        </w:rPr>
        <w:t>.</w:t>
      </w:r>
      <w:r w:rsidRPr="009B56C0">
        <w:rPr>
          <w:lang w:val="en-CA"/>
        </w:rPr>
        <w:t xml:space="preserve">, </w:t>
      </w:r>
      <w:r w:rsidR="009B56C0">
        <w:rPr>
          <w:lang w:val="en-CA"/>
        </w:rPr>
        <w:t>No.</w:t>
      </w:r>
      <w:r w:rsidRPr="009B56C0">
        <w:rPr>
          <w:lang w:val="en-CA"/>
        </w:rPr>
        <w:t xml:space="preserve"> 20, </w:t>
      </w:r>
      <w:r w:rsidR="009B56C0">
        <w:rPr>
          <w:lang w:val="en-CA"/>
        </w:rPr>
        <w:t>May 22,</w:t>
      </w:r>
      <w:r w:rsidRPr="009B56C0">
        <w:rPr>
          <w:lang w:val="en-CA"/>
        </w:rPr>
        <w:t xml:space="preserve"> 2001, p. 55 (D. Lemieux)</w:t>
      </w:r>
      <w:bookmarkEnd w:id="37"/>
      <w:r w:rsidRPr="009B56C0">
        <w:rPr>
          <w:lang w:val="en-CA"/>
        </w:rPr>
        <w:t>.</w:t>
      </w:r>
    </w:p>
  </w:footnote>
  <w:footnote w:id="51">
    <w:p w14:paraId="63DAF08D" w14:textId="4A6DD11D" w:rsidR="002802DA" w:rsidRPr="009B56C0" w:rsidRDefault="002802DA" w:rsidP="002802DA">
      <w:pPr>
        <w:pStyle w:val="Notedebasdepage"/>
        <w:rPr>
          <w:lang w:val="en-CA"/>
        </w:rPr>
      </w:pPr>
      <w:r w:rsidRPr="009B56C0">
        <w:rPr>
          <w:rStyle w:val="Appelnotedebasdep"/>
          <w:lang w:val="en-CA"/>
        </w:rPr>
        <w:footnoteRef/>
      </w:r>
      <w:r w:rsidRPr="009B56C0">
        <w:rPr>
          <w:lang w:val="en-CA"/>
        </w:rPr>
        <w:t xml:space="preserve"> </w:t>
      </w:r>
      <w:r w:rsidRPr="009B56C0">
        <w:rPr>
          <w:lang w:val="en-CA"/>
        </w:rPr>
        <w:tab/>
      </w:r>
      <w:r w:rsidR="00F06231">
        <w:rPr>
          <w:lang w:val="en-CA"/>
        </w:rPr>
        <w:t>Use of the term “particularly”</w:t>
      </w:r>
      <w:r w:rsidRPr="009B56C0">
        <w:rPr>
          <w:lang w:val="en-CA"/>
        </w:rPr>
        <w:t xml:space="preserve"> </w:t>
      </w:r>
      <w:r w:rsidR="00F06231">
        <w:rPr>
          <w:lang w:val="en-CA"/>
        </w:rPr>
        <w:t>suggests that becoming aware of an illicit activity is not the only situation in which an intermediary could incur responsibility</w:t>
      </w:r>
      <w:r w:rsidRPr="009B56C0">
        <w:rPr>
          <w:lang w:val="en-CA"/>
        </w:rPr>
        <w:t xml:space="preserve">. </w:t>
      </w:r>
      <w:r w:rsidR="00F06231">
        <w:rPr>
          <w:lang w:val="en-CA"/>
        </w:rPr>
        <w:t>In</w:t>
      </w:r>
      <w:r w:rsidR="008A0303">
        <w:rPr>
          <w:lang w:val="en-CA"/>
        </w:rPr>
        <w:t>sofar</w:t>
      </w:r>
      <w:r w:rsidR="00F06231">
        <w:rPr>
          <w:lang w:val="en-CA"/>
        </w:rPr>
        <w:t xml:space="preserve"> as that is the situation that concerns us, I will </w:t>
      </w:r>
      <w:r w:rsidR="004C2BA9">
        <w:rPr>
          <w:lang w:val="en-CA"/>
        </w:rPr>
        <w:t>confine</w:t>
      </w:r>
      <w:r w:rsidR="00F06231">
        <w:rPr>
          <w:lang w:val="en-CA"/>
        </w:rPr>
        <w:t xml:space="preserve"> myself to th</w:t>
      </w:r>
      <w:r w:rsidR="004C2BA9">
        <w:rPr>
          <w:lang w:val="en-CA"/>
        </w:rPr>
        <w:t>at</w:t>
      </w:r>
      <w:r w:rsidRPr="009B56C0">
        <w:rPr>
          <w:lang w:val="en-CA"/>
        </w:rPr>
        <w:t>.</w:t>
      </w:r>
    </w:p>
  </w:footnote>
  <w:footnote w:id="52">
    <w:p w14:paraId="614B3EFE" w14:textId="5AD81480" w:rsidR="002802DA" w:rsidRPr="009B3437" w:rsidRDefault="002802DA" w:rsidP="002802DA">
      <w:pPr>
        <w:pStyle w:val="Notedebasdepage"/>
      </w:pPr>
      <w:r w:rsidRPr="009B56C0">
        <w:rPr>
          <w:rStyle w:val="Appelnotedebasdep"/>
          <w:lang w:val="en-CA"/>
        </w:rPr>
        <w:footnoteRef/>
      </w:r>
      <w:r w:rsidRPr="009B3437">
        <w:t xml:space="preserve"> </w:t>
      </w:r>
      <w:r w:rsidRPr="009B3437">
        <w:tab/>
      </w:r>
      <w:r w:rsidR="00F06231" w:rsidRPr="009B3437">
        <w:t>Judgment under appeal</w:t>
      </w:r>
      <w:r w:rsidRPr="009B3437">
        <w:t>, para</w:t>
      </w:r>
      <w:r w:rsidR="00F06231" w:rsidRPr="009B3437">
        <w:t>s</w:t>
      </w:r>
      <w:r w:rsidRPr="009B3437">
        <w:t xml:space="preserve">. 260-262. </w:t>
      </w:r>
      <w:r w:rsidR="00F06231" w:rsidRPr="009B3437">
        <w:t>On this question</w:t>
      </w:r>
      <w:r w:rsidRPr="009B3437">
        <w:t xml:space="preserve">, </w:t>
      </w:r>
      <w:r w:rsidR="00F06231" w:rsidRPr="009B3437">
        <w:t>see</w:t>
      </w:r>
      <w:r w:rsidRPr="009B3437">
        <w:t xml:space="preserve">: Pierre Trudel, </w:t>
      </w:r>
      <w:r w:rsidR="00F06231" w:rsidRPr="009B3437">
        <w:t>“</w:t>
      </w:r>
      <w:r w:rsidRPr="009B3437">
        <w:t>Moteurs de recherche, déréférencement, oubli et vie privée en droit québécois</w:t>
      </w:r>
      <w:r w:rsidR="00F06231" w:rsidRPr="009B3437">
        <w:t>”</w:t>
      </w:r>
      <w:r w:rsidRPr="009B3437">
        <w:t xml:space="preserve">, (2016) 21 </w:t>
      </w:r>
      <w:r w:rsidRPr="009B3437">
        <w:rPr>
          <w:i/>
          <w:iCs/>
        </w:rPr>
        <w:t>Lex Electronica</w:t>
      </w:r>
      <w:r w:rsidRPr="009B3437">
        <w:t xml:space="preserve"> 89, </w:t>
      </w:r>
      <w:r w:rsidR="00F06231" w:rsidRPr="009B3437">
        <w:t>p</w:t>
      </w:r>
      <w:r w:rsidRPr="009B3437">
        <w:t xml:space="preserve">p. 98-102; Serge Kablan </w:t>
      </w:r>
      <w:r w:rsidR="00F06231" w:rsidRPr="009B3437">
        <w:t>and</w:t>
      </w:r>
      <w:r w:rsidRPr="009B3437">
        <w:t xml:space="preserve"> Arthur Oulaï, </w:t>
      </w:r>
      <w:r w:rsidR="00F06231" w:rsidRPr="009B3437">
        <w:t>“</w:t>
      </w:r>
      <w:r w:rsidRPr="009B3437">
        <w:t>Vers une responsabilisation accrue ? A. B. contre Google et l’avenir de la régulation des services en ligne</w:t>
      </w:r>
      <w:r w:rsidR="00F06231" w:rsidRPr="009B3437">
        <w:t>”</w:t>
      </w:r>
      <w:r w:rsidRPr="009B3437">
        <w:t xml:space="preserve">, (2024) 36 : 1- 2 </w:t>
      </w:r>
      <w:r w:rsidRPr="009B3437">
        <w:rPr>
          <w:i/>
          <w:iCs/>
        </w:rPr>
        <w:t>Les Cahiers de propriété intellectuelle</w:t>
      </w:r>
      <w:r w:rsidRPr="009B3437">
        <w:t xml:space="preserve"> 127, </w:t>
      </w:r>
      <w:r w:rsidRPr="009B3437">
        <w:rPr>
          <w:rFonts w:cs="Arial"/>
        </w:rPr>
        <w:t>p</w:t>
      </w:r>
      <w:r w:rsidR="00F06231" w:rsidRPr="009B3437">
        <w:rPr>
          <w:rFonts w:cs="Arial"/>
        </w:rPr>
        <w:t>p</w:t>
      </w:r>
      <w:r w:rsidRPr="009B3437">
        <w:rPr>
          <w:rFonts w:cs="Arial"/>
        </w:rPr>
        <w:t>. </w:t>
      </w:r>
      <w:r w:rsidRPr="009B3437">
        <w:t xml:space="preserve">149 </w:t>
      </w:r>
      <w:r w:rsidR="00F06231" w:rsidRPr="009B3437">
        <w:t>and ff</w:t>
      </w:r>
      <w:r w:rsidRPr="009B3437">
        <w:t xml:space="preserve">.; </w:t>
      </w:r>
      <w:r w:rsidRPr="009B3437">
        <w:rPr>
          <w:i/>
          <w:iCs/>
        </w:rPr>
        <w:t xml:space="preserve">Lehouillier-Dumas c. Facebook inc., </w:t>
      </w:r>
      <w:r w:rsidRPr="009B3437">
        <w:t>2021 QCCS 3524, para</w:t>
      </w:r>
      <w:r w:rsidR="00F06231" w:rsidRPr="009B3437">
        <w:t>s</w:t>
      </w:r>
      <w:r w:rsidRPr="009B3437">
        <w:t xml:space="preserve">. 67 </w:t>
      </w:r>
      <w:r w:rsidR="00F06231" w:rsidRPr="009B3437">
        <w:t>and ff</w:t>
      </w:r>
      <w:r w:rsidRPr="009B3437">
        <w:t>.</w:t>
      </w:r>
    </w:p>
  </w:footnote>
  <w:footnote w:id="53">
    <w:p w14:paraId="1EBC7416" w14:textId="35B9E598" w:rsidR="002802DA" w:rsidRPr="009B3437" w:rsidRDefault="002802DA" w:rsidP="002802DA">
      <w:pPr>
        <w:pStyle w:val="Notedebasdepage"/>
      </w:pPr>
      <w:r w:rsidRPr="003F1C76">
        <w:rPr>
          <w:rStyle w:val="Appelnotedebasdep"/>
        </w:rPr>
        <w:footnoteRef/>
      </w:r>
      <w:r w:rsidRPr="003F1C76">
        <w:t xml:space="preserve"> </w:t>
      </w:r>
      <w:r w:rsidRPr="003F1C76">
        <w:tab/>
      </w:r>
      <w:r w:rsidR="00E757C9" w:rsidRPr="009B3437">
        <w:t>See, on this issue</w:t>
      </w:r>
      <w:r w:rsidRPr="009B3437">
        <w:t xml:space="preserve">, </w:t>
      </w:r>
      <w:r w:rsidR="000B0540" w:rsidRPr="009B3437">
        <w:t>with greater nuance</w:t>
      </w:r>
      <w:r w:rsidR="00E757C9" w:rsidRPr="009B3437">
        <w:t>:</w:t>
      </w:r>
      <w:r w:rsidRPr="009B3437">
        <w:rPr>
          <w:sz w:val="24"/>
        </w:rPr>
        <w:t xml:space="preserve"> </w:t>
      </w:r>
      <w:r w:rsidRPr="009B3437">
        <w:t>Pierre Trudel,</w:t>
      </w:r>
      <w:r w:rsidR="00E757C9" w:rsidRPr="009B3437">
        <w:t xml:space="preserve"> “</w:t>
      </w:r>
      <w:r w:rsidRPr="009B3437">
        <w:t>Moteurs de recherche, déréférencement, oubli et vie privée en droit québécois</w:t>
      </w:r>
      <w:r w:rsidR="00E757C9" w:rsidRPr="009B3437">
        <w:t>”</w:t>
      </w:r>
      <w:r w:rsidRPr="009B3437">
        <w:t xml:space="preserve">, (2016) 21 </w:t>
      </w:r>
      <w:r w:rsidRPr="009B3437">
        <w:rPr>
          <w:i/>
          <w:iCs/>
        </w:rPr>
        <w:t>Lex Electronica</w:t>
      </w:r>
      <w:r w:rsidRPr="009B3437">
        <w:t xml:space="preserve"> 89, 98 </w:t>
      </w:r>
      <w:r w:rsidR="00E757C9" w:rsidRPr="009B3437">
        <w:t>and ff</w:t>
      </w:r>
      <w:r w:rsidRPr="009B3437">
        <w:t xml:space="preserve">. </w:t>
      </w:r>
    </w:p>
  </w:footnote>
  <w:footnote w:id="54">
    <w:p w14:paraId="3EBE335A" w14:textId="014A9DE1" w:rsidR="002802DA" w:rsidRPr="00E757C9" w:rsidRDefault="002802DA" w:rsidP="002802DA">
      <w:pPr>
        <w:pStyle w:val="Notedebasdepage"/>
        <w:rPr>
          <w:lang w:val="en-CA"/>
        </w:rPr>
      </w:pPr>
      <w:r w:rsidRPr="00E757C9">
        <w:rPr>
          <w:rStyle w:val="Appelnotedebasdep"/>
          <w:lang w:val="en-CA"/>
        </w:rPr>
        <w:footnoteRef/>
      </w:r>
      <w:r w:rsidRPr="00E757C9">
        <w:rPr>
          <w:lang w:val="en-CA"/>
        </w:rPr>
        <w:t xml:space="preserve"> </w:t>
      </w:r>
      <w:r w:rsidRPr="00E757C9">
        <w:rPr>
          <w:lang w:val="en-CA"/>
        </w:rPr>
        <w:tab/>
      </w:r>
      <w:r w:rsidR="00E757C9">
        <w:rPr>
          <w:lang w:val="en-CA"/>
        </w:rPr>
        <w:t>National Assembly</w:t>
      </w:r>
      <w:r w:rsidR="00E757C9" w:rsidRPr="009B56C0">
        <w:rPr>
          <w:lang w:val="en-CA"/>
        </w:rPr>
        <w:t xml:space="preserve">, Committee on Labour and the Economy, </w:t>
      </w:r>
      <w:r w:rsidR="00E757C9" w:rsidRPr="009B56C0">
        <w:rPr>
          <w:i/>
          <w:iCs/>
          <w:lang w:val="en-CA"/>
        </w:rPr>
        <w:t>Journal des débats</w:t>
      </w:r>
      <w:r w:rsidR="00E757C9">
        <w:rPr>
          <w:i/>
          <w:iCs/>
          <w:lang w:val="en-CA"/>
        </w:rPr>
        <w:t xml:space="preserve"> (Hansard)</w:t>
      </w:r>
      <w:r w:rsidR="00E757C9" w:rsidRPr="009B56C0">
        <w:rPr>
          <w:lang w:val="en-CA"/>
        </w:rPr>
        <w:t>, 36</w:t>
      </w:r>
      <w:r w:rsidR="00E757C9">
        <w:rPr>
          <w:vertAlign w:val="superscript"/>
          <w:lang w:val="en-CA"/>
        </w:rPr>
        <w:t>th</w:t>
      </w:r>
      <w:r w:rsidR="00E757C9" w:rsidRPr="009B56C0">
        <w:rPr>
          <w:lang w:val="en-CA"/>
        </w:rPr>
        <w:t xml:space="preserve"> </w:t>
      </w:r>
      <w:r w:rsidR="00E757C9">
        <w:rPr>
          <w:lang w:val="en-CA"/>
        </w:rPr>
        <w:t>Le</w:t>
      </w:r>
      <w:r w:rsidR="00E757C9" w:rsidRPr="009B56C0">
        <w:rPr>
          <w:lang w:val="en-CA"/>
        </w:rPr>
        <w:t>g., 2</w:t>
      </w:r>
      <w:r w:rsidR="00E757C9">
        <w:rPr>
          <w:vertAlign w:val="superscript"/>
          <w:lang w:val="en-CA"/>
        </w:rPr>
        <w:t>nd</w:t>
      </w:r>
      <w:r w:rsidR="00E757C9" w:rsidRPr="009B56C0">
        <w:rPr>
          <w:vertAlign w:val="superscript"/>
          <w:lang w:val="en-CA"/>
        </w:rPr>
        <w:t> </w:t>
      </w:r>
      <w:r w:rsidR="00E757C9" w:rsidRPr="009B56C0">
        <w:rPr>
          <w:lang w:val="en-CA"/>
        </w:rPr>
        <w:t xml:space="preserve">sess., </w:t>
      </w:r>
      <w:r w:rsidR="00E757C9">
        <w:rPr>
          <w:lang w:val="en-CA"/>
        </w:rPr>
        <w:t>V</w:t>
      </w:r>
      <w:r w:rsidR="00E757C9" w:rsidRPr="009B56C0">
        <w:rPr>
          <w:lang w:val="en-CA"/>
        </w:rPr>
        <w:t>ol 37</w:t>
      </w:r>
      <w:r w:rsidR="00E757C9">
        <w:rPr>
          <w:lang w:val="en-CA"/>
        </w:rPr>
        <w:t>.</w:t>
      </w:r>
      <w:r w:rsidR="00E757C9" w:rsidRPr="009B56C0">
        <w:rPr>
          <w:lang w:val="en-CA"/>
        </w:rPr>
        <w:t xml:space="preserve">, </w:t>
      </w:r>
      <w:r w:rsidR="00E757C9">
        <w:rPr>
          <w:lang w:val="en-CA"/>
        </w:rPr>
        <w:t>No.</w:t>
      </w:r>
      <w:r w:rsidR="00E757C9" w:rsidRPr="009B56C0">
        <w:rPr>
          <w:lang w:val="en-CA"/>
        </w:rPr>
        <w:t xml:space="preserve"> 20, </w:t>
      </w:r>
      <w:r w:rsidR="00E757C9">
        <w:rPr>
          <w:lang w:val="en-CA"/>
        </w:rPr>
        <w:t>May 22,</w:t>
      </w:r>
      <w:r w:rsidR="00E757C9" w:rsidRPr="009B56C0">
        <w:rPr>
          <w:lang w:val="en-CA"/>
        </w:rPr>
        <w:t xml:space="preserve"> 2001, p. 5</w:t>
      </w:r>
      <w:r w:rsidR="000B0540">
        <w:rPr>
          <w:lang w:val="en-CA"/>
        </w:rPr>
        <w:t>6</w:t>
      </w:r>
      <w:r w:rsidR="00E757C9" w:rsidRPr="009B56C0">
        <w:rPr>
          <w:lang w:val="en-CA"/>
        </w:rPr>
        <w:t xml:space="preserve"> (D. Lemieux)</w:t>
      </w:r>
      <w:r w:rsidRPr="00E757C9">
        <w:rPr>
          <w:lang w:val="en-CA"/>
        </w:rPr>
        <w:t>.</w:t>
      </w:r>
    </w:p>
  </w:footnote>
  <w:footnote w:id="55">
    <w:p w14:paraId="21C4E8DA" w14:textId="250D849B" w:rsidR="002802DA" w:rsidRPr="009B3437" w:rsidRDefault="002802DA" w:rsidP="002802DA">
      <w:pPr>
        <w:pStyle w:val="Notedebasdepage"/>
      </w:pPr>
      <w:r w:rsidRPr="003F1C76">
        <w:rPr>
          <w:rStyle w:val="Appelnotedebasdep"/>
        </w:rPr>
        <w:footnoteRef/>
      </w:r>
      <w:r w:rsidRPr="009B3437">
        <w:rPr>
          <w:lang w:val="en-CA"/>
        </w:rPr>
        <w:t xml:space="preserve"> </w:t>
      </w:r>
      <w:r w:rsidRPr="009B3437">
        <w:rPr>
          <w:lang w:val="en-CA"/>
        </w:rPr>
        <w:tab/>
      </w:r>
      <w:r w:rsidR="0031069A" w:rsidRPr="0031069A">
        <w:rPr>
          <w:i/>
          <w:iCs/>
          <w:lang w:val="en-CA"/>
        </w:rPr>
        <w:t>IT Framework Act</w:t>
      </w:r>
      <w:r w:rsidRPr="0031069A">
        <w:rPr>
          <w:lang w:val="en-CA"/>
        </w:rPr>
        <w:t xml:space="preserve">, </w:t>
      </w:r>
      <w:r w:rsidR="0031069A" w:rsidRPr="0031069A">
        <w:rPr>
          <w:lang w:val="en-CA"/>
        </w:rPr>
        <w:t>s</w:t>
      </w:r>
      <w:r w:rsidRPr="0031069A">
        <w:rPr>
          <w:lang w:val="en-CA"/>
        </w:rPr>
        <w:t xml:space="preserve">. 22 </w:t>
      </w:r>
      <w:r w:rsidR="0031069A" w:rsidRPr="0031069A">
        <w:rPr>
          <w:lang w:val="en-CA"/>
        </w:rPr>
        <w:t>para</w:t>
      </w:r>
      <w:r w:rsidRPr="0031069A">
        <w:rPr>
          <w:lang w:val="en-CA"/>
        </w:rPr>
        <w:t xml:space="preserve">. </w:t>
      </w:r>
      <w:r w:rsidRPr="009B3437">
        <w:t>3.</w:t>
      </w:r>
    </w:p>
  </w:footnote>
  <w:footnote w:id="56">
    <w:p w14:paraId="1A25AEEA" w14:textId="4C4AD653" w:rsidR="002802DA" w:rsidRPr="009B3437" w:rsidRDefault="002802DA" w:rsidP="002802DA">
      <w:pPr>
        <w:pStyle w:val="Notedebasdepage"/>
      </w:pPr>
      <w:r w:rsidRPr="0031069A">
        <w:rPr>
          <w:rStyle w:val="Appelnotedebasdep"/>
          <w:lang w:val="en-CA"/>
        </w:rPr>
        <w:footnoteRef/>
      </w:r>
      <w:r w:rsidRPr="009B3437">
        <w:t xml:space="preserve"> </w:t>
      </w:r>
      <w:r w:rsidRPr="009B3437">
        <w:tab/>
        <w:t xml:space="preserve">Nicolas W. Vermeys, </w:t>
      </w:r>
      <w:r w:rsidR="0031069A" w:rsidRPr="009B3437">
        <w:t>“</w:t>
      </w:r>
      <w:r w:rsidRPr="009B3437">
        <w:t>La responsabilité civile des prestateurs de moteurs de recherches et des fournisseurs d’hyperliens en droit québécois</w:t>
      </w:r>
      <w:r w:rsidR="0031069A" w:rsidRPr="009B3437">
        <w:t>”</w:t>
      </w:r>
      <w:r w:rsidRPr="009B3437">
        <w:t xml:space="preserve">, (2005) 10:1 </w:t>
      </w:r>
      <w:r w:rsidRPr="009B3437">
        <w:rPr>
          <w:i/>
          <w:iCs/>
        </w:rPr>
        <w:t xml:space="preserve">Lex Electronica </w:t>
      </w:r>
      <w:r w:rsidRPr="009B3437">
        <w:t xml:space="preserve">1. </w:t>
      </w:r>
      <w:r w:rsidR="0031069A" w:rsidRPr="009B3437">
        <w:t>See also</w:t>
      </w:r>
      <w:r w:rsidRPr="009B3437">
        <w:t xml:space="preserve">: Nicolas W. Vermeys, </w:t>
      </w:r>
      <w:r w:rsidRPr="009B3437">
        <w:rPr>
          <w:i/>
          <w:iCs/>
        </w:rPr>
        <w:t>Droit codifié et nouvelles technologies : le Code civil</w:t>
      </w:r>
      <w:r w:rsidRPr="009B3437">
        <w:t xml:space="preserve">, Montréal, Yvon Blais, 2015, p. 131 </w:t>
      </w:r>
      <w:r w:rsidR="0031069A" w:rsidRPr="009B3437">
        <w:t>at</w:t>
      </w:r>
      <w:r w:rsidRPr="009B3437">
        <w:t xml:space="preserve"> note 726.</w:t>
      </w:r>
    </w:p>
  </w:footnote>
  <w:footnote w:id="57">
    <w:p w14:paraId="32B417EE" w14:textId="4220019E" w:rsidR="002802DA" w:rsidRPr="009B3437" w:rsidRDefault="002802DA" w:rsidP="002802DA">
      <w:pPr>
        <w:pStyle w:val="Notedebasdepage"/>
      </w:pPr>
      <w:r w:rsidRPr="0031069A">
        <w:rPr>
          <w:rStyle w:val="Appelnotedebasdep"/>
          <w:lang w:val="en-CA"/>
        </w:rPr>
        <w:footnoteRef/>
      </w:r>
      <w:r w:rsidRPr="009B3437">
        <w:t xml:space="preserve"> </w:t>
      </w:r>
      <w:r w:rsidRPr="009B3437">
        <w:tab/>
      </w:r>
      <w:r w:rsidR="0031069A" w:rsidRPr="009B3437">
        <w:t xml:space="preserve">Academic commentary is generally of the view, </w:t>
      </w:r>
      <w:r w:rsidRPr="009B3437">
        <w:t xml:space="preserve"> </w:t>
      </w:r>
      <w:r w:rsidR="0031069A" w:rsidRPr="009B3437">
        <w:t xml:space="preserve">in various degrees, that once the conditions are met, section </w:t>
      </w:r>
      <w:r w:rsidRPr="009B3437">
        <w:t xml:space="preserve">22 </w:t>
      </w:r>
      <w:r w:rsidR="0031069A" w:rsidRPr="009B3437">
        <w:rPr>
          <w:i/>
          <w:iCs/>
        </w:rPr>
        <w:t>IT Framework Act</w:t>
      </w:r>
      <w:r w:rsidRPr="009B3437">
        <w:t xml:space="preserve"> </w:t>
      </w:r>
      <w:r w:rsidR="0031069A" w:rsidRPr="009B3437">
        <w:t>requires the intermediary to de-index the illicit content</w:t>
      </w:r>
      <w:r w:rsidRPr="009B3437">
        <w:t xml:space="preserve">:  Pierre Trudel, </w:t>
      </w:r>
      <w:r w:rsidR="0031069A" w:rsidRPr="009B3437">
        <w:t>“</w:t>
      </w:r>
      <w:r w:rsidRPr="009B3437">
        <w:t>Moteurs de recherche, déréférencement, oubli et vie privée en droit québécois</w:t>
      </w:r>
      <w:r w:rsidR="0031069A" w:rsidRPr="009B3437">
        <w:t>”</w:t>
      </w:r>
      <w:r w:rsidRPr="009B3437">
        <w:t xml:space="preserve">, (2016) 21 </w:t>
      </w:r>
      <w:r w:rsidRPr="009B3437">
        <w:rPr>
          <w:i/>
          <w:iCs/>
        </w:rPr>
        <w:t>Lex Electronica</w:t>
      </w:r>
      <w:r w:rsidRPr="009B3437">
        <w:t xml:space="preserve"> 89, p</w:t>
      </w:r>
      <w:r w:rsidR="0031069A" w:rsidRPr="009B3437">
        <w:t>p</w:t>
      </w:r>
      <w:r w:rsidRPr="009B3437">
        <w:t xml:space="preserve">. 102-103; Nicolas W. Vermeys, </w:t>
      </w:r>
      <w:r w:rsidRPr="009B3437">
        <w:rPr>
          <w:i/>
          <w:iCs/>
        </w:rPr>
        <w:t>Droit codifié et nouvelles technologies : le Code civil</w:t>
      </w:r>
      <w:r w:rsidRPr="009B3437">
        <w:t>, Montréal, Yvon Blais, 2015, p</w:t>
      </w:r>
      <w:r w:rsidR="0031069A" w:rsidRPr="009B3437">
        <w:t>p</w:t>
      </w:r>
      <w:r w:rsidRPr="009B3437">
        <w:t>. 131-132.</w:t>
      </w:r>
    </w:p>
  </w:footnote>
  <w:footnote w:id="58">
    <w:p w14:paraId="4206E5E5" w14:textId="748F6975" w:rsidR="002802DA" w:rsidRPr="0031069A" w:rsidRDefault="002802DA" w:rsidP="002802DA">
      <w:pPr>
        <w:pStyle w:val="Notedebasdepage"/>
        <w:rPr>
          <w:lang w:val="en-CA"/>
        </w:rPr>
      </w:pPr>
      <w:r w:rsidRPr="0031069A">
        <w:rPr>
          <w:rStyle w:val="Appelnotedebasdep"/>
          <w:lang w:val="en-CA"/>
        </w:rPr>
        <w:footnoteRef/>
      </w:r>
      <w:r w:rsidRPr="0031069A">
        <w:rPr>
          <w:lang w:val="en-CA"/>
        </w:rPr>
        <w:t xml:space="preserve"> </w:t>
      </w:r>
      <w:r w:rsidRPr="0031069A">
        <w:rPr>
          <w:lang w:val="en-CA"/>
        </w:rPr>
        <w:tab/>
      </w:r>
      <w:r w:rsidR="0031069A">
        <w:rPr>
          <w:lang w:val="en-CA"/>
        </w:rPr>
        <w:t>CQLR</w:t>
      </w:r>
      <w:r w:rsidRPr="0031069A">
        <w:rPr>
          <w:lang w:val="en-CA"/>
        </w:rPr>
        <w:t xml:space="preserve">, c. P-39.1. </w:t>
      </w:r>
      <w:r w:rsidR="0031069A">
        <w:rPr>
          <w:lang w:val="en-CA"/>
        </w:rPr>
        <w:t>That provision is more limited, since it refers</w:t>
      </w:r>
      <w:r w:rsidR="009000C3">
        <w:rPr>
          <w:lang w:val="en-CA"/>
        </w:rPr>
        <w:t xml:space="preserve"> to</w:t>
      </w:r>
      <w:r w:rsidR="0031069A">
        <w:rPr>
          <w:lang w:val="en-CA"/>
        </w:rPr>
        <w:t xml:space="preserve"> a contravention of the law or a court order</w:t>
      </w:r>
      <w:r w:rsidR="009000C3" w:rsidRPr="009000C3">
        <w:rPr>
          <w:lang w:val="en-CA"/>
        </w:rPr>
        <w:t xml:space="preserve"> </w:t>
      </w:r>
      <w:r w:rsidR="009000C3">
        <w:rPr>
          <w:lang w:val="en-CA"/>
        </w:rPr>
        <w:t>only</w:t>
      </w:r>
      <w:r w:rsidR="0031069A">
        <w:rPr>
          <w:lang w:val="en-CA"/>
        </w:rPr>
        <w:t>, and not to any illicit act</w:t>
      </w:r>
      <w:r w:rsidRPr="0031069A">
        <w:rPr>
          <w:lang w:val="en-CA"/>
        </w:rPr>
        <w:t xml:space="preserve">. </w:t>
      </w:r>
      <w:r w:rsidR="0031069A">
        <w:rPr>
          <w:lang w:val="en-CA"/>
        </w:rPr>
        <w:t>It reads as follows</w:t>
      </w:r>
      <w:r w:rsidRPr="0031069A">
        <w:rPr>
          <w:lang w:val="en-CA"/>
        </w:rPr>
        <w:t>:</w:t>
      </w:r>
    </w:p>
    <w:tbl>
      <w:tblPr>
        <w:tblW w:w="0" w:type="auto"/>
        <w:tblInd w:w="-142" w:type="dxa"/>
        <w:tblLayout w:type="fixed"/>
        <w:tblCellMar>
          <w:left w:w="70" w:type="dxa"/>
          <w:right w:w="70" w:type="dxa"/>
        </w:tblCellMar>
        <w:tblLook w:val="0000" w:firstRow="0" w:lastRow="0" w:firstColumn="0" w:lastColumn="0" w:noHBand="0" w:noVBand="0"/>
      </w:tblPr>
      <w:tblGrid>
        <w:gridCol w:w="4823"/>
        <w:gridCol w:w="4681"/>
      </w:tblGrid>
      <w:tr w:rsidR="002802DA" w:rsidRPr="00366799" w14:paraId="40323B0F" w14:textId="77777777" w:rsidTr="00F660F5">
        <w:trPr>
          <w:trHeight w:val="1844"/>
        </w:trPr>
        <w:tc>
          <w:tcPr>
            <w:tcW w:w="4823" w:type="dxa"/>
            <w:shd w:val="clear" w:color="auto" w:fill="auto"/>
          </w:tcPr>
          <w:p w14:paraId="1DAE5344" w14:textId="2C020223" w:rsidR="002802DA" w:rsidRPr="009B3437" w:rsidRDefault="002802DA" w:rsidP="00F660F5">
            <w:pPr>
              <w:pStyle w:val="Notedebasdepage"/>
              <w:ind w:left="635" w:firstLine="0"/>
              <w:rPr>
                <w:lang w:val="en-CA"/>
              </w:rPr>
            </w:pPr>
            <w:hyperlink r:id="rId11" w:anchor="se:28_1" w:history="1">
              <w:r w:rsidRPr="009B3437">
                <w:rPr>
                  <w:rStyle w:val="Hyperlien"/>
                  <w:b/>
                  <w:bCs/>
                  <w:color w:val="auto"/>
                  <w:u w:val="none"/>
                  <w:lang w:val="en-CA"/>
                </w:rPr>
                <w:t>28.1.</w:t>
              </w:r>
            </w:hyperlink>
            <w:r w:rsidRPr="009B3437">
              <w:rPr>
                <w:lang w:val="en-CA"/>
              </w:rPr>
              <w:t> </w:t>
            </w:r>
            <w:r w:rsidR="00CD3D14" w:rsidRPr="00CD3D14">
              <w:rPr>
                <w:lang w:val="en-CA"/>
              </w:rPr>
              <w:t>The person to whom personal information relates may require any person carrying on an enterprise to cease disseminating that information or to de-index any hyperlink attached to his name that provides access to the information by a technological means, if the dissemination of the information contravenes the law or a court</w:t>
            </w:r>
            <w:r w:rsidR="00CD3D14" w:rsidRPr="00CD3D14">
              <w:rPr>
                <w:sz w:val="24"/>
                <w:lang w:val="en-CA"/>
              </w:rPr>
              <w:t xml:space="preserve"> </w:t>
            </w:r>
            <w:r w:rsidR="00CD3D14" w:rsidRPr="009B3437">
              <w:rPr>
                <w:lang w:val="en-CA"/>
              </w:rPr>
              <w:t>order</w:t>
            </w:r>
            <w:r w:rsidRPr="009B3437">
              <w:rPr>
                <w:lang w:val="en-CA"/>
              </w:rPr>
              <w:t>.</w:t>
            </w:r>
          </w:p>
        </w:tc>
        <w:tc>
          <w:tcPr>
            <w:tcW w:w="4681" w:type="dxa"/>
            <w:shd w:val="clear" w:color="auto" w:fill="auto"/>
          </w:tcPr>
          <w:p w14:paraId="5B32A008" w14:textId="24AC01C8" w:rsidR="002802DA" w:rsidRPr="009B3437" w:rsidRDefault="002802DA" w:rsidP="00A82909">
            <w:pPr>
              <w:pStyle w:val="Notedebasdepage"/>
              <w:ind w:left="207" w:firstLine="0"/>
            </w:pPr>
            <w:hyperlink r:id="rId12" w:anchor="se:28_1" w:history="1">
              <w:r w:rsidRPr="009B3437">
                <w:rPr>
                  <w:rStyle w:val="Hyperlien"/>
                  <w:b/>
                  <w:bCs/>
                  <w:color w:val="000000" w:themeColor="text1"/>
                  <w:u w:val="none"/>
                </w:rPr>
                <w:t>28.1.</w:t>
              </w:r>
            </w:hyperlink>
            <w:r w:rsidRPr="009B3437">
              <w:t> </w:t>
            </w:r>
            <w:r w:rsidR="00CD3D14" w:rsidRPr="003F1C76">
              <w:t>La personne concernée par un renseignement personnel peut exiger d’une personne qui exploite une entreprise qu’elle cesse la diffusion de ce renseignement ou que soit désindexé tout hyperlien rattaché à son nom permettant d’accéder à ce renseignement par un moyen technologique, lorsque la diffusion de ce renseignement contrevient à la loi ou à une ordonnance judiciaire</w:t>
            </w:r>
            <w:r w:rsidRPr="009B3437">
              <w:t>.</w:t>
            </w:r>
          </w:p>
        </w:tc>
      </w:tr>
    </w:tbl>
    <w:p w14:paraId="6210745B" w14:textId="77777777" w:rsidR="002802DA" w:rsidRPr="009B3437" w:rsidRDefault="002802DA" w:rsidP="002802DA">
      <w:pPr>
        <w:pStyle w:val="Notedebasdepage"/>
      </w:pPr>
    </w:p>
  </w:footnote>
  <w:footnote w:id="59">
    <w:p w14:paraId="2C4CB2F5" w14:textId="39DDCC76" w:rsidR="002802DA" w:rsidRPr="009B3437" w:rsidRDefault="002802DA" w:rsidP="002802DA">
      <w:pPr>
        <w:pStyle w:val="Notedebasdepage"/>
      </w:pPr>
      <w:r w:rsidRPr="003F1C76">
        <w:rPr>
          <w:rStyle w:val="Appelnotedebasdep"/>
        </w:rPr>
        <w:footnoteRef/>
      </w:r>
      <w:r w:rsidRPr="003F1C76">
        <w:t xml:space="preserve"> </w:t>
      </w:r>
      <w:r w:rsidRPr="003F1C76">
        <w:tab/>
      </w:r>
      <w:r w:rsidRPr="009B3437">
        <w:t xml:space="preserve">[1977] 1 </w:t>
      </w:r>
      <w:r w:rsidR="00345E5A" w:rsidRPr="009B3437">
        <w:t>R.C.S</w:t>
      </w:r>
      <w:r w:rsidRPr="009B3437">
        <w:t>. 570.</w:t>
      </w:r>
    </w:p>
  </w:footnote>
  <w:footnote w:id="60">
    <w:p w14:paraId="157A2A10" w14:textId="21025993" w:rsidR="002802DA" w:rsidRPr="009B3437" w:rsidRDefault="002802DA" w:rsidP="002802DA">
      <w:pPr>
        <w:pStyle w:val="Notedebasdepage"/>
      </w:pPr>
      <w:r w:rsidRPr="00345E5A">
        <w:rPr>
          <w:rStyle w:val="Appelnotedebasdep"/>
          <w:lang w:val="en-CA"/>
        </w:rPr>
        <w:footnoteRef/>
      </w:r>
      <w:r w:rsidRPr="009B3437">
        <w:t xml:space="preserve"> </w:t>
      </w:r>
      <w:r w:rsidRPr="009B3437">
        <w:tab/>
      </w:r>
      <w:r w:rsidR="00345E5A" w:rsidRPr="009B3437">
        <w:t>On this</w:t>
      </w:r>
      <w:r w:rsidR="008D34A3" w:rsidRPr="009B3437">
        <w:t xml:space="preserve"> whole</w:t>
      </w:r>
      <w:r w:rsidR="00345E5A" w:rsidRPr="009B3437">
        <w:t xml:space="preserve"> issue</w:t>
      </w:r>
      <w:r w:rsidRPr="009B3437">
        <w:t xml:space="preserve">: Pierre-Gabriel Jobin, </w:t>
      </w:r>
      <w:r w:rsidR="00345E5A" w:rsidRPr="009B3437">
        <w:t>“</w:t>
      </w:r>
      <w:r w:rsidRPr="009B3437">
        <w:t>La violation d’une loi ou d’un règlement entraîne-t-elle la responsabilité civile?</w:t>
      </w:r>
      <w:r w:rsidR="00345E5A" w:rsidRPr="009B3437">
        <w:t>”</w:t>
      </w:r>
      <w:r w:rsidRPr="009B3437">
        <w:t xml:space="preserve">, (1984) 44 :1 </w:t>
      </w:r>
      <w:r w:rsidRPr="009B3437">
        <w:rPr>
          <w:i/>
          <w:iCs/>
        </w:rPr>
        <w:t xml:space="preserve">R. du B. </w:t>
      </w:r>
      <w:r w:rsidRPr="009B3437">
        <w:t>222;</w:t>
      </w:r>
      <w:bookmarkStart w:id="38" w:name="_Hlk204958446"/>
      <w:r w:rsidRPr="009B3437">
        <w:t xml:space="preserve"> </w:t>
      </w:r>
      <w:bookmarkStart w:id="39" w:name="_Hlk205800188"/>
      <w:r w:rsidRPr="009B3437">
        <w:t xml:space="preserve">Nathalie Vézina, </w:t>
      </w:r>
      <w:r w:rsidR="00345E5A" w:rsidRPr="009B3437">
        <w:t>“</w:t>
      </w:r>
      <w:r w:rsidRPr="009B3437">
        <w:t xml:space="preserve">Du phénomène de pollution lumineuse appliqué à l’observation des astres jurisprudentiels : responsabilité objective, responsabilité subjective et l’arrêt </w:t>
      </w:r>
      <w:r w:rsidRPr="009B3437">
        <w:rPr>
          <w:i/>
          <w:iCs/>
        </w:rPr>
        <w:t>Ciment du Saint-Laurent</w:t>
      </w:r>
      <w:r w:rsidR="00345E5A" w:rsidRPr="009B3437">
        <w:t>”</w:t>
      </w:r>
      <w:r w:rsidRPr="009B3437">
        <w:t xml:space="preserve"> </w:t>
      </w:r>
      <w:r w:rsidR="00345E5A" w:rsidRPr="009B3437">
        <w:t>in</w:t>
      </w:r>
      <w:r w:rsidRPr="009B3437">
        <w:t xml:space="preserve"> Générosa Bras Miranda </w:t>
      </w:r>
      <w:r w:rsidR="00345E5A" w:rsidRPr="009B3437">
        <w:t>and</w:t>
      </w:r>
      <w:r w:rsidRPr="009B3437">
        <w:t xml:space="preserve"> Benoît Moore (</w:t>
      </w:r>
      <w:r w:rsidR="00345E5A" w:rsidRPr="009B3437">
        <w:t>eds</w:t>
      </w:r>
      <w:r w:rsidRPr="009B3437">
        <w:t xml:space="preserve">.), </w:t>
      </w:r>
      <w:r w:rsidRPr="009B3437">
        <w:rPr>
          <w:i/>
          <w:iCs/>
        </w:rPr>
        <w:t>Mélanges Adrian Popovici – Les couleurs du droit</w:t>
      </w:r>
      <w:r w:rsidRPr="009B3437">
        <w:t>, Montr</w:t>
      </w:r>
      <w:r w:rsidR="00345E5A" w:rsidRPr="009B3437">
        <w:t>e</w:t>
      </w:r>
      <w:r w:rsidRPr="009B3437">
        <w:t xml:space="preserve">al, Thémis, 2010, 357, </w:t>
      </w:r>
      <w:r w:rsidRPr="009B3437">
        <w:rPr>
          <w:rFonts w:cs="Arial"/>
        </w:rPr>
        <w:t>p</w:t>
      </w:r>
      <w:r w:rsidR="00345E5A" w:rsidRPr="009B3437">
        <w:rPr>
          <w:rFonts w:cs="Arial"/>
        </w:rPr>
        <w:t>p</w:t>
      </w:r>
      <w:r w:rsidRPr="009B3437">
        <w:rPr>
          <w:rFonts w:cs="Arial"/>
        </w:rPr>
        <w:t>. </w:t>
      </w:r>
      <w:r w:rsidRPr="009B3437">
        <w:t xml:space="preserve">381 </w:t>
      </w:r>
      <w:r w:rsidR="00345E5A" w:rsidRPr="009B3437">
        <w:t>and ff</w:t>
      </w:r>
      <w:r w:rsidRPr="009B3437">
        <w:t>.</w:t>
      </w:r>
      <w:bookmarkEnd w:id="38"/>
      <w:r w:rsidRPr="009B3437">
        <w:t xml:space="preserve">; Nathalie Vézina, </w:t>
      </w:r>
      <w:r w:rsidR="00345E5A" w:rsidRPr="009B3437">
        <w:t>“</w:t>
      </w:r>
      <w:r w:rsidRPr="009B3437">
        <w:t>La faute : exercice jurilinguistique autour d’une notion classique du droit civil</w:t>
      </w:r>
      <w:r w:rsidR="00345E5A" w:rsidRPr="009B3437">
        <w:t>”</w:t>
      </w:r>
      <w:r w:rsidRPr="009B3437">
        <w:t xml:space="preserve">, </w:t>
      </w:r>
      <w:r w:rsidR="00345E5A" w:rsidRPr="009B3437">
        <w:t>in</w:t>
      </w:r>
      <w:r w:rsidRPr="009B3437">
        <w:t xml:space="preserve"> Benoît Moore (</w:t>
      </w:r>
      <w:r w:rsidR="00345E5A" w:rsidRPr="009B3437">
        <w:t>ed</w:t>
      </w:r>
      <w:r w:rsidRPr="009B3437">
        <w:t xml:space="preserve">.), </w:t>
      </w:r>
      <w:r w:rsidRPr="009B3437">
        <w:rPr>
          <w:i/>
          <w:iCs/>
        </w:rPr>
        <w:t>Les grands classiques du droit civil – Les grandes notions</w:t>
      </w:r>
      <w:r w:rsidRPr="009B3437">
        <w:t>, Montr</w:t>
      </w:r>
      <w:r w:rsidR="00345E5A" w:rsidRPr="009B3437">
        <w:t>e</w:t>
      </w:r>
      <w:r w:rsidRPr="009B3437">
        <w:t>al, Thémis, 2015, 133, p</w:t>
      </w:r>
      <w:r w:rsidR="00345E5A" w:rsidRPr="009B3437">
        <w:t>p</w:t>
      </w:r>
      <w:r w:rsidRPr="009B3437">
        <w:t xml:space="preserve">. 183 </w:t>
      </w:r>
      <w:r w:rsidR="00345E5A" w:rsidRPr="009B3437">
        <w:t>and ff</w:t>
      </w:r>
      <w:r w:rsidRPr="009B3437">
        <w:t>.</w:t>
      </w:r>
      <w:bookmarkEnd w:id="39"/>
    </w:p>
  </w:footnote>
  <w:footnote w:id="61">
    <w:p w14:paraId="0AAC5F1D" w14:textId="1D5735FF" w:rsidR="002802DA" w:rsidRPr="009B3437" w:rsidRDefault="002802DA" w:rsidP="002802DA">
      <w:pPr>
        <w:pStyle w:val="Notedebasdepage"/>
      </w:pPr>
      <w:r w:rsidRPr="00345E5A">
        <w:rPr>
          <w:rStyle w:val="Appelnotedebasdep"/>
          <w:lang w:val="en-CA"/>
        </w:rPr>
        <w:footnoteRef/>
      </w:r>
      <w:r w:rsidRPr="009B3437">
        <w:t xml:space="preserve"> </w:t>
      </w:r>
      <w:r w:rsidRPr="009B3437">
        <w:tab/>
        <w:t xml:space="preserve">2008 </w:t>
      </w:r>
      <w:r w:rsidR="00345E5A" w:rsidRPr="009B3437">
        <w:t>SCC</w:t>
      </w:r>
      <w:r w:rsidRPr="009B3437">
        <w:t xml:space="preserve"> 64 [</w:t>
      </w:r>
      <w:bookmarkStart w:id="40" w:name="_Hlk219215789"/>
      <w:r w:rsidR="00345E5A" w:rsidRPr="009B3437">
        <w:rPr>
          <w:i/>
          <w:iCs/>
        </w:rPr>
        <w:t>St. Lawrence Cement</w:t>
      </w:r>
      <w:bookmarkEnd w:id="40"/>
      <w:r w:rsidRPr="009B3437">
        <w:t>].</w:t>
      </w:r>
    </w:p>
  </w:footnote>
  <w:footnote w:id="62">
    <w:p w14:paraId="11C990F6" w14:textId="4AB2E037" w:rsidR="002802DA" w:rsidRPr="009B3437" w:rsidRDefault="002802DA" w:rsidP="002802DA">
      <w:pPr>
        <w:pStyle w:val="Notedebasdepage"/>
      </w:pPr>
      <w:r w:rsidRPr="003F1C76">
        <w:rPr>
          <w:rStyle w:val="Appelnotedebasdep"/>
        </w:rPr>
        <w:footnoteRef/>
      </w:r>
      <w:r w:rsidRPr="003F1C76">
        <w:t xml:space="preserve"> </w:t>
      </w:r>
      <w:r w:rsidRPr="003F1C76">
        <w:tab/>
      </w:r>
      <w:r w:rsidR="001F3BF8" w:rsidRPr="009B3437">
        <w:rPr>
          <w:i/>
          <w:iCs/>
        </w:rPr>
        <w:t>St. Lawrence Cement</w:t>
      </w:r>
      <w:r w:rsidRPr="009B3437">
        <w:rPr>
          <w:i/>
          <w:iCs/>
        </w:rPr>
        <w:t xml:space="preserve"> </w:t>
      </w:r>
      <w:r w:rsidR="001F3BF8" w:rsidRPr="009B3437">
        <w:rPr>
          <w:i/>
          <w:iCs/>
        </w:rPr>
        <w:t>v</w:t>
      </w:r>
      <w:r w:rsidRPr="009B3437">
        <w:rPr>
          <w:i/>
          <w:iCs/>
        </w:rPr>
        <w:t>. Barrette</w:t>
      </w:r>
      <w:r w:rsidRPr="009B3437">
        <w:t xml:space="preserve">, 2008 </w:t>
      </w:r>
      <w:r w:rsidR="001F3BF8" w:rsidRPr="009B3437">
        <w:t>SCC</w:t>
      </w:r>
      <w:r w:rsidRPr="009B3437">
        <w:t xml:space="preserve"> 64, para. 34. </w:t>
      </w:r>
      <w:r w:rsidR="001F3BF8" w:rsidRPr="009B3437">
        <w:t>By stating this, the Court said that it was reiterating the principle established in</w:t>
      </w:r>
      <w:r w:rsidRPr="009B3437">
        <w:t xml:space="preserve"> </w:t>
      </w:r>
      <w:r w:rsidRPr="009B3437">
        <w:rPr>
          <w:i/>
          <w:iCs/>
        </w:rPr>
        <w:t xml:space="preserve">Morin </w:t>
      </w:r>
      <w:r w:rsidR="001F3BF8" w:rsidRPr="009B3437">
        <w:rPr>
          <w:i/>
          <w:iCs/>
        </w:rPr>
        <w:t>v</w:t>
      </w:r>
      <w:r w:rsidRPr="009B3437">
        <w:rPr>
          <w:i/>
          <w:iCs/>
        </w:rPr>
        <w:t>. Blais</w:t>
      </w:r>
      <w:r w:rsidRPr="009B3437">
        <w:t xml:space="preserve">: Nathalie Vézina, </w:t>
      </w:r>
      <w:r w:rsidR="001F3BF8" w:rsidRPr="009B3437">
        <w:t>“</w:t>
      </w:r>
      <w:r w:rsidRPr="009B3437">
        <w:t xml:space="preserve">Du phénomène de pollution lumineuse appliqué à l’observation des astres jurisprudentiels : responsabilité objective, responsabilité subjective et l’arrêt </w:t>
      </w:r>
      <w:r w:rsidRPr="009B3437">
        <w:rPr>
          <w:i/>
          <w:iCs/>
        </w:rPr>
        <w:t>Ciment du Saint-Laurent</w:t>
      </w:r>
      <w:r w:rsidR="001F3BF8" w:rsidRPr="009B3437">
        <w:t>”</w:t>
      </w:r>
      <w:r w:rsidRPr="009B3437">
        <w:t xml:space="preserve"> </w:t>
      </w:r>
      <w:r w:rsidR="001F3BF8" w:rsidRPr="009B3437">
        <w:t>in</w:t>
      </w:r>
      <w:r w:rsidRPr="009B3437">
        <w:t xml:space="preserve"> Générosa Bras Miranda </w:t>
      </w:r>
      <w:r w:rsidR="001F3BF8" w:rsidRPr="009B3437">
        <w:t>and</w:t>
      </w:r>
      <w:r w:rsidRPr="009B3437">
        <w:t xml:space="preserve"> Benoît Moore, (</w:t>
      </w:r>
      <w:r w:rsidR="001F3BF8" w:rsidRPr="009B3437">
        <w:t>eds</w:t>
      </w:r>
      <w:r w:rsidRPr="009B3437">
        <w:t xml:space="preserve">.), </w:t>
      </w:r>
      <w:r w:rsidRPr="009B3437">
        <w:rPr>
          <w:i/>
          <w:iCs/>
        </w:rPr>
        <w:t>Mélanges Adrian Popovici – Les couleurs du droit</w:t>
      </w:r>
      <w:r w:rsidRPr="009B3437">
        <w:t>, Montr</w:t>
      </w:r>
      <w:r w:rsidR="001F3BF8" w:rsidRPr="009B3437">
        <w:t>e</w:t>
      </w:r>
      <w:r w:rsidRPr="009B3437">
        <w:t xml:space="preserve">al, Thémis, 2010, 357, </w:t>
      </w:r>
      <w:r w:rsidRPr="009B3437">
        <w:rPr>
          <w:rFonts w:cs="Arial"/>
        </w:rPr>
        <w:t>p</w:t>
      </w:r>
      <w:r w:rsidR="001F3BF8" w:rsidRPr="009B3437">
        <w:rPr>
          <w:rFonts w:cs="Arial"/>
        </w:rPr>
        <w:t>p</w:t>
      </w:r>
      <w:r w:rsidRPr="009B3437">
        <w:rPr>
          <w:rFonts w:cs="Arial"/>
        </w:rPr>
        <w:t>. </w:t>
      </w:r>
      <w:r w:rsidRPr="009B3437">
        <w:t xml:space="preserve">374 </w:t>
      </w:r>
      <w:r w:rsidR="001F3BF8" w:rsidRPr="009B3437">
        <w:t>and ff</w:t>
      </w:r>
      <w:r w:rsidRPr="009B3437">
        <w:t xml:space="preserve">. </w:t>
      </w:r>
      <w:r w:rsidR="001F3BF8" w:rsidRPr="009B3437">
        <w:t>See also</w:t>
      </w:r>
      <w:r w:rsidRPr="009B3437">
        <w:t xml:space="preserve">: </w:t>
      </w:r>
      <w:r w:rsidRPr="009B3437">
        <w:rPr>
          <w:i/>
          <w:iCs/>
        </w:rPr>
        <w:t>Kosoian c. Société de Transport de Montréal</w:t>
      </w:r>
      <w:r w:rsidRPr="009B3437">
        <w:t>, 2019 CSC 59, para</w:t>
      </w:r>
      <w:r w:rsidR="001F3BF8" w:rsidRPr="009B3437">
        <w:t>s</w:t>
      </w:r>
      <w:r w:rsidRPr="009B3437">
        <w:t>. 48-49 [</w:t>
      </w:r>
      <w:bookmarkStart w:id="41" w:name="_Hlk207548511"/>
      <w:r w:rsidRPr="009B3437">
        <w:rPr>
          <w:i/>
          <w:iCs/>
        </w:rPr>
        <w:t>Kosoian</w:t>
      </w:r>
      <w:bookmarkEnd w:id="41"/>
      <w:r w:rsidRPr="009B3437">
        <w:t>].</w:t>
      </w:r>
    </w:p>
  </w:footnote>
  <w:footnote w:id="63">
    <w:p w14:paraId="7CCAF465" w14:textId="376B5C87" w:rsidR="002802DA" w:rsidRPr="001F3BF8" w:rsidRDefault="002802DA" w:rsidP="002802DA">
      <w:pPr>
        <w:pStyle w:val="Notedebasdepage"/>
        <w:rPr>
          <w:lang w:val="en-CA"/>
        </w:rPr>
      </w:pPr>
      <w:r w:rsidRPr="001F3BF8">
        <w:rPr>
          <w:rStyle w:val="Appelnotedebasdep"/>
          <w:lang w:val="en-CA"/>
        </w:rPr>
        <w:footnoteRef/>
      </w:r>
      <w:r w:rsidRPr="009B3437">
        <w:t xml:space="preserve"> </w:t>
      </w:r>
      <w:r w:rsidRPr="009B3437">
        <w:tab/>
      </w:r>
      <w:r w:rsidR="001A6C9F" w:rsidRPr="009B3437">
        <w:t>For professor</w:t>
      </w:r>
      <w:r w:rsidRPr="009B3437">
        <w:t xml:space="preserve"> Vézina, </w:t>
      </w:r>
      <w:r w:rsidR="001A6C9F" w:rsidRPr="009B3437">
        <w:t xml:space="preserve">the Court departed here from </w:t>
      </w:r>
      <w:r w:rsidRPr="009B3437">
        <w:rPr>
          <w:i/>
          <w:iCs/>
        </w:rPr>
        <w:t>Morin c. Blais</w:t>
      </w:r>
      <w:r w:rsidRPr="009B3437">
        <w:t xml:space="preserve">: Nathalie Vézina, </w:t>
      </w:r>
      <w:r w:rsidR="001A6C9F" w:rsidRPr="009B3437">
        <w:t>“</w:t>
      </w:r>
      <w:r w:rsidRPr="009B3437">
        <w:t xml:space="preserve">Du phénomène de pollution lumineuse appliqué à l’observation des astres jurisprudentiels : responsabilité objective, responsabilité subjective et l’arrêt </w:t>
      </w:r>
      <w:r w:rsidRPr="009B3437">
        <w:rPr>
          <w:i/>
          <w:iCs/>
        </w:rPr>
        <w:t>Ciment du Saint-Laurent</w:t>
      </w:r>
      <w:r w:rsidR="001A6C9F" w:rsidRPr="009B3437">
        <w:t>”</w:t>
      </w:r>
      <w:r w:rsidRPr="009B3437">
        <w:t xml:space="preserve"> </w:t>
      </w:r>
      <w:r w:rsidR="001A6C9F" w:rsidRPr="009B3437">
        <w:t>in</w:t>
      </w:r>
      <w:r w:rsidRPr="009B3437">
        <w:t xml:space="preserve"> Générosa Bras Miranda </w:t>
      </w:r>
      <w:r w:rsidR="001A6C9F" w:rsidRPr="009B3437">
        <w:t>and</w:t>
      </w:r>
      <w:r w:rsidRPr="009B3437">
        <w:t xml:space="preserve"> Benoît Moore, (</w:t>
      </w:r>
      <w:r w:rsidR="001A6C9F" w:rsidRPr="009B3437">
        <w:t>eds</w:t>
      </w:r>
      <w:r w:rsidRPr="009B3437">
        <w:t xml:space="preserve">.), </w:t>
      </w:r>
      <w:r w:rsidRPr="009B3437">
        <w:rPr>
          <w:i/>
          <w:iCs/>
        </w:rPr>
        <w:t>Mélanges Adrian Popovici – Les couleurs du droit</w:t>
      </w:r>
      <w:r w:rsidRPr="009B3437">
        <w:t>, Montr</w:t>
      </w:r>
      <w:r w:rsidR="001A6C9F" w:rsidRPr="009B3437">
        <w:t>e</w:t>
      </w:r>
      <w:r w:rsidRPr="009B3437">
        <w:t xml:space="preserve">al, Thémis, 2010, 357, </w:t>
      </w:r>
      <w:r w:rsidRPr="009B3437">
        <w:rPr>
          <w:rFonts w:cs="Arial"/>
        </w:rPr>
        <w:t>p. </w:t>
      </w:r>
      <w:r w:rsidRPr="009B3437">
        <w:t xml:space="preserve">374. </w:t>
      </w:r>
      <w:r w:rsidR="001A6C9F">
        <w:rPr>
          <w:lang w:val="en-CA"/>
        </w:rPr>
        <w:t>However, according to this same author, that is not to say that the Court wished to</w:t>
      </w:r>
      <w:r w:rsidRPr="001F3BF8">
        <w:rPr>
          <w:lang w:val="en-CA"/>
        </w:rPr>
        <w:t xml:space="preserve"> </w:t>
      </w:r>
      <w:r w:rsidR="001A6C9F">
        <w:rPr>
          <w:lang w:val="en-CA"/>
        </w:rPr>
        <w:t>“defeat/battre en brèche”</w:t>
      </w:r>
      <w:r w:rsidRPr="001F3BF8">
        <w:rPr>
          <w:lang w:val="en-CA"/>
        </w:rPr>
        <w:t xml:space="preserve"> </w:t>
      </w:r>
      <w:r w:rsidR="001A6C9F">
        <w:rPr>
          <w:lang w:val="en-CA"/>
        </w:rPr>
        <w:t>the principle established in</w:t>
      </w:r>
      <w:r w:rsidRPr="001F3BF8">
        <w:rPr>
          <w:lang w:val="en-CA"/>
        </w:rPr>
        <w:t xml:space="preserve"> </w:t>
      </w:r>
      <w:r w:rsidRPr="001F3BF8">
        <w:rPr>
          <w:i/>
          <w:iCs/>
          <w:lang w:val="en-CA"/>
        </w:rPr>
        <w:t xml:space="preserve">Morin </w:t>
      </w:r>
      <w:r w:rsidR="001A6C9F">
        <w:rPr>
          <w:i/>
          <w:iCs/>
          <w:lang w:val="en-CA"/>
        </w:rPr>
        <w:t>v</w:t>
      </w:r>
      <w:r w:rsidRPr="001F3BF8">
        <w:rPr>
          <w:i/>
          <w:iCs/>
          <w:lang w:val="en-CA"/>
        </w:rPr>
        <w:t>. Blais</w:t>
      </w:r>
      <w:r w:rsidRPr="001F3BF8">
        <w:rPr>
          <w:lang w:val="en-CA"/>
        </w:rPr>
        <w:t xml:space="preserve">, </w:t>
      </w:r>
      <w:r w:rsidR="001A6C9F">
        <w:rPr>
          <w:lang w:val="en-CA"/>
        </w:rPr>
        <w:t xml:space="preserve">both because it was </w:t>
      </w:r>
      <w:r w:rsidRPr="001F3BF8">
        <w:rPr>
          <w:i/>
          <w:iCs/>
          <w:lang w:val="en-CA"/>
        </w:rPr>
        <w:t xml:space="preserve">obiter </w:t>
      </w:r>
      <w:r w:rsidRPr="001F3BF8">
        <w:rPr>
          <w:lang w:val="en-CA"/>
        </w:rPr>
        <w:t xml:space="preserve"> </w:t>
      </w:r>
      <w:r w:rsidR="001A6C9F">
        <w:rPr>
          <w:lang w:val="en-CA"/>
        </w:rPr>
        <w:t>and because it is not certain that the regulatory provision in</w:t>
      </w:r>
      <w:r w:rsidRPr="001F3BF8">
        <w:rPr>
          <w:lang w:val="en-CA"/>
        </w:rPr>
        <w:t xml:space="preserve"> </w:t>
      </w:r>
      <w:r w:rsidR="001A6C9F">
        <w:rPr>
          <w:i/>
          <w:iCs/>
          <w:lang w:val="en-CA"/>
        </w:rPr>
        <w:t>St. Lawrence Cement</w:t>
      </w:r>
      <w:r w:rsidRPr="001F3BF8">
        <w:rPr>
          <w:lang w:val="en-CA"/>
        </w:rPr>
        <w:t xml:space="preserve"> </w:t>
      </w:r>
      <w:r w:rsidR="001A6C9F">
        <w:rPr>
          <w:lang w:val="en-CA"/>
        </w:rPr>
        <w:t>established an elementary standard of care within the meaning</w:t>
      </w:r>
      <w:r w:rsidR="00E635F3">
        <w:rPr>
          <w:lang w:val="en-CA"/>
        </w:rPr>
        <w:t xml:space="preserve"> of </w:t>
      </w:r>
      <w:r w:rsidRPr="001F3BF8">
        <w:rPr>
          <w:i/>
          <w:iCs/>
          <w:lang w:val="en-CA"/>
        </w:rPr>
        <w:t xml:space="preserve">Morin </w:t>
      </w:r>
      <w:r w:rsidR="00E635F3">
        <w:rPr>
          <w:i/>
          <w:iCs/>
          <w:lang w:val="en-CA"/>
        </w:rPr>
        <w:t>v</w:t>
      </w:r>
      <w:r w:rsidRPr="001F3BF8">
        <w:rPr>
          <w:i/>
          <w:iCs/>
          <w:lang w:val="en-CA"/>
        </w:rPr>
        <w:t>. Blais</w:t>
      </w:r>
      <w:r w:rsidRPr="001F3BF8">
        <w:rPr>
          <w:lang w:val="en-CA"/>
        </w:rPr>
        <w:t xml:space="preserve">: Nathalie Vézina, </w:t>
      </w:r>
      <w:r w:rsidR="00E635F3">
        <w:rPr>
          <w:lang w:val="en-CA"/>
        </w:rPr>
        <w:t>“</w:t>
      </w:r>
      <w:r w:rsidRPr="001F3BF8">
        <w:rPr>
          <w:lang w:val="en-CA"/>
        </w:rPr>
        <w:t>La faute : exercice jurilinguistique autour d’une notion classique du droit civil</w:t>
      </w:r>
      <w:r w:rsidR="00E635F3">
        <w:rPr>
          <w:lang w:val="en-CA"/>
        </w:rPr>
        <w:t>”</w:t>
      </w:r>
      <w:r w:rsidRPr="001F3BF8">
        <w:rPr>
          <w:lang w:val="en-CA"/>
        </w:rPr>
        <w:t xml:space="preserve">, </w:t>
      </w:r>
      <w:r w:rsidR="00E635F3">
        <w:rPr>
          <w:lang w:val="en-CA"/>
        </w:rPr>
        <w:t>in</w:t>
      </w:r>
      <w:r w:rsidRPr="001F3BF8">
        <w:rPr>
          <w:lang w:val="en-CA"/>
        </w:rPr>
        <w:t xml:space="preserve"> Benoît Moore, (</w:t>
      </w:r>
      <w:r w:rsidR="00E635F3">
        <w:rPr>
          <w:lang w:val="en-CA"/>
        </w:rPr>
        <w:t>ed</w:t>
      </w:r>
      <w:r w:rsidRPr="001F3BF8">
        <w:rPr>
          <w:lang w:val="en-CA"/>
        </w:rPr>
        <w:t xml:space="preserve">.), </w:t>
      </w:r>
      <w:r w:rsidRPr="001F3BF8">
        <w:rPr>
          <w:i/>
          <w:iCs/>
          <w:lang w:val="en-CA"/>
        </w:rPr>
        <w:t>Les grands classiques du droit civil – Les grandes notions</w:t>
      </w:r>
      <w:r w:rsidRPr="001F3BF8">
        <w:rPr>
          <w:lang w:val="en-CA"/>
        </w:rPr>
        <w:t xml:space="preserve">, Montréal, Thémis, 2015, 133, </w:t>
      </w:r>
      <w:r w:rsidRPr="001F3BF8">
        <w:rPr>
          <w:rFonts w:cs="Arial"/>
          <w:lang w:val="en-CA"/>
        </w:rPr>
        <w:t>p</w:t>
      </w:r>
      <w:r w:rsidR="00E635F3">
        <w:rPr>
          <w:rFonts w:cs="Arial"/>
          <w:lang w:val="en-CA"/>
        </w:rPr>
        <w:t>p</w:t>
      </w:r>
      <w:r w:rsidRPr="001F3BF8">
        <w:rPr>
          <w:rFonts w:cs="Arial"/>
          <w:lang w:val="en-CA"/>
        </w:rPr>
        <w:t>. </w:t>
      </w:r>
      <w:r w:rsidRPr="001F3BF8">
        <w:rPr>
          <w:lang w:val="en-CA"/>
        </w:rPr>
        <w:t>188-189.</w:t>
      </w:r>
    </w:p>
  </w:footnote>
  <w:footnote w:id="64">
    <w:p w14:paraId="110ECE64" w14:textId="3F74BB05" w:rsidR="002802DA" w:rsidRPr="001F3BF8" w:rsidRDefault="002802DA" w:rsidP="002802DA">
      <w:pPr>
        <w:pStyle w:val="Notedebasdepage"/>
        <w:rPr>
          <w:lang w:val="en-CA"/>
        </w:rPr>
      </w:pPr>
      <w:r w:rsidRPr="001F3BF8">
        <w:rPr>
          <w:rStyle w:val="Appelnotedebasdep"/>
          <w:lang w:val="en-CA"/>
        </w:rPr>
        <w:footnoteRef/>
      </w:r>
      <w:r w:rsidRPr="001F3BF8">
        <w:rPr>
          <w:lang w:val="en-CA"/>
        </w:rPr>
        <w:t xml:space="preserve"> </w:t>
      </w:r>
      <w:r w:rsidRPr="001F3BF8">
        <w:rPr>
          <w:lang w:val="en-CA"/>
        </w:rPr>
        <w:tab/>
      </w:r>
      <w:r w:rsidR="00E635F3">
        <w:rPr>
          <w:lang w:val="en-CA"/>
        </w:rPr>
        <w:t>As this case shows, since the URL link reappeared on several occasions</w:t>
      </w:r>
      <w:r w:rsidRPr="001F3BF8">
        <w:rPr>
          <w:lang w:val="en-CA"/>
        </w:rPr>
        <w:t>.</w:t>
      </w:r>
    </w:p>
  </w:footnote>
  <w:footnote w:id="65">
    <w:p w14:paraId="00108403" w14:textId="7CD1F699" w:rsidR="002802DA" w:rsidRPr="00871049" w:rsidRDefault="002802DA" w:rsidP="002802DA">
      <w:pPr>
        <w:pStyle w:val="Notedebasdepage"/>
        <w:rPr>
          <w:lang w:val="en-CA"/>
        </w:rPr>
      </w:pPr>
      <w:r w:rsidRPr="003F1C76">
        <w:rPr>
          <w:rStyle w:val="Appelnotedebasdep"/>
        </w:rPr>
        <w:footnoteRef/>
      </w:r>
      <w:r w:rsidRPr="009B3437">
        <w:rPr>
          <w:lang w:val="en-CA"/>
        </w:rPr>
        <w:t xml:space="preserve"> </w:t>
      </w:r>
      <w:r w:rsidRPr="009B3437">
        <w:rPr>
          <w:lang w:val="en-CA"/>
        </w:rPr>
        <w:tab/>
      </w:r>
      <w:r w:rsidRPr="00871049">
        <w:rPr>
          <w:lang w:val="en-CA"/>
        </w:rPr>
        <w:t xml:space="preserve">Google </w:t>
      </w:r>
      <w:r w:rsidR="008E5BD7" w:rsidRPr="00871049">
        <w:rPr>
          <w:lang w:val="en-CA"/>
        </w:rPr>
        <w:t>is thus not</w:t>
      </w:r>
      <w:r w:rsidR="00871049" w:rsidRPr="00871049">
        <w:rPr>
          <w:lang w:val="en-CA"/>
        </w:rPr>
        <w:t xml:space="preserve"> invoking any public interest</w:t>
      </w:r>
      <w:r w:rsidR="00EF13BB">
        <w:rPr>
          <w:lang w:val="en-CA"/>
        </w:rPr>
        <w:t xml:space="preserve"> reason that could negate the illicit nature of the activity under section</w:t>
      </w:r>
      <w:r w:rsidRPr="00871049">
        <w:rPr>
          <w:lang w:val="en-CA"/>
        </w:rPr>
        <w:t xml:space="preserve"> 22 </w:t>
      </w:r>
      <w:r w:rsidR="00EF13BB">
        <w:rPr>
          <w:i/>
          <w:iCs/>
          <w:lang w:val="en-CA"/>
        </w:rPr>
        <w:t>IT Framework Act</w:t>
      </w:r>
      <w:r w:rsidRPr="00871049">
        <w:rPr>
          <w:lang w:val="en-CA"/>
        </w:rPr>
        <w:t>.</w:t>
      </w:r>
    </w:p>
  </w:footnote>
  <w:footnote w:id="66">
    <w:p w14:paraId="14A5049D" w14:textId="09653A47" w:rsidR="002802DA" w:rsidRPr="00871049" w:rsidRDefault="002802DA" w:rsidP="002802DA">
      <w:pPr>
        <w:pStyle w:val="Notedebasdepage"/>
        <w:rPr>
          <w:lang w:val="en-CA"/>
        </w:rPr>
      </w:pPr>
      <w:r w:rsidRPr="00871049">
        <w:rPr>
          <w:rStyle w:val="Appelnotedebasdep"/>
          <w:lang w:val="en-CA"/>
        </w:rPr>
        <w:footnoteRef/>
      </w:r>
      <w:r w:rsidRPr="00871049">
        <w:rPr>
          <w:lang w:val="en-CA"/>
        </w:rPr>
        <w:t xml:space="preserve"> </w:t>
      </w:r>
      <w:r w:rsidRPr="00871049">
        <w:rPr>
          <w:lang w:val="en-CA"/>
        </w:rPr>
        <w:tab/>
      </w:r>
      <w:r w:rsidR="00EF13BB">
        <w:rPr>
          <w:lang w:val="en-CA"/>
        </w:rPr>
        <w:t xml:space="preserve">It is true that indexing returned on a number of occasions, but Google, until 2015, removed it every time. This is an example </w:t>
      </w:r>
      <w:r w:rsidR="00A6052D">
        <w:rPr>
          <w:lang w:val="en-CA"/>
        </w:rPr>
        <w:t xml:space="preserve">of a case </w:t>
      </w:r>
      <w:r w:rsidR="00EF13BB">
        <w:rPr>
          <w:lang w:val="en-CA"/>
        </w:rPr>
        <w:t xml:space="preserve">where technical limitations could be invoked by an intermediary to avoid incurring responsibility </w:t>
      </w:r>
      <w:r w:rsidR="00EE1875">
        <w:rPr>
          <w:lang w:val="en-CA"/>
        </w:rPr>
        <w:t>for the only reason that the hyperlink is regularly indexed yet again</w:t>
      </w:r>
      <w:r w:rsidRPr="00871049">
        <w:rPr>
          <w:lang w:val="en-CA"/>
        </w:rPr>
        <w:t>.</w:t>
      </w:r>
    </w:p>
  </w:footnote>
  <w:footnote w:id="67">
    <w:p w14:paraId="19AEC43F" w14:textId="2BAC5F35" w:rsidR="002802DA" w:rsidRPr="00871049" w:rsidRDefault="002802DA" w:rsidP="002802DA">
      <w:pPr>
        <w:pStyle w:val="Notedebasdepage"/>
        <w:rPr>
          <w:lang w:val="en-CA"/>
        </w:rPr>
      </w:pPr>
      <w:r w:rsidRPr="00871049">
        <w:rPr>
          <w:rStyle w:val="Appelnotedebasdep"/>
          <w:lang w:val="en-CA"/>
        </w:rPr>
        <w:footnoteRef/>
      </w:r>
      <w:r w:rsidRPr="009B3437">
        <w:t xml:space="preserve"> </w:t>
      </w:r>
      <w:r w:rsidRPr="009B3437">
        <w:tab/>
      </w:r>
      <w:r w:rsidR="00871049" w:rsidRPr="009B3437">
        <w:t>See</w:t>
      </w:r>
      <w:r w:rsidRPr="009B3437">
        <w:t xml:space="preserve">: </w:t>
      </w:r>
      <w:r w:rsidRPr="009B3437">
        <w:rPr>
          <w:i/>
          <w:iCs/>
        </w:rPr>
        <w:t xml:space="preserve">Kosoian </w:t>
      </w:r>
      <w:r w:rsidR="00871049" w:rsidRPr="009B3437">
        <w:rPr>
          <w:i/>
          <w:iCs/>
        </w:rPr>
        <w:t>v</w:t>
      </w:r>
      <w:r w:rsidRPr="009B3437">
        <w:rPr>
          <w:i/>
          <w:iCs/>
        </w:rPr>
        <w:t>. Société de Transport de Montréal</w:t>
      </w:r>
      <w:r w:rsidRPr="009B3437">
        <w:t xml:space="preserve">, 2019 </w:t>
      </w:r>
      <w:r w:rsidR="00871049" w:rsidRPr="009B3437">
        <w:t>SCC</w:t>
      </w:r>
      <w:r w:rsidRPr="009B3437">
        <w:t xml:space="preserve"> 59, </w:t>
      </w:r>
      <w:r w:rsidR="00871049" w:rsidRPr="009B3437">
        <w:t>para</w:t>
      </w:r>
      <w:r w:rsidRPr="009B3437">
        <w:t xml:space="preserve">. 51. </w:t>
      </w:r>
      <w:r w:rsidR="00871049" w:rsidRPr="009B3437">
        <w:t>By analogy to the duty to inform regarding a dangerous product</w:t>
      </w:r>
      <w:r w:rsidRPr="009B3437">
        <w:t xml:space="preserve">: </w:t>
      </w:r>
      <w:r w:rsidRPr="009B3437">
        <w:rPr>
          <w:i/>
          <w:iCs/>
        </w:rPr>
        <w:t xml:space="preserve">Imperial Tobacco Canada ltée c. Conseil québécois sur le tabac et la </w:t>
      </w:r>
      <w:r w:rsidRPr="009B3437">
        <w:t>santé, 2019 QCCA 358, para</w:t>
      </w:r>
      <w:r w:rsidR="00871049" w:rsidRPr="009B3437">
        <w:t>s</w:t>
      </w:r>
      <w:r w:rsidRPr="009B3437">
        <w:t xml:space="preserve">. 484 </w:t>
      </w:r>
      <w:r w:rsidR="00871049" w:rsidRPr="009B3437">
        <w:t>and ff</w:t>
      </w:r>
      <w:r w:rsidRPr="009B3437">
        <w:t>. [</w:t>
      </w:r>
      <w:bookmarkStart w:id="45" w:name="_Hlk207548692"/>
      <w:r w:rsidRPr="009B3437">
        <w:rPr>
          <w:i/>
          <w:iCs/>
        </w:rPr>
        <w:t>Imperial Tobacco</w:t>
      </w:r>
      <w:bookmarkEnd w:id="45"/>
      <w:r w:rsidRPr="009B3437">
        <w:t xml:space="preserve">]; </w:t>
      </w:r>
      <w:r w:rsidRPr="009B3437">
        <w:rPr>
          <w:i/>
          <w:iCs/>
        </w:rPr>
        <w:t xml:space="preserve">Brousseau c. Laboratoires Abbott limitée, </w:t>
      </w:r>
      <w:r w:rsidRPr="009B3437">
        <w:t xml:space="preserve">2019 QCCA 801, </w:t>
      </w:r>
      <w:r w:rsidRPr="009B3437">
        <w:rPr>
          <w:rFonts w:cs="Arial"/>
        </w:rPr>
        <w:t>para. </w:t>
      </w:r>
      <w:r w:rsidRPr="009B3437">
        <w:t>160;</w:t>
      </w:r>
      <w:r w:rsidRPr="009B3437">
        <w:rPr>
          <w:i/>
          <w:iCs/>
        </w:rPr>
        <w:t xml:space="preserve"> Bélanger c. Fédération, cie d’assurance du Canada</w:t>
      </w:r>
      <w:r w:rsidRPr="009B3437">
        <w:t xml:space="preserve">, [1999] R.R.A. 8 (C.A. Qc). </w:t>
      </w:r>
      <w:r w:rsidR="00871049">
        <w:rPr>
          <w:lang w:val="en-CA"/>
        </w:rPr>
        <w:t xml:space="preserve">The same is true of the mere fact of </w:t>
      </w:r>
      <w:r w:rsidR="00EF13BB">
        <w:rPr>
          <w:lang w:val="en-CA"/>
        </w:rPr>
        <w:t>following</w:t>
      </w:r>
      <w:r w:rsidR="00871049">
        <w:rPr>
          <w:lang w:val="en-CA"/>
        </w:rPr>
        <w:t xml:space="preserve"> with a </w:t>
      </w:r>
      <w:r w:rsidR="00EF13BB">
        <w:rPr>
          <w:lang w:val="en-CA"/>
        </w:rPr>
        <w:t>common</w:t>
      </w:r>
      <w:r w:rsidR="00871049">
        <w:rPr>
          <w:lang w:val="en-CA"/>
        </w:rPr>
        <w:t xml:space="preserve"> professional practice</w:t>
      </w:r>
      <w:r w:rsidRPr="00871049">
        <w:rPr>
          <w:lang w:val="en-CA"/>
        </w:rPr>
        <w:t xml:space="preserve">: </w:t>
      </w:r>
      <w:r w:rsidRPr="00871049">
        <w:rPr>
          <w:i/>
          <w:iCs/>
          <w:lang w:val="en-CA"/>
        </w:rPr>
        <w:t xml:space="preserve">Roberge </w:t>
      </w:r>
      <w:r w:rsidR="00871049">
        <w:rPr>
          <w:i/>
          <w:iCs/>
          <w:lang w:val="en-CA"/>
        </w:rPr>
        <w:t>v</w:t>
      </w:r>
      <w:r w:rsidRPr="00871049">
        <w:rPr>
          <w:i/>
          <w:iCs/>
          <w:lang w:val="en-CA"/>
        </w:rPr>
        <w:t>. Bolduc</w:t>
      </w:r>
      <w:r w:rsidRPr="00871049">
        <w:rPr>
          <w:lang w:val="en-CA"/>
        </w:rPr>
        <w:t xml:space="preserve">, [1991] 1 </w:t>
      </w:r>
      <w:r w:rsidR="00871049">
        <w:rPr>
          <w:lang w:val="en-CA"/>
        </w:rPr>
        <w:t>S.C.R</w:t>
      </w:r>
      <w:r w:rsidRPr="00871049">
        <w:rPr>
          <w:lang w:val="en-CA"/>
        </w:rPr>
        <w:t>. 374,</w:t>
      </w:r>
      <w:r w:rsidRPr="00871049">
        <w:rPr>
          <w:rFonts w:cs="Arial"/>
          <w:lang w:val="en-CA"/>
        </w:rPr>
        <w:t xml:space="preserve"> p. </w:t>
      </w:r>
      <w:r w:rsidRPr="00871049">
        <w:rPr>
          <w:lang w:val="en-CA"/>
        </w:rPr>
        <w:t xml:space="preserve">437. </w:t>
      </w:r>
    </w:p>
  </w:footnote>
  <w:footnote w:id="68">
    <w:p w14:paraId="5F501B48" w14:textId="2D487ADB" w:rsidR="00047983" w:rsidRPr="00047983" w:rsidRDefault="00047983">
      <w:pPr>
        <w:pStyle w:val="Notedebasdepage"/>
        <w:rPr>
          <w:lang w:val="en-CA"/>
        </w:rPr>
      </w:pPr>
      <w:r>
        <w:rPr>
          <w:rStyle w:val="Appelnotedebasdep"/>
        </w:rPr>
        <w:footnoteRef/>
      </w:r>
      <w:r w:rsidRPr="009B3437">
        <w:rPr>
          <w:lang w:val="en-CA"/>
        </w:rPr>
        <w:t xml:space="preserve"> </w:t>
      </w:r>
      <w:r w:rsidRPr="009B3437">
        <w:rPr>
          <w:lang w:val="en-CA"/>
        </w:rPr>
        <w:tab/>
      </w:r>
      <w:r w:rsidRPr="00047983">
        <w:rPr>
          <w:lang w:val="en-CA"/>
        </w:rPr>
        <w:t>Judgment under appeal, paras. 251-252.</w:t>
      </w:r>
    </w:p>
  </w:footnote>
  <w:footnote w:id="69">
    <w:p w14:paraId="60AB5169" w14:textId="4B981137" w:rsidR="002802DA" w:rsidRPr="009B3437" w:rsidRDefault="002802DA" w:rsidP="002802DA">
      <w:pPr>
        <w:pStyle w:val="Notedebasdepage"/>
      </w:pPr>
      <w:r w:rsidRPr="003F1C76">
        <w:rPr>
          <w:rStyle w:val="Appelnotedebasdep"/>
        </w:rPr>
        <w:footnoteRef/>
      </w:r>
      <w:r w:rsidRPr="009B3437">
        <w:rPr>
          <w:lang w:val="en-CA"/>
        </w:rPr>
        <w:t xml:space="preserve"> </w:t>
      </w:r>
      <w:r w:rsidRPr="009B3437">
        <w:rPr>
          <w:lang w:val="en-CA"/>
        </w:rPr>
        <w:tab/>
      </w:r>
      <w:r w:rsidR="005C2266" w:rsidRPr="005C2266">
        <w:rPr>
          <w:lang w:val="en-CA"/>
        </w:rPr>
        <w:t>Judgment under appeal</w:t>
      </w:r>
      <w:r w:rsidRPr="005C2266">
        <w:rPr>
          <w:i/>
          <w:iCs/>
          <w:lang w:val="en-CA"/>
        </w:rPr>
        <w:t>,</w:t>
      </w:r>
      <w:r w:rsidRPr="005C2266">
        <w:rPr>
          <w:lang w:val="en-CA"/>
        </w:rPr>
        <w:t xml:space="preserve"> para. </w:t>
      </w:r>
      <w:r w:rsidRPr="009B3437">
        <w:t xml:space="preserve">316 </w:t>
      </w:r>
      <w:r w:rsidR="005C2266" w:rsidRPr="009B3437">
        <w:t>citing</w:t>
      </w:r>
      <w:r w:rsidRPr="009B3437">
        <w:t xml:space="preserve"> </w:t>
      </w:r>
      <w:r w:rsidRPr="009B3437">
        <w:rPr>
          <w:i/>
          <w:iCs/>
        </w:rPr>
        <w:t xml:space="preserve">Prud’homme </w:t>
      </w:r>
      <w:r w:rsidR="005C2266" w:rsidRPr="009B3437">
        <w:rPr>
          <w:i/>
          <w:iCs/>
        </w:rPr>
        <w:t>v</w:t>
      </w:r>
      <w:r w:rsidRPr="009B3437">
        <w:rPr>
          <w:i/>
          <w:iCs/>
        </w:rPr>
        <w:t>. Prud’homme</w:t>
      </w:r>
      <w:r w:rsidRPr="009B3437">
        <w:t xml:space="preserve">, 2002 </w:t>
      </w:r>
      <w:r w:rsidR="005C2266" w:rsidRPr="009B3437">
        <w:t>SCC</w:t>
      </w:r>
      <w:r w:rsidRPr="009B3437">
        <w:t xml:space="preserve"> 85, para. 34.</w:t>
      </w:r>
    </w:p>
  </w:footnote>
  <w:footnote w:id="70">
    <w:p w14:paraId="275F1D74" w14:textId="5F0736EB" w:rsidR="002802DA" w:rsidRPr="009B3437" w:rsidRDefault="002802DA" w:rsidP="002802DA">
      <w:pPr>
        <w:pStyle w:val="Notedebasdepage"/>
      </w:pPr>
      <w:r w:rsidRPr="005C2266">
        <w:rPr>
          <w:rStyle w:val="Appelnotedebasdep"/>
          <w:lang w:val="en-CA"/>
        </w:rPr>
        <w:footnoteRef/>
      </w:r>
      <w:r w:rsidRPr="009B3437">
        <w:t xml:space="preserve"> </w:t>
      </w:r>
      <w:r w:rsidRPr="009B3437">
        <w:tab/>
        <w:t>2021 QCCA 1549, para. 97 [</w:t>
      </w:r>
      <w:bookmarkStart w:id="47" w:name="_Hlk207549307"/>
      <w:r w:rsidRPr="009B3437">
        <w:rPr>
          <w:i/>
          <w:iCs/>
        </w:rPr>
        <w:t>Lalli</w:t>
      </w:r>
      <w:bookmarkEnd w:id="47"/>
      <w:r w:rsidRPr="009B3437">
        <w:t>].</w:t>
      </w:r>
    </w:p>
  </w:footnote>
  <w:footnote w:id="71">
    <w:p w14:paraId="06F9B985" w14:textId="60D1BA8E" w:rsidR="002802DA" w:rsidRPr="005C2266" w:rsidRDefault="002802DA" w:rsidP="002802DA">
      <w:pPr>
        <w:pStyle w:val="Notedebasdepage"/>
        <w:rPr>
          <w:lang w:val="en-CA"/>
        </w:rPr>
      </w:pPr>
      <w:r w:rsidRPr="005C2266">
        <w:rPr>
          <w:rStyle w:val="Appelnotedebasdep"/>
          <w:lang w:val="en-CA"/>
        </w:rPr>
        <w:footnoteRef/>
      </w:r>
      <w:r w:rsidRPr="005C2266">
        <w:rPr>
          <w:lang w:val="en-CA"/>
        </w:rPr>
        <w:t xml:space="preserve"> </w:t>
      </w:r>
      <w:r w:rsidRPr="005C2266">
        <w:rPr>
          <w:lang w:val="en-CA"/>
        </w:rPr>
        <w:tab/>
      </w:r>
      <w:r w:rsidR="005C2266" w:rsidRPr="005C2266">
        <w:rPr>
          <w:lang w:val="en-CA"/>
        </w:rPr>
        <w:t>Judgment under appeal</w:t>
      </w:r>
      <w:r w:rsidRPr="005C2266">
        <w:rPr>
          <w:lang w:val="en-CA"/>
        </w:rPr>
        <w:t>, para</w:t>
      </w:r>
      <w:r w:rsidR="005C2266">
        <w:rPr>
          <w:lang w:val="en-CA"/>
        </w:rPr>
        <w:t>s</w:t>
      </w:r>
      <w:r w:rsidRPr="005C2266">
        <w:rPr>
          <w:lang w:val="en-CA"/>
        </w:rPr>
        <w:t>. 326-331.</w:t>
      </w:r>
    </w:p>
  </w:footnote>
  <w:footnote w:id="72">
    <w:p w14:paraId="354ED6A5" w14:textId="2CFAF982" w:rsidR="002802DA" w:rsidRPr="005C2266" w:rsidRDefault="002802DA" w:rsidP="002802DA">
      <w:pPr>
        <w:pStyle w:val="Notedebasdepage"/>
        <w:rPr>
          <w:lang w:val="en-CA"/>
        </w:rPr>
      </w:pPr>
      <w:r w:rsidRPr="005C2266">
        <w:rPr>
          <w:rStyle w:val="Appelnotedebasdep"/>
          <w:lang w:val="en-CA"/>
        </w:rPr>
        <w:footnoteRef/>
      </w:r>
      <w:r w:rsidRPr="005C2266">
        <w:rPr>
          <w:lang w:val="en-CA"/>
        </w:rPr>
        <w:t xml:space="preserve"> </w:t>
      </w:r>
      <w:r w:rsidRPr="005C2266">
        <w:rPr>
          <w:lang w:val="en-CA"/>
        </w:rPr>
        <w:tab/>
      </w:r>
      <w:r w:rsidR="005C2266" w:rsidRPr="005C2266">
        <w:rPr>
          <w:lang w:val="en-CA"/>
        </w:rPr>
        <w:t>Judgment under appeal</w:t>
      </w:r>
      <w:r w:rsidRPr="005C2266">
        <w:rPr>
          <w:lang w:val="en-CA"/>
        </w:rPr>
        <w:t>, para</w:t>
      </w:r>
      <w:r w:rsidR="005C2266">
        <w:rPr>
          <w:lang w:val="en-CA"/>
        </w:rPr>
        <w:t>s</w:t>
      </w:r>
      <w:r w:rsidRPr="005C2266">
        <w:rPr>
          <w:lang w:val="en-CA"/>
        </w:rPr>
        <w:t>. 332-334.</w:t>
      </w:r>
    </w:p>
  </w:footnote>
  <w:footnote w:id="73">
    <w:p w14:paraId="2C8D3BAE" w14:textId="1F7AB776" w:rsidR="002802DA" w:rsidRPr="005C2266" w:rsidRDefault="002802DA" w:rsidP="002802DA">
      <w:pPr>
        <w:pStyle w:val="Notedebasdepage"/>
        <w:rPr>
          <w:lang w:val="en-CA"/>
        </w:rPr>
      </w:pPr>
      <w:r w:rsidRPr="005C2266">
        <w:rPr>
          <w:rStyle w:val="Appelnotedebasdep"/>
          <w:lang w:val="en-CA"/>
        </w:rPr>
        <w:footnoteRef/>
      </w:r>
      <w:r w:rsidRPr="005C2266">
        <w:rPr>
          <w:lang w:val="en-CA"/>
        </w:rPr>
        <w:t xml:space="preserve"> </w:t>
      </w:r>
      <w:r w:rsidRPr="005C2266">
        <w:rPr>
          <w:lang w:val="en-CA"/>
        </w:rPr>
        <w:tab/>
      </w:r>
      <w:r w:rsidR="005C2266" w:rsidRPr="005C2266">
        <w:rPr>
          <w:lang w:val="en-CA"/>
        </w:rPr>
        <w:t>Judgment under appeal</w:t>
      </w:r>
      <w:r w:rsidRPr="005C2266">
        <w:rPr>
          <w:lang w:val="en-CA"/>
        </w:rPr>
        <w:t>, para</w:t>
      </w:r>
      <w:r w:rsidR="005C2266">
        <w:rPr>
          <w:lang w:val="en-CA"/>
        </w:rPr>
        <w:t>s</w:t>
      </w:r>
      <w:r w:rsidRPr="005C2266">
        <w:rPr>
          <w:lang w:val="en-CA"/>
        </w:rPr>
        <w:t>. 341-342.</w:t>
      </w:r>
    </w:p>
  </w:footnote>
  <w:footnote w:id="74">
    <w:p w14:paraId="41373D7B" w14:textId="199E5CE9" w:rsidR="002802DA" w:rsidRPr="005C2266" w:rsidRDefault="002802DA" w:rsidP="002802DA">
      <w:pPr>
        <w:pStyle w:val="Notedebasdepage"/>
        <w:rPr>
          <w:lang w:val="en-CA"/>
        </w:rPr>
      </w:pPr>
      <w:r w:rsidRPr="005C2266">
        <w:rPr>
          <w:rStyle w:val="Appelnotedebasdep"/>
          <w:lang w:val="en-CA"/>
        </w:rPr>
        <w:footnoteRef/>
      </w:r>
      <w:r w:rsidRPr="005C2266">
        <w:rPr>
          <w:lang w:val="en-CA"/>
        </w:rPr>
        <w:t xml:space="preserve"> </w:t>
      </w:r>
      <w:r w:rsidRPr="005C2266">
        <w:rPr>
          <w:lang w:val="en-CA"/>
        </w:rPr>
        <w:tab/>
      </w:r>
      <w:bookmarkStart w:id="48" w:name="_Hlk206420110"/>
      <w:r w:rsidR="005C2266" w:rsidRPr="005C2266">
        <w:rPr>
          <w:lang w:val="en-CA"/>
        </w:rPr>
        <w:t>Judgment under appeal</w:t>
      </w:r>
      <w:r w:rsidRPr="005C2266">
        <w:rPr>
          <w:lang w:val="en-CA"/>
        </w:rPr>
        <w:t>, para</w:t>
      </w:r>
      <w:r w:rsidR="005C2266">
        <w:rPr>
          <w:lang w:val="en-CA"/>
        </w:rPr>
        <w:t>s</w:t>
      </w:r>
      <w:r w:rsidRPr="005C2266">
        <w:rPr>
          <w:lang w:val="en-CA"/>
        </w:rPr>
        <w:t xml:space="preserve">. </w:t>
      </w:r>
      <w:bookmarkEnd w:id="48"/>
      <w:r w:rsidRPr="005C2266">
        <w:rPr>
          <w:lang w:val="en-CA"/>
        </w:rPr>
        <w:t>347-350.</w:t>
      </w:r>
    </w:p>
  </w:footnote>
  <w:footnote w:id="75">
    <w:p w14:paraId="7F3E6528" w14:textId="79B715E1" w:rsidR="002802DA" w:rsidRPr="005C2266" w:rsidRDefault="002802DA" w:rsidP="002802DA">
      <w:pPr>
        <w:pStyle w:val="Notedebasdepage"/>
        <w:rPr>
          <w:lang w:val="en-CA"/>
        </w:rPr>
      </w:pPr>
      <w:r w:rsidRPr="005C2266">
        <w:rPr>
          <w:rStyle w:val="Appelnotedebasdep"/>
          <w:lang w:val="en-CA"/>
        </w:rPr>
        <w:footnoteRef/>
      </w:r>
      <w:r w:rsidRPr="005C2266">
        <w:rPr>
          <w:lang w:val="en-CA"/>
        </w:rPr>
        <w:t xml:space="preserve"> </w:t>
      </w:r>
      <w:r w:rsidRPr="005C2266">
        <w:rPr>
          <w:lang w:val="en-CA"/>
        </w:rPr>
        <w:tab/>
      </w:r>
      <w:r w:rsidR="005C2266" w:rsidRPr="005C2266">
        <w:rPr>
          <w:lang w:val="en-CA"/>
        </w:rPr>
        <w:t>Judgment under appeal</w:t>
      </w:r>
      <w:r w:rsidRPr="005C2266">
        <w:rPr>
          <w:lang w:val="en-CA"/>
        </w:rPr>
        <w:t>, para</w:t>
      </w:r>
      <w:r w:rsidR="005C2266">
        <w:rPr>
          <w:lang w:val="en-CA"/>
        </w:rPr>
        <w:t>s</w:t>
      </w:r>
      <w:r w:rsidRPr="005C2266">
        <w:rPr>
          <w:lang w:val="en-CA"/>
        </w:rPr>
        <w:t xml:space="preserve">. 351-404, </w:t>
      </w:r>
      <w:r w:rsidR="005C2266">
        <w:rPr>
          <w:lang w:val="en-CA"/>
        </w:rPr>
        <w:t>more specifically</w:t>
      </w:r>
      <w:r w:rsidRPr="005C2266">
        <w:rPr>
          <w:lang w:val="en-CA"/>
        </w:rPr>
        <w:t xml:space="preserve"> para. 403.</w:t>
      </w:r>
    </w:p>
  </w:footnote>
  <w:footnote w:id="76">
    <w:p w14:paraId="17BBA8B1" w14:textId="590EC3CB" w:rsidR="002802DA" w:rsidRPr="002D37DB" w:rsidRDefault="002802DA" w:rsidP="002802DA">
      <w:pPr>
        <w:pStyle w:val="Notedebasdepage"/>
        <w:rPr>
          <w:lang w:val="en-CA"/>
        </w:rPr>
      </w:pPr>
      <w:r w:rsidRPr="003F1C76">
        <w:rPr>
          <w:rStyle w:val="Appelnotedebasdep"/>
        </w:rPr>
        <w:footnoteRef/>
      </w:r>
      <w:r w:rsidRPr="009B3437">
        <w:rPr>
          <w:lang w:val="en-CA"/>
        </w:rPr>
        <w:t xml:space="preserve"> </w:t>
      </w:r>
      <w:r w:rsidRPr="009B3437">
        <w:rPr>
          <w:lang w:val="en-CA"/>
        </w:rPr>
        <w:tab/>
      </w:r>
      <w:bookmarkStart w:id="49" w:name="_Hlk219285175"/>
      <w:r w:rsidR="002D37DB" w:rsidRPr="002D37DB">
        <w:rPr>
          <w:lang w:val="en-CA"/>
        </w:rPr>
        <w:t>Judgment under appeal</w:t>
      </w:r>
      <w:bookmarkEnd w:id="49"/>
      <w:r w:rsidRPr="002D37DB">
        <w:rPr>
          <w:lang w:val="en-CA"/>
        </w:rPr>
        <w:t>, para</w:t>
      </w:r>
      <w:r w:rsidR="002D37DB">
        <w:rPr>
          <w:lang w:val="en-CA"/>
        </w:rPr>
        <w:t>s</w:t>
      </w:r>
      <w:r w:rsidRPr="002D37DB">
        <w:rPr>
          <w:lang w:val="en-CA"/>
        </w:rPr>
        <w:t xml:space="preserve">. 436-510, </w:t>
      </w:r>
      <w:r w:rsidR="002D37DB">
        <w:rPr>
          <w:lang w:val="en-CA"/>
        </w:rPr>
        <w:t>more specifically paras</w:t>
      </w:r>
      <w:r w:rsidRPr="002D37DB">
        <w:rPr>
          <w:lang w:val="en-CA"/>
        </w:rPr>
        <w:t>. 505-510.</w:t>
      </w:r>
    </w:p>
  </w:footnote>
  <w:footnote w:id="77">
    <w:p w14:paraId="15435D34" w14:textId="69DEEFA4" w:rsidR="002802DA" w:rsidRPr="002D37DB" w:rsidRDefault="002802DA" w:rsidP="002802DA">
      <w:pPr>
        <w:pStyle w:val="Notedebasdepage"/>
        <w:rPr>
          <w:lang w:val="en-CA"/>
        </w:rPr>
      </w:pPr>
      <w:r w:rsidRPr="002D37DB">
        <w:rPr>
          <w:rStyle w:val="Appelnotedebasdep"/>
          <w:lang w:val="en-CA"/>
        </w:rPr>
        <w:footnoteRef/>
      </w:r>
      <w:r w:rsidRPr="002D37DB">
        <w:rPr>
          <w:lang w:val="en-CA"/>
        </w:rPr>
        <w:t xml:space="preserve"> </w:t>
      </w:r>
      <w:r w:rsidRPr="002D37DB">
        <w:rPr>
          <w:lang w:val="en-CA"/>
        </w:rPr>
        <w:tab/>
      </w:r>
      <w:r w:rsidR="002D37DB" w:rsidRPr="002D37DB">
        <w:rPr>
          <w:lang w:val="en-CA"/>
        </w:rPr>
        <w:t>Judgment under appeal</w:t>
      </w:r>
      <w:r w:rsidRPr="002D37DB">
        <w:rPr>
          <w:lang w:val="en-CA"/>
        </w:rPr>
        <w:t>, para</w:t>
      </w:r>
      <w:r w:rsidR="002D37DB">
        <w:rPr>
          <w:lang w:val="en-CA"/>
        </w:rPr>
        <w:t>s</w:t>
      </w:r>
      <w:r w:rsidRPr="002D37DB">
        <w:rPr>
          <w:lang w:val="en-CA"/>
        </w:rPr>
        <w:t>. 511-516.</w:t>
      </w:r>
    </w:p>
  </w:footnote>
  <w:footnote w:id="78">
    <w:p w14:paraId="545B51A1" w14:textId="11AA2925" w:rsidR="002802DA" w:rsidRPr="002D37DB" w:rsidRDefault="002802DA" w:rsidP="002802DA">
      <w:pPr>
        <w:pStyle w:val="Notedebasdepage"/>
        <w:rPr>
          <w:lang w:val="en-CA"/>
        </w:rPr>
      </w:pPr>
      <w:r w:rsidRPr="002D37DB">
        <w:rPr>
          <w:rStyle w:val="Appelnotedebasdep"/>
          <w:lang w:val="en-CA"/>
        </w:rPr>
        <w:footnoteRef/>
      </w:r>
      <w:r w:rsidRPr="002D37DB">
        <w:rPr>
          <w:lang w:val="en-CA"/>
        </w:rPr>
        <w:t xml:space="preserve"> </w:t>
      </w:r>
      <w:r w:rsidRPr="002D37DB">
        <w:rPr>
          <w:lang w:val="en-CA"/>
        </w:rPr>
        <w:tab/>
      </w:r>
      <w:r w:rsidR="002D37DB" w:rsidRPr="002D37DB">
        <w:rPr>
          <w:lang w:val="en-CA"/>
        </w:rPr>
        <w:t>Judgment under appeal</w:t>
      </w:r>
      <w:r w:rsidRPr="002D37DB">
        <w:rPr>
          <w:lang w:val="en-CA"/>
        </w:rPr>
        <w:t>, para</w:t>
      </w:r>
      <w:r w:rsidR="002D37DB">
        <w:rPr>
          <w:lang w:val="en-CA"/>
        </w:rPr>
        <w:t>s</w:t>
      </w:r>
      <w:r w:rsidRPr="002D37DB">
        <w:rPr>
          <w:lang w:val="en-CA"/>
        </w:rPr>
        <w:t>. 405-435.</w:t>
      </w:r>
    </w:p>
  </w:footnote>
  <w:footnote w:id="79">
    <w:p w14:paraId="4E57811A" w14:textId="54B15202" w:rsidR="002802DA" w:rsidRPr="002D37DB" w:rsidRDefault="002802DA" w:rsidP="002802DA">
      <w:pPr>
        <w:pStyle w:val="Notedebasdepage"/>
        <w:rPr>
          <w:lang w:val="en-CA"/>
        </w:rPr>
      </w:pPr>
      <w:r w:rsidRPr="002D37DB">
        <w:rPr>
          <w:rStyle w:val="Appelnotedebasdep"/>
          <w:lang w:val="en-CA"/>
        </w:rPr>
        <w:footnoteRef/>
      </w:r>
      <w:r w:rsidRPr="002D37DB">
        <w:rPr>
          <w:lang w:val="en-CA"/>
        </w:rPr>
        <w:t xml:space="preserve"> </w:t>
      </w:r>
      <w:r w:rsidRPr="002D37DB">
        <w:rPr>
          <w:lang w:val="en-CA"/>
        </w:rPr>
        <w:tab/>
      </w:r>
      <w:r w:rsidR="002D37DB" w:rsidRPr="002D37DB">
        <w:rPr>
          <w:lang w:val="en-CA"/>
        </w:rPr>
        <w:t>Judgment under appeal</w:t>
      </w:r>
      <w:r w:rsidRPr="002D37DB">
        <w:rPr>
          <w:lang w:val="en-CA"/>
        </w:rPr>
        <w:t>, para</w:t>
      </w:r>
      <w:r w:rsidR="002D37DB">
        <w:rPr>
          <w:lang w:val="en-CA"/>
        </w:rPr>
        <w:t>s</w:t>
      </w:r>
      <w:r w:rsidRPr="002D37DB">
        <w:rPr>
          <w:lang w:val="en-CA"/>
        </w:rPr>
        <w:t>. 430-431.</w:t>
      </w:r>
    </w:p>
  </w:footnote>
  <w:footnote w:id="80">
    <w:p w14:paraId="0E00A6B4" w14:textId="7BF9FDB2" w:rsidR="002802DA" w:rsidRPr="002D37DB" w:rsidRDefault="002802DA" w:rsidP="002802DA">
      <w:pPr>
        <w:pStyle w:val="Notedebasdepage"/>
        <w:rPr>
          <w:lang w:val="en-CA"/>
        </w:rPr>
      </w:pPr>
      <w:r w:rsidRPr="002D37DB">
        <w:rPr>
          <w:rStyle w:val="Appelnotedebasdep"/>
          <w:lang w:val="en-CA"/>
        </w:rPr>
        <w:footnoteRef/>
      </w:r>
      <w:r w:rsidRPr="002D37DB">
        <w:rPr>
          <w:lang w:val="en-CA"/>
        </w:rPr>
        <w:t xml:space="preserve"> </w:t>
      </w:r>
      <w:r w:rsidRPr="002D37DB">
        <w:rPr>
          <w:lang w:val="en-CA"/>
        </w:rPr>
        <w:tab/>
      </w:r>
      <w:r w:rsidR="002D37DB" w:rsidRPr="002D37DB">
        <w:rPr>
          <w:lang w:val="en-CA"/>
        </w:rPr>
        <w:t>Judgment under appeal</w:t>
      </w:r>
      <w:r w:rsidRPr="002D37DB">
        <w:rPr>
          <w:lang w:val="en-CA"/>
        </w:rPr>
        <w:t>, para</w:t>
      </w:r>
      <w:r w:rsidR="002D37DB">
        <w:rPr>
          <w:lang w:val="en-CA"/>
        </w:rPr>
        <w:t>s</w:t>
      </w:r>
      <w:r w:rsidRPr="002D37DB">
        <w:rPr>
          <w:lang w:val="en-CA"/>
        </w:rPr>
        <w:t>. 517-524.</w:t>
      </w:r>
    </w:p>
  </w:footnote>
  <w:footnote w:id="81">
    <w:p w14:paraId="4A07FC37" w14:textId="037B76A4" w:rsidR="002802DA" w:rsidRPr="002D37DB" w:rsidRDefault="002802DA" w:rsidP="002802DA">
      <w:pPr>
        <w:pStyle w:val="Notedebasdepage"/>
        <w:rPr>
          <w:lang w:val="en-CA"/>
        </w:rPr>
      </w:pPr>
      <w:r w:rsidRPr="002D37DB">
        <w:rPr>
          <w:rStyle w:val="Appelnotedebasdep"/>
          <w:lang w:val="en-CA"/>
        </w:rPr>
        <w:footnoteRef/>
      </w:r>
      <w:r w:rsidRPr="002D37DB">
        <w:rPr>
          <w:lang w:val="en-CA"/>
        </w:rPr>
        <w:t xml:space="preserve"> </w:t>
      </w:r>
      <w:r w:rsidRPr="002D37DB">
        <w:rPr>
          <w:lang w:val="en-CA"/>
        </w:rPr>
        <w:tab/>
      </w:r>
      <w:r w:rsidR="002D37DB" w:rsidRPr="002D37DB">
        <w:rPr>
          <w:lang w:val="en-CA"/>
        </w:rPr>
        <w:t>Judgment under appeal</w:t>
      </w:r>
      <w:r w:rsidRPr="002D37DB">
        <w:rPr>
          <w:lang w:val="en-CA"/>
        </w:rPr>
        <w:t>, para</w:t>
      </w:r>
      <w:r w:rsidR="002D37DB">
        <w:rPr>
          <w:lang w:val="en-CA"/>
        </w:rPr>
        <w:t>s</w:t>
      </w:r>
      <w:r w:rsidRPr="002D37DB">
        <w:rPr>
          <w:lang w:val="en-CA"/>
        </w:rPr>
        <w:t>. 541.</w:t>
      </w:r>
    </w:p>
  </w:footnote>
  <w:footnote w:id="82">
    <w:p w14:paraId="2F63A5FE" w14:textId="6D92EBD9" w:rsidR="002802DA" w:rsidRPr="002D37DB" w:rsidRDefault="002802DA" w:rsidP="002802DA">
      <w:pPr>
        <w:pStyle w:val="Notedebasdepage"/>
        <w:rPr>
          <w:lang w:val="en-CA"/>
        </w:rPr>
      </w:pPr>
      <w:r w:rsidRPr="002D37DB">
        <w:rPr>
          <w:rStyle w:val="Appelnotedebasdep"/>
          <w:lang w:val="en-CA"/>
        </w:rPr>
        <w:footnoteRef/>
      </w:r>
      <w:r w:rsidRPr="002D37DB">
        <w:rPr>
          <w:lang w:val="en-CA"/>
        </w:rPr>
        <w:t xml:space="preserve"> </w:t>
      </w:r>
      <w:r w:rsidRPr="002D37DB">
        <w:rPr>
          <w:lang w:val="en-CA"/>
        </w:rPr>
        <w:tab/>
      </w:r>
      <w:r w:rsidR="002D37DB" w:rsidRPr="002D37DB">
        <w:rPr>
          <w:lang w:val="en-CA"/>
        </w:rPr>
        <w:t>Judgment under appeal</w:t>
      </w:r>
      <w:r w:rsidRPr="002D37DB">
        <w:rPr>
          <w:lang w:val="en-CA"/>
        </w:rPr>
        <w:t>, para</w:t>
      </w:r>
      <w:r w:rsidR="002D37DB">
        <w:rPr>
          <w:lang w:val="en-CA"/>
        </w:rPr>
        <w:t>s</w:t>
      </w:r>
      <w:r w:rsidRPr="002D37DB">
        <w:rPr>
          <w:lang w:val="en-CA"/>
        </w:rPr>
        <w:t>. 525-533.</w:t>
      </w:r>
    </w:p>
  </w:footnote>
  <w:footnote w:id="83">
    <w:p w14:paraId="1CE3DD37" w14:textId="0FE46DD1" w:rsidR="002802DA" w:rsidRPr="002D37DB" w:rsidRDefault="002802DA" w:rsidP="002802DA">
      <w:pPr>
        <w:pStyle w:val="Notedebasdepage"/>
        <w:rPr>
          <w:lang w:val="en-CA"/>
        </w:rPr>
      </w:pPr>
      <w:r w:rsidRPr="002D37DB">
        <w:rPr>
          <w:rStyle w:val="Appelnotedebasdep"/>
          <w:lang w:val="en-CA"/>
        </w:rPr>
        <w:footnoteRef/>
      </w:r>
      <w:r w:rsidRPr="002D37DB">
        <w:rPr>
          <w:lang w:val="en-CA"/>
        </w:rPr>
        <w:t xml:space="preserve"> </w:t>
      </w:r>
      <w:r w:rsidRPr="002D37DB">
        <w:rPr>
          <w:lang w:val="en-CA"/>
        </w:rPr>
        <w:tab/>
      </w:r>
      <w:r w:rsidR="002D37DB" w:rsidRPr="002D37DB">
        <w:rPr>
          <w:lang w:val="en-CA"/>
        </w:rPr>
        <w:t>Judgment under appeal</w:t>
      </w:r>
      <w:r w:rsidRPr="002D37DB">
        <w:rPr>
          <w:lang w:val="en-CA"/>
        </w:rPr>
        <w:t xml:space="preserve">, </w:t>
      </w:r>
      <w:r w:rsidRPr="002D37DB">
        <w:rPr>
          <w:rFonts w:cs="Arial"/>
          <w:lang w:val="en-CA"/>
        </w:rPr>
        <w:t>para</w:t>
      </w:r>
      <w:r w:rsidR="002D37DB">
        <w:rPr>
          <w:rFonts w:cs="Arial"/>
          <w:lang w:val="en-CA"/>
        </w:rPr>
        <w:t>s</w:t>
      </w:r>
      <w:r w:rsidRPr="002D37DB">
        <w:rPr>
          <w:rFonts w:cs="Arial"/>
          <w:lang w:val="en-CA"/>
        </w:rPr>
        <w:t>.</w:t>
      </w:r>
      <w:r w:rsidRPr="002D37DB">
        <w:rPr>
          <w:rFonts w:cs="Arial"/>
          <w:i/>
          <w:iCs/>
          <w:lang w:val="en-CA"/>
        </w:rPr>
        <w:t> </w:t>
      </w:r>
      <w:r w:rsidRPr="002D37DB">
        <w:rPr>
          <w:lang w:val="en-CA"/>
        </w:rPr>
        <w:t>534-542.</w:t>
      </w:r>
    </w:p>
  </w:footnote>
  <w:footnote w:id="84">
    <w:p w14:paraId="6CAA3595" w14:textId="76A1B074" w:rsidR="002802DA" w:rsidRPr="002D37DB" w:rsidRDefault="002802DA" w:rsidP="002802DA">
      <w:pPr>
        <w:pStyle w:val="Notedebasdepage"/>
        <w:rPr>
          <w:lang w:val="en-CA"/>
        </w:rPr>
      </w:pPr>
      <w:r w:rsidRPr="002D37DB">
        <w:rPr>
          <w:rStyle w:val="Appelnotedebasdep"/>
          <w:lang w:val="en-CA"/>
        </w:rPr>
        <w:footnoteRef/>
      </w:r>
      <w:r w:rsidRPr="002D37DB">
        <w:rPr>
          <w:lang w:val="en-CA"/>
        </w:rPr>
        <w:t xml:space="preserve"> </w:t>
      </w:r>
      <w:r w:rsidRPr="002D37DB">
        <w:rPr>
          <w:lang w:val="en-CA"/>
        </w:rPr>
        <w:tab/>
      </w:r>
      <w:r w:rsidR="002D37DB" w:rsidRPr="002D37DB">
        <w:rPr>
          <w:lang w:val="en-CA"/>
        </w:rPr>
        <w:t>Judgment under appeal</w:t>
      </w:r>
      <w:r w:rsidRPr="002D37DB">
        <w:rPr>
          <w:lang w:val="en-CA"/>
        </w:rPr>
        <w:t>, para</w:t>
      </w:r>
      <w:r w:rsidR="002D37DB">
        <w:rPr>
          <w:lang w:val="en-CA"/>
        </w:rPr>
        <w:t>s</w:t>
      </w:r>
      <w:r w:rsidRPr="002D37DB">
        <w:rPr>
          <w:lang w:val="en-CA"/>
        </w:rPr>
        <w:t>. 547-551.</w:t>
      </w:r>
    </w:p>
  </w:footnote>
  <w:footnote w:id="85">
    <w:p w14:paraId="58D69495" w14:textId="301F6CA3" w:rsidR="002802DA" w:rsidRPr="00DA5AB3" w:rsidRDefault="002802DA" w:rsidP="002802DA">
      <w:pPr>
        <w:pStyle w:val="Notedebasdepage"/>
        <w:rPr>
          <w:lang w:val="en-CA"/>
        </w:rPr>
      </w:pPr>
      <w:r w:rsidRPr="003F1C76">
        <w:rPr>
          <w:rStyle w:val="Appelnotedebasdep"/>
        </w:rPr>
        <w:footnoteRef/>
      </w:r>
      <w:r w:rsidRPr="009B3437">
        <w:rPr>
          <w:lang w:val="en-CA"/>
        </w:rPr>
        <w:t xml:space="preserve"> </w:t>
      </w:r>
      <w:r w:rsidRPr="009B3437">
        <w:rPr>
          <w:lang w:val="en-CA"/>
        </w:rPr>
        <w:tab/>
      </w:r>
      <w:r w:rsidR="00DA5AB3" w:rsidRPr="00DA5AB3">
        <w:rPr>
          <w:lang w:val="en-CA"/>
        </w:rPr>
        <w:t>Judgment under appeal, paras</w:t>
      </w:r>
      <w:r w:rsidRPr="00DA5AB3">
        <w:rPr>
          <w:lang w:val="en-CA"/>
        </w:rPr>
        <w:t>. 552-556.</w:t>
      </w:r>
    </w:p>
  </w:footnote>
  <w:footnote w:id="86">
    <w:p w14:paraId="3B0EF0EB" w14:textId="6F955B3D" w:rsidR="002802DA" w:rsidRPr="00DA5AB3" w:rsidRDefault="002802DA" w:rsidP="002802DA">
      <w:pPr>
        <w:pStyle w:val="Notedebasdepage"/>
        <w:rPr>
          <w:lang w:val="en-CA"/>
        </w:rPr>
      </w:pPr>
      <w:r w:rsidRPr="00DA5AB3">
        <w:rPr>
          <w:rStyle w:val="Appelnotedebasdep"/>
          <w:lang w:val="en-CA"/>
        </w:rPr>
        <w:footnoteRef/>
      </w:r>
      <w:r w:rsidRPr="00DA5AB3">
        <w:rPr>
          <w:lang w:val="en-CA"/>
        </w:rPr>
        <w:t xml:space="preserve"> </w:t>
      </w:r>
      <w:r w:rsidRPr="00DA5AB3">
        <w:rPr>
          <w:lang w:val="en-CA"/>
        </w:rPr>
        <w:tab/>
      </w:r>
      <w:r w:rsidR="00082B97" w:rsidRPr="00082B97">
        <w:rPr>
          <w:lang w:val="en-CA"/>
        </w:rPr>
        <w:t>Judgment under appeal, paras</w:t>
      </w:r>
      <w:r w:rsidRPr="00DA5AB3">
        <w:rPr>
          <w:rFonts w:cs="Arial"/>
          <w:lang w:val="en-CA"/>
        </w:rPr>
        <w:t>. 557-559.</w:t>
      </w:r>
    </w:p>
  </w:footnote>
  <w:footnote w:id="87">
    <w:p w14:paraId="473D4A93" w14:textId="1A48ECF5" w:rsidR="002802DA" w:rsidRPr="00DA5AB3" w:rsidRDefault="002802DA" w:rsidP="002802DA">
      <w:pPr>
        <w:pStyle w:val="Notedebasdepage"/>
        <w:rPr>
          <w:lang w:val="en-CA"/>
        </w:rPr>
      </w:pPr>
      <w:r w:rsidRPr="00DA5AB3">
        <w:rPr>
          <w:rStyle w:val="Appelnotedebasdep"/>
          <w:lang w:val="en-CA"/>
        </w:rPr>
        <w:footnoteRef/>
      </w:r>
      <w:r w:rsidRPr="00DA5AB3">
        <w:rPr>
          <w:lang w:val="en-CA"/>
        </w:rPr>
        <w:t xml:space="preserve"> </w:t>
      </w:r>
      <w:r w:rsidRPr="00DA5AB3">
        <w:rPr>
          <w:lang w:val="en-CA"/>
        </w:rPr>
        <w:tab/>
      </w:r>
      <w:r w:rsidR="00082B97" w:rsidRPr="00082B97">
        <w:rPr>
          <w:lang w:val="en-CA"/>
        </w:rPr>
        <w:t>Judgment under appeal, para</w:t>
      </w:r>
      <w:r w:rsidRPr="00DA5AB3">
        <w:rPr>
          <w:rFonts w:cs="Arial"/>
          <w:lang w:val="en-CA"/>
        </w:rPr>
        <w:t xml:space="preserve">. </w:t>
      </w:r>
      <w:r w:rsidRPr="00DA5AB3">
        <w:rPr>
          <w:lang w:val="en-CA"/>
        </w:rPr>
        <w:t>560.</w:t>
      </w:r>
    </w:p>
  </w:footnote>
  <w:footnote w:id="88">
    <w:p w14:paraId="1562D620" w14:textId="749C9F81" w:rsidR="002802DA" w:rsidRPr="00DA5AB3" w:rsidRDefault="002802DA" w:rsidP="002802DA">
      <w:pPr>
        <w:pStyle w:val="Notedebasdepage"/>
        <w:rPr>
          <w:lang w:val="en-CA"/>
        </w:rPr>
      </w:pPr>
      <w:r w:rsidRPr="00DA5AB3">
        <w:rPr>
          <w:rStyle w:val="Appelnotedebasdep"/>
          <w:lang w:val="en-CA"/>
        </w:rPr>
        <w:footnoteRef/>
      </w:r>
      <w:r w:rsidRPr="00DA5AB3">
        <w:rPr>
          <w:lang w:val="en-CA"/>
        </w:rPr>
        <w:t xml:space="preserve"> </w:t>
      </w:r>
      <w:r w:rsidRPr="00DA5AB3">
        <w:rPr>
          <w:lang w:val="en-CA"/>
        </w:rPr>
        <w:tab/>
        <w:t xml:space="preserve">Google </w:t>
      </w:r>
      <w:r w:rsidR="00082B97">
        <w:rPr>
          <w:lang w:val="en-CA"/>
        </w:rPr>
        <w:t>therefore submits that the judge erred in pa</w:t>
      </w:r>
      <w:r w:rsidRPr="00DA5AB3">
        <w:rPr>
          <w:lang w:val="en-CA"/>
        </w:rPr>
        <w:t xml:space="preserve">ragraph 554 </w:t>
      </w:r>
      <w:r w:rsidR="00082B97">
        <w:rPr>
          <w:lang w:val="en-CA"/>
        </w:rPr>
        <w:t>of the judgment under appeal</w:t>
      </w:r>
      <w:r w:rsidRPr="00DA5AB3">
        <w:rPr>
          <w:lang w:val="en-CA"/>
        </w:rPr>
        <w:t>.</w:t>
      </w:r>
    </w:p>
  </w:footnote>
  <w:footnote w:id="89">
    <w:p w14:paraId="0BBD529C" w14:textId="75F23F4A" w:rsidR="002802DA" w:rsidRPr="00DA5AB3" w:rsidRDefault="002802DA" w:rsidP="002802DA">
      <w:pPr>
        <w:pStyle w:val="Notedebasdepage"/>
        <w:rPr>
          <w:lang w:val="en-CA"/>
        </w:rPr>
      </w:pPr>
      <w:r w:rsidRPr="00DA5AB3">
        <w:rPr>
          <w:rStyle w:val="Appelnotedebasdep"/>
          <w:lang w:val="en-CA"/>
        </w:rPr>
        <w:footnoteRef/>
      </w:r>
      <w:r w:rsidRPr="00DA5AB3">
        <w:rPr>
          <w:lang w:val="en-CA"/>
        </w:rPr>
        <w:t xml:space="preserve"> </w:t>
      </w:r>
      <w:r w:rsidRPr="00DA5AB3">
        <w:rPr>
          <w:lang w:val="en-CA"/>
        </w:rPr>
        <w:tab/>
      </w:r>
      <w:r w:rsidR="00082B97" w:rsidRPr="00082B97">
        <w:rPr>
          <w:lang w:val="en-CA"/>
        </w:rPr>
        <w:t>Judgment under appeal, paras</w:t>
      </w:r>
      <w:r w:rsidRPr="00DA5AB3">
        <w:rPr>
          <w:lang w:val="en-CA"/>
        </w:rPr>
        <w:t xml:space="preserve">. 215 </w:t>
      </w:r>
      <w:r w:rsidR="00082B97">
        <w:rPr>
          <w:lang w:val="en-CA"/>
        </w:rPr>
        <w:t>and</w:t>
      </w:r>
      <w:r w:rsidRPr="00DA5AB3">
        <w:rPr>
          <w:lang w:val="en-CA"/>
        </w:rPr>
        <w:t xml:space="preserve"> 220.</w:t>
      </w:r>
    </w:p>
  </w:footnote>
  <w:footnote w:id="90">
    <w:p w14:paraId="7916DAFF" w14:textId="6E3B0D84" w:rsidR="002802DA" w:rsidRPr="009B3437" w:rsidRDefault="002802DA" w:rsidP="002802DA">
      <w:pPr>
        <w:pStyle w:val="Notedebasdepage"/>
      </w:pPr>
      <w:r w:rsidRPr="003F1C76">
        <w:rPr>
          <w:rStyle w:val="Appelnotedebasdep"/>
        </w:rPr>
        <w:footnoteRef/>
      </w:r>
      <w:r w:rsidRPr="003F1C76">
        <w:t xml:space="preserve"> </w:t>
      </w:r>
      <w:r w:rsidRPr="003F1C76">
        <w:tab/>
      </w:r>
      <w:r w:rsidRPr="009B3437">
        <w:rPr>
          <w:i/>
          <w:iCs/>
        </w:rPr>
        <w:t xml:space="preserve">Séminaire de Québec c. Morency, </w:t>
      </w:r>
      <w:r w:rsidRPr="009B3437">
        <w:t xml:space="preserve">2021 QCCA 370, para. 80; </w:t>
      </w:r>
      <w:r w:rsidRPr="009B3437">
        <w:rPr>
          <w:i/>
          <w:iCs/>
        </w:rPr>
        <w:t>Lemieux c. Aon Parizeau inc.</w:t>
      </w:r>
      <w:r w:rsidRPr="009B3437">
        <w:t>, 2018 QCCA 1346, para. 133.</w:t>
      </w:r>
    </w:p>
  </w:footnote>
  <w:footnote w:id="91">
    <w:p w14:paraId="7CDC6EE8" w14:textId="09000FEE" w:rsidR="002802DA" w:rsidRPr="00232D2D" w:rsidRDefault="002802DA" w:rsidP="002802DA">
      <w:pPr>
        <w:pStyle w:val="Notedebasdepage"/>
        <w:rPr>
          <w:lang w:val="en-CA"/>
        </w:rPr>
      </w:pPr>
      <w:r w:rsidRPr="00232D2D">
        <w:rPr>
          <w:rStyle w:val="Appelnotedebasdep"/>
          <w:lang w:val="en-CA"/>
        </w:rPr>
        <w:footnoteRef/>
      </w:r>
      <w:r w:rsidRPr="009B3437">
        <w:t xml:space="preserve"> </w:t>
      </w:r>
      <w:r w:rsidRPr="009B3437">
        <w:tab/>
      </w:r>
      <w:r w:rsidRPr="009B3437">
        <w:rPr>
          <w:i/>
          <w:iCs/>
        </w:rPr>
        <w:t>Procureur général du Canada c. Manoukian</w:t>
      </w:r>
      <w:r w:rsidRPr="009B3437">
        <w:t>, 2020 QCCA 1486, para. 107 [</w:t>
      </w:r>
      <w:bookmarkStart w:id="51" w:name="_Hlk207619336"/>
      <w:r w:rsidRPr="009B3437">
        <w:rPr>
          <w:i/>
          <w:iCs/>
        </w:rPr>
        <w:t>Manoukian</w:t>
      </w:r>
      <w:bookmarkEnd w:id="51"/>
      <w:r w:rsidRPr="009B3437">
        <w:t>], cit</w:t>
      </w:r>
      <w:r w:rsidR="00232D2D" w:rsidRPr="009B3437">
        <w:t>ing</w:t>
      </w:r>
      <w:r w:rsidRPr="009B3437">
        <w:t xml:space="preserve"> </w:t>
      </w:r>
      <w:r w:rsidRPr="009B3437">
        <w:rPr>
          <w:i/>
          <w:iCs/>
        </w:rPr>
        <w:t>Godin c. Quintal</w:t>
      </w:r>
      <w:r w:rsidRPr="009B3437">
        <w:t xml:space="preserve">, [2002] R.J.Q. 2925 (C.A.), para. </w:t>
      </w:r>
      <w:r w:rsidRPr="00232D2D">
        <w:rPr>
          <w:lang w:val="en-CA"/>
        </w:rPr>
        <w:t xml:space="preserve">152. </w:t>
      </w:r>
      <w:r w:rsidR="00232D2D" w:rsidRPr="00232D2D">
        <w:rPr>
          <w:lang w:val="en-CA"/>
        </w:rPr>
        <w:t xml:space="preserve">Dickson J., writing for </w:t>
      </w:r>
      <w:r w:rsidR="00232D2D">
        <w:rPr>
          <w:lang w:val="en-CA"/>
        </w:rPr>
        <w:t>the Court</w:t>
      </w:r>
      <w:r w:rsidRPr="00232D2D">
        <w:rPr>
          <w:lang w:val="en-CA"/>
        </w:rPr>
        <w:t xml:space="preserve"> </w:t>
      </w:r>
      <w:r w:rsidR="00232D2D">
        <w:rPr>
          <w:lang w:val="en-CA"/>
        </w:rPr>
        <w:t>in</w:t>
      </w:r>
      <w:r w:rsidRPr="00232D2D">
        <w:rPr>
          <w:lang w:val="en-CA"/>
        </w:rPr>
        <w:t xml:space="preserve"> </w:t>
      </w:r>
      <w:r w:rsidRPr="00232D2D">
        <w:rPr>
          <w:i/>
          <w:iCs/>
          <w:lang w:val="en-CA"/>
        </w:rPr>
        <w:t xml:space="preserve">Andrews </w:t>
      </w:r>
      <w:r w:rsidR="00232D2D">
        <w:rPr>
          <w:i/>
          <w:iCs/>
          <w:lang w:val="en-CA"/>
        </w:rPr>
        <w:t>v</w:t>
      </w:r>
      <w:r w:rsidRPr="00232D2D">
        <w:rPr>
          <w:i/>
          <w:iCs/>
          <w:lang w:val="en-CA"/>
        </w:rPr>
        <w:t>. Grand Toy Alberta Ltd.</w:t>
      </w:r>
      <w:r w:rsidRPr="00232D2D">
        <w:rPr>
          <w:lang w:val="en-CA"/>
        </w:rPr>
        <w:t xml:space="preserve">, [1978] 2 </w:t>
      </w:r>
      <w:r w:rsidR="00232D2D">
        <w:rPr>
          <w:lang w:val="en-CA"/>
        </w:rPr>
        <w:t>S.C.R.</w:t>
      </w:r>
      <w:r w:rsidRPr="00232D2D">
        <w:rPr>
          <w:lang w:val="en-CA"/>
        </w:rPr>
        <w:t xml:space="preserve"> 229</w:t>
      </w:r>
      <w:r w:rsidR="00A90B39">
        <w:rPr>
          <w:lang w:val="en-CA"/>
        </w:rPr>
        <w:t>, observed</w:t>
      </w:r>
      <w:r w:rsidRPr="00232D2D">
        <w:rPr>
          <w:lang w:val="en-CA"/>
        </w:rPr>
        <w:t xml:space="preserve">: </w:t>
      </w:r>
      <w:r w:rsidR="00232D2D">
        <w:rPr>
          <w:lang w:val="en-CA"/>
        </w:rPr>
        <w:t>“</w:t>
      </w:r>
      <w:r w:rsidR="001F6C2D">
        <w:rPr>
          <w:lang w:val="en-CA"/>
        </w:rPr>
        <w:t>T</w:t>
      </w:r>
      <w:r w:rsidR="00232D2D" w:rsidRPr="00232D2D">
        <w:rPr>
          <w:lang w:val="en-CA"/>
        </w:rPr>
        <w:t>here is no medium of exchange for happiness.  There is no market for expectation of life.  The monetary evaluation of non-pecuniary losses is a philosophical and policy exercise more than a legal or logical one</w:t>
      </w:r>
      <w:r w:rsidR="00232D2D">
        <w:rPr>
          <w:lang w:val="en-CA"/>
        </w:rPr>
        <w:t>”</w:t>
      </w:r>
      <w:r w:rsidRPr="00232D2D">
        <w:rPr>
          <w:lang w:val="en-CA"/>
        </w:rPr>
        <w:t xml:space="preserve"> (p. 261).</w:t>
      </w:r>
    </w:p>
  </w:footnote>
  <w:footnote w:id="92">
    <w:p w14:paraId="2F97A74E" w14:textId="1AEDDD50" w:rsidR="002802DA" w:rsidRPr="00232D2D" w:rsidRDefault="002802DA" w:rsidP="002802DA">
      <w:pPr>
        <w:pStyle w:val="Notedebasdepage"/>
        <w:rPr>
          <w:lang w:val="en-CA"/>
        </w:rPr>
      </w:pPr>
      <w:r w:rsidRPr="00232D2D">
        <w:rPr>
          <w:rStyle w:val="Appelnotedebasdep"/>
          <w:lang w:val="en-CA"/>
        </w:rPr>
        <w:footnoteRef/>
      </w:r>
      <w:r w:rsidRPr="00232D2D">
        <w:rPr>
          <w:lang w:val="en-CA"/>
        </w:rPr>
        <w:t xml:space="preserve"> </w:t>
      </w:r>
      <w:r w:rsidRPr="00232D2D">
        <w:rPr>
          <w:lang w:val="en-CA"/>
        </w:rPr>
        <w:tab/>
      </w:r>
      <w:r w:rsidRPr="00232D2D">
        <w:rPr>
          <w:i/>
          <w:iCs/>
          <w:lang w:val="en-CA"/>
        </w:rPr>
        <w:t>M.F. c. S.F.</w:t>
      </w:r>
      <w:r w:rsidRPr="00232D2D">
        <w:rPr>
          <w:lang w:val="en-CA"/>
        </w:rPr>
        <w:t>, 2021 QCCA 1067, para. 52 cit</w:t>
      </w:r>
      <w:r w:rsidR="00A90B39">
        <w:rPr>
          <w:lang w:val="en-CA"/>
        </w:rPr>
        <w:t>ing</w:t>
      </w:r>
      <w:r w:rsidRPr="00232D2D">
        <w:rPr>
          <w:lang w:val="en-CA"/>
        </w:rPr>
        <w:t xml:space="preserve"> </w:t>
      </w:r>
      <w:r w:rsidRPr="00232D2D">
        <w:rPr>
          <w:i/>
          <w:iCs/>
          <w:lang w:val="en-CA"/>
        </w:rPr>
        <w:t>The Gazette c. Valiquette</w:t>
      </w:r>
      <w:r w:rsidRPr="00232D2D">
        <w:rPr>
          <w:lang w:val="en-CA"/>
        </w:rPr>
        <w:t>, [1997] RJQ 30 (C.A.).</w:t>
      </w:r>
    </w:p>
  </w:footnote>
  <w:footnote w:id="93">
    <w:p w14:paraId="67FA19E6" w14:textId="71C40DE9" w:rsidR="002802DA" w:rsidRPr="00A5656D" w:rsidRDefault="002802DA" w:rsidP="002802DA">
      <w:pPr>
        <w:pStyle w:val="Notedebasdepage"/>
        <w:rPr>
          <w:lang w:val="en-CA"/>
        </w:rPr>
      </w:pPr>
      <w:r w:rsidRPr="003F1C76">
        <w:rPr>
          <w:rStyle w:val="Appelnotedebasdep"/>
        </w:rPr>
        <w:footnoteRef/>
      </w:r>
      <w:r w:rsidRPr="003F1C76">
        <w:t xml:space="preserve"> </w:t>
      </w:r>
      <w:r w:rsidRPr="003F1C76">
        <w:tab/>
      </w:r>
      <w:r w:rsidRPr="009B3437">
        <w:rPr>
          <w:i/>
          <w:iCs/>
        </w:rPr>
        <w:t>Beauchemin c. Wart</w:t>
      </w:r>
      <w:r w:rsidRPr="009B3437">
        <w:t>, 2020 QCCA 945, para. 104, cit</w:t>
      </w:r>
      <w:r w:rsidR="00A5656D" w:rsidRPr="009B3437">
        <w:t>ing</w:t>
      </w:r>
      <w:r w:rsidRPr="009B3437">
        <w:t xml:space="preserve"> </w:t>
      </w:r>
      <w:r w:rsidRPr="009B3437">
        <w:rPr>
          <w:i/>
          <w:iCs/>
        </w:rPr>
        <w:t>Hôpital Maisonneuve-Rosemont c. Buesco Construction Inc.</w:t>
      </w:r>
      <w:r w:rsidRPr="009B3437">
        <w:t xml:space="preserve">, 2016 QCCA 739, para. 196 </w:t>
      </w:r>
      <w:r w:rsidR="00A5656D" w:rsidRPr="009B3437">
        <w:t>and</w:t>
      </w:r>
      <w:r w:rsidRPr="009B3437">
        <w:t xml:space="preserve"> </w:t>
      </w:r>
      <w:r w:rsidRPr="009B3437">
        <w:rPr>
          <w:i/>
          <w:iCs/>
        </w:rPr>
        <w:t>Birdair inc. c. Danny’s Construction Company Inc.</w:t>
      </w:r>
      <w:r w:rsidRPr="009B3437">
        <w:t xml:space="preserve">, 2013 QCCA 580, para. </w:t>
      </w:r>
      <w:r w:rsidRPr="00A5656D">
        <w:rPr>
          <w:lang w:val="en-CA"/>
        </w:rPr>
        <w:t>144.</w:t>
      </w:r>
    </w:p>
  </w:footnote>
  <w:footnote w:id="94">
    <w:p w14:paraId="00C08019" w14:textId="0CD1B06F" w:rsidR="002802DA" w:rsidRPr="00A5656D" w:rsidRDefault="002802DA" w:rsidP="002802DA">
      <w:pPr>
        <w:pStyle w:val="Notedebasdepage"/>
        <w:rPr>
          <w:lang w:val="en-CA"/>
        </w:rPr>
      </w:pPr>
      <w:r w:rsidRPr="00A5656D">
        <w:rPr>
          <w:rStyle w:val="Appelnotedebasdep"/>
          <w:lang w:val="en-CA"/>
        </w:rPr>
        <w:footnoteRef/>
      </w:r>
      <w:r w:rsidRPr="00A5656D">
        <w:rPr>
          <w:lang w:val="en-CA"/>
        </w:rPr>
        <w:t xml:space="preserve"> </w:t>
      </w:r>
      <w:r w:rsidRPr="00A5656D">
        <w:rPr>
          <w:lang w:val="en-CA"/>
        </w:rPr>
        <w:tab/>
      </w:r>
      <w:r w:rsidRPr="00A5656D">
        <w:rPr>
          <w:i/>
          <w:iCs/>
          <w:lang w:val="en-CA"/>
        </w:rPr>
        <w:t xml:space="preserve">Benhaim </w:t>
      </w:r>
      <w:r w:rsidR="00A5656D" w:rsidRPr="00A5656D">
        <w:rPr>
          <w:i/>
          <w:iCs/>
          <w:lang w:val="en-CA"/>
        </w:rPr>
        <w:t>v</w:t>
      </w:r>
      <w:r w:rsidRPr="00A5656D">
        <w:rPr>
          <w:i/>
          <w:iCs/>
          <w:lang w:val="en-CA"/>
        </w:rPr>
        <w:t>. St-Germain</w:t>
      </w:r>
      <w:r w:rsidRPr="00A5656D">
        <w:rPr>
          <w:lang w:val="en-CA"/>
        </w:rPr>
        <w:t xml:space="preserve">, 2016 </w:t>
      </w:r>
      <w:r w:rsidR="00A5656D" w:rsidRPr="00A5656D">
        <w:rPr>
          <w:lang w:val="en-CA"/>
        </w:rPr>
        <w:t>SCC</w:t>
      </w:r>
      <w:r w:rsidRPr="00A5656D">
        <w:rPr>
          <w:lang w:val="en-CA"/>
        </w:rPr>
        <w:t xml:space="preserve"> 48, para. 36.</w:t>
      </w:r>
    </w:p>
  </w:footnote>
  <w:footnote w:id="95">
    <w:p w14:paraId="73FEF600" w14:textId="77777777" w:rsidR="002802DA" w:rsidRPr="00A5656D" w:rsidRDefault="002802DA" w:rsidP="002802DA">
      <w:pPr>
        <w:pStyle w:val="Notedebasdepage"/>
        <w:rPr>
          <w:lang w:val="en-CA"/>
        </w:rPr>
      </w:pPr>
      <w:r w:rsidRPr="00A5656D">
        <w:rPr>
          <w:rStyle w:val="Appelnotedebasdep"/>
          <w:lang w:val="en-CA"/>
        </w:rPr>
        <w:footnoteRef/>
      </w:r>
      <w:r w:rsidRPr="00A5656D">
        <w:rPr>
          <w:lang w:val="en-CA"/>
        </w:rPr>
        <w:t xml:space="preserve"> </w:t>
      </w:r>
      <w:r w:rsidRPr="00A5656D">
        <w:rPr>
          <w:lang w:val="en-CA"/>
        </w:rPr>
        <w:tab/>
      </w:r>
      <w:r w:rsidRPr="00A5656D">
        <w:rPr>
          <w:i/>
          <w:iCs/>
          <w:lang w:val="en-CA"/>
        </w:rPr>
        <w:t>Ibid.</w:t>
      </w:r>
    </w:p>
  </w:footnote>
  <w:footnote w:id="96">
    <w:p w14:paraId="173063AD" w14:textId="73F3F231" w:rsidR="002802DA" w:rsidRPr="009B3437" w:rsidRDefault="002802DA" w:rsidP="002802DA">
      <w:pPr>
        <w:pStyle w:val="Notedebasdepage"/>
      </w:pPr>
      <w:r w:rsidRPr="00A5656D">
        <w:rPr>
          <w:rStyle w:val="Appelnotedebasdep"/>
          <w:lang w:val="en-CA"/>
        </w:rPr>
        <w:footnoteRef/>
      </w:r>
      <w:r w:rsidRPr="00A5656D">
        <w:rPr>
          <w:lang w:val="en-CA"/>
        </w:rPr>
        <w:t xml:space="preserve"> </w:t>
      </w:r>
      <w:r w:rsidRPr="00A5656D">
        <w:rPr>
          <w:lang w:val="en-CA"/>
        </w:rPr>
        <w:tab/>
      </w:r>
      <w:bookmarkStart w:id="52" w:name="_Hlk210917463"/>
      <w:r w:rsidRPr="00A5656D">
        <w:rPr>
          <w:i/>
          <w:iCs/>
          <w:lang w:val="en-CA"/>
        </w:rPr>
        <w:t xml:space="preserve">Prud’homme </w:t>
      </w:r>
      <w:r w:rsidR="00A5656D" w:rsidRPr="00A5656D">
        <w:rPr>
          <w:i/>
          <w:iCs/>
          <w:lang w:val="en-CA"/>
        </w:rPr>
        <w:t>v</w:t>
      </w:r>
      <w:r w:rsidRPr="00A5656D">
        <w:rPr>
          <w:i/>
          <w:iCs/>
          <w:lang w:val="en-CA"/>
        </w:rPr>
        <w:t>. Prud’homme</w:t>
      </w:r>
      <w:r w:rsidRPr="00A5656D">
        <w:rPr>
          <w:lang w:val="en-CA"/>
        </w:rPr>
        <w:t xml:space="preserve">, 2002 </w:t>
      </w:r>
      <w:r w:rsidR="00A5656D" w:rsidRPr="00A5656D">
        <w:rPr>
          <w:lang w:val="en-CA"/>
        </w:rPr>
        <w:t>SCC</w:t>
      </w:r>
      <w:r w:rsidRPr="00A5656D">
        <w:rPr>
          <w:lang w:val="en-CA"/>
        </w:rPr>
        <w:t xml:space="preserve"> 85, para. </w:t>
      </w:r>
      <w:r w:rsidRPr="009B3437">
        <w:t>34.</w:t>
      </w:r>
      <w:bookmarkEnd w:id="52"/>
    </w:p>
  </w:footnote>
  <w:footnote w:id="97">
    <w:p w14:paraId="366CA4A9" w14:textId="588998EF" w:rsidR="002802DA" w:rsidRPr="00A5656D" w:rsidRDefault="002802DA" w:rsidP="002802DA">
      <w:pPr>
        <w:pStyle w:val="Notedebasdepage"/>
        <w:rPr>
          <w:lang w:val="en-CA"/>
        </w:rPr>
      </w:pPr>
      <w:r w:rsidRPr="00A5656D">
        <w:rPr>
          <w:rStyle w:val="Appelnotedebasdep"/>
          <w:lang w:val="en-CA"/>
        </w:rPr>
        <w:footnoteRef/>
      </w:r>
      <w:r w:rsidRPr="009B3437">
        <w:t xml:space="preserve"> </w:t>
      </w:r>
      <w:r w:rsidRPr="009B3437">
        <w:tab/>
      </w:r>
      <w:bookmarkStart w:id="53" w:name="_Hlk206585282"/>
      <w:r w:rsidRPr="009B3437">
        <w:rPr>
          <w:i/>
          <w:iCs/>
        </w:rPr>
        <w:t xml:space="preserve">Bou Malhab </w:t>
      </w:r>
      <w:r w:rsidR="00A5656D" w:rsidRPr="009B3437">
        <w:rPr>
          <w:i/>
          <w:iCs/>
        </w:rPr>
        <w:t>v</w:t>
      </w:r>
      <w:r w:rsidRPr="009B3437">
        <w:rPr>
          <w:i/>
          <w:iCs/>
        </w:rPr>
        <w:t>. Diffusion Métromédia CMR</w:t>
      </w:r>
      <w:r w:rsidRPr="009B3437">
        <w:t xml:space="preserve">, 2011 </w:t>
      </w:r>
      <w:r w:rsidR="00A5656D" w:rsidRPr="009B3437">
        <w:t>SCC</w:t>
      </w:r>
      <w:r w:rsidRPr="009B3437">
        <w:t xml:space="preserve"> 9, para. </w:t>
      </w:r>
      <w:bookmarkEnd w:id="53"/>
      <w:r w:rsidRPr="009B3437">
        <w:t xml:space="preserve">28. </w:t>
      </w:r>
      <w:r w:rsidR="00A5656D" w:rsidRPr="009B3437">
        <w:t>See</w:t>
      </w:r>
      <w:r w:rsidRPr="009B3437">
        <w:t xml:space="preserve">: Marie Annik Grégoire, </w:t>
      </w:r>
      <w:r w:rsidR="00A5656D" w:rsidRPr="009B3437">
        <w:t>“</w:t>
      </w:r>
      <w:r w:rsidRPr="009B3437">
        <w:t>Éléments des atteintes à la réputation et à la vie privée</w:t>
      </w:r>
      <w:r w:rsidR="00A5656D" w:rsidRPr="009B3437">
        <w:t>”</w:t>
      </w:r>
      <w:r w:rsidRPr="009B3437">
        <w:t xml:space="preserve">, </w:t>
      </w:r>
      <w:r w:rsidR="00A5656D" w:rsidRPr="009B3437">
        <w:t>in</w:t>
      </w:r>
      <w:r w:rsidRPr="009B3437">
        <w:t xml:space="preserve"> </w:t>
      </w:r>
      <w:r w:rsidRPr="009B3437">
        <w:rPr>
          <w:i/>
          <w:iCs/>
        </w:rPr>
        <w:t>JurisClasseur Québec</w:t>
      </w:r>
      <w:r w:rsidRPr="009B3437">
        <w:t xml:space="preserve">, vol. </w:t>
      </w:r>
      <w:r w:rsidR="00A5656D">
        <w:rPr>
          <w:lang w:val="en-CA"/>
        </w:rPr>
        <w:t>“</w:t>
      </w:r>
      <w:r w:rsidRPr="00A5656D">
        <w:rPr>
          <w:lang w:val="en-CA"/>
        </w:rPr>
        <w:t>Personnes et famille</w:t>
      </w:r>
      <w:r w:rsidR="00A5656D">
        <w:rPr>
          <w:lang w:val="en-CA"/>
        </w:rPr>
        <w:t>”</w:t>
      </w:r>
      <w:r w:rsidRPr="00A5656D">
        <w:rPr>
          <w:lang w:val="en-CA"/>
        </w:rPr>
        <w:t>, Montr</w:t>
      </w:r>
      <w:r w:rsidR="00A5656D">
        <w:rPr>
          <w:lang w:val="en-CA"/>
        </w:rPr>
        <w:t>e</w:t>
      </w:r>
      <w:r w:rsidRPr="00A5656D">
        <w:rPr>
          <w:lang w:val="en-CA"/>
        </w:rPr>
        <w:t xml:space="preserve">al, Lexis Nexis, </w:t>
      </w:r>
      <w:r w:rsidR="00A5656D">
        <w:rPr>
          <w:lang w:val="en-CA"/>
        </w:rPr>
        <w:t>updated</w:t>
      </w:r>
      <w:r w:rsidRPr="00A5656D">
        <w:rPr>
          <w:lang w:val="en-CA"/>
        </w:rPr>
        <w:t xml:space="preserve"> </w:t>
      </w:r>
      <w:r w:rsidR="00A5656D">
        <w:rPr>
          <w:lang w:val="en-CA"/>
        </w:rPr>
        <w:t>April 15,</w:t>
      </w:r>
      <w:r w:rsidRPr="00A5656D">
        <w:rPr>
          <w:lang w:val="en-CA"/>
        </w:rPr>
        <w:t xml:space="preserve"> 2021, </w:t>
      </w:r>
      <w:r w:rsidR="00A5656D">
        <w:rPr>
          <w:lang w:val="en-CA"/>
        </w:rPr>
        <w:t>no.</w:t>
      </w:r>
      <w:r w:rsidRPr="00A5656D">
        <w:rPr>
          <w:lang w:val="en-CA"/>
        </w:rPr>
        <w:t xml:space="preserve"> 7.</w:t>
      </w:r>
    </w:p>
  </w:footnote>
  <w:footnote w:id="98">
    <w:p w14:paraId="00F5C5CF" w14:textId="3844D191" w:rsidR="002802DA" w:rsidRPr="009B3437" w:rsidRDefault="002802DA" w:rsidP="002802DA">
      <w:pPr>
        <w:pStyle w:val="Notedebasdepage"/>
        <w:rPr>
          <w:lang w:val="en-CA"/>
        </w:rPr>
      </w:pPr>
      <w:r>
        <w:rPr>
          <w:rStyle w:val="Appelnotedebasdep"/>
        </w:rPr>
        <w:footnoteRef/>
      </w:r>
      <w:r w:rsidRPr="009B3437">
        <w:rPr>
          <w:lang w:val="en-CA"/>
        </w:rPr>
        <w:t xml:space="preserve"> </w:t>
      </w:r>
      <w:r w:rsidRPr="009B3437">
        <w:rPr>
          <w:lang w:val="en-CA"/>
        </w:rPr>
        <w:tab/>
      </w:r>
      <w:r w:rsidR="00AD4D35" w:rsidRPr="00AD4D35">
        <w:rPr>
          <w:lang w:val="en-CA"/>
        </w:rPr>
        <w:t>Judgment under appeal</w:t>
      </w:r>
      <w:r w:rsidRPr="00AD4D35">
        <w:rPr>
          <w:lang w:val="en-CA"/>
        </w:rPr>
        <w:t>, para</w:t>
      </w:r>
      <w:r w:rsidR="00AD4D35" w:rsidRPr="00AD4D35">
        <w:rPr>
          <w:lang w:val="en-CA"/>
        </w:rPr>
        <w:t>s</w:t>
      </w:r>
      <w:r w:rsidRPr="00AD4D35">
        <w:rPr>
          <w:lang w:val="en-CA"/>
        </w:rPr>
        <w:t xml:space="preserve">. 402-404 </w:t>
      </w:r>
      <w:r w:rsidR="00AD4D35" w:rsidRPr="00AD4D35">
        <w:rPr>
          <w:lang w:val="en-CA"/>
        </w:rPr>
        <w:t>and</w:t>
      </w:r>
      <w:r w:rsidRPr="00AD4D35">
        <w:rPr>
          <w:lang w:val="en-CA"/>
        </w:rPr>
        <w:t xml:space="preserve"> 555-556.</w:t>
      </w:r>
    </w:p>
  </w:footnote>
  <w:footnote w:id="99">
    <w:p w14:paraId="6FB24494" w14:textId="36D3B761" w:rsidR="002802DA" w:rsidRPr="000D7056" w:rsidRDefault="002802DA" w:rsidP="002802DA">
      <w:pPr>
        <w:pStyle w:val="Notedebasdepage"/>
        <w:rPr>
          <w:lang w:val="en-CA"/>
        </w:rPr>
      </w:pPr>
      <w:r w:rsidRPr="003F1C76">
        <w:rPr>
          <w:rStyle w:val="Appelnotedebasdep"/>
        </w:rPr>
        <w:footnoteRef/>
      </w:r>
      <w:r w:rsidRPr="009B3437">
        <w:rPr>
          <w:lang w:val="en-CA"/>
        </w:rPr>
        <w:t xml:space="preserve"> </w:t>
      </w:r>
      <w:r w:rsidRPr="009B3437">
        <w:rPr>
          <w:lang w:val="en-CA"/>
        </w:rPr>
        <w:tab/>
      </w:r>
      <w:r w:rsidR="000D7056">
        <w:rPr>
          <w:lang w:val="en-CA"/>
        </w:rPr>
        <w:t>Judgment under appeal</w:t>
      </w:r>
      <w:r w:rsidRPr="000D7056">
        <w:rPr>
          <w:lang w:val="en-CA"/>
        </w:rPr>
        <w:t xml:space="preserve">, para. 523; </w:t>
      </w:r>
      <w:r w:rsidR="000D7056">
        <w:rPr>
          <w:lang w:val="en-CA"/>
        </w:rPr>
        <w:t>Exhibit</w:t>
      </w:r>
      <w:r w:rsidRPr="000D7056">
        <w:rPr>
          <w:lang w:val="en-CA"/>
        </w:rPr>
        <w:t xml:space="preserve"> P-2.2, Statistics on market share compiled by StateCounter, dated July 2022, </w:t>
      </w:r>
      <w:r w:rsidRPr="000D7056">
        <w:rPr>
          <w:i/>
          <w:iCs/>
          <w:lang w:val="en-CA"/>
        </w:rPr>
        <w:t>en liasse</w:t>
      </w:r>
      <w:r w:rsidRPr="000D7056">
        <w:rPr>
          <w:lang w:val="en-CA"/>
        </w:rPr>
        <w:t xml:space="preserve">, </w:t>
      </w:r>
      <w:r w:rsidR="000D7056">
        <w:rPr>
          <w:lang w:val="en-CA"/>
        </w:rPr>
        <w:t>A.B</w:t>
      </w:r>
      <w:r w:rsidRPr="000D7056">
        <w:rPr>
          <w:lang w:val="en-CA"/>
        </w:rPr>
        <w:t>. vol. 1, p</w:t>
      </w:r>
      <w:r w:rsidR="000D7056">
        <w:rPr>
          <w:lang w:val="en-CA"/>
        </w:rPr>
        <w:t>p</w:t>
      </w:r>
      <w:r w:rsidRPr="000D7056">
        <w:rPr>
          <w:lang w:val="en-CA"/>
        </w:rPr>
        <w:t>. 345-347.</w:t>
      </w:r>
    </w:p>
  </w:footnote>
  <w:footnote w:id="100">
    <w:p w14:paraId="24FDCC51" w14:textId="16205DCA" w:rsidR="002802DA" w:rsidRPr="000D7056" w:rsidRDefault="002802DA" w:rsidP="002802DA">
      <w:pPr>
        <w:pStyle w:val="Notedebasdepage"/>
        <w:rPr>
          <w:lang w:val="en-CA"/>
        </w:rPr>
      </w:pPr>
      <w:r w:rsidRPr="000D7056">
        <w:rPr>
          <w:rStyle w:val="Appelnotedebasdep"/>
          <w:lang w:val="en-CA"/>
        </w:rPr>
        <w:footnoteRef/>
      </w:r>
      <w:r w:rsidRPr="000D7056">
        <w:rPr>
          <w:lang w:val="en-CA"/>
        </w:rPr>
        <w:t xml:space="preserve"> </w:t>
      </w:r>
      <w:r w:rsidRPr="000D7056">
        <w:rPr>
          <w:lang w:val="en-CA"/>
        </w:rPr>
        <w:tab/>
      </w:r>
      <w:r w:rsidR="000D7056">
        <w:rPr>
          <w:lang w:val="en-CA"/>
        </w:rPr>
        <w:t>Judgment under appeal</w:t>
      </w:r>
      <w:r w:rsidRPr="000D7056">
        <w:rPr>
          <w:lang w:val="en-CA"/>
        </w:rPr>
        <w:t>, para. 524.</w:t>
      </w:r>
    </w:p>
  </w:footnote>
  <w:footnote w:id="101">
    <w:p w14:paraId="379409AE" w14:textId="5E19C60B" w:rsidR="002802DA" w:rsidRPr="005878B2" w:rsidRDefault="002802DA" w:rsidP="002802DA">
      <w:pPr>
        <w:pStyle w:val="Notedebasdepage"/>
        <w:rPr>
          <w:lang w:val="en-CA"/>
        </w:rPr>
      </w:pPr>
      <w:r w:rsidRPr="003F1C76">
        <w:rPr>
          <w:rStyle w:val="Appelnotedebasdep"/>
        </w:rPr>
        <w:footnoteRef/>
      </w:r>
      <w:r w:rsidRPr="009B3437">
        <w:rPr>
          <w:lang w:val="en-CA"/>
        </w:rPr>
        <w:t xml:space="preserve"> </w:t>
      </w:r>
      <w:r w:rsidRPr="009B3437">
        <w:rPr>
          <w:lang w:val="en-CA"/>
        </w:rPr>
        <w:tab/>
      </w:r>
      <w:r w:rsidR="005878B2">
        <w:rPr>
          <w:lang w:val="en-CA"/>
        </w:rPr>
        <w:t xml:space="preserve">The judge spoke of </w:t>
      </w:r>
      <w:r w:rsidR="005878B2" w:rsidRPr="005878B2">
        <w:rPr>
          <w:lang w:val="en-CA"/>
        </w:rPr>
        <w:t>“</w:t>
      </w:r>
      <w:r w:rsidRPr="005878B2">
        <w:rPr>
          <w:lang w:val="en-CA"/>
        </w:rPr>
        <w:t>super-spreading communications technology</w:t>
      </w:r>
      <w:r w:rsidR="005878B2">
        <w:rPr>
          <w:lang w:val="en-CA"/>
        </w:rPr>
        <w:t>”</w:t>
      </w:r>
      <w:r w:rsidRPr="005878B2">
        <w:rPr>
          <w:lang w:val="en-CA"/>
        </w:rPr>
        <w:t xml:space="preserve">, </w:t>
      </w:r>
      <w:r w:rsidRPr="005878B2">
        <w:rPr>
          <w:i/>
          <w:iCs/>
          <w:lang w:val="en-CA"/>
        </w:rPr>
        <w:t>Id.</w:t>
      </w:r>
      <w:r w:rsidRPr="005878B2">
        <w:rPr>
          <w:lang w:val="en-CA"/>
        </w:rPr>
        <w:t>, para. 559.</w:t>
      </w:r>
    </w:p>
  </w:footnote>
  <w:footnote w:id="102">
    <w:p w14:paraId="45443246" w14:textId="4974F3E2" w:rsidR="002802DA" w:rsidRPr="005878B2" w:rsidRDefault="002802DA" w:rsidP="002802DA">
      <w:pPr>
        <w:pStyle w:val="Notedebasdepage"/>
        <w:rPr>
          <w:lang w:val="en-CA"/>
        </w:rPr>
      </w:pPr>
      <w:r w:rsidRPr="005878B2">
        <w:rPr>
          <w:rStyle w:val="Appelnotedebasdep"/>
          <w:lang w:val="en-CA"/>
        </w:rPr>
        <w:footnoteRef/>
      </w:r>
      <w:r w:rsidRPr="005878B2">
        <w:rPr>
          <w:lang w:val="en-CA"/>
        </w:rPr>
        <w:t xml:space="preserve"> </w:t>
      </w:r>
      <w:r w:rsidRPr="005878B2">
        <w:rPr>
          <w:lang w:val="en-CA"/>
        </w:rPr>
        <w:tab/>
      </w:r>
      <w:r w:rsidRPr="005878B2">
        <w:rPr>
          <w:i/>
          <w:iCs/>
          <w:lang w:val="en-CA"/>
        </w:rPr>
        <w:t>Id.</w:t>
      </w:r>
      <w:r w:rsidRPr="005878B2">
        <w:rPr>
          <w:lang w:val="en-CA"/>
        </w:rPr>
        <w:t>, para</w:t>
      </w:r>
      <w:r w:rsidR="005878B2">
        <w:rPr>
          <w:lang w:val="en-CA"/>
        </w:rPr>
        <w:t>s</w:t>
      </w:r>
      <w:r w:rsidRPr="005878B2">
        <w:rPr>
          <w:lang w:val="en-CA"/>
        </w:rPr>
        <w:t>. 525-542.</w:t>
      </w:r>
    </w:p>
  </w:footnote>
  <w:footnote w:id="103">
    <w:p w14:paraId="64498E01" w14:textId="43A932CB" w:rsidR="002802DA" w:rsidRPr="005878B2" w:rsidRDefault="002802DA" w:rsidP="002802DA">
      <w:pPr>
        <w:pStyle w:val="Notedebasdepage"/>
        <w:rPr>
          <w:lang w:val="en-CA"/>
        </w:rPr>
      </w:pPr>
      <w:r w:rsidRPr="005878B2">
        <w:rPr>
          <w:rStyle w:val="Appelnotedebasdep"/>
          <w:lang w:val="en-CA"/>
        </w:rPr>
        <w:footnoteRef/>
      </w:r>
      <w:r w:rsidRPr="005878B2">
        <w:rPr>
          <w:lang w:val="en-CA"/>
        </w:rPr>
        <w:t xml:space="preserve"> </w:t>
      </w:r>
      <w:r w:rsidRPr="005878B2">
        <w:rPr>
          <w:lang w:val="en-CA"/>
        </w:rPr>
        <w:tab/>
      </w:r>
      <w:r w:rsidR="005878B2">
        <w:rPr>
          <w:lang w:val="en-CA"/>
        </w:rPr>
        <w:t>Judgment under appeal</w:t>
      </w:r>
      <w:r w:rsidRPr="005878B2">
        <w:rPr>
          <w:lang w:val="en-CA"/>
        </w:rPr>
        <w:t>, para</w:t>
      </w:r>
      <w:r w:rsidR="005878B2">
        <w:rPr>
          <w:lang w:val="en-CA"/>
        </w:rPr>
        <w:t>s</w:t>
      </w:r>
      <w:r w:rsidRPr="005878B2">
        <w:rPr>
          <w:lang w:val="en-CA"/>
        </w:rPr>
        <w:t>. 555-556.</w:t>
      </w:r>
    </w:p>
  </w:footnote>
  <w:footnote w:id="104">
    <w:p w14:paraId="74D9AFC0" w14:textId="5969AA61" w:rsidR="002802DA" w:rsidRPr="003B3992" w:rsidRDefault="002802DA" w:rsidP="002802DA">
      <w:pPr>
        <w:pStyle w:val="Notedebasdepage"/>
        <w:rPr>
          <w:lang w:val="en-CA"/>
        </w:rPr>
      </w:pPr>
      <w:r w:rsidRPr="003F1C76">
        <w:rPr>
          <w:rStyle w:val="Appelnotedebasdep"/>
        </w:rPr>
        <w:footnoteRef/>
      </w:r>
      <w:r w:rsidRPr="009B3437">
        <w:rPr>
          <w:lang w:val="en-CA"/>
        </w:rPr>
        <w:t xml:space="preserve"> </w:t>
      </w:r>
      <w:r w:rsidRPr="009B3437">
        <w:rPr>
          <w:lang w:val="en-CA"/>
        </w:rPr>
        <w:tab/>
      </w:r>
      <w:r w:rsidR="003B3992" w:rsidRPr="003B3992">
        <w:rPr>
          <w:lang w:val="en-CA"/>
        </w:rPr>
        <w:t xml:space="preserve">Indeed, I note that </w:t>
      </w:r>
      <w:r w:rsidR="009E6F8F">
        <w:rPr>
          <w:lang w:val="en-CA"/>
        </w:rPr>
        <w:t>the appellant</w:t>
      </w:r>
      <w:r w:rsidR="003B3992" w:rsidRPr="003B3992">
        <w:rPr>
          <w:lang w:val="en-CA"/>
        </w:rPr>
        <w:t>’s initial claim</w:t>
      </w:r>
      <w:r w:rsidR="003B3992">
        <w:rPr>
          <w:lang w:val="en-CA"/>
        </w:rPr>
        <w:t xml:space="preserve"> was for</w:t>
      </w:r>
      <w:r w:rsidRPr="003B3992">
        <w:rPr>
          <w:lang w:val="en-CA"/>
        </w:rPr>
        <w:t xml:space="preserve"> </w:t>
      </w:r>
      <w:r w:rsidR="003B3992">
        <w:rPr>
          <w:lang w:val="en-CA"/>
        </w:rPr>
        <w:t>$5,</w:t>
      </w:r>
      <w:r w:rsidRPr="003B3992">
        <w:rPr>
          <w:lang w:val="en-CA"/>
        </w:rPr>
        <w:t>000</w:t>
      </w:r>
      <w:r w:rsidR="003B3992">
        <w:rPr>
          <w:lang w:val="en-CA"/>
        </w:rPr>
        <w:t>,</w:t>
      </w:r>
      <w:r w:rsidRPr="003B3992">
        <w:rPr>
          <w:lang w:val="en-CA"/>
        </w:rPr>
        <w:t xml:space="preserve">000 </w:t>
      </w:r>
      <w:r w:rsidR="003B3992">
        <w:rPr>
          <w:lang w:val="en-CA"/>
        </w:rPr>
        <w:t xml:space="preserve">in compensatory damages and for $1,000,000 in punitive damages before amending his originating application to </w:t>
      </w:r>
      <w:r w:rsidR="009E6F8F">
        <w:rPr>
          <w:lang w:val="en-CA"/>
        </w:rPr>
        <w:t>re</w:t>
      </w:r>
      <w:r w:rsidR="003B3992">
        <w:rPr>
          <w:lang w:val="en-CA"/>
        </w:rPr>
        <w:t xml:space="preserve">verse those </w:t>
      </w:r>
      <w:r w:rsidR="009E6F8F">
        <w:rPr>
          <w:lang w:val="en-CA"/>
        </w:rPr>
        <w:t>figures</w:t>
      </w:r>
      <w:r w:rsidRPr="003B3992">
        <w:rPr>
          <w:lang w:val="en-CA"/>
        </w:rPr>
        <w:t>.</w:t>
      </w:r>
    </w:p>
  </w:footnote>
  <w:footnote w:id="105">
    <w:p w14:paraId="5E384E76" w14:textId="6658E777" w:rsidR="002802DA" w:rsidRPr="009B3437" w:rsidRDefault="002802DA" w:rsidP="002802DA">
      <w:pPr>
        <w:pStyle w:val="Notedebasdepage"/>
      </w:pPr>
      <w:r w:rsidRPr="003B3992">
        <w:rPr>
          <w:rStyle w:val="Appelnotedebasdep"/>
          <w:lang w:val="en-CA"/>
        </w:rPr>
        <w:footnoteRef/>
      </w:r>
      <w:r w:rsidRPr="009B3437">
        <w:t xml:space="preserve"> </w:t>
      </w:r>
      <w:r w:rsidRPr="009B3437">
        <w:tab/>
      </w:r>
      <w:r w:rsidRPr="009B3437">
        <w:rPr>
          <w:i/>
          <w:iCs/>
        </w:rPr>
        <w:t>Genex Communications inc. c. Association québécoise de l’industrie du disque, du spectacle et de la vidéo</w:t>
      </w:r>
      <w:r w:rsidRPr="009B3437">
        <w:t xml:space="preserve">, 2009 QCCA 2201, para. </w:t>
      </w:r>
      <w:r w:rsidRPr="003B3992">
        <w:rPr>
          <w:lang w:val="en-CA"/>
        </w:rPr>
        <w:t>69 [</w:t>
      </w:r>
      <w:bookmarkStart w:id="55" w:name="_Hlk207618812"/>
      <w:r w:rsidRPr="003B3992">
        <w:rPr>
          <w:i/>
          <w:iCs/>
          <w:lang w:val="en-CA"/>
        </w:rPr>
        <w:t>Genex Communications inc.</w:t>
      </w:r>
      <w:bookmarkEnd w:id="55"/>
      <w:r w:rsidRPr="003B3992">
        <w:rPr>
          <w:lang w:val="en-CA"/>
        </w:rPr>
        <w:t xml:space="preserve">]. </w:t>
      </w:r>
      <w:r w:rsidR="003B3992">
        <w:rPr>
          <w:lang w:val="en-CA"/>
        </w:rPr>
        <w:t>Of course, the use of precedents is not absolute</w:t>
      </w:r>
      <w:r w:rsidR="00D61654">
        <w:rPr>
          <w:lang w:val="en-CA"/>
        </w:rPr>
        <w:t>, each case being case-specific</w:t>
      </w:r>
      <w:r w:rsidRPr="003B3992">
        <w:rPr>
          <w:lang w:val="en-CA"/>
        </w:rPr>
        <w:t xml:space="preserve">: </w:t>
      </w:r>
      <w:bookmarkStart w:id="56" w:name="_Hlk207618866"/>
      <w:r w:rsidRPr="003B3992">
        <w:rPr>
          <w:i/>
          <w:iCs/>
          <w:lang w:val="en-CA"/>
        </w:rPr>
        <w:t xml:space="preserve">Ville de Sainte-Marthe-sur-le-Lac </w:t>
      </w:r>
      <w:bookmarkEnd w:id="56"/>
      <w:r w:rsidRPr="003B3992">
        <w:rPr>
          <w:i/>
          <w:iCs/>
          <w:lang w:val="en-CA"/>
        </w:rPr>
        <w:t>c. Experts-conseils RB inc.</w:t>
      </w:r>
      <w:r w:rsidRPr="003B3992">
        <w:rPr>
          <w:lang w:val="en-CA"/>
        </w:rPr>
        <w:t xml:space="preserve">, 2017 QCCA 381, para. </w:t>
      </w:r>
      <w:r w:rsidRPr="009B3437">
        <w:t>51 [</w:t>
      </w:r>
      <w:r w:rsidRPr="009B3437">
        <w:rPr>
          <w:i/>
          <w:iCs/>
        </w:rPr>
        <w:t>Ville de Sainte-Marthe-sur-le-Lac</w:t>
      </w:r>
      <w:r w:rsidRPr="009B3437">
        <w:t>].</w:t>
      </w:r>
    </w:p>
  </w:footnote>
  <w:footnote w:id="106">
    <w:p w14:paraId="146C25DF" w14:textId="7E8778F3" w:rsidR="002802DA" w:rsidRPr="007D32A6" w:rsidRDefault="002802DA" w:rsidP="002802DA">
      <w:pPr>
        <w:pStyle w:val="Notedebasdepage"/>
        <w:rPr>
          <w:lang w:val="en-CA"/>
        </w:rPr>
      </w:pPr>
      <w:r w:rsidRPr="003F1C76">
        <w:rPr>
          <w:rStyle w:val="Appelnotedebasdep"/>
        </w:rPr>
        <w:footnoteRef/>
      </w:r>
      <w:r w:rsidRPr="003F1C76">
        <w:t xml:space="preserve"> </w:t>
      </w:r>
      <w:r w:rsidRPr="003F1C76">
        <w:tab/>
      </w:r>
      <w:r w:rsidR="007D32A6" w:rsidRPr="009B3437">
        <w:t>Judgment under appeal</w:t>
      </w:r>
      <w:r w:rsidRPr="009B3437">
        <w:t>, para</w:t>
      </w:r>
      <w:r w:rsidR="007D32A6" w:rsidRPr="009B3437">
        <w:t>s</w:t>
      </w:r>
      <w:r w:rsidRPr="009B3437">
        <w:t xml:space="preserve">. </w:t>
      </w:r>
      <w:r w:rsidRPr="007D32A6">
        <w:rPr>
          <w:lang w:val="en-CA"/>
        </w:rPr>
        <w:t>561-564.</w:t>
      </w:r>
    </w:p>
  </w:footnote>
  <w:footnote w:id="107">
    <w:p w14:paraId="13F5A273" w14:textId="45940415" w:rsidR="002802DA" w:rsidRPr="007D32A6" w:rsidRDefault="002802DA" w:rsidP="002802DA">
      <w:pPr>
        <w:pStyle w:val="Notedebasdepage"/>
        <w:rPr>
          <w:lang w:val="en-CA"/>
        </w:rPr>
      </w:pPr>
      <w:r w:rsidRPr="007D32A6">
        <w:rPr>
          <w:rStyle w:val="Appelnotedebasdep"/>
          <w:lang w:val="en-CA"/>
        </w:rPr>
        <w:footnoteRef/>
      </w:r>
      <w:r w:rsidRPr="007D32A6">
        <w:rPr>
          <w:lang w:val="en-CA"/>
        </w:rPr>
        <w:t xml:space="preserve"> </w:t>
      </w:r>
      <w:r w:rsidRPr="007D32A6">
        <w:rPr>
          <w:lang w:val="en-CA"/>
        </w:rPr>
        <w:tab/>
        <w:t xml:space="preserve">[1996] 3 </w:t>
      </w:r>
      <w:r w:rsidR="007D32A6">
        <w:rPr>
          <w:lang w:val="en-CA"/>
        </w:rPr>
        <w:t>S.C.R</w:t>
      </w:r>
      <w:r w:rsidRPr="007D32A6">
        <w:rPr>
          <w:lang w:val="en-CA"/>
        </w:rPr>
        <w:t>. 211 [</w:t>
      </w:r>
      <w:bookmarkStart w:id="59" w:name="_Hlk207620186"/>
      <w:r w:rsidRPr="007D32A6">
        <w:rPr>
          <w:i/>
          <w:iCs/>
          <w:lang w:val="en-CA"/>
        </w:rPr>
        <w:t>St-Ferdinand</w:t>
      </w:r>
      <w:bookmarkEnd w:id="59"/>
      <w:r w:rsidRPr="007D32A6">
        <w:rPr>
          <w:lang w:val="en-CA"/>
        </w:rPr>
        <w:t>].</w:t>
      </w:r>
    </w:p>
  </w:footnote>
  <w:footnote w:id="108">
    <w:p w14:paraId="5165BF5D" w14:textId="335823F4" w:rsidR="002802DA" w:rsidRPr="007D32A6" w:rsidRDefault="002802DA" w:rsidP="002802DA">
      <w:pPr>
        <w:pStyle w:val="Notedebasdepage"/>
        <w:rPr>
          <w:lang w:val="en-CA"/>
        </w:rPr>
      </w:pPr>
      <w:r w:rsidRPr="007D32A6">
        <w:rPr>
          <w:rStyle w:val="Appelnotedebasdep"/>
          <w:lang w:val="en-CA"/>
        </w:rPr>
        <w:footnoteRef/>
      </w:r>
      <w:r w:rsidRPr="007D32A6">
        <w:rPr>
          <w:i/>
          <w:iCs/>
          <w:lang w:val="en-CA"/>
        </w:rPr>
        <w:t xml:space="preserve"> </w:t>
      </w:r>
      <w:r w:rsidRPr="007D32A6">
        <w:rPr>
          <w:i/>
          <w:iCs/>
          <w:lang w:val="en-CA"/>
        </w:rPr>
        <w:tab/>
        <w:t>Id.</w:t>
      </w:r>
      <w:r w:rsidRPr="007D32A6">
        <w:rPr>
          <w:lang w:val="en-CA"/>
        </w:rPr>
        <w:t xml:space="preserve">, </w:t>
      </w:r>
      <w:r w:rsidRPr="007D32A6">
        <w:rPr>
          <w:rFonts w:cs="Arial"/>
          <w:lang w:val="en-CA"/>
        </w:rPr>
        <w:t>para. 121.</w:t>
      </w:r>
    </w:p>
  </w:footnote>
  <w:footnote w:id="109">
    <w:p w14:paraId="476B255B" w14:textId="7E49FAA4" w:rsidR="002802DA" w:rsidRPr="007D32A6" w:rsidRDefault="002802DA" w:rsidP="002802DA">
      <w:pPr>
        <w:pStyle w:val="Notedebasdepage"/>
        <w:rPr>
          <w:i/>
          <w:iCs/>
          <w:lang w:val="en-CA"/>
        </w:rPr>
      </w:pPr>
      <w:r w:rsidRPr="007D32A6">
        <w:rPr>
          <w:rStyle w:val="Appelnotedebasdep"/>
          <w:lang w:val="en-CA"/>
        </w:rPr>
        <w:footnoteRef/>
      </w:r>
      <w:r w:rsidRPr="007D32A6">
        <w:rPr>
          <w:lang w:val="en-CA"/>
        </w:rPr>
        <w:t xml:space="preserve"> </w:t>
      </w:r>
      <w:r w:rsidRPr="007D32A6">
        <w:rPr>
          <w:lang w:val="en-CA"/>
        </w:rPr>
        <w:tab/>
      </w:r>
      <w:r w:rsidR="007D32A6">
        <w:rPr>
          <w:lang w:val="en-CA"/>
        </w:rPr>
        <w:t>According to</w:t>
      </w:r>
      <w:r w:rsidRPr="007D32A6">
        <w:rPr>
          <w:lang w:val="en-CA"/>
        </w:rPr>
        <w:t xml:space="preserve"> </w:t>
      </w:r>
      <w:r w:rsidR="00D748C8">
        <w:rPr>
          <w:lang w:val="en-CA"/>
        </w:rPr>
        <w:t>the appellant</w:t>
      </w:r>
      <w:r w:rsidRPr="007D32A6">
        <w:rPr>
          <w:lang w:val="en-CA"/>
        </w:rPr>
        <w:t xml:space="preserve">, </w:t>
      </w:r>
      <w:r w:rsidR="007D32A6">
        <w:rPr>
          <w:lang w:val="en-CA"/>
        </w:rPr>
        <w:t>the judge’s error is to be found precisely at</w:t>
      </w:r>
      <w:r w:rsidRPr="007D32A6">
        <w:rPr>
          <w:lang w:val="en-CA"/>
        </w:rPr>
        <w:t xml:space="preserve"> para. 562 </w:t>
      </w:r>
      <w:r w:rsidR="007D32A6">
        <w:rPr>
          <w:lang w:val="en-CA"/>
        </w:rPr>
        <w:t>of the judgment under appe</w:t>
      </w:r>
      <w:r w:rsidR="00D748C8">
        <w:rPr>
          <w:lang w:val="en-CA"/>
        </w:rPr>
        <w:t>a</w:t>
      </w:r>
      <w:r w:rsidR="007D32A6">
        <w:rPr>
          <w:lang w:val="en-CA"/>
        </w:rPr>
        <w:t>l</w:t>
      </w:r>
      <w:r w:rsidRPr="007D32A6">
        <w:rPr>
          <w:lang w:val="en-CA"/>
        </w:rPr>
        <w:t>.</w:t>
      </w:r>
    </w:p>
  </w:footnote>
  <w:footnote w:id="110">
    <w:p w14:paraId="7484F457" w14:textId="7F27DEF7" w:rsidR="002802DA" w:rsidRPr="007D32A6" w:rsidRDefault="002802DA" w:rsidP="002802DA">
      <w:pPr>
        <w:pStyle w:val="Notedebasdepage"/>
        <w:rPr>
          <w:lang w:val="en-CA"/>
        </w:rPr>
      </w:pPr>
      <w:r w:rsidRPr="007D32A6">
        <w:rPr>
          <w:rStyle w:val="Appelnotedebasdep"/>
          <w:lang w:val="en-CA"/>
        </w:rPr>
        <w:footnoteRef/>
      </w:r>
      <w:r w:rsidRPr="007D32A6">
        <w:rPr>
          <w:lang w:val="en-CA"/>
        </w:rPr>
        <w:t xml:space="preserve"> </w:t>
      </w:r>
      <w:r w:rsidRPr="007D32A6">
        <w:rPr>
          <w:lang w:val="en-CA"/>
        </w:rPr>
        <w:tab/>
        <w:t>A.A., para</w:t>
      </w:r>
      <w:r w:rsidR="007D32A6">
        <w:rPr>
          <w:lang w:val="en-CA"/>
        </w:rPr>
        <w:t>s</w:t>
      </w:r>
      <w:r w:rsidRPr="007D32A6">
        <w:rPr>
          <w:lang w:val="en-CA"/>
        </w:rPr>
        <w:t>. 12-15.</w:t>
      </w:r>
    </w:p>
  </w:footnote>
  <w:footnote w:id="111">
    <w:p w14:paraId="2B9E971B" w14:textId="57D85885" w:rsidR="002802DA" w:rsidRPr="00680CC4" w:rsidRDefault="002802DA" w:rsidP="002802DA">
      <w:pPr>
        <w:pStyle w:val="Notedebasdepage"/>
        <w:rPr>
          <w:lang w:val="en-CA"/>
        </w:rPr>
      </w:pPr>
      <w:r w:rsidRPr="007D32A6">
        <w:rPr>
          <w:rStyle w:val="Appelnotedebasdep"/>
          <w:lang w:val="en-CA"/>
        </w:rPr>
        <w:footnoteRef/>
      </w:r>
      <w:r w:rsidRPr="00680CC4">
        <w:rPr>
          <w:lang w:val="en-CA"/>
        </w:rPr>
        <w:t xml:space="preserve"> </w:t>
      </w:r>
      <w:r w:rsidRPr="00680CC4">
        <w:rPr>
          <w:lang w:val="en-CA"/>
        </w:rPr>
        <w:tab/>
      </w:r>
      <w:r w:rsidRPr="00680CC4">
        <w:rPr>
          <w:i/>
          <w:iCs/>
          <w:lang w:val="en-CA"/>
        </w:rPr>
        <w:t>Procureur général du Canada c. Manoukian</w:t>
      </w:r>
      <w:r w:rsidRPr="00680CC4">
        <w:rPr>
          <w:lang w:val="en-CA"/>
        </w:rPr>
        <w:t xml:space="preserve">, </w:t>
      </w:r>
      <w:hyperlink r:id="rId13" w:history="1">
        <w:r w:rsidRPr="00680CC4">
          <w:rPr>
            <w:rStyle w:val="Hyperlien"/>
            <w:color w:val="auto"/>
            <w:u w:val="none"/>
            <w:lang w:val="en-CA"/>
          </w:rPr>
          <w:t>2020 QCCA 1486</w:t>
        </w:r>
      </w:hyperlink>
      <w:r w:rsidRPr="00680CC4">
        <w:rPr>
          <w:lang w:val="en-CA"/>
        </w:rPr>
        <w:t>.</w:t>
      </w:r>
    </w:p>
  </w:footnote>
  <w:footnote w:id="112">
    <w:p w14:paraId="7E17B70E" w14:textId="18399E6E" w:rsidR="002802DA" w:rsidRPr="00255838" w:rsidRDefault="002802DA" w:rsidP="002802DA">
      <w:pPr>
        <w:pStyle w:val="Notedebasdepage"/>
        <w:rPr>
          <w:lang w:val="en-CA"/>
        </w:rPr>
      </w:pPr>
      <w:r w:rsidRPr="003F1C76">
        <w:rPr>
          <w:rStyle w:val="Appelnotedebasdep"/>
        </w:rPr>
        <w:footnoteRef/>
      </w:r>
      <w:r w:rsidRPr="00255838">
        <w:rPr>
          <w:lang w:val="en-CA"/>
        </w:rPr>
        <w:t xml:space="preserve"> </w:t>
      </w:r>
      <w:r w:rsidRPr="00255838">
        <w:rPr>
          <w:lang w:val="en-CA"/>
        </w:rPr>
        <w:tab/>
      </w:r>
      <w:r w:rsidRPr="00255838">
        <w:rPr>
          <w:i/>
          <w:iCs/>
          <w:lang w:val="en-CA"/>
        </w:rPr>
        <w:t>Schneiderman c. 3025235 Nova Scotia (Hôtel Omni Mont-Royal)</w:t>
      </w:r>
      <w:r w:rsidRPr="00255838">
        <w:rPr>
          <w:lang w:val="en-CA"/>
        </w:rPr>
        <w:t xml:space="preserve">, 2021 QCCA 1496, para. 14; </w:t>
      </w:r>
      <w:r w:rsidRPr="00255838">
        <w:rPr>
          <w:i/>
          <w:iCs/>
          <w:lang w:val="en-CA"/>
        </w:rPr>
        <w:t>Allard c. Allard</w:t>
      </w:r>
      <w:r w:rsidRPr="00255838">
        <w:rPr>
          <w:lang w:val="en-CA"/>
        </w:rPr>
        <w:t>, 2020 QCCA 322, para. 17.</w:t>
      </w:r>
    </w:p>
  </w:footnote>
  <w:footnote w:id="113">
    <w:p w14:paraId="6ED68287" w14:textId="7F07E3CD" w:rsidR="002802DA" w:rsidRPr="000D0CA1" w:rsidRDefault="002802DA" w:rsidP="002802DA">
      <w:pPr>
        <w:pStyle w:val="Notedebasdepage"/>
        <w:rPr>
          <w:lang w:val="en-CA"/>
        </w:rPr>
      </w:pPr>
      <w:r w:rsidRPr="003F1C76">
        <w:rPr>
          <w:rStyle w:val="Appelnotedebasdep"/>
        </w:rPr>
        <w:footnoteRef/>
      </w:r>
      <w:r w:rsidRPr="00255838">
        <w:rPr>
          <w:lang w:val="en-CA"/>
        </w:rPr>
        <w:t xml:space="preserve"> </w:t>
      </w:r>
      <w:r w:rsidRPr="00255838">
        <w:rPr>
          <w:lang w:val="en-CA"/>
        </w:rPr>
        <w:tab/>
        <w:t xml:space="preserve">Art. </w:t>
      </w:r>
      <w:r w:rsidRPr="000D0CA1">
        <w:rPr>
          <w:lang w:val="en-CA"/>
        </w:rPr>
        <w:t xml:space="preserve">1621 </w:t>
      </w:r>
      <w:r w:rsidRPr="000D0CA1">
        <w:rPr>
          <w:i/>
          <w:iCs/>
          <w:lang w:val="en-CA"/>
        </w:rPr>
        <w:t>C.</w:t>
      </w:r>
      <w:r w:rsidR="00F32DAA">
        <w:rPr>
          <w:i/>
          <w:iCs/>
          <w:lang w:val="en-CA"/>
        </w:rPr>
        <w:t>C</w:t>
      </w:r>
      <w:r w:rsidRPr="000D0CA1">
        <w:rPr>
          <w:i/>
          <w:iCs/>
          <w:lang w:val="en-CA"/>
        </w:rPr>
        <w:t>.Q.</w:t>
      </w:r>
    </w:p>
  </w:footnote>
  <w:footnote w:id="114">
    <w:p w14:paraId="365A6B5B" w14:textId="4C3B7494" w:rsidR="002802DA" w:rsidRPr="003F1C76" w:rsidRDefault="002802DA" w:rsidP="002802DA">
      <w:pPr>
        <w:pStyle w:val="Notedebasdepage"/>
      </w:pPr>
      <w:r w:rsidRPr="003F1C76">
        <w:rPr>
          <w:rStyle w:val="Appelnotedebasdep"/>
        </w:rPr>
        <w:footnoteRef/>
      </w:r>
      <w:r w:rsidRPr="009B3437">
        <w:rPr>
          <w:lang w:val="en-CA"/>
        </w:rPr>
        <w:t xml:space="preserve"> </w:t>
      </w:r>
      <w:r w:rsidRPr="009B3437">
        <w:rPr>
          <w:lang w:val="en-CA"/>
        </w:rPr>
        <w:tab/>
      </w:r>
      <w:r w:rsidRPr="009B3437">
        <w:rPr>
          <w:i/>
          <w:iCs/>
          <w:lang w:val="en-CA"/>
        </w:rPr>
        <w:t>Qu</w:t>
      </w:r>
      <w:r w:rsidR="00F32DAA" w:rsidRPr="009B3437">
        <w:rPr>
          <w:i/>
          <w:iCs/>
          <w:lang w:val="en-CA"/>
        </w:rPr>
        <w:t>e</w:t>
      </w:r>
      <w:r w:rsidRPr="009B3437">
        <w:rPr>
          <w:i/>
          <w:iCs/>
          <w:lang w:val="en-CA"/>
        </w:rPr>
        <w:t>bec (</w:t>
      </w:r>
      <w:r w:rsidR="00F32DAA" w:rsidRPr="009B3437">
        <w:rPr>
          <w:i/>
          <w:iCs/>
          <w:lang w:val="en-CA"/>
        </w:rPr>
        <w:t>Public Curator</w:t>
      </w:r>
      <w:r w:rsidRPr="009B3437">
        <w:rPr>
          <w:i/>
          <w:iCs/>
          <w:lang w:val="en-CA"/>
        </w:rPr>
        <w:t xml:space="preserve">) </w:t>
      </w:r>
      <w:r w:rsidR="00F32DAA" w:rsidRPr="009B3437">
        <w:rPr>
          <w:i/>
          <w:iCs/>
          <w:lang w:val="en-CA"/>
        </w:rPr>
        <w:t>v</w:t>
      </w:r>
      <w:r w:rsidRPr="009B3437">
        <w:rPr>
          <w:i/>
          <w:iCs/>
          <w:lang w:val="en-CA"/>
        </w:rPr>
        <w:t>. Syndicat national des employés de l’hôpital St-Ferdinand</w:t>
      </w:r>
      <w:r w:rsidRPr="009B3437">
        <w:rPr>
          <w:lang w:val="en-CA"/>
        </w:rPr>
        <w:t xml:space="preserve">, [1996] 3 </w:t>
      </w:r>
      <w:r w:rsidR="00F32DAA" w:rsidRPr="009B3437">
        <w:rPr>
          <w:lang w:val="en-CA"/>
        </w:rPr>
        <w:t>S.C.R</w:t>
      </w:r>
      <w:r w:rsidRPr="009B3437">
        <w:rPr>
          <w:lang w:val="en-CA"/>
        </w:rPr>
        <w:t>. 211, para</w:t>
      </w:r>
      <w:r w:rsidR="00F32DAA" w:rsidRPr="009B3437">
        <w:rPr>
          <w:lang w:val="en-CA"/>
        </w:rPr>
        <w:t>s</w:t>
      </w:r>
      <w:r w:rsidRPr="009B3437">
        <w:rPr>
          <w:lang w:val="en-CA"/>
        </w:rPr>
        <w:t xml:space="preserve">. </w:t>
      </w:r>
      <w:r w:rsidRPr="003F1C76">
        <w:t xml:space="preserve">109 </w:t>
      </w:r>
      <w:r w:rsidR="00F32DAA">
        <w:t>and</w:t>
      </w:r>
      <w:r w:rsidRPr="003F1C76">
        <w:t xml:space="preserve"> 116.</w:t>
      </w:r>
    </w:p>
  </w:footnote>
  <w:footnote w:id="115">
    <w:p w14:paraId="45D554B4" w14:textId="32D3484D" w:rsidR="002802DA" w:rsidRPr="009A5C0E" w:rsidRDefault="002802DA" w:rsidP="002802DA">
      <w:pPr>
        <w:pStyle w:val="Notedebasdepage"/>
      </w:pPr>
      <w:r>
        <w:rPr>
          <w:rStyle w:val="Appelnotedebasdep"/>
        </w:rPr>
        <w:footnoteRef/>
      </w:r>
      <w:r>
        <w:t xml:space="preserve"> </w:t>
      </w:r>
      <w:r>
        <w:tab/>
      </w:r>
      <w:r w:rsidR="00F32DAA">
        <w:rPr>
          <w:i/>
          <w:iCs/>
        </w:rPr>
        <w:t>Quebec Charter, s. 1</w:t>
      </w:r>
      <w:r>
        <w:rPr>
          <w:i/>
          <w:iCs/>
        </w:rPr>
        <w:t>.</w:t>
      </w:r>
    </w:p>
  </w:footnote>
  <w:footnote w:id="116">
    <w:p w14:paraId="241F64A5" w14:textId="05EACA12" w:rsidR="002802DA" w:rsidRPr="009B3437" w:rsidRDefault="002802DA" w:rsidP="002802DA">
      <w:pPr>
        <w:pStyle w:val="Notedebasdepage"/>
      </w:pPr>
      <w:r w:rsidRPr="003F1C76">
        <w:rPr>
          <w:rStyle w:val="Appelnotedebasdep"/>
        </w:rPr>
        <w:footnoteRef/>
      </w:r>
      <w:r w:rsidRPr="003F1C76">
        <w:t xml:space="preserve">  </w:t>
      </w:r>
      <w:r w:rsidRPr="009B3437">
        <w:rPr>
          <w:i/>
          <w:iCs/>
        </w:rPr>
        <w:t>Qu</w:t>
      </w:r>
      <w:r w:rsidR="00126A04" w:rsidRPr="009B3437">
        <w:rPr>
          <w:i/>
          <w:iCs/>
        </w:rPr>
        <w:t>e</w:t>
      </w:r>
      <w:r w:rsidRPr="009B3437">
        <w:rPr>
          <w:i/>
          <w:iCs/>
        </w:rPr>
        <w:t>bec (</w:t>
      </w:r>
      <w:r w:rsidR="00126A04" w:rsidRPr="009B3437">
        <w:rPr>
          <w:i/>
          <w:iCs/>
        </w:rPr>
        <w:t>Public Curator</w:t>
      </w:r>
      <w:r w:rsidRPr="009B3437">
        <w:rPr>
          <w:i/>
          <w:iCs/>
        </w:rPr>
        <w:t xml:space="preserve">) </w:t>
      </w:r>
      <w:r w:rsidR="00126A04" w:rsidRPr="009B3437">
        <w:rPr>
          <w:i/>
          <w:iCs/>
        </w:rPr>
        <w:t>v</w:t>
      </w:r>
      <w:r w:rsidRPr="009B3437">
        <w:rPr>
          <w:i/>
          <w:iCs/>
        </w:rPr>
        <w:t>. Syndicat national des employés de l’hôpital St-Ferdinand</w:t>
      </w:r>
      <w:r w:rsidRPr="009B3437">
        <w:t xml:space="preserve">, [1996] 3 </w:t>
      </w:r>
      <w:r w:rsidR="00126A04" w:rsidRPr="009B3437">
        <w:t>S.C.R.</w:t>
      </w:r>
      <w:r w:rsidRPr="009B3437">
        <w:t xml:space="preserve"> 211, para</w:t>
      </w:r>
      <w:r w:rsidRPr="009B3437">
        <w:rPr>
          <w:rFonts w:cs="Arial"/>
        </w:rPr>
        <w:t>. </w:t>
      </w:r>
      <w:r w:rsidRPr="009B3437">
        <w:t>121.</w:t>
      </w:r>
    </w:p>
  </w:footnote>
  <w:footnote w:id="117">
    <w:p w14:paraId="6364CCF4" w14:textId="6AA8DA1B" w:rsidR="002802DA" w:rsidRPr="009B3437" w:rsidRDefault="002802DA" w:rsidP="002802DA">
      <w:pPr>
        <w:pStyle w:val="Notedebasdepage"/>
      </w:pPr>
      <w:r w:rsidRPr="00126A04">
        <w:rPr>
          <w:rStyle w:val="Appelnotedebasdep"/>
          <w:lang w:val="en-CA"/>
        </w:rPr>
        <w:footnoteRef/>
      </w:r>
      <w:r w:rsidRPr="009B3437">
        <w:t xml:space="preserve"> </w:t>
      </w:r>
      <w:r w:rsidRPr="009B3437">
        <w:tab/>
      </w:r>
      <w:r w:rsidRPr="009B3437">
        <w:rPr>
          <w:i/>
          <w:iCs/>
        </w:rPr>
        <w:t>Procureur général du Canada c. Manoukian</w:t>
      </w:r>
      <w:r w:rsidRPr="009B3437">
        <w:t>, 2020 QCCA 1486, para. 130.</w:t>
      </w:r>
    </w:p>
  </w:footnote>
  <w:footnote w:id="118">
    <w:p w14:paraId="2D17A3A1" w14:textId="7D2169FD" w:rsidR="002802DA" w:rsidRPr="009B3437" w:rsidRDefault="002802DA" w:rsidP="002802DA">
      <w:pPr>
        <w:pStyle w:val="Notedebasdepage"/>
      </w:pPr>
      <w:r w:rsidRPr="00126A04">
        <w:rPr>
          <w:rStyle w:val="Appelnotedebasdep"/>
          <w:lang w:val="en-CA"/>
        </w:rPr>
        <w:footnoteRef/>
      </w:r>
      <w:r w:rsidRPr="009B3437">
        <w:t xml:space="preserve"> </w:t>
      </w:r>
      <w:r w:rsidRPr="009B3437">
        <w:tab/>
      </w:r>
      <w:r w:rsidRPr="009B3437">
        <w:rPr>
          <w:i/>
          <w:iCs/>
        </w:rPr>
        <w:t>Qu</w:t>
      </w:r>
      <w:r w:rsidR="00126A04" w:rsidRPr="009B3437">
        <w:rPr>
          <w:i/>
          <w:iCs/>
        </w:rPr>
        <w:t>e</w:t>
      </w:r>
      <w:r w:rsidRPr="009B3437">
        <w:rPr>
          <w:i/>
          <w:iCs/>
        </w:rPr>
        <w:t>bec (</w:t>
      </w:r>
      <w:r w:rsidR="00126A04" w:rsidRPr="009B3437">
        <w:rPr>
          <w:i/>
          <w:iCs/>
        </w:rPr>
        <w:t>Public Curator</w:t>
      </w:r>
      <w:r w:rsidRPr="009B3437">
        <w:rPr>
          <w:i/>
          <w:iCs/>
        </w:rPr>
        <w:t xml:space="preserve">) </w:t>
      </w:r>
      <w:r w:rsidR="00126A04" w:rsidRPr="009B3437">
        <w:rPr>
          <w:i/>
          <w:iCs/>
        </w:rPr>
        <w:t>v</w:t>
      </w:r>
      <w:r w:rsidRPr="009B3437">
        <w:rPr>
          <w:i/>
          <w:iCs/>
        </w:rPr>
        <w:t>. Syndicat national des employés de l’hôpital St-Ferdinand</w:t>
      </w:r>
      <w:r w:rsidRPr="009B3437">
        <w:t xml:space="preserve">, [1996] 3 </w:t>
      </w:r>
      <w:r w:rsidR="00126A04" w:rsidRPr="009B3437">
        <w:t>S.C.R</w:t>
      </w:r>
      <w:r w:rsidRPr="009B3437">
        <w:t>. 211, para. 120.</w:t>
      </w:r>
    </w:p>
  </w:footnote>
  <w:footnote w:id="119">
    <w:p w14:paraId="7EED1C0B" w14:textId="1F5265E5" w:rsidR="002802DA" w:rsidRPr="009B3437" w:rsidRDefault="002802DA" w:rsidP="002802DA">
      <w:pPr>
        <w:pStyle w:val="Notedebasdepage"/>
      </w:pPr>
      <w:r w:rsidRPr="00126A04">
        <w:rPr>
          <w:rStyle w:val="Appelnotedebasdep"/>
          <w:lang w:val="en-CA"/>
        </w:rPr>
        <w:footnoteRef/>
      </w:r>
      <w:r w:rsidRPr="009B3437">
        <w:t xml:space="preserve"> </w:t>
      </w:r>
      <w:r w:rsidRPr="009B3437">
        <w:tab/>
      </w:r>
      <w:r w:rsidRPr="009B3437">
        <w:rPr>
          <w:i/>
          <w:iCs/>
        </w:rPr>
        <w:t>Qu</w:t>
      </w:r>
      <w:r w:rsidR="00126A04" w:rsidRPr="009B3437">
        <w:rPr>
          <w:i/>
          <w:iCs/>
        </w:rPr>
        <w:t>e</w:t>
      </w:r>
      <w:r w:rsidRPr="009B3437">
        <w:rPr>
          <w:i/>
          <w:iCs/>
        </w:rPr>
        <w:t>bec (</w:t>
      </w:r>
      <w:r w:rsidR="00126A04" w:rsidRPr="009B3437">
        <w:rPr>
          <w:i/>
          <w:iCs/>
        </w:rPr>
        <w:t>Public Curator</w:t>
      </w:r>
      <w:r w:rsidRPr="009B3437">
        <w:rPr>
          <w:i/>
          <w:iCs/>
        </w:rPr>
        <w:t xml:space="preserve">) </w:t>
      </w:r>
      <w:r w:rsidR="00126A04" w:rsidRPr="009B3437">
        <w:rPr>
          <w:i/>
          <w:iCs/>
        </w:rPr>
        <w:t>v</w:t>
      </w:r>
      <w:r w:rsidRPr="009B3437">
        <w:rPr>
          <w:i/>
          <w:iCs/>
        </w:rPr>
        <w:t>. Syndicat national des employés de l’hôpital St-Ferdinand</w:t>
      </w:r>
      <w:r w:rsidRPr="009B3437">
        <w:t xml:space="preserve">, [1996] 3 </w:t>
      </w:r>
      <w:r w:rsidR="00126A04" w:rsidRPr="009B3437">
        <w:t>S.C.R</w:t>
      </w:r>
      <w:r w:rsidRPr="009B3437">
        <w:t xml:space="preserve">. 211, para. 118; </w:t>
      </w:r>
      <w:r w:rsidRPr="009B3437">
        <w:rPr>
          <w:i/>
          <w:iCs/>
        </w:rPr>
        <w:t xml:space="preserve">Imperial Tobacco Canada ltée c. Conseil québécois sur le tabac et la santé, </w:t>
      </w:r>
      <w:r w:rsidRPr="009B3437">
        <w:t xml:space="preserve">2019 QCCA 358, para. </w:t>
      </w:r>
      <w:r w:rsidRPr="00126A04">
        <w:rPr>
          <w:lang w:val="en-CA"/>
        </w:rPr>
        <w:t xml:space="preserve">1000. </w:t>
      </w:r>
      <w:r w:rsidR="00126A04" w:rsidRPr="00126A04">
        <w:rPr>
          <w:lang w:val="en-CA"/>
        </w:rPr>
        <w:t>Our Court has recently recalled, in</w:t>
      </w:r>
      <w:r w:rsidRPr="00126A04">
        <w:rPr>
          <w:lang w:val="en-CA"/>
        </w:rPr>
        <w:t xml:space="preserve"> </w:t>
      </w:r>
      <w:r w:rsidRPr="00126A04">
        <w:rPr>
          <w:i/>
          <w:lang w:val="en-CA"/>
        </w:rPr>
        <w:t>Lambert</w:t>
      </w:r>
      <w:r w:rsidRPr="00126A04">
        <w:rPr>
          <w:lang w:val="en-CA"/>
        </w:rPr>
        <w:t xml:space="preserve"> </w:t>
      </w:r>
      <w:r w:rsidRPr="00126A04">
        <w:rPr>
          <w:i/>
          <w:lang w:val="en-CA"/>
        </w:rPr>
        <w:t>c.</w:t>
      </w:r>
      <w:r w:rsidRPr="00126A04">
        <w:rPr>
          <w:lang w:val="en-CA"/>
        </w:rPr>
        <w:t xml:space="preserve"> </w:t>
      </w:r>
      <w:r w:rsidRPr="00126A04">
        <w:rPr>
          <w:i/>
          <w:lang w:val="en-CA"/>
        </w:rPr>
        <w:t>Commission des droits de la personne et des droits de la jeunesse (Nkamba)</w:t>
      </w:r>
      <w:r w:rsidRPr="00126A04">
        <w:rPr>
          <w:lang w:val="en-CA"/>
        </w:rPr>
        <w:t xml:space="preserve">, 2025 QCCA 955 </w:t>
      </w:r>
      <w:r w:rsidR="00126A04">
        <w:rPr>
          <w:lang w:val="en-CA"/>
        </w:rPr>
        <w:t xml:space="preserve">that the result is the interference with the </w:t>
      </w:r>
      <w:r w:rsidR="00126A04" w:rsidRPr="00126A04">
        <w:rPr>
          <w:i/>
          <w:iCs/>
          <w:lang w:val="en-CA"/>
        </w:rPr>
        <w:t>Charter</w:t>
      </w:r>
      <w:r w:rsidR="00126A04">
        <w:rPr>
          <w:lang w:val="en-CA"/>
        </w:rPr>
        <w:t>-protected right</w:t>
      </w:r>
      <w:r w:rsidRPr="00126A04">
        <w:rPr>
          <w:lang w:val="en-CA"/>
        </w:rPr>
        <w:t xml:space="preserve"> </w:t>
      </w:r>
      <w:r w:rsidR="0007602D" w:rsidRPr="0007602D">
        <w:rPr>
          <w:lang w:val="en-CA"/>
        </w:rPr>
        <w:t>rather</w:t>
      </w:r>
      <w:r w:rsidRPr="00126A04">
        <w:rPr>
          <w:lang w:val="en-CA"/>
        </w:rPr>
        <w:t xml:space="preserve"> </w:t>
      </w:r>
      <w:r w:rsidR="0007602D">
        <w:rPr>
          <w:lang w:val="en-CA"/>
        </w:rPr>
        <w:t xml:space="preserve">than the actual consequences thereof </w:t>
      </w:r>
      <w:r w:rsidRPr="00126A04">
        <w:rPr>
          <w:lang w:val="en-CA"/>
        </w:rPr>
        <w:t>(para</w:t>
      </w:r>
      <w:r w:rsidR="0007602D">
        <w:rPr>
          <w:lang w:val="en-CA"/>
        </w:rPr>
        <w:t>s</w:t>
      </w:r>
      <w:r w:rsidRPr="00126A04">
        <w:rPr>
          <w:lang w:val="en-CA"/>
        </w:rPr>
        <w:t xml:space="preserve">. </w:t>
      </w:r>
      <w:r w:rsidRPr="009B3437">
        <w:t>66-67).</w:t>
      </w:r>
    </w:p>
  </w:footnote>
  <w:footnote w:id="120">
    <w:p w14:paraId="6959D9EA" w14:textId="16A40243" w:rsidR="002802DA" w:rsidRPr="003F1C76" w:rsidRDefault="002802DA" w:rsidP="002802DA">
      <w:pPr>
        <w:pStyle w:val="Notedebasdepage"/>
      </w:pPr>
      <w:r w:rsidRPr="003F1C76">
        <w:rPr>
          <w:rStyle w:val="Appelnotedebasdep"/>
        </w:rPr>
        <w:footnoteRef/>
      </w:r>
      <w:r w:rsidRPr="003F1C76">
        <w:t xml:space="preserve"> </w:t>
      </w:r>
      <w:r w:rsidRPr="003F1C76">
        <w:tab/>
      </w:r>
      <w:r w:rsidRPr="003F1C76">
        <w:rPr>
          <w:i/>
          <w:iCs/>
        </w:rPr>
        <w:t>Qu</w:t>
      </w:r>
      <w:r w:rsidR="00DB4623">
        <w:rPr>
          <w:i/>
          <w:iCs/>
        </w:rPr>
        <w:t>e</w:t>
      </w:r>
      <w:r w:rsidRPr="003F1C76">
        <w:rPr>
          <w:i/>
          <w:iCs/>
        </w:rPr>
        <w:t>bec (</w:t>
      </w:r>
      <w:r w:rsidR="00DB4623">
        <w:rPr>
          <w:i/>
          <w:iCs/>
        </w:rPr>
        <w:t>Public Curator</w:t>
      </w:r>
      <w:r w:rsidRPr="003F1C76">
        <w:rPr>
          <w:i/>
          <w:iCs/>
        </w:rPr>
        <w:t xml:space="preserve">) </w:t>
      </w:r>
      <w:r w:rsidR="00DB4623">
        <w:rPr>
          <w:i/>
          <w:iCs/>
        </w:rPr>
        <w:t>v</w:t>
      </w:r>
      <w:r w:rsidRPr="003F1C76">
        <w:rPr>
          <w:i/>
          <w:iCs/>
        </w:rPr>
        <w:t>. Syndicat national des employés de l’hôpital St-Ferdinand</w:t>
      </w:r>
      <w:r w:rsidRPr="003F1C76">
        <w:t xml:space="preserve">, [1996] 3 </w:t>
      </w:r>
      <w:r w:rsidR="00DB4623">
        <w:t>S.C.R</w:t>
      </w:r>
      <w:r w:rsidRPr="003F1C76">
        <w:t>. 211, para. 118.</w:t>
      </w:r>
    </w:p>
  </w:footnote>
  <w:footnote w:id="121">
    <w:p w14:paraId="3709D308" w14:textId="06C3A2E1" w:rsidR="002802DA" w:rsidRPr="009B3437" w:rsidRDefault="002802DA" w:rsidP="002802DA">
      <w:pPr>
        <w:pStyle w:val="Notedebasdepage"/>
      </w:pPr>
      <w:r>
        <w:rPr>
          <w:rStyle w:val="Appelnotedebasdep"/>
        </w:rPr>
        <w:footnoteRef/>
      </w:r>
      <w:r>
        <w:t xml:space="preserve"> </w:t>
      </w:r>
      <w:r w:rsidR="00DB4623" w:rsidRPr="009B3437">
        <w:t>Judgment under appeal</w:t>
      </w:r>
      <w:r w:rsidRPr="009B3437">
        <w:t>, para</w:t>
      </w:r>
      <w:r w:rsidR="00DB4623" w:rsidRPr="009B3437">
        <w:t>s</w:t>
      </w:r>
      <w:r w:rsidRPr="009B3437">
        <w:t xml:space="preserve">. 233-236 </w:t>
      </w:r>
      <w:r w:rsidR="00DB4623" w:rsidRPr="009B3437">
        <w:t>and</w:t>
      </w:r>
      <w:r w:rsidRPr="009B3437">
        <w:t xml:space="preserve"> 278-279. </w:t>
      </w:r>
      <w:r w:rsidR="00DB4623" w:rsidRPr="009B3437">
        <w:t>See</w:t>
      </w:r>
      <w:r w:rsidRPr="009B3437">
        <w:t xml:space="preserve">: Serge Kablan </w:t>
      </w:r>
      <w:r w:rsidR="00DB4623" w:rsidRPr="009B3437">
        <w:t>and</w:t>
      </w:r>
      <w:r w:rsidRPr="009B3437">
        <w:t xml:space="preserve"> Arthur Oulaï, </w:t>
      </w:r>
      <w:r w:rsidR="00DB4623" w:rsidRPr="009B3437">
        <w:t>“</w:t>
      </w:r>
      <w:r w:rsidRPr="009B3437">
        <w:t>Vers une responsabilisation accrue ? A. B. contre Google et l’avenir de la régulation des services en ligne</w:t>
      </w:r>
      <w:r w:rsidR="00DB4623" w:rsidRPr="009B3437">
        <w:t>”</w:t>
      </w:r>
      <w:r w:rsidRPr="009B3437">
        <w:t xml:space="preserve">, (2024) 36 : 1- 2 </w:t>
      </w:r>
      <w:r w:rsidRPr="009B3437">
        <w:rPr>
          <w:i/>
          <w:iCs/>
        </w:rPr>
        <w:t>Les Cahiers de propriété intellectuelle</w:t>
      </w:r>
      <w:r w:rsidRPr="009B3437">
        <w:t xml:space="preserve"> 127, p. 147.</w:t>
      </w:r>
    </w:p>
  </w:footnote>
  <w:footnote w:id="122">
    <w:p w14:paraId="0EF19866" w14:textId="71E55AA6" w:rsidR="002802DA" w:rsidRPr="00DB4623" w:rsidRDefault="002802DA" w:rsidP="002802DA">
      <w:pPr>
        <w:pStyle w:val="Notedebasdepage"/>
        <w:rPr>
          <w:highlight w:val="yellow"/>
          <w:lang w:val="en-CA"/>
        </w:rPr>
      </w:pPr>
      <w:r w:rsidRPr="00DB4623">
        <w:rPr>
          <w:rStyle w:val="Appelnotedebasdep"/>
          <w:lang w:val="en-CA"/>
        </w:rPr>
        <w:footnoteRef/>
      </w:r>
      <w:r w:rsidRPr="00DB4623">
        <w:rPr>
          <w:lang w:val="en-CA"/>
        </w:rPr>
        <w:t xml:space="preserve"> </w:t>
      </w:r>
      <w:r w:rsidRPr="00DB4623">
        <w:rPr>
          <w:lang w:val="en-CA"/>
        </w:rPr>
        <w:tab/>
      </w:r>
      <w:r w:rsidR="00DB4623">
        <w:rPr>
          <w:lang w:val="en-CA"/>
        </w:rPr>
        <w:t>Exhibit</w:t>
      </w:r>
      <w:r w:rsidRPr="00DB4623">
        <w:rPr>
          <w:lang w:val="en-CA"/>
        </w:rPr>
        <w:t xml:space="preserve"> P-12, </w:t>
      </w:r>
      <w:r w:rsidR="00DB4623">
        <w:rPr>
          <w:lang w:val="en-CA"/>
        </w:rPr>
        <w:t>A.B.</w:t>
      </w:r>
      <w:r w:rsidRPr="00DB4623">
        <w:rPr>
          <w:lang w:val="en-CA"/>
        </w:rPr>
        <w:t xml:space="preserve">, </w:t>
      </w:r>
      <w:r w:rsidR="00DB4623">
        <w:rPr>
          <w:lang w:val="en-CA"/>
        </w:rPr>
        <w:t xml:space="preserve">conf. </w:t>
      </w:r>
      <w:r w:rsidRPr="00DB4623">
        <w:rPr>
          <w:lang w:val="en-CA"/>
        </w:rPr>
        <w:t>vol. 2, p</w:t>
      </w:r>
      <w:r w:rsidR="00DB4623">
        <w:rPr>
          <w:lang w:val="en-CA"/>
        </w:rPr>
        <w:t>p</w:t>
      </w:r>
      <w:r w:rsidRPr="00DB4623">
        <w:rPr>
          <w:lang w:val="en-CA"/>
        </w:rPr>
        <w:t>. 1400-140.</w:t>
      </w:r>
    </w:p>
  </w:footnote>
  <w:footnote w:id="123">
    <w:p w14:paraId="65704743" w14:textId="540DA6D3" w:rsidR="002802DA" w:rsidRPr="009B3437" w:rsidRDefault="002802DA" w:rsidP="002802DA">
      <w:pPr>
        <w:rPr>
          <w:lang w:val="en-CA"/>
        </w:rPr>
      </w:pPr>
      <w:r w:rsidRPr="00DB4623">
        <w:rPr>
          <w:rStyle w:val="Appelnotedebasdep"/>
          <w:sz w:val="20"/>
          <w:lang w:val="en-CA"/>
        </w:rPr>
        <w:footnoteRef/>
      </w:r>
      <w:r w:rsidRPr="00DB4623">
        <w:rPr>
          <w:sz w:val="20"/>
          <w:lang w:val="en-CA"/>
        </w:rPr>
        <w:t xml:space="preserve">   </w:t>
      </w:r>
      <w:r w:rsidR="00DB4623">
        <w:rPr>
          <w:sz w:val="20"/>
          <w:lang w:val="en-CA"/>
        </w:rPr>
        <w:t>Exhibit</w:t>
      </w:r>
      <w:r w:rsidRPr="00DB4623">
        <w:rPr>
          <w:sz w:val="20"/>
          <w:lang w:val="en-CA"/>
        </w:rPr>
        <w:t xml:space="preserve"> P-33, </w:t>
      </w:r>
      <w:r w:rsidR="002B268A">
        <w:rPr>
          <w:sz w:val="20"/>
          <w:lang w:val="en-CA"/>
        </w:rPr>
        <w:t>e</w:t>
      </w:r>
      <w:r w:rsidRPr="00DB4623">
        <w:rPr>
          <w:sz w:val="20"/>
          <w:lang w:val="en-CA"/>
        </w:rPr>
        <w:t xml:space="preserve">mail sent by A.B. to the Defendant on July 9, 2015, </w:t>
      </w:r>
      <w:r w:rsidR="00E347C9">
        <w:rPr>
          <w:sz w:val="20"/>
          <w:lang w:val="en-CA"/>
        </w:rPr>
        <w:t>A.B.</w:t>
      </w:r>
      <w:r w:rsidRPr="00DB4623">
        <w:rPr>
          <w:sz w:val="20"/>
          <w:lang w:val="en-CA"/>
        </w:rPr>
        <w:t xml:space="preserve">, </w:t>
      </w:r>
      <w:r w:rsidR="00DB4623">
        <w:rPr>
          <w:sz w:val="20"/>
          <w:lang w:val="en-CA"/>
        </w:rPr>
        <w:t xml:space="preserve">conf. </w:t>
      </w:r>
      <w:r w:rsidRPr="00DB4623">
        <w:rPr>
          <w:sz w:val="20"/>
          <w:lang w:val="en-CA"/>
        </w:rPr>
        <w:t>vol. 2, p. 1458.</w:t>
      </w:r>
    </w:p>
  </w:footnote>
  <w:footnote w:id="124">
    <w:p w14:paraId="5F36FA3D" w14:textId="0C963947" w:rsidR="00E347C9" w:rsidRPr="00E347C9" w:rsidRDefault="00E347C9">
      <w:pPr>
        <w:pStyle w:val="Notedebasdepage"/>
        <w:rPr>
          <w:lang w:val="en-CA"/>
        </w:rPr>
      </w:pPr>
      <w:r>
        <w:rPr>
          <w:rStyle w:val="Appelnotedebasdep"/>
        </w:rPr>
        <w:footnoteRef/>
      </w:r>
      <w:r w:rsidRPr="009B3437">
        <w:rPr>
          <w:lang w:val="en-CA"/>
        </w:rPr>
        <w:t xml:space="preserve"> </w:t>
      </w:r>
      <w:r w:rsidRPr="009B3437">
        <w:rPr>
          <w:lang w:val="en-CA"/>
        </w:rPr>
        <w:tab/>
      </w:r>
      <w:r w:rsidRPr="00E347C9">
        <w:rPr>
          <w:lang w:val="en-CA"/>
        </w:rPr>
        <w:t>Exhibit P-12, Letter sent by T.U. to Kent Walker and others on April 27, A.B., conf. vol. 2, pp. 1400-1401.</w:t>
      </w:r>
    </w:p>
  </w:footnote>
  <w:footnote w:id="125">
    <w:p w14:paraId="58B9A0C2" w14:textId="6270A9E1" w:rsidR="00E347C9" w:rsidRPr="009B3437" w:rsidRDefault="00E347C9">
      <w:pPr>
        <w:pStyle w:val="Notedebasdepage"/>
        <w:rPr>
          <w:lang w:val="en-CA"/>
        </w:rPr>
      </w:pPr>
      <w:r>
        <w:rPr>
          <w:rStyle w:val="Appelnotedebasdep"/>
        </w:rPr>
        <w:footnoteRef/>
      </w:r>
      <w:r w:rsidRPr="009B3437">
        <w:rPr>
          <w:lang w:val="en-CA"/>
        </w:rPr>
        <w:t xml:space="preserve"> </w:t>
      </w:r>
      <w:r w:rsidRPr="009B3437">
        <w:rPr>
          <w:lang w:val="en-CA"/>
        </w:rPr>
        <w:tab/>
        <w:t>Exhibit P-33, Email sent by A.B. to the Defendant on July 9, 2015, A.B., conf. vol. 2, p. 1458.</w:t>
      </w:r>
    </w:p>
  </w:footnote>
  <w:footnote w:id="126">
    <w:p w14:paraId="5F06D4F2" w14:textId="21E4E2B7" w:rsidR="002802DA" w:rsidRPr="009B3437" w:rsidRDefault="002802DA" w:rsidP="002802DA">
      <w:pPr>
        <w:pStyle w:val="Notedebasdepage"/>
        <w:rPr>
          <w:lang w:val="en-CA"/>
        </w:rPr>
      </w:pPr>
      <w:r w:rsidRPr="003F1C76">
        <w:rPr>
          <w:rStyle w:val="Appelnotedebasdep"/>
        </w:rPr>
        <w:footnoteRef/>
      </w:r>
      <w:r w:rsidRPr="003F1C76">
        <w:t xml:space="preserve"> </w:t>
      </w:r>
      <w:r w:rsidRPr="003F1C76">
        <w:tab/>
      </w:r>
      <w:r w:rsidRPr="003F1C76">
        <w:rPr>
          <w:i/>
          <w:iCs/>
        </w:rPr>
        <w:t>Lalli c. Gravel</w:t>
      </w:r>
      <w:r w:rsidRPr="003F1C76">
        <w:t xml:space="preserve">, 2021 QCCA 1549, para. </w:t>
      </w:r>
      <w:r w:rsidRPr="009B3437">
        <w:rPr>
          <w:lang w:val="en-CA"/>
        </w:rPr>
        <w:t>143.</w:t>
      </w:r>
    </w:p>
  </w:footnote>
  <w:footnote w:id="127">
    <w:p w14:paraId="24243BFB" w14:textId="5D5D5CCB" w:rsidR="002802DA" w:rsidRPr="003F1C76" w:rsidRDefault="002802DA" w:rsidP="002802DA">
      <w:pPr>
        <w:pStyle w:val="Notedebasdepage"/>
      </w:pPr>
      <w:r w:rsidRPr="003F1C76">
        <w:rPr>
          <w:rStyle w:val="Appelnotedebasdep"/>
        </w:rPr>
        <w:footnoteRef/>
      </w:r>
      <w:r w:rsidRPr="004613AB">
        <w:rPr>
          <w:i/>
          <w:iCs/>
          <w:lang w:val="en-CA"/>
        </w:rPr>
        <w:t xml:space="preserve"> </w:t>
      </w:r>
      <w:r w:rsidRPr="004613AB">
        <w:rPr>
          <w:i/>
          <w:iCs/>
          <w:lang w:val="en-CA"/>
        </w:rPr>
        <w:tab/>
        <w:t xml:space="preserve">Richard </w:t>
      </w:r>
      <w:r w:rsidR="00395931">
        <w:rPr>
          <w:i/>
          <w:iCs/>
          <w:lang w:val="en-CA"/>
        </w:rPr>
        <w:t>v</w:t>
      </w:r>
      <w:r w:rsidRPr="004613AB">
        <w:rPr>
          <w:i/>
          <w:iCs/>
          <w:lang w:val="en-CA"/>
        </w:rPr>
        <w:t>. Time Inc.</w:t>
      </w:r>
      <w:r w:rsidRPr="004613AB">
        <w:rPr>
          <w:lang w:val="en-CA"/>
        </w:rPr>
        <w:t xml:space="preserve">, 2012 </w:t>
      </w:r>
      <w:r w:rsidR="00395931">
        <w:rPr>
          <w:lang w:val="en-CA"/>
        </w:rPr>
        <w:t>SCC</w:t>
      </w:r>
      <w:r w:rsidRPr="004613AB">
        <w:rPr>
          <w:lang w:val="en-CA"/>
        </w:rPr>
        <w:t xml:space="preserve"> 8,</w:t>
      </w:r>
      <w:r w:rsidRPr="004613AB">
        <w:rPr>
          <w:i/>
          <w:iCs/>
          <w:lang w:val="en-CA"/>
        </w:rPr>
        <w:t xml:space="preserve"> </w:t>
      </w:r>
      <w:r w:rsidRPr="004613AB">
        <w:rPr>
          <w:lang w:val="en-CA"/>
        </w:rPr>
        <w:t xml:space="preserve">para. </w:t>
      </w:r>
      <w:r w:rsidRPr="003F1C76">
        <w:t>204 [</w:t>
      </w:r>
      <w:bookmarkStart w:id="65" w:name="_Hlk207623319"/>
      <w:r w:rsidRPr="00884158">
        <w:rPr>
          <w:i/>
          <w:iCs/>
        </w:rPr>
        <w:t>Richard</w:t>
      </w:r>
      <w:bookmarkEnd w:id="65"/>
      <w:r w:rsidRPr="00884158">
        <w:t>]</w:t>
      </w:r>
      <w:r w:rsidRPr="003F1C76">
        <w:t xml:space="preserve">; </w:t>
      </w:r>
      <w:r w:rsidRPr="003F1C76">
        <w:rPr>
          <w:i/>
          <w:iCs/>
        </w:rPr>
        <w:t>Genex Communications inc. c. Association québécoise de l'industrie du disque, du spectacle et de la vidéo</w:t>
      </w:r>
      <w:r w:rsidRPr="003F1C76">
        <w:t>, 2009 QCCA 2201, para. 99.</w:t>
      </w:r>
    </w:p>
  </w:footnote>
  <w:footnote w:id="128">
    <w:p w14:paraId="1D1DCD86" w14:textId="48AB32A0" w:rsidR="002802DA" w:rsidRPr="003F1C76" w:rsidRDefault="002802DA" w:rsidP="002802DA">
      <w:pPr>
        <w:pStyle w:val="Notedebasdepage"/>
        <w:rPr>
          <w:highlight w:val="yellow"/>
        </w:rPr>
      </w:pPr>
      <w:r w:rsidRPr="003F1C76">
        <w:rPr>
          <w:rStyle w:val="Appelnotedebasdep"/>
        </w:rPr>
        <w:footnoteRef/>
      </w:r>
      <w:r w:rsidRPr="003F1C76">
        <w:t xml:space="preserve"> </w:t>
      </w:r>
      <w:r w:rsidRPr="003F1C76">
        <w:tab/>
      </w:r>
      <w:r w:rsidRPr="003F1C76">
        <w:rPr>
          <w:i/>
          <w:iCs/>
        </w:rPr>
        <w:t>Meubles Léon ltée c. Option consommateurs</w:t>
      </w:r>
      <w:r w:rsidRPr="003F1C76">
        <w:t xml:space="preserve">, 2020 QCCA 44, para. 122. </w:t>
      </w:r>
    </w:p>
  </w:footnote>
  <w:footnote w:id="129">
    <w:p w14:paraId="1CB29514" w14:textId="38B11447" w:rsidR="00D93C56" w:rsidRDefault="00D93C56">
      <w:pPr>
        <w:pStyle w:val="Notedebasdepage"/>
      </w:pPr>
      <w:r>
        <w:rPr>
          <w:rStyle w:val="Appelnotedebasdep"/>
        </w:rPr>
        <w:footnoteRef/>
      </w:r>
      <w:r>
        <w:t xml:space="preserve"> </w:t>
      </w:r>
      <w:r>
        <w:tab/>
      </w:r>
      <w:r w:rsidRPr="00D93C56">
        <w:t>de Montigny c. Brossard (Succession), 2010 SCC 51, paras. 49-53</w:t>
      </w:r>
    </w:p>
  </w:footnote>
  <w:footnote w:id="130">
    <w:p w14:paraId="6BEEF769" w14:textId="32BE825D" w:rsidR="002802DA" w:rsidRPr="000D0CA1" w:rsidRDefault="002802DA" w:rsidP="002802DA">
      <w:pPr>
        <w:pStyle w:val="Notedebasdepage"/>
      </w:pPr>
      <w:r w:rsidRPr="003F1C76">
        <w:rPr>
          <w:rStyle w:val="Appelnotedebasdep"/>
        </w:rPr>
        <w:footnoteRef/>
      </w:r>
      <w:r w:rsidRPr="00AD4F2E">
        <w:t xml:space="preserve"> </w:t>
      </w:r>
      <w:r w:rsidRPr="00AD4F2E">
        <w:tab/>
      </w:r>
      <w:r w:rsidRPr="00AD4F2E">
        <w:rPr>
          <w:i/>
          <w:iCs/>
        </w:rPr>
        <w:t>Imperial Tobacco Canada ltée c. Conseil québécois sur le tabac et la santé</w:t>
      </w:r>
      <w:r w:rsidRPr="00AD4F2E">
        <w:t>, 2019 QCCA 358, para. </w:t>
      </w:r>
      <w:r w:rsidRPr="000D0CA1">
        <w:t>1112.</w:t>
      </w:r>
    </w:p>
  </w:footnote>
  <w:footnote w:id="131">
    <w:p w14:paraId="499669EF" w14:textId="2720AF11" w:rsidR="002802DA" w:rsidRPr="00884158" w:rsidRDefault="002802DA" w:rsidP="002802DA">
      <w:pPr>
        <w:pStyle w:val="Notedebasdepage"/>
      </w:pPr>
      <w:r w:rsidRPr="003F1C76">
        <w:rPr>
          <w:rStyle w:val="Appelnotedebasdep"/>
        </w:rPr>
        <w:footnoteRef/>
      </w:r>
      <w:r w:rsidRPr="00884158">
        <w:t xml:space="preserve"> </w:t>
      </w:r>
      <w:r w:rsidRPr="00884158">
        <w:tab/>
      </w:r>
      <w:r w:rsidR="00395931">
        <w:t>Exhibit</w:t>
      </w:r>
      <w:r w:rsidRPr="00884158">
        <w:t xml:space="preserve"> P-55.1, </w:t>
      </w:r>
      <w:r w:rsidR="00395931">
        <w:t>A.B</w:t>
      </w:r>
      <w:r w:rsidRPr="00884158">
        <w:t>.,</w:t>
      </w:r>
      <w:r w:rsidRPr="00AD4F2E">
        <w:t xml:space="preserve"> </w:t>
      </w:r>
      <w:r w:rsidRPr="00AD4F2E">
        <w:rPr>
          <w:rFonts w:cs="Arial"/>
        </w:rPr>
        <w:t>vol. 2,</w:t>
      </w:r>
      <w:r w:rsidRPr="00884158">
        <w:t xml:space="preserve"> p. 699.</w:t>
      </w:r>
    </w:p>
  </w:footnote>
  <w:footnote w:id="132">
    <w:p w14:paraId="2A6ADA28" w14:textId="2377E232" w:rsidR="002802DA" w:rsidRPr="009B3437" w:rsidRDefault="002802DA" w:rsidP="002802DA">
      <w:pPr>
        <w:pStyle w:val="Notedebasdepage"/>
      </w:pPr>
      <w:r w:rsidRPr="003F1C76">
        <w:rPr>
          <w:rStyle w:val="Appelnotedebasdep"/>
        </w:rPr>
        <w:footnoteRef/>
      </w:r>
      <w:r w:rsidRPr="000D0CA1">
        <w:t xml:space="preserve"> </w:t>
      </w:r>
      <w:r w:rsidRPr="000D0CA1">
        <w:tab/>
      </w:r>
      <w:r w:rsidRPr="000D0CA1">
        <w:rPr>
          <w:i/>
          <w:iCs/>
        </w:rPr>
        <w:t>Fillion c. Chiasson</w:t>
      </w:r>
      <w:r w:rsidRPr="000D0CA1">
        <w:t xml:space="preserve">, 2007 QCCA 570, para. </w:t>
      </w:r>
      <w:r w:rsidRPr="009B3437">
        <w:t>107.</w:t>
      </w:r>
    </w:p>
  </w:footnote>
  <w:footnote w:id="133">
    <w:p w14:paraId="603FEC53" w14:textId="57FC2CBF" w:rsidR="002802DA" w:rsidRPr="009B3437" w:rsidRDefault="002802DA" w:rsidP="002802DA">
      <w:pPr>
        <w:pStyle w:val="Notedebasdepage"/>
      </w:pPr>
      <w:r w:rsidRPr="003F1C76">
        <w:rPr>
          <w:rStyle w:val="Appelnotedebasdep"/>
        </w:rPr>
        <w:footnoteRef/>
      </w:r>
      <w:r w:rsidRPr="009B3437">
        <w:t xml:space="preserve"> </w:t>
      </w:r>
      <w:r w:rsidRPr="009B3437">
        <w:tab/>
      </w:r>
      <w:r w:rsidRPr="009B3437">
        <w:rPr>
          <w:i/>
          <w:iCs/>
        </w:rPr>
        <w:t xml:space="preserve">Richard </w:t>
      </w:r>
      <w:r w:rsidR="005455FD" w:rsidRPr="009B3437">
        <w:rPr>
          <w:i/>
          <w:iCs/>
        </w:rPr>
        <w:t>v</w:t>
      </w:r>
      <w:r w:rsidRPr="009B3437">
        <w:rPr>
          <w:i/>
          <w:iCs/>
        </w:rPr>
        <w:t>. Time inc.</w:t>
      </w:r>
      <w:r w:rsidRPr="009B3437">
        <w:t xml:space="preserve">, 2012 CSC 8, </w:t>
      </w:r>
      <w:r w:rsidR="005455FD" w:rsidRPr="009B3437">
        <w:t>para</w:t>
      </w:r>
      <w:r w:rsidRPr="009B3437">
        <w:t>. 201.</w:t>
      </w:r>
    </w:p>
  </w:footnote>
  <w:footnote w:id="134">
    <w:p w14:paraId="0F5A040C" w14:textId="2F357C8C" w:rsidR="002802DA" w:rsidRPr="00680CC4" w:rsidRDefault="002802DA" w:rsidP="002802DA">
      <w:pPr>
        <w:pStyle w:val="Notedebasdepage"/>
      </w:pPr>
      <w:r w:rsidRPr="003F1C76">
        <w:rPr>
          <w:rStyle w:val="Appelnotedebasdep"/>
        </w:rPr>
        <w:footnoteRef/>
      </w:r>
      <w:r w:rsidRPr="00680CC4">
        <w:t xml:space="preserve">  </w:t>
      </w:r>
      <w:r w:rsidRPr="00680CC4">
        <w:rPr>
          <w:i/>
          <w:iCs/>
        </w:rPr>
        <w:t>A.B. c. Google inc.</w:t>
      </w:r>
      <w:r w:rsidRPr="00680CC4">
        <w:t xml:space="preserve">, </w:t>
      </w:r>
      <w:hyperlink r:id="rId14" w:history="1">
        <w:r w:rsidRPr="00680CC4">
          <w:rPr>
            <w:rStyle w:val="Hyperlien"/>
            <w:color w:val="auto"/>
            <w:u w:val="none"/>
          </w:rPr>
          <w:t>2016 QCCS 4913</w:t>
        </w:r>
      </w:hyperlink>
      <w:r w:rsidRPr="00680CC4">
        <w:t>.</w:t>
      </w:r>
    </w:p>
  </w:footnote>
  <w:footnote w:id="135">
    <w:p w14:paraId="0B59F650" w14:textId="72C7F793" w:rsidR="002802DA" w:rsidRPr="002F2161" w:rsidRDefault="002802DA" w:rsidP="002802DA">
      <w:pPr>
        <w:pStyle w:val="Notedebasdepage"/>
        <w:rPr>
          <w:lang w:val="en-CA"/>
        </w:rPr>
      </w:pPr>
      <w:r w:rsidRPr="003F1C76">
        <w:rPr>
          <w:rStyle w:val="Appelnotedebasdep"/>
        </w:rPr>
        <w:footnoteRef/>
      </w:r>
      <w:r w:rsidRPr="009B3437">
        <w:rPr>
          <w:lang w:val="en-CA"/>
        </w:rPr>
        <w:t xml:space="preserve">  </w:t>
      </w:r>
      <w:r w:rsidR="002F2161" w:rsidRPr="002F2161">
        <w:rPr>
          <w:lang w:val="en-CA"/>
        </w:rPr>
        <w:t>See</w:t>
      </w:r>
      <w:r w:rsidRPr="002F2161">
        <w:rPr>
          <w:lang w:val="en-CA"/>
        </w:rPr>
        <w:t xml:space="preserve">: </w:t>
      </w:r>
      <w:r w:rsidRPr="002F2161">
        <w:rPr>
          <w:i/>
          <w:iCs/>
          <w:lang w:val="en-CA"/>
        </w:rPr>
        <w:t>A.B. c. Google inc.</w:t>
      </w:r>
      <w:r w:rsidRPr="002F2161">
        <w:rPr>
          <w:lang w:val="en-CA"/>
        </w:rPr>
        <w:t>, 2016 QCCS 4913, para. 9.</w:t>
      </w:r>
    </w:p>
  </w:footnote>
  <w:footnote w:id="136">
    <w:p w14:paraId="154B0626" w14:textId="674EE924" w:rsidR="002802DA" w:rsidRPr="002F2161" w:rsidRDefault="002802DA" w:rsidP="002802DA">
      <w:pPr>
        <w:pStyle w:val="Notedebasdepage"/>
        <w:rPr>
          <w:lang w:val="en-CA"/>
        </w:rPr>
      </w:pPr>
      <w:r w:rsidRPr="002F2161">
        <w:rPr>
          <w:rStyle w:val="Appelnotedebasdep"/>
          <w:lang w:val="en-CA"/>
        </w:rPr>
        <w:footnoteRef/>
      </w:r>
      <w:r w:rsidRPr="002F2161">
        <w:rPr>
          <w:lang w:val="en-CA"/>
        </w:rPr>
        <w:t xml:space="preserve"> </w:t>
      </w:r>
      <w:r w:rsidRPr="002F2161">
        <w:rPr>
          <w:lang w:val="en-CA"/>
        </w:rPr>
        <w:tab/>
      </w:r>
      <w:bookmarkStart w:id="66" w:name="_Hlk220319314"/>
      <w:r w:rsidRPr="002F2161">
        <w:rPr>
          <w:lang w:val="en-CA"/>
        </w:rPr>
        <w:t>Ju</w:t>
      </w:r>
      <w:r w:rsidR="002F2161">
        <w:rPr>
          <w:lang w:val="en-CA"/>
        </w:rPr>
        <w:t>dgment under appeal</w:t>
      </w:r>
      <w:r w:rsidRPr="002F2161">
        <w:rPr>
          <w:lang w:val="en-CA"/>
        </w:rPr>
        <w:t>, para</w:t>
      </w:r>
      <w:r w:rsidR="002F2161">
        <w:rPr>
          <w:lang w:val="en-CA"/>
        </w:rPr>
        <w:t>s</w:t>
      </w:r>
      <w:r w:rsidRPr="002F2161">
        <w:rPr>
          <w:lang w:val="en-CA"/>
        </w:rPr>
        <w:t>.</w:t>
      </w:r>
      <w:bookmarkEnd w:id="66"/>
      <w:r w:rsidRPr="002F2161">
        <w:rPr>
          <w:lang w:val="en-CA"/>
        </w:rPr>
        <w:t xml:space="preserve"> 597-604.</w:t>
      </w:r>
    </w:p>
  </w:footnote>
  <w:footnote w:id="137">
    <w:p w14:paraId="7A37A449" w14:textId="0B7FDB35" w:rsidR="002802DA" w:rsidRPr="002F2161" w:rsidRDefault="002802DA" w:rsidP="002802DA">
      <w:pPr>
        <w:pStyle w:val="Notedebasdepage"/>
        <w:rPr>
          <w:lang w:val="en-CA"/>
        </w:rPr>
      </w:pPr>
      <w:r w:rsidRPr="002F2161">
        <w:rPr>
          <w:rStyle w:val="Appelnotedebasdep"/>
          <w:lang w:val="en-CA"/>
        </w:rPr>
        <w:footnoteRef/>
      </w:r>
      <w:r w:rsidRPr="002F2161">
        <w:rPr>
          <w:lang w:val="en-CA"/>
        </w:rPr>
        <w:t xml:space="preserve"> </w:t>
      </w:r>
      <w:r w:rsidRPr="002F2161">
        <w:rPr>
          <w:lang w:val="en-CA"/>
        </w:rPr>
        <w:tab/>
      </w:r>
      <w:hyperlink r:id="rId15" w:history="1">
        <w:r w:rsidRPr="002F2161">
          <w:rPr>
            <w:rStyle w:val="Hyperlien"/>
            <w:color w:val="auto"/>
            <w:u w:val="none"/>
            <w:lang w:val="en-CA"/>
          </w:rPr>
          <w:t xml:space="preserve">2021 </w:t>
        </w:r>
        <w:r w:rsidR="002F2161">
          <w:rPr>
            <w:rStyle w:val="Hyperlien"/>
            <w:color w:val="auto"/>
            <w:u w:val="none"/>
            <w:lang w:val="en-CA"/>
          </w:rPr>
          <w:t>SCC</w:t>
        </w:r>
        <w:r w:rsidRPr="002F2161">
          <w:rPr>
            <w:rStyle w:val="Hyperlien"/>
            <w:color w:val="auto"/>
            <w:u w:val="none"/>
            <w:lang w:val="en-CA"/>
          </w:rPr>
          <w:t xml:space="preserve"> 25</w:t>
        </w:r>
      </w:hyperlink>
      <w:r w:rsidRPr="002F2161">
        <w:rPr>
          <w:lang w:val="en-CA"/>
        </w:rPr>
        <w:t xml:space="preserve"> [</w:t>
      </w:r>
      <w:bookmarkStart w:id="68" w:name="_Hlk207624155"/>
      <w:r w:rsidRPr="002F2161">
        <w:rPr>
          <w:i/>
          <w:iCs/>
          <w:lang w:val="en-CA"/>
        </w:rPr>
        <w:t>Sherman</w:t>
      </w:r>
      <w:bookmarkEnd w:id="68"/>
      <w:r w:rsidRPr="002F2161">
        <w:rPr>
          <w:lang w:val="en-CA"/>
        </w:rPr>
        <w:t>].</w:t>
      </w:r>
    </w:p>
  </w:footnote>
  <w:footnote w:id="138">
    <w:p w14:paraId="43A68579" w14:textId="2DA2AD77" w:rsidR="002802DA" w:rsidRPr="002F2161" w:rsidRDefault="002802DA" w:rsidP="002802DA">
      <w:pPr>
        <w:pStyle w:val="Notedebasdepage"/>
        <w:rPr>
          <w:lang w:val="en-CA"/>
        </w:rPr>
      </w:pPr>
      <w:r w:rsidRPr="002F2161">
        <w:rPr>
          <w:rStyle w:val="Appelnotedebasdep"/>
          <w:lang w:val="en-CA"/>
        </w:rPr>
        <w:footnoteRef/>
      </w:r>
      <w:r w:rsidRPr="002F2161">
        <w:rPr>
          <w:lang w:val="en-CA"/>
        </w:rPr>
        <w:t xml:space="preserve">  </w:t>
      </w:r>
      <w:r w:rsidRPr="002F2161">
        <w:rPr>
          <w:lang w:val="en-CA"/>
        </w:rPr>
        <w:tab/>
      </w:r>
      <w:r w:rsidR="002F2161" w:rsidRPr="002F2161">
        <w:rPr>
          <w:lang w:val="en-CA"/>
        </w:rPr>
        <w:t>Judgment under appeal, paras.</w:t>
      </w:r>
      <w:r w:rsidRPr="002F2161">
        <w:rPr>
          <w:lang w:val="en-CA"/>
        </w:rPr>
        <w:t xml:space="preserve"> 610-611.</w:t>
      </w:r>
    </w:p>
  </w:footnote>
  <w:footnote w:id="139">
    <w:p w14:paraId="665B3DA9" w14:textId="7A512142" w:rsidR="002802DA" w:rsidRPr="002F2161" w:rsidRDefault="002802DA" w:rsidP="002802DA">
      <w:pPr>
        <w:pStyle w:val="Notedebasdepage"/>
        <w:rPr>
          <w:lang w:val="en-CA"/>
        </w:rPr>
      </w:pPr>
      <w:r w:rsidRPr="002F2161">
        <w:rPr>
          <w:rStyle w:val="Appelnotedebasdep"/>
          <w:lang w:val="en-CA"/>
        </w:rPr>
        <w:footnoteRef/>
      </w:r>
      <w:r w:rsidRPr="002F2161">
        <w:rPr>
          <w:lang w:val="en-CA"/>
        </w:rPr>
        <w:t xml:space="preserve"> </w:t>
      </w:r>
      <w:r w:rsidRPr="002F2161">
        <w:rPr>
          <w:lang w:val="en-CA"/>
        </w:rPr>
        <w:tab/>
      </w:r>
      <w:r w:rsidR="002F2161" w:rsidRPr="002F2161">
        <w:rPr>
          <w:lang w:val="en-CA"/>
        </w:rPr>
        <w:t xml:space="preserve">Judgment under appeal, paras. </w:t>
      </w:r>
      <w:r w:rsidRPr="002F2161">
        <w:rPr>
          <w:lang w:val="en-CA"/>
        </w:rPr>
        <w:t xml:space="preserve"> 617-618, </w:t>
      </w:r>
      <w:r w:rsidR="002F2161">
        <w:rPr>
          <w:lang w:val="en-CA"/>
        </w:rPr>
        <w:t>applying</w:t>
      </w:r>
      <w:r w:rsidR="00F35349">
        <w:rPr>
          <w:lang w:val="en-CA"/>
        </w:rPr>
        <w:t xml:space="preserve"> </w:t>
      </w:r>
      <w:r w:rsidRPr="002F2161">
        <w:rPr>
          <w:i/>
          <w:iCs/>
          <w:lang w:val="en-CA"/>
        </w:rPr>
        <w:t>Sherman</w:t>
      </w:r>
      <w:r w:rsidRPr="002F2161">
        <w:rPr>
          <w:lang w:val="en-CA"/>
        </w:rPr>
        <w:t>, para. 35.</w:t>
      </w:r>
    </w:p>
  </w:footnote>
  <w:footnote w:id="140">
    <w:p w14:paraId="555959E7" w14:textId="012AF4C2" w:rsidR="002802DA" w:rsidRPr="009B3437" w:rsidRDefault="002802DA" w:rsidP="002802DA">
      <w:pPr>
        <w:pStyle w:val="Notedebasdepage"/>
      </w:pPr>
      <w:r w:rsidRPr="002F2161">
        <w:rPr>
          <w:rStyle w:val="Appelnotedebasdep"/>
          <w:lang w:val="en-CA"/>
        </w:rPr>
        <w:footnoteRef/>
      </w:r>
      <w:r w:rsidRPr="002F2161">
        <w:rPr>
          <w:lang w:val="en-CA"/>
        </w:rPr>
        <w:t xml:space="preserve"> </w:t>
      </w:r>
      <w:r w:rsidRPr="002F2161">
        <w:rPr>
          <w:lang w:val="en-CA"/>
        </w:rPr>
        <w:tab/>
      </w:r>
      <w:r w:rsidRPr="002F2161">
        <w:rPr>
          <w:i/>
          <w:iCs/>
          <w:lang w:val="en-CA"/>
        </w:rPr>
        <w:t>Id.</w:t>
      </w:r>
      <w:r w:rsidRPr="002F2161">
        <w:rPr>
          <w:lang w:val="en-CA"/>
        </w:rPr>
        <w:t>, para</w:t>
      </w:r>
      <w:r w:rsidR="002F2161">
        <w:rPr>
          <w:lang w:val="en-CA"/>
        </w:rPr>
        <w:t>s</w:t>
      </w:r>
      <w:r w:rsidRPr="002F2161">
        <w:rPr>
          <w:lang w:val="en-CA"/>
        </w:rPr>
        <w:t xml:space="preserve">. </w:t>
      </w:r>
      <w:r w:rsidRPr="009B3437">
        <w:t>619-625</w:t>
      </w:r>
      <w:r w:rsidR="002F2161" w:rsidRPr="009B3437">
        <w:t>.</w:t>
      </w:r>
    </w:p>
  </w:footnote>
  <w:footnote w:id="141">
    <w:p w14:paraId="5FDAE721" w14:textId="46181E01" w:rsidR="002802DA" w:rsidRPr="009B3437" w:rsidRDefault="002802DA" w:rsidP="002802DA">
      <w:pPr>
        <w:pStyle w:val="Notedebasdepage"/>
      </w:pPr>
      <w:r w:rsidRPr="003F1C76">
        <w:rPr>
          <w:rStyle w:val="Appelnotedebasdep"/>
        </w:rPr>
        <w:footnoteRef/>
      </w:r>
      <w:r w:rsidRPr="000D0CA1">
        <w:t xml:space="preserve"> </w:t>
      </w:r>
      <w:r w:rsidRPr="000D0CA1">
        <w:tab/>
      </w:r>
      <w:r w:rsidRPr="009B3437">
        <w:rPr>
          <w:i/>
          <w:iCs/>
        </w:rPr>
        <w:t>Id.</w:t>
      </w:r>
      <w:r w:rsidRPr="009B3437">
        <w:t>, para</w:t>
      </w:r>
      <w:r w:rsidR="00804B52" w:rsidRPr="009B3437">
        <w:t>s</w:t>
      </w:r>
      <w:r w:rsidRPr="009B3437">
        <w:t>. 626-630.</w:t>
      </w:r>
    </w:p>
  </w:footnote>
  <w:footnote w:id="142">
    <w:p w14:paraId="6BE1D2A0" w14:textId="3D431E47" w:rsidR="002802DA" w:rsidRPr="009B3437" w:rsidRDefault="002802DA" w:rsidP="002802DA">
      <w:pPr>
        <w:pStyle w:val="Notedebasdepage"/>
      </w:pPr>
      <w:r w:rsidRPr="00804B52">
        <w:rPr>
          <w:rStyle w:val="Appelnotedebasdep"/>
          <w:lang w:val="en-CA"/>
        </w:rPr>
        <w:footnoteRef/>
      </w:r>
      <w:r w:rsidRPr="009B3437">
        <w:rPr>
          <w:i/>
          <w:iCs/>
        </w:rPr>
        <w:t xml:space="preserve"> </w:t>
      </w:r>
      <w:r w:rsidRPr="009B3437">
        <w:rPr>
          <w:i/>
          <w:iCs/>
        </w:rPr>
        <w:tab/>
        <w:t>Id</w:t>
      </w:r>
      <w:r w:rsidRPr="009B3437">
        <w:t>., para</w:t>
      </w:r>
      <w:r w:rsidR="00804B52" w:rsidRPr="009B3437">
        <w:t>s</w:t>
      </w:r>
      <w:r w:rsidRPr="009B3437">
        <w:t>. 631-632.</w:t>
      </w:r>
    </w:p>
  </w:footnote>
  <w:footnote w:id="143">
    <w:p w14:paraId="515A24B5" w14:textId="523071A3" w:rsidR="002802DA" w:rsidRPr="009B3437" w:rsidRDefault="002802DA" w:rsidP="002802DA">
      <w:pPr>
        <w:pStyle w:val="Notedebasdepage"/>
      </w:pPr>
      <w:r w:rsidRPr="00804B52">
        <w:rPr>
          <w:rStyle w:val="Appelnotedebasdep"/>
          <w:lang w:val="en-CA"/>
        </w:rPr>
        <w:footnoteRef/>
      </w:r>
      <w:r w:rsidRPr="009B3437">
        <w:t xml:space="preserve"> </w:t>
      </w:r>
      <w:r w:rsidRPr="009B3437">
        <w:tab/>
      </w:r>
      <w:r w:rsidRPr="009B3437">
        <w:rPr>
          <w:i/>
          <w:iCs/>
        </w:rPr>
        <w:t>Id</w:t>
      </w:r>
      <w:r w:rsidRPr="009B3437">
        <w:t>., para. 633.</w:t>
      </w:r>
    </w:p>
  </w:footnote>
  <w:footnote w:id="144">
    <w:p w14:paraId="0A3F12D7" w14:textId="2002F500" w:rsidR="002802DA" w:rsidRPr="009B3437" w:rsidRDefault="002802DA" w:rsidP="002802DA">
      <w:pPr>
        <w:pStyle w:val="Notedebasdepage"/>
      </w:pPr>
      <w:r w:rsidRPr="003F1C76">
        <w:rPr>
          <w:rStyle w:val="Appelnotedebasdep"/>
        </w:rPr>
        <w:footnoteRef/>
      </w:r>
      <w:r w:rsidRPr="003F1C76">
        <w:t xml:space="preserve"> </w:t>
      </w:r>
      <w:r w:rsidRPr="003F1C76">
        <w:tab/>
      </w:r>
      <w:r w:rsidRPr="009B3437">
        <w:rPr>
          <w:i/>
          <w:iCs/>
        </w:rPr>
        <w:t>Association étudiante de l’Université McGill c. X.</w:t>
      </w:r>
      <w:r w:rsidRPr="009B3437">
        <w:t xml:space="preserve">, 2025 QCCA 475, para. 28; </w:t>
      </w:r>
      <w:r w:rsidR="00736C0E" w:rsidRPr="009B3437">
        <w:t>Si also</w:t>
      </w:r>
      <w:r w:rsidRPr="009B3437">
        <w:t xml:space="preserve"> </w:t>
      </w:r>
      <w:r w:rsidRPr="009B3437">
        <w:rPr>
          <w:i/>
          <w:iCs/>
        </w:rPr>
        <w:t>Dis Son Nom c. Marquis</w:t>
      </w:r>
      <w:r w:rsidRPr="009B3437">
        <w:t xml:space="preserve">, </w:t>
      </w:r>
      <w:hyperlink r:id="rId16" w:history="1">
        <w:r w:rsidRPr="009B3437">
          <w:rPr>
            <w:rStyle w:val="Hyperlien"/>
            <w:color w:val="auto"/>
            <w:u w:val="none"/>
          </w:rPr>
          <w:t>2022 QCCA 841</w:t>
        </w:r>
      </w:hyperlink>
      <w:r w:rsidRPr="009B3437">
        <w:t>, para. 62, cit</w:t>
      </w:r>
      <w:r w:rsidR="00736C0E" w:rsidRPr="009B3437">
        <w:t>ing</w:t>
      </w:r>
      <w:r w:rsidRPr="009B3437">
        <w:t xml:space="preserve"> </w:t>
      </w:r>
      <w:r w:rsidRPr="009B3437">
        <w:rPr>
          <w:i/>
          <w:iCs/>
        </w:rPr>
        <w:t>L.B. c. J.S.</w:t>
      </w:r>
      <w:r w:rsidRPr="009B3437">
        <w:t xml:space="preserve">, </w:t>
      </w:r>
      <w:hyperlink r:id="rId17" w:history="1">
        <w:r w:rsidRPr="009B3437">
          <w:rPr>
            <w:rStyle w:val="Hyperlien"/>
            <w:color w:val="auto"/>
            <w:u w:val="none"/>
          </w:rPr>
          <w:t>2021 QCCA 1593</w:t>
        </w:r>
      </w:hyperlink>
      <w:r w:rsidRPr="009B3437">
        <w:t>, para. 6.</w:t>
      </w:r>
    </w:p>
  </w:footnote>
  <w:footnote w:id="145">
    <w:p w14:paraId="30C288D7" w14:textId="50321C52" w:rsidR="002802DA" w:rsidRPr="009B3437" w:rsidRDefault="002802DA" w:rsidP="002802DA">
      <w:pPr>
        <w:pStyle w:val="Notedebasdepage"/>
      </w:pPr>
      <w:r w:rsidRPr="00736C0E">
        <w:rPr>
          <w:rStyle w:val="Appelnotedebasdep"/>
          <w:lang w:val="en-CA"/>
        </w:rPr>
        <w:footnoteRef/>
      </w:r>
      <w:r w:rsidRPr="009B3437">
        <w:t xml:space="preserve"> </w:t>
      </w:r>
      <w:r w:rsidRPr="009B3437">
        <w:tab/>
      </w:r>
      <w:r w:rsidRPr="009B3437">
        <w:rPr>
          <w:i/>
          <w:iCs/>
        </w:rPr>
        <w:t xml:space="preserve">Sherman </w:t>
      </w:r>
      <w:r w:rsidR="00736C0E" w:rsidRPr="009B3437">
        <w:rPr>
          <w:i/>
          <w:iCs/>
        </w:rPr>
        <w:t>Estate</w:t>
      </w:r>
      <w:r w:rsidRPr="009B3437">
        <w:rPr>
          <w:i/>
          <w:iCs/>
        </w:rPr>
        <w:t xml:space="preserve"> </w:t>
      </w:r>
      <w:r w:rsidR="00736C0E" w:rsidRPr="009B3437">
        <w:rPr>
          <w:i/>
          <w:iCs/>
        </w:rPr>
        <w:t>v</w:t>
      </w:r>
      <w:r w:rsidRPr="009B3437">
        <w:rPr>
          <w:i/>
          <w:iCs/>
        </w:rPr>
        <w:t>. Donovan</w:t>
      </w:r>
      <w:r w:rsidRPr="009B3437">
        <w:t>,</w:t>
      </w:r>
      <w:r w:rsidRPr="009B3437">
        <w:rPr>
          <w:i/>
          <w:iCs/>
        </w:rPr>
        <w:t xml:space="preserve"> 2021 </w:t>
      </w:r>
      <w:r w:rsidR="00736C0E" w:rsidRPr="009B3437">
        <w:rPr>
          <w:i/>
          <w:iCs/>
        </w:rPr>
        <w:t>SCC</w:t>
      </w:r>
      <w:r w:rsidRPr="009B3437">
        <w:rPr>
          <w:i/>
          <w:iCs/>
        </w:rPr>
        <w:t xml:space="preserve"> 25</w:t>
      </w:r>
      <w:r w:rsidRPr="009B3437">
        <w:t>, para</w:t>
      </w:r>
      <w:r w:rsidR="00736C0E" w:rsidRPr="009B3437">
        <w:t>s.</w:t>
      </w:r>
      <w:r w:rsidRPr="009B3437">
        <w:t xml:space="preserve"> 1-3.</w:t>
      </w:r>
    </w:p>
  </w:footnote>
  <w:footnote w:id="146">
    <w:p w14:paraId="32086591" w14:textId="0C50D910" w:rsidR="002802DA" w:rsidRPr="009B3437" w:rsidRDefault="002802DA" w:rsidP="002802DA">
      <w:pPr>
        <w:pStyle w:val="Notedebasdepage"/>
      </w:pPr>
      <w:r w:rsidRPr="00736C0E">
        <w:rPr>
          <w:rStyle w:val="Appelnotedebasdep"/>
          <w:lang w:val="en-CA"/>
        </w:rPr>
        <w:footnoteRef/>
      </w:r>
      <w:r w:rsidRPr="009B3437">
        <w:t xml:space="preserve"> </w:t>
      </w:r>
      <w:r w:rsidRPr="009B3437">
        <w:tab/>
      </w:r>
      <w:r w:rsidRPr="009B3437">
        <w:rPr>
          <w:i/>
          <w:iCs/>
        </w:rPr>
        <w:t>Id.</w:t>
      </w:r>
      <w:r w:rsidRPr="009B3437">
        <w:t xml:space="preserve">, </w:t>
      </w:r>
      <w:r w:rsidRPr="009B3437">
        <w:rPr>
          <w:rFonts w:cs="Arial"/>
        </w:rPr>
        <w:t>para. </w:t>
      </w:r>
      <w:r w:rsidRPr="009B3437">
        <w:t>38.</w:t>
      </w:r>
    </w:p>
  </w:footnote>
  <w:footnote w:id="147">
    <w:p w14:paraId="072D2DC4" w14:textId="0CA06CC3" w:rsidR="002802DA" w:rsidRPr="00736C0E" w:rsidRDefault="002802DA" w:rsidP="002802DA">
      <w:pPr>
        <w:pStyle w:val="Notedebasdepage"/>
        <w:rPr>
          <w:lang w:val="en-CA"/>
        </w:rPr>
      </w:pPr>
      <w:r w:rsidRPr="00736C0E">
        <w:rPr>
          <w:rStyle w:val="Appelnotedebasdep"/>
          <w:lang w:val="en-CA"/>
        </w:rPr>
        <w:footnoteRef/>
      </w:r>
      <w:r w:rsidRPr="009B3437">
        <w:t xml:space="preserve"> </w:t>
      </w:r>
      <w:r w:rsidRPr="009B3437">
        <w:tab/>
      </w:r>
      <w:r w:rsidRPr="009B3437">
        <w:rPr>
          <w:i/>
          <w:iCs/>
        </w:rPr>
        <w:t>Id.</w:t>
      </w:r>
      <w:r w:rsidRPr="009B3437">
        <w:t xml:space="preserve">, para. 30. </w:t>
      </w:r>
      <w:r w:rsidR="00736C0E" w:rsidRPr="009B3437">
        <w:t>See also</w:t>
      </w:r>
      <w:r w:rsidRPr="009B3437">
        <w:t xml:space="preserve">: </w:t>
      </w:r>
      <w:r w:rsidRPr="009B3437">
        <w:rPr>
          <w:i/>
          <w:iCs/>
        </w:rPr>
        <w:t>Édifice 500 Grande-Allée Est inc. c. Procureur général du Québec</w:t>
      </w:r>
      <w:r w:rsidRPr="009B3437">
        <w:t xml:space="preserve">, 2024 QCCA 1287, para. </w:t>
      </w:r>
      <w:r w:rsidRPr="00736C0E">
        <w:rPr>
          <w:lang w:val="en-CA"/>
        </w:rPr>
        <w:t>65.</w:t>
      </w:r>
    </w:p>
  </w:footnote>
  <w:footnote w:id="148">
    <w:p w14:paraId="6B41739E" w14:textId="118137A8" w:rsidR="002802DA" w:rsidRPr="00CC251B" w:rsidRDefault="002802DA" w:rsidP="002802DA">
      <w:pPr>
        <w:pStyle w:val="Notedebasdepage"/>
        <w:rPr>
          <w:lang w:val="en-CA"/>
        </w:rPr>
      </w:pPr>
      <w:r w:rsidRPr="003F1C76">
        <w:rPr>
          <w:rStyle w:val="Appelnotedebasdep"/>
        </w:rPr>
        <w:footnoteRef/>
      </w:r>
      <w:r w:rsidRPr="004613AB">
        <w:rPr>
          <w:lang w:val="en-CA"/>
        </w:rPr>
        <w:t xml:space="preserve"> </w:t>
      </w:r>
      <w:r w:rsidRPr="004613AB">
        <w:rPr>
          <w:lang w:val="en-CA"/>
        </w:rPr>
        <w:tab/>
      </w:r>
      <w:r w:rsidRPr="00CC251B">
        <w:rPr>
          <w:i/>
          <w:iCs/>
          <w:lang w:val="en-CA"/>
        </w:rPr>
        <w:t xml:space="preserve">Sherman </w:t>
      </w:r>
      <w:r w:rsidR="00CC251B">
        <w:rPr>
          <w:i/>
          <w:iCs/>
          <w:lang w:val="en-CA"/>
        </w:rPr>
        <w:t>Estate</w:t>
      </w:r>
      <w:r w:rsidRPr="00CC251B">
        <w:rPr>
          <w:i/>
          <w:iCs/>
          <w:lang w:val="en-CA"/>
        </w:rPr>
        <w:t xml:space="preserve"> </w:t>
      </w:r>
      <w:r w:rsidR="00CC251B">
        <w:rPr>
          <w:i/>
          <w:iCs/>
          <w:lang w:val="en-CA"/>
        </w:rPr>
        <w:t>v</w:t>
      </w:r>
      <w:r w:rsidRPr="00CC251B">
        <w:rPr>
          <w:i/>
          <w:iCs/>
          <w:lang w:val="en-CA"/>
        </w:rPr>
        <w:t>. Donovan</w:t>
      </w:r>
      <w:r w:rsidRPr="00CC251B">
        <w:rPr>
          <w:lang w:val="en-CA"/>
        </w:rPr>
        <w:t>,</w:t>
      </w:r>
      <w:r w:rsidRPr="00CC251B">
        <w:rPr>
          <w:i/>
          <w:iCs/>
          <w:lang w:val="en-CA"/>
        </w:rPr>
        <w:t xml:space="preserve"> 2021 </w:t>
      </w:r>
      <w:r w:rsidR="00CC251B">
        <w:rPr>
          <w:i/>
          <w:iCs/>
          <w:lang w:val="en-CA"/>
        </w:rPr>
        <w:t>SCC</w:t>
      </w:r>
      <w:r w:rsidRPr="00CC251B">
        <w:rPr>
          <w:i/>
          <w:iCs/>
          <w:lang w:val="en-CA"/>
        </w:rPr>
        <w:t xml:space="preserve"> 25</w:t>
      </w:r>
      <w:r w:rsidRPr="00CC251B">
        <w:rPr>
          <w:lang w:val="en-CA"/>
        </w:rPr>
        <w:t>, para</w:t>
      </w:r>
      <w:r w:rsidR="00CC251B">
        <w:rPr>
          <w:lang w:val="en-CA"/>
        </w:rPr>
        <w:t>s</w:t>
      </w:r>
      <w:r w:rsidRPr="00CC251B">
        <w:rPr>
          <w:lang w:val="en-CA"/>
        </w:rPr>
        <w:t xml:space="preserve">. 31, 56-60 </w:t>
      </w:r>
      <w:r w:rsidR="00CC251B">
        <w:rPr>
          <w:lang w:val="en-CA"/>
        </w:rPr>
        <w:t>and</w:t>
      </w:r>
      <w:r w:rsidRPr="00CC251B">
        <w:rPr>
          <w:lang w:val="en-CA"/>
        </w:rPr>
        <w:t xml:space="preserve"> 74.</w:t>
      </w:r>
    </w:p>
  </w:footnote>
  <w:footnote w:id="149">
    <w:p w14:paraId="48FD762D" w14:textId="4299AE43" w:rsidR="002802DA" w:rsidRPr="00CC251B" w:rsidRDefault="002802DA" w:rsidP="002802DA">
      <w:pPr>
        <w:pStyle w:val="Notedebasdepage"/>
        <w:rPr>
          <w:lang w:val="en-CA"/>
        </w:rPr>
      </w:pPr>
      <w:r w:rsidRPr="00CC251B">
        <w:rPr>
          <w:rStyle w:val="Appelnotedebasdep"/>
          <w:lang w:val="en-CA"/>
        </w:rPr>
        <w:footnoteRef/>
      </w:r>
      <w:r w:rsidRPr="00CC251B">
        <w:rPr>
          <w:lang w:val="en-CA"/>
        </w:rPr>
        <w:t xml:space="preserve"> </w:t>
      </w:r>
      <w:r w:rsidRPr="00CC251B">
        <w:rPr>
          <w:lang w:val="en-CA"/>
        </w:rPr>
        <w:tab/>
      </w:r>
      <w:r w:rsidRPr="00CC251B">
        <w:rPr>
          <w:i/>
          <w:iCs/>
          <w:lang w:val="en-CA"/>
        </w:rPr>
        <w:t>Id.</w:t>
      </w:r>
      <w:r w:rsidRPr="00CC251B">
        <w:rPr>
          <w:lang w:val="en-CA"/>
        </w:rPr>
        <w:t>, para. 31.</w:t>
      </w:r>
    </w:p>
  </w:footnote>
  <w:footnote w:id="150">
    <w:p w14:paraId="3EAB66E7" w14:textId="6BC09858" w:rsidR="002802DA" w:rsidRPr="00CC251B" w:rsidRDefault="002802DA" w:rsidP="002802DA">
      <w:pPr>
        <w:pStyle w:val="Notedebasdepage"/>
        <w:rPr>
          <w:lang w:val="en-CA"/>
        </w:rPr>
      </w:pPr>
      <w:r w:rsidRPr="00CC251B">
        <w:rPr>
          <w:rStyle w:val="Appelnotedebasdep"/>
          <w:lang w:val="en-CA"/>
        </w:rPr>
        <w:footnoteRef/>
      </w:r>
      <w:r w:rsidRPr="00CC251B">
        <w:rPr>
          <w:lang w:val="en-CA"/>
        </w:rPr>
        <w:t xml:space="preserve"> </w:t>
      </w:r>
      <w:r w:rsidRPr="00CC251B">
        <w:rPr>
          <w:lang w:val="en-CA"/>
        </w:rPr>
        <w:tab/>
      </w:r>
      <w:r w:rsidRPr="00CC251B">
        <w:rPr>
          <w:i/>
          <w:iCs/>
          <w:lang w:val="en-CA"/>
        </w:rPr>
        <w:t>Id.</w:t>
      </w:r>
      <w:r w:rsidRPr="00CC251B">
        <w:rPr>
          <w:lang w:val="en-CA"/>
        </w:rPr>
        <w:t>, para. 34.</w:t>
      </w:r>
    </w:p>
  </w:footnote>
  <w:footnote w:id="151">
    <w:p w14:paraId="50977B7E" w14:textId="44180D24" w:rsidR="002802DA" w:rsidRPr="009B3437" w:rsidRDefault="002802DA" w:rsidP="002802DA">
      <w:pPr>
        <w:pStyle w:val="Notedebasdepage"/>
      </w:pPr>
      <w:r w:rsidRPr="00CC251B">
        <w:rPr>
          <w:rStyle w:val="Appelnotedebasdep"/>
          <w:lang w:val="en-CA"/>
        </w:rPr>
        <w:footnoteRef/>
      </w:r>
      <w:r w:rsidRPr="00CC251B">
        <w:rPr>
          <w:lang w:val="en-CA"/>
        </w:rPr>
        <w:t xml:space="preserve"> </w:t>
      </w:r>
      <w:r w:rsidRPr="00CC251B">
        <w:rPr>
          <w:lang w:val="en-CA"/>
        </w:rPr>
        <w:tab/>
      </w:r>
      <w:r w:rsidRPr="00CC251B">
        <w:rPr>
          <w:i/>
          <w:iCs/>
          <w:lang w:val="en-CA"/>
        </w:rPr>
        <w:t>Id.</w:t>
      </w:r>
      <w:r w:rsidRPr="00CC251B">
        <w:rPr>
          <w:lang w:val="en-CA"/>
        </w:rPr>
        <w:t xml:space="preserve">, para. 35; </w:t>
      </w:r>
      <w:r w:rsidR="00CC251B">
        <w:rPr>
          <w:lang w:val="en-CA"/>
        </w:rPr>
        <w:t>See also</w:t>
      </w:r>
      <w:r w:rsidRPr="00CC251B">
        <w:rPr>
          <w:lang w:val="en-CA"/>
        </w:rPr>
        <w:t xml:space="preserve"> </w:t>
      </w:r>
      <w:r w:rsidRPr="00CC251B">
        <w:rPr>
          <w:i/>
          <w:iCs/>
          <w:lang w:val="en-CA"/>
        </w:rPr>
        <w:t>Id.</w:t>
      </w:r>
      <w:r w:rsidRPr="00CC251B">
        <w:rPr>
          <w:lang w:val="en-CA"/>
        </w:rPr>
        <w:t xml:space="preserve">, </w:t>
      </w:r>
      <w:r w:rsidRPr="00CC251B">
        <w:rPr>
          <w:rFonts w:cs="Arial"/>
          <w:lang w:val="en-CA"/>
        </w:rPr>
        <w:t>para</w:t>
      </w:r>
      <w:r w:rsidR="00CC251B">
        <w:rPr>
          <w:rFonts w:cs="Arial"/>
          <w:lang w:val="en-CA"/>
        </w:rPr>
        <w:t>s</w:t>
      </w:r>
      <w:r w:rsidRPr="00CC251B">
        <w:rPr>
          <w:rFonts w:cs="Arial"/>
          <w:lang w:val="en-CA"/>
        </w:rPr>
        <w:t>. </w:t>
      </w:r>
      <w:r w:rsidRPr="009B3437">
        <w:t xml:space="preserve">63 </w:t>
      </w:r>
      <w:r w:rsidR="00CC251B" w:rsidRPr="009B3437">
        <w:t>and</w:t>
      </w:r>
      <w:r w:rsidRPr="009B3437">
        <w:t xml:space="preserve"> 71-73.</w:t>
      </w:r>
    </w:p>
  </w:footnote>
  <w:footnote w:id="152">
    <w:p w14:paraId="5E6966DD" w14:textId="77777777" w:rsidR="002802DA" w:rsidRPr="003F1C76" w:rsidRDefault="002802DA" w:rsidP="002802DA">
      <w:pPr>
        <w:pStyle w:val="Notedebasdepage"/>
      </w:pPr>
      <w:r w:rsidRPr="003F1C76">
        <w:rPr>
          <w:rStyle w:val="Appelnotedebasdep"/>
        </w:rPr>
        <w:footnoteRef/>
      </w:r>
      <w:r w:rsidRPr="003F1C76">
        <w:t xml:space="preserve"> </w:t>
      </w:r>
      <w:r w:rsidRPr="003F1C76">
        <w:tab/>
      </w:r>
      <w:r w:rsidRPr="003F1C76">
        <w:rPr>
          <w:i/>
          <w:iCs/>
        </w:rPr>
        <w:t>Id.</w:t>
      </w:r>
      <w:r w:rsidRPr="003F1C76">
        <w:t>, paragr. 42 et 79.</w:t>
      </w:r>
    </w:p>
  </w:footnote>
  <w:footnote w:id="153">
    <w:p w14:paraId="0C9C212D" w14:textId="3CB7FE9E" w:rsidR="002802DA" w:rsidRPr="009A4DD9" w:rsidRDefault="002802DA" w:rsidP="002802DA">
      <w:pPr>
        <w:pStyle w:val="Notedebasdepage"/>
        <w:rPr>
          <w:lang w:val="en-CA"/>
        </w:rPr>
      </w:pPr>
      <w:r w:rsidRPr="003F1C76">
        <w:rPr>
          <w:rStyle w:val="Appelnotedebasdep"/>
        </w:rPr>
        <w:footnoteRef/>
      </w:r>
      <w:r w:rsidRPr="003F1C76">
        <w:t xml:space="preserve"> </w:t>
      </w:r>
      <w:r w:rsidRPr="003F1C76">
        <w:tab/>
      </w:r>
      <w:r w:rsidRPr="009B3437">
        <w:rPr>
          <w:i/>
          <w:iCs/>
        </w:rPr>
        <w:t>Id.</w:t>
      </w:r>
      <w:r w:rsidRPr="009B3437">
        <w:t>, para</w:t>
      </w:r>
      <w:r w:rsidR="00464427" w:rsidRPr="009B3437">
        <w:t>s</w:t>
      </w:r>
      <w:r w:rsidRPr="009B3437">
        <w:t xml:space="preserve">. </w:t>
      </w:r>
      <w:r w:rsidRPr="009A4DD9">
        <w:rPr>
          <w:lang w:val="en-CA"/>
        </w:rPr>
        <w:t>72-73.</w:t>
      </w:r>
    </w:p>
  </w:footnote>
  <w:footnote w:id="154">
    <w:p w14:paraId="5CB17C9C" w14:textId="5C8BDD74" w:rsidR="002802DA" w:rsidRPr="009A4DD9" w:rsidRDefault="002802DA" w:rsidP="002802DA">
      <w:pPr>
        <w:pStyle w:val="Notedebasdepage"/>
        <w:rPr>
          <w:lang w:val="en-CA"/>
        </w:rPr>
      </w:pPr>
      <w:r w:rsidRPr="009A4DD9">
        <w:rPr>
          <w:rStyle w:val="Appelnotedebasdep"/>
          <w:lang w:val="en-CA"/>
        </w:rPr>
        <w:footnoteRef/>
      </w:r>
      <w:r w:rsidRPr="009A4DD9">
        <w:rPr>
          <w:lang w:val="en-CA"/>
        </w:rPr>
        <w:t xml:space="preserve"> </w:t>
      </w:r>
      <w:r w:rsidRPr="009A4DD9">
        <w:rPr>
          <w:lang w:val="en-CA"/>
        </w:rPr>
        <w:tab/>
      </w:r>
      <w:r w:rsidR="00464427" w:rsidRPr="009A4DD9">
        <w:rPr>
          <w:lang w:val="en-CA"/>
        </w:rPr>
        <w:t xml:space="preserve">And </w:t>
      </w:r>
      <w:r w:rsidR="009270E3" w:rsidRPr="009A4DD9">
        <w:rPr>
          <w:lang w:val="en-CA"/>
        </w:rPr>
        <w:t xml:space="preserve">that was considered as such by </w:t>
      </w:r>
      <w:r w:rsidR="00464427" w:rsidRPr="009A4DD9">
        <w:rPr>
          <w:lang w:val="en-CA"/>
        </w:rPr>
        <w:t>the judge</w:t>
      </w:r>
      <w:r w:rsidRPr="009A4DD9">
        <w:rPr>
          <w:lang w:val="en-CA"/>
        </w:rPr>
        <w:t xml:space="preserve">: </w:t>
      </w:r>
      <w:r w:rsidR="00464427" w:rsidRPr="009A4DD9">
        <w:rPr>
          <w:lang w:val="en-CA"/>
        </w:rPr>
        <w:t>Judgment under appeal</w:t>
      </w:r>
      <w:r w:rsidRPr="009A4DD9">
        <w:rPr>
          <w:lang w:val="en-CA"/>
        </w:rPr>
        <w:t>, para. 617.</w:t>
      </w:r>
    </w:p>
  </w:footnote>
  <w:footnote w:id="155">
    <w:p w14:paraId="20064E88" w14:textId="26737CAA" w:rsidR="002802DA" w:rsidRPr="009A4DD9" w:rsidRDefault="002802DA" w:rsidP="002802DA">
      <w:pPr>
        <w:pStyle w:val="Notedebasdepage"/>
        <w:rPr>
          <w:lang w:val="en-CA"/>
        </w:rPr>
      </w:pPr>
      <w:r w:rsidRPr="009A4DD9">
        <w:rPr>
          <w:rStyle w:val="Appelnotedebasdep"/>
          <w:lang w:val="en-CA"/>
        </w:rPr>
        <w:footnoteRef/>
      </w:r>
      <w:r w:rsidRPr="009A4DD9">
        <w:rPr>
          <w:lang w:val="en-CA"/>
        </w:rPr>
        <w:t xml:space="preserve"> </w:t>
      </w:r>
      <w:r w:rsidRPr="009A4DD9">
        <w:rPr>
          <w:lang w:val="en-CA"/>
        </w:rPr>
        <w:tab/>
      </w:r>
      <w:r w:rsidRPr="009A4DD9">
        <w:rPr>
          <w:i/>
          <w:iCs/>
          <w:lang w:val="en-CA"/>
        </w:rPr>
        <w:t xml:space="preserve">Sherman </w:t>
      </w:r>
      <w:r w:rsidR="009A4DD9" w:rsidRPr="009A4DD9">
        <w:rPr>
          <w:i/>
          <w:iCs/>
          <w:lang w:val="en-CA"/>
        </w:rPr>
        <w:t>Estate</w:t>
      </w:r>
      <w:r w:rsidRPr="009A4DD9">
        <w:rPr>
          <w:i/>
          <w:iCs/>
          <w:lang w:val="en-CA"/>
        </w:rPr>
        <w:t xml:space="preserve"> </w:t>
      </w:r>
      <w:r w:rsidR="009A4DD9" w:rsidRPr="009A4DD9">
        <w:rPr>
          <w:i/>
          <w:iCs/>
          <w:lang w:val="en-CA"/>
        </w:rPr>
        <w:t>v</w:t>
      </w:r>
      <w:r w:rsidRPr="009A4DD9">
        <w:rPr>
          <w:i/>
          <w:iCs/>
          <w:lang w:val="en-CA"/>
        </w:rPr>
        <w:t>. Donovan</w:t>
      </w:r>
      <w:r w:rsidRPr="009A4DD9">
        <w:rPr>
          <w:lang w:val="en-CA"/>
        </w:rPr>
        <w:t>,</w:t>
      </w:r>
      <w:r w:rsidRPr="009A4DD9">
        <w:rPr>
          <w:i/>
          <w:iCs/>
          <w:lang w:val="en-CA"/>
        </w:rPr>
        <w:t xml:space="preserve"> 2021 </w:t>
      </w:r>
      <w:r w:rsidR="009A4DD9" w:rsidRPr="009A4DD9">
        <w:rPr>
          <w:i/>
          <w:iCs/>
          <w:lang w:val="en-CA"/>
        </w:rPr>
        <w:t>SCC</w:t>
      </w:r>
      <w:r w:rsidRPr="009A4DD9">
        <w:rPr>
          <w:i/>
          <w:iCs/>
          <w:lang w:val="en-CA"/>
        </w:rPr>
        <w:t xml:space="preserve"> 25, </w:t>
      </w:r>
      <w:r w:rsidRPr="009A4DD9">
        <w:rPr>
          <w:lang w:val="en-CA"/>
        </w:rPr>
        <w:t xml:space="preserve">para. 81. </w:t>
      </w:r>
      <w:r w:rsidR="009A4DD9" w:rsidRPr="009A4DD9">
        <w:rPr>
          <w:lang w:val="en-CA"/>
        </w:rPr>
        <w:t>Aggravation</w:t>
      </w:r>
      <w:r w:rsidRPr="009A4DD9">
        <w:rPr>
          <w:lang w:val="en-CA"/>
        </w:rPr>
        <w:t xml:space="preserve"> </w:t>
      </w:r>
      <w:r w:rsidR="009A4DD9" w:rsidRPr="009A4DD9">
        <w:rPr>
          <w:lang w:val="en-CA"/>
        </w:rPr>
        <w:t>of the injury</w:t>
      </w:r>
      <w:r w:rsidRPr="009A4DD9">
        <w:rPr>
          <w:lang w:val="en-CA"/>
        </w:rPr>
        <w:t xml:space="preserve"> </w:t>
      </w:r>
      <w:r w:rsidR="009A4DD9" w:rsidRPr="009A4DD9">
        <w:rPr>
          <w:lang w:val="en-CA"/>
        </w:rPr>
        <w:t xml:space="preserve">was sufficient to justify an order in </w:t>
      </w:r>
      <w:r w:rsidRPr="009A4DD9">
        <w:rPr>
          <w:i/>
          <w:iCs/>
          <w:lang w:val="en-CA"/>
        </w:rPr>
        <w:t>J.C. c. Douville</w:t>
      </w:r>
      <w:r w:rsidRPr="009A4DD9">
        <w:rPr>
          <w:lang w:val="en-CA"/>
        </w:rPr>
        <w:t>, 2022 QCCA 958, para. 55 [</w:t>
      </w:r>
      <w:r w:rsidRPr="009A4DD9">
        <w:rPr>
          <w:i/>
          <w:iCs/>
          <w:lang w:val="en-CA"/>
        </w:rPr>
        <w:t>Douville</w:t>
      </w:r>
      <w:r w:rsidRPr="009A4DD9">
        <w:rPr>
          <w:lang w:val="en-CA"/>
        </w:rPr>
        <w:t>].</w:t>
      </w:r>
    </w:p>
  </w:footnote>
  <w:footnote w:id="156">
    <w:p w14:paraId="2CFF736D" w14:textId="6F073EC4" w:rsidR="002802DA" w:rsidRPr="009B3437" w:rsidRDefault="002802DA" w:rsidP="002802DA">
      <w:pPr>
        <w:pStyle w:val="Notedebasdepage"/>
      </w:pPr>
      <w:r w:rsidRPr="003F1C76">
        <w:rPr>
          <w:rStyle w:val="Appelnotedebasdep"/>
        </w:rPr>
        <w:footnoteRef/>
      </w:r>
      <w:r w:rsidRPr="009B3437">
        <w:rPr>
          <w:lang w:val="en-CA"/>
        </w:rPr>
        <w:t xml:space="preserve"> </w:t>
      </w:r>
      <w:r w:rsidRPr="009B3437">
        <w:rPr>
          <w:lang w:val="en-CA"/>
        </w:rPr>
        <w:tab/>
      </w:r>
      <w:r w:rsidR="00E056CF" w:rsidRPr="00E056CF">
        <w:rPr>
          <w:lang w:val="en-CA"/>
        </w:rPr>
        <w:t>Such as</w:t>
      </w:r>
      <w:r w:rsidR="00E056CF">
        <w:rPr>
          <w:lang w:val="en-CA"/>
        </w:rPr>
        <w:t xml:space="preserve"> in</w:t>
      </w:r>
      <w:r w:rsidR="00E056CF" w:rsidRPr="00E056CF">
        <w:rPr>
          <w:lang w:val="en-CA"/>
        </w:rPr>
        <w:t xml:space="preserve"> </w:t>
      </w:r>
      <w:r w:rsidRPr="00E056CF">
        <w:rPr>
          <w:i/>
          <w:iCs/>
          <w:lang w:val="en-CA"/>
        </w:rPr>
        <w:t xml:space="preserve">J.C. c. </w:t>
      </w:r>
      <w:bookmarkStart w:id="71" w:name="_Hlk207627582"/>
      <w:r w:rsidRPr="00E056CF">
        <w:rPr>
          <w:i/>
          <w:iCs/>
          <w:lang w:val="en-CA"/>
        </w:rPr>
        <w:t>Douville</w:t>
      </w:r>
      <w:bookmarkEnd w:id="71"/>
      <w:r w:rsidRPr="00E056CF">
        <w:rPr>
          <w:lang w:val="en-CA"/>
        </w:rPr>
        <w:t xml:space="preserve">, 2022 QCCA 958. </w:t>
      </w:r>
      <w:r w:rsidR="00E056CF">
        <w:rPr>
          <w:lang w:val="en-CA"/>
        </w:rPr>
        <w:t>See also</w:t>
      </w:r>
      <w:r w:rsidRPr="00E056CF">
        <w:rPr>
          <w:lang w:val="en-CA"/>
        </w:rPr>
        <w:t xml:space="preserve">: </w:t>
      </w:r>
      <w:r w:rsidRPr="00E056CF">
        <w:rPr>
          <w:i/>
          <w:iCs/>
          <w:lang w:val="en-CA"/>
        </w:rPr>
        <w:t>J.I.B. c. Vallée</w:t>
      </w:r>
      <w:r w:rsidRPr="00E056CF">
        <w:rPr>
          <w:lang w:val="en-CA"/>
        </w:rPr>
        <w:t xml:space="preserve">, [1996] R.J.Q. 2480 (C.A.); </w:t>
      </w:r>
      <w:r w:rsidRPr="00E056CF">
        <w:rPr>
          <w:i/>
          <w:iCs/>
          <w:lang w:val="en-CA"/>
        </w:rPr>
        <w:t>S. c. Lamontagne</w:t>
      </w:r>
      <w:r w:rsidRPr="00E056CF">
        <w:rPr>
          <w:lang w:val="en-CA"/>
        </w:rPr>
        <w:t xml:space="preserve">, 2020 QCCA 663. </w:t>
      </w:r>
      <w:r w:rsidR="00E056CF">
        <w:rPr>
          <w:lang w:val="en-CA"/>
        </w:rPr>
        <w:t>The absence of such information was a criterion justifying the denial of a publication ban</w:t>
      </w:r>
      <w:r w:rsidRPr="00E056CF">
        <w:rPr>
          <w:lang w:val="en-CA"/>
        </w:rPr>
        <w:t xml:space="preserve">: </w:t>
      </w:r>
      <w:bookmarkStart w:id="72" w:name="_Hlk207628148"/>
      <w:r w:rsidRPr="00E056CF">
        <w:rPr>
          <w:i/>
          <w:iCs/>
          <w:lang w:val="en-CA"/>
        </w:rPr>
        <w:t xml:space="preserve">Dis Son Nom </w:t>
      </w:r>
      <w:bookmarkEnd w:id="72"/>
      <w:r w:rsidRPr="00E056CF">
        <w:rPr>
          <w:i/>
          <w:iCs/>
          <w:lang w:val="en-CA"/>
        </w:rPr>
        <w:t>c. Marquis</w:t>
      </w:r>
      <w:r w:rsidRPr="00E056CF">
        <w:rPr>
          <w:lang w:val="en-CA"/>
        </w:rPr>
        <w:t>, 2022 QCCA 841 (</w:t>
      </w:r>
      <w:r w:rsidR="00E056CF">
        <w:rPr>
          <w:lang w:val="en-CA"/>
        </w:rPr>
        <w:t>although the appellant alleged having been a victim pf sexual assault, that was not relevant to the case</w:t>
      </w:r>
      <w:r w:rsidRPr="00E056CF">
        <w:rPr>
          <w:lang w:val="en-CA"/>
        </w:rPr>
        <w:t>) [</w:t>
      </w:r>
      <w:r w:rsidRPr="00E056CF">
        <w:rPr>
          <w:i/>
          <w:iCs/>
          <w:lang w:val="en-CA"/>
        </w:rPr>
        <w:t>Dis Son Nom</w:t>
      </w:r>
      <w:r w:rsidRPr="00E056CF">
        <w:rPr>
          <w:lang w:val="en-CA"/>
        </w:rPr>
        <w:t xml:space="preserve">]; </w:t>
      </w:r>
      <w:r w:rsidRPr="00E056CF">
        <w:rPr>
          <w:i/>
          <w:iCs/>
          <w:lang w:val="en-CA"/>
        </w:rPr>
        <w:t>A.B. c. Robillard</w:t>
      </w:r>
      <w:r w:rsidRPr="00E056CF">
        <w:rPr>
          <w:lang w:val="en-CA"/>
        </w:rPr>
        <w:t>, 2022 QCCA 959, para</w:t>
      </w:r>
      <w:r w:rsidR="00E056CF">
        <w:rPr>
          <w:lang w:val="en-CA"/>
        </w:rPr>
        <w:t>s</w:t>
      </w:r>
      <w:r w:rsidRPr="00E056CF">
        <w:rPr>
          <w:lang w:val="en-CA"/>
        </w:rPr>
        <w:t xml:space="preserve">. </w:t>
      </w:r>
      <w:r w:rsidRPr="009B3437">
        <w:t>30-31 [</w:t>
      </w:r>
      <w:bookmarkStart w:id="73" w:name="_Hlk207628158"/>
      <w:r w:rsidRPr="009B3437">
        <w:rPr>
          <w:i/>
          <w:iCs/>
        </w:rPr>
        <w:t>Robillard</w:t>
      </w:r>
      <w:bookmarkEnd w:id="73"/>
      <w:r w:rsidRPr="009B3437">
        <w:t>].</w:t>
      </w:r>
    </w:p>
  </w:footnote>
  <w:footnote w:id="157">
    <w:p w14:paraId="5EFBE307" w14:textId="3723F0B5" w:rsidR="002802DA" w:rsidRPr="009B3437" w:rsidRDefault="002802DA" w:rsidP="002802DA">
      <w:pPr>
        <w:pStyle w:val="Notedebasdepage"/>
      </w:pPr>
      <w:r w:rsidRPr="00E056CF">
        <w:rPr>
          <w:rStyle w:val="Appelnotedebasdep"/>
          <w:lang w:val="en-CA"/>
        </w:rPr>
        <w:footnoteRef/>
      </w:r>
      <w:r w:rsidRPr="009B3437">
        <w:t xml:space="preserve"> </w:t>
      </w:r>
      <w:r w:rsidRPr="009B3437">
        <w:tab/>
      </w:r>
      <w:r w:rsidRPr="009B3437">
        <w:rPr>
          <w:i/>
          <w:iCs/>
        </w:rPr>
        <w:t xml:space="preserve">Sherman </w:t>
      </w:r>
      <w:r w:rsidR="00E056CF" w:rsidRPr="009B3437">
        <w:rPr>
          <w:i/>
          <w:iCs/>
        </w:rPr>
        <w:t>Estate</w:t>
      </w:r>
      <w:r w:rsidRPr="009B3437">
        <w:rPr>
          <w:i/>
          <w:iCs/>
        </w:rPr>
        <w:t xml:space="preserve"> </w:t>
      </w:r>
      <w:r w:rsidR="00E056CF" w:rsidRPr="009B3437">
        <w:rPr>
          <w:i/>
          <w:iCs/>
        </w:rPr>
        <w:t>v</w:t>
      </w:r>
      <w:r w:rsidRPr="009B3437">
        <w:rPr>
          <w:i/>
          <w:iCs/>
        </w:rPr>
        <w:t>. Donovan</w:t>
      </w:r>
      <w:r w:rsidRPr="009B3437">
        <w:t>,</w:t>
      </w:r>
      <w:r w:rsidRPr="009B3437">
        <w:rPr>
          <w:i/>
          <w:iCs/>
        </w:rPr>
        <w:t xml:space="preserve"> 2021 </w:t>
      </w:r>
      <w:r w:rsidR="00CD0796" w:rsidRPr="009B3437">
        <w:rPr>
          <w:i/>
          <w:iCs/>
        </w:rPr>
        <w:t>SCC</w:t>
      </w:r>
      <w:r w:rsidRPr="009B3437">
        <w:rPr>
          <w:i/>
          <w:iCs/>
        </w:rPr>
        <w:t xml:space="preserve"> 25</w:t>
      </w:r>
      <w:r w:rsidRPr="009B3437">
        <w:t xml:space="preserve">, </w:t>
      </w:r>
      <w:r w:rsidR="00E056CF" w:rsidRPr="009B3437">
        <w:t>para</w:t>
      </w:r>
      <w:r w:rsidRPr="009B3437">
        <w:t>. 77.</w:t>
      </w:r>
    </w:p>
  </w:footnote>
  <w:footnote w:id="158">
    <w:p w14:paraId="004179DC" w14:textId="60E12447" w:rsidR="002802DA" w:rsidRPr="009B3437" w:rsidRDefault="002802DA" w:rsidP="002802DA">
      <w:pPr>
        <w:pStyle w:val="Notedebasdepage"/>
      </w:pPr>
      <w:r w:rsidRPr="00E056CF">
        <w:rPr>
          <w:rStyle w:val="Appelnotedebasdep"/>
          <w:lang w:val="en-CA"/>
        </w:rPr>
        <w:footnoteRef/>
      </w:r>
      <w:r w:rsidRPr="009B3437">
        <w:t xml:space="preserve"> </w:t>
      </w:r>
      <w:r w:rsidRPr="009B3437">
        <w:tab/>
      </w:r>
      <w:r w:rsidR="00E056CF" w:rsidRPr="009B3437">
        <w:t>See, for example</w:t>
      </w:r>
      <w:r w:rsidRPr="009B3437">
        <w:t xml:space="preserve">: </w:t>
      </w:r>
      <w:r w:rsidRPr="009B3437">
        <w:rPr>
          <w:i/>
          <w:iCs/>
        </w:rPr>
        <w:t>Maison des femmes sourdes de Montréal c. Communauté des sœurs de Charité de la Providence</w:t>
      </w:r>
      <w:r w:rsidRPr="009B3437">
        <w:t>, 2022 QCCS 489 [</w:t>
      </w:r>
      <w:r w:rsidRPr="009B3437">
        <w:rPr>
          <w:i/>
          <w:iCs/>
        </w:rPr>
        <w:t>Maison des femmes sourdes de Montréal</w:t>
      </w:r>
      <w:r w:rsidRPr="009B3437">
        <w:t xml:space="preserve">]; </w:t>
      </w:r>
      <w:r w:rsidRPr="009B3437">
        <w:rPr>
          <w:i/>
          <w:iCs/>
        </w:rPr>
        <w:t xml:space="preserve">A.B. c. </w:t>
      </w:r>
      <w:bookmarkStart w:id="75" w:name="_Hlk207629065"/>
      <w:r w:rsidRPr="009B3437">
        <w:rPr>
          <w:i/>
          <w:iCs/>
        </w:rPr>
        <w:t>Frères de Saint-Gabriel du Canada</w:t>
      </w:r>
      <w:bookmarkEnd w:id="75"/>
      <w:r w:rsidRPr="009B3437">
        <w:t>, 2021 QCCS 2018 [</w:t>
      </w:r>
      <w:r w:rsidRPr="009B3437">
        <w:rPr>
          <w:i/>
          <w:iCs/>
        </w:rPr>
        <w:t>Frères de Saint-Gabriel du Canada</w:t>
      </w:r>
      <w:r w:rsidRPr="009B3437">
        <w:t>].</w:t>
      </w:r>
    </w:p>
  </w:footnote>
  <w:footnote w:id="159">
    <w:p w14:paraId="6AEC9921" w14:textId="0399D656" w:rsidR="002802DA" w:rsidRPr="00E056CF" w:rsidRDefault="002802DA" w:rsidP="002802DA">
      <w:pPr>
        <w:pStyle w:val="Notedebasdepage"/>
        <w:rPr>
          <w:lang w:val="en-CA"/>
        </w:rPr>
      </w:pPr>
      <w:r w:rsidRPr="00E056CF">
        <w:rPr>
          <w:rStyle w:val="Appelnotedebasdep"/>
          <w:lang w:val="en-CA"/>
        </w:rPr>
        <w:footnoteRef/>
      </w:r>
      <w:r w:rsidRPr="009B3437">
        <w:t xml:space="preserve">  </w:t>
      </w:r>
      <w:r w:rsidRPr="009B3437">
        <w:tab/>
      </w:r>
      <w:r w:rsidRPr="009B3437">
        <w:rPr>
          <w:i/>
          <w:iCs/>
        </w:rPr>
        <w:t>J.C. c. Douville</w:t>
      </w:r>
      <w:r w:rsidRPr="009B3437">
        <w:t xml:space="preserve">, 2022 QCCA 958, para. 47; </w:t>
      </w:r>
      <w:bookmarkStart w:id="76" w:name="_Hlk207629049"/>
      <w:r w:rsidRPr="009B3437">
        <w:rPr>
          <w:i/>
          <w:iCs/>
        </w:rPr>
        <w:t xml:space="preserve">Maison des femmes sourdes de Montréal </w:t>
      </w:r>
      <w:bookmarkEnd w:id="76"/>
      <w:r w:rsidRPr="009B3437">
        <w:t xml:space="preserve">c. Communauté des sœurs de Charité de la Providence, 2022 QCCS 489, para. 14; </w:t>
      </w:r>
      <w:r w:rsidRPr="009B3437">
        <w:rPr>
          <w:i/>
          <w:iCs/>
        </w:rPr>
        <w:t>A.B. c. Frères de Saint-Gabriel du Canada</w:t>
      </w:r>
      <w:r w:rsidRPr="009B3437">
        <w:t xml:space="preserve">, 2021 QCCS 2018, para. </w:t>
      </w:r>
      <w:r w:rsidRPr="00E056CF">
        <w:rPr>
          <w:lang w:val="en-CA"/>
        </w:rPr>
        <w:t xml:space="preserve">56. </w:t>
      </w:r>
    </w:p>
  </w:footnote>
  <w:footnote w:id="160">
    <w:p w14:paraId="11BB6747" w14:textId="37CE150A" w:rsidR="002802DA" w:rsidRPr="009B3437" w:rsidRDefault="002802DA" w:rsidP="002802DA">
      <w:pPr>
        <w:pStyle w:val="Notedebasdepage"/>
      </w:pPr>
      <w:r w:rsidRPr="003F1C76">
        <w:rPr>
          <w:rStyle w:val="Appelnotedebasdep"/>
        </w:rPr>
        <w:footnoteRef/>
      </w:r>
      <w:r w:rsidRPr="009B3437">
        <w:rPr>
          <w:lang w:val="en-CA"/>
        </w:rPr>
        <w:t xml:space="preserve"> </w:t>
      </w:r>
      <w:r w:rsidRPr="009B3437">
        <w:rPr>
          <w:lang w:val="en-CA"/>
        </w:rPr>
        <w:tab/>
      </w:r>
      <w:r w:rsidR="00AA2EA9" w:rsidRPr="00AA2EA9">
        <w:rPr>
          <w:lang w:val="en-CA"/>
        </w:rPr>
        <w:t>See, to the same effect</w:t>
      </w:r>
      <w:r w:rsidRPr="00AA2EA9">
        <w:rPr>
          <w:lang w:val="en-CA"/>
        </w:rPr>
        <w:t xml:space="preserve">: </w:t>
      </w:r>
      <w:r w:rsidRPr="00AA2EA9">
        <w:rPr>
          <w:i/>
          <w:iCs/>
          <w:lang w:val="en-CA"/>
        </w:rPr>
        <w:t>A.B. c. Robillard</w:t>
      </w:r>
      <w:r w:rsidRPr="00AA2EA9">
        <w:rPr>
          <w:lang w:val="en-CA"/>
        </w:rPr>
        <w:t xml:space="preserve">, 2022 QCCA 959, para. </w:t>
      </w:r>
      <w:r w:rsidRPr="009B3437">
        <w:t>35.</w:t>
      </w:r>
    </w:p>
  </w:footnote>
  <w:footnote w:id="161">
    <w:p w14:paraId="5D75BA06" w14:textId="335354B0" w:rsidR="002802DA" w:rsidRPr="009B3437" w:rsidRDefault="002802DA" w:rsidP="002802DA">
      <w:pPr>
        <w:pStyle w:val="Notedebasdepage"/>
      </w:pPr>
      <w:r w:rsidRPr="00AA2EA9">
        <w:rPr>
          <w:rStyle w:val="Appelnotedebasdep"/>
          <w:lang w:val="en-CA"/>
        </w:rPr>
        <w:footnoteRef/>
      </w:r>
      <w:r w:rsidRPr="009B3437">
        <w:t xml:space="preserve"> </w:t>
      </w:r>
      <w:r w:rsidRPr="009B3437">
        <w:tab/>
      </w:r>
      <w:bookmarkStart w:id="77" w:name="_Hlk204682172"/>
      <w:r w:rsidRPr="009B3437">
        <w:rPr>
          <w:i/>
          <w:iCs/>
        </w:rPr>
        <w:t>J.C. c. Douville</w:t>
      </w:r>
      <w:r w:rsidRPr="009B3437">
        <w:t xml:space="preserve">, 2022 QCCA 958, para. </w:t>
      </w:r>
      <w:bookmarkEnd w:id="77"/>
      <w:r w:rsidRPr="009B3437">
        <w:t>37.</w:t>
      </w:r>
    </w:p>
  </w:footnote>
  <w:footnote w:id="162">
    <w:p w14:paraId="086E70F8" w14:textId="47D89265" w:rsidR="002802DA" w:rsidRPr="009B3437" w:rsidRDefault="002802DA" w:rsidP="002802DA">
      <w:pPr>
        <w:pStyle w:val="Notedebasdepage"/>
      </w:pPr>
      <w:r w:rsidRPr="00AA2EA9">
        <w:rPr>
          <w:rStyle w:val="Appelnotedebasdep"/>
          <w:lang w:val="en-CA"/>
        </w:rPr>
        <w:footnoteRef/>
      </w:r>
      <w:r w:rsidRPr="009B3437">
        <w:t xml:space="preserve"> </w:t>
      </w:r>
      <w:r w:rsidRPr="009B3437">
        <w:tab/>
      </w:r>
      <w:r w:rsidRPr="009B3437">
        <w:rPr>
          <w:i/>
          <w:iCs/>
        </w:rPr>
        <w:t>A.B. c. Robillard</w:t>
      </w:r>
      <w:r w:rsidRPr="009B3437">
        <w:t>, 2022 QCCA 959, para. 24.</w:t>
      </w:r>
    </w:p>
  </w:footnote>
  <w:footnote w:id="163">
    <w:p w14:paraId="0FF08614" w14:textId="321AEC0B" w:rsidR="002802DA" w:rsidRPr="009B3437" w:rsidRDefault="002802DA" w:rsidP="002802DA">
      <w:pPr>
        <w:pStyle w:val="Notedebasdepage"/>
      </w:pPr>
      <w:r w:rsidRPr="003F1C76">
        <w:rPr>
          <w:rStyle w:val="Appelnotedebasdep"/>
        </w:rPr>
        <w:footnoteRef/>
      </w:r>
      <w:r w:rsidRPr="003F1C76">
        <w:t xml:space="preserve"> </w:t>
      </w:r>
      <w:r w:rsidRPr="003F1C76">
        <w:tab/>
      </w:r>
      <w:r w:rsidR="009D3738" w:rsidRPr="009B3437">
        <w:rPr>
          <w:i/>
          <w:iCs/>
        </w:rPr>
        <w:t>I.A.T.S.E., Stage Local 56 v. Société de la Place des Arts de Montréa</w:t>
      </w:r>
      <w:r w:rsidR="00250DB3" w:rsidRPr="009B3437">
        <w:rPr>
          <w:i/>
          <w:iCs/>
        </w:rPr>
        <w:t>l</w:t>
      </w:r>
      <w:r w:rsidRPr="009B3437">
        <w:rPr>
          <w:i/>
          <w:iCs/>
        </w:rPr>
        <w:t xml:space="preserve">, </w:t>
      </w:r>
      <w:r w:rsidRPr="009B3437">
        <w:t xml:space="preserve">2004 </w:t>
      </w:r>
      <w:r w:rsidR="009D3738" w:rsidRPr="009B3437">
        <w:t>SCC</w:t>
      </w:r>
      <w:r w:rsidRPr="009B3437">
        <w:t xml:space="preserve"> 2, para</w:t>
      </w:r>
      <w:r w:rsidR="009D3738" w:rsidRPr="009B3437">
        <w:t>s</w:t>
      </w:r>
      <w:r w:rsidRPr="009B3437">
        <w:t xml:space="preserve">. 13-14; </w:t>
      </w:r>
      <w:r w:rsidRPr="009B3437">
        <w:rPr>
          <w:i/>
          <w:iCs/>
        </w:rPr>
        <w:t>Vandal c. Municipalité de Boileau</w:t>
      </w:r>
      <w:r w:rsidRPr="009B3437">
        <w:t>, 2020 QCCA 777, para. 34.</w:t>
      </w:r>
    </w:p>
  </w:footnote>
  <w:footnote w:id="164">
    <w:p w14:paraId="195478A5" w14:textId="5E97549C" w:rsidR="002802DA" w:rsidRPr="009B3437" w:rsidRDefault="002802DA" w:rsidP="002802DA">
      <w:pPr>
        <w:pStyle w:val="Notedebasdepage"/>
        <w:rPr>
          <w:lang w:val="en-CA"/>
        </w:rPr>
      </w:pPr>
      <w:r w:rsidRPr="009D3738">
        <w:rPr>
          <w:rStyle w:val="Appelnotedebasdep"/>
          <w:lang w:val="en-CA"/>
        </w:rPr>
        <w:footnoteRef/>
      </w:r>
      <w:r w:rsidRPr="009B3437">
        <w:t xml:space="preserve"> </w:t>
      </w:r>
      <w:r w:rsidRPr="009B3437">
        <w:tab/>
      </w:r>
      <w:r w:rsidRPr="009B3437">
        <w:rPr>
          <w:i/>
          <w:iCs/>
        </w:rPr>
        <w:t>Ensyn Technologies inc. c. IMTT Québec inc.</w:t>
      </w:r>
      <w:r w:rsidRPr="009B3437">
        <w:t xml:space="preserve">, 2023 QCCA 1369, para. </w:t>
      </w:r>
      <w:r w:rsidRPr="009D3738">
        <w:rPr>
          <w:lang w:val="en-CA"/>
        </w:rPr>
        <w:t xml:space="preserve">25; </w:t>
      </w:r>
      <w:r w:rsidR="009D3738">
        <w:rPr>
          <w:lang w:val="en-CA"/>
        </w:rPr>
        <w:t>See also</w:t>
      </w:r>
      <w:r w:rsidRPr="009D3738">
        <w:rPr>
          <w:lang w:val="en-CA"/>
        </w:rPr>
        <w:t xml:space="preserve"> </w:t>
      </w:r>
      <w:r w:rsidRPr="009D3738">
        <w:rPr>
          <w:i/>
          <w:iCs/>
          <w:lang w:val="en-CA"/>
        </w:rPr>
        <w:t>2949-4747 Québec inc. c. Zodiac of North America Inc.</w:t>
      </w:r>
      <w:r w:rsidRPr="009D3738">
        <w:rPr>
          <w:lang w:val="en-CA"/>
        </w:rPr>
        <w:t>, 2015 QCCA 1751, para. 23.</w:t>
      </w:r>
    </w:p>
  </w:footnote>
  <w:footnote w:id="165">
    <w:p w14:paraId="58A52170" w14:textId="44F1E3CF" w:rsidR="002802DA" w:rsidRPr="009820D6" w:rsidRDefault="002802DA" w:rsidP="002802DA">
      <w:pPr>
        <w:pStyle w:val="Notedebasdepage"/>
        <w:rPr>
          <w:lang w:val="en-CA"/>
        </w:rPr>
      </w:pPr>
      <w:r w:rsidRPr="003F1C76">
        <w:rPr>
          <w:rStyle w:val="Appelnotedebasdep"/>
        </w:rPr>
        <w:footnoteRef/>
      </w:r>
      <w:r w:rsidRPr="009B3437">
        <w:rPr>
          <w:lang w:val="en-CA"/>
        </w:rPr>
        <w:t xml:space="preserve"> </w:t>
      </w:r>
      <w:r w:rsidRPr="009B3437">
        <w:rPr>
          <w:lang w:val="en-CA"/>
        </w:rPr>
        <w:tab/>
      </w:r>
      <w:r w:rsidRPr="009820D6">
        <w:rPr>
          <w:lang w:val="en-CA"/>
        </w:rPr>
        <w:t>Ju</w:t>
      </w:r>
      <w:r w:rsidR="009820D6">
        <w:rPr>
          <w:lang w:val="en-CA"/>
        </w:rPr>
        <w:t>dgment under appeal</w:t>
      </w:r>
      <w:r w:rsidRPr="009820D6">
        <w:rPr>
          <w:lang w:val="en-CA"/>
        </w:rPr>
        <w:t>, para</w:t>
      </w:r>
      <w:r w:rsidR="009820D6">
        <w:rPr>
          <w:lang w:val="en-CA"/>
        </w:rPr>
        <w:t>s</w:t>
      </w:r>
      <w:r w:rsidRPr="009820D6">
        <w:rPr>
          <w:lang w:val="en-CA"/>
        </w:rPr>
        <w:t>. 570-571.</w:t>
      </w:r>
    </w:p>
  </w:footnote>
  <w:footnote w:id="166">
    <w:p w14:paraId="5200BB2D" w14:textId="026E6CD3" w:rsidR="002802DA" w:rsidRPr="009820D6" w:rsidRDefault="002802DA" w:rsidP="002802DA">
      <w:pPr>
        <w:pStyle w:val="Notedebasdepage"/>
        <w:rPr>
          <w:lang w:val="en-CA"/>
        </w:rPr>
      </w:pPr>
      <w:r w:rsidRPr="009820D6">
        <w:rPr>
          <w:rStyle w:val="Appelnotedebasdep"/>
          <w:lang w:val="en-CA"/>
        </w:rPr>
        <w:footnoteRef/>
      </w:r>
      <w:r w:rsidRPr="009820D6">
        <w:rPr>
          <w:lang w:val="en-CA"/>
        </w:rPr>
        <w:t xml:space="preserve"> </w:t>
      </w:r>
      <w:r w:rsidRPr="009820D6">
        <w:rPr>
          <w:lang w:val="en-CA"/>
        </w:rPr>
        <w:tab/>
      </w:r>
      <w:r w:rsidR="009820D6" w:rsidRPr="009820D6">
        <w:rPr>
          <w:i/>
          <w:iCs/>
          <w:lang w:val="en-CA"/>
        </w:rPr>
        <w:t>Canadian Broadcasting Corp. v. Named Person</w:t>
      </w:r>
      <w:r w:rsidRPr="009820D6">
        <w:rPr>
          <w:lang w:val="en-CA"/>
        </w:rPr>
        <w:t xml:space="preserve">, 2024 </w:t>
      </w:r>
      <w:r w:rsidR="009820D6">
        <w:rPr>
          <w:lang w:val="en-CA"/>
        </w:rPr>
        <w:t>SCC</w:t>
      </w:r>
      <w:r w:rsidRPr="009820D6">
        <w:rPr>
          <w:lang w:val="en-CA"/>
        </w:rPr>
        <w:t xml:space="preserve"> 21, para. 31.</w:t>
      </w:r>
    </w:p>
  </w:footnote>
  <w:footnote w:id="167">
    <w:p w14:paraId="01197FFF" w14:textId="35E69DCB" w:rsidR="002802DA" w:rsidRPr="009820D6" w:rsidRDefault="002802DA" w:rsidP="002802DA">
      <w:pPr>
        <w:pStyle w:val="Notedebasdepage"/>
        <w:rPr>
          <w:lang w:val="en-CA"/>
        </w:rPr>
      </w:pPr>
      <w:r w:rsidRPr="009820D6">
        <w:rPr>
          <w:rStyle w:val="Appelnotedebasdep"/>
          <w:lang w:val="en-CA"/>
        </w:rPr>
        <w:footnoteRef/>
      </w:r>
      <w:r w:rsidRPr="009820D6">
        <w:rPr>
          <w:lang w:val="en-CA"/>
        </w:rPr>
        <w:t xml:space="preserve"> </w:t>
      </w:r>
      <w:r w:rsidRPr="009820D6">
        <w:rPr>
          <w:lang w:val="en-CA"/>
        </w:rPr>
        <w:tab/>
      </w:r>
      <w:r w:rsidR="009820D6">
        <w:rPr>
          <w:lang w:val="en-CA"/>
        </w:rPr>
        <w:t>See Exhibits</w:t>
      </w:r>
      <w:r w:rsidRPr="009820D6">
        <w:rPr>
          <w:lang w:val="en-CA"/>
        </w:rPr>
        <w:t xml:space="preserve"> P-92 </w:t>
      </w:r>
      <w:r w:rsidR="009820D6">
        <w:rPr>
          <w:lang w:val="en-CA"/>
        </w:rPr>
        <w:t>and</w:t>
      </w:r>
      <w:r w:rsidRPr="009820D6">
        <w:rPr>
          <w:lang w:val="en-CA"/>
        </w:rPr>
        <w:t xml:space="preserve"> P-93, </w:t>
      </w:r>
      <w:r w:rsidR="009820D6">
        <w:rPr>
          <w:lang w:val="en-CA"/>
        </w:rPr>
        <w:t>A.B.</w:t>
      </w:r>
      <w:r w:rsidRPr="009820D6">
        <w:rPr>
          <w:lang w:val="en-CA"/>
        </w:rPr>
        <w:t xml:space="preserve"> </w:t>
      </w:r>
      <w:r w:rsidR="009820D6">
        <w:rPr>
          <w:lang w:val="en-CA"/>
        </w:rPr>
        <w:t xml:space="preserve">conf. </w:t>
      </w:r>
      <w:r w:rsidRPr="009820D6">
        <w:rPr>
          <w:lang w:val="en-CA"/>
        </w:rPr>
        <w:t>vol.</w:t>
      </w:r>
      <w:r w:rsidR="009820D6">
        <w:rPr>
          <w:lang w:val="en-CA"/>
        </w:rPr>
        <w:t xml:space="preserve"> </w:t>
      </w:r>
      <w:r w:rsidRPr="009820D6">
        <w:rPr>
          <w:lang w:val="en-CA"/>
        </w:rPr>
        <w:t xml:space="preserve">2, </w:t>
      </w:r>
      <w:r w:rsidRPr="009820D6">
        <w:rPr>
          <w:rFonts w:cs="Arial"/>
          <w:lang w:val="en-CA"/>
        </w:rPr>
        <w:t>p</w:t>
      </w:r>
      <w:r w:rsidR="00B65BCE">
        <w:rPr>
          <w:rFonts w:cs="Arial"/>
          <w:lang w:val="en-CA"/>
        </w:rPr>
        <w:t xml:space="preserve">. </w:t>
      </w:r>
      <w:r w:rsidRPr="009820D6">
        <w:rPr>
          <w:rFonts w:cs="Arial"/>
          <w:lang w:val="en-CA"/>
        </w:rPr>
        <w:t>1565.</w:t>
      </w:r>
      <w:r w:rsidRPr="009820D6">
        <w:rPr>
          <w:lang w:val="en-CA"/>
        </w:rPr>
        <w:t xml:space="preserve"> </w:t>
      </w:r>
    </w:p>
  </w:footnote>
  <w:footnote w:id="168">
    <w:p w14:paraId="4A501A86" w14:textId="18D4F3FD" w:rsidR="002802DA" w:rsidRPr="00C62775" w:rsidRDefault="002802DA" w:rsidP="002802DA">
      <w:pPr>
        <w:pStyle w:val="Notedebasdepage"/>
        <w:rPr>
          <w:lang w:val="en-CA"/>
        </w:rPr>
      </w:pPr>
      <w:r w:rsidRPr="003F1C76">
        <w:rPr>
          <w:rStyle w:val="Appelnotedebasdep"/>
        </w:rPr>
        <w:footnoteRef/>
      </w:r>
      <w:r w:rsidRPr="009B3437">
        <w:rPr>
          <w:lang w:val="en-CA"/>
        </w:rPr>
        <w:t xml:space="preserve"> </w:t>
      </w:r>
      <w:r w:rsidRPr="009B3437">
        <w:rPr>
          <w:lang w:val="en-CA"/>
        </w:rPr>
        <w:tab/>
      </w:r>
      <w:r w:rsidR="00C62775" w:rsidRPr="00C62775">
        <w:rPr>
          <w:lang w:val="en-CA"/>
        </w:rPr>
        <w:t>Judgment under appeal</w:t>
      </w:r>
      <w:r w:rsidRPr="00C62775">
        <w:rPr>
          <w:lang w:val="en-CA"/>
        </w:rPr>
        <w:t>, para</w:t>
      </w:r>
      <w:r w:rsidR="00C62775">
        <w:rPr>
          <w:lang w:val="en-CA"/>
        </w:rPr>
        <w:t>s</w:t>
      </w:r>
      <w:r w:rsidRPr="00C62775">
        <w:rPr>
          <w:lang w:val="en-CA"/>
        </w:rPr>
        <w:t>. 575-579.</w:t>
      </w:r>
    </w:p>
  </w:footnote>
  <w:footnote w:id="169">
    <w:p w14:paraId="7E166C0E" w14:textId="02698705" w:rsidR="002802DA" w:rsidRPr="009B3437" w:rsidRDefault="002802DA" w:rsidP="002802DA">
      <w:pPr>
        <w:pStyle w:val="Notedebasdepage"/>
      </w:pPr>
      <w:r w:rsidRPr="00C62775">
        <w:rPr>
          <w:rStyle w:val="Appelnotedebasdep"/>
          <w:lang w:val="en-CA"/>
        </w:rPr>
        <w:footnoteRef/>
      </w:r>
      <w:r w:rsidRPr="00C62775">
        <w:rPr>
          <w:lang w:val="en-CA"/>
        </w:rPr>
        <w:t xml:space="preserve"> </w:t>
      </w:r>
      <w:r w:rsidRPr="00C62775">
        <w:rPr>
          <w:lang w:val="en-CA"/>
        </w:rPr>
        <w:tab/>
      </w:r>
      <w:r w:rsidRPr="00C62775">
        <w:rPr>
          <w:i/>
          <w:iCs/>
          <w:lang w:val="en-CA"/>
        </w:rPr>
        <w:t>Id.</w:t>
      </w:r>
      <w:r w:rsidRPr="00C62775">
        <w:rPr>
          <w:lang w:val="en-CA"/>
        </w:rPr>
        <w:t xml:space="preserve">, para. </w:t>
      </w:r>
      <w:r w:rsidRPr="009B3437">
        <w:t>581.</w:t>
      </w:r>
    </w:p>
  </w:footnote>
  <w:footnote w:id="170">
    <w:p w14:paraId="3D3C5789" w14:textId="39C93BAF" w:rsidR="002802DA" w:rsidRPr="009B3437" w:rsidRDefault="002802DA" w:rsidP="002802DA">
      <w:pPr>
        <w:pStyle w:val="Notedebasdepage"/>
      </w:pPr>
      <w:r w:rsidRPr="003F1C76">
        <w:rPr>
          <w:rStyle w:val="Appelnotedebasdep"/>
        </w:rPr>
        <w:footnoteRef/>
      </w:r>
      <w:r w:rsidRPr="003F1C76">
        <w:t xml:space="preserve"> </w:t>
      </w:r>
      <w:r w:rsidRPr="003F1C76">
        <w:tab/>
      </w:r>
      <w:r w:rsidRPr="009B3437">
        <w:rPr>
          <w:i/>
          <w:iCs/>
        </w:rPr>
        <w:t>Roberge c. Sherbrooke (Ville de)</w:t>
      </w:r>
      <w:r w:rsidRPr="009B3437">
        <w:t>, [2004] J.Q. no 9499 (C.A.), para. 60.</w:t>
      </w:r>
    </w:p>
  </w:footnote>
  <w:footnote w:id="171">
    <w:p w14:paraId="4EF705C0" w14:textId="0B66CF55" w:rsidR="002802DA" w:rsidRPr="009B3437" w:rsidRDefault="002802DA" w:rsidP="002802DA">
      <w:pPr>
        <w:pStyle w:val="Notedebasdepage"/>
      </w:pPr>
      <w:r w:rsidRPr="00803EFE">
        <w:rPr>
          <w:rStyle w:val="Appelnotedebasdep"/>
          <w:lang w:val="en-CA"/>
        </w:rPr>
        <w:footnoteRef/>
      </w:r>
      <w:r w:rsidRPr="009B3437">
        <w:t xml:space="preserve"> </w:t>
      </w:r>
      <w:r w:rsidRPr="009B3437">
        <w:tab/>
      </w:r>
      <w:r w:rsidRPr="009B3437">
        <w:rPr>
          <w:i/>
          <w:iCs/>
        </w:rPr>
        <w:t>Bacon St-Onge c. Conseil des Innus de Pessamit</w:t>
      </w:r>
      <w:r w:rsidRPr="009B3437">
        <w:t xml:space="preserve">, 2021 QCCA 1765, para. 15; </w:t>
      </w:r>
      <w:r w:rsidRPr="009B3437">
        <w:rPr>
          <w:i/>
          <w:iCs/>
        </w:rPr>
        <w:t>Enerkem inc. c. Constructions EDB inc.</w:t>
      </w:r>
      <w:r w:rsidRPr="009B3437">
        <w:t>, 2022 QCCS 371, para</w:t>
      </w:r>
      <w:r w:rsidR="00803EFE" w:rsidRPr="009B3437">
        <w:t>s</w:t>
      </w:r>
      <w:r w:rsidRPr="009B3437">
        <w:t xml:space="preserve">. 123-125; </w:t>
      </w:r>
      <w:r w:rsidRPr="009B3437">
        <w:rPr>
          <w:i/>
          <w:iCs/>
        </w:rPr>
        <w:t xml:space="preserve">Gestion immobilière Lafrance &amp; Mathieu inc. c. Matt et Jaff inc., </w:t>
      </w:r>
      <w:r w:rsidRPr="009B3437">
        <w:t>2018 QCCS 5149, para</w:t>
      </w:r>
      <w:r w:rsidR="00803EFE" w:rsidRPr="009B3437">
        <w:t>s</w:t>
      </w:r>
      <w:r w:rsidRPr="009B3437">
        <w:t>. 110-111.</w:t>
      </w:r>
    </w:p>
  </w:footnote>
  <w:footnote w:id="172">
    <w:p w14:paraId="75A46E90" w14:textId="4232715B" w:rsidR="002802DA" w:rsidRPr="009B3437" w:rsidRDefault="002802DA" w:rsidP="002802DA">
      <w:pPr>
        <w:pStyle w:val="Notedebasdepage"/>
      </w:pPr>
      <w:r w:rsidRPr="00803EFE">
        <w:rPr>
          <w:rStyle w:val="Appelnotedebasdep"/>
          <w:lang w:val="en-CA"/>
        </w:rPr>
        <w:footnoteRef/>
      </w:r>
      <w:r w:rsidRPr="009B3437">
        <w:t xml:space="preserve"> </w:t>
      </w:r>
      <w:r w:rsidRPr="009B3437">
        <w:tab/>
      </w:r>
      <w:r w:rsidR="00803EFE" w:rsidRPr="009B3437">
        <w:t>See</w:t>
      </w:r>
      <w:r w:rsidRPr="009B3437">
        <w:t xml:space="preserve">: </w:t>
      </w:r>
      <w:r w:rsidRPr="009B3437">
        <w:rPr>
          <w:i/>
          <w:iCs/>
        </w:rPr>
        <w:t>Ferme Loumi c. Archambault</w:t>
      </w:r>
      <w:r w:rsidRPr="009B3437">
        <w:t>, 2023 QCCA 315, para. 32.</w:t>
      </w:r>
    </w:p>
  </w:footnote>
  <w:footnote w:id="173">
    <w:p w14:paraId="40328605" w14:textId="5E5DE2E2" w:rsidR="002802DA" w:rsidRPr="009B3437" w:rsidRDefault="002802DA" w:rsidP="002802DA">
      <w:pPr>
        <w:pStyle w:val="Notedebasdepage"/>
      </w:pPr>
      <w:r w:rsidRPr="00803EFE">
        <w:rPr>
          <w:rStyle w:val="Appelnotedebasdep"/>
          <w:lang w:val="en-CA"/>
        </w:rPr>
        <w:footnoteRef/>
      </w:r>
      <w:r w:rsidRPr="009B3437">
        <w:t xml:space="preserve"> </w:t>
      </w:r>
      <w:r w:rsidRPr="009B3437">
        <w:tab/>
      </w:r>
      <w:r w:rsidR="00803EFE" w:rsidRPr="009B3437">
        <w:t xml:space="preserve">Case law </w:t>
      </w:r>
      <w:r w:rsidR="003916F8" w:rsidRPr="009B3437">
        <w:t>recalss</w:t>
      </w:r>
      <w:r w:rsidR="00803EFE" w:rsidRPr="009B3437">
        <w:t xml:space="preserve"> this necessary caution</w:t>
      </w:r>
      <w:r w:rsidR="003916F8" w:rsidRPr="009B3437">
        <w:t xml:space="preserve">, </w:t>
      </w:r>
      <w:r w:rsidR="00803EFE" w:rsidRPr="009B3437">
        <w:t>particularly in the context of an interlocutory injunction</w:t>
      </w:r>
      <w:r w:rsidRPr="009B3437">
        <w:t xml:space="preserve">: </w:t>
      </w:r>
      <w:r w:rsidRPr="009B3437">
        <w:rPr>
          <w:i/>
          <w:iCs/>
        </w:rPr>
        <w:t>Champagne c. Collège d’enseignement général et professionnel de Jonquière,</w:t>
      </w:r>
      <w:r w:rsidRPr="009B3437">
        <w:t xml:space="preserve"> [1997] RJQ 2395 (C.A.);</w:t>
      </w:r>
      <w:r w:rsidRPr="009B3437">
        <w:rPr>
          <w:i/>
          <w:iCs/>
        </w:rPr>
        <w:t xml:space="preserve"> Takefman c. Bier</w:t>
      </w:r>
      <w:r w:rsidRPr="009B3437">
        <w:t>, 2010 QCCA 486, para</w:t>
      </w:r>
      <w:r w:rsidR="00741725" w:rsidRPr="009B3437">
        <w:t>s</w:t>
      </w:r>
      <w:r w:rsidRPr="009B3437">
        <w:t xml:space="preserve">. 19-25; </w:t>
      </w:r>
      <w:r w:rsidRPr="009B3437">
        <w:rPr>
          <w:i/>
          <w:iCs/>
        </w:rPr>
        <w:t>Prud’homme c</w:t>
      </w:r>
      <w:r w:rsidR="00741725" w:rsidRPr="009B3437">
        <w:rPr>
          <w:i/>
          <w:iCs/>
        </w:rPr>
        <w:t>.</w:t>
      </w:r>
      <w:r w:rsidRPr="009B3437">
        <w:rPr>
          <w:i/>
          <w:iCs/>
        </w:rPr>
        <w:t xml:space="preserve"> Rawdon (Municipalité de), </w:t>
      </w:r>
      <w:r w:rsidRPr="009B3437">
        <w:t>2010 QCCA 584, par</w:t>
      </w:r>
      <w:r w:rsidR="00741725" w:rsidRPr="009B3437">
        <w:t>as</w:t>
      </w:r>
      <w:r w:rsidRPr="009B3437">
        <w:t>. 57-63.</w:t>
      </w:r>
    </w:p>
  </w:footnote>
  <w:footnote w:id="174">
    <w:p w14:paraId="6D4C4375" w14:textId="02B3445A" w:rsidR="002802DA" w:rsidRPr="00803EFE" w:rsidRDefault="002802DA" w:rsidP="002802DA">
      <w:pPr>
        <w:pStyle w:val="Notedebasdepage"/>
        <w:rPr>
          <w:lang w:val="en-CA"/>
        </w:rPr>
      </w:pPr>
      <w:r w:rsidRPr="00803EFE">
        <w:rPr>
          <w:rStyle w:val="Appelnotedebasdep"/>
          <w:lang w:val="en-CA"/>
        </w:rPr>
        <w:footnoteRef/>
      </w:r>
      <w:r w:rsidRPr="009B3437">
        <w:t xml:space="preserve"> </w:t>
      </w:r>
      <w:r w:rsidRPr="009B3437">
        <w:tab/>
      </w:r>
      <w:r w:rsidRPr="009B3437">
        <w:rPr>
          <w:i/>
          <w:iCs/>
        </w:rPr>
        <w:t>Petkov c. Saputo inc.</w:t>
      </w:r>
      <w:r w:rsidRPr="009B3437">
        <w:t xml:space="preserve">, 2012 QCCA 369, para. </w:t>
      </w:r>
      <w:r w:rsidRPr="00803EFE">
        <w:rPr>
          <w:lang w:val="en-CA"/>
        </w:rPr>
        <w:t>3.</w:t>
      </w:r>
    </w:p>
  </w:footnote>
  <w:footnote w:id="175">
    <w:p w14:paraId="21C4D0F3" w14:textId="2D2B40D8" w:rsidR="002802DA" w:rsidRPr="00BF2386" w:rsidRDefault="002802DA" w:rsidP="002802DA">
      <w:pPr>
        <w:pStyle w:val="Notedebasdepage"/>
        <w:rPr>
          <w:lang w:val="en-CA"/>
        </w:rPr>
      </w:pPr>
      <w:r w:rsidRPr="006C39C7">
        <w:rPr>
          <w:rStyle w:val="Appelnotedebasdep"/>
        </w:rPr>
        <w:footnoteRef/>
      </w:r>
      <w:r w:rsidRPr="009B3437">
        <w:rPr>
          <w:lang w:val="en-CA"/>
        </w:rPr>
        <w:t xml:space="preserve"> </w:t>
      </w:r>
      <w:r w:rsidRPr="009B3437">
        <w:rPr>
          <w:lang w:val="en-CA"/>
        </w:rPr>
        <w:tab/>
      </w:r>
      <w:r w:rsidR="00C2333E" w:rsidRPr="00BF2386">
        <w:rPr>
          <w:lang w:val="en-CA"/>
        </w:rPr>
        <w:t>See, for example</w:t>
      </w:r>
      <w:r w:rsidRPr="00BF2386">
        <w:rPr>
          <w:lang w:val="en-CA"/>
        </w:rPr>
        <w:t xml:space="preserve">, </w:t>
      </w:r>
      <w:r w:rsidR="00C2333E" w:rsidRPr="00BF2386">
        <w:rPr>
          <w:lang w:val="en-CA"/>
        </w:rPr>
        <w:t>Exhibits</w:t>
      </w:r>
      <w:r w:rsidRPr="00BF2386">
        <w:rPr>
          <w:lang w:val="en-CA"/>
        </w:rPr>
        <w:t xml:space="preserve"> P-28, </w:t>
      </w:r>
      <w:r w:rsidR="00C2333E" w:rsidRPr="00BF2386">
        <w:rPr>
          <w:lang w:val="en-CA" w:eastAsia="fr-CA"/>
        </w:rPr>
        <w:t>A.B</w:t>
      </w:r>
      <w:r w:rsidRPr="00BF2386">
        <w:rPr>
          <w:lang w:val="en-CA" w:eastAsia="fr-CA"/>
        </w:rPr>
        <w:t xml:space="preserve">., </w:t>
      </w:r>
      <w:r w:rsidR="00C2333E" w:rsidRPr="00BF2386">
        <w:rPr>
          <w:lang w:val="en-CA" w:eastAsia="fr-CA"/>
        </w:rPr>
        <w:t xml:space="preserve">conf. </w:t>
      </w:r>
      <w:r w:rsidRPr="00BF2386">
        <w:rPr>
          <w:lang w:val="en-CA" w:eastAsia="fr-CA"/>
        </w:rPr>
        <w:t xml:space="preserve">vol. 2, pp. 1452-1453; </w:t>
      </w:r>
      <w:r w:rsidRPr="00BF2386">
        <w:rPr>
          <w:lang w:val="en-CA"/>
        </w:rPr>
        <w:t xml:space="preserve">P-29, </w:t>
      </w:r>
      <w:r w:rsidR="00BF2386" w:rsidRPr="00BF2386">
        <w:rPr>
          <w:lang w:val="en-CA" w:eastAsia="fr-CA"/>
        </w:rPr>
        <w:t>A.B</w:t>
      </w:r>
      <w:r w:rsidRPr="00BF2386">
        <w:rPr>
          <w:lang w:val="en-CA" w:eastAsia="fr-CA"/>
        </w:rPr>
        <w:t xml:space="preserve">., </w:t>
      </w:r>
      <w:r w:rsidR="00BF2386" w:rsidRPr="00BF2386">
        <w:rPr>
          <w:lang w:val="en-CA" w:eastAsia="fr-CA"/>
        </w:rPr>
        <w:t xml:space="preserve">conf. </w:t>
      </w:r>
      <w:r w:rsidRPr="00BF2386">
        <w:rPr>
          <w:lang w:val="en-CA" w:eastAsia="fr-CA"/>
        </w:rPr>
        <w:t xml:space="preserve">vol. 2, pp. 1454; </w:t>
      </w:r>
      <w:r w:rsidR="00BF2386" w:rsidRPr="00BF2386">
        <w:rPr>
          <w:lang w:val="en-CA"/>
        </w:rPr>
        <w:t>and</w:t>
      </w:r>
      <w:r w:rsidRPr="00BF2386">
        <w:rPr>
          <w:lang w:val="en-CA"/>
        </w:rPr>
        <w:t xml:space="preserve"> P-30, </w:t>
      </w:r>
      <w:r w:rsidR="00BF2386" w:rsidRPr="00BF2386">
        <w:rPr>
          <w:lang w:val="en-CA" w:eastAsia="fr-CA"/>
        </w:rPr>
        <w:t>A.B.</w:t>
      </w:r>
      <w:r w:rsidRPr="00BF2386">
        <w:rPr>
          <w:lang w:val="en-CA" w:eastAsia="fr-CA"/>
        </w:rPr>
        <w:t xml:space="preserve">, </w:t>
      </w:r>
      <w:r w:rsidR="00BF2386" w:rsidRPr="00BF2386">
        <w:rPr>
          <w:lang w:val="en-CA" w:eastAsia="fr-CA"/>
        </w:rPr>
        <w:t xml:space="preserve">conf. </w:t>
      </w:r>
      <w:r w:rsidRPr="00BF2386">
        <w:rPr>
          <w:lang w:val="en-CA" w:eastAsia="fr-CA"/>
        </w:rPr>
        <w:t>vol.</w:t>
      </w:r>
      <w:r w:rsidR="00BF2386" w:rsidRPr="00BF2386">
        <w:rPr>
          <w:lang w:val="en-CA" w:eastAsia="fr-CA"/>
        </w:rPr>
        <w:t xml:space="preserve"> </w:t>
      </w:r>
      <w:r w:rsidRPr="00BF2386">
        <w:rPr>
          <w:lang w:val="en-CA" w:eastAsia="fr-CA"/>
        </w:rPr>
        <w:t>2, p. 1455.</w:t>
      </w:r>
    </w:p>
  </w:footnote>
  <w:footnote w:id="176">
    <w:p w14:paraId="1690AE0E" w14:textId="71755077" w:rsidR="002802DA" w:rsidRPr="00BF2386" w:rsidRDefault="002802DA" w:rsidP="002802DA">
      <w:pPr>
        <w:pStyle w:val="Notedebasdepage"/>
        <w:rPr>
          <w:lang w:val="en-CA"/>
        </w:rPr>
      </w:pPr>
      <w:r w:rsidRPr="00BF2386">
        <w:rPr>
          <w:rStyle w:val="Appelnotedebasdep"/>
          <w:lang w:val="en-CA"/>
        </w:rPr>
        <w:footnoteRef/>
      </w:r>
      <w:r w:rsidRPr="00BF2386">
        <w:rPr>
          <w:lang w:val="en-CA"/>
        </w:rPr>
        <w:t xml:space="preserve"> </w:t>
      </w:r>
      <w:r w:rsidRPr="00BF2386">
        <w:rPr>
          <w:lang w:val="en-CA"/>
        </w:rPr>
        <w:tab/>
      </w:r>
      <w:r w:rsidRPr="00BF2386">
        <w:rPr>
          <w:i/>
          <w:iCs/>
          <w:lang w:val="en-CA"/>
        </w:rPr>
        <w:t xml:space="preserve">Google Inc. </w:t>
      </w:r>
      <w:r w:rsidR="00BF2386" w:rsidRPr="00BF2386">
        <w:rPr>
          <w:i/>
          <w:iCs/>
          <w:lang w:val="en-CA"/>
        </w:rPr>
        <w:t>v</w:t>
      </w:r>
      <w:r w:rsidRPr="00BF2386">
        <w:rPr>
          <w:i/>
          <w:iCs/>
          <w:lang w:val="en-CA"/>
        </w:rPr>
        <w:t>. Equustek Solutions Inc.</w:t>
      </w:r>
      <w:r w:rsidRPr="00BF2386">
        <w:rPr>
          <w:lang w:val="en-CA"/>
        </w:rPr>
        <w:t xml:space="preserve">, </w:t>
      </w:r>
      <w:hyperlink r:id="rId18" w:history="1">
        <w:r w:rsidRPr="00BF2386">
          <w:rPr>
            <w:rStyle w:val="Hyperlien"/>
            <w:color w:val="auto"/>
            <w:u w:val="none"/>
            <w:lang w:val="en-CA"/>
          </w:rPr>
          <w:t xml:space="preserve">2017 </w:t>
        </w:r>
        <w:r w:rsidR="00BF2386" w:rsidRPr="00BF2386">
          <w:rPr>
            <w:rStyle w:val="Hyperlien"/>
            <w:color w:val="auto"/>
            <w:u w:val="none"/>
            <w:lang w:val="en-CA"/>
          </w:rPr>
          <w:t>SCC</w:t>
        </w:r>
        <w:r w:rsidRPr="00BF2386">
          <w:rPr>
            <w:rStyle w:val="Hyperlien"/>
            <w:color w:val="auto"/>
            <w:u w:val="none"/>
            <w:lang w:val="en-CA"/>
          </w:rPr>
          <w:t xml:space="preserve"> 34</w:t>
        </w:r>
      </w:hyperlink>
      <w:r w:rsidRPr="00BF2386">
        <w:rPr>
          <w:lang w:val="en-CA"/>
        </w:rPr>
        <w:t xml:space="preserve"> [</w:t>
      </w:r>
      <w:r w:rsidRPr="00BF2386">
        <w:rPr>
          <w:i/>
          <w:iCs/>
          <w:lang w:val="en-CA"/>
        </w:rPr>
        <w:t>Equustek</w:t>
      </w:r>
      <w:r w:rsidRPr="00BF2386">
        <w:rPr>
          <w:lang w:val="en-CA"/>
        </w:rPr>
        <w:t>].</w:t>
      </w:r>
    </w:p>
  </w:footnote>
  <w:footnote w:id="177">
    <w:p w14:paraId="47721645" w14:textId="6C31F8F2" w:rsidR="002802DA" w:rsidRPr="00BF2386" w:rsidRDefault="002802DA" w:rsidP="002802DA">
      <w:pPr>
        <w:pStyle w:val="Notedebasdepage"/>
        <w:rPr>
          <w:lang w:val="en-CA"/>
        </w:rPr>
      </w:pPr>
      <w:r w:rsidRPr="00BF2386">
        <w:rPr>
          <w:rStyle w:val="Appelnotedebasdep"/>
          <w:lang w:val="en-CA"/>
        </w:rPr>
        <w:footnoteRef/>
      </w:r>
      <w:r w:rsidRPr="00BF2386">
        <w:rPr>
          <w:lang w:val="en-CA"/>
        </w:rPr>
        <w:t xml:space="preserve"> </w:t>
      </w:r>
      <w:r w:rsidRPr="00BF2386">
        <w:rPr>
          <w:lang w:val="en-CA"/>
        </w:rPr>
        <w:tab/>
      </w:r>
      <w:r w:rsidR="00BF2386" w:rsidRPr="00BF2386">
        <w:rPr>
          <w:lang w:val="en-CA"/>
        </w:rPr>
        <w:t>Judgment</w:t>
      </w:r>
      <w:r w:rsidR="00BF2386">
        <w:rPr>
          <w:lang w:val="en-CA"/>
        </w:rPr>
        <w:t xml:space="preserve"> under appeal</w:t>
      </w:r>
      <w:r w:rsidRPr="00BF2386">
        <w:rPr>
          <w:lang w:val="en-CA"/>
        </w:rPr>
        <w:t>, para</w:t>
      </w:r>
      <w:r w:rsidR="00BF2386">
        <w:rPr>
          <w:lang w:val="en-CA"/>
        </w:rPr>
        <w:t>s</w:t>
      </w:r>
      <w:r w:rsidRPr="00BF2386">
        <w:rPr>
          <w:lang w:val="en-CA"/>
        </w:rPr>
        <w:t>. 572-593.</w:t>
      </w:r>
    </w:p>
  </w:footnote>
  <w:footnote w:id="178">
    <w:p w14:paraId="7ECD1DF8" w14:textId="1B91E776" w:rsidR="002802DA" w:rsidRPr="002373A8" w:rsidRDefault="002802DA" w:rsidP="002802DA">
      <w:pPr>
        <w:pStyle w:val="Notedebasdepage"/>
        <w:rPr>
          <w:lang w:val="en-CA"/>
        </w:rPr>
      </w:pPr>
      <w:r w:rsidRPr="003F1C76">
        <w:rPr>
          <w:rStyle w:val="Appelnotedebasdep"/>
        </w:rPr>
        <w:footnoteRef/>
      </w:r>
      <w:r w:rsidRPr="009B3437">
        <w:rPr>
          <w:lang w:val="en-CA"/>
        </w:rPr>
        <w:t xml:space="preserve"> </w:t>
      </w:r>
      <w:r w:rsidRPr="009B3437">
        <w:rPr>
          <w:lang w:val="en-CA"/>
        </w:rPr>
        <w:tab/>
      </w:r>
      <w:bookmarkStart w:id="79" w:name="_Hlk204329223"/>
      <w:r w:rsidR="002373A8" w:rsidRPr="002373A8">
        <w:rPr>
          <w:lang w:val="en-CA"/>
        </w:rPr>
        <w:t xml:space="preserve">A danger that is </w:t>
      </w:r>
      <w:r w:rsidR="002373A8">
        <w:rPr>
          <w:lang w:val="en-CA"/>
        </w:rPr>
        <w:t>indeed noted in some academic commentary</w:t>
      </w:r>
      <w:r w:rsidRPr="002373A8">
        <w:rPr>
          <w:lang w:val="en-CA"/>
        </w:rPr>
        <w:t xml:space="preserve">. </w:t>
      </w:r>
      <w:r w:rsidR="00043F8F">
        <w:rPr>
          <w:lang w:val="en-CA"/>
        </w:rPr>
        <w:t>See</w:t>
      </w:r>
      <w:r w:rsidRPr="002373A8">
        <w:rPr>
          <w:lang w:val="en-CA"/>
        </w:rPr>
        <w:t>:</w:t>
      </w:r>
      <w:r w:rsidRPr="002373A8">
        <w:rPr>
          <w:sz w:val="24"/>
          <w:lang w:val="en-CA"/>
        </w:rPr>
        <w:t xml:space="preserve"> </w:t>
      </w:r>
      <w:r w:rsidRPr="002373A8">
        <w:rPr>
          <w:lang w:val="en-CA"/>
        </w:rPr>
        <w:t xml:space="preserve">Gabriel Ernesto Melian Perez, </w:t>
      </w:r>
      <w:r w:rsidR="00043F8F">
        <w:rPr>
          <w:lang w:val="en-CA"/>
        </w:rPr>
        <w:t>“</w:t>
      </w:r>
      <w:r w:rsidRPr="002373A8">
        <w:rPr>
          <w:lang w:val="en-CA"/>
        </w:rPr>
        <w:t>Global or Local? Freedom of Speech and Some Extraterritorial Court Decisions on the Internet</w:t>
      </w:r>
      <w:r w:rsidR="00043F8F">
        <w:rPr>
          <w:lang w:val="en-CA"/>
        </w:rPr>
        <w:t>”</w:t>
      </w:r>
      <w:r w:rsidRPr="002373A8">
        <w:rPr>
          <w:lang w:val="en-CA"/>
        </w:rPr>
        <w:t xml:space="preserve">, (2022) 3 </w:t>
      </w:r>
      <w:r w:rsidRPr="002373A8">
        <w:rPr>
          <w:i/>
          <w:iCs/>
          <w:lang w:val="en-CA"/>
        </w:rPr>
        <w:t>Queen Mary Law Journal</w:t>
      </w:r>
      <w:r w:rsidRPr="002373A8">
        <w:rPr>
          <w:lang w:val="en-CA"/>
        </w:rPr>
        <w:t xml:space="preserve"> 70, </w:t>
      </w:r>
      <w:r w:rsidRPr="002373A8">
        <w:rPr>
          <w:rFonts w:cs="Arial"/>
          <w:lang w:val="en-CA"/>
        </w:rPr>
        <w:t>p. </w:t>
      </w:r>
      <w:r w:rsidRPr="002373A8">
        <w:rPr>
          <w:lang w:val="en-CA"/>
        </w:rPr>
        <w:t xml:space="preserve">85; Matthew Marinett, </w:t>
      </w:r>
      <w:r w:rsidR="00043F8F">
        <w:rPr>
          <w:lang w:val="en-CA"/>
        </w:rPr>
        <w:t>“</w:t>
      </w:r>
      <w:r w:rsidRPr="002373A8">
        <w:rPr>
          <w:lang w:val="en-CA"/>
        </w:rPr>
        <w:t>The Race to the Bottom: Comity and Cooperation in Global Internet Takedown Orders</w:t>
      </w:r>
      <w:r w:rsidR="00043F8F">
        <w:rPr>
          <w:lang w:val="en-CA"/>
        </w:rPr>
        <w:t>”</w:t>
      </w:r>
      <w:r w:rsidRPr="002373A8">
        <w:rPr>
          <w:lang w:val="en-CA"/>
        </w:rPr>
        <w:t xml:space="preserve">, (2020) 53:2 </w:t>
      </w:r>
      <w:r w:rsidRPr="002373A8">
        <w:rPr>
          <w:i/>
          <w:iCs/>
          <w:lang w:val="en-CA"/>
        </w:rPr>
        <w:t>UBC L. Rev.</w:t>
      </w:r>
      <w:r w:rsidRPr="002373A8">
        <w:rPr>
          <w:lang w:val="en-CA"/>
        </w:rPr>
        <w:t xml:space="preserve"> 463</w:t>
      </w:r>
      <w:bookmarkEnd w:id="79"/>
      <w:r w:rsidRPr="002373A8">
        <w:rPr>
          <w:lang w:val="en-CA"/>
        </w:rPr>
        <w:t>.</w:t>
      </w:r>
    </w:p>
  </w:footnote>
  <w:footnote w:id="179">
    <w:p w14:paraId="1E03A92F" w14:textId="6B1D596E" w:rsidR="002802DA" w:rsidRPr="002373A8" w:rsidRDefault="002802DA" w:rsidP="002802DA">
      <w:pPr>
        <w:pStyle w:val="Notedebasdepage"/>
        <w:rPr>
          <w:lang w:val="en-CA"/>
        </w:rPr>
      </w:pPr>
      <w:r w:rsidRPr="002373A8">
        <w:rPr>
          <w:rStyle w:val="Appelnotedebasdep"/>
          <w:lang w:val="en-CA"/>
        </w:rPr>
        <w:footnoteRef/>
      </w:r>
      <w:r w:rsidRPr="002373A8">
        <w:rPr>
          <w:lang w:val="en-CA"/>
        </w:rPr>
        <w:t xml:space="preserve"> </w:t>
      </w:r>
      <w:r w:rsidRPr="002373A8">
        <w:rPr>
          <w:lang w:val="en-CA"/>
        </w:rPr>
        <w:tab/>
      </w:r>
      <w:r w:rsidRPr="002373A8">
        <w:rPr>
          <w:i/>
          <w:iCs/>
          <w:lang w:val="en-CA"/>
        </w:rPr>
        <w:t xml:space="preserve">Google Inc. </w:t>
      </w:r>
      <w:r w:rsidR="00043F8F">
        <w:rPr>
          <w:i/>
          <w:iCs/>
          <w:lang w:val="en-CA"/>
        </w:rPr>
        <w:t>v</w:t>
      </w:r>
      <w:r w:rsidRPr="002373A8">
        <w:rPr>
          <w:i/>
          <w:iCs/>
          <w:lang w:val="en-CA"/>
        </w:rPr>
        <w:t>. Equustek Solutions Inc.</w:t>
      </w:r>
      <w:r w:rsidRPr="002373A8">
        <w:rPr>
          <w:lang w:val="en-CA"/>
        </w:rPr>
        <w:t xml:space="preserve">, </w:t>
      </w:r>
      <w:hyperlink r:id="rId19" w:history="1">
        <w:r w:rsidRPr="002373A8">
          <w:rPr>
            <w:rStyle w:val="Hyperlien"/>
            <w:color w:val="auto"/>
            <w:u w:val="none"/>
            <w:lang w:val="en-CA"/>
          </w:rPr>
          <w:t xml:space="preserve">2017 </w:t>
        </w:r>
        <w:r w:rsidR="00043F8F">
          <w:rPr>
            <w:rStyle w:val="Hyperlien"/>
            <w:color w:val="auto"/>
            <w:u w:val="none"/>
            <w:lang w:val="en-CA"/>
          </w:rPr>
          <w:t>SCC</w:t>
        </w:r>
        <w:r w:rsidRPr="002373A8">
          <w:rPr>
            <w:rStyle w:val="Hyperlien"/>
            <w:color w:val="auto"/>
            <w:u w:val="none"/>
            <w:lang w:val="en-CA"/>
          </w:rPr>
          <w:t xml:space="preserve"> 34</w:t>
        </w:r>
      </w:hyperlink>
      <w:r w:rsidRPr="002373A8">
        <w:rPr>
          <w:lang w:val="en-CA"/>
        </w:rPr>
        <w:t>, para</w:t>
      </w:r>
      <w:r w:rsidR="00043F8F">
        <w:rPr>
          <w:lang w:val="en-CA"/>
        </w:rPr>
        <w:t>s</w:t>
      </w:r>
      <w:r w:rsidRPr="002373A8">
        <w:rPr>
          <w:lang w:val="en-CA"/>
        </w:rPr>
        <w:t xml:space="preserve">. 18-19. </w:t>
      </w:r>
      <w:r w:rsidR="00043F8F">
        <w:rPr>
          <w:lang w:val="en-CA"/>
        </w:rPr>
        <w:t>On the issue of jurisdiction</w:t>
      </w:r>
      <w:r w:rsidRPr="002373A8">
        <w:rPr>
          <w:lang w:val="en-CA"/>
        </w:rPr>
        <w:t xml:space="preserve">, </w:t>
      </w:r>
      <w:r w:rsidR="00043F8F">
        <w:rPr>
          <w:lang w:val="en-CA"/>
        </w:rPr>
        <w:t>see also</w:t>
      </w:r>
      <w:r w:rsidRPr="002373A8">
        <w:rPr>
          <w:lang w:val="en-CA"/>
        </w:rPr>
        <w:t xml:space="preserve">: </w:t>
      </w:r>
      <w:r w:rsidRPr="002373A8">
        <w:rPr>
          <w:i/>
          <w:iCs/>
          <w:lang w:val="en-CA"/>
        </w:rPr>
        <w:t xml:space="preserve">Impulsora Turistica Occidente, S.A. de C.V. </w:t>
      </w:r>
      <w:r w:rsidR="00043F8F">
        <w:rPr>
          <w:i/>
          <w:iCs/>
          <w:lang w:val="en-CA"/>
        </w:rPr>
        <w:t>v</w:t>
      </w:r>
      <w:r w:rsidRPr="002373A8">
        <w:rPr>
          <w:i/>
          <w:iCs/>
          <w:lang w:val="en-CA"/>
        </w:rPr>
        <w:t>. Transat Tours Canada Inc.,</w:t>
      </w:r>
      <w:r w:rsidRPr="002373A8">
        <w:rPr>
          <w:lang w:val="en-CA"/>
        </w:rPr>
        <w:t xml:space="preserve"> 2007 </w:t>
      </w:r>
      <w:r w:rsidR="00043F8F">
        <w:rPr>
          <w:lang w:val="en-CA"/>
        </w:rPr>
        <w:t>SCC</w:t>
      </w:r>
      <w:r w:rsidRPr="002373A8">
        <w:rPr>
          <w:lang w:val="en-CA"/>
        </w:rPr>
        <w:t xml:space="preserve"> 20,</w:t>
      </w:r>
      <w:r w:rsidRPr="002373A8">
        <w:rPr>
          <w:i/>
          <w:iCs/>
          <w:lang w:val="en-CA"/>
        </w:rPr>
        <w:t xml:space="preserve"> </w:t>
      </w:r>
      <w:r w:rsidRPr="002373A8">
        <w:rPr>
          <w:lang w:val="en-CA"/>
        </w:rPr>
        <w:t>para. 6.</w:t>
      </w:r>
    </w:p>
  </w:footnote>
  <w:footnote w:id="180">
    <w:p w14:paraId="0D7E2DBE" w14:textId="7E140AE7" w:rsidR="002802DA" w:rsidRPr="002373A8" w:rsidRDefault="002802DA" w:rsidP="002802DA">
      <w:pPr>
        <w:pStyle w:val="Notedebasdepage"/>
        <w:rPr>
          <w:i/>
          <w:iCs/>
          <w:lang w:val="en-CA"/>
        </w:rPr>
      </w:pPr>
      <w:r w:rsidRPr="002373A8">
        <w:rPr>
          <w:rStyle w:val="Appelnotedebasdep"/>
          <w:lang w:val="en-CA"/>
        </w:rPr>
        <w:footnoteRef/>
      </w:r>
      <w:r w:rsidRPr="002373A8">
        <w:rPr>
          <w:lang w:val="en-CA"/>
        </w:rPr>
        <w:t xml:space="preserve"> </w:t>
      </w:r>
      <w:r w:rsidRPr="002373A8">
        <w:rPr>
          <w:lang w:val="en-CA"/>
        </w:rPr>
        <w:tab/>
      </w:r>
      <w:r w:rsidRPr="002373A8">
        <w:rPr>
          <w:i/>
          <w:iCs/>
          <w:lang w:val="en-CA"/>
        </w:rPr>
        <w:t xml:space="preserve">Google Inc. </w:t>
      </w:r>
      <w:r w:rsidR="00043F8F">
        <w:rPr>
          <w:i/>
          <w:iCs/>
          <w:lang w:val="en-CA"/>
        </w:rPr>
        <w:t>v</w:t>
      </w:r>
      <w:r w:rsidRPr="002373A8">
        <w:rPr>
          <w:i/>
          <w:iCs/>
          <w:lang w:val="en-CA"/>
        </w:rPr>
        <w:t>. Equustek Solutions Inc.</w:t>
      </w:r>
      <w:r w:rsidRPr="002373A8">
        <w:rPr>
          <w:lang w:val="en-CA"/>
        </w:rPr>
        <w:t xml:space="preserve">, </w:t>
      </w:r>
      <w:hyperlink r:id="rId20" w:history="1">
        <w:r w:rsidRPr="002373A8">
          <w:rPr>
            <w:rStyle w:val="Hyperlien"/>
            <w:color w:val="auto"/>
            <w:u w:val="none"/>
            <w:lang w:val="en-CA"/>
          </w:rPr>
          <w:t xml:space="preserve">2017 </w:t>
        </w:r>
        <w:r w:rsidR="00043F8F">
          <w:rPr>
            <w:rStyle w:val="Hyperlien"/>
            <w:color w:val="auto"/>
            <w:u w:val="none"/>
            <w:lang w:val="en-CA"/>
          </w:rPr>
          <w:t>SCC</w:t>
        </w:r>
        <w:r w:rsidRPr="002373A8">
          <w:rPr>
            <w:rStyle w:val="Hyperlien"/>
            <w:color w:val="auto"/>
            <w:u w:val="none"/>
            <w:lang w:val="en-CA"/>
          </w:rPr>
          <w:t xml:space="preserve"> 34</w:t>
        </w:r>
      </w:hyperlink>
      <w:r w:rsidRPr="002373A8">
        <w:rPr>
          <w:lang w:val="en-CA"/>
        </w:rPr>
        <w:t>, para. 38.</w:t>
      </w:r>
    </w:p>
  </w:footnote>
  <w:footnote w:id="181">
    <w:p w14:paraId="3CAD984F" w14:textId="4E203DDD" w:rsidR="002802DA" w:rsidRPr="002512C7" w:rsidRDefault="002802DA" w:rsidP="002802DA">
      <w:pPr>
        <w:pStyle w:val="Notedebasdepage"/>
        <w:rPr>
          <w:lang w:val="en-CA"/>
        </w:rPr>
      </w:pPr>
      <w:r w:rsidRPr="003F1C76">
        <w:rPr>
          <w:rStyle w:val="Appelnotedebasdep"/>
        </w:rPr>
        <w:footnoteRef/>
      </w:r>
      <w:r w:rsidRPr="001E1683">
        <w:rPr>
          <w:lang w:val="en-CA"/>
        </w:rPr>
        <w:t xml:space="preserve"> </w:t>
      </w:r>
      <w:r w:rsidRPr="001E1683">
        <w:rPr>
          <w:lang w:val="en-CA"/>
        </w:rPr>
        <w:tab/>
      </w:r>
      <w:r w:rsidRPr="002512C7">
        <w:rPr>
          <w:i/>
          <w:iCs/>
          <w:lang w:val="en-CA"/>
        </w:rPr>
        <w:t xml:space="preserve">Google Inc. </w:t>
      </w:r>
      <w:r w:rsidR="002512C7">
        <w:rPr>
          <w:i/>
          <w:iCs/>
          <w:lang w:val="en-CA"/>
        </w:rPr>
        <w:t>v</w:t>
      </w:r>
      <w:r w:rsidRPr="002512C7">
        <w:rPr>
          <w:i/>
          <w:iCs/>
          <w:lang w:val="en-CA"/>
        </w:rPr>
        <w:t>. Equustek Solutions Inc.</w:t>
      </w:r>
      <w:r w:rsidRPr="002512C7">
        <w:rPr>
          <w:lang w:val="en-CA"/>
        </w:rPr>
        <w:t xml:space="preserve">, </w:t>
      </w:r>
      <w:hyperlink r:id="rId21" w:history="1">
        <w:r w:rsidR="002512C7">
          <w:rPr>
            <w:rStyle w:val="Hyperlien"/>
            <w:color w:val="auto"/>
            <w:u w:val="none"/>
            <w:lang w:val="en-CA"/>
          </w:rPr>
          <w:t>2017 SCC 34</w:t>
        </w:r>
      </w:hyperlink>
      <w:r w:rsidRPr="002512C7">
        <w:rPr>
          <w:lang w:val="en-CA"/>
        </w:rPr>
        <w:t>, para. 46.</w:t>
      </w:r>
    </w:p>
  </w:footnote>
  <w:footnote w:id="182">
    <w:p w14:paraId="6AB8D0B5" w14:textId="775B6571" w:rsidR="002802DA" w:rsidRPr="002512C7" w:rsidRDefault="002802DA" w:rsidP="002802DA">
      <w:pPr>
        <w:pStyle w:val="Notedebasdepage"/>
        <w:rPr>
          <w:lang w:val="en-CA"/>
        </w:rPr>
      </w:pPr>
      <w:r w:rsidRPr="002512C7">
        <w:rPr>
          <w:rStyle w:val="Appelnotedebasdep"/>
          <w:lang w:val="en-CA"/>
        </w:rPr>
        <w:footnoteRef/>
      </w:r>
      <w:r w:rsidRPr="002512C7">
        <w:rPr>
          <w:lang w:val="en-CA"/>
        </w:rPr>
        <w:t xml:space="preserve"> </w:t>
      </w:r>
      <w:r w:rsidRPr="002512C7">
        <w:rPr>
          <w:lang w:val="en-CA"/>
        </w:rPr>
        <w:tab/>
        <w:t xml:space="preserve">Amended Defence, November 2027, </w:t>
      </w:r>
      <w:r w:rsidR="002512C7">
        <w:rPr>
          <w:lang w:val="en-CA"/>
        </w:rPr>
        <w:t>A.B</w:t>
      </w:r>
      <w:r w:rsidRPr="002512C7">
        <w:rPr>
          <w:lang w:val="en-CA"/>
        </w:rPr>
        <w:t xml:space="preserve">. </w:t>
      </w:r>
      <w:r w:rsidR="002512C7">
        <w:rPr>
          <w:lang w:val="en-CA"/>
        </w:rPr>
        <w:t xml:space="preserve">conf. </w:t>
      </w:r>
      <w:r w:rsidRPr="002512C7">
        <w:rPr>
          <w:lang w:val="en-CA"/>
        </w:rPr>
        <w:t>vol.1, p. 1107, para. 3.1.</w:t>
      </w:r>
    </w:p>
  </w:footnote>
  <w:footnote w:id="183">
    <w:p w14:paraId="4F2BB0EE" w14:textId="187C9288" w:rsidR="002802DA" w:rsidRPr="002512C7" w:rsidRDefault="002802DA" w:rsidP="002802DA">
      <w:pPr>
        <w:pStyle w:val="Notedebasdepage"/>
        <w:rPr>
          <w:lang w:val="en-CA"/>
        </w:rPr>
      </w:pPr>
      <w:r w:rsidRPr="002512C7">
        <w:rPr>
          <w:rStyle w:val="Appelnotedebasdep"/>
          <w:lang w:val="en-CA"/>
        </w:rPr>
        <w:footnoteRef/>
      </w:r>
      <w:r w:rsidRPr="002512C7">
        <w:rPr>
          <w:lang w:val="en-CA"/>
        </w:rPr>
        <w:t xml:space="preserve"> </w:t>
      </w:r>
      <w:r w:rsidRPr="002512C7">
        <w:rPr>
          <w:lang w:val="en-CA"/>
        </w:rPr>
        <w:tab/>
      </w:r>
      <w:r w:rsidR="002512C7">
        <w:rPr>
          <w:lang w:val="en-CA"/>
        </w:rPr>
        <w:t xml:space="preserve">Examination-in-chief of </w:t>
      </w:r>
      <w:r w:rsidRPr="002512C7">
        <w:rPr>
          <w:lang w:val="en-CA"/>
        </w:rPr>
        <w:t xml:space="preserve">Anthony Nichols, </w:t>
      </w:r>
      <w:r w:rsidR="002512C7">
        <w:rPr>
          <w:lang w:val="en-CA"/>
        </w:rPr>
        <w:t>A.B.</w:t>
      </w:r>
      <w:r w:rsidRPr="002512C7">
        <w:rPr>
          <w:lang w:val="en-CA"/>
        </w:rPr>
        <w:t xml:space="preserve">, </w:t>
      </w:r>
      <w:r w:rsidR="002512C7">
        <w:rPr>
          <w:lang w:val="en-CA"/>
        </w:rPr>
        <w:t>conf.</w:t>
      </w:r>
      <w:r w:rsidR="00FF1798">
        <w:rPr>
          <w:lang w:val="en-CA"/>
        </w:rPr>
        <w:t xml:space="preserve"> </w:t>
      </w:r>
      <w:r w:rsidRPr="002512C7">
        <w:rPr>
          <w:lang w:val="en-CA"/>
        </w:rPr>
        <w:t>vol. 5, p</w:t>
      </w:r>
      <w:r w:rsidR="002512C7">
        <w:rPr>
          <w:lang w:val="en-CA"/>
        </w:rPr>
        <w:t>p</w:t>
      </w:r>
      <w:r w:rsidRPr="002512C7">
        <w:rPr>
          <w:lang w:val="en-CA"/>
        </w:rPr>
        <w:t xml:space="preserve">. 2488 </w:t>
      </w:r>
      <w:r w:rsidR="002512C7">
        <w:rPr>
          <w:lang w:val="en-CA"/>
        </w:rPr>
        <w:t>and ff</w:t>
      </w:r>
      <w:r w:rsidRPr="002512C7">
        <w:rPr>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2606" w14:textId="77777777" w:rsidR="002802DA" w:rsidRPr="003F1C76" w:rsidRDefault="002802DA" w:rsidP="00E568DA">
    <w:pPr>
      <w:tabs>
        <w:tab w:val="center" w:pos="4709"/>
        <w:tab w:val="right" w:pos="9360"/>
      </w:tabs>
      <w:spacing w:line="360" w:lineRule="auto"/>
      <w:ind w:right="524"/>
    </w:pPr>
    <w:r w:rsidRPr="003F1C76">
      <w:t xml:space="preserve">500-09-030526-230 </w:t>
    </w:r>
    <w:r w:rsidRPr="003F1C76">
      <w:tab/>
    </w:r>
    <w:r w:rsidRPr="003F1C76">
      <w:tab/>
      <w:t xml:space="preserve">PAGE : </w:t>
    </w:r>
    <w:r w:rsidRPr="003F1C76">
      <w:fldChar w:fldCharType="begin"/>
    </w:r>
    <w:r w:rsidRPr="003F1C76">
      <w:instrText xml:space="preserve"> PAGE </w:instrText>
    </w:r>
    <w:r w:rsidRPr="003F1C76">
      <w:fldChar w:fldCharType="separate"/>
    </w:r>
    <w:r w:rsidRPr="003F1C76">
      <w:t>1</w:t>
    </w:r>
    <w:r w:rsidRPr="003F1C7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479D" w14:textId="77777777" w:rsidR="00E059D1" w:rsidRDefault="00E059D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DE03" w14:textId="77777777" w:rsidR="007E33E4" w:rsidRDefault="008F7C57" w:rsidP="00DB2119">
    <w:pPr>
      <w:tabs>
        <w:tab w:val="center" w:pos="4709"/>
        <w:tab w:val="right" w:pos="9360"/>
      </w:tabs>
      <w:spacing w:line="360" w:lineRule="auto"/>
      <w:ind w:right="524"/>
    </w:pPr>
    <w:bookmarkStart w:id="80" w:name="EntDossier"/>
    <w:r>
      <w:t>500-09-030526-230</w:t>
    </w:r>
    <w:bookmarkEnd w:id="80"/>
    <w:r w:rsidR="007E33E4" w:rsidRPr="007462D6">
      <w:t xml:space="preserve"> </w:t>
    </w:r>
    <w:r w:rsidR="007E33E4">
      <w:tab/>
    </w:r>
    <w:r w:rsidR="007E33E4">
      <w:tab/>
      <w:t xml:space="preserve">PAGE : </w:t>
    </w:r>
    <w:r w:rsidR="007E33E4">
      <w:fldChar w:fldCharType="begin"/>
    </w:r>
    <w:r w:rsidR="007E33E4">
      <w:instrText xml:space="preserve"> PAGE </w:instrText>
    </w:r>
    <w:r w:rsidR="007E33E4">
      <w:fldChar w:fldCharType="separate"/>
    </w:r>
    <w:r w:rsidR="008D18FC">
      <w:rPr>
        <w:noProof/>
      </w:rPr>
      <w:t>2</w:t>
    </w:r>
    <w:r w:rsidR="007E33E4">
      <w:fldChar w:fldCharType="end"/>
    </w:r>
  </w:p>
  <w:p w14:paraId="1B561420" w14:textId="77777777" w:rsidR="007E33E4" w:rsidRDefault="007E33E4" w:rsidP="00DB2119">
    <w:pPr>
      <w:tabs>
        <w:tab w:val="center" w:pos="4709"/>
        <w:tab w:val="right" w:pos="9360"/>
      </w:tabs>
      <w:spacing w:line="360" w:lineRule="auto"/>
      <w:ind w:right="52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B939" w14:textId="77777777" w:rsidR="00E059D1" w:rsidRDefault="00E059D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1E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12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2647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1C3B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EAB8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1219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07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6436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CE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34AE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0132F4"/>
    <w:multiLevelType w:val="hybridMultilevel"/>
    <w:tmpl w:val="69B4A0CE"/>
    <w:lvl w:ilvl="0" w:tplc="0C0C0017">
      <w:start w:val="1"/>
      <w:numFmt w:val="lowerLetter"/>
      <w:lvlText w:val="%1)"/>
      <w:lvlJc w:val="left"/>
      <w:pPr>
        <w:ind w:left="1800" w:hanging="360"/>
      </w:p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11" w15:restartNumberingAfterBreak="0">
    <w:nsid w:val="1D3418F6"/>
    <w:multiLevelType w:val="hybridMultilevel"/>
    <w:tmpl w:val="4F68BDB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3896A1E"/>
    <w:multiLevelType w:val="hybridMultilevel"/>
    <w:tmpl w:val="549096E2"/>
    <w:lvl w:ilvl="0" w:tplc="B9961EA0">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3" w15:restartNumberingAfterBreak="0">
    <w:nsid w:val="28BB52DE"/>
    <w:multiLevelType w:val="multilevel"/>
    <w:tmpl w:val="79E601F0"/>
    <w:lvl w:ilvl="0">
      <w:start w:val="1"/>
      <w:numFmt w:val="decimal"/>
      <w:pStyle w:val="Paragraphe"/>
      <w:lvlText w:val="[%1]"/>
      <w:lvlJc w:val="left"/>
      <w:pPr>
        <w:tabs>
          <w:tab w:val="num" w:pos="720"/>
        </w:tabs>
        <w:ind w:left="0" w:firstLine="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3EA504A9"/>
    <w:multiLevelType w:val="hybridMultilevel"/>
    <w:tmpl w:val="DE2E4EE0"/>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40FC4BD5"/>
    <w:multiLevelType w:val="hybridMultilevel"/>
    <w:tmpl w:val="FE90A30C"/>
    <w:lvl w:ilvl="0" w:tplc="DD9084D2">
      <w:start w:val="1"/>
      <w:numFmt w:val="upp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6" w15:restartNumberingAfterBreak="0">
    <w:nsid w:val="4A9D1B84"/>
    <w:multiLevelType w:val="multilevel"/>
    <w:tmpl w:val="2766DEE4"/>
    <w:lvl w:ilvl="0">
      <w:start w:val="1"/>
      <w:numFmt w:val="bullet"/>
      <w:lvlText w:val=""/>
      <w:lvlJc w:val="left"/>
      <w:pPr>
        <w:tabs>
          <w:tab w:val="num" w:pos="792"/>
        </w:tabs>
        <w:ind w:left="792" w:hanging="72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55107D3A"/>
    <w:multiLevelType w:val="hybridMultilevel"/>
    <w:tmpl w:val="E2405A0C"/>
    <w:lvl w:ilvl="0" w:tplc="0C0C0013">
      <w:start w:val="1"/>
      <w:numFmt w:val="upperRoman"/>
      <w:lvlText w:val="%1."/>
      <w:lvlJc w:val="righ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5DA729F2"/>
    <w:multiLevelType w:val="hybridMultilevel"/>
    <w:tmpl w:val="A814A318"/>
    <w:lvl w:ilvl="0" w:tplc="47700316">
      <w:start w:val="3"/>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09C0DCC"/>
    <w:multiLevelType w:val="multilevel"/>
    <w:tmpl w:val="F11C8164"/>
    <w:lvl w:ilvl="0">
      <w:start w:val="1"/>
      <w:numFmt w:val="decimal"/>
      <w:lvlText w:val="[%1]"/>
      <w:lvlJc w:val="left"/>
      <w:pPr>
        <w:tabs>
          <w:tab w:val="num" w:pos="360"/>
        </w:tabs>
        <w:ind w:left="0" w:firstLine="0"/>
      </w:pPr>
      <w:rPr>
        <w:rFonts w:ascii="Arial" w:hAnsi="Arial" w:hint="default"/>
        <w:b w:val="0"/>
        <w:i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6E2015E7"/>
    <w:multiLevelType w:val="hybridMultilevel"/>
    <w:tmpl w:val="769A59F6"/>
    <w:lvl w:ilvl="0" w:tplc="391C46B8">
      <w:start w:val="2"/>
      <w:numFmt w:val="upperLetter"/>
      <w:lvlText w:val="%1)"/>
      <w:lvlJc w:val="left"/>
      <w:pPr>
        <w:ind w:left="1440" w:hanging="36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1" w15:restartNumberingAfterBreak="0">
    <w:nsid w:val="78CD1884"/>
    <w:multiLevelType w:val="hybridMultilevel"/>
    <w:tmpl w:val="5C34C0A8"/>
    <w:lvl w:ilvl="0" w:tplc="E424BD94">
      <w:start w:val="1"/>
      <w:numFmt w:val="decimal"/>
      <w:lvlText w:val="(%1)"/>
      <w:lvlJc w:val="left"/>
      <w:pPr>
        <w:ind w:left="1800" w:hanging="360"/>
      </w:pPr>
      <w:rPr>
        <w:rFonts w:hint="default"/>
      </w:r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22" w15:restartNumberingAfterBreak="0">
    <w:nsid w:val="7A5C7249"/>
    <w:multiLevelType w:val="hybridMultilevel"/>
    <w:tmpl w:val="105E4954"/>
    <w:lvl w:ilvl="0" w:tplc="250E0500">
      <w:start w:val="1"/>
      <w:numFmt w:val="lowerRoman"/>
      <w:lvlText w:val="%1)"/>
      <w:lvlJc w:val="left"/>
      <w:pPr>
        <w:ind w:left="2160" w:hanging="720"/>
      </w:pPr>
      <w:rPr>
        <w:rFonts w:hint="default"/>
      </w:r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23" w15:restartNumberingAfterBreak="0">
    <w:nsid w:val="7F7739A1"/>
    <w:multiLevelType w:val="hybridMultilevel"/>
    <w:tmpl w:val="47004ABE"/>
    <w:lvl w:ilvl="0" w:tplc="ADA6260E">
      <w:start w:val="2"/>
      <w:numFmt w:val="lowerLetter"/>
      <w:lvlText w:val="%1)"/>
      <w:lvlJc w:val="left"/>
      <w:pPr>
        <w:ind w:left="1800" w:hanging="360"/>
      </w:pPr>
      <w:rPr>
        <w:rFonts w:hint="default"/>
      </w:r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num w:numId="1" w16cid:durableId="700668993">
    <w:abstractNumId w:val="19"/>
  </w:num>
  <w:num w:numId="2" w16cid:durableId="2069330197">
    <w:abstractNumId w:val="19"/>
  </w:num>
  <w:num w:numId="3" w16cid:durableId="97868211">
    <w:abstractNumId w:val="19"/>
  </w:num>
  <w:num w:numId="4" w16cid:durableId="745953219">
    <w:abstractNumId w:val="8"/>
  </w:num>
  <w:num w:numId="5" w16cid:durableId="243074291">
    <w:abstractNumId w:val="3"/>
  </w:num>
  <w:num w:numId="6" w16cid:durableId="360014663">
    <w:abstractNumId w:val="2"/>
  </w:num>
  <w:num w:numId="7" w16cid:durableId="1200312741">
    <w:abstractNumId w:val="1"/>
  </w:num>
  <w:num w:numId="8" w16cid:durableId="1884056563">
    <w:abstractNumId w:val="0"/>
  </w:num>
  <w:num w:numId="9" w16cid:durableId="1781681706">
    <w:abstractNumId w:val="9"/>
  </w:num>
  <w:num w:numId="10" w16cid:durableId="695617017">
    <w:abstractNumId w:val="7"/>
  </w:num>
  <w:num w:numId="11" w16cid:durableId="215822005">
    <w:abstractNumId w:val="6"/>
  </w:num>
  <w:num w:numId="12" w16cid:durableId="1016350783">
    <w:abstractNumId w:val="5"/>
  </w:num>
  <w:num w:numId="13" w16cid:durableId="1248030301">
    <w:abstractNumId w:val="4"/>
  </w:num>
  <w:num w:numId="14" w16cid:durableId="1910651490">
    <w:abstractNumId w:val="19"/>
  </w:num>
  <w:num w:numId="15" w16cid:durableId="1673871608">
    <w:abstractNumId w:val="19"/>
  </w:num>
  <w:num w:numId="16" w16cid:durableId="1614747678">
    <w:abstractNumId w:val="19"/>
  </w:num>
  <w:num w:numId="17" w16cid:durableId="1115057078">
    <w:abstractNumId w:val="16"/>
  </w:num>
  <w:num w:numId="18" w16cid:durableId="440342831">
    <w:abstractNumId w:val="13"/>
  </w:num>
  <w:num w:numId="19" w16cid:durableId="5946315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4781249">
    <w:abstractNumId w:val="17"/>
  </w:num>
  <w:num w:numId="21" w16cid:durableId="382678376">
    <w:abstractNumId w:val="14"/>
  </w:num>
  <w:num w:numId="22" w16cid:durableId="653994203">
    <w:abstractNumId w:val="18"/>
  </w:num>
  <w:num w:numId="23" w16cid:durableId="180975048">
    <w:abstractNumId w:val="12"/>
  </w:num>
  <w:num w:numId="24" w16cid:durableId="1998848415">
    <w:abstractNumId w:val="15"/>
  </w:num>
  <w:num w:numId="25" w16cid:durableId="265310176">
    <w:abstractNumId w:val="20"/>
  </w:num>
  <w:num w:numId="26" w16cid:durableId="1122192888">
    <w:abstractNumId w:val="23"/>
  </w:num>
  <w:num w:numId="27" w16cid:durableId="155730438">
    <w:abstractNumId w:val="10"/>
  </w:num>
  <w:num w:numId="28" w16cid:durableId="978539096">
    <w:abstractNumId w:val="11"/>
  </w:num>
  <w:num w:numId="29" w16cid:durableId="365909921">
    <w:abstractNumId w:val="21"/>
  </w:num>
  <w:num w:numId="30" w16cid:durableId="3440886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NBChoix" w:val="3"/>
    <w:docVar w:name="MotifJuge1" w:val="MOTIFS DE LA JUGE"/>
    <w:docVar w:name="MotifJuge2" w:val="MOTIFS DU JUGE"/>
    <w:docVar w:name="MotifJuge3" w:val="MOTIFS DE LA JUGE"/>
    <w:docVar w:name="NomFamJuge1" w:val="EN CHEF"/>
    <w:docVar w:name="NomFamJuge2" w:val="MOORE"/>
    <w:docVar w:name="NomFamJuge3" w:val="HARVIE"/>
    <w:docVar w:name="NomFamJuge4" w:val="MAILHOT"/>
    <w:docVar w:name="NomFamJuge5" w:val="BAUDOUIN"/>
    <w:docVar w:name="QteJuge1" w:val=", J.C.Q."/>
    <w:docVar w:name="QteJuge2" w:val=", J.C.A."/>
    <w:docVar w:name="QteJuge3" w:val=", J.C.A."/>
    <w:docVar w:name="stPremiereFois" w:val="Non"/>
  </w:docVars>
  <w:rsids>
    <w:rsidRoot w:val="008F7C57"/>
    <w:rsid w:val="00000552"/>
    <w:rsid w:val="00001991"/>
    <w:rsid w:val="00001D64"/>
    <w:rsid w:val="000033D8"/>
    <w:rsid w:val="00003655"/>
    <w:rsid w:val="000050C7"/>
    <w:rsid w:val="00011A7B"/>
    <w:rsid w:val="000131E1"/>
    <w:rsid w:val="000143F2"/>
    <w:rsid w:val="000157A3"/>
    <w:rsid w:val="000173F9"/>
    <w:rsid w:val="00020416"/>
    <w:rsid w:val="00023232"/>
    <w:rsid w:val="0002543D"/>
    <w:rsid w:val="00031EBB"/>
    <w:rsid w:val="000344C9"/>
    <w:rsid w:val="0004394C"/>
    <w:rsid w:val="00043F8F"/>
    <w:rsid w:val="00047983"/>
    <w:rsid w:val="00053691"/>
    <w:rsid w:val="000548F7"/>
    <w:rsid w:val="000624AA"/>
    <w:rsid w:val="00063104"/>
    <w:rsid w:val="0006715D"/>
    <w:rsid w:val="0007602D"/>
    <w:rsid w:val="00082687"/>
    <w:rsid w:val="00082B97"/>
    <w:rsid w:val="00084201"/>
    <w:rsid w:val="00086E31"/>
    <w:rsid w:val="00090FF4"/>
    <w:rsid w:val="00091923"/>
    <w:rsid w:val="00092F4F"/>
    <w:rsid w:val="000949E5"/>
    <w:rsid w:val="00094CA8"/>
    <w:rsid w:val="00096CCF"/>
    <w:rsid w:val="000A1ADC"/>
    <w:rsid w:val="000A3BD3"/>
    <w:rsid w:val="000A61DB"/>
    <w:rsid w:val="000A7516"/>
    <w:rsid w:val="000B0540"/>
    <w:rsid w:val="000B16FE"/>
    <w:rsid w:val="000B42AF"/>
    <w:rsid w:val="000C0EFA"/>
    <w:rsid w:val="000C2448"/>
    <w:rsid w:val="000C30DB"/>
    <w:rsid w:val="000D7056"/>
    <w:rsid w:val="000E5CDA"/>
    <w:rsid w:val="000E5EA8"/>
    <w:rsid w:val="000E7C7C"/>
    <w:rsid w:val="000F47AE"/>
    <w:rsid w:val="000F67F4"/>
    <w:rsid w:val="000F7196"/>
    <w:rsid w:val="00102E6F"/>
    <w:rsid w:val="00110B53"/>
    <w:rsid w:val="00112321"/>
    <w:rsid w:val="00117914"/>
    <w:rsid w:val="00126A04"/>
    <w:rsid w:val="00126FE2"/>
    <w:rsid w:val="001300E4"/>
    <w:rsid w:val="0013028C"/>
    <w:rsid w:val="00132256"/>
    <w:rsid w:val="00132435"/>
    <w:rsid w:val="001361D9"/>
    <w:rsid w:val="00151037"/>
    <w:rsid w:val="00151C6C"/>
    <w:rsid w:val="001547DD"/>
    <w:rsid w:val="0015610F"/>
    <w:rsid w:val="00160B31"/>
    <w:rsid w:val="0016101D"/>
    <w:rsid w:val="0016425F"/>
    <w:rsid w:val="001667E6"/>
    <w:rsid w:val="00172400"/>
    <w:rsid w:val="00172EFD"/>
    <w:rsid w:val="00174D26"/>
    <w:rsid w:val="00175EF6"/>
    <w:rsid w:val="00181F56"/>
    <w:rsid w:val="001828F7"/>
    <w:rsid w:val="00185A30"/>
    <w:rsid w:val="0019063B"/>
    <w:rsid w:val="00190FA7"/>
    <w:rsid w:val="0019276D"/>
    <w:rsid w:val="001972F2"/>
    <w:rsid w:val="001A0A24"/>
    <w:rsid w:val="001A5223"/>
    <w:rsid w:val="001A5D97"/>
    <w:rsid w:val="001A6C9F"/>
    <w:rsid w:val="001A6FF8"/>
    <w:rsid w:val="001A7906"/>
    <w:rsid w:val="001B17C9"/>
    <w:rsid w:val="001B2646"/>
    <w:rsid w:val="001B3B2C"/>
    <w:rsid w:val="001C0386"/>
    <w:rsid w:val="001C0E40"/>
    <w:rsid w:val="001C31D4"/>
    <w:rsid w:val="001C7A71"/>
    <w:rsid w:val="001D04F6"/>
    <w:rsid w:val="001D07E6"/>
    <w:rsid w:val="001D2116"/>
    <w:rsid w:val="001D3C30"/>
    <w:rsid w:val="001E1C9A"/>
    <w:rsid w:val="001E4998"/>
    <w:rsid w:val="001E58E5"/>
    <w:rsid w:val="001E621A"/>
    <w:rsid w:val="001F0A3B"/>
    <w:rsid w:val="001F15E7"/>
    <w:rsid w:val="001F185C"/>
    <w:rsid w:val="001F195E"/>
    <w:rsid w:val="001F3BF8"/>
    <w:rsid w:val="001F6C2D"/>
    <w:rsid w:val="001F7377"/>
    <w:rsid w:val="00203A84"/>
    <w:rsid w:val="002047AE"/>
    <w:rsid w:val="00205DC4"/>
    <w:rsid w:val="0021548E"/>
    <w:rsid w:val="0021578A"/>
    <w:rsid w:val="002273F5"/>
    <w:rsid w:val="00232D2D"/>
    <w:rsid w:val="0023421C"/>
    <w:rsid w:val="0023587F"/>
    <w:rsid w:val="002373A8"/>
    <w:rsid w:val="00240D73"/>
    <w:rsid w:val="00250DB3"/>
    <w:rsid w:val="0025118E"/>
    <w:rsid w:val="002512C7"/>
    <w:rsid w:val="00253B71"/>
    <w:rsid w:val="00260C29"/>
    <w:rsid w:val="002617D3"/>
    <w:rsid w:val="002633C8"/>
    <w:rsid w:val="00263CDA"/>
    <w:rsid w:val="00272E8A"/>
    <w:rsid w:val="002802DA"/>
    <w:rsid w:val="00290E5D"/>
    <w:rsid w:val="00290F20"/>
    <w:rsid w:val="00291A73"/>
    <w:rsid w:val="002A4FF9"/>
    <w:rsid w:val="002A5012"/>
    <w:rsid w:val="002A7F3E"/>
    <w:rsid w:val="002B268A"/>
    <w:rsid w:val="002B4A07"/>
    <w:rsid w:val="002B6344"/>
    <w:rsid w:val="002C4107"/>
    <w:rsid w:val="002D0365"/>
    <w:rsid w:val="002D1FA3"/>
    <w:rsid w:val="002D37DB"/>
    <w:rsid w:val="002D5484"/>
    <w:rsid w:val="002D67E6"/>
    <w:rsid w:val="002D7F3C"/>
    <w:rsid w:val="002E1F0E"/>
    <w:rsid w:val="002E229C"/>
    <w:rsid w:val="002E4262"/>
    <w:rsid w:val="002E4E1F"/>
    <w:rsid w:val="002E51F1"/>
    <w:rsid w:val="002F1350"/>
    <w:rsid w:val="002F2161"/>
    <w:rsid w:val="002F2AF5"/>
    <w:rsid w:val="002F2C23"/>
    <w:rsid w:val="002F4867"/>
    <w:rsid w:val="002F6136"/>
    <w:rsid w:val="002F7CCE"/>
    <w:rsid w:val="0031069A"/>
    <w:rsid w:val="00314114"/>
    <w:rsid w:val="003163F3"/>
    <w:rsid w:val="00316FD3"/>
    <w:rsid w:val="003215E5"/>
    <w:rsid w:val="00322DE0"/>
    <w:rsid w:val="0032363D"/>
    <w:rsid w:val="0032414C"/>
    <w:rsid w:val="00330BFC"/>
    <w:rsid w:val="0033190E"/>
    <w:rsid w:val="00341461"/>
    <w:rsid w:val="00345E5A"/>
    <w:rsid w:val="003474CF"/>
    <w:rsid w:val="003507A1"/>
    <w:rsid w:val="003557A7"/>
    <w:rsid w:val="003602FC"/>
    <w:rsid w:val="00360FED"/>
    <w:rsid w:val="00361325"/>
    <w:rsid w:val="0036479E"/>
    <w:rsid w:val="00370D3D"/>
    <w:rsid w:val="00371212"/>
    <w:rsid w:val="0037155A"/>
    <w:rsid w:val="00372291"/>
    <w:rsid w:val="00373CB5"/>
    <w:rsid w:val="00374888"/>
    <w:rsid w:val="00374E40"/>
    <w:rsid w:val="00376313"/>
    <w:rsid w:val="00382240"/>
    <w:rsid w:val="003822DA"/>
    <w:rsid w:val="003865CA"/>
    <w:rsid w:val="003916F8"/>
    <w:rsid w:val="00395931"/>
    <w:rsid w:val="003A73F4"/>
    <w:rsid w:val="003B3992"/>
    <w:rsid w:val="003C00F8"/>
    <w:rsid w:val="003C70B9"/>
    <w:rsid w:val="003C757E"/>
    <w:rsid w:val="003D077B"/>
    <w:rsid w:val="003D16D5"/>
    <w:rsid w:val="003D1AD2"/>
    <w:rsid w:val="003D1C3C"/>
    <w:rsid w:val="003D43E6"/>
    <w:rsid w:val="003D487D"/>
    <w:rsid w:val="003D7E2B"/>
    <w:rsid w:val="003E0E86"/>
    <w:rsid w:val="003E3239"/>
    <w:rsid w:val="003E3E3C"/>
    <w:rsid w:val="003E3E54"/>
    <w:rsid w:val="003E3F85"/>
    <w:rsid w:val="003E4978"/>
    <w:rsid w:val="003E6087"/>
    <w:rsid w:val="003E6CAA"/>
    <w:rsid w:val="003F0EA9"/>
    <w:rsid w:val="003F2086"/>
    <w:rsid w:val="00402C59"/>
    <w:rsid w:val="00417B2E"/>
    <w:rsid w:val="00423DF1"/>
    <w:rsid w:val="00424ED6"/>
    <w:rsid w:val="0042601A"/>
    <w:rsid w:val="00430C58"/>
    <w:rsid w:val="00431131"/>
    <w:rsid w:val="004331C4"/>
    <w:rsid w:val="004335D8"/>
    <w:rsid w:val="004343CF"/>
    <w:rsid w:val="00435641"/>
    <w:rsid w:val="0043564D"/>
    <w:rsid w:val="00435BA5"/>
    <w:rsid w:val="00441C25"/>
    <w:rsid w:val="00444616"/>
    <w:rsid w:val="00446452"/>
    <w:rsid w:val="0044698B"/>
    <w:rsid w:val="00456CB5"/>
    <w:rsid w:val="004613AB"/>
    <w:rsid w:val="00464427"/>
    <w:rsid w:val="00471FB7"/>
    <w:rsid w:val="00472DC8"/>
    <w:rsid w:val="00472F86"/>
    <w:rsid w:val="004749BC"/>
    <w:rsid w:val="00475A1A"/>
    <w:rsid w:val="004801B8"/>
    <w:rsid w:val="004802EC"/>
    <w:rsid w:val="004806DD"/>
    <w:rsid w:val="00485012"/>
    <w:rsid w:val="004852E8"/>
    <w:rsid w:val="00486A62"/>
    <w:rsid w:val="00493BB2"/>
    <w:rsid w:val="00495E1B"/>
    <w:rsid w:val="004A173E"/>
    <w:rsid w:val="004A1E31"/>
    <w:rsid w:val="004A29F1"/>
    <w:rsid w:val="004A45DA"/>
    <w:rsid w:val="004A5D7E"/>
    <w:rsid w:val="004A6641"/>
    <w:rsid w:val="004B16B2"/>
    <w:rsid w:val="004B1D52"/>
    <w:rsid w:val="004B1E94"/>
    <w:rsid w:val="004B3124"/>
    <w:rsid w:val="004B33FF"/>
    <w:rsid w:val="004B6654"/>
    <w:rsid w:val="004C0177"/>
    <w:rsid w:val="004C2BA9"/>
    <w:rsid w:val="004C2CB5"/>
    <w:rsid w:val="004D2F69"/>
    <w:rsid w:val="004D3FB2"/>
    <w:rsid w:val="004E4FBA"/>
    <w:rsid w:val="004E6260"/>
    <w:rsid w:val="004F1DE6"/>
    <w:rsid w:val="00504AA9"/>
    <w:rsid w:val="005131F1"/>
    <w:rsid w:val="0051484F"/>
    <w:rsid w:val="00516B3E"/>
    <w:rsid w:val="005262C9"/>
    <w:rsid w:val="00526506"/>
    <w:rsid w:val="00531D70"/>
    <w:rsid w:val="0054550E"/>
    <w:rsid w:val="005455FD"/>
    <w:rsid w:val="00550723"/>
    <w:rsid w:val="00552515"/>
    <w:rsid w:val="00553E78"/>
    <w:rsid w:val="00553FDC"/>
    <w:rsid w:val="005545AF"/>
    <w:rsid w:val="00556274"/>
    <w:rsid w:val="0056613C"/>
    <w:rsid w:val="00566BF6"/>
    <w:rsid w:val="0056778B"/>
    <w:rsid w:val="00567C54"/>
    <w:rsid w:val="0057419F"/>
    <w:rsid w:val="00576E38"/>
    <w:rsid w:val="0058256B"/>
    <w:rsid w:val="00582618"/>
    <w:rsid w:val="00583434"/>
    <w:rsid w:val="0058349F"/>
    <w:rsid w:val="00586D45"/>
    <w:rsid w:val="005878B2"/>
    <w:rsid w:val="00587B65"/>
    <w:rsid w:val="00590200"/>
    <w:rsid w:val="00591F2F"/>
    <w:rsid w:val="0059468B"/>
    <w:rsid w:val="00594AE5"/>
    <w:rsid w:val="005A32F1"/>
    <w:rsid w:val="005A3E28"/>
    <w:rsid w:val="005A461E"/>
    <w:rsid w:val="005A78BF"/>
    <w:rsid w:val="005B4D10"/>
    <w:rsid w:val="005B6B4C"/>
    <w:rsid w:val="005C0A56"/>
    <w:rsid w:val="005C1519"/>
    <w:rsid w:val="005C2266"/>
    <w:rsid w:val="005C7516"/>
    <w:rsid w:val="005D1522"/>
    <w:rsid w:val="005D190E"/>
    <w:rsid w:val="005D205B"/>
    <w:rsid w:val="005D40DC"/>
    <w:rsid w:val="005D52EB"/>
    <w:rsid w:val="005D56FA"/>
    <w:rsid w:val="005E0EDA"/>
    <w:rsid w:val="005E2F6E"/>
    <w:rsid w:val="005E31B4"/>
    <w:rsid w:val="005F5F5F"/>
    <w:rsid w:val="006007F2"/>
    <w:rsid w:val="006008E5"/>
    <w:rsid w:val="006012DD"/>
    <w:rsid w:val="0061719D"/>
    <w:rsid w:val="00621C37"/>
    <w:rsid w:val="00624770"/>
    <w:rsid w:val="00624BE0"/>
    <w:rsid w:val="0062629D"/>
    <w:rsid w:val="00633BDE"/>
    <w:rsid w:val="00641BDF"/>
    <w:rsid w:val="0064250B"/>
    <w:rsid w:val="006479C1"/>
    <w:rsid w:val="00650A65"/>
    <w:rsid w:val="006522A1"/>
    <w:rsid w:val="0065603C"/>
    <w:rsid w:val="00656201"/>
    <w:rsid w:val="0066397A"/>
    <w:rsid w:val="00670C1B"/>
    <w:rsid w:val="00672542"/>
    <w:rsid w:val="00673E5F"/>
    <w:rsid w:val="00680CC4"/>
    <w:rsid w:val="006826AA"/>
    <w:rsid w:val="0068322D"/>
    <w:rsid w:val="0068356A"/>
    <w:rsid w:val="00684F99"/>
    <w:rsid w:val="0068537F"/>
    <w:rsid w:val="0069084D"/>
    <w:rsid w:val="006931AE"/>
    <w:rsid w:val="006932A1"/>
    <w:rsid w:val="006955C2"/>
    <w:rsid w:val="00695C65"/>
    <w:rsid w:val="00697A21"/>
    <w:rsid w:val="006A0DB0"/>
    <w:rsid w:val="006A25EB"/>
    <w:rsid w:val="006A6629"/>
    <w:rsid w:val="006A696A"/>
    <w:rsid w:val="006B42F5"/>
    <w:rsid w:val="006B45F2"/>
    <w:rsid w:val="006B460D"/>
    <w:rsid w:val="006B54BF"/>
    <w:rsid w:val="006C0514"/>
    <w:rsid w:val="006C3302"/>
    <w:rsid w:val="006C6FCF"/>
    <w:rsid w:val="006C754E"/>
    <w:rsid w:val="006D05EA"/>
    <w:rsid w:val="006D490D"/>
    <w:rsid w:val="006D7C91"/>
    <w:rsid w:val="006E12E0"/>
    <w:rsid w:val="006E3FB4"/>
    <w:rsid w:val="006E66D7"/>
    <w:rsid w:val="006F2469"/>
    <w:rsid w:val="0070073A"/>
    <w:rsid w:val="00706350"/>
    <w:rsid w:val="0070746B"/>
    <w:rsid w:val="00721E38"/>
    <w:rsid w:val="0072312E"/>
    <w:rsid w:val="00723859"/>
    <w:rsid w:val="00725BA9"/>
    <w:rsid w:val="00726261"/>
    <w:rsid w:val="007355C3"/>
    <w:rsid w:val="00735FA1"/>
    <w:rsid w:val="00736C0E"/>
    <w:rsid w:val="00740A17"/>
    <w:rsid w:val="00740EFC"/>
    <w:rsid w:val="00741689"/>
    <w:rsid w:val="00741725"/>
    <w:rsid w:val="0074572F"/>
    <w:rsid w:val="007462D6"/>
    <w:rsid w:val="00746723"/>
    <w:rsid w:val="0074738B"/>
    <w:rsid w:val="00752C67"/>
    <w:rsid w:val="007537AD"/>
    <w:rsid w:val="0076062E"/>
    <w:rsid w:val="00770E4F"/>
    <w:rsid w:val="00783F05"/>
    <w:rsid w:val="0078650E"/>
    <w:rsid w:val="00792019"/>
    <w:rsid w:val="0079299C"/>
    <w:rsid w:val="00793871"/>
    <w:rsid w:val="007953F3"/>
    <w:rsid w:val="00795623"/>
    <w:rsid w:val="00797BE4"/>
    <w:rsid w:val="007A095D"/>
    <w:rsid w:val="007A23AC"/>
    <w:rsid w:val="007A3496"/>
    <w:rsid w:val="007A5C7D"/>
    <w:rsid w:val="007A5D28"/>
    <w:rsid w:val="007A7803"/>
    <w:rsid w:val="007B061E"/>
    <w:rsid w:val="007B48D5"/>
    <w:rsid w:val="007C1099"/>
    <w:rsid w:val="007C4082"/>
    <w:rsid w:val="007C46C3"/>
    <w:rsid w:val="007C6B2F"/>
    <w:rsid w:val="007C738B"/>
    <w:rsid w:val="007C77CB"/>
    <w:rsid w:val="007D087C"/>
    <w:rsid w:val="007D1E23"/>
    <w:rsid w:val="007D32A6"/>
    <w:rsid w:val="007D540B"/>
    <w:rsid w:val="007E27D6"/>
    <w:rsid w:val="007E33E4"/>
    <w:rsid w:val="007E4CC9"/>
    <w:rsid w:val="007E5053"/>
    <w:rsid w:val="007E6947"/>
    <w:rsid w:val="007F1984"/>
    <w:rsid w:val="007F4AB3"/>
    <w:rsid w:val="00800D23"/>
    <w:rsid w:val="00800ED0"/>
    <w:rsid w:val="00803EFE"/>
    <w:rsid w:val="00804B52"/>
    <w:rsid w:val="008113A4"/>
    <w:rsid w:val="00812169"/>
    <w:rsid w:val="00813F9C"/>
    <w:rsid w:val="00814F22"/>
    <w:rsid w:val="00816273"/>
    <w:rsid w:val="008231FD"/>
    <w:rsid w:val="008241D2"/>
    <w:rsid w:val="0082635B"/>
    <w:rsid w:val="0082717B"/>
    <w:rsid w:val="00827B04"/>
    <w:rsid w:val="0083032E"/>
    <w:rsid w:val="00830F16"/>
    <w:rsid w:val="00830F28"/>
    <w:rsid w:val="00835CA6"/>
    <w:rsid w:val="00841907"/>
    <w:rsid w:val="00845D41"/>
    <w:rsid w:val="0085004F"/>
    <w:rsid w:val="00852F9D"/>
    <w:rsid w:val="008552B0"/>
    <w:rsid w:val="00855FA8"/>
    <w:rsid w:val="0086036A"/>
    <w:rsid w:val="0086250A"/>
    <w:rsid w:val="00863CC7"/>
    <w:rsid w:val="008653A3"/>
    <w:rsid w:val="008657A2"/>
    <w:rsid w:val="008658BB"/>
    <w:rsid w:val="00866645"/>
    <w:rsid w:val="00871049"/>
    <w:rsid w:val="00871DA1"/>
    <w:rsid w:val="008748BC"/>
    <w:rsid w:val="008749E1"/>
    <w:rsid w:val="00880873"/>
    <w:rsid w:val="00881C89"/>
    <w:rsid w:val="00882210"/>
    <w:rsid w:val="0088389C"/>
    <w:rsid w:val="008846DA"/>
    <w:rsid w:val="00886229"/>
    <w:rsid w:val="0088648B"/>
    <w:rsid w:val="00890C5F"/>
    <w:rsid w:val="0089403F"/>
    <w:rsid w:val="008A0303"/>
    <w:rsid w:val="008A1739"/>
    <w:rsid w:val="008A3F1C"/>
    <w:rsid w:val="008A4576"/>
    <w:rsid w:val="008A6185"/>
    <w:rsid w:val="008A7A65"/>
    <w:rsid w:val="008C1FE9"/>
    <w:rsid w:val="008C2DCA"/>
    <w:rsid w:val="008C5EB6"/>
    <w:rsid w:val="008C7DCE"/>
    <w:rsid w:val="008D18FC"/>
    <w:rsid w:val="008D34A3"/>
    <w:rsid w:val="008D38B4"/>
    <w:rsid w:val="008D398B"/>
    <w:rsid w:val="008D535A"/>
    <w:rsid w:val="008D5770"/>
    <w:rsid w:val="008D7E49"/>
    <w:rsid w:val="008E4553"/>
    <w:rsid w:val="008E4C10"/>
    <w:rsid w:val="008E5BD7"/>
    <w:rsid w:val="008E66F2"/>
    <w:rsid w:val="008E7242"/>
    <w:rsid w:val="008F364A"/>
    <w:rsid w:val="008F3F53"/>
    <w:rsid w:val="008F7C57"/>
    <w:rsid w:val="009000C3"/>
    <w:rsid w:val="0090565F"/>
    <w:rsid w:val="0091106A"/>
    <w:rsid w:val="009111BA"/>
    <w:rsid w:val="00913A9A"/>
    <w:rsid w:val="00913E03"/>
    <w:rsid w:val="009229E9"/>
    <w:rsid w:val="00926953"/>
    <w:rsid w:val="009270E3"/>
    <w:rsid w:val="00930D81"/>
    <w:rsid w:val="00932692"/>
    <w:rsid w:val="00932703"/>
    <w:rsid w:val="00936469"/>
    <w:rsid w:val="009400B7"/>
    <w:rsid w:val="00945A81"/>
    <w:rsid w:val="00951385"/>
    <w:rsid w:val="00951693"/>
    <w:rsid w:val="00952C7E"/>
    <w:rsid w:val="00954DC2"/>
    <w:rsid w:val="00957B92"/>
    <w:rsid w:val="00960AC8"/>
    <w:rsid w:val="00965830"/>
    <w:rsid w:val="00970966"/>
    <w:rsid w:val="00971BEC"/>
    <w:rsid w:val="00974442"/>
    <w:rsid w:val="009820D6"/>
    <w:rsid w:val="00985B7E"/>
    <w:rsid w:val="00985F84"/>
    <w:rsid w:val="0099158B"/>
    <w:rsid w:val="009A0130"/>
    <w:rsid w:val="009A3F5B"/>
    <w:rsid w:val="009A4DD9"/>
    <w:rsid w:val="009A5AC1"/>
    <w:rsid w:val="009A5AE5"/>
    <w:rsid w:val="009B2D66"/>
    <w:rsid w:val="009B3277"/>
    <w:rsid w:val="009B3437"/>
    <w:rsid w:val="009B56C0"/>
    <w:rsid w:val="009B7664"/>
    <w:rsid w:val="009C2689"/>
    <w:rsid w:val="009C53A2"/>
    <w:rsid w:val="009C55FD"/>
    <w:rsid w:val="009C7D61"/>
    <w:rsid w:val="009D2AE3"/>
    <w:rsid w:val="009D3738"/>
    <w:rsid w:val="009D39BB"/>
    <w:rsid w:val="009D60B3"/>
    <w:rsid w:val="009D7149"/>
    <w:rsid w:val="009E1410"/>
    <w:rsid w:val="009E25D1"/>
    <w:rsid w:val="009E6F8F"/>
    <w:rsid w:val="009F1F69"/>
    <w:rsid w:val="009F53E5"/>
    <w:rsid w:val="009F567B"/>
    <w:rsid w:val="009F5AD5"/>
    <w:rsid w:val="009F759B"/>
    <w:rsid w:val="00A0768C"/>
    <w:rsid w:val="00A153CC"/>
    <w:rsid w:val="00A157F2"/>
    <w:rsid w:val="00A170EA"/>
    <w:rsid w:val="00A2062C"/>
    <w:rsid w:val="00A235FF"/>
    <w:rsid w:val="00A23BF4"/>
    <w:rsid w:val="00A2455E"/>
    <w:rsid w:val="00A2593B"/>
    <w:rsid w:val="00A27490"/>
    <w:rsid w:val="00A276D0"/>
    <w:rsid w:val="00A33DFD"/>
    <w:rsid w:val="00A34518"/>
    <w:rsid w:val="00A34E05"/>
    <w:rsid w:val="00A35B77"/>
    <w:rsid w:val="00A3676A"/>
    <w:rsid w:val="00A41ABE"/>
    <w:rsid w:val="00A43D8B"/>
    <w:rsid w:val="00A454F1"/>
    <w:rsid w:val="00A5421D"/>
    <w:rsid w:val="00A543CC"/>
    <w:rsid w:val="00A55BF4"/>
    <w:rsid w:val="00A55C55"/>
    <w:rsid w:val="00A5656D"/>
    <w:rsid w:val="00A575BC"/>
    <w:rsid w:val="00A57F2F"/>
    <w:rsid w:val="00A6052D"/>
    <w:rsid w:val="00A72B71"/>
    <w:rsid w:val="00A7416E"/>
    <w:rsid w:val="00A74241"/>
    <w:rsid w:val="00A74DEB"/>
    <w:rsid w:val="00A759D4"/>
    <w:rsid w:val="00A77439"/>
    <w:rsid w:val="00A8077B"/>
    <w:rsid w:val="00A82760"/>
    <w:rsid w:val="00A82909"/>
    <w:rsid w:val="00A829AA"/>
    <w:rsid w:val="00A83AFA"/>
    <w:rsid w:val="00A83E8B"/>
    <w:rsid w:val="00A87FF3"/>
    <w:rsid w:val="00A90B39"/>
    <w:rsid w:val="00A92FDD"/>
    <w:rsid w:val="00A93CFF"/>
    <w:rsid w:val="00A95E04"/>
    <w:rsid w:val="00A9601A"/>
    <w:rsid w:val="00A96BB9"/>
    <w:rsid w:val="00AA2EA9"/>
    <w:rsid w:val="00AA3A94"/>
    <w:rsid w:val="00AA6FE3"/>
    <w:rsid w:val="00AB7DD2"/>
    <w:rsid w:val="00AC2039"/>
    <w:rsid w:val="00AD1B44"/>
    <w:rsid w:val="00AD4D35"/>
    <w:rsid w:val="00AD53C4"/>
    <w:rsid w:val="00AF0C7C"/>
    <w:rsid w:val="00AF4408"/>
    <w:rsid w:val="00B003E4"/>
    <w:rsid w:val="00B01D86"/>
    <w:rsid w:val="00B024C5"/>
    <w:rsid w:val="00B0259E"/>
    <w:rsid w:val="00B05D74"/>
    <w:rsid w:val="00B0637C"/>
    <w:rsid w:val="00B07E4E"/>
    <w:rsid w:val="00B11FD1"/>
    <w:rsid w:val="00B137E9"/>
    <w:rsid w:val="00B172D8"/>
    <w:rsid w:val="00B24CDF"/>
    <w:rsid w:val="00B26F98"/>
    <w:rsid w:val="00B30EA2"/>
    <w:rsid w:val="00B311E7"/>
    <w:rsid w:val="00B31F76"/>
    <w:rsid w:val="00B34EE3"/>
    <w:rsid w:val="00B36ED3"/>
    <w:rsid w:val="00B379E6"/>
    <w:rsid w:val="00B46FC2"/>
    <w:rsid w:val="00B513C9"/>
    <w:rsid w:val="00B53DF6"/>
    <w:rsid w:val="00B55892"/>
    <w:rsid w:val="00B56A91"/>
    <w:rsid w:val="00B56EF4"/>
    <w:rsid w:val="00B61C59"/>
    <w:rsid w:val="00B642FE"/>
    <w:rsid w:val="00B65BCE"/>
    <w:rsid w:val="00B65F31"/>
    <w:rsid w:val="00B67D24"/>
    <w:rsid w:val="00B70485"/>
    <w:rsid w:val="00B70701"/>
    <w:rsid w:val="00B756E2"/>
    <w:rsid w:val="00B82A13"/>
    <w:rsid w:val="00B840DF"/>
    <w:rsid w:val="00B8639D"/>
    <w:rsid w:val="00B9087F"/>
    <w:rsid w:val="00B9327F"/>
    <w:rsid w:val="00B94072"/>
    <w:rsid w:val="00B94417"/>
    <w:rsid w:val="00BA4EE9"/>
    <w:rsid w:val="00BB19B3"/>
    <w:rsid w:val="00BB1D7E"/>
    <w:rsid w:val="00BB4512"/>
    <w:rsid w:val="00BC0C5F"/>
    <w:rsid w:val="00BC194D"/>
    <w:rsid w:val="00BC3C82"/>
    <w:rsid w:val="00BC4322"/>
    <w:rsid w:val="00BC76CE"/>
    <w:rsid w:val="00BD2688"/>
    <w:rsid w:val="00BE0A44"/>
    <w:rsid w:val="00BE0D83"/>
    <w:rsid w:val="00BE0FB2"/>
    <w:rsid w:val="00BE2B57"/>
    <w:rsid w:val="00BE75CC"/>
    <w:rsid w:val="00BF2386"/>
    <w:rsid w:val="00C02AF8"/>
    <w:rsid w:val="00C12AA4"/>
    <w:rsid w:val="00C17E01"/>
    <w:rsid w:val="00C2333E"/>
    <w:rsid w:val="00C31AC4"/>
    <w:rsid w:val="00C321BE"/>
    <w:rsid w:val="00C32DA7"/>
    <w:rsid w:val="00C40220"/>
    <w:rsid w:val="00C409BE"/>
    <w:rsid w:val="00C423CA"/>
    <w:rsid w:val="00C45E35"/>
    <w:rsid w:val="00C46799"/>
    <w:rsid w:val="00C474FD"/>
    <w:rsid w:val="00C551CE"/>
    <w:rsid w:val="00C55C2D"/>
    <w:rsid w:val="00C56521"/>
    <w:rsid w:val="00C57DB2"/>
    <w:rsid w:val="00C62775"/>
    <w:rsid w:val="00C652ED"/>
    <w:rsid w:val="00C67DCC"/>
    <w:rsid w:val="00C74517"/>
    <w:rsid w:val="00C74EE3"/>
    <w:rsid w:val="00C759F6"/>
    <w:rsid w:val="00C7627A"/>
    <w:rsid w:val="00C7793C"/>
    <w:rsid w:val="00C819F1"/>
    <w:rsid w:val="00C823E9"/>
    <w:rsid w:val="00C837E3"/>
    <w:rsid w:val="00C86A20"/>
    <w:rsid w:val="00C87EE0"/>
    <w:rsid w:val="00C87FAD"/>
    <w:rsid w:val="00C9098F"/>
    <w:rsid w:val="00C925BA"/>
    <w:rsid w:val="00C92C7B"/>
    <w:rsid w:val="00C939A8"/>
    <w:rsid w:val="00C93EB9"/>
    <w:rsid w:val="00C94B9A"/>
    <w:rsid w:val="00C97145"/>
    <w:rsid w:val="00CB50DA"/>
    <w:rsid w:val="00CC09F2"/>
    <w:rsid w:val="00CC1139"/>
    <w:rsid w:val="00CC251B"/>
    <w:rsid w:val="00CC2D2F"/>
    <w:rsid w:val="00CC3F4D"/>
    <w:rsid w:val="00CC5F8D"/>
    <w:rsid w:val="00CD0796"/>
    <w:rsid w:val="00CD3D14"/>
    <w:rsid w:val="00CE02BA"/>
    <w:rsid w:val="00CE099F"/>
    <w:rsid w:val="00CF4634"/>
    <w:rsid w:val="00CF5F50"/>
    <w:rsid w:val="00D010FD"/>
    <w:rsid w:val="00D02812"/>
    <w:rsid w:val="00D034E5"/>
    <w:rsid w:val="00D04E3D"/>
    <w:rsid w:val="00D050A0"/>
    <w:rsid w:val="00D17099"/>
    <w:rsid w:val="00D20056"/>
    <w:rsid w:val="00D212BD"/>
    <w:rsid w:val="00D2523F"/>
    <w:rsid w:val="00D263DD"/>
    <w:rsid w:val="00D3303C"/>
    <w:rsid w:val="00D37C93"/>
    <w:rsid w:val="00D40D70"/>
    <w:rsid w:val="00D42040"/>
    <w:rsid w:val="00D45F67"/>
    <w:rsid w:val="00D51D52"/>
    <w:rsid w:val="00D54104"/>
    <w:rsid w:val="00D57B72"/>
    <w:rsid w:val="00D60A05"/>
    <w:rsid w:val="00D61654"/>
    <w:rsid w:val="00D63393"/>
    <w:rsid w:val="00D65A7E"/>
    <w:rsid w:val="00D703F3"/>
    <w:rsid w:val="00D748C8"/>
    <w:rsid w:val="00D7492A"/>
    <w:rsid w:val="00D75F09"/>
    <w:rsid w:val="00D91846"/>
    <w:rsid w:val="00D928F7"/>
    <w:rsid w:val="00D93684"/>
    <w:rsid w:val="00D93C56"/>
    <w:rsid w:val="00D9637B"/>
    <w:rsid w:val="00DA2E81"/>
    <w:rsid w:val="00DA2FAE"/>
    <w:rsid w:val="00DA5AB3"/>
    <w:rsid w:val="00DA715B"/>
    <w:rsid w:val="00DB2119"/>
    <w:rsid w:val="00DB451D"/>
    <w:rsid w:val="00DB4623"/>
    <w:rsid w:val="00DB70E0"/>
    <w:rsid w:val="00DC05BC"/>
    <w:rsid w:val="00DC164B"/>
    <w:rsid w:val="00DC4F91"/>
    <w:rsid w:val="00DC61C3"/>
    <w:rsid w:val="00DC7B06"/>
    <w:rsid w:val="00DD3A24"/>
    <w:rsid w:val="00DD721D"/>
    <w:rsid w:val="00DE2487"/>
    <w:rsid w:val="00DF3516"/>
    <w:rsid w:val="00DF3D77"/>
    <w:rsid w:val="00DF6133"/>
    <w:rsid w:val="00E026D9"/>
    <w:rsid w:val="00E03C07"/>
    <w:rsid w:val="00E04B15"/>
    <w:rsid w:val="00E056CF"/>
    <w:rsid w:val="00E059D1"/>
    <w:rsid w:val="00E07663"/>
    <w:rsid w:val="00E13F83"/>
    <w:rsid w:val="00E13F9C"/>
    <w:rsid w:val="00E14164"/>
    <w:rsid w:val="00E1572D"/>
    <w:rsid w:val="00E20E3C"/>
    <w:rsid w:val="00E21FBD"/>
    <w:rsid w:val="00E238AF"/>
    <w:rsid w:val="00E267CE"/>
    <w:rsid w:val="00E269A4"/>
    <w:rsid w:val="00E332B4"/>
    <w:rsid w:val="00E33620"/>
    <w:rsid w:val="00E347C9"/>
    <w:rsid w:val="00E36290"/>
    <w:rsid w:val="00E378A7"/>
    <w:rsid w:val="00E40460"/>
    <w:rsid w:val="00E40972"/>
    <w:rsid w:val="00E42D15"/>
    <w:rsid w:val="00E5164B"/>
    <w:rsid w:val="00E60899"/>
    <w:rsid w:val="00E60B31"/>
    <w:rsid w:val="00E635F3"/>
    <w:rsid w:val="00E701AA"/>
    <w:rsid w:val="00E71CB5"/>
    <w:rsid w:val="00E71DEB"/>
    <w:rsid w:val="00E757C9"/>
    <w:rsid w:val="00E769CD"/>
    <w:rsid w:val="00E7717C"/>
    <w:rsid w:val="00E77193"/>
    <w:rsid w:val="00E81E61"/>
    <w:rsid w:val="00E82BDC"/>
    <w:rsid w:val="00E83530"/>
    <w:rsid w:val="00E83D1F"/>
    <w:rsid w:val="00E84627"/>
    <w:rsid w:val="00E848B4"/>
    <w:rsid w:val="00E8590D"/>
    <w:rsid w:val="00E86246"/>
    <w:rsid w:val="00E91417"/>
    <w:rsid w:val="00E93FAC"/>
    <w:rsid w:val="00E94329"/>
    <w:rsid w:val="00EA4959"/>
    <w:rsid w:val="00EA54EF"/>
    <w:rsid w:val="00EB1377"/>
    <w:rsid w:val="00EB1CCB"/>
    <w:rsid w:val="00EB2251"/>
    <w:rsid w:val="00EC178C"/>
    <w:rsid w:val="00EC1E33"/>
    <w:rsid w:val="00ED7833"/>
    <w:rsid w:val="00EE1875"/>
    <w:rsid w:val="00EE1D0F"/>
    <w:rsid w:val="00EE30D8"/>
    <w:rsid w:val="00EF13BB"/>
    <w:rsid w:val="00F0084C"/>
    <w:rsid w:val="00F06231"/>
    <w:rsid w:val="00F07022"/>
    <w:rsid w:val="00F1119E"/>
    <w:rsid w:val="00F1625E"/>
    <w:rsid w:val="00F2216B"/>
    <w:rsid w:val="00F25A7A"/>
    <w:rsid w:val="00F2743B"/>
    <w:rsid w:val="00F32DAA"/>
    <w:rsid w:val="00F32F3A"/>
    <w:rsid w:val="00F33E30"/>
    <w:rsid w:val="00F3447A"/>
    <w:rsid w:val="00F35349"/>
    <w:rsid w:val="00F35697"/>
    <w:rsid w:val="00F35A34"/>
    <w:rsid w:val="00F36553"/>
    <w:rsid w:val="00F40882"/>
    <w:rsid w:val="00F43559"/>
    <w:rsid w:val="00F54399"/>
    <w:rsid w:val="00F57598"/>
    <w:rsid w:val="00F5789B"/>
    <w:rsid w:val="00F6165A"/>
    <w:rsid w:val="00F669DF"/>
    <w:rsid w:val="00F6750B"/>
    <w:rsid w:val="00F73142"/>
    <w:rsid w:val="00F75947"/>
    <w:rsid w:val="00F75AAB"/>
    <w:rsid w:val="00F75C76"/>
    <w:rsid w:val="00F76AF1"/>
    <w:rsid w:val="00F830D7"/>
    <w:rsid w:val="00F8390B"/>
    <w:rsid w:val="00F84783"/>
    <w:rsid w:val="00F8535E"/>
    <w:rsid w:val="00F9160D"/>
    <w:rsid w:val="00F91C30"/>
    <w:rsid w:val="00F94F6C"/>
    <w:rsid w:val="00FA2573"/>
    <w:rsid w:val="00FA569F"/>
    <w:rsid w:val="00FA6DBA"/>
    <w:rsid w:val="00FB08AD"/>
    <w:rsid w:val="00FB11BB"/>
    <w:rsid w:val="00FB3E4F"/>
    <w:rsid w:val="00FB6B8A"/>
    <w:rsid w:val="00FC04DC"/>
    <w:rsid w:val="00FC23C6"/>
    <w:rsid w:val="00FC53DD"/>
    <w:rsid w:val="00FC720B"/>
    <w:rsid w:val="00FD36C0"/>
    <w:rsid w:val="00FD3DA1"/>
    <w:rsid w:val="00FE3FE9"/>
    <w:rsid w:val="00FE51A0"/>
    <w:rsid w:val="00FE6A10"/>
    <w:rsid w:val="00FE7B74"/>
    <w:rsid w:val="00FF1798"/>
    <w:rsid w:val="00FF3A61"/>
    <w:rsid w:val="00FF4445"/>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5DE39"/>
  <w15:chartTrackingRefBased/>
  <w15:docId w15:val="{94A4A8E7-551B-4101-A9F1-DC6A1BF1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exact"/>
    </w:pPr>
    <w:rPr>
      <w:rFonts w:ascii="Arial" w:hAnsi="Arial"/>
      <w:sz w:val="24"/>
      <w:lang w:eastAsia="fr-FR"/>
    </w:rPr>
  </w:style>
  <w:style w:type="paragraph" w:styleId="Titre1">
    <w:name w:val="heading 1"/>
    <w:basedOn w:val="Normal"/>
    <w:next w:val="Normal"/>
    <w:qFormat/>
    <w:pPr>
      <w:keepNext/>
      <w:spacing w:before="240" w:after="60" w:line="500" w:lineRule="exact"/>
      <w:outlineLvl w:val="0"/>
    </w:pPr>
    <w:rPr>
      <w:b/>
      <w:kern w:val="28"/>
      <w:sz w:val="28"/>
    </w:rPr>
  </w:style>
  <w:style w:type="paragraph" w:styleId="Titre2">
    <w:name w:val="heading 2"/>
    <w:basedOn w:val="Normal"/>
    <w:next w:val="Normal"/>
    <w:qFormat/>
    <w:pPr>
      <w:keepNext/>
      <w:spacing w:before="240" w:after="60"/>
      <w:outlineLvl w:val="1"/>
    </w:pPr>
    <w:rPr>
      <w:b/>
      <w:i/>
    </w:rPr>
  </w:style>
  <w:style w:type="paragraph" w:styleId="Titre3">
    <w:name w:val="heading 3"/>
    <w:basedOn w:val="Normal"/>
    <w:next w:val="Normal"/>
    <w:qFormat/>
    <w:pPr>
      <w:keepNext/>
      <w:spacing w:before="240" w:after="60"/>
      <w:outlineLvl w:val="2"/>
    </w:pPr>
  </w:style>
  <w:style w:type="paragraph" w:styleId="Titre4">
    <w:name w:val="heading 4"/>
    <w:basedOn w:val="Normal"/>
    <w:next w:val="Normal"/>
    <w:qFormat/>
    <w:pPr>
      <w:keepNext/>
      <w:spacing w:before="240" w:after="60"/>
      <w:outlineLvl w:val="3"/>
    </w:pPr>
    <w:rPr>
      <w:b/>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sz w:val="20"/>
    </w:rPr>
  </w:style>
  <w:style w:type="paragraph" w:styleId="Titre8">
    <w:name w:val="heading 8"/>
    <w:basedOn w:val="Normal"/>
    <w:next w:val="Normal"/>
    <w:qFormat/>
    <w:pPr>
      <w:spacing w:before="240" w:after="60"/>
      <w:outlineLvl w:val="7"/>
    </w:pPr>
    <w:rPr>
      <w:i/>
      <w:sz w:val="20"/>
    </w:rPr>
  </w:style>
  <w:style w:type="paragraph" w:styleId="Titre9">
    <w:name w:val="heading 9"/>
    <w:basedOn w:val="Normal"/>
    <w:next w:val="Normal"/>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link w:val="ParagrapheCar"/>
    <w:qFormat/>
    <w:pPr>
      <w:numPr>
        <w:numId w:val="18"/>
      </w:numPr>
      <w:spacing w:before="120" w:after="120" w:line="500" w:lineRule="exact"/>
      <w:jc w:val="both"/>
    </w:pPr>
    <w:rPr>
      <w:kern w:val="28"/>
    </w:rPr>
  </w:style>
  <w:style w:type="paragraph" w:customStyle="1" w:styleId="Citationenretrait">
    <w:name w:val="Citation en retrait"/>
    <w:basedOn w:val="Normal"/>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aliases w:val="Footnote Text Char2,Footnote Text Char1 Char,Footnote Text Char Char Char, Char1 Char1 Char Char, Char1 Char2 Char,Footnote Text Char Char1, Char1 Char1 Char1, Char1 Char3,fn,Char1 Char1 Char Char,Char1 Char2 Char,Char1 Char1 Char1"/>
    <w:basedOn w:val="Normal"/>
    <w:link w:val="NotedebasdepageCar"/>
    <w:qFormat/>
    <w:pPr>
      <w:spacing w:line="240" w:lineRule="auto"/>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spacing w:line="500" w:lineRule="exact"/>
      <w:jc w:val="center"/>
    </w:pPr>
    <w:rPr>
      <w:b/>
      <w:sz w:val="36"/>
    </w:rPr>
  </w:style>
  <w:style w:type="paragraph" w:customStyle="1" w:styleId="zSoquijlblPays">
    <w:name w:val="zSoquij_lblPays"/>
    <w:basedOn w:val="Normal"/>
  </w:style>
  <w:style w:type="paragraph" w:customStyle="1" w:styleId="zSoquijlblProvince">
    <w:name w:val="zSoquij_lblProvince"/>
    <w:basedOn w:val="Normal"/>
  </w:style>
  <w:style w:type="paragraph" w:customStyle="1" w:styleId="zSoquijlblGreffe">
    <w:name w:val="zSoquij_lblGreffe"/>
    <w:basedOn w:val="Normal"/>
  </w:style>
  <w:style w:type="paragraph" w:customStyle="1" w:styleId="zSoquijdatGreffe">
    <w:name w:val="zSoquij_datGreffe"/>
    <w:basedOn w:val="Normal"/>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pPr>
      <w:ind w:left="950"/>
    </w:pPr>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Pr>
      <w:b/>
    </w:rPr>
  </w:style>
  <w:style w:type="paragraph" w:customStyle="1" w:styleId="zSoquijdatQteJuge">
    <w:name w:val="zSoquij_datQteJuge"/>
    <w:basedOn w:val="Normal"/>
    <w:rPr>
      <w:b/>
    </w:rPr>
  </w:style>
  <w:style w:type="paragraph" w:customStyle="1" w:styleId="zSoquijdatJuge">
    <w:name w:val="zSoquij_datJuge"/>
    <w:basedOn w:val="Normal"/>
    <w:rPr>
      <w:b/>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pPr>
      <w:jc w:val="center"/>
    </w:p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jc w:val="center"/>
    </w:pPr>
  </w:style>
  <w:style w:type="character" w:customStyle="1" w:styleId="zSoquijlblEntNoDossier">
    <w:name w:val="zSoquij_lblEntNoDossier"/>
    <w:basedOn w:val="Policepardfaut"/>
    <w:rPr>
      <w:noProof w:val="0"/>
      <w:lang w:val="fr-CA"/>
    </w:rPr>
  </w:style>
  <w:style w:type="paragraph" w:customStyle="1" w:styleId="zSoquijlblTitrePartie">
    <w:name w:val="zSoquij_lblTitrePartie"/>
    <w:basedOn w:val="Normal"/>
  </w:style>
  <w:style w:type="paragraph" w:customStyle="1" w:styleId="zSoquijdatIdJuge">
    <w:name w:val="zSoquij_datIdJuge"/>
    <w:basedOn w:val="Normal"/>
    <w:pPr>
      <w:jc w:val="right"/>
    </w:pPr>
  </w:style>
  <w:style w:type="paragraph" w:customStyle="1" w:styleId="Sous-paragraphe">
    <w:name w:val="Sous-paragraphe"/>
    <w:basedOn w:val="Normal"/>
    <w:qFormat/>
    <w:pPr>
      <w:widowControl w:val="0"/>
      <w:numPr>
        <w:ilvl w:val="1"/>
        <w:numId w:val="18"/>
      </w:numPr>
      <w:spacing w:after="120"/>
      <w:jc w:val="both"/>
    </w:pPr>
    <w:rPr>
      <w:kern w:val="28"/>
    </w:rPr>
  </w:style>
  <w:style w:type="paragraph" w:customStyle="1" w:styleId="zSoquijdatNomProcureurDem">
    <w:name w:val="zSoquij_datNomProcureurDem"/>
    <w:basedOn w:val="zSoquijlblProcureurDem"/>
    <w:pPr>
      <w:keepNext/>
    </w:pPr>
  </w:style>
  <w:style w:type="paragraph" w:customStyle="1" w:styleId="zSoquijdatNomProcureurDef">
    <w:name w:val="zSoquij_datNomProcureurDef"/>
    <w:basedOn w:val="zSoquijlblProcureurDef"/>
    <w:pPr>
      <w:keepNext/>
    </w:pPr>
  </w:style>
  <w:style w:type="paragraph" w:customStyle="1" w:styleId="zSoquijdatCabinetProcureurDem">
    <w:name w:val="zSoquij_datCabinetProcureurDem"/>
    <w:basedOn w:val="Normal"/>
    <w:pPr>
      <w:keepNext/>
    </w:pPr>
  </w:style>
  <w:style w:type="paragraph" w:customStyle="1" w:styleId="zSoquijdatCabinetProcureurDef">
    <w:name w:val="zSoquij_datCabinetProcureurDef"/>
    <w:basedOn w:val="zSoquijlblProcureurDef"/>
    <w:pPr>
      <w:keepNext/>
    </w:pPr>
  </w:style>
  <w:style w:type="paragraph" w:styleId="En-tte">
    <w:name w:val="header"/>
    <w:basedOn w:val="Normal"/>
    <w:semiHidden/>
    <w:pPr>
      <w:tabs>
        <w:tab w:val="center" w:pos="4320"/>
        <w:tab w:val="right" w:pos="8640"/>
      </w:tabs>
    </w:pPr>
  </w:style>
  <w:style w:type="paragraph" w:styleId="Pieddepage">
    <w:name w:val="footer"/>
    <w:basedOn w:val="Normal"/>
    <w:semiHidden/>
    <w:pPr>
      <w:tabs>
        <w:tab w:val="center" w:pos="4320"/>
        <w:tab w:val="right" w:pos="8640"/>
      </w:tabs>
    </w:pPr>
  </w:style>
  <w:style w:type="paragraph" w:customStyle="1" w:styleId="Tableaudroiteanglais">
    <w:name w:val="Tableau droite anglais"/>
    <w:basedOn w:val="Tableaugauchefranais"/>
    <w:pPr>
      <w:ind w:left="144" w:right="720"/>
      <w:jc w:val="both"/>
    </w:pPr>
    <w:rPr>
      <w:lang w:val="en-CA"/>
    </w:rPr>
  </w:style>
  <w:style w:type="paragraph" w:customStyle="1" w:styleId="Tableaugauchefranais">
    <w:name w:val="Tableau gauche français"/>
    <w:basedOn w:val="Normal"/>
    <w:pPr>
      <w:ind w:left="720" w:right="144"/>
    </w:pPr>
    <w:rPr>
      <w:sz w:val="22"/>
    </w:rPr>
  </w:style>
  <w:style w:type="character" w:styleId="Appelnotedebasdep">
    <w:name w:val="footnote reference"/>
    <w:aliases w:val="fr,Ref,de nota al pie,Char Char6 Char Char Char Char Char Char Char Char Char Char Char Char,Char6 Char Char Char Char Char Char Char Char Char Char Char Char Char,Footnote"/>
    <w:uiPriority w:val="99"/>
    <w:qFormat/>
    <w:rPr>
      <w:noProof w:val="0"/>
      <w:vertAlign w:val="superscript"/>
      <w:lang w:val="fr-CA"/>
    </w:rPr>
  </w:style>
  <w:style w:type="paragraph" w:styleId="Corpsdetexte3">
    <w:name w:val="Body Text 3"/>
    <w:basedOn w:val="Normal"/>
    <w:semiHidden/>
    <w:pPr>
      <w:spacing w:after="120"/>
    </w:pPr>
    <w:rPr>
      <w:sz w:val="16"/>
    </w:rPr>
  </w:style>
  <w:style w:type="paragraph" w:customStyle="1" w:styleId="zSoquijdatRepertorie">
    <w:name w:val="zSoquij_datRepertorie"/>
    <w:basedOn w:val="zSoquijlblCour"/>
    <w:pPr>
      <w:spacing w:line="240" w:lineRule="auto"/>
      <w:jc w:val="left"/>
    </w:pPr>
    <w:rPr>
      <w:sz w:val="22"/>
    </w:rPr>
  </w:style>
  <w:style w:type="paragraph" w:customStyle="1" w:styleId="zSoquijdatRefNeutre">
    <w:name w:val="zSoquij_datRefNeutre"/>
    <w:basedOn w:val="zSoquijlblCour"/>
    <w:pPr>
      <w:spacing w:line="240" w:lineRule="auto"/>
      <w:jc w:val="left"/>
    </w:pPr>
    <w:rPr>
      <w:sz w:val="22"/>
    </w:rPr>
  </w:style>
  <w:style w:type="table" w:styleId="Grilledutableau">
    <w:name w:val="Table Grid"/>
    <w:basedOn w:val="TableauNormal"/>
    <w:uiPriority w:val="39"/>
    <w:rsid w:val="00E20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E323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3239"/>
    <w:rPr>
      <w:rFonts w:ascii="Segoe UI" w:hAnsi="Segoe UI" w:cs="Segoe UI"/>
      <w:sz w:val="18"/>
      <w:szCs w:val="18"/>
      <w:lang w:eastAsia="fr-FR"/>
    </w:rPr>
  </w:style>
  <w:style w:type="character" w:customStyle="1" w:styleId="ParagrapheCar">
    <w:name w:val="Paragraphe Car"/>
    <w:link w:val="Paragraphe"/>
    <w:qFormat/>
    <w:locked/>
    <w:rsid w:val="00E83530"/>
    <w:rPr>
      <w:rFonts w:ascii="Arial" w:hAnsi="Arial"/>
      <w:kern w:val="28"/>
      <w:sz w:val="24"/>
      <w:lang w:eastAsia="fr-FR"/>
    </w:rPr>
  </w:style>
  <w:style w:type="paragraph" w:customStyle="1" w:styleId="CitationenretraitEN">
    <w:name w:val="Citation en retrait EN"/>
    <w:basedOn w:val="Citationenretrait"/>
    <w:rsid w:val="002802DA"/>
    <w:rPr>
      <w:lang w:val="en-CA"/>
    </w:rPr>
  </w:style>
  <w:style w:type="character" w:customStyle="1" w:styleId="NotedebasdepageCar">
    <w:name w:val="Note de bas de page Car"/>
    <w:aliases w:val="Footnote Text Char2 Car,Footnote Text Char1 Char Car,Footnote Text Char Char Char Car, Char1 Char1 Char Char Car, Char1 Char2 Char Car,Footnote Text Char Char1 Car, Char1 Char1 Char1 Car, Char1 Char3 Car,fn Car"/>
    <w:basedOn w:val="Policepardfaut"/>
    <w:link w:val="Notedebasdepage"/>
    <w:rsid w:val="002802DA"/>
    <w:rPr>
      <w:rFonts w:ascii="Arial" w:hAnsi="Arial"/>
      <w:lang w:eastAsia="fr-FR"/>
    </w:rPr>
  </w:style>
  <w:style w:type="character" w:styleId="Hyperlien">
    <w:name w:val="Hyperlink"/>
    <w:uiPriority w:val="99"/>
    <w:rsid w:val="002802DA"/>
    <w:rPr>
      <w:noProof w:val="0"/>
      <w:color w:val="0000FF"/>
      <w:u w:val="single"/>
      <w:lang w:val="fr-CA"/>
    </w:rPr>
  </w:style>
  <w:style w:type="character" w:styleId="Mentionnonrsolue">
    <w:name w:val="Unresolved Mention"/>
    <w:basedOn w:val="Policepardfaut"/>
    <w:uiPriority w:val="99"/>
    <w:semiHidden/>
    <w:unhideWhenUsed/>
    <w:rsid w:val="002802DA"/>
    <w:rPr>
      <w:color w:val="605E5C"/>
      <w:shd w:val="clear" w:color="auto" w:fill="E1DFDD"/>
    </w:rPr>
  </w:style>
  <w:style w:type="character" w:customStyle="1" w:styleId="ParaNoNdepar-AltNChar">
    <w:name w:val="Para. No. / Nº de par. - Alt N Char"/>
    <w:basedOn w:val="Policepardfaut"/>
    <w:link w:val="ParaNoNdepar-AltN"/>
    <w:rsid w:val="002802DA"/>
  </w:style>
  <w:style w:type="paragraph" w:customStyle="1" w:styleId="ParaNoNdepar-AltN">
    <w:name w:val="Para. No. / Nº de par. - Alt N"/>
    <w:basedOn w:val="Normal"/>
    <w:link w:val="ParaNoNdepar-AltNChar"/>
    <w:rsid w:val="002802DA"/>
    <w:pPr>
      <w:spacing w:before="480" w:after="480" w:line="480" w:lineRule="auto"/>
      <w:jc w:val="both"/>
    </w:pPr>
    <w:rPr>
      <w:rFonts w:ascii="Times New Roman" w:hAnsi="Times New Roman"/>
      <w:sz w:val="20"/>
      <w:lang w:eastAsia="fr-CA"/>
    </w:rPr>
  </w:style>
  <w:style w:type="paragraph" w:customStyle="1" w:styleId="ContinueParaSuitedupar-AltP">
    <w:name w:val="Continue Para. / Suite du par. - Alt P"/>
    <w:basedOn w:val="Normal"/>
    <w:rsid w:val="002802DA"/>
    <w:pPr>
      <w:spacing w:before="480" w:after="480" w:line="480" w:lineRule="auto"/>
      <w:jc w:val="both"/>
    </w:pPr>
    <w:rPr>
      <w:rFonts w:ascii="Times New Roman" w:hAnsi="Times New Roman"/>
      <w:szCs w:val="24"/>
      <w:lang w:eastAsia="fr-CA"/>
    </w:rPr>
  </w:style>
  <w:style w:type="paragraph" w:customStyle="1" w:styleId="Citation-AltC">
    <w:name w:val="Citation - Alt C"/>
    <w:basedOn w:val="Normal"/>
    <w:rsid w:val="002802DA"/>
    <w:pPr>
      <w:spacing w:after="720" w:line="240" w:lineRule="auto"/>
      <w:ind w:left="1166"/>
      <w:jc w:val="both"/>
    </w:pPr>
    <w:rPr>
      <w:rFonts w:ascii="Times New Roman" w:hAnsi="Times New Roman"/>
      <w:szCs w:val="24"/>
      <w:lang w:eastAsia="fr-CA"/>
    </w:rPr>
  </w:style>
  <w:style w:type="character" w:styleId="Lienvisit">
    <w:name w:val="FollowedHyperlink"/>
    <w:basedOn w:val="Policepardfaut"/>
    <w:uiPriority w:val="99"/>
    <w:semiHidden/>
    <w:unhideWhenUsed/>
    <w:rsid w:val="002802DA"/>
    <w:rPr>
      <w:color w:val="954F72" w:themeColor="followedHyperlink"/>
      <w:u w:val="single"/>
    </w:rPr>
  </w:style>
  <w:style w:type="paragraph" w:styleId="Rvision">
    <w:name w:val="Revision"/>
    <w:hidden/>
    <w:uiPriority w:val="99"/>
    <w:semiHidden/>
    <w:rsid w:val="002802DA"/>
    <w:rPr>
      <w:rFonts w:ascii="Arial" w:hAnsi="Arial"/>
      <w:sz w:val="24"/>
      <w:lang w:eastAsia="fr-FR"/>
    </w:rPr>
  </w:style>
  <w:style w:type="character" w:styleId="Marquedecommentaire">
    <w:name w:val="annotation reference"/>
    <w:basedOn w:val="Policepardfaut"/>
    <w:uiPriority w:val="99"/>
    <w:semiHidden/>
    <w:unhideWhenUsed/>
    <w:rsid w:val="002802DA"/>
    <w:rPr>
      <w:sz w:val="16"/>
      <w:szCs w:val="16"/>
    </w:rPr>
  </w:style>
  <w:style w:type="paragraph" w:styleId="Commentaire">
    <w:name w:val="annotation text"/>
    <w:basedOn w:val="Normal"/>
    <w:link w:val="CommentaireCar"/>
    <w:uiPriority w:val="99"/>
    <w:unhideWhenUsed/>
    <w:rsid w:val="002802DA"/>
    <w:pPr>
      <w:spacing w:line="240" w:lineRule="auto"/>
    </w:pPr>
    <w:rPr>
      <w:sz w:val="20"/>
    </w:rPr>
  </w:style>
  <w:style w:type="character" w:customStyle="1" w:styleId="CommentaireCar">
    <w:name w:val="Commentaire Car"/>
    <w:basedOn w:val="Policepardfaut"/>
    <w:link w:val="Commentaire"/>
    <w:uiPriority w:val="99"/>
    <w:rsid w:val="002802DA"/>
    <w:rPr>
      <w:rFonts w:ascii="Arial" w:hAnsi="Arial"/>
      <w:lang w:eastAsia="fr-FR"/>
    </w:rPr>
  </w:style>
  <w:style w:type="paragraph" w:styleId="Objetducommentaire">
    <w:name w:val="annotation subject"/>
    <w:basedOn w:val="Commentaire"/>
    <w:next w:val="Commentaire"/>
    <w:link w:val="ObjetducommentaireCar"/>
    <w:uiPriority w:val="99"/>
    <w:semiHidden/>
    <w:unhideWhenUsed/>
    <w:rsid w:val="002802DA"/>
    <w:rPr>
      <w:b/>
      <w:bCs/>
    </w:rPr>
  </w:style>
  <w:style w:type="character" w:customStyle="1" w:styleId="ObjetducommentaireCar">
    <w:name w:val="Objet du commentaire Car"/>
    <w:basedOn w:val="CommentaireCar"/>
    <w:link w:val="Objetducommentaire"/>
    <w:uiPriority w:val="99"/>
    <w:semiHidden/>
    <w:rsid w:val="002802DA"/>
    <w:rPr>
      <w:rFonts w:ascii="Arial" w:hAnsi="Arial"/>
      <w:b/>
      <w:bCs/>
      <w:lang w:eastAsia="fr-FR"/>
    </w:rPr>
  </w:style>
  <w:style w:type="paragraph" w:customStyle="1" w:styleId="pf0">
    <w:name w:val="pf0"/>
    <w:basedOn w:val="Normal"/>
    <w:rsid w:val="002802DA"/>
    <w:pPr>
      <w:spacing w:before="100" w:beforeAutospacing="1" w:after="100" w:afterAutospacing="1" w:line="240" w:lineRule="auto"/>
    </w:pPr>
    <w:rPr>
      <w:rFonts w:ascii="Times New Roman" w:hAnsi="Times New Roman"/>
      <w:szCs w:val="24"/>
      <w:lang w:eastAsia="fr-CA"/>
    </w:rPr>
  </w:style>
  <w:style w:type="character" w:customStyle="1" w:styleId="cf01">
    <w:name w:val="cf01"/>
    <w:basedOn w:val="Policepardfaut"/>
    <w:rsid w:val="002802DA"/>
    <w:rPr>
      <w:rFonts w:ascii="Segoe UI" w:hAnsi="Segoe UI" w:cs="Segoe UI" w:hint="default"/>
      <w:sz w:val="18"/>
      <w:szCs w:val="18"/>
    </w:rPr>
  </w:style>
  <w:style w:type="character" w:customStyle="1" w:styleId="cf11">
    <w:name w:val="cf11"/>
    <w:basedOn w:val="Policepardfaut"/>
    <w:rsid w:val="002802DA"/>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egisquebec.gouv.qc.ca/en/document/cs/c-12"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squebec.gouv.qc.ca/fr/document/lc/c-12"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quebec.gouv.qc.ca/en/document/cs/C-1.1"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legisquebec.gouv.qc.ca/fr/document/lc/c-1.1"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canlii.ca/t/jks9v" TargetMode="External"/><Relationship Id="rId13" Type="http://schemas.openxmlformats.org/officeDocument/2006/relationships/hyperlink" Target="https://canlii.ca/t/jbkpd" TargetMode="External"/><Relationship Id="rId18" Type="http://schemas.openxmlformats.org/officeDocument/2006/relationships/hyperlink" Target="https://canlii.ca/t/h4jg3" TargetMode="External"/><Relationship Id="rId3" Type="http://schemas.openxmlformats.org/officeDocument/2006/relationships/hyperlink" Target="https://www.law.cornell.edu/definitions/uscode.php?width=840&amp;height=800&amp;iframe=true&amp;def_id=47-USC-1900800046-1237841278&amp;term_occur=999&amp;term_src=title:47:chapter:5:subchapter:II:part:I:section:230" TargetMode="External"/><Relationship Id="rId21" Type="http://schemas.openxmlformats.org/officeDocument/2006/relationships/hyperlink" Target="https://canlii.ca/t/h4jg3" TargetMode="External"/><Relationship Id="rId7" Type="http://schemas.openxmlformats.org/officeDocument/2006/relationships/hyperlink" Target="https://canlii.ca/t/hxrk4" TargetMode="External"/><Relationship Id="rId12" Type="http://schemas.openxmlformats.org/officeDocument/2006/relationships/hyperlink" Target="https://www.legisquebec.gouv.qc.ca/en/document/cs/p-39.1" TargetMode="External"/><Relationship Id="rId17" Type="http://schemas.openxmlformats.org/officeDocument/2006/relationships/hyperlink" Target="https://canlii.ca/t/jk0sj" TargetMode="External"/><Relationship Id="rId2" Type="http://schemas.openxmlformats.org/officeDocument/2006/relationships/hyperlink" Target="https://www.law.cornell.edu/definitions/uscode.php?width=840&amp;height=800&amp;iframe=true&amp;def_id=47-USC-10252844-1237841279&amp;term_occur=999&amp;term_src=title:47:chapter:5:subchapter:II:part:I:section:230" TargetMode="External"/><Relationship Id="rId16" Type="http://schemas.openxmlformats.org/officeDocument/2006/relationships/hyperlink" Target="https://canlii.ca/t/jpsv3" TargetMode="External"/><Relationship Id="rId20" Type="http://schemas.openxmlformats.org/officeDocument/2006/relationships/hyperlink" Target="https://canlii.ca/t/h4jg3" TargetMode="External"/><Relationship Id="rId1" Type="http://schemas.openxmlformats.org/officeDocument/2006/relationships/hyperlink" Target="https://www.law.cornell.edu/definitions/uscode.php?width=840&amp;height=800&amp;iframe=true&amp;def_id=47-USC-1900800046-1237841278&amp;term_occur=999&amp;term_src=title:47:chapter:5:subchapter:II:part:I:section:230" TargetMode="External"/><Relationship Id="rId6" Type="http://schemas.openxmlformats.org/officeDocument/2006/relationships/hyperlink" Target="https://canlii.ca/t/jx4s0" TargetMode="External"/><Relationship Id="rId11" Type="http://schemas.openxmlformats.org/officeDocument/2006/relationships/hyperlink" Target="https://www.legisquebec.gouv.qc.ca/fr/document/lc/p-39.1" TargetMode="External"/><Relationship Id="rId5" Type="http://schemas.openxmlformats.org/officeDocument/2006/relationships/hyperlink" Target="https://canlii.ca/t/gv32w" TargetMode="External"/><Relationship Id="rId15" Type="http://schemas.openxmlformats.org/officeDocument/2006/relationships/hyperlink" Target="https://canlii.ca/t/jgc4x" TargetMode="External"/><Relationship Id="rId10" Type="http://schemas.openxmlformats.org/officeDocument/2006/relationships/hyperlink" Target="https://www.legisquebec.gouv.qc.ca/en/document/cs/C-1.1" TargetMode="External"/><Relationship Id="rId19" Type="http://schemas.openxmlformats.org/officeDocument/2006/relationships/hyperlink" Target="https://canlii.ca/t/h4jg3" TargetMode="External"/><Relationship Id="rId4" Type="http://schemas.openxmlformats.org/officeDocument/2006/relationships/hyperlink" Target="https://www.law.cornell.edu/definitions/uscode.php?width=840&amp;height=800&amp;iframe=true&amp;def_id=47-USC-10252844-1237841279&amp;term_occur=999&amp;term_src=title:47:chapter:5:subchapter:II:part:I:section:230" TargetMode="External"/><Relationship Id="rId9" Type="http://schemas.openxmlformats.org/officeDocument/2006/relationships/hyperlink" Target="https://www.legisquebec.gouv.qc.ca/fr/document/lc/c-1.1" TargetMode="External"/><Relationship Id="rId14" Type="http://schemas.openxmlformats.org/officeDocument/2006/relationships/hyperlink" Target="https://canlii.ca/t/gv32w"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8A525-8000-4EBF-92DB-64B5AB8AA0D3}">
  <ds:schemaRefs>
    <ds:schemaRef ds:uri="http://schemas.openxmlformats.org/officeDocument/2006/bibliography"/>
  </ds:schemaRefs>
</ds:datastoreItem>
</file>

<file path=docMetadata/LabelInfo.xml><?xml version="1.0" encoding="utf-8"?>
<clbl:labelList xmlns:clbl="http://schemas.microsoft.com/office/2020/mipLabelMetadata">
  <clbl:label id="{3f6dec78-7ded-4395-975c-6edbb7d10b16}" enabled="0" method="" siteId="{3f6dec78-7ded-4395-975c-6edbb7d10b16}"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47</Pages>
  <Words>18130</Words>
  <Characters>92734</Characters>
  <Application>Microsoft Office Word</Application>
  <DocSecurity>0</DocSecurity>
  <Lines>772</Lines>
  <Paragraphs>221</Paragraphs>
  <ScaleCrop>false</ScaleCrop>
  <HeadingPairs>
    <vt:vector size="2" baseType="variant">
      <vt:variant>
        <vt:lpstr>Titre</vt:lpstr>
      </vt:variant>
      <vt:variant>
        <vt:i4>1</vt:i4>
      </vt:variant>
    </vt:vector>
  </HeadingPairs>
  <TitlesOfParts>
    <vt:vector size="1" baseType="lpstr">
      <vt:lpstr>Gabarit de jugement pour la cour d'appel</vt:lpstr>
    </vt:vector>
  </TitlesOfParts>
  <Manager>Patrice Tardif</Manager>
  <Company>MJQ</Company>
  <LinksUpToDate>false</LinksUpToDate>
  <CharactersWithSpaces>110643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de jugement pour la cour d'appel</dc:title>
  <dc:subject/>
  <dc:creator>Nathalie Hevey</dc:creator>
  <cp:keywords/>
  <dc:description/>
  <cp:lastModifiedBy>Gauthier, François</cp:lastModifiedBy>
  <cp:revision>3</cp:revision>
  <cp:lastPrinted>2026-02-11T12:07:00Z</cp:lastPrinted>
  <dcterms:created xsi:type="dcterms:W3CDTF">2026-02-12T16:11:00Z</dcterms:created>
  <dcterms:modified xsi:type="dcterms:W3CDTF">2026-02-12T16:28:00Z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quij_DateModification">
    <vt:lpwstr>04-26-2001</vt:lpwstr>
  </property>
  <property fmtid="{D5CDD505-2E9C-101B-9397-08002B2CF9AE}" pid="3" name="Soquij_Version">
    <vt:lpwstr>1.6</vt:lpwstr>
  </property>
  <property fmtid="{D5CDD505-2E9C-101B-9397-08002B2CF9AE}" pid="4" name="Soquij_ModifiePar">
    <vt:lpwstr>renste</vt:lpwstr>
  </property>
  <property fmtid="{D5CDD505-2E9C-101B-9397-08002B2CF9AE}" pid="5" name="Soquij_Modele">
    <vt:lpwstr>Edj</vt:lpwstr>
  </property>
  <property fmtid="{D5CDD505-2E9C-101B-9397-08002B2CF9AE}" pid="6" name="Soquij_Cour">
    <vt:lpwstr>CA</vt:lpwstr>
  </property>
  <property fmtid="{D5CDD505-2E9C-101B-9397-08002B2CF9AE}" pid="7" name="Soquij_Langue">
    <vt:lpwstr>Fra</vt:lpwstr>
  </property>
</Properties>
</file>