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9411" w14:textId="39CBCA7A" w:rsidR="0060039F" w:rsidRPr="00A92931" w:rsidRDefault="0060039F">
      <w:pPr>
        <w:rPr>
          <w:b/>
          <w:bCs/>
          <w:lang w:val="en-CA"/>
        </w:rPr>
      </w:pPr>
      <w:r w:rsidRPr="00A92931">
        <w:rPr>
          <w:b/>
          <w:bCs/>
          <w:lang w:val="en-CA"/>
        </w:rPr>
        <w:t>English translation of the judgment of the Court</w:t>
      </w:r>
      <w:r w:rsidR="00216E7F" w:rsidRPr="00A92931">
        <w:rPr>
          <w:b/>
          <w:bCs/>
          <w:lang w:val="en-CA"/>
        </w:rPr>
        <w:t xml:space="preserve"> by SOQUIJ</w:t>
      </w:r>
    </w:p>
    <w:tbl>
      <w:tblPr>
        <w:tblW w:w="9360" w:type="dxa"/>
        <w:tblLayout w:type="fixed"/>
        <w:tblCellMar>
          <w:left w:w="0" w:type="dxa"/>
          <w:right w:w="0" w:type="dxa"/>
        </w:tblCellMar>
        <w:tblLook w:val="0000" w:firstRow="0" w:lastRow="0" w:firstColumn="0" w:lastColumn="0" w:noHBand="0" w:noVBand="0"/>
      </w:tblPr>
      <w:tblGrid>
        <w:gridCol w:w="1030"/>
        <w:gridCol w:w="590"/>
        <w:gridCol w:w="81"/>
        <w:gridCol w:w="2269"/>
        <w:gridCol w:w="3402"/>
        <w:gridCol w:w="1988"/>
      </w:tblGrid>
      <w:tr w:rsidR="006E7A85" w:rsidRPr="00A92931" w14:paraId="68E4F7E3" w14:textId="77777777" w:rsidTr="008D18FC">
        <w:trPr>
          <w:trHeight w:val="248"/>
        </w:trPr>
        <w:tc>
          <w:tcPr>
            <w:tcW w:w="7372" w:type="dxa"/>
            <w:gridSpan w:val="5"/>
          </w:tcPr>
          <w:p w14:paraId="37B60241" w14:textId="7F960035" w:rsidR="008F364A" w:rsidRPr="00683B5A" w:rsidRDefault="00AE0DE0" w:rsidP="004C28CE">
            <w:pPr>
              <w:pStyle w:val="zSoquijdatRepertorie"/>
              <w:rPr>
                <w:rFonts w:cs="Arial"/>
                <w:lang w:val="en-CA"/>
              </w:rPr>
            </w:pPr>
            <w:r w:rsidRPr="00683B5A">
              <w:rPr>
                <w:rFonts w:cs="Arial"/>
                <w:lang w:val="en-CA"/>
              </w:rPr>
              <w:t>Environnement Jeunesse c. Procureur général du Canada</w:t>
            </w:r>
          </w:p>
        </w:tc>
        <w:tc>
          <w:tcPr>
            <w:tcW w:w="1988" w:type="dxa"/>
          </w:tcPr>
          <w:p w14:paraId="5C81569F" w14:textId="23F90952" w:rsidR="008F364A" w:rsidRPr="00A92931" w:rsidRDefault="00AE0DE0" w:rsidP="00FB3EAB">
            <w:pPr>
              <w:pStyle w:val="zSoquijdatRefNeutre"/>
              <w:jc w:val="right"/>
              <w:rPr>
                <w:rFonts w:cs="Arial"/>
                <w:lang w:val="en-CA"/>
              </w:rPr>
            </w:pPr>
            <w:r w:rsidRPr="00A92931">
              <w:rPr>
                <w:rFonts w:cs="Arial"/>
                <w:lang w:val="en-CA"/>
              </w:rPr>
              <w:t xml:space="preserve">2021 QCCA </w:t>
            </w:r>
            <w:r w:rsidR="0058559D">
              <w:rPr>
                <w:rFonts w:cs="Arial"/>
                <w:lang w:val="en-CA"/>
              </w:rPr>
              <w:t>1871</w:t>
            </w:r>
          </w:p>
        </w:tc>
      </w:tr>
      <w:tr w:rsidR="006E7A85" w:rsidRPr="00A92931" w14:paraId="228410DC" w14:textId="77777777" w:rsidTr="008D18FC">
        <w:trPr>
          <w:trHeight w:val="247"/>
        </w:trPr>
        <w:tc>
          <w:tcPr>
            <w:tcW w:w="9360" w:type="dxa"/>
            <w:gridSpan w:val="6"/>
          </w:tcPr>
          <w:p w14:paraId="3306AF69" w14:textId="77777777" w:rsidR="008F364A" w:rsidRPr="00A92931" w:rsidRDefault="00AE0DE0">
            <w:pPr>
              <w:pStyle w:val="zSoquijlblCour"/>
              <w:rPr>
                <w:lang w:val="en-CA"/>
              </w:rPr>
            </w:pPr>
            <w:r w:rsidRPr="00A92931">
              <w:rPr>
                <w:lang w:val="en-CA"/>
              </w:rPr>
              <w:t>COURT OF APPEAL</w:t>
            </w:r>
          </w:p>
        </w:tc>
      </w:tr>
      <w:tr w:rsidR="006E7A85" w:rsidRPr="00A92931" w14:paraId="4D4D95F0" w14:textId="77777777" w:rsidTr="008D18FC">
        <w:trPr>
          <w:trHeight w:val="540"/>
        </w:trPr>
        <w:tc>
          <w:tcPr>
            <w:tcW w:w="9360" w:type="dxa"/>
            <w:gridSpan w:val="6"/>
          </w:tcPr>
          <w:p w14:paraId="3F8786DD" w14:textId="77777777" w:rsidR="008F364A" w:rsidRPr="00A92931" w:rsidRDefault="008F364A">
            <w:pPr>
              <w:pStyle w:val="zSoquijdatDivision"/>
              <w:rPr>
                <w:lang w:val="en-CA"/>
              </w:rPr>
            </w:pPr>
          </w:p>
        </w:tc>
      </w:tr>
      <w:tr w:rsidR="006E7A85" w:rsidRPr="00A92931" w14:paraId="61E8439D" w14:textId="77777777" w:rsidTr="008D18FC">
        <w:tc>
          <w:tcPr>
            <w:tcW w:w="9360" w:type="dxa"/>
            <w:gridSpan w:val="6"/>
          </w:tcPr>
          <w:p w14:paraId="347E073B" w14:textId="178885C4" w:rsidR="008F364A" w:rsidRPr="00A92931" w:rsidRDefault="0060039F">
            <w:pPr>
              <w:pStyle w:val="zSoquijlblPays"/>
              <w:rPr>
                <w:lang w:val="en-CA"/>
              </w:rPr>
            </w:pPr>
            <w:r w:rsidRPr="00A92931">
              <w:rPr>
                <w:lang w:val="en-CA"/>
              </w:rPr>
              <w:t>CANADA</w:t>
            </w:r>
          </w:p>
        </w:tc>
      </w:tr>
      <w:tr w:rsidR="006E7A85" w:rsidRPr="00A92931" w14:paraId="36DA171F" w14:textId="77777777" w:rsidTr="008D18FC">
        <w:tc>
          <w:tcPr>
            <w:tcW w:w="9360" w:type="dxa"/>
            <w:gridSpan w:val="6"/>
          </w:tcPr>
          <w:p w14:paraId="2676CE6E" w14:textId="0199B60C" w:rsidR="008F364A" w:rsidRPr="00A92931" w:rsidRDefault="0060039F">
            <w:pPr>
              <w:pStyle w:val="zSoquijlblProvince"/>
              <w:rPr>
                <w:lang w:val="en-CA"/>
              </w:rPr>
            </w:pPr>
            <w:r w:rsidRPr="00A92931">
              <w:rPr>
                <w:lang w:val="en-CA"/>
              </w:rPr>
              <w:t>PROVINCE OF QUEBEC</w:t>
            </w:r>
          </w:p>
        </w:tc>
      </w:tr>
      <w:tr w:rsidR="006E7A85" w:rsidRPr="00A92931" w14:paraId="22C95A38" w14:textId="77777777" w:rsidTr="006E7D06">
        <w:tc>
          <w:tcPr>
            <w:tcW w:w="1701" w:type="dxa"/>
            <w:gridSpan w:val="3"/>
          </w:tcPr>
          <w:p w14:paraId="67B5CCD6" w14:textId="77777777" w:rsidR="008F364A" w:rsidRPr="00A92931" w:rsidRDefault="00AE0DE0">
            <w:pPr>
              <w:pStyle w:val="zSoquijlblGreffe"/>
              <w:rPr>
                <w:lang w:val="en-CA"/>
              </w:rPr>
            </w:pPr>
            <w:r w:rsidRPr="00A92931">
              <w:rPr>
                <w:lang w:val="en-CA"/>
              </w:rPr>
              <w:t>REGISTRY OF</w:t>
            </w:r>
          </w:p>
          <w:p w14:paraId="44802002" w14:textId="77777777" w:rsidR="008F364A" w:rsidRPr="00A92931" w:rsidRDefault="008F364A">
            <w:pPr>
              <w:pStyle w:val="zSoquijlblGreffe"/>
              <w:rPr>
                <w:lang w:val="en-CA"/>
              </w:rPr>
            </w:pPr>
          </w:p>
        </w:tc>
        <w:tc>
          <w:tcPr>
            <w:tcW w:w="7659" w:type="dxa"/>
            <w:gridSpan w:val="3"/>
          </w:tcPr>
          <w:p w14:paraId="0258C6A5" w14:textId="28FFD2BF" w:rsidR="008F364A" w:rsidRPr="00A92931" w:rsidRDefault="00AE0DE0">
            <w:pPr>
              <w:pStyle w:val="zSoquijdatGreffe"/>
              <w:rPr>
                <w:lang w:val="en-CA"/>
              </w:rPr>
            </w:pPr>
            <w:bookmarkStart w:id="0" w:name="NomGreffe"/>
            <w:r w:rsidRPr="00A92931">
              <w:rPr>
                <w:lang w:val="en-CA"/>
              </w:rPr>
              <w:t xml:space="preserve">MONTREAL </w:t>
            </w:r>
            <w:bookmarkEnd w:id="0"/>
          </w:p>
        </w:tc>
      </w:tr>
      <w:tr w:rsidR="006E7A85" w:rsidRPr="00A92931" w14:paraId="7F6611BD" w14:textId="77777777" w:rsidTr="008D18FC">
        <w:tc>
          <w:tcPr>
            <w:tcW w:w="1030" w:type="dxa"/>
          </w:tcPr>
          <w:p w14:paraId="2196EB9E" w14:textId="77777777" w:rsidR="008F364A" w:rsidRPr="00A92931" w:rsidRDefault="00AE0DE0">
            <w:pPr>
              <w:pStyle w:val="zSoquijlblNoDossier"/>
              <w:rPr>
                <w:lang w:val="en-CA"/>
              </w:rPr>
            </w:pPr>
            <w:r w:rsidRPr="00A92931">
              <w:rPr>
                <w:lang w:val="en-CA"/>
              </w:rPr>
              <w:t>No.:</w:t>
            </w:r>
          </w:p>
        </w:tc>
        <w:tc>
          <w:tcPr>
            <w:tcW w:w="8330" w:type="dxa"/>
            <w:gridSpan w:val="5"/>
          </w:tcPr>
          <w:p w14:paraId="35D9CBA4" w14:textId="77777777" w:rsidR="008F364A" w:rsidRPr="00A92931" w:rsidRDefault="00AE0DE0">
            <w:pPr>
              <w:pStyle w:val="zSoquijdatNoDossier"/>
              <w:rPr>
                <w:lang w:val="en-CA"/>
              </w:rPr>
            </w:pPr>
            <w:bookmarkStart w:id="1" w:name="NoDossier"/>
            <w:r w:rsidRPr="00A92931">
              <w:rPr>
                <w:lang w:val="en-CA"/>
              </w:rPr>
              <w:t>500-09-028523-199</w:t>
            </w:r>
            <w:bookmarkEnd w:id="1"/>
          </w:p>
        </w:tc>
      </w:tr>
      <w:tr w:rsidR="006E7A85" w:rsidRPr="00A92931" w14:paraId="2CC22AF6" w14:textId="77777777" w:rsidTr="008D18FC">
        <w:tc>
          <w:tcPr>
            <w:tcW w:w="9360" w:type="dxa"/>
            <w:gridSpan w:val="6"/>
          </w:tcPr>
          <w:p w14:paraId="09C38496" w14:textId="77777777" w:rsidR="00236200" w:rsidRPr="00A92931" w:rsidRDefault="00AE0DE0" w:rsidP="00236200">
            <w:pPr>
              <w:pStyle w:val="zSoquijdatNoDossierAnt"/>
              <w:rPr>
                <w:lang w:val="en-CA"/>
              </w:rPr>
            </w:pPr>
            <w:r w:rsidRPr="00A92931">
              <w:rPr>
                <w:lang w:val="en-CA"/>
              </w:rPr>
              <w:t>(500-06-000955-183)</w:t>
            </w:r>
          </w:p>
        </w:tc>
      </w:tr>
      <w:tr w:rsidR="006E7A85" w:rsidRPr="00A92931" w14:paraId="2E5EF379" w14:textId="77777777" w:rsidTr="008D18FC">
        <w:tc>
          <w:tcPr>
            <w:tcW w:w="9360" w:type="dxa"/>
            <w:gridSpan w:val="6"/>
          </w:tcPr>
          <w:p w14:paraId="2FF6E93F" w14:textId="77777777" w:rsidR="008F364A" w:rsidRPr="00A92931" w:rsidRDefault="008F364A">
            <w:pPr>
              <w:rPr>
                <w:lang w:val="en-CA"/>
              </w:rPr>
            </w:pPr>
          </w:p>
        </w:tc>
      </w:tr>
      <w:tr w:rsidR="006E7A85" w:rsidRPr="00A92931" w14:paraId="5C86E45F" w14:textId="77777777" w:rsidTr="008D18FC">
        <w:tc>
          <w:tcPr>
            <w:tcW w:w="1030" w:type="dxa"/>
          </w:tcPr>
          <w:p w14:paraId="0BAF3DC8" w14:textId="77777777" w:rsidR="008F364A" w:rsidRPr="00A92931" w:rsidRDefault="00AE0DE0">
            <w:pPr>
              <w:pStyle w:val="zSoquijlblDateJugement"/>
              <w:rPr>
                <w:lang w:val="en-CA"/>
              </w:rPr>
            </w:pPr>
            <w:r w:rsidRPr="00A92931">
              <w:rPr>
                <w:lang w:val="en-CA"/>
              </w:rPr>
              <w:t>DATE:</w:t>
            </w:r>
          </w:p>
        </w:tc>
        <w:tc>
          <w:tcPr>
            <w:tcW w:w="8330" w:type="dxa"/>
            <w:gridSpan w:val="5"/>
          </w:tcPr>
          <w:p w14:paraId="5CE1C672" w14:textId="0029A9C9" w:rsidR="008F364A" w:rsidRPr="00A92931" w:rsidRDefault="0078497F">
            <w:pPr>
              <w:pStyle w:val="zSoquijdatDateJugement"/>
              <w:rPr>
                <w:lang w:val="en-CA"/>
              </w:rPr>
            </w:pPr>
            <w:r w:rsidRPr="00A92931">
              <w:rPr>
                <w:lang w:val="en-CA"/>
              </w:rPr>
              <w:t xml:space="preserve"> December 13, 2021</w:t>
            </w:r>
          </w:p>
        </w:tc>
      </w:tr>
      <w:tr w:rsidR="006E7A85" w:rsidRPr="00A92931" w14:paraId="51B18D85" w14:textId="77777777" w:rsidTr="008D18FC">
        <w:tc>
          <w:tcPr>
            <w:tcW w:w="9360" w:type="dxa"/>
            <w:gridSpan w:val="6"/>
            <w:tcBorders>
              <w:bottom w:val="single" w:sz="8" w:space="0" w:color="auto"/>
            </w:tcBorders>
          </w:tcPr>
          <w:p w14:paraId="3DF3EC00" w14:textId="77777777" w:rsidR="008F364A" w:rsidRPr="00A92931" w:rsidRDefault="008F364A">
            <w:pPr>
              <w:rPr>
                <w:lang w:val="en-CA"/>
              </w:rPr>
            </w:pPr>
          </w:p>
        </w:tc>
      </w:tr>
      <w:tr w:rsidR="006E7A85" w:rsidRPr="00A92931" w14:paraId="43C403D2" w14:textId="77777777" w:rsidTr="008D18FC">
        <w:tc>
          <w:tcPr>
            <w:tcW w:w="9360" w:type="dxa"/>
            <w:gridSpan w:val="6"/>
            <w:tcBorders>
              <w:top w:val="single" w:sz="8" w:space="0" w:color="auto"/>
            </w:tcBorders>
          </w:tcPr>
          <w:p w14:paraId="238F1922" w14:textId="77777777" w:rsidR="008F364A" w:rsidRPr="00A92931" w:rsidRDefault="008F364A">
            <w:pPr>
              <w:rPr>
                <w:lang w:val="en-CA"/>
              </w:rPr>
            </w:pPr>
          </w:p>
        </w:tc>
      </w:tr>
      <w:tr w:rsidR="006E7A85" w:rsidRPr="00A92931" w14:paraId="35A484D3" w14:textId="77777777" w:rsidTr="008D18FC">
        <w:tc>
          <w:tcPr>
            <w:tcW w:w="1620" w:type="dxa"/>
            <w:gridSpan w:val="2"/>
          </w:tcPr>
          <w:p w14:paraId="51D35A4B" w14:textId="77777777" w:rsidR="008F364A" w:rsidRPr="00A92931" w:rsidRDefault="00740A17" w:rsidP="00423DF1">
            <w:pPr>
              <w:pStyle w:val="zSoquijlblJuge"/>
              <w:ind w:right="-142"/>
              <w:rPr>
                <w:lang w:val="en-CA"/>
              </w:rPr>
            </w:pPr>
            <w:bookmarkStart w:id="2" w:name="FORMATION"/>
            <w:r w:rsidRPr="00A92931">
              <w:rPr>
                <w:lang w:val="en-CA"/>
              </w:rPr>
              <w:t>CORAM:</w:t>
            </w:r>
            <w:bookmarkEnd w:id="2"/>
          </w:p>
        </w:tc>
        <w:tc>
          <w:tcPr>
            <w:tcW w:w="2350" w:type="dxa"/>
            <w:gridSpan w:val="2"/>
          </w:tcPr>
          <w:p w14:paraId="343BC245" w14:textId="77777777" w:rsidR="008F364A" w:rsidRPr="00A92931" w:rsidRDefault="00AE0DE0">
            <w:pPr>
              <w:pStyle w:val="zSoquijdatQteJuge"/>
              <w:rPr>
                <w:lang w:val="en-CA"/>
              </w:rPr>
            </w:pPr>
            <w:bookmarkStart w:id="3" w:name="Honorables"/>
            <w:r w:rsidRPr="00A92931">
              <w:rPr>
                <w:lang w:val="en-CA"/>
              </w:rPr>
              <w:t>THE HONOURABLE</w:t>
            </w:r>
            <w:bookmarkEnd w:id="3"/>
          </w:p>
        </w:tc>
        <w:tc>
          <w:tcPr>
            <w:tcW w:w="5390" w:type="dxa"/>
            <w:gridSpan w:val="2"/>
          </w:tcPr>
          <w:p w14:paraId="73988E6E" w14:textId="77777777" w:rsidR="008F364A" w:rsidRPr="00A92931" w:rsidRDefault="00AE0DE0">
            <w:pPr>
              <w:pStyle w:val="zSoquijdatJuge"/>
              <w:rPr>
                <w:lang w:val="en-CA"/>
              </w:rPr>
            </w:pPr>
            <w:bookmarkStart w:id="4" w:name="NomJuge1"/>
            <w:r w:rsidRPr="00A92931">
              <w:rPr>
                <w:lang w:val="en-CA"/>
              </w:rPr>
              <w:t>MARTIN VAUCLAIR, J.A.</w:t>
            </w:r>
            <w:bookmarkEnd w:id="4"/>
          </w:p>
          <w:p w14:paraId="3E9D0919" w14:textId="77777777" w:rsidR="008F364A" w:rsidRPr="00A92931" w:rsidRDefault="00AE0DE0">
            <w:pPr>
              <w:pStyle w:val="zSoquijdatJuge"/>
              <w:rPr>
                <w:lang w:val="en-CA"/>
              </w:rPr>
            </w:pPr>
            <w:bookmarkStart w:id="5" w:name="NomJuge2"/>
            <w:r w:rsidRPr="00A92931">
              <w:rPr>
                <w:lang w:val="en-CA"/>
              </w:rPr>
              <w:t>GENEVIÈVE COTNAM, J.A.</w:t>
            </w:r>
            <w:bookmarkEnd w:id="5"/>
          </w:p>
          <w:p w14:paraId="2972D6BB" w14:textId="77777777" w:rsidR="005A78BF" w:rsidRPr="00A92931" w:rsidRDefault="00AE0DE0" w:rsidP="00236200">
            <w:pPr>
              <w:pStyle w:val="zSoquijdatJuge"/>
              <w:rPr>
                <w:lang w:val="en-CA"/>
              </w:rPr>
            </w:pPr>
            <w:bookmarkStart w:id="6" w:name="_Hlt520513784"/>
            <w:bookmarkStart w:id="7" w:name="NomJuge3"/>
            <w:bookmarkEnd w:id="6"/>
            <w:r w:rsidRPr="00A92931">
              <w:rPr>
                <w:lang w:val="en-CA"/>
              </w:rPr>
              <w:t>BENOÎT MOORE, J.A.</w:t>
            </w:r>
            <w:bookmarkEnd w:id="7"/>
          </w:p>
        </w:tc>
      </w:tr>
      <w:tr w:rsidR="006E7A85" w:rsidRPr="00A92931" w14:paraId="1FB1DDBF" w14:textId="77777777" w:rsidTr="008D18FC">
        <w:tc>
          <w:tcPr>
            <w:tcW w:w="9360" w:type="dxa"/>
            <w:gridSpan w:val="6"/>
            <w:tcBorders>
              <w:bottom w:val="single" w:sz="8" w:space="0" w:color="auto"/>
            </w:tcBorders>
          </w:tcPr>
          <w:p w14:paraId="038851AC" w14:textId="77777777" w:rsidR="008F364A" w:rsidRPr="00A92931" w:rsidRDefault="008F364A">
            <w:pPr>
              <w:rPr>
                <w:lang w:val="en-CA"/>
              </w:rPr>
            </w:pPr>
          </w:p>
        </w:tc>
      </w:tr>
      <w:tr w:rsidR="006E7A85" w:rsidRPr="00A92931" w14:paraId="33BBA179" w14:textId="77777777" w:rsidTr="008D18FC">
        <w:tc>
          <w:tcPr>
            <w:tcW w:w="9360" w:type="dxa"/>
            <w:gridSpan w:val="6"/>
          </w:tcPr>
          <w:p w14:paraId="0594ACF3" w14:textId="77777777" w:rsidR="008F364A" w:rsidRPr="00A92931" w:rsidRDefault="008F364A">
            <w:pPr>
              <w:pStyle w:val="zSoquijlblTitrePartie"/>
              <w:rPr>
                <w:lang w:val="en-CA"/>
              </w:rPr>
            </w:pPr>
          </w:p>
        </w:tc>
      </w:tr>
      <w:tr w:rsidR="0060039F" w:rsidRPr="00A92931" w14:paraId="4EF75D26" w14:textId="77777777" w:rsidTr="008D18FC">
        <w:tc>
          <w:tcPr>
            <w:tcW w:w="9360" w:type="dxa"/>
            <w:gridSpan w:val="6"/>
          </w:tcPr>
          <w:p w14:paraId="402E6577" w14:textId="12A5BA0F" w:rsidR="0060039F" w:rsidRPr="00A92931" w:rsidRDefault="0060039F" w:rsidP="0060039F">
            <w:pPr>
              <w:pStyle w:val="zSoquijdatNomPartieDem"/>
              <w:rPr>
                <w:lang w:val="en-CA"/>
              </w:rPr>
            </w:pPr>
            <w:bookmarkStart w:id="8" w:name="App"/>
            <w:r w:rsidRPr="00A92931">
              <w:rPr>
                <w:caps/>
                <w:lang w:val="en-CA"/>
              </w:rPr>
              <w:t>Environnement jeunesse</w:t>
            </w:r>
            <w:bookmarkEnd w:id="8"/>
          </w:p>
        </w:tc>
      </w:tr>
      <w:tr w:rsidR="0060039F" w:rsidRPr="00A92931" w14:paraId="32B02346" w14:textId="77777777" w:rsidTr="008D18FC">
        <w:tc>
          <w:tcPr>
            <w:tcW w:w="9360" w:type="dxa"/>
            <w:gridSpan w:val="6"/>
          </w:tcPr>
          <w:p w14:paraId="02BD4942" w14:textId="28BABDB8" w:rsidR="0060039F" w:rsidRPr="00A92931" w:rsidRDefault="0060039F" w:rsidP="0060039F">
            <w:pPr>
              <w:pStyle w:val="zSoquijdatQtePartieDem"/>
              <w:rPr>
                <w:lang w:val="en-CA"/>
              </w:rPr>
            </w:pPr>
            <w:r w:rsidRPr="00A92931">
              <w:rPr>
                <w:lang w:val="en-CA"/>
              </w:rPr>
              <w:t>APPELLANT – applicant</w:t>
            </w:r>
          </w:p>
        </w:tc>
      </w:tr>
      <w:tr w:rsidR="0060039F" w:rsidRPr="00A92931" w14:paraId="58B04301" w14:textId="77777777" w:rsidTr="008D18FC">
        <w:tc>
          <w:tcPr>
            <w:tcW w:w="9360" w:type="dxa"/>
            <w:gridSpan w:val="6"/>
          </w:tcPr>
          <w:p w14:paraId="2A45F40C" w14:textId="77777777" w:rsidR="0060039F" w:rsidRPr="00A92931" w:rsidRDefault="0060039F" w:rsidP="0060039F">
            <w:pPr>
              <w:pStyle w:val="zSoquijlblLienParties"/>
              <w:rPr>
                <w:lang w:val="en-CA"/>
              </w:rPr>
            </w:pPr>
            <w:r w:rsidRPr="00A92931">
              <w:rPr>
                <w:lang w:val="en-CA"/>
              </w:rPr>
              <w:t>v.</w:t>
            </w:r>
          </w:p>
        </w:tc>
      </w:tr>
      <w:tr w:rsidR="0060039F" w:rsidRPr="00A92931" w14:paraId="1FABC06A" w14:textId="77777777" w:rsidTr="008D18FC">
        <w:tc>
          <w:tcPr>
            <w:tcW w:w="9360" w:type="dxa"/>
            <w:gridSpan w:val="6"/>
          </w:tcPr>
          <w:p w14:paraId="7D07649C" w14:textId="77777777" w:rsidR="0060039F" w:rsidRPr="00A92931" w:rsidRDefault="0060039F" w:rsidP="0060039F">
            <w:pPr>
              <w:rPr>
                <w:lang w:val="en-CA"/>
              </w:rPr>
            </w:pPr>
          </w:p>
        </w:tc>
      </w:tr>
      <w:tr w:rsidR="0060039F" w:rsidRPr="00A92931" w14:paraId="21AD83C9" w14:textId="77777777" w:rsidTr="008D18FC">
        <w:tc>
          <w:tcPr>
            <w:tcW w:w="9360" w:type="dxa"/>
            <w:gridSpan w:val="6"/>
          </w:tcPr>
          <w:p w14:paraId="1B017335" w14:textId="77777777" w:rsidR="0060039F" w:rsidRPr="00A92931" w:rsidRDefault="0060039F" w:rsidP="0060039F">
            <w:pPr>
              <w:pStyle w:val="zSoquijdatNomPartieDef"/>
              <w:rPr>
                <w:lang w:val="en-CA"/>
              </w:rPr>
            </w:pPr>
            <w:bookmarkStart w:id="9" w:name="Intimé"/>
            <w:r w:rsidRPr="00A92931">
              <w:rPr>
                <w:caps/>
                <w:lang w:val="en-CA"/>
              </w:rPr>
              <w:t>ATTORNEY GENERAL OF CANADA</w:t>
            </w:r>
            <w:bookmarkEnd w:id="9"/>
          </w:p>
        </w:tc>
      </w:tr>
      <w:tr w:rsidR="0060039F" w:rsidRPr="00A92931" w14:paraId="1D56F89A" w14:textId="77777777" w:rsidTr="008D18FC">
        <w:tc>
          <w:tcPr>
            <w:tcW w:w="9360" w:type="dxa"/>
            <w:gridSpan w:val="6"/>
          </w:tcPr>
          <w:p w14:paraId="18A56D18" w14:textId="51F7403E" w:rsidR="0060039F" w:rsidRPr="00A92931" w:rsidRDefault="0060039F" w:rsidP="0060039F">
            <w:pPr>
              <w:pStyle w:val="zSoquijdatQtePartieDef"/>
              <w:rPr>
                <w:lang w:val="en-CA"/>
              </w:rPr>
            </w:pPr>
            <w:r w:rsidRPr="00A92931">
              <w:rPr>
                <w:lang w:val="en-CA"/>
              </w:rPr>
              <w:t>RESPONDENT – respondent</w:t>
            </w:r>
          </w:p>
        </w:tc>
      </w:tr>
      <w:tr w:rsidR="0060039F" w:rsidRPr="00A92931" w14:paraId="11CF8CD1" w14:textId="77777777" w:rsidTr="008D18FC">
        <w:tc>
          <w:tcPr>
            <w:tcW w:w="9360" w:type="dxa"/>
            <w:gridSpan w:val="6"/>
          </w:tcPr>
          <w:p w14:paraId="2C8BFF58" w14:textId="3227C8DF" w:rsidR="0060039F" w:rsidRPr="00A92931" w:rsidRDefault="00732780" w:rsidP="0060039F">
            <w:pPr>
              <w:rPr>
                <w:lang w:val="en-CA"/>
              </w:rPr>
            </w:pPr>
            <w:r w:rsidRPr="00A92931">
              <w:rPr>
                <w:lang w:val="en-CA"/>
              </w:rPr>
              <w:t>and</w:t>
            </w:r>
          </w:p>
        </w:tc>
      </w:tr>
      <w:tr w:rsidR="0060039F" w:rsidRPr="00A92931" w14:paraId="2E766F17" w14:textId="77777777" w:rsidTr="008D18FC">
        <w:tc>
          <w:tcPr>
            <w:tcW w:w="9360" w:type="dxa"/>
            <w:gridSpan w:val="6"/>
          </w:tcPr>
          <w:p w14:paraId="6259EA17" w14:textId="61D3D113" w:rsidR="0060039F" w:rsidRPr="00A92931" w:rsidRDefault="0060039F" w:rsidP="0060039F">
            <w:pPr>
              <w:pStyle w:val="zSoquijdatNomPartieDef"/>
              <w:rPr>
                <w:lang w:val="en-CA"/>
              </w:rPr>
            </w:pPr>
            <w:r w:rsidRPr="00A92931">
              <w:rPr>
                <w:caps/>
                <w:lang w:val="en-CA"/>
              </w:rPr>
              <w:t>AMNESTY INTERNATIONAL CANADA</w:t>
            </w:r>
          </w:p>
        </w:tc>
      </w:tr>
      <w:tr w:rsidR="0060039F" w:rsidRPr="00A92931" w14:paraId="14807223" w14:textId="77777777" w:rsidTr="008D18FC">
        <w:tc>
          <w:tcPr>
            <w:tcW w:w="9360" w:type="dxa"/>
            <w:gridSpan w:val="6"/>
          </w:tcPr>
          <w:p w14:paraId="10908D11" w14:textId="15687094" w:rsidR="0060039F" w:rsidRPr="00A92931" w:rsidRDefault="0060039F" w:rsidP="0060039F">
            <w:pPr>
              <w:pStyle w:val="zSoquijdatQtePartieDef"/>
              <w:rPr>
                <w:lang w:val="en-CA"/>
              </w:rPr>
            </w:pPr>
            <w:r w:rsidRPr="00A92931">
              <w:rPr>
                <w:lang w:val="en-CA"/>
              </w:rPr>
              <w:t>INTERVENER</w:t>
            </w:r>
          </w:p>
        </w:tc>
      </w:tr>
      <w:tr w:rsidR="0060039F" w:rsidRPr="00A92931" w14:paraId="15719683" w14:textId="77777777" w:rsidTr="008D18FC">
        <w:tc>
          <w:tcPr>
            <w:tcW w:w="9360" w:type="dxa"/>
            <w:gridSpan w:val="6"/>
          </w:tcPr>
          <w:p w14:paraId="1EA75B98" w14:textId="77777777" w:rsidR="0060039F" w:rsidRPr="00A92931" w:rsidRDefault="0060039F" w:rsidP="0060039F">
            <w:pPr>
              <w:rPr>
                <w:lang w:val="en-CA"/>
              </w:rPr>
            </w:pPr>
          </w:p>
        </w:tc>
      </w:tr>
      <w:tr w:rsidR="0060039F" w:rsidRPr="00A92931" w14:paraId="5D78CEEF" w14:textId="77777777" w:rsidTr="008D18FC">
        <w:tc>
          <w:tcPr>
            <w:tcW w:w="9360" w:type="dxa"/>
            <w:gridSpan w:val="6"/>
            <w:tcBorders>
              <w:top w:val="single" w:sz="8" w:space="0" w:color="auto"/>
            </w:tcBorders>
          </w:tcPr>
          <w:p w14:paraId="41A7CD39" w14:textId="77777777" w:rsidR="0060039F" w:rsidRPr="00A92931" w:rsidRDefault="0060039F" w:rsidP="0060039F">
            <w:pPr>
              <w:rPr>
                <w:lang w:val="en-CA"/>
              </w:rPr>
            </w:pPr>
          </w:p>
        </w:tc>
      </w:tr>
      <w:tr w:rsidR="0060039F" w:rsidRPr="00A92931" w14:paraId="7D1C331D" w14:textId="77777777" w:rsidTr="008D18FC">
        <w:tc>
          <w:tcPr>
            <w:tcW w:w="9360" w:type="dxa"/>
            <w:gridSpan w:val="6"/>
          </w:tcPr>
          <w:p w14:paraId="7EA78EBF" w14:textId="77777777" w:rsidR="0060039F" w:rsidRPr="00A92931" w:rsidRDefault="0060039F" w:rsidP="0060039F">
            <w:pPr>
              <w:pStyle w:val="zSoquijlblTypeDocument"/>
              <w:rPr>
                <w:lang w:val="en-CA"/>
              </w:rPr>
            </w:pPr>
            <w:bookmarkStart w:id="10" w:name="TitreDocument"/>
            <w:r w:rsidRPr="00A92931">
              <w:rPr>
                <w:lang w:val="en-CA"/>
              </w:rPr>
              <w:t>JUDGMENT</w:t>
            </w:r>
            <w:bookmarkEnd w:id="10"/>
          </w:p>
        </w:tc>
      </w:tr>
      <w:tr w:rsidR="0060039F" w:rsidRPr="00A92931" w14:paraId="1C2634DC" w14:textId="77777777" w:rsidTr="008D18FC">
        <w:tc>
          <w:tcPr>
            <w:tcW w:w="9360" w:type="dxa"/>
            <w:gridSpan w:val="6"/>
            <w:tcBorders>
              <w:bottom w:val="single" w:sz="8" w:space="0" w:color="auto"/>
            </w:tcBorders>
          </w:tcPr>
          <w:p w14:paraId="3DE1D7F2" w14:textId="77777777" w:rsidR="0060039F" w:rsidRPr="00A92931" w:rsidRDefault="0060039F" w:rsidP="0060039F">
            <w:pPr>
              <w:rPr>
                <w:lang w:val="en-CA"/>
              </w:rPr>
            </w:pPr>
          </w:p>
        </w:tc>
      </w:tr>
      <w:tr w:rsidR="0060039F" w:rsidRPr="00A92931" w14:paraId="5E6F1718" w14:textId="77777777" w:rsidTr="008D18FC">
        <w:tc>
          <w:tcPr>
            <w:tcW w:w="9360" w:type="dxa"/>
            <w:gridSpan w:val="6"/>
            <w:tcBorders>
              <w:top w:val="single" w:sz="8" w:space="0" w:color="auto"/>
            </w:tcBorders>
          </w:tcPr>
          <w:p w14:paraId="00C69C84" w14:textId="77777777" w:rsidR="0060039F" w:rsidRPr="00A92931" w:rsidRDefault="0060039F" w:rsidP="0060039F">
            <w:pPr>
              <w:rPr>
                <w:lang w:val="en-CA"/>
              </w:rPr>
            </w:pPr>
          </w:p>
        </w:tc>
      </w:tr>
    </w:tbl>
    <w:p w14:paraId="66D5D4D3" w14:textId="363A27D4" w:rsidR="00236200" w:rsidRPr="00A92931" w:rsidRDefault="00AE0DE0" w:rsidP="001312CB">
      <w:pPr>
        <w:pStyle w:val="Paragraphe"/>
        <w:spacing w:after="240" w:line="240" w:lineRule="auto"/>
        <w:rPr>
          <w:rFonts w:cs="Arial"/>
          <w:szCs w:val="24"/>
          <w:lang w:val="en-CA"/>
        </w:rPr>
      </w:pPr>
      <w:bookmarkStart w:id="11" w:name="_Ref63714837"/>
      <w:bookmarkStart w:id="12" w:name="Arret"/>
      <w:r w:rsidRPr="00A92931">
        <w:rPr>
          <w:rFonts w:cs="Arial"/>
          <w:szCs w:val="24"/>
          <w:lang w:val="en-CA"/>
        </w:rPr>
        <w:t>The appellant appeals from a judgment rendered on July 11, 2019, by the Honourable Gary D.D. Morrison</w:t>
      </w:r>
      <w:r w:rsidR="0060039F" w:rsidRPr="00A92931">
        <w:rPr>
          <w:rFonts w:cs="Arial"/>
          <w:szCs w:val="24"/>
          <w:lang w:val="en-CA"/>
        </w:rPr>
        <w:t>, J.S.C.</w:t>
      </w:r>
      <w:r w:rsidRPr="00A92931">
        <w:rPr>
          <w:rFonts w:cs="Arial"/>
          <w:szCs w:val="24"/>
          <w:lang w:val="en-CA"/>
        </w:rPr>
        <w:t xml:space="preserve">, </w:t>
      </w:r>
      <w:r w:rsidR="0060039F" w:rsidRPr="00A92931">
        <w:rPr>
          <w:rFonts w:cs="Arial"/>
          <w:szCs w:val="24"/>
          <w:lang w:val="en-CA"/>
        </w:rPr>
        <w:t xml:space="preserve">District of </w:t>
      </w:r>
      <w:r w:rsidRPr="00A92931">
        <w:rPr>
          <w:rFonts w:cs="Arial"/>
          <w:szCs w:val="24"/>
          <w:lang w:val="en-CA"/>
        </w:rPr>
        <w:t xml:space="preserve">Montreal, dismissing its </w:t>
      </w:r>
      <w:r w:rsidR="00732780" w:rsidRPr="00A92931">
        <w:rPr>
          <w:rFonts w:cs="Arial"/>
          <w:szCs w:val="24"/>
          <w:lang w:val="en-CA"/>
        </w:rPr>
        <w:t>application</w:t>
      </w:r>
      <w:r w:rsidRPr="00A92931">
        <w:rPr>
          <w:rFonts w:cs="Arial"/>
          <w:szCs w:val="24"/>
          <w:lang w:val="en-CA"/>
        </w:rPr>
        <w:t xml:space="preserve"> for authorization </w:t>
      </w:r>
      <w:r w:rsidR="00732780" w:rsidRPr="00A92931">
        <w:rPr>
          <w:rFonts w:cs="Arial"/>
          <w:szCs w:val="24"/>
          <w:lang w:val="en-CA"/>
        </w:rPr>
        <w:t>to institute</w:t>
      </w:r>
      <w:r w:rsidRPr="00A92931">
        <w:rPr>
          <w:rFonts w:cs="Arial"/>
          <w:szCs w:val="24"/>
          <w:lang w:val="en-CA"/>
        </w:rPr>
        <w:t xml:space="preserve"> a class action.</w:t>
      </w:r>
      <w:r w:rsidRPr="00A92931">
        <w:rPr>
          <w:lang w:val="en-CA"/>
        </w:rPr>
        <w:t xml:space="preserve"> </w:t>
      </w:r>
      <w:r w:rsidRPr="00A92931">
        <w:rPr>
          <w:rFonts w:cs="Arial"/>
          <w:szCs w:val="24"/>
          <w:lang w:val="en-CA"/>
        </w:rPr>
        <w:t xml:space="preserve">The judge </w:t>
      </w:r>
      <w:r w:rsidR="00732780" w:rsidRPr="00A92931">
        <w:rPr>
          <w:rFonts w:cs="Arial"/>
          <w:szCs w:val="24"/>
          <w:lang w:val="en-CA"/>
        </w:rPr>
        <w:t>found</w:t>
      </w:r>
      <w:r w:rsidRPr="00A92931">
        <w:rPr>
          <w:rFonts w:cs="Arial"/>
          <w:szCs w:val="24"/>
          <w:lang w:val="en-CA"/>
        </w:rPr>
        <w:t xml:space="preserve"> that the </w:t>
      </w:r>
      <w:r w:rsidR="0060039F" w:rsidRPr="00A92931">
        <w:rPr>
          <w:rFonts w:cs="Arial"/>
          <w:szCs w:val="24"/>
          <w:lang w:val="en-CA"/>
        </w:rPr>
        <w:t>class</w:t>
      </w:r>
      <w:r w:rsidRPr="00A92931">
        <w:rPr>
          <w:rFonts w:cs="Arial"/>
          <w:szCs w:val="24"/>
          <w:lang w:val="en-CA"/>
        </w:rPr>
        <w:t xml:space="preserve"> proposed by the appellant, which </w:t>
      </w:r>
      <w:r w:rsidR="00230810" w:rsidRPr="00A92931">
        <w:rPr>
          <w:rFonts w:cs="Arial"/>
          <w:szCs w:val="24"/>
          <w:lang w:val="en-CA"/>
        </w:rPr>
        <w:t>covered</w:t>
      </w:r>
      <w:r w:rsidRPr="00A92931">
        <w:rPr>
          <w:rFonts w:cs="Arial"/>
          <w:szCs w:val="24"/>
          <w:lang w:val="en-CA"/>
        </w:rPr>
        <w:t xml:space="preserve"> only residents of Quebec </w:t>
      </w:r>
      <w:r w:rsidR="00230810" w:rsidRPr="00A92931">
        <w:rPr>
          <w:rFonts w:cs="Arial"/>
          <w:szCs w:val="24"/>
          <w:lang w:val="en-CA"/>
        </w:rPr>
        <w:t xml:space="preserve">aged </w:t>
      </w:r>
      <w:r w:rsidRPr="00A92931">
        <w:rPr>
          <w:rFonts w:cs="Arial"/>
          <w:szCs w:val="24"/>
          <w:lang w:val="en-CA"/>
        </w:rPr>
        <w:t xml:space="preserve">35 years </w:t>
      </w:r>
      <w:r w:rsidR="00230810" w:rsidRPr="00A92931">
        <w:rPr>
          <w:rFonts w:cs="Arial"/>
          <w:szCs w:val="24"/>
          <w:lang w:val="en-CA"/>
        </w:rPr>
        <w:t xml:space="preserve">and under </w:t>
      </w:r>
      <w:r w:rsidR="0060039F" w:rsidRPr="00A92931">
        <w:rPr>
          <w:rFonts w:cs="Arial"/>
          <w:szCs w:val="24"/>
          <w:lang w:val="en-CA"/>
        </w:rPr>
        <w:t>on</w:t>
      </w:r>
      <w:r w:rsidRPr="00A92931">
        <w:rPr>
          <w:rFonts w:cs="Arial"/>
          <w:szCs w:val="24"/>
          <w:lang w:val="en-CA"/>
        </w:rPr>
        <w:t xml:space="preserve"> November 26, 2018 (“</w:t>
      </w:r>
      <w:r w:rsidR="0060039F" w:rsidRPr="00A92931">
        <w:rPr>
          <w:rFonts w:cs="Arial"/>
          <w:szCs w:val="24"/>
          <w:lang w:val="en-CA"/>
        </w:rPr>
        <w:t>Class</w:t>
      </w:r>
      <w:r w:rsidRPr="00A92931">
        <w:rPr>
          <w:rFonts w:cs="Arial"/>
          <w:szCs w:val="24"/>
          <w:lang w:val="en-CA"/>
        </w:rPr>
        <w:t xml:space="preserve">”), </w:t>
      </w:r>
      <w:r w:rsidR="00732780" w:rsidRPr="00A92931">
        <w:rPr>
          <w:rFonts w:cs="Arial"/>
          <w:szCs w:val="24"/>
          <w:lang w:val="en-CA"/>
        </w:rPr>
        <w:t>was</w:t>
      </w:r>
      <w:r w:rsidRPr="00A92931">
        <w:rPr>
          <w:rFonts w:cs="Arial"/>
          <w:szCs w:val="24"/>
          <w:lang w:val="en-CA"/>
        </w:rPr>
        <w:t xml:space="preserve"> both arbitrary and inappropriate</w:t>
      </w:r>
      <w:bookmarkEnd w:id="11"/>
      <w:r w:rsidR="0060039F" w:rsidRPr="00A92931">
        <w:rPr>
          <w:rFonts w:cs="Arial"/>
          <w:szCs w:val="24"/>
          <w:lang w:val="en-CA"/>
        </w:rPr>
        <w:t>.</w:t>
      </w:r>
      <w:r w:rsidR="0060039F" w:rsidRPr="00A92931">
        <w:rPr>
          <w:rFonts w:cs="Arial"/>
          <w:szCs w:val="24"/>
          <w:vertAlign w:val="superscript"/>
          <w:lang w:val="en-CA"/>
        </w:rPr>
        <w:footnoteReference w:id="1"/>
      </w:r>
      <w:r w:rsidR="0060039F" w:rsidRPr="00A92931">
        <w:rPr>
          <w:lang w:val="en-CA"/>
        </w:rPr>
        <w:t xml:space="preserve"> </w:t>
      </w:r>
      <w:r w:rsidRPr="00A92931">
        <w:rPr>
          <w:rFonts w:cs="Arial"/>
          <w:szCs w:val="24"/>
          <w:lang w:val="en-CA"/>
        </w:rPr>
        <w:t xml:space="preserve"> He therefore refuse</w:t>
      </w:r>
      <w:r w:rsidR="0060039F" w:rsidRPr="00A92931">
        <w:rPr>
          <w:rFonts w:cs="Arial"/>
          <w:szCs w:val="24"/>
          <w:lang w:val="en-CA"/>
        </w:rPr>
        <w:t>d</w:t>
      </w:r>
      <w:r w:rsidRPr="00A92931">
        <w:rPr>
          <w:rFonts w:cs="Arial"/>
          <w:szCs w:val="24"/>
          <w:lang w:val="en-CA"/>
        </w:rPr>
        <w:t xml:space="preserve"> to authorize the class action </w:t>
      </w:r>
      <w:r w:rsidR="0060039F" w:rsidRPr="00A92931">
        <w:rPr>
          <w:rFonts w:cs="Arial"/>
          <w:szCs w:val="24"/>
          <w:lang w:val="en-CA"/>
        </w:rPr>
        <w:t>solely on that ground</w:t>
      </w:r>
      <w:r w:rsidRPr="00A92931">
        <w:rPr>
          <w:rFonts w:cs="Arial"/>
          <w:szCs w:val="24"/>
          <w:lang w:val="en-CA"/>
        </w:rPr>
        <w:t>.</w:t>
      </w:r>
    </w:p>
    <w:p w14:paraId="3452978B" w14:textId="23D972CE" w:rsidR="00F41A9D" w:rsidRPr="00A92931" w:rsidRDefault="00D11C7E" w:rsidP="00133A57">
      <w:pPr>
        <w:pStyle w:val="Paragraphe"/>
        <w:spacing w:before="0" w:after="240" w:line="240" w:lineRule="auto"/>
        <w:rPr>
          <w:lang w:val="en-CA"/>
        </w:rPr>
      </w:pPr>
      <w:r w:rsidRPr="00A92931">
        <w:rPr>
          <w:lang w:val="en-CA"/>
        </w:rPr>
        <w:lastRenderedPageBreak/>
        <w:t xml:space="preserve">No one can deny the importance of the debate on </w:t>
      </w:r>
      <w:r w:rsidR="007D3813" w:rsidRPr="00A92931">
        <w:rPr>
          <w:lang w:val="en-CA"/>
        </w:rPr>
        <w:t>global warming</w:t>
      </w:r>
      <w:r w:rsidRPr="00A92931">
        <w:rPr>
          <w:lang w:val="en-CA"/>
        </w:rPr>
        <w:t xml:space="preserve"> and that the solution, among other things, involves managing greenhouse gases (</w:t>
      </w:r>
      <w:r w:rsidR="008A0338" w:rsidRPr="00A92931">
        <w:rPr>
          <w:lang w:val="en-CA"/>
        </w:rPr>
        <w:t>“</w:t>
      </w:r>
      <w:r w:rsidRPr="00A92931">
        <w:rPr>
          <w:lang w:val="en-CA"/>
        </w:rPr>
        <w:t>GHG</w:t>
      </w:r>
      <w:r w:rsidR="00216E7F" w:rsidRPr="00A92931">
        <w:rPr>
          <w:lang w:val="en-CA"/>
        </w:rPr>
        <w:t>”</w:t>
      </w:r>
      <w:r w:rsidRPr="00A92931">
        <w:rPr>
          <w:lang w:val="en-CA"/>
        </w:rPr>
        <w:t>).</w:t>
      </w:r>
      <w:r w:rsidR="0060039F" w:rsidRPr="00A92931">
        <w:rPr>
          <w:rStyle w:val="Appelnotedebasdep"/>
          <w:lang w:val="en-CA"/>
        </w:rPr>
        <w:footnoteReference w:id="2"/>
      </w:r>
      <w:r w:rsidR="0060039F" w:rsidRPr="00A92931">
        <w:rPr>
          <w:lang w:val="en-CA"/>
        </w:rPr>
        <w:t xml:space="preserve"> </w:t>
      </w:r>
      <w:r w:rsidR="00AE0DE0" w:rsidRPr="00A92931">
        <w:rPr>
          <w:lang w:val="en-CA"/>
        </w:rPr>
        <w:t xml:space="preserve">The appeal, however, is to determine whether the dispute, as brought by the appellant, falls within the jurisdiction of the courts or whether it is </w:t>
      </w:r>
      <w:r w:rsidR="008A0338" w:rsidRPr="00A92931">
        <w:rPr>
          <w:lang w:val="en-CA"/>
        </w:rPr>
        <w:t xml:space="preserve">instead </w:t>
      </w:r>
      <w:r w:rsidR="00AE0DE0" w:rsidRPr="00A92931">
        <w:rPr>
          <w:lang w:val="en-CA"/>
        </w:rPr>
        <w:t>a</w:t>
      </w:r>
      <w:r w:rsidR="0060039F" w:rsidRPr="00A92931">
        <w:rPr>
          <w:lang w:val="en-CA"/>
        </w:rPr>
        <w:t>n</w:t>
      </w:r>
      <w:r w:rsidR="00AE0DE0" w:rsidRPr="00A92931">
        <w:rPr>
          <w:lang w:val="en-CA"/>
        </w:rPr>
        <w:t xml:space="preserve"> eminently political </w:t>
      </w:r>
      <w:r w:rsidR="00216E7F" w:rsidRPr="00A92931">
        <w:rPr>
          <w:lang w:val="en-CA"/>
        </w:rPr>
        <w:t xml:space="preserve">issue </w:t>
      </w:r>
      <w:r w:rsidR="00AE0DE0" w:rsidRPr="00A92931">
        <w:rPr>
          <w:lang w:val="en-CA"/>
        </w:rPr>
        <w:t xml:space="preserve">falling within the purview of </w:t>
      </w:r>
      <w:r w:rsidR="00230810" w:rsidRPr="00A92931">
        <w:rPr>
          <w:lang w:val="en-CA"/>
        </w:rPr>
        <w:t>the polity</w:t>
      </w:r>
      <w:r w:rsidR="00AE0DE0" w:rsidRPr="00A92931">
        <w:rPr>
          <w:lang w:val="en-CA"/>
        </w:rPr>
        <w:t>.</w:t>
      </w:r>
      <w:r w:rsidR="0060039F" w:rsidRPr="00A92931">
        <w:rPr>
          <w:vertAlign w:val="superscript"/>
          <w:lang w:val="en-CA"/>
        </w:rPr>
        <w:footnoteReference w:id="3"/>
      </w:r>
    </w:p>
    <w:p w14:paraId="5F8C70C2" w14:textId="77777777" w:rsidR="00236200" w:rsidRPr="00A92931" w:rsidRDefault="00AE0DE0" w:rsidP="0001047E">
      <w:pPr>
        <w:keepNext/>
        <w:keepLines/>
        <w:spacing w:after="240" w:line="240" w:lineRule="auto"/>
        <w:jc w:val="both"/>
        <w:rPr>
          <w:rFonts w:cs="Arial"/>
          <w:b/>
          <w:kern w:val="28"/>
          <w:szCs w:val="24"/>
          <w:lang w:val="en-CA"/>
        </w:rPr>
      </w:pPr>
      <w:r w:rsidRPr="00A92931">
        <w:rPr>
          <w:rFonts w:cs="Arial"/>
          <w:b/>
          <w:kern w:val="28"/>
          <w:szCs w:val="24"/>
          <w:lang w:val="en-CA"/>
        </w:rPr>
        <w:t>BACKGROUND</w:t>
      </w:r>
    </w:p>
    <w:p w14:paraId="29CEA456" w14:textId="5257B663" w:rsidR="00236200" w:rsidRPr="00A92931" w:rsidRDefault="00AE0DE0" w:rsidP="001319FE">
      <w:pPr>
        <w:numPr>
          <w:ilvl w:val="0"/>
          <w:numId w:val="18"/>
        </w:numPr>
        <w:tabs>
          <w:tab w:val="clear" w:pos="720"/>
        </w:tabs>
        <w:spacing w:after="240" w:line="240" w:lineRule="auto"/>
        <w:jc w:val="both"/>
        <w:rPr>
          <w:rFonts w:cs="Arial"/>
          <w:kern w:val="28"/>
          <w:szCs w:val="24"/>
          <w:lang w:val="en-CA"/>
        </w:rPr>
      </w:pPr>
      <w:r w:rsidRPr="00A92931">
        <w:rPr>
          <w:rFonts w:cs="Arial"/>
          <w:kern w:val="28"/>
          <w:szCs w:val="24"/>
          <w:lang w:val="en-CA"/>
        </w:rPr>
        <w:t>The appellant</w:t>
      </w:r>
      <w:r w:rsidR="00216E7F" w:rsidRPr="00A92931">
        <w:rPr>
          <w:rFonts w:cs="Arial"/>
          <w:kern w:val="28"/>
          <w:szCs w:val="24"/>
          <w:lang w:val="en-CA"/>
        </w:rPr>
        <w:t xml:space="preserve"> is</w:t>
      </w:r>
      <w:r w:rsidRPr="00A92931">
        <w:rPr>
          <w:rFonts w:cs="Arial"/>
          <w:kern w:val="28"/>
          <w:szCs w:val="24"/>
          <w:lang w:val="en-CA"/>
        </w:rPr>
        <w:t xml:space="preserve"> a non-profit organization created in 1979, </w:t>
      </w:r>
      <w:r w:rsidR="00216E7F" w:rsidRPr="00A92931">
        <w:rPr>
          <w:rFonts w:cs="Arial"/>
          <w:kern w:val="28"/>
          <w:szCs w:val="24"/>
          <w:lang w:val="en-CA"/>
        </w:rPr>
        <w:t>whose</w:t>
      </w:r>
      <w:r w:rsidRPr="00A92931">
        <w:rPr>
          <w:rFonts w:cs="Arial"/>
          <w:kern w:val="28"/>
          <w:szCs w:val="24"/>
          <w:lang w:val="en-CA"/>
        </w:rPr>
        <w:t xml:space="preserve"> mission </w:t>
      </w:r>
      <w:r w:rsidR="00216E7F" w:rsidRPr="00A92931">
        <w:rPr>
          <w:rFonts w:cs="Arial"/>
          <w:kern w:val="28"/>
          <w:szCs w:val="24"/>
          <w:lang w:val="en-CA"/>
        </w:rPr>
        <w:t xml:space="preserve">is to </w:t>
      </w:r>
      <w:r w:rsidRPr="00A92931">
        <w:rPr>
          <w:rFonts w:cs="Arial"/>
          <w:kern w:val="28"/>
          <w:szCs w:val="24"/>
          <w:lang w:val="en-CA"/>
        </w:rPr>
        <w:t>educat</w:t>
      </w:r>
      <w:r w:rsidR="00216E7F" w:rsidRPr="00A92931">
        <w:rPr>
          <w:rFonts w:cs="Arial"/>
          <w:kern w:val="28"/>
          <w:szCs w:val="24"/>
          <w:lang w:val="en-CA"/>
        </w:rPr>
        <w:t>e</w:t>
      </w:r>
      <w:r w:rsidRPr="00A92931">
        <w:rPr>
          <w:rFonts w:cs="Arial"/>
          <w:kern w:val="28"/>
          <w:szCs w:val="24"/>
          <w:lang w:val="en-CA"/>
        </w:rPr>
        <w:t xml:space="preserve"> Quebec youth on environmental issues. Climate change is at the heart of </w:t>
      </w:r>
      <w:r w:rsidR="0060039F" w:rsidRPr="00A92931">
        <w:rPr>
          <w:rFonts w:cs="Arial"/>
          <w:kern w:val="28"/>
          <w:szCs w:val="24"/>
          <w:lang w:val="en-CA"/>
        </w:rPr>
        <w:t>its</w:t>
      </w:r>
      <w:r w:rsidRPr="00A92931">
        <w:rPr>
          <w:rFonts w:cs="Arial"/>
          <w:kern w:val="28"/>
          <w:szCs w:val="24"/>
          <w:lang w:val="en-CA"/>
        </w:rPr>
        <w:t xml:space="preserve"> concerns.</w:t>
      </w:r>
    </w:p>
    <w:p w14:paraId="77833342" w14:textId="0089D06C" w:rsidR="009364F4" w:rsidRPr="00A92931" w:rsidRDefault="0060039F" w:rsidP="009364F4">
      <w:pPr>
        <w:numPr>
          <w:ilvl w:val="0"/>
          <w:numId w:val="18"/>
        </w:numPr>
        <w:tabs>
          <w:tab w:val="clear" w:pos="720"/>
        </w:tabs>
        <w:spacing w:after="240" w:line="240" w:lineRule="auto"/>
        <w:jc w:val="both"/>
        <w:rPr>
          <w:rFonts w:cs="Arial"/>
          <w:kern w:val="28"/>
          <w:szCs w:val="24"/>
          <w:lang w:val="en-CA"/>
        </w:rPr>
      </w:pPr>
      <w:r w:rsidRPr="00A92931">
        <w:rPr>
          <w:rFonts w:cs="Arial"/>
          <w:kern w:val="28"/>
          <w:szCs w:val="24"/>
          <w:lang w:val="en-CA"/>
        </w:rPr>
        <w:t>It</w:t>
      </w:r>
      <w:r w:rsidR="00AE0DE0" w:rsidRPr="00A92931">
        <w:rPr>
          <w:rFonts w:cs="Arial"/>
          <w:kern w:val="28"/>
          <w:szCs w:val="24"/>
          <w:lang w:val="en-CA"/>
        </w:rPr>
        <w:t xml:space="preserve"> therefore wishes to be designated as </w:t>
      </w:r>
      <w:r w:rsidRPr="00A92931">
        <w:rPr>
          <w:rFonts w:cs="Arial"/>
          <w:kern w:val="28"/>
          <w:szCs w:val="24"/>
          <w:lang w:val="en-CA"/>
        </w:rPr>
        <w:t xml:space="preserve">the </w:t>
      </w:r>
      <w:r w:rsidR="00771B8E" w:rsidRPr="00A92931">
        <w:rPr>
          <w:rFonts w:cs="Arial"/>
          <w:kern w:val="28"/>
          <w:szCs w:val="24"/>
          <w:lang w:val="en-CA"/>
        </w:rPr>
        <w:t xml:space="preserve">representative plaintiff for the </w:t>
      </w:r>
      <w:r w:rsidRPr="00A92931">
        <w:rPr>
          <w:rFonts w:cs="Arial"/>
          <w:kern w:val="28"/>
          <w:szCs w:val="24"/>
          <w:lang w:val="en-CA"/>
        </w:rPr>
        <w:t xml:space="preserve">Class </w:t>
      </w:r>
      <w:r w:rsidR="00AE0DE0" w:rsidRPr="00A92931">
        <w:rPr>
          <w:rFonts w:cs="Arial"/>
          <w:kern w:val="28"/>
          <w:szCs w:val="24"/>
          <w:lang w:val="en-CA"/>
        </w:rPr>
        <w:t xml:space="preserve">to bring a </w:t>
      </w:r>
      <w:r w:rsidRPr="00A92931">
        <w:rPr>
          <w:rFonts w:cs="Arial"/>
          <w:kern w:val="28"/>
          <w:szCs w:val="24"/>
          <w:lang w:val="en-CA"/>
        </w:rPr>
        <w:t>class action</w:t>
      </w:r>
      <w:r w:rsidR="00AE0DE0" w:rsidRPr="00A92931">
        <w:rPr>
          <w:rFonts w:cs="Arial"/>
          <w:kern w:val="28"/>
          <w:szCs w:val="24"/>
          <w:lang w:val="en-CA"/>
        </w:rPr>
        <w:t xml:space="preserve"> against the </w:t>
      </w:r>
      <w:r w:rsidR="00BC10E0">
        <w:rPr>
          <w:rFonts w:cs="Arial"/>
          <w:kern w:val="28"/>
          <w:szCs w:val="24"/>
          <w:lang w:val="en-CA"/>
        </w:rPr>
        <w:t>respondent</w:t>
      </w:r>
      <w:r w:rsidR="00AE0DE0" w:rsidRPr="00A92931">
        <w:rPr>
          <w:rFonts w:cs="Arial"/>
          <w:kern w:val="28"/>
          <w:szCs w:val="24"/>
          <w:lang w:val="en-CA"/>
        </w:rPr>
        <w:t xml:space="preserve"> in </w:t>
      </w:r>
      <w:r w:rsidRPr="00A92931">
        <w:rPr>
          <w:rFonts w:cs="Arial"/>
          <w:kern w:val="28"/>
          <w:szCs w:val="24"/>
          <w:lang w:val="en-CA"/>
        </w:rPr>
        <w:t>its</w:t>
      </w:r>
      <w:r w:rsidR="00AE0DE0" w:rsidRPr="00A92931">
        <w:rPr>
          <w:rFonts w:cs="Arial"/>
          <w:kern w:val="28"/>
          <w:szCs w:val="24"/>
          <w:lang w:val="en-CA"/>
        </w:rPr>
        <w:t xml:space="preserve"> capacity as representative of the Government of Canada (“State”). </w:t>
      </w:r>
    </w:p>
    <w:p w14:paraId="7F5257C5" w14:textId="1D03A528" w:rsidR="00236200" w:rsidRPr="00A92931" w:rsidRDefault="00AE0DE0" w:rsidP="00133A57">
      <w:pPr>
        <w:pStyle w:val="Paragraphe"/>
        <w:spacing w:before="0" w:after="240" w:line="240" w:lineRule="auto"/>
        <w:rPr>
          <w:lang w:val="en-CA"/>
        </w:rPr>
      </w:pPr>
      <w:r w:rsidRPr="00A92931">
        <w:rPr>
          <w:lang w:val="en-CA"/>
        </w:rPr>
        <w:t xml:space="preserve">Without repeating all the allegations in the application, the appellant </w:t>
      </w:r>
      <w:r w:rsidR="0060039F" w:rsidRPr="00A92931">
        <w:rPr>
          <w:lang w:val="en-CA"/>
        </w:rPr>
        <w:t xml:space="preserve">alleges </w:t>
      </w:r>
      <w:r w:rsidRPr="00A92931">
        <w:rPr>
          <w:lang w:val="en-CA"/>
        </w:rPr>
        <w:t>the State</w:t>
      </w:r>
      <w:r w:rsidR="0060039F" w:rsidRPr="00A92931">
        <w:rPr>
          <w:lang w:val="en-CA"/>
        </w:rPr>
        <w:t xml:space="preserve">’s </w:t>
      </w:r>
      <w:r w:rsidRPr="00A92931">
        <w:rPr>
          <w:lang w:val="en-CA"/>
        </w:rPr>
        <w:t xml:space="preserve">gross negligence and inaction in response to the serious dangers posed by climate change. </w:t>
      </w:r>
      <w:r w:rsidR="0060039F" w:rsidRPr="00A92931">
        <w:rPr>
          <w:lang w:val="en-CA"/>
        </w:rPr>
        <w:t>Its</w:t>
      </w:r>
      <w:r w:rsidRPr="00A92931">
        <w:rPr>
          <w:lang w:val="en-CA"/>
        </w:rPr>
        <w:t xml:space="preserve"> </w:t>
      </w:r>
      <w:r w:rsidR="00724C90" w:rsidRPr="00A92931">
        <w:rPr>
          <w:lang w:val="en-CA"/>
        </w:rPr>
        <w:t>application</w:t>
      </w:r>
      <w:r w:rsidRPr="00A92931">
        <w:rPr>
          <w:lang w:val="en-CA"/>
        </w:rPr>
        <w:t xml:space="preserve"> is largely based on excerpts from publications by Canadian government agencies, </w:t>
      </w:r>
      <w:r w:rsidR="00771B8E" w:rsidRPr="00A92931">
        <w:rPr>
          <w:lang w:val="en-CA"/>
        </w:rPr>
        <w:t>in particular,</w:t>
      </w:r>
      <w:r w:rsidRPr="00A92931">
        <w:rPr>
          <w:lang w:val="en-CA"/>
        </w:rPr>
        <w:t xml:space="preserve"> Health Canada. The appellant argues that climate change affects the health of Canadians. </w:t>
      </w:r>
      <w:r w:rsidR="0060039F" w:rsidRPr="00A92931">
        <w:rPr>
          <w:lang w:val="en-CA"/>
        </w:rPr>
        <w:t>It</w:t>
      </w:r>
      <w:r w:rsidRPr="00A92931">
        <w:rPr>
          <w:lang w:val="en-CA"/>
        </w:rPr>
        <w:t xml:space="preserve"> claims that Canada alone generates 1.6% of the world’s greenhouse gases while its population represents only 0.5% of the global population. According to the appellant, Canada has committed to limit its </w:t>
      </w:r>
      <w:r w:rsidR="00230867">
        <w:rPr>
          <w:lang w:val="en-CA"/>
        </w:rPr>
        <w:t xml:space="preserve">GHG </w:t>
      </w:r>
      <w:r w:rsidRPr="00A92931">
        <w:rPr>
          <w:lang w:val="en-CA"/>
        </w:rPr>
        <w:t xml:space="preserve">emissions </w:t>
      </w:r>
      <w:r w:rsidR="00771B8E" w:rsidRPr="00A92931">
        <w:rPr>
          <w:lang w:val="en-CA"/>
        </w:rPr>
        <w:t xml:space="preserve">four </w:t>
      </w:r>
      <w:r w:rsidR="002901BA" w:rsidRPr="00A92931">
        <w:rPr>
          <w:lang w:val="en-CA"/>
        </w:rPr>
        <w:t xml:space="preserve">times </w:t>
      </w:r>
      <w:r w:rsidR="00F170FC" w:rsidRPr="00A92931">
        <w:rPr>
          <w:lang w:val="en-CA"/>
        </w:rPr>
        <w:t>without ever</w:t>
      </w:r>
      <w:r w:rsidR="00771B8E" w:rsidRPr="00A92931">
        <w:rPr>
          <w:lang w:val="en-CA"/>
        </w:rPr>
        <w:t xml:space="preserve"> reach</w:t>
      </w:r>
      <w:r w:rsidR="00F170FC" w:rsidRPr="00A92931">
        <w:rPr>
          <w:lang w:val="en-CA"/>
        </w:rPr>
        <w:t>ing</w:t>
      </w:r>
      <w:r w:rsidRPr="00A92931">
        <w:rPr>
          <w:lang w:val="en-CA"/>
        </w:rPr>
        <w:t xml:space="preserve"> the set targets. The appellant alleges that Canada is failing to adopt adequate targets for </w:t>
      </w:r>
      <w:r w:rsidR="00230867">
        <w:rPr>
          <w:lang w:val="en-CA"/>
        </w:rPr>
        <w:t xml:space="preserve">GHG </w:t>
      </w:r>
      <w:r w:rsidRPr="00A92931">
        <w:rPr>
          <w:lang w:val="en-CA"/>
        </w:rPr>
        <w:t xml:space="preserve">reduction and that the few measures implemented do not offer any hope of curbing </w:t>
      </w:r>
      <w:r w:rsidR="007D3813" w:rsidRPr="00A92931">
        <w:rPr>
          <w:lang w:val="en-CA"/>
        </w:rPr>
        <w:t>global warming</w:t>
      </w:r>
      <w:r w:rsidRPr="00A92931">
        <w:rPr>
          <w:lang w:val="en-CA"/>
        </w:rPr>
        <w:t xml:space="preserve">. </w:t>
      </w:r>
    </w:p>
    <w:p w14:paraId="14FE16E2" w14:textId="6E79C0CD" w:rsidR="00DE2883" w:rsidRPr="00A92931" w:rsidRDefault="00AE0DE0" w:rsidP="00663E1C">
      <w:pPr>
        <w:numPr>
          <w:ilvl w:val="0"/>
          <w:numId w:val="18"/>
        </w:numPr>
        <w:tabs>
          <w:tab w:val="clear" w:pos="720"/>
        </w:tabs>
        <w:spacing w:after="240" w:line="240" w:lineRule="auto"/>
        <w:jc w:val="both"/>
        <w:rPr>
          <w:rFonts w:cs="Arial"/>
          <w:kern w:val="28"/>
          <w:szCs w:val="24"/>
          <w:lang w:val="en-CA"/>
        </w:rPr>
      </w:pPr>
      <w:r w:rsidRPr="00A92931">
        <w:rPr>
          <w:rFonts w:cs="Arial"/>
          <w:kern w:val="28"/>
          <w:szCs w:val="24"/>
          <w:lang w:val="en-CA"/>
        </w:rPr>
        <w:t xml:space="preserve">This warming can be attributed to human activity, hence the importance of controlling </w:t>
      </w:r>
      <w:r w:rsidR="00B84201">
        <w:rPr>
          <w:rFonts w:cs="Arial"/>
          <w:kern w:val="28"/>
          <w:szCs w:val="24"/>
          <w:lang w:val="en-CA"/>
        </w:rPr>
        <w:t xml:space="preserve">GHG </w:t>
      </w:r>
      <w:r w:rsidRPr="00A92931">
        <w:rPr>
          <w:rFonts w:cs="Arial"/>
          <w:kern w:val="28"/>
          <w:szCs w:val="24"/>
          <w:lang w:val="en-CA"/>
        </w:rPr>
        <w:t xml:space="preserve">emissions. After listing the main risks associated with rising global temperatures, </w:t>
      </w:r>
      <w:r w:rsidR="008D34DE" w:rsidRPr="00A92931">
        <w:rPr>
          <w:rFonts w:cs="Arial"/>
          <w:kern w:val="28"/>
          <w:szCs w:val="24"/>
          <w:lang w:val="en-CA"/>
        </w:rPr>
        <w:t>it</w:t>
      </w:r>
      <w:r w:rsidRPr="00A92931">
        <w:rPr>
          <w:rFonts w:cs="Arial"/>
          <w:kern w:val="28"/>
          <w:szCs w:val="24"/>
          <w:lang w:val="en-CA"/>
        </w:rPr>
        <w:t xml:space="preserve"> add</w:t>
      </w:r>
      <w:r w:rsidR="008D34DE" w:rsidRPr="00A92931">
        <w:rPr>
          <w:rFonts w:cs="Arial"/>
          <w:kern w:val="28"/>
          <w:szCs w:val="24"/>
          <w:lang w:val="en-CA"/>
        </w:rPr>
        <w:t>ed</w:t>
      </w:r>
      <w:r w:rsidRPr="00A92931">
        <w:rPr>
          <w:rFonts w:cs="Arial"/>
          <w:kern w:val="28"/>
          <w:szCs w:val="24"/>
          <w:lang w:val="en-CA"/>
        </w:rPr>
        <w:t xml:space="preserve"> that the </w:t>
      </w:r>
      <w:r w:rsidR="008D34DE" w:rsidRPr="00A92931">
        <w:rPr>
          <w:rFonts w:cs="Arial"/>
          <w:kern w:val="28"/>
          <w:szCs w:val="24"/>
          <w:lang w:val="en-CA"/>
        </w:rPr>
        <w:t>S</w:t>
      </w:r>
      <w:r w:rsidRPr="00A92931">
        <w:rPr>
          <w:rFonts w:cs="Arial"/>
          <w:kern w:val="28"/>
          <w:szCs w:val="24"/>
          <w:lang w:val="en-CA"/>
        </w:rPr>
        <w:t xml:space="preserve">tate is fully aware of the potential issues for the health and well-being of its population. </w:t>
      </w:r>
      <w:r w:rsidR="008D34DE" w:rsidRPr="00A92931">
        <w:rPr>
          <w:rFonts w:cs="Arial"/>
          <w:kern w:val="28"/>
          <w:szCs w:val="24"/>
          <w:lang w:val="en-CA"/>
        </w:rPr>
        <w:t>It</w:t>
      </w:r>
      <w:r w:rsidRPr="00A92931">
        <w:rPr>
          <w:rFonts w:cs="Arial"/>
          <w:kern w:val="28"/>
          <w:szCs w:val="24"/>
          <w:lang w:val="en-CA"/>
        </w:rPr>
        <w:t xml:space="preserve"> then summarize</w:t>
      </w:r>
      <w:r w:rsidR="008D34DE" w:rsidRPr="00A92931">
        <w:rPr>
          <w:rFonts w:cs="Arial"/>
          <w:kern w:val="28"/>
          <w:szCs w:val="24"/>
          <w:lang w:val="en-CA"/>
        </w:rPr>
        <w:t>d</w:t>
      </w:r>
      <w:r w:rsidRPr="00A92931">
        <w:rPr>
          <w:rFonts w:cs="Arial"/>
          <w:kern w:val="28"/>
          <w:szCs w:val="24"/>
          <w:lang w:val="en-CA"/>
        </w:rPr>
        <w:t xml:space="preserve"> Canada</w:t>
      </w:r>
      <w:r w:rsidR="00F170FC" w:rsidRPr="00A92931">
        <w:rPr>
          <w:rFonts w:cs="Arial"/>
          <w:kern w:val="28"/>
          <w:szCs w:val="24"/>
          <w:lang w:val="en-CA"/>
        </w:rPr>
        <w:t xml:space="preserve">’s various </w:t>
      </w:r>
      <w:r w:rsidRPr="00A92931">
        <w:rPr>
          <w:rFonts w:cs="Arial"/>
          <w:kern w:val="28"/>
          <w:szCs w:val="24"/>
          <w:lang w:val="en-CA"/>
        </w:rPr>
        <w:t xml:space="preserve">international </w:t>
      </w:r>
      <w:r w:rsidR="00F170FC" w:rsidRPr="00A92931">
        <w:rPr>
          <w:rFonts w:cs="Arial"/>
          <w:kern w:val="28"/>
          <w:szCs w:val="24"/>
          <w:lang w:val="en-CA"/>
        </w:rPr>
        <w:t>commitments</w:t>
      </w:r>
      <w:r w:rsidRPr="00A92931">
        <w:rPr>
          <w:rFonts w:cs="Arial"/>
          <w:kern w:val="28"/>
          <w:szCs w:val="24"/>
          <w:lang w:val="en-CA"/>
        </w:rPr>
        <w:t xml:space="preserve"> to reduce </w:t>
      </w:r>
      <w:r w:rsidR="00B84201">
        <w:rPr>
          <w:rFonts w:cs="Arial"/>
          <w:kern w:val="28"/>
          <w:szCs w:val="24"/>
          <w:lang w:val="en-CA"/>
        </w:rPr>
        <w:t xml:space="preserve">GHG </w:t>
      </w:r>
      <w:r w:rsidRPr="00A92931">
        <w:rPr>
          <w:rFonts w:cs="Arial"/>
          <w:kern w:val="28"/>
          <w:szCs w:val="24"/>
          <w:lang w:val="en-CA"/>
        </w:rPr>
        <w:t>emissions that have never been met.</w:t>
      </w:r>
    </w:p>
    <w:p w14:paraId="72C08862" w14:textId="6AD64D32" w:rsidR="00DE2883" w:rsidRPr="00A92931" w:rsidRDefault="00AE0DE0" w:rsidP="00A1546E">
      <w:pPr>
        <w:keepNext/>
        <w:keepLines/>
        <w:numPr>
          <w:ilvl w:val="0"/>
          <w:numId w:val="18"/>
        </w:numPr>
        <w:tabs>
          <w:tab w:val="clear" w:pos="720"/>
        </w:tabs>
        <w:spacing w:after="240" w:line="240" w:lineRule="auto"/>
        <w:jc w:val="both"/>
        <w:rPr>
          <w:rFonts w:cs="Arial"/>
          <w:kern w:val="28"/>
          <w:szCs w:val="24"/>
          <w:lang w:val="en-CA"/>
        </w:rPr>
      </w:pPr>
      <w:r w:rsidRPr="00A92931">
        <w:rPr>
          <w:rFonts w:cs="Arial"/>
          <w:kern w:val="28"/>
          <w:szCs w:val="24"/>
          <w:lang w:val="en-CA"/>
        </w:rPr>
        <w:lastRenderedPageBreak/>
        <w:t xml:space="preserve">Based on this factual framework, the appellant </w:t>
      </w:r>
      <w:r w:rsidR="00A202B6" w:rsidRPr="00A92931">
        <w:rPr>
          <w:rFonts w:cs="Arial"/>
          <w:kern w:val="28"/>
          <w:szCs w:val="24"/>
          <w:lang w:val="en-CA"/>
        </w:rPr>
        <w:t xml:space="preserve">alleges that </w:t>
      </w:r>
      <w:r w:rsidRPr="00A92931">
        <w:rPr>
          <w:rFonts w:cs="Arial"/>
          <w:kern w:val="28"/>
          <w:szCs w:val="24"/>
          <w:lang w:val="en-CA"/>
        </w:rPr>
        <w:t xml:space="preserve">Canada </w:t>
      </w:r>
      <w:r w:rsidR="00A202B6" w:rsidRPr="00A92931">
        <w:rPr>
          <w:rFonts w:cs="Arial"/>
          <w:kern w:val="28"/>
          <w:szCs w:val="24"/>
          <w:lang w:val="en-CA"/>
        </w:rPr>
        <w:t xml:space="preserve">failed </w:t>
      </w:r>
      <w:r w:rsidRPr="00A92931">
        <w:rPr>
          <w:rFonts w:cs="Arial"/>
          <w:kern w:val="28"/>
          <w:szCs w:val="24"/>
          <w:lang w:val="en-CA"/>
        </w:rPr>
        <w:t xml:space="preserve">to establish </w:t>
      </w:r>
      <w:r w:rsidR="0081124A">
        <w:rPr>
          <w:rFonts w:cs="Arial"/>
          <w:kern w:val="28"/>
          <w:szCs w:val="24"/>
          <w:lang w:val="en-CA"/>
        </w:rPr>
        <w:t>GHG</w:t>
      </w:r>
      <w:r w:rsidRPr="00A92931">
        <w:rPr>
          <w:rFonts w:cs="Arial"/>
          <w:kern w:val="28"/>
          <w:szCs w:val="24"/>
          <w:lang w:val="en-CA"/>
        </w:rPr>
        <w:t xml:space="preserve"> reduction targets consistent with its international commitments. </w:t>
      </w:r>
      <w:r w:rsidR="00A202B6" w:rsidRPr="00A92931">
        <w:rPr>
          <w:rFonts w:cs="Arial"/>
          <w:kern w:val="28"/>
          <w:szCs w:val="24"/>
          <w:lang w:val="en-CA"/>
        </w:rPr>
        <w:t>It alleges</w:t>
      </w:r>
      <w:r w:rsidRPr="00A92931">
        <w:rPr>
          <w:rFonts w:cs="Arial"/>
          <w:kern w:val="28"/>
          <w:szCs w:val="24"/>
          <w:lang w:val="en-CA"/>
        </w:rPr>
        <w:t>:</w:t>
      </w:r>
    </w:p>
    <w:p w14:paraId="4250D6CF" w14:textId="1F548D59" w:rsidR="00754AE6" w:rsidRPr="00A92931" w:rsidRDefault="00754AE6" w:rsidP="00754AE6">
      <w:pPr>
        <w:pStyle w:val="Citationenretrait"/>
        <w:keepNext/>
        <w:spacing w:before="0" w:after="240" w:line="240" w:lineRule="auto"/>
        <w:rPr>
          <w:lang w:val="en-CA"/>
        </w:rPr>
      </w:pPr>
      <w:r w:rsidRPr="00A92931">
        <w:rPr>
          <w:lang w:val="en-CA"/>
        </w:rPr>
        <w:t>[</w:t>
      </w:r>
      <w:r w:rsidRPr="00A92931">
        <w:rPr>
          <w:smallCaps/>
          <w:lang w:val="en-CA"/>
        </w:rPr>
        <w:t>translation</w:t>
      </w:r>
      <w:r w:rsidRPr="00A92931">
        <w:rPr>
          <w:lang w:val="en-CA"/>
        </w:rPr>
        <w:t>]</w:t>
      </w:r>
    </w:p>
    <w:p w14:paraId="5F3CFEDA" w14:textId="5F682EEA" w:rsidR="00DE2883" w:rsidRPr="00A92931" w:rsidRDefault="00754AE6" w:rsidP="00754AE6">
      <w:pPr>
        <w:pStyle w:val="Citationenretrait"/>
        <w:keepNext/>
        <w:spacing w:before="0" w:after="240" w:line="240" w:lineRule="auto"/>
        <w:rPr>
          <w:lang w:val="en-CA"/>
        </w:rPr>
      </w:pPr>
      <w:r w:rsidRPr="00A92931">
        <w:rPr>
          <w:lang w:val="en-CA"/>
        </w:rPr>
        <w:t>2.76</w:t>
      </w:r>
      <w:r w:rsidR="00AE0DE0" w:rsidRPr="00A92931">
        <w:rPr>
          <w:lang w:val="en-CA"/>
        </w:rPr>
        <w:t xml:space="preserve"> Thus, while acknowledging the urgency of the situation and its clear duty to act, Canada continues to fail to reduce or even control its </w:t>
      </w:r>
      <w:r w:rsidR="0081124A">
        <w:rPr>
          <w:lang w:val="en-CA"/>
        </w:rPr>
        <w:t>GHG</w:t>
      </w:r>
      <w:r w:rsidR="00AE0DE0" w:rsidRPr="00A92931">
        <w:rPr>
          <w:lang w:val="en-CA"/>
        </w:rPr>
        <w:t xml:space="preserve"> emissions.</w:t>
      </w:r>
    </w:p>
    <w:p w14:paraId="4209D6B9" w14:textId="5CBC2EFF" w:rsidR="00DE2883" w:rsidRPr="00A92931" w:rsidRDefault="00AE0DE0" w:rsidP="00DE2883">
      <w:pPr>
        <w:pStyle w:val="Citationenretrait"/>
        <w:spacing w:before="0" w:after="240" w:line="240" w:lineRule="auto"/>
        <w:rPr>
          <w:lang w:val="en-CA"/>
        </w:rPr>
      </w:pPr>
      <w:r w:rsidRPr="00A92931">
        <w:rPr>
          <w:lang w:val="en-CA"/>
        </w:rPr>
        <w:t xml:space="preserve">2.77 Worse, Canada has adopted reduction targets that, even if achieved, will contribute to the increase of </w:t>
      </w:r>
      <w:r w:rsidR="009D6252">
        <w:rPr>
          <w:lang w:val="en-CA"/>
        </w:rPr>
        <w:t xml:space="preserve">GHG </w:t>
      </w:r>
      <w:r w:rsidRPr="00A92931">
        <w:rPr>
          <w:lang w:val="en-CA"/>
        </w:rPr>
        <w:t xml:space="preserve">beyond the levels that the government itself has deemed critical for protecting the lives and security of future generations. Such </w:t>
      </w:r>
      <w:r w:rsidR="00724C90" w:rsidRPr="00A92931">
        <w:rPr>
          <w:lang w:val="en-CA"/>
        </w:rPr>
        <w:t>conduct</w:t>
      </w:r>
      <w:r w:rsidRPr="00A92931">
        <w:rPr>
          <w:lang w:val="en-CA"/>
        </w:rPr>
        <w:t xml:space="preserve"> constitutes an intentional fault committed in bad faith.</w:t>
      </w:r>
    </w:p>
    <w:p w14:paraId="0E7F55C5" w14:textId="5FA99849" w:rsidR="00236200" w:rsidRPr="00A92931" w:rsidRDefault="00AE0DE0" w:rsidP="00EF2E7B">
      <w:pPr>
        <w:numPr>
          <w:ilvl w:val="0"/>
          <w:numId w:val="18"/>
        </w:numPr>
        <w:tabs>
          <w:tab w:val="clear" w:pos="720"/>
        </w:tabs>
        <w:spacing w:after="120" w:line="276" w:lineRule="auto"/>
        <w:jc w:val="both"/>
        <w:rPr>
          <w:rFonts w:cs="Arial"/>
          <w:kern w:val="28"/>
          <w:szCs w:val="24"/>
          <w:lang w:val="en-CA"/>
        </w:rPr>
      </w:pPr>
      <w:r w:rsidRPr="00A92931">
        <w:rPr>
          <w:rFonts w:cs="Arial"/>
          <w:kern w:val="28"/>
          <w:szCs w:val="24"/>
          <w:lang w:val="en-CA"/>
        </w:rPr>
        <w:t xml:space="preserve">The proposed </w:t>
      </w:r>
      <w:r w:rsidR="00771B8E" w:rsidRPr="00A92931">
        <w:rPr>
          <w:rFonts w:cs="Arial"/>
          <w:kern w:val="28"/>
          <w:szCs w:val="24"/>
          <w:lang w:val="en-CA"/>
        </w:rPr>
        <w:t>action</w:t>
      </w:r>
      <w:r w:rsidRPr="00A92931">
        <w:rPr>
          <w:rFonts w:cs="Arial"/>
          <w:kern w:val="28"/>
          <w:szCs w:val="24"/>
          <w:lang w:val="en-CA"/>
        </w:rPr>
        <w:t xml:space="preserve"> seeks to:</w:t>
      </w:r>
    </w:p>
    <w:p w14:paraId="71C60C03" w14:textId="77777777" w:rsidR="00754AE6" w:rsidRPr="00A92931" w:rsidRDefault="00754AE6" w:rsidP="00EF2E7B">
      <w:pPr>
        <w:pStyle w:val="Paragraphe"/>
        <w:numPr>
          <w:ilvl w:val="0"/>
          <w:numId w:val="0"/>
        </w:numPr>
        <w:spacing w:line="276" w:lineRule="auto"/>
        <w:ind w:firstLine="720"/>
        <w:rPr>
          <w:kern w:val="24"/>
          <w:sz w:val="22"/>
          <w:lang w:val="en-CA"/>
        </w:rPr>
      </w:pPr>
      <w:bookmarkStart w:id="13" w:name="_Hlk223353806"/>
      <w:r w:rsidRPr="00A92931">
        <w:rPr>
          <w:kern w:val="24"/>
          <w:sz w:val="22"/>
          <w:lang w:val="en-CA"/>
        </w:rPr>
        <w:t>[</w:t>
      </w:r>
      <w:r w:rsidRPr="00A92931">
        <w:rPr>
          <w:smallCaps/>
          <w:kern w:val="24"/>
          <w:sz w:val="22"/>
          <w:lang w:val="en-CA"/>
        </w:rPr>
        <w:t>translation</w:t>
      </w:r>
      <w:r w:rsidRPr="00A92931">
        <w:rPr>
          <w:kern w:val="24"/>
          <w:sz w:val="22"/>
          <w:lang w:val="en-CA"/>
        </w:rPr>
        <w:t>]</w:t>
      </w:r>
    </w:p>
    <w:bookmarkEnd w:id="13"/>
    <w:p w14:paraId="460A22E2" w14:textId="78091B71" w:rsidR="00D11C7E" w:rsidRPr="00A92931" w:rsidRDefault="00152B45" w:rsidP="006B6AC4">
      <w:pPr>
        <w:pStyle w:val="Citationenretrait"/>
        <w:spacing w:before="0" w:after="240" w:line="240" w:lineRule="auto"/>
        <w:rPr>
          <w:lang w:val="en-CA"/>
        </w:rPr>
      </w:pPr>
      <w:r>
        <w:rPr>
          <w:lang w:val="en-CA"/>
        </w:rPr>
        <w:t>[</w:t>
      </w:r>
      <w:r w:rsidR="00A202B6" w:rsidRPr="00A92931">
        <w:rPr>
          <w:lang w:val="en-CA"/>
        </w:rPr>
        <w:t>…</w:t>
      </w:r>
      <w:r>
        <w:rPr>
          <w:lang w:val="en-CA"/>
        </w:rPr>
        <w:t>]</w:t>
      </w:r>
      <w:r w:rsidR="00A202B6" w:rsidRPr="00A92931">
        <w:rPr>
          <w:lang w:val="en-CA"/>
        </w:rPr>
        <w:t xml:space="preserve"> </w:t>
      </w:r>
      <w:r w:rsidR="00AE0DE0" w:rsidRPr="00A92931">
        <w:rPr>
          <w:lang w:val="en-CA"/>
        </w:rPr>
        <w:t xml:space="preserve">obtain a declaration that the government has failed to fulfill its obligations under the </w:t>
      </w:r>
      <w:r w:rsidR="00AE0DE0" w:rsidRPr="00A92931">
        <w:rPr>
          <w:i/>
          <w:iCs/>
          <w:lang w:val="en-CA"/>
        </w:rPr>
        <w:t>Canadian Charter of Rights and Freedoms</w:t>
      </w:r>
      <w:r w:rsidR="00AE0DE0" w:rsidRPr="00A92931">
        <w:rPr>
          <w:lang w:val="en-CA"/>
        </w:rPr>
        <w:t xml:space="preserve"> (</w:t>
      </w:r>
      <w:r w:rsidR="00A202B6" w:rsidRPr="00A92931">
        <w:rPr>
          <w:lang w:val="en-CA"/>
        </w:rPr>
        <w:t>“</w:t>
      </w:r>
      <w:r w:rsidR="00AE0DE0" w:rsidRPr="00A92931">
        <w:rPr>
          <w:i/>
          <w:iCs/>
          <w:lang w:val="en-CA"/>
        </w:rPr>
        <w:t>Canadian Charter</w:t>
      </w:r>
      <w:r w:rsidR="00A202B6" w:rsidRPr="00A92931">
        <w:rPr>
          <w:lang w:val="en-CA"/>
        </w:rPr>
        <w:t>”</w:t>
      </w:r>
      <w:r w:rsidR="00AE0DE0" w:rsidRPr="00A92931">
        <w:rPr>
          <w:lang w:val="en-CA"/>
        </w:rPr>
        <w:t xml:space="preserve">) and the Quebec </w:t>
      </w:r>
      <w:r w:rsidR="00AE0DE0" w:rsidRPr="00A92931">
        <w:rPr>
          <w:i/>
          <w:iCs/>
          <w:lang w:val="en-CA"/>
        </w:rPr>
        <w:t>Charter of Human Rights and Freedoms</w:t>
      </w:r>
      <w:r w:rsidR="00AE0DE0" w:rsidRPr="00A92931">
        <w:rPr>
          <w:lang w:val="en-CA"/>
        </w:rPr>
        <w:t xml:space="preserve"> (</w:t>
      </w:r>
      <w:r w:rsidR="00A202B6" w:rsidRPr="00A92931">
        <w:rPr>
          <w:lang w:val="en-CA"/>
        </w:rPr>
        <w:t>“</w:t>
      </w:r>
      <w:r w:rsidR="00AE0DE0" w:rsidRPr="006E7D06">
        <w:rPr>
          <w:i/>
          <w:iCs/>
          <w:lang w:val="en-CA"/>
        </w:rPr>
        <w:t>Quebec</w:t>
      </w:r>
      <w:r w:rsidR="00AE0DE0" w:rsidRPr="00A92931">
        <w:rPr>
          <w:i/>
          <w:iCs/>
          <w:lang w:val="en-CA"/>
        </w:rPr>
        <w:t xml:space="preserve"> Charter</w:t>
      </w:r>
      <w:r w:rsidR="00A202B6" w:rsidRPr="00A92931">
        <w:rPr>
          <w:lang w:val="en-CA"/>
        </w:rPr>
        <w:t>”</w:t>
      </w:r>
      <w:r w:rsidR="00AE0DE0" w:rsidRPr="00A92931">
        <w:rPr>
          <w:lang w:val="en-CA"/>
        </w:rPr>
        <w:t xml:space="preserve">) (the </w:t>
      </w:r>
      <w:r w:rsidR="00724C90" w:rsidRPr="00A92931">
        <w:rPr>
          <w:lang w:val="en-CA"/>
        </w:rPr>
        <w:t>“</w:t>
      </w:r>
      <w:r w:rsidR="00AE0DE0" w:rsidRPr="00A92931">
        <w:rPr>
          <w:i/>
          <w:iCs/>
          <w:lang w:val="en-CA"/>
        </w:rPr>
        <w:t>Charters</w:t>
      </w:r>
      <w:r w:rsidR="00A202B6" w:rsidRPr="00A92931">
        <w:rPr>
          <w:lang w:val="en-CA"/>
        </w:rPr>
        <w:t>”</w:t>
      </w:r>
      <w:r w:rsidR="00AE0DE0" w:rsidRPr="00A92931">
        <w:rPr>
          <w:lang w:val="en-CA"/>
        </w:rPr>
        <w:t>), to protect the fundamental rights of its citizens.</w:t>
      </w:r>
    </w:p>
    <w:p w14:paraId="0DE91A69" w14:textId="5FFF2F39" w:rsidR="00D11C7E" w:rsidRPr="00A92931" w:rsidRDefault="00AE0DE0" w:rsidP="00D11C7E">
      <w:pPr>
        <w:numPr>
          <w:ilvl w:val="0"/>
          <w:numId w:val="18"/>
        </w:numPr>
        <w:tabs>
          <w:tab w:val="clear" w:pos="720"/>
        </w:tabs>
        <w:spacing w:after="240" w:line="240" w:lineRule="auto"/>
        <w:jc w:val="both"/>
        <w:rPr>
          <w:rFonts w:cs="Arial"/>
          <w:kern w:val="28"/>
          <w:szCs w:val="24"/>
          <w:lang w:val="en-CA"/>
        </w:rPr>
      </w:pPr>
      <w:r w:rsidRPr="00A92931">
        <w:rPr>
          <w:rFonts w:cs="Arial"/>
          <w:kern w:val="28"/>
          <w:szCs w:val="24"/>
          <w:lang w:val="en-CA"/>
        </w:rPr>
        <w:t>In summary, the appellant accuses the State of bad faith and adds that its inaction amounts to both a civil fault and a</w:t>
      </w:r>
      <w:r w:rsidR="00DF5F1E" w:rsidRPr="00A92931">
        <w:rPr>
          <w:rFonts w:cs="Arial"/>
          <w:kern w:val="28"/>
          <w:szCs w:val="24"/>
          <w:lang w:val="en-CA"/>
        </w:rPr>
        <w:t>n</w:t>
      </w:r>
      <w:r w:rsidRPr="00A92931">
        <w:rPr>
          <w:rFonts w:cs="Arial"/>
          <w:kern w:val="28"/>
          <w:szCs w:val="24"/>
          <w:lang w:val="en-CA"/>
        </w:rPr>
        <w:t xml:space="preserve"> </w:t>
      </w:r>
      <w:r w:rsidR="00754AE6" w:rsidRPr="00A92931">
        <w:rPr>
          <w:rFonts w:cs="Arial"/>
          <w:kern w:val="28"/>
          <w:szCs w:val="24"/>
          <w:lang w:val="en-CA"/>
        </w:rPr>
        <w:t>infringement</w:t>
      </w:r>
      <w:r w:rsidRPr="00A92931">
        <w:rPr>
          <w:rFonts w:cs="Arial"/>
          <w:kern w:val="28"/>
          <w:szCs w:val="24"/>
          <w:lang w:val="en-CA"/>
        </w:rPr>
        <w:t xml:space="preserve"> of the fundamental rights of </w:t>
      </w:r>
      <w:r w:rsidR="00754AE6" w:rsidRPr="00A92931">
        <w:rPr>
          <w:rFonts w:cs="Arial"/>
          <w:kern w:val="28"/>
          <w:szCs w:val="24"/>
          <w:lang w:val="en-CA"/>
        </w:rPr>
        <w:t xml:space="preserve">Class </w:t>
      </w:r>
      <w:r w:rsidRPr="00A92931">
        <w:rPr>
          <w:rFonts w:cs="Arial"/>
          <w:kern w:val="28"/>
          <w:szCs w:val="24"/>
          <w:lang w:val="en-CA"/>
        </w:rPr>
        <w:t xml:space="preserve">members. </w:t>
      </w:r>
      <w:r w:rsidR="00754AE6" w:rsidRPr="00A92931">
        <w:rPr>
          <w:rFonts w:cs="Arial"/>
          <w:kern w:val="28"/>
          <w:szCs w:val="24"/>
          <w:lang w:val="en-CA"/>
        </w:rPr>
        <w:t>It</w:t>
      </w:r>
      <w:r w:rsidRPr="00A92931">
        <w:rPr>
          <w:rFonts w:cs="Arial"/>
          <w:kern w:val="28"/>
          <w:szCs w:val="24"/>
          <w:lang w:val="en-CA"/>
        </w:rPr>
        <w:t xml:space="preserve"> alleges that the State is </w:t>
      </w:r>
      <w:r w:rsidR="0069266F" w:rsidRPr="00A92931">
        <w:rPr>
          <w:rFonts w:cs="Arial"/>
          <w:kern w:val="28"/>
          <w:szCs w:val="24"/>
          <w:lang w:val="en-CA"/>
        </w:rPr>
        <w:t>infringing</w:t>
      </w:r>
      <w:r w:rsidRPr="00A92931">
        <w:rPr>
          <w:rFonts w:cs="Arial"/>
          <w:kern w:val="28"/>
          <w:szCs w:val="24"/>
          <w:lang w:val="en-CA"/>
        </w:rPr>
        <w:t xml:space="preserve"> (1) their right to life, (2) their right to a healthy environment respectful of biodiversity, as guaranteed by </w:t>
      </w:r>
      <w:r w:rsidR="00243CB9" w:rsidRPr="00A92931">
        <w:rPr>
          <w:rFonts w:cs="Arial"/>
          <w:kern w:val="28"/>
          <w:szCs w:val="24"/>
          <w:lang w:val="en-CA"/>
        </w:rPr>
        <w:t>section</w:t>
      </w:r>
      <w:r w:rsidRPr="00A92931">
        <w:rPr>
          <w:rFonts w:cs="Arial"/>
          <w:kern w:val="28"/>
          <w:szCs w:val="24"/>
          <w:lang w:val="en-CA"/>
        </w:rPr>
        <w:t xml:space="preserve"> 46.1 of the Quebec </w:t>
      </w:r>
      <w:r w:rsidRPr="00A92931">
        <w:rPr>
          <w:rFonts w:cs="Arial"/>
          <w:i/>
          <w:iCs/>
          <w:kern w:val="28"/>
          <w:szCs w:val="24"/>
          <w:lang w:val="en-CA"/>
        </w:rPr>
        <w:t>Charter of Human Rights and Freedoms</w:t>
      </w:r>
      <w:r w:rsidRPr="00A92931">
        <w:rPr>
          <w:rFonts w:cs="Arial"/>
          <w:kern w:val="28"/>
          <w:szCs w:val="24"/>
          <w:lang w:val="en-CA"/>
        </w:rPr>
        <w:t xml:space="preserve"> </w:t>
      </w:r>
      <w:r w:rsidR="00754AE6" w:rsidRPr="00A92931">
        <w:rPr>
          <w:lang w:val="en-CA"/>
        </w:rPr>
        <w:t>(“</w:t>
      </w:r>
      <w:r w:rsidR="00754AE6" w:rsidRPr="006E7D06">
        <w:rPr>
          <w:i/>
          <w:iCs/>
          <w:lang w:val="en-CA"/>
        </w:rPr>
        <w:t>Quebec</w:t>
      </w:r>
      <w:r w:rsidR="00754AE6" w:rsidRPr="00A92931">
        <w:rPr>
          <w:i/>
          <w:iCs/>
          <w:lang w:val="en-CA"/>
        </w:rPr>
        <w:t xml:space="preserve"> Charter</w:t>
      </w:r>
      <w:r w:rsidR="00754AE6" w:rsidRPr="00A92931">
        <w:rPr>
          <w:lang w:val="en-CA"/>
        </w:rPr>
        <w:t xml:space="preserve">”) </w:t>
      </w:r>
      <w:r w:rsidRPr="00A92931">
        <w:rPr>
          <w:rFonts w:cs="Arial"/>
          <w:kern w:val="28"/>
          <w:szCs w:val="24"/>
          <w:lang w:val="en-CA"/>
        </w:rPr>
        <w:t xml:space="preserve">and (3) their right to equality since younger generations will have to bear a heavier economic and social burden than their elders. </w:t>
      </w:r>
    </w:p>
    <w:p w14:paraId="42A6ED9C" w14:textId="0CDE13D8" w:rsidR="00236200" w:rsidRPr="00A92931" w:rsidRDefault="00AE0DE0" w:rsidP="001319FE">
      <w:pPr>
        <w:numPr>
          <w:ilvl w:val="0"/>
          <w:numId w:val="18"/>
        </w:numPr>
        <w:tabs>
          <w:tab w:val="clear" w:pos="720"/>
        </w:tabs>
        <w:spacing w:after="240" w:line="240" w:lineRule="auto"/>
        <w:jc w:val="both"/>
        <w:rPr>
          <w:rFonts w:cs="Arial"/>
          <w:kern w:val="28"/>
          <w:szCs w:val="24"/>
          <w:lang w:val="en-CA"/>
        </w:rPr>
      </w:pPr>
      <w:r w:rsidRPr="00A92931">
        <w:rPr>
          <w:rFonts w:cs="Arial"/>
          <w:kern w:val="28"/>
          <w:szCs w:val="24"/>
          <w:lang w:val="en-CA"/>
        </w:rPr>
        <w:t xml:space="preserve">As a remedy, the appellant </w:t>
      </w:r>
      <w:r w:rsidR="00DF5F1E" w:rsidRPr="00A92931">
        <w:rPr>
          <w:rFonts w:cs="Arial"/>
          <w:kern w:val="28"/>
          <w:szCs w:val="24"/>
          <w:lang w:val="en-CA"/>
        </w:rPr>
        <w:t xml:space="preserve">is </w:t>
      </w:r>
      <w:r w:rsidRPr="00A92931">
        <w:rPr>
          <w:rFonts w:cs="Arial"/>
          <w:kern w:val="28"/>
          <w:szCs w:val="24"/>
          <w:lang w:val="en-CA"/>
        </w:rPr>
        <w:t>not claim</w:t>
      </w:r>
      <w:r w:rsidR="00DF5F1E" w:rsidRPr="00A92931">
        <w:rPr>
          <w:rFonts w:cs="Arial"/>
          <w:kern w:val="28"/>
          <w:szCs w:val="24"/>
          <w:lang w:val="en-CA"/>
        </w:rPr>
        <w:t>ing</w:t>
      </w:r>
      <w:r w:rsidRPr="00A92931">
        <w:rPr>
          <w:rFonts w:cs="Arial"/>
          <w:kern w:val="28"/>
          <w:szCs w:val="24"/>
          <w:lang w:val="en-CA"/>
        </w:rPr>
        <w:t xml:space="preserve"> compensatory damages but </w:t>
      </w:r>
      <w:r w:rsidR="00DF5F1E" w:rsidRPr="00A92931">
        <w:rPr>
          <w:rFonts w:cs="Arial"/>
          <w:kern w:val="28"/>
          <w:szCs w:val="24"/>
          <w:lang w:val="en-CA"/>
        </w:rPr>
        <w:t xml:space="preserve">rather the </w:t>
      </w:r>
      <w:r w:rsidRPr="00A92931">
        <w:rPr>
          <w:rFonts w:cs="Arial"/>
          <w:kern w:val="28"/>
          <w:szCs w:val="24"/>
          <w:lang w:val="en-CA"/>
        </w:rPr>
        <w:t xml:space="preserve">cessation of the </w:t>
      </w:r>
      <w:r w:rsidR="00DF5F1E" w:rsidRPr="00A92931">
        <w:rPr>
          <w:rFonts w:cs="Arial"/>
          <w:kern w:val="28"/>
          <w:szCs w:val="24"/>
          <w:lang w:val="en-CA"/>
        </w:rPr>
        <w:t>infringement</w:t>
      </w:r>
      <w:r w:rsidRPr="00A92931">
        <w:rPr>
          <w:rFonts w:cs="Arial"/>
          <w:kern w:val="28"/>
          <w:szCs w:val="24"/>
          <w:lang w:val="en-CA"/>
        </w:rPr>
        <w:t xml:space="preserve"> and punitive damages of $100 per </w:t>
      </w:r>
      <w:r w:rsidR="0069266F" w:rsidRPr="00A92931">
        <w:rPr>
          <w:rFonts w:cs="Arial"/>
          <w:kern w:val="28"/>
          <w:szCs w:val="24"/>
          <w:lang w:val="en-CA"/>
        </w:rPr>
        <w:t xml:space="preserve">class </w:t>
      </w:r>
      <w:r w:rsidRPr="00A92931">
        <w:rPr>
          <w:rFonts w:cs="Arial"/>
          <w:kern w:val="28"/>
          <w:szCs w:val="24"/>
          <w:lang w:val="en-CA"/>
        </w:rPr>
        <w:t xml:space="preserve">member. </w:t>
      </w:r>
      <w:r w:rsidR="0069266F" w:rsidRPr="00A92931">
        <w:rPr>
          <w:rFonts w:cs="Arial"/>
          <w:kern w:val="28"/>
          <w:szCs w:val="24"/>
          <w:lang w:val="en-CA"/>
        </w:rPr>
        <w:t>It is</w:t>
      </w:r>
      <w:r w:rsidRPr="00A92931">
        <w:rPr>
          <w:rFonts w:cs="Arial"/>
          <w:kern w:val="28"/>
          <w:szCs w:val="24"/>
          <w:lang w:val="en-CA"/>
        </w:rPr>
        <w:t xml:space="preserve"> aware that distributing </w:t>
      </w:r>
      <w:r w:rsidR="00DF5F1E" w:rsidRPr="00A92931">
        <w:rPr>
          <w:rFonts w:cs="Arial"/>
          <w:kern w:val="28"/>
          <w:szCs w:val="24"/>
          <w:lang w:val="en-CA"/>
        </w:rPr>
        <w:t xml:space="preserve">such amounts </w:t>
      </w:r>
      <w:r w:rsidRPr="00A92931">
        <w:rPr>
          <w:rFonts w:cs="Arial"/>
          <w:kern w:val="28"/>
          <w:szCs w:val="24"/>
          <w:lang w:val="en-CA"/>
        </w:rPr>
        <w:t xml:space="preserve">would be </w:t>
      </w:r>
      <w:r w:rsidR="0069266F" w:rsidRPr="00A92931">
        <w:rPr>
          <w:rFonts w:cs="Arial"/>
          <w:kern w:val="28"/>
          <w:szCs w:val="24"/>
          <w:lang w:val="en-CA"/>
        </w:rPr>
        <w:t>impractical and</w:t>
      </w:r>
      <w:r w:rsidRPr="00A92931">
        <w:rPr>
          <w:rFonts w:cs="Arial"/>
          <w:kern w:val="28"/>
          <w:szCs w:val="24"/>
          <w:lang w:val="en-CA"/>
        </w:rPr>
        <w:t xml:space="preserve"> suggests that the Court instead orde</w:t>
      </w:r>
      <w:r w:rsidR="0069266F" w:rsidRPr="00A92931">
        <w:rPr>
          <w:rFonts w:cs="Arial"/>
          <w:kern w:val="28"/>
          <w:szCs w:val="24"/>
          <w:lang w:val="en-CA"/>
        </w:rPr>
        <w:t>r [</w:t>
      </w:r>
      <w:r w:rsidR="0069266F" w:rsidRPr="00A92931">
        <w:rPr>
          <w:rFonts w:cs="Arial"/>
          <w:smallCaps/>
          <w:kern w:val="28"/>
          <w:szCs w:val="24"/>
          <w:lang w:val="en-CA"/>
        </w:rPr>
        <w:t>translation</w:t>
      </w:r>
      <w:r w:rsidR="0069266F" w:rsidRPr="00A92931">
        <w:rPr>
          <w:rFonts w:cs="Arial"/>
          <w:kern w:val="28"/>
          <w:szCs w:val="24"/>
          <w:lang w:val="en-CA"/>
        </w:rPr>
        <w:t>] “</w:t>
      </w:r>
      <w:r w:rsidRPr="00A92931">
        <w:rPr>
          <w:rFonts w:cs="Arial"/>
          <w:kern w:val="28"/>
          <w:szCs w:val="24"/>
          <w:lang w:val="en-CA"/>
        </w:rPr>
        <w:t xml:space="preserve">the implementation of a remedial measure to curb </w:t>
      </w:r>
      <w:r w:rsidR="007D3813" w:rsidRPr="00A92931">
        <w:rPr>
          <w:rFonts w:cs="Arial"/>
          <w:kern w:val="28"/>
          <w:szCs w:val="24"/>
          <w:lang w:val="en-CA"/>
        </w:rPr>
        <w:t>global warming</w:t>
      </w:r>
      <w:r w:rsidR="0069266F" w:rsidRPr="00A92931">
        <w:rPr>
          <w:rFonts w:cs="Arial"/>
          <w:kern w:val="28"/>
          <w:szCs w:val="24"/>
          <w:lang w:val="en-CA"/>
        </w:rPr>
        <w:t>”</w:t>
      </w:r>
      <w:r w:rsidRPr="00A92931">
        <w:rPr>
          <w:rFonts w:cs="Arial"/>
          <w:kern w:val="28"/>
          <w:szCs w:val="24"/>
          <w:lang w:val="en-CA"/>
        </w:rPr>
        <w:t xml:space="preserve"> without further </w:t>
      </w:r>
      <w:r w:rsidR="004F001A" w:rsidRPr="00A92931">
        <w:rPr>
          <w:rFonts w:cs="Arial"/>
          <w:kern w:val="28"/>
          <w:szCs w:val="24"/>
          <w:lang w:val="en-CA"/>
        </w:rPr>
        <w:t>details</w:t>
      </w:r>
      <w:r w:rsidRPr="00A92931">
        <w:rPr>
          <w:rFonts w:cs="Arial"/>
          <w:kern w:val="28"/>
          <w:szCs w:val="24"/>
          <w:lang w:val="en-CA"/>
        </w:rPr>
        <w:t xml:space="preserve">. </w:t>
      </w:r>
    </w:p>
    <w:p w14:paraId="18F64DBE" w14:textId="15716F19" w:rsidR="00236200" w:rsidRPr="00A92931" w:rsidRDefault="00AE0DE0" w:rsidP="001319FE">
      <w:pPr>
        <w:numPr>
          <w:ilvl w:val="0"/>
          <w:numId w:val="18"/>
        </w:numPr>
        <w:tabs>
          <w:tab w:val="clear" w:pos="720"/>
        </w:tabs>
        <w:spacing w:after="240" w:line="240" w:lineRule="auto"/>
        <w:jc w:val="both"/>
        <w:rPr>
          <w:rFonts w:cs="Arial"/>
          <w:kern w:val="28"/>
          <w:szCs w:val="24"/>
          <w:lang w:val="en-CA"/>
        </w:rPr>
      </w:pPr>
      <w:r w:rsidRPr="00A92931">
        <w:rPr>
          <w:rFonts w:cs="Arial"/>
          <w:kern w:val="28"/>
          <w:szCs w:val="24"/>
          <w:lang w:val="en-CA"/>
        </w:rPr>
        <w:t xml:space="preserve">The State </w:t>
      </w:r>
      <w:r w:rsidR="00771B8E" w:rsidRPr="00A92931">
        <w:rPr>
          <w:rFonts w:cs="Arial"/>
          <w:kern w:val="28"/>
          <w:szCs w:val="24"/>
          <w:lang w:val="en-CA"/>
        </w:rPr>
        <w:t>contests</w:t>
      </w:r>
      <w:r w:rsidRPr="00A92931">
        <w:rPr>
          <w:rFonts w:cs="Arial"/>
          <w:kern w:val="28"/>
          <w:szCs w:val="24"/>
          <w:lang w:val="en-CA"/>
        </w:rPr>
        <w:t xml:space="preserve"> the </w:t>
      </w:r>
      <w:r w:rsidR="0069266F" w:rsidRPr="00A92931">
        <w:rPr>
          <w:rFonts w:cs="Arial"/>
          <w:kern w:val="28"/>
          <w:szCs w:val="24"/>
          <w:lang w:val="en-CA"/>
        </w:rPr>
        <w:t>application</w:t>
      </w:r>
      <w:r w:rsidRPr="00A92931">
        <w:rPr>
          <w:rFonts w:cs="Arial"/>
          <w:kern w:val="28"/>
          <w:szCs w:val="24"/>
          <w:lang w:val="en-CA"/>
        </w:rPr>
        <w:t xml:space="preserve"> for authorization. </w:t>
      </w:r>
      <w:r w:rsidR="00DF5F1E" w:rsidRPr="00A92931">
        <w:rPr>
          <w:rFonts w:cs="Arial"/>
          <w:kern w:val="28"/>
          <w:szCs w:val="24"/>
          <w:lang w:val="en-CA"/>
        </w:rPr>
        <w:t>It</w:t>
      </w:r>
      <w:r w:rsidRPr="00A92931">
        <w:rPr>
          <w:rFonts w:cs="Arial"/>
          <w:kern w:val="28"/>
          <w:szCs w:val="24"/>
          <w:lang w:val="en-CA"/>
        </w:rPr>
        <w:t xml:space="preserve"> considers that </w:t>
      </w:r>
      <w:r w:rsidR="0060039F" w:rsidRPr="00A92931">
        <w:rPr>
          <w:rFonts w:cs="Arial"/>
          <w:kern w:val="28"/>
          <w:szCs w:val="24"/>
          <w:lang w:val="en-CA"/>
        </w:rPr>
        <w:t>class action</w:t>
      </w:r>
      <w:r w:rsidRPr="00A92931">
        <w:rPr>
          <w:rFonts w:cs="Arial"/>
          <w:kern w:val="28"/>
          <w:szCs w:val="24"/>
          <w:lang w:val="en-CA"/>
        </w:rPr>
        <w:t xml:space="preserve"> is neither an appropriate nor </w:t>
      </w:r>
      <w:r w:rsidR="00771B8E" w:rsidRPr="00A92931">
        <w:rPr>
          <w:rFonts w:cs="Arial"/>
          <w:kern w:val="28"/>
          <w:szCs w:val="24"/>
          <w:lang w:val="en-CA"/>
        </w:rPr>
        <w:t>effective</w:t>
      </w:r>
      <w:r w:rsidRPr="00A92931">
        <w:rPr>
          <w:rFonts w:cs="Arial"/>
          <w:kern w:val="28"/>
          <w:szCs w:val="24"/>
          <w:lang w:val="en-CA"/>
        </w:rPr>
        <w:t xml:space="preserve"> remedy to obtain the re</w:t>
      </w:r>
      <w:r w:rsidR="00771B8E" w:rsidRPr="00A92931">
        <w:rPr>
          <w:rFonts w:cs="Arial"/>
          <w:kern w:val="28"/>
          <w:szCs w:val="24"/>
          <w:lang w:val="en-CA"/>
        </w:rPr>
        <w:t>lief</w:t>
      </w:r>
      <w:r w:rsidRPr="00A92931">
        <w:rPr>
          <w:rFonts w:cs="Arial"/>
          <w:kern w:val="28"/>
          <w:szCs w:val="24"/>
          <w:lang w:val="en-CA"/>
        </w:rPr>
        <w:t xml:space="preserve"> the appellant</w:t>
      </w:r>
      <w:r w:rsidR="00DF5F1E" w:rsidRPr="00A92931">
        <w:rPr>
          <w:rFonts w:cs="Arial"/>
          <w:kern w:val="28"/>
          <w:szCs w:val="24"/>
          <w:lang w:val="en-CA"/>
        </w:rPr>
        <w:t xml:space="preserve"> seeks</w:t>
      </w:r>
      <w:r w:rsidRPr="00A92931">
        <w:rPr>
          <w:rFonts w:cs="Arial"/>
          <w:kern w:val="28"/>
          <w:szCs w:val="24"/>
          <w:lang w:val="en-CA"/>
        </w:rPr>
        <w:t xml:space="preserve">. </w:t>
      </w:r>
      <w:r w:rsidR="00DF5F1E" w:rsidRPr="00A92931">
        <w:rPr>
          <w:rFonts w:cs="Arial"/>
          <w:kern w:val="28"/>
          <w:szCs w:val="24"/>
          <w:lang w:val="en-CA"/>
        </w:rPr>
        <w:t>A</w:t>
      </w:r>
      <w:r w:rsidRPr="00A92931">
        <w:rPr>
          <w:rFonts w:cs="Arial"/>
          <w:kern w:val="28"/>
          <w:szCs w:val="24"/>
          <w:lang w:val="en-CA"/>
        </w:rPr>
        <w:t xml:space="preserve">n individual </w:t>
      </w:r>
      <w:r w:rsidR="00771B8E" w:rsidRPr="00A92931">
        <w:rPr>
          <w:rFonts w:cs="Arial"/>
          <w:kern w:val="28"/>
          <w:szCs w:val="24"/>
          <w:lang w:val="en-CA"/>
        </w:rPr>
        <w:t>action</w:t>
      </w:r>
      <w:r w:rsidRPr="00A92931">
        <w:rPr>
          <w:rFonts w:cs="Arial"/>
          <w:kern w:val="28"/>
          <w:szCs w:val="24"/>
          <w:lang w:val="en-CA"/>
        </w:rPr>
        <w:t xml:space="preserve"> </w:t>
      </w:r>
      <w:r w:rsidR="004F001A" w:rsidRPr="00A92931">
        <w:rPr>
          <w:rFonts w:cs="Arial"/>
          <w:kern w:val="28"/>
          <w:szCs w:val="24"/>
          <w:lang w:val="en-CA"/>
        </w:rPr>
        <w:t>might</w:t>
      </w:r>
      <w:r w:rsidRPr="00A92931">
        <w:rPr>
          <w:rFonts w:cs="Arial"/>
          <w:kern w:val="28"/>
          <w:szCs w:val="24"/>
          <w:lang w:val="en-CA"/>
        </w:rPr>
        <w:t xml:space="preserve"> achieve the same ends. </w:t>
      </w:r>
      <w:r w:rsidR="00DF5F1E" w:rsidRPr="00A92931">
        <w:rPr>
          <w:rFonts w:cs="Arial"/>
          <w:kern w:val="28"/>
          <w:szCs w:val="24"/>
          <w:lang w:val="en-CA"/>
        </w:rPr>
        <w:t>Moreover</w:t>
      </w:r>
      <w:r w:rsidRPr="00A92931">
        <w:rPr>
          <w:rFonts w:cs="Arial"/>
          <w:kern w:val="28"/>
          <w:szCs w:val="24"/>
          <w:lang w:val="en-CA"/>
        </w:rPr>
        <w:t xml:space="preserve">, the dispute as initiated raises </w:t>
      </w:r>
      <w:r w:rsidR="00DF5F1E" w:rsidRPr="00A92931">
        <w:rPr>
          <w:rFonts w:cs="Arial"/>
          <w:kern w:val="28"/>
          <w:szCs w:val="24"/>
          <w:lang w:val="en-CA"/>
        </w:rPr>
        <w:t>issues</w:t>
      </w:r>
      <w:r w:rsidRPr="00A92931">
        <w:rPr>
          <w:rFonts w:cs="Arial"/>
          <w:kern w:val="28"/>
          <w:szCs w:val="24"/>
          <w:lang w:val="en-CA"/>
        </w:rPr>
        <w:t xml:space="preserve"> that do not fall within the </w:t>
      </w:r>
      <w:r w:rsidR="00F04E8D" w:rsidRPr="00A92931">
        <w:rPr>
          <w:rFonts w:cs="Arial"/>
          <w:kern w:val="28"/>
          <w:szCs w:val="24"/>
          <w:lang w:val="en-CA"/>
        </w:rPr>
        <w:t xml:space="preserve">authority </w:t>
      </w:r>
      <w:r w:rsidRPr="00A92931">
        <w:rPr>
          <w:rFonts w:cs="Arial"/>
          <w:kern w:val="28"/>
          <w:szCs w:val="24"/>
          <w:lang w:val="en-CA"/>
        </w:rPr>
        <w:t>of the courts. The State</w:t>
      </w:r>
      <w:r w:rsidR="00F04E8D" w:rsidRPr="00A92931">
        <w:rPr>
          <w:rFonts w:cs="Arial"/>
          <w:kern w:val="28"/>
          <w:szCs w:val="24"/>
          <w:lang w:val="en-CA"/>
        </w:rPr>
        <w:t>’s decision</w:t>
      </w:r>
      <w:r w:rsidRPr="00A92931">
        <w:rPr>
          <w:rFonts w:cs="Arial"/>
          <w:kern w:val="28"/>
          <w:szCs w:val="24"/>
          <w:lang w:val="en-CA"/>
        </w:rPr>
        <w:t xml:space="preserve"> to adopt certain measures or legislate in specific areas </w:t>
      </w:r>
      <w:r w:rsidR="008B2DA7" w:rsidRPr="00A92931">
        <w:rPr>
          <w:rFonts w:cs="Arial"/>
          <w:kern w:val="28"/>
          <w:szCs w:val="24"/>
          <w:lang w:val="en-CA"/>
        </w:rPr>
        <w:t>lies with</w:t>
      </w:r>
      <w:r w:rsidRPr="00A92931">
        <w:rPr>
          <w:rFonts w:cs="Arial"/>
          <w:kern w:val="28"/>
          <w:szCs w:val="24"/>
          <w:lang w:val="en-CA"/>
        </w:rPr>
        <w:t xml:space="preserve"> the legislative </w:t>
      </w:r>
      <w:r w:rsidR="008B2DA7" w:rsidRPr="00A92931">
        <w:rPr>
          <w:rFonts w:cs="Arial"/>
          <w:kern w:val="28"/>
          <w:szCs w:val="24"/>
          <w:lang w:val="en-CA"/>
        </w:rPr>
        <w:t>branch</w:t>
      </w:r>
      <w:r w:rsidRPr="00A92931">
        <w:rPr>
          <w:rFonts w:cs="Arial"/>
          <w:kern w:val="28"/>
          <w:szCs w:val="24"/>
          <w:lang w:val="en-CA"/>
        </w:rPr>
        <w:t xml:space="preserve"> and is beyond the </w:t>
      </w:r>
      <w:r w:rsidR="008B2DA7" w:rsidRPr="00A92931">
        <w:rPr>
          <w:rFonts w:cs="Arial"/>
          <w:kern w:val="28"/>
          <w:szCs w:val="24"/>
          <w:lang w:val="en-CA"/>
        </w:rPr>
        <w:t>scope</w:t>
      </w:r>
      <w:r w:rsidRPr="00A92931">
        <w:rPr>
          <w:rFonts w:cs="Arial"/>
          <w:kern w:val="28"/>
          <w:szCs w:val="24"/>
          <w:lang w:val="en-CA"/>
        </w:rPr>
        <w:t xml:space="preserve"> of the judicial </w:t>
      </w:r>
      <w:r w:rsidR="008B2DA7" w:rsidRPr="00A92931">
        <w:rPr>
          <w:rFonts w:cs="Arial"/>
          <w:kern w:val="28"/>
          <w:szCs w:val="24"/>
          <w:lang w:val="en-CA"/>
        </w:rPr>
        <w:t>branch</w:t>
      </w:r>
      <w:r w:rsidRPr="00A92931">
        <w:rPr>
          <w:rFonts w:cs="Arial"/>
          <w:kern w:val="28"/>
          <w:szCs w:val="24"/>
          <w:lang w:val="en-CA"/>
        </w:rPr>
        <w:t xml:space="preserve">. The </w:t>
      </w:r>
      <w:r w:rsidR="0060039F" w:rsidRPr="00A92931">
        <w:rPr>
          <w:rFonts w:cs="Arial"/>
          <w:kern w:val="28"/>
          <w:szCs w:val="24"/>
          <w:lang w:val="en-CA"/>
        </w:rPr>
        <w:t>class action</w:t>
      </w:r>
      <w:r w:rsidRPr="00A92931">
        <w:rPr>
          <w:rFonts w:cs="Arial"/>
          <w:kern w:val="28"/>
          <w:szCs w:val="24"/>
          <w:lang w:val="en-CA"/>
        </w:rPr>
        <w:t xml:space="preserve"> considered is therefore not </w:t>
      </w:r>
      <w:r w:rsidR="00966B97" w:rsidRPr="00A92931">
        <w:rPr>
          <w:rFonts w:cs="Arial"/>
          <w:kern w:val="28"/>
          <w:szCs w:val="24"/>
          <w:lang w:val="en-CA"/>
        </w:rPr>
        <w:t>justiciable</w:t>
      </w:r>
      <w:r w:rsidRPr="00A92931">
        <w:rPr>
          <w:rFonts w:cs="Arial"/>
          <w:kern w:val="28"/>
          <w:szCs w:val="24"/>
          <w:lang w:val="en-CA"/>
        </w:rPr>
        <w:t xml:space="preserve"> and should not be authorized. </w:t>
      </w:r>
    </w:p>
    <w:p w14:paraId="3C114438" w14:textId="77777777" w:rsidR="00236200" w:rsidRPr="00A92931" w:rsidRDefault="00AE0DE0" w:rsidP="001312CB">
      <w:pPr>
        <w:keepNext/>
        <w:keepLines/>
        <w:spacing w:after="240" w:line="240" w:lineRule="auto"/>
        <w:jc w:val="both"/>
        <w:rPr>
          <w:rFonts w:cs="Arial"/>
          <w:b/>
          <w:kern w:val="28"/>
          <w:szCs w:val="24"/>
          <w:lang w:val="en-CA"/>
        </w:rPr>
      </w:pPr>
      <w:r w:rsidRPr="00A92931">
        <w:rPr>
          <w:rFonts w:cs="Arial"/>
          <w:b/>
          <w:kern w:val="28"/>
          <w:szCs w:val="24"/>
          <w:lang w:val="en-CA"/>
        </w:rPr>
        <w:lastRenderedPageBreak/>
        <w:t>TRIAL JUDGMENT</w:t>
      </w:r>
    </w:p>
    <w:p w14:paraId="7D72FC25" w14:textId="13E9BAF5" w:rsidR="00236200" w:rsidRPr="00A92931" w:rsidRDefault="00AE0DE0" w:rsidP="001319FE">
      <w:pPr>
        <w:numPr>
          <w:ilvl w:val="0"/>
          <w:numId w:val="18"/>
        </w:numPr>
        <w:tabs>
          <w:tab w:val="clear" w:pos="720"/>
        </w:tabs>
        <w:spacing w:after="240" w:line="240" w:lineRule="auto"/>
        <w:jc w:val="both"/>
        <w:rPr>
          <w:rFonts w:cs="Arial"/>
          <w:kern w:val="28"/>
          <w:szCs w:val="24"/>
          <w:lang w:val="en-CA"/>
        </w:rPr>
      </w:pPr>
      <w:r w:rsidRPr="00A92931">
        <w:rPr>
          <w:rFonts w:cs="Arial"/>
          <w:kern w:val="28"/>
          <w:szCs w:val="24"/>
          <w:lang w:val="en-CA"/>
        </w:rPr>
        <w:t xml:space="preserve">After recalling the legal framework applicable to the authorization of a </w:t>
      </w:r>
      <w:r w:rsidR="0060039F" w:rsidRPr="00A92931">
        <w:rPr>
          <w:rFonts w:cs="Arial"/>
          <w:kern w:val="28"/>
          <w:szCs w:val="24"/>
          <w:lang w:val="en-CA"/>
        </w:rPr>
        <w:t>class action</w:t>
      </w:r>
      <w:r w:rsidRPr="00A92931">
        <w:rPr>
          <w:rFonts w:cs="Arial"/>
          <w:kern w:val="28"/>
          <w:szCs w:val="24"/>
          <w:lang w:val="en-CA"/>
        </w:rPr>
        <w:t xml:space="preserve">, the </w:t>
      </w:r>
      <w:r w:rsidR="00966B97" w:rsidRPr="00A92931">
        <w:rPr>
          <w:rFonts w:cs="Arial"/>
          <w:kern w:val="28"/>
          <w:szCs w:val="24"/>
          <w:lang w:val="en-CA"/>
        </w:rPr>
        <w:t>trial</w:t>
      </w:r>
      <w:r w:rsidRPr="00A92931">
        <w:rPr>
          <w:rFonts w:cs="Arial"/>
          <w:kern w:val="28"/>
          <w:szCs w:val="24"/>
          <w:lang w:val="en-CA"/>
        </w:rPr>
        <w:t xml:space="preserve"> judge briefly examine</w:t>
      </w:r>
      <w:r w:rsidR="00966B97" w:rsidRPr="00A92931">
        <w:rPr>
          <w:rFonts w:cs="Arial"/>
          <w:kern w:val="28"/>
          <w:szCs w:val="24"/>
          <w:lang w:val="en-CA"/>
        </w:rPr>
        <w:t>d</w:t>
      </w:r>
      <w:r w:rsidRPr="00A92931">
        <w:rPr>
          <w:rFonts w:cs="Arial"/>
          <w:kern w:val="28"/>
          <w:szCs w:val="24"/>
          <w:lang w:val="en-CA"/>
        </w:rPr>
        <w:t xml:space="preserve"> the arguments raised by the </w:t>
      </w:r>
      <w:r w:rsidR="00966B97" w:rsidRPr="00A92931">
        <w:rPr>
          <w:rFonts w:cs="Arial"/>
          <w:kern w:val="28"/>
          <w:szCs w:val="24"/>
          <w:lang w:val="en-CA"/>
        </w:rPr>
        <w:t>respondent</w:t>
      </w:r>
      <w:r w:rsidRPr="00A92931">
        <w:rPr>
          <w:rFonts w:cs="Arial"/>
          <w:kern w:val="28"/>
          <w:szCs w:val="24"/>
          <w:lang w:val="en-CA"/>
        </w:rPr>
        <w:t xml:space="preserve">. </w:t>
      </w:r>
    </w:p>
    <w:p w14:paraId="3F40158C" w14:textId="0E03C805"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He first addresse</w:t>
      </w:r>
      <w:r w:rsidR="00966B97" w:rsidRPr="00A92931">
        <w:rPr>
          <w:rFonts w:cs="Arial"/>
          <w:kern w:val="28"/>
          <w:szCs w:val="24"/>
          <w:lang w:val="en-CA"/>
        </w:rPr>
        <w:t>d</w:t>
      </w:r>
      <w:r w:rsidRPr="00A92931">
        <w:rPr>
          <w:rFonts w:cs="Arial"/>
          <w:kern w:val="28"/>
          <w:szCs w:val="24"/>
          <w:lang w:val="en-CA"/>
        </w:rPr>
        <w:t xml:space="preserve"> the nature of the action </w:t>
      </w:r>
      <w:r w:rsidR="00370F21">
        <w:rPr>
          <w:rFonts w:cs="Arial"/>
          <w:kern w:val="28"/>
          <w:szCs w:val="24"/>
          <w:lang w:val="en-CA"/>
        </w:rPr>
        <w:t>brought</w:t>
      </w:r>
      <w:r w:rsidRPr="00A92931">
        <w:rPr>
          <w:rFonts w:cs="Arial"/>
          <w:kern w:val="28"/>
          <w:szCs w:val="24"/>
          <w:lang w:val="en-CA"/>
        </w:rPr>
        <w:t>. He note</w:t>
      </w:r>
      <w:r w:rsidR="00966B97" w:rsidRPr="00A92931">
        <w:rPr>
          <w:rFonts w:cs="Arial"/>
          <w:kern w:val="28"/>
          <w:szCs w:val="24"/>
          <w:lang w:val="en-CA"/>
        </w:rPr>
        <w:t>d</w:t>
      </w:r>
      <w:r w:rsidRPr="00A92931">
        <w:rPr>
          <w:rFonts w:cs="Arial"/>
          <w:kern w:val="28"/>
          <w:szCs w:val="24"/>
          <w:lang w:val="en-CA"/>
        </w:rPr>
        <w:t xml:space="preserve"> that the </w:t>
      </w:r>
      <w:r w:rsidR="00A274D9" w:rsidRPr="00A92931">
        <w:rPr>
          <w:rFonts w:cs="Arial"/>
          <w:kern w:val="28"/>
          <w:szCs w:val="24"/>
          <w:lang w:val="en-CA"/>
        </w:rPr>
        <w:t xml:space="preserve">nature of the </w:t>
      </w:r>
      <w:r w:rsidR="00966B97" w:rsidRPr="00A92931">
        <w:rPr>
          <w:rFonts w:cs="Arial"/>
          <w:kern w:val="28"/>
          <w:szCs w:val="24"/>
          <w:lang w:val="en-CA"/>
        </w:rPr>
        <w:t xml:space="preserve">application was </w:t>
      </w:r>
      <w:r w:rsidRPr="00A92931">
        <w:rPr>
          <w:rFonts w:cs="Arial"/>
          <w:kern w:val="28"/>
          <w:szCs w:val="24"/>
          <w:lang w:val="en-CA"/>
        </w:rPr>
        <w:t xml:space="preserve">declaratory, since it </w:t>
      </w:r>
      <w:r w:rsidR="00966B97" w:rsidRPr="00A92931">
        <w:rPr>
          <w:rFonts w:cs="Arial"/>
          <w:kern w:val="28"/>
          <w:szCs w:val="24"/>
          <w:lang w:val="en-CA"/>
        </w:rPr>
        <w:t>sought</w:t>
      </w:r>
      <w:r w:rsidRPr="00A92931">
        <w:rPr>
          <w:rFonts w:cs="Arial"/>
          <w:kern w:val="28"/>
          <w:szCs w:val="24"/>
          <w:lang w:val="en-CA"/>
        </w:rPr>
        <w:t xml:space="preserve"> to have the </w:t>
      </w:r>
      <w:r w:rsidR="00DF5F1E" w:rsidRPr="00A92931">
        <w:rPr>
          <w:rFonts w:cs="Arial"/>
          <w:kern w:val="28"/>
          <w:szCs w:val="24"/>
          <w:lang w:val="en-CA"/>
        </w:rPr>
        <w:t>infringement</w:t>
      </w:r>
      <w:r w:rsidRPr="00A92931">
        <w:rPr>
          <w:rFonts w:cs="Arial"/>
          <w:kern w:val="28"/>
          <w:szCs w:val="24"/>
          <w:lang w:val="en-CA"/>
        </w:rPr>
        <w:t xml:space="preserve"> of </w:t>
      </w:r>
      <w:r w:rsidR="0060039F" w:rsidRPr="00A92931">
        <w:rPr>
          <w:rFonts w:cs="Arial"/>
          <w:kern w:val="28"/>
          <w:szCs w:val="24"/>
          <w:lang w:val="en-CA"/>
        </w:rPr>
        <w:t>Class</w:t>
      </w:r>
      <w:r w:rsidR="00F04E8D" w:rsidRPr="00A92931">
        <w:rPr>
          <w:rFonts w:cs="Arial"/>
          <w:kern w:val="28"/>
          <w:szCs w:val="24"/>
          <w:lang w:val="en-CA"/>
        </w:rPr>
        <w:t xml:space="preserve"> </w:t>
      </w:r>
      <w:r w:rsidRPr="00A92931">
        <w:rPr>
          <w:rFonts w:cs="Arial"/>
          <w:kern w:val="28"/>
          <w:szCs w:val="24"/>
          <w:lang w:val="en-CA"/>
        </w:rPr>
        <w:t xml:space="preserve">members’ rights recognized, and also </w:t>
      </w:r>
      <w:r w:rsidR="00F04E8D" w:rsidRPr="00A92931">
        <w:rPr>
          <w:rFonts w:cs="Arial"/>
          <w:kern w:val="28"/>
          <w:szCs w:val="24"/>
          <w:lang w:val="en-CA"/>
        </w:rPr>
        <w:t>[</w:t>
      </w:r>
      <w:r w:rsidR="00F04E8D" w:rsidRPr="00A92931">
        <w:rPr>
          <w:rFonts w:cs="Arial"/>
          <w:smallCaps/>
          <w:kern w:val="28"/>
          <w:szCs w:val="24"/>
          <w:lang w:val="en-CA"/>
        </w:rPr>
        <w:t>translation</w:t>
      </w:r>
      <w:r w:rsidR="00F04E8D" w:rsidRPr="00A92931">
        <w:rPr>
          <w:rFonts w:cs="Arial"/>
          <w:kern w:val="28"/>
          <w:szCs w:val="24"/>
          <w:lang w:val="en-CA"/>
        </w:rPr>
        <w:t>]</w:t>
      </w:r>
      <w:r w:rsidRPr="00A92931">
        <w:rPr>
          <w:rFonts w:cs="Arial"/>
          <w:kern w:val="28"/>
          <w:szCs w:val="24"/>
          <w:lang w:val="en-CA"/>
        </w:rPr>
        <w:t>"injunctive and deterrent", since it s</w:t>
      </w:r>
      <w:r w:rsidR="00A274D9" w:rsidRPr="00A92931">
        <w:rPr>
          <w:rFonts w:cs="Arial"/>
          <w:kern w:val="28"/>
          <w:szCs w:val="24"/>
          <w:lang w:val="en-CA"/>
        </w:rPr>
        <w:t xml:space="preserve">ought </w:t>
      </w:r>
      <w:r w:rsidRPr="00A92931">
        <w:rPr>
          <w:rFonts w:cs="Arial"/>
          <w:kern w:val="28"/>
          <w:szCs w:val="24"/>
          <w:lang w:val="en-CA"/>
        </w:rPr>
        <w:t xml:space="preserve">to end the </w:t>
      </w:r>
      <w:r w:rsidR="00DF5F1E" w:rsidRPr="00A92931">
        <w:rPr>
          <w:rFonts w:cs="Arial"/>
          <w:kern w:val="28"/>
          <w:szCs w:val="24"/>
          <w:lang w:val="en-CA"/>
        </w:rPr>
        <w:t>infringement</w:t>
      </w:r>
      <w:r w:rsidRPr="00A92931">
        <w:rPr>
          <w:rFonts w:cs="Arial"/>
          <w:kern w:val="28"/>
          <w:szCs w:val="24"/>
          <w:lang w:val="en-CA"/>
        </w:rPr>
        <w:t xml:space="preserve"> and obtain punitive damages or an order in lieu thereof.</w:t>
      </w:r>
    </w:p>
    <w:p w14:paraId="18876A50" w14:textId="3AE8CF2C"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He </w:t>
      </w:r>
      <w:r w:rsidR="00A9119E" w:rsidRPr="00A92931">
        <w:rPr>
          <w:rFonts w:cs="Arial"/>
          <w:kern w:val="28"/>
          <w:szCs w:val="24"/>
          <w:lang w:val="en-CA"/>
        </w:rPr>
        <w:t>was of the view</w:t>
      </w:r>
      <w:r w:rsidRPr="00A92931">
        <w:rPr>
          <w:rFonts w:cs="Arial"/>
          <w:kern w:val="28"/>
          <w:szCs w:val="24"/>
          <w:lang w:val="en-CA"/>
        </w:rPr>
        <w:t xml:space="preserve">, without much conviction, that the </w:t>
      </w:r>
      <w:r w:rsidR="00A9119E" w:rsidRPr="00A92931">
        <w:rPr>
          <w:rFonts w:cs="Arial"/>
          <w:kern w:val="28"/>
          <w:szCs w:val="24"/>
          <w:lang w:val="en-CA"/>
        </w:rPr>
        <w:t xml:space="preserve">application could be considered </w:t>
      </w:r>
      <w:r w:rsidR="00E6035E">
        <w:rPr>
          <w:rFonts w:cs="Arial"/>
          <w:kern w:val="28"/>
          <w:szCs w:val="24"/>
          <w:lang w:val="en-CA"/>
        </w:rPr>
        <w:t>justiciable</w:t>
      </w:r>
      <w:r w:rsidRPr="00A92931">
        <w:rPr>
          <w:rFonts w:cs="Arial"/>
          <w:kern w:val="28"/>
          <w:szCs w:val="24"/>
          <w:lang w:val="en-CA"/>
        </w:rPr>
        <w:t xml:space="preserve"> at this preliminary </w:t>
      </w:r>
      <w:r w:rsidR="00A9119E" w:rsidRPr="00A92931">
        <w:rPr>
          <w:rFonts w:cs="Arial"/>
          <w:kern w:val="28"/>
          <w:szCs w:val="24"/>
          <w:lang w:val="en-CA"/>
        </w:rPr>
        <w:t>stage</w:t>
      </w:r>
      <w:r w:rsidRPr="00A92931">
        <w:rPr>
          <w:rFonts w:cs="Arial"/>
          <w:kern w:val="28"/>
          <w:szCs w:val="24"/>
          <w:lang w:val="en-CA"/>
        </w:rPr>
        <w:t>.</w:t>
      </w:r>
      <w:r w:rsidRPr="00A92931">
        <w:rPr>
          <w:lang w:val="en-CA"/>
        </w:rPr>
        <w:t xml:space="preserve"> </w:t>
      </w:r>
      <w:r w:rsidRPr="00A92931">
        <w:rPr>
          <w:rFonts w:cs="Arial"/>
          <w:kern w:val="28"/>
          <w:szCs w:val="24"/>
          <w:lang w:val="en-CA"/>
        </w:rPr>
        <w:t xml:space="preserve">Although courts should not intervene to control the exercise of </w:t>
      </w:r>
      <w:r w:rsidR="000356F5" w:rsidRPr="00A92931">
        <w:rPr>
          <w:rFonts w:cs="Arial"/>
          <w:kern w:val="28"/>
          <w:szCs w:val="24"/>
          <w:lang w:val="en-CA"/>
        </w:rPr>
        <w:t xml:space="preserve">the </w:t>
      </w:r>
      <w:r w:rsidR="00E16BB4" w:rsidRPr="00A92931">
        <w:rPr>
          <w:rFonts w:cs="Arial"/>
          <w:kern w:val="28"/>
          <w:szCs w:val="24"/>
          <w:lang w:val="en-CA"/>
        </w:rPr>
        <w:t>s</w:t>
      </w:r>
      <w:r w:rsidRPr="00A92931">
        <w:rPr>
          <w:rFonts w:cs="Arial"/>
          <w:kern w:val="28"/>
          <w:szCs w:val="24"/>
          <w:lang w:val="en-CA"/>
        </w:rPr>
        <w:t xml:space="preserve">tate's legislative power, they </w:t>
      </w:r>
      <w:r w:rsidR="00A9119E" w:rsidRPr="00A92931">
        <w:rPr>
          <w:rFonts w:cs="Arial"/>
          <w:kern w:val="28"/>
          <w:szCs w:val="24"/>
          <w:lang w:val="en-CA"/>
        </w:rPr>
        <w:t xml:space="preserve">retain jurisdiction when </w:t>
      </w:r>
      <w:r w:rsidR="00886E74" w:rsidRPr="00A92931">
        <w:rPr>
          <w:rFonts w:cs="Arial"/>
          <w:kern w:val="28"/>
          <w:szCs w:val="24"/>
          <w:lang w:val="en-CA"/>
        </w:rPr>
        <w:t xml:space="preserve">a proceeding claims </w:t>
      </w:r>
      <w:r w:rsidRPr="00A92931">
        <w:rPr>
          <w:rFonts w:cs="Arial"/>
          <w:kern w:val="28"/>
          <w:szCs w:val="24"/>
          <w:lang w:val="en-CA"/>
        </w:rPr>
        <w:t xml:space="preserve">that </w:t>
      </w:r>
      <w:r w:rsidR="00886E74" w:rsidRPr="00A92931">
        <w:rPr>
          <w:rFonts w:cs="Arial"/>
          <w:kern w:val="28"/>
          <w:szCs w:val="24"/>
          <w:lang w:val="en-CA"/>
        </w:rPr>
        <w:t xml:space="preserve">the </w:t>
      </w:r>
      <w:r w:rsidR="008A0338" w:rsidRPr="00A92931">
        <w:rPr>
          <w:rFonts w:cs="Arial"/>
          <w:kern w:val="28"/>
          <w:szCs w:val="24"/>
          <w:lang w:val="en-CA"/>
        </w:rPr>
        <w:t>S</w:t>
      </w:r>
      <w:r w:rsidR="00886E74" w:rsidRPr="00A92931">
        <w:rPr>
          <w:rFonts w:cs="Arial"/>
          <w:kern w:val="28"/>
          <w:szCs w:val="24"/>
          <w:lang w:val="en-CA"/>
        </w:rPr>
        <w:t xml:space="preserve">tate’s </w:t>
      </w:r>
      <w:r w:rsidRPr="00A92931">
        <w:rPr>
          <w:rFonts w:cs="Arial"/>
          <w:kern w:val="28"/>
          <w:szCs w:val="24"/>
          <w:lang w:val="en-CA"/>
        </w:rPr>
        <w:t>action or, here, inaction</w:t>
      </w:r>
      <w:r w:rsidR="00886E74" w:rsidRPr="00A92931">
        <w:rPr>
          <w:rFonts w:cs="Arial"/>
          <w:kern w:val="28"/>
          <w:szCs w:val="24"/>
          <w:lang w:val="en-CA"/>
        </w:rPr>
        <w:t xml:space="preserve">, </w:t>
      </w:r>
      <w:r w:rsidR="00A9119E" w:rsidRPr="00A92931">
        <w:rPr>
          <w:rFonts w:cs="Arial"/>
          <w:kern w:val="28"/>
          <w:szCs w:val="24"/>
          <w:lang w:val="en-CA"/>
        </w:rPr>
        <w:t xml:space="preserve">infringes </w:t>
      </w:r>
      <w:r w:rsidRPr="00A92931">
        <w:rPr>
          <w:rFonts w:cs="Arial"/>
          <w:kern w:val="28"/>
          <w:szCs w:val="24"/>
          <w:lang w:val="en-CA"/>
        </w:rPr>
        <w:t xml:space="preserve">rights guaranteed by the </w:t>
      </w:r>
      <w:r w:rsidRPr="00A92931">
        <w:rPr>
          <w:rFonts w:cs="Arial"/>
          <w:i/>
          <w:iCs/>
          <w:kern w:val="28"/>
          <w:szCs w:val="24"/>
          <w:lang w:val="en-CA"/>
        </w:rPr>
        <w:t>Canadian Charter</w:t>
      </w:r>
      <w:r w:rsidRPr="00A92931">
        <w:rPr>
          <w:rFonts w:cs="Arial"/>
          <w:kern w:val="28"/>
          <w:szCs w:val="24"/>
          <w:lang w:val="en-CA"/>
        </w:rPr>
        <w:t>.</w:t>
      </w:r>
      <w:r w:rsidR="00451737" w:rsidRPr="00A92931">
        <w:rPr>
          <w:rFonts w:cs="Arial"/>
          <w:kern w:val="28"/>
          <w:szCs w:val="24"/>
          <w:vertAlign w:val="superscript"/>
          <w:lang w:val="en-CA"/>
        </w:rPr>
        <w:footnoteReference w:id="4"/>
      </w:r>
    </w:p>
    <w:p w14:paraId="1E06395C" w14:textId="1D3B8E79"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Relying on the </w:t>
      </w:r>
      <w:r w:rsidR="00B27BD5" w:rsidRPr="00A92931">
        <w:rPr>
          <w:rFonts w:cs="Arial"/>
          <w:i/>
          <w:iCs/>
          <w:kern w:val="28"/>
          <w:szCs w:val="24"/>
          <w:lang w:val="en-CA"/>
        </w:rPr>
        <w:t>Crown Liability and Proceedings Act</w:t>
      </w:r>
      <w:r w:rsidRPr="00A92931">
        <w:rPr>
          <w:rFonts w:cs="Arial"/>
          <w:kern w:val="28"/>
          <w:szCs w:val="24"/>
          <w:lang w:val="en-CA"/>
        </w:rPr>
        <w:t>,</w:t>
      </w:r>
      <w:r w:rsidR="00B27BD5" w:rsidRPr="00A92931">
        <w:rPr>
          <w:rFonts w:cs="Arial"/>
          <w:kern w:val="28"/>
          <w:szCs w:val="24"/>
          <w:vertAlign w:val="superscript"/>
          <w:lang w:val="en-CA"/>
        </w:rPr>
        <w:footnoteReference w:id="5"/>
      </w:r>
      <w:r w:rsidRPr="00A92931">
        <w:rPr>
          <w:rFonts w:cs="Arial"/>
          <w:kern w:val="28"/>
          <w:szCs w:val="24"/>
          <w:lang w:val="en-CA"/>
        </w:rPr>
        <w:t xml:space="preserve"> the judge add</w:t>
      </w:r>
      <w:r w:rsidR="00B27BD5" w:rsidRPr="00A92931">
        <w:rPr>
          <w:rFonts w:cs="Arial"/>
          <w:kern w:val="28"/>
          <w:szCs w:val="24"/>
          <w:lang w:val="en-CA"/>
        </w:rPr>
        <w:t>ed</w:t>
      </w:r>
      <w:r w:rsidRPr="00A92931">
        <w:rPr>
          <w:rFonts w:cs="Arial"/>
          <w:kern w:val="28"/>
          <w:szCs w:val="24"/>
          <w:lang w:val="en-CA"/>
        </w:rPr>
        <w:t xml:space="preserve"> that </w:t>
      </w:r>
      <w:r w:rsidR="00E6035E">
        <w:rPr>
          <w:rFonts w:cs="Arial"/>
          <w:kern w:val="28"/>
          <w:szCs w:val="24"/>
          <w:lang w:val="en-CA"/>
        </w:rPr>
        <w:t>the</w:t>
      </w:r>
      <w:r w:rsidRPr="00A92931">
        <w:rPr>
          <w:rFonts w:cs="Arial"/>
          <w:kern w:val="28"/>
          <w:szCs w:val="24"/>
          <w:lang w:val="en-CA"/>
        </w:rPr>
        <w:t xml:space="preserve"> claim based on the </w:t>
      </w:r>
      <w:r w:rsidRPr="006E7D06">
        <w:rPr>
          <w:rFonts w:cs="Arial"/>
          <w:i/>
          <w:iCs/>
          <w:kern w:val="28"/>
          <w:szCs w:val="24"/>
          <w:lang w:val="en-CA"/>
        </w:rPr>
        <w:t>Quebec</w:t>
      </w:r>
      <w:r w:rsidRPr="00A92931">
        <w:rPr>
          <w:rFonts w:cs="Arial"/>
          <w:i/>
          <w:iCs/>
          <w:kern w:val="28"/>
          <w:szCs w:val="24"/>
          <w:lang w:val="en-CA"/>
        </w:rPr>
        <w:t xml:space="preserve"> Charter</w:t>
      </w:r>
      <w:r w:rsidR="00B27BD5" w:rsidRPr="00A92931">
        <w:rPr>
          <w:rFonts w:cs="Arial"/>
          <w:iCs/>
          <w:kern w:val="28"/>
          <w:szCs w:val="24"/>
          <w:vertAlign w:val="superscript"/>
          <w:lang w:val="en-CA"/>
        </w:rPr>
        <w:footnoteReference w:id="6"/>
      </w:r>
      <w:r w:rsidR="00B27BD5" w:rsidRPr="00A92931">
        <w:rPr>
          <w:lang w:val="en-CA"/>
        </w:rPr>
        <w:t xml:space="preserve"> </w:t>
      </w:r>
      <w:r w:rsidRPr="00A92931">
        <w:rPr>
          <w:rFonts w:cs="Arial"/>
          <w:kern w:val="28"/>
          <w:szCs w:val="24"/>
          <w:lang w:val="en-CA"/>
        </w:rPr>
        <w:t xml:space="preserve">is also </w:t>
      </w:r>
      <w:r w:rsidR="00713866" w:rsidRPr="00A92931">
        <w:rPr>
          <w:rFonts w:cs="Arial"/>
          <w:kern w:val="28"/>
          <w:szCs w:val="24"/>
          <w:lang w:val="en-CA"/>
        </w:rPr>
        <w:t>justiciable</w:t>
      </w:r>
      <w:r w:rsidRPr="00A92931">
        <w:rPr>
          <w:rFonts w:cs="Arial"/>
          <w:kern w:val="28"/>
          <w:szCs w:val="24"/>
          <w:lang w:val="en-CA"/>
        </w:rPr>
        <w:t xml:space="preserve"> and could give rise to punitive damages in the circumstances. </w:t>
      </w:r>
    </w:p>
    <w:p w14:paraId="6FD33E09" w14:textId="3E9A2341" w:rsidR="00236200" w:rsidRPr="00A92931" w:rsidRDefault="00311CA8"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Without specifically addressing all the criteria set out in </w:t>
      </w:r>
      <w:r w:rsidR="00B27BD5" w:rsidRPr="00A92931">
        <w:rPr>
          <w:rFonts w:cs="Arial"/>
          <w:kern w:val="28"/>
          <w:szCs w:val="24"/>
          <w:lang w:val="en-CA"/>
        </w:rPr>
        <w:t>a</w:t>
      </w:r>
      <w:r w:rsidRPr="00A92931">
        <w:rPr>
          <w:rFonts w:cs="Arial"/>
          <w:kern w:val="28"/>
          <w:szCs w:val="24"/>
          <w:lang w:val="en-CA"/>
        </w:rPr>
        <w:t xml:space="preserve">rticle 575 of the </w:t>
      </w:r>
      <w:r w:rsidRPr="00A92931">
        <w:rPr>
          <w:rFonts w:cs="Arial"/>
          <w:i/>
          <w:iCs/>
          <w:kern w:val="28"/>
          <w:szCs w:val="24"/>
          <w:lang w:val="en-CA"/>
        </w:rPr>
        <w:t>Code of Civil Procedure</w:t>
      </w:r>
      <w:r w:rsidRPr="00A92931">
        <w:rPr>
          <w:rFonts w:cs="Arial"/>
          <w:kern w:val="28"/>
          <w:szCs w:val="24"/>
          <w:lang w:val="en-CA"/>
        </w:rPr>
        <w:t xml:space="preserve">, the judge </w:t>
      </w:r>
      <w:r w:rsidR="00B27BD5" w:rsidRPr="00A92931">
        <w:rPr>
          <w:rFonts w:cs="Arial"/>
          <w:kern w:val="28"/>
          <w:szCs w:val="24"/>
          <w:lang w:val="en-CA"/>
        </w:rPr>
        <w:t>dismissed the application</w:t>
      </w:r>
      <w:r w:rsidRPr="00A92931">
        <w:rPr>
          <w:rFonts w:cs="Arial"/>
          <w:kern w:val="28"/>
          <w:szCs w:val="24"/>
          <w:lang w:val="en-CA"/>
        </w:rPr>
        <w:t xml:space="preserve"> for authorization, considering the proposed </w:t>
      </w:r>
      <w:r w:rsidR="0060039F" w:rsidRPr="00A92931">
        <w:rPr>
          <w:rFonts w:cs="Arial"/>
          <w:kern w:val="28"/>
          <w:szCs w:val="24"/>
          <w:lang w:val="en-CA"/>
        </w:rPr>
        <w:t>class</w:t>
      </w:r>
      <w:r w:rsidRPr="00A92931">
        <w:rPr>
          <w:rFonts w:cs="Arial"/>
          <w:kern w:val="28"/>
          <w:szCs w:val="24"/>
          <w:lang w:val="en-CA"/>
        </w:rPr>
        <w:t xml:space="preserve"> to be both arbitrary and </w:t>
      </w:r>
      <w:r w:rsidR="006B1824" w:rsidRPr="00A92931">
        <w:rPr>
          <w:rFonts w:cs="Arial"/>
          <w:kern w:val="28"/>
          <w:szCs w:val="24"/>
          <w:lang w:val="en-CA"/>
        </w:rPr>
        <w:t xml:space="preserve">not </w:t>
      </w:r>
      <w:r w:rsidRPr="00A92931">
        <w:rPr>
          <w:rFonts w:cs="Arial"/>
          <w:kern w:val="28"/>
          <w:szCs w:val="24"/>
          <w:lang w:val="en-CA"/>
        </w:rPr>
        <w:t>rational.</w:t>
      </w:r>
      <w:r w:rsidR="00AE0DE0" w:rsidRPr="00A92931">
        <w:rPr>
          <w:rFonts w:cs="Arial"/>
          <w:kern w:val="28"/>
          <w:szCs w:val="24"/>
          <w:lang w:val="en-CA"/>
        </w:rPr>
        <w:t xml:space="preserve"> In his view, </w:t>
      </w:r>
      <w:r w:rsidR="00E6035E">
        <w:rPr>
          <w:rFonts w:cs="Arial"/>
          <w:kern w:val="28"/>
          <w:szCs w:val="24"/>
          <w:lang w:val="en-CA"/>
        </w:rPr>
        <w:t>given</w:t>
      </w:r>
      <w:r w:rsidR="00AE0DE0" w:rsidRPr="00A92931">
        <w:rPr>
          <w:rFonts w:cs="Arial"/>
          <w:kern w:val="28"/>
          <w:szCs w:val="24"/>
          <w:lang w:val="en-CA"/>
        </w:rPr>
        <w:t xml:space="preserve"> </w:t>
      </w:r>
      <w:r w:rsidR="00713866" w:rsidRPr="00A92931">
        <w:rPr>
          <w:rFonts w:cs="Arial"/>
          <w:kern w:val="28"/>
          <w:szCs w:val="24"/>
          <w:lang w:val="en-CA"/>
        </w:rPr>
        <w:t>the allegations</w:t>
      </w:r>
      <w:r w:rsidR="00AE0DE0" w:rsidRPr="00A92931">
        <w:rPr>
          <w:rFonts w:cs="Arial"/>
          <w:kern w:val="28"/>
          <w:szCs w:val="24"/>
          <w:lang w:val="en-CA"/>
        </w:rPr>
        <w:t xml:space="preserve"> against the respondent, there </w:t>
      </w:r>
      <w:r w:rsidR="00713866" w:rsidRPr="00A92931">
        <w:rPr>
          <w:rFonts w:cs="Arial"/>
          <w:kern w:val="28"/>
          <w:szCs w:val="24"/>
          <w:lang w:val="en-CA"/>
        </w:rPr>
        <w:t>was</w:t>
      </w:r>
      <w:r w:rsidR="00AE0DE0" w:rsidRPr="00A92931">
        <w:rPr>
          <w:rFonts w:cs="Arial"/>
          <w:kern w:val="28"/>
          <w:szCs w:val="24"/>
          <w:lang w:val="en-CA"/>
        </w:rPr>
        <w:t xml:space="preserve"> no justification for limiting the </w:t>
      </w:r>
      <w:r w:rsidR="0060039F" w:rsidRPr="00A92931">
        <w:rPr>
          <w:rFonts w:cs="Arial"/>
          <w:kern w:val="28"/>
          <w:szCs w:val="24"/>
          <w:lang w:val="en-CA"/>
        </w:rPr>
        <w:t>Class</w:t>
      </w:r>
      <w:r w:rsidR="00AE0DE0" w:rsidRPr="00A92931">
        <w:rPr>
          <w:rFonts w:cs="Arial"/>
          <w:kern w:val="28"/>
          <w:szCs w:val="24"/>
          <w:lang w:val="en-CA"/>
        </w:rPr>
        <w:t xml:space="preserve"> strictly to residents of Quebec under 35 years of age and excluding other residents of the province, as they too will suffer potential repercussions from climate change. The facts </w:t>
      </w:r>
      <w:r w:rsidR="00713866" w:rsidRPr="00A92931">
        <w:rPr>
          <w:rFonts w:cs="Arial"/>
          <w:kern w:val="28"/>
          <w:szCs w:val="24"/>
          <w:lang w:val="en-CA"/>
        </w:rPr>
        <w:t xml:space="preserve">alleged </w:t>
      </w:r>
      <w:r w:rsidR="00AE0DE0" w:rsidRPr="00A92931">
        <w:rPr>
          <w:rFonts w:cs="Arial"/>
          <w:kern w:val="28"/>
          <w:szCs w:val="24"/>
          <w:lang w:val="en-CA"/>
        </w:rPr>
        <w:t xml:space="preserve">do not </w:t>
      </w:r>
      <w:r w:rsidR="00713866" w:rsidRPr="00A92931">
        <w:rPr>
          <w:rFonts w:cs="Arial"/>
          <w:kern w:val="28"/>
          <w:szCs w:val="24"/>
          <w:lang w:val="en-CA"/>
        </w:rPr>
        <w:t>justify</w:t>
      </w:r>
      <w:r w:rsidR="00AE0DE0" w:rsidRPr="00A92931">
        <w:rPr>
          <w:rFonts w:cs="Arial"/>
          <w:kern w:val="28"/>
          <w:szCs w:val="24"/>
          <w:lang w:val="en-CA"/>
        </w:rPr>
        <w:t xml:space="preserve"> setting an age limit at 35 rather than 25 or 60, for example. The judge add</w:t>
      </w:r>
      <w:r w:rsidR="00713866" w:rsidRPr="00A92931">
        <w:rPr>
          <w:rFonts w:cs="Arial"/>
          <w:kern w:val="28"/>
          <w:szCs w:val="24"/>
          <w:lang w:val="en-CA"/>
        </w:rPr>
        <w:t>ed</w:t>
      </w:r>
      <w:r w:rsidR="00AE0DE0" w:rsidRPr="00A92931">
        <w:rPr>
          <w:rFonts w:cs="Arial"/>
          <w:kern w:val="28"/>
          <w:szCs w:val="24"/>
          <w:lang w:val="en-CA"/>
        </w:rPr>
        <w:t xml:space="preserve"> that the proposed </w:t>
      </w:r>
      <w:r w:rsidR="0060039F" w:rsidRPr="00A92931">
        <w:rPr>
          <w:rFonts w:cs="Arial"/>
          <w:kern w:val="28"/>
          <w:szCs w:val="24"/>
          <w:lang w:val="en-CA"/>
        </w:rPr>
        <w:t>class</w:t>
      </w:r>
      <w:r w:rsidR="00AE0DE0" w:rsidRPr="00A92931">
        <w:rPr>
          <w:rFonts w:cs="Arial"/>
          <w:kern w:val="28"/>
          <w:szCs w:val="24"/>
          <w:lang w:val="en-CA"/>
        </w:rPr>
        <w:t xml:space="preserve"> c</w:t>
      </w:r>
      <w:r w:rsidR="006B1824" w:rsidRPr="00A92931">
        <w:rPr>
          <w:rFonts w:cs="Arial"/>
          <w:kern w:val="28"/>
          <w:szCs w:val="24"/>
          <w:lang w:val="en-CA"/>
        </w:rPr>
        <w:t xml:space="preserve">ould </w:t>
      </w:r>
      <w:r w:rsidR="00AE0DE0" w:rsidRPr="00A92931">
        <w:rPr>
          <w:rFonts w:cs="Arial"/>
          <w:kern w:val="28"/>
          <w:szCs w:val="24"/>
          <w:lang w:val="en-CA"/>
        </w:rPr>
        <w:t xml:space="preserve">not include minors, since they </w:t>
      </w:r>
      <w:r w:rsidR="006B1824" w:rsidRPr="00A92931">
        <w:rPr>
          <w:rFonts w:cs="Arial"/>
          <w:kern w:val="28"/>
          <w:szCs w:val="24"/>
          <w:lang w:val="en-CA"/>
        </w:rPr>
        <w:t>are</w:t>
      </w:r>
      <w:r w:rsidR="00451737" w:rsidRPr="00A92931">
        <w:rPr>
          <w:rFonts w:cs="Arial"/>
          <w:kern w:val="28"/>
          <w:szCs w:val="24"/>
          <w:lang w:val="en-CA"/>
        </w:rPr>
        <w:t xml:space="preserve"> not of</w:t>
      </w:r>
      <w:r w:rsidR="00AE0DE0" w:rsidRPr="00A92931">
        <w:rPr>
          <w:rFonts w:cs="Arial"/>
          <w:kern w:val="28"/>
          <w:szCs w:val="24"/>
          <w:lang w:val="en-CA"/>
        </w:rPr>
        <w:t xml:space="preserve"> legal age to fully exercise their civil rights and nothing authorize</w:t>
      </w:r>
      <w:r w:rsidR="006B1824" w:rsidRPr="00A92931">
        <w:rPr>
          <w:rFonts w:cs="Arial"/>
          <w:kern w:val="28"/>
          <w:szCs w:val="24"/>
          <w:lang w:val="en-CA"/>
        </w:rPr>
        <w:t>d</w:t>
      </w:r>
      <w:r w:rsidR="00AE0DE0" w:rsidRPr="00A92931">
        <w:rPr>
          <w:rFonts w:cs="Arial"/>
          <w:kern w:val="28"/>
          <w:szCs w:val="24"/>
          <w:lang w:val="en-CA"/>
        </w:rPr>
        <w:t xml:space="preserve"> the appellant to represent them. Exercising his discretion, the judge concluded that it is impossible to define a </w:t>
      </w:r>
      <w:r w:rsidR="001327C4" w:rsidRPr="00A92931">
        <w:rPr>
          <w:rFonts w:cs="Arial"/>
          <w:kern w:val="28"/>
          <w:szCs w:val="24"/>
          <w:lang w:val="en-CA"/>
        </w:rPr>
        <w:t>[</w:t>
      </w:r>
      <w:r w:rsidR="001327C4" w:rsidRPr="00A92931">
        <w:rPr>
          <w:rFonts w:cs="Arial"/>
          <w:smallCaps/>
          <w:kern w:val="28"/>
          <w:szCs w:val="24"/>
          <w:lang w:val="en-CA"/>
        </w:rPr>
        <w:t>translation</w:t>
      </w:r>
      <w:r w:rsidR="001327C4" w:rsidRPr="00A92931">
        <w:rPr>
          <w:rFonts w:cs="Arial"/>
          <w:kern w:val="28"/>
          <w:szCs w:val="24"/>
          <w:lang w:val="en-CA"/>
        </w:rPr>
        <w:t xml:space="preserve">] </w:t>
      </w:r>
      <w:r w:rsidR="00713866" w:rsidRPr="00A92931">
        <w:rPr>
          <w:rFonts w:cs="Arial"/>
          <w:kern w:val="28"/>
          <w:szCs w:val="24"/>
          <w:lang w:val="en-CA"/>
        </w:rPr>
        <w:t>“</w:t>
      </w:r>
      <w:r w:rsidR="0060039F" w:rsidRPr="00A92931">
        <w:rPr>
          <w:rFonts w:cs="Arial"/>
          <w:kern w:val="28"/>
          <w:szCs w:val="24"/>
          <w:lang w:val="en-CA"/>
        </w:rPr>
        <w:t>class</w:t>
      </w:r>
      <w:r w:rsidR="00AE0DE0" w:rsidRPr="00A92931">
        <w:rPr>
          <w:rFonts w:cs="Arial"/>
          <w:kern w:val="28"/>
          <w:szCs w:val="24"/>
          <w:lang w:val="en-CA"/>
        </w:rPr>
        <w:t xml:space="preserve"> that could reconcile efficiency and fairness in an objective and rational manner</w:t>
      </w:r>
      <w:r w:rsidR="00713866" w:rsidRPr="00A92931">
        <w:rPr>
          <w:rFonts w:cs="Arial"/>
          <w:kern w:val="28"/>
          <w:szCs w:val="24"/>
          <w:lang w:val="en-CA"/>
        </w:rPr>
        <w:t>”.</w:t>
      </w:r>
      <w:r w:rsidR="00AE0DE0" w:rsidRPr="00A92931">
        <w:rPr>
          <w:rFonts w:cs="Arial"/>
          <w:kern w:val="28"/>
          <w:szCs w:val="24"/>
          <w:lang w:val="en-CA"/>
        </w:rPr>
        <w:t xml:space="preserve"> </w:t>
      </w:r>
      <w:r w:rsidR="00713866" w:rsidRPr="00A92931">
        <w:rPr>
          <w:rFonts w:cs="Arial"/>
          <w:kern w:val="28"/>
          <w:szCs w:val="24"/>
          <w:lang w:val="en-CA"/>
        </w:rPr>
        <w:t>In short</w:t>
      </w:r>
      <w:r w:rsidR="00AE0DE0" w:rsidRPr="00A92931">
        <w:rPr>
          <w:rFonts w:cs="Arial"/>
          <w:kern w:val="28"/>
          <w:szCs w:val="24"/>
          <w:lang w:val="en-CA"/>
        </w:rPr>
        <w:t xml:space="preserve">, </w:t>
      </w:r>
      <w:r w:rsidR="00656150" w:rsidRPr="00A92931">
        <w:rPr>
          <w:rFonts w:cs="Arial"/>
          <w:kern w:val="28"/>
          <w:szCs w:val="24"/>
          <w:lang w:val="en-CA"/>
        </w:rPr>
        <w:t>given</w:t>
      </w:r>
      <w:r w:rsidR="00AE0DE0" w:rsidRPr="00A92931">
        <w:rPr>
          <w:rFonts w:cs="Arial"/>
          <w:kern w:val="28"/>
          <w:szCs w:val="24"/>
          <w:lang w:val="en-CA"/>
        </w:rPr>
        <w:t xml:space="preserve"> the conclusions</w:t>
      </w:r>
      <w:r w:rsidR="00D93193" w:rsidRPr="00A92931">
        <w:rPr>
          <w:rFonts w:cs="Arial"/>
          <w:kern w:val="28"/>
          <w:szCs w:val="24"/>
          <w:lang w:val="en-CA"/>
        </w:rPr>
        <w:t xml:space="preserve"> sought</w:t>
      </w:r>
      <w:r w:rsidR="00AE0DE0" w:rsidRPr="00A92931">
        <w:rPr>
          <w:rFonts w:cs="Arial"/>
          <w:kern w:val="28"/>
          <w:szCs w:val="24"/>
          <w:lang w:val="en-CA"/>
        </w:rPr>
        <w:t>,</w:t>
      </w:r>
      <w:r w:rsidR="00656150" w:rsidRPr="00A92931">
        <w:rPr>
          <w:rFonts w:cs="Arial"/>
          <w:kern w:val="28"/>
          <w:szCs w:val="24"/>
          <w:lang w:val="en-CA"/>
        </w:rPr>
        <w:t xml:space="preserve"> the vehicle of a class action is </w:t>
      </w:r>
      <w:r w:rsidR="008F33C5" w:rsidRPr="00A92931">
        <w:rPr>
          <w:rFonts w:cs="Arial"/>
          <w:kern w:val="28"/>
          <w:szCs w:val="24"/>
          <w:lang w:val="en-CA"/>
        </w:rPr>
        <w:t>in</w:t>
      </w:r>
      <w:r w:rsidR="00D93193" w:rsidRPr="00A92931">
        <w:rPr>
          <w:rFonts w:cs="Arial"/>
          <w:kern w:val="28"/>
          <w:szCs w:val="24"/>
          <w:lang w:val="en-CA"/>
        </w:rPr>
        <w:t>effective here</w:t>
      </w:r>
      <w:r w:rsidR="00AE0DE0" w:rsidRPr="00A92931">
        <w:rPr>
          <w:rFonts w:cs="Arial"/>
          <w:kern w:val="28"/>
          <w:szCs w:val="24"/>
          <w:lang w:val="en-CA"/>
        </w:rPr>
        <w:t>.</w:t>
      </w:r>
    </w:p>
    <w:p w14:paraId="15FFC147" w14:textId="77777777" w:rsidR="00236200" w:rsidRPr="00A92931" w:rsidRDefault="00AE0DE0" w:rsidP="00A1546E">
      <w:pPr>
        <w:keepNext/>
        <w:keepLines/>
        <w:spacing w:after="240" w:line="240" w:lineRule="auto"/>
        <w:jc w:val="both"/>
        <w:rPr>
          <w:rFonts w:cs="Arial"/>
          <w:b/>
          <w:kern w:val="28"/>
          <w:szCs w:val="24"/>
          <w:lang w:val="en-CA"/>
        </w:rPr>
      </w:pPr>
      <w:r w:rsidRPr="00A92931">
        <w:rPr>
          <w:rFonts w:cs="Arial"/>
          <w:b/>
          <w:kern w:val="28"/>
          <w:szCs w:val="24"/>
          <w:lang w:val="en-CA"/>
        </w:rPr>
        <w:lastRenderedPageBreak/>
        <w:t>GROUNDS OF APPEAL</w:t>
      </w:r>
    </w:p>
    <w:p w14:paraId="0FA68AC0" w14:textId="73A31881" w:rsidR="00236200" w:rsidRPr="00A92931" w:rsidRDefault="00AE0DE0" w:rsidP="00A1546E">
      <w:pPr>
        <w:keepNext/>
        <w:keepLines/>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The appellant submits three grounds of appeal: the judge erred (1) in </w:t>
      </w:r>
      <w:r w:rsidR="00D93193" w:rsidRPr="00A92931">
        <w:rPr>
          <w:rFonts w:cs="Arial"/>
          <w:kern w:val="28"/>
          <w:szCs w:val="24"/>
          <w:lang w:val="en-CA"/>
        </w:rPr>
        <w:t xml:space="preserve">finding </w:t>
      </w:r>
      <w:r w:rsidRPr="00A92931">
        <w:rPr>
          <w:rFonts w:cs="Arial"/>
          <w:kern w:val="28"/>
          <w:szCs w:val="24"/>
          <w:lang w:val="en-CA"/>
        </w:rPr>
        <w:t xml:space="preserve">that the description of the </w:t>
      </w:r>
      <w:r w:rsidR="0060039F" w:rsidRPr="00A92931">
        <w:rPr>
          <w:rFonts w:cs="Arial"/>
          <w:kern w:val="28"/>
          <w:szCs w:val="24"/>
          <w:lang w:val="en-CA"/>
        </w:rPr>
        <w:t>Class</w:t>
      </w:r>
      <w:r w:rsidRPr="00A92931">
        <w:rPr>
          <w:rFonts w:cs="Arial"/>
          <w:kern w:val="28"/>
          <w:szCs w:val="24"/>
          <w:lang w:val="en-CA"/>
        </w:rPr>
        <w:t xml:space="preserve"> precluded authorization of the class action, (2) in considering the </w:t>
      </w:r>
      <w:r w:rsidR="00DA6909" w:rsidRPr="00A92931">
        <w:rPr>
          <w:rFonts w:cs="Arial"/>
          <w:kern w:val="28"/>
          <w:szCs w:val="24"/>
          <w:lang w:val="en-CA"/>
        </w:rPr>
        <w:t>application</w:t>
      </w:r>
      <w:r w:rsidRPr="00A92931">
        <w:rPr>
          <w:rFonts w:cs="Arial"/>
          <w:kern w:val="28"/>
          <w:szCs w:val="24"/>
          <w:lang w:val="en-CA"/>
        </w:rPr>
        <w:t xml:space="preserve"> for authorization </w:t>
      </w:r>
      <w:r w:rsidR="00D93193" w:rsidRPr="00A92931">
        <w:rPr>
          <w:rFonts w:cs="Arial"/>
          <w:kern w:val="28"/>
          <w:szCs w:val="24"/>
          <w:lang w:val="en-CA"/>
        </w:rPr>
        <w:t>ineffective</w:t>
      </w:r>
      <w:r w:rsidRPr="00A92931">
        <w:rPr>
          <w:rFonts w:cs="Arial"/>
          <w:kern w:val="28"/>
          <w:szCs w:val="24"/>
          <w:lang w:val="en-CA"/>
        </w:rPr>
        <w:t>, and (3) in failing to rule on the other criteria for authorization.</w:t>
      </w:r>
    </w:p>
    <w:p w14:paraId="0325A5F2" w14:textId="5AF9386D" w:rsidR="00FB36C9" w:rsidRPr="00A92931" w:rsidRDefault="00AE0DE0" w:rsidP="00FB36C9">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In addition to contesting these </w:t>
      </w:r>
      <w:r w:rsidR="00DA6909" w:rsidRPr="00A92931">
        <w:rPr>
          <w:rFonts w:cs="Arial"/>
          <w:kern w:val="28"/>
          <w:szCs w:val="24"/>
          <w:lang w:val="en-CA"/>
        </w:rPr>
        <w:t xml:space="preserve">grounds of </w:t>
      </w:r>
      <w:r w:rsidRPr="00A92931">
        <w:rPr>
          <w:rFonts w:cs="Arial"/>
          <w:kern w:val="28"/>
          <w:szCs w:val="24"/>
          <w:lang w:val="en-CA"/>
        </w:rPr>
        <w:t xml:space="preserve">appeal, the respondent argues that the judge erred in his analysis of the justiciability of the claim. </w:t>
      </w:r>
    </w:p>
    <w:p w14:paraId="565BDF3F" w14:textId="6931D6F6" w:rsidR="007A0251" w:rsidRPr="00A92931" w:rsidRDefault="009036F7" w:rsidP="007A0251">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The respondent submits that the appellant has not demonstrated a </w:t>
      </w:r>
      <w:r w:rsidR="00D93193" w:rsidRPr="00A92931">
        <w:rPr>
          <w:rFonts w:cs="Arial"/>
          <w:kern w:val="28"/>
          <w:szCs w:val="24"/>
          <w:lang w:val="en-CA"/>
        </w:rPr>
        <w:t>colour of right</w:t>
      </w:r>
      <w:r w:rsidRPr="00A92931">
        <w:rPr>
          <w:rFonts w:cs="Arial"/>
          <w:kern w:val="28"/>
          <w:szCs w:val="24"/>
          <w:lang w:val="en-CA"/>
        </w:rPr>
        <w:t xml:space="preserve"> under section 575(2) </w:t>
      </w:r>
      <w:r w:rsidR="004F6F18" w:rsidRPr="006E7D06">
        <w:rPr>
          <w:rFonts w:cs="Arial"/>
          <w:i/>
          <w:iCs/>
          <w:kern w:val="28"/>
          <w:szCs w:val="24"/>
          <w:lang w:val="en-CA"/>
        </w:rPr>
        <w:t>CCP</w:t>
      </w:r>
      <w:r w:rsidRPr="00A92931">
        <w:rPr>
          <w:rFonts w:cs="Arial"/>
          <w:kern w:val="28"/>
          <w:szCs w:val="24"/>
          <w:lang w:val="en-CA"/>
        </w:rPr>
        <w:t xml:space="preserve">, because (1) the action is not justiciable, (2) the government cannot be sued due to its failure to legislate, and (3) the facts </w:t>
      </w:r>
      <w:r w:rsidR="00D93193" w:rsidRPr="00A92931">
        <w:rPr>
          <w:rFonts w:cs="Arial"/>
          <w:kern w:val="28"/>
          <w:szCs w:val="24"/>
          <w:lang w:val="en-CA"/>
        </w:rPr>
        <w:t xml:space="preserve">alleged </w:t>
      </w:r>
      <w:r w:rsidRPr="00A92931">
        <w:rPr>
          <w:rFonts w:cs="Arial"/>
          <w:kern w:val="28"/>
          <w:szCs w:val="24"/>
          <w:lang w:val="en-CA"/>
        </w:rPr>
        <w:t>are hypothetical.</w:t>
      </w:r>
      <w:r w:rsidR="00AE0DE0" w:rsidRPr="00A92931">
        <w:rPr>
          <w:rFonts w:cs="Arial"/>
          <w:kern w:val="28"/>
          <w:szCs w:val="24"/>
          <w:lang w:val="en-CA"/>
        </w:rPr>
        <w:t xml:space="preserve"> He adds that the claim based on </w:t>
      </w:r>
      <w:r w:rsidR="008F33C5" w:rsidRPr="00A92931">
        <w:rPr>
          <w:rFonts w:cs="Arial"/>
          <w:kern w:val="28"/>
          <w:szCs w:val="24"/>
          <w:lang w:val="en-CA"/>
        </w:rPr>
        <w:t>sections</w:t>
      </w:r>
      <w:r w:rsidR="00AE0DE0" w:rsidRPr="00A92931">
        <w:rPr>
          <w:rFonts w:cs="Arial"/>
          <w:kern w:val="28"/>
          <w:szCs w:val="24"/>
          <w:lang w:val="en-CA"/>
        </w:rPr>
        <w:t xml:space="preserve"> 7 and 15 of the </w:t>
      </w:r>
      <w:r w:rsidR="00AE0DE0" w:rsidRPr="00A92931">
        <w:rPr>
          <w:rFonts w:cs="Arial"/>
          <w:i/>
          <w:iCs/>
          <w:kern w:val="28"/>
          <w:szCs w:val="24"/>
          <w:lang w:val="en-CA"/>
        </w:rPr>
        <w:t>Canadian Charter</w:t>
      </w:r>
      <w:r w:rsidR="00AE0DE0" w:rsidRPr="00A92931">
        <w:rPr>
          <w:rFonts w:cs="Arial"/>
          <w:kern w:val="28"/>
          <w:szCs w:val="24"/>
          <w:lang w:val="en-CA"/>
        </w:rPr>
        <w:t xml:space="preserve"> is clearly unfounded, since these </w:t>
      </w:r>
      <w:r w:rsidR="008F33C5" w:rsidRPr="00A92931">
        <w:rPr>
          <w:rFonts w:cs="Arial"/>
          <w:kern w:val="28"/>
          <w:szCs w:val="24"/>
          <w:lang w:val="en-CA"/>
        </w:rPr>
        <w:t>sections</w:t>
      </w:r>
      <w:r w:rsidR="00AE0DE0" w:rsidRPr="00A92931">
        <w:rPr>
          <w:rFonts w:cs="Arial"/>
          <w:kern w:val="28"/>
          <w:szCs w:val="24"/>
          <w:lang w:val="en-CA"/>
        </w:rPr>
        <w:t xml:space="preserve"> do not impose a positive obligation on the </w:t>
      </w:r>
      <w:r w:rsidR="008A0338" w:rsidRPr="00A92931">
        <w:rPr>
          <w:rFonts w:cs="Arial"/>
          <w:kern w:val="28"/>
          <w:szCs w:val="24"/>
          <w:lang w:val="en-CA"/>
        </w:rPr>
        <w:t>S</w:t>
      </w:r>
      <w:r w:rsidR="00AE0DE0" w:rsidRPr="00A92931">
        <w:rPr>
          <w:rFonts w:cs="Arial"/>
          <w:kern w:val="28"/>
          <w:szCs w:val="24"/>
          <w:lang w:val="en-CA"/>
        </w:rPr>
        <w:t>tate to legislate to protect guaranteed rights, but only the obligation to respect them in the exercise of legislative and executive power.</w:t>
      </w:r>
      <w:r w:rsidR="00AE0DE0" w:rsidRPr="00A92931">
        <w:rPr>
          <w:lang w:val="en-CA"/>
        </w:rPr>
        <w:t xml:space="preserve"> </w:t>
      </w:r>
      <w:r w:rsidR="00AE0DE0" w:rsidRPr="00A92931">
        <w:rPr>
          <w:rFonts w:cs="Arial"/>
          <w:kern w:val="28"/>
          <w:szCs w:val="24"/>
          <w:lang w:val="en-CA"/>
        </w:rPr>
        <w:t xml:space="preserve">According to </w:t>
      </w:r>
      <w:r w:rsidR="002901BA" w:rsidRPr="00A92931">
        <w:rPr>
          <w:rFonts w:cs="Arial"/>
          <w:kern w:val="28"/>
          <w:szCs w:val="24"/>
          <w:lang w:val="en-CA"/>
        </w:rPr>
        <w:t>the respondent</w:t>
      </w:r>
      <w:r w:rsidR="00AE0DE0" w:rsidRPr="00A92931">
        <w:rPr>
          <w:rFonts w:cs="Arial"/>
          <w:kern w:val="28"/>
          <w:szCs w:val="24"/>
          <w:lang w:val="en-CA"/>
        </w:rPr>
        <w:t xml:space="preserve">, the Quebec </w:t>
      </w:r>
      <w:r w:rsidR="00AE0DE0" w:rsidRPr="00A92931">
        <w:rPr>
          <w:rFonts w:cs="Arial"/>
          <w:i/>
          <w:iCs/>
          <w:kern w:val="28"/>
          <w:szCs w:val="24"/>
          <w:lang w:val="en-CA"/>
        </w:rPr>
        <w:t>Charter</w:t>
      </w:r>
      <w:r w:rsidR="00AE0DE0" w:rsidRPr="00A92931">
        <w:rPr>
          <w:rFonts w:cs="Arial"/>
          <w:kern w:val="28"/>
          <w:szCs w:val="24"/>
          <w:lang w:val="en-CA"/>
        </w:rPr>
        <w:t xml:space="preserve"> can no longer serve as a basis for the appellant's</w:t>
      </w:r>
      <w:r w:rsidR="002901BA" w:rsidRPr="00A92931">
        <w:rPr>
          <w:rFonts w:cs="Arial"/>
          <w:kern w:val="28"/>
          <w:szCs w:val="24"/>
          <w:lang w:val="en-CA"/>
        </w:rPr>
        <w:t xml:space="preserve"> action</w:t>
      </w:r>
      <w:r w:rsidR="00AE0DE0" w:rsidRPr="00A92931">
        <w:rPr>
          <w:rFonts w:cs="Arial"/>
          <w:kern w:val="28"/>
          <w:szCs w:val="24"/>
          <w:lang w:val="en-CA"/>
        </w:rPr>
        <w:t xml:space="preserve"> since the cause of action invoked by the appellant does not allow invoking the special regime provided for in the </w:t>
      </w:r>
      <w:r w:rsidR="002901BA" w:rsidRPr="00A92931">
        <w:rPr>
          <w:rFonts w:cs="Arial"/>
          <w:i/>
          <w:iCs/>
          <w:kern w:val="28"/>
          <w:szCs w:val="24"/>
          <w:lang w:val="en-CA"/>
        </w:rPr>
        <w:t>Crown Liability and Proceedings Act</w:t>
      </w:r>
      <w:r w:rsidR="00AE0DE0" w:rsidRPr="00A92931">
        <w:rPr>
          <w:rFonts w:cs="Arial"/>
          <w:kern w:val="28"/>
          <w:szCs w:val="24"/>
          <w:lang w:val="en-CA"/>
        </w:rPr>
        <w:t>.</w:t>
      </w:r>
      <w:r w:rsidR="008F33C5" w:rsidRPr="00A92931">
        <w:rPr>
          <w:rStyle w:val="Appelnotedebasdep"/>
          <w:rFonts w:cs="Arial"/>
          <w:kern w:val="28"/>
          <w:szCs w:val="24"/>
          <w:lang w:val="en-CA"/>
        </w:rPr>
        <w:footnoteReference w:id="7"/>
      </w:r>
      <w:r w:rsidR="00120B37" w:rsidRPr="00A92931">
        <w:rPr>
          <w:rFonts w:cs="Arial"/>
          <w:kern w:val="28"/>
          <w:szCs w:val="24"/>
          <w:lang w:val="en-CA"/>
        </w:rPr>
        <w:t xml:space="preserve"> This </w:t>
      </w:r>
      <w:r w:rsidR="00AC0602" w:rsidRPr="00A92931">
        <w:rPr>
          <w:rFonts w:cs="Arial"/>
          <w:i/>
          <w:iCs/>
          <w:kern w:val="28"/>
          <w:szCs w:val="24"/>
          <w:lang w:val="en-CA"/>
        </w:rPr>
        <w:t>Act</w:t>
      </w:r>
      <w:r w:rsidR="00120B37" w:rsidRPr="00A92931">
        <w:rPr>
          <w:rFonts w:cs="Arial"/>
          <w:kern w:val="28"/>
          <w:szCs w:val="24"/>
          <w:lang w:val="en-CA"/>
        </w:rPr>
        <w:t xml:space="preserve"> subject</w:t>
      </w:r>
      <w:r w:rsidR="00AC0602" w:rsidRPr="00A92931">
        <w:rPr>
          <w:rFonts w:cs="Arial"/>
          <w:kern w:val="28"/>
          <w:szCs w:val="24"/>
          <w:lang w:val="en-CA"/>
        </w:rPr>
        <w:t>s</w:t>
      </w:r>
      <w:r w:rsidR="00120B37" w:rsidRPr="00A92931">
        <w:rPr>
          <w:rFonts w:cs="Arial"/>
          <w:kern w:val="28"/>
          <w:szCs w:val="24"/>
          <w:lang w:val="en-CA"/>
        </w:rPr>
        <w:t xml:space="preserve"> the </w:t>
      </w:r>
      <w:r w:rsidR="00AC0602" w:rsidRPr="00A92931">
        <w:rPr>
          <w:rFonts w:cs="Arial"/>
          <w:kern w:val="28"/>
          <w:szCs w:val="24"/>
          <w:lang w:val="en-CA"/>
        </w:rPr>
        <w:t>Crown</w:t>
      </w:r>
      <w:r w:rsidR="00120B37" w:rsidRPr="00A92931">
        <w:rPr>
          <w:rFonts w:cs="Arial"/>
          <w:kern w:val="28"/>
          <w:szCs w:val="24"/>
          <w:lang w:val="en-CA"/>
        </w:rPr>
        <w:t xml:space="preserve"> to civil law only when the </w:t>
      </w:r>
      <w:r w:rsidR="00AC0602" w:rsidRPr="00A92931">
        <w:rPr>
          <w:rFonts w:cs="Arial"/>
          <w:kern w:val="28"/>
          <w:szCs w:val="24"/>
          <w:lang w:val="en-CA"/>
        </w:rPr>
        <w:t>action</w:t>
      </w:r>
      <w:r w:rsidR="00120B37" w:rsidRPr="00A92931">
        <w:rPr>
          <w:rFonts w:cs="Arial"/>
          <w:kern w:val="28"/>
          <w:szCs w:val="24"/>
          <w:lang w:val="en-CA"/>
        </w:rPr>
        <w:t xml:space="preserve"> concern</w:t>
      </w:r>
      <w:r w:rsidR="00AC0602" w:rsidRPr="00A92931">
        <w:rPr>
          <w:rFonts w:cs="Arial"/>
          <w:kern w:val="28"/>
          <w:szCs w:val="24"/>
          <w:lang w:val="en-CA"/>
        </w:rPr>
        <w:t xml:space="preserve">s the act of a thing in </w:t>
      </w:r>
      <w:r w:rsidR="00120B37" w:rsidRPr="00A92931">
        <w:rPr>
          <w:rFonts w:cs="Arial"/>
          <w:kern w:val="28"/>
          <w:szCs w:val="24"/>
          <w:lang w:val="en-CA"/>
        </w:rPr>
        <w:t xml:space="preserve">its custody or the fault of one of its </w:t>
      </w:r>
      <w:r w:rsidR="00AC0602" w:rsidRPr="00A92931">
        <w:rPr>
          <w:rFonts w:cs="Arial"/>
          <w:kern w:val="28"/>
          <w:szCs w:val="24"/>
          <w:lang w:val="en-CA"/>
        </w:rPr>
        <w:t>servants</w:t>
      </w:r>
      <w:r w:rsidR="00120B37" w:rsidRPr="00A92931">
        <w:rPr>
          <w:rFonts w:cs="Arial"/>
          <w:kern w:val="28"/>
          <w:szCs w:val="24"/>
          <w:lang w:val="en-CA"/>
        </w:rPr>
        <w:t>.</w:t>
      </w:r>
    </w:p>
    <w:p w14:paraId="1D9065C8" w14:textId="697C9B55" w:rsidR="00E548A7" w:rsidRPr="00A92931" w:rsidRDefault="007A0251" w:rsidP="007A0251">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The respondent also argues that the declara</w:t>
      </w:r>
      <w:r w:rsidR="00AC0602" w:rsidRPr="00A92931">
        <w:rPr>
          <w:rFonts w:cs="Arial"/>
          <w:kern w:val="28"/>
          <w:szCs w:val="24"/>
          <w:lang w:val="en-CA"/>
        </w:rPr>
        <w:t>tory</w:t>
      </w:r>
      <w:r w:rsidRPr="00A92931">
        <w:rPr>
          <w:rFonts w:cs="Arial"/>
          <w:kern w:val="28"/>
          <w:szCs w:val="24"/>
          <w:lang w:val="en-CA"/>
        </w:rPr>
        <w:t xml:space="preserve"> judgment is premature, as there is nothing to suggest that the facts </w:t>
      </w:r>
      <w:r w:rsidR="00D57958" w:rsidRPr="00A92931">
        <w:rPr>
          <w:rFonts w:cs="Arial"/>
          <w:kern w:val="28"/>
          <w:szCs w:val="24"/>
          <w:lang w:val="en-CA"/>
        </w:rPr>
        <w:t xml:space="preserve">alleged </w:t>
      </w:r>
      <w:r w:rsidRPr="00A92931">
        <w:rPr>
          <w:rFonts w:cs="Arial"/>
          <w:kern w:val="28"/>
          <w:szCs w:val="24"/>
          <w:lang w:val="en-CA"/>
        </w:rPr>
        <w:t xml:space="preserve">in the </w:t>
      </w:r>
      <w:r w:rsidR="00D57958" w:rsidRPr="00A92931">
        <w:rPr>
          <w:rFonts w:cs="Arial"/>
          <w:kern w:val="28"/>
          <w:szCs w:val="24"/>
          <w:lang w:val="en-CA"/>
        </w:rPr>
        <w:t xml:space="preserve">application for </w:t>
      </w:r>
      <w:r w:rsidRPr="00A92931">
        <w:rPr>
          <w:rFonts w:cs="Arial"/>
          <w:kern w:val="28"/>
          <w:szCs w:val="24"/>
          <w:lang w:val="en-CA"/>
        </w:rPr>
        <w:t xml:space="preserve">authorization will occur, particularly in a context where the </w:t>
      </w:r>
      <w:r w:rsidR="00C3045D" w:rsidRPr="00A92931">
        <w:rPr>
          <w:rFonts w:cs="Arial"/>
          <w:kern w:val="28"/>
          <w:szCs w:val="24"/>
          <w:lang w:val="en-CA"/>
        </w:rPr>
        <w:t>alleged</w:t>
      </w:r>
      <w:r w:rsidRPr="00A92931">
        <w:rPr>
          <w:rFonts w:cs="Arial"/>
          <w:kern w:val="28"/>
          <w:szCs w:val="24"/>
          <w:lang w:val="en-CA"/>
        </w:rPr>
        <w:t xml:space="preserve"> prejudice could arise even if Canada fully complied with its international obligations, since solutions to climate issues depend on the commitment of all countries.</w:t>
      </w:r>
      <w:r w:rsidR="00AE0DE0" w:rsidRPr="00A92931">
        <w:rPr>
          <w:lang w:val="en-CA"/>
        </w:rPr>
        <w:t xml:space="preserve"> </w:t>
      </w:r>
    </w:p>
    <w:p w14:paraId="479D77BB" w14:textId="62021D94" w:rsidR="00E548A7" w:rsidRPr="00A92931" w:rsidRDefault="00AE0DE0" w:rsidP="007A0251">
      <w:pPr>
        <w:numPr>
          <w:ilvl w:val="0"/>
          <w:numId w:val="18"/>
        </w:numPr>
        <w:tabs>
          <w:tab w:val="clear" w:pos="720"/>
          <w:tab w:val="num" w:pos="360"/>
        </w:tabs>
        <w:spacing w:after="240" w:line="240" w:lineRule="auto"/>
        <w:jc w:val="both"/>
        <w:rPr>
          <w:rFonts w:cs="Arial"/>
          <w:kern w:val="28"/>
          <w:szCs w:val="24"/>
          <w:lang w:val="en-CA"/>
        </w:rPr>
      </w:pPr>
      <w:r w:rsidRPr="00A92931">
        <w:rPr>
          <w:lang w:val="en-CA"/>
        </w:rPr>
        <w:t xml:space="preserve">Thus, the respondent contests the admissibility of the class action and the core of </w:t>
      </w:r>
      <w:r w:rsidR="00C3045D" w:rsidRPr="00A92931">
        <w:rPr>
          <w:lang w:val="en-CA"/>
        </w:rPr>
        <w:t>its</w:t>
      </w:r>
      <w:r w:rsidRPr="00A92931">
        <w:rPr>
          <w:lang w:val="en-CA"/>
        </w:rPr>
        <w:t xml:space="preserve"> arguments rests on the justiciability of the claim. For the following reasons, this </w:t>
      </w:r>
      <w:r w:rsidR="00C3045D" w:rsidRPr="00A92931">
        <w:rPr>
          <w:lang w:val="en-CA"/>
        </w:rPr>
        <w:t xml:space="preserve">overriding issue </w:t>
      </w:r>
      <w:r w:rsidRPr="00A92931">
        <w:rPr>
          <w:lang w:val="en-CA"/>
        </w:rPr>
        <w:t xml:space="preserve">determines the </w:t>
      </w:r>
      <w:r w:rsidR="00C3045D" w:rsidRPr="00A92931">
        <w:rPr>
          <w:lang w:val="en-CA"/>
        </w:rPr>
        <w:t xml:space="preserve">outcome </w:t>
      </w:r>
      <w:r w:rsidRPr="00A92931">
        <w:rPr>
          <w:lang w:val="en-CA"/>
        </w:rPr>
        <w:t xml:space="preserve">of the appeal. It is not necessary to dwell on all the means invoked. </w:t>
      </w:r>
    </w:p>
    <w:p w14:paraId="7F07251C" w14:textId="77777777" w:rsidR="00236200" w:rsidRPr="00A92931" w:rsidRDefault="00AE0DE0" w:rsidP="006B6AC4">
      <w:pPr>
        <w:pStyle w:val="Paragraphe"/>
        <w:numPr>
          <w:ilvl w:val="0"/>
          <w:numId w:val="0"/>
        </w:numPr>
        <w:spacing w:line="240" w:lineRule="auto"/>
        <w:rPr>
          <w:rFonts w:cs="Arial"/>
          <w:b/>
          <w:szCs w:val="24"/>
          <w:lang w:val="en-CA"/>
        </w:rPr>
      </w:pPr>
      <w:r w:rsidRPr="00A92931">
        <w:rPr>
          <w:rFonts w:cs="Arial"/>
          <w:b/>
          <w:szCs w:val="24"/>
          <w:lang w:val="en-CA"/>
        </w:rPr>
        <w:t>ANALYSIS</w:t>
      </w:r>
    </w:p>
    <w:p w14:paraId="1ADBD540" w14:textId="156DC4E3" w:rsidR="00236200" w:rsidRPr="00A92931" w:rsidRDefault="00AE0DE0" w:rsidP="004D5183">
      <w:pPr>
        <w:numPr>
          <w:ilvl w:val="0"/>
          <w:numId w:val="18"/>
        </w:numPr>
        <w:tabs>
          <w:tab w:val="clear" w:pos="720"/>
          <w:tab w:val="num" w:pos="360"/>
        </w:tabs>
        <w:spacing w:after="240" w:line="240" w:lineRule="auto"/>
        <w:jc w:val="both"/>
        <w:rPr>
          <w:rFonts w:cs="Arial"/>
          <w:kern w:val="28"/>
          <w:szCs w:val="24"/>
          <w:lang w:val="en-CA"/>
        </w:rPr>
      </w:pPr>
      <w:r w:rsidRPr="00A92931">
        <w:rPr>
          <w:lang w:val="en-CA"/>
        </w:rPr>
        <w:t xml:space="preserve">The </w:t>
      </w:r>
      <w:r w:rsidR="00CD254E" w:rsidRPr="00A92931">
        <w:rPr>
          <w:lang w:val="en-CA"/>
        </w:rPr>
        <w:t xml:space="preserve">trial </w:t>
      </w:r>
      <w:r w:rsidRPr="00A92931">
        <w:rPr>
          <w:lang w:val="en-CA"/>
        </w:rPr>
        <w:t>judge addresse</w:t>
      </w:r>
      <w:r w:rsidR="00CD254E" w:rsidRPr="00A92931">
        <w:rPr>
          <w:lang w:val="en-CA"/>
        </w:rPr>
        <w:t>d</w:t>
      </w:r>
      <w:r w:rsidRPr="00A92931">
        <w:rPr>
          <w:lang w:val="en-CA"/>
        </w:rPr>
        <w:t xml:space="preserve"> and dismisse</w:t>
      </w:r>
      <w:r w:rsidR="00CD254E" w:rsidRPr="00A92931">
        <w:rPr>
          <w:lang w:val="en-CA"/>
        </w:rPr>
        <w:t>d</w:t>
      </w:r>
      <w:r w:rsidRPr="00A92931">
        <w:rPr>
          <w:lang w:val="en-CA"/>
        </w:rPr>
        <w:t xml:space="preserve"> the </w:t>
      </w:r>
      <w:r w:rsidR="00CD254E" w:rsidRPr="00A92931">
        <w:rPr>
          <w:lang w:val="en-CA"/>
        </w:rPr>
        <w:t>contestation of</w:t>
      </w:r>
      <w:r w:rsidRPr="00A92931">
        <w:rPr>
          <w:lang w:val="en-CA"/>
        </w:rPr>
        <w:t xml:space="preserve"> the </w:t>
      </w:r>
      <w:r w:rsidR="00897AD0" w:rsidRPr="00A92931">
        <w:rPr>
          <w:lang w:val="en-CA"/>
        </w:rPr>
        <w:t xml:space="preserve">justiciability </w:t>
      </w:r>
      <w:r w:rsidRPr="00A92931">
        <w:rPr>
          <w:lang w:val="en-CA"/>
        </w:rPr>
        <w:t>of the a</w:t>
      </w:r>
      <w:r w:rsidR="009E3695" w:rsidRPr="00A92931">
        <w:rPr>
          <w:lang w:val="en-CA"/>
        </w:rPr>
        <w:t>ction</w:t>
      </w:r>
      <w:r w:rsidRPr="00A92931">
        <w:rPr>
          <w:lang w:val="en-CA"/>
        </w:rPr>
        <w:t xml:space="preserve">. Even </w:t>
      </w:r>
      <w:r w:rsidR="00CD254E" w:rsidRPr="00A92931">
        <w:rPr>
          <w:lang w:val="en-CA"/>
        </w:rPr>
        <w:t>though he</w:t>
      </w:r>
      <w:r w:rsidRPr="00A92931">
        <w:rPr>
          <w:lang w:val="en-CA"/>
        </w:rPr>
        <w:t xml:space="preserve"> </w:t>
      </w:r>
      <w:r w:rsidR="00897AD0" w:rsidRPr="00A92931">
        <w:rPr>
          <w:lang w:val="en-CA"/>
        </w:rPr>
        <w:t xml:space="preserve">did </w:t>
      </w:r>
      <w:r w:rsidRPr="00A92931">
        <w:rPr>
          <w:lang w:val="en-CA"/>
        </w:rPr>
        <w:t xml:space="preserve">not specifically </w:t>
      </w:r>
      <w:r w:rsidR="00844EDF" w:rsidRPr="00A92931">
        <w:rPr>
          <w:lang w:val="en-CA"/>
        </w:rPr>
        <w:t>address this issue</w:t>
      </w:r>
      <w:r w:rsidRPr="00A92931">
        <w:rPr>
          <w:lang w:val="en-CA"/>
        </w:rPr>
        <w:t xml:space="preserve"> from the </w:t>
      </w:r>
      <w:r w:rsidR="00844EDF" w:rsidRPr="00A92931">
        <w:rPr>
          <w:lang w:val="en-CA"/>
        </w:rPr>
        <w:t xml:space="preserve">perspective </w:t>
      </w:r>
      <w:r w:rsidRPr="00A92931">
        <w:rPr>
          <w:lang w:val="en-CA"/>
        </w:rPr>
        <w:t xml:space="preserve">of article 575(2) </w:t>
      </w:r>
      <w:r w:rsidR="004F6F18" w:rsidRPr="006E7D06">
        <w:rPr>
          <w:i/>
          <w:iCs/>
          <w:lang w:val="en-CA"/>
        </w:rPr>
        <w:t>CCP</w:t>
      </w:r>
      <w:r w:rsidRPr="00A92931">
        <w:rPr>
          <w:lang w:val="en-CA"/>
        </w:rPr>
        <w:t xml:space="preserve">, </w:t>
      </w:r>
      <w:r w:rsidR="00844EDF" w:rsidRPr="00A92931">
        <w:rPr>
          <w:lang w:val="en-CA"/>
        </w:rPr>
        <w:t>that provision</w:t>
      </w:r>
      <w:r w:rsidRPr="00A92931">
        <w:rPr>
          <w:lang w:val="en-CA"/>
        </w:rPr>
        <w:t xml:space="preserve"> requires that the facts alleged in the application for authorization </w:t>
      </w:r>
      <w:r w:rsidR="00CD254E" w:rsidRPr="00A92931">
        <w:rPr>
          <w:lang w:val="en-CA"/>
        </w:rPr>
        <w:t xml:space="preserve">justify </w:t>
      </w:r>
      <w:r w:rsidRPr="00A92931">
        <w:rPr>
          <w:lang w:val="en-CA"/>
        </w:rPr>
        <w:t>the</w:t>
      </w:r>
      <w:r w:rsidR="00CD254E" w:rsidRPr="00A92931">
        <w:rPr>
          <w:lang w:val="en-CA"/>
        </w:rPr>
        <w:t xml:space="preserve"> </w:t>
      </w:r>
      <w:r w:rsidRPr="00A92931">
        <w:rPr>
          <w:lang w:val="en-CA"/>
        </w:rPr>
        <w:t>conclusions</w:t>
      </w:r>
      <w:r w:rsidR="00CD254E" w:rsidRPr="00A92931">
        <w:rPr>
          <w:lang w:val="en-CA"/>
        </w:rPr>
        <w:t xml:space="preserve"> sought</w:t>
      </w:r>
      <w:r w:rsidRPr="00A92931">
        <w:rPr>
          <w:lang w:val="en-CA"/>
        </w:rPr>
        <w:t>. Th</w:t>
      </w:r>
      <w:r w:rsidR="00844EDF" w:rsidRPr="00A92931">
        <w:rPr>
          <w:lang w:val="en-CA"/>
        </w:rPr>
        <w:t>is</w:t>
      </w:r>
      <w:r w:rsidRPr="00A92931">
        <w:rPr>
          <w:lang w:val="en-CA"/>
        </w:rPr>
        <w:t xml:space="preserve"> presupposes that the </w:t>
      </w:r>
      <w:r w:rsidR="00CD254E" w:rsidRPr="00A92931">
        <w:rPr>
          <w:lang w:val="en-CA"/>
        </w:rPr>
        <w:t>action is justiciable.</w:t>
      </w:r>
      <w:r w:rsidRPr="00A92931">
        <w:rPr>
          <w:lang w:val="en-CA"/>
        </w:rPr>
        <w:t xml:space="preserve"> </w:t>
      </w:r>
      <w:r w:rsidR="00620272" w:rsidRPr="00A92931">
        <w:rPr>
          <w:lang w:val="en-CA"/>
        </w:rPr>
        <w:t xml:space="preserve">Indeed, that </w:t>
      </w:r>
      <w:r w:rsidR="00844EDF" w:rsidRPr="00A92931">
        <w:rPr>
          <w:lang w:val="en-CA"/>
        </w:rPr>
        <w:t>was</w:t>
      </w:r>
      <w:r w:rsidR="00620272" w:rsidRPr="00A92931">
        <w:rPr>
          <w:lang w:val="en-CA"/>
        </w:rPr>
        <w:t xml:space="preserve"> the respondent</w:t>
      </w:r>
      <w:r w:rsidR="00844EDF" w:rsidRPr="00A92931">
        <w:rPr>
          <w:lang w:val="en-CA"/>
        </w:rPr>
        <w:t>’s understanding of the provision</w:t>
      </w:r>
      <w:r w:rsidR="00620272" w:rsidRPr="00A92931">
        <w:rPr>
          <w:lang w:val="en-CA"/>
        </w:rPr>
        <w:t xml:space="preserve"> when it argued that the lack of justiciability made the class action at issue </w:t>
      </w:r>
      <w:r w:rsidR="000235AC" w:rsidRPr="00A92931">
        <w:rPr>
          <w:lang w:val="en-CA"/>
        </w:rPr>
        <w:t xml:space="preserve">a cause of action that was </w:t>
      </w:r>
      <w:r w:rsidR="00901AD8" w:rsidRPr="00A92931">
        <w:rPr>
          <w:lang w:val="en-CA"/>
        </w:rPr>
        <w:t>un</w:t>
      </w:r>
      <w:r w:rsidR="000235AC" w:rsidRPr="00A92931">
        <w:rPr>
          <w:lang w:val="en-CA"/>
        </w:rPr>
        <w:t>arguable</w:t>
      </w:r>
      <w:r w:rsidRPr="00A92931">
        <w:rPr>
          <w:lang w:val="en-CA"/>
        </w:rPr>
        <w:t>.</w:t>
      </w:r>
      <w:r w:rsidRPr="00A92931">
        <w:rPr>
          <w:iCs/>
          <w:lang w:val="en-CA"/>
        </w:rPr>
        <w:t xml:space="preserve"> </w:t>
      </w:r>
      <w:r w:rsidRPr="00A92931">
        <w:rPr>
          <w:lang w:val="en-CA"/>
        </w:rPr>
        <w:t xml:space="preserve">That being said, it is true that in </w:t>
      </w:r>
      <w:r w:rsidR="000235AC" w:rsidRPr="00A92931">
        <w:rPr>
          <w:lang w:val="en-CA"/>
        </w:rPr>
        <w:t xml:space="preserve">his </w:t>
      </w:r>
      <w:r w:rsidR="00FB6F03" w:rsidRPr="00A92931">
        <w:rPr>
          <w:lang w:val="en-CA"/>
        </w:rPr>
        <w:t>uniquely</w:t>
      </w:r>
      <w:r w:rsidR="000235AC" w:rsidRPr="00A92931">
        <w:rPr>
          <w:lang w:val="en-CA"/>
        </w:rPr>
        <w:t xml:space="preserve"> structured</w:t>
      </w:r>
      <w:r w:rsidRPr="00A92931">
        <w:rPr>
          <w:lang w:val="en-CA"/>
        </w:rPr>
        <w:t xml:space="preserve"> judgment the </w:t>
      </w:r>
      <w:r w:rsidRPr="00A92931">
        <w:rPr>
          <w:lang w:val="en-CA"/>
        </w:rPr>
        <w:lastRenderedPageBreak/>
        <w:t>judge d</w:t>
      </w:r>
      <w:r w:rsidR="00897AD0" w:rsidRPr="00A92931">
        <w:rPr>
          <w:lang w:val="en-CA"/>
        </w:rPr>
        <w:t>id</w:t>
      </w:r>
      <w:r w:rsidRPr="00A92931">
        <w:rPr>
          <w:lang w:val="en-CA"/>
        </w:rPr>
        <w:t xml:space="preserve"> not systematically examine the criteria of </w:t>
      </w:r>
      <w:r w:rsidR="000235AC" w:rsidRPr="00A92931">
        <w:rPr>
          <w:lang w:val="en-CA"/>
        </w:rPr>
        <w:t>a</w:t>
      </w:r>
      <w:r w:rsidRPr="00A92931">
        <w:rPr>
          <w:lang w:val="en-CA"/>
        </w:rPr>
        <w:t xml:space="preserve">rticle 575 </w:t>
      </w:r>
      <w:r w:rsidR="00312047" w:rsidRPr="006E7D06">
        <w:rPr>
          <w:i/>
          <w:iCs/>
          <w:lang w:val="en-CA"/>
        </w:rPr>
        <w:t>CCP</w:t>
      </w:r>
      <w:r w:rsidR="00FB6F03" w:rsidRPr="00A92931">
        <w:rPr>
          <w:lang w:val="en-CA"/>
        </w:rPr>
        <w:t>,</w:t>
      </w:r>
      <w:r w:rsidR="00BE1A5A" w:rsidRPr="00A92931">
        <w:rPr>
          <w:rStyle w:val="Appelnotedebasdep"/>
          <w:rFonts w:cs="Arial"/>
          <w:iCs/>
          <w:szCs w:val="24"/>
          <w:lang w:val="en-CA"/>
        </w:rPr>
        <w:footnoteReference w:id="8"/>
      </w:r>
      <w:r w:rsidR="00BE1A5A" w:rsidRPr="00A92931">
        <w:rPr>
          <w:iCs/>
          <w:lang w:val="en-CA"/>
        </w:rPr>
        <w:t xml:space="preserve"> </w:t>
      </w:r>
      <w:r w:rsidR="00BE1A5A" w:rsidRPr="00A92931">
        <w:rPr>
          <w:lang w:val="en-CA"/>
        </w:rPr>
        <w:t>instead</w:t>
      </w:r>
      <w:r w:rsidR="00FB6F03" w:rsidRPr="00A92931">
        <w:rPr>
          <w:lang w:val="en-CA"/>
        </w:rPr>
        <w:t xml:space="preserve"> he </w:t>
      </w:r>
      <w:r w:rsidRPr="00A92931">
        <w:rPr>
          <w:lang w:val="en-CA"/>
        </w:rPr>
        <w:t>treat</w:t>
      </w:r>
      <w:r w:rsidR="00897AD0" w:rsidRPr="00A92931">
        <w:rPr>
          <w:lang w:val="en-CA"/>
        </w:rPr>
        <w:t>ed</w:t>
      </w:r>
      <w:r w:rsidRPr="00A92931">
        <w:rPr>
          <w:lang w:val="en-CA"/>
        </w:rPr>
        <w:t xml:space="preserve"> all the causes of action invoked by the appellant</w:t>
      </w:r>
      <w:r w:rsidR="00FB6F03" w:rsidRPr="00A92931">
        <w:rPr>
          <w:lang w:val="en-CA"/>
        </w:rPr>
        <w:t xml:space="preserve"> as a single block</w:t>
      </w:r>
      <w:r w:rsidRPr="00A92931">
        <w:rPr>
          <w:lang w:val="en-CA"/>
        </w:rPr>
        <w:t>.</w:t>
      </w:r>
      <w:r w:rsidR="007E39E6" w:rsidRPr="00A92931">
        <w:rPr>
          <w:lang w:val="en-CA"/>
        </w:rPr>
        <w:t xml:space="preserve"> </w:t>
      </w:r>
      <w:r w:rsidRPr="00A92931">
        <w:rPr>
          <w:rFonts w:cs="Arial"/>
          <w:kern w:val="28"/>
          <w:szCs w:val="24"/>
          <w:lang w:val="en-CA"/>
        </w:rPr>
        <w:t xml:space="preserve">In its </w:t>
      </w:r>
      <w:r w:rsidR="005A7F2F" w:rsidRPr="00A92931">
        <w:rPr>
          <w:rFonts w:cs="Arial"/>
          <w:kern w:val="28"/>
          <w:szCs w:val="24"/>
          <w:lang w:val="en-CA"/>
        </w:rPr>
        <w:t>application</w:t>
      </w:r>
      <w:r w:rsidRPr="00A92931">
        <w:rPr>
          <w:rFonts w:cs="Arial"/>
          <w:kern w:val="28"/>
          <w:szCs w:val="24"/>
          <w:lang w:val="en-CA"/>
        </w:rPr>
        <w:t xml:space="preserve"> for authorization, the appellant emphasize</w:t>
      </w:r>
      <w:r w:rsidR="00897AD0" w:rsidRPr="00A92931">
        <w:rPr>
          <w:rFonts w:cs="Arial"/>
          <w:kern w:val="28"/>
          <w:szCs w:val="24"/>
          <w:lang w:val="en-CA"/>
        </w:rPr>
        <w:t>d</w:t>
      </w:r>
      <w:r w:rsidRPr="00A92931">
        <w:rPr>
          <w:rFonts w:cs="Arial"/>
          <w:kern w:val="28"/>
          <w:szCs w:val="24"/>
          <w:lang w:val="en-CA"/>
        </w:rPr>
        <w:t xml:space="preserve"> the urgency of acti</w:t>
      </w:r>
      <w:r w:rsidR="005A7F2F" w:rsidRPr="00A92931">
        <w:rPr>
          <w:rFonts w:cs="Arial"/>
          <w:kern w:val="28"/>
          <w:szCs w:val="24"/>
          <w:lang w:val="en-CA"/>
        </w:rPr>
        <w:t>ng</w:t>
      </w:r>
      <w:r w:rsidRPr="00A92931">
        <w:rPr>
          <w:rFonts w:cs="Arial"/>
          <w:kern w:val="28"/>
          <w:szCs w:val="24"/>
          <w:lang w:val="en-CA"/>
        </w:rPr>
        <w:t xml:space="preserve"> to avoid</w:t>
      </w:r>
      <w:r w:rsidR="005A7F2F" w:rsidRPr="00A92931">
        <w:rPr>
          <w:rFonts w:cs="Arial"/>
          <w:kern w:val="28"/>
          <w:szCs w:val="24"/>
          <w:lang w:val="en-CA"/>
        </w:rPr>
        <w:t xml:space="preserve"> the</w:t>
      </w:r>
      <w:r w:rsidRPr="00A92931">
        <w:rPr>
          <w:rFonts w:cs="Arial"/>
          <w:kern w:val="28"/>
          <w:szCs w:val="24"/>
          <w:lang w:val="en-CA"/>
        </w:rPr>
        <w:t xml:space="preserve"> irreversible consequences of </w:t>
      </w:r>
      <w:r w:rsidR="007D3813" w:rsidRPr="00A92931">
        <w:rPr>
          <w:rFonts w:cs="Arial"/>
          <w:kern w:val="28"/>
          <w:szCs w:val="24"/>
          <w:lang w:val="en-CA"/>
        </w:rPr>
        <w:t>global warming</w:t>
      </w:r>
      <w:r w:rsidRPr="00A92931">
        <w:rPr>
          <w:rFonts w:cs="Arial"/>
          <w:kern w:val="28"/>
          <w:szCs w:val="24"/>
          <w:lang w:val="en-CA"/>
        </w:rPr>
        <w:t xml:space="preserve"> on the planet and its inhabitants. No one disputes this </w:t>
      </w:r>
      <w:r w:rsidR="00175959" w:rsidRPr="00A92931">
        <w:rPr>
          <w:rFonts w:cs="Arial"/>
          <w:kern w:val="28"/>
          <w:szCs w:val="24"/>
          <w:lang w:val="en-CA"/>
        </w:rPr>
        <w:t>observation</w:t>
      </w:r>
      <w:r w:rsidR="00312047" w:rsidRPr="00A92931">
        <w:rPr>
          <w:rFonts w:cs="Arial"/>
          <w:kern w:val="28"/>
          <w:szCs w:val="24"/>
          <w:lang w:val="en-CA"/>
        </w:rPr>
        <w:t>.</w:t>
      </w:r>
      <w:r w:rsidRPr="00A92931">
        <w:rPr>
          <w:lang w:val="en-CA"/>
        </w:rPr>
        <w:t xml:space="preserve"> </w:t>
      </w:r>
      <w:r w:rsidR="005A7F2F" w:rsidRPr="00A92931">
        <w:rPr>
          <w:rFonts w:cs="Arial"/>
          <w:kern w:val="28"/>
          <w:szCs w:val="24"/>
          <w:lang w:val="en-CA"/>
        </w:rPr>
        <w:t>It</w:t>
      </w:r>
      <w:r w:rsidRPr="00A92931">
        <w:rPr>
          <w:rFonts w:cs="Arial"/>
          <w:kern w:val="28"/>
          <w:szCs w:val="24"/>
          <w:lang w:val="en-CA"/>
        </w:rPr>
        <w:t xml:space="preserve"> further assert</w:t>
      </w:r>
      <w:r w:rsidR="00897AD0" w:rsidRPr="00A92931">
        <w:rPr>
          <w:rFonts w:cs="Arial"/>
          <w:kern w:val="28"/>
          <w:szCs w:val="24"/>
          <w:lang w:val="en-CA"/>
        </w:rPr>
        <w:t>ed</w:t>
      </w:r>
      <w:r w:rsidRPr="00A92931">
        <w:rPr>
          <w:rFonts w:cs="Arial"/>
          <w:kern w:val="28"/>
          <w:szCs w:val="24"/>
          <w:lang w:val="en-CA"/>
        </w:rPr>
        <w:t xml:space="preserve"> that the government</w:t>
      </w:r>
      <w:r w:rsidR="00825AA7" w:rsidRPr="00A92931">
        <w:rPr>
          <w:rFonts w:cs="Arial"/>
          <w:kern w:val="28"/>
          <w:szCs w:val="24"/>
          <w:lang w:val="en-CA"/>
        </w:rPr>
        <w:t>’</w:t>
      </w:r>
      <w:r w:rsidRPr="00A92931">
        <w:rPr>
          <w:rFonts w:cs="Arial"/>
          <w:kern w:val="28"/>
          <w:szCs w:val="24"/>
          <w:lang w:val="en-CA"/>
        </w:rPr>
        <w:t xml:space="preserve">s inaction in this matter undermines </w:t>
      </w:r>
      <w:r w:rsidR="005A7F2F" w:rsidRPr="00A92931">
        <w:rPr>
          <w:rFonts w:cs="Arial"/>
          <w:kern w:val="28"/>
          <w:szCs w:val="24"/>
          <w:lang w:val="en-CA"/>
        </w:rPr>
        <w:t>[</w:t>
      </w:r>
      <w:r w:rsidR="005A7F2F" w:rsidRPr="00A92931">
        <w:rPr>
          <w:rFonts w:cs="Arial"/>
          <w:smallCaps/>
          <w:kern w:val="28"/>
          <w:szCs w:val="24"/>
          <w:lang w:val="en-CA"/>
        </w:rPr>
        <w:t>translation</w:t>
      </w:r>
      <w:r w:rsidR="005A7F2F" w:rsidRPr="00A92931">
        <w:rPr>
          <w:rFonts w:cs="Arial"/>
          <w:kern w:val="28"/>
          <w:szCs w:val="24"/>
          <w:lang w:val="en-CA"/>
        </w:rPr>
        <w:t xml:space="preserve">] </w:t>
      </w:r>
      <w:r w:rsidR="00897AD0" w:rsidRPr="00A92931">
        <w:rPr>
          <w:rFonts w:cs="Arial"/>
          <w:kern w:val="28"/>
          <w:szCs w:val="24"/>
          <w:lang w:val="en-CA"/>
        </w:rPr>
        <w:t>“</w:t>
      </w:r>
      <w:r w:rsidRPr="00A92931">
        <w:rPr>
          <w:rFonts w:cs="Arial"/>
          <w:kern w:val="28"/>
          <w:szCs w:val="24"/>
          <w:lang w:val="en-CA"/>
        </w:rPr>
        <w:t xml:space="preserve">the rights of all Canadians, but particularly those of young people, who will have to live </w:t>
      </w:r>
      <w:r w:rsidR="00CA7598">
        <w:rPr>
          <w:rFonts w:cs="Arial"/>
          <w:kern w:val="28"/>
          <w:szCs w:val="24"/>
          <w:lang w:val="en-CA"/>
        </w:rPr>
        <w:t xml:space="preserve">with </w:t>
      </w:r>
      <w:r w:rsidRPr="00A92931">
        <w:rPr>
          <w:rFonts w:cs="Arial"/>
          <w:kern w:val="28"/>
          <w:szCs w:val="24"/>
          <w:lang w:val="en-CA"/>
        </w:rPr>
        <w:t>and survive the consequences of previous generations</w:t>
      </w:r>
      <w:r w:rsidR="00825AA7" w:rsidRPr="00A92931">
        <w:rPr>
          <w:rFonts w:cs="Arial"/>
          <w:kern w:val="28"/>
          <w:szCs w:val="24"/>
          <w:lang w:val="en-CA"/>
        </w:rPr>
        <w:t>’</w:t>
      </w:r>
      <w:r w:rsidRPr="00A92931">
        <w:rPr>
          <w:rFonts w:cs="Arial"/>
          <w:kern w:val="28"/>
          <w:szCs w:val="24"/>
          <w:lang w:val="en-CA"/>
        </w:rPr>
        <w:t xml:space="preserve"> negligence</w:t>
      </w:r>
      <w:r w:rsidR="00897AD0" w:rsidRPr="00A92931">
        <w:rPr>
          <w:rFonts w:cs="Arial"/>
          <w:kern w:val="28"/>
          <w:szCs w:val="24"/>
          <w:lang w:val="en-CA"/>
        </w:rPr>
        <w:t>”</w:t>
      </w:r>
      <w:r w:rsidRPr="00A92931">
        <w:rPr>
          <w:rFonts w:cs="Arial"/>
          <w:kern w:val="28"/>
          <w:szCs w:val="24"/>
          <w:lang w:val="en-CA"/>
        </w:rPr>
        <w:t>.</w:t>
      </w:r>
      <w:r w:rsidR="00BE1A5A" w:rsidRPr="00A92931">
        <w:rPr>
          <w:rFonts w:cs="Arial"/>
          <w:kern w:val="28"/>
          <w:szCs w:val="24"/>
          <w:vertAlign w:val="superscript"/>
          <w:lang w:val="en-CA"/>
        </w:rPr>
        <w:footnoteReference w:id="9"/>
      </w:r>
    </w:p>
    <w:p w14:paraId="7E90AD72" w14:textId="02C5B152"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As </w:t>
      </w:r>
      <w:r w:rsidR="005A7F2F" w:rsidRPr="00A92931">
        <w:rPr>
          <w:rFonts w:cs="Arial"/>
          <w:kern w:val="28"/>
          <w:szCs w:val="24"/>
          <w:lang w:val="en-CA"/>
        </w:rPr>
        <w:t>not</w:t>
      </w:r>
      <w:r w:rsidRPr="00A92931">
        <w:rPr>
          <w:rFonts w:cs="Arial"/>
          <w:kern w:val="28"/>
          <w:szCs w:val="24"/>
          <w:lang w:val="en-CA"/>
        </w:rPr>
        <w:t>ed, the appellant is not seeking compensatory damages, but claims</w:t>
      </w:r>
      <w:r w:rsidR="005A7F2F" w:rsidRPr="00A92931">
        <w:rPr>
          <w:rFonts w:cs="Arial"/>
          <w:kern w:val="28"/>
          <w:szCs w:val="24"/>
          <w:lang w:val="en-CA"/>
        </w:rPr>
        <w:t xml:space="preserve"> the following</w:t>
      </w:r>
      <w:r w:rsidRPr="00A92931">
        <w:rPr>
          <w:rFonts w:cs="Arial"/>
          <w:kern w:val="28"/>
          <w:szCs w:val="24"/>
          <w:lang w:val="en-CA"/>
        </w:rPr>
        <w:t xml:space="preserve"> as </w:t>
      </w:r>
      <w:r w:rsidR="005A7F2F" w:rsidRPr="00A92931">
        <w:rPr>
          <w:rFonts w:cs="Arial"/>
          <w:kern w:val="28"/>
          <w:szCs w:val="24"/>
          <w:lang w:val="en-CA"/>
        </w:rPr>
        <w:t xml:space="preserve">an </w:t>
      </w:r>
      <w:r w:rsidRPr="00A92931">
        <w:rPr>
          <w:rFonts w:cs="Arial"/>
          <w:kern w:val="28"/>
          <w:szCs w:val="24"/>
          <w:lang w:val="en-CA"/>
        </w:rPr>
        <w:t xml:space="preserve">appropriate remedy under section 24(1) of the </w:t>
      </w:r>
      <w:r w:rsidRPr="00A92931">
        <w:rPr>
          <w:rFonts w:cs="Arial"/>
          <w:i/>
          <w:iCs/>
          <w:kern w:val="28"/>
          <w:szCs w:val="24"/>
          <w:lang w:val="en-CA"/>
        </w:rPr>
        <w:t>Canadian Charter</w:t>
      </w:r>
      <w:r w:rsidRPr="00A92931">
        <w:rPr>
          <w:rFonts w:cs="Arial"/>
          <w:kern w:val="28"/>
          <w:szCs w:val="24"/>
          <w:lang w:val="en-CA"/>
        </w:rPr>
        <w:t xml:space="preserve"> and </w:t>
      </w:r>
      <w:r w:rsidR="00175959" w:rsidRPr="00A92931">
        <w:rPr>
          <w:rFonts w:cs="Arial"/>
          <w:kern w:val="28"/>
          <w:szCs w:val="24"/>
          <w:lang w:val="en-CA"/>
        </w:rPr>
        <w:t xml:space="preserve">section </w:t>
      </w:r>
      <w:r w:rsidRPr="00A92931">
        <w:rPr>
          <w:rFonts w:cs="Arial"/>
          <w:kern w:val="28"/>
          <w:szCs w:val="24"/>
          <w:lang w:val="en-CA"/>
        </w:rPr>
        <w:t xml:space="preserve">49 of the </w:t>
      </w:r>
      <w:r w:rsidRPr="006E7D06">
        <w:rPr>
          <w:rFonts w:cs="Arial"/>
          <w:i/>
          <w:iCs/>
          <w:kern w:val="28"/>
          <w:szCs w:val="24"/>
          <w:lang w:val="en-CA"/>
        </w:rPr>
        <w:t>Quebec</w:t>
      </w:r>
      <w:r w:rsidRPr="00CA7598">
        <w:rPr>
          <w:rFonts w:cs="Arial"/>
          <w:i/>
          <w:iCs/>
          <w:kern w:val="28"/>
          <w:szCs w:val="24"/>
          <w:lang w:val="en-CA"/>
        </w:rPr>
        <w:t xml:space="preserve"> </w:t>
      </w:r>
      <w:r w:rsidRPr="00A92931">
        <w:rPr>
          <w:rFonts w:cs="Arial"/>
          <w:i/>
          <w:iCs/>
          <w:kern w:val="28"/>
          <w:szCs w:val="24"/>
          <w:lang w:val="en-CA"/>
        </w:rPr>
        <w:t>Charter</w:t>
      </w:r>
      <w:r w:rsidR="005A7F2F" w:rsidRPr="00A92931">
        <w:rPr>
          <w:rFonts w:cs="Arial"/>
          <w:kern w:val="28"/>
          <w:szCs w:val="24"/>
          <w:lang w:val="en-CA"/>
        </w:rPr>
        <w:t>:</w:t>
      </w:r>
    </w:p>
    <w:p w14:paraId="04597C03" w14:textId="1F208297" w:rsidR="005A7F2F" w:rsidRPr="00A92931" w:rsidRDefault="005A7F2F" w:rsidP="005A7F2F">
      <w:pPr>
        <w:spacing w:after="240" w:line="240" w:lineRule="auto"/>
        <w:ind w:left="720"/>
        <w:jc w:val="both"/>
        <w:rPr>
          <w:rFonts w:cs="Arial"/>
          <w:kern w:val="28"/>
          <w:szCs w:val="24"/>
          <w:lang w:val="en-CA"/>
        </w:rPr>
      </w:pPr>
      <w:r w:rsidRPr="00A92931">
        <w:rPr>
          <w:rFonts w:cs="Arial"/>
          <w:kern w:val="28"/>
          <w:szCs w:val="24"/>
          <w:lang w:val="en-CA"/>
        </w:rPr>
        <w:t>[</w:t>
      </w:r>
      <w:r w:rsidRPr="00A92931">
        <w:rPr>
          <w:rFonts w:cs="Arial"/>
          <w:smallCaps/>
          <w:kern w:val="28"/>
          <w:szCs w:val="24"/>
          <w:lang w:val="en-CA"/>
        </w:rPr>
        <w:t>translation</w:t>
      </w:r>
      <w:r w:rsidRPr="00A92931">
        <w:rPr>
          <w:rFonts w:cs="Arial"/>
          <w:kern w:val="28"/>
          <w:szCs w:val="24"/>
          <w:lang w:val="en-CA"/>
        </w:rPr>
        <w:t>]</w:t>
      </w:r>
    </w:p>
    <w:p w14:paraId="0F5AED45" w14:textId="04281B9B" w:rsidR="00236200" w:rsidRPr="00A92931" w:rsidRDefault="00AE0DE0" w:rsidP="001312CB">
      <w:pPr>
        <w:pStyle w:val="Citationenretrait"/>
        <w:spacing w:before="0" w:after="240" w:line="240" w:lineRule="auto"/>
        <w:rPr>
          <w:lang w:val="en-CA"/>
        </w:rPr>
      </w:pPr>
      <w:r w:rsidRPr="00A92931">
        <w:rPr>
          <w:lang w:val="en-CA"/>
        </w:rPr>
        <w:t xml:space="preserve">DECLARE that the Government of Canada, by adopting </w:t>
      </w:r>
      <w:r w:rsidR="00D239D0" w:rsidRPr="00A92931">
        <w:rPr>
          <w:lang w:val="en-CA"/>
        </w:rPr>
        <w:t xml:space="preserve">reduction targets for </w:t>
      </w:r>
      <w:r w:rsidRPr="00A92931">
        <w:rPr>
          <w:lang w:val="en-CA"/>
        </w:rPr>
        <w:t xml:space="preserve">dangerous greenhouse gas and failing to implement the necessary measures to limit global warming to 1.5, </w:t>
      </w:r>
      <w:r w:rsidR="00DF4C47" w:rsidRPr="00A92931">
        <w:rPr>
          <w:lang w:val="en-CA"/>
        </w:rPr>
        <w:t>infringes</w:t>
      </w:r>
      <w:r w:rsidRPr="00A92931">
        <w:rPr>
          <w:lang w:val="en-CA"/>
        </w:rPr>
        <w:t>:</w:t>
      </w:r>
    </w:p>
    <w:p w14:paraId="2E4D3779" w14:textId="63060932" w:rsidR="00236200" w:rsidRPr="00A92931" w:rsidRDefault="00AE0DE0" w:rsidP="00054003">
      <w:pPr>
        <w:pStyle w:val="Citationenretrait"/>
        <w:numPr>
          <w:ilvl w:val="0"/>
          <w:numId w:val="21"/>
        </w:numPr>
        <w:spacing w:before="0" w:after="240" w:line="240" w:lineRule="auto"/>
        <w:rPr>
          <w:lang w:val="en-CA"/>
        </w:rPr>
      </w:pPr>
      <w:r w:rsidRPr="00A92931">
        <w:rPr>
          <w:lang w:val="en-CA"/>
        </w:rPr>
        <w:t xml:space="preserve">The right of </w:t>
      </w:r>
      <w:r w:rsidR="0060039F" w:rsidRPr="00A92931">
        <w:rPr>
          <w:lang w:val="en-CA"/>
        </w:rPr>
        <w:t>class</w:t>
      </w:r>
      <w:r w:rsidRPr="00A92931">
        <w:rPr>
          <w:lang w:val="en-CA"/>
        </w:rPr>
        <w:t xml:space="preserve"> members to life, integrity and security, as protected by the </w:t>
      </w:r>
      <w:r w:rsidRPr="00A92931">
        <w:rPr>
          <w:i/>
          <w:iCs/>
          <w:lang w:val="en-CA"/>
        </w:rPr>
        <w:t>Canadian Charter</w:t>
      </w:r>
      <w:r w:rsidRPr="00A92931">
        <w:rPr>
          <w:lang w:val="en-CA"/>
        </w:rPr>
        <w:t xml:space="preserve"> and the </w:t>
      </w:r>
      <w:r w:rsidRPr="006E7D06">
        <w:rPr>
          <w:i/>
          <w:iCs/>
          <w:lang w:val="en-CA"/>
        </w:rPr>
        <w:t>Quebec</w:t>
      </w:r>
      <w:r w:rsidRPr="00A92931">
        <w:rPr>
          <w:i/>
          <w:iCs/>
          <w:lang w:val="en-CA"/>
        </w:rPr>
        <w:t xml:space="preserve"> Charter</w:t>
      </w:r>
    </w:p>
    <w:p w14:paraId="6355FAC4" w14:textId="2B743986" w:rsidR="00236200" w:rsidRPr="00A92931" w:rsidRDefault="00AE0DE0" w:rsidP="00054003">
      <w:pPr>
        <w:pStyle w:val="Citationenretrait"/>
        <w:numPr>
          <w:ilvl w:val="0"/>
          <w:numId w:val="21"/>
        </w:numPr>
        <w:spacing w:before="0" w:after="240" w:line="240" w:lineRule="auto"/>
        <w:rPr>
          <w:lang w:val="en-CA"/>
        </w:rPr>
      </w:pPr>
      <w:r w:rsidRPr="00A92931">
        <w:rPr>
          <w:lang w:val="en-CA"/>
        </w:rPr>
        <w:t xml:space="preserve">The right of </w:t>
      </w:r>
      <w:r w:rsidR="0060039F" w:rsidRPr="00A92931">
        <w:rPr>
          <w:lang w:val="en-CA"/>
        </w:rPr>
        <w:t>class</w:t>
      </w:r>
      <w:r w:rsidRPr="00A92931">
        <w:rPr>
          <w:lang w:val="en-CA"/>
        </w:rPr>
        <w:t xml:space="preserve"> members to a healthy environment respectful of biodiversity protected by the </w:t>
      </w:r>
      <w:r w:rsidRPr="006E7D06">
        <w:rPr>
          <w:i/>
          <w:iCs/>
          <w:lang w:val="en-CA"/>
        </w:rPr>
        <w:t>Quebec</w:t>
      </w:r>
      <w:r w:rsidRPr="00CA7598">
        <w:rPr>
          <w:i/>
          <w:iCs/>
          <w:lang w:val="en-CA"/>
        </w:rPr>
        <w:t xml:space="preserve"> </w:t>
      </w:r>
      <w:r w:rsidRPr="00A92931">
        <w:rPr>
          <w:i/>
          <w:iCs/>
          <w:lang w:val="en-CA"/>
        </w:rPr>
        <w:t>Charter</w:t>
      </w:r>
    </w:p>
    <w:p w14:paraId="74821AED" w14:textId="4A8F65FB" w:rsidR="00236200" w:rsidRPr="00A92931" w:rsidRDefault="00AE0DE0" w:rsidP="00054003">
      <w:pPr>
        <w:pStyle w:val="Citationenretrait"/>
        <w:numPr>
          <w:ilvl w:val="0"/>
          <w:numId w:val="21"/>
        </w:numPr>
        <w:spacing w:before="0" w:after="240" w:line="240" w:lineRule="auto"/>
        <w:rPr>
          <w:lang w:val="en-CA"/>
        </w:rPr>
      </w:pPr>
      <w:r w:rsidRPr="00A92931">
        <w:rPr>
          <w:lang w:val="en-CA"/>
        </w:rPr>
        <w:t xml:space="preserve">Treats </w:t>
      </w:r>
      <w:r w:rsidR="008275EA" w:rsidRPr="00A92931">
        <w:rPr>
          <w:lang w:val="en-CA"/>
        </w:rPr>
        <w:t xml:space="preserve">class </w:t>
      </w:r>
      <w:r w:rsidRPr="00A92931">
        <w:rPr>
          <w:lang w:val="en-CA"/>
        </w:rPr>
        <w:t xml:space="preserve">members in a discriminatory manner, thereby </w:t>
      </w:r>
      <w:r w:rsidR="0069266F" w:rsidRPr="00A92931">
        <w:rPr>
          <w:lang w:val="en-CA"/>
        </w:rPr>
        <w:t>infringing</w:t>
      </w:r>
      <w:r w:rsidRPr="00A92931">
        <w:rPr>
          <w:lang w:val="en-CA"/>
        </w:rPr>
        <w:t xml:space="preserve"> their right to exercise their rights equally as protected by the </w:t>
      </w:r>
      <w:r w:rsidRPr="00A92931">
        <w:rPr>
          <w:i/>
          <w:iCs/>
          <w:lang w:val="en-CA"/>
        </w:rPr>
        <w:t>Canadian Charter</w:t>
      </w:r>
      <w:r w:rsidRPr="00A92931">
        <w:rPr>
          <w:lang w:val="en-CA"/>
        </w:rPr>
        <w:t xml:space="preserve"> and the </w:t>
      </w:r>
      <w:r w:rsidRPr="006E7D06">
        <w:rPr>
          <w:i/>
          <w:iCs/>
          <w:lang w:val="en-CA"/>
        </w:rPr>
        <w:t>Quebec</w:t>
      </w:r>
      <w:r w:rsidRPr="00CA7598">
        <w:rPr>
          <w:i/>
          <w:iCs/>
          <w:lang w:val="en-CA"/>
        </w:rPr>
        <w:t xml:space="preserve"> </w:t>
      </w:r>
      <w:r w:rsidRPr="00A92931">
        <w:rPr>
          <w:i/>
          <w:iCs/>
          <w:lang w:val="en-CA"/>
        </w:rPr>
        <w:t>Charter</w:t>
      </w:r>
      <w:r w:rsidRPr="00A92931">
        <w:rPr>
          <w:lang w:val="en-CA"/>
        </w:rPr>
        <w:t>.</w:t>
      </w:r>
    </w:p>
    <w:p w14:paraId="3E4FDB40" w14:textId="52B526F7" w:rsidR="00236200" w:rsidRPr="00A92931" w:rsidRDefault="007D3813" w:rsidP="001312CB">
      <w:pPr>
        <w:pStyle w:val="Citationenretrait"/>
        <w:spacing w:before="0" w:after="240" w:line="240" w:lineRule="auto"/>
        <w:rPr>
          <w:lang w:val="en-CA"/>
        </w:rPr>
      </w:pPr>
      <w:r w:rsidRPr="00A92931">
        <w:rPr>
          <w:lang w:val="en-CA"/>
        </w:rPr>
        <w:t>DECLARE</w:t>
      </w:r>
      <w:r w:rsidR="00AE0DE0" w:rsidRPr="00A92931">
        <w:rPr>
          <w:lang w:val="en-CA"/>
        </w:rPr>
        <w:t xml:space="preserve"> that the Government of Canada's failure to adopt reduction targets </w:t>
      </w:r>
      <w:r w:rsidR="00750037" w:rsidRPr="00A92931">
        <w:rPr>
          <w:lang w:val="en-CA"/>
        </w:rPr>
        <w:t xml:space="preserve">for </w:t>
      </w:r>
      <w:r w:rsidR="008275EA" w:rsidRPr="00A92931">
        <w:rPr>
          <w:lang w:val="en-CA"/>
        </w:rPr>
        <w:t xml:space="preserve">dangerous greenhouse gases </w:t>
      </w:r>
      <w:r w:rsidR="00AE0DE0" w:rsidRPr="00A92931">
        <w:rPr>
          <w:lang w:val="en-CA"/>
        </w:rPr>
        <w:t>and to implement the necessary measures to limit global warming to 1.5</w:t>
      </w:r>
      <w:r w:rsidR="0090309F" w:rsidRPr="00A92931">
        <w:rPr>
          <w:rFonts w:cs="Arial"/>
          <w:szCs w:val="24"/>
          <w:lang w:val="en-CA"/>
        </w:rPr>
        <w:t>,</w:t>
      </w:r>
      <w:r w:rsidR="00C04B9B" w:rsidRPr="00A92931">
        <w:rPr>
          <w:rFonts w:cs="Arial"/>
          <w:szCs w:val="24"/>
          <w:lang w:val="en-CA"/>
        </w:rPr>
        <w:t xml:space="preserve"> </w:t>
      </w:r>
      <w:r w:rsidR="00C04B9B" w:rsidRPr="00A92931">
        <w:rPr>
          <w:lang w:val="en-CA"/>
        </w:rPr>
        <w:t>infringes</w:t>
      </w:r>
      <w:r w:rsidR="00AE0DE0" w:rsidRPr="00A92931">
        <w:rPr>
          <w:lang w:val="en-CA"/>
        </w:rPr>
        <w:t xml:space="preserve"> the fundamental rights of these individuals;</w:t>
      </w:r>
    </w:p>
    <w:p w14:paraId="189B087C" w14:textId="77777777" w:rsidR="00236200" w:rsidRPr="00A92931" w:rsidRDefault="00054003" w:rsidP="001312CB">
      <w:pPr>
        <w:pStyle w:val="Citationenretrait"/>
        <w:spacing w:before="0" w:after="240" w:line="240" w:lineRule="auto"/>
        <w:rPr>
          <w:lang w:val="en-CA"/>
        </w:rPr>
      </w:pPr>
      <w:r w:rsidRPr="00A92931">
        <w:rPr>
          <w:lang w:val="en-CA"/>
        </w:rPr>
        <w:t>ORDER the cessation of these breaches;</w:t>
      </w:r>
    </w:p>
    <w:p w14:paraId="0EA1358C" w14:textId="2ACE2735" w:rsidR="00236200" w:rsidRPr="00A92931" w:rsidRDefault="00C04B9B" w:rsidP="001312CB">
      <w:pPr>
        <w:pStyle w:val="Citationenretrait"/>
        <w:spacing w:before="0" w:after="240" w:line="240" w:lineRule="auto"/>
        <w:rPr>
          <w:lang w:val="en-CA"/>
        </w:rPr>
      </w:pPr>
      <w:r w:rsidRPr="00A92931">
        <w:rPr>
          <w:lang w:val="en-CA"/>
        </w:rPr>
        <w:t>CONDEMN</w:t>
      </w:r>
      <w:r w:rsidR="00054003" w:rsidRPr="00A92931">
        <w:rPr>
          <w:lang w:val="en-CA"/>
        </w:rPr>
        <w:t xml:space="preserve"> the Canadian government to pay $100 to each </w:t>
      </w:r>
      <w:r w:rsidRPr="00A92931">
        <w:rPr>
          <w:lang w:val="en-CA"/>
        </w:rPr>
        <w:t xml:space="preserve">class </w:t>
      </w:r>
      <w:r w:rsidR="00054003" w:rsidRPr="00A92931">
        <w:rPr>
          <w:lang w:val="en-CA"/>
        </w:rPr>
        <w:t>member as punitive damages;</w:t>
      </w:r>
    </w:p>
    <w:p w14:paraId="598FEDAF" w14:textId="0837D7CE" w:rsidR="00236200" w:rsidRPr="00A92931" w:rsidRDefault="00054003" w:rsidP="001312CB">
      <w:pPr>
        <w:pStyle w:val="Citationenretrait"/>
        <w:spacing w:before="0" w:after="240" w:line="240" w:lineRule="auto"/>
        <w:rPr>
          <w:lang w:val="en-CA"/>
        </w:rPr>
      </w:pPr>
      <w:r w:rsidRPr="00A92931">
        <w:rPr>
          <w:lang w:val="en-CA"/>
        </w:rPr>
        <w:t>D</w:t>
      </w:r>
      <w:r w:rsidR="00C04B9B" w:rsidRPr="00A92931">
        <w:rPr>
          <w:lang w:val="en-CA"/>
        </w:rPr>
        <w:t>ECLARE</w:t>
      </w:r>
      <w:r w:rsidRPr="00A92931">
        <w:rPr>
          <w:lang w:val="en-CA"/>
        </w:rPr>
        <w:t xml:space="preserve"> that </w:t>
      </w:r>
      <w:r w:rsidR="00C04EB3" w:rsidRPr="00A92931">
        <w:rPr>
          <w:lang w:val="en-CA"/>
        </w:rPr>
        <w:t>it</w:t>
      </w:r>
      <w:r w:rsidRPr="00A92931">
        <w:rPr>
          <w:lang w:val="en-CA"/>
        </w:rPr>
        <w:t xml:space="preserve"> would be impractica</w:t>
      </w:r>
      <w:r w:rsidR="00C04EB3" w:rsidRPr="00A92931">
        <w:rPr>
          <w:lang w:val="en-CA"/>
        </w:rPr>
        <w:t>l</w:t>
      </w:r>
      <w:r w:rsidRPr="00A92931">
        <w:rPr>
          <w:lang w:val="en-CA"/>
        </w:rPr>
        <w:t xml:space="preserve"> or too costly </w:t>
      </w:r>
      <w:r w:rsidR="00C04EB3" w:rsidRPr="00A92931">
        <w:rPr>
          <w:lang w:val="en-CA"/>
        </w:rPr>
        <w:t xml:space="preserve">to distribute the amounts </w:t>
      </w:r>
      <w:r w:rsidRPr="00A92931">
        <w:rPr>
          <w:lang w:val="en-CA"/>
        </w:rPr>
        <w:t xml:space="preserve">and, consequently, </w:t>
      </w:r>
      <w:r w:rsidR="00C04EB3" w:rsidRPr="00A92931">
        <w:rPr>
          <w:lang w:val="en-CA"/>
        </w:rPr>
        <w:t>ORDER</w:t>
      </w:r>
      <w:r w:rsidRPr="00A92931">
        <w:rPr>
          <w:lang w:val="en-CA"/>
        </w:rPr>
        <w:t xml:space="preserve"> the implementation of a remedial measure to help curb </w:t>
      </w:r>
      <w:r w:rsidR="007D3813" w:rsidRPr="00A92931">
        <w:rPr>
          <w:lang w:val="en-CA"/>
        </w:rPr>
        <w:t xml:space="preserve">global </w:t>
      </w:r>
      <w:r w:rsidRPr="00A92931">
        <w:rPr>
          <w:lang w:val="en-CA"/>
        </w:rPr>
        <w:t>warming;</w:t>
      </w:r>
    </w:p>
    <w:p w14:paraId="019E4AC3" w14:textId="751C3439" w:rsidR="00236200" w:rsidRPr="00A92931" w:rsidRDefault="00054003" w:rsidP="001312CB">
      <w:pPr>
        <w:pStyle w:val="Citationenretrait"/>
        <w:spacing w:before="0" w:after="240" w:line="240" w:lineRule="auto"/>
        <w:rPr>
          <w:lang w:val="en-CA"/>
        </w:rPr>
      </w:pPr>
      <w:r w:rsidRPr="00A92931">
        <w:rPr>
          <w:lang w:val="en-CA"/>
        </w:rPr>
        <w:lastRenderedPageBreak/>
        <w:t xml:space="preserve">ORDER any other remedy that the Court deems appropriate to impose on the government to ensure respect for the fundamental rights of </w:t>
      </w:r>
      <w:r w:rsidR="00C04B9B" w:rsidRPr="00A92931">
        <w:rPr>
          <w:lang w:val="en-CA"/>
        </w:rPr>
        <w:t xml:space="preserve">class </w:t>
      </w:r>
      <w:r w:rsidRPr="00A92931">
        <w:rPr>
          <w:lang w:val="en-CA"/>
        </w:rPr>
        <w:t>members;</w:t>
      </w:r>
    </w:p>
    <w:p w14:paraId="30A6DBCE" w14:textId="52D4C5F7" w:rsidR="00EA6F5F" w:rsidRPr="00A92931" w:rsidRDefault="00AE0DE0" w:rsidP="00EA6F5F">
      <w:pPr>
        <w:spacing w:after="240" w:line="240" w:lineRule="auto"/>
        <w:jc w:val="both"/>
        <w:rPr>
          <w:rFonts w:cs="Arial"/>
          <w:b/>
          <w:kern w:val="28"/>
          <w:szCs w:val="24"/>
          <w:lang w:val="en-CA"/>
        </w:rPr>
      </w:pPr>
      <w:r w:rsidRPr="00A92931">
        <w:rPr>
          <w:rFonts w:cs="Arial"/>
          <w:b/>
          <w:kern w:val="28"/>
          <w:szCs w:val="24"/>
          <w:lang w:val="en-CA"/>
        </w:rPr>
        <w:t xml:space="preserve">The </w:t>
      </w:r>
      <w:r w:rsidR="00C04B9B" w:rsidRPr="00A92931">
        <w:rPr>
          <w:rFonts w:cs="Arial"/>
          <w:b/>
          <w:kern w:val="28"/>
          <w:szCs w:val="24"/>
          <w:lang w:val="en-CA"/>
        </w:rPr>
        <w:t xml:space="preserve">justiciability </w:t>
      </w:r>
      <w:r w:rsidRPr="00A92931">
        <w:rPr>
          <w:rFonts w:cs="Arial"/>
          <w:b/>
          <w:kern w:val="28"/>
          <w:szCs w:val="24"/>
          <w:lang w:val="en-CA"/>
        </w:rPr>
        <w:t xml:space="preserve">of the proposed </w:t>
      </w:r>
      <w:r w:rsidR="0060039F" w:rsidRPr="00A92931">
        <w:rPr>
          <w:rFonts w:cs="Arial"/>
          <w:b/>
          <w:kern w:val="28"/>
          <w:szCs w:val="24"/>
          <w:lang w:val="en-CA"/>
        </w:rPr>
        <w:t>class action</w:t>
      </w:r>
    </w:p>
    <w:p w14:paraId="0C4B33D3" w14:textId="2BDD8336" w:rsidR="006E331A" w:rsidRPr="00A92931" w:rsidRDefault="001F69BC" w:rsidP="00133A57">
      <w:pPr>
        <w:pStyle w:val="Paragraphe"/>
        <w:spacing w:before="0" w:after="240" w:line="240" w:lineRule="auto"/>
        <w:rPr>
          <w:lang w:val="en-CA"/>
        </w:rPr>
      </w:pPr>
      <w:r w:rsidRPr="00A92931">
        <w:rPr>
          <w:rFonts w:cs="Arial"/>
          <w:szCs w:val="24"/>
          <w:lang w:val="en-CA"/>
        </w:rPr>
        <w:t xml:space="preserve">The principle of the separation of powers between the legislature, the executive, and the judiciary is inherent </w:t>
      </w:r>
      <w:r w:rsidR="002E2174" w:rsidRPr="00A92931">
        <w:rPr>
          <w:rFonts w:cs="Arial"/>
          <w:szCs w:val="24"/>
          <w:lang w:val="en-CA"/>
        </w:rPr>
        <w:t>to</w:t>
      </w:r>
      <w:r w:rsidRPr="00A92931">
        <w:rPr>
          <w:rFonts w:cs="Arial"/>
          <w:szCs w:val="24"/>
          <w:lang w:val="en-CA"/>
        </w:rPr>
        <w:t xml:space="preserve"> the Canadian constitutional system. </w:t>
      </w:r>
      <w:r w:rsidR="00857A74" w:rsidRPr="00A92931">
        <w:rPr>
          <w:rFonts w:cs="Arial"/>
          <w:szCs w:val="24"/>
          <w:lang w:val="en-CA"/>
        </w:rPr>
        <w:t>D</w:t>
      </w:r>
      <w:r w:rsidRPr="00A92931">
        <w:rPr>
          <w:rFonts w:cs="Arial"/>
          <w:szCs w:val="24"/>
          <w:lang w:val="en-CA"/>
        </w:rPr>
        <w:t xml:space="preserve">ue to their complexity, </w:t>
      </w:r>
      <w:r w:rsidR="00857A74" w:rsidRPr="00A92931">
        <w:rPr>
          <w:rFonts w:cs="Arial"/>
          <w:szCs w:val="24"/>
          <w:lang w:val="en-CA"/>
        </w:rPr>
        <w:t xml:space="preserve">certain issues </w:t>
      </w:r>
      <w:r w:rsidRPr="00A92931">
        <w:rPr>
          <w:rFonts w:cs="Arial"/>
          <w:szCs w:val="24"/>
          <w:lang w:val="en-CA"/>
        </w:rPr>
        <w:t>cannot adequately be the subject of court orders. According to the Supreme Court, “[</w:t>
      </w:r>
      <w:r w:rsidR="008A68D0" w:rsidRPr="00A92931">
        <w:rPr>
          <w:rFonts w:cs="Arial"/>
          <w:szCs w:val="24"/>
          <w:lang w:val="en-CA"/>
        </w:rPr>
        <w:t>a</w:t>
      </w:r>
      <w:r w:rsidRPr="00A92931">
        <w:rPr>
          <w:rFonts w:cs="Arial"/>
          <w:szCs w:val="24"/>
          <w:lang w:val="en-CA"/>
        </w:rPr>
        <w:t>]</w:t>
      </w:r>
      <w:r w:rsidR="006E14F9" w:rsidRPr="00A92931">
        <w:rPr>
          <w:rFonts w:cs="Arial"/>
          <w:szCs w:val="24"/>
          <w:lang w:val="en-CA"/>
        </w:rPr>
        <w:t xml:space="preserve">ll </w:t>
      </w:r>
      <w:r w:rsidRPr="00A92931">
        <w:rPr>
          <w:rFonts w:cs="Arial"/>
          <w:szCs w:val="24"/>
          <w:lang w:val="en-CA"/>
        </w:rPr>
        <w:t xml:space="preserve">three </w:t>
      </w:r>
      <w:r w:rsidR="008A68D0" w:rsidRPr="00A92931">
        <w:rPr>
          <w:rFonts w:cs="Arial"/>
          <w:szCs w:val="24"/>
          <w:lang w:val="en-CA"/>
        </w:rPr>
        <w:t>branches</w:t>
      </w:r>
      <w:r w:rsidRPr="00A92931">
        <w:rPr>
          <w:rFonts w:cs="Arial"/>
          <w:szCs w:val="24"/>
          <w:lang w:val="en-CA"/>
        </w:rPr>
        <w:t xml:space="preserve"> have distinct institutional </w:t>
      </w:r>
      <w:r w:rsidR="008A68D0" w:rsidRPr="00A92931">
        <w:rPr>
          <w:rFonts w:cs="Arial"/>
          <w:szCs w:val="24"/>
          <w:lang w:val="en-CA"/>
        </w:rPr>
        <w:t>capacities</w:t>
      </w:r>
      <w:r w:rsidRPr="00A92931">
        <w:rPr>
          <w:rFonts w:cs="Arial"/>
          <w:szCs w:val="24"/>
          <w:lang w:val="en-CA"/>
        </w:rPr>
        <w:t xml:space="preserve"> and play </w:t>
      </w:r>
      <w:r w:rsidR="008A68D0" w:rsidRPr="00A92931">
        <w:rPr>
          <w:rFonts w:cs="Arial"/>
          <w:szCs w:val="24"/>
          <w:lang w:val="en-CA"/>
        </w:rPr>
        <w:t>critical</w:t>
      </w:r>
      <w:r w:rsidRPr="00A92931">
        <w:rPr>
          <w:rFonts w:cs="Arial"/>
          <w:szCs w:val="24"/>
          <w:lang w:val="en-CA"/>
        </w:rPr>
        <w:t xml:space="preserve"> and complementary roles in our constitutional democracy.</w:t>
      </w:r>
      <w:r w:rsidR="00AE0DE0" w:rsidRPr="00A92931">
        <w:rPr>
          <w:lang w:val="en-CA"/>
        </w:rPr>
        <w:t xml:space="preserve"> </w:t>
      </w:r>
      <w:r w:rsidRPr="00A92931">
        <w:rPr>
          <w:rFonts w:cs="Arial"/>
          <w:szCs w:val="24"/>
          <w:lang w:val="en-CA"/>
        </w:rPr>
        <w:t xml:space="preserve">However, </w:t>
      </w:r>
      <w:r w:rsidR="008A68D0" w:rsidRPr="00A92931">
        <w:rPr>
          <w:rFonts w:cs="Arial"/>
          <w:szCs w:val="24"/>
          <w:lang w:val="en-CA"/>
        </w:rPr>
        <w:t>each branch will be unable to fulfill its</w:t>
      </w:r>
      <w:r w:rsidRPr="00A92931">
        <w:rPr>
          <w:rFonts w:cs="Arial"/>
          <w:szCs w:val="24"/>
          <w:lang w:val="en-CA"/>
        </w:rPr>
        <w:t xml:space="preserve"> role </w:t>
      </w:r>
      <w:r w:rsidR="008A68D0" w:rsidRPr="00A92931">
        <w:rPr>
          <w:rFonts w:cs="Arial"/>
          <w:szCs w:val="24"/>
          <w:lang w:val="en-CA"/>
        </w:rPr>
        <w:t>if</w:t>
      </w:r>
      <w:r w:rsidRPr="00A92931">
        <w:rPr>
          <w:rFonts w:cs="Arial"/>
          <w:szCs w:val="24"/>
          <w:lang w:val="en-CA"/>
        </w:rPr>
        <w:t xml:space="preserve"> </w:t>
      </w:r>
      <w:r w:rsidR="008A68D0" w:rsidRPr="00A92931">
        <w:rPr>
          <w:rFonts w:cs="Arial"/>
          <w:szCs w:val="24"/>
          <w:lang w:val="en-CA"/>
        </w:rPr>
        <w:t>it is</w:t>
      </w:r>
      <w:r w:rsidRPr="00A92931">
        <w:rPr>
          <w:rFonts w:cs="Arial"/>
          <w:szCs w:val="24"/>
          <w:lang w:val="en-CA"/>
        </w:rPr>
        <w:t xml:space="preserve"> unduly </w:t>
      </w:r>
      <w:r w:rsidR="008A68D0" w:rsidRPr="00A92931">
        <w:rPr>
          <w:rFonts w:cs="Arial"/>
          <w:szCs w:val="24"/>
          <w:lang w:val="en-CA"/>
        </w:rPr>
        <w:t>interfered with by others”</w:t>
      </w:r>
      <w:r w:rsidRPr="00A92931">
        <w:rPr>
          <w:rFonts w:cs="Arial"/>
          <w:szCs w:val="24"/>
          <w:lang w:val="en-CA"/>
        </w:rPr>
        <w:t>.</w:t>
      </w:r>
      <w:r w:rsidR="00BF3EA2" w:rsidRPr="00A92931">
        <w:rPr>
          <w:rStyle w:val="Appelnotedebasdep"/>
          <w:rFonts w:cs="Arial"/>
          <w:szCs w:val="24"/>
          <w:lang w:val="en-CA"/>
        </w:rPr>
        <w:footnoteReference w:id="10"/>
      </w:r>
    </w:p>
    <w:p w14:paraId="3C0FD74B" w14:textId="6BCACF77" w:rsidR="00D11C7E" w:rsidRPr="00A92931" w:rsidRDefault="00AB7D6B" w:rsidP="00133A57">
      <w:pPr>
        <w:pStyle w:val="Paragraphe"/>
        <w:spacing w:before="0" w:after="240" w:line="240" w:lineRule="auto"/>
        <w:rPr>
          <w:lang w:val="en-CA"/>
        </w:rPr>
      </w:pPr>
      <w:r w:rsidRPr="00A92931">
        <w:rPr>
          <w:rFonts w:cs="Arial"/>
          <w:szCs w:val="24"/>
          <w:lang w:val="en-CA"/>
        </w:rPr>
        <w:t>In the absence of legislation, the constitutional review of government inaction by the courts is highly problematic.</w:t>
      </w:r>
      <w:r w:rsidR="00AE0DE0" w:rsidRPr="00A92931">
        <w:rPr>
          <w:lang w:val="en-CA"/>
        </w:rPr>
        <w:t xml:space="preserve"> </w:t>
      </w:r>
      <w:r w:rsidRPr="00A92931">
        <w:rPr>
          <w:rFonts w:cs="Arial"/>
          <w:szCs w:val="24"/>
          <w:lang w:val="en-CA"/>
        </w:rPr>
        <w:t xml:space="preserve">This is not about noting the exclusion of a person or </w:t>
      </w:r>
      <w:r w:rsidR="00CA5363" w:rsidRPr="00A92931">
        <w:rPr>
          <w:rFonts w:cs="Arial"/>
          <w:szCs w:val="24"/>
          <w:lang w:val="en-CA"/>
        </w:rPr>
        <w:t xml:space="preserve">group </w:t>
      </w:r>
      <w:r w:rsidRPr="00A92931">
        <w:rPr>
          <w:rFonts w:cs="Arial"/>
          <w:szCs w:val="24"/>
          <w:lang w:val="en-CA"/>
        </w:rPr>
        <w:t xml:space="preserve">from a </w:t>
      </w:r>
      <w:r w:rsidR="00CA5363" w:rsidRPr="00A92931">
        <w:rPr>
          <w:rFonts w:cs="Arial"/>
          <w:szCs w:val="24"/>
          <w:lang w:val="en-CA"/>
        </w:rPr>
        <w:t>statutory regime</w:t>
      </w:r>
      <w:r w:rsidRPr="00A92931">
        <w:rPr>
          <w:rFonts w:cs="Arial"/>
          <w:szCs w:val="24"/>
          <w:lang w:val="en-CA"/>
        </w:rPr>
        <w:t>, which sometimes allows a court to force the government to act.</w:t>
      </w:r>
      <w:r w:rsidR="002E2174" w:rsidRPr="00A92931">
        <w:rPr>
          <w:rStyle w:val="Appelnotedebasdep"/>
          <w:rFonts w:cs="Arial"/>
          <w:szCs w:val="24"/>
          <w:lang w:val="en-CA"/>
        </w:rPr>
        <w:footnoteReference w:id="11"/>
      </w:r>
      <w:r w:rsidR="00AE0DE0" w:rsidRPr="00A92931">
        <w:rPr>
          <w:lang w:val="en-CA"/>
        </w:rPr>
        <w:t xml:space="preserve"> </w:t>
      </w:r>
      <w:r w:rsidR="00CA7D8B" w:rsidRPr="00A92931">
        <w:rPr>
          <w:rFonts w:cs="Arial"/>
          <w:szCs w:val="24"/>
          <w:lang w:val="en-CA"/>
        </w:rPr>
        <w:t>Nor is the</w:t>
      </w:r>
      <w:r w:rsidR="000E4429" w:rsidRPr="00A92931">
        <w:rPr>
          <w:rFonts w:cs="Arial"/>
          <w:szCs w:val="24"/>
          <w:lang w:val="en-CA"/>
        </w:rPr>
        <w:t xml:space="preserve"> objective to oblige the </w:t>
      </w:r>
      <w:r w:rsidR="008A0338" w:rsidRPr="00A92931">
        <w:rPr>
          <w:rFonts w:cs="Arial"/>
          <w:szCs w:val="24"/>
          <w:lang w:val="en-CA"/>
        </w:rPr>
        <w:t>S</w:t>
      </w:r>
      <w:r w:rsidR="000E4429" w:rsidRPr="00A92931">
        <w:rPr>
          <w:rFonts w:cs="Arial"/>
          <w:szCs w:val="24"/>
          <w:lang w:val="en-CA"/>
        </w:rPr>
        <w:t xml:space="preserve">tate to </w:t>
      </w:r>
      <w:r w:rsidR="00CA7D8B" w:rsidRPr="00A92931">
        <w:rPr>
          <w:rFonts w:cs="Arial"/>
          <w:szCs w:val="24"/>
          <w:lang w:val="en-CA"/>
        </w:rPr>
        <w:t>expand</w:t>
      </w:r>
      <w:r w:rsidR="000E4429" w:rsidRPr="00A92931">
        <w:rPr>
          <w:rFonts w:cs="Arial"/>
          <w:szCs w:val="24"/>
          <w:lang w:val="en-CA"/>
        </w:rPr>
        <w:t xml:space="preserve"> the scope of a </w:t>
      </w:r>
      <w:r w:rsidR="00335C8E" w:rsidRPr="00A92931">
        <w:rPr>
          <w:rFonts w:cs="Arial"/>
          <w:szCs w:val="24"/>
          <w:lang w:val="en-CA"/>
        </w:rPr>
        <w:t>statute</w:t>
      </w:r>
      <w:r w:rsidR="000E4429" w:rsidRPr="00A92931">
        <w:rPr>
          <w:rFonts w:cs="Arial"/>
          <w:szCs w:val="24"/>
          <w:lang w:val="en-CA"/>
        </w:rPr>
        <w:t xml:space="preserve"> </w:t>
      </w:r>
      <w:r w:rsidR="00335C8E" w:rsidRPr="00A92931">
        <w:rPr>
          <w:rFonts w:cs="Arial"/>
          <w:szCs w:val="24"/>
          <w:lang w:val="en-CA"/>
        </w:rPr>
        <w:t>that is underinclusive</w:t>
      </w:r>
      <w:r w:rsidR="000E4429" w:rsidRPr="00A92931">
        <w:rPr>
          <w:rFonts w:cs="Arial"/>
          <w:szCs w:val="24"/>
          <w:lang w:val="en-CA"/>
        </w:rPr>
        <w:t>,</w:t>
      </w:r>
      <w:r w:rsidR="003E0A19" w:rsidRPr="00A92931">
        <w:rPr>
          <w:rStyle w:val="Appelnotedebasdep"/>
          <w:rFonts w:cs="Arial"/>
          <w:szCs w:val="24"/>
          <w:lang w:val="en-CA"/>
        </w:rPr>
        <w:footnoteReference w:id="12"/>
      </w:r>
      <w:r w:rsidR="003E0A19" w:rsidRPr="00A92931">
        <w:rPr>
          <w:lang w:val="en-CA"/>
        </w:rPr>
        <w:t xml:space="preserve"> </w:t>
      </w:r>
      <w:r w:rsidR="000E4429" w:rsidRPr="00A92931">
        <w:rPr>
          <w:rFonts w:cs="Arial"/>
          <w:szCs w:val="24"/>
          <w:lang w:val="en-CA"/>
        </w:rPr>
        <w:t xml:space="preserve">nor to </w:t>
      </w:r>
      <w:r w:rsidR="00BF3EA2" w:rsidRPr="00A92931">
        <w:rPr>
          <w:rFonts w:cs="Arial"/>
          <w:szCs w:val="24"/>
          <w:lang w:val="en-CA"/>
        </w:rPr>
        <w:t>note</w:t>
      </w:r>
      <w:r w:rsidR="000E4429" w:rsidRPr="00A92931">
        <w:rPr>
          <w:rFonts w:cs="Arial"/>
          <w:szCs w:val="24"/>
          <w:lang w:val="en-CA"/>
        </w:rPr>
        <w:t xml:space="preserve"> that </w:t>
      </w:r>
      <w:r w:rsidR="00B00C19" w:rsidRPr="00A92931">
        <w:rPr>
          <w:rFonts w:cs="Arial"/>
          <w:szCs w:val="24"/>
          <w:lang w:val="en-CA"/>
        </w:rPr>
        <w:t xml:space="preserve">when the </w:t>
      </w:r>
      <w:r w:rsidR="008A0338" w:rsidRPr="00A92931">
        <w:rPr>
          <w:rFonts w:cs="Arial"/>
          <w:szCs w:val="24"/>
          <w:lang w:val="en-CA"/>
        </w:rPr>
        <w:t>S</w:t>
      </w:r>
      <w:r w:rsidR="00B00C19" w:rsidRPr="00A92931">
        <w:rPr>
          <w:rFonts w:cs="Arial"/>
          <w:szCs w:val="24"/>
          <w:lang w:val="en-CA"/>
        </w:rPr>
        <w:t>tate</w:t>
      </w:r>
      <w:r w:rsidR="000E4429" w:rsidRPr="00A92931">
        <w:rPr>
          <w:rFonts w:cs="Arial"/>
          <w:szCs w:val="24"/>
          <w:lang w:val="en-CA"/>
        </w:rPr>
        <w:t xml:space="preserve"> grant</w:t>
      </w:r>
      <w:r w:rsidR="00B00C19" w:rsidRPr="00A92931">
        <w:rPr>
          <w:rFonts w:cs="Arial"/>
          <w:szCs w:val="24"/>
          <w:lang w:val="en-CA"/>
        </w:rPr>
        <w:t>s</w:t>
      </w:r>
      <w:r w:rsidR="000E4429" w:rsidRPr="00A92931">
        <w:rPr>
          <w:rFonts w:cs="Arial"/>
          <w:szCs w:val="24"/>
          <w:lang w:val="en-CA"/>
        </w:rPr>
        <w:t xml:space="preserve"> a right to one </w:t>
      </w:r>
      <w:r w:rsidR="00B00C19" w:rsidRPr="00A92931">
        <w:rPr>
          <w:rFonts w:cs="Arial"/>
          <w:szCs w:val="24"/>
          <w:lang w:val="en-CA"/>
        </w:rPr>
        <w:t>group</w:t>
      </w:r>
      <w:r w:rsidR="000E4429" w:rsidRPr="00A92931">
        <w:rPr>
          <w:rFonts w:cs="Arial"/>
          <w:szCs w:val="24"/>
          <w:lang w:val="en-CA"/>
        </w:rPr>
        <w:t xml:space="preserve">, </w:t>
      </w:r>
      <w:r w:rsidR="00D964B1" w:rsidRPr="00A92931">
        <w:rPr>
          <w:rFonts w:cs="Arial"/>
          <w:szCs w:val="24"/>
          <w:lang w:val="en-CA"/>
        </w:rPr>
        <w:t>it</w:t>
      </w:r>
      <w:r w:rsidR="000E4429" w:rsidRPr="00A92931">
        <w:rPr>
          <w:rFonts w:cs="Arial"/>
          <w:szCs w:val="24"/>
          <w:lang w:val="en-CA"/>
        </w:rPr>
        <w:t xml:space="preserve"> </w:t>
      </w:r>
      <w:r w:rsidR="00B00C19" w:rsidRPr="00A92931">
        <w:rPr>
          <w:rFonts w:cs="Arial"/>
          <w:szCs w:val="24"/>
          <w:lang w:val="en-CA"/>
        </w:rPr>
        <w:t>must also provide</w:t>
      </w:r>
      <w:r w:rsidR="00D964B1" w:rsidRPr="00A92931">
        <w:rPr>
          <w:rFonts w:cs="Arial"/>
          <w:szCs w:val="24"/>
          <w:lang w:val="en-CA"/>
        </w:rPr>
        <w:t xml:space="preserve"> the right</w:t>
      </w:r>
      <w:r w:rsidR="00B00C19" w:rsidRPr="00A92931">
        <w:rPr>
          <w:rFonts w:cs="Arial"/>
          <w:szCs w:val="24"/>
          <w:lang w:val="en-CA"/>
        </w:rPr>
        <w:t xml:space="preserve"> to another</w:t>
      </w:r>
      <w:r w:rsidR="000E4429" w:rsidRPr="00A92931">
        <w:rPr>
          <w:rFonts w:cs="Arial"/>
          <w:szCs w:val="24"/>
          <w:lang w:val="en-CA"/>
        </w:rPr>
        <w:t>.</w:t>
      </w:r>
      <w:r w:rsidR="003E0A19" w:rsidRPr="00A92931">
        <w:rPr>
          <w:rStyle w:val="Appelnotedebasdep"/>
          <w:rFonts w:cs="Arial"/>
          <w:szCs w:val="24"/>
          <w:lang w:val="en-CA"/>
        </w:rPr>
        <w:footnoteReference w:id="13"/>
      </w:r>
      <w:r w:rsidR="00A724F1" w:rsidRPr="00A92931">
        <w:rPr>
          <w:rFonts w:cs="Arial"/>
          <w:szCs w:val="24"/>
          <w:lang w:val="en-CA"/>
        </w:rPr>
        <w:t xml:space="preserve"> In th</w:t>
      </w:r>
      <w:r w:rsidR="003E0A19" w:rsidRPr="00A92931">
        <w:rPr>
          <w:rFonts w:cs="Arial"/>
          <w:szCs w:val="24"/>
          <w:lang w:val="en-CA"/>
        </w:rPr>
        <w:t>o</w:t>
      </w:r>
      <w:r w:rsidR="00A724F1" w:rsidRPr="00A92931">
        <w:rPr>
          <w:rFonts w:cs="Arial"/>
          <w:szCs w:val="24"/>
          <w:lang w:val="en-CA"/>
        </w:rPr>
        <w:t xml:space="preserve">se matters, specific </w:t>
      </w:r>
      <w:r w:rsidR="003E0A19" w:rsidRPr="00A92931">
        <w:rPr>
          <w:rFonts w:cs="Arial"/>
          <w:szCs w:val="24"/>
          <w:lang w:val="en-CA"/>
        </w:rPr>
        <w:t>statutes were</w:t>
      </w:r>
      <w:r w:rsidR="00A724F1" w:rsidRPr="00A92931">
        <w:rPr>
          <w:rFonts w:cs="Arial"/>
          <w:szCs w:val="24"/>
          <w:lang w:val="en-CA"/>
        </w:rPr>
        <w:t xml:space="preserve"> be</w:t>
      </w:r>
      <w:r w:rsidR="003E0A19" w:rsidRPr="00A92931">
        <w:rPr>
          <w:rFonts w:cs="Arial"/>
          <w:szCs w:val="24"/>
          <w:lang w:val="en-CA"/>
        </w:rPr>
        <w:t>ing</w:t>
      </w:r>
      <w:r w:rsidR="00A724F1" w:rsidRPr="00A92931">
        <w:rPr>
          <w:rFonts w:cs="Arial"/>
          <w:szCs w:val="24"/>
          <w:lang w:val="en-CA"/>
        </w:rPr>
        <w:t xml:space="preserve"> challenged. In this </w:t>
      </w:r>
      <w:r w:rsidR="003E0A19" w:rsidRPr="00A92931">
        <w:rPr>
          <w:rFonts w:cs="Arial"/>
          <w:szCs w:val="24"/>
          <w:lang w:val="en-CA"/>
        </w:rPr>
        <w:t>case</w:t>
      </w:r>
      <w:r w:rsidR="00A724F1" w:rsidRPr="00A92931">
        <w:rPr>
          <w:rFonts w:cs="Arial"/>
          <w:szCs w:val="24"/>
          <w:lang w:val="en-CA"/>
        </w:rPr>
        <w:t xml:space="preserve">, the appellant seeks to force the legislature to act, without however indicating </w:t>
      </w:r>
      <w:r w:rsidR="003E0A19" w:rsidRPr="00A92931">
        <w:rPr>
          <w:rFonts w:cs="Arial"/>
          <w:szCs w:val="24"/>
          <w:lang w:val="en-CA"/>
        </w:rPr>
        <w:t>which actions</w:t>
      </w:r>
      <w:r w:rsidR="00A724F1" w:rsidRPr="00A92931">
        <w:rPr>
          <w:rFonts w:cs="Arial"/>
          <w:szCs w:val="24"/>
          <w:lang w:val="en-CA"/>
        </w:rPr>
        <w:t xml:space="preserve"> </w:t>
      </w:r>
      <w:r w:rsidR="003E0A19" w:rsidRPr="00A92931">
        <w:rPr>
          <w:rFonts w:cs="Arial"/>
          <w:szCs w:val="24"/>
          <w:lang w:val="en-CA"/>
        </w:rPr>
        <w:t>it</w:t>
      </w:r>
      <w:r w:rsidR="00A724F1" w:rsidRPr="00A92931">
        <w:rPr>
          <w:rFonts w:cs="Arial"/>
          <w:szCs w:val="24"/>
          <w:lang w:val="en-CA"/>
        </w:rPr>
        <w:t xml:space="preserve"> believes </w:t>
      </w:r>
      <w:r w:rsidR="003E0A19" w:rsidRPr="00A92931">
        <w:rPr>
          <w:rFonts w:cs="Arial"/>
          <w:szCs w:val="24"/>
          <w:lang w:val="en-CA"/>
        </w:rPr>
        <w:t xml:space="preserve">should be taken </w:t>
      </w:r>
      <w:r w:rsidR="00A724F1" w:rsidRPr="00A92931">
        <w:rPr>
          <w:rFonts w:cs="Arial"/>
          <w:szCs w:val="24"/>
          <w:lang w:val="en-CA"/>
        </w:rPr>
        <w:t xml:space="preserve">and, </w:t>
      </w:r>
      <w:r w:rsidR="00A724F1" w:rsidRPr="00A92931">
        <w:rPr>
          <w:rFonts w:cs="Arial"/>
          <w:i/>
          <w:iCs/>
          <w:szCs w:val="24"/>
          <w:lang w:val="en-CA"/>
        </w:rPr>
        <w:t>a fortiori</w:t>
      </w:r>
      <w:r w:rsidR="00A724F1" w:rsidRPr="00A92931">
        <w:rPr>
          <w:rFonts w:cs="Arial"/>
          <w:szCs w:val="24"/>
          <w:lang w:val="en-CA"/>
        </w:rPr>
        <w:t xml:space="preserve">, </w:t>
      </w:r>
      <w:r w:rsidR="008A0338" w:rsidRPr="00A92931">
        <w:rPr>
          <w:rFonts w:cs="Arial"/>
          <w:szCs w:val="24"/>
          <w:lang w:val="en-CA"/>
        </w:rPr>
        <w:t xml:space="preserve">which </w:t>
      </w:r>
      <w:r w:rsidR="00A724F1" w:rsidRPr="00A92931">
        <w:rPr>
          <w:rFonts w:cs="Arial"/>
          <w:szCs w:val="24"/>
          <w:lang w:val="en-CA"/>
        </w:rPr>
        <w:t>enforceable judicial orders would be appropriate.</w:t>
      </w:r>
    </w:p>
    <w:p w14:paraId="46C32BD4" w14:textId="5369C5B7" w:rsidR="00D11C7E" w:rsidRPr="00A92931" w:rsidRDefault="00AE0DE0" w:rsidP="00133A57">
      <w:pPr>
        <w:pStyle w:val="Paragraphe"/>
        <w:spacing w:before="0" w:after="240" w:line="240" w:lineRule="auto"/>
        <w:rPr>
          <w:lang w:val="en-CA"/>
        </w:rPr>
      </w:pPr>
      <w:r w:rsidRPr="00A92931">
        <w:rPr>
          <w:lang w:val="en-CA"/>
        </w:rPr>
        <w:t xml:space="preserve">The situation would be different if the appellant </w:t>
      </w:r>
      <w:r w:rsidR="00D964B1" w:rsidRPr="00A92931">
        <w:rPr>
          <w:lang w:val="en-CA"/>
        </w:rPr>
        <w:t xml:space="preserve">were </w:t>
      </w:r>
      <w:r w:rsidRPr="00A92931">
        <w:rPr>
          <w:lang w:val="en-CA"/>
        </w:rPr>
        <w:t>challeng</w:t>
      </w:r>
      <w:r w:rsidR="00D964B1" w:rsidRPr="00A92931">
        <w:rPr>
          <w:lang w:val="en-CA"/>
        </w:rPr>
        <w:t>ing</w:t>
      </w:r>
      <w:r w:rsidRPr="00A92931">
        <w:rPr>
          <w:lang w:val="en-CA"/>
        </w:rPr>
        <w:t xml:space="preserve"> the validity of a specific </w:t>
      </w:r>
      <w:r w:rsidR="003E0A19" w:rsidRPr="00A92931">
        <w:rPr>
          <w:lang w:val="en-CA"/>
        </w:rPr>
        <w:t xml:space="preserve">statute </w:t>
      </w:r>
      <w:r w:rsidR="009B0735" w:rsidRPr="00A92931">
        <w:rPr>
          <w:lang w:val="en-CA"/>
        </w:rPr>
        <w:t>enacting</w:t>
      </w:r>
      <w:r w:rsidRPr="00A92931">
        <w:rPr>
          <w:lang w:val="en-CA"/>
        </w:rPr>
        <w:t xml:space="preserve"> measures targeting GHG emissions. Indeed, the </w:t>
      </w:r>
      <w:r w:rsidR="009B0735" w:rsidRPr="00A92931">
        <w:rPr>
          <w:lang w:val="en-CA"/>
        </w:rPr>
        <w:t>S</w:t>
      </w:r>
      <w:r w:rsidRPr="00A92931">
        <w:rPr>
          <w:lang w:val="en-CA"/>
        </w:rPr>
        <w:t xml:space="preserve">tate must ensure that </w:t>
      </w:r>
      <w:r w:rsidR="009B0735" w:rsidRPr="00A92931">
        <w:rPr>
          <w:lang w:val="en-CA"/>
        </w:rPr>
        <w:t xml:space="preserve">the </w:t>
      </w:r>
      <w:r w:rsidRPr="00A92931">
        <w:rPr>
          <w:lang w:val="en-CA"/>
        </w:rPr>
        <w:t xml:space="preserve">measures adopted respect the rights guaranteed by the </w:t>
      </w:r>
      <w:r w:rsidRPr="00A92931">
        <w:rPr>
          <w:i/>
          <w:iCs/>
          <w:lang w:val="en-CA"/>
        </w:rPr>
        <w:t>Canadian Charter</w:t>
      </w:r>
      <w:r w:rsidRPr="00A92931">
        <w:rPr>
          <w:lang w:val="en-CA"/>
        </w:rPr>
        <w:t xml:space="preserve">. </w:t>
      </w:r>
      <w:r w:rsidR="009B0735" w:rsidRPr="00A92931">
        <w:rPr>
          <w:lang w:val="en-CA"/>
        </w:rPr>
        <w:t>Section</w:t>
      </w:r>
      <w:r w:rsidR="00BF3EA2" w:rsidRPr="00A92931">
        <w:rPr>
          <w:lang w:val="en-CA"/>
        </w:rPr>
        <w:t> </w:t>
      </w:r>
      <w:r w:rsidRPr="00A92931">
        <w:rPr>
          <w:lang w:val="en-CA"/>
        </w:rPr>
        <w:t xml:space="preserve">52 of the </w:t>
      </w:r>
      <w:r w:rsidR="009B0735" w:rsidRPr="00A92931">
        <w:rPr>
          <w:i/>
          <w:iCs/>
          <w:lang w:val="en-CA"/>
        </w:rPr>
        <w:t>Constitution Act</w:t>
      </w:r>
      <w:r w:rsidR="009B0735" w:rsidRPr="00A92931">
        <w:rPr>
          <w:vertAlign w:val="superscript"/>
          <w:lang w:val="en-CA"/>
        </w:rPr>
        <w:footnoteReference w:id="14"/>
      </w:r>
      <w:r w:rsidR="009B0735" w:rsidRPr="00A92931">
        <w:rPr>
          <w:lang w:val="en-CA"/>
        </w:rPr>
        <w:t xml:space="preserve"> </w:t>
      </w:r>
      <w:r w:rsidRPr="00A92931">
        <w:rPr>
          <w:lang w:val="en-CA"/>
        </w:rPr>
        <w:t xml:space="preserve">confirms the power and obligation incumbent on courts to declare “any law </w:t>
      </w:r>
      <w:r w:rsidR="006466CB" w:rsidRPr="00A92931">
        <w:rPr>
          <w:lang w:val="en-CA"/>
        </w:rPr>
        <w:t>that is inconsistent</w:t>
      </w:r>
      <w:r w:rsidRPr="00A92931">
        <w:rPr>
          <w:lang w:val="en-CA"/>
        </w:rPr>
        <w:t xml:space="preserve"> with the </w:t>
      </w:r>
      <w:r w:rsidR="006466CB" w:rsidRPr="00A92931">
        <w:rPr>
          <w:lang w:val="en-CA"/>
        </w:rPr>
        <w:t xml:space="preserve">provisions of the </w:t>
      </w:r>
      <w:r w:rsidRPr="00A92931">
        <w:rPr>
          <w:lang w:val="en-CA"/>
        </w:rPr>
        <w:t xml:space="preserve">Constitution” </w:t>
      </w:r>
      <w:r w:rsidR="006466CB" w:rsidRPr="00A92931">
        <w:rPr>
          <w:lang w:val="en-CA"/>
        </w:rPr>
        <w:t>of no force or effect</w:t>
      </w:r>
      <w:r w:rsidRPr="00A92931">
        <w:rPr>
          <w:lang w:val="en-CA"/>
        </w:rPr>
        <w:t>. Courts can the</w:t>
      </w:r>
      <w:r w:rsidR="006466CB" w:rsidRPr="00A92931">
        <w:rPr>
          <w:lang w:val="en-CA"/>
        </w:rPr>
        <w:t>refore</w:t>
      </w:r>
      <w:r w:rsidRPr="00A92931">
        <w:rPr>
          <w:lang w:val="en-CA"/>
        </w:rPr>
        <w:t xml:space="preserve"> rule on whether there has been a</w:t>
      </w:r>
      <w:r w:rsidR="006466CB" w:rsidRPr="00A92931">
        <w:rPr>
          <w:lang w:val="en-CA"/>
        </w:rPr>
        <w:t>n</w:t>
      </w:r>
      <w:r w:rsidRPr="00A92931">
        <w:rPr>
          <w:lang w:val="en-CA"/>
        </w:rPr>
        <w:t xml:space="preserve"> </w:t>
      </w:r>
      <w:r w:rsidR="00DF5F1E" w:rsidRPr="00A92931">
        <w:rPr>
          <w:lang w:val="en-CA"/>
        </w:rPr>
        <w:t>infringement</w:t>
      </w:r>
      <w:r w:rsidRPr="00A92931">
        <w:rPr>
          <w:lang w:val="en-CA"/>
        </w:rPr>
        <w:t xml:space="preserve"> of a right guaranteed by the </w:t>
      </w:r>
      <w:r w:rsidRPr="00A92931">
        <w:rPr>
          <w:i/>
          <w:iCs/>
          <w:lang w:val="en-CA"/>
        </w:rPr>
        <w:t>Canadian Charter</w:t>
      </w:r>
      <w:r w:rsidRPr="00A92931">
        <w:rPr>
          <w:lang w:val="en-CA"/>
        </w:rPr>
        <w:t xml:space="preserve"> and, if so, determine whether </w:t>
      </w:r>
      <w:r w:rsidR="006466CB" w:rsidRPr="00A92931">
        <w:rPr>
          <w:lang w:val="en-CA"/>
        </w:rPr>
        <w:t>the</w:t>
      </w:r>
      <w:r w:rsidRPr="00A92931">
        <w:rPr>
          <w:lang w:val="en-CA"/>
        </w:rPr>
        <w:t xml:space="preserve"> </w:t>
      </w:r>
      <w:r w:rsidR="00DF5F1E" w:rsidRPr="00A92931">
        <w:rPr>
          <w:lang w:val="en-CA"/>
        </w:rPr>
        <w:t>infringement</w:t>
      </w:r>
      <w:r w:rsidRPr="00A92931">
        <w:rPr>
          <w:lang w:val="en-CA"/>
        </w:rPr>
        <w:t xml:space="preserve"> is justified under section 1.</w:t>
      </w:r>
    </w:p>
    <w:p w14:paraId="4875426D" w14:textId="5A425FE2" w:rsidR="006E331A" w:rsidRPr="00A92931" w:rsidRDefault="006466CB" w:rsidP="00A1139B">
      <w:pPr>
        <w:keepLines/>
        <w:numPr>
          <w:ilvl w:val="0"/>
          <w:numId w:val="18"/>
        </w:numPr>
        <w:tabs>
          <w:tab w:val="clear" w:pos="720"/>
          <w:tab w:val="num" w:pos="360"/>
        </w:tabs>
        <w:spacing w:after="240" w:line="240" w:lineRule="auto"/>
        <w:jc w:val="both"/>
        <w:rPr>
          <w:rFonts w:cs="Arial"/>
          <w:szCs w:val="24"/>
          <w:lang w:val="en-CA"/>
        </w:rPr>
      </w:pPr>
      <w:r w:rsidRPr="00A92931">
        <w:rPr>
          <w:rFonts w:cs="Arial"/>
          <w:szCs w:val="24"/>
          <w:lang w:val="en-CA"/>
        </w:rPr>
        <w:t>The</w:t>
      </w:r>
      <w:r w:rsidR="00AE0DE0" w:rsidRPr="00A92931">
        <w:rPr>
          <w:rFonts w:cs="Arial"/>
          <w:szCs w:val="24"/>
          <w:lang w:val="en-CA"/>
        </w:rPr>
        <w:t xml:space="preserve"> appellant</w:t>
      </w:r>
      <w:r w:rsidRPr="00A92931">
        <w:rPr>
          <w:rFonts w:cs="Arial"/>
          <w:szCs w:val="24"/>
          <w:lang w:val="en-CA"/>
        </w:rPr>
        <w:t>, however,</w:t>
      </w:r>
      <w:r w:rsidR="00AE0DE0" w:rsidRPr="00A92931">
        <w:rPr>
          <w:rFonts w:cs="Arial"/>
          <w:szCs w:val="24"/>
          <w:lang w:val="en-CA"/>
        </w:rPr>
        <w:t xml:space="preserve"> </w:t>
      </w:r>
      <w:r w:rsidR="00D964B1" w:rsidRPr="00A92931">
        <w:rPr>
          <w:rFonts w:cs="Arial"/>
          <w:szCs w:val="24"/>
          <w:lang w:val="en-CA"/>
        </w:rPr>
        <w:t xml:space="preserve">merely </w:t>
      </w:r>
      <w:r w:rsidRPr="00A92931">
        <w:rPr>
          <w:rFonts w:cs="Arial"/>
          <w:szCs w:val="24"/>
          <w:lang w:val="en-CA"/>
        </w:rPr>
        <w:t xml:space="preserve">invoked </w:t>
      </w:r>
      <w:r w:rsidR="00AE0DE0" w:rsidRPr="00A92931">
        <w:rPr>
          <w:rFonts w:cs="Arial"/>
          <w:szCs w:val="24"/>
          <w:lang w:val="en-CA"/>
        </w:rPr>
        <w:t xml:space="preserve">the </w:t>
      </w:r>
      <w:r w:rsidR="00497E52" w:rsidRPr="00A92931">
        <w:rPr>
          <w:rFonts w:cs="Arial"/>
          <w:i/>
          <w:iCs/>
          <w:szCs w:val="24"/>
          <w:lang w:val="en-CA"/>
        </w:rPr>
        <w:t xml:space="preserve">Greenhouse Gas </w:t>
      </w:r>
      <w:r w:rsidR="00AE0DE0" w:rsidRPr="00A92931">
        <w:rPr>
          <w:rFonts w:cs="Arial"/>
          <w:i/>
          <w:iCs/>
          <w:szCs w:val="24"/>
          <w:lang w:val="en-CA"/>
        </w:rPr>
        <w:t>Pollution Pricing Act</w:t>
      </w:r>
      <w:r w:rsidR="00AE0DE0" w:rsidRPr="00A92931">
        <w:rPr>
          <w:rFonts w:cs="Arial"/>
          <w:szCs w:val="24"/>
          <w:lang w:val="en-CA"/>
        </w:rPr>
        <w:t>,</w:t>
      </w:r>
      <w:r w:rsidR="00497E52" w:rsidRPr="00A92931">
        <w:rPr>
          <w:rStyle w:val="Appelnotedebasdep"/>
          <w:rFonts w:cs="Arial"/>
          <w:kern w:val="28"/>
          <w:szCs w:val="24"/>
          <w:lang w:val="en-CA"/>
        </w:rPr>
        <w:footnoteReference w:id="15"/>
      </w:r>
      <w:r w:rsidR="00AE0DE0" w:rsidRPr="00A92931">
        <w:rPr>
          <w:rFonts w:cs="Arial"/>
          <w:szCs w:val="24"/>
          <w:lang w:val="en-CA"/>
        </w:rPr>
        <w:t xml:space="preserve"> without contesting any </w:t>
      </w:r>
      <w:r w:rsidR="00497E52" w:rsidRPr="00A92931">
        <w:rPr>
          <w:rFonts w:cs="Arial"/>
          <w:szCs w:val="24"/>
          <w:lang w:val="en-CA"/>
        </w:rPr>
        <w:t xml:space="preserve">of its </w:t>
      </w:r>
      <w:r w:rsidR="00AE0DE0" w:rsidRPr="00A92931">
        <w:rPr>
          <w:rFonts w:cs="Arial"/>
          <w:szCs w:val="24"/>
          <w:lang w:val="en-CA"/>
        </w:rPr>
        <w:t>provision</w:t>
      </w:r>
      <w:r w:rsidR="00497E52" w:rsidRPr="00A92931">
        <w:rPr>
          <w:rFonts w:cs="Arial"/>
          <w:szCs w:val="24"/>
          <w:lang w:val="en-CA"/>
        </w:rPr>
        <w:t>s</w:t>
      </w:r>
      <w:r w:rsidR="00AE0DE0" w:rsidRPr="00A92931">
        <w:rPr>
          <w:rFonts w:cs="Arial"/>
          <w:szCs w:val="24"/>
          <w:lang w:val="en-CA"/>
        </w:rPr>
        <w:t>.</w:t>
      </w:r>
      <w:r w:rsidR="008C5D2D" w:rsidRPr="00A92931">
        <w:rPr>
          <w:rFonts w:cs="Arial"/>
          <w:kern w:val="28"/>
          <w:szCs w:val="24"/>
          <w:lang w:val="en-CA"/>
        </w:rPr>
        <w:t xml:space="preserve"> Therefore, the </w:t>
      </w:r>
      <w:r w:rsidR="00497E52" w:rsidRPr="00A92931">
        <w:rPr>
          <w:rFonts w:cs="Arial"/>
          <w:kern w:val="28"/>
          <w:szCs w:val="24"/>
          <w:lang w:val="en-CA"/>
        </w:rPr>
        <w:t>issue</w:t>
      </w:r>
      <w:r w:rsidR="008C5D2D" w:rsidRPr="00A92931">
        <w:rPr>
          <w:rFonts w:cs="Arial"/>
          <w:kern w:val="28"/>
          <w:szCs w:val="24"/>
          <w:lang w:val="en-CA"/>
        </w:rPr>
        <w:t xml:space="preserve"> of justiciability must be </w:t>
      </w:r>
      <w:r w:rsidR="00497E52" w:rsidRPr="00A92931">
        <w:rPr>
          <w:rFonts w:cs="Arial"/>
          <w:kern w:val="28"/>
          <w:szCs w:val="24"/>
          <w:lang w:val="en-CA"/>
        </w:rPr>
        <w:t xml:space="preserve">addressed </w:t>
      </w:r>
      <w:r w:rsidR="008C3FE8" w:rsidRPr="00A92931">
        <w:rPr>
          <w:rFonts w:cs="Arial"/>
          <w:kern w:val="28"/>
          <w:szCs w:val="24"/>
          <w:lang w:val="en-CA"/>
        </w:rPr>
        <w:t>on the basis of</w:t>
      </w:r>
      <w:r w:rsidR="008C5D2D" w:rsidRPr="00A92931">
        <w:rPr>
          <w:rFonts w:cs="Arial"/>
          <w:kern w:val="28"/>
          <w:szCs w:val="24"/>
          <w:lang w:val="en-CA"/>
        </w:rPr>
        <w:t xml:space="preserve"> the dispute as </w:t>
      </w:r>
      <w:r w:rsidR="00497E52" w:rsidRPr="00A92931">
        <w:rPr>
          <w:rFonts w:cs="Arial"/>
          <w:kern w:val="28"/>
          <w:szCs w:val="24"/>
          <w:lang w:val="en-CA"/>
        </w:rPr>
        <w:t>instituted</w:t>
      </w:r>
      <w:r w:rsidR="008C5D2D" w:rsidRPr="00A92931">
        <w:rPr>
          <w:rFonts w:cs="Arial"/>
          <w:kern w:val="28"/>
          <w:szCs w:val="24"/>
          <w:lang w:val="en-CA"/>
        </w:rPr>
        <w:t>.</w:t>
      </w:r>
    </w:p>
    <w:p w14:paraId="55822457" w14:textId="5B9A7C51" w:rsidR="00236200" w:rsidRPr="00A92931" w:rsidRDefault="00AE0DE0" w:rsidP="00D964B1">
      <w:pPr>
        <w:pStyle w:val="Paragraphe"/>
        <w:keepNext/>
        <w:keepLines/>
        <w:spacing w:before="0" w:after="240" w:line="240" w:lineRule="auto"/>
        <w:rPr>
          <w:lang w:val="en-CA"/>
        </w:rPr>
      </w:pPr>
      <w:r w:rsidRPr="00A92931">
        <w:rPr>
          <w:lang w:val="en-CA"/>
        </w:rPr>
        <w:lastRenderedPageBreak/>
        <w:t>As Professor Sossin point</w:t>
      </w:r>
      <w:r w:rsidR="008C3FE8" w:rsidRPr="00A92931">
        <w:rPr>
          <w:lang w:val="en-CA"/>
        </w:rPr>
        <w:t>ed</w:t>
      </w:r>
      <w:r w:rsidRPr="00A92931">
        <w:rPr>
          <w:lang w:val="en-CA"/>
        </w:rPr>
        <w:t xml:space="preserve"> out:</w:t>
      </w:r>
    </w:p>
    <w:p w14:paraId="7CB90826" w14:textId="77777777" w:rsidR="00236200" w:rsidRPr="00A92931" w:rsidRDefault="00AE0DE0" w:rsidP="00D964B1">
      <w:pPr>
        <w:pStyle w:val="Citationenretrait"/>
        <w:keepNext/>
        <w:keepLines/>
        <w:spacing w:before="0" w:after="240" w:line="240" w:lineRule="auto"/>
        <w:rPr>
          <w:lang w:val="en-CA"/>
        </w:rPr>
      </w:pPr>
      <w:r w:rsidRPr="00A92931">
        <w:rPr>
          <w:lang w:val="en-CA"/>
        </w:rPr>
        <w:t>To conclude, justiciability is properly seen as an aspect of a court’s jurisdiction relating specifically to the subject matter of a case brought before a court. Justiciability is a necessary condition for the court to exercise its discretion to grant standing to a party wishing to bring a matter before the court, although a matter that is justiciable may nonetheless be unenforceable. Determining whether subject-matter is justiciable involves an analysis of its suitability for adjudication, in light of the institutional capacity and legitimacy of the court in the circumstances. Further, delineating the boundaries of justiciability requires an understanding of Canada’s evolving doctrine of the separation of powers.</w:t>
      </w:r>
      <w:r w:rsidRPr="00A92931">
        <w:rPr>
          <w:vertAlign w:val="superscript"/>
          <w:lang w:val="en-CA"/>
        </w:rPr>
        <w:footnoteReference w:id="16"/>
      </w:r>
    </w:p>
    <w:p w14:paraId="617AA53F" w14:textId="5DD7E265"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It is up to the legislative branch to choose the political orientations of the government and to the executive branch to implement them.</w:t>
      </w:r>
      <w:r w:rsidR="008C3FE8" w:rsidRPr="00A92931">
        <w:rPr>
          <w:rFonts w:cs="Arial"/>
          <w:kern w:val="28"/>
          <w:szCs w:val="24"/>
          <w:vertAlign w:val="superscript"/>
          <w:lang w:val="en-CA"/>
        </w:rPr>
        <w:footnoteReference w:id="17"/>
      </w:r>
      <w:r w:rsidR="00CA78C2" w:rsidRPr="00A92931">
        <w:rPr>
          <w:rFonts w:cs="Arial"/>
          <w:kern w:val="28"/>
          <w:szCs w:val="24"/>
          <w:lang w:val="en-CA"/>
        </w:rPr>
        <w:t xml:space="preserve"> The review of legislative </w:t>
      </w:r>
      <w:r w:rsidR="008B2DA7" w:rsidRPr="00A92931">
        <w:rPr>
          <w:rFonts w:cs="Arial"/>
          <w:kern w:val="28"/>
          <w:szCs w:val="24"/>
          <w:lang w:val="en-CA"/>
        </w:rPr>
        <w:t>branch</w:t>
      </w:r>
      <w:r w:rsidR="00CA78C2" w:rsidRPr="00A92931">
        <w:rPr>
          <w:rFonts w:cs="Arial"/>
          <w:kern w:val="28"/>
          <w:szCs w:val="24"/>
          <w:lang w:val="en-CA"/>
        </w:rPr>
        <w:t xml:space="preserve"> and whether it is appropriate for the legislature to act are in principle beyond the scope of the judiciary </w:t>
      </w:r>
      <w:r w:rsidR="008B2DA7" w:rsidRPr="00A92931">
        <w:rPr>
          <w:rFonts w:cs="Arial"/>
          <w:kern w:val="28"/>
          <w:szCs w:val="24"/>
          <w:lang w:val="en-CA"/>
        </w:rPr>
        <w:t>branch</w:t>
      </w:r>
      <w:r w:rsidR="00CA78C2" w:rsidRPr="00A92931">
        <w:rPr>
          <w:rFonts w:cs="Arial"/>
          <w:kern w:val="28"/>
          <w:szCs w:val="24"/>
          <w:lang w:val="en-CA"/>
        </w:rPr>
        <w:t xml:space="preserve">. </w:t>
      </w:r>
    </w:p>
    <w:p w14:paraId="39223D13" w14:textId="02206B54" w:rsidR="00236200" w:rsidRPr="00A92931" w:rsidRDefault="009A55C6"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As</w:t>
      </w:r>
      <w:r w:rsidR="00AE0DE0" w:rsidRPr="00A92931">
        <w:rPr>
          <w:rFonts w:cs="Arial"/>
          <w:kern w:val="28"/>
          <w:szCs w:val="24"/>
          <w:lang w:val="en-CA"/>
        </w:rPr>
        <w:t xml:space="preserve"> the Supreme Court recalled in </w:t>
      </w:r>
      <w:r w:rsidR="00AE0DE0" w:rsidRPr="00A92931">
        <w:rPr>
          <w:rFonts w:cs="Arial"/>
          <w:i/>
          <w:iCs/>
          <w:kern w:val="28"/>
          <w:szCs w:val="24"/>
          <w:lang w:val="en-CA"/>
        </w:rPr>
        <w:t>Ontario v. Criminal Lawyers</w:t>
      </w:r>
      <w:r w:rsidR="00825AA7" w:rsidRPr="00A92931">
        <w:rPr>
          <w:rFonts w:cs="Arial"/>
          <w:i/>
          <w:iCs/>
          <w:kern w:val="28"/>
          <w:szCs w:val="24"/>
          <w:lang w:val="en-CA"/>
        </w:rPr>
        <w:t>’</w:t>
      </w:r>
      <w:r w:rsidR="00AE0DE0" w:rsidRPr="00A92931">
        <w:rPr>
          <w:rFonts w:cs="Arial"/>
          <w:i/>
          <w:iCs/>
          <w:kern w:val="28"/>
          <w:szCs w:val="24"/>
          <w:lang w:val="en-CA"/>
        </w:rPr>
        <w:t xml:space="preserve"> Association of Ontario</w:t>
      </w:r>
      <w:r w:rsidR="00AE0DE0" w:rsidRPr="00A92931">
        <w:rPr>
          <w:rFonts w:cs="Arial"/>
          <w:kern w:val="28"/>
          <w:szCs w:val="24"/>
          <w:lang w:val="en-CA"/>
        </w:rPr>
        <w:t>:</w:t>
      </w:r>
    </w:p>
    <w:p w14:paraId="718DDDE9" w14:textId="754ACB3D" w:rsidR="00236200" w:rsidRPr="00A92931" w:rsidRDefault="009A55C6" w:rsidP="004D23A5">
      <w:pPr>
        <w:pStyle w:val="Citationenretrait"/>
        <w:spacing w:before="0"/>
        <w:rPr>
          <w:lang w:val="en-CA"/>
        </w:rPr>
      </w:pPr>
      <w:r w:rsidRPr="00A92931">
        <w:rPr>
          <w:lang w:val="en-CA"/>
        </w:rPr>
        <w:t xml:space="preserve">[28] </w:t>
      </w:r>
      <w:r w:rsidR="00152B45">
        <w:rPr>
          <w:lang w:val="en-CA"/>
        </w:rPr>
        <w:t>[</w:t>
      </w:r>
      <w:r w:rsidRPr="00A92931">
        <w:rPr>
          <w:lang w:val="en-CA"/>
        </w:rPr>
        <w:t>…</w:t>
      </w:r>
      <w:r w:rsidR="00152B45">
        <w:rPr>
          <w:lang w:val="en-CA"/>
        </w:rPr>
        <w:t>]</w:t>
      </w:r>
      <w:r w:rsidRPr="00A92931">
        <w:rPr>
          <w:lang w:val="en-CA"/>
        </w:rPr>
        <w:t xml:space="preserve"> The legislative branch makes policy choices, adopts laws and holds the purse strings of government, as only it can authorize the spending of public funds.  The executive implements and administers those policy choices and laws with the assistance of a professional public service.  The judiciary maintains the rule of law, by interpreting and applying these laws through the independent and impartial adjudication of references and disputes, and protects the fundamental liberties and freedoms guaranteed under the </w:t>
      </w:r>
      <w:r w:rsidRPr="00A92931">
        <w:rPr>
          <w:i/>
          <w:iCs/>
          <w:lang w:val="en-CA"/>
        </w:rPr>
        <w:t>Charter</w:t>
      </w:r>
      <w:r w:rsidRPr="00A92931">
        <w:rPr>
          <w:lang w:val="en-CA"/>
        </w:rPr>
        <w:t>.</w:t>
      </w:r>
    </w:p>
    <w:p w14:paraId="6A8735F1" w14:textId="2C745C98" w:rsidR="004B5E20" w:rsidRPr="00A92931" w:rsidRDefault="00152B45" w:rsidP="004D23A5">
      <w:pPr>
        <w:pStyle w:val="Citationenretrait"/>
        <w:spacing w:before="0"/>
        <w:rPr>
          <w:lang w:val="en-CA"/>
        </w:rPr>
      </w:pPr>
      <w:r>
        <w:rPr>
          <w:lang w:val="en-CA"/>
        </w:rPr>
        <w:t>[</w:t>
      </w:r>
      <w:r w:rsidR="00AE0DE0" w:rsidRPr="00A92931">
        <w:rPr>
          <w:lang w:val="en-CA"/>
        </w:rPr>
        <w:t>…</w:t>
      </w:r>
      <w:r>
        <w:rPr>
          <w:lang w:val="en-CA"/>
        </w:rPr>
        <w:t>]</w:t>
      </w:r>
    </w:p>
    <w:p w14:paraId="602D59F5" w14:textId="7F29AFEB" w:rsidR="00236200" w:rsidRPr="00A92931" w:rsidRDefault="009A55C6" w:rsidP="004D23A5">
      <w:pPr>
        <w:pStyle w:val="Citationenretrait"/>
        <w:rPr>
          <w:lang w:val="en-CA"/>
        </w:rPr>
      </w:pPr>
      <w:r w:rsidRPr="00A92931">
        <w:rPr>
          <w:lang w:val="en-CA"/>
        </w:rPr>
        <w:t>[30] Accordingly, the limits of the court’s inherent jurisdiction must be responsive to the proper function of the separate branches of government, lest it upset the balance of roles, responsibilities and capacities that has evolved in our system of governance over the course of centuries.</w:t>
      </w:r>
    </w:p>
    <w:p w14:paraId="46E0EC10" w14:textId="0BAEBC0C" w:rsidR="00236200" w:rsidRPr="00A92931" w:rsidRDefault="009A55C6" w:rsidP="004D23A5">
      <w:pPr>
        <w:pStyle w:val="Citationenretrait"/>
        <w:rPr>
          <w:lang w:val="en-CA"/>
        </w:rPr>
      </w:pPr>
      <w:r w:rsidRPr="00A92931">
        <w:rPr>
          <w:lang w:val="en-CA"/>
        </w:rPr>
        <w:t xml:space="preserve">[31] Indeed, even where courts have the jurisdiction to address matters that fall within the constitutional role of the other branches of government, they must give sufficient weight to the constitutional responsibilities of the legislative and </w:t>
      </w:r>
      <w:r w:rsidRPr="00A92931">
        <w:rPr>
          <w:lang w:val="en-CA"/>
        </w:rPr>
        <w:lastRenderedPageBreak/>
        <w:t>executive branches, as in certain cases the other branch will be “better placed to make such decisions within a range of constitutional options”.</w:t>
      </w:r>
      <w:r w:rsidR="00AE0DE0" w:rsidRPr="00A92931">
        <w:rPr>
          <w:vertAlign w:val="superscript"/>
          <w:lang w:val="en-CA"/>
        </w:rPr>
        <w:footnoteReference w:id="18"/>
      </w:r>
      <w:r w:rsidR="00AE0DE0" w:rsidRPr="00A92931">
        <w:rPr>
          <w:lang w:val="en-CA"/>
        </w:rPr>
        <w:t xml:space="preserve"> </w:t>
      </w:r>
    </w:p>
    <w:p w14:paraId="3DCCF668" w14:textId="2E887257" w:rsidR="00236200" w:rsidRPr="00A92931" w:rsidRDefault="00497B9B" w:rsidP="001312CB">
      <w:pPr>
        <w:numPr>
          <w:ilvl w:val="0"/>
          <w:numId w:val="18"/>
        </w:numPr>
        <w:tabs>
          <w:tab w:val="clear" w:pos="720"/>
          <w:tab w:val="num" w:pos="360"/>
        </w:tabs>
        <w:spacing w:before="120" w:after="240" w:line="240" w:lineRule="auto"/>
        <w:jc w:val="both"/>
        <w:rPr>
          <w:rFonts w:cs="Arial"/>
          <w:kern w:val="28"/>
          <w:szCs w:val="24"/>
          <w:lang w:val="en-CA"/>
        </w:rPr>
      </w:pPr>
      <w:r w:rsidRPr="00A92931">
        <w:rPr>
          <w:rFonts w:cs="Arial"/>
          <w:kern w:val="28"/>
          <w:szCs w:val="24"/>
          <w:lang w:val="en-CA"/>
        </w:rPr>
        <w:t>It is sometimes</w:t>
      </w:r>
      <w:r w:rsidR="00120B37" w:rsidRPr="00A92931">
        <w:rPr>
          <w:rFonts w:cs="Arial"/>
          <w:kern w:val="28"/>
          <w:szCs w:val="24"/>
          <w:lang w:val="en-CA"/>
        </w:rPr>
        <w:t xml:space="preserve"> necessary to acknowledge that the exercise of legislative power or the conduct of </w:t>
      </w:r>
      <w:r w:rsidR="00E16BB4" w:rsidRPr="00A92931">
        <w:rPr>
          <w:rFonts w:cs="Arial"/>
          <w:kern w:val="28"/>
          <w:szCs w:val="24"/>
          <w:lang w:val="en-CA"/>
        </w:rPr>
        <w:t>S</w:t>
      </w:r>
      <w:r w:rsidR="00120B37" w:rsidRPr="00A92931">
        <w:rPr>
          <w:rFonts w:cs="Arial"/>
          <w:kern w:val="28"/>
          <w:szCs w:val="24"/>
          <w:lang w:val="en-CA"/>
        </w:rPr>
        <w:t xml:space="preserve">tate affairs by the executive requires weighing numerous external considerations and making political choices that are not </w:t>
      </w:r>
      <w:r w:rsidR="00D25542" w:rsidRPr="00A92931">
        <w:rPr>
          <w:rFonts w:cs="Arial"/>
          <w:kern w:val="28"/>
          <w:szCs w:val="24"/>
          <w:lang w:val="en-CA"/>
        </w:rPr>
        <w:t>suitable for judicial analysis</w:t>
      </w:r>
      <w:r w:rsidR="00120B37" w:rsidRPr="00A92931">
        <w:rPr>
          <w:rFonts w:cs="Arial"/>
          <w:kern w:val="28"/>
          <w:szCs w:val="24"/>
          <w:lang w:val="en-CA"/>
        </w:rPr>
        <w:t>.</w:t>
      </w:r>
      <w:r w:rsidRPr="00A92931">
        <w:rPr>
          <w:rStyle w:val="Appelnotedebasdep"/>
          <w:rFonts w:cs="Arial"/>
          <w:kern w:val="28"/>
          <w:szCs w:val="24"/>
          <w:lang w:val="en-CA"/>
        </w:rPr>
        <w:footnoteReference w:id="19"/>
      </w:r>
      <w:r w:rsidRPr="00A92931">
        <w:rPr>
          <w:lang w:val="en-CA"/>
        </w:rPr>
        <w:t xml:space="preserve"> </w:t>
      </w:r>
      <w:r w:rsidR="00AE0DE0" w:rsidRPr="00A92931">
        <w:rPr>
          <w:rFonts w:cs="Arial"/>
          <w:kern w:val="28"/>
          <w:szCs w:val="24"/>
          <w:lang w:val="en-CA"/>
        </w:rPr>
        <w:t xml:space="preserve">It is difficult to imagine that </w:t>
      </w:r>
      <w:r w:rsidR="00D25542" w:rsidRPr="00A92931">
        <w:rPr>
          <w:rFonts w:cs="Arial"/>
          <w:kern w:val="28"/>
          <w:szCs w:val="24"/>
          <w:lang w:val="en-CA"/>
        </w:rPr>
        <w:t xml:space="preserve">absent a legislative challenge or positive action </w:t>
      </w:r>
      <w:r w:rsidRPr="00A92931">
        <w:rPr>
          <w:rFonts w:cs="Arial"/>
          <w:kern w:val="28"/>
          <w:szCs w:val="24"/>
          <w:lang w:val="en-CA"/>
        </w:rPr>
        <w:t>the courts</w:t>
      </w:r>
      <w:r w:rsidR="00AE0DE0" w:rsidRPr="00A92931">
        <w:rPr>
          <w:rFonts w:cs="Arial"/>
          <w:kern w:val="28"/>
          <w:szCs w:val="24"/>
          <w:lang w:val="en-CA"/>
        </w:rPr>
        <w:t>, through</w:t>
      </w:r>
      <w:r w:rsidRPr="00A92931">
        <w:rPr>
          <w:rFonts w:cs="Arial"/>
          <w:kern w:val="28"/>
          <w:szCs w:val="24"/>
          <w:lang w:val="en-CA"/>
        </w:rPr>
        <w:t xml:space="preserve"> a</w:t>
      </w:r>
      <w:r w:rsidR="00AE0DE0" w:rsidRPr="00A92931">
        <w:rPr>
          <w:rFonts w:cs="Arial"/>
          <w:kern w:val="28"/>
          <w:szCs w:val="24"/>
          <w:lang w:val="en-CA"/>
        </w:rPr>
        <w:t xml:space="preserve"> </w:t>
      </w:r>
      <w:r w:rsidR="0060039F" w:rsidRPr="00A92931">
        <w:rPr>
          <w:rFonts w:cs="Arial"/>
          <w:kern w:val="28"/>
          <w:szCs w:val="24"/>
          <w:lang w:val="en-CA"/>
        </w:rPr>
        <w:t>class action</w:t>
      </w:r>
      <w:r w:rsidR="00AE0DE0" w:rsidRPr="00A92931">
        <w:rPr>
          <w:rFonts w:cs="Arial"/>
          <w:kern w:val="28"/>
          <w:szCs w:val="24"/>
          <w:lang w:val="en-CA"/>
        </w:rPr>
        <w:t>, would dictate to the State</w:t>
      </w:r>
      <w:r w:rsidR="00D25542" w:rsidRPr="00A92931">
        <w:rPr>
          <w:rFonts w:cs="Arial"/>
          <w:kern w:val="28"/>
          <w:szCs w:val="24"/>
          <w:lang w:val="en-CA"/>
        </w:rPr>
        <w:t xml:space="preserve"> </w:t>
      </w:r>
      <w:r w:rsidR="00AE0DE0" w:rsidRPr="00A92931">
        <w:rPr>
          <w:rFonts w:cs="Arial"/>
          <w:kern w:val="28"/>
          <w:szCs w:val="24"/>
          <w:lang w:val="en-CA"/>
        </w:rPr>
        <w:t>the path it should follow.</w:t>
      </w:r>
    </w:p>
    <w:p w14:paraId="7B15D064" w14:textId="0182A6FA" w:rsidR="004A296E" w:rsidRPr="00A92931" w:rsidRDefault="00497B9B" w:rsidP="004A296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Indeed</w:t>
      </w:r>
      <w:r w:rsidR="00AE0DE0" w:rsidRPr="00A92931">
        <w:rPr>
          <w:rFonts w:cs="Arial"/>
          <w:kern w:val="28"/>
          <w:szCs w:val="24"/>
          <w:lang w:val="en-CA"/>
        </w:rPr>
        <w:t xml:space="preserve">, </w:t>
      </w:r>
      <w:r w:rsidR="003E4CEF" w:rsidRPr="00A92931">
        <w:rPr>
          <w:rFonts w:cs="Arial"/>
          <w:kern w:val="28"/>
          <w:szCs w:val="24"/>
          <w:lang w:val="en-CA"/>
        </w:rPr>
        <w:t>all</w:t>
      </w:r>
      <w:r w:rsidR="00AE0DE0" w:rsidRPr="00A92931">
        <w:rPr>
          <w:rFonts w:cs="Arial"/>
          <w:kern w:val="28"/>
          <w:szCs w:val="24"/>
          <w:lang w:val="en-CA"/>
        </w:rPr>
        <w:t xml:space="preserve"> </w:t>
      </w:r>
      <w:r w:rsidR="003E4CEF" w:rsidRPr="00A92931">
        <w:rPr>
          <w:rFonts w:cs="Arial"/>
          <w:kern w:val="28"/>
          <w:szCs w:val="24"/>
          <w:lang w:val="en-CA"/>
        </w:rPr>
        <w:t xml:space="preserve">the alleged </w:t>
      </w:r>
      <w:r w:rsidR="007D3813" w:rsidRPr="00A92931">
        <w:rPr>
          <w:rFonts w:cs="Arial"/>
          <w:kern w:val="28"/>
          <w:szCs w:val="24"/>
          <w:lang w:val="en-CA"/>
        </w:rPr>
        <w:t xml:space="preserve">facts </w:t>
      </w:r>
      <w:r w:rsidR="003E4CEF" w:rsidRPr="00A92931">
        <w:rPr>
          <w:rFonts w:cs="Arial"/>
          <w:kern w:val="28"/>
          <w:szCs w:val="24"/>
          <w:lang w:val="en-CA"/>
        </w:rPr>
        <w:t xml:space="preserve">claim that </w:t>
      </w:r>
      <w:r w:rsidR="00AE0DE0" w:rsidRPr="00A92931">
        <w:rPr>
          <w:rFonts w:cs="Arial"/>
          <w:kern w:val="28"/>
          <w:szCs w:val="24"/>
          <w:lang w:val="en-CA"/>
        </w:rPr>
        <w:t>the Canadian government</w:t>
      </w:r>
      <w:r w:rsidR="003E4CEF" w:rsidRPr="00A92931">
        <w:rPr>
          <w:rFonts w:cs="Arial"/>
          <w:kern w:val="28"/>
          <w:szCs w:val="24"/>
          <w:lang w:val="en-CA"/>
        </w:rPr>
        <w:t xml:space="preserve">’s failure to act on </w:t>
      </w:r>
      <w:r w:rsidR="007D3813" w:rsidRPr="00A92931">
        <w:rPr>
          <w:rFonts w:cs="Arial"/>
          <w:kern w:val="28"/>
          <w:szCs w:val="24"/>
          <w:lang w:val="en-CA"/>
        </w:rPr>
        <w:t>global warming</w:t>
      </w:r>
      <w:r w:rsidR="003E4CEF" w:rsidRPr="00A92931">
        <w:rPr>
          <w:rFonts w:cs="Arial"/>
          <w:kern w:val="28"/>
          <w:szCs w:val="24"/>
          <w:lang w:val="en-CA"/>
        </w:rPr>
        <w:t xml:space="preserve"> is a fault of omission</w:t>
      </w:r>
      <w:r w:rsidR="00AE0DE0" w:rsidRPr="00A92931">
        <w:rPr>
          <w:rFonts w:cs="Arial"/>
          <w:kern w:val="28"/>
          <w:szCs w:val="24"/>
          <w:lang w:val="en-CA"/>
        </w:rPr>
        <w:t xml:space="preserve">. </w:t>
      </w:r>
      <w:r w:rsidR="003E4CEF" w:rsidRPr="00A92931">
        <w:rPr>
          <w:rFonts w:cs="Arial"/>
          <w:kern w:val="28"/>
          <w:szCs w:val="24"/>
          <w:lang w:val="en-CA"/>
        </w:rPr>
        <w:t>The</w:t>
      </w:r>
      <w:r w:rsidR="00AE0DE0" w:rsidRPr="00A92931">
        <w:rPr>
          <w:rFonts w:cs="Arial"/>
          <w:kern w:val="28"/>
          <w:szCs w:val="24"/>
          <w:lang w:val="en-CA"/>
        </w:rPr>
        <w:t xml:space="preserve"> conclusions sought by the appellant</w:t>
      </w:r>
      <w:r w:rsidR="003E4CEF" w:rsidRPr="00A92931">
        <w:rPr>
          <w:rFonts w:cs="Arial"/>
          <w:kern w:val="28"/>
          <w:szCs w:val="24"/>
          <w:lang w:val="en-CA"/>
        </w:rPr>
        <w:t xml:space="preserve">, however, </w:t>
      </w:r>
      <w:r w:rsidR="00AE0DE0" w:rsidRPr="00A92931">
        <w:rPr>
          <w:rFonts w:cs="Arial"/>
          <w:kern w:val="28"/>
          <w:szCs w:val="24"/>
          <w:lang w:val="en-CA"/>
        </w:rPr>
        <w:t xml:space="preserve">essentially ask the courts to find that the government has failed to act and to order it to legislate in order to implement measures likely to lead to a reduction of </w:t>
      </w:r>
      <w:r w:rsidR="00315B73">
        <w:rPr>
          <w:rFonts w:cs="Arial"/>
          <w:kern w:val="28"/>
          <w:szCs w:val="24"/>
          <w:lang w:val="en-CA"/>
        </w:rPr>
        <w:t xml:space="preserve">GHG </w:t>
      </w:r>
      <w:r w:rsidR="00AE0DE0" w:rsidRPr="00A92931">
        <w:rPr>
          <w:rFonts w:cs="Arial"/>
          <w:kern w:val="28"/>
          <w:szCs w:val="24"/>
          <w:lang w:val="en-CA"/>
        </w:rPr>
        <w:t xml:space="preserve">emissions, thereby giving effect to Canada’s international commitments. That is </w:t>
      </w:r>
      <w:r w:rsidR="007D3813" w:rsidRPr="00A92931">
        <w:rPr>
          <w:rFonts w:cs="Arial"/>
          <w:kern w:val="28"/>
          <w:szCs w:val="24"/>
          <w:lang w:val="en-CA"/>
        </w:rPr>
        <w:t>tantamount</w:t>
      </w:r>
      <w:r w:rsidR="00AE0DE0" w:rsidRPr="00A92931">
        <w:rPr>
          <w:rFonts w:cs="Arial"/>
          <w:kern w:val="28"/>
          <w:szCs w:val="24"/>
          <w:lang w:val="en-CA"/>
        </w:rPr>
        <w:t xml:space="preserve"> to asking the courts to dictate to the legislative branch the solutions to propose. That is not their role.</w:t>
      </w:r>
    </w:p>
    <w:p w14:paraId="0EE879A7" w14:textId="341FA765"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Beyond the mere question of </w:t>
      </w:r>
      <w:r w:rsidR="007D3813" w:rsidRPr="00A92931">
        <w:rPr>
          <w:rFonts w:cs="Arial"/>
          <w:kern w:val="28"/>
          <w:szCs w:val="24"/>
          <w:lang w:val="en-CA"/>
        </w:rPr>
        <w:t>the division of powers</w:t>
      </w:r>
      <w:r w:rsidRPr="00A92931">
        <w:rPr>
          <w:rFonts w:cs="Arial"/>
          <w:kern w:val="28"/>
          <w:szCs w:val="24"/>
          <w:lang w:val="en-CA"/>
        </w:rPr>
        <w:t xml:space="preserve">, the justiciability of the </w:t>
      </w:r>
      <w:r w:rsidR="000171CC" w:rsidRPr="00A92931">
        <w:rPr>
          <w:rFonts w:cs="Arial"/>
          <w:kern w:val="28"/>
          <w:szCs w:val="24"/>
          <w:lang w:val="en-CA"/>
        </w:rPr>
        <w:t>action</w:t>
      </w:r>
      <w:r w:rsidRPr="00A92931">
        <w:rPr>
          <w:rFonts w:cs="Arial"/>
          <w:kern w:val="28"/>
          <w:szCs w:val="24"/>
          <w:lang w:val="en-CA"/>
        </w:rPr>
        <w:t xml:space="preserve"> also requires </w:t>
      </w:r>
      <w:r w:rsidR="00E4698C" w:rsidRPr="00A92931">
        <w:rPr>
          <w:rFonts w:cs="Arial"/>
          <w:kern w:val="28"/>
          <w:szCs w:val="24"/>
          <w:lang w:val="en-CA"/>
        </w:rPr>
        <w:t>an inquiry into the appropriateness</w:t>
      </w:r>
      <w:r w:rsidRPr="00A92931">
        <w:rPr>
          <w:rFonts w:cs="Arial"/>
          <w:kern w:val="28"/>
          <w:szCs w:val="24"/>
          <w:lang w:val="en-CA"/>
        </w:rPr>
        <w:t xml:space="preserve"> </w:t>
      </w:r>
      <w:r w:rsidR="00B61FB0" w:rsidRPr="00A92931">
        <w:rPr>
          <w:color w:val="000000"/>
          <w:spacing w:val="-3"/>
          <w:lang w:val="en-CA"/>
        </w:rPr>
        <w:t>“</w:t>
      </w:r>
      <w:r w:rsidR="00E4698C" w:rsidRPr="00A92931">
        <w:rPr>
          <w:rFonts w:cs="Arial"/>
          <w:kern w:val="28"/>
          <w:szCs w:val="24"/>
          <w:lang w:val="en-CA"/>
        </w:rPr>
        <w:t>as a matter of constitutional judicial policy of the courts deciding a given issue or, instead, deferring to other decision-making institutions of the polity</w:t>
      </w:r>
      <w:r w:rsidR="009F121D" w:rsidRPr="00A92931">
        <w:rPr>
          <w:rFonts w:cs="Arial"/>
          <w:kern w:val="28"/>
          <w:szCs w:val="24"/>
          <w:lang w:val="en-CA"/>
        </w:rPr>
        <w:t>.</w:t>
      </w:r>
      <w:r w:rsidR="00B61FB0" w:rsidRPr="00A92931">
        <w:rPr>
          <w:rFonts w:cs="Arial"/>
          <w:kern w:val="28"/>
          <w:szCs w:val="24"/>
          <w:lang w:val="en-CA"/>
        </w:rPr>
        <w:t>”</w:t>
      </w:r>
      <w:r w:rsidR="00E4698C" w:rsidRPr="00A92931">
        <w:rPr>
          <w:rFonts w:cs="Arial"/>
          <w:kern w:val="28"/>
          <w:szCs w:val="24"/>
          <w:vertAlign w:val="superscript"/>
          <w:lang w:val="en-CA"/>
        </w:rPr>
        <w:footnoteReference w:id="20"/>
      </w:r>
      <w:r w:rsidR="00E4698C" w:rsidRPr="00A92931">
        <w:rPr>
          <w:lang w:val="en-CA"/>
        </w:rPr>
        <w:t xml:space="preserve"> </w:t>
      </w:r>
      <w:r w:rsidRPr="00A92931">
        <w:rPr>
          <w:rFonts w:cs="Arial"/>
          <w:kern w:val="28"/>
          <w:szCs w:val="24"/>
          <w:lang w:val="en-CA"/>
        </w:rPr>
        <w:t xml:space="preserve"> In this </w:t>
      </w:r>
      <w:r w:rsidR="00E4698C" w:rsidRPr="00A92931">
        <w:rPr>
          <w:rFonts w:cs="Arial"/>
          <w:kern w:val="28"/>
          <w:szCs w:val="24"/>
          <w:lang w:val="en-CA"/>
        </w:rPr>
        <w:t>case</w:t>
      </w:r>
      <w:r w:rsidRPr="00A92931">
        <w:rPr>
          <w:rFonts w:cs="Arial"/>
          <w:kern w:val="28"/>
          <w:szCs w:val="24"/>
          <w:lang w:val="en-CA"/>
        </w:rPr>
        <w:t xml:space="preserve">, deference is </w:t>
      </w:r>
      <w:r w:rsidR="00B61FB0" w:rsidRPr="00A92931">
        <w:rPr>
          <w:rFonts w:cs="Arial"/>
          <w:kern w:val="28"/>
          <w:szCs w:val="24"/>
          <w:lang w:val="en-CA"/>
        </w:rPr>
        <w:t>required,</w:t>
      </w:r>
      <w:r w:rsidRPr="00A92931">
        <w:rPr>
          <w:rFonts w:cs="Arial"/>
          <w:kern w:val="28"/>
          <w:szCs w:val="24"/>
          <w:lang w:val="en-CA"/>
        </w:rPr>
        <w:t xml:space="preserve"> and it must be concluded that the legislative </w:t>
      </w:r>
      <w:r w:rsidR="009F121D" w:rsidRPr="00A92931">
        <w:rPr>
          <w:rFonts w:cs="Arial"/>
          <w:kern w:val="28"/>
          <w:szCs w:val="24"/>
          <w:lang w:val="en-CA"/>
        </w:rPr>
        <w:t xml:space="preserve">branch </w:t>
      </w:r>
      <w:r w:rsidRPr="00A92931">
        <w:rPr>
          <w:rFonts w:cs="Arial"/>
          <w:kern w:val="28"/>
          <w:szCs w:val="24"/>
          <w:lang w:val="en-CA"/>
        </w:rPr>
        <w:t>is better placed to weigh the countless issues of global warming.</w:t>
      </w:r>
    </w:p>
    <w:p w14:paraId="078FAFBF" w14:textId="57CE3C8C" w:rsidR="00236200" w:rsidRPr="00A92931" w:rsidRDefault="00AE0DE0" w:rsidP="001312CB">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It is </w:t>
      </w:r>
      <w:r w:rsidR="006266C8" w:rsidRPr="00A92931">
        <w:rPr>
          <w:rFonts w:cs="Arial"/>
          <w:kern w:val="28"/>
          <w:szCs w:val="24"/>
          <w:lang w:val="en-CA"/>
        </w:rPr>
        <w:t>common ground</w:t>
      </w:r>
      <w:r w:rsidRPr="00A92931">
        <w:rPr>
          <w:rFonts w:cs="Arial"/>
          <w:kern w:val="28"/>
          <w:szCs w:val="24"/>
          <w:lang w:val="en-CA"/>
        </w:rPr>
        <w:t xml:space="preserve"> that</w:t>
      </w:r>
      <w:r w:rsidR="009F121D" w:rsidRPr="00A92931">
        <w:rPr>
          <w:rFonts w:cs="Arial"/>
          <w:kern w:val="28"/>
          <w:szCs w:val="24"/>
          <w:lang w:val="en-CA"/>
        </w:rPr>
        <w:t xml:space="preserve">, with exceptions, </w:t>
      </w:r>
      <w:r w:rsidR="006266C8" w:rsidRPr="00A92931">
        <w:rPr>
          <w:rFonts w:cs="Arial"/>
          <w:kern w:val="28"/>
          <w:szCs w:val="24"/>
          <w:lang w:val="en-CA"/>
        </w:rPr>
        <w:t xml:space="preserve">Canada’s </w:t>
      </w:r>
      <w:r w:rsidRPr="00A92931">
        <w:rPr>
          <w:rFonts w:cs="Arial"/>
          <w:kern w:val="28"/>
          <w:szCs w:val="24"/>
          <w:lang w:val="en-CA"/>
        </w:rPr>
        <w:t xml:space="preserve">international agreements </w:t>
      </w:r>
      <w:r w:rsidR="009F121D" w:rsidRPr="00A92931">
        <w:rPr>
          <w:rFonts w:cs="Arial"/>
          <w:kern w:val="28"/>
          <w:szCs w:val="24"/>
          <w:lang w:val="en-CA"/>
        </w:rPr>
        <w:t xml:space="preserve">will be </w:t>
      </w:r>
      <w:r w:rsidR="00264C10" w:rsidRPr="00A92931">
        <w:rPr>
          <w:rFonts w:cs="Arial"/>
          <w:kern w:val="28"/>
          <w:szCs w:val="24"/>
          <w:lang w:val="en-CA"/>
        </w:rPr>
        <w:t>binding in Canadian</w:t>
      </w:r>
      <w:r w:rsidRPr="00A92931">
        <w:rPr>
          <w:rFonts w:cs="Arial"/>
          <w:kern w:val="28"/>
          <w:szCs w:val="24"/>
          <w:lang w:val="en-CA"/>
        </w:rPr>
        <w:t xml:space="preserve"> law</w:t>
      </w:r>
      <w:r w:rsidR="009F121D" w:rsidRPr="00A92931">
        <w:rPr>
          <w:rFonts w:cs="Arial"/>
          <w:kern w:val="28"/>
          <w:szCs w:val="24"/>
          <w:lang w:val="en-CA"/>
        </w:rPr>
        <w:t xml:space="preserve"> only once </w:t>
      </w:r>
      <w:r w:rsidR="00EE68DF" w:rsidRPr="00A92931">
        <w:rPr>
          <w:rFonts w:cs="Arial"/>
          <w:kern w:val="28"/>
          <w:szCs w:val="24"/>
          <w:lang w:val="en-CA"/>
        </w:rPr>
        <w:t xml:space="preserve">Parliament </w:t>
      </w:r>
      <w:r w:rsidR="00F27351" w:rsidRPr="00A92931">
        <w:rPr>
          <w:rFonts w:cs="Arial"/>
          <w:kern w:val="28"/>
          <w:szCs w:val="24"/>
          <w:lang w:val="en-CA"/>
        </w:rPr>
        <w:t>enacts legislation</w:t>
      </w:r>
      <w:r w:rsidR="00EE68DF" w:rsidRPr="00A92931">
        <w:rPr>
          <w:rFonts w:cs="Arial"/>
          <w:kern w:val="28"/>
          <w:szCs w:val="24"/>
          <w:lang w:val="en-CA"/>
        </w:rPr>
        <w:t xml:space="preserve"> </w:t>
      </w:r>
      <w:r w:rsidRPr="00A92931">
        <w:rPr>
          <w:rFonts w:cs="Arial"/>
          <w:kern w:val="28"/>
          <w:szCs w:val="24"/>
          <w:lang w:val="en-CA"/>
        </w:rPr>
        <w:t>giving them effect.</w:t>
      </w:r>
      <w:r w:rsidR="006266C8" w:rsidRPr="00A92931">
        <w:rPr>
          <w:rStyle w:val="Appelnotedebasdep"/>
          <w:rFonts w:cs="Arial"/>
          <w:kern w:val="28"/>
          <w:szCs w:val="24"/>
          <w:lang w:val="en-CA"/>
        </w:rPr>
        <w:footnoteReference w:id="21"/>
      </w:r>
      <w:r w:rsidR="006266C8" w:rsidRPr="00A92931">
        <w:rPr>
          <w:lang w:val="en-CA"/>
        </w:rPr>
        <w:t xml:space="preserve"> </w:t>
      </w:r>
      <w:r w:rsidRPr="00A92931">
        <w:rPr>
          <w:rFonts w:cs="Arial"/>
          <w:kern w:val="28"/>
          <w:szCs w:val="24"/>
          <w:lang w:val="en-CA"/>
        </w:rPr>
        <w:t>The mere existence of an international obligation does not support the conclusion that there is a principle of fundamental justice justifying the interference of the judiciary at this stage.</w:t>
      </w:r>
      <w:r w:rsidR="00E24B19" w:rsidRPr="00A92931">
        <w:rPr>
          <w:rFonts w:cs="Arial"/>
          <w:kern w:val="28"/>
          <w:szCs w:val="24"/>
          <w:vertAlign w:val="superscript"/>
          <w:lang w:val="en-CA"/>
        </w:rPr>
        <w:footnoteReference w:id="22"/>
      </w:r>
      <w:r w:rsidR="00E24B19" w:rsidRPr="00A92931">
        <w:rPr>
          <w:lang w:val="en-CA"/>
        </w:rPr>
        <w:t xml:space="preserve"> </w:t>
      </w:r>
      <w:r w:rsidRPr="00A92931">
        <w:rPr>
          <w:rFonts w:cs="Arial"/>
          <w:kern w:val="28"/>
          <w:szCs w:val="24"/>
          <w:lang w:val="en-CA"/>
        </w:rPr>
        <w:t xml:space="preserve"> </w:t>
      </w:r>
    </w:p>
    <w:p w14:paraId="2E55EF14" w14:textId="4A6F6581" w:rsidR="00236200" w:rsidRPr="00A92931" w:rsidRDefault="007E773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The reality is that </w:t>
      </w:r>
      <w:r w:rsidR="003F32D0" w:rsidRPr="00A92931">
        <w:rPr>
          <w:rFonts w:cs="Arial"/>
          <w:kern w:val="28"/>
          <w:szCs w:val="24"/>
          <w:lang w:val="en-CA"/>
        </w:rPr>
        <w:t>in matters of</w:t>
      </w:r>
      <w:r w:rsidRPr="00A92931">
        <w:rPr>
          <w:rFonts w:cs="Arial"/>
          <w:kern w:val="28"/>
          <w:szCs w:val="24"/>
          <w:lang w:val="en-CA"/>
        </w:rPr>
        <w:t xml:space="preserve"> </w:t>
      </w:r>
      <w:r w:rsidR="007D3813" w:rsidRPr="00A92931">
        <w:rPr>
          <w:rFonts w:cs="Arial"/>
          <w:kern w:val="28"/>
          <w:szCs w:val="24"/>
          <w:lang w:val="en-CA"/>
        </w:rPr>
        <w:t>global warming</w:t>
      </w:r>
      <w:r w:rsidRPr="00A92931">
        <w:rPr>
          <w:rFonts w:cs="Arial"/>
          <w:kern w:val="28"/>
          <w:szCs w:val="24"/>
          <w:lang w:val="en-CA"/>
        </w:rPr>
        <w:t xml:space="preserve">, what the appellant wants cannot be decided in the abstract. </w:t>
      </w:r>
      <w:r w:rsidR="00650B72" w:rsidRPr="00A92931">
        <w:rPr>
          <w:rFonts w:cs="Arial"/>
          <w:kern w:val="28"/>
          <w:szCs w:val="24"/>
          <w:lang w:val="en-CA"/>
        </w:rPr>
        <w:t>Regard must be had to t</w:t>
      </w:r>
      <w:r w:rsidR="003F32D0" w:rsidRPr="00A92931">
        <w:rPr>
          <w:rFonts w:cs="Arial"/>
          <w:kern w:val="28"/>
          <w:szCs w:val="24"/>
          <w:lang w:val="en-CA"/>
        </w:rPr>
        <w:t>he</w:t>
      </w:r>
      <w:r w:rsidRPr="00A92931">
        <w:rPr>
          <w:rFonts w:cs="Arial"/>
          <w:kern w:val="28"/>
          <w:szCs w:val="24"/>
          <w:lang w:val="en-CA"/>
        </w:rPr>
        <w:t xml:space="preserve"> role that provinces with constitutionally concurrent </w:t>
      </w:r>
      <w:r w:rsidR="00650B72" w:rsidRPr="00A92931">
        <w:rPr>
          <w:rFonts w:cs="Arial"/>
          <w:kern w:val="28"/>
          <w:szCs w:val="24"/>
          <w:lang w:val="en-CA"/>
        </w:rPr>
        <w:t>jurisdiction</w:t>
      </w:r>
      <w:r w:rsidRPr="00A92931">
        <w:rPr>
          <w:rFonts w:cs="Arial"/>
          <w:kern w:val="28"/>
          <w:szCs w:val="24"/>
          <w:lang w:val="en-CA"/>
        </w:rPr>
        <w:t xml:space="preserve">, particularly in environmental matters, could be called upon to play. Collaboration between government agencies often involves delicate </w:t>
      </w:r>
      <w:r w:rsidRPr="00A92931">
        <w:rPr>
          <w:rFonts w:cs="Arial"/>
          <w:kern w:val="28"/>
          <w:szCs w:val="24"/>
          <w:lang w:val="en-CA"/>
        </w:rPr>
        <w:lastRenderedPageBreak/>
        <w:t>negotiations. Beyond these political obstacles, finding a solution requires assessing scientific factors, weighing impacts on health, transport, economic and regional development, employment, etc. It is not up to the courts to engage in such an analysis. Even if that were the case, the proposed measures must translate into budgetary priorities since their implementation w</w:t>
      </w:r>
      <w:r w:rsidR="00FC597B" w:rsidRPr="00A92931">
        <w:rPr>
          <w:rFonts w:cs="Arial"/>
          <w:kern w:val="28"/>
          <w:szCs w:val="24"/>
          <w:lang w:val="en-CA"/>
        </w:rPr>
        <w:t>ould</w:t>
      </w:r>
      <w:r w:rsidRPr="00A92931">
        <w:rPr>
          <w:rFonts w:cs="Arial"/>
          <w:kern w:val="28"/>
          <w:szCs w:val="24"/>
          <w:lang w:val="en-CA"/>
        </w:rPr>
        <w:t xml:space="preserve"> necessarily require financial investments and mobilization of state resources. Again, it does not fall to the courts to make such choices by prioritizing </w:t>
      </w:r>
      <w:r w:rsidR="00650B72" w:rsidRPr="00A92931">
        <w:rPr>
          <w:rFonts w:cs="Arial"/>
          <w:kern w:val="28"/>
          <w:szCs w:val="24"/>
          <w:lang w:val="en-CA"/>
        </w:rPr>
        <w:t>resources to</w:t>
      </w:r>
      <w:r w:rsidRPr="00A92931">
        <w:rPr>
          <w:rFonts w:cs="Arial"/>
          <w:kern w:val="28"/>
          <w:szCs w:val="24"/>
          <w:lang w:val="en-CA"/>
        </w:rPr>
        <w:t xml:space="preserve"> address climate change over other government spending.</w:t>
      </w:r>
    </w:p>
    <w:p w14:paraId="6EB210F1" w14:textId="67E45DD8" w:rsidR="00236200" w:rsidRPr="00A92931" w:rsidRDefault="00AE0DE0" w:rsidP="006B6AC4">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The answers to the common issues raised clearly lie at the heart of </w:t>
      </w:r>
      <w:r w:rsidR="003F32D0" w:rsidRPr="00A92931">
        <w:rPr>
          <w:rFonts w:cs="Arial"/>
          <w:kern w:val="28"/>
          <w:szCs w:val="24"/>
          <w:lang w:val="en-CA"/>
        </w:rPr>
        <w:t>both the national and international</w:t>
      </w:r>
      <w:r w:rsidRPr="00A92931">
        <w:rPr>
          <w:rFonts w:cs="Arial"/>
          <w:kern w:val="28"/>
          <w:szCs w:val="24"/>
          <w:lang w:val="en-CA"/>
        </w:rPr>
        <w:t xml:space="preserve"> challenges facing society.</w:t>
      </w:r>
      <w:r w:rsidRPr="00A92931">
        <w:rPr>
          <w:lang w:val="en-CA"/>
        </w:rPr>
        <w:t xml:space="preserve"> </w:t>
      </w:r>
      <w:r w:rsidRPr="00A92931">
        <w:rPr>
          <w:rFonts w:cs="Arial"/>
          <w:kern w:val="28"/>
          <w:szCs w:val="24"/>
          <w:lang w:val="en-CA"/>
        </w:rPr>
        <w:t>It is up to the democratically elected government to respond, not to the courts to dictate to the State the choices it should make.</w:t>
      </w:r>
      <w:r w:rsidR="009B5C00" w:rsidRPr="00A92931">
        <w:rPr>
          <w:rFonts w:cs="Arial"/>
          <w:kern w:val="28"/>
          <w:szCs w:val="24"/>
          <w:vertAlign w:val="superscript"/>
          <w:lang w:val="en-CA"/>
        </w:rPr>
        <w:footnoteReference w:id="23"/>
      </w:r>
    </w:p>
    <w:p w14:paraId="4040E9DB" w14:textId="70D6A11C" w:rsidR="00236200" w:rsidRPr="00A92931" w:rsidRDefault="00AE0DE0" w:rsidP="001312CB">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The Federal Court, seized of </w:t>
      </w:r>
      <w:r w:rsidR="00EA3C50" w:rsidRPr="00A92931">
        <w:rPr>
          <w:rFonts w:cs="Arial"/>
          <w:kern w:val="28"/>
          <w:szCs w:val="24"/>
          <w:lang w:val="en-CA"/>
        </w:rPr>
        <w:t>an application</w:t>
      </w:r>
      <w:r w:rsidRPr="00A92931">
        <w:rPr>
          <w:rFonts w:cs="Arial"/>
          <w:kern w:val="28"/>
          <w:szCs w:val="24"/>
          <w:lang w:val="en-CA"/>
        </w:rPr>
        <w:t xml:space="preserve"> presenting significant similarities to </w:t>
      </w:r>
      <w:r w:rsidR="00EA3C50" w:rsidRPr="00A92931">
        <w:rPr>
          <w:rFonts w:cs="Arial"/>
          <w:kern w:val="28"/>
          <w:szCs w:val="24"/>
          <w:lang w:val="en-CA"/>
        </w:rPr>
        <w:t>this</w:t>
      </w:r>
      <w:r w:rsidRPr="00A92931">
        <w:rPr>
          <w:rFonts w:cs="Arial"/>
          <w:kern w:val="28"/>
          <w:szCs w:val="24"/>
          <w:lang w:val="en-CA"/>
        </w:rPr>
        <w:t xml:space="preserve"> appeal, concluded that the appeal was not justiciable.</w:t>
      </w:r>
      <w:r w:rsidR="006460AD" w:rsidRPr="00A92931">
        <w:rPr>
          <w:rFonts w:cs="Arial"/>
          <w:kern w:val="28"/>
          <w:szCs w:val="24"/>
          <w:vertAlign w:val="superscript"/>
          <w:lang w:val="en-CA"/>
        </w:rPr>
        <w:footnoteReference w:id="24"/>
      </w:r>
      <w:r w:rsidR="002A1CBB">
        <w:rPr>
          <w:rFonts w:cs="Arial"/>
          <w:kern w:val="28"/>
          <w:szCs w:val="24"/>
          <w:lang w:val="en-CA"/>
        </w:rPr>
        <w:t xml:space="preserve"> </w:t>
      </w:r>
      <w:r w:rsidRPr="00A92931">
        <w:rPr>
          <w:rFonts w:cs="Arial"/>
          <w:kern w:val="28"/>
          <w:szCs w:val="24"/>
          <w:lang w:val="en-CA"/>
        </w:rPr>
        <w:t>It state</w:t>
      </w:r>
      <w:r w:rsidR="006460AD" w:rsidRPr="00A92931">
        <w:rPr>
          <w:rFonts w:cs="Arial"/>
          <w:kern w:val="28"/>
          <w:szCs w:val="24"/>
          <w:lang w:val="en-CA"/>
        </w:rPr>
        <w:t>d</w:t>
      </w:r>
      <w:r w:rsidRPr="00A92931">
        <w:rPr>
          <w:rFonts w:cs="Arial"/>
          <w:kern w:val="28"/>
          <w:szCs w:val="24"/>
          <w:lang w:val="en-CA"/>
        </w:rPr>
        <w:t>:</w:t>
      </w:r>
    </w:p>
    <w:p w14:paraId="15585D97" w14:textId="31236050" w:rsidR="00236200" w:rsidRPr="00A92931" w:rsidRDefault="00AE0DE0" w:rsidP="001312CB">
      <w:pPr>
        <w:pStyle w:val="Citationenretrait"/>
        <w:spacing w:before="0" w:after="240" w:line="240" w:lineRule="auto"/>
        <w:rPr>
          <w:lang w:val="en-CA"/>
        </w:rPr>
      </w:pPr>
      <w:r w:rsidRPr="00A92931">
        <w:rPr>
          <w:lang w:val="en-CA"/>
        </w:rPr>
        <w:t xml:space="preserve">[40] </w:t>
      </w:r>
      <w:r w:rsidR="006460AD" w:rsidRPr="00A92931">
        <w:rPr>
          <w:lang w:val="en-CA"/>
        </w:rPr>
        <w:t xml:space="preserve">The Plaintiffs’ position fails on the basis that there are some questions that are so political that the Courts are incapable or unsuited to deal with them. These include questions of public policy approaches – or approaches to issues of significant societal concern. As found in </w:t>
      </w:r>
      <w:r w:rsidR="006460AD" w:rsidRPr="00A92931">
        <w:rPr>
          <w:i/>
          <w:iCs/>
          <w:lang w:val="en-CA"/>
        </w:rPr>
        <w:t>PHS</w:t>
      </w:r>
      <w:r w:rsidR="006460AD" w:rsidRPr="00A92931">
        <w:rPr>
          <w:lang w:val="en-CA"/>
        </w:rPr>
        <w:t xml:space="preserve">, above at paragraph 105, and </w:t>
      </w:r>
      <w:r w:rsidR="006460AD" w:rsidRPr="00A92931">
        <w:rPr>
          <w:i/>
          <w:iCs/>
          <w:lang w:val="en-CA"/>
        </w:rPr>
        <w:t>Chaoulli</w:t>
      </w:r>
      <w:r w:rsidR="006460AD" w:rsidRPr="00A92931">
        <w:rPr>
          <w:lang w:val="en-CA"/>
        </w:rPr>
        <w:t>, above at paragraph 107, to be reviewable under the Charter, policy responses must be translated into law or state action. While this is not to say a government policy or network of government programs cannot be subject to Charter review, in my view, the Plaintiffs’ approach of alleging an overly broad and unquantifiable number of actions and inactions on the part of the Defendants does not meet this threshold requirement and effectively attempts to subject a holistic policy response to climate change to Charter review.</w:t>
      </w:r>
    </w:p>
    <w:p w14:paraId="7A0B13F6" w14:textId="264FD033" w:rsidR="00236200" w:rsidRPr="00A92931" w:rsidRDefault="00AE0DE0" w:rsidP="001312CB">
      <w:pPr>
        <w:pStyle w:val="Citationenretrait"/>
        <w:spacing w:before="0" w:after="240" w:line="240" w:lineRule="auto"/>
        <w:rPr>
          <w:lang w:val="en-CA"/>
        </w:rPr>
      </w:pPr>
      <w:r w:rsidRPr="00A92931">
        <w:rPr>
          <w:lang w:val="en-CA"/>
        </w:rPr>
        <w:t xml:space="preserve">[41] </w:t>
      </w:r>
      <w:r w:rsidR="009B5C00" w:rsidRPr="00A92931">
        <w:rPr>
          <w:lang w:val="en-CA"/>
        </w:rPr>
        <w:t>My finding on justiciability is supported both by the undue breadth and diffuse nature of the Impugned Conduct and the inappropriate remedies sought by the Plaintiffs</w:t>
      </w:r>
      <w:r w:rsidRPr="00A92931">
        <w:rPr>
          <w:lang w:val="en-CA"/>
        </w:rPr>
        <w:t>.</w:t>
      </w:r>
    </w:p>
    <w:p w14:paraId="1609C7B8" w14:textId="25D6D098"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In another case, </w:t>
      </w:r>
      <w:r w:rsidR="0006169D" w:rsidRPr="00A92931">
        <w:rPr>
          <w:rFonts w:cs="Arial"/>
          <w:kern w:val="28"/>
          <w:szCs w:val="24"/>
          <w:lang w:val="en-CA"/>
        </w:rPr>
        <w:t>the Federal Court</w:t>
      </w:r>
      <w:r w:rsidRPr="00A92931">
        <w:rPr>
          <w:rFonts w:cs="Arial"/>
          <w:kern w:val="28"/>
          <w:szCs w:val="24"/>
          <w:lang w:val="en-CA"/>
        </w:rPr>
        <w:t xml:space="preserve"> refuse</w:t>
      </w:r>
      <w:r w:rsidR="0006169D" w:rsidRPr="00A92931">
        <w:rPr>
          <w:rFonts w:cs="Arial"/>
          <w:kern w:val="28"/>
          <w:szCs w:val="24"/>
          <w:lang w:val="en-CA"/>
        </w:rPr>
        <w:t>d</w:t>
      </w:r>
      <w:r w:rsidRPr="00A92931">
        <w:rPr>
          <w:rFonts w:cs="Arial"/>
          <w:kern w:val="28"/>
          <w:szCs w:val="24"/>
          <w:lang w:val="en-CA"/>
        </w:rPr>
        <w:t xml:space="preserve"> to rule on </w:t>
      </w:r>
      <w:r w:rsidR="009310F5" w:rsidRPr="00A92931">
        <w:rPr>
          <w:rFonts w:cs="Arial"/>
          <w:kern w:val="28"/>
          <w:szCs w:val="24"/>
          <w:lang w:val="en-CA"/>
        </w:rPr>
        <w:t>an</w:t>
      </w:r>
      <w:r w:rsidRPr="00A92931">
        <w:rPr>
          <w:rFonts w:cs="Arial"/>
          <w:kern w:val="28"/>
          <w:szCs w:val="24"/>
          <w:lang w:val="en-CA"/>
        </w:rPr>
        <w:t xml:space="preserve"> </w:t>
      </w:r>
      <w:r w:rsidR="00EA3C50" w:rsidRPr="00A92931">
        <w:rPr>
          <w:rFonts w:cs="Arial"/>
          <w:kern w:val="28"/>
          <w:szCs w:val="24"/>
          <w:lang w:val="en-CA"/>
        </w:rPr>
        <w:t>application seeking</w:t>
      </w:r>
      <w:r w:rsidRPr="00A92931">
        <w:rPr>
          <w:rFonts w:cs="Arial"/>
          <w:kern w:val="28"/>
          <w:szCs w:val="24"/>
          <w:lang w:val="en-CA"/>
        </w:rPr>
        <w:t xml:space="preserve"> declaratory and </w:t>
      </w:r>
      <w:r w:rsidR="00AB4FA1" w:rsidRPr="00A92931">
        <w:rPr>
          <w:rFonts w:cs="Arial"/>
          <w:kern w:val="28"/>
          <w:szCs w:val="24"/>
          <w:lang w:val="en-CA"/>
        </w:rPr>
        <w:t>mandatory</w:t>
      </w:r>
      <w:r w:rsidRPr="00A92931">
        <w:rPr>
          <w:rFonts w:cs="Arial"/>
          <w:kern w:val="28"/>
          <w:szCs w:val="24"/>
          <w:lang w:val="en-CA"/>
        </w:rPr>
        <w:t xml:space="preserve"> relief </w:t>
      </w:r>
      <w:r w:rsidR="00AB4FA1" w:rsidRPr="00A92931">
        <w:rPr>
          <w:rFonts w:cs="Arial"/>
          <w:kern w:val="28"/>
          <w:szCs w:val="24"/>
          <w:lang w:val="en-CA"/>
        </w:rPr>
        <w:t>for alleged failures</w:t>
      </w:r>
      <w:r w:rsidRPr="00A92931">
        <w:rPr>
          <w:rFonts w:cs="Arial"/>
          <w:kern w:val="28"/>
          <w:szCs w:val="24"/>
          <w:lang w:val="en-CA"/>
        </w:rPr>
        <w:t xml:space="preserve"> by the </w:t>
      </w:r>
      <w:r w:rsidR="008A0338" w:rsidRPr="00A92931">
        <w:rPr>
          <w:rFonts w:cs="Arial"/>
          <w:kern w:val="28"/>
          <w:szCs w:val="24"/>
          <w:lang w:val="en-CA"/>
        </w:rPr>
        <w:t>S</w:t>
      </w:r>
      <w:r w:rsidRPr="00A92931">
        <w:rPr>
          <w:rFonts w:cs="Arial"/>
          <w:kern w:val="28"/>
          <w:szCs w:val="24"/>
          <w:lang w:val="en-CA"/>
        </w:rPr>
        <w:t xml:space="preserve">tate to comply with the </w:t>
      </w:r>
      <w:r w:rsidRPr="00A92931">
        <w:rPr>
          <w:rFonts w:cs="Arial"/>
          <w:i/>
          <w:iCs/>
          <w:kern w:val="28"/>
          <w:szCs w:val="24"/>
          <w:lang w:val="en-CA"/>
        </w:rPr>
        <w:t>Kyoto Protocol Implementation Act</w:t>
      </w:r>
      <w:r w:rsidRPr="00A92931">
        <w:rPr>
          <w:rFonts w:cs="Arial"/>
          <w:kern w:val="28"/>
          <w:szCs w:val="24"/>
          <w:lang w:val="en-CA"/>
        </w:rPr>
        <w:t>.</w:t>
      </w:r>
      <w:r w:rsidRPr="00A92931">
        <w:rPr>
          <w:lang w:val="en-CA"/>
        </w:rPr>
        <w:t xml:space="preserve"> </w:t>
      </w:r>
      <w:r w:rsidRPr="00A92931">
        <w:rPr>
          <w:rFonts w:cs="Arial"/>
          <w:kern w:val="28"/>
          <w:szCs w:val="24"/>
          <w:lang w:val="en-CA"/>
        </w:rPr>
        <w:t xml:space="preserve">This </w:t>
      </w:r>
      <w:r w:rsidR="0071725D" w:rsidRPr="00A92931">
        <w:rPr>
          <w:rFonts w:cs="Arial"/>
          <w:kern w:val="28"/>
          <w:szCs w:val="24"/>
          <w:lang w:val="en-CA"/>
        </w:rPr>
        <w:t>statute was</w:t>
      </w:r>
      <w:r w:rsidRPr="00A92931">
        <w:rPr>
          <w:rFonts w:cs="Arial"/>
          <w:kern w:val="28"/>
          <w:szCs w:val="24"/>
          <w:lang w:val="en-CA"/>
        </w:rPr>
        <w:t xml:space="preserve"> </w:t>
      </w:r>
      <w:r w:rsidR="0071725D" w:rsidRPr="00A92931">
        <w:rPr>
          <w:rFonts w:cs="Arial"/>
          <w:kern w:val="28"/>
          <w:szCs w:val="24"/>
          <w:lang w:val="en-CA"/>
        </w:rPr>
        <w:t>introduced</w:t>
      </w:r>
      <w:r w:rsidRPr="00A92931">
        <w:rPr>
          <w:rFonts w:cs="Arial"/>
          <w:kern w:val="28"/>
          <w:szCs w:val="24"/>
          <w:lang w:val="en-CA"/>
        </w:rPr>
        <w:t xml:space="preserve"> to Parliament </w:t>
      </w:r>
      <w:r w:rsidR="0071725D" w:rsidRPr="00A92931">
        <w:rPr>
          <w:rFonts w:cs="Arial"/>
          <w:kern w:val="28"/>
          <w:szCs w:val="24"/>
          <w:lang w:val="en-CA"/>
        </w:rPr>
        <w:t xml:space="preserve">but was not </w:t>
      </w:r>
      <w:r w:rsidRPr="00A92931">
        <w:rPr>
          <w:rFonts w:cs="Arial"/>
          <w:kern w:val="28"/>
          <w:szCs w:val="24"/>
          <w:lang w:val="en-CA"/>
        </w:rPr>
        <w:t>support</w:t>
      </w:r>
      <w:r w:rsidR="0071725D" w:rsidRPr="00A92931">
        <w:rPr>
          <w:rFonts w:cs="Arial"/>
          <w:kern w:val="28"/>
          <w:szCs w:val="24"/>
          <w:lang w:val="en-CA"/>
        </w:rPr>
        <w:t>ed</w:t>
      </w:r>
      <w:r w:rsidRPr="00A92931">
        <w:rPr>
          <w:rFonts w:cs="Arial"/>
          <w:kern w:val="28"/>
          <w:szCs w:val="24"/>
          <w:lang w:val="en-CA"/>
        </w:rPr>
        <w:t xml:space="preserve"> </w:t>
      </w:r>
      <w:r w:rsidR="0071725D" w:rsidRPr="00A92931">
        <w:rPr>
          <w:rFonts w:cs="Arial"/>
          <w:kern w:val="28"/>
          <w:szCs w:val="24"/>
          <w:lang w:val="en-CA"/>
        </w:rPr>
        <w:t xml:space="preserve">by </w:t>
      </w:r>
      <w:r w:rsidRPr="00A92931">
        <w:rPr>
          <w:rFonts w:cs="Arial"/>
          <w:kern w:val="28"/>
          <w:szCs w:val="24"/>
          <w:lang w:val="en-CA"/>
        </w:rPr>
        <w:t xml:space="preserve">the elected government, and the legislative policy it </w:t>
      </w:r>
      <w:r w:rsidR="0071725D" w:rsidRPr="00A92931">
        <w:rPr>
          <w:rFonts w:cs="Arial"/>
          <w:kern w:val="28"/>
          <w:szCs w:val="24"/>
          <w:lang w:val="en-CA"/>
        </w:rPr>
        <w:t>embodied was inconsistent</w:t>
      </w:r>
      <w:r w:rsidRPr="00A92931">
        <w:rPr>
          <w:rFonts w:cs="Arial"/>
          <w:kern w:val="28"/>
          <w:szCs w:val="24"/>
          <w:lang w:val="en-CA"/>
        </w:rPr>
        <w:t xml:space="preserve"> with government policy.</w:t>
      </w:r>
      <w:r w:rsidR="00AB4FA1" w:rsidRPr="00A92931">
        <w:rPr>
          <w:rFonts w:cs="Arial"/>
          <w:kern w:val="28"/>
          <w:szCs w:val="24"/>
          <w:vertAlign w:val="superscript"/>
          <w:lang w:val="en-CA"/>
        </w:rPr>
        <w:footnoteReference w:id="25"/>
      </w:r>
    </w:p>
    <w:p w14:paraId="103FA15B" w14:textId="3B47E75B" w:rsidR="00236200" w:rsidRPr="00A92931" w:rsidRDefault="00500771"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lastRenderedPageBreak/>
        <w:t>The Federal Court reiterate</w:t>
      </w:r>
      <w:r w:rsidR="0071725D" w:rsidRPr="00A92931">
        <w:rPr>
          <w:rFonts w:cs="Arial"/>
          <w:kern w:val="28"/>
          <w:szCs w:val="24"/>
          <w:lang w:val="en-CA"/>
        </w:rPr>
        <w:t>d</w:t>
      </w:r>
      <w:r w:rsidRPr="00A92931">
        <w:rPr>
          <w:rFonts w:cs="Arial"/>
          <w:kern w:val="28"/>
          <w:szCs w:val="24"/>
          <w:lang w:val="en-CA"/>
        </w:rPr>
        <w:t xml:space="preserve"> that </w:t>
      </w:r>
      <w:r w:rsidR="00DB1C25" w:rsidRPr="00A92931">
        <w:rPr>
          <w:rFonts w:cs="Arial"/>
          <w:kern w:val="28"/>
          <w:szCs w:val="24"/>
          <w:lang w:val="en-CA"/>
        </w:rPr>
        <w:t>an application</w:t>
      </w:r>
      <w:r w:rsidRPr="00A92931">
        <w:rPr>
          <w:rFonts w:cs="Arial"/>
          <w:kern w:val="28"/>
          <w:szCs w:val="24"/>
          <w:lang w:val="en-CA"/>
        </w:rPr>
        <w:t xml:space="preserve"> for declaratory and </w:t>
      </w:r>
      <w:r w:rsidR="00DB1C25" w:rsidRPr="00A92931">
        <w:rPr>
          <w:rFonts w:cs="Arial"/>
          <w:kern w:val="28"/>
          <w:szCs w:val="24"/>
          <w:lang w:val="en-CA"/>
        </w:rPr>
        <w:t>mandatory relief</w:t>
      </w:r>
      <w:r w:rsidRPr="00A92931">
        <w:rPr>
          <w:rFonts w:cs="Arial"/>
          <w:kern w:val="28"/>
          <w:szCs w:val="24"/>
          <w:lang w:val="en-CA"/>
        </w:rPr>
        <w:t xml:space="preserve"> aimed at limiting global warming </w:t>
      </w:r>
      <w:r w:rsidR="00FC597B" w:rsidRPr="00A92931">
        <w:rPr>
          <w:rFonts w:cs="Arial"/>
          <w:kern w:val="28"/>
          <w:szCs w:val="24"/>
          <w:lang w:val="en-CA"/>
        </w:rPr>
        <w:t xml:space="preserve">to </w:t>
      </w:r>
      <w:r w:rsidRPr="00A92931">
        <w:rPr>
          <w:rFonts w:cs="Arial"/>
          <w:kern w:val="28"/>
          <w:szCs w:val="24"/>
          <w:lang w:val="en-CA"/>
        </w:rPr>
        <w:t>between 1.5 and 2</w:t>
      </w:r>
      <w:r w:rsidR="00DB1C25" w:rsidRPr="00A92931">
        <w:rPr>
          <w:rFonts w:cs="Arial"/>
          <w:kern w:val="28"/>
          <w:szCs w:val="24"/>
          <w:lang w:val="en-CA"/>
        </w:rPr>
        <w:t xml:space="preserve"> </w:t>
      </w:r>
      <w:r w:rsidRPr="00A92931">
        <w:rPr>
          <w:rFonts w:cs="Arial"/>
          <w:kern w:val="28"/>
          <w:szCs w:val="24"/>
          <w:lang w:val="en-CA"/>
        </w:rPr>
        <w:t>°C is not justiciable.</w:t>
      </w:r>
      <w:r w:rsidR="0071725D" w:rsidRPr="00A92931">
        <w:rPr>
          <w:rFonts w:cs="Arial"/>
          <w:kern w:val="28"/>
          <w:szCs w:val="24"/>
          <w:vertAlign w:val="superscript"/>
          <w:lang w:val="en-CA"/>
        </w:rPr>
        <w:footnoteReference w:id="26"/>
      </w:r>
      <w:r w:rsidR="00AE0DE0" w:rsidRPr="00A92931">
        <w:rPr>
          <w:rFonts w:cs="Arial"/>
          <w:kern w:val="28"/>
          <w:szCs w:val="24"/>
          <w:lang w:val="en-CA"/>
        </w:rPr>
        <w:t xml:space="preserve"> It is appropriate to cite certain passages from the </w:t>
      </w:r>
      <w:r w:rsidR="00FC597B" w:rsidRPr="00A92931">
        <w:rPr>
          <w:rFonts w:cs="Arial"/>
          <w:kern w:val="28"/>
          <w:szCs w:val="24"/>
          <w:lang w:val="en-CA"/>
        </w:rPr>
        <w:t>judgment</w:t>
      </w:r>
      <w:r w:rsidR="00AE0DE0" w:rsidRPr="00A92931">
        <w:rPr>
          <w:rFonts w:cs="Arial"/>
          <w:kern w:val="28"/>
          <w:szCs w:val="24"/>
          <w:lang w:val="en-CA"/>
        </w:rPr>
        <w:t xml:space="preserve"> that, with </w:t>
      </w:r>
      <w:r w:rsidR="00FC597B" w:rsidRPr="00A92931">
        <w:rPr>
          <w:rFonts w:cs="Arial"/>
          <w:kern w:val="28"/>
          <w:szCs w:val="24"/>
          <w:lang w:val="en-CA"/>
        </w:rPr>
        <w:t xml:space="preserve">the </w:t>
      </w:r>
      <w:r w:rsidR="00AE0DE0" w:rsidRPr="00A92931">
        <w:rPr>
          <w:rFonts w:cs="Arial"/>
          <w:kern w:val="28"/>
          <w:szCs w:val="24"/>
          <w:lang w:val="en-CA"/>
        </w:rPr>
        <w:t xml:space="preserve">necessary adaptations, apply to </w:t>
      </w:r>
      <w:r w:rsidR="00DB1C25" w:rsidRPr="00A92931">
        <w:rPr>
          <w:rFonts w:cs="Arial"/>
          <w:kern w:val="28"/>
          <w:szCs w:val="24"/>
          <w:lang w:val="en-CA"/>
        </w:rPr>
        <w:t>this</w:t>
      </w:r>
      <w:r w:rsidR="00AE0DE0" w:rsidRPr="00A92931">
        <w:rPr>
          <w:rFonts w:cs="Arial"/>
          <w:kern w:val="28"/>
          <w:szCs w:val="24"/>
          <w:lang w:val="en-CA"/>
        </w:rPr>
        <w:t xml:space="preserve"> case.</w:t>
      </w:r>
    </w:p>
    <w:p w14:paraId="741DECC8" w14:textId="77777777" w:rsidR="00236200" w:rsidRPr="00A92931" w:rsidRDefault="00AE0DE0" w:rsidP="001312CB">
      <w:pPr>
        <w:pStyle w:val="Citationenretrait"/>
        <w:spacing w:before="0" w:after="240"/>
        <w:rPr>
          <w:lang w:val="en-CA"/>
        </w:rPr>
      </w:pPr>
      <w:r w:rsidRPr="00A92931">
        <w:rPr>
          <w:lang w:val="en-CA"/>
        </w:rPr>
        <w:t>[19] Not everything is suitable to be judged in a court of law. Generally, questions of policy, while not outside of the jurisdiction of the courts, should be left to the executive branches to determine, and law making to the legislature. It is hard to imagine a more political issue than climate change.</w:t>
      </w:r>
    </w:p>
    <w:p w14:paraId="3B11B4DC" w14:textId="77777777" w:rsidR="00236200" w:rsidRPr="00A92931" w:rsidRDefault="00AE0DE0" w:rsidP="001312CB">
      <w:pPr>
        <w:pStyle w:val="Citationenretrait"/>
        <w:spacing w:before="0"/>
        <w:rPr>
          <w:lang w:val="en-CA"/>
        </w:rPr>
      </w:pPr>
      <w:r w:rsidRPr="00A92931">
        <w:rPr>
          <w:lang w:val="en-CA"/>
        </w:rPr>
        <w:t>[21] But, if policy choices are to be justiciable, they must be translated into law or state action.</w:t>
      </w:r>
    </w:p>
    <w:p w14:paraId="31542DAB" w14:textId="1AAABB82" w:rsidR="00236200" w:rsidRPr="00A92931" w:rsidRDefault="00152B45" w:rsidP="001312CB">
      <w:pPr>
        <w:pStyle w:val="Citationenretrait"/>
        <w:spacing w:before="0" w:after="240"/>
        <w:rPr>
          <w:lang w:val="en-CA"/>
        </w:rPr>
      </w:pPr>
      <w:r>
        <w:rPr>
          <w:lang w:val="en-CA"/>
        </w:rPr>
        <w:t>[</w:t>
      </w:r>
      <w:r w:rsidR="00AE0DE0" w:rsidRPr="00A92931">
        <w:rPr>
          <w:lang w:val="en-CA"/>
        </w:rPr>
        <w:t>…</w:t>
      </w:r>
      <w:r>
        <w:rPr>
          <w:lang w:val="en-CA"/>
        </w:rPr>
        <w:t>]</w:t>
      </w:r>
    </w:p>
    <w:p w14:paraId="0568D97C" w14:textId="77777777" w:rsidR="00236200" w:rsidRPr="00A92931" w:rsidRDefault="00AE0DE0" w:rsidP="001312CB">
      <w:pPr>
        <w:pStyle w:val="Citationenretrait"/>
        <w:spacing w:before="0" w:after="240"/>
        <w:rPr>
          <w:lang w:val="en-CA"/>
        </w:rPr>
      </w:pPr>
      <w:r w:rsidRPr="00A92931">
        <w:rPr>
          <w:lang w:val="en-CA"/>
        </w:rPr>
        <w:t>[47] When the Dini Ze’ are asking this Court to rule on the constitutionality of the failure to enact what they consider adequate laws to fulfil international obligations, they are really asking the Court to tell the legislature to enact particular laws. This is not the role of the Court and thus not justiciable. Enacting laws is within the jurisdiction of Parliament. If those laws violate the constitution, then there can be striking out, reading down or reading in of provisions.</w:t>
      </w:r>
    </w:p>
    <w:p w14:paraId="226C0DCA" w14:textId="03C5AF9C" w:rsidR="00236200" w:rsidRPr="00A92931" w:rsidRDefault="00152B45" w:rsidP="001312CB">
      <w:pPr>
        <w:pStyle w:val="Citationenretrait"/>
        <w:spacing w:before="0" w:after="240"/>
        <w:rPr>
          <w:lang w:val="en-CA"/>
        </w:rPr>
      </w:pPr>
      <w:r>
        <w:rPr>
          <w:lang w:val="en-CA"/>
        </w:rPr>
        <w:t>[</w:t>
      </w:r>
      <w:r w:rsidR="00AE0DE0" w:rsidRPr="00A92931">
        <w:rPr>
          <w:lang w:val="en-CA"/>
        </w:rPr>
        <w:t>…</w:t>
      </w:r>
      <w:r>
        <w:rPr>
          <w:lang w:val="en-CA"/>
        </w:rPr>
        <w:t>]</w:t>
      </w:r>
    </w:p>
    <w:p w14:paraId="2659CA83" w14:textId="78B8F44A" w:rsidR="00236200" w:rsidRPr="00A92931" w:rsidRDefault="00AE0DE0" w:rsidP="001312CB">
      <w:pPr>
        <w:pStyle w:val="Citationenretrait"/>
        <w:spacing w:before="0" w:after="240"/>
        <w:rPr>
          <w:lang w:val="en-CA"/>
        </w:rPr>
      </w:pPr>
      <w:r w:rsidRPr="00A92931">
        <w:rPr>
          <w:lang w:val="en-CA"/>
        </w:rPr>
        <w:t>[72] I find that this matter is not justiciable as it is the realm of the other two branches of government. This broad topic is beyond the reach of judicial interference. I do not fin</w:t>
      </w:r>
      <w:r w:rsidR="009630C5">
        <w:rPr>
          <w:lang w:val="en-CA"/>
        </w:rPr>
        <w:t>d</w:t>
      </w:r>
      <w:r w:rsidRPr="00A92931">
        <w:rPr>
          <w:lang w:val="en-CA"/>
        </w:rPr>
        <w:t xml:space="preserve"> that there is </w:t>
      </w:r>
      <w:r w:rsidR="00E503FD">
        <w:rPr>
          <w:lang w:val="en-CA"/>
        </w:rPr>
        <w:t xml:space="preserve">a </w:t>
      </w:r>
      <w:r w:rsidRPr="00A92931">
        <w:rPr>
          <w:lang w:val="en-CA"/>
        </w:rPr>
        <w:t>sufficient legal component to anchor the analysis as this action is a political one that may touch on moral/ strategic/ ideological/ historical or policy-based issues and determinations within the realm of the remaining branches of government.</w:t>
      </w:r>
    </w:p>
    <w:p w14:paraId="5DBACC0B" w14:textId="77777777" w:rsidR="00236200" w:rsidRPr="00A92931" w:rsidRDefault="00AE0DE0" w:rsidP="00A1546E">
      <w:pPr>
        <w:pStyle w:val="Citationenretrait"/>
        <w:keepNext/>
        <w:keepLines/>
        <w:spacing w:before="0" w:after="240"/>
        <w:rPr>
          <w:lang w:val="en-CA"/>
        </w:rPr>
      </w:pPr>
      <w:r w:rsidRPr="00A92931">
        <w:rPr>
          <w:lang w:val="en-CA"/>
        </w:rPr>
        <w:t>[73] In the present case, not only is there not sufficient legality, but the remedies sought are not appropriate remedies, but rather solutions that are appropriate to be executed by the other branches of government.</w:t>
      </w:r>
    </w:p>
    <w:p w14:paraId="6232B4A2" w14:textId="76EF7A32" w:rsidR="00236200" w:rsidRPr="00A92931" w:rsidRDefault="00AE0DE0" w:rsidP="001312CB">
      <w:pPr>
        <w:pStyle w:val="Citationenretrait"/>
        <w:spacing w:before="0" w:after="240"/>
        <w:rPr>
          <w:lang w:val="en-CA"/>
        </w:rPr>
      </w:pPr>
      <w:r w:rsidRPr="00A92931">
        <w:rPr>
          <w:lang w:val="en-CA"/>
        </w:rPr>
        <w:t xml:space="preserve">[74] Looking to the guidance </w:t>
      </w:r>
      <w:r w:rsidR="005A288C">
        <w:rPr>
          <w:lang w:val="en-CA"/>
        </w:rPr>
        <w:t>from</w:t>
      </w:r>
      <w:r w:rsidR="005A288C" w:rsidRPr="00A92931">
        <w:rPr>
          <w:lang w:val="en-CA"/>
        </w:rPr>
        <w:t xml:space="preserve"> </w:t>
      </w:r>
      <w:r w:rsidRPr="006E7D06">
        <w:rPr>
          <w:i/>
          <w:iCs/>
          <w:lang w:val="en-CA"/>
        </w:rPr>
        <w:t>Highwood</w:t>
      </w:r>
      <w:r w:rsidRPr="00A92931">
        <w:rPr>
          <w:lang w:val="en-CA"/>
        </w:rPr>
        <w:t>, this Court does not have the institutional capacity to adjudicate this matter, and a set of declarations and orders flowing from this Court would not be an “economical and efficient investment of judicial resources</w:t>
      </w:r>
      <w:r w:rsidR="009A1982">
        <w:rPr>
          <w:lang w:val="en-CA"/>
        </w:rPr>
        <w:t>”</w:t>
      </w:r>
      <w:r w:rsidRPr="00A92931">
        <w:rPr>
          <w:lang w:val="en-CA"/>
        </w:rPr>
        <w:t xml:space="preserve"> that would have a real effect on climate change. There are also </w:t>
      </w:r>
      <w:r w:rsidRPr="00A92931">
        <w:rPr>
          <w:lang w:val="en-CA"/>
        </w:rPr>
        <w:lastRenderedPageBreak/>
        <w:t>vast economic, social and international elements to any decision on the limitation of industry and trade.</w:t>
      </w:r>
      <w:r w:rsidRPr="00A92931">
        <w:rPr>
          <w:rStyle w:val="Appelnotedebasdep"/>
          <w:lang w:val="en-CA"/>
        </w:rPr>
        <w:footnoteReference w:id="27"/>
      </w:r>
    </w:p>
    <w:p w14:paraId="4E48A79B" w14:textId="1AFE2006" w:rsidR="007E773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For the </w:t>
      </w:r>
      <w:r w:rsidR="00C8149A" w:rsidRPr="00A92931">
        <w:rPr>
          <w:rFonts w:cs="Arial"/>
          <w:kern w:val="28"/>
          <w:szCs w:val="24"/>
          <w:lang w:val="en-CA"/>
        </w:rPr>
        <w:t xml:space="preserve">above </w:t>
      </w:r>
      <w:r w:rsidRPr="00A92931">
        <w:rPr>
          <w:rFonts w:cs="Arial"/>
          <w:kern w:val="28"/>
          <w:szCs w:val="24"/>
          <w:lang w:val="en-CA"/>
        </w:rPr>
        <w:t xml:space="preserve">reasons, the trial judge erred in finding the </w:t>
      </w:r>
      <w:r w:rsidR="003533D5" w:rsidRPr="00A92931">
        <w:rPr>
          <w:rFonts w:cs="Arial"/>
          <w:kern w:val="28"/>
          <w:szCs w:val="24"/>
          <w:lang w:val="en-CA"/>
        </w:rPr>
        <w:t>action as instituted</w:t>
      </w:r>
      <w:r w:rsidRPr="00A92931">
        <w:rPr>
          <w:rFonts w:cs="Arial"/>
          <w:kern w:val="28"/>
          <w:szCs w:val="24"/>
          <w:lang w:val="en-CA"/>
        </w:rPr>
        <w:t xml:space="preserve"> justiciable. The nature of the </w:t>
      </w:r>
      <w:r w:rsidR="003533D5" w:rsidRPr="00A92931">
        <w:rPr>
          <w:rFonts w:cs="Arial"/>
          <w:kern w:val="28"/>
          <w:szCs w:val="24"/>
          <w:lang w:val="en-CA"/>
        </w:rPr>
        <w:t xml:space="preserve">issues </w:t>
      </w:r>
      <w:r w:rsidRPr="00A92931">
        <w:rPr>
          <w:rFonts w:cs="Arial"/>
          <w:kern w:val="28"/>
          <w:szCs w:val="24"/>
          <w:lang w:val="en-CA"/>
        </w:rPr>
        <w:t xml:space="preserve">raised, in the described context, requires courts to leave it to the legislature to make the appropriate choices. </w:t>
      </w:r>
      <w:r w:rsidRPr="00A92931">
        <w:rPr>
          <w:rFonts w:cs="Arial"/>
          <w:szCs w:val="24"/>
          <w:lang w:val="en-CA"/>
        </w:rPr>
        <w:t xml:space="preserve">That does not, however, mean that </w:t>
      </w:r>
      <w:r w:rsidR="00A07E83" w:rsidRPr="00A92931">
        <w:rPr>
          <w:rFonts w:cs="Arial"/>
          <w:szCs w:val="24"/>
          <w:lang w:val="en-CA"/>
        </w:rPr>
        <w:t xml:space="preserve">in a different context </w:t>
      </w:r>
      <w:r w:rsidRPr="00A92931">
        <w:rPr>
          <w:rFonts w:cs="Arial"/>
          <w:szCs w:val="24"/>
          <w:lang w:val="en-CA"/>
        </w:rPr>
        <w:t xml:space="preserve">courts will not be </w:t>
      </w:r>
      <w:r w:rsidR="00A07E83" w:rsidRPr="00A92931">
        <w:rPr>
          <w:rFonts w:cs="Arial"/>
          <w:szCs w:val="24"/>
          <w:lang w:val="en-CA"/>
        </w:rPr>
        <w:t>asked</w:t>
      </w:r>
      <w:r w:rsidRPr="00A92931">
        <w:rPr>
          <w:rFonts w:cs="Arial"/>
          <w:szCs w:val="24"/>
          <w:lang w:val="en-CA"/>
        </w:rPr>
        <w:t xml:space="preserve"> to examine </w:t>
      </w:r>
      <w:r w:rsidR="008A0338" w:rsidRPr="00A92931">
        <w:rPr>
          <w:rFonts w:cs="Arial"/>
          <w:szCs w:val="24"/>
          <w:lang w:val="en-CA"/>
        </w:rPr>
        <w:t>S</w:t>
      </w:r>
      <w:r w:rsidR="00DB1C25" w:rsidRPr="00A92931">
        <w:rPr>
          <w:rFonts w:cs="Arial"/>
          <w:szCs w:val="24"/>
          <w:lang w:val="en-CA"/>
        </w:rPr>
        <w:t>tate conduct</w:t>
      </w:r>
      <w:r w:rsidRPr="00A92931">
        <w:rPr>
          <w:rFonts w:cs="Arial"/>
          <w:szCs w:val="24"/>
          <w:lang w:val="en-CA"/>
        </w:rPr>
        <w:t xml:space="preserve"> regarding global warming.</w:t>
      </w:r>
    </w:p>
    <w:p w14:paraId="5452CFB5" w14:textId="3157BCC7" w:rsidR="00236200" w:rsidRPr="00A92931" w:rsidRDefault="00A07E83"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In th</w:t>
      </w:r>
      <w:r w:rsidR="00FC597B" w:rsidRPr="00A92931">
        <w:rPr>
          <w:rFonts w:cs="Arial"/>
          <w:kern w:val="28"/>
          <w:szCs w:val="24"/>
          <w:lang w:val="en-CA"/>
        </w:rPr>
        <w:t>o</w:t>
      </w:r>
      <w:r w:rsidRPr="00A92931">
        <w:rPr>
          <w:rFonts w:cs="Arial"/>
          <w:kern w:val="28"/>
          <w:szCs w:val="24"/>
          <w:lang w:val="en-CA"/>
        </w:rPr>
        <w:t>se circumstances, t</w:t>
      </w:r>
      <w:r w:rsidR="00AE0DE0" w:rsidRPr="00A92931">
        <w:rPr>
          <w:rFonts w:cs="Arial"/>
          <w:kern w:val="28"/>
          <w:szCs w:val="24"/>
          <w:lang w:val="en-CA"/>
        </w:rPr>
        <w:t>he facts</w:t>
      </w:r>
      <w:r w:rsidR="004F6F18" w:rsidRPr="00A92931">
        <w:rPr>
          <w:rFonts w:cs="Arial"/>
          <w:kern w:val="28"/>
          <w:szCs w:val="24"/>
          <w:lang w:val="en-CA"/>
        </w:rPr>
        <w:t xml:space="preserve"> alleged</w:t>
      </w:r>
      <w:r w:rsidRPr="00A92931">
        <w:rPr>
          <w:rFonts w:cs="Arial"/>
          <w:kern w:val="28"/>
          <w:szCs w:val="24"/>
          <w:lang w:val="en-CA"/>
        </w:rPr>
        <w:t xml:space="preserve"> </w:t>
      </w:r>
      <w:r w:rsidR="00FC597B" w:rsidRPr="00A92931">
        <w:rPr>
          <w:rFonts w:cs="Arial"/>
          <w:kern w:val="28"/>
          <w:szCs w:val="24"/>
          <w:lang w:val="en-CA"/>
        </w:rPr>
        <w:t>could</w:t>
      </w:r>
      <w:r w:rsidRPr="00A92931">
        <w:rPr>
          <w:rFonts w:cs="Arial"/>
          <w:kern w:val="28"/>
          <w:szCs w:val="24"/>
          <w:lang w:val="en-CA"/>
        </w:rPr>
        <w:t xml:space="preserve"> not</w:t>
      </w:r>
      <w:r w:rsidR="00AE0DE0" w:rsidRPr="00A92931">
        <w:rPr>
          <w:rFonts w:cs="Arial"/>
          <w:kern w:val="28"/>
          <w:szCs w:val="24"/>
          <w:lang w:val="en-CA"/>
        </w:rPr>
        <w:t xml:space="preserve"> give rise to the </w:t>
      </w:r>
      <w:r w:rsidRPr="00A92931">
        <w:rPr>
          <w:rFonts w:cs="Arial"/>
          <w:kern w:val="28"/>
          <w:szCs w:val="24"/>
          <w:lang w:val="en-CA"/>
        </w:rPr>
        <w:t xml:space="preserve">conclusions </w:t>
      </w:r>
      <w:r w:rsidR="00AE0DE0" w:rsidRPr="00A92931">
        <w:rPr>
          <w:rFonts w:cs="Arial"/>
          <w:kern w:val="28"/>
          <w:szCs w:val="24"/>
          <w:lang w:val="en-CA"/>
        </w:rPr>
        <w:t xml:space="preserve">sought, </w:t>
      </w:r>
      <w:r w:rsidR="00311139">
        <w:rPr>
          <w:rFonts w:cs="Arial"/>
          <w:kern w:val="28"/>
          <w:szCs w:val="24"/>
          <w:lang w:val="en-CA"/>
        </w:rPr>
        <w:t>such that</w:t>
      </w:r>
      <w:r w:rsidRPr="00A92931">
        <w:rPr>
          <w:rFonts w:cs="Arial"/>
          <w:kern w:val="28"/>
          <w:szCs w:val="24"/>
          <w:lang w:val="en-CA"/>
        </w:rPr>
        <w:t xml:space="preserve"> </w:t>
      </w:r>
      <w:r w:rsidR="00AE0DE0" w:rsidRPr="00A92931">
        <w:rPr>
          <w:rFonts w:cs="Arial"/>
          <w:kern w:val="28"/>
          <w:szCs w:val="24"/>
          <w:lang w:val="en-CA"/>
        </w:rPr>
        <w:t xml:space="preserve">the second criterion of article 575(2) </w:t>
      </w:r>
      <w:r w:rsidR="004F6F18" w:rsidRPr="006E7D06">
        <w:rPr>
          <w:rFonts w:cs="Arial"/>
          <w:i/>
          <w:iCs/>
          <w:kern w:val="28"/>
          <w:szCs w:val="24"/>
          <w:lang w:val="en-CA"/>
        </w:rPr>
        <w:t>CCP</w:t>
      </w:r>
      <w:r w:rsidRPr="00A92931">
        <w:rPr>
          <w:rFonts w:cs="Arial"/>
          <w:kern w:val="28"/>
          <w:szCs w:val="24"/>
          <w:lang w:val="en-CA"/>
        </w:rPr>
        <w:t xml:space="preserve"> </w:t>
      </w:r>
      <w:r w:rsidR="002A1CBB">
        <w:rPr>
          <w:rFonts w:cs="Arial"/>
          <w:kern w:val="28"/>
          <w:szCs w:val="24"/>
          <w:lang w:val="en-CA"/>
        </w:rPr>
        <w:t>i</w:t>
      </w:r>
      <w:r w:rsidR="00CC50A0" w:rsidRPr="00A92931">
        <w:rPr>
          <w:rFonts w:cs="Arial"/>
          <w:kern w:val="28"/>
          <w:szCs w:val="24"/>
          <w:lang w:val="en-CA"/>
        </w:rPr>
        <w:t>s</w:t>
      </w:r>
      <w:r w:rsidRPr="00A92931">
        <w:rPr>
          <w:rFonts w:cs="Arial"/>
          <w:kern w:val="28"/>
          <w:szCs w:val="24"/>
          <w:lang w:val="en-CA"/>
        </w:rPr>
        <w:t xml:space="preserve"> not met</w:t>
      </w:r>
      <w:r w:rsidR="00AE0DE0" w:rsidRPr="00A92931">
        <w:rPr>
          <w:rFonts w:cs="Arial"/>
          <w:kern w:val="28"/>
          <w:szCs w:val="24"/>
          <w:lang w:val="en-CA"/>
        </w:rPr>
        <w:t>, and this justifie</w:t>
      </w:r>
      <w:r w:rsidR="002A1CBB">
        <w:rPr>
          <w:rFonts w:cs="Arial"/>
          <w:kern w:val="28"/>
          <w:szCs w:val="24"/>
          <w:lang w:val="en-CA"/>
        </w:rPr>
        <w:t>s</w:t>
      </w:r>
      <w:r w:rsidR="00AE0DE0" w:rsidRPr="00A92931">
        <w:rPr>
          <w:rFonts w:cs="Arial"/>
          <w:kern w:val="28"/>
          <w:szCs w:val="24"/>
          <w:lang w:val="en-CA"/>
        </w:rPr>
        <w:t xml:space="preserve"> the </w:t>
      </w:r>
      <w:r w:rsidR="004F6F18" w:rsidRPr="00A92931">
        <w:rPr>
          <w:rFonts w:cs="Arial"/>
          <w:kern w:val="28"/>
          <w:szCs w:val="24"/>
          <w:lang w:val="en-CA"/>
        </w:rPr>
        <w:t>dismissal</w:t>
      </w:r>
      <w:r w:rsidR="00AE0DE0" w:rsidRPr="00A92931">
        <w:rPr>
          <w:rFonts w:cs="Arial"/>
          <w:kern w:val="28"/>
          <w:szCs w:val="24"/>
          <w:lang w:val="en-CA"/>
        </w:rPr>
        <w:t xml:space="preserve"> of the application for authorization.</w:t>
      </w:r>
    </w:p>
    <w:p w14:paraId="07F729E6" w14:textId="65FEFE10" w:rsidR="0094261D" w:rsidRPr="00A92931" w:rsidRDefault="00E7326E" w:rsidP="00133A57">
      <w:pPr>
        <w:pStyle w:val="Paragraphe"/>
        <w:spacing w:before="0" w:after="240" w:line="240" w:lineRule="auto"/>
        <w:rPr>
          <w:lang w:val="en-CA"/>
        </w:rPr>
      </w:pPr>
      <w:r w:rsidRPr="00A92931">
        <w:rPr>
          <w:rFonts w:cs="Arial"/>
          <w:szCs w:val="24"/>
          <w:lang w:val="en-CA"/>
        </w:rPr>
        <w:t xml:space="preserve">In this </w:t>
      </w:r>
      <w:r w:rsidR="00A07E83" w:rsidRPr="00A92931">
        <w:rPr>
          <w:rFonts w:cs="Arial"/>
          <w:szCs w:val="24"/>
          <w:lang w:val="en-CA"/>
        </w:rPr>
        <w:t>case</w:t>
      </w:r>
      <w:r w:rsidRPr="00A92931">
        <w:rPr>
          <w:rFonts w:cs="Arial"/>
          <w:szCs w:val="24"/>
          <w:lang w:val="en-CA"/>
        </w:rPr>
        <w:t xml:space="preserve">, the declaratory </w:t>
      </w:r>
      <w:r w:rsidR="00DF4B3C" w:rsidRPr="00A92931">
        <w:rPr>
          <w:rFonts w:cs="Arial"/>
          <w:szCs w:val="24"/>
          <w:lang w:val="en-CA"/>
        </w:rPr>
        <w:t>conclusions</w:t>
      </w:r>
      <w:r w:rsidRPr="00A92931">
        <w:rPr>
          <w:rFonts w:cs="Arial"/>
          <w:szCs w:val="24"/>
          <w:lang w:val="en-CA"/>
        </w:rPr>
        <w:t xml:space="preserve"> sought </w:t>
      </w:r>
      <w:r w:rsidR="00DF4B3C" w:rsidRPr="00A92931">
        <w:rPr>
          <w:rFonts w:cs="Arial"/>
          <w:szCs w:val="24"/>
          <w:lang w:val="en-CA"/>
        </w:rPr>
        <w:t xml:space="preserve">clearly show an </w:t>
      </w:r>
      <w:r w:rsidR="000905A1" w:rsidRPr="00A92931">
        <w:rPr>
          <w:rFonts w:cs="Arial"/>
          <w:szCs w:val="24"/>
          <w:lang w:val="en-CA"/>
        </w:rPr>
        <w:t>attempt</w:t>
      </w:r>
      <w:r w:rsidR="00DF4B3C" w:rsidRPr="00A92931">
        <w:rPr>
          <w:rFonts w:cs="Arial"/>
          <w:szCs w:val="24"/>
          <w:lang w:val="en-CA"/>
        </w:rPr>
        <w:t xml:space="preserve"> to have the </w:t>
      </w:r>
      <w:r w:rsidR="000905A1" w:rsidRPr="00A92931">
        <w:rPr>
          <w:rFonts w:cs="Arial"/>
          <w:szCs w:val="24"/>
          <w:lang w:val="en-CA"/>
        </w:rPr>
        <w:t>c</w:t>
      </w:r>
      <w:r w:rsidR="00DF4B3C" w:rsidRPr="00A92931">
        <w:rPr>
          <w:rFonts w:cs="Arial"/>
          <w:szCs w:val="24"/>
          <w:lang w:val="en-CA"/>
        </w:rPr>
        <w:t>ourt</w:t>
      </w:r>
      <w:r w:rsidR="000905A1" w:rsidRPr="00A92931">
        <w:rPr>
          <w:rFonts w:cs="Arial"/>
          <w:szCs w:val="24"/>
          <w:lang w:val="en-CA"/>
        </w:rPr>
        <w:t>s</w:t>
      </w:r>
      <w:r w:rsidR="00DF4B3C" w:rsidRPr="00A92931">
        <w:rPr>
          <w:rFonts w:cs="Arial"/>
          <w:szCs w:val="24"/>
          <w:lang w:val="en-CA"/>
        </w:rPr>
        <w:t xml:space="preserve"> inter</w:t>
      </w:r>
      <w:r w:rsidR="000905A1" w:rsidRPr="00A92931">
        <w:rPr>
          <w:rFonts w:cs="Arial"/>
          <w:szCs w:val="24"/>
          <w:lang w:val="en-CA"/>
        </w:rPr>
        <w:t>fere</w:t>
      </w:r>
      <w:r w:rsidR="00DF4B3C" w:rsidRPr="00A92931">
        <w:rPr>
          <w:rFonts w:cs="Arial"/>
          <w:szCs w:val="24"/>
          <w:lang w:val="en-CA"/>
        </w:rPr>
        <w:t xml:space="preserve"> in</w:t>
      </w:r>
      <w:r w:rsidRPr="00A92931">
        <w:rPr>
          <w:rFonts w:cs="Arial"/>
          <w:szCs w:val="24"/>
          <w:lang w:val="en-CA"/>
        </w:rPr>
        <w:t xml:space="preserve"> the </w:t>
      </w:r>
      <w:r w:rsidR="000905A1" w:rsidRPr="00A92931">
        <w:rPr>
          <w:rFonts w:cs="Arial"/>
          <w:szCs w:val="24"/>
          <w:lang w:val="en-CA"/>
        </w:rPr>
        <w:t xml:space="preserve">legislative </w:t>
      </w:r>
      <w:r w:rsidRPr="00A92931">
        <w:rPr>
          <w:rFonts w:cs="Arial"/>
          <w:szCs w:val="24"/>
          <w:lang w:val="en-CA"/>
        </w:rPr>
        <w:t xml:space="preserve">sphere and </w:t>
      </w:r>
      <w:r w:rsidR="000905A1" w:rsidRPr="00A92931">
        <w:rPr>
          <w:rFonts w:cs="Arial"/>
          <w:szCs w:val="24"/>
          <w:lang w:val="en-CA"/>
        </w:rPr>
        <w:t xml:space="preserve">in </w:t>
      </w:r>
      <w:r w:rsidRPr="00A92931">
        <w:rPr>
          <w:rFonts w:cs="Arial"/>
          <w:szCs w:val="24"/>
          <w:lang w:val="en-CA"/>
        </w:rPr>
        <w:t xml:space="preserve">complex </w:t>
      </w:r>
      <w:r w:rsidR="000905A1" w:rsidRPr="00A92931">
        <w:rPr>
          <w:rFonts w:cs="Arial"/>
          <w:szCs w:val="24"/>
          <w:lang w:val="en-CA"/>
        </w:rPr>
        <w:t>decisions</w:t>
      </w:r>
      <w:r w:rsidRPr="00A92931">
        <w:rPr>
          <w:rFonts w:cs="Arial"/>
          <w:szCs w:val="24"/>
          <w:lang w:val="en-CA"/>
        </w:rPr>
        <w:t xml:space="preserve"> regarding social and economic polic</w:t>
      </w:r>
      <w:r w:rsidR="000905A1" w:rsidRPr="00A92931">
        <w:rPr>
          <w:rFonts w:cs="Arial"/>
          <w:szCs w:val="24"/>
          <w:lang w:val="en-CA"/>
        </w:rPr>
        <w:t>y</w:t>
      </w:r>
      <w:r w:rsidRPr="00A92931">
        <w:rPr>
          <w:rFonts w:cs="Arial"/>
          <w:szCs w:val="24"/>
          <w:lang w:val="en-CA"/>
        </w:rPr>
        <w:t xml:space="preserve">. Ordering </w:t>
      </w:r>
      <w:r w:rsidR="00DF4B3C" w:rsidRPr="00A92931">
        <w:rPr>
          <w:rFonts w:cs="Arial"/>
          <w:szCs w:val="24"/>
          <w:lang w:val="en-CA"/>
        </w:rPr>
        <w:t>the inaction to cease</w:t>
      </w:r>
      <w:r w:rsidRPr="00A92931">
        <w:rPr>
          <w:rFonts w:cs="Arial"/>
          <w:szCs w:val="24"/>
          <w:lang w:val="en-CA"/>
        </w:rPr>
        <w:t xml:space="preserve"> amounts to forcing the government to act, and </w:t>
      </w:r>
      <w:r w:rsidR="00DF4B3C" w:rsidRPr="00A92931">
        <w:rPr>
          <w:rFonts w:cs="Arial"/>
          <w:szCs w:val="24"/>
          <w:lang w:val="en-CA"/>
        </w:rPr>
        <w:t xml:space="preserve">the </w:t>
      </w:r>
      <w:r w:rsidRPr="00A92931">
        <w:rPr>
          <w:rFonts w:cs="Arial"/>
          <w:szCs w:val="24"/>
          <w:lang w:val="en-CA"/>
        </w:rPr>
        <w:t xml:space="preserve">conclusions suggesting </w:t>
      </w:r>
      <w:r w:rsidR="000905A1" w:rsidRPr="00A92931">
        <w:rPr>
          <w:rFonts w:cs="Arial"/>
          <w:szCs w:val="24"/>
          <w:lang w:val="en-CA"/>
        </w:rPr>
        <w:t xml:space="preserve">the </w:t>
      </w:r>
      <w:r w:rsidRPr="00A92931">
        <w:rPr>
          <w:rFonts w:cs="Arial"/>
          <w:szCs w:val="24"/>
          <w:lang w:val="en-CA"/>
        </w:rPr>
        <w:t>substituti</w:t>
      </w:r>
      <w:r w:rsidR="000905A1" w:rsidRPr="00A92931">
        <w:rPr>
          <w:rFonts w:cs="Arial"/>
          <w:szCs w:val="24"/>
          <w:lang w:val="en-CA"/>
        </w:rPr>
        <w:t>on of</w:t>
      </w:r>
      <w:r w:rsidRPr="00A92931">
        <w:rPr>
          <w:rFonts w:cs="Arial"/>
          <w:szCs w:val="24"/>
          <w:lang w:val="en-CA"/>
        </w:rPr>
        <w:t xml:space="preserve"> remedial measures for </w:t>
      </w:r>
      <w:r w:rsidR="000D6E36" w:rsidRPr="00A92931">
        <w:rPr>
          <w:rFonts w:cs="Arial"/>
          <w:szCs w:val="24"/>
          <w:lang w:val="en-CA"/>
        </w:rPr>
        <w:t xml:space="preserve">the </w:t>
      </w:r>
      <w:r w:rsidRPr="00A92931">
        <w:rPr>
          <w:rFonts w:cs="Arial"/>
          <w:szCs w:val="24"/>
          <w:lang w:val="en-CA"/>
        </w:rPr>
        <w:t xml:space="preserve">exemplary damages oblige courts to interfere </w:t>
      </w:r>
      <w:r w:rsidR="000D6E36" w:rsidRPr="00A92931">
        <w:rPr>
          <w:rFonts w:cs="Arial"/>
          <w:szCs w:val="24"/>
          <w:lang w:val="en-CA"/>
        </w:rPr>
        <w:t>in</w:t>
      </w:r>
      <w:r w:rsidRPr="00A92931">
        <w:rPr>
          <w:rFonts w:cs="Arial"/>
          <w:szCs w:val="24"/>
          <w:lang w:val="en-CA"/>
        </w:rPr>
        <w:t xml:space="preserve"> the choice of measures. </w:t>
      </w:r>
      <w:r w:rsidR="00DF4B3C" w:rsidRPr="00A92931">
        <w:rPr>
          <w:rFonts w:cs="Arial"/>
          <w:szCs w:val="24"/>
          <w:lang w:val="en-CA"/>
        </w:rPr>
        <w:t>Moreover</w:t>
      </w:r>
      <w:r w:rsidRPr="00A92931">
        <w:rPr>
          <w:rFonts w:cs="Arial"/>
          <w:szCs w:val="24"/>
          <w:lang w:val="en-CA"/>
        </w:rPr>
        <w:t xml:space="preserve">, even if </w:t>
      </w:r>
      <w:r w:rsidR="000D6E36" w:rsidRPr="00A92931">
        <w:rPr>
          <w:rFonts w:cs="Arial"/>
          <w:szCs w:val="24"/>
          <w:lang w:val="en-CA"/>
        </w:rPr>
        <w:t>it were concluded</w:t>
      </w:r>
      <w:r w:rsidRPr="00A92931">
        <w:rPr>
          <w:rFonts w:cs="Arial"/>
          <w:szCs w:val="24"/>
          <w:lang w:val="en-CA"/>
        </w:rPr>
        <w:t xml:space="preserve"> that courts </w:t>
      </w:r>
      <w:r w:rsidR="00DF4B3C" w:rsidRPr="00A92931">
        <w:rPr>
          <w:rFonts w:cs="Arial"/>
          <w:szCs w:val="24"/>
          <w:lang w:val="en-CA"/>
        </w:rPr>
        <w:t xml:space="preserve">can </w:t>
      </w:r>
      <w:r w:rsidRPr="00A92931">
        <w:rPr>
          <w:rFonts w:cs="Arial"/>
          <w:szCs w:val="24"/>
          <w:lang w:val="en-CA"/>
        </w:rPr>
        <w:t xml:space="preserve">do so, the generality of the conclusions sought is so </w:t>
      </w:r>
      <w:r w:rsidR="000D6E36" w:rsidRPr="00A92931">
        <w:rPr>
          <w:rFonts w:cs="Arial"/>
          <w:szCs w:val="24"/>
          <w:lang w:val="en-CA"/>
        </w:rPr>
        <w:t>vague</w:t>
      </w:r>
      <w:r w:rsidRPr="00A92931">
        <w:rPr>
          <w:rFonts w:cs="Arial"/>
          <w:szCs w:val="24"/>
          <w:lang w:val="en-CA"/>
        </w:rPr>
        <w:t xml:space="preserve"> that it </w:t>
      </w:r>
      <w:r w:rsidR="00232990" w:rsidRPr="00A92931">
        <w:rPr>
          <w:rFonts w:cs="Arial"/>
          <w:szCs w:val="24"/>
          <w:lang w:val="en-CA"/>
        </w:rPr>
        <w:t xml:space="preserve">provides </w:t>
      </w:r>
      <w:r w:rsidRPr="00A92931">
        <w:rPr>
          <w:rFonts w:cs="Arial"/>
          <w:szCs w:val="24"/>
          <w:lang w:val="en-CA"/>
        </w:rPr>
        <w:t xml:space="preserve">no basis </w:t>
      </w:r>
      <w:r w:rsidR="000D6E36" w:rsidRPr="00A92931">
        <w:rPr>
          <w:rFonts w:cs="Arial"/>
          <w:szCs w:val="24"/>
          <w:lang w:val="en-CA"/>
        </w:rPr>
        <w:t>on which to</w:t>
      </w:r>
      <w:r w:rsidRPr="00A92931">
        <w:rPr>
          <w:rFonts w:cs="Arial"/>
          <w:szCs w:val="24"/>
          <w:lang w:val="en-CA"/>
        </w:rPr>
        <w:t xml:space="preserve"> implement</w:t>
      </w:r>
      <w:r w:rsidR="000D6E36" w:rsidRPr="00A92931">
        <w:rPr>
          <w:rFonts w:cs="Arial"/>
          <w:szCs w:val="24"/>
          <w:lang w:val="en-CA"/>
        </w:rPr>
        <w:t xml:space="preserve"> them</w:t>
      </w:r>
      <w:r w:rsidRPr="00A92931">
        <w:rPr>
          <w:rFonts w:cs="Arial"/>
          <w:szCs w:val="24"/>
          <w:lang w:val="en-CA"/>
        </w:rPr>
        <w:t xml:space="preserve"> through enforceable orders. This is the case, for example, </w:t>
      </w:r>
      <w:r w:rsidR="00DB1C25" w:rsidRPr="00A92931">
        <w:rPr>
          <w:rFonts w:cs="Arial"/>
          <w:szCs w:val="24"/>
          <w:lang w:val="en-CA"/>
        </w:rPr>
        <w:t>with</w:t>
      </w:r>
      <w:r w:rsidRPr="00A92931">
        <w:rPr>
          <w:rFonts w:cs="Arial"/>
          <w:szCs w:val="24"/>
          <w:lang w:val="en-CA"/>
        </w:rPr>
        <w:t xml:space="preserve"> the </w:t>
      </w:r>
      <w:r w:rsidR="001F60C1" w:rsidRPr="00A92931">
        <w:rPr>
          <w:rFonts w:cs="Arial"/>
          <w:szCs w:val="24"/>
          <w:lang w:val="en-CA"/>
        </w:rPr>
        <w:t>statement</w:t>
      </w:r>
      <w:r w:rsidRPr="00A92931">
        <w:rPr>
          <w:rFonts w:cs="Arial"/>
          <w:szCs w:val="24"/>
          <w:lang w:val="en-CA"/>
        </w:rPr>
        <w:t xml:space="preserve"> that the government</w:t>
      </w:r>
      <w:r w:rsidR="00825AA7" w:rsidRPr="00A92931">
        <w:rPr>
          <w:rFonts w:cs="Arial"/>
          <w:szCs w:val="24"/>
          <w:lang w:val="en-CA"/>
        </w:rPr>
        <w:t>’</w:t>
      </w:r>
      <w:r w:rsidRPr="00A92931">
        <w:rPr>
          <w:rFonts w:cs="Arial"/>
          <w:szCs w:val="24"/>
          <w:lang w:val="en-CA"/>
        </w:rPr>
        <w:t xml:space="preserve">s failure to implement </w:t>
      </w:r>
      <w:r w:rsidR="0091780F" w:rsidRPr="00A92931">
        <w:rPr>
          <w:rFonts w:cs="Arial"/>
          <w:szCs w:val="24"/>
          <w:lang w:val="en-CA"/>
        </w:rPr>
        <w:t xml:space="preserve">the </w:t>
      </w:r>
      <w:r w:rsidRPr="00A92931">
        <w:rPr>
          <w:rFonts w:cs="Arial"/>
          <w:szCs w:val="24"/>
          <w:lang w:val="en-CA"/>
        </w:rPr>
        <w:t>necessary measures to limit global warming to 1.5</w:t>
      </w:r>
      <w:r w:rsidR="00DB1C25" w:rsidRPr="00A92931">
        <w:rPr>
          <w:rFonts w:cs="Arial"/>
          <w:szCs w:val="24"/>
          <w:lang w:val="en-CA"/>
        </w:rPr>
        <w:t> </w:t>
      </w:r>
      <w:r w:rsidRPr="00A92931">
        <w:rPr>
          <w:rFonts w:cs="Arial"/>
          <w:szCs w:val="24"/>
          <w:lang w:val="en-CA"/>
        </w:rPr>
        <w:t xml:space="preserve">°C </w:t>
      </w:r>
      <w:r w:rsidR="001F60C1" w:rsidRPr="00A92931">
        <w:rPr>
          <w:rFonts w:cs="Arial"/>
          <w:szCs w:val="24"/>
          <w:lang w:val="en-CA"/>
        </w:rPr>
        <w:t>infringes</w:t>
      </w:r>
      <w:r w:rsidRPr="00A92931">
        <w:rPr>
          <w:rFonts w:cs="Arial"/>
          <w:szCs w:val="24"/>
          <w:lang w:val="en-CA"/>
        </w:rPr>
        <w:t xml:space="preserve"> the fundamental rights</w:t>
      </w:r>
      <w:r w:rsidR="00232990" w:rsidRPr="00A92931">
        <w:rPr>
          <w:rFonts w:cs="Arial"/>
          <w:szCs w:val="24"/>
          <w:lang w:val="en-CA"/>
        </w:rPr>
        <w:t xml:space="preserve"> of class members</w:t>
      </w:r>
      <w:r w:rsidR="002A1CBB">
        <w:rPr>
          <w:rFonts w:cs="Arial"/>
          <w:szCs w:val="24"/>
          <w:lang w:val="en-CA"/>
        </w:rPr>
        <w:t>,</w:t>
      </w:r>
      <w:r w:rsidR="001F60C1" w:rsidRPr="00A92931">
        <w:rPr>
          <w:rFonts w:cs="Arial"/>
          <w:szCs w:val="24"/>
          <w:lang w:val="en-CA"/>
        </w:rPr>
        <w:t xml:space="preserve"> and</w:t>
      </w:r>
      <w:r w:rsidRPr="00A92931">
        <w:rPr>
          <w:rFonts w:cs="Arial"/>
          <w:szCs w:val="24"/>
          <w:lang w:val="en-CA"/>
        </w:rPr>
        <w:t xml:space="preserve"> </w:t>
      </w:r>
      <w:r w:rsidR="002A1CBB">
        <w:rPr>
          <w:rFonts w:cs="Arial"/>
          <w:szCs w:val="24"/>
          <w:lang w:val="en-CA"/>
        </w:rPr>
        <w:t xml:space="preserve">with </w:t>
      </w:r>
      <w:r w:rsidRPr="00A92931">
        <w:rPr>
          <w:rFonts w:cs="Arial"/>
          <w:szCs w:val="24"/>
          <w:lang w:val="en-CA"/>
        </w:rPr>
        <w:t xml:space="preserve">the order to </w:t>
      </w:r>
      <w:r w:rsidR="001F60C1" w:rsidRPr="00A92931">
        <w:rPr>
          <w:rFonts w:cs="Arial"/>
          <w:szCs w:val="24"/>
          <w:lang w:val="en-CA"/>
        </w:rPr>
        <w:t>end the infringement</w:t>
      </w:r>
      <w:r w:rsidRPr="00A92931">
        <w:rPr>
          <w:rFonts w:cs="Arial"/>
          <w:szCs w:val="24"/>
          <w:lang w:val="en-CA"/>
        </w:rPr>
        <w:t>.</w:t>
      </w:r>
      <w:r w:rsidR="00AE0DE0" w:rsidRPr="00A92931">
        <w:rPr>
          <w:lang w:val="en-CA"/>
        </w:rPr>
        <w:t xml:space="preserve"> The same applies to the request to order the government to implement a re</w:t>
      </w:r>
      <w:r w:rsidR="001F60C1" w:rsidRPr="00A92931">
        <w:rPr>
          <w:lang w:val="en-CA"/>
        </w:rPr>
        <w:t>medial</w:t>
      </w:r>
      <w:r w:rsidR="00AE0DE0" w:rsidRPr="00A92931">
        <w:rPr>
          <w:lang w:val="en-CA"/>
        </w:rPr>
        <w:t xml:space="preserve"> measure to help curb global warming and </w:t>
      </w:r>
      <w:r w:rsidR="007F5A0B" w:rsidRPr="00A92931">
        <w:rPr>
          <w:lang w:val="en-CA"/>
        </w:rPr>
        <w:t xml:space="preserve">to </w:t>
      </w:r>
      <w:r w:rsidR="00AE0DE0" w:rsidRPr="00A92931">
        <w:rPr>
          <w:lang w:val="en-CA"/>
        </w:rPr>
        <w:t xml:space="preserve">order any other remedy that the Court deems appropriate, which offers no </w:t>
      </w:r>
      <w:r w:rsidR="007F5A0B" w:rsidRPr="00A92931">
        <w:rPr>
          <w:lang w:val="en-CA"/>
        </w:rPr>
        <w:t>use</w:t>
      </w:r>
      <w:r w:rsidR="00AE0DE0" w:rsidRPr="00A92931">
        <w:rPr>
          <w:lang w:val="en-CA"/>
        </w:rPr>
        <w:t xml:space="preserve">ful guidance. The appellant </w:t>
      </w:r>
      <w:r w:rsidR="001F60C1" w:rsidRPr="00A92931">
        <w:rPr>
          <w:lang w:val="en-CA"/>
        </w:rPr>
        <w:t xml:space="preserve">suggests </w:t>
      </w:r>
      <w:r w:rsidR="00AE0DE0" w:rsidRPr="00A92931">
        <w:rPr>
          <w:lang w:val="en-CA"/>
        </w:rPr>
        <w:t>nothing concrete</w:t>
      </w:r>
      <w:r w:rsidR="00AA383F" w:rsidRPr="00A92931">
        <w:rPr>
          <w:lang w:val="en-CA"/>
        </w:rPr>
        <w:t xml:space="preserve"> or specific</w:t>
      </w:r>
      <w:r w:rsidR="00AE0DE0" w:rsidRPr="00A92931">
        <w:rPr>
          <w:lang w:val="en-CA"/>
        </w:rPr>
        <w:t xml:space="preserve">. </w:t>
      </w:r>
    </w:p>
    <w:p w14:paraId="300F198C" w14:textId="1379D52F" w:rsidR="00236200" w:rsidRPr="00A92931" w:rsidRDefault="007E7730" w:rsidP="00A1139B">
      <w:pPr>
        <w:keepNext/>
        <w:keepLines/>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Furthermore, a comment is warranted regarding the composition of the </w:t>
      </w:r>
      <w:r w:rsidR="00AA383F" w:rsidRPr="00A92931">
        <w:rPr>
          <w:rFonts w:cs="Arial"/>
          <w:kern w:val="28"/>
          <w:szCs w:val="24"/>
          <w:lang w:val="en-CA"/>
        </w:rPr>
        <w:t>C</w:t>
      </w:r>
      <w:r w:rsidR="0060039F" w:rsidRPr="00A92931">
        <w:rPr>
          <w:rFonts w:cs="Arial"/>
          <w:kern w:val="28"/>
          <w:szCs w:val="24"/>
          <w:lang w:val="en-CA"/>
        </w:rPr>
        <w:t>lass</w:t>
      </w:r>
      <w:r w:rsidRPr="00A92931">
        <w:rPr>
          <w:rFonts w:cs="Arial"/>
          <w:kern w:val="28"/>
          <w:szCs w:val="24"/>
          <w:lang w:val="en-CA"/>
        </w:rPr>
        <w:t xml:space="preserve"> and the </w:t>
      </w:r>
      <w:r w:rsidR="00AA383F" w:rsidRPr="00A92931">
        <w:rPr>
          <w:rFonts w:cs="Arial"/>
          <w:kern w:val="28"/>
          <w:szCs w:val="24"/>
          <w:lang w:val="en-CA"/>
        </w:rPr>
        <w:t>effectiveness</w:t>
      </w:r>
      <w:r w:rsidRPr="00A92931">
        <w:rPr>
          <w:rFonts w:cs="Arial"/>
          <w:kern w:val="28"/>
          <w:szCs w:val="24"/>
          <w:lang w:val="en-CA"/>
        </w:rPr>
        <w:t xml:space="preserve"> of the appeal. Without </w:t>
      </w:r>
      <w:r w:rsidR="00D7117F">
        <w:rPr>
          <w:rFonts w:cs="Arial"/>
          <w:kern w:val="28"/>
          <w:szCs w:val="24"/>
          <w:lang w:val="en-CA"/>
        </w:rPr>
        <w:t xml:space="preserve">endorsing </w:t>
      </w:r>
      <w:r w:rsidRPr="00A92931">
        <w:rPr>
          <w:rFonts w:cs="Arial"/>
          <w:kern w:val="28"/>
          <w:szCs w:val="24"/>
          <w:lang w:val="en-CA"/>
        </w:rPr>
        <w:t xml:space="preserve">the </w:t>
      </w:r>
      <w:r w:rsidR="00AA383F" w:rsidRPr="00A92931">
        <w:rPr>
          <w:rFonts w:cs="Arial"/>
          <w:kern w:val="28"/>
          <w:szCs w:val="24"/>
          <w:lang w:val="en-CA"/>
        </w:rPr>
        <w:t>trial</w:t>
      </w:r>
      <w:r w:rsidRPr="00A92931">
        <w:rPr>
          <w:rFonts w:cs="Arial"/>
          <w:kern w:val="28"/>
          <w:szCs w:val="24"/>
          <w:lang w:val="en-CA"/>
        </w:rPr>
        <w:t xml:space="preserve"> judge</w:t>
      </w:r>
      <w:r w:rsidR="00B50A5C" w:rsidRPr="00A92931">
        <w:rPr>
          <w:rFonts w:cs="Arial"/>
          <w:kern w:val="28"/>
          <w:szCs w:val="24"/>
          <w:lang w:val="en-CA"/>
        </w:rPr>
        <w:t>’</w:t>
      </w:r>
      <w:r w:rsidRPr="00A92931">
        <w:rPr>
          <w:rFonts w:cs="Arial"/>
          <w:kern w:val="28"/>
          <w:szCs w:val="24"/>
          <w:lang w:val="en-CA"/>
        </w:rPr>
        <w:t xml:space="preserve">s </w:t>
      </w:r>
      <w:r w:rsidR="007F5A0B" w:rsidRPr="00A92931">
        <w:rPr>
          <w:rFonts w:cs="Arial"/>
          <w:kern w:val="28"/>
          <w:szCs w:val="24"/>
          <w:lang w:val="en-CA"/>
        </w:rPr>
        <w:t xml:space="preserve">entire </w:t>
      </w:r>
      <w:r w:rsidRPr="00A92931">
        <w:rPr>
          <w:rFonts w:cs="Arial"/>
          <w:kern w:val="28"/>
          <w:szCs w:val="24"/>
          <w:lang w:val="en-CA"/>
        </w:rPr>
        <w:t xml:space="preserve">analysis on this matter, it must be noted that the appellant’s proposed </w:t>
      </w:r>
      <w:r w:rsidR="00AA383F" w:rsidRPr="00A92931">
        <w:rPr>
          <w:rFonts w:cs="Arial"/>
          <w:kern w:val="28"/>
          <w:szCs w:val="24"/>
          <w:lang w:val="en-CA"/>
        </w:rPr>
        <w:t>C</w:t>
      </w:r>
      <w:r w:rsidR="0060039F" w:rsidRPr="00A92931">
        <w:rPr>
          <w:rFonts w:cs="Arial"/>
          <w:kern w:val="28"/>
          <w:szCs w:val="24"/>
          <w:lang w:val="en-CA"/>
        </w:rPr>
        <w:t>lass</w:t>
      </w:r>
      <w:r w:rsidRPr="00A92931">
        <w:rPr>
          <w:rFonts w:cs="Arial"/>
          <w:kern w:val="28"/>
          <w:szCs w:val="24"/>
          <w:lang w:val="en-CA"/>
        </w:rPr>
        <w:t xml:space="preserve"> appears arbitrary, particularly as </w:t>
      </w:r>
      <w:r w:rsidR="00AA383F" w:rsidRPr="00A92931">
        <w:rPr>
          <w:rFonts w:cs="Arial"/>
          <w:kern w:val="28"/>
          <w:szCs w:val="24"/>
          <w:lang w:val="en-CA"/>
        </w:rPr>
        <w:t xml:space="preserve">its </w:t>
      </w:r>
      <w:r w:rsidRPr="00A92931">
        <w:rPr>
          <w:rFonts w:cs="Arial"/>
          <w:kern w:val="28"/>
          <w:szCs w:val="24"/>
          <w:lang w:val="en-CA"/>
        </w:rPr>
        <w:t xml:space="preserve">theory of age-based discrimination cannot be </w:t>
      </w:r>
      <w:r w:rsidR="00AA383F" w:rsidRPr="00A92931">
        <w:rPr>
          <w:rFonts w:cs="Arial"/>
          <w:kern w:val="28"/>
          <w:szCs w:val="24"/>
          <w:lang w:val="en-CA"/>
        </w:rPr>
        <w:t>accepted</w:t>
      </w:r>
      <w:r w:rsidRPr="00A92931">
        <w:rPr>
          <w:rFonts w:cs="Arial"/>
          <w:kern w:val="28"/>
          <w:szCs w:val="24"/>
          <w:lang w:val="en-CA"/>
        </w:rPr>
        <w:t xml:space="preserve">. Indeed, on this point, in the absence of a specific measure or decision </w:t>
      </w:r>
      <w:r w:rsidR="00AA383F" w:rsidRPr="00A92931">
        <w:rPr>
          <w:rFonts w:cs="Arial"/>
          <w:kern w:val="28"/>
          <w:szCs w:val="24"/>
          <w:lang w:val="en-CA"/>
        </w:rPr>
        <w:t>by</w:t>
      </w:r>
      <w:r w:rsidRPr="00A92931">
        <w:rPr>
          <w:rFonts w:cs="Arial"/>
          <w:kern w:val="28"/>
          <w:szCs w:val="24"/>
          <w:lang w:val="en-CA"/>
        </w:rPr>
        <w:t xml:space="preserve"> the State, it is difficult to establish a</w:t>
      </w:r>
      <w:r w:rsidR="007D3813" w:rsidRPr="00A92931">
        <w:rPr>
          <w:rFonts w:cs="Arial"/>
          <w:kern w:val="28"/>
          <w:szCs w:val="24"/>
          <w:lang w:val="en-CA"/>
        </w:rPr>
        <w:t>n</w:t>
      </w:r>
      <w:r w:rsidRPr="00A92931">
        <w:rPr>
          <w:rFonts w:cs="Arial"/>
          <w:kern w:val="28"/>
          <w:szCs w:val="24"/>
          <w:lang w:val="en-CA"/>
        </w:rPr>
        <w:t xml:space="preserve"> </w:t>
      </w:r>
      <w:r w:rsidR="00DF5F1E" w:rsidRPr="00A92931">
        <w:rPr>
          <w:rFonts w:cs="Arial"/>
          <w:kern w:val="28"/>
          <w:szCs w:val="24"/>
          <w:lang w:val="en-CA"/>
        </w:rPr>
        <w:t>infringement</w:t>
      </w:r>
      <w:r w:rsidRPr="00A92931">
        <w:rPr>
          <w:rFonts w:cs="Arial"/>
          <w:kern w:val="28"/>
          <w:szCs w:val="24"/>
          <w:lang w:val="en-CA"/>
        </w:rPr>
        <w:t xml:space="preserve"> of equality, especially since the phenomenon of global warming is a reality that affects the entire Canadian population. Undoubtedly, young people will feel the impact more keenly simply because they will, in principle, experience it for a longer period. </w:t>
      </w:r>
    </w:p>
    <w:p w14:paraId="4E53E427" w14:textId="36D2FE3F"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 xml:space="preserve">In these circumstances, the judge was justified in questioning the composition of a </w:t>
      </w:r>
      <w:r w:rsidR="0060039F" w:rsidRPr="00A92931">
        <w:rPr>
          <w:rFonts w:cs="Arial"/>
          <w:kern w:val="28"/>
          <w:szCs w:val="24"/>
          <w:lang w:val="en-CA"/>
        </w:rPr>
        <w:t>class</w:t>
      </w:r>
      <w:r w:rsidRPr="00A92931">
        <w:rPr>
          <w:rFonts w:cs="Arial"/>
          <w:kern w:val="28"/>
          <w:szCs w:val="24"/>
          <w:lang w:val="en-CA"/>
        </w:rPr>
        <w:t xml:space="preserve"> that does not include all potential victims. Nothing in the facts </w:t>
      </w:r>
      <w:r w:rsidR="00C82BE7" w:rsidRPr="00A92931">
        <w:rPr>
          <w:rFonts w:cs="Arial"/>
          <w:kern w:val="28"/>
          <w:szCs w:val="24"/>
          <w:lang w:val="en-CA"/>
        </w:rPr>
        <w:t>alleged explains</w:t>
      </w:r>
      <w:r w:rsidRPr="00A92931">
        <w:rPr>
          <w:rFonts w:cs="Arial"/>
          <w:kern w:val="28"/>
          <w:szCs w:val="24"/>
          <w:lang w:val="en-CA"/>
        </w:rPr>
        <w:t xml:space="preserve"> why the appellant chose to limit the members of the </w:t>
      </w:r>
      <w:r w:rsidR="0060039F" w:rsidRPr="00A92931">
        <w:rPr>
          <w:rFonts w:cs="Arial"/>
          <w:kern w:val="28"/>
          <w:szCs w:val="24"/>
          <w:lang w:val="en-CA"/>
        </w:rPr>
        <w:t>Class</w:t>
      </w:r>
      <w:r w:rsidRPr="00A92931">
        <w:rPr>
          <w:rFonts w:cs="Arial"/>
          <w:kern w:val="28"/>
          <w:szCs w:val="24"/>
          <w:lang w:val="en-CA"/>
        </w:rPr>
        <w:t xml:space="preserve"> to residents of the province under 35 years</w:t>
      </w:r>
      <w:r w:rsidR="007C1E6E" w:rsidRPr="00A92931">
        <w:rPr>
          <w:rFonts w:cs="Arial"/>
          <w:kern w:val="28"/>
          <w:szCs w:val="24"/>
          <w:lang w:val="en-CA"/>
        </w:rPr>
        <w:t xml:space="preserve"> of age</w:t>
      </w:r>
      <w:r w:rsidRPr="00A92931">
        <w:rPr>
          <w:rFonts w:cs="Arial"/>
          <w:kern w:val="28"/>
          <w:szCs w:val="24"/>
          <w:lang w:val="en-CA"/>
        </w:rPr>
        <w:t>. The appellant argue</w:t>
      </w:r>
      <w:r w:rsidR="00B50A5C" w:rsidRPr="00A92931">
        <w:rPr>
          <w:rFonts w:cs="Arial"/>
          <w:kern w:val="28"/>
          <w:szCs w:val="24"/>
          <w:lang w:val="en-CA"/>
        </w:rPr>
        <w:t>d</w:t>
      </w:r>
      <w:r w:rsidRPr="00A92931">
        <w:rPr>
          <w:rFonts w:cs="Arial"/>
          <w:kern w:val="28"/>
          <w:szCs w:val="24"/>
          <w:lang w:val="en-CA"/>
        </w:rPr>
        <w:t xml:space="preserve"> that </w:t>
      </w:r>
      <w:r w:rsidR="00B50A5C" w:rsidRPr="00A92931">
        <w:rPr>
          <w:rFonts w:cs="Arial"/>
          <w:kern w:val="28"/>
          <w:szCs w:val="24"/>
          <w:lang w:val="en-CA"/>
        </w:rPr>
        <w:t>it</w:t>
      </w:r>
      <w:r w:rsidRPr="00A92931">
        <w:rPr>
          <w:rFonts w:cs="Arial"/>
          <w:kern w:val="28"/>
          <w:szCs w:val="24"/>
          <w:lang w:val="en-CA"/>
        </w:rPr>
        <w:t xml:space="preserve"> </w:t>
      </w:r>
      <w:r w:rsidR="00B50A5C" w:rsidRPr="00A92931">
        <w:rPr>
          <w:rFonts w:cs="Arial"/>
          <w:kern w:val="28"/>
          <w:szCs w:val="24"/>
          <w:lang w:val="en-CA"/>
        </w:rPr>
        <w:t>was</w:t>
      </w:r>
      <w:r w:rsidRPr="00A92931">
        <w:rPr>
          <w:rFonts w:cs="Arial"/>
          <w:kern w:val="28"/>
          <w:szCs w:val="24"/>
          <w:lang w:val="en-CA"/>
        </w:rPr>
        <w:t xml:space="preserve"> entitled to describe the </w:t>
      </w:r>
      <w:r w:rsidR="007F5A0B" w:rsidRPr="00A92931">
        <w:rPr>
          <w:rFonts w:cs="Arial"/>
          <w:kern w:val="28"/>
          <w:szCs w:val="24"/>
          <w:lang w:val="en-CA"/>
        </w:rPr>
        <w:t>C</w:t>
      </w:r>
      <w:r w:rsidR="0060039F" w:rsidRPr="00A92931">
        <w:rPr>
          <w:rFonts w:cs="Arial"/>
          <w:kern w:val="28"/>
          <w:szCs w:val="24"/>
          <w:lang w:val="en-CA"/>
        </w:rPr>
        <w:t>lass</w:t>
      </w:r>
      <w:r w:rsidRPr="00A92931">
        <w:rPr>
          <w:rFonts w:cs="Arial"/>
          <w:kern w:val="28"/>
          <w:szCs w:val="24"/>
          <w:lang w:val="en-CA"/>
        </w:rPr>
        <w:t xml:space="preserve"> </w:t>
      </w:r>
      <w:r w:rsidR="00B50A5C" w:rsidRPr="00A92931">
        <w:rPr>
          <w:rFonts w:cs="Arial"/>
          <w:kern w:val="28"/>
          <w:szCs w:val="24"/>
          <w:lang w:val="en-CA"/>
        </w:rPr>
        <w:t>it</w:t>
      </w:r>
      <w:r w:rsidRPr="00A92931">
        <w:rPr>
          <w:rFonts w:cs="Arial"/>
          <w:kern w:val="28"/>
          <w:szCs w:val="24"/>
          <w:lang w:val="en-CA"/>
        </w:rPr>
        <w:t xml:space="preserve"> wishe</w:t>
      </w:r>
      <w:r w:rsidR="00B50A5C" w:rsidRPr="00A92931">
        <w:rPr>
          <w:rFonts w:cs="Arial"/>
          <w:kern w:val="28"/>
          <w:szCs w:val="24"/>
          <w:lang w:val="en-CA"/>
        </w:rPr>
        <w:t>d</w:t>
      </w:r>
      <w:r w:rsidRPr="00A92931">
        <w:rPr>
          <w:rFonts w:cs="Arial"/>
          <w:kern w:val="28"/>
          <w:szCs w:val="24"/>
          <w:lang w:val="en-CA"/>
        </w:rPr>
        <w:t xml:space="preserve"> </w:t>
      </w:r>
      <w:r w:rsidRPr="00A92931">
        <w:rPr>
          <w:rFonts w:cs="Arial"/>
          <w:kern w:val="28"/>
          <w:szCs w:val="24"/>
          <w:lang w:val="en-CA"/>
        </w:rPr>
        <w:lastRenderedPageBreak/>
        <w:t>to represent and that citizens over 35 years of age</w:t>
      </w:r>
      <w:r w:rsidR="007C1E6E" w:rsidRPr="00A92931">
        <w:rPr>
          <w:rFonts w:cs="Arial"/>
          <w:kern w:val="28"/>
          <w:szCs w:val="24"/>
          <w:lang w:val="en-CA"/>
        </w:rPr>
        <w:t xml:space="preserve"> </w:t>
      </w:r>
      <w:r w:rsidR="00B50A5C" w:rsidRPr="00A92931">
        <w:rPr>
          <w:rFonts w:cs="Arial"/>
          <w:kern w:val="28"/>
          <w:szCs w:val="24"/>
          <w:lang w:val="en-CA"/>
        </w:rPr>
        <w:t>could</w:t>
      </w:r>
      <w:r w:rsidR="007C1E6E" w:rsidRPr="00A92931">
        <w:rPr>
          <w:rFonts w:cs="Arial"/>
          <w:kern w:val="28"/>
          <w:szCs w:val="24"/>
          <w:lang w:val="en-CA"/>
        </w:rPr>
        <w:t xml:space="preserve"> institute another action</w:t>
      </w:r>
      <w:r w:rsidRPr="00A92931">
        <w:rPr>
          <w:rFonts w:cs="Arial"/>
          <w:kern w:val="28"/>
          <w:szCs w:val="24"/>
          <w:lang w:val="en-CA"/>
        </w:rPr>
        <w:t xml:space="preserve">. </w:t>
      </w:r>
      <w:r w:rsidR="00825AA7" w:rsidRPr="00A92931">
        <w:rPr>
          <w:rFonts w:cs="Arial"/>
          <w:kern w:val="28"/>
          <w:szCs w:val="24"/>
          <w:lang w:val="en-CA"/>
        </w:rPr>
        <w:t>The</w:t>
      </w:r>
      <w:r w:rsidRPr="00A92931">
        <w:rPr>
          <w:rFonts w:cs="Arial"/>
          <w:kern w:val="28"/>
          <w:szCs w:val="24"/>
          <w:lang w:val="en-CA"/>
        </w:rPr>
        <w:t xml:space="preserve"> legal system </w:t>
      </w:r>
      <w:r w:rsidR="007F5A0B" w:rsidRPr="00A92931">
        <w:rPr>
          <w:rFonts w:cs="Arial"/>
          <w:kern w:val="28"/>
          <w:szCs w:val="24"/>
          <w:lang w:val="en-CA"/>
        </w:rPr>
        <w:t>is unsuited to</w:t>
      </w:r>
      <w:r w:rsidRPr="00A92931">
        <w:rPr>
          <w:rFonts w:cs="Arial"/>
          <w:kern w:val="28"/>
          <w:szCs w:val="24"/>
          <w:lang w:val="en-CA"/>
        </w:rPr>
        <w:t xml:space="preserve"> the multiplication of similar proceedings when the objective of class actions is precisely to promote access to justice. </w:t>
      </w:r>
    </w:p>
    <w:p w14:paraId="03649346" w14:textId="1377F41A"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kern w:val="28"/>
          <w:szCs w:val="24"/>
          <w:lang w:val="en-CA"/>
        </w:rPr>
        <w:t>For all these reasons, the appeal should be dismissed with</w:t>
      </w:r>
      <w:r w:rsidR="007C1E6E" w:rsidRPr="00A92931">
        <w:rPr>
          <w:rFonts w:cs="Arial"/>
          <w:kern w:val="28"/>
          <w:szCs w:val="24"/>
          <w:lang w:val="en-CA"/>
        </w:rPr>
        <w:t xml:space="preserve"> legal</w:t>
      </w:r>
      <w:r w:rsidRPr="00A92931">
        <w:rPr>
          <w:rFonts w:cs="Arial"/>
          <w:kern w:val="28"/>
          <w:szCs w:val="24"/>
          <w:lang w:val="en-CA"/>
        </w:rPr>
        <w:t xml:space="preserve"> costs.</w:t>
      </w:r>
    </w:p>
    <w:p w14:paraId="44729582" w14:textId="77777777" w:rsidR="00236200" w:rsidRPr="00A92931" w:rsidRDefault="00AE0DE0" w:rsidP="001319FE">
      <w:pPr>
        <w:spacing w:after="240" w:line="240" w:lineRule="auto"/>
        <w:jc w:val="both"/>
        <w:rPr>
          <w:rFonts w:cs="Arial"/>
          <w:b/>
          <w:kern w:val="28"/>
          <w:szCs w:val="24"/>
          <w:lang w:val="en-CA"/>
        </w:rPr>
      </w:pPr>
      <w:r w:rsidRPr="00A92931">
        <w:rPr>
          <w:rFonts w:cs="Arial"/>
          <w:b/>
          <w:kern w:val="28"/>
          <w:szCs w:val="24"/>
          <w:lang w:val="en-CA"/>
        </w:rPr>
        <w:t>FOR THESE REASONS, THE COURT:</w:t>
      </w:r>
    </w:p>
    <w:p w14:paraId="7ADE7517" w14:textId="77777777" w:rsidR="00236200"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b/>
          <w:kern w:val="28"/>
          <w:szCs w:val="24"/>
          <w:lang w:val="en-CA"/>
        </w:rPr>
        <w:t xml:space="preserve">DISMISSES </w:t>
      </w:r>
      <w:r w:rsidRPr="00A92931">
        <w:rPr>
          <w:rFonts w:cs="Arial"/>
          <w:bCs/>
          <w:kern w:val="28"/>
          <w:szCs w:val="24"/>
          <w:lang w:val="en-CA"/>
        </w:rPr>
        <w:t>the appeal;</w:t>
      </w:r>
    </w:p>
    <w:p w14:paraId="433EDD87" w14:textId="77777777" w:rsidR="008F364A" w:rsidRPr="00A92931" w:rsidRDefault="00AE0DE0" w:rsidP="001319FE">
      <w:pPr>
        <w:numPr>
          <w:ilvl w:val="0"/>
          <w:numId w:val="18"/>
        </w:numPr>
        <w:tabs>
          <w:tab w:val="clear" w:pos="720"/>
          <w:tab w:val="num" w:pos="360"/>
        </w:tabs>
        <w:spacing w:after="240" w:line="240" w:lineRule="auto"/>
        <w:jc w:val="both"/>
        <w:rPr>
          <w:rFonts w:cs="Arial"/>
          <w:kern w:val="28"/>
          <w:szCs w:val="24"/>
          <w:lang w:val="en-CA"/>
        </w:rPr>
      </w:pPr>
      <w:r w:rsidRPr="00A92931">
        <w:rPr>
          <w:rFonts w:cs="Arial"/>
          <w:b/>
          <w:kern w:val="28"/>
          <w:szCs w:val="24"/>
          <w:lang w:val="en-CA"/>
        </w:rPr>
        <w:t xml:space="preserve">THE WHOLE </w:t>
      </w:r>
      <w:r w:rsidRPr="00A92931">
        <w:rPr>
          <w:rFonts w:cs="Arial"/>
          <w:bCs/>
          <w:kern w:val="28"/>
          <w:szCs w:val="24"/>
          <w:lang w:val="en-CA"/>
        </w:rPr>
        <w:t>with legal costs.</w:t>
      </w:r>
      <w:r w:rsidRPr="00A92931">
        <w:rPr>
          <w:rFonts w:cs="Arial"/>
          <w:kern w:val="28"/>
          <w:szCs w:val="24"/>
          <w:lang w:val="en-CA"/>
        </w:rPr>
        <w:t xml:space="preserve"> </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6E7A85" w:rsidRPr="00BC10E0" w14:paraId="79E89F2A" w14:textId="77777777" w:rsidTr="00E02C28">
        <w:trPr>
          <w:trHeight w:val="297"/>
        </w:trPr>
        <w:tc>
          <w:tcPr>
            <w:tcW w:w="9362" w:type="dxa"/>
            <w:gridSpan w:val="3"/>
            <w:tcBorders>
              <w:top w:val="nil"/>
              <w:bottom w:val="nil"/>
            </w:tcBorders>
          </w:tcPr>
          <w:p w14:paraId="5DC56CB7" w14:textId="77777777" w:rsidR="008F364A" w:rsidRPr="00A92931" w:rsidRDefault="008F364A">
            <w:pPr>
              <w:keepNext/>
              <w:rPr>
                <w:lang w:val="en-CA"/>
              </w:rPr>
            </w:pPr>
          </w:p>
        </w:tc>
      </w:tr>
      <w:tr w:rsidR="006E7A85" w:rsidRPr="00BC10E0" w14:paraId="14E55537" w14:textId="77777777" w:rsidTr="00117914">
        <w:trPr>
          <w:trHeight w:val="283"/>
        </w:trPr>
        <w:tc>
          <w:tcPr>
            <w:tcW w:w="4682" w:type="dxa"/>
            <w:gridSpan w:val="2"/>
            <w:tcBorders>
              <w:top w:val="nil"/>
              <w:bottom w:val="nil"/>
            </w:tcBorders>
          </w:tcPr>
          <w:p w14:paraId="6C2F03AB" w14:textId="77777777" w:rsidR="008F364A" w:rsidRPr="00A92931" w:rsidRDefault="008F364A">
            <w:pPr>
              <w:keepNext/>
              <w:rPr>
                <w:lang w:val="en-CA"/>
              </w:rPr>
            </w:pPr>
          </w:p>
        </w:tc>
        <w:tc>
          <w:tcPr>
            <w:tcW w:w="4680" w:type="dxa"/>
            <w:tcBorders>
              <w:top w:val="nil"/>
              <w:bottom w:val="single" w:sz="8" w:space="0" w:color="auto"/>
            </w:tcBorders>
          </w:tcPr>
          <w:p w14:paraId="62ACA93C" w14:textId="77777777" w:rsidR="008F364A" w:rsidRPr="00A92931" w:rsidRDefault="008F364A">
            <w:pPr>
              <w:keepNext/>
              <w:rPr>
                <w:lang w:val="en-CA"/>
              </w:rPr>
            </w:pPr>
          </w:p>
        </w:tc>
      </w:tr>
      <w:tr w:rsidR="006E7A85" w:rsidRPr="00A92931" w14:paraId="2E26854B" w14:textId="77777777" w:rsidTr="00117914">
        <w:trPr>
          <w:trHeight w:val="283"/>
        </w:trPr>
        <w:tc>
          <w:tcPr>
            <w:tcW w:w="4682" w:type="dxa"/>
            <w:gridSpan w:val="2"/>
            <w:tcBorders>
              <w:top w:val="nil"/>
            </w:tcBorders>
          </w:tcPr>
          <w:p w14:paraId="3D02E078" w14:textId="77777777" w:rsidR="008F364A" w:rsidRPr="00A92931" w:rsidRDefault="008F364A">
            <w:pPr>
              <w:keepNext/>
              <w:rPr>
                <w:lang w:val="en-CA"/>
              </w:rPr>
            </w:pPr>
          </w:p>
        </w:tc>
        <w:tc>
          <w:tcPr>
            <w:tcW w:w="4680" w:type="dxa"/>
            <w:tcBorders>
              <w:top w:val="single" w:sz="8" w:space="0" w:color="auto"/>
            </w:tcBorders>
          </w:tcPr>
          <w:p w14:paraId="326A2BFE" w14:textId="280BFDF1" w:rsidR="008F364A" w:rsidRPr="00A92931" w:rsidRDefault="00AE0DE0">
            <w:pPr>
              <w:rPr>
                <w:lang w:val="en-CA"/>
              </w:rPr>
            </w:pPr>
            <w:r w:rsidRPr="00A92931">
              <w:rPr>
                <w:lang w:val="en-CA"/>
              </w:rPr>
              <w:t>MARTIN VAUCLAIR, J.A.</w:t>
            </w:r>
          </w:p>
        </w:tc>
      </w:tr>
      <w:tr w:rsidR="006E7A85" w:rsidRPr="00A92931" w14:paraId="0EBF96D4" w14:textId="77777777" w:rsidTr="00117914">
        <w:trPr>
          <w:trHeight w:val="283"/>
        </w:trPr>
        <w:tc>
          <w:tcPr>
            <w:tcW w:w="4682" w:type="dxa"/>
            <w:gridSpan w:val="2"/>
            <w:tcBorders>
              <w:top w:val="nil"/>
            </w:tcBorders>
          </w:tcPr>
          <w:p w14:paraId="16D455CE" w14:textId="77777777" w:rsidR="008F364A" w:rsidRPr="00A92931" w:rsidRDefault="008F364A">
            <w:pPr>
              <w:keepNext/>
              <w:rPr>
                <w:lang w:val="en-CA"/>
              </w:rPr>
            </w:pPr>
            <w:bookmarkStart w:id="14" w:name="Signature2"/>
          </w:p>
        </w:tc>
        <w:tc>
          <w:tcPr>
            <w:tcW w:w="4680" w:type="dxa"/>
            <w:tcBorders>
              <w:top w:val="nil"/>
            </w:tcBorders>
          </w:tcPr>
          <w:p w14:paraId="6AEC8538" w14:textId="77777777" w:rsidR="008F364A" w:rsidRPr="00A92931" w:rsidRDefault="008F364A">
            <w:pPr>
              <w:keepNext/>
              <w:rPr>
                <w:lang w:val="en-CA"/>
              </w:rPr>
            </w:pPr>
          </w:p>
        </w:tc>
      </w:tr>
      <w:tr w:rsidR="006E7A85" w:rsidRPr="00A92931" w14:paraId="3E331E17" w14:textId="77777777" w:rsidTr="00117914">
        <w:trPr>
          <w:trHeight w:val="283"/>
        </w:trPr>
        <w:tc>
          <w:tcPr>
            <w:tcW w:w="4682" w:type="dxa"/>
            <w:gridSpan w:val="2"/>
            <w:tcBorders>
              <w:top w:val="nil"/>
              <w:bottom w:val="nil"/>
            </w:tcBorders>
          </w:tcPr>
          <w:p w14:paraId="670A02A1" w14:textId="77777777" w:rsidR="008F364A" w:rsidRPr="00A92931" w:rsidRDefault="008F364A">
            <w:pPr>
              <w:keepNext/>
              <w:rPr>
                <w:lang w:val="en-CA"/>
              </w:rPr>
            </w:pPr>
          </w:p>
        </w:tc>
        <w:tc>
          <w:tcPr>
            <w:tcW w:w="4680" w:type="dxa"/>
            <w:tcBorders>
              <w:top w:val="nil"/>
              <w:bottom w:val="single" w:sz="8" w:space="0" w:color="auto"/>
            </w:tcBorders>
          </w:tcPr>
          <w:p w14:paraId="0613BC80" w14:textId="77777777" w:rsidR="008F364A" w:rsidRPr="00A92931" w:rsidRDefault="008F364A">
            <w:pPr>
              <w:keepNext/>
              <w:rPr>
                <w:lang w:val="en-CA"/>
              </w:rPr>
            </w:pPr>
          </w:p>
        </w:tc>
      </w:tr>
      <w:tr w:rsidR="006E7A85" w:rsidRPr="00A92931" w14:paraId="6AF4067F" w14:textId="77777777" w:rsidTr="00117914">
        <w:trPr>
          <w:trHeight w:val="283"/>
        </w:trPr>
        <w:tc>
          <w:tcPr>
            <w:tcW w:w="4682" w:type="dxa"/>
            <w:gridSpan w:val="2"/>
            <w:tcBorders>
              <w:top w:val="nil"/>
            </w:tcBorders>
          </w:tcPr>
          <w:p w14:paraId="4A163CE9" w14:textId="77777777" w:rsidR="008F364A" w:rsidRPr="00A92931" w:rsidRDefault="008F364A">
            <w:pPr>
              <w:keepNext/>
              <w:rPr>
                <w:lang w:val="en-CA"/>
              </w:rPr>
            </w:pPr>
          </w:p>
        </w:tc>
        <w:tc>
          <w:tcPr>
            <w:tcW w:w="4680" w:type="dxa"/>
            <w:tcBorders>
              <w:top w:val="single" w:sz="8" w:space="0" w:color="auto"/>
            </w:tcBorders>
          </w:tcPr>
          <w:p w14:paraId="522B8757" w14:textId="37E7CEA8" w:rsidR="008F364A" w:rsidRPr="00A92931" w:rsidRDefault="00AE0DE0">
            <w:pPr>
              <w:keepNext/>
              <w:rPr>
                <w:lang w:val="en-CA"/>
              </w:rPr>
            </w:pPr>
            <w:r w:rsidRPr="00A92931">
              <w:rPr>
                <w:lang w:val="en-CA"/>
              </w:rPr>
              <w:t>GENEVIÈVE COTNAM, J.A.</w:t>
            </w:r>
          </w:p>
        </w:tc>
      </w:tr>
      <w:tr w:rsidR="006E7A85" w:rsidRPr="00A92931" w14:paraId="01E364CA" w14:textId="77777777" w:rsidTr="00117914">
        <w:trPr>
          <w:trHeight w:val="283"/>
        </w:trPr>
        <w:tc>
          <w:tcPr>
            <w:tcW w:w="4682" w:type="dxa"/>
            <w:gridSpan w:val="2"/>
            <w:tcBorders>
              <w:top w:val="nil"/>
            </w:tcBorders>
          </w:tcPr>
          <w:p w14:paraId="2EAA1393" w14:textId="77777777" w:rsidR="008F364A" w:rsidRPr="00A92931" w:rsidRDefault="008F364A">
            <w:pPr>
              <w:keepNext/>
              <w:rPr>
                <w:lang w:val="en-CA"/>
              </w:rPr>
            </w:pPr>
            <w:bookmarkStart w:id="15" w:name="Signature3"/>
            <w:bookmarkEnd w:id="14"/>
          </w:p>
        </w:tc>
        <w:tc>
          <w:tcPr>
            <w:tcW w:w="4680" w:type="dxa"/>
            <w:tcBorders>
              <w:top w:val="nil"/>
            </w:tcBorders>
          </w:tcPr>
          <w:p w14:paraId="4DBDB55C" w14:textId="77777777" w:rsidR="008F364A" w:rsidRPr="00A92931" w:rsidRDefault="008F364A">
            <w:pPr>
              <w:keepNext/>
              <w:rPr>
                <w:lang w:val="en-CA"/>
              </w:rPr>
            </w:pPr>
          </w:p>
        </w:tc>
      </w:tr>
      <w:tr w:rsidR="006E7A85" w:rsidRPr="00A92931" w14:paraId="6441D152" w14:textId="77777777" w:rsidTr="00117914">
        <w:trPr>
          <w:trHeight w:val="283"/>
        </w:trPr>
        <w:tc>
          <w:tcPr>
            <w:tcW w:w="4682" w:type="dxa"/>
            <w:gridSpan w:val="2"/>
            <w:tcBorders>
              <w:top w:val="nil"/>
              <w:bottom w:val="nil"/>
            </w:tcBorders>
          </w:tcPr>
          <w:p w14:paraId="0B9E4F1C" w14:textId="77777777" w:rsidR="008F364A" w:rsidRPr="00A92931" w:rsidRDefault="008F364A">
            <w:pPr>
              <w:keepNext/>
              <w:rPr>
                <w:lang w:val="en-CA"/>
              </w:rPr>
            </w:pPr>
          </w:p>
        </w:tc>
        <w:tc>
          <w:tcPr>
            <w:tcW w:w="4680" w:type="dxa"/>
            <w:tcBorders>
              <w:top w:val="nil"/>
              <w:bottom w:val="single" w:sz="8" w:space="0" w:color="auto"/>
            </w:tcBorders>
          </w:tcPr>
          <w:p w14:paraId="534DA1B7" w14:textId="77777777" w:rsidR="008F364A" w:rsidRPr="00A92931" w:rsidRDefault="008F364A">
            <w:pPr>
              <w:keepNext/>
              <w:rPr>
                <w:lang w:val="en-CA"/>
              </w:rPr>
            </w:pPr>
          </w:p>
        </w:tc>
      </w:tr>
      <w:tr w:rsidR="006E7A85" w:rsidRPr="00A92931" w14:paraId="6F9EC062" w14:textId="77777777" w:rsidTr="00117914">
        <w:trPr>
          <w:trHeight w:val="283"/>
        </w:trPr>
        <w:tc>
          <w:tcPr>
            <w:tcW w:w="4682" w:type="dxa"/>
            <w:gridSpan w:val="2"/>
            <w:tcBorders>
              <w:top w:val="nil"/>
            </w:tcBorders>
          </w:tcPr>
          <w:p w14:paraId="4C081E44" w14:textId="77777777" w:rsidR="008F364A" w:rsidRPr="00A92931" w:rsidRDefault="008F364A">
            <w:pPr>
              <w:keepNext/>
              <w:rPr>
                <w:lang w:val="en-CA"/>
              </w:rPr>
            </w:pPr>
          </w:p>
        </w:tc>
        <w:tc>
          <w:tcPr>
            <w:tcW w:w="4680" w:type="dxa"/>
            <w:tcBorders>
              <w:top w:val="single" w:sz="8" w:space="0" w:color="auto"/>
            </w:tcBorders>
          </w:tcPr>
          <w:p w14:paraId="6E7DEA9F" w14:textId="0D05596A" w:rsidR="008F364A" w:rsidRPr="00A92931" w:rsidRDefault="00AE0DE0">
            <w:pPr>
              <w:keepNext/>
              <w:rPr>
                <w:lang w:val="en-CA"/>
              </w:rPr>
            </w:pPr>
            <w:r w:rsidRPr="00A92931">
              <w:rPr>
                <w:lang w:val="en-CA"/>
              </w:rPr>
              <w:t>BENOÎT MOORE, J.A.</w:t>
            </w:r>
          </w:p>
        </w:tc>
      </w:tr>
      <w:bookmarkEnd w:id="15"/>
      <w:tr w:rsidR="006E7A85" w:rsidRPr="00A92931" w14:paraId="2496A63E" w14:textId="77777777" w:rsidTr="00C712A1">
        <w:tc>
          <w:tcPr>
            <w:tcW w:w="9362" w:type="dxa"/>
            <w:gridSpan w:val="3"/>
            <w:tcBorders>
              <w:bottom w:val="nil"/>
            </w:tcBorders>
          </w:tcPr>
          <w:p w14:paraId="38475BB9" w14:textId="77777777" w:rsidR="005A78BF" w:rsidRPr="00A92931" w:rsidRDefault="005A78BF" w:rsidP="005A78BF">
            <w:pPr>
              <w:rPr>
                <w:lang w:val="en-CA"/>
              </w:rPr>
            </w:pPr>
          </w:p>
        </w:tc>
      </w:tr>
      <w:tr w:rsidR="006E7A85" w:rsidRPr="00A92931" w14:paraId="6F38242C" w14:textId="77777777" w:rsidTr="00C712A1">
        <w:tc>
          <w:tcPr>
            <w:tcW w:w="9362" w:type="dxa"/>
            <w:gridSpan w:val="3"/>
            <w:tcBorders>
              <w:bottom w:val="nil"/>
            </w:tcBorders>
          </w:tcPr>
          <w:p w14:paraId="5C6A25C7" w14:textId="77777777" w:rsidR="00A1546E" w:rsidRPr="00A92931" w:rsidRDefault="00A1546E" w:rsidP="005A78BF">
            <w:pPr>
              <w:rPr>
                <w:lang w:val="en-CA"/>
              </w:rPr>
            </w:pPr>
          </w:p>
        </w:tc>
      </w:tr>
      <w:tr w:rsidR="006E7A85" w:rsidRPr="00A92931" w14:paraId="0817CE2D" w14:textId="77777777" w:rsidTr="00C6451D">
        <w:tc>
          <w:tcPr>
            <w:tcW w:w="9362" w:type="dxa"/>
            <w:gridSpan w:val="3"/>
            <w:tcBorders>
              <w:top w:val="nil"/>
            </w:tcBorders>
          </w:tcPr>
          <w:p w14:paraId="427470CA" w14:textId="77777777" w:rsidR="005A78BF" w:rsidRPr="00A92931" w:rsidRDefault="00AE0DE0" w:rsidP="00C6451D">
            <w:pPr>
              <w:pStyle w:val="zSoquijdatNomProcureurDem"/>
              <w:rPr>
                <w:caps/>
                <w:lang w:val="en-CA"/>
              </w:rPr>
            </w:pPr>
            <w:r w:rsidRPr="00A92931">
              <w:rPr>
                <w:lang w:val="en-CA"/>
              </w:rPr>
              <w:t>Mtre Bruce Johnston</w:t>
            </w:r>
          </w:p>
        </w:tc>
      </w:tr>
      <w:tr w:rsidR="006E7A85" w:rsidRPr="00A92931" w14:paraId="75308B28" w14:textId="77777777" w:rsidTr="00423DF1">
        <w:tc>
          <w:tcPr>
            <w:tcW w:w="9362" w:type="dxa"/>
            <w:gridSpan w:val="3"/>
          </w:tcPr>
          <w:p w14:paraId="144D5131" w14:textId="34822834" w:rsidR="00C6451D" w:rsidRPr="00A92931" w:rsidRDefault="007C1E6E" w:rsidP="00C6451D">
            <w:pPr>
              <w:pStyle w:val="zSoquijdatNomProcureurDem"/>
              <w:rPr>
                <w:caps/>
                <w:lang w:val="en-CA"/>
              </w:rPr>
            </w:pPr>
            <w:r w:rsidRPr="00A92931">
              <w:rPr>
                <w:lang w:val="en-CA"/>
              </w:rPr>
              <w:t xml:space="preserve">Mtre </w:t>
            </w:r>
            <w:r w:rsidR="00AE0DE0" w:rsidRPr="00A92931">
              <w:rPr>
                <w:lang w:val="en-CA"/>
              </w:rPr>
              <w:t>Anne-Julie Asselin</w:t>
            </w:r>
          </w:p>
        </w:tc>
      </w:tr>
      <w:tr w:rsidR="006E7A85" w:rsidRPr="00A92931" w14:paraId="4EF8A437" w14:textId="77777777" w:rsidTr="00423DF1">
        <w:tc>
          <w:tcPr>
            <w:tcW w:w="9362" w:type="dxa"/>
            <w:gridSpan w:val="3"/>
          </w:tcPr>
          <w:p w14:paraId="62576CDF" w14:textId="77777777" w:rsidR="00C6451D" w:rsidRPr="00A92931" w:rsidRDefault="00AE0DE0" w:rsidP="00C6451D">
            <w:pPr>
              <w:pStyle w:val="zSoquijdatNomProcureurDem"/>
              <w:rPr>
                <w:caps/>
                <w:lang w:val="en-CA"/>
              </w:rPr>
            </w:pPr>
            <w:r w:rsidRPr="00A92931">
              <w:rPr>
                <w:lang w:val="en-CA"/>
              </w:rPr>
              <w:t>Mtre André Lespérance</w:t>
            </w:r>
          </w:p>
        </w:tc>
      </w:tr>
      <w:tr w:rsidR="006E7A85" w:rsidRPr="00A92931" w14:paraId="048BE66F" w14:textId="77777777" w:rsidTr="00423DF1">
        <w:tc>
          <w:tcPr>
            <w:tcW w:w="9362" w:type="dxa"/>
            <w:gridSpan w:val="3"/>
          </w:tcPr>
          <w:p w14:paraId="33C0BFD4" w14:textId="7DA0450D" w:rsidR="00C6451D" w:rsidRPr="00A92931" w:rsidRDefault="007C1E6E" w:rsidP="00C6451D">
            <w:pPr>
              <w:pStyle w:val="zSoquijdatNomProcureurDem"/>
              <w:rPr>
                <w:caps/>
                <w:lang w:val="en-CA"/>
              </w:rPr>
            </w:pPr>
            <w:r w:rsidRPr="00A92931">
              <w:rPr>
                <w:lang w:val="en-CA"/>
              </w:rPr>
              <w:t xml:space="preserve">Mtre </w:t>
            </w:r>
            <w:r w:rsidR="00AE0DE0" w:rsidRPr="00A92931">
              <w:rPr>
                <w:lang w:val="en-CA"/>
              </w:rPr>
              <w:t>Clara Poissant-Lespérance</w:t>
            </w:r>
          </w:p>
        </w:tc>
      </w:tr>
      <w:tr w:rsidR="006E7A85" w:rsidRPr="00A92931" w14:paraId="45DA4CD7" w14:textId="77777777" w:rsidTr="00423DF1">
        <w:tc>
          <w:tcPr>
            <w:tcW w:w="9362" w:type="dxa"/>
            <w:gridSpan w:val="3"/>
          </w:tcPr>
          <w:p w14:paraId="0613EF91" w14:textId="77777777" w:rsidR="005A78BF" w:rsidRPr="00A92931" w:rsidRDefault="00AE0DE0" w:rsidP="005A78BF">
            <w:pPr>
              <w:pStyle w:val="zSoquijdatCabinetProcureurDem"/>
              <w:rPr>
                <w:lang w:val="en-CA"/>
              </w:rPr>
            </w:pPr>
            <w:bookmarkStart w:id="16" w:name="Bureau_Avocat_app"/>
            <w:r w:rsidRPr="00A92931">
              <w:rPr>
                <w:lang w:val="en-CA"/>
              </w:rPr>
              <w:t>TRUDEL JOHNSTON &amp; L’ESPÉRANCE</w:t>
            </w:r>
            <w:bookmarkEnd w:id="16"/>
          </w:p>
        </w:tc>
      </w:tr>
      <w:tr w:rsidR="006E7A85" w:rsidRPr="00A92931" w14:paraId="624D0670" w14:textId="77777777" w:rsidTr="00423DF1">
        <w:tc>
          <w:tcPr>
            <w:tcW w:w="9362" w:type="dxa"/>
            <w:gridSpan w:val="3"/>
          </w:tcPr>
          <w:p w14:paraId="62C2B2AA" w14:textId="349B7FAD" w:rsidR="005A78BF" w:rsidRPr="00A92931" w:rsidRDefault="007C1E6E" w:rsidP="005A78BF">
            <w:pPr>
              <w:pStyle w:val="zSoquijlblProcureurDem"/>
              <w:rPr>
                <w:lang w:val="en-CA"/>
              </w:rPr>
            </w:pPr>
            <w:r w:rsidRPr="00A92931">
              <w:rPr>
                <w:lang w:val="en-CA"/>
              </w:rPr>
              <w:t>For</w:t>
            </w:r>
            <w:r w:rsidR="00AE0DE0" w:rsidRPr="00A92931">
              <w:rPr>
                <w:lang w:val="en-CA"/>
              </w:rPr>
              <w:t xml:space="preserve"> the appellant</w:t>
            </w:r>
          </w:p>
        </w:tc>
      </w:tr>
      <w:tr w:rsidR="006E7A85" w:rsidRPr="00A92931" w14:paraId="621D6E19" w14:textId="77777777" w:rsidTr="00423DF1">
        <w:tc>
          <w:tcPr>
            <w:tcW w:w="9362" w:type="dxa"/>
            <w:gridSpan w:val="3"/>
          </w:tcPr>
          <w:p w14:paraId="3FFCD8FE" w14:textId="77777777" w:rsidR="005A78BF" w:rsidRPr="00A92931" w:rsidRDefault="005A78BF" w:rsidP="005A78BF">
            <w:pPr>
              <w:rPr>
                <w:lang w:val="en-CA"/>
              </w:rPr>
            </w:pPr>
          </w:p>
        </w:tc>
      </w:tr>
      <w:tr w:rsidR="006E7A85" w:rsidRPr="00A92931" w14:paraId="40FB2D26" w14:textId="77777777" w:rsidTr="00423DF1">
        <w:tc>
          <w:tcPr>
            <w:tcW w:w="9362" w:type="dxa"/>
            <w:gridSpan w:val="3"/>
          </w:tcPr>
          <w:p w14:paraId="1E15AF84" w14:textId="4C7DD827" w:rsidR="005A78BF" w:rsidRPr="00A92931" w:rsidRDefault="00AE0DE0" w:rsidP="00800347">
            <w:pPr>
              <w:pStyle w:val="zSoquijdatNomProcureurDef"/>
              <w:rPr>
                <w:caps/>
                <w:lang w:val="en-CA"/>
              </w:rPr>
            </w:pPr>
            <w:bookmarkStart w:id="17" w:name="Avocat_int"/>
            <w:r w:rsidRPr="00A92931">
              <w:rPr>
                <w:lang w:val="en-CA"/>
              </w:rPr>
              <w:t>Mtre Ginette Gobeil</w:t>
            </w:r>
            <w:bookmarkEnd w:id="17"/>
          </w:p>
        </w:tc>
      </w:tr>
      <w:tr w:rsidR="006E7A85" w:rsidRPr="00A92931" w14:paraId="3B71AE6A" w14:textId="77777777" w:rsidTr="00423DF1">
        <w:tc>
          <w:tcPr>
            <w:tcW w:w="9362" w:type="dxa"/>
            <w:gridSpan w:val="3"/>
          </w:tcPr>
          <w:p w14:paraId="7EFFEE9B" w14:textId="77777777" w:rsidR="00800347" w:rsidRPr="00A92931" w:rsidRDefault="00AE0DE0" w:rsidP="00800347">
            <w:pPr>
              <w:pStyle w:val="zSoquijdatNomProcureurDef"/>
              <w:rPr>
                <w:lang w:val="en-CA"/>
              </w:rPr>
            </w:pPr>
            <w:r w:rsidRPr="00A92931">
              <w:rPr>
                <w:lang w:val="en-CA"/>
              </w:rPr>
              <w:t>Me Marjolaine Breton</w:t>
            </w:r>
          </w:p>
        </w:tc>
      </w:tr>
      <w:tr w:rsidR="006E7A85" w:rsidRPr="00A92931" w14:paraId="227525AA" w14:textId="77777777" w:rsidTr="00423DF1">
        <w:tc>
          <w:tcPr>
            <w:tcW w:w="9362" w:type="dxa"/>
            <w:gridSpan w:val="3"/>
          </w:tcPr>
          <w:p w14:paraId="133CE6F6" w14:textId="5344BC4F" w:rsidR="005A78BF" w:rsidRPr="00A92931" w:rsidRDefault="007C1E6E" w:rsidP="005A78BF">
            <w:pPr>
              <w:pStyle w:val="zSoquijdatCabinetProcureurDef"/>
              <w:rPr>
                <w:lang w:val="en-CA"/>
              </w:rPr>
            </w:pPr>
            <w:bookmarkStart w:id="18" w:name="Bureau_Avocat_int"/>
            <w:r w:rsidRPr="00A92931">
              <w:rPr>
                <w:lang w:val="en-CA"/>
              </w:rPr>
              <w:t>DEPARTMENT OF JUSTICE</w:t>
            </w:r>
            <w:r w:rsidR="00AE0DE0" w:rsidRPr="00A92931">
              <w:rPr>
                <w:lang w:val="en-CA"/>
              </w:rPr>
              <w:t xml:space="preserve"> CANADA</w:t>
            </w:r>
            <w:bookmarkEnd w:id="18"/>
          </w:p>
        </w:tc>
      </w:tr>
      <w:tr w:rsidR="006E7A85" w:rsidRPr="00A92931" w14:paraId="49BEE085" w14:textId="77777777" w:rsidTr="00423DF1">
        <w:tc>
          <w:tcPr>
            <w:tcW w:w="9362" w:type="dxa"/>
            <w:gridSpan w:val="3"/>
          </w:tcPr>
          <w:p w14:paraId="0332AA60" w14:textId="0AE0E2C5" w:rsidR="005A78BF" w:rsidRPr="00A92931" w:rsidRDefault="00AE0DE0" w:rsidP="005A78BF">
            <w:pPr>
              <w:pStyle w:val="zSoquijlblProcureurDef"/>
              <w:rPr>
                <w:lang w:val="en-CA"/>
              </w:rPr>
            </w:pPr>
            <w:r w:rsidRPr="00A92931">
              <w:rPr>
                <w:lang w:val="en-CA"/>
              </w:rPr>
              <w:t xml:space="preserve">For the </w:t>
            </w:r>
            <w:r w:rsidR="004C140E">
              <w:rPr>
                <w:lang w:val="en-CA"/>
              </w:rPr>
              <w:t>r</w:t>
            </w:r>
            <w:r w:rsidRPr="00A92931">
              <w:rPr>
                <w:lang w:val="en-CA"/>
              </w:rPr>
              <w:t>espondent</w:t>
            </w:r>
          </w:p>
        </w:tc>
      </w:tr>
      <w:tr w:rsidR="006E7A85" w:rsidRPr="00A92931" w14:paraId="43880AA0" w14:textId="77777777" w:rsidTr="00423DF1">
        <w:tc>
          <w:tcPr>
            <w:tcW w:w="9362" w:type="dxa"/>
            <w:gridSpan w:val="3"/>
          </w:tcPr>
          <w:p w14:paraId="3AB81846" w14:textId="77777777" w:rsidR="005A78BF" w:rsidRPr="00A92931" w:rsidRDefault="005A78BF" w:rsidP="005A78BF">
            <w:pPr>
              <w:rPr>
                <w:lang w:val="en-CA"/>
              </w:rPr>
            </w:pPr>
          </w:p>
        </w:tc>
      </w:tr>
      <w:tr w:rsidR="006E7A85" w:rsidRPr="00A92931" w14:paraId="575BD5D4" w14:textId="77777777" w:rsidTr="00423DF1">
        <w:tc>
          <w:tcPr>
            <w:tcW w:w="9362" w:type="dxa"/>
            <w:gridSpan w:val="3"/>
          </w:tcPr>
          <w:p w14:paraId="550C63C1" w14:textId="0E180F11" w:rsidR="00800347" w:rsidRPr="00A92931" w:rsidRDefault="00AE0DE0" w:rsidP="00682220">
            <w:pPr>
              <w:pStyle w:val="zSoquijdatNomProcureurDef"/>
              <w:rPr>
                <w:lang w:val="en-CA"/>
              </w:rPr>
            </w:pPr>
            <w:bookmarkStart w:id="19" w:name="Avocat_MeC"/>
            <w:r w:rsidRPr="00A92931">
              <w:rPr>
                <w:lang w:val="en-CA"/>
              </w:rPr>
              <w:t>Mtre Giacomo Zucchi</w:t>
            </w:r>
            <w:bookmarkEnd w:id="19"/>
          </w:p>
        </w:tc>
      </w:tr>
      <w:tr w:rsidR="006E7A85" w:rsidRPr="00A92931" w14:paraId="68B96026" w14:textId="77777777" w:rsidTr="00423DF1">
        <w:tc>
          <w:tcPr>
            <w:tcW w:w="9362" w:type="dxa"/>
            <w:gridSpan w:val="3"/>
          </w:tcPr>
          <w:p w14:paraId="79270360" w14:textId="77777777" w:rsidR="00682220" w:rsidRPr="00A92931" w:rsidRDefault="00AE0DE0" w:rsidP="00682220">
            <w:pPr>
              <w:pStyle w:val="zSoquijdatNomProcureurDef"/>
              <w:rPr>
                <w:lang w:val="en-CA"/>
              </w:rPr>
            </w:pPr>
            <w:r w:rsidRPr="00A92931">
              <w:rPr>
                <w:lang w:val="en-CA"/>
              </w:rPr>
              <w:t>Mtre Audrey Mayrand</w:t>
            </w:r>
          </w:p>
        </w:tc>
      </w:tr>
      <w:tr w:rsidR="006E7A85" w:rsidRPr="00A92931" w14:paraId="6C59EC47" w14:textId="77777777" w:rsidTr="00423DF1">
        <w:tc>
          <w:tcPr>
            <w:tcW w:w="9362" w:type="dxa"/>
            <w:gridSpan w:val="3"/>
          </w:tcPr>
          <w:p w14:paraId="2AAA8FC3" w14:textId="77777777" w:rsidR="00800347" w:rsidRPr="00A92931" w:rsidRDefault="00AE0DE0" w:rsidP="00682220">
            <w:pPr>
              <w:pStyle w:val="zSoquijdatNomProcureurDef"/>
              <w:rPr>
                <w:lang w:val="en-CA"/>
              </w:rPr>
            </w:pPr>
            <w:bookmarkStart w:id="20" w:name="Bureau_Avocat_MeC"/>
            <w:r w:rsidRPr="00A92931">
              <w:rPr>
                <w:lang w:val="en-CA"/>
              </w:rPr>
              <w:t>JURISTES POWER LAW</w:t>
            </w:r>
            <w:bookmarkEnd w:id="20"/>
          </w:p>
        </w:tc>
      </w:tr>
      <w:tr w:rsidR="006E7A85" w:rsidRPr="00A92931" w14:paraId="7A483FA1" w14:textId="77777777" w:rsidTr="00423DF1">
        <w:tc>
          <w:tcPr>
            <w:tcW w:w="9362" w:type="dxa"/>
            <w:gridSpan w:val="3"/>
          </w:tcPr>
          <w:p w14:paraId="50CA41B9" w14:textId="56766CC5" w:rsidR="00800347" w:rsidRPr="00A92931" w:rsidRDefault="007C1E6E" w:rsidP="00682220">
            <w:pPr>
              <w:pStyle w:val="zSoquijlblProcureurDef"/>
              <w:rPr>
                <w:lang w:val="en-CA"/>
              </w:rPr>
            </w:pPr>
            <w:r w:rsidRPr="00A92931">
              <w:rPr>
                <w:lang w:val="en-CA"/>
              </w:rPr>
              <w:t>For</w:t>
            </w:r>
            <w:r w:rsidR="00A04FD9" w:rsidRPr="00A92931">
              <w:rPr>
                <w:lang w:val="en-CA"/>
              </w:rPr>
              <w:t xml:space="preserve"> the intervener</w:t>
            </w:r>
          </w:p>
        </w:tc>
      </w:tr>
      <w:tr w:rsidR="006E7A85" w:rsidRPr="00A92931" w14:paraId="52252BB4" w14:textId="77777777" w:rsidTr="00423DF1">
        <w:tc>
          <w:tcPr>
            <w:tcW w:w="9362" w:type="dxa"/>
            <w:gridSpan w:val="3"/>
          </w:tcPr>
          <w:p w14:paraId="40BDF322" w14:textId="77777777" w:rsidR="00800347" w:rsidRPr="00A92931" w:rsidRDefault="00800347" w:rsidP="005A78BF">
            <w:pPr>
              <w:rPr>
                <w:lang w:val="en-CA"/>
              </w:rPr>
            </w:pPr>
          </w:p>
        </w:tc>
      </w:tr>
      <w:tr w:rsidR="006E7A85" w:rsidRPr="00A92931" w14:paraId="23503D23" w14:textId="77777777" w:rsidTr="00423DF1">
        <w:tc>
          <w:tcPr>
            <w:tcW w:w="1997" w:type="dxa"/>
          </w:tcPr>
          <w:p w14:paraId="770A75C0" w14:textId="77777777" w:rsidR="005A78BF" w:rsidRPr="00A92931" w:rsidRDefault="00AE0DE0" w:rsidP="005A78BF">
            <w:pPr>
              <w:pStyle w:val="zSoquijlblDateAudience"/>
              <w:rPr>
                <w:lang w:val="en-CA"/>
              </w:rPr>
            </w:pPr>
            <w:r w:rsidRPr="00A92931">
              <w:rPr>
                <w:lang w:val="en-CA"/>
              </w:rPr>
              <w:t>Date of hearing:</w:t>
            </w:r>
          </w:p>
        </w:tc>
        <w:tc>
          <w:tcPr>
            <w:tcW w:w="7365" w:type="dxa"/>
            <w:gridSpan w:val="2"/>
          </w:tcPr>
          <w:p w14:paraId="67542D06" w14:textId="28297844" w:rsidR="005A78BF" w:rsidRPr="00A92931" w:rsidRDefault="00AE0DE0" w:rsidP="005A78BF">
            <w:pPr>
              <w:pStyle w:val="zSoquijdatDateAudience"/>
              <w:rPr>
                <w:lang w:val="en-CA"/>
              </w:rPr>
            </w:pPr>
            <w:r w:rsidRPr="00A92931">
              <w:rPr>
                <w:lang w:val="en-CA"/>
              </w:rPr>
              <w:t>February 23, 2021</w:t>
            </w:r>
          </w:p>
        </w:tc>
      </w:tr>
      <w:bookmarkEnd w:id="12"/>
    </w:tbl>
    <w:p w14:paraId="2B17A26F" w14:textId="77777777" w:rsidR="00B23DE1" w:rsidRPr="00A92931" w:rsidRDefault="00B23DE1" w:rsidP="0097720F">
      <w:pPr>
        <w:rPr>
          <w:lang w:val="en-CA"/>
        </w:rPr>
      </w:pPr>
    </w:p>
    <w:sectPr w:rsidR="00B23DE1" w:rsidRPr="00A92931" w:rsidSect="00236200">
      <w:headerReference w:type="even" r:id="rId11"/>
      <w:headerReference w:type="default" r:id="rId12"/>
      <w:footerReference w:type="even" r:id="rId13"/>
      <w:footerReference w:type="default" r:id="rId14"/>
      <w:headerReference w:type="first" r:id="rId15"/>
      <w:footerReference w:type="first" r:id="rId16"/>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D822" w14:textId="77777777" w:rsidR="00AE0DE0" w:rsidRDefault="00AE0DE0">
      <w:pPr>
        <w:spacing w:line="240" w:lineRule="auto"/>
      </w:pPr>
      <w:r>
        <w:separator/>
      </w:r>
    </w:p>
  </w:endnote>
  <w:endnote w:type="continuationSeparator" w:id="0">
    <w:p w14:paraId="529562CC" w14:textId="77777777" w:rsidR="00AE0DE0" w:rsidRDefault="00AE0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CAC8" w14:textId="77777777" w:rsidR="006979CC" w:rsidRDefault="006979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62F9" w14:textId="449D6BD0" w:rsidR="00732780" w:rsidRPr="00BF35B6" w:rsidRDefault="00732780" w:rsidP="00732780">
    <w:pPr>
      <w:spacing w:after="360"/>
      <w:ind w:left="703" w:hanging="703"/>
      <w:jc w:val="right"/>
      <w:rPr>
        <w:rFonts w:cs="Arial"/>
        <w:szCs w:val="24"/>
        <w:lang w:val="en-CA"/>
      </w:rPr>
    </w:pPr>
  </w:p>
  <w:p w14:paraId="493B650D" w14:textId="6D56F89A" w:rsidR="00732780" w:rsidRPr="00487807" w:rsidRDefault="00D45EF4" w:rsidP="00ED2654">
    <w:pPr>
      <w:pStyle w:val="Pieddepage"/>
      <w:jc w:val="right"/>
      <w:rPr>
        <w:lang w:val="en-CA"/>
      </w:rPr>
    </w:pPr>
    <w:r w:rsidRPr="00BF35B6">
      <w:rPr>
        <w:rFonts w:cs="Arial"/>
        <w:b/>
        <w:szCs w:val="24"/>
        <w:lang w:val="en-CA"/>
      </w:rPr>
      <w:t>English translation of the judgment of the Court by SOQUIJ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FC56" w14:textId="77777777" w:rsidR="006979CC" w:rsidRDefault="006979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542E" w14:textId="77777777" w:rsidR="00181672" w:rsidRDefault="00AE0DE0">
      <w:r>
        <w:separator/>
      </w:r>
    </w:p>
  </w:footnote>
  <w:footnote w:type="continuationSeparator" w:id="0">
    <w:p w14:paraId="652F4311" w14:textId="77777777" w:rsidR="00181672" w:rsidRDefault="00AE0DE0">
      <w:r>
        <w:continuationSeparator/>
      </w:r>
    </w:p>
  </w:footnote>
  <w:footnote w:id="1">
    <w:p w14:paraId="446EB89D" w14:textId="0E865139" w:rsidR="0060039F" w:rsidRDefault="0060039F" w:rsidP="0060039F">
      <w:pPr>
        <w:pStyle w:val="Notedebasdepage"/>
      </w:pPr>
      <w:r>
        <w:rPr>
          <w:rStyle w:val="Appelnotedebasdep"/>
        </w:rPr>
        <w:footnoteRef/>
      </w:r>
      <w:r>
        <w:t xml:space="preserve"> </w:t>
      </w:r>
      <w:r>
        <w:tab/>
      </w:r>
      <w:r w:rsidRPr="006F3B13">
        <w:rPr>
          <w:i/>
        </w:rPr>
        <w:t>E</w:t>
      </w:r>
      <w:r w:rsidR="007426CC">
        <w:rPr>
          <w:i/>
        </w:rPr>
        <w:t>N</w:t>
      </w:r>
      <w:r w:rsidRPr="006F3B13">
        <w:rPr>
          <w:i/>
        </w:rPr>
        <w:t>vironnement J</w:t>
      </w:r>
      <w:r w:rsidR="007426CC">
        <w:rPr>
          <w:i/>
        </w:rPr>
        <w:t>EU</w:t>
      </w:r>
      <w:r w:rsidRPr="006F3B13">
        <w:rPr>
          <w:i/>
        </w:rPr>
        <w:t>nesse c. Procureur général du Canada</w:t>
      </w:r>
      <w:r w:rsidRPr="006F3B13">
        <w:t xml:space="preserve">, 2019 QCCS 2885 </w:t>
      </w:r>
      <w:r w:rsidR="00216E7F" w:rsidRPr="006F3B13">
        <w:t>[</w:t>
      </w:r>
      <w:r w:rsidRPr="006F3B13">
        <w:t>judgment under appeal</w:t>
      </w:r>
      <w:r w:rsidR="00216E7F" w:rsidRPr="006F3B13">
        <w:t>]</w:t>
      </w:r>
      <w:r w:rsidRPr="006F3B13">
        <w:t>.</w:t>
      </w:r>
    </w:p>
  </w:footnote>
  <w:footnote w:id="2">
    <w:p w14:paraId="2ADCA0B8" w14:textId="03DEEE73" w:rsidR="0060039F" w:rsidRPr="006F3B13" w:rsidRDefault="0060039F" w:rsidP="0060039F">
      <w:pPr>
        <w:pStyle w:val="Notedebasdepage"/>
        <w:rPr>
          <w:lang w:val="en-CA"/>
        </w:rPr>
      </w:pPr>
      <w:r w:rsidRPr="006F3B13">
        <w:rPr>
          <w:rStyle w:val="Appelnotedebasdep"/>
        </w:rPr>
        <w:footnoteRef/>
      </w:r>
      <w:r w:rsidRPr="00EF2E7B">
        <w:rPr>
          <w:lang w:val="en-CA"/>
        </w:rPr>
        <w:t xml:space="preserve"> </w:t>
      </w:r>
      <w:r w:rsidRPr="00EF2E7B">
        <w:rPr>
          <w:lang w:val="en-CA"/>
        </w:rPr>
        <w:tab/>
      </w:r>
      <w:r w:rsidR="008D34DE" w:rsidRPr="006F3B13">
        <w:rPr>
          <w:i/>
          <w:lang w:val="en-CA"/>
        </w:rPr>
        <w:t>References re Greenhouse Gas Pollution Pricing Act</w:t>
      </w:r>
      <w:r w:rsidR="008D34DE" w:rsidRPr="006F3B13">
        <w:rPr>
          <w:iCs/>
          <w:lang w:val="en-CA"/>
        </w:rPr>
        <w:t>, 2021 SCC 11</w:t>
      </w:r>
      <w:r w:rsidR="004E22E6">
        <w:rPr>
          <w:iCs/>
          <w:lang w:val="en-CA"/>
        </w:rPr>
        <w:t>,</w:t>
      </w:r>
      <w:r w:rsidR="008D34DE" w:rsidRPr="006F3B13">
        <w:rPr>
          <w:iCs/>
          <w:lang w:val="en-CA"/>
        </w:rPr>
        <w:t xml:space="preserve"> </w:t>
      </w:r>
      <w:r w:rsidRPr="006F3B13">
        <w:rPr>
          <w:lang w:val="en-CA"/>
        </w:rPr>
        <w:t>para</w:t>
      </w:r>
      <w:r w:rsidR="008D34DE" w:rsidRPr="006F3B13">
        <w:rPr>
          <w:lang w:val="en-CA"/>
        </w:rPr>
        <w:t xml:space="preserve">. </w:t>
      </w:r>
      <w:r w:rsidRPr="006F3B13">
        <w:rPr>
          <w:lang w:val="en-CA"/>
        </w:rPr>
        <w:t>2</w:t>
      </w:r>
      <w:r w:rsidR="008D34DE" w:rsidRPr="006F3B13">
        <w:rPr>
          <w:lang w:val="en-CA"/>
        </w:rPr>
        <w:t>.</w:t>
      </w:r>
    </w:p>
  </w:footnote>
  <w:footnote w:id="3">
    <w:p w14:paraId="353BFA2D" w14:textId="7031029A" w:rsidR="0060039F" w:rsidRPr="00EF2E7B" w:rsidRDefault="0060039F" w:rsidP="0060039F">
      <w:pPr>
        <w:pStyle w:val="Notedebasdepage"/>
      </w:pPr>
      <w:r w:rsidRPr="006F3B13">
        <w:rPr>
          <w:rStyle w:val="Appelnotedebasdep"/>
          <w:lang w:val="en-CA"/>
        </w:rPr>
        <w:footnoteRef/>
      </w:r>
      <w:r w:rsidRPr="006F3B13">
        <w:rPr>
          <w:lang w:val="en-CA"/>
        </w:rPr>
        <w:t xml:space="preserve"> </w:t>
      </w:r>
      <w:r w:rsidRPr="006F3B13">
        <w:rPr>
          <w:lang w:val="en-CA"/>
        </w:rPr>
        <w:tab/>
      </w:r>
      <w:r w:rsidR="008D34DE" w:rsidRPr="006F3B13">
        <w:rPr>
          <w:i/>
          <w:lang w:val="en-CA"/>
        </w:rPr>
        <w:t>Canada (Auditor General) v. Canada (Minister of Energy, Mines and Resources)</w:t>
      </w:r>
      <w:r w:rsidR="008D34DE" w:rsidRPr="006F3B13">
        <w:rPr>
          <w:iCs/>
          <w:lang w:val="en-CA"/>
        </w:rPr>
        <w:t>, [1989] 2 SCR 49</w:t>
      </w:r>
      <w:r w:rsidR="00F80B7F">
        <w:rPr>
          <w:iCs/>
          <w:lang w:val="en-CA"/>
        </w:rPr>
        <w:t>,</w:t>
      </w:r>
      <w:r w:rsidR="008D34DE" w:rsidRPr="006F3B13">
        <w:rPr>
          <w:iCs/>
          <w:lang w:val="en-CA"/>
        </w:rPr>
        <w:t xml:space="preserve"> </w:t>
      </w:r>
      <w:r w:rsidR="00F80B7F">
        <w:rPr>
          <w:lang w:val="en-CA"/>
        </w:rPr>
        <w:t>p. </w:t>
      </w:r>
      <w:r w:rsidR="00771B8E" w:rsidRPr="006F3B13">
        <w:rPr>
          <w:lang w:val="en-CA"/>
        </w:rPr>
        <w:t>91.</w:t>
      </w:r>
    </w:p>
  </w:footnote>
  <w:footnote w:id="4">
    <w:p w14:paraId="1094BA01" w14:textId="16C73A43" w:rsidR="00451737" w:rsidRPr="006F3B13" w:rsidRDefault="00451737" w:rsidP="00451737">
      <w:pPr>
        <w:pStyle w:val="Notedebasdepage"/>
        <w:rPr>
          <w:i/>
          <w:iCs/>
          <w:lang w:val="en-CA"/>
        </w:rPr>
      </w:pPr>
      <w:r w:rsidRPr="00802649">
        <w:rPr>
          <w:rStyle w:val="Appelnotedebasdep"/>
          <w:lang w:val="en-CA"/>
        </w:rPr>
        <w:footnoteRef/>
      </w:r>
      <w:r w:rsidRPr="00802649">
        <w:rPr>
          <w:lang w:val="en-CA"/>
        </w:rPr>
        <w:t xml:space="preserve"> </w:t>
      </w:r>
      <w:r w:rsidRPr="00802649">
        <w:rPr>
          <w:lang w:val="en-CA"/>
        </w:rPr>
        <w:tab/>
      </w:r>
      <w:r w:rsidRPr="00802649">
        <w:rPr>
          <w:i/>
          <w:lang w:val="en-CA"/>
        </w:rPr>
        <w:t xml:space="preserve">Canadian Charter of Rights and Freedoms, </w:t>
      </w:r>
      <w:r w:rsidRPr="00802649">
        <w:rPr>
          <w:iCs/>
          <w:lang w:val="en-CA"/>
        </w:rPr>
        <w:t xml:space="preserve">Part I of the </w:t>
      </w:r>
      <w:r w:rsidRPr="00802649">
        <w:rPr>
          <w:i/>
          <w:lang w:val="en-CA"/>
        </w:rPr>
        <w:t>Constitution Act, 1982</w:t>
      </w:r>
      <w:r w:rsidRPr="00802649">
        <w:rPr>
          <w:iCs/>
          <w:lang w:val="en-CA"/>
        </w:rPr>
        <w:t xml:space="preserve">, being Schedule B to the </w:t>
      </w:r>
      <w:r w:rsidRPr="006F3B13">
        <w:rPr>
          <w:i/>
          <w:lang w:val="en-CA"/>
        </w:rPr>
        <w:t>Canada Act 1982 (U.K.), 1982</w:t>
      </w:r>
      <w:r w:rsidRPr="006F3B13">
        <w:rPr>
          <w:iCs/>
          <w:lang w:val="en-CA"/>
        </w:rPr>
        <w:t>, c</w:t>
      </w:r>
      <w:r w:rsidR="008B1909">
        <w:rPr>
          <w:iCs/>
          <w:lang w:val="en-CA"/>
        </w:rPr>
        <w:t>.</w:t>
      </w:r>
      <w:r w:rsidRPr="006F3B13">
        <w:rPr>
          <w:iCs/>
          <w:lang w:val="en-CA"/>
        </w:rPr>
        <w:t xml:space="preserve"> 11 (</w:t>
      </w:r>
      <w:r w:rsidRPr="006E7D06">
        <w:rPr>
          <w:i/>
          <w:lang w:val="en-CA"/>
        </w:rPr>
        <w:t>Canadian</w:t>
      </w:r>
      <w:r w:rsidRPr="006F3B13">
        <w:rPr>
          <w:iCs/>
          <w:lang w:val="en-CA"/>
        </w:rPr>
        <w:t xml:space="preserve"> </w:t>
      </w:r>
      <w:r w:rsidRPr="006F3B13">
        <w:rPr>
          <w:i/>
          <w:lang w:val="en-CA"/>
        </w:rPr>
        <w:t>Charter</w:t>
      </w:r>
      <w:r w:rsidRPr="006F3B13">
        <w:rPr>
          <w:iCs/>
          <w:lang w:val="en-CA"/>
        </w:rPr>
        <w:t>).</w:t>
      </w:r>
    </w:p>
  </w:footnote>
  <w:footnote w:id="5">
    <w:p w14:paraId="22A2216D" w14:textId="7719D9D2" w:rsidR="00B27BD5" w:rsidRPr="006F3B13" w:rsidRDefault="00B27BD5" w:rsidP="00B27BD5">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00656150" w:rsidRPr="006F3B13">
        <w:rPr>
          <w:i/>
          <w:lang w:val="en-CA"/>
        </w:rPr>
        <w:t>Crown Liability and Proceedings Act</w:t>
      </w:r>
      <w:r w:rsidR="00656150" w:rsidRPr="006F3B13">
        <w:rPr>
          <w:iCs/>
          <w:lang w:val="en-CA"/>
        </w:rPr>
        <w:t>, RSC 1985, c</w:t>
      </w:r>
      <w:r w:rsidR="008B1909">
        <w:rPr>
          <w:iCs/>
          <w:lang w:val="en-CA"/>
        </w:rPr>
        <w:t>.</w:t>
      </w:r>
      <w:r w:rsidR="00656150" w:rsidRPr="006F3B13">
        <w:rPr>
          <w:iCs/>
          <w:lang w:val="en-CA"/>
        </w:rPr>
        <w:t xml:space="preserve"> C-50</w:t>
      </w:r>
      <w:r w:rsidRPr="006F3B13">
        <w:rPr>
          <w:iCs/>
          <w:lang w:val="en-CA"/>
        </w:rPr>
        <w:t>.</w:t>
      </w:r>
    </w:p>
  </w:footnote>
  <w:footnote w:id="6">
    <w:p w14:paraId="3F639C74" w14:textId="6DA6A140" w:rsidR="00B27BD5" w:rsidRPr="00EF2E7B" w:rsidRDefault="00B27BD5" w:rsidP="00B27BD5">
      <w:pPr>
        <w:pStyle w:val="Notedebasdepage"/>
      </w:pPr>
      <w:r w:rsidRPr="006F3B13">
        <w:rPr>
          <w:rStyle w:val="Appelnotedebasdep"/>
          <w:lang w:val="en-CA"/>
        </w:rPr>
        <w:footnoteRef/>
      </w:r>
      <w:r w:rsidRPr="006F3B13">
        <w:rPr>
          <w:lang w:val="en-CA"/>
        </w:rPr>
        <w:t xml:space="preserve"> </w:t>
      </w:r>
      <w:r w:rsidRPr="006F3B13">
        <w:rPr>
          <w:lang w:val="en-CA"/>
        </w:rPr>
        <w:tab/>
      </w:r>
      <w:r w:rsidR="00D028FC" w:rsidRPr="006F3B13">
        <w:rPr>
          <w:i/>
          <w:lang w:val="en-CA"/>
        </w:rPr>
        <w:t xml:space="preserve">Charter of </w:t>
      </w:r>
      <w:r w:rsidR="00E0308A">
        <w:rPr>
          <w:i/>
          <w:lang w:val="en-CA"/>
        </w:rPr>
        <w:t>H</w:t>
      </w:r>
      <w:r w:rsidR="00D028FC" w:rsidRPr="006F3B13">
        <w:rPr>
          <w:i/>
          <w:lang w:val="en-CA"/>
        </w:rPr>
        <w:t xml:space="preserve">uman </w:t>
      </w:r>
      <w:r w:rsidR="00E0308A">
        <w:rPr>
          <w:i/>
          <w:lang w:val="en-CA"/>
        </w:rPr>
        <w:t>R</w:t>
      </w:r>
      <w:r w:rsidR="00D028FC" w:rsidRPr="006F3B13">
        <w:rPr>
          <w:i/>
          <w:lang w:val="en-CA"/>
        </w:rPr>
        <w:t xml:space="preserve">ights and </w:t>
      </w:r>
      <w:r w:rsidR="00E0308A">
        <w:rPr>
          <w:i/>
          <w:lang w:val="en-CA"/>
        </w:rPr>
        <w:t>F</w:t>
      </w:r>
      <w:r w:rsidR="00D028FC" w:rsidRPr="006F3B13">
        <w:rPr>
          <w:i/>
          <w:lang w:val="en-CA"/>
        </w:rPr>
        <w:t>reedoms</w:t>
      </w:r>
      <w:r w:rsidRPr="006F3B13">
        <w:rPr>
          <w:lang w:val="en-CA"/>
        </w:rPr>
        <w:t xml:space="preserve">, </w:t>
      </w:r>
      <w:r w:rsidR="00D028FC" w:rsidRPr="006F3B13">
        <w:rPr>
          <w:lang w:val="en-CA"/>
        </w:rPr>
        <w:t>CQLR</w:t>
      </w:r>
      <w:r w:rsidRPr="006F3B13">
        <w:rPr>
          <w:lang w:val="en-CA"/>
        </w:rPr>
        <w:t>, c</w:t>
      </w:r>
      <w:r w:rsidR="008B1909">
        <w:rPr>
          <w:lang w:val="en-CA"/>
        </w:rPr>
        <w:t>.</w:t>
      </w:r>
      <w:r w:rsidRPr="006F3B13">
        <w:rPr>
          <w:lang w:val="en-CA"/>
        </w:rPr>
        <w:t xml:space="preserve"> C-12 </w:t>
      </w:r>
      <w:r w:rsidR="00D028FC" w:rsidRPr="006F3B13">
        <w:rPr>
          <w:lang w:val="en-CA"/>
        </w:rPr>
        <w:t>(</w:t>
      </w:r>
      <w:r w:rsidR="00D028FC" w:rsidRPr="006E7D06">
        <w:rPr>
          <w:i/>
          <w:iCs/>
          <w:lang w:val="en-CA"/>
        </w:rPr>
        <w:t xml:space="preserve">Quebec </w:t>
      </w:r>
      <w:r w:rsidR="00D028FC" w:rsidRPr="006F3B13">
        <w:rPr>
          <w:i/>
          <w:iCs/>
          <w:lang w:val="en-CA"/>
        </w:rPr>
        <w:t>Charter</w:t>
      </w:r>
      <w:r w:rsidR="00D028FC" w:rsidRPr="006F3B13">
        <w:rPr>
          <w:lang w:val="en-CA"/>
        </w:rPr>
        <w:t>).</w:t>
      </w:r>
    </w:p>
  </w:footnote>
  <w:footnote w:id="7">
    <w:p w14:paraId="0C7175FF" w14:textId="37A75FA9" w:rsidR="008F33C5" w:rsidRPr="00E91415" w:rsidRDefault="008F33C5" w:rsidP="008F33C5">
      <w:pPr>
        <w:pStyle w:val="Notedebasdepage"/>
      </w:pPr>
      <w:r w:rsidRPr="007E39E6">
        <w:rPr>
          <w:rStyle w:val="Appelnotedebasdep"/>
        </w:rPr>
        <w:footnoteRef/>
      </w:r>
      <w:r>
        <w:t xml:space="preserve"> </w:t>
      </w:r>
      <w:r>
        <w:tab/>
      </w:r>
      <w:r w:rsidRPr="00217FAC">
        <w:rPr>
          <w:rFonts w:cs="Arial"/>
          <w:kern w:val="28"/>
          <w:szCs w:val="24"/>
          <w:lang w:val="en-CA"/>
        </w:rPr>
        <w:t>R</w:t>
      </w:r>
      <w:r w:rsidR="000A408F" w:rsidRPr="00217FAC">
        <w:rPr>
          <w:rFonts w:cs="Arial"/>
          <w:kern w:val="28"/>
          <w:szCs w:val="24"/>
          <w:lang w:val="en-CA"/>
        </w:rPr>
        <w:t>.</w:t>
      </w:r>
      <w:r w:rsidRPr="00217FAC">
        <w:rPr>
          <w:rFonts w:cs="Arial"/>
          <w:kern w:val="28"/>
          <w:szCs w:val="24"/>
          <w:lang w:val="en-CA"/>
        </w:rPr>
        <w:t>S</w:t>
      </w:r>
      <w:r w:rsidR="000A408F" w:rsidRPr="00217FAC">
        <w:rPr>
          <w:rFonts w:cs="Arial"/>
          <w:kern w:val="28"/>
          <w:szCs w:val="24"/>
          <w:lang w:val="en-CA"/>
        </w:rPr>
        <w:t>.</w:t>
      </w:r>
      <w:r w:rsidRPr="00217FAC">
        <w:rPr>
          <w:rFonts w:cs="Arial"/>
          <w:kern w:val="28"/>
          <w:szCs w:val="24"/>
          <w:lang w:val="en-CA"/>
        </w:rPr>
        <w:t>C</w:t>
      </w:r>
      <w:r w:rsidR="000A408F" w:rsidRPr="00217FAC">
        <w:rPr>
          <w:rFonts w:cs="Arial"/>
          <w:kern w:val="28"/>
          <w:szCs w:val="24"/>
          <w:lang w:val="en-CA"/>
        </w:rPr>
        <w:t>.</w:t>
      </w:r>
      <w:r w:rsidRPr="00217FAC">
        <w:rPr>
          <w:rFonts w:cs="Arial"/>
          <w:kern w:val="28"/>
          <w:szCs w:val="24"/>
          <w:lang w:val="en-CA"/>
        </w:rPr>
        <w:t xml:space="preserve"> 1985, c</w:t>
      </w:r>
      <w:r w:rsidR="000A408F" w:rsidRPr="00217FAC">
        <w:rPr>
          <w:rFonts w:cs="Arial"/>
          <w:kern w:val="28"/>
          <w:szCs w:val="24"/>
          <w:lang w:val="en-CA"/>
        </w:rPr>
        <w:t>.</w:t>
      </w:r>
      <w:r w:rsidRPr="00217FAC">
        <w:rPr>
          <w:rFonts w:cs="Arial"/>
          <w:kern w:val="28"/>
          <w:szCs w:val="24"/>
          <w:lang w:val="en-CA"/>
        </w:rPr>
        <w:t xml:space="preserve"> C-50</w:t>
      </w:r>
      <w:r w:rsidRPr="00E91415">
        <w:rPr>
          <w:rFonts w:cs="Arial"/>
          <w:sz w:val="21"/>
          <w:szCs w:val="21"/>
          <w:shd w:val="clear" w:color="auto" w:fill="FFFFFF"/>
        </w:rPr>
        <w:t>.</w:t>
      </w:r>
    </w:p>
  </w:footnote>
  <w:footnote w:id="8">
    <w:p w14:paraId="739F4EDC" w14:textId="31713283" w:rsidR="00BE1A5A" w:rsidRPr="006F3B13" w:rsidRDefault="00BE1A5A" w:rsidP="00BE1A5A">
      <w:pPr>
        <w:pStyle w:val="Notedebasdepage"/>
      </w:pPr>
      <w:r>
        <w:rPr>
          <w:rStyle w:val="Appelnotedebasdep"/>
        </w:rPr>
        <w:footnoteRef/>
      </w:r>
      <w:r>
        <w:t xml:space="preserve"> </w:t>
      </w:r>
      <w:r>
        <w:tab/>
      </w:r>
      <w:r w:rsidRPr="006F3B13">
        <w:rPr>
          <w:i/>
        </w:rPr>
        <w:t>Fortier c. Meubles Léon ltée</w:t>
      </w:r>
      <w:r w:rsidRPr="006F3B13">
        <w:t>, 2014 QCCA 195</w:t>
      </w:r>
      <w:r w:rsidR="002A1CBB">
        <w:t>,</w:t>
      </w:r>
      <w:r w:rsidRPr="006E7D06">
        <w:rPr>
          <w:lang w:val="en-CA"/>
        </w:rPr>
        <w:t xml:space="preserve"> para. </w:t>
      </w:r>
      <w:r w:rsidRPr="00CA7598">
        <w:rPr>
          <w:lang w:val="en-CA"/>
        </w:rPr>
        <w:t>66 (</w:t>
      </w:r>
      <w:r w:rsidR="00C8305E">
        <w:rPr>
          <w:lang w:val="en-CA"/>
        </w:rPr>
        <w:t xml:space="preserve">references </w:t>
      </w:r>
      <w:r w:rsidRPr="00CA7598">
        <w:rPr>
          <w:lang w:val="en-CA"/>
        </w:rPr>
        <w:t>omitted).</w:t>
      </w:r>
    </w:p>
  </w:footnote>
  <w:footnote w:id="9">
    <w:p w14:paraId="0D487447" w14:textId="77777777" w:rsidR="00BE1A5A" w:rsidRPr="00A92931" w:rsidRDefault="00BE1A5A" w:rsidP="00BE1A5A">
      <w:pPr>
        <w:pStyle w:val="Notedebasdepage"/>
      </w:pPr>
      <w:r w:rsidRPr="006F3B13">
        <w:rPr>
          <w:rStyle w:val="Appelnotedebasdep"/>
        </w:rPr>
        <w:footnoteRef/>
      </w:r>
      <w:r w:rsidRPr="006F3B13">
        <w:t xml:space="preserve"> </w:t>
      </w:r>
      <w:r w:rsidRPr="006F3B13">
        <w:tab/>
        <w:t xml:space="preserve">Demande pour autorisation d’exercer une action collective et pour être désignée représentante </w:t>
      </w:r>
      <w:r w:rsidRPr="00CA7598">
        <w:rPr>
          <w:lang w:val="en-CA"/>
        </w:rPr>
        <w:t>([</w:t>
      </w:r>
      <w:r w:rsidRPr="00CA7598">
        <w:rPr>
          <w:smallCaps/>
          <w:lang w:val="en-CA"/>
        </w:rPr>
        <w:t>translation</w:t>
      </w:r>
      <w:r w:rsidRPr="00CA7598">
        <w:rPr>
          <w:lang w:val="en-CA"/>
        </w:rPr>
        <w:t>] Application for authorization to institute a class action and to be appointed representative plaintiff), November 26, 2018.</w:t>
      </w:r>
    </w:p>
  </w:footnote>
  <w:footnote w:id="10">
    <w:p w14:paraId="15036174" w14:textId="23F41CA7" w:rsidR="00BF3EA2" w:rsidRPr="006F3B13" w:rsidRDefault="00BF3EA2" w:rsidP="00BF3EA2">
      <w:pPr>
        <w:pStyle w:val="Notedebasdepage"/>
        <w:rPr>
          <w:lang w:val="en-CA"/>
        </w:rPr>
      </w:pPr>
      <w:r w:rsidRPr="006F3B13">
        <w:rPr>
          <w:rStyle w:val="Appelnotedebasdep"/>
        </w:rPr>
        <w:footnoteRef/>
      </w:r>
      <w:r w:rsidRPr="006F3B13">
        <w:rPr>
          <w:lang w:val="en-CA"/>
        </w:rPr>
        <w:t xml:space="preserve"> </w:t>
      </w:r>
      <w:r w:rsidRPr="006F3B13">
        <w:rPr>
          <w:lang w:val="en-CA"/>
        </w:rPr>
        <w:tab/>
      </w:r>
      <w:r w:rsidRPr="006F3B13">
        <w:rPr>
          <w:i/>
          <w:lang w:val="en-CA"/>
        </w:rPr>
        <w:t>Ontario v. Criminal Lawyers’ Association of Ontario</w:t>
      </w:r>
      <w:r w:rsidRPr="006F3B13">
        <w:rPr>
          <w:lang w:val="en-CA"/>
        </w:rPr>
        <w:t>, 2013 SCC 43</w:t>
      </w:r>
      <w:r w:rsidR="002A1CBB">
        <w:rPr>
          <w:lang w:val="en-CA"/>
        </w:rPr>
        <w:t>,</w:t>
      </w:r>
      <w:r w:rsidRPr="006F3B13">
        <w:rPr>
          <w:lang w:val="en-CA"/>
        </w:rPr>
        <w:t xml:space="preserve"> para. 29.</w:t>
      </w:r>
    </w:p>
  </w:footnote>
  <w:footnote w:id="11">
    <w:p w14:paraId="23BB16DA" w14:textId="4FAF5DBA" w:rsidR="002E2174" w:rsidRPr="006F3B13" w:rsidRDefault="002E2174" w:rsidP="002E2174">
      <w:pPr>
        <w:pStyle w:val="Notedebasdepage"/>
        <w:rPr>
          <w:iCs/>
          <w:lang w:val="en-CA"/>
        </w:rPr>
      </w:pPr>
      <w:r w:rsidRPr="006F3B13">
        <w:rPr>
          <w:rStyle w:val="Appelnotedebasdep"/>
          <w:lang w:val="en-CA"/>
        </w:rPr>
        <w:footnoteRef/>
      </w:r>
      <w:r w:rsidRPr="006F3B13">
        <w:rPr>
          <w:lang w:val="en-CA"/>
        </w:rPr>
        <w:t xml:space="preserve"> </w:t>
      </w:r>
      <w:r w:rsidRPr="006F3B13">
        <w:rPr>
          <w:lang w:val="en-CA"/>
        </w:rPr>
        <w:tab/>
      </w:r>
      <w:r w:rsidRPr="006F3B13">
        <w:rPr>
          <w:i/>
          <w:lang w:val="en-CA"/>
        </w:rPr>
        <w:t>Dunmore v. Ontario (Attorney General</w:t>
      </w:r>
      <w:r w:rsidRPr="006F3B13">
        <w:rPr>
          <w:iCs/>
          <w:lang w:val="en-CA"/>
        </w:rPr>
        <w:t xml:space="preserve">), </w:t>
      </w:r>
      <w:r w:rsidR="00BF3EA2" w:rsidRPr="006F3B13">
        <w:rPr>
          <w:iCs/>
          <w:lang w:val="en-CA"/>
        </w:rPr>
        <w:t>[</w:t>
      </w:r>
      <w:r w:rsidRPr="006F3B13">
        <w:rPr>
          <w:iCs/>
          <w:lang w:val="en-CA"/>
        </w:rPr>
        <w:t>2001</w:t>
      </w:r>
      <w:r w:rsidR="00BF3EA2" w:rsidRPr="006F3B13">
        <w:rPr>
          <w:iCs/>
          <w:lang w:val="en-CA"/>
        </w:rPr>
        <w:t>]</w:t>
      </w:r>
      <w:r w:rsidRPr="006F3B13">
        <w:rPr>
          <w:iCs/>
          <w:lang w:val="en-CA"/>
        </w:rPr>
        <w:t xml:space="preserve"> 3 SCR 1016.</w:t>
      </w:r>
    </w:p>
  </w:footnote>
  <w:footnote w:id="12">
    <w:p w14:paraId="7B9A357B" w14:textId="3A2BE03A" w:rsidR="003E0A19" w:rsidRPr="006F3B13" w:rsidRDefault="003E0A19" w:rsidP="003E0A19">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00BF3EA2" w:rsidRPr="006F3B13">
        <w:rPr>
          <w:i/>
          <w:lang w:val="en-CA"/>
        </w:rPr>
        <w:t>Vriend v. Alberta</w:t>
      </w:r>
      <w:r w:rsidR="00BF3EA2" w:rsidRPr="006F3B13">
        <w:rPr>
          <w:lang w:val="en-CA"/>
        </w:rPr>
        <w:t>, [1998] 1 SCR 493.</w:t>
      </w:r>
    </w:p>
  </w:footnote>
  <w:footnote w:id="13">
    <w:p w14:paraId="00CD17D6" w14:textId="26D56774" w:rsidR="003E0A19" w:rsidRPr="006F3B13" w:rsidRDefault="003E0A19" w:rsidP="003E0A19">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00BF3EA2" w:rsidRPr="006F3B13">
        <w:rPr>
          <w:i/>
          <w:lang w:val="en-CA"/>
        </w:rPr>
        <w:t>Native Women's Assn. of Canada v. Canada</w:t>
      </w:r>
      <w:r w:rsidR="00BF3EA2" w:rsidRPr="006F3B13">
        <w:rPr>
          <w:lang w:val="en-CA"/>
        </w:rPr>
        <w:t>, [1994] 3 SCR 627</w:t>
      </w:r>
      <w:r w:rsidR="002A1CBB">
        <w:rPr>
          <w:lang w:val="en-CA"/>
        </w:rPr>
        <w:t>, p.</w:t>
      </w:r>
      <w:r w:rsidR="00BF3EA2" w:rsidRPr="006F3B13">
        <w:rPr>
          <w:lang w:val="en-CA"/>
        </w:rPr>
        <w:t xml:space="preserve"> 667.</w:t>
      </w:r>
    </w:p>
  </w:footnote>
  <w:footnote w:id="14">
    <w:p w14:paraId="120EA4B6" w14:textId="55D0CD44" w:rsidR="009B0735" w:rsidRPr="006F3B13" w:rsidRDefault="009B0735" w:rsidP="009B0735">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Pr="006F3B13">
        <w:rPr>
          <w:i/>
          <w:lang w:val="en-CA"/>
        </w:rPr>
        <w:t>Constitution Act, 1982</w:t>
      </w:r>
      <w:r w:rsidRPr="006F3B13">
        <w:rPr>
          <w:iCs/>
          <w:lang w:val="en-CA"/>
        </w:rPr>
        <w:t xml:space="preserve">, being Schedule B to the </w:t>
      </w:r>
      <w:r w:rsidRPr="006F3B13">
        <w:rPr>
          <w:i/>
          <w:lang w:val="en-CA"/>
        </w:rPr>
        <w:t>Canada Act 1982 (U</w:t>
      </w:r>
      <w:r w:rsidR="006466CB" w:rsidRPr="006F3B13">
        <w:rPr>
          <w:i/>
          <w:lang w:val="en-CA"/>
        </w:rPr>
        <w:t>.</w:t>
      </w:r>
      <w:r w:rsidRPr="006F3B13">
        <w:rPr>
          <w:i/>
          <w:lang w:val="en-CA"/>
        </w:rPr>
        <w:t>K.)</w:t>
      </w:r>
      <w:r w:rsidRPr="006F3B13">
        <w:rPr>
          <w:iCs/>
          <w:lang w:val="en-CA"/>
        </w:rPr>
        <w:t>, 1982, c</w:t>
      </w:r>
      <w:r w:rsidR="00C36EB4">
        <w:rPr>
          <w:iCs/>
          <w:lang w:val="en-CA"/>
        </w:rPr>
        <w:t>.</w:t>
      </w:r>
      <w:r w:rsidRPr="006F3B13">
        <w:rPr>
          <w:iCs/>
          <w:lang w:val="en-CA"/>
        </w:rPr>
        <w:t xml:space="preserve"> 11.</w:t>
      </w:r>
    </w:p>
  </w:footnote>
  <w:footnote w:id="15">
    <w:p w14:paraId="0D85D5DF" w14:textId="1DD69EB5" w:rsidR="00497E52" w:rsidRPr="00A92931" w:rsidRDefault="00497E52" w:rsidP="00497E52">
      <w:pPr>
        <w:pStyle w:val="Notedebasdepage"/>
        <w:rPr>
          <w:lang w:val="en-CA"/>
        </w:rPr>
      </w:pPr>
      <w:r w:rsidRPr="006F3B13">
        <w:rPr>
          <w:rStyle w:val="Appelnotedebasdep"/>
          <w:lang w:val="en-CA"/>
        </w:rPr>
        <w:footnoteRef/>
      </w:r>
      <w:r w:rsidRPr="006F3B13">
        <w:rPr>
          <w:lang w:val="en-CA"/>
        </w:rPr>
        <w:t xml:space="preserve"> </w:t>
      </w:r>
      <w:r w:rsidRPr="006F3B13">
        <w:rPr>
          <w:lang w:val="en-CA"/>
        </w:rPr>
        <w:tab/>
        <w:t>S</w:t>
      </w:r>
      <w:r w:rsidR="002A1CBB">
        <w:rPr>
          <w:lang w:val="en-CA"/>
        </w:rPr>
        <w:t>.</w:t>
      </w:r>
      <w:r w:rsidRPr="006F3B13">
        <w:rPr>
          <w:lang w:val="en-CA"/>
        </w:rPr>
        <w:t>C</w:t>
      </w:r>
      <w:r w:rsidR="002A1CBB">
        <w:rPr>
          <w:lang w:val="en-CA"/>
        </w:rPr>
        <w:t>.</w:t>
      </w:r>
      <w:r w:rsidRPr="006F3B13">
        <w:rPr>
          <w:lang w:val="en-CA"/>
        </w:rPr>
        <w:t xml:space="preserve"> 2018, c</w:t>
      </w:r>
      <w:r w:rsidR="002A1CBB">
        <w:rPr>
          <w:lang w:val="en-CA"/>
        </w:rPr>
        <w:t>.</w:t>
      </w:r>
      <w:r w:rsidRPr="006F3B13">
        <w:rPr>
          <w:lang w:val="en-CA"/>
        </w:rPr>
        <w:t xml:space="preserve"> 12.</w:t>
      </w:r>
    </w:p>
  </w:footnote>
  <w:footnote w:id="16">
    <w:p w14:paraId="67F87427" w14:textId="11010838" w:rsidR="00F15FBD" w:rsidRPr="006F3B13" w:rsidRDefault="00AE0DE0" w:rsidP="00236200">
      <w:pPr>
        <w:pStyle w:val="Notedebasdepage"/>
        <w:rPr>
          <w:lang w:val="en-CA"/>
        </w:rPr>
      </w:pPr>
      <w:r w:rsidRPr="006F3B13">
        <w:rPr>
          <w:rStyle w:val="Appelnotedebasdep"/>
        </w:rPr>
        <w:footnoteRef/>
      </w:r>
      <w:r w:rsidRPr="006F3B13">
        <w:rPr>
          <w:lang w:val="en-CA"/>
        </w:rPr>
        <w:t xml:space="preserve"> </w:t>
      </w:r>
      <w:r w:rsidRPr="006F3B13">
        <w:rPr>
          <w:lang w:val="en-CA"/>
        </w:rPr>
        <w:tab/>
        <w:t xml:space="preserve">Lorne Mitchell Sossin, </w:t>
      </w:r>
      <w:r w:rsidRPr="006F3B13">
        <w:rPr>
          <w:i/>
          <w:lang w:val="en-CA"/>
        </w:rPr>
        <w:t>Boundaries of Judicial Review: The Law of Justiciability in Canada</w:t>
      </w:r>
      <w:r w:rsidRPr="006F3B13">
        <w:rPr>
          <w:lang w:val="en-CA"/>
        </w:rPr>
        <w:t>, 2</w:t>
      </w:r>
      <w:r w:rsidR="00C36EB4">
        <w:rPr>
          <w:lang w:val="en-CA"/>
        </w:rPr>
        <w:t>nd</w:t>
      </w:r>
      <w:r w:rsidRPr="006F3B13">
        <w:rPr>
          <w:lang w:val="en-CA"/>
        </w:rPr>
        <w:t xml:space="preserve"> </w:t>
      </w:r>
      <w:r w:rsidR="006E2C4E" w:rsidRPr="006F3B13">
        <w:rPr>
          <w:lang w:val="en-CA"/>
        </w:rPr>
        <w:t>ed.</w:t>
      </w:r>
      <w:r w:rsidRPr="006F3B13">
        <w:rPr>
          <w:lang w:val="en-CA"/>
        </w:rPr>
        <w:t xml:space="preserve">, </w:t>
      </w:r>
      <w:r w:rsidR="009A55C6" w:rsidRPr="006F3B13">
        <w:rPr>
          <w:lang w:val="en-CA"/>
        </w:rPr>
        <w:t>(</w:t>
      </w:r>
      <w:r w:rsidRPr="006F3B13">
        <w:rPr>
          <w:lang w:val="en-CA"/>
        </w:rPr>
        <w:t>Toronto</w:t>
      </w:r>
      <w:r w:rsidR="009A55C6" w:rsidRPr="006F3B13">
        <w:rPr>
          <w:lang w:val="en-CA"/>
        </w:rPr>
        <w:t>:</w:t>
      </w:r>
      <w:r w:rsidRPr="006F3B13">
        <w:rPr>
          <w:lang w:val="en-CA"/>
        </w:rPr>
        <w:t xml:space="preserve"> Carswell, 2012</w:t>
      </w:r>
      <w:r w:rsidR="009A55C6" w:rsidRPr="006F3B13">
        <w:rPr>
          <w:lang w:val="en-CA"/>
        </w:rPr>
        <w:t>)</w:t>
      </w:r>
      <w:r w:rsidRPr="006F3B13">
        <w:rPr>
          <w:lang w:val="en-CA"/>
        </w:rPr>
        <w:t>.</w:t>
      </w:r>
    </w:p>
  </w:footnote>
  <w:footnote w:id="17">
    <w:p w14:paraId="6B02E262" w14:textId="22AC4473" w:rsidR="008C3FE8" w:rsidRPr="00744369" w:rsidRDefault="008C3FE8" w:rsidP="008C3FE8">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006E2C4E" w:rsidRPr="006F3B13">
        <w:rPr>
          <w:i/>
          <w:lang w:val="en-CA"/>
        </w:rPr>
        <w:t>Ontario v. Criminal Lawyers’ Association of Ontario</w:t>
      </w:r>
      <w:r w:rsidR="006E2C4E" w:rsidRPr="006F3B13">
        <w:rPr>
          <w:lang w:val="en-CA"/>
        </w:rPr>
        <w:t>, 2013 SCC 43</w:t>
      </w:r>
      <w:r w:rsidR="002A1CBB">
        <w:rPr>
          <w:lang w:val="en-CA"/>
        </w:rPr>
        <w:t>,</w:t>
      </w:r>
      <w:r w:rsidR="006E2C4E" w:rsidRPr="006F3B13">
        <w:rPr>
          <w:lang w:val="en-CA"/>
        </w:rPr>
        <w:t xml:space="preserve"> para. </w:t>
      </w:r>
      <w:r w:rsidRPr="006F3B13">
        <w:rPr>
          <w:lang w:val="en-CA"/>
        </w:rPr>
        <w:t xml:space="preserve">28; </w:t>
      </w:r>
      <w:r w:rsidR="006E2C4E" w:rsidRPr="006F3B13">
        <w:rPr>
          <w:i/>
          <w:iCs/>
          <w:lang w:val="en-CA"/>
        </w:rPr>
        <w:t>Mikisew Cree First Nation v. Canada (Governor General in Council)</w:t>
      </w:r>
      <w:r w:rsidR="006E2C4E" w:rsidRPr="006F3B13">
        <w:rPr>
          <w:lang w:val="en-CA"/>
        </w:rPr>
        <w:t>, 2018 SCC 40.</w:t>
      </w:r>
    </w:p>
  </w:footnote>
  <w:footnote w:id="18">
    <w:p w14:paraId="546DABB7" w14:textId="75001C31" w:rsidR="00F15FBD" w:rsidRPr="006F3B13" w:rsidRDefault="00AE0DE0" w:rsidP="00236200">
      <w:pPr>
        <w:pStyle w:val="Notedebasdepage"/>
        <w:rPr>
          <w:lang w:val="en-CA"/>
        </w:rPr>
      </w:pPr>
      <w:r w:rsidRPr="006F3B13">
        <w:rPr>
          <w:rStyle w:val="Appelnotedebasdep"/>
        </w:rPr>
        <w:footnoteRef/>
      </w:r>
      <w:r w:rsidRPr="006F3B13">
        <w:rPr>
          <w:lang w:val="en-CA"/>
        </w:rPr>
        <w:t xml:space="preserve"> </w:t>
      </w:r>
      <w:r w:rsidRPr="006F3B13">
        <w:rPr>
          <w:lang w:val="en-CA"/>
        </w:rPr>
        <w:tab/>
      </w:r>
      <w:r w:rsidR="006E2C4E" w:rsidRPr="006F3B13">
        <w:rPr>
          <w:i/>
          <w:lang w:val="en-CA"/>
        </w:rPr>
        <w:t>Ontario v. Criminal Lawyers’ Association of Ontario</w:t>
      </w:r>
      <w:r w:rsidR="006E2C4E" w:rsidRPr="006F3B13">
        <w:rPr>
          <w:lang w:val="en-CA"/>
        </w:rPr>
        <w:t>, 2013 SCC 43 at para. 28 and</w:t>
      </w:r>
      <w:r w:rsidRPr="006F3B13">
        <w:rPr>
          <w:lang w:val="en-CA"/>
        </w:rPr>
        <w:t xml:space="preserve"> 30</w:t>
      </w:r>
      <w:r w:rsidR="006E2C4E" w:rsidRPr="006F3B13">
        <w:rPr>
          <w:lang w:val="en-CA"/>
        </w:rPr>
        <w:t>–</w:t>
      </w:r>
      <w:r w:rsidRPr="006F3B13">
        <w:rPr>
          <w:lang w:val="en-CA"/>
        </w:rPr>
        <w:t>31 (</w:t>
      </w:r>
      <w:r w:rsidR="006E2C4E" w:rsidRPr="006F3B13">
        <w:rPr>
          <w:lang w:val="en-CA"/>
        </w:rPr>
        <w:t xml:space="preserve">references </w:t>
      </w:r>
      <w:r w:rsidRPr="006F3B13">
        <w:rPr>
          <w:lang w:val="en-CA"/>
        </w:rPr>
        <w:t>omi</w:t>
      </w:r>
      <w:r w:rsidR="00B61FB0" w:rsidRPr="006F3B13">
        <w:rPr>
          <w:lang w:val="en-CA"/>
        </w:rPr>
        <w:t>tted</w:t>
      </w:r>
      <w:r w:rsidRPr="006F3B13">
        <w:rPr>
          <w:lang w:val="en-CA"/>
        </w:rPr>
        <w:t xml:space="preserve">). </w:t>
      </w:r>
      <w:r w:rsidR="006E2C4E" w:rsidRPr="006F3B13">
        <w:rPr>
          <w:lang w:val="en-CA"/>
        </w:rPr>
        <w:t>See also</w:t>
      </w:r>
      <w:r w:rsidRPr="006F3B13">
        <w:rPr>
          <w:lang w:val="en-CA"/>
        </w:rPr>
        <w:t xml:space="preserve"> </w:t>
      </w:r>
      <w:r w:rsidR="006E2C4E" w:rsidRPr="006F3B13">
        <w:rPr>
          <w:i/>
          <w:iCs/>
          <w:lang w:val="en-CA"/>
        </w:rPr>
        <w:t>Mikisew Cree First Nation v. Canada (Governor General in Council)</w:t>
      </w:r>
      <w:r w:rsidR="006E2C4E" w:rsidRPr="006F3B13">
        <w:rPr>
          <w:lang w:val="en-CA"/>
        </w:rPr>
        <w:t>, 2018 SCC 40</w:t>
      </w:r>
      <w:r w:rsidR="002A1CBB">
        <w:rPr>
          <w:lang w:val="en-CA"/>
        </w:rPr>
        <w:t>,</w:t>
      </w:r>
      <w:r w:rsidR="006E2C4E" w:rsidRPr="006F3B13">
        <w:rPr>
          <w:lang w:val="en-CA"/>
        </w:rPr>
        <w:t xml:space="preserve"> para. </w:t>
      </w:r>
      <w:r w:rsidRPr="006F3B13">
        <w:rPr>
          <w:lang w:val="en-CA"/>
        </w:rPr>
        <w:t>118.</w:t>
      </w:r>
    </w:p>
  </w:footnote>
  <w:footnote w:id="19">
    <w:p w14:paraId="5C282381" w14:textId="2C86472E" w:rsidR="00497B9B" w:rsidRPr="006F3B13" w:rsidRDefault="00497B9B" w:rsidP="00497B9B">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Pr="006F3B13">
        <w:rPr>
          <w:i/>
          <w:iCs/>
          <w:lang w:val="en-CA"/>
        </w:rPr>
        <w:t>Hupacasath First Nation v. Canada (Foreign Affairs and International Trade Canada)</w:t>
      </w:r>
      <w:r w:rsidRPr="006F3B13">
        <w:rPr>
          <w:lang w:val="en-CA"/>
        </w:rPr>
        <w:t>, 2015 FCA 4</w:t>
      </w:r>
      <w:r w:rsidR="002A1CBB">
        <w:rPr>
          <w:lang w:val="en-CA"/>
        </w:rPr>
        <w:t>,</w:t>
      </w:r>
      <w:r w:rsidRPr="006F3B13">
        <w:rPr>
          <w:lang w:val="en-CA"/>
        </w:rPr>
        <w:t xml:space="preserve"> para. 66.</w:t>
      </w:r>
    </w:p>
  </w:footnote>
  <w:footnote w:id="20">
    <w:p w14:paraId="3C07829C" w14:textId="1DB082EE" w:rsidR="00E4698C" w:rsidRPr="006F3B13" w:rsidRDefault="00E4698C" w:rsidP="00E4698C">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Pr="006F3B13">
        <w:rPr>
          <w:i/>
          <w:lang w:val="en-CA"/>
        </w:rPr>
        <w:t>Canada v. Minister of Energy</w:t>
      </w:r>
      <w:r w:rsidRPr="006F3B13">
        <w:rPr>
          <w:iCs/>
          <w:lang w:val="en-CA"/>
        </w:rPr>
        <w:t>,</w:t>
      </w:r>
      <w:r w:rsidR="00EA3C50" w:rsidRPr="006F3B13">
        <w:rPr>
          <w:iCs/>
          <w:lang w:val="en-CA"/>
        </w:rPr>
        <w:t xml:space="preserve"> 1989 CanLII 73 (SCC), [1989] 2 SCR 49</w:t>
      </w:r>
      <w:r w:rsidRPr="006F3B13">
        <w:rPr>
          <w:iCs/>
          <w:lang w:val="en-CA"/>
        </w:rPr>
        <w:t>;</w:t>
      </w:r>
      <w:r w:rsidRPr="006F3B13">
        <w:rPr>
          <w:lang w:val="en-CA"/>
        </w:rPr>
        <w:t xml:space="preserve"> </w:t>
      </w:r>
      <w:r w:rsidR="007D43E1" w:rsidRPr="006F3B13">
        <w:rPr>
          <w:i/>
          <w:lang w:val="en-CA"/>
        </w:rPr>
        <w:t xml:space="preserve">New Brunswick Broadcasting Co. v. Nova Scotia (Speaker of the House of Assembly), </w:t>
      </w:r>
      <w:r w:rsidR="007D43E1" w:rsidRPr="006F3B13">
        <w:rPr>
          <w:iCs/>
          <w:lang w:val="en-CA"/>
        </w:rPr>
        <w:t>[1993] 1 SCR 319</w:t>
      </w:r>
      <w:r w:rsidRPr="006F3B13">
        <w:rPr>
          <w:lang w:val="en-CA"/>
        </w:rPr>
        <w:t>.</w:t>
      </w:r>
    </w:p>
  </w:footnote>
  <w:footnote w:id="21">
    <w:p w14:paraId="277B81D2" w14:textId="201B44D3" w:rsidR="006266C8" w:rsidRPr="006F3B13" w:rsidRDefault="006266C8" w:rsidP="00F27351">
      <w:pPr>
        <w:pStyle w:val="Notedebasdepage"/>
        <w:jc w:val="left"/>
        <w:rPr>
          <w:lang w:val="en-CA"/>
        </w:rPr>
      </w:pPr>
      <w:r w:rsidRPr="006F3B13">
        <w:rPr>
          <w:rStyle w:val="Appelnotedebasdep"/>
          <w:lang w:val="en-CA"/>
        </w:rPr>
        <w:footnoteRef/>
      </w:r>
      <w:r w:rsidRPr="006F3B13">
        <w:rPr>
          <w:lang w:val="en-CA"/>
        </w:rPr>
        <w:t xml:space="preserve"> </w:t>
      </w:r>
      <w:r w:rsidRPr="006F3B13">
        <w:rPr>
          <w:lang w:val="en-CA"/>
        </w:rPr>
        <w:tab/>
      </w:r>
      <w:r w:rsidR="00E24B19" w:rsidRPr="006F3B13">
        <w:rPr>
          <w:i/>
          <w:lang w:val="en-CA"/>
        </w:rPr>
        <w:t>Kazemi Estate v. Islamic Republic of Iran</w:t>
      </w:r>
      <w:r w:rsidR="00E24B19" w:rsidRPr="006F3B13">
        <w:rPr>
          <w:iCs/>
          <w:lang w:val="en-CA"/>
        </w:rPr>
        <w:t>, 2014 SCC 62</w:t>
      </w:r>
      <w:r w:rsidR="00AE223F">
        <w:rPr>
          <w:lang w:val="en-CA"/>
        </w:rPr>
        <w:t>,</w:t>
      </w:r>
      <w:r w:rsidR="00E24B19" w:rsidRPr="006F3B13">
        <w:rPr>
          <w:lang w:val="en-CA"/>
        </w:rPr>
        <w:t xml:space="preserve"> para.</w:t>
      </w:r>
      <w:r w:rsidR="00F27351" w:rsidRPr="006F3B13">
        <w:rPr>
          <w:lang w:val="en-CA"/>
        </w:rPr>
        <w:t xml:space="preserve"> </w:t>
      </w:r>
      <w:r w:rsidRPr="006F3B13">
        <w:rPr>
          <w:lang w:val="en-CA"/>
        </w:rPr>
        <w:t>149.</w:t>
      </w:r>
      <w:r w:rsidR="00F27351" w:rsidRPr="006F3B13">
        <w:rPr>
          <w:sz w:val="24"/>
          <w:lang w:val="en-CA"/>
        </w:rPr>
        <w:t xml:space="preserve"> </w:t>
      </w:r>
    </w:p>
  </w:footnote>
  <w:footnote w:id="22">
    <w:p w14:paraId="1D5D7A70" w14:textId="04C3F285" w:rsidR="00E24B19" w:rsidRPr="00744369" w:rsidRDefault="00E24B19" w:rsidP="00E24B19">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Pr="006F3B13">
        <w:rPr>
          <w:i/>
          <w:lang w:val="en-CA"/>
        </w:rPr>
        <w:t>Kazemi Estate v. Islamic Republic of Iran</w:t>
      </w:r>
      <w:r w:rsidRPr="006F3B13">
        <w:rPr>
          <w:iCs/>
          <w:lang w:val="en-CA"/>
        </w:rPr>
        <w:t>, 2014 SCC</w:t>
      </w:r>
      <w:r w:rsidRPr="006F3B13">
        <w:rPr>
          <w:i/>
          <w:lang w:val="en-CA"/>
        </w:rPr>
        <w:t xml:space="preserve"> </w:t>
      </w:r>
      <w:r w:rsidRPr="006E7D06">
        <w:rPr>
          <w:iCs/>
          <w:lang w:val="en-CA"/>
        </w:rPr>
        <w:t>62</w:t>
      </w:r>
      <w:r w:rsidR="002A1CBB">
        <w:rPr>
          <w:iCs/>
          <w:lang w:val="en-CA"/>
        </w:rPr>
        <w:t>,</w:t>
      </w:r>
      <w:r w:rsidRPr="006F3B13">
        <w:rPr>
          <w:lang w:val="en-CA"/>
        </w:rPr>
        <w:t xml:space="preserve"> para.149; </w:t>
      </w:r>
      <w:r w:rsidR="00F27351" w:rsidRPr="006F3B13">
        <w:rPr>
          <w:i/>
          <w:iCs/>
          <w:lang w:val="en-CA"/>
        </w:rPr>
        <w:t xml:space="preserve">Operation Dismantle v. </w:t>
      </w:r>
      <w:r w:rsidR="00EA3C50" w:rsidRPr="006F3B13">
        <w:rPr>
          <w:i/>
          <w:iCs/>
          <w:lang w:val="en-CA"/>
        </w:rPr>
        <w:t>R.</w:t>
      </w:r>
      <w:r w:rsidR="00F27351" w:rsidRPr="006F3B13">
        <w:rPr>
          <w:lang w:val="en-CA"/>
        </w:rPr>
        <w:t>, [1985] 1 SCR 441</w:t>
      </w:r>
      <w:r w:rsidR="002A1CBB">
        <w:rPr>
          <w:lang w:val="en-CA"/>
        </w:rPr>
        <w:t>, p.</w:t>
      </w:r>
      <w:r w:rsidRPr="006F3B13">
        <w:rPr>
          <w:lang w:val="en-CA"/>
        </w:rPr>
        <w:t xml:space="preserve"> 484.</w:t>
      </w:r>
    </w:p>
  </w:footnote>
  <w:footnote w:id="23">
    <w:p w14:paraId="4B014D52" w14:textId="0700F2AC" w:rsidR="009B5C00" w:rsidRPr="006E7D06" w:rsidRDefault="009B5C00" w:rsidP="009B5C00">
      <w:pPr>
        <w:pStyle w:val="Notedebasdepage"/>
        <w:rPr>
          <w:lang w:val="en-CA"/>
        </w:rPr>
      </w:pPr>
      <w:r w:rsidRPr="00383547">
        <w:rPr>
          <w:rStyle w:val="Appelnotedebasdep"/>
        </w:rPr>
        <w:footnoteRef/>
      </w:r>
      <w:r w:rsidRPr="00AE223F">
        <w:t xml:space="preserve"> </w:t>
      </w:r>
      <w:r w:rsidRPr="00AE223F">
        <w:tab/>
      </w:r>
      <w:r w:rsidRPr="00AE223F">
        <w:rPr>
          <w:i/>
        </w:rPr>
        <w:t>Canada (Attorney General) c. PHS Community Services Society</w:t>
      </w:r>
      <w:r w:rsidRPr="00AE223F">
        <w:t>, 2011 SCC 44</w:t>
      </w:r>
      <w:r w:rsidR="002A1CBB">
        <w:rPr>
          <w:lang w:val="en-CA"/>
        </w:rPr>
        <w:t>,</w:t>
      </w:r>
      <w:r w:rsidRPr="009D6888">
        <w:rPr>
          <w:lang w:val="en-CA"/>
        </w:rPr>
        <w:t xml:space="preserve"> para. 105; </w:t>
      </w:r>
      <w:r w:rsidRPr="009D6888">
        <w:rPr>
          <w:i/>
          <w:lang w:val="en-CA"/>
        </w:rPr>
        <w:t>Chaoulli</w:t>
      </w:r>
      <w:r w:rsidR="0006169D" w:rsidRPr="009D6888">
        <w:rPr>
          <w:i/>
          <w:lang w:val="en-CA"/>
        </w:rPr>
        <w:t> </w:t>
      </w:r>
      <w:r w:rsidRPr="009D6888">
        <w:rPr>
          <w:i/>
          <w:lang w:val="en-CA"/>
        </w:rPr>
        <w:t>v.</w:t>
      </w:r>
      <w:r w:rsidR="0006169D" w:rsidRPr="009D6888">
        <w:rPr>
          <w:i/>
          <w:lang w:val="en-CA"/>
        </w:rPr>
        <w:t> </w:t>
      </w:r>
      <w:r w:rsidRPr="009D6888">
        <w:rPr>
          <w:i/>
          <w:lang w:val="en-CA"/>
        </w:rPr>
        <w:t>Quebec (Attorney General)</w:t>
      </w:r>
      <w:r w:rsidRPr="009D6888">
        <w:rPr>
          <w:iCs/>
          <w:lang w:val="en-CA"/>
        </w:rPr>
        <w:t>, 2005 SCC 35</w:t>
      </w:r>
      <w:r w:rsidR="002A1CBB">
        <w:rPr>
          <w:iCs/>
          <w:lang w:val="en-CA"/>
        </w:rPr>
        <w:t>,</w:t>
      </w:r>
      <w:r w:rsidRPr="006E7D06">
        <w:rPr>
          <w:lang w:val="en-CA"/>
        </w:rPr>
        <w:t xml:space="preserve"> para. 107.</w:t>
      </w:r>
    </w:p>
  </w:footnote>
  <w:footnote w:id="24">
    <w:p w14:paraId="34FF0F36" w14:textId="77777777" w:rsidR="006460AD" w:rsidRPr="00AE223F" w:rsidRDefault="006460AD" w:rsidP="006460AD">
      <w:pPr>
        <w:pStyle w:val="Notedebasdepage"/>
      </w:pPr>
      <w:r w:rsidRPr="00383547">
        <w:rPr>
          <w:rStyle w:val="Appelnotedebasdep"/>
        </w:rPr>
        <w:footnoteRef/>
      </w:r>
      <w:r w:rsidRPr="00AE223F">
        <w:t xml:space="preserve"> </w:t>
      </w:r>
      <w:r w:rsidRPr="00AE223F">
        <w:tab/>
      </w:r>
      <w:r w:rsidRPr="00AE223F">
        <w:rPr>
          <w:i/>
        </w:rPr>
        <w:t>La Rose</w:t>
      </w:r>
      <w:r w:rsidRPr="00AE223F">
        <w:t xml:space="preserve"> </w:t>
      </w:r>
      <w:r w:rsidRPr="00AE223F">
        <w:rPr>
          <w:i/>
          <w:iCs/>
        </w:rPr>
        <w:t>v</w:t>
      </w:r>
      <w:r w:rsidRPr="00AE223F">
        <w:rPr>
          <w:i/>
        </w:rPr>
        <w:t>. Canada</w:t>
      </w:r>
      <w:r w:rsidRPr="00AE223F">
        <w:t>, 2020 FC 1008.</w:t>
      </w:r>
    </w:p>
  </w:footnote>
  <w:footnote w:id="25">
    <w:p w14:paraId="7245C544" w14:textId="6BA92887" w:rsidR="00AB4FA1" w:rsidRPr="00A92931" w:rsidRDefault="00AB4FA1" w:rsidP="00AB4FA1">
      <w:pPr>
        <w:pStyle w:val="Notedebasdepage"/>
        <w:rPr>
          <w:lang w:val="en-CA"/>
        </w:rPr>
      </w:pPr>
      <w:r w:rsidRPr="00383547">
        <w:rPr>
          <w:rStyle w:val="Appelnotedebasdep"/>
        </w:rPr>
        <w:footnoteRef/>
      </w:r>
      <w:r w:rsidRPr="00AE223F">
        <w:t xml:space="preserve"> </w:t>
      </w:r>
      <w:r w:rsidRPr="00AE223F">
        <w:tab/>
      </w:r>
      <w:r w:rsidRPr="00AE223F">
        <w:rPr>
          <w:i/>
        </w:rPr>
        <w:t xml:space="preserve">Friends of the </w:t>
      </w:r>
      <w:r w:rsidRPr="00383547">
        <w:rPr>
          <w:i/>
          <w:lang w:val="en-CA"/>
        </w:rPr>
        <w:t>Earth v. Canada (Governor in Council)</w:t>
      </w:r>
      <w:r w:rsidRPr="00383547">
        <w:rPr>
          <w:iCs/>
          <w:lang w:val="en-CA"/>
        </w:rPr>
        <w:t xml:space="preserve">, 2008 FC 1183 </w:t>
      </w:r>
      <w:r w:rsidRPr="00383547">
        <w:rPr>
          <w:lang w:val="en-CA"/>
        </w:rPr>
        <w:t xml:space="preserve">(appeal to the Federal Court of Appeal dismissed, 2009 FCA 297; leave to appeal to the Supreme Court refused, </w:t>
      </w:r>
      <w:r w:rsidR="00C36EB4">
        <w:rPr>
          <w:lang w:val="en-CA"/>
        </w:rPr>
        <w:t xml:space="preserve">No. </w:t>
      </w:r>
      <w:r w:rsidRPr="00383547">
        <w:rPr>
          <w:lang w:val="en-CA"/>
        </w:rPr>
        <w:t>33469).</w:t>
      </w:r>
    </w:p>
  </w:footnote>
  <w:footnote w:id="26">
    <w:p w14:paraId="301D3CC1" w14:textId="77777777" w:rsidR="0071725D" w:rsidRPr="006F3B13" w:rsidRDefault="0071725D" w:rsidP="0071725D">
      <w:pPr>
        <w:pStyle w:val="Notedebasdepage"/>
        <w:rPr>
          <w:lang w:val="en-CA"/>
        </w:rPr>
      </w:pPr>
      <w:r w:rsidRPr="006F3B13">
        <w:rPr>
          <w:rStyle w:val="Appelnotedebasdep"/>
          <w:lang w:val="en-CA"/>
        </w:rPr>
        <w:footnoteRef/>
      </w:r>
      <w:r w:rsidRPr="006F3B13">
        <w:rPr>
          <w:lang w:val="en-CA"/>
        </w:rPr>
        <w:t xml:space="preserve"> </w:t>
      </w:r>
      <w:r w:rsidRPr="006F3B13">
        <w:rPr>
          <w:lang w:val="en-CA"/>
        </w:rPr>
        <w:tab/>
      </w:r>
      <w:r w:rsidRPr="006F3B13">
        <w:rPr>
          <w:i/>
          <w:lang w:val="en-CA"/>
        </w:rPr>
        <w:t>Misdzi Yikh v.</w:t>
      </w:r>
      <w:r w:rsidRPr="006F3B13">
        <w:rPr>
          <w:lang w:val="en-CA"/>
        </w:rPr>
        <w:t xml:space="preserve"> </w:t>
      </w:r>
      <w:r w:rsidRPr="006F3B13">
        <w:rPr>
          <w:i/>
          <w:lang w:val="en-CA"/>
        </w:rPr>
        <w:t>Canada</w:t>
      </w:r>
      <w:r w:rsidRPr="006F3B13">
        <w:rPr>
          <w:lang w:val="en-CA"/>
        </w:rPr>
        <w:t>, 2020 FC 1059.</w:t>
      </w:r>
    </w:p>
  </w:footnote>
  <w:footnote w:id="27">
    <w:p w14:paraId="353371DB" w14:textId="77777777" w:rsidR="00F15FBD" w:rsidRPr="002A6D68" w:rsidRDefault="00AE0DE0">
      <w:pPr>
        <w:pStyle w:val="Notedebasdepage"/>
        <w:rPr>
          <w:lang w:val="en-CA"/>
        </w:rPr>
      </w:pPr>
      <w:r w:rsidRPr="006F3B13">
        <w:rPr>
          <w:rStyle w:val="Appelnotedebasdep"/>
        </w:rPr>
        <w:footnoteRef/>
      </w:r>
      <w:r w:rsidRPr="006F3B13">
        <w:rPr>
          <w:lang w:val="en-CA"/>
        </w:rPr>
        <w:t xml:space="preserve"> </w:t>
      </w:r>
      <w:r w:rsidRPr="006F3B13">
        <w:rPr>
          <w:lang w:val="en-CA"/>
        </w:rPr>
        <w:tab/>
      </w:r>
      <w:r w:rsidRPr="006F3B13">
        <w:rPr>
          <w:i/>
          <w:lang w:val="en-CA"/>
        </w:rPr>
        <w:t>Misdzi Yikh v. Canada</w:t>
      </w:r>
      <w:r w:rsidRPr="006F3B13">
        <w:rPr>
          <w:lang w:val="en-CA"/>
        </w:rPr>
        <w:t>, 2020 FC 1059.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67A5" w14:textId="77777777" w:rsidR="006979CC" w:rsidRDefault="006979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C137" w14:textId="0F8F742B" w:rsidR="00F15FBD" w:rsidRDefault="00AE0DE0" w:rsidP="00DB2119">
    <w:pPr>
      <w:tabs>
        <w:tab w:val="center" w:pos="4709"/>
        <w:tab w:val="right" w:pos="9360"/>
      </w:tabs>
      <w:spacing w:line="360" w:lineRule="auto"/>
      <w:ind w:right="524"/>
    </w:pPr>
    <w:bookmarkStart w:id="21" w:name="EntDossier"/>
    <w:r>
      <w:t>500-09-028523-199</w:t>
    </w:r>
    <w:bookmarkEnd w:id="21"/>
    <w:r>
      <w:t xml:space="preserve"> </w:t>
    </w:r>
    <w:r>
      <w:tab/>
    </w:r>
    <w:r>
      <w:tab/>
    </w:r>
    <w:r w:rsidRPr="00312047">
      <w:t>PAGE:</w:t>
    </w:r>
    <w:r>
      <w:t xml:space="preserve"> </w:t>
    </w:r>
    <w:r>
      <w:fldChar w:fldCharType="begin"/>
    </w:r>
    <w:r>
      <w:instrText xml:space="preserve"> PAGE </w:instrText>
    </w:r>
    <w:r>
      <w:fldChar w:fldCharType="separate"/>
    </w:r>
    <w:r w:rsidR="00FB3EAB">
      <w:rPr>
        <w:noProof/>
      </w:rPr>
      <w:t>14</w:t>
    </w:r>
    <w:r>
      <w:fldChar w:fldCharType="end"/>
    </w:r>
  </w:p>
  <w:p w14:paraId="4E011A85" w14:textId="77777777" w:rsidR="00F15FBD" w:rsidRDefault="00F15FBD" w:rsidP="00DB2119">
    <w:pPr>
      <w:tabs>
        <w:tab w:val="center" w:pos="4709"/>
        <w:tab w:val="right" w:pos="9360"/>
      </w:tabs>
      <w:spacing w:line="360" w:lineRule="auto"/>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D9EE" w14:textId="77777777" w:rsidR="006979CC" w:rsidRDefault="006979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F6F68"/>
    <w:multiLevelType w:val="hybridMultilevel"/>
    <w:tmpl w:val="51E074BE"/>
    <w:lvl w:ilvl="0" w:tplc="58C4AF1E">
      <w:start w:val="2"/>
      <w:numFmt w:val="bullet"/>
      <w:lvlText w:val="-"/>
      <w:lvlJc w:val="left"/>
      <w:pPr>
        <w:ind w:left="1440" w:hanging="360"/>
      </w:pPr>
      <w:rPr>
        <w:rFonts w:ascii="Arial" w:eastAsia="Times New Roman" w:hAnsi="Arial" w:cs="Arial" w:hint="default"/>
      </w:rPr>
    </w:lvl>
    <w:lvl w:ilvl="1" w:tplc="AAAC3460" w:tentative="1">
      <w:start w:val="1"/>
      <w:numFmt w:val="bullet"/>
      <w:lvlText w:val="o"/>
      <w:lvlJc w:val="left"/>
      <w:pPr>
        <w:ind w:left="2160" w:hanging="360"/>
      </w:pPr>
      <w:rPr>
        <w:rFonts w:ascii="Courier New" w:hAnsi="Courier New" w:cs="Courier New" w:hint="default"/>
      </w:rPr>
    </w:lvl>
    <w:lvl w:ilvl="2" w:tplc="A4A83B52" w:tentative="1">
      <w:start w:val="1"/>
      <w:numFmt w:val="bullet"/>
      <w:lvlText w:val=""/>
      <w:lvlJc w:val="left"/>
      <w:pPr>
        <w:ind w:left="2880" w:hanging="360"/>
      </w:pPr>
      <w:rPr>
        <w:rFonts w:ascii="Wingdings" w:hAnsi="Wingdings" w:hint="default"/>
      </w:rPr>
    </w:lvl>
    <w:lvl w:ilvl="3" w:tplc="0B90DB1C" w:tentative="1">
      <w:start w:val="1"/>
      <w:numFmt w:val="bullet"/>
      <w:lvlText w:val=""/>
      <w:lvlJc w:val="left"/>
      <w:pPr>
        <w:ind w:left="3600" w:hanging="360"/>
      </w:pPr>
      <w:rPr>
        <w:rFonts w:ascii="Symbol" w:hAnsi="Symbol" w:hint="default"/>
      </w:rPr>
    </w:lvl>
    <w:lvl w:ilvl="4" w:tplc="5254CB2C" w:tentative="1">
      <w:start w:val="1"/>
      <w:numFmt w:val="bullet"/>
      <w:lvlText w:val="o"/>
      <w:lvlJc w:val="left"/>
      <w:pPr>
        <w:ind w:left="4320" w:hanging="360"/>
      </w:pPr>
      <w:rPr>
        <w:rFonts w:ascii="Courier New" w:hAnsi="Courier New" w:cs="Courier New" w:hint="default"/>
      </w:rPr>
    </w:lvl>
    <w:lvl w:ilvl="5" w:tplc="DFFE9458" w:tentative="1">
      <w:start w:val="1"/>
      <w:numFmt w:val="bullet"/>
      <w:lvlText w:val=""/>
      <w:lvlJc w:val="left"/>
      <w:pPr>
        <w:ind w:left="5040" w:hanging="360"/>
      </w:pPr>
      <w:rPr>
        <w:rFonts w:ascii="Wingdings" w:hAnsi="Wingdings" w:hint="default"/>
      </w:rPr>
    </w:lvl>
    <w:lvl w:ilvl="6" w:tplc="8CF414DE" w:tentative="1">
      <w:start w:val="1"/>
      <w:numFmt w:val="bullet"/>
      <w:lvlText w:val=""/>
      <w:lvlJc w:val="left"/>
      <w:pPr>
        <w:ind w:left="5760" w:hanging="360"/>
      </w:pPr>
      <w:rPr>
        <w:rFonts w:ascii="Symbol" w:hAnsi="Symbol" w:hint="default"/>
      </w:rPr>
    </w:lvl>
    <w:lvl w:ilvl="7" w:tplc="DB586886" w:tentative="1">
      <w:start w:val="1"/>
      <w:numFmt w:val="bullet"/>
      <w:lvlText w:val="o"/>
      <w:lvlJc w:val="left"/>
      <w:pPr>
        <w:ind w:left="6480" w:hanging="360"/>
      </w:pPr>
      <w:rPr>
        <w:rFonts w:ascii="Courier New" w:hAnsi="Courier New" w:cs="Courier New" w:hint="default"/>
      </w:rPr>
    </w:lvl>
    <w:lvl w:ilvl="8" w:tplc="55BC8E14" w:tentative="1">
      <w:start w:val="1"/>
      <w:numFmt w:val="bullet"/>
      <w:lvlText w:val=""/>
      <w:lvlJc w:val="left"/>
      <w:pPr>
        <w:ind w:left="7200" w:hanging="360"/>
      </w:pPr>
      <w:rPr>
        <w:rFonts w:ascii="Wingdings" w:hAnsi="Wingdings" w:hint="default"/>
      </w:rPr>
    </w:lvl>
  </w:abstractNum>
  <w:abstractNum w:abstractNumId="11" w15:restartNumberingAfterBreak="0">
    <w:nsid w:val="1F4563D6"/>
    <w:multiLevelType w:val="hybridMultilevel"/>
    <w:tmpl w:val="5C349D0A"/>
    <w:lvl w:ilvl="0" w:tplc="ADB6C80E">
      <w:start w:val="1"/>
      <w:numFmt w:val="lowerLetter"/>
      <w:lvlText w:val="%1)"/>
      <w:lvlJc w:val="left"/>
      <w:pPr>
        <w:ind w:left="720" w:hanging="360"/>
      </w:pPr>
      <w:rPr>
        <w:rFonts w:hint="default"/>
      </w:rPr>
    </w:lvl>
    <w:lvl w:ilvl="1" w:tplc="35521BCC" w:tentative="1">
      <w:start w:val="1"/>
      <w:numFmt w:val="lowerLetter"/>
      <w:lvlText w:val="%2."/>
      <w:lvlJc w:val="left"/>
      <w:pPr>
        <w:ind w:left="1440" w:hanging="360"/>
      </w:pPr>
    </w:lvl>
    <w:lvl w:ilvl="2" w:tplc="A8A2B7EC" w:tentative="1">
      <w:start w:val="1"/>
      <w:numFmt w:val="lowerRoman"/>
      <w:lvlText w:val="%3."/>
      <w:lvlJc w:val="right"/>
      <w:pPr>
        <w:ind w:left="2160" w:hanging="180"/>
      </w:pPr>
    </w:lvl>
    <w:lvl w:ilvl="3" w:tplc="481E1AD2" w:tentative="1">
      <w:start w:val="1"/>
      <w:numFmt w:val="decimal"/>
      <w:lvlText w:val="%4."/>
      <w:lvlJc w:val="left"/>
      <w:pPr>
        <w:ind w:left="2880" w:hanging="360"/>
      </w:pPr>
    </w:lvl>
    <w:lvl w:ilvl="4" w:tplc="319CB448" w:tentative="1">
      <w:start w:val="1"/>
      <w:numFmt w:val="lowerLetter"/>
      <w:lvlText w:val="%5."/>
      <w:lvlJc w:val="left"/>
      <w:pPr>
        <w:ind w:left="3600" w:hanging="360"/>
      </w:pPr>
    </w:lvl>
    <w:lvl w:ilvl="5" w:tplc="D41CBFE2" w:tentative="1">
      <w:start w:val="1"/>
      <w:numFmt w:val="lowerRoman"/>
      <w:lvlText w:val="%6."/>
      <w:lvlJc w:val="right"/>
      <w:pPr>
        <w:ind w:left="4320" w:hanging="180"/>
      </w:pPr>
    </w:lvl>
    <w:lvl w:ilvl="6" w:tplc="CFF69DDE" w:tentative="1">
      <w:start w:val="1"/>
      <w:numFmt w:val="decimal"/>
      <w:lvlText w:val="%7."/>
      <w:lvlJc w:val="left"/>
      <w:pPr>
        <w:ind w:left="5040" w:hanging="360"/>
      </w:pPr>
    </w:lvl>
    <w:lvl w:ilvl="7" w:tplc="C6066D0A" w:tentative="1">
      <w:start w:val="1"/>
      <w:numFmt w:val="lowerLetter"/>
      <w:lvlText w:val="%8."/>
      <w:lvlJc w:val="left"/>
      <w:pPr>
        <w:ind w:left="5760" w:hanging="360"/>
      </w:pPr>
    </w:lvl>
    <w:lvl w:ilvl="8" w:tplc="8A08B8D0" w:tentative="1">
      <w:start w:val="1"/>
      <w:numFmt w:val="lowerRoman"/>
      <w:lvlText w:val="%9."/>
      <w:lvlJc w:val="right"/>
      <w:pPr>
        <w:ind w:left="6480" w:hanging="180"/>
      </w:pPr>
    </w:lvl>
  </w:abstractNum>
  <w:abstractNum w:abstractNumId="12" w15:restartNumberingAfterBreak="0">
    <w:nsid w:val="28BB52DE"/>
    <w:multiLevelType w:val="multilevel"/>
    <w:tmpl w:val="DFE2730C"/>
    <w:lvl w:ilvl="0">
      <w:start w:val="1"/>
      <w:numFmt w:val="decimal"/>
      <w:pStyle w:val="Paragraphe"/>
      <w:lvlText w:val="[%1]"/>
      <w:lvlJc w:val="left"/>
      <w:pPr>
        <w:tabs>
          <w:tab w:val="num" w:pos="720"/>
        </w:tabs>
        <w:ind w:left="0" w:firstLine="0"/>
      </w:pPr>
      <w:rPr>
        <w:rFonts w:hint="default"/>
        <w:i w:val="0"/>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5AA73A5"/>
    <w:multiLevelType w:val="hybridMultilevel"/>
    <w:tmpl w:val="960247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917E7D"/>
    <w:multiLevelType w:val="hybridMultilevel"/>
    <w:tmpl w:val="96024740"/>
    <w:lvl w:ilvl="0" w:tplc="0184757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3C4899"/>
    <w:multiLevelType w:val="hybridMultilevel"/>
    <w:tmpl w:val="485A22A0"/>
    <w:lvl w:ilvl="0" w:tplc="779C2074">
      <w:start w:val="2"/>
      <w:numFmt w:val="bullet"/>
      <w:lvlText w:val="-"/>
      <w:lvlJc w:val="left"/>
      <w:pPr>
        <w:ind w:left="1773" w:hanging="360"/>
      </w:pPr>
      <w:rPr>
        <w:rFonts w:ascii="Arial" w:eastAsia="Times New Roman" w:hAnsi="Arial" w:cs="Arial" w:hint="default"/>
      </w:rPr>
    </w:lvl>
    <w:lvl w:ilvl="1" w:tplc="4A6A4D7A" w:tentative="1">
      <w:start w:val="1"/>
      <w:numFmt w:val="bullet"/>
      <w:lvlText w:val="o"/>
      <w:lvlJc w:val="left"/>
      <w:pPr>
        <w:ind w:left="2493" w:hanging="360"/>
      </w:pPr>
      <w:rPr>
        <w:rFonts w:ascii="Courier New" w:hAnsi="Courier New" w:cs="Courier New" w:hint="default"/>
      </w:rPr>
    </w:lvl>
    <w:lvl w:ilvl="2" w:tplc="A4304FCE" w:tentative="1">
      <w:start w:val="1"/>
      <w:numFmt w:val="bullet"/>
      <w:lvlText w:val=""/>
      <w:lvlJc w:val="left"/>
      <w:pPr>
        <w:ind w:left="3213" w:hanging="360"/>
      </w:pPr>
      <w:rPr>
        <w:rFonts w:ascii="Wingdings" w:hAnsi="Wingdings" w:hint="default"/>
      </w:rPr>
    </w:lvl>
    <w:lvl w:ilvl="3" w:tplc="15BC0F14" w:tentative="1">
      <w:start w:val="1"/>
      <w:numFmt w:val="bullet"/>
      <w:lvlText w:val=""/>
      <w:lvlJc w:val="left"/>
      <w:pPr>
        <w:ind w:left="3933" w:hanging="360"/>
      </w:pPr>
      <w:rPr>
        <w:rFonts w:ascii="Symbol" w:hAnsi="Symbol" w:hint="default"/>
      </w:rPr>
    </w:lvl>
    <w:lvl w:ilvl="4" w:tplc="EC8A0720" w:tentative="1">
      <w:start w:val="1"/>
      <w:numFmt w:val="bullet"/>
      <w:lvlText w:val="o"/>
      <w:lvlJc w:val="left"/>
      <w:pPr>
        <w:ind w:left="4653" w:hanging="360"/>
      </w:pPr>
      <w:rPr>
        <w:rFonts w:ascii="Courier New" w:hAnsi="Courier New" w:cs="Courier New" w:hint="default"/>
      </w:rPr>
    </w:lvl>
    <w:lvl w:ilvl="5" w:tplc="DA72C11C" w:tentative="1">
      <w:start w:val="1"/>
      <w:numFmt w:val="bullet"/>
      <w:lvlText w:val=""/>
      <w:lvlJc w:val="left"/>
      <w:pPr>
        <w:ind w:left="5373" w:hanging="360"/>
      </w:pPr>
      <w:rPr>
        <w:rFonts w:ascii="Wingdings" w:hAnsi="Wingdings" w:hint="default"/>
      </w:rPr>
    </w:lvl>
    <w:lvl w:ilvl="6" w:tplc="EFF881F6" w:tentative="1">
      <w:start w:val="1"/>
      <w:numFmt w:val="bullet"/>
      <w:lvlText w:val=""/>
      <w:lvlJc w:val="left"/>
      <w:pPr>
        <w:ind w:left="6093" w:hanging="360"/>
      </w:pPr>
      <w:rPr>
        <w:rFonts w:ascii="Symbol" w:hAnsi="Symbol" w:hint="default"/>
      </w:rPr>
    </w:lvl>
    <w:lvl w:ilvl="7" w:tplc="3744BADE" w:tentative="1">
      <w:start w:val="1"/>
      <w:numFmt w:val="bullet"/>
      <w:lvlText w:val="o"/>
      <w:lvlJc w:val="left"/>
      <w:pPr>
        <w:ind w:left="6813" w:hanging="360"/>
      </w:pPr>
      <w:rPr>
        <w:rFonts w:ascii="Courier New" w:hAnsi="Courier New" w:cs="Courier New" w:hint="default"/>
      </w:rPr>
    </w:lvl>
    <w:lvl w:ilvl="8" w:tplc="6430DC14" w:tentative="1">
      <w:start w:val="1"/>
      <w:numFmt w:val="bullet"/>
      <w:lvlText w:val=""/>
      <w:lvlJc w:val="left"/>
      <w:pPr>
        <w:ind w:left="7533" w:hanging="360"/>
      </w:pPr>
      <w:rPr>
        <w:rFonts w:ascii="Wingdings" w:hAnsi="Wingdings" w:hint="default"/>
      </w:rPr>
    </w:lvl>
  </w:abstractNum>
  <w:abstractNum w:abstractNumId="16"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4943286">
    <w:abstractNumId w:val="17"/>
  </w:num>
  <w:num w:numId="2" w16cid:durableId="767315945">
    <w:abstractNumId w:val="17"/>
  </w:num>
  <w:num w:numId="3" w16cid:durableId="259410356">
    <w:abstractNumId w:val="17"/>
  </w:num>
  <w:num w:numId="4" w16cid:durableId="2007400426">
    <w:abstractNumId w:val="8"/>
  </w:num>
  <w:num w:numId="5" w16cid:durableId="1292906240">
    <w:abstractNumId w:val="3"/>
  </w:num>
  <w:num w:numId="6" w16cid:durableId="1264265388">
    <w:abstractNumId w:val="2"/>
  </w:num>
  <w:num w:numId="7" w16cid:durableId="19627175">
    <w:abstractNumId w:val="1"/>
  </w:num>
  <w:num w:numId="8" w16cid:durableId="2036534321">
    <w:abstractNumId w:val="0"/>
  </w:num>
  <w:num w:numId="9" w16cid:durableId="1076592168">
    <w:abstractNumId w:val="9"/>
  </w:num>
  <w:num w:numId="10" w16cid:durableId="331950790">
    <w:abstractNumId w:val="7"/>
  </w:num>
  <w:num w:numId="11" w16cid:durableId="1686786532">
    <w:abstractNumId w:val="6"/>
  </w:num>
  <w:num w:numId="12" w16cid:durableId="1866476799">
    <w:abstractNumId w:val="5"/>
  </w:num>
  <w:num w:numId="13" w16cid:durableId="839807237">
    <w:abstractNumId w:val="4"/>
  </w:num>
  <w:num w:numId="14" w16cid:durableId="868252375">
    <w:abstractNumId w:val="17"/>
  </w:num>
  <w:num w:numId="15" w16cid:durableId="1531063995">
    <w:abstractNumId w:val="17"/>
  </w:num>
  <w:num w:numId="16" w16cid:durableId="522859545">
    <w:abstractNumId w:val="17"/>
  </w:num>
  <w:num w:numId="17" w16cid:durableId="375664343">
    <w:abstractNumId w:val="16"/>
  </w:num>
  <w:num w:numId="18" w16cid:durableId="48842807">
    <w:abstractNumId w:val="12"/>
  </w:num>
  <w:num w:numId="19" w16cid:durableId="656150403">
    <w:abstractNumId w:val="11"/>
  </w:num>
  <w:num w:numId="20" w16cid:durableId="2112238957">
    <w:abstractNumId w:val="15"/>
  </w:num>
  <w:num w:numId="21" w16cid:durableId="1469279746">
    <w:abstractNumId w:val="10"/>
  </w:num>
  <w:num w:numId="22" w16cid:durableId="2110151618">
    <w:abstractNumId w:val="12"/>
  </w:num>
  <w:num w:numId="23" w16cid:durableId="202907121">
    <w:abstractNumId w:val="12"/>
  </w:num>
  <w:num w:numId="24" w16cid:durableId="1230069492">
    <w:abstractNumId w:val="14"/>
  </w:num>
  <w:num w:numId="25" w16cid:durableId="1192837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NBChoix" w:val="3"/>
    <w:docVar w:name="MotifJuge1" w:val="MOTIFS DU JUGE"/>
    <w:docVar w:name="MotifJuge2" w:val="MOTIFS DE LA JUGE"/>
    <w:docVar w:name="MotifJuge3" w:val="MOTIFS DU JUGE"/>
    <w:docVar w:name="NomFamJuge1" w:val="VAUCLAIR"/>
    <w:docVar w:name="NomFamJuge2" w:val="COTNAM"/>
    <w:docVar w:name="NomFamJuge3" w:val="MOORE"/>
    <w:docVar w:name="NomFamJuge4" w:val="MAILHOT"/>
    <w:docVar w:name="NomFamJuge5" w:val="BAUDOUIN"/>
    <w:docVar w:name="QteJuge1" w:val=", J.C.A."/>
    <w:docVar w:name="QteJuge2" w:val=", J.C.A."/>
    <w:docVar w:name="QteJuge3" w:val=", J.C.A."/>
    <w:docVar w:name="stPremiereFois" w:val="Non"/>
  </w:docVars>
  <w:rsids>
    <w:rsidRoot w:val="00236200"/>
    <w:rsid w:val="00006FDD"/>
    <w:rsid w:val="0001047E"/>
    <w:rsid w:val="000131E1"/>
    <w:rsid w:val="000171CC"/>
    <w:rsid w:val="000235AC"/>
    <w:rsid w:val="000356F5"/>
    <w:rsid w:val="0004394C"/>
    <w:rsid w:val="00053691"/>
    <w:rsid w:val="00054003"/>
    <w:rsid w:val="00055465"/>
    <w:rsid w:val="0006169D"/>
    <w:rsid w:val="000636A0"/>
    <w:rsid w:val="00072935"/>
    <w:rsid w:val="00085608"/>
    <w:rsid w:val="00090578"/>
    <w:rsid w:val="000905A1"/>
    <w:rsid w:val="00095339"/>
    <w:rsid w:val="000A408F"/>
    <w:rsid w:val="000A5FE4"/>
    <w:rsid w:val="000A7516"/>
    <w:rsid w:val="000B42AF"/>
    <w:rsid w:val="000B7CC5"/>
    <w:rsid w:val="000D6E36"/>
    <w:rsid w:val="000E4429"/>
    <w:rsid w:val="00110B53"/>
    <w:rsid w:val="00112321"/>
    <w:rsid w:val="00117914"/>
    <w:rsid w:val="00120B37"/>
    <w:rsid w:val="0013028C"/>
    <w:rsid w:val="001312CB"/>
    <w:rsid w:val="001319FE"/>
    <w:rsid w:val="001327C4"/>
    <w:rsid w:val="00133A57"/>
    <w:rsid w:val="001422B3"/>
    <w:rsid w:val="00150570"/>
    <w:rsid w:val="00150D3C"/>
    <w:rsid w:val="00152B45"/>
    <w:rsid w:val="0015610F"/>
    <w:rsid w:val="00160B31"/>
    <w:rsid w:val="00175959"/>
    <w:rsid w:val="00181672"/>
    <w:rsid w:val="00181F56"/>
    <w:rsid w:val="0018422D"/>
    <w:rsid w:val="00190FA7"/>
    <w:rsid w:val="001972F2"/>
    <w:rsid w:val="001B1EA6"/>
    <w:rsid w:val="001B3B6E"/>
    <w:rsid w:val="001C1217"/>
    <w:rsid w:val="001D2A7A"/>
    <w:rsid w:val="001E428C"/>
    <w:rsid w:val="001E5E9E"/>
    <w:rsid w:val="001F60C1"/>
    <w:rsid w:val="001F69BC"/>
    <w:rsid w:val="00205DC4"/>
    <w:rsid w:val="0021548E"/>
    <w:rsid w:val="00215971"/>
    <w:rsid w:val="00216E7F"/>
    <w:rsid w:val="00217FAC"/>
    <w:rsid w:val="00222F77"/>
    <w:rsid w:val="002273F5"/>
    <w:rsid w:val="00230810"/>
    <w:rsid w:val="00230867"/>
    <w:rsid w:val="00232990"/>
    <w:rsid w:val="002331A0"/>
    <w:rsid w:val="00236200"/>
    <w:rsid w:val="00243CB9"/>
    <w:rsid w:val="00246FE6"/>
    <w:rsid w:val="00256152"/>
    <w:rsid w:val="002578F0"/>
    <w:rsid w:val="00264C10"/>
    <w:rsid w:val="002654B4"/>
    <w:rsid w:val="00282658"/>
    <w:rsid w:val="00284CA2"/>
    <w:rsid w:val="002901BA"/>
    <w:rsid w:val="00290D63"/>
    <w:rsid w:val="0029505B"/>
    <w:rsid w:val="002A1CBB"/>
    <w:rsid w:val="002A4447"/>
    <w:rsid w:val="002A5964"/>
    <w:rsid w:val="002A6D68"/>
    <w:rsid w:val="002B4A07"/>
    <w:rsid w:val="002C4107"/>
    <w:rsid w:val="002D0132"/>
    <w:rsid w:val="002E1F0E"/>
    <w:rsid w:val="002E2174"/>
    <w:rsid w:val="002E229C"/>
    <w:rsid w:val="002E3DC9"/>
    <w:rsid w:val="002E51F1"/>
    <w:rsid w:val="002E7926"/>
    <w:rsid w:val="002F0F0D"/>
    <w:rsid w:val="002F1350"/>
    <w:rsid w:val="002F2116"/>
    <w:rsid w:val="002F6136"/>
    <w:rsid w:val="00311139"/>
    <w:rsid w:val="00311CA8"/>
    <w:rsid w:val="00312047"/>
    <w:rsid w:val="00315B73"/>
    <w:rsid w:val="00322DE0"/>
    <w:rsid w:val="0032363D"/>
    <w:rsid w:val="0033190E"/>
    <w:rsid w:val="00335C8E"/>
    <w:rsid w:val="00340625"/>
    <w:rsid w:val="003533D5"/>
    <w:rsid w:val="00353551"/>
    <w:rsid w:val="003545CE"/>
    <w:rsid w:val="00354E82"/>
    <w:rsid w:val="00361325"/>
    <w:rsid w:val="00370F21"/>
    <w:rsid w:val="00374888"/>
    <w:rsid w:val="00374E40"/>
    <w:rsid w:val="00382938"/>
    <w:rsid w:val="00383547"/>
    <w:rsid w:val="00393081"/>
    <w:rsid w:val="003A616B"/>
    <w:rsid w:val="003D487D"/>
    <w:rsid w:val="003E0A19"/>
    <w:rsid w:val="003E3239"/>
    <w:rsid w:val="003E3E3C"/>
    <w:rsid w:val="003E4CEF"/>
    <w:rsid w:val="003F32D0"/>
    <w:rsid w:val="00423DF1"/>
    <w:rsid w:val="00430C58"/>
    <w:rsid w:val="004331C4"/>
    <w:rsid w:val="0043564D"/>
    <w:rsid w:val="00440E5E"/>
    <w:rsid w:val="00441C25"/>
    <w:rsid w:val="00446452"/>
    <w:rsid w:val="00451737"/>
    <w:rsid w:val="00463B3A"/>
    <w:rsid w:val="00472DC8"/>
    <w:rsid w:val="004802EC"/>
    <w:rsid w:val="00484971"/>
    <w:rsid w:val="00487807"/>
    <w:rsid w:val="00496774"/>
    <w:rsid w:val="00497B9B"/>
    <w:rsid w:val="00497E52"/>
    <w:rsid w:val="004A296E"/>
    <w:rsid w:val="004A29F1"/>
    <w:rsid w:val="004A6641"/>
    <w:rsid w:val="004B1E94"/>
    <w:rsid w:val="004B33FF"/>
    <w:rsid w:val="004B5E20"/>
    <w:rsid w:val="004C140E"/>
    <w:rsid w:val="004C28CE"/>
    <w:rsid w:val="004D23A5"/>
    <w:rsid w:val="004D2F69"/>
    <w:rsid w:val="004D5183"/>
    <w:rsid w:val="004E22E6"/>
    <w:rsid w:val="004E3B24"/>
    <w:rsid w:val="004E4FBA"/>
    <w:rsid w:val="004F001A"/>
    <w:rsid w:val="004F17E4"/>
    <w:rsid w:val="004F6F18"/>
    <w:rsid w:val="00500771"/>
    <w:rsid w:val="00504D4D"/>
    <w:rsid w:val="005131F1"/>
    <w:rsid w:val="0051484F"/>
    <w:rsid w:val="00516B3E"/>
    <w:rsid w:val="005262C9"/>
    <w:rsid w:val="00531D70"/>
    <w:rsid w:val="0053472F"/>
    <w:rsid w:val="00542CDE"/>
    <w:rsid w:val="005479C2"/>
    <w:rsid w:val="00556DDB"/>
    <w:rsid w:val="00565CB1"/>
    <w:rsid w:val="0056696C"/>
    <w:rsid w:val="00566BF6"/>
    <w:rsid w:val="00583434"/>
    <w:rsid w:val="0058349F"/>
    <w:rsid w:val="0058559D"/>
    <w:rsid w:val="00587BFE"/>
    <w:rsid w:val="00594CE9"/>
    <w:rsid w:val="005A288C"/>
    <w:rsid w:val="005A3F18"/>
    <w:rsid w:val="005A78BF"/>
    <w:rsid w:val="005A7F2F"/>
    <w:rsid w:val="005B1317"/>
    <w:rsid w:val="005B6B4C"/>
    <w:rsid w:val="005C7516"/>
    <w:rsid w:val="005D1522"/>
    <w:rsid w:val="005F5F5F"/>
    <w:rsid w:val="0060039F"/>
    <w:rsid w:val="0060240E"/>
    <w:rsid w:val="00607B16"/>
    <w:rsid w:val="00612B04"/>
    <w:rsid w:val="00615326"/>
    <w:rsid w:val="00615729"/>
    <w:rsid w:val="00620272"/>
    <w:rsid w:val="006219E5"/>
    <w:rsid w:val="00624770"/>
    <w:rsid w:val="00625E20"/>
    <w:rsid w:val="006266C8"/>
    <w:rsid w:val="00636DBD"/>
    <w:rsid w:val="0064250B"/>
    <w:rsid w:val="00642C46"/>
    <w:rsid w:val="006460AD"/>
    <w:rsid w:val="006466CB"/>
    <w:rsid w:val="00650B72"/>
    <w:rsid w:val="00656150"/>
    <w:rsid w:val="006577F0"/>
    <w:rsid w:val="006631DF"/>
    <w:rsid w:val="00663E1C"/>
    <w:rsid w:val="00666ADC"/>
    <w:rsid w:val="00682220"/>
    <w:rsid w:val="006826AA"/>
    <w:rsid w:val="006834F4"/>
    <w:rsid w:val="0068356A"/>
    <w:rsid w:val="00683B5A"/>
    <w:rsid w:val="00687A1E"/>
    <w:rsid w:val="0069266F"/>
    <w:rsid w:val="006979CC"/>
    <w:rsid w:val="006A0DB0"/>
    <w:rsid w:val="006A6629"/>
    <w:rsid w:val="006B1824"/>
    <w:rsid w:val="006B2FCD"/>
    <w:rsid w:val="006B6AC4"/>
    <w:rsid w:val="006E14F9"/>
    <w:rsid w:val="006E2C4E"/>
    <w:rsid w:val="006E331A"/>
    <w:rsid w:val="006E6F7E"/>
    <w:rsid w:val="006E7A85"/>
    <w:rsid w:val="006E7D06"/>
    <w:rsid w:val="006F3B13"/>
    <w:rsid w:val="006F44D6"/>
    <w:rsid w:val="007100E8"/>
    <w:rsid w:val="007132E1"/>
    <w:rsid w:val="00713866"/>
    <w:rsid w:val="0071725D"/>
    <w:rsid w:val="007178E1"/>
    <w:rsid w:val="00724C90"/>
    <w:rsid w:val="0072512F"/>
    <w:rsid w:val="00726CDC"/>
    <w:rsid w:val="0073107B"/>
    <w:rsid w:val="00732780"/>
    <w:rsid w:val="00733980"/>
    <w:rsid w:val="00734DCD"/>
    <w:rsid w:val="00740A17"/>
    <w:rsid w:val="007426CC"/>
    <w:rsid w:val="00744369"/>
    <w:rsid w:val="007462D6"/>
    <w:rsid w:val="0074738B"/>
    <w:rsid w:val="00750037"/>
    <w:rsid w:val="00754AE6"/>
    <w:rsid w:val="0076062E"/>
    <w:rsid w:val="00771390"/>
    <w:rsid w:val="00771B8E"/>
    <w:rsid w:val="00777B59"/>
    <w:rsid w:val="007804E4"/>
    <w:rsid w:val="0078497F"/>
    <w:rsid w:val="00791E31"/>
    <w:rsid w:val="007953F3"/>
    <w:rsid w:val="007A0251"/>
    <w:rsid w:val="007A55FA"/>
    <w:rsid w:val="007A5C4B"/>
    <w:rsid w:val="007A7803"/>
    <w:rsid w:val="007B061E"/>
    <w:rsid w:val="007B1122"/>
    <w:rsid w:val="007B48D5"/>
    <w:rsid w:val="007C1E6E"/>
    <w:rsid w:val="007D087C"/>
    <w:rsid w:val="007D3813"/>
    <w:rsid w:val="007D43E1"/>
    <w:rsid w:val="007D4720"/>
    <w:rsid w:val="007D4F68"/>
    <w:rsid w:val="007E3119"/>
    <w:rsid w:val="007E33E4"/>
    <w:rsid w:val="007E39E6"/>
    <w:rsid w:val="007E4CC9"/>
    <w:rsid w:val="007E7730"/>
    <w:rsid w:val="007F25D7"/>
    <w:rsid w:val="007F5A0B"/>
    <w:rsid w:val="00800347"/>
    <w:rsid w:val="00800D23"/>
    <w:rsid w:val="00802649"/>
    <w:rsid w:val="008077D0"/>
    <w:rsid w:val="00810286"/>
    <w:rsid w:val="0081124A"/>
    <w:rsid w:val="008158D6"/>
    <w:rsid w:val="00815F01"/>
    <w:rsid w:val="00816273"/>
    <w:rsid w:val="00822C37"/>
    <w:rsid w:val="00824D54"/>
    <w:rsid w:val="00825AA7"/>
    <w:rsid w:val="0082717B"/>
    <w:rsid w:val="008273BA"/>
    <w:rsid w:val="008275EA"/>
    <w:rsid w:val="00827B04"/>
    <w:rsid w:val="0083032E"/>
    <w:rsid w:val="00841907"/>
    <w:rsid w:val="00844EDF"/>
    <w:rsid w:val="0085187E"/>
    <w:rsid w:val="00857A74"/>
    <w:rsid w:val="0086036A"/>
    <w:rsid w:val="00861633"/>
    <w:rsid w:val="008653A3"/>
    <w:rsid w:val="008657A2"/>
    <w:rsid w:val="00866645"/>
    <w:rsid w:val="00866E16"/>
    <w:rsid w:val="00876915"/>
    <w:rsid w:val="00882210"/>
    <w:rsid w:val="00886D6D"/>
    <w:rsid w:val="00886E74"/>
    <w:rsid w:val="00887EEB"/>
    <w:rsid w:val="00891602"/>
    <w:rsid w:val="00897AD0"/>
    <w:rsid w:val="008A0338"/>
    <w:rsid w:val="008A6185"/>
    <w:rsid w:val="008A68D0"/>
    <w:rsid w:val="008B1203"/>
    <w:rsid w:val="008B1909"/>
    <w:rsid w:val="008B2DA7"/>
    <w:rsid w:val="008B5289"/>
    <w:rsid w:val="008B79D9"/>
    <w:rsid w:val="008C1FE9"/>
    <w:rsid w:val="008C346B"/>
    <w:rsid w:val="008C3FE8"/>
    <w:rsid w:val="008C5D2D"/>
    <w:rsid w:val="008C7DCE"/>
    <w:rsid w:val="008C7DE8"/>
    <w:rsid w:val="008D18FC"/>
    <w:rsid w:val="008D34DE"/>
    <w:rsid w:val="008D398B"/>
    <w:rsid w:val="008D7E49"/>
    <w:rsid w:val="008F2EA6"/>
    <w:rsid w:val="008F33C5"/>
    <w:rsid w:val="008F364A"/>
    <w:rsid w:val="008F3F53"/>
    <w:rsid w:val="00901AD8"/>
    <w:rsid w:val="0090309F"/>
    <w:rsid w:val="009036F7"/>
    <w:rsid w:val="00913E03"/>
    <w:rsid w:val="0091780F"/>
    <w:rsid w:val="009229E9"/>
    <w:rsid w:val="00926953"/>
    <w:rsid w:val="00927258"/>
    <w:rsid w:val="00930C0E"/>
    <w:rsid w:val="009310F5"/>
    <w:rsid w:val="00932703"/>
    <w:rsid w:val="00936469"/>
    <w:rsid w:val="009364F4"/>
    <w:rsid w:val="00937CE7"/>
    <w:rsid w:val="009400B7"/>
    <w:rsid w:val="0094261D"/>
    <w:rsid w:val="00946013"/>
    <w:rsid w:val="00952C2F"/>
    <w:rsid w:val="00952CBB"/>
    <w:rsid w:val="00954DC2"/>
    <w:rsid w:val="00957B92"/>
    <w:rsid w:val="009630C5"/>
    <w:rsid w:val="00966B97"/>
    <w:rsid w:val="00970966"/>
    <w:rsid w:val="00970DAC"/>
    <w:rsid w:val="00974442"/>
    <w:rsid w:val="0097720F"/>
    <w:rsid w:val="00977268"/>
    <w:rsid w:val="009A1982"/>
    <w:rsid w:val="009A55C6"/>
    <w:rsid w:val="009B0735"/>
    <w:rsid w:val="009B28E2"/>
    <w:rsid w:val="009B5C00"/>
    <w:rsid w:val="009B6623"/>
    <w:rsid w:val="009C1627"/>
    <w:rsid w:val="009D6252"/>
    <w:rsid w:val="009D6888"/>
    <w:rsid w:val="009E3695"/>
    <w:rsid w:val="009F121D"/>
    <w:rsid w:val="009F1F69"/>
    <w:rsid w:val="009F6F69"/>
    <w:rsid w:val="00A00F86"/>
    <w:rsid w:val="00A04C60"/>
    <w:rsid w:val="00A04FD9"/>
    <w:rsid w:val="00A07E83"/>
    <w:rsid w:val="00A1139B"/>
    <w:rsid w:val="00A118BE"/>
    <w:rsid w:val="00A1546E"/>
    <w:rsid w:val="00A202B6"/>
    <w:rsid w:val="00A23BF4"/>
    <w:rsid w:val="00A2593B"/>
    <w:rsid w:val="00A274D9"/>
    <w:rsid w:val="00A34E05"/>
    <w:rsid w:val="00A43D8B"/>
    <w:rsid w:val="00A44B96"/>
    <w:rsid w:val="00A454F1"/>
    <w:rsid w:val="00A543CC"/>
    <w:rsid w:val="00A724F1"/>
    <w:rsid w:val="00A72591"/>
    <w:rsid w:val="00A760DE"/>
    <w:rsid w:val="00A9119E"/>
    <w:rsid w:val="00A92931"/>
    <w:rsid w:val="00A9362A"/>
    <w:rsid w:val="00A93CFF"/>
    <w:rsid w:val="00A97A36"/>
    <w:rsid w:val="00AA22C6"/>
    <w:rsid w:val="00AA383F"/>
    <w:rsid w:val="00AA4549"/>
    <w:rsid w:val="00AB49D1"/>
    <w:rsid w:val="00AB4FA1"/>
    <w:rsid w:val="00AB6CE2"/>
    <w:rsid w:val="00AB7D6B"/>
    <w:rsid w:val="00AB7DD2"/>
    <w:rsid w:val="00AC0602"/>
    <w:rsid w:val="00AE0DE0"/>
    <w:rsid w:val="00AE223F"/>
    <w:rsid w:val="00AE4E12"/>
    <w:rsid w:val="00AF0C7C"/>
    <w:rsid w:val="00AF0F20"/>
    <w:rsid w:val="00AF298A"/>
    <w:rsid w:val="00B00C19"/>
    <w:rsid w:val="00B01D86"/>
    <w:rsid w:val="00B07E4E"/>
    <w:rsid w:val="00B11FD1"/>
    <w:rsid w:val="00B137E9"/>
    <w:rsid w:val="00B23DE1"/>
    <w:rsid w:val="00B27BD5"/>
    <w:rsid w:val="00B30EA2"/>
    <w:rsid w:val="00B36ED3"/>
    <w:rsid w:val="00B50A5C"/>
    <w:rsid w:val="00B513C9"/>
    <w:rsid w:val="00B56EF4"/>
    <w:rsid w:val="00B61FB0"/>
    <w:rsid w:val="00B70485"/>
    <w:rsid w:val="00B76715"/>
    <w:rsid w:val="00B82A13"/>
    <w:rsid w:val="00B84201"/>
    <w:rsid w:val="00B968EE"/>
    <w:rsid w:val="00BC0408"/>
    <w:rsid w:val="00BC10E0"/>
    <w:rsid w:val="00BC5EC7"/>
    <w:rsid w:val="00BE1A5A"/>
    <w:rsid w:val="00BE30E5"/>
    <w:rsid w:val="00BE3FE3"/>
    <w:rsid w:val="00BE4E9A"/>
    <w:rsid w:val="00BF3EA2"/>
    <w:rsid w:val="00BF5815"/>
    <w:rsid w:val="00C02AF8"/>
    <w:rsid w:val="00C04B9B"/>
    <w:rsid w:val="00C04EB3"/>
    <w:rsid w:val="00C13DC6"/>
    <w:rsid w:val="00C16B19"/>
    <w:rsid w:val="00C17E01"/>
    <w:rsid w:val="00C3045D"/>
    <w:rsid w:val="00C31AC4"/>
    <w:rsid w:val="00C33EF2"/>
    <w:rsid w:val="00C35AE6"/>
    <w:rsid w:val="00C35B3E"/>
    <w:rsid w:val="00C36EB4"/>
    <w:rsid w:val="00C409BE"/>
    <w:rsid w:val="00C423CA"/>
    <w:rsid w:val="00C4371E"/>
    <w:rsid w:val="00C53472"/>
    <w:rsid w:val="00C57EC6"/>
    <w:rsid w:val="00C6451D"/>
    <w:rsid w:val="00C652ED"/>
    <w:rsid w:val="00C712A1"/>
    <w:rsid w:val="00C7793C"/>
    <w:rsid w:val="00C8149A"/>
    <w:rsid w:val="00C82BE7"/>
    <w:rsid w:val="00C8305E"/>
    <w:rsid w:val="00C83F55"/>
    <w:rsid w:val="00C939A8"/>
    <w:rsid w:val="00C94EA8"/>
    <w:rsid w:val="00C97145"/>
    <w:rsid w:val="00CA5363"/>
    <w:rsid w:val="00CA7598"/>
    <w:rsid w:val="00CA78C2"/>
    <w:rsid w:val="00CA7D8B"/>
    <w:rsid w:val="00CB41B3"/>
    <w:rsid w:val="00CC27B0"/>
    <w:rsid w:val="00CC50A0"/>
    <w:rsid w:val="00CD0A66"/>
    <w:rsid w:val="00CD2361"/>
    <w:rsid w:val="00CD254E"/>
    <w:rsid w:val="00CE3427"/>
    <w:rsid w:val="00D010FD"/>
    <w:rsid w:val="00D01150"/>
    <w:rsid w:val="00D02812"/>
    <w:rsid w:val="00D028FC"/>
    <w:rsid w:val="00D11C7E"/>
    <w:rsid w:val="00D14F7E"/>
    <w:rsid w:val="00D20056"/>
    <w:rsid w:val="00D239D0"/>
    <w:rsid w:val="00D25542"/>
    <w:rsid w:val="00D3028F"/>
    <w:rsid w:val="00D30EA8"/>
    <w:rsid w:val="00D3740D"/>
    <w:rsid w:val="00D40B55"/>
    <w:rsid w:val="00D45EF4"/>
    <w:rsid w:val="00D46607"/>
    <w:rsid w:val="00D5753F"/>
    <w:rsid w:val="00D57958"/>
    <w:rsid w:val="00D7117F"/>
    <w:rsid w:val="00D715C9"/>
    <w:rsid w:val="00D74AF7"/>
    <w:rsid w:val="00D761FA"/>
    <w:rsid w:val="00D80EAC"/>
    <w:rsid w:val="00D8780B"/>
    <w:rsid w:val="00D93193"/>
    <w:rsid w:val="00D93746"/>
    <w:rsid w:val="00D94417"/>
    <w:rsid w:val="00D964B1"/>
    <w:rsid w:val="00D97034"/>
    <w:rsid w:val="00DA6909"/>
    <w:rsid w:val="00DB1C25"/>
    <w:rsid w:val="00DB2119"/>
    <w:rsid w:val="00DC05BC"/>
    <w:rsid w:val="00DC077A"/>
    <w:rsid w:val="00DC665E"/>
    <w:rsid w:val="00DC6C81"/>
    <w:rsid w:val="00DD3A24"/>
    <w:rsid w:val="00DE2883"/>
    <w:rsid w:val="00DE3B07"/>
    <w:rsid w:val="00DE4E4B"/>
    <w:rsid w:val="00DF0969"/>
    <w:rsid w:val="00DF3516"/>
    <w:rsid w:val="00DF3D56"/>
    <w:rsid w:val="00DF4B3C"/>
    <w:rsid w:val="00DF4C47"/>
    <w:rsid w:val="00DF5F1E"/>
    <w:rsid w:val="00DF7A1D"/>
    <w:rsid w:val="00E02C28"/>
    <w:rsid w:val="00E0308A"/>
    <w:rsid w:val="00E03C07"/>
    <w:rsid w:val="00E07095"/>
    <w:rsid w:val="00E0782E"/>
    <w:rsid w:val="00E13586"/>
    <w:rsid w:val="00E16BB4"/>
    <w:rsid w:val="00E20E3C"/>
    <w:rsid w:val="00E24B19"/>
    <w:rsid w:val="00E36290"/>
    <w:rsid w:val="00E36A9B"/>
    <w:rsid w:val="00E4698C"/>
    <w:rsid w:val="00E503FD"/>
    <w:rsid w:val="00E548A7"/>
    <w:rsid w:val="00E6035E"/>
    <w:rsid w:val="00E61099"/>
    <w:rsid w:val="00E7326E"/>
    <w:rsid w:val="00E74C36"/>
    <w:rsid w:val="00E80C67"/>
    <w:rsid w:val="00E80F7E"/>
    <w:rsid w:val="00E81E61"/>
    <w:rsid w:val="00E83682"/>
    <w:rsid w:val="00E848B4"/>
    <w:rsid w:val="00E90486"/>
    <w:rsid w:val="00E91415"/>
    <w:rsid w:val="00E91417"/>
    <w:rsid w:val="00E94329"/>
    <w:rsid w:val="00E94830"/>
    <w:rsid w:val="00EA3C50"/>
    <w:rsid w:val="00EA6B07"/>
    <w:rsid w:val="00EA6F5F"/>
    <w:rsid w:val="00EB1377"/>
    <w:rsid w:val="00EB19EF"/>
    <w:rsid w:val="00EC1E33"/>
    <w:rsid w:val="00EC67BF"/>
    <w:rsid w:val="00ED1D5C"/>
    <w:rsid w:val="00ED2654"/>
    <w:rsid w:val="00ED4E51"/>
    <w:rsid w:val="00ED50BE"/>
    <w:rsid w:val="00EE68DF"/>
    <w:rsid w:val="00EE6D4B"/>
    <w:rsid w:val="00EF2E7B"/>
    <w:rsid w:val="00EF7A11"/>
    <w:rsid w:val="00F04E8D"/>
    <w:rsid w:val="00F07022"/>
    <w:rsid w:val="00F1119E"/>
    <w:rsid w:val="00F11C39"/>
    <w:rsid w:val="00F15FBD"/>
    <w:rsid w:val="00F170FC"/>
    <w:rsid w:val="00F27351"/>
    <w:rsid w:val="00F31850"/>
    <w:rsid w:val="00F33E30"/>
    <w:rsid w:val="00F35A34"/>
    <w:rsid w:val="00F40882"/>
    <w:rsid w:val="00F41A9D"/>
    <w:rsid w:val="00F43559"/>
    <w:rsid w:val="00F52838"/>
    <w:rsid w:val="00F5789B"/>
    <w:rsid w:val="00F75AAB"/>
    <w:rsid w:val="00F75C76"/>
    <w:rsid w:val="00F80B7F"/>
    <w:rsid w:val="00F872F4"/>
    <w:rsid w:val="00F92BB0"/>
    <w:rsid w:val="00F9473B"/>
    <w:rsid w:val="00FB158F"/>
    <w:rsid w:val="00FB36C9"/>
    <w:rsid w:val="00FB3EAB"/>
    <w:rsid w:val="00FB6F03"/>
    <w:rsid w:val="00FC21CF"/>
    <w:rsid w:val="00FC5691"/>
    <w:rsid w:val="00FC597B"/>
    <w:rsid w:val="00FC6DB8"/>
    <w:rsid w:val="00FC720B"/>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E8F6C5"/>
  <w15:chartTrackingRefBased/>
  <w15:docId w15:val="{5AC937BD-E535-4F14-9729-16401A7E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pPr>
      <w:numPr>
        <w:numId w:val="18"/>
      </w:numPr>
      <w:tabs>
        <w:tab w:val="clear" w:pos="720"/>
        <w:tab w:val="num" w:pos="360"/>
      </w:tabs>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uiPriority w:val="99"/>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8C346B"/>
    <w:rPr>
      <w:sz w:val="16"/>
      <w:szCs w:val="16"/>
    </w:rPr>
  </w:style>
  <w:style w:type="paragraph" w:styleId="Commentaire">
    <w:name w:val="annotation text"/>
    <w:basedOn w:val="Normal"/>
    <w:link w:val="CommentaireCar"/>
    <w:uiPriority w:val="99"/>
    <w:unhideWhenUsed/>
    <w:rsid w:val="008C346B"/>
    <w:pPr>
      <w:spacing w:line="240" w:lineRule="auto"/>
    </w:pPr>
    <w:rPr>
      <w:sz w:val="20"/>
    </w:rPr>
  </w:style>
  <w:style w:type="character" w:customStyle="1" w:styleId="CommentaireCar">
    <w:name w:val="Commentaire Car"/>
    <w:basedOn w:val="Policepardfaut"/>
    <w:link w:val="Commentaire"/>
    <w:uiPriority w:val="99"/>
    <w:rsid w:val="008C346B"/>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8C346B"/>
    <w:rPr>
      <w:b/>
      <w:bCs/>
    </w:rPr>
  </w:style>
  <w:style w:type="character" w:customStyle="1" w:styleId="ObjetducommentaireCar">
    <w:name w:val="Objet du commentaire Car"/>
    <w:basedOn w:val="CommentaireCar"/>
    <w:link w:val="Objetducommentaire"/>
    <w:uiPriority w:val="99"/>
    <w:semiHidden/>
    <w:rsid w:val="008C346B"/>
    <w:rPr>
      <w:rFonts w:ascii="Arial" w:hAnsi="Arial"/>
      <w:b/>
      <w:bCs/>
      <w:lang w:eastAsia="fr-FR"/>
    </w:rPr>
  </w:style>
  <w:style w:type="character" w:customStyle="1" w:styleId="NotedebasdepageCar">
    <w:name w:val="Note de bas de page Car"/>
    <w:basedOn w:val="Policepardfaut"/>
    <w:link w:val="Notedebasdepage"/>
    <w:semiHidden/>
    <w:rsid w:val="00DC6C81"/>
    <w:rPr>
      <w:rFonts w:ascii="Arial" w:hAnsi="Arial"/>
      <w:lang w:eastAsia="fr-FR"/>
    </w:rPr>
  </w:style>
  <w:style w:type="character" w:styleId="Hyperlien">
    <w:name w:val="Hyperlink"/>
    <w:basedOn w:val="Policepardfaut"/>
    <w:uiPriority w:val="99"/>
    <w:unhideWhenUsed/>
    <w:rsid w:val="006219E5"/>
    <w:rPr>
      <w:color w:val="0563C1" w:themeColor="hyperlink"/>
      <w:u w:val="single"/>
    </w:rPr>
  </w:style>
  <w:style w:type="character" w:styleId="Accentuation">
    <w:name w:val="Emphasis"/>
    <w:basedOn w:val="Policepardfaut"/>
    <w:uiPriority w:val="20"/>
    <w:qFormat/>
    <w:rsid w:val="009036F7"/>
    <w:rPr>
      <w:i/>
      <w:iCs/>
    </w:rPr>
  </w:style>
  <w:style w:type="paragraph" w:styleId="Rvision">
    <w:name w:val="Revision"/>
    <w:hidden/>
    <w:uiPriority w:val="99"/>
    <w:semiHidden/>
    <w:rsid w:val="002E3DC9"/>
    <w:rPr>
      <w:rFonts w:ascii="Arial" w:hAnsi="Arial"/>
      <w:sz w:val="24"/>
      <w:lang w:eastAsia="fr-FR"/>
    </w:rPr>
  </w:style>
  <w:style w:type="character" w:styleId="Mentionnonrsolue">
    <w:name w:val="Unresolved Mention"/>
    <w:basedOn w:val="Policepardfaut"/>
    <w:uiPriority w:val="99"/>
    <w:semiHidden/>
    <w:unhideWhenUsed/>
    <w:rsid w:val="007C1E6E"/>
    <w:rPr>
      <w:color w:val="605E5C"/>
      <w:shd w:val="clear" w:color="auto" w:fill="E1DFDD"/>
    </w:rPr>
  </w:style>
  <w:style w:type="paragraph" w:styleId="NormalWeb">
    <w:name w:val="Normal (Web)"/>
    <w:basedOn w:val="Normal"/>
    <w:uiPriority w:val="99"/>
    <w:semiHidden/>
    <w:unhideWhenUsed/>
    <w:rsid w:val="00F92BB0"/>
    <w:pPr>
      <w:spacing w:before="100" w:beforeAutospacing="1" w:after="100" w:afterAutospacing="1" w:line="240" w:lineRule="auto"/>
    </w:pPr>
    <w:rPr>
      <w:rFonts w:ascii="Times New Roman" w:hAnsi="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1507">
      <w:bodyDiv w:val="1"/>
      <w:marLeft w:val="0"/>
      <w:marRight w:val="0"/>
      <w:marTop w:val="0"/>
      <w:marBottom w:val="0"/>
      <w:divBdr>
        <w:top w:val="none" w:sz="0" w:space="0" w:color="auto"/>
        <w:left w:val="none" w:sz="0" w:space="0" w:color="auto"/>
        <w:bottom w:val="none" w:sz="0" w:space="0" w:color="auto"/>
        <w:right w:val="none" w:sz="0" w:space="0" w:color="auto"/>
      </w:divBdr>
    </w:div>
    <w:div w:id="1660037494">
      <w:bodyDiv w:val="1"/>
      <w:marLeft w:val="0"/>
      <w:marRight w:val="0"/>
      <w:marTop w:val="0"/>
      <w:marBottom w:val="0"/>
      <w:divBdr>
        <w:top w:val="none" w:sz="0" w:space="0" w:color="auto"/>
        <w:left w:val="none" w:sz="0" w:space="0" w:color="auto"/>
        <w:bottom w:val="none" w:sz="0" w:space="0" w:color="auto"/>
        <w:right w:val="none" w:sz="0" w:space="0" w:color="auto"/>
      </w:divBdr>
    </w:div>
    <w:div w:id="17632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B94ABCC84468479CE5E5C4B8D8F040" ma:contentTypeVersion="18" ma:contentTypeDescription="Create a new document." ma:contentTypeScope="" ma:versionID="6710bf7d9b82c549f5b641fc39caf6d2">
  <xsd:schema xmlns:xsd="http://www.w3.org/2001/XMLSchema" xmlns:xs="http://www.w3.org/2001/XMLSchema" xmlns:p="http://schemas.microsoft.com/office/2006/metadata/properties" xmlns:ns3="f0ceac50-aad9-4b91-9ef3-077f057b74d0" xmlns:ns4="982ce6cd-9fa3-4a60-9cd1-2b32940b557c" targetNamespace="http://schemas.microsoft.com/office/2006/metadata/properties" ma:root="true" ma:fieldsID="41b96844b57b8fa339a80121c7363684" ns3:_="" ns4:_="">
    <xsd:import namespace="f0ceac50-aad9-4b91-9ef3-077f057b74d0"/>
    <xsd:import namespace="982ce6cd-9fa3-4a60-9cd1-2b32940b55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eac50-aad9-4b91-9ef3-077f057b74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ce6cd-9fa3-4a60-9cd1-2b32940b55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82ce6cd-9fa3-4a60-9cd1-2b32940b557c" xsi:nil="true"/>
  </documentManagement>
</p:properties>
</file>

<file path=customXml/itemProps1.xml><?xml version="1.0" encoding="utf-8"?>
<ds:datastoreItem xmlns:ds="http://schemas.openxmlformats.org/officeDocument/2006/customXml" ds:itemID="{94142E8C-F07A-4C61-B298-D9558E6D2DFF}">
  <ds:schemaRefs>
    <ds:schemaRef ds:uri="http://schemas.openxmlformats.org/officeDocument/2006/bibliography"/>
  </ds:schemaRefs>
</ds:datastoreItem>
</file>

<file path=customXml/itemProps2.xml><?xml version="1.0" encoding="utf-8"?>
<ds:datastoreItem xmlns:ds="http://schemas.openxmlformats.org/officeDocument/2006/customXml" ds:itemID="{7C4062B9-A0CF-4355-8E48-B28BA513A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eac50-aad9-4b91-9ef3-077f057b74d0"/>
    <ds:schemaRef ds:uri="982ce6cd-9fa3-4a60-9cd1-2b32940b5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2B19C-252B-44F0-95AD-8F3498642909}">
  <ds:schemaRefs>
    <ds:schemaRef ds:uri="http://schemas.microsoft.com/sharepoint/v3/contenttype/forms"/>
  </ds:schemaRefs>
</ds:datastoreItem>
</file>

<file path=customXml/itemProps4.xml><?xml version="1.0" encoding="utf-8"?>
<ds:datastoreItem xmlns:ds="http://schemas.openxmlformats.org/officeDocument/2006/customXml" ds:itemID="{EC2CF8CB-4E3F-45E4-BA3F-5400290A7D42}">
  <ds:schemaRefs>
    <ds:schemaRef ds:uri="http://purl.org/dc/elements/1.1/"/>
    <ds:schemaRef ds:uri="http://schemas.microsoft.com/office/infopath/2007/PartnerControls"/>
    <ds:schemaRef ds:uri="http://schemas.microsoft.com/office/2006/metadata/properties"/>
    <ds:schemaRef ds:uri="982ce6cd-9fa3-4a60-9cd1-2b32940b557c"/>
    <ds:schemaRef ds:uri="http://schemas.microsoft.com/office/2006/documentManagement/types"/>
    <ds:schemaRef ds:uri="http://purl.org/dc/terms/"/>
    <ds:schemaRef ds:uri="http://schemas.openxmlformats.org/package/2006/metadata/core-properties"/>
    <ds:schemaRef ds:uri="f0ceac50-aad9-4b91-9ef3-077f057b74d0"/>
    <ds:schemaRef ds:uri="http://www.w3.org/XML/1998/namespace"/>
    <ds:schemaRef ds:uri="http://purl.org/dc/dcmitype/"/>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4330</Words>
  <Characters>23071</Characters>
  <Application>Microsoft Office Word</Application>
  <DocSecurity>4</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Bettina Karpel</dc:creator>
  <cp:lastModifiedBy>Traduction</cp:lastModifiedBy>
  <cp:revision>2</cp:revision>
  <cp:lastPrinted>2026-03-25T16:07:00Z</cp:lastPrinted>
  <dcterms:created xsi:type="dcterms:W3CDTF">2026-03-25T19:23:00Z</dcterms:created>
  <dcterms:modified xsi:type="dcterms:W3CDTF">2026-03-25T19:23:00Z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0x010100F2B94ABCC84468479CE5E5C4B8D8F040</vt:lpwstr>
  </property>
</Properties>
</file>