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F9D6" w14:textId="19755426" w:rsidR="00E53C39" w:rsidRDefault="00E53C39">
      <w:r w:rsidRPr="00F7034C">
        <w:rPr>
          <w:b/>
          <w:bCs/>
          <w:lang w:val="en-CA"/>
        </w:rPr>
        <w:t>English translation of the judgment of the Court</w:t>
      </w:r>
    </w:p>
    <w:tbl>
      <w:tblPr>
        <w:tblW w:w="9360" w:type="dxa"/>
        <w:tblLayout w:type="fixed"/>
        <w:tblCellMar>
          <w:left w:w="0" w:type="dxa"/>
          <w:right w:w="0" w:type="dxa"/>
        </w:tblCellMar>
        <w:tblLook w:val="0000" w:firstRow="0" w:lastRow="0" w:firstColumn="0" w:lastColumn="0" w:noHBand="0" w:noVBand="0"/>
      </w:tblPr>
      <w:tblGrid>
        <w:gridCol w:w="1030"/>
        <w:gridCol w:w="246"/>
        <w:gridCol w:w="142"/>
        <w:gridCol w:w="2268"/>
        <w:gridCol w:w="3686"/>
        <w:gridCol w:w="1988"/>
      </w:tblGrid>
      <w:tr w:rsidR="000B75A1" w:rsidRPr="001F539E" w14:paraId="5872D5D3" w14:textId="77777777" w:rsidTr="008D18FC">
        <w:trPr>
          <w:trHeight w:val="248"/>
        </w:trPr>
        <w:tc>
          <w:tcPr>
            <w:tcW w:w="7372" w:type="dxa"/>
            <w:gridSpan w:val="5"/>
          </w:tcPr>
          <w:p w14:paraId="5872D5D1" w14:textId="77777777" w:rsidR="008F364A" w:rsidRPr="001F539E" w:rsidRDefault="00757BFA" w:rsidP="005F1C63">
            <w:pPr>
              <w:pStyle w:val="zSoquijdatRepertorie"/>
              <w:rPr>
                <w:rFonts w:cs="Arial"/>
                <w:lang w:val="en-CA"/>
              </w:rPr>
            </w:pPr>
            <w:r w:rsidRPr="001F539E">
              <w:rPr>
                <w:rFonts w:cs="Arial"/>
                <w:bCs/>
                <w:lang w:val="en-CA"/>
              </w:rPr>
              <w:t xml:space="preserve">Droit de la </w:t>
            </w:r>
            <w:proofErr w:type="spellStart"/>
            <w:r w:rsidRPr="001F539E">
              <w:rPr>
                <w:rFonts w:cs="Arial"/>
                <w:bCs/>
                <w:lang w:val="en-CA"/>
              </w:rPr>
              <w:t>famille</w:t>
            </w:r>
            <w:proofErr w:type="spellEnd"/>
            <w:r w:rsidRPr="001F539E">
              <w:rPr>
                <w:rFonts w:cs="Arial"/>
                <w:bCs/>
                <w:lang w:val="en-CA"/>
              </w:rPr>
              <w:t xml:space="preserve"> — 25643</w:t>
            </w:r>
          </w:p>
        </w:tc>
        <w:tc>
          <w:tcPr>
            <w:tcW w:w="1988" w:type="dxa"/>
          </w:tcPr>
          <w:p w14:paraId="5872D5D2" w14:textId="77777777" w:rsidR="008F364A" w:rsidRPr="001F539E" w:rsidRDefault="00757BFA" w:rsidP="00600FF0">
            <w:pPr>
              <w:pStyle w:val="zSoquijdatRefNeutre"/>
              <w:jc w:val="right"/>
              <w:rPr>
                <w:rFonts w:cs="Arial"/>
                <w:lang w:val="en-CA"/>
              </w:rPr>
            </w:pPr>
            <w:r w:rsidRPr="001F539E">
              <w:rPr>
                <w:rFonts w:cs="Arial"/>
                <w:bCs/>
                <w:lang w:val="en-CA"/>
              </w:rPr>
              <w:t>2025 QCCA 612</w:t>
            </w:r>
          </w:p>
        </w:tc>
      </w:tr>
      <w:tr w:rsidR="000B75A1" w:rsidRPr="001F539E" w14:paraId="5872D5D5" w14:textId="77777777" w:rsidTr="008D18FC">
        <w:trPr>
          <w:trHeight w:val="247"/>
        </w:trPr>
        <w:tc>
          <w:tcPr>
            <w:tcW w:w="9360" w:type="dxa"/>
            <w:gridSpan w:val="6"/>
          </w:tcPr>
          <w:p w14:paraId="5872D5D4" w14:textId="77777777" w:rsidR="008F364A" w:rsidRPr="001F539E" w:rsidRDefault="00757BFA">
            <w:pPr>
              <w:pStyle w:val="zSoquijlblCour"/>
              <w:rPr>
                <w:lang w:val="en-CA"/>
              </w:rPr>
            </w:pPr>
            <w:r w:rsidRPr="001F539E">
              <w:rPr>
                <w:bCs/>
                <w:lang w:val="en-CA"/>
              </w:rPr>
              <w:t>COURT OF APPEAL</w:t>
            </w:r>
          </w:p>
        </w:tc>
      </w:tr>
      <w:tr w:rsidR="000B75A1" w:rsidRPr="001F539E" w14:paraId="5872D5D7" w14:textId="77777777" w:rsidTr="00644D8D">
        <w:trPr>
          <w:trHeight w:val="384"/>
        </w:trPr>
        <w:tc>
          <w:tcPr>
            <w:tcW w:w="9360" w:type="dxa"/>
            <w:gridSpan w:val="6"/>
          </w:tcPr>
          <w:p w14:paraId="5872D5D6" w14:textId="77777777" w:rsidR="008F364A" w:rsidRPr="001F539E" w:rsidRDefault="008F364A">
            <w:pPr>
              <w:pStyle w:val="zSoquijdatDivision"/>
              <w:rPr>
                <w:lang w:val="en-CA"/>
              </w:rPr>
            </w:pPr>
          </w:p>
        </w:tc>
      </w:tr>
      <w:tr w:rsidR="000B75A1" w:rsidRPr="001F539E" w14:paraId="5872D5D9" w14:textId="77777777" w:rsidTr="008D18FC">
        <w:tc>
          <w:tcPr>
            <w:tcW w:w="9360" w:type="dxa"/>
            <w:gridSpan w:val="6"/>
          </w:tcPr>
          <w:p w14:paraId="5872D5D8" w14:textId="77777777" w:rsidR="008F364A" w:rsidRPr="001F539E" w:rsidRDefault="00757BFA">
            <w:pPr>
              <w:pStyle w:val="zSoquijlblPays"/>
              <w:rPr>
                <w:lang w:val="en-CA"/>
              </w:rPr>
            </w:pPr>
            <w:r w:rsidRPr="001F539E">
              <w:rPr>
                <w:lang w:val="en-CA"/>
              </w:rPr>
              <w:t>CANADA</w:t>
            </w:r>
          </w:p>
        </w:tc>
      </w:tr>
      <w:tr w:rsidR="000B75A1" w:rsidRPr="001F539E" w14:paraId="5872D5DB" w14:textId="77777777" w:rsidTr="008D18FC">
        <w:tc>
          <w:tcPr>
            <w:tcW w:w="9360" w:type="dxa"/>
            <w:gridSpan w:val="6"/>
          </w:tcPr>
          <w:p w14:paraId="5872D5DA" w14:textId="77777777" w:rsidR="008F364A" w:rsidRPr="001F539E" w:rsidRDefault="00757BFA">
            <w:pPr>
              <w:pStyle w:val="zSoquijlblProvince"/>
              <w:rPr>
                <w:lang w:val="en-CA"/>
              </w:rPr>
            </w:pPr>
            <w:r w:rsidRPr="001F539E">
              <w:rPr>
                <w:lang w:val="en-CA"/>
              </w:rPr>
              <w:t>PROVINCE OF QUEBEC</w:t>
            </w:r>
          </w:p>
        </w:tc>
      </w:tr>
      <w:tr w:rsidR="000B75A1" w:rsidRPr="001F539E" w14:paraId="5872D5DF" w14:textId="77777777" w:rsidTr="003F58D8">
        <w:tc>
          <w:tcPr>
            <w:tcW w:w="1418" w:type="dxa"/>
            <w:gridSpan w:val="3"/>
          </w:tcPr>
          <w:p w14:paraId="5872D5DC" w14:textId="757BC1AC" w:rsidR="008F364A" w:rsidRPr="001F539E" w:rsidRDefault="003F58D8" w:rsidP="00BD42C6">
            <w:pPr>
              <w:pStyle w:val="zSoquijdatGreffe"/>
              <w:rPr>
                <w:lang w:val="en-CA"/>
              </w:rPr>
            </w:pPr>
            <w:r>
              <w:rPr>
                <w:lang w:val="en-CA"/>
              </w:rPr>
              <w:t>MONTREAL</w:t>
            </w:r>
          </w:p>
          <w:p w14:paraId="5872D5DD" w14:textId="77777777" w:rsidR="008F364A" w:rsidRPr="001F539E" w:rsidRDefault="008F364A">
            <w:pPr>
              <w:pStyle w:val="zSoquijlblGreffe"/>
              <w:rPr>
                <w:lang w:val="en-CA"/>
              </w:rPr>
            </w:pPr>
          </w:p>
        </w:tc>
        <w:tc>
          <w:tcPr>
            <w:tcW w:w="7942" w:type="dxa"/>
            <w:gridSpan w:val="3"/>
          </w:tcPr>
          <w:p w14:paraId="5872D5DE" w14:textId="56261B0A" w:rsidR="008F364A" w:rsidRPr="001F539E" w:rsidRDefault="00757BFA" w:rsidP="00BD42C6">
            <w:pPr>
              <w:pStyle w:val="zSoquijlblGreffe"/>
              <w:rPr>
                <w:lang w:val="en-CA"/>
              </w:rPr>
            </w:pPr>
            <w:bookmarkStart w:id="0" w:name="NomGreffe"/>
            <w:r w:rsidRPr="001F539E">
              <w:rPr>
                <w:lang w:val="en-CA"/>
              </w:rPr>
              <w:t>SEAT</w:t>
            </w:r>
            <w:bookmarkEnd w:id="0"/>
          </w:p>
        </w:tc>
      </w:tr>
      <w:tr w:rsidR="000B75A1" w:rsidRPr="001F539E" w14:paraId="5872D5E2" w14:textId="77777777" w:rsidTr="008D18FC">
        <w:tc>
          <w:tcPr>
            <w:tcW w:w="1030" w:type="dxa"/>
          </w:tcPr>
          <w:p w14:paraId="5872D5E0" w14:textId="77777777" w:rsidR="008F364A" w:rsidRPr="001F539E" w:rsidRDefault="00757BFA">
            <w:pPr>
              <w:pStyle w:val="zSoquijlblNoDossier"/>
              <w:rPr>
                <w:lang w:val="en-CA"/>
              </w:rPr>
            </w:pPr>
            <w:r w:rsidRPr="001F539E">
              <w:rPr>
                <w:lang w:val="en-CA"/>
              </w:rPr>
              <w:t>No.:</w:t>
            </w:r>
          </w:p>
        </w:tc>
        <w:tc>
          <w:tcPr>
            <w:tcW w:w="8330" w:type="dxa"/>
            <w:gridSpan w:val="5"/>
          </w:tcPr>
          <w:p w14:paraId="5872D5E1" w14:textId="77777777" w:rsidR="008F364A" w:rsidRPr="001F539E" w:rsidRDefault="00757BFA">
            <w:pPr>
              <w:pStyle w:val="zSoquijdatNoDossier"/>
              <w:rPr>
                <w:lang w:val="en-CA"/>
              </w:rPr>
            </w:pPr>
            <w:bookmarkStart w:id="1" w:name="NoDossier"/>
            <w:r w:rsidRPr="001F539E">
              <w:rPr>
                <w:lang w:val="en-CA"/>
              </w:rPr>
              <w:t>500-09-031237-241</w:t>
            </w:r>
            <w:bookmarkEnd w:id="1"/>
          </w:p>
        </w:tc>
      </w:tr>
      <w:tr w:rsidR="000B75A1" w:rsidRPr="001F539E" w14:paraId="5872D5E4" w14:textId="77777777" w:rsidTr="008D18FC">
        <w:tc>
          <w:tcPr>
            <w:tcW w:w="9360" w:type="dxa"/>
            <w:gridSpan w:val="6"/>
          </w:tcPr>
          <w:p w14:paraId="5872D5E3" w14:textId="77777777" w:rsidR="00CB2CD8" w:rsidRPr="001F539E" w:rsidRDefault="00757BFA" w:rsidP="00CB2CD8">
            <w:pPr>
              <w:pStyle w:val="zSoquijdatNoDossierAnt"/>
              <w:rPr>
                <w:lang w:val="en-CA"/>
              </w:rPr>
            </w:pPr>
            <w:r w:rsidRPr="001F539E">
              <w:rPr>
                <w:lang w:val="en-CA"/>
              </w:rPr>
              <w:t>(500-04-080847-248)</w:t>
            </w:r>
          </w:p>
        </w:tc>
      </w:tr>
      <w:tr w:rsidR="000B75A1" w:rsidRPr="001F539E" w14:paraId="5872D5E6" w14:textId="77777777" w:rsidTr="008D18FC">
        <w:tc>
          <w:tcPr>
            <w:tcW w:w="9360" w:type="dxa"/>
            <w:gridSpan w:val="6"/>
          </w:tcPr>
          <w:p w14:paraId="5872D5E5" w14:textId="77777777" w:rsidR="008F364A" w:rsidRPr="001F539E" w:rsidRDefault="008F364A">
            <w:pPr>
              <w:rPr>
                <w:lang w:val="en-CA"/>
              </w:rPr>
            </w:pPr>
          </w:p>
        </w:tc>
      </w:tr>
      <w:tr w:rsidR="000B75A1" w:rsidRPr="001F539E" w14:paraId="5872D5E9" w14:textId="77777777" w:rsidTr="008D18FC">
        <w:tc>
          <w:tcPr>
            <w:tcW w:w="1030" w:type="dxa"/>
          </w:tcPr>
          <w:p w14:paraId="5872D5E7" w14:textId="77777777" w:rsidR="008F364A" w:rsidRPr="001F539E" w:rsidRDefault="00757BFA">
            <w:pPr>
              <w:pStyle w:val="zSoquijlblDateJugement"/>
              <w:rPr>
                <w:lang w:val="en-CA"/>
              </w:rPr>
            </w:pPr>
            <w:r w:rsidRPr="001F539E">
              <w:rPr>
                <w:lang w:val="en-CA"/>
              </w:rPr>
              <w:t>DATE:</w:t>
            </w:r>
          </w:p>
        </w:tc>
        <w:tc>
          <w:tcPr>
            <w:tcW w:w="8330" w:type="dxa"/>
            <w:gridSpan w:val="5"/>
          </w:tcPr>
          <w:p w14:paraId="5872D5E8" w14:textId="77777777" w:rsidR="008F364A" w:rsidRPr="001F539E" w:rsidRDefault="00757BFA">
            <w:pPr>
              <w:pStyle w:val="zSoquijdatDateJugement"/>
              <w:rPr>
                <w:lang w:val="en-CA"/>
              </w:rPr>
            </w:pPr>
            <w:r w:rsidRPr="001F539E">
              <w:rPr>
                <w:lang w:val="en-CA"/>
              </w:rPr>
              <w:t>May 15, 2025</w:t>
            </w:r>
          </w:p>
        </w:tc>
      </w:tr>
      <w:tr w:rsidR="000B75A1" w:rsidRPr="001F539E" w14:paraId="5872D5EB" w14:textId="77777777" w:rsidTr="008D18FC">
        <w:tc>
          <w:tcPr>
            <w:tcW w:w="9360" w:type="dxa"/>
            <w:gridSpan w:val="6"/>
            <w:tcBorders>
              <w:bottom w:val="single" w:sz="8" w:space="0" w:color="auto"/>
            </w:tcBorders>
          </w:tcPr>
          <w:p w14:paraId="5872D5EA" w14:textId="77777777" w:rsidR="008F364A" w:rsidRPr="001F539E" w:rsidRDefault="008F364A">
            <w:pPr>
              <w:rPr>
                <w:lang w:val="en-CA"/>
              </w:rPr>
            </w:pPr>
          </w:p>
        </w:tc>
      </w:tr>
      <w:tr w:rsidR="000B75A1" w:rsidRPr="001F539E" w14:paraId="5872D5ED" w14:textId="77777777" w:rsidTr="008D18FC">
        <w:tc>
          <w:tcPr>
            <w:tcW w:w="9360" w:type="dxa"/>
            <w:gridSpan w:val="6"/>
            <w:tcBorders>
              <w:top w:val="single" w:sz="8" w:space="0" w:color="auto"/>
            </w:tcBorders>
          </w:tcPr>
          <w:p w14:paraId="5872D5EC" w14:textId="77777777" w:rsidR="008F364A" w:rsidRPr="001F539E" w:rsidRDefault="008F364A">
            <w:pPr>
              <w:rPr>
                <w:lang w:val="en-CA"/>
              </w:rPr>
            </w:pPr>
          </w:p>
        </w:tc>
      </w:tr>
      <w:tr w:rsidR="000B75A1" w:rsidRPr="001F539E" w14:paraId="5872D5F3" w14:textId="77777777" w:rsidTr="001411D8">
        <w:tc>
          <w:tcPr>
            <w:tcW w:w="1276" w:type="dxa"/>
            <w:gridSpan w:val="2"/>
          </w:tcPr>
          <w:p w14:paraId="5872D5EE" w14:textId="77777777" w:rsidR="008F364A" w:rsidRPr="001F539E" w:rsidRDefault="00757BFA" w:rsidP="00423DF1">
            <w:pPr>
              <w:pStyle w:val="zSoquijlblJuge"/>
              <w:ind w:right="-142"/>
              <w:rPr>
                <w:lang w:val="en-CA"/>
              </w:rPr>
            </w:pPr>
            <w:bookmarkStart w:id="2" w:name="FORMATION"/>
            <w:r w:rsidRPr="001F539E">
              <w:rPr>
                <w:bCs/>
                <w:lang w:val="en-CA"/>
              </w:rPr>
              <w:t>CORAM:</w:t>
            </w:r>
            <w:bookmarkEnd w:id="2"/>
          </w:p>
        </w:tc>
        <w:tc>
          <w:tcPr>
            <w:tcW w:w="2410" w:type="dxa"/>
            <w:gridSpan w:val="2"/>
          </w:tcPr>
          <w:p w14:paraId="5872D5EF" w14:textId="77777777" w:rsidR="008F364A" w:rsidRPr="001F539E" w:rsidRDefault="00757BFA">
            <w:pPr>
              <w:pStyle w:val="zSoquijdatQteJuge"/>
              <w:rPr>
                <w:lang w:val="en-CA"/>
              </w:rPr>
            </w:pPr>
            <w:bookmarkStart w:id="3" w:name="Honorables"/>
            <w:r w:rsidRPr="001F539E">
              <w:rPr>
                <w:bCs/>
                <w:lang w:val="en-CA"/>
              </w:rPr>
              <w:t>THE HONOURABLE</w:t>
            </w:r>
            <w:bookmarkEnd w:id="3"/>
          </w:p>
        </w:tc>
        <w:tc>
          <w:tcPr>
            <w:tcW w:w="5674" w:type="dxa"/>
            <w:gridSpan w:val="2"/>
          </w:tcPr>
          <w:p w14:paraId="5872D5F0" w14:textId="77777777" w:rsidR="008F364A" w:rsidRPr="00F7034C" w:rsidRDefault="00757BFA">
            <w:pPr>
              <w:pStyle w:val="zSoquijdatJuge"/>
            </w:pPr>
            <w:bookmarkStart w:id="4" w:name="NomJuge1"/>
            <w:r w:rsidRPr="00F7034C">
              <w:rPr>
                <w:bCs/>
              </w:rPr>
              <w:t>JULIE DUTIL, J.A.</w:t>
            </w:r>
            <w:bookmarkEnd w:id="4"/>
          </w:p>
          <w:p w14:paraId="5872D5F1" w14:textId="77777777" w:rsidR="008F364A" w:rsidRPr="00F7034C" w:rsidRDefault="00757BFA">
            <w:pPr>
              <w:pStyle w:val="zSoquijdatJuge"/>
            </w:pPr>
            <w:bookmarkStart w:id="5" w:name="NomJuge2"/>
            <w:r w:rsidRPr="00F7034C">
              <w:rPr>
                <w:bCs/>
              </w:rPr>
              <w:t>MARIE-JOSÉE HOGUE, J.A.</w:t>
            </w:r>
            <w:bookmarkEnd w:id="5"/>
          </w:p>
          <w:p w14:paraId="5872D5F2" w14:textId="77777777" w:rsidR="005A78BF" w:rsidRPr="001F539E" w:rsidRDefault="00757BFA" w:rsidP="00CB2CD8">
            <w:pPr>
              <w:pStyle w:val="zSoquijdatJuge"/>
              <w:rPr>
                <w:lang w:val="en-CA"/>
              </w:rPr>
            </w:pPr>
            <w:bookmarkStart w:id="6" w:name="_Hlt520513784"/>
            <w:bookmarkStart w:id="7" w:name="NomJuge3"/>
            <w:bookmarkEnd w:id="6"/>
            <w:r w:rsidRPr="001F539E">
              <w:rPr>
                <w:bCs/>
                <w:lang w:val="en-CA"/>
              </w:rPr>
              <w:t>GENEVIÈVE COTNAM, J.A.</w:t>
            </w:r>
            <w:bookmarkEnd w:id="7"/>
          </w:p>
        </w:tc>
      </w:tr>
      <w:tr w:rsidR="000B75A1" w:rsidRPr="001F539E" w14:paraId="5872D5F5" w14:textId="77777777" w:rsidTr="008D18FC">
        <w:tc>
          <w:tcPr>
            <w:tcW w:w="9360" w:type="dxa"/>
            <w:gridSpan w:val="6"/>
            <w:tcBorders>
              <w:bottom w:val="single" w:sz="8" w:space="0" w:color="auto"/>
            </w:tcBorders>
          </w:tcPr>
          <w:p w14:paraId="5872D5F4" w14:textId="77777777" w:rsidR="008F364A" w:rsidRPr="001F539E" w:rsidRDefault="008F364A">
            <w:pPr>
              <w:rPr>
                <w:lang w:val="en-CA"/>
              </w:rPr>
            </w:pPr>
          </w:p>
        </w:tc>
      </w:tr>
      <w:tr w:rsidR="000B75A1" w:rsidRPr="001F539E" w14:paraId="5872D5F7" w14:textId="77777777" w:rsidTr="008D18FC">
        <w:tc>
          <w:tcPr>
            <w:tcW w:w="9360" w:type="dxa"/>
            <w:gridSpan w:val="6"/>
          </w:tcPr>
          <w:p w14:paraId="5872D5F6" w14:textId="77777777" w:rsidR="008F364A" w:rsidRPr="001F539E" w:rsidRDefault="008F364A">
            <w:pPr>
              <w:pStyle w:val="zSoquijlblTitrePartie"/>
              <w:rPr>
                <w:lang w:val="en-CA"/>
              </w:rPr>
            </w:pPr>
          </w:p>
        </w:tc>
      </w:tr>
      <w:tr w:rsidR="000B75A1" w:rsidRPr="001F539E" w14:paraId="5872D5F9" w14:textId="77777777" w:rsidTr="008D18FC">
        <w:tc>
          <w:tcPr>
            <w:tcW w:w="9360" w:type="dxa"/>
            <w:gridSpan w:val="6"/>
          </w:tcPr>
          <w:p w14:paraId="5872D5F8" w14:textId="77777777" w:rsidR="008F364A" w:rsidRPr="001F539E" w:rsidRDefault="00757BFA">
            <w:pPr>
              <w:pStyle w:val="zSoquijdatNomPartieDem"/>
              <w:rPr>
                <w:lang w:val="en-CA"/>
              </w:rPr>
            </w:pPr>
            <w:r w:rsidRPr="001F539E">
              <w:rPr>
                <w:lang w:val="en-CA"/>
              </w:rPr>
              <w:t>A… C…</w:t>
            </w:r>
          </w:p>
        </w:tc>
      </w:tr>
      <w:tr w:rsidR="000B75A1" w:rsidRPr="001F539E" w14:paraId="5872D5FB" w14:textId="77777777" w:rsidTr="008D18FC">
        <w:tc>
          <w:tcPr>
            <w:tcW w:w="9360" w:type="dxa"/>
            <w:gridSpan w:val="6"/>
          </w:tcPr>
          <w:p w14:paraId="5872D5FA" w14:textId="77777777" w:rsidR="00CB2CD8" w:rsidRPr="001F539E" w:rsidRDefault="00757BFA" w:rsidP="00CB2CD8">
            <w:pPr>
              <w:pStyle w:val="zSoquijdatQtePartieDem"/>
              <w:rPr>
                <w:lang w:val="en-CA"/>
              </w:rPr>
            </w:pPr>
            <w:r w:rsidRPr="001F539E">
              <w:rPr>
                <w:lang w:val="en-CA"/>
              </w:rPr>
              <w:t>APPELLANT – Defendant</w:t>
            </w:r>
          </w:p>
        </w:tc>
      </w:tr>
      <w:tr w:rsidR="000B75A1" w:rsidRPr="001F539E" w14:paraId="5872D5FD" w14:textId="77777777" w:rsidTr="008D18FC">
        <w:tc>
          <w:tcPr>
            <w:tcW w:w="9360" w:type="dxa"/>
            <w:gridSpan w:val="6"/>
          </w:tcPr>
          <w:p w14:paraId="5872D5FC" w14:textId="77777777" w:rsidR="008F364A" w:rsidRPr="001F539E" w:rsidRDefault="00757BFA">
            <w:pPr>
              <w:pStyle w:val="zSoquijlblLienParties"/>
              <w:rPr>
                <w:lang w:val="en-CA"/>
              </w:rPr>
            </w:pPr>
            <w:r w:rsidRPr="001F539E">
              <w:rPr>
                <w:lang w:val="en-CA"/>
              </w:rPr>
              <w:t>v.</w:t>
            </w:r>
          </w:p>
        </w:tc>
      </w:tr>
      <w:tr w:rsidR="000B75A1" w:rsidRPr="001F539E" w14:paraId="5872D5FF" w14:textId="77777777" w:rsidTr="008D18FC">
        <w:tc>
          <w:tcPr>
            <w:tcW w:w="9360" w:type="dxa"/>
            <w:gridSpan w:val="6"/>
          </w:tcPr>
          <w:p w14:paraId="5872D5FE" w14:textId="77777777" w:rsidR="008F364A" w:rsidRPr="001F539E" w:rsidRDefault="008F364A">
            <w:pPr>
              <w:rPr>
                <w:lang w:val="en-CA"/>
              </w:rPr>
            </w:pPr>
          </w:p>
        </w:tc>
      </w:tr>
      <w:tr w:rsidR="000B75A1" w:rsidRPr="001F539E" w14:paraId="5872D601" w14:textId="77777777" w:rsidTr="008D18FC">
        <w:tc>
          <w:tcPr>
            <w:tcW w:w="9360" w:type="dxa"/>
            <w:gridSpan w:val="6"/>
          </w:tcPr>
          <w:p w14:paraId="5872D600" w14:textId="77777777" w:rsidR="008F364A" w:rsidRPr="001F539E" w:rsidRDefault="00757BFA">
            <w:pPr>
              <w:pStyle w:val="zSoquijdatNomPartieDef"/>
              <w:rPr>
                <w:lang w:val="en-CA"/>
              </w:rPr>
            </w:pPr>
            <w:r w:rsidRPr="001F539E">
              <w:rPr>
                <w:lang w:val="en-CA"/>
              </w:rPr>
              <w:t>D… P…</w:t>
            </w:r>
          </w:p>
        </w:tc>
      </w:tr>
      <w:tr w:rsidR="000B75A1" w:rsidRPr="001F539E" w14:paraId="5872D603" w14:textId="77777777" w:rsidTr="008D18FC">
        <w:tc>
          <w:tcPr>
            <w:tcW w:w="9360" w:type="dxa"/>
            <w:gridSpan w:val="6"/>
          </w:tcPr>
          <w:p w14:paraId="5872D602" w14:textId="77777777" w:rsidR="00CB2CD8" w:rsidRPr="001F539E" w:rsidRDefault="00757BFA" w:rsidP="00CB2CD8">
            <w:pPr>
              <w:pStyle w:val="zSoquijdatQtePartieDef"/>
              <w:rPr>
                <w:lang w:val="en-CA"/>
              </w:rPr>
            </w:pPr>
            <w:r w:rsidRPr="001F539E">
              <w:rPr>
                <w:lang w:val="en-CA"/>
              </w:rPr>
              <w:t>RESPONDENT – Applicant</w:t>
            </w:r>
          </w:p>
        </w:tc>
      </w:tr>
      <w:tr w:rsidR="000B75A1" w:rsidRPr="001F539E" w14:paraId="5872D605" w14:textId="77777777" w:rsidTr="008D18FC">
        <w:tc>
          <w:tcPr>
            <w:tcW w:w="9360" w:type="dxa"/>
            <w:gridSpan w:val="6"/>
          </w:tcPr>
          <w:p w14:paraId="5872D604" w14:textId="77777777" w:rsidR="008F364A" w:rsidRPr="001F539E" w:rsidRDefault="008F364A">
            <w:pPr>
              <w:rPr>
                <w:lang w:val="en-CA"/>
              </w:rPr>
            </w:pPr>
          </w:p>
        </w:tc>
      </w:tr>
      <w:tr w:rsidR="000B75A1" w:rsidRPr="001F539E" w14:paraId="5872D607" w14:textId="77777777" w:rsidTr="008D18FC">
        <w:tc>
          <w:tcPr>
            <w:tcW w:w="9360" w:type="dxa"/>
            <w:gridSpan w:val="6"/>
          </w:tcPr>
          <w:p w14:paraId="5872D606" w14:textId="77777777" w:rsidR="00CB2CD8" w:rsidRPr="001F539E" w:rsidRDefault="00757BFA">
            <w:pPr>
              <w:rPr>
                <w:lang w:val="en-CA"/>
              </w:rPr>
            </w:pPr>
            <w:r w:rsidRPr="001F539E">
              <w:rPr>
                <w:lang w:val="en-CA"/>
              </w:rPr>
              <w:t>and</w:t>
            </w:r>
          </w:p>
        </w:tc>
      </w:tr>
      <w:tr w:rsidR="000B75A1" w:rsidRPr="001F539E" w14:paraId="5872D609" w14:textId="77777777" w:rsidTr="00FD25D8">
        <w:tc>
          <w:tcPr>
            <w:tcW w:w="9360" w:type="dxa"/>
            <w:gridSpan w:val="6"/>
          </w:tcPr>
          <w:p w14:paraId="5872D608" w14:textId="77777777" w:rsidR="00CB2CD8" w:rsidRPr="001F539E" w:rsidRDefault="00757BFA" w:rsidP="00FD25D8">
            <w:pPr>
              <w:pStyle w:val="zSoquijdatNomPartieDef"/>
              <w:rPr>
                <w:lang w:val="en-CA"/>
              </w:rPr>
            </w:pPr>
            <w:r w:rsidRPr="001F539E">
              <w:rPr>
                <w:lang w:val="en-CA"/>
              </w:rPr>
              <w:t>ATTORNEY GENERAL OF QUEBEC</w:t>
            </w:r>
          </w:p>
        </w:tc>
      </w:tr>
      <w:tr w:rsidR="000B75A1" w:rsidRPr="001F539E" w14:paraId="5872D60B" w14:textId="77777777" w:rsidTr="00FD25D8">
        <w:tc>
          <w:tcPr>
            <w:tcW w:w="9360" w:type="dxa"/>
            <w:gridSpan w:val="6"/>
          </w:tcPr>
          <w:p w14:paraId="5872D60A" w14:textId="77777777" w:rsidR="00CB2CD8" w:rsidRPr="001F539E" w:rsidRDefault="00757BFA" w:rsidP="00FD25D8">
            <w:pPr>
              <w:pStyle w:val="zSoquijdatQtePartieDef"/>
              <w:rPr>
                <w:lang w:val="en-CA"/>
              </w:rPr>
            </w:pPr>
            <w:r w:rsidRPr="001F539E">
              <w:rPr>
                <w:lang w:val="en-CA"/>
              </w:rPr>
              <w:t>IMPLEADED PARTY – Impleaded Party</w:t>
            </w:r>
          </w:p>
        </w:tc>
      </w:tr>
      <w:tr w:rsidR="000B75A1" w:rsidRPr="001F539E" w14:paraId="5872D60D" w14:textId="77777777" w:rsidTr="008D18FC">
        <w:tc>
          <w:tcPr>
            <w:tcW w:w="9360" w:type="dxa"/>
            <w:gridSpan w:val="6"/>
          </w:tcPr>
          <w:p w14:paraId="5872D60C" w14:textId="77777777" w:rsidR="00CB2CD8" w:rsidRPr="001F539E" w:rsidRDefault="00CB2CD8">
            <w:pPr>
              <w:rPr>
                <w:lang w:val="en-CA"/>
              </w:rPr>
            </w:pPr>
          </w:p>
        </w:tc>
      </w:tr>
      <w:tr w:rsidR="000B75A1" w:rsidRPr="001F539E" w14:paraId="5872D60F" w14:textId="77777777" w:rsidTr="008D18FC">
        <w:tc>
          <w:tcPr>
            <w:tcW w:w="9360" w:type="dxa"/>
            <w:gridSpan w:val="6"/>
            <w:tcBorders>
              <w:top w:val="single" w:sz="8" w:space="0" w:color="auto"/>
            </w:tcBorders>
          </w:tcPr>
          <w:p w14:paraId="5872D60E" w14:textId="77777777" w:rsidR="008F364A" w:rsidRPr="001F539E" w:rsidRDefault="008F364A">
            <w:pPr>
              <w:rPr>
                <w:lang w:val="en-CA"/>
              </w:rPr>
            </w:pPr>
            <w:bookmarkStart w:id="8" w:name="Arret"/>
          </w:p>
        </w:tc>
      </w:tr>
      <w:tr w:rsidR="000B75A1" w:rsidRPr="001F539E" w14:paraId="5872D611" w14:textId="77777777" w:rsidTr="008D18FC">
        <w:tc>
          <w:tcPr>
            <w:tcW w:w="9360" w:type="dxa"/>
            <w:gridSpan w:val="6"/>
          </w:tcPr>
          <w:p w14:paraId="5872D610" w14:textId="77777777" w:rsidR="008F364A" w:rsidRPr="001F539E" w:rsidRDefault="00757BFA">
            <w:pPr>
              <w:pStyle w:val="zSoquijlblTypeDocument"/>
              <w:rPr>
                <w:lang w:val="en-CA"/>
              </w:rPr>
            </w:pPr>
            <w:bookmarkStart w:id="9" w:name="TitreDocument"/>
            <w:r w:rsidRPr="001F539E">
              <w:rPr>
                <w:lang w:val="en-CA"/>
              </w:rPr>
              <w:t>JUDGMENT</w:t>
            </w:r>
            <w:bookmarkEnd w:id="9"/>
          </w:p>
        </w:tc>
      </w:tr>
      <w:tr w:rsidR="000B75A1" w:rsidRPr="001F539E" w14:paraId="5872D613" w14:textId="77777777" w:rsidTr="008D18FC">
        <w:tc>
          <w:tcPr>
            <w:tcW w:w="9360" w:type="dxa"/>
            <w:gridSpan w:val="6"/>
            <w:tcBorders>
              <w:bottom w:val="single" w:sz="8" w:space="0" w:color="auto"/>
            </w:tcBorders>
          </w:tcPr>
          <w:p w14:paraId="5872D612" w14:textId="77777777" w:rsidR="008F364A" w:rsidRPr="001F539E" w:rsidRDefault="008F364A">
            <w:pPr>
              <w:rPr>
                <w:lang w:val="en-CA"/>
              </w:rPr>
            </w:pPr>
          </w:p>
        </w:tc>
      </w:tr>
      <w:tr w:rsidR="000B75A1" w:rsidRPr="001F539E" w14:paraId="5872D615" w14:textId="77777777" w:rsidTr="008D18FC">
        <w:tc>
          <w:tcPr>
            <w:tcW w:w="9360" w:type="dxa"/>
            <w:gridSpan w:val="6"/>
            <w:tcBorders>
              <w:top w:val="single" w:sz="8" w:space="0" w:color="auto"/>
            </w:tcBorders>
          </w:tcPr>
          <w:p w14:paraId="5872D614" w14:textId="77777777" w:rsidR="008F364A" w:rsidRPr="001F539E" w:rsidRDefault="008F364A">
            <w:pPr>
              <w:rPr>
                <w:lang w:val="en-CA"/>
              </w:rPr>
            </w:pPr>
          </w:p>
        </w:tc>
      </w:tr>
    </w:tbl>
    <w:p w14:paraId="5872D616" w14:textId="36CBBD2F" w:rsidR="00CB2CD8" w:rsidRPr="001F539E" w:rsidRDefault="00757BFA" w:rsidP="00644D8D">
      <w:pPr>
        <w:tabs>
          <w:tab w:val="left" w:pos="630"/>
        </w:tabs>
        <w:spacing w:after="120" w:line="240" w:lineRule="auto"/>
        <w:jc w:val="both"/>
        <w:rPr>
          <w:rFonts w:cs="Arial"/>
          <w:b/>
          <w:bCs/>
          <w:szCs w:val="24"/>
          <w:lang w:val="en-CA"/>
        </w:rPr>
      </w:pPr>
      <w:bookmarkStart w:id="10" w:name="_Hlk194322591"/>
      <w:r w:rsidRPr="001F539E">
        <w:rPr>
          <w:b/>
          <w:bCs/>
          <w:color w:val="000000"/>
          <w:szCs w:val="24"/>
          <w:u w:val="single"/>
          <w:lang w:val="en-CA"/>
        </w:rPr>
        <w:t>WARNING</w:t>
      </w:r>
      <w:r w:rsidRPr="001F539E">
        <w:rPr>
          <w:b/>
          <w:bCs/>
          <w:color w:val="000000"/>
          <w:szCs w:val="24"/>
          <w:lang w:val="en-CA"/>
        </w:rPr>
        <w:t xml:space="preserve">: Disclosure and circulation prohibited: The </w:t>
      </w:r>
      <w:r w:rsidRPr="001F539E">
        <w:rPr>
          <w:b/>
          <w:bCs/>
          <w:i/>
          <w:iCs/>
          <w:color w:val="000000"/>
          <w:szCs w:val="24"/>
          <w:lang w:val="en-CA"/>
        </w:rPr>
        <w:t>Code of Civil Procedure</w:t>
      </w:r>
      <w:r w:rsidRPr="001F539E">
        <w:rPr>
          <w:b/>
          <w:bCs/>
          <w:color w:val="000000"/>
          <w:szCs w:val="24"/>
          <w:lang w:val="en-CA"/>
        </w:rPr>
        <w:t xml:space="preserve"> (</w:t>
      </w:r>
      <w:r w:rsidR="00882E63">
        <w:rPr>
          <w:b/>
          <w:bCs/>
          <w:color w:val="000000"/>
          <w:szCs w:val="24"/>
          <w:lang w:val="en-CA"/>
        </w:rPr>
        <w:t>“</w:t>
      </w:r>
      <w:r w:rsidRPr="001F539E">
        <w:rPr>
          <w:b/>
          <w:bCs/>
          <w:i/>
          <w:iCs/>
          <w:color w:val="000000"/>
          <w:szCs w:val="24"/>
          <w:lang w:val="en-CA"/>
        </w:rPr>
        <w:t>C.C.P.</w:t>
      </w:r>
      <w:r w:rsidR="00882E63">
        <w:rPr>
          <w:b/>
          <w:bCs/>
          <w:color w:val="000000"/>
          <w:szCs w:val="24"/>
          <w:lang w:val="en-CA"/>
        </w:rPr>
        <w:t>”</w:t>
      </w:r>
      <w:r w:rsidRPr="001F539E">
        <w:rPr>
          <w:b/>
          <w:bCs/>
          <w:color w:val="000000"/>
          <w:szCs w:val="24"/>
          <w:lang w:val="en-CA"/>
        </w:rPr>
        <w:t xml:space="preserve">) provides that, except as authorized by the court, no person shall disclose or circulate any information that would allow a party or a child whose interests are at stake in a proceeding in a family matter to be identified (art. 16 </w:t>
      </w:r>
      <w:r w:rsidRPr="001F539E">
        <w:rPr>
          <w:b/>
          <w:bCs/>
          <w:i/>
          <w:iCs/>
          <w:color w:val="000000"/>
          <w:szCs w:val="24"/>
          <w:lang w:val="en-CA"/>
        </w:rPr>
        <w:t>C.C.P.</w:t>
      </w:r>
      <w:r w:rsidRPr="001F539E">
        <w:rPr>
          <w:b/>
          <w:bCs/>
          <w:color w:val="000000"/>
          <w:szCs w:val="24"/>
          <w:lang w:val="en-CA"/>
        </w:rPr>
        <w:t>).</w:t>
      </w:r>
    </w:p>
    <w:bookmarkEnd w:id="10"/>
    <w:p w14:paraId="5872D617" w14:textId="7983C128" w:rsidR="0003336D" w:rsidRPr="001F539E" w:rsidRDefault="00757BFA" w:rsidP="00644D8D">
      <w:pPr>
        <w:pStyle w:val="aParagraphe"/>
        <w:numPr>
          <w:ilvl w:val="0"/>
          <w:numId w:val="18"/>
        </w:numPr>
        <w:spacing w:line="240" w:lineRule="auto"/>
        <w:rPr>
          <w:lang w:val="en-CA"/>
        </w:rPr>
      </w:pPr>
      <w:r w:rsidRPr="001F539E">
        <w:rPr>
          <w:lang w:val="en-CA"/>
        </w:rPr>
        <w:t xml:space="preserve">The appellant, who is the mother of a seven-year-old child, appeals against a judgment rendered on October 18, 2024, by the Honourable Catherine </w:t>
      </w:r>
      <w:proofErr w:type="spellStart"/>
      <w:r w:rsidRPr="001F539E">
        <w:rPr>
          <w:lang w:val="en-CA"/>
        </w:rPr>
        <w:t>Piché</w:t>
      </w:r>
      <w:proofErr w:type="spellEnd"/>
      <w:r w:rsidRPr="001F539E">
        <w:rPr>
          <w:lang w:val="en-CA"/>
        </w:rPr>
        <w:t xml:space="preserve"> of the </w:t>
      </w:r>
      <w:r w:rsidRPr="001F539E">
        <w:rPr>
          <w:lang w:val="en-CA"/>
        </w:rPr>
        <w:lastRenderedPageBreak/>
        <w:t>Superior Court, District of Montreal, which granted the application of the respondent, the father, and ordered the</w:t>
      </w:r>
      <w:r w:rsidR="00A23045">
        <w:rPr>
          <w:lang w:val="en-CA"/>
        </w:rPr>
        <w:t xml:space="preserve"> return of the</w:t>
      </w:r>
      <w:r w:rsidRPr="001F539E">
        <w:rPr>
          <w:lang w:val="en-CA"/>
        </w:rPr>
        <w:t xml:space="preserve"> child</w:t>
      </w:r>
      <w:r w:rsidR="00A23045">
        <w:rPr>
          <w:lang w:val="en-CA"/>
        </w:rPr>
        <w:t xml:space="preserve"> forthwith </w:t>
      </w:r>
      <w:r w:rsidRPr="001F539E">
        <w:rPr>
          <w:lang w:val="en-CA"/>
        </w:rPr>
        <w:t>to Mexico.</w:t>
      </w:r>
      <w:r w:rsidRPr="001F539E">
        <w:rPr>
          <w:rStyle w:val="Appelnotedebasdep"/>
          <w:lang w:val="en-CA"/>
        </w:rPr>
        <w:footnoteReference w:id="1"/>
      </w:r>
    </w:p>
    <w:p w14:paraId="5872D618" w14:textId="3E35E17A" w:rsidR="0003336D" w:rsidRPr="001F539E" w:rsidRDefault="00757BFA" w:rsidP="00644D8D">
      <w:pPr>
        <w:pStyle w:val="aParagraphe"/>
        <w:numPr>
          <w:ilvl w:val="0"/>
          <w:numId w:val="18"/>
        </w:numPr>
        <w:spacing w:line="240" w:lineRule="auto"/>
        <w:rPr>
          <w:lang w:val="en-CA"/>
        </w:rPr>
      </w:pPr>
      <w:r w:rsidRPr="001F539E">
        <w:rPr>
          <w:lang w:val="en-CA"/>
        </w:rPr>
        <w:t>The evidence regarding the history of the parties</w:t>
      </w:r>
      <w:r w:rsidR="00882E63">
        <w:rPr>
          <w:lang w:val="en-CA"/>
        </w:rPr>
        <w:t>’</w:t>
      </w:r>
      <w:r w:rsidRPr="001F539E">
        <w:rPr>
          <w:lang w:val="en-CA"/>
        </w:rPr>
        <w:t xml:space="preserve"> relationship is contradictory. The appellant testified that the relationship was marked by violence, harassment, confinement and instances of sexual assault. She claims that the respondent forced her to have an abortion during a first pregnancy. The respondent, whose account is corroborated by his mother and sister, testified that the relationship was peaceful and healthy.</w:t>
      </w:r>
    </w:p>
    <w:p w14:paraId="5872D619" w14:textId="3A0EB573" w:rsidR="0003336D" w:rsidRPr="001F539E" w:rsidRDefault="00757BFA" w:rsidP="00644D8D">
      <w:pPr>
        <w:pStyle w:val="aParagraphe"/>
        <w:numPr>
          <w:ilvl w:val="0"/>
          <w:numId w:val="18"/>
        </w:numPr>
        <w:spacing w:line="240" w:lineRule="auto"/>
        <w:rPr>
          <w:lang w:val="en-CA"/>
        </w:rPr>
      </w:pPr>
      <w:r w:rsidRPr="001F539E">
        <w:rPr>
          <w:lang w:val="en-CA"/>
        </w:rPr>
        <w:t xml:space="preserve">After they separated, they continued to have occasional intimate </w:t>
      </w:r>
      <w:r w:rsidR="00F328AB">
        <w:rPr>
          <w:lang w:val="en-CA"/>
        </w:rPr>
        <w:t>encounters</w:t>
      </w:r>
      <w:r w:rsidRPr="001F539E">
        <w:rPr>
          <w:lang w:val="en-CA"/>
        </w:rPr>
        <w:t xml:space="preserve">, which ended in 2017. The appellant discovered that she was </w:t>
      </w:r>
      <w:proofErr w:type="gramStart"/>
      <w:r w:rsidRPr="001F539E">
        <w:rPr>
          <w:lang w:val="en-CA"/>
        </w:rPr>
        <w:t>pregnant, but</w:t>
      </w:r>
      <w:proofErr w:type="gramEnd"/>
      <w:r w:rsidRPr="001F539E">
        <w:rPr>
          <w:lang w:val="en-CA"/>
        </w:rPr>
        <w:t xml:space="preserve"> did not inform the respondent until several months after the child</w:t>
      </w:r>
      <w:r w:rsidR="00882E63">
        <w:rPr>
          <w:lang w:val="en-CA"/>
        </w:rPr>
        <w:t>’</w:t>
      </w:r>
      <w:r w:rsidRPr="001F539E">
        <w:rPr>
          <w:lang w:val="en-CA"/>
        </w:rPr>
        <w:t xml:space="preserve">s birth. </w:t>
      </w:r>
    </w:p>
    <w:p w14:paraId="5872D61A" w14:textId="6F2879D2"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 xml:space="preserve">From </w:t>
      </w:r>
      <w:r w:rsidR="00A96415">
        <w:rPr>
          <w:lang w:val="en-CA"/>
        </w:rPr>
        <w:t>that point forward</w:t>
      </w:r>
      <w:r w:rsidRPr="001F539E">
        <w:rPr>
          <w:lang w:val="en-CA"/>
        </w:rPr>
        <w:t xml:space="preserve">, the respondent fulfilled his financial obligations and saw the child on a regular basis with the consent of the appellant, who had sole custody. The situation became more complicated when the respondent initiated legal proceedings to rectify the act of birth, on which he had not been listed as the father, and to establish </w:t>
      </w:r>
      <w:r w:rsidR="005B62A7">
        <w:rPr>
          <w:lang w:val="en-CA"/>
        </w:rPr>
        <w:t xml:space="preserve">terms of </w:t>
      </w:r>
      <w:r w:rsidRPr="001F539E">
        <w:rPr>
          <w:lang w:val="en-CA"/>
        </w:rPr>
        <w:t xml:space="preserve">custody. </w:t>
      </w:r>
    </w:p>
    <w:p w14:paraId="5872D61B" w14:textId="08A664DE"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act of birth was amended to include the respondent and, on March</w:t>
      </w:r>
      <w:r w:rsidR="00865A57">
        <w:rPr>
          <w:lang w:val="en-CA"/>
        </w:rPr>
        <w:t> </w:t>
      </w:r>
      <w:r w:rsidRPr="001F539E">
        <w:rPr>
          <w:lang w:val="en-CA"/>
        </w:rPr>
        <w:t>22, 2022, the Mexican court confirmed, on an interim basis, the agreement reached between the parties whereby the respondent would be entitled to exercise access rights every other Sunday, between 10</w:t>
      </w:r>
      <w:r w:rsidR="00865A57">
        <w:rPr>
          <w:lang w:val="en-CA"/>
        </w:rPr>
        <w:t> </w:t>
      </w:r>
      <w:r w:rsidRPr="001F539E">
        <w:rPr>
          <w:lang w:val="en-CA"/>
        </w:rPr>
        <w:t>a.m. and 7</w:t>
      </w:r>
      <w:r w:rsidR="00865A57">
        <w:rPr>
          <w:lang w:val="en-CA"/>
        </w:rPr>
        <w:t> </w:t>
      </w:r>
      <w:r w:rsidRPr="001F539E">
        <w:rPr>
          <w:lang w:val="en-CA"/>
        </w:rPr>
        <w:t xml:space="preserve">p.m. </w:t>
      </w:r>
    </w:p>
    <w:p w14:paraId="5872D61C" w14:textId="77777777"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first six accesses appeared to go smoothly.</w:t>
      </w:r>
    </w:p>
    <w:p w14:paraId="5872D61D" w14:textId="09430E62"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In June 2022, the respondent, who was living a two</w:t>
      </w:r>
      <w:r w:rsidR="00EF3903">
        <w:rPr>
          <w:lang w:val="en-CA"/>
        </w:rPr>
        <w:noBreakHyphen/>
      </w:r>
      <w:r w:rsidRPr="001F539E">
        <w:rPr>
          <w:lang w:val="en-CA"/>
        </w:rPr>
        <w:t>hour drive from the appellant</w:t>
      </w:r>
      <w:r w:rsidR="00882E63">
        <w:rPr>
          <w:lang w:val="en-CA"/>
        </w:rPr>
        <w:t>’</w:t>
      </w:r>
      <w:r w:rsidRPr="001F539E">
        <w:rPr>
          <w:lang w:val="en-CA"/>
        </w:rPr>
        <w:t>s home, was unable to bring the child back at the agreed upon time because his car had broken down. The appellant reacted vehemently and asked the police to intervene. Following this incident, she refused to allow the father to exercise his access rights. She considered that the child had been the victim of an attempted abduction and claimed that</w:t>
      </w:r>
      <w:r w:rsidR="003E0270">
        <w:rPr>
          <w:lang w:val="en-CA"/>
        </w:rPr>
        <w:t xml:space="preserve"> </w:t>
      </w:r>
      <w:r w:rsidR="00375124">
        <w:rPr>
          <w:lang w:val="en-CA"/>
        </w:rPr>
        <w:t xml:space="preserve">she </w:t>
      </w:r>
      <w:r w:rsidRPr="001F539E">
        <w:rPr>
          <w:lang w:val="en-CA"/>
        </w:rPr>
        <w:t>had been sexually abused during that night at her father</w:t>
      </w:r>
      <w:r w:rsidR="00882E63">
        <w:rPr>
          <w:lang w:val="en-CA"/>
        </w:rPr>
        <w:t>’</w:t>
      </w:r>
      <w:r w:rsidRPr="001F539E">
        <w:rPr>
          <w:lang w:val="en-CA"/>
        </w:rPr>
        <w:t xml:space="preserve">s house. He denied </w:t>
      </w:r>
      <w:proofErr w:type="gramStart"/>
      <w:r w:rsidRPr="001F539E">
        <w:rPr>
          <w:lang w:val="en-CA"/>
        </w:rPr>
        <w:t>all of</w:t>
      </w:r>
      <w:proofErr w:type="gramEnd"/>
      <w:r w:rsidRPr="001F539E">
        <w:rPr>
          <w:lang w:val="en-CA"/>
        </w:rPr>
        <w:t xml:space="preserve"> these allegations and asserted that the child had spent the night with her aunt, which the aunt confirmed.</w:t>
      </w:r>
    </w:p>
    <w:p w14:paraId="5872D61E" w14:textId="3EB3F38C"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On July</w:t>
      </w:r>
      <w:r w:rsidR="00EF3903">
        <w:rPr>
          <w:lang w:val="en-CA"/>
        </w:rPr>
        <w:t> </w:t>
      </w:r>
      <w:r w:rsidRPr="001F539E">
        <w:rPr>
          <w:lang w:val="en-CA"/>
        </w:rPr>
        <w:t xml:space="preserve">26, 2022, without notifying the respondent, the appellant left Mexico with the child and her mother and arrived in Canada, where she applied for asylum upon arrival. No decision has yet been rendered on </w:t>
      </w:r>
      <w:r w:rsidR="00EF3903">
        <w:rPr>
          <w:lang w:val="en-CA"/>
        </w:rPr>
        <w:t xml:space="preserve">the </w:t>
      </w:r>
      <w:r w:rsidRPr="001F539E">
        <w:rPr>
          <w:lang w:val="en-CA"/>
        </w:rPr>
        <w:t>asylum</w:t>
      </w:r>
      <w:r w:rsidR="00EF3903">
        <w:rPr>
          <w:lang w:val="en-CA"/>
        </w:rPr>
        <w:t xml:space="preserve"> application</w:t>
      </w:r>
      <w:r w:rsidRPr="001F539E">
        <w:rPr>
          <w:lang w:val="en-CA"/>
        </w:rPr>
        <w:t xml:space="preserve">. The appellant established herself in City A, where she found a job as a daycare teacher. </w:t>
      </w:r>
    </w:p>
    <w:p w14:paraId="5872D61F" w14:textId="77C71320"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In September 2022, upon realizing that the child had disappeared, the respondent took steps to locate her</w:t>
      </w:r>
      <w:r w:rsidRPr="001F539E">
        <w:rPr>
          <w:rStyle w:val="Appelnotedebasdep"/>
          <w:lang w:val="en-CA"/>
        </w:rPr>
        <w:footnoteReference w:id="2"/>
      </w:r>
      <w:r w:rsidRPr="001F539E">
        <w:rPr>
          <w:lang w:val="en-CA"/>
        </w:rPr>
        <w:t xml:space="preserve"> and to secure her return to Mexico. For various reasons, it was </w:t>
      </w:r>
      <w:r w:rsidRPr="001F539E">
        <w:rPr>
          <w:lang w:val="en-CA"/>
        </w:rPr>
        <w:lastRenderedPageBreak/>
        <w:t>not until 20 months after the child</w:t>
      </w:r>
      <w:r w:rsidR="00882E63">
        <w:rPr>
          <w:lang w:val="en-CA"/>
        </w:rPr>
        <w:t>’</w:t>
      </w:r>
      <w:r w:rsidRPr="001F539E">
        <w:rPr>
          <w:lang w:val="en-CA"/>
        </w:rPr>
        <w:t>s departure — namely, in March</w:t>
      </w:r>
      <w:r w:rsidR="00DC0243">
        <w:rPr>
          <w:lang w:val="en-CA"/>
        </w:rPr>
        <w:t> </w:t>
      </w:r>
      <w:r w:rsidRPr="001F539E">
        <w:rPr>
          <w:lang w:val="en-CA"/>
        </w:rPr>
        <w:t>2024 — that he initiated proceedings to that effect in Quebec. The hearing was held from October</w:t>
      </w:r>
      <w:r w:rsidR="00DC0243">
        <w:rPr>
          <w:lang w:val="en-CA"/>
        </w:rPr>
        <w:t> </w:t>
      </w:r>
      <w:r w:rsidRPr="001F539E">
        <w:rPr>
          <w:lang w:val="en-CA"/>
        </w:rPr>
        <w:t>7 to</w:t>
      </w:r>
      <w:r w:rsidR="00DC0243">
        <w:rPr>
          <w:lang w:val="en-CA"/>
        </w:rPr>
        <w:t> </w:t>
      </w:r>
      <w:r w:rsidRPr="001F539E">
        <w:rPr>
          <w:lang w:val="en-CA"/>
        </w:rPr>
        <w:t>9, 2024, more than two years after the child</w:t>
      </w:r>
      <w:r w:rsidR="00882E63">
        <w:rPr>
          <w:lang w:val="en-CA"/>
        </w:rPr>
        <w:t>’</w:t>
      </w:r>
      <w:r w:rsidRPr="001F539E">
        <w:rPr>
          <w:lang w:val="en-CA"/>
        </w:rPr>
        <w:t xml:space="preserve">s departure. </w:t>
      </w:r>
    </w:p>
    <w:p w14:paraId="5872D620" w14:textId="5316069B" w:rsidR="0003336D" w:rsidRPr="00AF08B6" w:rsidRDefault="00757BFA" w:rsidP="00644D8D">
      <w:pPr>
        <w:pStyle w:val="aParagraphe"/>
        <w:numPr>
          <w:ilvl w:val="0"/>
          <w:numId w:val="18"/>
        </w:numPr>
        <w:tabs>
          <w:tab w:val="clear" w:pos="720"/>
        </w:tabs>
        <w:spacing w:line="240" w:lineRule="auto"/>
        <w:rPr>
          <w:lang w:val="en-CA"/>
        </w:rPr>
      </w:pPr>
      <w:r w:rsidRPr="001F539E">
        <w:rPr>
          <w:lang w:val="en-CA"/>
        </w:rPr>
        <w:t xml:space="preserve">The </w:t>
      </w:r>
      <w:r w:rsidRPr="001F539E">
        <w:rPr>
          <w:i/>
          <w:iCs/>
          <w:lang w:val="en-CA"/>
        </w:rPr>
        <w:t xml:space="preserve">Act respecting the civil aspects of international and interprovincial child abduction </w:t>
      </w:r>
      <w:r w:rsidRPr="001F539E">
        <w:rPr>
          <w:lang w:val="en-CA"/>
        </w:rPr>
        <w:t xml:space="preserve">(the </w:t>
      </w:r>
      <w:r w:rsidR="00882E63">
        <w:rPr>
          <w:lang w:val="en-CA"/>
        </w:rPr>
        <w:t>“</w:t>
      </w:r>
      <w:r w:rsidRPr="001F539E">
        <w:rPr>
          <w:i/>
          <w:iCs/>
          <w:lang w:val="en-CA"/>
        </w:rPr>
        <w:t>Act</w:t>
      </w:r>
      <w:r w:rsidR="00882E63">
        <w:rPr>
          <w:lang w:val="en-CA"/>
        </w:rPr>
        <w:t>”</w:t>
      </w:r>
      <w:r w:rsidRPr="001F539E">
        <w:rPr>
          <w:lang w:val="en-CA"/>
        </w:rPr>
        <w:t>),</w:t>
      </w:r>
      <w:r w:rsidRPr="001F539E">
        <w:rPr>
          <w:rStyle w:val="Appelnotedebasdep"/>
          <w:lang w:val="en-CA"/>
        </w:rPr>
        <w:footnoteReference w:id="3"/>
      </w:r>
      <w:r w:rsidRPr="001F539E">
        <w:rPr>
          <w:lang w:val="en-CA"/>
        </w:rPr>
        <w:t xml:space="preserve"> which subscribes to the principles set forth in the </w:t>
      </w:r>
      <w:r w:rsidRPr="001F539E">
        <w:rPr>
          <w:i/>
          <w:iCs/>
          <w:lang w:val="en-CA"/>
        </w:rPr>
        <w:t>Hague Convention of 25</w:t>
      </w:r>
      <w:r w:rsidR="00F807F6">
        <w:rPr>
          <w:i/>
          <w:iCs/>
          <w:lang w:val="en-CA"/>
        </w:rPr>
        <w:t> </w:t>
      </w:r>
      <w:r w:rsidRPr="001F539E">
        <w:rPr>
          <w:i/>
          <w:iCs/>
          <w:lang w:val="en-CA"/>
        </w:rPr>
        <w:t>October 1980</w:t>
      </w:r>
      <w:r w:rsidRPr="001F539E">
        <w:rPr>
          <w:lang w:val="en-CA"/>
        </w:rPr>
        <w:t>,</w:t>
      </w:r>
      <w:r w:rsidRPr="001F539E">
        <w:rPr>
          <w:rStyle w:val="Appelnotedebasdep"/>
          <w:lang w:val="en-CA"/>
        </w:rPr>
        <w:footnoteReference w:id="4"/>
      </w:r>
      <w:r w:rsidRPr="001F539E">
        <w:rPr>
          <w:lang w:val="en-CA"/>
        </w:rPr>
        <w:t xml:space="preserve"> of which Mexico is also a signatory (the </w:t>
      </w:r>
      <w:r w:rsidR="00882E63">
        <w:rPr>
          <w:lang w:val="en-CA"/>
        </w:rPr>
        <w:t>“</w:t>
      </w:r>
      <w:r w:rsidRPr="001F539E">
        <w:rPr>
          <w:i/>
          <w:iCs/>
          <w:lang w:val="en-CA"/>
        </w:rPr>
        <w:t>Convention</w:t>
      </w:r>
      <w:r w:rsidR="00882E63">
        <w:rPr>
          <w:lang w:val="en-CA"/>
        </w:rPr>
        <w:t>”</w:t>
      </w:r>
      <w:r w:rsidRPr="001F539E">
        <w:rPr>
          <w:lang w:val="en-CA"/>
        </w:rPr>
        <w:t xml:space="preserve">), </w:t>
      </w:r>
      <w:r w:rsidR="00B94266" w:rsidRPr="00AF08B6">
        <w:rPr>
          <w:lang w:val="en-CA"/>
        </w:rPr>
        <w:t xml:space="preserve">governs </w:t>
      </w:r>
      <w:r w:rsidRPr="00AF08B6">
        <w:rPr>
          <w:lang w:val="en-CA"/>
        </w:rPr>
        <w:t>the respondent</w:t>
      </w:r>
      <w:r w:rsidR="00882E63" w:rsidRPr="00AF08B6">
        <w:rPr>
          <w:lang w:val="en-CA"/>
        </w:rPr>
        <w:t>’</w:t>
      </w:r>
      <w:r w:rsidRPr="00AF08B6">
        <w:rPr>
          <w:lang w:val="en-CA"/>
        </w:rPr>
        <w:t>s application and is the relevant legal framework.</w:t>
      </w:r>
    </w:p>
    <w:p w14:paraId="5872D621" w14:textId="2047AEA5"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appellant challenged the application for the child</w:t>
      </w:r>
      <w:r w:rsidR="00882E63">
        <w:rPr>
          <w:lang w:val="en-CA"/>
        </w:rPr>
        <w:t>’</w:t>
      </w:r>
      <w:r w:rsidRPr="001F539E">
        <w:rPr>
          <w:lang w:val="en-CA"/>
        </w:rPr>
        <w:t>s return. She invoke</w:t>
      </w:r>
      <w:r w:rsidR="002406E3">
        <w:rPr>
          <w:lang w:val="en-CA"/>
        </w:rPr>
        <w:t>d</w:t>
      </w:r>
      <w:r w:rsidRPr="001F539E">
        <w:rPr>
          <w:lang w:val="en-CA"/>
        </w:rPr>
        <w:t xml:space="preserve"> the limited exception </w:t>
      </w:r>
      <w:r w:rsidR="00BE0928">
        <w:rPr>
          <w:lang w:val="en-CA"/>
        </w:rPr>
        <w:t xml:space="preserve">of </w:t>
      </w:r>
      <w:r w:rsidRPr="001F539E">
        <w:rPr>
          <w:lang w:val="en-CA"/>
        </w:rPr>
        <w:t>settlement in a new environment provided for in the second paragraph of s.</w:t>
      </w:r>
      <w:r w:rsidR="00F807F6">
        <w:rPr>
          <w:lang w:val="en-CA"/>
        </w:rPr>
        <w:t> </w:t>
      </w:r>
      <w:r w:rsidRPr="001F539E">
        <w:rPr>
          <w:lang w:val="en-CA"/>
        </w:rPr>
        <w:t xml:space="preserve">20 of the </w:t>
      </w:r>
      <w:r w:rsidRPr="001F539E">
        <w:rPr>
          <w:i/>
          <w:iCs/>
          <w:lang w:val="en-CA"/>
        </w:rPr>
        <w:t>Act</w:t>
      </w:r>
      <w:r w:rsidRPr="001F539E">
        <w:rPr>
          <w:lang w:val="en-CA"/>
        </w:rPr>
        <w:t>:</w:t>
      </w:r>
    </w:p>
    <w:tbl>
      <w:tblPr>
        <w:tblW w:w="0" w:type="auto"/>
        <w:tblCellMar>
          <w:left w:w="70" w:type="dxa"/>
          <w:right w:w="70" w:type="dxa"/>
        </w:tblCellMar>
        <w:tblLook w:val="0000" w:firstRow="0" w:lastRow="0" w:firstColumn="0" w:lastColumn="0" w:noHBand="0" w:noVBand="0"/>
      </w:tblPr>
      <w:tblGrid>
        <w:gridCol w:w="4683"/>
        <w:gridCol w:w="4679"/>
      </w:tblGrid>
      <w:tr w:rsidR="000B75A1" w:rsidRPr="001F539E" w14:paraId="5872D62A" w14:textId="77777777" w:rsidTr="00272F35">
        <w:tc>
          <w:tcPr>
            <w:tcW w:w="4683" w:type="dxa"/>
          </w:tcPr>
          <w:p w14:paraId="5872D622" w14:textId="77777777" w:rsidR="00BB42A5" w:rsidRPr="001F539E" w:rsidRDefault="00757BFA" w:rsidP="00984C17">
            <w:pPr>
              <w:pStyle w:val="dLoientableauFR"/>
              <w:spacing w:before="120" w:after="0"/>
              <w:rPr>
                <w:lang w:val="en-CA"/>
              </w:rPr>
            </w:pPr>
            <w:r w:rsidRPr="001F539E">
              <w:rPr>
                <w:b/>
                <w:bCs/>
                <w:lang w:val="en-CA"/>
              </w:rPr>
              <w:t>20.</w:t>
            </w:r>
            <w:r w:rsidRPr="001F539E">
              <w:rPr>
                <w:lang w:val="en-CA"/>
              </w:rPr>
              <w:t xml:space="preserve"> Where a child who is in Québec has been wrongfully removed or retained and where, at the time of commencement of the proceedings before the Superior Court, a period of less than one year has elapsed from the date of the removal or retention, the Superior Court shall order the return of the child forthwith.</w:t>
            </w:r>
          </w:p>
          <w:p w14:paraId="5872D623" w14:textId="77777777" w:rsidR="00984C17" w:rsidRPr="001F539E" w:rsidRDefault="00984C17" w:rsidP="009136F5">
            <w:pPr>
              <w:pStyle w:val="dLoientableauFR"/>
              <w:spacing w:before="0" w:after="0"/>
              <w:rPr>
                <w:lang w:val="en-CA"/>
              </w:rPr>
            </w:pPr>
          </w:p>
          <w:p w14:paraId="5872D624" w14:textId="77777777" w:rsidR="00984C17" w:rsidRPr="001F539E" w:rsidRDefault="00757BFA" w:rsidP="00216102">
            <w:pPr>
              <w:pStyle w:val="dLoientableauFR"/>
              <w:spacing w:before="0" w:after="0"/>
              <w:rPr>
                <w:lang w:val="en-CA"/>
              </w:rPr>
            </w:pPr>
            <w:r w:rsidRPr="001F539E">
              <w:rPr>
                <w:lang w:val="en-CA"/>
              </w:rPr>
              <w:t xml:space="preserve">The Superior Court, even where the proceedings have been commenced after the expiration of the period of one year, shall also order the return of the child, </w:t>
            </w:r>
            <w:r w:rsidRPr="001F539E">
              <w:rPr>
                <w:u w:val="single"/>
                <w:lang w:val="en-CA"/>
              </w:rPr>
              <w:t>unless it is demonstrated that the child is now settled in his or her new environment</w:t>
            </w:r>
            <w:r w:rsidRPr="001F539E">
              <w:rPr>
                <w:lang w:val="en-CA"/>
              </w:rPr>
              <w:t>.</w:t>
            </w:r>
          </w:p>
          <w:p w14:paraId="5872D626" w14:textId="77777777" w:rsidR="0003336D" w:rsidRPr="001F539E" w:rsidRDefault="00757BFA" w:rsidP="00F807F6">
            <w:pPr>
              <w:pStyle w:val="dLoientableauFR"/>
              <w:spacing w:before="240"/>
              <w:jc w:val="right"/>
              <w:rPr>
                <w:lang w:val="en-CA"/>
              </w:rPr>
            </w:pPr>
            <w:r w:rsidRPr="001F539E">
              <w:rPr>
                <w:lang w:val="en-CA"/>
              </w:rPr>
              <w:t>[Underlining added]</w:t>
            </w:r>
          </w:p>
        </w:tc>
        <w:tc>
          <w:tcPr>
            <w:tcW w:w="4679" w:type="dxa"/>
          </w:tcPr>
          <w:p w14:paraId="5872D627" w14:textId="2559C337" w:rsidR="0003336D" w:rsidRPr="00261F86" w:rsidRDefault="00757BFA" w:rsidP="009136F5">
            <w:pPr>
              <w:pStyle w:val="dLoientableauEN"/>
              <w:spacing w:before="120" w:after="0"/>
              <w:rPr>
                <w:lang w:val="fr-CA"/>
              </w:rPr>
            </w:pPr>
            <w:r w:rsidRPr="00261F86">
              <w:rPr>
                <w:b/>
                <w:bCs/>
                <w:lang w:val="fr-CA"/>
              </w:rPr>
              <w:t>20.</w:t>
            </w:r>
            <w:r w:rsidRPr="00261F86">
              <w:rPr>
                <w:lang w:val="fr-CA"/>
              </w:rPr>
              <w:t xml:space="preserve"> Lorsqu</w:t>
            </w:r>
            <w:r w:rsidR="00882E63" w:rsidRPr="00261F86">
              <w:rPr>
                <w:lang w:val="fr-CA"/>
              </w:rPr>
              <w:t>’</w:t>
            </w:r>
            <w:r w:rsidRPr="00261F86">
              <w:rPr>
                <w:lang w:val="fr-CA"/>
              </w:rPr>
              <w:t>un enfant qui se trouve au Québec a été déplacé ou retenu illicitement et qu</w:t>
            </w:r>
            <w:r w:rsidR="00882E63" w:rsidRPr="00261F86">
              <w:rPr>
                <w:lang w:val="fr-CA"/>
              </w:rPr>
              <w:t>’</w:t>
            </w:r>
            <w:r w:rsidRPr="00261F86">
              <w:rPr>
                <w:lang w:val="fr-CA"/>
              </w:rPr>
              <w:t>une période de moins d</w:t>
            </w:r>
            <w:r w:rsidR="00882E63" w:rsidRPr="00261F86">
              <w:rPr>
                <w:lang w:val="fr-CA"/>
              </w:rPr>
              <w:t>’</w:t>
            </w:r>
            <w:r w:rsidRPr="00261F86">
              <w:rPr>
                <w:lang w:val="fr-CA"/>
              </w:rPr>
              <w:t>un an s</w:t>
            </w:r>
            <w:r w:rsidR="00882E63" w:rsidRPr="00261F86">
              <w:rPr>
                <w:lang w:val="fr-CA"/>
              </w:rPr>
              <w:t>’</w:t>
            </w:r>
            <w:r w:rsidRPr="00261F86">
              <w:rPr>
                <w:lang w:val="fr-CA"/>
              </w:rPr>
              <w:t>est écoulée à partir du déplacement ou du non-retour au moment de l</w:t>
            </w:r>
            <w:r w:rsidR="00882E63" w:rsidRPr="00261F86">
              <w:rPr>
                <w:lang w:val="fr-CA"/>
              </w:rPr>
              <w:t>’</w:t>
            </w:r>
            <w:r w:rsidRPr="00261F86">
              <w:rPr>
                <w:lang w:val="fr-CA"/>
              </w:rPr>
              <w:t>introduction de la demande devant la Cour supérieure, celle-ci ordonne son retour immédiat.</w:t>
            </w:r>
          </w:p>
          <w:p w14:paraId="434D3693" w14:textId="77777777" w:rsidR="009136F5" w:rsidRPr="00261F86" w:rsidRDefault="009136F5" w:rsidP="0003336D">
            <w:pPr>
              <w:pStyle w:val="dLoientableauEN"/>
              <w:rPr>
                <w:lang w:val="fr-CA"/>
              </w:rPr>
            </w:pPr>
          </w:p>
          <w:p w14:paraId="5872D628" w14:textId="7745940A" w:rsidR="0003336D" w:rsidRPr="00261F86" w:rsidRDefault="00757BFA" w:rsidP="009136F5">
            <w:pPr>
              <w:pStyle w:val="dLoientableauEN"/>
              <w:spacing w:before="120" w:after="0"/>
              <w:rPr>
                <w:lang w:val="fr-CA"/>
              </w:rPr>
            </w:pPr>
            <w:r w:rsidRPr="00261F86">
              <w:rPr>
                <w:lang w:val="fr-CA"/>
              </w:rPr>
              <w:t>Même si la demande est introduite après l</w:t>
            </w:r>
            <w:r w:rsidR="00882E63" w:rsidRPr="00261F86">
              <w:rPr>
                <w:lang w:val="fr-CA"/>
              </w:rPr>
              <w:t>’</w:t>
            </w:r>
            <w:r w:rsidRPr="00261F86">
              <w:rPr>
                <w:lang w:val="fr-CA"/>
              </w:rPr>
              <w:t>expiration de cette période, la Cour supérieure ordonne également le retour de l</w:t>
            </w:r>
            <w:r w:rsidR="00882E63" w:rsidRPr="00261F86">
              <w:rPr>
                <w:lang w:val="fr-CA"/>
              </w:rPr>
              <w:t>’</w:t>
            </w:r>
            <w:r w:rsidRPr="00261F86">
              <w:rPr>
                <w:lang w:val="fr-CA"/>
              </w:rPr>
              <w:t xml:space="preserve">enfant, </w:t>
            </w:r>
            <w:r w:rsidRPr="00261F86">
              <w:rPr>
                <w:u w:val="single"/>
                <w:lang w:val="fr-CA"/>
              </w:rPr>
              <w:t>à moins qu</w:t>
            </w:r>
            <w:r w:rsidR="00882E63" w:rsidRPr="00261F86">
              <w:rPr>
                <w:u w:val="single"/>
                <w:lang w:val="fr-CA"/>
              </w:rPr>
              <w:t>’</w:t>
            </w:r>
            <w:r w:rsidRPr="00261F86">
              <w:rPr>
                <w:u w:val="single"/>
                <w:lang w:val="fr-CA"/>
              </w:rPr>
              <w:t>il ne soit établi que ce dernier s</w:t>
            </w:r>
            <w:r w:rsidR="00882E63" w:rsidRPr="00261F86">
              <w:rPr>
                <w:u w:val="single"/>
                <w:lang w:val="fr-CA"/>
              </w:rPr>
              <w:t>’</w:t>
            </w:r>
            <w:r w:rsidRPr="00261F86">
              <w:rPr>
                <w:u w:val="single"/>
                <w:lang w:val="fr-CA"/>
              </w:rPr>
              <w:t>est intégré dans son nouveau milieu</w:t>
            </w:r>
            <w:r w:rsidRPr="00261F86">
              <w:rPr>
                <w:lang w:val="fr-CA"/>
              </w:rPr>
              <w:t>.</w:t>
            </w:r>
          </w:p>
          <w:p w14:paraId="66DD9641" w14:textId="77777777" w:rsidR="00F807F6" w:rsidRDefault="00F807F6" w:rsidP="00216102">
            <w:pPr>
              <w:pStyle w:val="dLoientableauEN"/>
              <w:ind w:left="629"/>
              <w:jc w:val="right"/>
              <w:rPr>
                <w:lang w:val="fr-CA"/>
              </w:rPr>
            </w:pPr>
          </w:p>
          <w:p w14:paraId="5872D629" w14:textId="491FDFE8" w:rsidR="0003336D" w:rsidRPr="001F539E" w:rsidRDefault="00757BFA" w:rsidP="00216102">
            <w:pPr>
              <w:pStyle w:val="dLoientableauEN"/>
              <w:ind w:left="629"/>
              <w:jc w:val="right"/>
            </w:pPr>
            <w:r w:rsidRPr="00261F86">
              <w:rPr>
                <w:lang w:val="fr-CA"/>
              </w:rPr>
              <w:t>[Soulignement ajouté]</w:t>
            </w:r>
          </w:p>
        </w:tc>
      </w:tr>
    </w:tbl>
    <w:p w14:paraId="5872D62B" w14:textId="7D5B6957" w:rsidR="0003336D" w:rsidRPr="001F539E" w:rsidRDefault="00757BFA" w:rsidP="00644D8D">
      <w:pPr>
        <w:pStyle w:val="aParagraphe"/>
        <w:numPr>
          <w:ilvl w:val="0"/>
          <w:numId w:val="18"/>
        </w:numPr>
        <w:tabs>
          <w:tab w:val="clear" w:pos="720"/>
        </w:tabs>
        <w:spacing w:line="240" w:lineRule="auto"/>
        <w:rPr>
          <w:lang w:val="en-CA"/>
        </w:rPr>
      </w:pPr>
      <w:proofErr w:type="gramStart"/>
      <w:r w:rsidRPr="001F539E">
        <w:rPr>
          <w:lang w:val="en-CA"/>
        </w:rPr>
        <w:t>In order to</w:t>
      </w:r>
      <w:proofErr w:type="gramEnd"/>
      <w:r w:rsidRPr="001F539E">
        <w:rPr>
          <w:lang w:val="en-CA"/>
        </w:rPr>
        <w:t xml:space="preserve"> avail herself of this exception the appellant therefore had to show that the child had settled in</w:t>
      </w:r>
      <w:r w:rsidR="00E637FF">
        <w:rPr>
          <w:lang w:val="en-CA"/>
        </w:rPr>
        <w:t xml:space="preserve"> </w:t>
      </w:r>
      <w:r w:rsidRPr="001F539E">
        <w:rPr>
          <w:lang w:val="en-CA"/>
        </w:rPr>
        <w:t xml:space="preserve">her environment. </w:t>
      </w:r>
    </w:p>
    <w:p w14:paraId="5872D62C" w14:textId="75D96E7D"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 xml:space="preserve">At trial, she also argued that the child should not be returned </w:t>
      </w:r>
      <w:proofErr w:type="gramStart"/>
      <w:r w:rsidRPr="001F539E">
        <w:rPr>
          <w:lang w:val="en-CA"/>
        </w:rPr>
        <w:t>in order to</w:t>
      </w:r>
      <w:proofErr w:type="gramEnd"/>
      <w:r w:rsidRPr="001F539E">
        <w:rPr>
          <w:lang w:val="en-CA"/>
        </w:rPr>
        <w:t xml:space="preserve"> protect her against </w:t>
      </w:r>
      <w:r w:rsidR="00882E63">
        <w:rPr>
          <w:lang w:val="en-CA"/>
        </w:rPr>
        <w:t>“</w:t>
      </w:r>
      <w:r w:rsidRPr="001F539E">
        <w:rPr>
          <w:lang w:val="en-CA"/>
        </w:rPr>
        <w:t>physical or psychological</w:t>
      </w:r>
      <w:r w:rsidR="00882E63">
        <w:rPr>
          <w:lang w:val="en-CA"/>
        </w:rPr>
        <w:t>”</w:t>
      </w:r>
      <w:r w:rsidRPr="001F539E">
        <w:rPr>
          <w:lang w:val="en-CA"/>
        </w:rPr>
        <w:t xml:space="preserve"> harm and avoid placing her in an intolerable situation</w:t>
      </w:r>
      <w:r w:rsidRPr="001F539E">
        <w:rPr>
          <w:rStyle w:val="Appelnotedebasdep"/>
          <w:lang w:val="en-CA"/>
        </w:rPr>
        <w:footnoteReference w:id="5"/>
      </w:r>
      <w:r w:rsidRPr="001F539E">
        <w:rPr>
          <w:lang w:val="en-CA"/>
        </w:rPr>
        <w:t xml:space="preserve"> </w:t>
      </w:r>
      <w:r w:rsidRPr="001F539E">
        <w:rPr>
          <w:lang w:val="en-CA"/>
        </w:rPr>
        <w:lastRenderedPageBreak/>
        <w:t>due to the political situation in Mexico and the respondent</w:t>
      </w:r>
      <w:r w:rsidR="00882E63">
        <w:rPr>
          <w:lang w:val="en-CA"/>
        </w:rPr>
        <w:t>’</w:t>
      </w:r>
      <w:r w:rsidRPr="001F539E">
        <w:rPr>
          <w:lang w:val="en-CA"/>
        </w:rPr>
        <w:t>s violent conduct. She did not reiterate this ground before the Court.</w:t>
      </w:r>
    </w:p>
    <w:p w14:paraId="5872D62D" w14:textId="77777777" w:rsidR="0003336D" w:rsidRPr="001F539E" w:rsidRDefault="00757BFA" w:rsidP="00644D8D">
      <w:pPr>
        <w:pStyle w:val="aParagraphe"/>
        <w:tabs>
          <w:tab w:val="clear" w:pos="720"/>
        </w:tabs>
        <w:spacing w:line="240" w:lineRule="auto"/>
        <w:ind w:left="4248"/>
        <w:rPr>
          <w:lang w:val="en-CA"/>
        </w:rPr>
      </w:pPr>
      <w:r w:rsidRPr="001F539E">
        <w:rPr>
          <w:lang w:val="en-CA"/>
        </w:rPr>
        <w:t>***</w:t>
      </w:r>
    </w:p>
    <w:p w14:paraId="5872D62E" w14:textId="33ACE175"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trial judge did not find the appellant to be credible when she testified about the violence she and the child had allegedly been exposed to.</w:t>
      </w:r>
      <w:r w:rsidRPr="001F539E">
        <w:rPr>
          <w:rStyle w:val="Appelnotedebasdep"/>
          <w:lang w:val="en-CA"/>
        </w:rPr>
        <w:footnoteReference w:id="6"/>
      </w:r>
      <w:r w:rsidRPr="001F539E">
        <w:rPr>
          <w:lang w:val="en-CA"/>
        </w:rPr>
        <w:t xml:space="preserve"> Indeed, the Court notes that</w:t>
      </w:r>
      <w:r w:rsidR="000A3807">
        <w:rPr>
          <w:lang w:val="en-CA"/>
        </w:rPr>
        <w:t>, in so finding,</w:t>
      </w:r>
      <w:r w:rsidRPr="001F539E">
        <w:rPr>
          <w:lang w:val="en-CA"/>
        </w:rPr>
        <w:t xml:space="preserve"> the trial judge </w:t>
      </w:r>
      <w:r w:rsidR="00AF2F09">
        <w:rPr>
          <w:lang w:val="en-CA"/>
        </w:rPr>
        <w:t xml:space="preserve">used </w:t>
      </w:r>
      <w:r w:rsidRPr="001F539E">
        <w:rPr>
          <w:lang w:val="en-CA"/>
        </w:rPr>
        <w:t>particularly strong terms. She stated that the appellant</w:t>
      </w:r>
      <w:r w:rsidR="00882E63">
        <w:rPr>
          <w:lang w:val="en-CA"/>
        </w:rPr>
        <w:t>’</w:t>
      </w:r>
      <w:r w:rsidRPr="001F539E">
        <w:rPr>
          <w:lang w:val="en-CA"/>
        </w:rPr>
        <w:t>s testimony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reveals a certain paranoia or, at the very least, a delusion of persecution</w:t>
      </w:r>
      <w:r w:rsidR="00882E63">
        <w:rPr>
          <w:lang w:val="en-CA"/>
        </w:rPr>
        <w:t>”</w:t>
      </w:r>
      <w:r w:rsidRPr="001F539E">
        <w:rPr>
          <w:rStyle w:val="Appelnotedebasdep"/>
          <w:lang w:val="en-CA"/>
        </w:rPr>
        <w:footnoteReference w:id="7"/>
      </w:r>
      <w:r w:rsidRPr="001F539E">
        <w:rPr>
          <w:lang w:val="en-CA"/>
        </w:rPr>
        <w:t xml:space="preserve"> even though no evidence to that effect had been presented. That being so, she dismissed the argument that the child would face a grave risk of harm if she were returned. This conclusion is not challenged on appeal.</w:t>
      </w:r>
    </w:p>
    <w:p w14:paraId="5872D62F" w14:textId="06EC9A54" w:rsidR="0003336D" w:rsidRPr="001F539E" w:rsidRDefault="00757BFA" w:rsidP="00644D8D">
      <w:pPr>
        <w:pStyle w:val="aParagraphe"/>
        <w:numPr>
          <w:ilvl w:val="0"/>
          <w:numId w:val="18"/>
        </w:numPr>
        <w:spacing w:line="240" w:lineRule="auto"/>
        <w:rPr>
          <w:lang w:val="en-CA"/>
        </w:rPr>
      </w:pPr>
      <w:r w:rsidRPr="001F539E">
        <w:rPr>
          <w:lang w:val="en-CA"/>
        </w:rPr>
        <w:t>The judge then concluded that there was no evidence that the child had settled in her environment. After having analyzed the evidence, she found that there was a lack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of genuine ties of settlement in Quebec and in Quebec and Canadian culture</w:t>
      </w:r>
      <w:r w:rsidR="00882E63">
        <w:rPr>
          <w:lang w:val="en-CA"/>
        </w:rPr>
        <w:t>”</w:t>
      </w:r>
      <w:r w:rsidRPr="001F539E">
        <w:rPr>
          <w:lang w:val="en-CA"/>
        </w:rPr>
        <w:t>.</w:t>
      </w:r>
      <w:r w:rsidRPr="001F539E">
        <w:rPr>
          <w:rStyle w:val="Appelnotedebasdep"/>
          <w:lang w:val="en-CA"/>
        </w:rPr>
        <w:footnoteReference w:id="8"/>
      </w:r>
      <w:r w:rsidRPr="001F539E">
        <w:rPr>
          <w:lang w:val="en-CA"/>
        </w:rPr>
        <w:t xml:space="preserve"> She pointed to the absence of elements that would support the conclusion that the child had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truly adopted […] local norms, values, traditions</w:t>
      </w:r>
      <w:r w:rsidR="00882E63">
        <w:rPr>
          <w:lang w:val="en-CA"/>
        </w:rPr>
        <w:t>”</w:t>
      </w:r>
      <w:r w:rsidRPr="001F539E">
        <w:rPr>
          <w:lang w:val="en-CA"/>
        </w:rPr>
        <w:t>,</w:t>
      </w:r>
      <w:r w:rsidRPr="001F539E">
        <w:rPr>
          <w:rStyle w:val="Appelnotedebasdep"/>
          <w:lang w:val="en-CA"/>
        </w:rPr>
        <w:footnoteReference w:id="9"/>
      </w:r>
      <w:r w:rsidRPr="001F539E">
        <w:rPr>
          <w:lang w:val="en-CA"/>
        </w:rPr>
        <w:t xml:space="preserve"> thereby imposing a burden on the appellant to establish a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shift in identity or a deep sense of connection or identification with Quebec or Canadian culture</w:t>
      </w:r>
      <w:r w:rsidR="00882E63">
        <w:rPr>
          <w:lang w:val="en-CA"/>
        </w:rPr>
        <w:t>”</w:t>
      </w:r>
      <w:r w:rsidRPr="001F539E">
        <w:rPr>
          <w:rStyle w:val="Appelnotedebasdep"/>
          <w:lang w:val="en-CA"/>
        </w:rPr>
        <w:footnoteReference w:id="10"/>
      </w:r>
      <w:r w:rsidRPr="001F539E">
        <w:rPr>
          <w:lang w:val="en-CA"/>
        </w:rPr>
        <w:t xml:space="preserve"> on the part of the child.</w:t>
      </w:r>
    </w:p>
    <w:p w14:paraId="5872D630" w14:textId="7FED1B25"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appellant is correct in considering that the judged erred in requiring evidence of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 xml:space="preserve">particularly significant </w:t>
      </w:r>
      <w:r w:rsidR="004F6A5B">
        <w:rPr>
          <w:lang w:val="en-CA"/>
        </w:rPr>
        <w:t xml:space="preserve">settlement </w:t>
      </w:r>
      <w:r w:rsidRPr="001F539E">
        <w:rPr>
          <w:lang w:val="en-CA"/>
        </w:rPr>
        <w:t>in Quebec society and culture</w:t>
      </w:r>
      <w:r w:rsidR="00882E63">
        <w:rPr>
          <w:lang w:val="en-CA"/>
        </w:rPr>
        <w:t>”</w:t>
      </w:r>
      <w:r w:rsidRPr="001F539E">
        <w:rPr>
          <w:lang w:val="en-CA"/>
        </w:rPr>
        <w:t>.</w:t>
      </w:r>
      <w:r w:rsidRPr="001F539E">
        <w:rPr>
          <w:rStyle w:val="Appelnotedebasdep"/>
          <w:lang w:val="en-CA"/>
        </w:rPr>
        <w:footnoteReference w:id="11"/>
      </w:r>
    </w:p>
    <w:p w14:paraId="5872D631" w14:textId="16A63436"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settlement in the environment exception makes it possible to rebut the presumption that it is in the child</w:t>
      </w:r>
      <w:r w:rsidR="00882E63">
        <w:rPr>
          <w:lang w:val="en-CA"/>
        </w:rPr>
        <w:t>’</w:t>
      </w:r>
      <w:r w:rsidRPr="001F539E">
        <w:rPr>
          <w:lang w:val="en-CA"/>
        </w:rPr>
        <w:t xml:space="preserve">s interests to return to his or her country of habitual residence. The aim is to avoid once again uprooting a child who, after a year, has built a life in the new country. </w:t>
      </w:r>
    </w:p>
    <w:p w14:paraId="5872D632" w14:textId="2C3A00C7" w:rsidR="0003336D" w:rsidRPr="001F539E" w:rsidRDefault="00757BFA" w:rsidP="00644D8D">
      <w:pPr>
        <w:pStyle w:val="Paragraphe"/>
        <w:spacing w:line="240" w:lineRule="auto"/>
        <w:rPr>
          <w:lang w:val="en-CA"/>
        </w:rPr>
      </w:pPr>
      <w:r w:rsidRPr="001F539E">
        <w:rPr>
          <w:lang w:val="en-CA"/>
        </w:rPr>
        <w:t>The notion of settlement requires more than mere adjustment. It must be considered from the child</w:t>
      </w:r>
      <w:r w:rsidR="00882E63">
        <w:rPr>
          <w:lang w:val="en-CA"/>
        </w:rPr>
        <w:t>’</w:t>
      </w:r>
      <w:r w:rsidRPr="001F539E">
        <w:rPr>
          <w:lang w:val="en-CA"/>
        </w:rPr>
        <w:t>s perspective in order to assess evidence of the child</w:t>
      </w:r>
      <w:r w:rsidR="00882E63">
        <w:rPr>
          <w:lang w:val="en-CA"/>
        </w:rPr>
        <w:t>’</w:t>
      </w:r>
      <w:r w:rsidRPr="001F539E">
        <w:rPr>
          <w:lang w:val="en-CA"/>
        </w:rPr>
        <w:t>s settlement in the new environment not only from a physical standpoint, but from an emotional one</w:t>
      </w:r>
      <w:r w:rsidR="00882E63">
        <w:rPr>
          <w:lang w:val="en-CA"/>
        </w:rPr>
        <w:t xml:space="preserve"> </w:t>
      </w:r>
      <w:r w:rsidRPr="001F539E">
        <w:rPr>
          <w:lang w:val="en-CA"/>
        </w:rPr>
        <w:t>as well.</w:t>
      </w:r>
      <w:r w:rsidRPr="001F539E">
        <w:rPr>
          <w:rStyle w:val="Appelnotedebasdep"/>
          <w:lang w:val="en-CA"/>
        </w:rPr>
        <w:footnoteReference w:id="12"/>
      </w:r>
      <w:r w:rsidRPr="001F539E">
        <w:rPr>
          <w:lang w:val="en-CA"/>
        </w:rPr>
        <w:t xml:space="preserve"> The latter element is important, as merely considering the child</w:t>
      </w:r>
      <w:r w:rsidR="00882E63">
        <w:rPr>
          <w:lang w:val="en-CA"/>
        </w:rPr>
        <w:t>’</w:t>
      </w:r>
      <w:r w:rsidRPr="001F539E">
        <w:rPr>
          <w:lang w:val="en-CA"/>
        </w:rPr>
        <w:t xml:space="preserve">s activities could </w:t>
      </w:r>
      <w:r w:rsidR="008B301A">
        <w:rPr>
          <w:lang w:val="en-CA"/>
        </w:rPr>
        <w:t xml:space="preserve">overlook </w:t>
      </w:r>
      <w:r w:rsidRPr="001F539E">
        <w:rPr>
          <w:lang w:val="en-CA"/>
        </w:rPr>
        <w:t>emotional deprivation or difficulties experienced by the child.</w:t>
      </w:r>
      <w:bookmarkStart w:id="11" w:name="_Ref197952193"/>
      <w:r w:rsidRPr="001F539E">
        <w:rPr>
          <w:rStyle w:val="Appelnotedebasdep"/>
          <w:lang w:val="en-CA"/>
        </w:rPr>
        <w:footnoteReference w:id="13"/>
      </w:r>
      <w:bookmarkEnd w:id="11"/>
      <w:r w:rsidRPr="001F539E">
        <w:rPr>
          <w:lang w:val="en-CA"/>
        </w:rPr>
        <w:t xml:space="preserve"> </w:t>
      </w:r>
      <w:r w:rsidRPr="001F539E">
        <w:rPr>
          <w:lang w:val="en-CA"/>
        </w:rPr>
        <w:lastRenderedPageBreak/>
        <w:t>The emotional component looks specifically at the child</w:t>
      </w:r>
      <w:r w:rsidR="00882E63">
        <w:rPr>
          <w:lang w:val="en-CA"/>
        </w:rPr>
        <w:t>’</w:t>
      </w:r>
      <w:r w:rsidRPr="001F539E">
        <w:rPr>
          <w:lang w:val="en-CA"/>
        </w:rPr>
        <w:t>s security and stability,</w:t>
      </w:r>
      <w:bookmarkStart w:id="12" w:name="_Ref198034646"/>
      <w:r w:rsidRPr="001F539E">
        <w:rPr>
          <w:rStyle w:val="Appelnotedebasdep"/>
          <w:lang w:val="en-CA"/>
        </w:rPr>
        <w:footnoteReference w:id="14"/>
      </w:r>
      <w:bookmarkEnd w:id="12"/>
      <w:r w:rsidRPr="001F539E">
        <w:rPr>
          <w:lang w:val="en-CA"/>
        </w:rPr>
        <w:t xml:space="preserve"> which requires that the judge examine </w:t>
      </w:r>
      <w:r w:rsidR="00882E63">
        <w:rPr>
          <w:lang w:val="en-CA"/>
        </w:rPr>
        <w:t>“</w:t>
      </w:r>
      <w:r w:rsidRPr="001F539E">
        <w:rPr>
          <w:lang w:val="en-CA"/>
        </w:rPr>
        <w:t>the child</w:t>
      </w:r>
      <w:r w:rsidR="00882E63">
        <w:rPr>
          <w:lang w:val="en-CA"/>
        </w:rPr>
        <w:t>’</w:t>
      </w:r>
      <w:r w:rsidRPr="001F539E">
        <w:rPr>
          <w:lang w:val="en-CA"/>
        </w:rPr>
        <w:t>s future prospects as well as his or her current circumstances</w:t>
      </w:r>
      <w:r w:rsidR="00882E63">
        <w:rPr>
          <w:lang w:val="en-CA"/>
        </w:rPr>
        <w:t>”</w:t>
      </w:r>
      <w:r w:rsidRPr="001F539E">
        <w:rPr>
          <w:lang w:val="en-CA"/>
        </w:rPr>
        <w:t>.</w:t>
      </w:r>
      <w:r w:rsidRPr="001F539E">
        <w:rPr>
          <w:rStyle w:val="Appelnotedebasdep"/>
          <w:lang w:val="en-CA"/>
        </w:rPr>
        <w:footnoteReference w:id="15"/>
      </w:r>
    </w:p>
    <w:p w14:paraId="5872D633" w14:textId="45D3E221" w:rsidR="0003336D" w:rsidRPr="001F539E" w:rsidRDefault="00757BFA" w:rsidP="00644D8D">
      <w:pPr>
        <w:pStyle w:val="Paragraphe"/>
        <w:spacing w:line="240" w:lineRule="auto"/>
        <w:rPr>
          <w:lang w:val="en-CA"/>
        </w:rPr>
      </w:pPr>
      <w:r w:rsidRPr="001F539E">
        <w:rPr>
          <w:lang w:val="en-CA"/>
        </w:rPr>
        <w:t>The concept of settlement must not be interpreted beyond its ordinary meaning. Settlement [</w:t>
      </w:r>
      <w:r w:rsidRPr="00FA5949">
        <w:rPr>
          <w:smallCaps/>
          <w:lang w:val="en-CA"/>
        </w:rPr>
        <w:t>translation</w:t>
      </w:r>
      <w:r w:rsidRPr="001F539E">
        <w:rPr>
          <w:lang w:val="en-CA"/>
        </w:rPr>
        <w:t>]</w:t>
      </w:r>
      <w:r w:rsidR="00FA5949">
        <w:rPr>
          <w:lang w:val="en-CA"/>
        </w:rPr>
        <w:t> </w:t>
      </w:r>
      <w:r w:rsidR="00882E63">
        <w:rPr>
          <w:lang w:val="en-CA"/>
        </w:rPr>
        <w:t>“</w:t>
      </w:r>
      <w:r w:rsidRPr="001F539E">
        <w:rPr>
          <w:u w:val="single"/>
          <w:lang w:val="en-CA"/>
        </w:rPr>
        <w:t xml:space="preserve">must be sufficient, but need not necessarily be complete, and </w:t>
      </w:r>
      <w:r w:rsidR="0078244E">
        <w:rPr>
          <w:u w:val="single"/>
          <w:lang w:val="en-CA"/>
        </w:rPr>
        <w:t xml:space="preserve">must be </w:t>
      </w:r>
      <w:r w:rsidRPr="001F539E">
        <w:rPr>
          <w:u w:val="single"/>
          <w:lang w:val="en-CA"/>
        </w:rPr>
        <w:t>functional rather than perfect</w:t>
      </w:r>
      <w:r w:rsidRPr="001F539E">
        <w:rPr>
          <w:lang w:val="en-CA"/>
        </w:rPr>
        <w:t>, from a human standpoint, including linguistic, educational, cultural and social aspects, considered overall</w:t>
      </w:r>
      <w:r w:rsidR="00882E63">
        <w:rPr>
          <w:lang w:val="en-CA"/>
        </w:rPr>
        <w:t>”</w:t>
      </w:r>
      <w:r w:rsidRPr="001F539E">
        <w:rPr>
          <w:lang w:val="en-CA"/>
        </w:rPr>
        <w:t>.</w:t>
      </w:r>
      <w:r w:rsidRPr="001F539E">
        <w:rPr>
          <w:rStyle w:val="Appelnotedebasdep"/>
          <w:lang w:val="en-CA"/>
        </w:rPr>
        <w:footnoteReference w:id="16"/>
      </w:r>
    </w:p>
    <w:p w14:paraId="5872D634" w14:textId="7E1F4195" w:rsidR="0003336D" w:rsidRPr="001F539E" w:rsidRDefault="00757BFA" w:rsidP="00644D8D">
      <w:pPr>
        <w:pStyle w:val="Paragraphe"/>
        <w:spacing w:line="240" w:lineRule="auto"/>
        <w:rPr>
          <w:lang w:val="en-CA"/>
        </w:rPr>
      </w:pPr>
      <w:r w:rsidRPr="001F539E">
        <w:rPr>
          <w:lang w:val="en-CA"/>
        </w:rPr>
        <w:t>In making their assessments, judges must consider the child</w:t>
      </w:r>
      <w:r w:rsidR="00882E63">
        <w:rPr>
          <w:lang w:val="en-CA"/>
        </w:rPr>
        <w:t>’</w:t>
      </w:r>
      <w:r w:rsidRPr="001F539E">
        <w:rPr>
          <w:lang w:val="en-CA"/>
        </w:rPr>
        <w:t>s age, the time elapsed since the child</w:t>
      </w:r>
      <w:r w:rsidR="00882E63">
        <w:rPr>
          <w:lang w:val="en-CA"/>
        </w:rPr>
        <w:t>’</w:t>
      </w:r>
      <w:r w:rsidRPr="001F539E">
        <w:rPr>
          <w:lang w:val="en-CA"/>
        </w:rPr>
        <w:t>s arrival in the new country and the child</w:t>
      </w:r>
      <w:r w:rsidR="00882E63">
        <w:rPr>
          <w:lang w:val="en-CA"/>
        </w:rPr>
        <w:t>’</w:t>
      </w:r>
      <w:r w:rsidRPr="001F539E">
        <w:rPr>
          <w:lang w:val="en-CA"/>
        </w:rPr>
        <w:t>s stability since moving there, the child</w:t>
      </w:r>
      <w:r w:rsidR="00882E63">
        <w:rPr>
          <w:lang w:val="en-CA"/>
        </w:rPr>
        <w:t>’</w:t>
      </w:r>
      <w:r w:rsidRPr="001F539E">
        <w:rPr>
          <w:lang w:val="en-CA"/>
        </w:rPr>
        <w:t>s attendance in school or daycare, the friendships the child has developed, the existence of family ties, the child</w:t>
      </w:r>
      <w:r w:rsidR="00882E63">
        <w:rPr>
          <w:lang w:val="en-CA"/>
        </w:rPr>
        <w:t>’</w:t>
      </w:r>
      <w:r w:rsidRPr="001F539E">
        <w:rPr>
          <w:lang w:val="en-CA"/>
        </w:rPr>
        <w:t>s participation in the community and in extracurricular activities, and the situation of the abducting parent. Immigration status will generally be relevant, but not decisive.</w:t>
      </w:r>
      <w:r w:rsidRPr="001F539E">
        <w:rPr>
          <w:rStyle w:val="Appelnotedebasdep"/>
          <w:lang w:val="en-CA"/>
        </w:rPr>
        <w:footnoteReference w:id="17"/>
      </w:r>
      <w:r w:rsidRPr="001F539E">
        <w:rPr>
          <w:lang w:val="en-CA"/>
        </w:rPr>
        <w:t xml:space="preserve"> In cases involving a young child, the assessment will be more difficult.</w:t>
      </w:r>
      <w:r w:rsidRPr="001F539E">
        <w:rPr>
          <w:rStyle w:val="Appelnotedebasdep"/>
          <w:lang w:val="en-CA"/>
        </w:rPr>
        <w:footnoteReference w:id="18"/>
      </w:r>
    </w:p>
    <w:p w14:paraId="5872D635" w14:textId="69F3F158" w:rsidR="0003336D" w:rsidRPr="001F539E" w:rsidRDefault="00757BFA" w:rsidP="00644D8D">
      <w:pPr>
        <w:pStyle w:val="Paragraphe"/>
        <w:spacing w:line="240" w:lineRule="auto"/>
        <w:rPr>
          <w:lang w:val="en-CA"/>
        </w:rPr>
      </w:pPr>
      <w:r w:rsidRPr="001F539E">
        <w:rPr>
          <w:lang w:val="en-CA"/>
        </w:rPr>
        <w:t>In exercising their discretion to order a child</w:t>
      </w:r>
      <w:r w:rsidR="00882E63">
        <w:rPr>
          <w:lang w:val="en-CA"/>
        </w:rPr>
        <w:t>’</w:t>
      </w:r>
      <w:r w:rsidRPr="001F539E">
        <w:rPr>
          <w:lang w:val="en-CA"/>
        </w:rPr>
        <w:t xml:space="preserve">s return when more than one year has elapsed since the abduction, judges must also consider the fundamental principles of the </w:t>
      </w:r>
      <w:r w:rsidRPr="001F539E">
        <w:rPr>
          <w:i/>
          <w:iCs/>
          <w:lang w:val="en-CA"/>
        </w:rPr>
        <w:t>Act</w:t>
      </w:r>
      <w:r w:rsidRPr="001F539E">
        <w:rPr>
          <w:lang w:val="en-CA"/>
        </w:rPr>
        <w:t xml:space="preserve"> and the </w:t>
      </w:r>
      <w:r w:rsidRPr="001F539E">
        <w:rPr>
          <w:i/>
          <w:iCs/>
          <w:lang w:val="en-CA"/>
        </w:rPr>
        <w:t>Convention</w:t>
      </w:r>
      <w:r w:rsidRPr="001F539E">
        <w:rPr>
          <w:lang w:val="en-CA"/>
        </w:rPr>
        <w:t>: (1)</w:t>
      </w:r>
      <w:r w:rsidR="00267A6C">
        <w:rPr>
          <w:lang w:val="en-CA"/>
        </w:rPr>
        <w:t> </w:t>
      </w:r>
      <w:r w:rsidRPr="001F539E">
        <w:rPr>
          <w:lang w:val="en-CA"/>
        </w:rPr>
        <w:t>deterrence; (2)</w:t>
      </w:r>
      <w:r w:rsidR="00267A6C">
        <w:rPr>
          <w:lang w:val="en-CA"/>
        </w:rPr>
        <w:t> </w:t>
      </w:r>
      <w:r w:rsidRPr="001F539E">
        <w:rPr>
          <w:lang w:val="en-CA"/>
        </w:rPr>
        <w:t>the child</w:t>
      </w:r>
      <w:r w:rsidR="00882E63">
        <w:rPr>
          <w:lang w:val="en-CA"/>
        </w:rPr>
        <w:t>’</w:t>
      </w:r>
      <w:r w:rsidRPr="001F539E">
        <w:rPr>
          <w:lang w:val="en-CA"/>
        </w:rPr>
        <w:t>s prompt return to his or her country of habitual residence prior to the removal; and (3)</w:t>
      </w:r>
      <w:r w:rsidR="00267A6C">
        <w:rPr>
          <w:lang w:val="en-CA"/>
        </w:rPr>
        <w:t> </w:t>
      </w:r>
      <w:r w:rsidRPr="001F539E">
        <w:rPr>
          <w:lang w:val="en-CA"/>
        </w:rPr>
        <w:t xml:space="preserve">restoration of the </w:t>
      </w:r>
      <w:r w:rsidRPr="001F539E">
        <w:rPr>
          <w:i/>
          <w:iCs/>
          <w:lang w:val="en-CA"/>
        </w:rPr>
        <w:t>status quo</w:t>
      </w:r>
      <w:r w:rsidRPr="001F539E">
        <w:rPr>
          <w:lang w:val="en-CA"/>
        </w:rPr>
        <w:t xml:space="preserve">. That said, deterrence, however important, must not </w:t>
      </w:r>
      <w:r w:rsidR="00916612">
        <w:rPr>
          <w:lang w:val="en-CA"/>
        </w:rPr>
        <w:t>overshadow</w:t>
      </w:r>
      <w:r w:rsidRPr="001F539E">
        <w:rPr>
          <w:lang w:val="en-CA"/>
        </w:rPr>
        <w:t xml:space="preserve"> the interests of the child whose return is sought.</w:t>
      </w:r>
      <w:r w:rsidRPr="001F539E">
        <w:rPr>
          <w:rStyle w:val="Appelnotedebasdep"/>
          <w:lang w:val="en-CA"/>
        </w:rPr>
        <w:footnoteReference w:id="19"/>
      </w:r>
    </w:p>
    <w:p w14:paraId="5872D636" w14:textId="414FAE7A" w:rsidR="0003336D" w:rsidRPr="001F539E" w:rsidRDefault="00757BFA" w:rsidP="00644D8D">
      <w:pPr>
        <w:pStyle w:val="Paragraphe"/>
        <w:spacing w:line="240" w:lineRule="auto"/>
        <w:rPr>
          <w:lang w:val="en-CA"/>
        </w:rPr>
      </w:pPr>
      <w:r w:rsidRPr="001F539E">
        <w:rPr>
          <w:lang w:val="en-CA"/>
        </w:rPr>
        <w:t>In this regard, it is worth noting that a decision ruling on a child</w:t>
      </w:r>
      <w:r w:rsidR="00882E63">
        <w:rPr>
          <w:lang w:val="en-CA"/>
        </w:rPr>
        <w:t>’</w:t>
      </w:r>
      <w:r w:rsidRPr="001F539E">
        <w:rPr>
          <w:lang w:val="en-CA"/>
        </w:rPr>
        <w:t>s return in no way adjudicates on the child</w:t>
      </w:r>
      <w:r w:rsidR="00882E63">
        <w:rPr>
          <w:lang w:val="en-CA"/>
        </w:rPr>
        <w:t>’</w:t>
      </w:r>
      <w:r w:rsidRPr="001F539E">
        <w:rPr>
          <w:lang w:val="en-CA"/>
        </w:rPr>
        <w:t xml:space="preserve">s custody or on the interests of the child within the meaning of art. 33 of the </w:t>
      </w:r>
      <w:r w:rsidRPr="001F539E">
        <w:rPr>
          <w:i/>
          <w:iCs/>
          <w:lang w:val="en-CA"/>
        </w:rPr>
        <w:t>Civil Code of Québec</w:t>
      </w:r>
      <w:r w:rsidRPr="001F539E">
        <w:rPr>
          <w:lang w:val="en-CA"/>
        </w:rPr>
        <w:t>. Rather, the purpose is to determine in which jurisdiction custody and access rights will be decided.</w:t>
      </w:r>
      <w:r w:rsidRPr="001F539E">
        <w:rPr>
          <w:rStyle w:val="Appelnotedebasdep"/>
          <w:lang w:val="en-CA"/>
        </w:rPr>
        <w:footnoteReference w:id="20"/>
      </w:r>
    </w:p>
    <w:p w14:paraId="5872D637" w14:textId="56F53AFD"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 xml:space="preserve">The trial judge correctly stated the applicable principles, but applied them too narrowly, virtually requiring evidence of social assimilation </w:t>
      </w:r>
      <w:proofErr w:type="gramStart"/>
      <w:r w:rsidRPr="001F539E">
        <w:rPr>
          <w:lang w:val="en-CA"/>
        </w:rPr>
        <w:t xml:space="preserve">in order </w:t>
      </w:r>
      <w:r w:rsidR="00F906C2">
        <w:rPr>
          <w:lang w:val="en-CA"/>
        </w:rPr>
        <w:t>to</w:t>
      </w:r>
      <w:proofErr w:type="gramEnd"/>
      <w:r w:rsidR="00F906C2">
        <w:rPr>
          <w:lang w:val="en-CA"/>
        </w:rPr>
        <w:t xml:space="preserve"> </w:t>
      </w:r>
      <w:r w:rsidRPr="001F539E">
        <w:rPr>
          <w:lang w:val="en-CA"/>
        </w:rPr>
        <w:t xml:space="preserve">arrive at a finding of settlement. </w:t>
      </w:r>
    </w:p>
    <w:p w14:paraId="5872D638" w14:textId="483CA65D"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She did indeed discuss the child</w:t>
      </w:r>
      <w:r w:rsidR="00882E63">
        <w:rPr>
          <w:lang w:val="en-CA"/>
        </w:rPr>
        <w:t>’</w:t>
      </w:r>
      <w:r w:rsidRPr="001F539E">
        <w:rPr>
          <w:lang w:val="en-CA"/>
        </w:rPr>
        <w:t>s settlement in</w:t>
      </w:r>
      <w:r w:rsidR="008C33F5">
        <w:rPr>
          <w:lang w:val="en-CA"/>
        </w:rPr>
        <w:t xml:space="preserve"> </w:t>
      </w:r>
      <w:r w:rsidRPr="001F539E">
        <w:rPr>
          <w:lang w:val="en-CA"/>
        </w:rPr>
        <w:t>her educational environment, noting that her teachers had recommended that she remain an extra year in her transition class, notably due to some difficulties expressing herself in French. The evidence, however, show</w:t>
      </w:r>
      <w:r w:rsidR="00D143F7">
        <w:rPr>
          <w:lang w:val="en-CA"/>
        </w:rPr>
        <w:t>ed</w:t>
      </w:r>
      <w:r w:rsidRPr="001F539E">
        <w:rPr>
          <w:lang w:val="en-CA"/>
        </w:rPr>
        <w:t xml:space="preserve"> that the child had </w:t>
      </w:r>
      <w:r w:rsidR="007C4433">
        <w:rPr>
          <w:lang w:val="en-CA"/>
        </w:rPr>
        <w:t>similar</w:t>
      </w:r>
      <w:r w:rsidRPr="001F539E">
        <w:rPr>
          <w:lang w:val="en-CA"/>
        </w:rPr>
        <w:t xml:space="preserve"> problems in English and in Spanish. She was </w:t>
      </w:r>
      <w:r w:rsidRPr="001F539E">
        <w:rPr>
          <w:lang w:val="en-CA"/>
        </w:rPr>
        <w:lastRenderedPageBreak/>
        <w:t xml:space="preserve">receiving remedial education and </w:t>
      </w:r>
      <w:proofErr w:type="spellStart"/>
      <w:r w:rsidRPr="001F539E">
        <w:rPr>
          <w:lang w:val="en-CA"/>
        </w:rPr>
        <w:t>orthotherapy</w:t>
      </w:r>
      <w:proofErr w:type="spellEnd"/>
      <w:r w:rsidRPr="001F539E">
        <w:rPr>
          <w:lang w:val="en-CA"/>
        </w:rPr>
        <w:t xml:space="preserve"> support. She had developed friendships at school. She spoke English or French with her friends. She was taking swimming lessons. The child</w:t>
      </w:r>
      <w:r w:rsidR="00882E63">
        <w:rPr>
          <w:lang w:val="en-CA"/>
        </w:rPr>
        <w:t>’</w:t>
      </w:r>
      <w:r w:rsidRPr="001F539E">
        <w:rPr>
          <w:lang w:val="en-CA"/>
        </w:rPr>
        <w:t xml:space="preserve">s uncles were living in Quebec. She was living with her mother and maternal grandmother. Her mother was working full-time in a childcare centre and spoke both French and English. </w:t>
      </w:r>
    </w:p>
    <w:p w14:paraId="5872D639" w14:textId="469C6934"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judge noted that the child [</w:t>
      </w:r>
      <w:r w:rsidRPr="00FA5949">
        <w:rPr>
          <w:smallCaps/>
          <w:lang w:val="en-CA"/>
        </w:rPr>
        <w:t>translation</w:t>
      </w:r>
      <w:r w:rsidRPr="001F539E">
        <w:rPr>
          <w:lang w:val="en-CA"/>
        </w:rPr>
        <w:t>]</w:t>
      </w:r>
      <w:r w:rsidR="00FA5949">
        <w:rPr>
          <w:lang w:val="en-CA"/>
        </w:rPr>
        <w:t> </w:t>
      </w:r>
      <w:r w:rsidR="00882E63">
        <w:rPr>
          <w:lang w:val="en-CA"/>
        </w:rPr>
        <w:t>“</w:t>
      </w:r>
      <w:r w:rsidR="001B5AAC">
        <w:rPr>
          <w:lang w:val="en-CA"/>
        </w:rPr>
        <w:t xml:space="preserve">appears </w:t>
      </w:r>
      <w:r w:rsidRPr="001F539E">
        <w:rPr>
          <w:lang w:val="en-CA"/>
        </w:rPr>
        <w:t>to be doing well in City A</w:t>
      </w:r>
      <w:r w:rsidR="00882E63">
        <w:rPr>
          <w:lang w:val="en-CA"/>
        </w:rPr>
        <w:t>”</w:t>
      </w:r>
      <w:r w:rsidRPr="001F539E">
        <w:rPr>
          <w:lang w:val="en-CA"/>
        </w:rPr>
        <w:t>,</w:t>
      </w:r>
      <w:r w:rsidRPr="001F539E">
        <w:rPr>
          <w:rStyle w:val="Appelnotedebasdep"/>
          <w:lang w:val="en-CA"/>
        </w:rPr>
        <w:footnoteReference w:id="21"/>
      </w:r>
      <w:r w:rsidRPr="001F539E">
        <w:rPr>
          <w:lang w:val="en-CA"/>
        </w:rPr>
        <w:t xml:space="preserve"> that she is generally developing well, that she leads a peaceful life with her mother and grandmother</w:t>
      </w:r>
      <w:r w:rsidRPr="001F539E">
        <w:rPr>
          <w:rStyle w:val="Appelnotedebasdep"/>
          <w:lang w:val="en-CA"/>
        </w:rPr>
        <w:footnoteReference w:id="22"/>
      </w:r>
      <w:r w:rsidRPr="001F539E">
        <w:rPr>
          <w:lang w:val="en-CA"/>
        </w:rPr>
        <w:t xml:space="preserve"> and that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[t]here is no reason to doubt that she feels stable and secure there and that she enjoys her new life in Quebec</w:t>
      </w:r>
      <w:r w:rsidR="00882E63">
        <w:rPr>
          <w:lang w:val="en-CA"/>
        </w:rPr>
        <w:t>”</w:t>
      </w:r>
      <w:r w:rsidRPr="001F539E">
        <w:rPr>
          <w:lang w:val="en-CA"/>
        </w:rPr>
        <w:t>.</w:t>
      </w:r>
      <w:r w:rsidRPr="001F539E">
        <w:rPr>
          <w:rStyle w:val="Appelnotedebasdep"/>
          <w:lang w:val="en-CA"/>
        </w:rPr>
        <w:footnoteReference w:id="23"/>
      </w:r>
      <w:r w:rsidRPr="001F539E">
        <w:rPr>
          <w:lang w:val="en-CA"/>
        </w:rPr>
        <w:t xml:space="preserve"> At first glance, in light of the child</w:t>
      </w:r>
      <w:r w:rsidR="00882E63">
        <w:rPr>
          <w:lang w:val="en-CA"/>
        </w:rPr>
        <w:t>’</w:t>
      </w:r>
      <w:r w:rsidRPr="001F539E">
        <w:rPr>
          <w:lang w:val="en-CA"/>
        </w:rPr>
        <w:t xml:space="preserve">s age, it </w:t>
      </w:r>
      <w:r w:rsidR="001B5AAC">
        <w:rPr>
          <w:lang w:val="en-CA"/>
        </w:rPr>
        <w:t xml:space="preserve">appears </w:t>
      </w:r>
      <w:r w:rsidRPr="001F539E">
        <w:rPr>
          <w:lang w:val="en-CA"/>
        </w:rPr>
        <w:t xml:space="preserve">to have been demonstrated that the child had settled in both physically and emotionally. </w:t>
      </w:r>
    </w:p>
    <w:p w14:paraId="5872D63A" w14:textId="77777777"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This, however, did not satisfy the judge. She required more. She wrote:</w:t>
      </w:r>
    </w:p>
    <w:p w14:paraId="1D5FF418" w14:textId="77777777" w:rsidR="00110833" w:rsidRDefault="00757BFA" w:rsidP="00644D8D">
      <w:pPr>
        <w:pStyle w:val="Citationenretrait"/>
        <w:spacing w:line="240" w:lineRule="auto"/>
        <w:rPr>
          <w:lang w:val="en-CA"/>
        </w:rPr>
      </w:pPr>
      <w:r w:rsidRPr="001F539E">
        <w:rPr>
          <w:lang w:val="en-CA"/>
        </w:rPr>
        <w:t>[</w:t>
      </w:r>
      <w:r w:rsidR="00110833" w:rsidRPr="00110833">
        <w:rPr>
          <w:smallCaps/>
          <w:lang w:val="en-CA"/>
        </w:rPr>
        <w:t>translation</w:t>
      </w:r>
      <w:r w:rsidRPr="001F539E">
        <w:rPr>
          <w:lang w:val="en-CA"/>
        </w:rPr>
        <w:t>]</w:t>
      </w:r>
    </w:p>
    <w:p w14:paraId="5872D63B" w14:textId="602C7A10" w:rsidR="0003336D" w:rsidRPr="001F539E" w:rsidRDefault="00757BFA" w:rsidP="00644D8D">
      <w:pPr>
        <w:pStyle w:val="Citationenretrait"/>
        <w:spacing w:line="240" w:lineRule="auto"/>
        <w:rPr>
          <w:lang w:val="en-CA"/>
        </w:rPr>
      </w:pPr>
      <w:r w:rsidRPr="001F539E">
        <w:rPr>
          <w:lang w:val="en-CA"/>
        </w:rPr>
        <w:t>[62]</w:t>
      </w:r>
      <w:r w:rsidRPr="001F539E">
        <w:rPr>
          <w:lang w:val="en-CA"/>
        </w:rPr>
        <w:tab/>
        <w:t>One wonders what a family who has just arrived in Quebec and in Canada would do to get used to their new environment and make their transition and settlement in this new life easier. It is fundamental that the abducting parent obtain employment and learn the official language and expose the child to that language. But settling in this new environment requires more. There must be evidence that the child has put down roots in the new environment and is showing ease, facility, comfort and pleasure in finding new bearings, establishing new habits and routines. From a social standpoint, the child must be shown to have forged new meaningful friendships.</w:t>
      </w:r>
    </w:p>
    <w:p w14:paraId="5872D63C" w14:textId="44BCF3FD" w:rsidR="0003336D" w:rsidRPr="001F539E" w:rsidRDefault="00757BFA" w:rsidP="00644D8D">
      <w:pPr>
        <w:pStyle w:val="Citationenretrait"/>
        <w:spacing w:line="240" w:lineRule="auto"/>
        <w:rPr>
          <w:lang w:val="en-CA"/>
        </w:rPr>
      </w:pPr>
      <w:r w:rsidRPr="001F539E">
        <w:rPr>
          <w:lang w:val="en-CA"/>
        </w:rPr>
        <w:t>[63]</w:t>
      </w:r>
      <w:r w:rsidRPr="001F539E">
        <w:rPr>
          <w:lang w:val="en-CA"/>
        </w:rPr>
        <w:tab/>
        <w:t>Some of the elements that could have pointed to a seven-year-old child having settled in Quebec include proficiency in French, and</w:t>
      </w:r>
      <w:r w:rsidR="005025C1">
        <w:rPr>
          <w:lang w:val="en-CA"/>
        </w:rPr>
        <w:t xml:space="preserve"> eventually in</w:t>
      </w:r>
      <w:r w:rsidRPr="001F539E">
        <w:rPr>
          <w:lang w:val="en-CA"/>
        </w:rPr>
        <w:t xml:space="preserve"> English, evidence of a particular fondness for snow or the four seasons, sharing in Quebec culinary traditions, evidence of family travel to discover Quebec and/or Canadian landscapes, regions or towns and villages, or evidence of particular involvement in the new community. Here, these settlement ties are either absent or are only just beginning to take shape, but in a very </w:t>
      </w:r>
      <w:r w:rsidR="00D85458">
        <w:rPr>
          <w:lang w:val="en-CA"/>
        </w:rPr>
        <w:t xml:space="preserve">tenuous </w:t>
      </w:r>
      <w:r w:rsidRPr="001F539E">
        <w:rPr>
          <w:lang w:val="en-CA"/>
        </w:rPr>
        <w:t>manner.</w:t>
      </w:r>
    </w:p>
    <w:p w14:paraId="5872D63D" w14:textId="031A7ABB"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That being so, the judge noted that there was no evidence of particular interest on the part of the child, her mother or her grandmother for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Quebec or Canadian musical, culinary, artistic or sports culture</w:t>
      </w:r>
      <w:r w:rsidR="00882E63">
        <w:rPr>
          <w:lang w:val="en-CA"/>
        </w:rPr>
        <w:t>”</w:t>
      </w:r>
      <w:r w:rsidRPr="001F539E">
        <w:rPr>
          <w:lang w:val="en-CA"/>
        </w:rPr>
        <w:t>,</w:t>
      </w:r>
      <w:r w:rsidRPr="001F539E">
        <w:rPr>
          <w:rStyle w:val="Appelnotedebasdep"/>
          <w:lang w:val="en-CA"/>
        </w:rPr>
        <w:footnoteReference w:id="24"/>
      </w:r>
      <w:r w:rsidRPr="001F539E">
        <w:rPr>
          <w:lang w:val="en-CA"/>
        </w:rPr>
        <w:t xml:space="preserve"> that there was no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shift in identity [n]or a deep sense of connection or identification with Quebec or Canadian culture</w:t>
      </w:r>
      <w:r w:rsidR="00882E63">
        <w:rPr>
          <w:lang w:val="en-CA"/>
        </w:rPr>
        <w:t>”</w:t>
      </w:r>
      <w:r w:rsidRPr="001F539E">
        <w:rPr>
          <w:rStyle w:val="Appelnotedebasdep"/>
          <w:lang w:val="en-CA"/>
        </w:rPr>
        <w:footnoteReference w:id="25"/>
      </w:r>
      <w:r w:rsidRPr="001F539E">
        <w:rPr>
          <w:lang w:val="en-CA"/>
        </w:rPr>
        <w:t xml:space="preserve"> and that the child participated in activities that are </w:t>
      </w:r>
      <w:r w:rsidRPr="001F539E">
        <w:rPr>
          <w:lang w:val="en-CA"/>
        </w:rPr>
        <w:lastRenderedPageBreak/>
        <w:t>[</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 xml:space="preserve">general and are neither specific to nor typical of </w:t>
      </w:r>
      <w:r w:rsidR="00E3230D">
        <w:rPr>
          <w:lang w:val="en-CA"/>
        </w:rPr>
        <w:t xml:space="preserve">the </w:t>
      </w:r>
      <w:r w:rsidRPr="001F539E">
        <w:rPr>
          <w:lang w:val="en-CA"/>
        </w:rPr>
        <w:t>Quebec lifestyle</w:t>
      </w:r>
      <w:r w:rsidR="00882E63">
        <w:rPr>
          <w:lang w:val="en-CA"/>
        </w:rPr>
        <w:t>”</w:t>
      </w:r>
      <w:r w:rsidRPr="001F539E">
        <w:rPr>
          <w:lang w:val="en-CA"/>
        </w:rPr>
        <w:t>.</w:t>
      </w:r>
      <w:r w:rsidRPr="001F539E">
        <w:rPr>
          <w:rStyle w:val="Appelnotedebasdep"/>
          <w:lang w:val="en-CA"/>
        </w:rPr>
        <w:footnoteReference w:id="26"/>
      </w:r>
      <w:r w:rsidRPr="001F539E">
        <w:rPr>
          <w:lang w:val="en-CA"/>
        </w:rPr>
        <w:t xml:space="preserve"> It is on this basis that she </w:t>
      </w:r>
      <w:r w:rsidR="0063243A">
        <w:rPr>
          <w:lang w:val="en-CA"/>
        </w:rPr>
        <w:t xml:space="preserve">rejected </w:t>
      </w:r>
      <w:r w:rsidRPr="001F539E">
        <w:rPr>
          <w:lang w:val="en-CA"/>
        </w:rPr>
        <w:t>the settlement in the environment exception, concluding that the child [</w:t>
      </w:r>
      <w:r w:rsidRPr="00FA5949">
        <w:rPr>
          <w:smallCaps/>
          <w:lang w:val="en-CA"/>
        </w:rPr>
        <w:t>translation</w:t>
      </w:r>
      <w:r w:rsidRPr="001F539E">
        <w:rPr>
          <w:lang w:val="en-CA"/>
        </w:rPr>
        <w:t>]</w:t>
      </w:r>
      <w:r w:rsidR="00FA5949">
        <w:rPr>
          <w:lang w:val="en-CA"/>
        </w:rPr>
        <w:t> </w:t>
      </w:r>
      <w:r w:rsidR="00882E63">
        <w:rPr>
          <w:lang w:val="en-CA"/>
        </w:rPr>
        <w:t>“</w:t>
      </w:r>
      <w:r w:rsidRPr="001F539E">
        <w:rPr>
          <w:lang w:val="en-CA"/>
        </w:rPr>
        <w:t>has therefore not adopted the local norms, values and traditions and has not yet settled in Quebec or Canada</w:t>
      </w:r>
      <w:r w:rsidR="00882E63">
        <w:rPr>
          <w:lang w:val="en-CA"/>
        </w:rPr>
        <w:t>”</w:t>
      </w:r>
      <w:r w:rsidRPr="001F539E">
        <w:rPr>
          <w:lang w:val="en-CA"/>
        </w:rPr>
        <w:t>.</w:t>
      </w:r>
      <w:r w:rsidRPr="001F539E">
        <w:rPr>
          <w:rStyle w:val="Appelnotedebasdep"/>
          <w:lang w:val="en-CA"/>
        </w:rPr>
        <w:footnoteReference w:id="27"/>
      </w:r>
    </w:p>
    <w:p w14:paraId="5872D63E" w14:textId="1D921368"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The judge thus broadened the definition of settlement to include a stereotypical view of Quebec culture which, moreover, fails to consider the child</w:t>
      </w:r>
      <w:r w:rsidR="00882E63">
        <w:rPr>
          <w:lang w:val="en-CA"/>
        </w:rPr>
        <w:t>’</w:t>
      </w:r>
      <w:r w:rsidRPr="001F539E">
        <w:rPr>
          <w:lang w:val="en-CA"/>
        </w:rPr>
        <w:t>s particular interests, the reality faced by newcomers, and the financial circumstances of the asylum</w:t>
      </w:r>
      <w:r w:rsidR="00245CE9">
        <w:rPr>
          <w:lang w:val="en-CA"/>
        </w:rPr>
        <w:noBreakHyphen/>
      </w:r>
      <w:r w:rsidRPr="001F539E">
        <w:rPr>
          <w:lang w:val="en-CA"/>
        </w:rPr>
        <w:t>seeking parent. By so doing, the judge committed a reviewable error warranting the Court</w:t>
      </w:r>
      <w:r w:rsidR="00882E63">
        <w:rPr>
          <w:lang w:val="en-CA"/>
        </w:rPr>
        <w:t>’</w:t>
      </w:r>
      <w:r w:rsidRPr="001F539E">
        <w:rPr>
          <w:lang w:val="en-CA"/>
        </w:rPr>
        <w:t xml:space="preserve">s reassessment of the evidence within the appropriate framework. </w:t>
      </w:r>
    </w:p>
    <w:p w14:paraId="5872D63F" w14:textId="77777777"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In this regard, the Court is of the view that the evidence is sufficient to conclude that the child had settled in.</w:t>
      </w:r>
    </w:p>
    <w:p w14:paraId="5872D640" w14:textId="77777777"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 xml:space="preserve">At the time of the hearing in first instance, she had been living in Quebec for more than two years. She was leading the life of a seven-year-old girl: she attended school, had friends and took part in extracurricular activities. She was surrounded by family, including her mother, with whom she had always lived. The evidence showed that she had found stability and security in this new environment. </w:t>
      </w:r>
    </w:p>
    <w:p w14:paraId="5872D641" w14:textId="0D17A9B0" w:rsidR="0003336D" w:rsidRPr="001F539E" w:rsidRDefault="00757BFA" w:rsidP="00644D8D">
      <w:pPr>
        <w:pStyle w:val="aParagraphe"/>
        <w:numPr>
          <w:ilvl w:val="0"/>
          <w:numId w:val="18"/>
        </w:numPr>
        <w:tabs>
          <w:tab w:val="clear" w:pos="720"/>
        </w:tabs>
        <w:spacing w:line="240" w:lineRule="auto"/>
        <w:rPr>
          <w:lang w:val="en-CA"/>
        </w:rPr>
      </w:pPr>
      <w:r w:rsidRPr="001F539E">
        <w:rPr>
          <w:lang w:val="en-CA"/>
        </w:rPr>
        <w:t xml:space="preserve">Moreover, the respondent acknowledged the importance of the bond </w:t>
      </w:r>
      <w:r w:rsidR="00FB78C3">
        <w:rPr>
          <w:lang w:val="en-CA"/>
        </w:rPr>
        <w:t xml:space="preserve">that had </w:t>
      </w:r>
      <w:r w:rsidRPr="001F539E">
        <w:rPr>
          <w:lang w:val="en-CA"/>
        </w:rPr>
        <w:t>exist</w:t>
      </w:r>
      <w:r w:rsidR="00FB78C3">
        <w:rPr>
          <w:lang w:val="en-CA"/>
        </w:rPr>
        <w:t>ed</w:t>
      </w:r>
      <w:r w:rsidRPr="001F539E">
        <w:rPr>
          <w:lang w:val="en-CA"/>
        </w:rPr>
        <w:t xml:space="preserve"> between the child and her mother since the child</w:t>
      </w:r>
      <w:r w:rsidR="00882E63">
        <w:rPr>
          <w:lang w:val="en-CA"/>
        </w:rPr>
        <w:t>’</w:t>
      </w:r>
      <w:r w:rsidRPr="001F539E">
        <w:rPr>
          <w:lang w:val="en-CA"/>
        </w:rPr>
        <w:t xml:space="preserve">s birth. He stated that the proceedings instituted in Mexico </w:t>
      </w:r>
      <w:r w:rsidR="001C2055">
        <w:rPr>
          <w:lang w:val="en-CA"/>
        </w:rPr>
        <w:t xml:space="preserve">had </w:t>
      </w:r>
      <w:r w:rsidRPr="001F539E">
        <w:rPr>
          <w:lang w:val="en-CA"/>
        </w:rPr>
        <w:t xml:space="preserve">not </w:t>
      </w:r>
      <w:r w:rsidR="001C2055">
        <w:rPr>
          <w:lang w:val="en-CA"/>
        </w:rPr>
        <w:t xml:space="preserve">sought </w:t>
      </w:r>
      <w:r w:rsidRPr="001F539E">
        <w:rPr>
          <w:lang w:val="en-CA"/>
        </w:rPr>
        <w:t>to obtain</w:t>
      </w:r>
      <w:r w:rsidR="007C4433">
        <w:rPr>
          <w:lang w:val="en-CA"/>
        </w:rPr>
        <w:t xml:space="preserve"> shared </w:t>
      </w:r>
      <w:r w:rsidRPr="001F539E">
        <w:rPr>
          <w:lang w:val="en-CA"/>
        </w:rPr>
        <w:t xml:space="preserve">custody of the child, but solely to establish his access rights. </w:t>
      </w:r>
    </w:p>
    <w:p w14:paraId="5872D642" w14:textId="6418C3A3" w:rsidR="0003336D" w:rsidRPr="001F539E" w:rsidRDefault="00757BFA" w:rsidP="00F63F2B">
      <w:pPr>
        <w:pStyle w:val="aParagraphe"/>
        <w:numPr>
          <w:ilvl w:val="0"/>
          <w:numId w:val="18"/>
        </w:numPr>
        <w:tabs>
          <w:tab w:val="clear" w:pos="720"/>
        </w:tabs>
        <w:spacing w:line="240" w:lineRule="auto"/>
        <w:rPr>
          <w:lang w:val="en-CA"/>
        </w:rPr>
      </w:pPr>
      <w:r w:rsidRPr="001F539E">
        <w:rPr>
          <w:lang w:val="en-CA"/>
        </w:rPr>
        <w:t>In the present case, the child</w:t>
      </w:r>
      <w:r w:rsidR="00882E63">
        <w:rPr>
          <w:lang w:val="en-CA"/>
        </w:rPr>
        <w:t>’</w:t>
      </w:r>
      <w:r w:rsidRPr="001F539E">
        <w:rPr>
          <w:lang w:val="en-CA"/>
        </w:rPr>
        <w:t xml:space="preserve">s removal by the mother, using the original birth certificate </w:t>
      </w:r>
      <w:r w:rsidR="00B1310B">
        <w:rPr>
          <w:lang w:val="en-CA"/>
        </w:rPr>
        <w:t xml:space="preserve">that </w:t>
      </w:r>
      <w:r w:rsidRPr="001F539E">
        <w:rPr>
          <w:lang w:val="en-CA"/>
        </w:rPr>
        <w:t>does not indicate the father</w:t>
      </w:r>
      <w:r w:rsidR="00882E63">
        <w:rPr>
          <w:lang w:val="en-CA"/>
        </w:rPr>
        <w:t>’</w:t>
      </w:r>
      <w:r w:rsidRPr="001F539E">
        <w:rPr>
          <w:lang w:val="en-CA"/>
        </w:rPr>
        <w:t xml:space="preserve">s name </w:t>
      </w:r>
      <w:proofErr w:type="gramStart"/>
      <w:r w:rsidRPr="001F539E">
        <w:rPr>
          <w:lang w:val="en-CA"/>
        </w:rPr>
        <w:t>in order to</w:t>
      </w:r>
      <w:proofErr w:type="gramEnd"/>
      <w:r w:rsidRPr="001F539E">
        <w:rPr>
          <w:lang w:val="en-CA"/>
        </w:rPr>
        <w:t xml:space="preserve"> obtain a passport for the child and leave the country, is certainly reprehensible.</w:t>
      </w:r>
      <w:r w:rsidR="00882E63">
        <w:rPr>
          <w:lang w:val="en-CA"/>
        </w:rPr>
        <w:t xml:space="preserve"> </w:t>
      </w:r>
      <w:r w:rsidRPr="001F539E">
        <w:rPr>
          <w:lang w:val="en-CA"/>
        </w:rPr>
        <w:t xml:space="preserve">That said, the fact remains that the child has settled in her new environment and that, in the circumstances of the case at bar, the purposes of the </w:t>
      </w:r>
      <w:r w:rsidRPr="001F539E">
        <w:rPr>
          <w:i/>
          <w:iCs/>
          <w:lang w:val="en-CA"/>
        </w:rPr>
        <w:t>Act</w:t>
      </w:r>
      <w:r w:rsidRPr="001F539E">
        <w:rPr>
          <w:lang w:val="en-CA"/>
        </w:rPr>
        <w:t xml:space="preserve"> are insufficient to warrant uprooting the child once again. The Court is therefore of the opinion that there is no reason to order the child</w:t>
      </w:r>
      <w:r w:rsidR="00882E63">
        <w:rPr>
          <w:lang w:val="en-CA"/>
        </w:rPr>
        <w:t>’</w:t>
      </w:r>
      <w:r w:rsidRPr="001F539E">
        <w:rPr>
          <w:lang w:val="en-CA"/>
        </w:rPr>
        <w:t>s return to Mexico so that the Mexican courts can rule on the respondent</w:t>
      </w:r>
      <w:r w:rsidR="00882E63">
        <w:rPr>
          <w:lang w:val="en-CA"/>
        </w:rPr>
        <w:t>’</w:t>
      </w:r>
      <w:r w:rsidRPr="001F539E">
        <w:rPr>
          <w:lang w:val="en-CA"/>
        </w:rPr>
        <w:t xml:space="preserve">s applications for access and establish other relevant measures. </w:t>
      </w:r>
    </w:p>
    <w:p w14:paraId="5872D643" w14:textId="77777777" w:rsidR="0003336D" w:rsidRPr="001F539E" w:rsidRDefault="00757BFA" w:rsidP="00F63F2B">
      <w:pPr>
        <w:pStyle w:val="aParagraphe"/>
        <w:numPr>
          <w:ilvl w:val="0"/>
          <w:numId w:val="18"/>
        </w:numPr>
        <w:tabs>
          <w:tab w:val="clear" w:pos="720"/>
        </w:tabs>
        <w:spacing w:line="240" w:lineRule="auto"/>
        <w:rPr>
          <w:lang w:val="en-CA"/>
        </w:rPr>
      </w:pPr>
      <w:r w:rsidRPr="001F539E">
        <w:rPr>
          <w:lang w:val="en-CA"/>
        </w:rPr>
        <w:t>Doing so will, instead, fall to the courts in Quebec.</w:t>
      </w:r>
    </w:p>
    <w:p w14:paraId="5872D644" w14:textId="77777777" w:rsidR="0003336D" w:rsidRPr="001F539E" w:rsidRDefault="00757BFA" w:rsidP="00F63F2B">
      <w:pPr>
        <w:pStyle w:val="aParagraphe"/>
        <w:tabs>
          <w:tab w:val="clear" w:pos="720"/>
        </w:tabs>
        <w:spacing w:line="240" w:lineRule="auto"/>
        <w:rPr>
          <w:b/>
          <w:bCs/>
          <w:lang w:val="en-CA"/>
        </w:rPr>
      </w:pPr>
      <w:r w:rsidRPr="001F539E">
        <w:rPr>
          <w:b/>
          <w:bCs/>
          <w:lang w:val="en-CA"/>
        </w:rPr>
        <w:t>FOR THESE REASONS, THE COURT:</w:t>
      </w:r>
      <w:r w:rsidRPr="001F539E">
        <w:rPr>
          <w:bCs/>
          <w:lang w:val="en-CA"/>
        </w:rPr>
        <w:t xml:space="preserve"> </w:t>
      </w:r>
    </w:p>
    <w:p w14:paraId="5872D645" w14:textId="77777777" w:rsidR="0003336D" w:rsidRPr="001F539E" w:rsidRDefault="00757BFA" w:rsidP="00F63F2B">
      <w:pPr>
        <w:pStyle w:val="aParagraphe"/>
        <w:numPr>
          <w:ilvl w:val="0"/>
          <w:numId w:val="18"/>
        </w:numPr>
        <w:tabs>
          <w:tab w:val="clear" w:pos="720"/>
        </w:tabs>
        <w:spacing w:line="240" w:lineRule="auto"/>
        <w:rPr>
          <w:lang w:val="en-CA"/>
        </w:rPr>
      </w:pPr>
      <w:r w:rsidRPr="001F539E">
        <w:rPr>
          <w:b/>
          <w:bCs/>
          <w:lang w:val="en-CA"/>
        </w:rPr>
        <w:t>ALLOWS</w:t>
      </w:r>
      <w:r w:rsidRPr="001F539E">
        <w:rPr>
          <w:lang w:val="en-CA"/>
        </w:rPr>
        <w:t xml:space="preserve"> the </w:t>
      </w:r>
      <w:proofErr w:type="gramStart"/>
      <w:r w:rsidRPr="001F539E">
        <w:rPr>
          <w:lang w:val="en-CA"/>
        </w:rPr>
        <w:t>appeal;</w:t>
      </w:r>
      <w:proofErr w:type="gramEnd"/>
    </w:p>
    <w:p w14:paraId="5872D646" w14:textId="77CDA61B" w:rsidR="0003336D" w:rsidRPr="001F539E" w:rsidRDefault="00757BFA" w:rsidP="00F63F2B">
      <w:pPr>
        <w:pStyle w:val="aParagraphe"/>
        <w:numPr>
          <w:ilvl w:val="0"/>
          <w:numId w:val="18"/>
        </w:numPr>
        <w:tabs>
          <w:tab w:val="clear" w:pos="720"/>
        </w:tabs>
        <w:spacing w:line="240" w:lineRule="auto"/>
        <w:rPr>
          <w:lang w:val="en-CA"/>
        </w:rPr>
      </w:pPr>
      <w:r w:rsidRPr="001F539E">
        <w:rPr>
          <w:b/>
          <w:bCs/>
          <w:lang w:val="en-CA"/>
        </w:rPr>
        <w:lastRenderedPageBreak/>
        <w:t>REVERSES</w:t>
      </w:r>
      <w:r w:rsidRPr="001F539E">
        <w:rPr>
          <w:lang w:val="en-CA"/>
        </w:rPr>
        <w:t xml:space="preserve"> the judgment at first instance rendered on October</w:t>
      </w:r>
      <w:r w:rsidR="00281E64">
        <w:rPr>
          <w:lang w:val="en-CA"/>
        </w:rPr>
        <w:t> </w:t>
      </w:r>
      <w:r w:rsidRPr="001F539E">
        <w:rPr>
          <w:lang w:val="en-CA"/>
        </w:rPr>
        <w:t xml:space="preserve">18, 2024, by the Honourable Catherine </w:t>
      </w:r>
      <w:proofErr w:type="spellStart"/>
      <w:r w:rsidRPr="001F539E">
        <w:rPr>
          <w:lang w:val="en-CA"/>
        </w:rPr>
        <w:t>Piché</w:t>
      </w:r>
      <w:proofErr w:type="spellEnd"/>
      <w:r w:rsidRPr="001F539E">
        <w:rPr>
          <w:lang w:val="en-CA"/>
        </w:rPr>
        <w:t xml:space="preserve"> of the Superior Court, District of Montreal, in court file 500</w:t>
      </w:r>
      <w:r w:rsidR="00281E64">
        <w:rPr>
          <w:lang w:val="en-CA"/>
        </w:rPr>
        <w:noBreakHyphen/>
      </w:r>
      <w:r w:rsidRPr="001F539E">
        <w:rPr>
          <w:lang w:val="en-CA"/>
        </w:rPr>
        <w:t>04</w:t>
      </w:r>
      <w:r w:rsidR="00281E64">
        <w:rPr>
          <w:lang w:val="en-CA"/>
        </w:rPr>
        <w:noBreakHyphen/>
      </w:r>
      <w:r w:rsidRPr="001F539E">
        <w:rPr>
          <w:lang w:val="en-CA"/>
        </w:rPr>
        <w:t>080847</w:t>
      </w:r>
      <w:r w:rsidR="00281E64">
        <w:rPr>
          <w:lang w:val="en-CA"/>
        </w:rPr>
        <w:noBreakHyphen/>
      </w:r>
      <w:proofErr w:type="gramStart"/>
      <w:r w:rsidRPr="001F539E">
        <w:rPr>
          <w:lang w:val="en-CA"/>
        </w:rPr>
        <w:t>248;</w:t>
      </w:r>
      <w:proofErr w:type="gramEnd"/>
    </w:p>
    <w:p w14:paraId="5872D647" w14:textId="77777777" w:rsidR="0003336D" w:rsidRPr="001F539E" w:rsidRDefault="00757BFA" w:rsidP="00F63F2B">
      <w:pPr>
        <w:pStyle w:val="aParagraphe"/>
        <w:numPr>
          <w:ilvl w:val="0"/>
          <w:numId w:val="18"/>
        </w:numPr>
        <w:tabs>
          <w:tab w:val="clear" w:pos="720"/>
        </w:tabs>
        <w:spacing w:line="240" w:lineRule="auto"/>
        <w:rPr>
          <w:lang w:val="en-CA"/>
        </w:rPr>
      </w:pPr>
      <w:r w:rsidRPr="001F539E">
        <w:rPr>
          <w:b/>
          <w:bCs/>
          <w:lang w:val="en-CA"/>
        </w:rPr>
        <w:t xml:space="preserve">SUBSTITUTES </w:t>
      </w:r>
      <w:r w:rsidRPr="001F539E">
        <w:rPr>
          <w:lang w:val="en-CA"/>
        </w:rPr>
        <w:t>the following conclusion for paragraphs 86 to 94:</w:t>
      </w:r>
    </w:p>
    <w:p w14:paraId="5872D648" w14:textId="3D9F1683" w:rsidR="0003336D" w:rsidRPr="001F539E" w:rsidRDefault="00757BFA" w:rsidP="00644D8D">
      <w:pPr>
        <w:pStyle w:val="aParagraphe"/>
        <w:tabs>
          <w:tab w:val="clear" w:pos="720"/>
        </w:tabs>
        <w:spacing w:line="240" w:lineRule="auto"/>
        <w:ind w:left="708"/>
        <w:rPr>
          <w:b/>
          <w:bCs/>
          <w:lang w:val="en-CA"/>
        </w:rPr>
      </w:pPr>
      <w:r w:rsidRPr="001F539E">
        <w:rPr>
          <w:lang w:val="en-CA"/>
        </w:rPr>
        <w:t>[86]</w:t>
      </w:r>
      <w:r w:rsidRPr="001F539E">
        <w:rPr>
          <w:b/>
          <w:bCs/>
          <w:lang w:val="en-CA"/>
        </w:rPr>
        <w:tab/>
        <w:t>DISMISSES</w:t>
      </w:r>
      <w:r w:rsidRPr="001F539E">
        <w:rPr>
          <w:lang w:val="en-CA"/>
        </w:rPr>
        <w:t xml:space="preserve"> the application for the return of the minor child </w:t>
      </w:r>
      <w:r w:rsidR="00281E64">
        <w:rPr>
          <w:lang w:val="en-CA"/>
        </w:rPr>
        <w:t xml:space="preserve">forthwith </w:t>
      </w:r>
      <w:r w:rsidRPr="001F539E">
        <w:rPr>
          <w:lang w:val="en-CA"/>
        </w:rPr>
        <w:t xml:space="preserve">to </w:t>
      </w:r>
      <w:proofErr w:type="gramStart"/>
      <w:r w:rsidRPr="001F539E">
        <w:rPr>
          <w:lang w:val="en-CA"/>
        </w:rPr>
        <w:t>Mexico;</w:t>
      </w:r>
      <w:proofErr w:type="gramEnd"/>
    </w:p>
    <w:p w14:paraId="5872D649" w14:textId="77777777" w:rsidR="0003336D" w:rsidRPr="001F539E" w:rsidRDefault="00757BFA" w:rsidP="00644D8D">
      <w:pPr>
        <w:pStyle w:val="aParagraphe"/>
        <w:keepNext/>
        <w:keepLines/>
        <w:numPr>
          <w:ilvl w:val="0"/>
          <w:numId w:val="18"/>
        </w:numPr>
        <w:tabs>
          <w:tab w:val="clear" w:pos="720"/>
        </w:tabs>
        <w:spacing w:after="240" w:line="240" w:lineRule="auto"/>
        <w:rPr>
          <w:lang w:val="en-CA"/>
        </w:rPr>
      </w:pPr>
      <w:r w:rsidRPr="001F539E">
        <w:rPr>
          <w:b/>
          <w:bCs/>
          <w:lang w:val="en-CA"/>
        </w:rPr>
        <w:t>THE WHOLE, WITHOUT LEGAL COSTS</w:t>
      </w:r>
      <w:r w:rsidRPr="001F539E">
        <w:rPr>
          <w:lang w:val="en-CA"/>
        </w:rPr>
        <w:t xml:space="preserve"> </w:t>
      </w:r>
      <w:proofErr w:type="gramStart"/>
      <w:r w:rsidRPr="001F539E">
        <w:rPr>
          <w:lang w:val="en-CA"/>
        </w:rPr>
        <w:t>in light of</w:t>
      </w:r>
      <w:proofErr w:type="gramEnd"/>
      <w:r w:rsidRPr="001F539E">
        <w:rPr>
          <w:lang w:val="en-CA"/>
        </w:rPr>
        <w:t xml:space="preserve"> the nature of the file.</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0B75A1" w:rsidRPr="00F906C2" w14:paraId="5872D64B" w14:textId="77777777" w:rsidTr="003E3239">
        <w:trPr>
          <w:trHeight w:val="576"/>
        </w:trPr>
        <w:tc>
          <w:tcPr>
            <w:tcW w:w="9362" w:type="dxa"/>
            <w:gridSpan w:val="3"/>
            <w:tcBorders>
              <w:top w:val="nil"/>
              <w:bottom w:val="nil"/>
            </w:tcBorders>
          </w:tcPr>
          <w:p w14:paraId="5872D64A" w14:textId="77777777" w:rsidR="008F364A" w:rsidRPr="001F539E" w:rsidRDefault="008F364A">
            <w:pPr>
              <w:keepNext/>
              <w:rPr>
                <w:lang w:val="en-CA"/>
              </w:rPr>
            </w:pPr>
          </w:p>
        </w:tc>
      </w:tr>
      <w:tr w:rsidR="000B75A1" w:rsidRPr="00F906C2" w14:paraId="5872D64E" w14:textId="77777777" w:rsidTr="00117914">
        <w:trPr>
          <w:trHeight w:val="283"/>
        </w:trPr>
        <w:tc>
          <w:tcPr>
            <w:tcW w:w="4682" w:type="dxa"/>
            <w:gridSpan w:val="2"/>
            <w:tcBorders>
              <w:top w:val="nil"/>
              <w:bottom w:val="nil"/>
            </w:tcBorders>
          </w:tcPr>
          <w:p w14:paraId="5872D64C" w14:textId="77777777" w:rsidR="008F364A" w:rsidRPr="001F539E" w:rsidRDefault="008F364A">
            <w:pPr>
              <w:keepNext/>
              <w:rPr>
                <w:lang w:val="en-CA"/>
              </w:rPr>
            </w:pPr>
          </w:p>
        </w:tc>
        <w:tc>
          <w:tcPr>
            <w:tcW w:w="4680" w:type="dxa"/>
            <w:tcBorders>
              <w:top w:val="nil"/>
              <w:bottom w:val="single" w:sz="8" w:space="0" w:color="auto"/>
            </w:tcBorders>
          </w:tcPr>
          <w:p w14:paraId="5872D64D" w14:textId="77777777" w:rsidR="008F364A" w:rsidRPr="001F539E" w:rsidRDefault="008F364A">
            <w:pPr>
              <w:keepNext/>
              <w:rPr>
                <w:lang w:val="en-CA"/>
              </w:rPr>
            </w:pPr>
          </w:p>
        </w:tc>
      </w:tr>
      <w:tr w:rsidR="000B75A1" w:rsidRPr="001F539E" w14:paraId="5872D651" w14:textId="77777777" w:rsidTr="00117914">
        <w:trPr>
          <w:trHeight w:val="283"/>
        </w:trPr>
        <w:tc>
          <w:tcPr>
            <w:tcW w:w="4682" w:type="dxa"/>
            <w:gridSpan w:val="2"/>
            <w:tcBorders>
              <w:top w:val="nil"/>
            </w:tcBorders>
          </w:tcPr>
          <w:p w14:paraId="5872D64F" w14:textId="77777777" w:rsidR="008F364A" w:rsidRPr="001F539E" w:rsidRDefault="008F364A">
            <w:pPr>
              <w:keepNext/>
              <w:rPr>
                <w:lang w:val="en-CA"/>
              </w:rPr>
            </w:pPr>
          </w:p>
        </w:tc>
        <w:tc>
          <w:tcPr>
            <w:tcW w:w="4680" w:type="dxa"/>
            <w:tcBorders>
              <w:top w:val="single" w:sz="8" w:space="0" w:color="auto"/>
            </w:tcBorders>
          </w:tcPr>
          <w:p w14:paraId="5872D650" w14:textId="77777777" w:rsidR="008F364A" w:rsidRPr="001F539E" w:rsidRDefault="00757BFA">
            <w:pPr>
              <w:rPr>
                <w:lang w:val="en-CA"/>
              </w:rPr>
            </w:pPr>
            <w:r w:rsidRPr="001F539E">
              <w:rPr>
                <w:lang w:val="en-CA"/>
              </w:rPr>
              <w:t>JULIE DUTIL, J.A.</w:t>
            </w:r>
          </w:p>
        </w:tc>
      </w:tr>
      <w:tr w:rsidR="000B75A1" w:rsidRPr="001F539E" w14:paraId="5872D654" w14:textId="77777777" w:rsidTr="00117914">
        <w:trPr>
          <w:trHeight w:val="283"/>
        </w:trPr>
        <w:tc>
          <w:tcPr>
            <w:tcW w:w="4682" w:type="dxa"/>
            <w:gridSpan w:val="2"/>
            <w:tcBorders>
              <w:top w:val="nil"/>
            </w:tcBorders>
          </w:tcPr>
          <w:p w14:paraId="5872D652" w14:textId="77777777" w:rsidR="008F364A" w:rsidRPr="001F539E" w:rsidRDefault="008F364A">
            <w:pPr>
              <w:keepNext/>
              <w:rPr>
                <w:lang w:val="en-CA"/>
              </w:rPr>
            </w:pPr>
            <w:bookmarkStart w:id="13" w:name="Signature2"/>
          </w:p>
        </w:tc>
        <w:tc>
          <w:tcPr>
            <w:tcW w:w="4680" w:type="dxa"/>
            <w:tcBorders>
              <w:top w:val="nil"/>
            </w:tcBorders>
          </w:tcPr>
          <w:p w14:paraId="5872D653" w14:textId="77777777" w:rsidR="008F364A" w:rsidRPr="001F539E" w:rsidRDefault="008F364A">
            <w:pPr>
              <w:keepNext/>
              <w:rPr>
                <w:lang w:val="en-CA"/>
              </w:rPr>
            </w:pPr>
          </w:p>
        </w:tc>
      </w:tr>
      <w:tr w:rsidR="000B75A1" w:rsidRPr="001F539E" w14:paraId="5872D657" w14:textId="77777777" w:rsidTr="00117914">
        <w:trPr>
          <w:trHeight w:val="283"/>
        </w:trPr>
        <w:tc>
          <w:tcPr>
            <w:tcW w:w="4682" w:type="dxa"/>
            <w:gridSpan w:val="2"/>
            <w:tcBorders>
              <w:top w:val="nil"/>
              <w:bottom w:val="nil"/>
            </w:tcBorders>
          </w:tcPr>
          <w:p w14:paraId="5872D655" w14:textId="77777777" w:rsidR="008F364A" w:rsidRPr="001F539E" w:rsidRDefault="008F364A">
            <w:pPr>
              <w:keepNext/>
              <w:rPr>
                <w:lang w:val="en-CA"/>
              </w:rPr>
            </w:pPr>
          </w:p>
        </w:tc>
        <w:tc>
          <w:tcPr>
            <w:tcW w:w="4680" w:type="dxa"/>
            <w:tcBorders>
              <w:top w:val="nil"/>
              <w:bottom w:val="single" w:sz="8" w:space="0" w:color="auto"/>
            </w:tcBorders>
          </w:tcPr>
          <w:p w14:paraId="5872D656" w14:textId="77777777" w:rsidR="008F364A" w:rsidRPr="001F539E" w:rsidRDefault="008F364A">
            <w:pPr>
              <w:keepNext/>
              <w:rPr>
                <w:lang w:val="en-CA"/>
              </w:rPr>
            </w:pPr>
          </w:p>
        </w:tc>
      </w:tr>
      <w:tr w:rsidR="000B75A1" w:rsidRPr="001F539E" w14:paraId="5872D65A" w14:textId="77777777" w:rsidTr="00117914">
        <w:trPr>
          <w:trHeight w:val="283"/>
        </w:trPr>
        <w:tc>
          <w:tcPr>
            <w:tcW w:w="4682" w:type="dxa"/>
            <w:gridSpan w:val="2"/>
            <w:tcBorders>
              <w:top w:val="nil"/>
            </w:tcBorders>
          </w:tcPr>
          <w:p w14:paraId="5872D658" w14:textId="77777777" w:rsidR="008F364A" w:rsidRPr="001F539E" w:rsidRDefault="008F364A">
            <w:pPr>
              <w:keepNext/>
              <w:rPr>
                <w:lang w:val="en-CA"/>
              </w:rPr>
            </w:pPr>
          </w:p>
        </w:tc>
        <w:tc>
          <w:tcPr>
            <w:tcW w:w="4680" w:type="dxa"/>
            <w:tcBorders>
              <w:top w:val="single" w:sz="8" w:space="0" w:color="auto"/>
            </w:tcBorders>
          </w:tcPr>
          <w:p w14:paraId="5872D659" w14:textId="77777777" w:rsidR="008F364A" w:rsidRPr="00F7034C" w:rsidRDefault="00757BFA">
            <w:pPr>
              <w:keepNext/>
            </w:pPr>
            <w:r w:rsidRPr="00F7034C">
              <w:t>MARIE-JOSÉE HOGUE, J.A.</w:t>
            </w:r>
          </w:p>
        </w:tc>
      </w:tr>
      <w:tr w:rsidR="000B75A1" w:rsidRPr="001F539E" w14:paraId="5872D65D" w14:textId="77777777" w:rsidTr="00117914">
        <w:trPr>
          <w:trHeight w:val="283"/>
        </w:trPr>
        <w:tc>
          <w:tcPr>
            <w:tcW w:w="4682" w:type="dxa"/>
            <w:gridSpan w:val="2"/>
            <w:tcBorders>
              <w:top w:val="nil"/>
            </w:tcBorders>
          </w:tcPr>
          <w:p w14:paraId="5872D65B" w14:textId="77777777" w:rsidR="008F364A" w:rsidRPr="00F7034C" w:rsidRDefault="008F364A">
            <w:pPr>
              <w:keepNext/>
            </w:pPr>
            <w:bookmarkStart w:id="14" w:name="Signature3"/>
            <w:bookmarkEnd w:id="13"/>
          </w:p>
        </w:tc>
        <w:tc>
          <w:tcPr>
            <w:tcW w:w="4680" w:type="dxa"/>
            <w:tcBorders>
              <w:top w:val="nil"/>
            </w:tcBorders>
          </w:tcPr>
          <w:p w14:paraId="5872D65C" w14:textId="77777777" w:rsidR="008F364A" w:rsidRPr="00F7034C" w:rsidRDefault="008F364A">
            <w:pPr>
              <w:keepNext/>
            </w:pPr>
          </w:p>
        </w:tc>
      </w:tr>
      <w:tr w:rsidR="000B75A1" w:rsidRPr="001F539E" w14:paraId="5872D660" w14:textId="77777777" w:rsidTr="00117914">
        <w:trPr>
          <w:trHeight w:val="283"/>
        </w:trPr>
        <w:tc>
          <w:tcPr>
            <w:tcW w:w="4682" w:type="dxa"/>
            <w:gridSpan w:val="2"/>
            <w:tcBorders>
              <w:top w:val="nil"/>
              <w:bottom w:val="nil"/>
            </w:tcBorders>
          </w:tcPr>
          <w:p w14:paraId="5872D65E" w14:textId="77777777" w:rsidR="008F364A" w:rsidRPr="00F7034C" w:rsidRDefault="008F364A">
            <w:pPr>
              <w:keepNext/>
            </w:pPr>
          </w:p>
        </w:tc>
        <w:tc>
          <w:tcPr>
            <w:tcW w:w="4680" w:type="dxa"/>
            <w:tcBorders>
              <w:top w:val="nil"/>
              <w:bottom w:val="single" w:sz="8" w:space="0" w:color="auto"/>
            </w:tcBorders>
          </w:tcPr>
          <w:p w14:paraId="5872D65F" w14:textId="77777777" w:rsidR="008F364A" w:rsidRPr="00F7034C" w:rsidRDefault="008F364A">
            <w:pPr>
              <w:keepNext/>
            </w:pPr>
          </w:p>
        </w:tc>
      </w:tr>
      <w:tr w:rsidR="000B75A1" w:rsidRPr="001F539E" w14:paraId="5872D663" w14:textId="77777777" w:rsidTr="00117914">
        <w:trPr>
          <w:trHeight w:val="283"/>
        </w:trPr>
        <w:tc>
          <w:tcPr>
            <w:tcW w:w="4682" w:type="dxa"/>
            <w:gridSpan w:val="2"/>
            <w:tcBorders>
              <w:top w:val="nil"/>
            </w:tcBorders>
          </w:tcPr>
          <w:p w14:paraId="5872D661" w14:textId="77777777" w:rsidR="008F364A" w:rsidRPr="00F7034C" w:rsidRDefault="008F364A">
            <w:pPr>
              <w:keepNext/>
            </w:pPr>
          </w:p>
        </w:tc>
        <w:tc>
          <w:tcPr>
            <w:tcW w:w="4680" w:type="dxa"/>
            <w:tcBorders>
              <w:top w:val="single" w:sz="8" w:space="0" w:color="auto"/>
            </w:tcBorders>
          </w:tcPr>
          <w:p w14:paraId="5872D662" w14:textId="77777777" w:rsidR="008F364A" w:rsidRPr="001F539E" w:rsidRDefault="00757BFA">
            <w:pPr>
              <w:keepNext/>
              <w:rPr>
                <w:lang w:val="en-CA"/>
              </w:rPr>
            </w:pPr>
            <w:r w:rsidRPr="001F539E">
              <w:rPr>
                <w:lang w:val="en-CA"/>
              </w:rPr>
              <w:t>GENEVIÈVE COTNAM, J.A.</w:t>
            </w:r>
          </w:p>
        </w:tc>
      </w:tr>
      <w:bookmarkEnd w:id="14"/>
      <w:tr w:rsidR="000B75A1" w:rsidRPr="001F539E" w14:paraId="5872D665" w14:textId="77777777" w:rsidTr="00423DF1">
        <w:tc>
          <w:tcPr>
            <w:tcW w:w="9362" w:type="dxa"/>
            <w:gridSpan w:val="3"/>
          </w:tcPr>
          <w:p w14:paraId="5872D664" w14:textId="77777777" w:rsidR="005A78BF" w:rsidRPr="001F539E" w:rsidRDefault="005A78BF" w:rsidP="005A78BF">
            <w:pPr>
              <w:rPr>
                <w:lang w:val="en-CA"/>
              </w:rPr>
            </w:pPr>
          </w:p>
        </w:tc>
      </w:tr>
      <w:tr w:rsidR="000B75A1" w:rsidRPr="001F539E" w14:paraId="5872D667" w14:textId="77777777" w:rsidTr="00423DF1">
        <w:tc>
          <w:tcPr>
            <w:tcW w:w="9362" w:type="dxa"/>
            <w:gridSpan w:val="3"/>
          </w:tcPr>
          <w:p w14:paraId="5872D666" w14:textId="77777777" w:rsidR="005A78BF" w:rsidRPr="001F539E" w:rsidRDefault="00757BFA" w:rsidP="005A78BF">
            <w:pPr>
              <w:pStyle w:val="zSoquijdatNomProcureurDem"/>
              <w:rPr>
                <w:lang w:val="en-CA"/>
              </w:rPr>
            </w:pPr>
            <w:proofErr w:type="spellStart"/>
            <w:r w:rsidRPr="001F539E">
              <w:rPr>
                <w:lang w:val="en-CA"/>
              </w:rPr>
              <w:t>Mtre</w:t>
            </w:r>
            <w:proofErr w:type="spellEnd"/>
            <w:r w:rsidRPr="001F539E">
              <w:rPr>
                <w:lang w:val="en-CA"/>
              </w:rPr>
              <w:t xml:space="preserve"> Sonia </w:t>
            </w:r>
            <w:proofErr w:type="spellStart"/>
            <w:r w:rsidRPr="001F539E">
              <w:rPr>
                <w:lang w:val="en-CA"/>
              </w:rPr>
              <w:t>Heyeur</w:t>
            </w:r>
            <w:proofErr w:type="spellEnd"/>
          </w:p>
        </w:tc>
      </w:tr>
      <w:tr w:rsidR="000B75A1" w:rsidRPr="001F539E" w14:paraId="5872D669" w14:textId="77777777" w:rsidTr="00423DF1">
        <w:tc>
          <w:tcPr>
            <w:tcW w:w="9362" w:type="dxa"/>
            <w:gridSpan w:val="3"/>
          </w:tcPr>
          <w:p w14:paraId="5872D668" w14:textId="77777777" w:rsidR="005A78BF" w:rsidRPr="001F539E" w:rsidRDefault="00757BFA" w:rsidP="005A78BF">
            <w:pPr>
              <w:pStyle w:val="zSoquijdatCabinetProcureurDem"/>
              <w:rPr>
                <w:lang w:val="en-CA"/>
              </w:rPr>
            </w:pPr>
            <w:r w:rsidRPr="001F539E">
              <w:rPr>
                <w:lang w:val="en-CA"/>
              </w:rPr>
              <w:t>HEYEUR JESSOP</w:t>
            </w:r>
          </w:p>
        </w:tc>
      </w:tr>
      <w:tr w:rsidR="000B75A1" w:rsidRPr="00F906C2" w14:paraId="5872D66B" w14:textId="77777777" w:rsidTr="00423DF1">
        <w:tc>
          <w:tcPr>
            <w:tcW w:w="9362" w:type="dxa"/>
            <w:gridSpan w:val="3"/>
          </w:tcPr>
          <w:p w14:paraId="5872D66A" w14:textId="77777777" w:rsidR="00AA2CE5" w:rsidRPr="001F539E" w:rsidRDefault="00757BFA" w:rsidP="005A78BF">
            <w:pPr>
              <w:pStyle w:val="zSoquijdatCabinetProcureurDem"/>
              <w:rPr>
                <w:lang w:val="en-CA"/>
              </w:rPr>
            </w:pPr>
            <w:proofErr w:type="spellStart"/>
            <w:r w:rsidRPr="001F539E">
              <w:rPr>
                <w:lang w:val="en-CA"/>
              </w:rPr>
              <w:t>Mtre</w:t>
            </w:r>
            <w:proofErr w:type="spellEnd"/>
            <w:r w:rsidRPr="001F539E">
              <w:rPr>
                <w:lang w:val="en-CA"/>
              </w:rPr>
              <w:t xml:space="preserve"> Amanda Gibeault, consulting attorney</w:t>
            </w:r>
          </w:p>
        </w:tc>
      </w:tr>
      <w:tr w:rsidR="000B75A1" w:rsidRPr="001F539E" w14:paraId="5872D66D" w14:textId="77777777" w:rsidTr="00423DF1">
        <w:tc>
          <w:tcPr>
            <w:tcW w:w="9362" w:type="dxa"/>
            <w:gridSpan w:val="3"/>
          </w:tcPr>
          <w:p w14:paraId="5872D66C" w14:textId="77777777" w:rsidR="005A78BF" w:rsidRPr="001F539E" w:rsidRDefault="00757BFA" w:rsidP="005A78BF">
            <w:pPr>
              <w:pStyle w:val="zSoquijlblProcureurDem"/>
              <w:rPr>
                <w:lang w:val="en-CA"/>
              </w:rPr>
            </w:pPr>
            <w:r w:rsidRPr="001F539E">
              <w:rPr>
                <w:lang w:val="en-CA"/>
              </w:rPr>
              <w:t>For the appellant</w:t>
            </w:r>
          </w:p>
        </w:tc>
      </w:tr>
      <w:tr w:rsidR="000B75A1" w:rsidRPr="001F539E" w14:paraId="5872D66F" w14:textId="77777777" w:rsidTr="00423DF1">
        <w:tc>
          <w:tcPr>
            <w:tcW w:w="9362" w:type="dxa"/>
            <w:gridSpan w:val="3"/>
          </w:tcPr>
          <w:p w14:paraId="5872D66E" w14:textId="77777777" w:rsidR="005A78BF" w:rsidRPr="001F539E" w:rsidRDefault="005A78BF" w:rsidP="005A78BF">
            <w:pPr>
              <w:rPr>
                <w:lang w:val="en-CA"/>
              </w:rPr>
            </w:pPr>
          </w:p>
        </w:tc>
      </w:tr>
      <w:tr w:rsidR="000B75A1" w:rsidRPr="001F539E" w14:paraId="5872D671" w14:textId="77777777" w:rsidTr="00423DF1">
        <w:tc>
          <w:tcPr>
            <w:tcW w:w="9362" w:type="dxa"/>
            <w:gridSpan w:val="3"/>
          </w:tcPr>
          <w:p w14:paraId="5872D670" w14:textId="77777777" w:rsidR="005A78BF" w:rsidRPr="001F539E" w:rsidRDefault="00757BFA" w:rsidP="005A78BF">
            <w:pPr>
              <w:pStyle w:val="zSoquijdatNomProcureurDef"/>
              <w:rPr>
                <w:lang w:val="en-CA"/>
              </w:rPr>
            </w:pPr>
            <w:proofErr w:type="spellStart"/>
            <w:r w:rsidRPr="001F539E">
              <w:rPr>
                <w:lang w:val="en-CA"/>
              </w:rPr>
              <w:t>Mtre</w:t>
            </w:r>
            <w:proofErr w:type="spellEnd"/>
            <w:r w:rsidRPr="001F539E">
              <w:rPr>
                <w:lang w:val="en-CA"/>
              </w:rPr>
              <w:t xml:space="preserve"> Catherine Étienne Chouinard</w:t>
            </w:r>
          </w:p>
        </w:tc>
      </w:tr>
      <w:tr w:rsidR="000B75A1" w:rsidRPr="001F539E" w14:paraId="5872D673" w14:textId="77777777" w:rsidTr="00423DF1">
        <w:tc>
          <w:tcPr>
            <w:tcW w:w="9362" w:type="dxa"/>
            <w:gridSpan w:val="3"/>
          </w:tcPr>
          <w:p w14:paraId="5872D672" w14:textId="77777777" w:rsidR="005A78BF" w:rsidRPr="00F7034C" w:rsidRDefault="00757BFA" w:rsidP="005A78BF">
            <w:pPr>
              <w:pStyle w:val="zSoquijdatCabinetProcureurDef"/>
            </w:pPr>
            <w:r w:rsidRPr="00F7034C">
              <w:t>AIDE JURIDIQUE DE MONTRÉAL/LAVAL</w:t>
            </w:r>
          </w:p>
        </w:tc>
      </w:tr>
      <w:tr w:rsidR="000B75A1" w:rsidRPr="001F539E" w14:paraId="5872D675" w14:textId="77777777" w:rsidTr="00423DF1">
        <w:tc>
          <w:tcPr>
            <w:tcW w:w="9362" w:type="dxa"/>
            <w:gridSpan w:val="3"/>
          </w:tcPr>
          <w:p w14:paraId="5872D674" w14:textId="77777777" w:rsidR="00AA2CE5" w:rsidRPr="001F539E" w:rsidRDefault="00757BFA" w:rsidP="00AA2CE5">
            <w:pPr>
              <w:pStyle w:val="zSoquijlblProcureurDef"/>
              <w:rPr>
                <w:lang w:val="en-CA"/>
              </w:rPr>
            </w:pPr>
            <w:r w:rsidRPr="001F539E">
              <w:rPr>
                <w:lang w:val="en-CA"/>
              </w:rPr>
              <w:t>For the respondent</w:t>
            </w:r>
          </w:p>
        </w:tc>
      </w:tr>
      <w:tr w:rsidR="000B75A1" w:rsidRPr="001F539E" w14:paraId="5872D677" w14:textId="77777777" w:rsidTr="00423DF1">
        <w:tc>
          <w:tcPr>
            <w:tcW w:w="9362" w:type="dxa"/>
            <w:gridSpan w:val="3"/>
          </w:tcPr>
          <w:p w14:paraId="5872D676" w14:textId="77777777" w:rsidR="00AA2CE5" w:rsidRPr="001F539E" w:rsidRDefault="00AA2CE5" w:rsidP="00AA2CE5">
            <w:pPr>
              <w:pStyle w:val="zSoquijlblProcureurDef"/>
              <w:rPr>
                <w:lang w:val="en-CA"/>
              </w:rPr>
            </w:pPr>
          </w:p>
        </w:tc>
      </w:tr>
      <w:tr w:rsidR="000B75A1" w:rsidRPr="001F539E" w14:paraId="5872D679" w14:textId="77777777" w:rsidTr="00FD25D8">
        <w:tc>
          <w:tcPr>
            <w:tcW w:w="9362" w:type="dxa"/>
            <w:gridSpan w:val="3"/>
          </w:tcPr>
          <w:p w14:paraId="5872D678" w14:textId="77777777" w:rsidR="00AA2CE5" w:rsidRPr="001F539E" w:rsidRDefault="00757BFA" w:rsidP="00FD25D8">
            <w:pPr>
              <w:pStyle w:val="zSoquijdatNomProcureurDef"/>
              <w:rPr>
                <w:lang w:val="en-CA"/>
              </w:rPr>
            </w:pPr>
            <w:proofErr w:type="spellStart"/>
            <w:r w:rsidRPr="001F539E">
              <w:rPr>
                <w:lang w:val="en-CA"/>
              </w:rPr>
              <w:t>Mtre</w:t>
            </w:r>
            <w:proofErr w:type="spellEnd"/>
            <w:r w:rsidRPr="001F539E">
              <w:rPr>
                <w:lang w:val="en-CA"/>
              </w:rPr>
              <w:t xml:space="preserve"> Gabriel Lavigne</w:t>
            </w:r>
          </w:p>
        </w:tc>
      </w:tr>
      <w:tr w:rsidR="000B75A1" w:rsidRPr="001F539E" w14:paraId="5872D67B" w14:textId="77777777" w:rsidTr="00FD25D8">
        <w:tc>
          <w:tcPr>
            <w:tcW w:w="9362" w:type="dxa"/>
            <w:gridSpan w:val="3"/>
          </w:tcPr>
          <w:p w14:paraId="5872D67A" w14:textId="77777777" w:rsidR="00AA2CE5" w:rsidRPr="001F539E" w:rsidRDefault="00757BFA" w:rsidP="00FD25D8">
            <w:pPr>
              <w:pStyle w:val="zSoquijdatCabinetProcureurDef"/>
              <w:rPr>
                <w:lang w:val="en-CA"/>
              </w:rPr>
            </w:pPr>
            <w:r w:rsidRPr="001F539E">
              <w:rPr>
                <w:lang w:val="en-CA"/>
              </w:rPr>
              <w:t>BERNARD, ROY (JUSTICE-QUÉBEC)</w:t>
            </w:r>
          </w:p>
        </w:tc>
      </w:tr>
      <w:tr w:rsidR="000B75A1" w:rsidRPr="001F539E" w14:paraId="5872D67D" w14:textId="77777777" w:rsidTr="00FD25D8">
        <w:tc>
          <w:tcPr>
            <w:tcW w:w="9362" w:type="dxa"/>
            <w:gridSpan w:val="3"/>
          </w:tcPr>
          <w:p w14:paraId="5872D67C" w14:textId="77777777" w:rsidR="00AA2CE5" w:rsidRPr="001F539E" w:rsidRDefault="00757BFA" w:rsidP="00FD25D8">
            <w:pPr>
              <w:pStyle w:val="zSoquijlblProcureurDef"/>
              <w:rPr>
                <w:lang w:val="en-CA"/>
              </w:rPr>
            </w:pPr>
            <w:r w:rsidRPr="001F539E">
              <w:rPr>
                <w:lang w:val="en-CA"/>
              </w:rPr>
              <w:t>For the impleaded party</w:t>
            </w:r>
          </w:p>
        </w:tc>
      </w:tr>
      <w:tr w:rsidR="000B75A1" w:rsidRPr="001F539E" w14:paraId="5872D67F" w14:textId="77777777" w:rsidTr="00423DF1">
        <w:tc>
          <w:tcPr>
            <w:tcW w:w="9362" w:type="dxa"/>
            <w:gridSpan w:val="3"/>
          </w:tcPr>
          <w:p w14:paraId="5872D67E" w14:textId="77777777" w:rsidR="005A78BF" w:rsidRPr="001F539E" w:rsidRDefault="005A78BF" w:rsidP="005A78BF">
            <w:pPr>
              <w:rPr>
                <w:lang w:val="en-CA"/>
              </w:rPr>
            </w:pPr>
          </w:p>
        </w:tc>
      </w:tr>
      <w:tr w:rsidR="000B75A1" w:rsidRPr="001F539E" w14:paraId="5872D682" w14:textId="77777777" w:rsidTr="00423DF1">
        <w:tc>
          <w:tcPr>
            <w:tcW w:w="1997" w:type="dxa"/>
          </w:tcPr>
          <w:p w14:paraId="5872D680" w14:textId="77777777" w:rsidR="005A78BF" w:rsidRPr="001F539E" w:rsidRDefault="00757BFA" w:rsidP="005A78BF">
            <w:pPr>
              <w:pStyle w:val="zSoquijlblDateAudience"/>
              <w:rPr>
                <w:lang w:val="en-CA"/>
              </w:rPr>
            </w:pPr>
            <w:r w:rsidRPr="001F539E">
              <w:rPr>
                <w:lang w:val="en-CA"/>
              </w:rPr>
              <w:t>Date of hearing:</w:t>
            </w:r>
          </w:p>
        </w:tc>
        <w:tc>
          <w:tcPr>
            <w:tcW w:w="7365" w:type="dxa"/>
            <w:gridSpan w:val="2"/>
          </w:tcPr>
          <w:p w14:paraId="5872D681" w14:textId="77777777" w:rsidR="005A78BF" w:rsidRPr="001F539E" w:rsidRDefault="00757BFA" w:rsidP="005A78BF">
            <w:pPr>
              <w:pStyle w:val="zSoquijdatDateAudience"/>
              <w:rPr>
                <w:lang w:val="en-CA"/>
              </w:rPr>
            </w:pPr>
            <w:r w:rsidRPr="001F539E">
              <w:rPr>
                <w:lang w:val="en-CA"/>
              </w:rPr>
              <w:t>April 3, 2025</w:t>
            </w:r>
          </w:p>
        </w:tc>
      </w:tr>
      <w:bookmarkEnd w:id="8"/>
    </w:tbl>
    <w:p w14:paraId="5872D683" w14:textId="77777777" w:rsidR="00740A17" w:rsidRPr="001F539E" w:rsidRDefault="00740A17" w:rsidP="00CB2CD8">
      <w:pPr>
        <w:rPr>
          <w:lang w:val="en-CA"/>
        </w:rPr>
      </w:pPr>
    </w:p>
    <w:sectPr w:rsidR="00740A17" w:rsidRPr="001F539E" w:rsidSect="00CB2CD8">
      <w:headerReference w:type="default" r:id="rId8"/>
      <w:footerReference w:type="default" r:id="rId9"/>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1DDB" w14:textId="77777777" w:rsidR="00F51A57" w:rsidRDefault="00F51A57">
      <w:pPr>
        <w:spacing w:line="240" w:lineRule="auto"/>
      </w:pPr>
      <w:r>
        <w:separator/>
      </w:r>
    </w:p>
  </w:endnote>
  <w:endnote w:type="continuationSeparator" w:id="0">
    <w:p w14:paraId="504FE7E8" w14:textId="77777777" w:rsidR="00F51A57" w:rsidRDefault="00F51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818A" w14:textId="1C3B35FA" w:rsidR="00781FF4" w:rsidRPr="00F7034C" w:rsidRDefault="00781FF4" w:rsidP="00781FF4">
    <w:pPr>
      <w:pStyle w:val="Pieddepage"/>
      <w:jc w:val="right"/>
      <w:rPr>
        <w:b/>
        <w:bCs/>
        <w:lang w:val="en-CA"/>
      </w:rPr>
    </w:pPr>
    <w:r w:rsidRPr="00F7034C">
      <w:rPr>
        <w:b/>
        <w:bCs/>
        <w:lang w:val="en-CA"/>
      </w:rPr>
      <w:t>English translation of the judgment of the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0BBC" w14:textId="77777777" w:rsidR="00F51A57" w:rsidRDefault="00F51A57">
      <w:r>
        <w:separator/>
      </w:r>
    </w:p>
  </w:footnote>
  <w:footnote w:type="continuationSeparator" w:id="0">
    <w:p w14:paraId="363E556F" w14:textId="77777777" w:rsidR="00F51A57" w:rsidRDefault="00F51A57">
      <w:r>
        <w:continuationSeparator/>
      </w:r>
    </w:p>
  </w:footnote>
  <w:footnote w:id="1">
    <w:p w14:paraId="5872D68D" w14:textId="77777777" w:rsidR="0003336D" w:rsidRPr="00F7034C" w:rsidRDefault="00757BFA" w:rsidP="0003336D">
      <w:pPr>
        <w:pStyle w:val="Notedebasdepage"/>
      </w:pPr>
      <w:r w:rsidRPr="001F539E">
        <w:rPr>
          <w:rStyle w:val="Appelnotedebasdep"/>
          <w:lang w:val="en-CA"/>
        </w:rPr>
        <w:footnoteRef/>
      </w:r>
      <w:r w:rsidRPr="00F7034C">
        <w:t xml:space="preserve"> </w:t>
      </w:r>
      <w:r w:rsidRPr="00F7034C">
        <w:tab/>
      </w:r>
      <w:r w:rsidRPr="00F7034C">
        <w:rPr>
          <w:i/>
          <w:iCs/>
        </w:rPr>
        <w:t>Droit de la famille — 241770</w:t>
      </w:r>
      <w:r w:rsidRPr="00F7034C">
        <w:t>, 2024 QCCS 4322 [judgment under appeal].</w:t>
      </w:r>
    </w:p>
  </w:footnote>
  <w:footnote w:id="2">
    <w:p w14:paraId="5872D68E" w14:textId="77777777" w:rsidR="0003336D" w:rsidRPr="001F539E" w:rsidRDefault="00757BFA">
      <w:pPr>
        <w:pStyle w:val="Notedebasdepage"/>
        <w:rPr>
          <w:lang w:val="en-CA"/>
        </w:rPr>
      </w:pPr>
      <w:r w:rsidRPr="001F539E">
        <w:rPr>
          <w:rStyle w:val="Appelnotedebasdep"/>
          <w:lang w:val="en-CA"/>
        </w:rPr>
        <w:footnoteRef/>
      </w:r>
      <w:r w:rsidRPr="001F539E">
        <w:rPr>
          <w:lang w:val="en-CA"/>
        </w:rPr>
        <w:t xml:space="preserve"> </w:t>
      </w:r>
      <w:r w:rsidRPr="001F539E">
        <w:rPr>
          <w:lang w:val="en-CA"/>
        </w:rPr>
        <w:tab/>
        <w:t>It was not until a year later that he managed to locate the mother and child.</w:t>
      </w:r>
    </w:p>
  </w:footnote>
  <w:footnote w:id="3">
    <w:p w14:paraId="5872D68F" w14:textId="5813D4F8"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r>
      <w:r w:rsidRPr="001F539E">
        <w:rPr>
          <w:i/>
          <w:iCs/>
          <w:lang w:val="en-CA"/>
        </w:rPr>
        <w:t>Act respecting the civil aspects of international and interprovincial child abduction</w:t>
      </w:r>
      <w:r w:rsidRPr="001F539E">
        <w:rPr>
          <w:lang w:val="en-CA"/>
        </w:rPr>
        <w:t xml:space="preserve">, CQLR, c. A‑23.01 [hereinafter the </w:t>
      </w:r>
      <w:r w:rsidR="00882E63">
        <w:rPr>
          <w:lang w:val="en-CA"/>
        </w:rPr>
        <w:t>“</w:t>
      </w:r>
      <w:r w:rsidRPr="001F539E">
        <w:rPr>
          <w:i/>
          <w:iCs/>
          <w:lang w:val="en-CA"/>
        </w:rPr>
        <w:t>Act</w:t>
      </w:r>
      <w:r w:rsidR="00882E63">
        <w:rPr>
          <w:lang w:val="en-CA"/>
        </w:rPr>
        <w:t>”</w:t>
      </w:r>
      <w:r w:rsidRPr="001F539E">
        <w:rPr>
          <w:lang w:val="en-CA"/>
        </w:rPr>
        <w:t>].</w:t>
      </w:r>
    </w:p>
  </w:footnote>
  <w:footnote w:id="4">
    <w:p w14:paraId="5872D690"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r>
      <w:r w:rsidRPr="001F539E">
        <w:rPr>
          <w:i/>
          <w:iCs/>
          <w:lang w:val="en-CA"/>
        </w:rPr>
        <w:t>Convention on the Civil Aspects of International Child Abduction</w:t>
      </w:r>
      <w:r w:rsidRPr="001F539E">
        <w:rPr>
          <w:lang w:val="en-CA"/>
        </w:rPr>
        <w:t>, October 25, 1980, 1983/35 Can. T.S., ratified by Canada on June 2, 1983.</w:t>
      </w:r>
    </w:p>
  </w:footnote>
  <w:footnote w:id="5">
    <w:p w14:paraId="5872D691"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 xml:space="preserve">The grave risk exception is provided for in s. 21 para. 2 of the </w:t>
      </w:r>
      <w:r w:rsidRPr="001F539E">
        <w:rPr>
          <w:i/>
          <w:iCs/>
          <w:lang w:val="en-CA"/>
        </w:rPr>
        <w:t>Act</w:t>
      </w:r>
      <w:r w:rsidRPr="001F539E">
        <w:rPr>
          <w:lang w:val="en-CA"/>
        </w:rPr>
        <w:t xml:space="preserve">. </w:t>
      </w:r>
    </w:p>
  </w:footnote>
  <w:footnote w:id="6">
    <w:p w14:paraId="5872D692"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Judgment under appeal, para. 10.</w:t>
      </w:r>
    </w:p>
  </w:footnote>
  <w:footnote w:id="7">
    <w:p w14:paraId="5872D693" w14:textId="77777777" w:rsidR="00506943" w:rsidRPr="001F539E" w:rsidRDefault="00757BFA">
      <w:pPr>
        <w:pStyle w:val="Notedebasdepage"/>
        <w:rPr>
          <w:lang w:val="en-CA"/>
        </w:rPr>
      </w:pPr>
      <w:r w:rsidRPr="001F539E">
        <w:rPr>
          <w:rStyle w:val="Appelnotedebasdep"/>
          <w:lang w:val="en-CA"/>
        </w:rPr>
        <w:footnoteRef/>
      </w:r>
      <w:r w:rsidRPr="001F539E">
        <w:rPr>
          <w:lang w:val="en-CA"/>
        </w:rPr>
        <w:t xml:space="preserve"> </w:t>
      </w:r>
      <w:r w:rsidRPr="001F539E">
        <w:rPr>
          <w:lang w:val="en-CA"/>
        </w:rPr>
        <w:tab/>
      </w:r>
      <w:r w:rsidRPr="001F539E">
        <w:rPr>
          <w:i/>
          <w:iCs/>
          <w:lang w:val="en-CA"/>
        </w:rPr>
        <w:t>Ibid.</w:t>
      </w:r>
    </w:p>
  </w:footnote>
  <w:footnote w:id="8">
    <w:p w14:paraId="5872D694" w14:textId="4353C526" w:rsidR="0003336D" w:rsidRPr="008B301A"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r>
      <w:r w:rsidRPr="008B301A">
        <w:rPr>
          <w:lang w:val="en-CA"/>
        </w:rPr>
        <w:t>Judgment under appeal, para. 65.</w:t>
      </w:r>
    </w:p>
  </w:footnote>
  <w:footnote w:id="9">
    <w:p w14:paraId="5872D695" w14:textId="7A5B4C2A" w:rsidR="0003336D" w:rsidRPr="001F539E" w:rsidRDefault="00757BFA" w:rsidP="0003336D">
      <w:pPr>
        <w:pStyle w:val="Notedebasdepage"/>
        <w:rPr>
          <w:lang w:val="en-CA"/>
        </w:rPr>
      </w:pPr>
      <w:r w:rsidRPr="008B301A">
        <w:rPr>
          <w:rStyle w:val="Appelnotedebasdep"/>
          <w:lang w:val="en-CA"/>
        </w:rPr>
        <w:footnoteRef/>
      </w:r>
      <w:r w:rsidRPr="008B301A">
        <w:rPr>
          <w:lang w:val="en-CA"/>
        </w:rPr>
        <w:t xml:space="preserve"> </w:t>
      </w:r>
      <w:r w:rsidRPr="008B301A">
        <w:rPr>
          <w:lang w:val="en-CA"/>
        </w:rPr>
        <w:tab/>
        <w:t>Judgment under appeal, para. 67.</w:t>
      </w:r>
    </w:p>
  </w:footnote>
  <w:footnote w:id="10">
    <w:p w14:paraId="5872D696" w14:textId="0BDE09CF" w:rsidR="0003336D" w:rsidRPr="00F7034C" w:rsidRDefault="00757BFA" w:rsidP="0003336D">
      <w:pPr>
        <w:pStyle w:val="Notedebasdepage"/>
      </w:pPr>
      <w:r w:rsidRPr="001F539E">
        <w:rPr>
          <w:rStyle w:val="Appelnotedebasdep"/>
          <w:lang w:val="en-CA"/>
        </w:rPr>
        <w:footnoteRef/>
      </w:r>
      <w:r w:rsidRPr="001F539E">
        <w:rPr>
          <w:lang w:val="en-CA"/>
        </w:rPr>
        <w:t xml:space="preserve"> </w:t>
      </w:r>
      <w:r w:rsidRPr="001F539E">
        <w:rPr>
          <w:lang w:val="en-CA"/>
        </w:rPr>
        <w:tab/>
        <w:t xml:space="preserve">Judgment under appeal, para. </w:t>
      </w:r>
      <w:r w:rsidRPr="00F7034C">
        <w:t>66.</w:t>
      </w:r>
    </w:p>
  </w:footnote>
  <w:footnote w:id="11">
    <w:p w14:paraId="5872D697" w14:textId="77777777" w:rsidR="0003336D" w:rsidRPr="00F7034C" w:rsidRDefault="00757BFA" w:rsidP="0003336D">
      <w:pPr>
        <w:pStyle w:val="Notedebasdepage"/>
      </w:pPr>
      <w:r w:rsidRPr="001F539E">
        <w:rPr>
          <w:rStyle w:val="Appelnotedebasdep"/>
          <w:lang w:val="en-CA"/>
        </w:rPr>
        <w:footnoteRef/>
      </w:r>
      <w:r w:rsidRPr="00F7034C">
        <w:t xml:space="preserve"> </w:t>
      </w:r>
      <w:r w:rsidRPr="00F7034C">
        <w:tab/>
      </w:r>
      <w:r w:rsidRPr="00F7034C">
        <w:rPr>
          <w:i/>
          <w:iCs/>
        </w:rPr>
        <w:t xml:space="preserve">Id., </w:t>
      </w:r>
      <w:r w:rsidRPr="00F7034C">
        <w:t>para. 65.</w:t>
      </w:r>
    </w:p>
  </w:footnote>
  <w:footnote w:id="12">
    <w:p w14:paraId="5872D698" w14:textId="77777777" w:rsidR="0003336D" w:rsidRPr="00F7034C" w:rsidRDefault="00757BFA" w:rsidP="0003336D">
      <w:pPr>
        <w:pStyle w:val="Notedebasdepage"/>
      </w:pPr>
      <w:r w:rsidRPr="001F539E">
        <w:rPr>
          <w:rStyle w:val="Appelnotedebasdep"/>
          <w:lang w:val="en-CA"/>
        </w:rPr>
        <w:footnoteRef/>
      </w:r>
      <w:r w:rsidRPr="00F7034C">
        <w:t xml:space="preserve"> </w:t>
      </w:r>
      <w:r w:rsidRPr="00F7034C">
        <w:tab/>
      </w:r>
      <w:r w:rsidRPr="00F7034C">
        <w:rPr>
          <w:i/>
          <w:iCs/>
        </w:rPr>
        <w:t>Droit de la famille — 182267</w:t>
      </w:r>
      <w:r w:rsidRPr="00F7034C">
        <w:t>, 2018 QCCA 1791, para. 7.</w:t>
      </w:r>
    </w:p>
  </w:footnote>
  <w:footnote w:id="13">
    <w:p w14:paraId="5872D699" w14:textId="77777777" w:rsidR="0003336D" w:rsidRPr="00F7034C" w:rsidRDefault="00757BFA" w:rsidP="0003336D">
      <w:pPr>
        <w:pStyle w:val="Notedebasdepage"/>
      </w:pPr>
      <w:r w:rsidRPr="001F539E">
        <w:rPr>
          <w:rStyle w:val="Appelnotedebasdep"/>
          <w:lang w:val="en-CA"/>
        </w:rPr>
        <w:footnoteRef/>
      </w:r>
      <w:r w:rsidRPr="00F7034C">
        <w:t xml:space="preserve"> </w:t>
      </w:r>
      <w:r w:rsidRPr="00F7034C">
        <w:tab/>
      </w:r>
      <w:r w:rsidRPr="00F7034C">
        <w:rPr>
          <w:i/>
          <w:iCs/>
        </w:rPr>
        <w:t>Droit de la famille — 1763</w:t>
      </w:r>
      <w:r w:rsidRPr="00F7034C">
        <w:t xml:space="preserve">, J.E. 93-1425, 1993 CanLII 4039 (QC CA), pp. 14-15, appeal dismissed in </w:t>
      </w:r>
      <w:r w:rsidRPr="00F7034C">
        <w:rPr>
          <w:i/>
          <w:iCs/>
        </w:rPr>
        <w:t>W.(V.) v. S.(D.)</w:t>
      </w:r>
      <w:r w:rsidRPr="00F7034C">
        <w:t>, 1996 CanLII 192 (SCC), [1996] 2 S.C.R. 108.</w:t>
      </w:r>
    </w:p>
  </w:footnote>
  <w:footnote w:id="14">
    <w:p w14:paraId="5872D69A" w14:textId="77777777" w:rsidR="0003336D" w:rsidRPr="00F906C2" w:rsidRDefault="00757BFA" w:rsidP="0003336D">
      <w:pPr>
        <w:pStyle w:val="Notedebasdepage"/>
        <w:rPr>
          <w:lang w:val="es-CL"/>
        </w:rPr>
      </w:pPr>
      <w:r w:rsidRPr="001F539E">
        <w:rPr>
          <w:rStyle w:val="Appelnotedebasdep"/>
          <w:lang w:val="en-CA"/>
        </w:rPr>
        <w:footnoteRef/>
      </w:r>
      <w:r w:rsidRPr="00F906C2">
        <w:rPr>
          <w:lang w:val="es-CL"/>
        </w:rPr>
        <w:t xml:space="preserve"> </w:t>
      </w:r>
      <w:r w:rsidRPr="00F906C2">
        <w:rPr>
          <w:lang w:val="es-CL"/>
        </w:rPr>
        <w:tab/>
      </w:r>
      <w:r w:rsidRPr="00F906C2">
        <w:rPr>
          <w:i/>
          <w:iCs/>
          <w:lang w:val="es-CL"/>
        </w:rPr>
        <w:t>Kubera v.</w:t>
      </w:r>
      <w:r w:rsidRPr="00F906C2">
        <w:rPr>
          <w:lang w:val="es-CL"/>
        </w:rPr>
        <w:t xml:space="preserve"> </w:t>
      </w:r>
      <w:r w:rsidRPr="00F906C2">
        <w:rPr>
          <w:i/>
          <w:iCs/>
          <w:lang w:val="es-CL"/>
        </w:rPr>
        <w:t>Kubera</w:t>
      </w:r>
      <w:r w:rsidRPr="00F906C2">
        <w:rPr>
          <w:lang w:val="es-CL"/>
        </w:rPr>
        <w:t>,</w:t>
      </w:r>
      <w:r w:rsidRPr="00F906C2">
        <w:rPr>
          <w:i/>
          <w:iCs/>
          <w:lang w:val="es-CL"/>
        </w:rPr>
        <w:t xml:space="preserve"> </w:t>
      </w:r>
      <w:r w:rsidRPr="00F906C2">
        <w:rPr>
          <w:lang w:val="es-CL"/>
        </w:rPr>
        <w:t>2010 BCCA 118, para. 44.</w:t>
      </w:r>
    </w:p>
  </w:footnote>
  <w:footnote w:id="15">
    <w:p w14:paraId="5872D69B" w14:textId="77777777" w:rsidR="0003336D" w:rsidRPr="00F7034C" w:rsidRDefault="00757BFA" w:rsidP="0003336D">
      <w:pPr>
        <w:pStyle w:val="Notedebasdepage"/>
      </w:pPr>
      <w:r w:rsidRPr="001F539E">
        <w:rPr>
          <w:rStyle w:val="Appelnotedebasdep"/>
          <w:lang w:val="en-CA"/>
        </w:rPr>
        <w:footnoteRef/>
      </w:r>
      <w:r w:rsidRPr="00F906C2">
        <w:rPr>
          <w:lang w:val="es-CL"/>
        </w:rPr>
        <w:t xml:space="preserve"> </w:t>
      </w:r>
      <w:r w:rsidRPr="00F906C2">
        <w:rPr>
          <w:lang w:val="es-CL"/>
        </w:rPr>
        <w:tab/>
      </w:r>
      <w:r w:rsidRPr="00F906C2">
        <w:rPr>
          <w:i/>
          <w:iCs/>
          <w:lang w:val="es-CL"/>
        </w:rPr>
        <w:t>A.</w:t>
      </w:r>
      <w:r w:rsidRPr="00F906C2">
        <w:rPr>
          <w:lang w:val="es-CL"/>
        </w:rPr>
        <w:t xml:space="preserve"> </w:t>
      </w:r>
      <w:r w:rsidRPr="00F906C2">
        <w:rPr>
          <w:i/>
          <w:iCs/>
          <w:lang w:val="es-CL"/>
        </w:rPr>
        <w:t>v.</w:t>
      </w:r>
      <w:r w:rsidRPr="00F906C2">
        <w:rPr>
          <w:lang w:val="es-CL"/>
        </w:rPr>
        <w:t xml:space="preserve"> </w:t>
      </w:r>
      <w:r w:rsidRPr="00F906C2">
        <w:rPr>
          <w:i/>
          <w:iCs/>
          <w:lang w:val="es-CL"/>
        </w:rPr>
        <w:t>M.</w:t>
      </w:r>
      <w:r w:rsidRPr="00F906C2">
        <w:rPr>
          <w:lang w:val="es-CL"/>
        </w:rPr>
        <w:t>, 2002 NSCA 127, para. </w:t>
      </w:r>
      <w:r w:rsidRPr="001F539E">
        <w:rPr>
          <w:lang w:val="en-CA"/>
        </w:rPr>
        <w:t xml:space="preserve">82, cited in </w:t>
      </w:r>
      <w:r w:rsidRPr="001F539E">
        <w:rPr>
          <w:i/>
          <w:iCs/>
          <w:lang w:val="en-CA"/>
        </w:rPr>
        <w:t>Kubera v.</w:t>
      </w:r>
      <w:r w:rsidRPr="001F539E">
        <w:rPr>
          <w:lang w:val="en-CA"/>
        </w:rPr>
        <w:t xml:space="preserve"> </w:t>
      </w:r>
      <w:r w:rsidRPr="001F539E">
        <w:rPr>
          <w:i/>
          <w:iCs/>
          <w:lang w:val="en-CA"/>
        </w:rPr>
        <w:t>Kubera</w:t>
      </w:r>
      <w:r w:rsidRPr="001F539E">
        <w:rPr>
          <w:lang w:val="en-CA"/>
        </w:rPr>
        <w:t>,</w:t>
      </w:r>
      <w:r w:rsidRPr="001F539E">
        <w:rPr>
          <w:i/>
          <w:iCs/>
          <w:lang w:val="en-CA"/>
        </w:rPr>
        <w:t xml:space="preserve"> </w:t>
      </w:r>
      <w:r w:rsidRPr="001F539E">
        <w:rPr>
          <w:lang w:val="en-CA"/>
        </w:rPr>
        <w:t>2010 BCCA 118, para. </w:t>
      </w:r>
      <w:r w:rsidRPr="00F7034C">
        <w:t>44.</w:t>
      </w:r>
    </w:p>
  </w:footnote>
  <w:footnote w:id="16">
    <w:p w14:paraId="5872D69C" w14:textId="77777777" w:rsidR="0003336D" w:rsidRPr="00F7034C" w:rsidRDefault="00757BFA" w:rsidP="0003336D">
      <w:pPr>
        <w:pStyle w:val="Notedebasdepage"/>
      </w:pPr>
      <w:r w:rsidRPr="001F539E">
        <w:rPr>
          <w:rStyle w:val="Appelnotedebasdep"/>
          <w:lang w:val="en-CA"/>
        </w:rPr>
        <w:footnoteRef/>
      </w:r>
      <w:r w:rsidRPr="00F7034C">
        <w:t xml:space="preserve"> </w:t>
      </w:r>
      <w:r w:rsidRPr="00F7034C">
        <w:tab/>
      </w:r>
      <w:r w:rsidRPr="00F7034C">
        <w:rPr>
          <w:i/>
          <w:iCs/>
        </w:rPr>
        <w:t>Droit de la famille — 18961</w:t>
      </w:r>
      <w:r w:rsidRPr="00F7034C">
        <w:t>, 2018 QCCS 1869, para. 65 [underlining added].</w:t>
      </w:r>
    </w:p>
  </w:footnote>
  <w:footnote w:id="17">
    <w:p w14:paraId="5872D69D" w14:textId="77777777" w:rsidR="0003336D" w:rsidRPr="00F906C2" w:rsidRDefault="00757BFA" w:rsidP="0003336D">
      <w:pPr>
        <w:pStyle w:val="Notedebasdepage"/>
        <w:rPr>
          <w:lang w:val="es-CL"/>
        </w:rPr>
      </w:pPr>
      <w:r w:rsidRPr="001F539E">
        <w:rPr>
          <w:rStyle w:val="Appelnotedebasdep"/>
          <w:lang w:val="en-CA"/>
        </w:rPr>
        <w:footnoteRef/>
      </w:r>
      <w:r w:rsidRPr="00F7034C">
        <w:t xml:space="preserve"> </w:t>
      </w:r>
      <w:r w:rsidRPr="00F7034C">
        <w:tab/>
      </w:r>
      <w:r w:rsidRPr="00F7034C">
        <w:rPr>
          <w:i/>
          <w:iCs/>
        </w:rPr>
        <w:t>Droit de la famille — 182267</w:t>
      </w:r>
      <w:r w:rsidRPr="00F7034C">
        <w:t xml:space="preserve">, </w:t>
      </w:r>
      <w:r w:rsidRPr="00F7034C">
        <w:rPr>
          <w:i/>
          <w:iCs/>
        </w:rPr>
        <w:t>supra</w:t>
      </w:r>
      <w:r w:rsidRPr="00F7034C">
        <w:t>, note 12, para. </w:t>
      </w:r>
      <w:r w:rsidRPr="00F906C2">
        <w:rPr>
          <w:lang w:val="es-CL"/>
        </w:rPr>
        <w:t xml:space="preserve">8; </w:t>
      </w:r>
      <w:r w:rsidRPr="00F906C2">
        <w:rPr>
          <w:i/>
          <w:iCs/>
          <w:lang w:val="es-CL"/>
        </w:rPr>
        <w:t>Bačić v. Ivakić,</w:t>
      </w:r>
      <w:r w:rsidRPr="00F906C2">
        <w:rPr>
          <w:lang w:val="es-CL"/>
        </w:rPr>
        <w:t xml:space="preserve"> 2017 SKCA 23, para. 75; </w:t>
      </w:r>
      <w:r w:rsidRPr="00F906C2">
        <w:rPr>
          <w:i/>
          <w:iCs/>
          <w:lang w:val="es-CL"/>
        </w:rPr>
        <w:t>Hernandez v. Erazo</w:t>
      </w:r>
      <w:r w:rsidRPr="00F906C2">
        <w:rPr>
          <w:lang w:val="es-CL"/>
        </w:rPr>
        <w:t>, No. SA-22-CV-01069-XR, 2022 WL 12039669, p. 3; 2023 WL 2775165.</w:t>
      </w:r>
    </w:p>
  </w:footnote>
  <w:footnote w:id="18">
    <w:p w14:paraId="5872D69E" w14:textId="77777777" w:rsidR="0003336D" w:rsidRPr="00F906C2" w:rsidRDefault="00757BFA" w:rsidP="0003336D">
      <w:pPr>
        <w:pStyle w:val="Notedebasdepage"/>
        <w:rPr>
          <w:lang w:val="es-CL"/>
        </w:rPr>
      </w:pPr>
      <w:r w:rsidRPr="001F539E">
        <w:rPr>
          <w:rStyle w:val="Appelnotedebasdep"/>
          <w:lang w:val="en-CA"/>
        </w:rPr>
        <w:footnoteRef/>
      </w:r>
      <w:r w:rsidRPr="001F539E">
        <w:rPr>
          <w:lang w:val="en-CA"/>
        </w:rPr>
        <w:t xml:space="preserve"> </w:t>
      </w:r>
      <w:r w:rsidRPr="001F539E">
        <w:rPr>
          <w:lang w:val="en-CA"/>
        </w:rPr>
        <w:tab/>
      </w:r>
      <w:r w:rsidRPr="001F539E">
        <w:rPr>
          <w:i/>
          <w:iCs/>
          <w:lang w:val="en-CA"/>
        </w:rPr>
        <w:t>Nowlan v. Nowlan</w:t>
      </w:r>
      <w:r w:rsidRPr="001F539E">
        <w:rPr>
          <w:lang w:val="en-CA"/>
        </w:rPr>
        <w:t>,</w:t>
      </w:r>
      <w:r w:rsidRPr="001F539E">
        <w:rPr>
          <w:i/>
          <w:iCs/>
          <w:lang w:val="en-CA"/>
        </w:rPr>
        <w:t xml:space="preserve"> </w:t>
      </w:r>
      <w:r w:rsidRPr="001F539E">
        <w:rPr>
          <w:lang w:val="en-CA"/>
        </w:rPr>
        <w:t xml:space="preserve">2019 ONSC 4754, para. </w:t>
      </w:r>
      <w:r w:rsidRPr="00F906C2">
        <w:rPr>
          <w:lang w:val="es-CL"/>
        </w:rPr>
        <w:t>48.</w:t>
      </w:r>
    </w:p>
  </w:footnote>
  <w:footnote w:id="19">
    <w:p w14:paraId="5872D69F" w14:textId="77777777" w:rsidR="0003336D" w:rsidRPr="001F539E" w:rsidRDefault="00757BFA" w:rsidP="0003336D">
      <w:pPr>
        <w:pStyle w:val="Notedebasdepage"/>
        <w:rPr>
          <w:lang w:val="en-CA"/>
        </w:rPr>
      </w:pPr>
      <w:r w:rsidRPr="001F539E">
        <w:rPr>
          <w:rStyle w:val="Appelnotedebasdep"/>
          <w:lang w:val="en-CA"/>
        </w:rPr>
        <w:footnoteRef/>
      </w:r>
      <w:r w:rsidRPr="00F906C2">
        <w:rPr>
          <w:lang w:val="es-CL"/>
        </w:rPr>
        <w:t xml:space="preserve"> </w:t>
      </w:r>
      <w:r w:rsidRPr="00F906C2">
        <w:rPr>
          <w:lang w:val="es-CL"/>
        </w:rPr>
        <w:tab/>
      </w:r>
      <w:r w:rsidRPr="00F906C2">
        <w:rPr>
          <w:i/>
          <w:iCs/>
          <w:lang w:val="es-CL"/>
        </w:rPr>
        <w:t>Kubera v. Kubera</w:t>
      </w:r>
      <w:r w:rsidRPr="00F906C2">
        <w:rPr>
          <w:lang w:val="es-CL"/>
        </w:rPr>
        <w:t xml:space="preserve">, </w:t>
      </w:r>
      <w:r w:rsidRPr="00F906C2">
        <w:rPr>
          <w:i/>
          <w:iCs/>
          <w:lang w:val="es-CL"/>
        </w:rPr>
        <w:t>supra</w:t>
      </w:r>
      <w:r w:rsidRPr="00F906C2">
        <w:rPr>
          <w:lang w:val="es-CL"/>
        </w:rPr>
        <w:t>, note 14, para. </w:t>
      </w:r>
      <w:r w:rsidRPr="001F539E">
        <w:rPr>
          <w:lang w:val="en-CA"/>
        </w:rPr>
        <w:t>66.</w:t>
      </w:r>
    </w:p>
  </w:footnote>
  <w:footnote w:id="20">
    <w:p w14:paraId="5872D6A0" w14:textId="3B6ADC78"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r>
      <w:r w:rsidRPr="001F539E">
        <w:rPr>
          <w:i/>
          <w:iCs/>
          <w:lang w:val="en-CA"/>
        </w:rPr>
        <w:t>Office of the Children</w:t>
      </w:r>
      <w:r w:rsidR="00882E63">
        <w:rPr>
          <w:i/>
          <w:iCs/>
          <w:lang w:val="en-CA"/>
        </w:rPr>
        <w:t>’</w:t>
      </w:r>
      <w:r w:rsidRPr="001F539E">
        <w:rPr>
          <w:i/>
          <w:iCs/>
          <w:lang w:val="en-CA"/>
        </w:rPr>
        <w:t>s Lawyer v.</w:t>
      </w:r>
      <w:r w:rsidRPr="001F539E">
        <w:rPr>
          <w:lang w:val="en-CA"/>
        </w:rPr>
        <w:t xml:space="preserve"> </w:t>
      </w:r>
      <w:r w:rsidRPr="001F539E">
        <w:rPr>
          <w:i/>
          <w:iCs/>
          <w:lang w:val="en-CA"/>
        </w:rPr>
        <w:t xml:space="preserve">Balev, </w:t>
      </w:r>
      <w:r w:rsidRPr="001F539E">
        <w:rPr>
          <w:lang w:val="en-CA"/>
        </w:rPr>
        <w:t>2018 SCC 16, para. 24.</w:t>
      </w:r>
    </w:p>
  </w:footnote>
  <w:footnote w:id="21">
    <w:p w14:paraId="5872D6A1"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Transcript of the reasons rendered orally on October 18, 2024, p. 8, l. 12.</w:t>
      </w:r>
    </w:p>
  </w:footnote>
  <w:footnote w:id="22">
    <w:p w14:paraId="5872D6A2"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Transcript of the reasons rendered orally on October 18, 2024, pp. 8-9.</w:t>
      </w:r>
    </w:p>
  </w:footnote>
  <w:footnote w:id="23">
    <w:p w14:paraId="5872D6A3"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Judgment under appeal, para. 64.</w:t>
      </w:r>
    </w:p>
  </w:footnote>
  <w:footnote w:id="24">
    <w:p w14:paraId="5872D6A4"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Judgment under appeal, para. 65.</w:t>
      </w:r>
    </w:p>
  </w:footnote>
  <w:footnote w:id="25">
    <w:p w14:paraId="5872D6A5" w14:textId="602B0A43"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Judgment under appeal, para. 66.</w:t>
      </w:r>
    </w:p>
  </w:footnote>
  <w:footnote w:id="26">
    <w:p w14:paraId="5872D6A6" w14:textId="77777777" w:rsidR="0003336D" w:rsidRPr="001F539E" w:rsidRDefault="00757BFA" w:rsidP="0003336D">
      <w:pPr>
        <w:pStyle w:val="Notedebasdepage"/>
        <w:rPr>
          <w:lang w:val="en-CA"/>
        </w:rPr>
      </w:pPr>
      <w:r w:rsidRPr="001F539E">
        <w:rPr>
          <w:rStyle w:val="Appelnotedebasdep"/>
          <w:lang w:val="en-CA"/>
        </w:rPr>
        <w:footnoteRef/>
      </w:r>
      <w:r w:rsidRPr="001F539E">
        <w:rPr>
          <w:lang w:val="en-CA"/>
        </w:rPr>
        <w:t xml:space="preserve"> </w:t>
      </w:r>
      <w:r w:rsidRPr="001F539E">
        <w:rPr>
          <w:lang w:val="en-CA"/>
        </w:rPr>
        <w:tab/>
        <w:t>Judgment under appeal, para. 61.</w:t>
      </w:r>
    </w:p>
  </w:footnote>
  <w:footnote w:id="27">
    <w:p w14:paraId="5872D6A7" w14:textId="77777777" w:rsidR="0003336D" w:rsidRDefault="00757BFA" w:rsidP="0003336D">
      <w:pPr>
        <w:pStyle w:val="Notedebasdepage"/>
      </w:pPr>
      <w:r w:rsidRPr="001F539E">
        <w:rPr>
          <w:rStyle w:val="Appelnotedebasdep"/>
          <w:lang w:val="en-CA"/>
        </w:rPr>
        <w:footnoteRef/>
      </w:r>
      <w:r w:rsidRPr="001F539E">
        <w:rPr>
          <w:lang w:val="en-CA"/>
        </w:rPr>
        <w:t xml:space="preserve"> </w:t>
      </w:r>
      <w:r w:rsidRPr="001F539E">
        <w:rPr>
          <w:lang w:val="en-CA"/>
        </w:rPr>
        <w:tab/>
        <w:t>Judgment under appeal, para.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D687" w14:textId="77777777" w:rsidR="007E33E4" w:rsidRDefault="00757BFA" w:rsidP="00DB2119">
    <w:pPr>
      <w:tabs>
        <w:tab w:val="center" w:pos="4709"/>
        <w:tab w:val="right" w:pos="9360"/>
      </w:tabs>
      <w:spacing w:line="360" w:lineRule="auto"/>
      <w:ind w:right="524"/>
    </w:pPr>
    <w:bookmarkStart w:id="15" w:name="EntDossier"/>
    <w:r>
      <w:rPr>
        <w:lang w:val="en-CA"/>
      </w:rPr>
      <w:t>500-09-031237-241</w:t>
    </w:r>
    <w:bookmarkEnd w:id="15"/>
    <w:r>
      <w:rPr>
        <w:lang w:val="en-CA"/>
      </w:rPr>
      <w:t xml:space="preserve"> </w:t>
    </w:r>
    <w:r>
      <w:rPr>
        <w:lang w:val="en-CA"/>
      </w:rPr>
      <w:tab/>
    </w:r>
    <w:r>
      <w:rPr>
        <w:lang w:val="en-CA"/>
      </w:rPr>
      <w:tab/>
      <w:t xml:space="preserve">PAGE: </w:t>
    </w:r>
    <w:r>
      <w:fldChar w:fldCharType="begin"/>
    </w:r>
    <w:r>
      <w:instrText xml:space="preserve"> PAGE </w:instrText>
    </w:r>
    <w:r>
      <w:fldChar w:fldCharType="separate"/>
    </w:r>
    <w:r>
      <w:t>8</w:t>
    </w:r>
    <w:r>
      <w:fldChar w:fldCharType="end"/>
    </w:r>
  </w:p>
  <w:p w14:paraId="5872D688"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541989289">
    <w:abstractNumId w:val="12"/>
  </w:num>
  <w:num w:numId="2" w16cid:durableId="1749382199">
    <w:abstractNumId w:val="12"/>
  </w:num>
  <w:num w:numId="3" w16cid:durableId="88817610">
    <w:abstractNumId w:val="12"/>
  </w:num>
  <w:num w:numId="4" w16cid:durableId="1939411960">
    <w:abstractNumId w:val="8"/>
  </w:num>
  <w:num w:numId="5" w16cid:durableId="1407679550">
    <w:abstractNumId w:val="3"/>
  </w:num>
  <w:num w:numId="6" w16cid:durableId="1815757275">
    <w:abstractNumId w:val="2"/>
  </w:num>
  <w:num w:numId="7" w16cid:durableId="605306589">
    <w:abstractNumId w:val="1"/>
  </w:num>
  <w:num w:numId="8" w16cid:durableId="1283918925">
    <w:abstractNumId w:val="0"/>
  </w:num>
  <w:num w:numId="9" w16cid:durableId="135998923">
    <w:abstractNumId w:val="9"/>
  </w:num>
  <w:num w:numId="10" w16cid:durableId="713113511">
    <w:abstractNumId w:val="7"/>
  </w:num>
  <w:num w:numId="11" w16cid:durableId="2032485506">
    <w:abstractNumId w:val="6"/>
  </w:num>
  <w:num w:numId="12" w16cid:durableId="1258291640">
    <w:abstractNumId w:val="5"/>
  </w:num>
  <w:num w:numId="13" w16cid:durableId="526450754">
    <w:abstractNumId w:val="4"/>
  </w:num>
  <w:num w:numId="14" w16cid:durableId="1920476004">
    <w:abstractNumId w:val="12"/>
  </w:num>
  <w:num w:numId="15" w16cid:durableId="664477439">
    <w:abstractNumId w:val="12"/>
  </w:num>
  <w:num w:numId="16" w16cid:durableId="85856647">
    <w:abstractNumId w:val="12"/>
  </w:num>
  <w:num w:numId="17" w16cid:durableId="200631623">
    <w:abstractNumId w:val="11"/>
  </w:num>
  <w:num w:numId="18" w16cid:durableId="201986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D8"/>
    <w:rsid w:val="00003F3D"/>
    <w:rsid w:val="000070BE"/>
    <w:rsid w:val="000131E1"/>
    <w:rsid w:val="0002649A"/>
    <w:rsid w:val="000268D5"/>
    <w:rsid w:val="0003336D"/>
    <w:rsid w:val="00041302"/>
    <w:rsid w:val="0004394C"/>
    <w:rsid w:val="00047103"/>
    <w:rsid w:val="00053691"/>
    <w:rsid w:val="0005683D"/>
    <w:rsid w:val="000929DB"/>
    <w:rsid w:val="000A3807"/>
    <w:rsid w:val="000A7516"/>
    <w:rsid w:val="000B42AF"/>
    <w:rsid w:val="000B75A1"/>
    <w:rsid w:val="000E434E"/>
    <w:rsid w:val="00110833"/>
    <w:rsid w:val="00110B53"/>
    <w:rsid w:val="00112321"/>
    <w:rsid w:val="00117914"/>
    <w:rsid w:val="00120D58"/>
    <w:rsid w:val="0013028C"/>
    <w:rsid w:val="001411D8"/>
    <w:rsid w:val="0015610F"/>
    <w:rsid w:val="00160B31"/>
    <w:rsid w:val="00171151"/>
    <w:rsid w:val="00173204"/>
    <w:rsid w:val="0017540F"/>
    <w:rsid w:val="00175874"/>
    <w:rsid w:val="00181F56"/>
    <w:rsid w:val="00190FA7"/>
    <w:rsid w:val="001972F2"/>
    <w:rsid w:val="001A5771"/>
    <w:rsid w:val="001B0D4F"/>
    <w:rsid w:val="001B5AAC"/>
    <w:rsid w:val="001C2055"/>
    <w:rsid w:val="001E2648"/>
    <w:rsid w:val="001F539E"/>
    <w:rsid w:val="00205DC4"/>
    <w:rsid w:val="0021401E"/>
    <w:rsid w:val="0021548E"/>
    <w:rsid w:val="00216102"/>
    <w:rsid w:val="00220CD2"/>
    <w:rsid w:val="002273F5"/>
    <w:rsid w:val="00231C64"/>
    <w:rsid w:val="002406E3"/>
    <w:rsid w:val="002431BC"/>
    <w:rsid w:val="00245CE9"/>
    <w:rsid w:val="00245DD1"/>
    <w:rsid w:val="002515BD"/>
    <w:rsid w:val="002557A4"/>
    <w:rsid w:val="00261F86"/>
    <w:rsid w:val="00267A6C"/>
    <w:rsid w:val="00272F35"/>
    <w:rsid w:val="002741F5"/>
    <w:rsid w:val="00281E64"/>
    <w:rsid w:val="00283609"/>
    <w:rsid w:val="00296747"/>
    <w:rsid w:val="002A5EA1"/>
    <w:rsid w:val="002B4A07"/>
    <w:rsid w:val="002C4107"/>
    <w:rsid w:val="002C46F9"/>
    <w:rsid w:val="002C5823"/>
    <w:rsid w:val="002E1F0E"/>
    <w:rsid w:val="002E229C"/>
    <w:rsid w:val="002E51F1"/>
    <w:rsid w:val="002E7053"/>
    <w:rsid w:val="002F1350"/>
    <w:rsid w:val="002F6136"/>
    <w:rsid w:val="00300F35"/>
    <w:rsid w:val="00311F28"/>
    <w:rsid w:val="00322DE0"/>
    <w:rsid w:val="0032363D"/>
    <w:rsid w:val="0033190E"/>
    <w:rsid w:val="003427B8"/>
    <w:rsid w:val="003533BD"/>
    <w:rsid w:val="0035343F"/>
    <w:rsid w:val="00361325"/>
    <w:rsid w:val="00374888"/>
    <w:rsid w:val="00374E40"/>
    <w:rsid w:val="00375124"/>
    <w:rsid w:val="00392E75"/>
    <w:rsid w:val="003C212E"/>
    <w:rsid w:val="003C5A98"/>
    <w:rsid w:val="003C7F9E"/>
    <w:rsid w:val="003D0DA8"/>
    <w:rsid w:val="003D487D"/>
    <w:rsid w:val="003D69C2"/>
    <w:rsid w:val="003E0270"/>
    <w:rsid w:val="003E3239"/>
    <w:rsid w:val="003E3E3C"/>
    <w:rsid w:val="003F2E9A"/>
    <w:rsid w:val="003F58D8"/>
    <w:rsid w:val="00403A6E"/>
    <w:rsid w:val="00423DF1"/>
    <w:rsid w:val="00430C58"/>
    <w:rsid w:val="004331C4"/>
    <w:rsid w:val="0043564D"/>
    <w:rsid w:val="00441C25"/>
    <w:rsid w:val="00446452"/>
    <w:rsid w:val="004572B3"/>
    <w:rsid w:val="0047132E"/>
    <w:rsid w:val="00472DC8"/>
    <w:rsid w:val="004732B0"/>
    <w:rsid w:val="00473F75"/>
    <w:rsid w:val="004802EC"/>
    <w:rsid w:val="0049179E"/>
    <w:rsid w:val="004A29F1"/>
    <w:rsid w:val="004A6641"/>
    <w:rsid w:val="004B1E94"/>
    <w:rsid w:val="004B33FF"/>
    <w:rsid w:val="004B74DA"/>
    <w:rsid w:val="004C15F0"/>
    <w:rsid w:val="004D1315"/>
    <w:rsid w:val="004D26AA"/>
    <w:rsid w:val="004D2F69"/>
    <w:rsid w:val="004E4FBA"/>
    <w:rsid w:val="004F27F0"/>
    <w:rsid w:val="004F4191"/>
    <w:rsid w:val="004F6A5B"/>
    <w:rsid w:val="005025C1"/>
    <w:rsid w:val="00506943"/>
    <w:rsid w:val="005131F1"/>
    <w:rsid w:val="0051484F"/>
    <w:rsid w:val="00516B3E"/>
    <w:rsid w:val="005262C9"/>
    <w:rsid w:val="005278C1"/>
    <w:rsid w:val="00527923"/>
    <w:rsid w:val="00531D70"/>
    <w:rsid w:val="005324FF"/>
    <w:rsid w:val="005464C4"/>
    <w:rsid w:val="00552DEB"/>
    <w:rsid w:val="00566BF6"/>
    <w:rsid w:val="0057108E"/>
    <w:rsid w:val="00577C7D"/>
    <w:rsid w:val="00583434"/>
    <w:rsid w:val="0058349F"/>
    <w:rsid w:val="005A0A7F"/>
    <w:rsid w:val="005A78BF"/>
    <w:rsid w:val="005B040B"/>
    <w:rsid w:val="005B62A7"/>
    <w:rsid w:val="005B6B4C"/>
    <w:rsid w:val="005C7516"/>
    <w:rsid w:val="005D1522"/>
    <w:rsid w:val="005D3EFD"/>
    <w:rsid w:val="005F1C63"/>
    <w:rsid w:val="005F5F5F"/>
    <w:rsid w:val="00600FF0"/>
    <w:rsid w:val="00624770"/>
    <w:rsid w:val="00624B63"/>
    <w:rsid w:val="006316DA"/>
    <w:rsid w:val="0063243A"/>
    <w:rsid w:val="006329A5"/>
    <w:rsid w:val="00635390"/>
    <w:rsid w:val="0064250B"/>
    <w:rsid w:val="00644D8D"/>
    <w:rsid w:val="00655A29"/>
    <w:rsid w:val="00664E53"/>
    <w:rsid w:val="00665A3C"/>
    <w:rsid w:val="0067322E"/>
    <w:rsid w:val="006826AA"/>
    <w:rsid w:val="0068356A"/>
    <w:rsid w:val="006A0DB0"/>
    <w:rsid w:val="006A6629"/>
    <w:rsid w:val="006C522D"/>
    <w:rsid w:val="006F640F"/>
    <w:rsid w:val="006F64CF"/>
    <w:rsid w:val="00705D99"/>
    <w:rsid w:val="00713C30"/>
    <w:rsid w:val="00736930"/>
    <w:rsid w:val="00740A17"/>
    <w:rsid w:val="0074143A"/>
    <w:rsid w:val="007462D6"/>
    <w:rsid w:val="00746314"/>
    <w:rsid w:val="0074738B"/>
    <w:rsid w:val="00747A87"/>
    <w:rsid w:val="00757BFA"/>
    <w:rsid w:val="0076062E"/>
    <w:rsid w:val="00773910"/>
    <w:rsid w:val="00777507"/>
    <w:rsid w:val="00781FF4"/>
    <w:rsid w:val="0078244E"/>
    <w:rsid w:val="00782FA6"/>
    <w:rsid w:val="007901CC"/>
    <w:rsid w:val="007953F3"/>
    <w:rsid w:val="007A2C3F"/>
    <w:rsid w:val="007A7803"/>
    <w:rsid w:val="007B061E"/>
    <w:rsid w:val="007B36C4"/>
    <w:rsid w:val="007B48D5"/>
    <w:rsid w:val="007C117E"/>
    <w:rsid w:val="007C4433"/>
    <w:rsid w:val="007D087C"/>
    <w:rsid w:val="007D5E76"/>
    <w:rsid w:val="007E33E4"/>
    <w:rsid w:val="007E4CC9"/>
    <w:rsid w:val="007E7ADE"/>
    <w:rsid w:val="007F40FD"/>
    <w:rsid w:val="00800425"/>
    <w:rsid w:val="00800D23"/>
    <w:rsid w:val="00800ED2"/>
    <w:rsid w:val="00801D02"/>
    <w:rsid w:val="00816273"/>
    <w:rsid w:val="0082717B"/>
    <w:rsid w:val="00827B04"/>
    <w:rsid w:val="0083032E"/>
    <w:rsid w:val="00834CE7"/>
    <w:rsid w:val="00836C80"/>
    <w:rsid w:val="00841907"/>
    <w:rsid w:val="008565F8"/>
    <w:rsid w:val="0086036A"/>
    <w:rsid w:val="008653A3"/>
    <w:rsid w:val="008657A2"/>
    <w:rsid w:val="00865A57"/>
    <w:rsid w:val="00866645"/>
    <w:rsid w:val="00882210"/>
    <w:rsid w:val="00882E63"/>
    <w:rsid w:val="00885D99"/>
    <w:rsid w:val="008A6185"/>
    <w:rsid w:val="008B2EB3"/>
    <w:rsid w:val="008B301A"/>
    <w:rsid w:val="008B4E84"/>
    <w:rsid w:val="008C1FE9"/>
    <w:rsid w:val="008C33F5"/>
    <w:rsid w:val="008C7DCE"/>
    <w:rsid w:val="008D05A2"/>
    <w:rsid w:val="008D18FC"/>
    <w:rsid w:val="008D398B"/>
    <w:rsid w:val="008D7E49"/>
    <w:rsid w:val="008E3A72"/>
    <w:rsid w:val="008E5E9D"/>
    <w:rsid w:val="008E7722"/>
    <w:rsid w:val="008F364A"/>
    <w:rsid w:val="008F3F53"/>
    <w:rsid w:val="009000DA"/>
    <w:rsid w:val="00900545"/>
    <w:rsid w:val="009136F5"/>
    <w:rsid w:val="00913E03"/>
    <w:rsid w:val="00916612"/>
    <w:rsid w:val="009229E9"/>
    <w:rsid w:val="00923592"/>
    <w:rsid w:val="00926953"/>
    <w:rsid w:val="00930EB9"/>
    <w:rsid w:val="00932703"/>
    <w:rsid w:val="00936469"/>
    <w:rsid w:val="009400B7"/>
    <w:rsid w:val="00943622"/>
    <w:rsid w:val="00954DC2"/>
    <w:rsid w:val="00957B92"/>
    <w:rsid w:val="00970966"/>
    <w:rsid w:val="00974442"/>
    <w:rsid w:val="00984C17"/>
    <w:rsid w:val="00996144"/>
    <w:rsid w:val="00997794"/>
    <w:rsid w:val="009B291A"/>
    <w:rsid w:val="009B71C5"/>
    <w:rsid w:val="009F1F69"/>
    <w:rsid w:val="009F65F0"/>
    <w:rsid w:val="00A15AC4"/>
    <w:rsid w:val="00A2060A"/>
    <w:rsid w:val="00A23045"/>
    <w:rsid w:val="00A23BF4"/>
    <w:rsid w:val="00A2593B"/>
    <w:rsid w:val="00A34E05"/>
    <w:rsid w:val="00A41829"/>
    <w:rsid w:val="00A43D8B"/>
    <w:rsid w:val="00A454F1"/>
    <w:rsid w:val="00A457C2"/>
    <w:rsid w:val="00A475D5"/>
    <w:rsid w:val="00A543CC"/>
    <w:rsid w:val="00A6175B"/>
    <w:rsid w:val="00A76D40"/>
    <w:rsid w:val="00A86112"/>
    <w:rsid w:val="00A93CFF"/>
    <w:rsid w:val="00A94720"/>
    <w:rsid w:val="00A96415"/>
    <w:rsid w:val="00A97055"/>
    <w:rsid w:val="00A97D96"/>
    <w:rsid w:val="00AA2CE5"/>
    <w:rsid w:val="00AB3632"/>
    <w:rsid w:val="00AB7DD2"/>
    <w:rsid w:val="00AC2519"/>
    <w:rsid w:val="00AE1B6D"/>
    <w:rsid w:val="00AF08B6"/>
    <w:rsid w:val="00AF0C7C"/>
    <w:rsid w:val="00AF2F09"/>
    <w:rsid w:val="00AF7609"/>
    <w:rsid w:val="00B01D86"/>
    <w:rsid w:val="00B07E4E"/>
    <w:rsid w:val="00B11FD1"/>
    <w:rsid w:val="00B1310B"/>
    <w:rsid w:val="00B137E9"/>
    <w:rsid w:val="00B13A79"/>
    <w:rsid w:val="00B30298"/>
    <w:rsid w:val="00B30EA2"/>
    <w:rsid w:val="00B32ADF"/>
    <w:rsid w:val="00B33AD3"/>
    <w:rsid w:val="00B363E5"/>
    <w:rsid w:val="00B36ED3"/>
    <w:rsid w:val="00B513C9"/>
    <w:rsid w:val="00B5390A"/>
    <w:rsid w:val="00B54237"/>
    <w:rsid w:val="00B56EF4"/>
    <w:rsid w:val="00B70485"/>
    <w:rsid w:val="00B70A5C"/>
    <w:rsid w:val="00B82A13"/>
    <w:rsid w:val="00B83307"/>
    <w:rsid w:val="00B83ECB"/>
    <w:rsid w:val="00B94266"/>
    <w:rsid w:val="00BB42A5"/>
    <w:rsid w:val="00BC21AD"/>
    <w:rsid w:val="00BD42C6"/>
    <w:rsid w:val="00BE0928"/>
    <w:rsid w:val="00BE23BF"/>
    <w:rsid w:val="00BE6C71"/>
    <w:rsid w:val="00BF45A2"/>
    <w:rsid w:val="00C02AF8"/>
    <w:rsid w:val="00C05ACC"/>
    <w:rsid w:val="00C17E01"/>
    <w:rsid w:val="00C31934"/>
    <w:rsid w:val="00C31AC4"/>
    <w:rsid w:val="00C409BE"/>
    <w:rsid w:val="00C423CA"/>
    <w:rsid w:val="00C5375E"/>
    <w:rsid w:val="00C57839"/>
    <w:rsid w:val="00C652ED"/>
    <w:rsid w:val="00C669DE"/>
    <w:rsid w:val="00C719B7"/>
    <w:rsid w:val="00C7793C"/>
    <w:rsid w:val="00C84F3F"/>
    <w:rsid w:val="00C87D34"/>
    <w:rsid w:val="00C939A8"/>
    <w:rsid w:val="00C97145"/>
    <w:rsid w:val="00CB09E4"/>
    <w:rsid w:val="00CB2CD8"/>
    <w:rsid w:val="00CB5135"/>
    <w:rsid w:val="00CC0DDD"/>
    <w:rsid w:val="00CE5C80"/>
    <w:rsid w:val="00CF7C5B"/>
    <w:rsid w:val="00D010FD"/>
    <w:rsid w:val="00D02812"/>
    <w:rsid w:val="00D143F7"/>
    <w:rsid w:val="00D20056"/>
    <w:rsid w:val="00D241DA"/>
    <w:rsid w:val="00D24588"/>
    <w:rsid w:val="00D335DD"/>
    <w:rsid w:val="00D57D87"/>
    <w:rsid w:val="00D6630F"/>
    <w:rsid w:val="00D75046"/>
    <w:rsid w:val="00D85458"/>
    <w:rsid w:val="00DA7705"/>
    <w:rsid w:val="00DB2119"/>
    <w:rsid w:val="00DB2657"/>
    <w:rsid w:val="00DB58F7"/>
    <w:rsid w:val="00DC0243"/>
    <w:rsid w:val="00DC05BC"/>
    <w:rsid w:val="00DD1B1B"/>
    <w:rsid w:val="00DD200B"/>
    <w:rsid w:val="00DD3A24"/>
    <w:rsid w:val="00DF3516"/>
    <w:rsid w:val="00DF77A0"/>
    <w:rsid w:val="00E03C07"/>
    <w:rsid w:val="00E11335"/>
    <w:rsid w:val="00E20E3C"/>
    <w:rsid w:val="00E3230D"/>
    <w:rsid w:val="00E36290"/>
    <w:rsid w:val="00E465AA"/>
    <w:rsid w:val="00E46670"/>
    <w:rsid w:val="00E53C39"/>
    <w:rsid w:val="00E61CBF"/>
    <w:rsid w:val="00E6262D"/>
    <w:rsid w:val="00E62C30"/>
    <w:rsid w:val="00E637FF"/>
    <w:rsid w:val="00E720C9"/>
    <w:rsid w:val="00E808EF"/>
    <w:rsid w:val="00E81E61"/>
    <w:rsid w:val="00E848B4"/>
    <w:rsid w:val="00E91417"/>
    <w:rsid w:val="00E94329"/>
    <w:rsid w:val="00EA432A"/>
    <w:rsid w:val="00EB1377"/>
    <w:rsid w:val="00EC1E33"/>
    <w:rsid w:val="00EE2083"/>
    <w:rsid w:val="00EF3903"/>
    <w:rsid w:val="00F07022"/>
    <w:rsid w:val="00F070EC"/>
    <w:rsid w:val="00F1119E"/>
    <w:rsid w:val="00F13BD6"/>
    <w:rsid w:val="00F26635"/>
    <w:rsid w:val="00F328AB"/>
    <w:rsid w:val="00F33E30"/>
    <w:rsid w:val="00F35A34"/>
    <w:rsid w:val="00F40882"/>
    <w:rsid w:val="00F411C1"/>
    <w:rsid w:val="00F43559"/>
    <w:rsid w:val="00F47A77"/>
    <w:rsid w:val="00F51A57"/>
    <w:rsid w:val="00F57491"/>
    <w:rsid w:val="00F5789B"/>
    <w:rsid w:val="00F61094"/>
    <w:rsid w:val="00F61A70"/>
    <w:rsid w:val="00F63F2B"/>
    <w:rsid w:val="00F7034C"/>
    <w:rsid w:val="00F7493C"/>
    <w:rsid w:val="00F75AAB"/>
    <w:rsid w:val="00F75C76"/>
    <w:rsid w:val="00F807F6"/>
    <w:rsid w:val="00F906C2"/>
    <w:rsid w:val="00FA2DDB"/>
    <w:rsid w:val="00FA5949"/>
    <w:rsid w:val="00FB6D97"/>
    <w:rsid w:val="00FB78C3"/>
    <w:rsid w:val="00FC381A"/>
    <w:rsid w:val="00FC700A"/>
    <w:rsid w:val="00FC720B"/>
    <w:rsid w:val="00FD25D8"/>
    <w:rsid w:val="00FE3C9B"/>
    <w:rsid w:val="00FE3FE9"/>
    <w:rsid w:val="00FE6A10"/>
    <w:rsid w:val="00FF01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2D5D1"/>
  <w15:chartTrackingRefBased/>
  <w15:docId w15:val="{47B24C6B-53C5-4937-AD90-78A589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 Char1 Char1 Char Char, Char1 Char1 Char1, Char1 Char2 Char, Char1 Char3,Char,Char Char,Char Char Char,FA Fu,Footnote Text Char Char Char,Footnote Text Char Char1,Footnote Text Char1 Char,Footnote Text Char2,Footnote text,fn,ft,ft2"/>
    <w:basedOn w:val="Normal"/>
    <w:link w:val="NotedebasdepageCar"/>
    <w:uiPriority w:val="99"/>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Char Char6 Char Char Char Char Char Char Char Char Char Char Char Char,Char6 Char Char Char Char Char Char Char Char Char Char Char Char Char,Footnote,Ref,de nota al pie,fr"/>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NotedebasdepageCar">
    <w:name w:val="Note de bas de page Car"/>
    <w:aliases w:val=" Char1 Char1 Char Char Car, Char1 Char1 Char1 Car, Char1 Char2 Char Car, Char1 Char3 Car,Char Car,Char Char Car,Char Char Char Car,FA Fu Car,Footnote Text Char Char Char Car,Footnote Text Char Char1 Car,Footnote Text Char2 Car"/>
    <w:basedOn w:val="Policepardfaut"/>
    <w:link w:val="Notedebasdepage"/>
    <w:uiPriority w:val="99"/>
    <w:rsid w:val="00CB2CD8"/>
    <w:rPr>
      <w:rFonts w:ascii="Arial" w:hAnsi="Arial"/>
      <w:lang w:eastAsia="fr-FR"/>
    </w:rPr>
  </w:style>
  <w:style w:type="paragraph" w:customStyle="1" w:styleId="aParagraphe">
    <w:name w:val="(a) Paragraphe"/>
    <w:basedOn w:val="Normal"/>
    <w:qFormat/>
    <w:rsid w:val="00CB2CD8"/>
    <w:pPr>
      <w:tabs>
        <w:tab w:val="num" w:pos="720"/>
      </w:tabs>
      <w:spacing w:before="120" w:after="120" w:line="360" w:lineRule="auto"/>
      <w:jc w:val="both"/>
    </w:pPr>
    <w:rPr>
      <w:kern w:val="28"/>
    </w:rPr>
  </w:style>
  <w:style w:type="character" w:styleId="Hyperlien">
    <w:name w:val="Hyperlink"/>
    <w:uiPriority w:val="99"/>
    <w:rsid w:val="00CB2CD8"/>
    <w:rPr>
      <w:noProof w:val="0"/>
      <w:color w:val="0000FF"/>
      <w:u w:val="single"/>
      <w:lang w:val="fr-CA"/>
    </w:rPr>
  </w:style>
  <w:style w:type="character" w:customStyle="1" w:styleId="ParagrapheCar">
    <w:name w:val="Paragraphe Car"/>
    <w:link w:val="Paragraphe"/>
    <w:qFormat/>
    <w:rsid w:val="00CB2CD8"/>
    <w:rPr>
      <w:rFonts w:ascii="Arial" w:hAnsi="Arial"/>
      <w:kern w:val="28"/>
      <w:sz w:val="24"/>
      <w:lang w:eastAsia="fr-FR"/>
    </w:rPr>
  </w:style>
  <w:style w:type="paragraph" w:customStyle="1" w:styleId="dLoientableauEN">
    <w:name w:val="(d) Loi en tableau EN"/>
    <w:basedOn w:val="dLoientableauFR"/>
    <w:qFormat/>
    <w:rsid w:val="00CB2CD8"/>
    <w:pPr>
      <w:ind w:left="142" w:right="720"/>
    </w:pPr>
    <w:rPr>
      <w:lang w:val="en-CA"/>
    </w:rPr>
  </w:style>
  <w:style w:type="paragraph" w:customStyle="1" w:styleId="dLoientableauFR">
    <w:name w:val="(d) Loi en tableau FR"/>
    <w:basedOn w:val="Normal"/>
    <w:qFormat/>
    <w:rsid w:val="00CB2CD8"/>
    <w:pPr>
      <w:spacing w:before="60" w:after="120"/>
      <w:ind w:left="720" w:right="142"/>
      <w:jc w:val="both"/>
    </w:pPr>
    <w:rPr>
      <w:sz w:val="22"/>
    </w:rPr>
  </w:style>
  <w:style w:type="paragraph" w:styleId="Rvision">
    <w:name w:val="Revision"/>
    <w:hidden/>
    <w:uiPriority w:val="99"/>
    <w:semiHidden/>
    <w:rsid w:val="003C7F9E"/>
    <w:rPr>
      <w:rFonts w:ascii="Arial" w:hAnsi="Arial"/>
      <w:sz w:val="24"/>
      <w:lang w:eastAsia="fr-FR"/>
    </w:rPr>
  </w:style>
  <w:style w:type="character" w:styleId="Marquedecommentaire">
    <w:name w:val="annotation reference"/>
    <w:basedOn w:val="Policepardfaut"/>
    <w:uiPriority w:val="99"/>
    <w:semiHidden/>
    <w:unhideWhenUsed/>
    <w:rsid w:val="0003336D"/>
    <w:rPr>
      <w:sz w:val="16"/>
      <w:szCs w:val="16"/>
    </w:rPr>
  </w:style>
  <w:style w:type="paragraph" w:styleId="Commentaire">
    <w:name w:val="annotation text"/>
    <w:basedOn w:val="Normal"/>
    <w:link w:val="CommentaireCar"/>
    <w:uiPriority w:val="99"/>
    <w:unhideWhenUsed/>
    <w:rsid w:val="0003336D"/>
    <w:pPr>
      <w:spacing w:line="240" w:lineRule="auto"/>
    </w:pPr>
    <w:rPr>
      <w:sz w:val="20"/>
    </w:rPr>
  </w:style>
  <w:style w:type="character" w:customStyle="1" w:styleId="CommentaireCar">
    <w:name w:val="Commentaire Car"/>
    <w:basedOn w:val="Policepardfaut"/>
    <w:link w:val="Commentaire"/>
    <w:uiPriority w:val="99"/>
    <w:rsid w:val="0003336D"/>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175874"/>
    <w:rPr>
      <w:b/>
      <w:bCs/>
    </w:rPr>
  </w:style>
  <w:style w:type="character" w:customStyle="1" w:styleId="ObjetducommentaireCar">
    <w:name w:val="Objet du commentaire Car"/>
    <w:basedOn w:val="CommentaireCar"/>
    <w:link w:val="Objetducommentaire"/>
    <w:uiPriority w:val="99"/>
    <w:semiHidden/>
    <w:rsid w:val="00175874"/>
    <w:rPr>
      <w:rFonts w:ascii="Arial" w:hAnsi="Arial"/>
      <w:b/>
      <w:bCs/>
      <w:lang w:eastAsia="fr-FR"/>
    </w:rPr>
  </w:style>
  <w:style w:type="character" w:customStyle="1" w:styleId="Mentionnonrsolue1">
    <w:name w:val="Mention non résolue1"/>
    <w:basedOn w:val="Policepardfaut"/>
    <w:uiPriority w:val="99"/>
    <w:semiHidden/>
    <w:unhideWhenUsed/>
    <w:rsid w:val="00F4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0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635-D9D3-4344-A2E7-AAA7A390E57B}">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2456</Words>
  <Characters>13514</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Bettina Karpel</dc:creator>
  <cp:lastModifiedBy>Gauthier, François</cp:lastModifiedBy>
  <cp:revision>4</cp:revision>
  <dcterms:created xsi:type="dcterms:W3CDTF">2026-04-08T01:37:00Z</dcterms:created>
  <dcterms:modified xsi:type="dcterms:W3CDTF">2026-04-08T13:30:00Z</dcterms:modified>
</cp:coreProperties>
</file>