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Layout w:type="fixed"/>
        <w:tblCellMar>
          <w:left w:w="0" w:type="dxa"/>
          <w:right w:w="0" w:type="dxa"/>
        </w:tblCellMar>
        <w:tblLook w:val="0000" w:firstRow="0" w:lastRow="0" w:firstColumn="0" w:lastColumn="0" w:noHBand="0" w:noVBand="0"/>
      </w:tblPr>
      <w:tblGrid>
        <w:gridCol w:w="1030"/>
        <w:gridCol w:w="246"/>
        <w:gridCol w:w="344"/>
        <w:gridCol w:w="2350"/>
        <w:gridCol w:w="3402"/>
        <w:gridCol w:w="1988"/>
      </w:tblGrid>
      <w:tr w:rsidR="008F364A" w14:paraId="47EB3077" w14:textId="77777777" w:rsidTr="008D18FC">
        <w:trPr>
          <w:trHeight w:val="248"/>
        </w:trPr>
        <w:tc>
          <w:tcPr>
            <w:tcW w:w="7372" w:type="dxa"/>
            <w:gridSpan w:val="5"/>
          </w:tcPr>
          <w:p w14:paraId="5166335A" w14:textId="180D068D" w:rsidR="008F364A" w:rsidRPr="00C3172C" w:rsidRDefault="00C3172C" w:rsidP="00C3172C">
            <w:pPr>
              <w:pStyle w:val="zSoquijdatRepertorie"/>
              <w:rPr>
                <w:rFonts w:cs="Arial"/>
              </w:rPr>
            </w:pPr>
            <w:r>
              <w:rPr>
                <w:rFonts w:cs="Arial"/>
              </w:rPr>
              <w:t>Procureur général du Québec c. Théâtre du Trident inc.</w:t>
            </w:r>
          </w:p>
        </w:tc>
        <w:tc>
          <w:tcPr>
            <w:tcW w:w="1988" w:type="dxa"/>
          </w:tcPr>
          <w:p w14:paraId="58CCE7F3" w14:textId="1F434008" w:rsidR="008F364A" w:rsidRPr="001830B2" w:rsidRDefault="001830B2" w:rsidP="001830B2">
            <w:pPr>
              <w:pStyle w:val="zSoquijdatRefNeutre"/>
              <w:jc w:val="right"/>
              <w:rPr>
                <w:rFonts w:cs="Arial"/>
              </w:rPr>
            </w:pPr>
            <w:r w:rsidRPr="001830B2">
              <w:rPr>
                <w:rFonts w:cs="Arial"/>
              </w:rPr>
              <w:t>2026 QCCA 529</w:t>
            </w:r>
          </w:p>
        </w:tc>
      </w:tr>
      <w:tr w:rsidR="008F364A" w:rsidRPr="00441B52" w14:paraId="6D9B2375" w14:textId="77777777" w:rsidTr="008D18FC">
        <w:trPr>
          <w:trHeight w:val="247"/>
        </w:trPr>
        <w:tc>
          <w:tcPr>
            <w:tcW w:w="9360" w:type="dxa"/>
            <w:gridSpan w:val="6"/>
          </w:tcPr>
          <w:p w14:paraId="24AF213F" w14:textId="77777777" w:rsidR="008F364A" w:rsidRPr="00441B52" w:rsidRDefault="00740A17">
            <w:pPr>
              <w:pStyle w:val="zSoquijlblCour"/>
            </w:pPr>
            <w:r w:rsidRPr="00441B52">
              <w:t>COUR D’APPEL</w:t>
            </w:r>
          </w:p>
        </w:tc>
      </w:tr>
      <w:tr w:rsidR="008F364A" w:rsidRPr="00441B52" w14:paraId="3159FCFC" w14:textId="77777777" w:rsidTr="008D18FC">
        <w:trPr>
          <w:trHeight w:val="540"/>
        </w:trPr>
        <w:tc>
          <w:tcPr>
            <w:tcW w:w="9360" w:type="dxa"/>
            <w:gridSpan w:val="6"/>
          </w:tcPr>
          <w:p w14:paraId="73AC3AD5" w14:textId="77777777" w:rsidR="008F364A" w:rsidRPr="00441B52" w:rsidRDefault="008F364A">
            <w:pPr>
              <w:pStyle w:val="zSoquijdatDivision"/>
            </w:pPr>
          </w:p>
        </w:tc>
      </w:tr>
      <w:tr w:rsidR="008F364A" w:rsidRPr="00441B52" w14:paraId="2EAE389C" w14:textId="77777777" w:rsidTr="008D18FC">
        <w:tc>
          <w:tcPr>
            <w:tcW w:w="9360" w:type="dxa"/>
            <w:gridSpan w:val="6"/>
          </w:tcPr>
          <w:p w14:paraId="644B0FE9" w14:textId="77777777" w:rsidR="008F364A" w:rsidRPr="00441B52" w:rsidRDefault="00740A17">
            <w:pPr>
              <w:pStyle w:val="zSoquijlblPays"/>
            </w:pPr>
            <w:r w:rsidRPr="00441B52">
              <w:t>CANADA</w:t>
            </w:r>
          </w:p>
        </w:tc>
      </w:tr>
      <w:tr w:rsidR="008F364A" w:rsidRPr="00441B52" w14:paraId="6338DD97" w14:textId="77777777" w:rsidTr="008D18FC">
        <w:tc>
          <w:tcPr>
            <w:tcW w:w="9360" w:type="dxa"/>
            <w:gridSpan w:val="6"/>
          </w:tcPr>
          <w:p w14:paraId="6CBE7FC7" w14:textId="77777777" w:rsidR="008F364A" w:rsidRPr="00441B52" w:rsidRDefault="00740A17">
            <w:pPr>
              <w:pStyle w:val="zSoquijlblProvince"/>
            </w:pPr>
            <w:r w:rsidRPr="00441B52">
              <w:t>PROVINCE DE QUÉBEC</w:t>
            </w:r>
          </w:p>
        </w:tc>
      </w:tr>
      <w:tr w:rsidR="008F364A" w:rsidRPr="00441B52" w14:paraId="218E75AD" w14:textId="77777777" w:rsidTr="00AE1B6D">
        <w:tc>
          <w:tcPr>
            <w:tcW w:w="1276" w:type="dxa"/>
            <w:gridSpan w:val="2"/>
          </w:tcPr>
          <w:p w14:paraId="1799E411" w14:textId="77777777" w:rsidR="008F364A" w:rsidRPr="00441B52" w:rsidRDefault="008E5E9D">
            <w:pPr>
              <w:pStyle w:val="zSoquijlblGreffe"/>
            </w:pPr>
            <w:r w:rsidRPr="00441B52">
              <w:t>SIÈGE</w:t>
            </w:r>
            <w:r w:rsidR="00740A17" w:rsidRPr="00441B52">
              <w:t xml:space="preserve"> DE</w:t>
            </w:r>
          </w:p>
          <w:p w14:paraId="05CF1D79" w14:textId="77777777" w:rsidR="008F364A" w:rsidRPr="00441B52" w:rsidRDefault="008F364A">
            <w:pPr>
              <w:pStyle w:val="zSoquijlblGreffe"/>
            </w:pPr>
          </w:p>
        </w:tc>
        <w:tc>
          <w:tcPr>
            <w:tcW w:w="8084" w:type="dxa"/>
            <w:gridSpan w:val="4"/>
          </w:tcPr>
          <w:p w14:paraId="75AA4E65" w14:textId="6B95D85B" w:rsidR="008F364A" w:rsidRPr="00441B52" w:rsidRDefault="00FF5D92" w:rsidP="00AE1B6D">
            <w:pPr>
              <w:pStyle w:val="zSoquijdatGreffe"/>
              <w:ind w:left="-22"/>
            </w:pPr>
            <w:bookmarkStart w:id="0" w:name="NomGreffe"/>
            <w:r w:rsidRPr="00441B52">
              <w:t>QUÉBEC</w:t>
            </w:r>
            <w:bookmarkEnd w:id="0"/>
          </w:p>
        </w:tc>
      </w:tr>
      <w:tr w:rsidR="008F364A" w:rsidRPr="00441B52" w14:paraId="1F560782" w14:textId="77777777" w:rsidTr="008D18FC">
        <w:tc>
          <w:tcPr>
            <w:tcW w:w="1030" w:type="dxa"/>
          </w:tcPr>
          <w:p w14:paraId="7145206C" w14:textId="77777777" w:rsidR="008F364A" w:rsidRPr="00441B52" w:rsidRDefault="00740A17">
            <w:pPr>
              <w:pStyle w:val="zSoquijlblNoDossier"/>
            </w:pPr>
            <w:r w:rsidRPr="00441B52">
              <w:t>N° :</w:t>
            </w:r>
          </w:p>
        </w:tc>
        <w:tc>
          <w:tcPr>
            <w:tcW w:w="8330" w:type="dxa"/>
            <w:gridSpan w:val="5"/>
          </w:tcPr>
          <w:p w14:paraId="03F9C061" w14:textId="2887D180" w:rsidR="008F364A" w:rsidRPr="00441B52" w:rsidRDefault="00FF5D92">
            <w:pPr>
              <w:pStyle w:val="zSoquijdatNoDossier"/>
            </w:pPr>
            <w:bookmarkStart w:id="1" w:name="NoDossier"/>
            <w:r w:rsidRPr="00441B52">
              <w:t>200-10-004139-247</w:t>
            </w:r>
            <w:bookmarkEnd w:id="1"/>
          </w:p>
        </w:tc>
      </w:tr>
      <w:tr w:rsidR="00FF5D92" w:rsidRPr="00441B52" w14:paraId="56EDF0B2" w14:textId="77777777" w:rsidTr="008D18FC">
        <w:tc>
          <w:tcPr>
            <w:tcW w:w="9360" w:type="dxa"/>
            <w:gridSpan w:val="6"/>
          </w:tcPr>
          <w:p w14:paraId="75D06635" w14:textId="39427B94" w:rsidR="00FF5D92" w:rsidRPr="00441B52" w:rsidRDefault="00DA7E95" w:rsidP="00FF5D92">
            <w:pPr>
              <w:pStyle w:val="zSoquijdatNoDossierAnt"/>
            </w:pPr>
            <w:r>
              <w:t>(200-26-003116-217) (200-61-218356-184) (200-61-230456-194)</w:t>
            </w:r>
            <w:r>
              <w:br/>
              <w:t xml:space="preserve">(200-61-232730-190) </w:t>
            </w:r>
          </w:p>
        </w:tc>
      </w:tr>
      <w:tr w:rsidR="008F364A" w:rsidRPr="00441B52" w14:paraId="130FA3D1" w14:textId="77777777" w:rsidTr="008D18FC">
        <w:tc>
          <w:tcPr>
            <w:tcW w:w="9360" w:type="dxa"/>
            <w:gridSpan w:val="6"/>
          </w:tcPr>
          <w:p w14:paraId="426AB788" w14:textId="77777777" w:rsidR="008F364A" w:rsidRPr="00441B52" w:rsidRDefault="008F364A"/>
        </w:tc>
      </w:tr>
      <w:tr w:rsidR="008F364A" w:rsidRPr="00441B52" w14:paraId="7A74F0F2" w14:textId="77777777" w:rsidTr="008D18FC">
        <w:tc>
          <w:tcPr>
            <w:tcW w:w="1030" w:type="dxa"/>
          </w:tcPr>
          <w:p w14:paraId="5A0C405F" w14:textId="77777777" w:rsidR="008F364A" w:rsidRPr="00441B52" w:rsidRDefault="00740A17">
            <w:pPr>
              <w:pStyle w:val="zSoquijlblDateJugement"/>
            </w:pPr>
            <w:r w:rsidRPr="00441B52">
              <w:t>DATE :</w:t>
            </w:r>
          </w:p>
        </w:tc>
        <w:tc>
          <w:tcPr>
            <w:tcW w:w="8330" w:type="dxa"/>
            <w:gridSpan w:val="5"/>
          </w:tcPr>
          <w:p w14:paraId="230E663D" w14:textId="7868F9B4" w:rsidR="008F364A" w:rsidRPr="00853FED" w:rsidRDefault="00902AD7">
            <w:pPr>
              <w:pStyle w:val="zSoquijdatDateJugement"/>
            </w:pPr>
            <w:r>
              <w:t>22 avril 2026</w:t>
            </w:r>
          </w:p>
        </w:tc>
      </w:tr>
      <w:tr w:rsidR="008F364A" w:rsidRPr="00441B52" w14:paraId="584BA66B" w14:textId="77777777" w:rsidTr="008D18FC">
        <w:tc>
          <w:tcPr>
            <w:tcW w:w="9360" w:type="dxa"/>
            <w:gridSpan w:val="6"/>
            <w:tcBorders>
              <w:bottom w:val="single" w:sz="8" w:space="0" w:color="auto"/>
            </w:tcBorders>
          </w:tcPr>
          <w:p w14:paraId="734C7C5B" w14:textId="77777777" w:rsidR="008F364A" w:rsidRPr="00441B52" w:rsidRDefault="008F364A"/>
        </w:tc>
      </w:tr>
      <w:tr w:rsidR="008F364A" w:rsidRPr="00441B52" w14:paraId="4730B040" w14:textId="77777777" w:rsidTr="008D18FC">
        <w:tc>
          <w:tcPr>
            <w:tcW w:w="9360" w:type="dxa"/>
            <w:gridSpan w:val="6"/>
            <w:tcBorders>
              <w:top w:val="single" w:sz="8" w:space="0" w:color="auto"/>
            </w:tcBorders>
          </w:tcPr>
          <w:p w14:paraId="693C3E58" w14:textId="77777777" w:rsidR="008F364A" w:rsidRPr="00441B52" w:rsidRDefault="008F364A"/>
        </w:tc>
      </w:tr>
      <w:tr w:rsidR="008F364A" w:rsidRPr="00C23406" w14:paraId="154C5289" w14:textId="77777777" w:rsidTr="008D18FC">
        <w:tc>
          <w:tcPr>
            <w:tcW w:w="1620" w:type="dxa"/>
            <w:gridSpan w:val="3"/>
          </w:tcPr>
          <w:p w14:paraId="31E671E0" w14:textId="77777777" w:rsidR="008F364A" w:rsidRPr="00441B52" w:rsidRDefault="00B70485" w:rsidP="00423DF1">
            <w:pPr>
              <w:pStyle w:val="zSoquijlblJuge"/>
              <w:ind w:right="-142"/>
            </w:pPr>
            <w:bookmarkStart w:id="2" w:name="FORMATION"/>
            <w:r w:rsidRPr="00441B52">
              <w:t>FORMATION</w:t>
            </w:r>
            <w:r w:rsidR="00B513C9" w:rsidRPr="00441B52">
              <w:t> </w:t>
            </w:r>
            <w:r w:rsidR="00740A17" w:rsidRPr="00441B52">
              <w:t>:</w:t>
            </w:r>
            <w:bookmarkEnd w:id="2"/>
          </w:p>
        </w:tc>
        <w:tc>
          <w:tcPr>
            <w:tcW w:w="2350" w:type="dxa"/>
          </w:tcPr>
          <w:p w14:paraId="70AB640E" w14:textId="77777777" w:rsidR="008F364A" w:rsidRPr="00441B52" w:rsidRDefault="00740A17">
            <w:pPr>
              <w:pStyle w:val="zSoquijdatQteJuge"/>
            </w:pPr>
            <w:bookmarkStart w:id="3" w:name="Honorables"/>
            <w:r w:rsidRPr="00441B52">
              <w:t>LES HONORABLES</w:t>
            </w:r>
            <w:bookmarkEnd w:id="3"/>
          </w:p>
        </w:tc>
        <w:tc>
          <w:tcPr>
            <w:tcW w:w="5390" w:type="dxa"/>
            <w:gridSpan w:val="2"/>
          </w:tcPr>
          <w:p w14:paraId="7A2A6A70" w14:textId="7BADE8AE" w:rsidR="008F364A" w:rsidRPr="00441B52" w:rsidRDefault="007F4BC7">
            <w:pPr>
              <w:pStyle w:val="zSoquijdatJuge"/>
            </w:pPr>
            <w:bookmarkStart w:id="4" w:name="NomJuge1"/>
            <w:r w:rsidRPr="00441B52">
              <w:t>JULIE DUTIL</w:t>
            </w:r>
            <w:r w:rsidR="00FF5D92" w:rsidRPr="00441B52">
              <w:t>, J.C.A.</w:t>
            </w:r>
            <w:bookmarkEnd w:id="4"/>
          </w:p>
          <w:p w14:paraId="4842468B" w14:textId="58F082AA" w:rsidR="008F364A" w:rsidRPr="00441B52" w:rsidRDefault="00FF5D92">
            <w:pPr>
              <w:pStyle w:val="zSoquijdatJuge"/>
            </w:pPr>
            <w:bookmarkStart w:id="5" w:name="NomJuge2"/>
            <w:r w:rsidRPr="00441B52">
              <w:t>SOPHIE LAVALLÉE, J.C.A.</w:t>
            </w:r>
            <w:bookmarkEnd w:id="5"/>
          </w:p>
          <w:p w14:paraId="5C2868E0" w14:textId="0E59B3EB" w:rsidR="005A78BF" w:rsidRPr="00441B52" w:rsidRDefault="00FF5D92" w:rsidP="00FF5D92">
            <w:pPr>
              <w:pStyle w:val="zSoquijdatJuge"/>
              <w:rPr>
                <w:lang w:val="de-DE"/>
              </w:rPr>
            </w:pPr>
            <w:bookmarkStart w:id="6" w:name="_Hlt520513784"/>
            <w:bookmarkStart w:id="7" w:name="NomJuge3"/>
            <w:bookmarkEnd w:id="6"/>
            <w:r w:rsidRPr="00441B52">
              <w:rPr>
                <w:lang w:val="en-CA"/>
              </w:rPr>
              <w:t>JUDITH HARVIE, J.C.A.</w:t>
            </w:r>
            <w:bookmarkEnd w:id="7"/>
          </w:p>
        </w:tc>
      </w:tr>
      <w:tr w:rsidR="008F364A" w:rsidRPr="00C23406" w14:paraId="287A445B" w14:textId="77777777" w:rsidTr="008D18FC">
        <w:tc>
          <w:tcPr>
            <w:tcW w:w="9360" w:type="dxa"/>
            <w:gridSpan w:val="6"/>
            <w:tcBorders>
              <w:bottom w:val="single" w:sz="8" w:space="0" w:color="auto"/>
            </w:tcBorders>
          </w:tcPr>
          <w:p w14:paraId="2C072098" w14:textId="77777777" w:rsidR="008F364A" w:rsidRPr="00441B52" w:rsidRDefault="008F364A">
            <w:pPr>
              <w:rPr>
                <w:lang w:val="de-DE"/>
              </w:rPr>
            </w:pPr>
          </w:p>
        </w:tc>
      </w:tr>
      <w:tr w:rsidR="008F364A" w:rsidRPr="00C23406" w14:paraId="2924E7D8" w14:textId="77777777" w:rsidTr="008D18FC">
        <w:tc>
          <w:tcPr>
            <w:tcW w:w="9360" w:type="dxa"/>
            <w:gridSpan w:val="6"/>
          </w:tcPr>
          <w:p w14:paraId="759D286E" w14:textId="77777777" w:rsidR="008F364A" w:rsidRPr="00441B52" w:rsidRDefault="008F364A">
            <w:pPr>
              <w:pStyle w:val="zSoquijlblTitrePartie"/>
              <w:rPr>
                <w:lang w:val="de-DE"/>
              </w:rPr>
            </w:pPr>
          </w:p>
        </w:tc>
      </w:tr>
      <w:tr w:rsidR="008F364A" w:rsidRPr="00441B52" w14:paraId="1158590E" w14:textId="77777777" w:rsidTr="008D18FC">
        <w:tc>
          <w:tcPr>
            <w:tcW w:w="9360" w:type="dxa"/>
            <w:gridSpan w:val="6"/>
          </w:tcPr>
          <w:p w14:paraId="07DF01E5" w14:textId="48978BFF" w:rsidR="008F364A" w:rsidRPr="00441B52" w:rsidRDefault="00FF5D92">
            <w:pPr>
              <w:pStyle w:val="zSoquijdatNomPartieDem"/>
              <w:rPr>
                <w:lang w:val="de-DE"/>
              </w:rPr>
            </w:pPr>
            <w:r w:rsidRPr="00441B52">
              <w:t>PROCUREUR GÉNÉRAL DU QUÉBEC</w:t>
            </w:r>
          </w:p>
        </w:tc>
      </w:tr>
      <w:tr w:rsidR="008F364A" w:rsidRPr="00441B52" w14:paraId="6047E9B5" w14:textId="77777777" w:rsidTr="008D18FC">
        <w:tc>
          <w:tcPr>
            <w:tcW w:w="9360" w:type="dxa"/>
            <w:gridSpan w:val="6"/>
          </w:tcPr>
          <w:p w14:paraId="055D1DAB" w14:textId="1B5F55F5" w:rsidR="008F364A" w:rsidRPr="00441B52" w:rsidRDefault="00FF5D92">
            <w:pPr>
              <w:pStyle w:val="zSoquijdatQtePartieDem"/>
              <w:rPr>
                <w:lang w:val="de-DE"/>
              </w:rPr>
            </w:pPr>
            <w:r w:rsidRPr="00441B52">
              <w:t>APPELANT – intervenant</w:t>
            </w:r>
          </w:p>
        </w:tc>
      </w:tr>
      <w:tr w:rsidR="008F364A" w:rsidRPr="00441B52" w14:paraId="716718DE" w14:textId="77777777" w:rsidTr="008D18FC">
        <w:tc>
          <w:tcPr>
            <w:tcW w:w="9360" w:type="dxa"/>
            <w:gridSpan w:val="6"/>
          </w:tcPr>
          <w:p w14:paraId="41DDB49F" w14:textId="77777777" w:rsidR="008F364A" w:rsidRPr="00441B52" w:rsidRDefault="00740A17">
            <w:pPr>
              <w:pStyle w:val="zSoquijlblLienParties"/>
              <w:rPr>
                <w:lang w:val="en-CA"/>
              </w:rPr>
            </w:pPr>
            <w:r w:rsidRPr="00441B52">
              <w:rPr>
                <w:lang w:val="en-CA"/>
              </w:rPr>
              <w:t>c.</w:t>
            </w:r>
          </w:p>
        </w:tc>
      </w:tr>
      <w:tr w:rsidR="008F364A" w:rsidRPr="00441B52" w14:paraId="64543041" w14:textId="77777777" w:rsidTr="008D18FC">
        <w:tc>
          <w:tcPr>
            <w:tcW w:w="9360" w:type="dxa"/>
            <w:gridSpan w:val="6"/>
          </w:tcPr>
          <w:p w14:paraId="1B31E613" w14:textId="77777777" w:rsidR="008F364A" w:rsidRPr="00441B52" w:rsidRDefault="008F364A">
            <w:pPr>
              <w:rPr>
                <w:lang w:val="en-CA"/>
              </w:rPr>
            </w:pPr>
          </w:p>
        </w:tc>
      </w:tr>
      <w:tr w:rsidR="008F364A" w:rsidRPr="00441B52" w14:paraId="0F06A81C" w14:textId="77777777" w:rsidTr="008D18FC">
        <w:tc>
          <w:tcPr>
            <w:tcW w:w="9360" w:type="dxa"/>
            <w:gridSpan w:val="6"/>
          </w:tcPr>
          <w:p w14:paraId="0CCC2727" w14:textId="158D9B85" w:rsidR="008F364A" w:rsidRPr="00705301" w:rsidRDefault="00FF5D92">
            <w:pPr>
              <w:pStyle w:val="zSoquijdatNomPartieDef"/>
            </w:pPr>
            <w:r w:rsidRPr="00441B52">
              <w:t xml:space="preserve">LE THÉÂTRE </w:t>
            </w:r>
            <w:r w:rsidR="00705301">
              <w:t xml:space="preserve">DU </w:t>
            </w:r>
            <w:r w:rsidRPr="00441B52">
              <w:t>TRIDENT INC.</w:t>
            </w:r>
          </w:p>
        </w:tc>
      </w:tr>
      <w:tr w:rsidR="00FF5D92" w:rsidRPr="00441B52" w14:paraId="1FD98A6D" w14:textId="77777777" w:rsidTr="008D18FC">
        <w:tc>
          <w:tcPr>
            <w:tcW w:w="9360" w:type="dxa"/>
            <w:gridSpan w:val="6"/>
          </w:tcPr>
          <w:p w14:paraId="3A7E719E" w14:textId="21596459" w:rsidR="00FF5D92" w:rsidRPr="00441B52" w:rsidRDefault="00FF5D92">
            <w:pPr>
              <w:pStyle w:val="zSoquijdatNomPartieDef"/>
            </w:pPr>
            <w:r w:rsidRPr="00441B52">
              <w:t>LE THÉÂTRE DE LA BORDÉE INC.</w:t>
            </w:r>
          </w:p>
        </w:tc>
      </w:tr>
      <w:tr w:rsidR="00FF5D92" w:rsidRPr="00441B52" w14:paraId="69CD88E3" w14:textId="77777777" w:rsidTr="008D18FC">
        <w:tc>
          <w:tcPr>
            <w:tcW w:w="9360" w:type="dxa"/>
            <w:gridSpan w:val="6"/>
          </w:tcPr>
          <w:p w14:paraId="336CA39D" w14:textId="64F8CF9D" w:rsidR="00FF5D92" w:rsidRPr="00441B52" w:rsidRDefault="00FF5D92">
            <w:pPr>
              <w:pStyle w:val="zSoquijdatNomPartieDef"/>
            </w:pPr>
            <w:r w:rsidRPr="00441B52">
              <w:t>PREMIER ACTE INC.</w:t>
            </w:r>
          </w:p>
        </w:tc>
      </w:tr>
      <w:tr w:rsidR="008F364A" w:rsidRPr="00441B52" w14:paraId="03B086A4" w14:textId="77777777" w:rsidTr="008D18FC">
        <w:tc>
          <w:tcPr>
            <w:tcW w:w="9360" w:type="dxa"/>
            <w:gridSpan w:val="6"/>
          </w:tcPr>
          <w:p w14:paraId="0D6C02B5" w14:textId="3ADC2F33" w:rsidR="008F364A" w:rsidRPr="00441B52" w:rsidRDefault="00FF5D92">
            <w:pPr>
              <w:pStyle w:val="zSoquijdatQtePartieDef"/>
              <w:rPr>
                <w:lang w:val="en-CA"/>
              </w:rPr>
            </w:pPr>
            <w:r w:rsidRPr="00441B52">
              <w:t>INTIMÉS – accusés</w:t>
            </w:r>
          </w:p>
        </w:tc>
      </w:tr>
      <w:tr w:rsidR="00FF5D92" w:rsidRPr="00441B52" w14:paraId="45B79010" w14:textId="77777777" w:rsidTr="008D18FC">
        <w:tc>
          <w:tcPr>
            <w:tcW w:w="9360" w:type="dxa"/>
            <w:gridSpan w:val="6"/>
          </w:tcPr>
          <w:p w14:paraId="335B040F" w14:textId="7D1FC60C" w:rsidR="00FF5D92" w:rsidRPr="00441B52" w:rsidRDefault="00FF5D92" w:rsidP="00FF5D92">
            <w:pPr>
              <w:rPr>
                <w:lang w:val="en-CA"/>
              </w:rPr>
            </w:pPr>
            <w:r w:rsidRPr="00441B52">
              <w:rPr>
                <w:lang w:val="en-CA"/>
              </w:rPr>
              <w:t>et</w:t>
            </w:r>
          </w:p>
        </w:tc>
      </w:tr>
      <w:tr w:rsidR="00FF5D92" w:rsidRPr="00441B52" w14:paraId="62A56BEE" w14:textId="77777777" w:rsidTr="008D18FC">
        <w:tc>
          <w:tcPr>
            <w:tcW w:w="9360" w:type="dxa"/>
            <w:gridSpan w:val="6"/>
          </w:tcPr>
          <w:p w14:paraId="2E1E7CC5" w14:textId="444F7EBD" w:rsidR="00FF5D92" w:rsidRPr="00441B52" w:rsidRDefault="00FF5D92" w:rsidP="00FF5D92">
            <w:pPr>
              <w:pStyle w:val="zSoquijdatNomPartieDef"/>
            </w:pPr>
            <w:r w:rsidRPr="00441B52">
              <w:t>DIRECTEUR DES POURSUITES CRIMINELLES ET PÉNALES</w:t>
            </w:r>
          </w:p>
        </w:tc>
      </w:tr>
      <w:tr w:rsidR="00FF5D92" w:rsidRPr="00441B52" w14:paraId="18868EC4" w14:textId="77777777" w:rsidTr="008D18FC">
        <w:tc>
          <w:tcPr>
            <w:tcW w:w="9360" w:type="dxa"/>
            <w:gridSpan w:val="6"/>
          </w:tcPr>
          <w:p w14:paraId="7F2A658B" w14:textId="064C6763" w:rsidR="00FF5D92" w:rsidRPr="00441B52" w:rsidRDefault="00FF5D92" w:rsidP="00FF5D92">
            <w:pPr>
              <w:pStyle w:val="zSoquijdatQtePartieDef"/>
              <w:rPr>
                <w:lang w:val="en-CA"/>
              </w:rPr>
            </w:pPr>
            <w:r w:rsidRPr="00441B52">
              <w:rPr>
                <w:lang w:val="en-CA"/>
              </w:rPr>
              <w:t>MIS EN CAUSE – poursuivant</w:t>
            </w:r>
          </w:p>
        </w:tc>
      </w:tr>
      <w:tr w:rsidR="008F364A" w:rsidRPr="00441B52" w14:paraId="318898D2" w14:textId="77777777" w:rsidTr="008D18FC">
        <w:tc>
          <w:tcPr>
            <w:tcW w:w="9360" w:type="dxa"/>
            <w:gridSpan w:val="6"/>
          </w:tcPr>
          <w:p w14:paraId="2629ED7D" w14:textId="77777777" w:rsidR="008F364A" w:rsidRPr="00441B52" w:rsidRDefault="008F364A">
            <w:pPr>
              <w:rPr>
                <w:lang w:val="en-CA"/>
              </w:rPr>
            </w:pPr>
          </w:p>
        </w:tc>
      </w:tr>
      <w:tr w:rsidR="008F364A" w:rsidRPr="00441B52" w14:paraId="31E05065" w14:textId="77777777" w:rsidTr="008D18FC">
        <w:tc>
          <w:tcPr>
            <w:tcW w:w="9360" w:type="dxa"/>
            <w:gridSpan w:val="6"/>
            <w:tcBorders>
              <w:top w:val="single" w:sz="8" w:space="0" w:color="auto"/>
            </w:tcBorders>
          </w:tcPr>
          <w:p w14:paraId="605B83E8" w14:textId="77777777" w:rsidR="008F364A" w:rsidRPr="00441B52" w:rsidRDefault="008F364A">
            <w:pPr>
              <w:rPr>
                <w:lang w:val="en-CA"/>
              </w:rPr>
            </w:pPr>
            <w:bookmarkStart w:id="8" w:name="Arret"/>
          </w:p>
        </w:tc>
      </w:tr>
      <w:tr w:rsidR="008F364A" w:rsidRPr="00441B52" w14:paraId="0F55B56B" w14:textId="77777777" w:rsidTr="008D18FC">
        <w:tc>
          <w:tcPr>
            <w:tcW w:w="9360" w:type="dxa"/>
            <w:gridSpan w:val="6"/>
          </w:tcPr>
          <w:p w14:paraId="057908DD" w14:textId="21C39091" w:rsidR="008F364A" w:rsidRPr="00441B52" w:rsidRDefault="00FF5D92">
            <w:pPr>
              <w:pStyle w:val="zSoquijlblTypeDocument"/>
            </w:pPr>
            <w:bookmarkStart w:id="9" w:name="TitreDocument"/>
            <w:r w:rsidRPr="00441B52">
              <w:t>ARRÊT</w:t>
            </w:r>
            <w:bookmarkEnd w:id="9"/>
          </w:p>
        </w:tc>
      </w:tr>
      <w:tr w:rsidR="008F364A" w:rsidRPr="00441B52" w14:paraId="15D16053" w14:textId="77777777" w:rsidTr="008D18FC">
        <w:tc>
          <w:tcPr>
            <w:tcW w:w="9360" w:type="dxa"/>
            <w:gridSpan w:val="6"/>
            <w:tcBorders>
              <w:bottom w:val="single" w:sz="8" w:space="0" w:color="auto"/>
            </w:tcBorders>
          </w:tcPr>
          <w:p w14:paraId="661D8703" w14:textId="77777777" w:rsidR="008F364A" w:rsidRPr="00441B52" w:rsidRDefault="008F364A"/>
        </w:tc>
      </w:tr>
      <w:tr w:rsidR="008F364A" w:rsidRPr="00441B52" w14:paraId="047DA080" w14:textId="77777777" w:rsidTr="008D18FC">
        <w:tc>
          <w:tcPr>
            <w:tcW w:w="9360" w:type="dxa"/>
            <w:gridSpan w:val="6"/>
            <w:tcBorders>
              <w:top w:val="single" w:sz="8" w:space="0" w:color="auto"/>
            </w:tcBorders>
          </w:tcPr>
          <w:p w14:paraId="1C6908A7" w14:textId="77777777" w:rsidR="008F364A" w:rsidRPr="00441B52" w:rsidRDefault="008F364A"/>
        </w:tc>
      </w:tr>
    </w:tbl>
    <w:p w14:paraId="5AF6DB4B" w14:textId="173B0B87" w:rsidR="00B417FE" w:rsidRPr="00441B52" w:rsidRDefault="00B417FE" w:rsidP="00846DE8">
      <w:pPr>
        <w:pStyle w:val="Paragraphe"/>
        <w:spacing w:line="240" w:lineRule="auto"/>
      </w:pPr>
      <w:r w:rsidRPr="00441B52">
        <w:t>L’appelant</w:t>
      </w:r>
      <w:r w:rsidR="00697C06" w:rsidRPr="00441B52">
        <w:t>,</w:t>
      </w:r>
      <w:r w:rsidRPr="00441B52">
        <w:t xml:space="preserve"> </w:t>
      </w:r>
      <w:r w:rsidR="00D76CEC">
        <w:t xml:space="preserve">le </w:t>
      </w:r>
      <w:r w:rsidRPr="00441B52">
        <w:t xml:space="preserve">Procureur général du Québec, se pourvoit contre un jugement rendu le 29 mai 2024 par la Cour supérieure (l’honorable Jean-François Émond), lequel </w:t>
      </w:r>
      <w:r w:rsidR="00981119" w:rsidRPr="00441B52">
        <w:t>déclare invalides et inopérants</w:t>
      </w:r>
      <w:r w:rsidR="00E91F2A" w:rsidRPr="00441B52">
        <w:t xml:space="preserve"> les mots « culturelles ou artistiques » </w:t>
      </w:r>
      <w:r w:rsidR="00D76CEC">
        <w:t xml:space="preserve">se trouvant à </w:t>
      </w:r>
      <w:r w:rsidR="00E91F2A" w:rsidRPr="00441B52">
        <w:t>l’article 2 </w:t>
      </w:r>
      <w:r w:rsidR="00D76CEC">
        <w:t>alinéa 1(5</w:t>
      </w:r>
      <w:r w:rsidR="00D76CEC">
        <w:rPr>
          <w:rFonts w:cs="Arial"/>
        </w:rPr>
        <w:t>°</w:t>
      </w:r>
      <w:r w:rsidR="00D76CEC">
        <w:t xml:space="preserve">) </w:t>
      </w:r>
      <w:r w:rsidR="00E91F2A" w:rsidRPr="00441B52">
        <w:t>de la </w:t>
      </w:r>
      <w:r w:rsidR="00E91F2A" w:rsidRPr="00441B52">
        <w:rPr>
          <w:i/>
          <w:iCs/>
        </w:rPr>
        <w:t>Loi concernant la lutte contre le tabagisme</w:t>
      </w:r>
      <w:r w:rsidR="00E91F2A" w:rsidRPr="00441B52">
        <w:t xml:space="preserve">, </w:t>
      </w:r>
      <w:r w:rsidR="00E91F2A" w:rsidRPr="00441B52">
        <w:rPr>
          <w:iCs/>
        </w:rPr>
        <w:t>RLRQ, c. L-6.2,</w:t>
      </w:r>
      <w:r w:rsidR="00E91F2A" w:rsidRPr="00441B52">
        <w:t xml:space="preserve"> ainsi que l’article 1 du </w:t>
      </w:r>
      <w:r w:rsidR="00E91F2A" w:rsidRPr="00441B52">
        <w:rPr>
          <w:i/>
          <w:iCs/>
        </w:rPr>
        <w:t>Règlement d’application de la Loi concernant la lutte contre le tabagisme</w:t>
      </w:r>
      <w:r w:rsidR="00E91F2A" w:rsidRPr="00441B52">
        <w:t>, RLRQ, c. L</w:t>
      </w:r>
      <w:r w:rsidR="00846DE8" w:rsidRPr="00441B52">
        <w:noBreakHyphen/>
      </w:r>
      <w:r w:rsidR="00E91F2A" w:rsidRPr="00441B52">
        <w:t>6.2, r. 1, suspend l’effet de cette déclaration d’invalidité pour une période d’un an et prononce l’acquittement des intimés.</w:t>
      </w:r>
    </w:p>
    <w:p w14:paraId="1787827C" w14:textId="5C6DA88E" w:rsidR="00B417FE" w:rsidRPr="00441B52" w:rsidRDefault="00E91F2A" w:rsidP="00846DE8">
      <w:pPr>
        <w:pStyle w:val="Paragraphe"/>
        <w:spacing w:line="240" w:lineRule="auto"/>
      </w:pPr>
      <w:r w:rsidRPr="00441B52">
        <w:lastRenderedPageBreak/>
        <w:t xml:space="preserve">Pour les motifs de la juge Harvie, auxquels souscrivent les juges Dutil et Lavallée, </w:t>
      </w:r>
      <w:r w:rsidRPr="00441B52">
        <w:rPr>
          <w:b/>
          <w:bCs/>
        </w:rPr>
        <w:t>LA COUR</w:t>
      </w:r>
      <w:r w:rsidRPr="00441B52">
        <w:t xml:space="preserve"> : </w:t>
      </w:r>
    </w:p>
    <w:p w14:paraId="1EA0E86E" w14:textId="453FB256" w:rsidR="00B417FE" w:rsidRPr="00441B52" w:rsidRDefault="00E91F2A" w:rsidP="00846DE8">
      <w:pPr>
        <w:pStyle w:val="Paragraphe"/>
        <w:spacing w:line="240" w:lineRule="auto"/>
      </w:pPr>
      <w:r w:rsidRPr="00441B52">
        <w:rPr>
          <w:b/>
          <w:bCs/>
        </w:rPr>
        <w:t>ACCUEILLE</w:t>
      </w:r>
      <w:r w:rsidRPr="00441B52">
        <w:t xml:space="preserve"> en partie l’appel, avec les frais de justice en faveur des intimés</w:t>
      </w:r>
      <w:r w:rsidR="001A5942" w:rsidRPr="00441B52">
        <w:t xml:space="preserve"> le Théâtre du Trident inc., le Théâtre de la Bordée inc. et Premier Acte inc.</w:t>
      </w:r>
      <w:r w:rsidRPr="00441B52">
        <w:t xml:space="preserve"> vu le résultat; </w:t>
      </w:r>
    </w:p>
    <w:p w14:paraId="635E01ED" w14:textId="6CA65867" w:rsidR="00E91F2A" w:rsidRPr="00441B52" w:rsidRDefault="00E91F2A" w:rsidP="00846DE8">
      <w:pPr>
        <w:pStyle w:val="Paragraphe"/>
        <w:spacing w:line="240" w:lineRule="auto"/>
      </w:pPr>
      <w:r w:rsidRPr="00441B52">
        <w:rPr>
          <w:b/>
          <w:bCs/>
        </w:rPr>
        <w:t>INFIRME</w:t>
      </w:r>
      <w:r w:rsidRPr="00441B52">
        <w:t xml:space="preserve"> le jugement de </w:t>
      </w:r>
      <w:r w:rsidR="00BC662C" w:rsidRPr="00441B52">
        <w:t xml:space="preserve">la Cour supérieure </w:t>
      </w:r>
      <w:r w:rsidRPr="00441B52">
        <w:t xml:space="preserve">et, procédant à rendre le jugement qui aurait dû être rendu, </w:t>
      </w:r>
      <w:r w:rsidRPr="00441B52">
        <w:rPr>
          <w:b/>
          <w:bCs/>
        </w:rPr>
        <w:t>REMPLACE</w:t>
      </w:r>
      <w:r w:rsidRPr="00441B52">
        <w:t xml:space="preserve"> les paragraphes 81 </w:t>
      </w:r>
      <w:r w:rsidR="001A5942" w:rsidRPr="00441B52">
        <w:t xml:space="preserve">à 84 </w:t>
      </w:r>
      <w:r w:rsidRPr="00441B52">
        <w:t xml:space="preserve">du dispositif du jugement par les suivants : </w:t>
      </w:r>
    </w:p>
    <w:p w14:paraId="49E70E70" w14:textId="0F500B2E" w:rsidR="00E91F2A" w:rsidRPr="00441B52" w:rsidRDefault="00E91F2A" w:rsidP="00846DE8">
      <w:pPr>
        <w:pStyle w:val="Citationenretrait"/>
        <w:spacing w:line="240" w:lineRule="auto"/>
        <w:rPr>
          <w:sz w:val="24"/>
          <w:szCs w:val="24"/>
        </w:rPr>
      </w:pPr>
      <w:r w:rsidRPr="00441B52">
        <w:rPr>
          <w:sz w:val="24"/>
          <w:szCs w:val="24"/>
        </w:rPr>
        <w:t>[81]</w:t>
      </w:r>
      <w:r w:rsidR="00843B9D" w:rsidRPr="00441B52">
        <w:rPr>
          <w:sz w:val="24"/>
          <w:szCs w:val="24"/>
        </w:rPr>
        <w:tab/>
      </w:r>
      <w:r w:rsidRPr="00441B52">
        <w:rPr>
          <w:b/>
          <w:bCs/>
          <w:sz w:val="24"/>
          <w:szCs w:val="24"/>
        </w:rPr>
        <w:t>DÉCLARE</w:t>
      </w:r>
      <w:r w:rsidR="001A5942" w:rsidRPr="00441B52">
        <w:rPr>
          <w:b/>
          <w:bCs/>
          <w:sz w:val="24"/>
          <w:szCs w:val="24"/>
        </w:rPr>
        <w:t xml:space="preserve"> </w:t>
      </w:r>
      <w:r w:rsidR="001A5942" w:rsidRPr="00441B52">
        <w:rPr>
          <w:sz w:val="24"/>
          <w:szCs w:val="24"/>
        </w:rPr>
        <w:t>l’article 2 alinéa 1(</w:t>
      </w:r>
      <w:r w:rsidR="00D76CEC">
        <w:rPr>
          <w:sz w:val="24"/>
          <w:szCs w:val="24"/>
        </w:rPr>
        <w:t>5</w:t>
      </w:r>
      <w:r w:rsidR="001A5942" w:rsidRPr="00441B52">
        <w:rPr>
          <w:rFonts w:cs="Arial"/>
          <w:sz w:val="24"/>
          <w:szCs w:val="24"/>
        </w:rPr>
        <w:t>°</w:t>
      </w:r>
      <w:r w:rsidR="001A5942" w:rsidRPr="00441B52">
        <w:rPr>
          <w:sz w:val="24"/>
          <w:szCs w:val="24"/>
        </w:rPr>
        <w:t>)</w:t>
      </w:r>
      <w:r w:rsidR="00C735DE">
        <w:rPr>
          <w:sz w:val="24"/>
          <w:szCs w:val="24"/>
        </w:rPr>
        <w:t xml:space="preserve"> de la</w:t>
      </w:r>
      <w:r w:rsidR="001A5942" w:rsidRPr="00441B52">
        <w:rPr>
          <w:sz w:val="24"/>
          <w:szCs w:val="24"/>
        </w:rPr>
        <w:t xml:space="preserve"> </w:t>
      </w:r>
      <w:r w:rsidR="001A5942" w:rsidRPr="00441B52">
        <w:rPr>
          <w:i/>
          <w:iCs/>
          <w:sz w:val="24"/>
          <w:szCs w:val="24"/>
        </w:rPr>
        <w:t>Loi concernant la lutte contre le tabagisme</w:t>
      </w:r>
      <w:r w:rsidR="001A5942" w:rsidRPr="00441B52">
        <w:rPr>
          <w:sz w:val="24"/>
          <w:szCs w:val="24"/>
        </w:rPr>
        <w:t xml:space="preserve"> invalide et inopérant dans la mesure où il s’applique aux comédiens dans le cadre d’une performance culturelle ou artistique; </w:t>
      </w:r>
    </w:p>
    <w:p w14:paraId="7FE276BE" w14:textId="68939C7E" w:rsidR="001A5942" w:rsidRPr="00441B52" w:rsidRDefault="001A5942" w:rsidP="00846DE8">
      <w:pPr>
        <w:pStyle w:val="Citationenretrait"/>
        <w:spacing w:line="240" w:lineRule="auto"/>
      </w:pPr>
      <w:r w:rsidRPr="00441B52">
        <w:rPr>
          <w:sz w:val="24"/>
          <w:szCs w:val="24"/>
        </w:rPr>
        <w:t>[82]</w:t>
      </w:r>
      <w:r w:rsidR="00843B9D" w:rsidRPr="00441B52">
        <w:rPr>
          <w:sz w:val="24"/>
          <w:szCs w:val="24"/>
        </w:rPr>
        <w:tab/>
      </w:r>
      <w:r w:rsidRPr="00441B52">
        <w:rPr>
          <w:b/>
          <w:bCs/>
          <w:sz w:val="24"/>
          <w:szCs w:val="24"/>
        </w:rPr>
        <w:t>PRONONCE</w:t>
      </w:r>
      <w:r w:rsidRPr="00441B52">
        <w:rPr>
          <w:sz w:val="24"/>
          <w:szCs w:val="24"/>
        </w:rPr>
        <w:t xml:space="preserve"> l’acquittement du Théâtre du Trident inc., </w:t>
      </w:r>
      <w:r w:rsidR="00D76CEC">
        <w:rPr>
          <w:sz w:val="24"/>
          <w:szCs w:val="24"/>
        </w:rPr>
        <w:t>du</w:t>
      </w:r>
      <w:r w:rsidRPr="00441B52">
        <w:rPr>
          <w:sz w:val="24"/>
          <w:szCs w:val="24"/>
        </w:rPr>
        <w:t xml:space="preserve"> Théâtre de la Bordée inc. et </w:t>
      </w:r>
      <w:r w:rsidR="00D76CEC">
        <w:rPr>
          <w:sz w:val="24"/>
          <w:szCs w:val="24"/>
        </w:rPr>
        <w:t xml:space="preserve">de </w:t>
      </w:r>
      <w:r w:rsidRPr="00441B52">
        <w:rPr>
          <w:sz w:val="24"/>
          <w:szCs w:val="24"/>
        </w:rPr>
        <w:t>Premier Acte inc.</w:t>
      </w:r>
    </w:p>
    <w:p w14:paraId="52C84DE4" w14:textId="2764DA34" w:rsidR="001A5942" w:rsidRPr="00441B52" w:rsidRDefault="001A5942" w:rsidP="00846DE8">
      <w:pPr>
        <w:pStyle w:val="Citationenretrait"/>
        <w:spacing w:line="240" w:lineRule="auto"/>
        <w:rPr>
          <w:sz w:val="24"/>
          <w:szCs w:val="24"/>
        </w:rPr>
      </w:pPr>
      <w:r w:rsidRPr="00441B52">
        <w:t>[83]</w:t>
      </w:r>
      <w:r w:rsidR="00843B9D" w:rsidRPr="00441B52">
        <w:tab/>
      </w:r>
      <w:r w:rsidRPr="00441B52">
        <w:rPr>
          <w:b/>
          <w:bCs/>
        </w:rPr>
        <w:t>AVEC LES FRAIS DE JUSTICE</w:t>
      </w:r>
      <w:r w:rsidRPr="00441B52">
        <w:t>.</w:t>
      </w:r>
    </w:p>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1997"/>
        <w:gridCol w:w="2685"/>
        <w:gridCol w:w="4680"/>
      </w:tblGrid>
      <w:tr w:rsidR="008F364A" w:rsidRPr="00441B52" w14:paraId="2B3E69DD" w14:textId="77777777" w:rsidTr="003E3239">
        <w:trPr>
          <w:trHeight w:val="576"/>
        </w:trPr>
        <w:tc>
          <w:tcPr>
            <w:tcW w:w="9362" w:type="dxa"/>
            <w:gridSpan w:val="3"/>
            <w:tcBorders>
              <w:top w:val="nil"/>
              <w:bottom w:val="nil"/>
            </w:tcBorders>
          </w:tcPr>
          <w:p w14:paraId="55BC1354" w14:textId="77777777" w:rsidR="008F364A" w:rsidRPr="00441B52" w:rsidRDefault="008F364A">
            <w:pPr>
              <w:keepNext/>
            </w:pPr>
          </w:p>
        </w:tc>
      </w:tr>
      <w:tr w:rsidR="008F364A" w:rsidRPr="00441B52" w14:paraId="55466A76" w14:textId="77777777" w:rsidTr="00117914">
        <w:trPr>
          <w:trHeight w:val="283"/>
        </w:trPr>
        <w:tc>
          <w:tcPr>
            <w:tcW w:w="4682" w:type="dxa"/>
            <w:gridSpan w:val="2"/>
            <w:tcBorders>
              <w:top w:val="nil"/>
              <w:bottom w:val="nil"/>
            </w:tcBorders>
          </w:tcPr>
          <w:p w14:paraId="14700FCA" w14:textId="77777777" w:rsidR="008F364A" w:rsidRPr="00441B52" w:rsidRDefault="008F364A">
            <w:pPr>
              <w:keepNext/>
            </w:pPr>
          </w:p>
        </w:tc>
        <w:tc>
          <w:tcPr>
            <w:tcW w:w="4680" w:type="dxa"/>
            <w:tcBorders>
              <w:top w:val="nil"/>
              <w:bottom w:val="single" w:sz="8" w:space="0" w:color="auto"/>
            </w:tcBorders>
          </w:tcPr>
          <w:p w14:paraId="2A1A7D52" w14:textId="77777777" w:rsidR="008F364A" w:rsidRPr="00441B52" w:rsidRDefault="008F364A">
            <w:pPr>
              <w:keepNext/>
            </w:pPr>
          </w:p>
        </w:tc>
      </w:tr>
      <w:tr w:rsidR="008F364A" w:rsidRPr="00441B52" w14:paraId="332FE649" w14:textId="77777777" w:rsidTr="00117914">
        <w:trPr>
          <w:trHeight w:val="283"/>
        </w:trPr>
        <w:tc>
          <w:tcPr>
            <w:tcW w:w="4682" w:type="dxa"/>
            <w:gridSpan w:val="2"/>
            <w:tcBorders>
              <w:top w:val="nil"/>
            </w:tcBorders>
          </w:tcPr>
          <w:p w14:paraId="096F0923" w14:textId="77777777" w:rsidR="008F364A" w:rsidRPr="00441B52" w:rsidRDefault="008F364A">
            <w:pPr>
              <w:keepNext/>
            </w:pPr>
          </w:p>
        </w:tc>
        <w:tc>
          <w:tcPr>
            <w:tcW w:w="4680" w:type="dxa"/>
            <w:tcBorders>
              <w:top w:val="single" w:sz="8" w:space="0" w:color="auto"/>
            </w:tcBorders>
          </w:tcPr>
          <w:p w14:paraId="03BE3625" w14:textId="04828365" w:rsidR="008F364A" w:rsidRPr="00441B52" w:rsidRDefault="005B240C">
            <w:r>
              <w:t>JULIE DUTIL, J.C.A.</w:t>
            </w:r>
          </w:p>
        </w:tc>
      </w:tr>
      <w:tr w:rsidR="008F364A" w:rsidRPr="00441B52" w14:paraId="70A84D88" w14:textId="77777777" w:rsidTr="00117914">
        <w:trPr>
          <w:trHeight w:val="283"/>
        </w:trPr>
        <w:tc>
          <w:tcPr>
            <w:tcW w:w="4682" w:type="dxa"/>
            <w:gridSpan w:val="2"/>
            <w:tcBorders>
              <w:top w:val="nil"/>
            </w:tcBorders>
          </w:tcPr>
          <w:p w14:paraId="4FA244E0" w14:textId="77777777" w:rsidR="008F364A" w:rsidRPr="00441B52" w:rsidRDefault="008F364A">
            <w:pPr>
              <w:keepNext/>
            </w:pPr>
            <w:bookmarkStart w:id="10" w:name="Signature2"/>
          </w:p>
        </w:tc>
        <w:tc>
          <w:tcPr>
            <w:tcW w:w="4680" w:type="dxa"/>
            <w:tcBorders>
              <w:top w:val="nil"/>
            </w:tcBorders>
          </w:tcPr>
          <w:p w14:paraId="1F3934B9" w14:textId="77777777" w:rsidR="008F364A" w:rsidRPr="00441B52" w:rsidRDefault="008F364A">
            <w:pPr>
              <w:keepNext/>
            </w:pPr>
          </w:p>
        </w:tc>
      </w:tr>
      <w:tr w:rsidR="008F364A" w:rsidRPr="00441B52" w14:paraId="32375E81" w14:textId="77777777" w:rsidTr="00117914">
        <w:trPr>
          <w:trHeight w:val="283"/>
        </w:trPr>
        <w:tc>
          <w:tcPr>
            <w:tcW w:w="4682" w:type="dxa"/>
            <w:gridSpan w:val="2"/>
            <w:tcBorders>
              <w:top w:val="nil"/>
              <w:bottom w:val="nil"/>
            </w:tcBorders>
          </w:tcPr>
          <w:p w14:paraId="03B360AF" w14:textId="77777777" w:rsidR="008F364A" w:rsidRPr="00441B52" w:rsidRDefault="008F364A">
            <w:pPr>
              <w:keepNext/>
            </w:pPr>
          </w:p>
        </w:tc>
        <w:tc>
          <w:tcPr>
            <w:tcW w:w="4680" w:type="dxa"/>
            <w:tcBorders>
              <w:top w:val="nil"/>
              <w:bottom w:val="single" w:sz="8" w:space="0" w:color="auto"/>
            </w:tcBorders>
          </w:tcPr>
          <w:p w14:paraId="1390B9DF" w14:textId="77777777" w:rsidR="008F364A" w:rsidRPr="00441B52" w:rsidRDefault="008F364A">
            <w:pPr>
              <w:keepNext/>
            </w:pPr>
          </w:p>
        </w:tc>
      </w:tr>
      <w:tr w:rsidR="008F364A" w:rsidRPr="00441B52" w14:paraId="1B5492DA" w14:textId="77777777" w:rsidTr="00117914">
        <w:trPr>
          <w:trHeight w:val="283"/>
        </w:trPr>
        <w:tc>
          <w:tcPr>
            <w:tcW w:w="4682" w:type="dxa"/>
            <w:gridSpan w:val="2"/>
            <w:tcBorders>
              <w:top w:val="nil"/>
            </w:tcBorders>
          </w:tcPr>
          <w:p w14:paraId="11314113" w14:textId="77777777" w:rsidR="008F364A" w:rsidRPr="00441B52" w:rsidRDefault="008F364A">
            <w:pPr>
              <w:keepNext/>
            </w:pPr>
          </w:p>
        </w:tc>
        <w:tc>
          <w:tcPr>
            <w:tcW w:w="4680" w:type="dxa"/>
            <w:tcBorders>
              <w:top w:val="single" w:sz="8" w:space="0" w:color="auto"/>
            </w:tcBorders>
          </w:tcPr>
          <w:p w14:paraId="299A30F3" w14:textId="36944E45" w:rsidR="008F364A" w:rsidRPr="00441B52" w:rsidRDefault="005B240C">
            <w:pPr>
              <w:keepNext/>
            </w:pPr>
            <w:r>
              <w:t>SOPHIE LAVALLÉE, J.C.A.</w:t>
            </w:r>
          </w:p>
        </w:tc>
      </w:tr>
      <w:tr w:rsidR="008F364A" w:rsidRPr="00441B52" w14:paraId="2FEB1629" w14:textId="77777777" w:rsidTr="00117914">
        <w:trPr>
          <w:trHeight w:val="283"/>
        </w:trPr>
        <w:tc>
          <w:tcPr>
            <w:tcW w:w="4682" w:type="dxa"/>
            <w:gridSpan w:val="2"/>
            <w:tcBorders>
              <w:top w:val="nil"/>
            </w:tcBorders>
          </w:tcPr>
          <w:p w14:paraId="16926DFE" w14:textId="77777777" w:rsidR="008F364A" w:rsidRPr="00441B52" w:rsidRDefault="008F364A">
            <w:pPr>
              <w:keepNext/>
            </w:pPr>
            <w:bookmarkStart w:id="11" w:name="Signature3"/>
            <w:bookmarkEnd w:id="10"/>
          </w:p>
        </w:tc>
        <w:tc>
          <w:tcPr>
            <w:tcW w:w="4680" w:type="dxa"/>
            <w:tcBorders>
              <w:top w:val="nil"/>
            </w:tcBorders>
          </w:tcPr>
          <w:p w14:paraId="0A9276FA" w14:textId="77777777" w:rsidR="008F364A" w:rsidRPr="00441B52" w:rsidRDefault="008F364A">
            <w:pPr>
              <w:keepNext/>
            </w:pPr>
          </w:p>
        </w:tc>
      </w:tr>
      <w:tr w:rsidR="008F364A" w:rsidRPr="00441B52" w14:paraId="2D09BA99" w14:textId="77777777" w:rsidTr="00117914">
        <w:trPr>
          <w:trHeight w:val="283"/>
        </w:trPr>
        <w:tc>
          <w:tcPr>
            <w:tcW w:w="4682" w:type="dxa"/>
            <w:gridSpan w:val="2"/>
            <w:tcBorders>
              <w:top w:val="nil"/>
              <w:bottom w:val="nil"/>
            </w:tcBorders>
          </w:tcPr>
          <w:p w14:paraId="68BDE55B" w14:textId="77777777" w:rsidR="008F364A" w:rsidRPr="00441B52" w:rsidRDefault="008F364A">
            <w:pPr>
              <w:keepNext/>
            </w:pPr>
          </w:p>
        </w:tc>
        <w:tc>
          <w:tcPr>
            <w:tcW w:w="4680" w:type="dxa"/>
            <w:tcBorders>
              <w:top w:val="nil"/>
              <w:bottom w:val="single" w:sz="8" w:space="0" w:color="auto"/>
            </w:tcBorders>
          </w:tcPr>
          <w:p w14:paraId="5814B251" w14:textId="77777777" w:rsidR="008F364A" w:rsidRPr="00441B52" w:rsidRDefault="008F364A">
            <w:pPr>
              <w:keepNext/>
            </w:pPr>
          </w:p>
        </w:tc>
      </w:tr>
      <w:tr w:rsidR="008F364A" w:rsidRPr="00C23406" w14:paraId="21FF743F" w14:textId="77777777" w:rsidTr="00117914">
        <w:trPr>
          <w:trHeight w:val="283"/>
        </w:trPr>
        <w:tc>
          <w:tcPr>
            <w:tcW w:w="4682" w:type="dxa"/>
            <w:gridSpan w:val="2"/>
            <w:tcBorders>
              <w:top w:val="nil"/>
            </w:tcBorders>
          </w:tcPr>
          <w:p w14:paraId="69484C02" w14:textId="77777777" w:rsidR="008F364A" w:rsidRPr="00441B52" w:rsidRDefault="008F364A">
            <w:pPr>
              <w:keepNext/>
            </w:pPr>
          </w:p>
        </w:tc>
        <w:tc>
          <w:tcPr>
            <w:tcW w:w="4680" w:type="dxa"/>
            <w:tcBorders>
              <w:top w:val="single" w:sz="8" w:space="0" w:color="auto"/>
            </w:tcBorders>
          </w:tcPr>
          <w:p w14:paraId="1598CD0F" w14:textId="6D4D6941" w:rsidR="008F364A" w:rsidRPr="00441B52" w:rsidRDefault="005B240C">
            <w:pPr>
              <w:keepNext/>
              <w:rPr>
                <w:lang w:val="en-CA"/>
              </w:rPr>
            </w:pPr>
            <w:r>
              <w:t>JUDITH HARVIE, J.C.A.</w:t>
            </w:r>
          </w:p>
        </w:tc>
      </w:tr>
      <w:bookmarkEnd w:id="11"/>
      <w:tr w:rsidR="005A78BF" w:rsidRPr="00C23406" w14:paraId="570474FB" w14:textId="77777777" w:rsidTr="00423DF1">
        <w:tc>
          <w:tcPr>
            <w:tcW w:w="9362" w:type="dxa"/>
            <w:gridSpan w:val="3"/>
          </w:tcPr>
          <w:p w14:paraId="0830E66C" w14:textId="77777777" w:rsidR="005A78BF" w:rsidRPr="00441B52" w:rsidRDefault="005A78BF" w:rsidP="005A78BF">
            <w:pPr>
              <w:rPr>
                <w:lang w:val="en-CA"/>
              </w:rPr>
            </w:pPr>
          </w:p>
        </w:tc>
      </w:tr>
      <w:tr w:rsidR="005A78BF" w:rsidRPr="00441B52" w14:paraId="22FEFD8B" w14:textId="77777777" w:rsidTr="00423DF1">
        <w:tc>
          <w:tcPr>
            <w:tcW w:w="9362" w:type="dxa"/>
            <w:gridSpan w:val="3"/>
          </w:tcPr>
          <w:p w14:paraId="6108A06A" w14:textId="616D9D84" w:rsidR="005A78BF" w:rsidRPr="00441B52" w:rsidRDefault="00FF5D92" w:rsidP="005A78BF">
            <w:pPr>
              <w:pStyle w:val="zSoquijdatNomProcureurDem"/>
              <w:rPr>
                <w:lang w:val="en-CA"/>
              </w:rPr>
            </w:pPr>
            <w:r w:rsidRPr="00441B52">
              <w:t>Me Marie-Ève Pelletier</w:t>
            </w:r>
          </w:p>
        </w:tc>
      </w:tr>
      <w:tr w:rsidR="00FF5D92" w:rsidRPr="00441B52" w14:paraId="1F670BF7" w14:textId="77777777" w:rsidTr="00423DF1">
        <w:tc>
          <w:tcPr>
            <w:tcW w:w="9362" w:type="dxa"/>
            <w:gridSpan w:val="3"/>
          </w:tcPr>
          <w:p w14:paraId="51E027E3" w14:textId="0C2CB8E5" w:rsidR="00FF5D92" w:rsidRPr="00441B52" w:rsidRDefault="00FF5D92" w:rsidP="005A78BF">
            <w:pPr>
              <w:pStyle w:val="zSoquijdatNomProcureurDem"/>
            </w:pPr>
            <w:r w:rsidRPr="00441B52">
              <w:t>Me Marc-Antoine Patenaude</w:t>
            </w:r>
          </w:p>
        </w:tc>
      </w:tr>
      <w:tr w:rsidR="005A78BF" w:rsidRPr="00441B52" w14:paraId="6FDD8150" w14:textId="77777777" w:rsidTr="00423DF1">
        <w:tc>
          <w:tcPr>
            <w:tcW w:w="9362" w:type="dxa"/>
            <w:gridSpan w:val="3"/>
          </w:tcPr>
          <w:p w14:paraId="2B517AB7" w14:textId="551ECB8A" w:rsidR="005A78BF" w:rsidRPr="00441B52" w:rsidRDefault="00FF5D92" w:rsidP="005A78BF">
            <w:pPr>
              <w:pStyle w:val="zSoquijdatCabinetProcureurDem"/>
              <w:rPr>
                <w:lang w:val="en-CA"/>
              </w:rPr>
            </w:pPr>
            <w:r w:rsidRPr="00441B52">
              <w:t>LAVOIE, ROUSSEAU (JUSTICE-QUÉBEC)</w:t>
            </w:r>
          </w:p>
        </w:tc>
      </w:tr>
      <w:tr w:rsidR="005A78BF" w:rsidRPr="00441B52" w14:paraId="4502B2E6" w14:textId="77777777" w:rsidTr="00423DF1">
        <w:tc>
          <w:tcPr>
            <w:tcW w:w="9362" w:type="dxa"/>
            <w:gridSpan w:val="3"/>
          </w:tcPr>
          <w:p w14:paraId="1FB6DB2B" w14:textId="61601F24" w:rsidR="005A78BF" w:rsidRPr="00441B52" w:rsidRDefault="00FF5D92" w:rsidP="005A78BF">
            <w:pPr>
              <w:pStyle w:val="zSoquijlblProcureurDem"/>
              <w:rPr>
                <w:lang w:val="en-CA"/>
              </w:rPr>
            </w:pPr>
            <w:r w:rsidRPr="00441B52">
              <w:t>Pour l’appelant</w:t>
            </w:r>
          </w:p>
        </w:tc>
      </w:tr>
      <w:tr w:rsidR="00FD0F20" w:rsidRPr="00441B52" w14:paraId="5A287EF4" w14:textId="77777777" w:rsidTr="00423DF1">
        <w:tc>
          <w:tcPr>
            <w:tcW w:w="9362" w:type="dxa"/>
            <w:gridSpan w:val="3"/>
          </w:tcPr>
          <w:p w14:paraId="04DE2B1C" w14:textId="77777777" w:rsidR="00FD0F20" w:rsidRPr="00441B52" w:rsidRDefault="00FD0F20" w:rsidP="005A78BF">
            <w:pPr>
              <w:rPr>
                <w:lang w:val="en-CA"/>
              </w:rPr>
            </w:pPr>
          </w:p>
        </w:tc>
      </w:tr>
      <w:tr w:rsidR="00FD0F20" w:rsidRPr="00441B52" w14:paraId="0285D186" w14:textId="77777777" w:rsidTr="00423DF1">
        <w:tc>
          <w:tcPr>
            <w:tcW w:w="9362" w:type="dxa"/>
            <w:gridSpan w:val="3"/>
          </w:tcPr>
          <w:p w14:paraId="5E9B2FCE" w14:textId="37CF4BC9" w:rsidR="00FD0F20" w:rsidRPr="00441B52" w:rsidRDefault="00FD0F20" w:rsidP="00FD0F20">
            <w:pPr>
              <w:pStyle w:val="zSoquijdatNomProcureurDem"/>
              <w:rPr>
                <w:lang w:val="en-CA"/>
              </w:rPr>
            </w:pPr>
            <w:r w:rsidRPr="00441B52">
              <w:rPr>
                <w:lang w:val="en-CA"/>
              </w:rPr>
              <w:t>Me Caroline Renaud</w:t>
            </w:r>
          </w:p>
        </w:tc>
      </w:tr>
      <w:tr w:rsidR="00FD0F20" w:rsidRPr="00441B52" w14:paraId="08C7742F" w14:textId="77777777" w:rsidTr="00423DF1">
        <w:tc>
          <w:tcPr>
            <w:tcW w:w="9362" w:type="dxa"/>
            <w:gridSpan w:val="3"/>
          </w:tcPr>
          <w:p w14:paraId="62C3B36E" w14:textId="5AD23BBE" w:rsidR="00FD0F20" w:rsidRPr="00441B52" w:rsidRDefault="00FD0F20" w:rsidP="00FD0F20">
            <w:pPr>
              <w:pStyle w:val="zSoquijdatCabinetProcureurDem"/>
            </w:pPr>
            <w:r w:rsidRPr="00441B52">
              <w:t>DIRECTION DU DROIT CONSTITUTIONNEL ET AUTOCHTONE – MINISTÈRE DE LA JUSTICE</w:t>
            </w:r>
          </w:p>
        </w:tc>
      </w:tr>
      <w:tr w:rsidR="00FD0F20" w:rsidRPr="00441B52" w14:paraId="11164905" w14:textId="77777777" w:rsidTr="00423DF1">
        <w:tc>
          <w:tcPr>
            <w:tcW w:w="9362" w:type="dxa"/>
            <w:gridSpan w:val="3"/>
          </w:tcPr>
          <w:p w14:paraId="66C0E4CC" w14:textId="7116824C" w:rsidR="00FD0F20" w:rsidRPr="00441B52" w:rsidRDefault="00FD0F20" w:rsidP="00FD0F20">
            <w:pPr>
              <w:pStyle w:val="zSoquijlblProcureurDem"/>
              <w:rPr>
                <w:lang w:val="en-CA"/>
              </w:rPr>
            </w:pPr>
            <w:r w:rsidRPr="00441B52">
              <w:rPr>
                <w:lang w:val="en-CA"/>
              </w:rPr>
              <w:t>Pour l’appelant</w:t>
            </w:r>
          </w:p>
        </w:tc>
      </w:tr>
      <w:tr w:rsidR="005A78BF" w:rsidRPr="00441B52" w14:paraId="7B2ACB40" w14:textId="77777777" w:rsidTr="00423DF1">
        <w:tc>
          <w:tcPr>
            <w:tcW w:w="9362" w:type="dxa"/>
            <w:gridSpan w:val="3"/>
          </w:tcPr>
          <w:p w14:paraId="1395F6D3" w14:textId="56A2DCF5" w:rsidR="005A78BF" w:rsidRPr="00441B52" w:rsidRDefault="005A78BF" w:rsidP="005A78BF">
            <w:pPr>
              <w:rPr>
                <w:lang w:val="en-CA"/>
              </w:rPr>
            </w:pPr>
          </w:p>
        </w:tc>
      </w:tr>
      <w:tr w:rsidR="005A78BF" w:rsidRPr="00441B52" w14:paraId="0B91F035" w14:textId="77777777" w:rsidTr="00423DF1">
        <w:tc>
          <w:tcPr>
            <w:tcW w:w="9362" w:type="dxa"/>
            <w:gridSpan w:val="3"/>
          </w:tcPr>
          <w:p w14:paraId="33C444D8" w14:textId="38F05695" w:rsidR="005A78BF" w:rsidRPr="00441B52" w:rsidRDefault="00FD0F20" w:rsidP="005A78BF">
            <w:pPr>
              <w:pStyle w:val="zSoquijdatNomProcureurDef"/>
              <w:rPr>
                <w:lang w:val="en-CA"/>
              </w:rPr>
            </w:pPr>
            <w:r w:rsidRPr="00441B52">
              <w:t>Me Benjamin Bolduc</w:t>
            </w:r>
          </w:p>
        </w:tc>
      </w:tr>
      <w:tr w:rsidR="005A78BF" w:rsidRPr="00441B52" w14:paraId="671BEC37" w14:textId="77777777" w:rsidTr="00423DF1">
        <w:tc>
          <w:tcPr>
            <w:tcW w:w="9362" w:type="dxa"/>
            <w:gridSpan w:val="3"/>
          </w:tcPr>
          <w:p w14:paraId="78B8DDA5" w14:textId="6BEFD471" w:rsidR="005A78BF" w:rsidRPr="00441B52" w:rsidRDefault="00FD0F20" w:rsidP="005A78BF">
            <w:pPr>
              <w:pStyle w:val="zSoquijdatCabinetProcureurDef"/>
              <w:rPr>
                <w:lang w:val="en-CA"/>
              </w:rPr>
            </w:pPr>
            <w:r w:rsidRPr="00441B52">
              <w:t>TREMBLAY BOIS</w:t>
            </w:r>
          </w:p>
        </w:tc>
      </w:tr>
      <w:tr w:rsidR="005A78BF" w:rsidRPr="00441B52" w14:paraId="3A98A341" w14:textId="77777777" w:rsidTr="00423DF1">
        <w:tc>
          <w:tcPr>
            <w:tcW w:w="9362" w:type="dxa"/>
            <w:gridSpan w:val="3"/>
          </w:tcPr>
          <w:p w14:paraId="3541DBC3" w14:textId="0B342F94" w:rsidR="005A78BF" w:rsidRPr="00441B52" w:rsidRDefault="00FD0F20" w:rsidP="005A78BF">
            <w:pPr>
              <w:pStyle w:val="zSoquijlblProcureurDef"/>
              <w:rPr>
                <w:lang w:val="en-CA"/>
              </w:rPr>
            </w:pPr>
            <w:r w:rsidRPr="00441B52">
              <w:t>Pour les intimés</w:t>
            </w:r>
          </w:p>
        </w:tc>
      </w:tr>
      <w:tr w:rsidR="00FD0F20" w:rsidRPr="00441B52" w14:paraId="1038F80F" w14:textId="77777777" w:rsidTr="00846DE8">
        <w:tc>
          <w:tcPr>
            <w:tcW w:w="9362" w:type="dxa"/>
            <w:gridSpan w:val="3"/>
            <w:tcBorders>
              <w:bottom w:val="nil"/>
            </w:tcBorders>
          </w:tcPr>
          <w:p w14:paraId="16DBFB00" w14:textId="77777777" w:rsidR="00FD0F20" w:rsidRPr="00441B52" w:rsidRDefault="00FD0F20" w:rsidP="005A78BF">
            <w:pPr>
              <w:rPr>
                <w:lang w:val="en-CA"/>
              </w:rPr>
            </w:pPr>
          </w:p>
        </w:tc>
      </w:tr>
      <w:tr w:rsidR="00FD0F20" w:rsidRPr="00441B52" w14:paraId="7BEF912C" w14:textId="77777777" w:rsidTr="00846DE8">
        <w:tc>
          <w:tcPr>
            <w:tcW w:w="9362" w:type="dxa"/>
            <w:gridSpan w:val="3"/>
            <w:tcBorders>
              <w:top w:val="nil"/>
            </w:tcBorders>
          </w:tcPr>
          <w:p w14:paraId="74910EBE" w14:textId="263E8CF7" w:rsidR="00FD0F20" w:rsidRPr="00441B52" w:rsidRDefault="00FD0F20" w:rsidP="00FD0F20">
            <w:pPr>
              <w:pStyle w:val="zSoquijdatNomProcureurDef"/>
              <w:rPr>
                <w:lang w:val="en-CA"/>
              </w:rPr>
            </w:pPr>
            <w:r w:rsidRPr="00441B52">
              <w:rPr>
                <w:lang w:val="en-CA"/>
              </w:rPr>
              <w:lastRenderedPageBreak/>
              <w:t>Me Louis-Philippe Lampron</w:t>
            </w:r>
          </w:p>
        </w:tc>
      </w:tr>
      <w:tr w:rsidR="00FD0F20" w:rsidRPr="00441B52" w14:paraId="46EBE443" w14:textId="77777777" w:rsidTr="00423DF1">
        <w:tc>
          <w:tcPr>
            <w:tcW w:w="9362" w:type="dxa"/>
            <w:gridSpan w:val="3"/>
          </w:tcPr>
          <w:p w14:paraId="194353A0" w14:textId="0CC90C7C" w:rsidR="00FD0F20" w:rsidRPr="00441B52" w:rsidRDefault="00FD0F20" w:rsidP="00FD0F20">
            <w:pPr>
              <w:pStyle w:val="zSoquijdatNomProcureurDef"/>
              <w:rPr>
                <w:lang w:val="en-CA"/>
              </w:rPr>
            </w:pPr>
            <w:r w:rsidRPr="00441B52">
              <w:rPr>
                <w:lang w:val="en-CA"/>
              </w:rPr>
              <w:t>Me Antoine Pellerin</w:t>
            </w:r>
          </w:p>
        </w:tc>
      </w:tr>
      <w:tr w:rsidR="00FD0F20" w:rsidRPr="00441B52" w14:paraId="33197484" w14:textId="77777777" w:rsidTr="00423DF1">
        <w:tc>
          <w:tcPr>
            <w:tcW w:w="9362" w:type="dxa"/>
            <w:gridSpan w:val="3"/>
          </w:tcPr>
          <w:p w14:paraId="30A13275" w14:textId="605141C5" w:rsidR="00FD0F20" w:rsidRPr="00441B52" w:rsidRDefault="00FD0F20" w:rsidP="00FD0F20">
            <w:pPr>
              <w:pStyle w:val="zSoquijdatCabinetProcureurDef"/>
            </w:pPr>
            <w:r w:rsidRPr="00441B52">
              <w:t>UNIVERSITÉ LAVAL – FACULTÉ DE DROIT</w:t>
            </w:r>
          </w:p>
        </w:tc>
      </w:tr>
      <w:tr w:rsidR="00FD0F20" w:rsidRPr="00441B52" w14:paraId="43B12CBD" w14:textId="77777777" w:rsidTr="00423DF1">
        <w:tc>
          <w:tcPr>
            <w:tcW w:w="9362" w:type="dxa"/>
            <w:gridSpan w:val="3"/>
          </w:tcPr>
          <w:p w14:paraId="7297C6C3" w14:textId="66C08C06" w:rsidR="00FD0F20" w:rsidRPr="00441B52" w:rsidRDefault="00FD0F20" w:rsidP="00FD0F20">
            <w:pPr>
              <w:pStyle w:val="zSoquijlblProcureurDef"/>
              <w:rPr>
                <w:lang w:val="en-CA"/>
              </w:rPr>
            </w:pPr>
            <w:r w:rsidRPr="00441B52">
              <w:rPr>
                <w:lang w:val="en-CA"/>
              </w:rPr>
              <w:t>Pour les intimés</w:t>
            </w:r>
          </w:p>
        </w:tc>
      </w:tr>
      <w:tr w:rsidR="00FD0F20" w:rsidRPr="00441B52" w14:paraId="222C1CAC" w14:textId="77777777" w:rsidTr="00423DF1">
        <w:tc>
          <w:tcPr>
            <w:tcW w:w="9362" w:type="dxa"/>
            <w:gridSpan w:val="3"/>
          </w:tcPr>
          <w:p w14:paraId="04AAA943" w14:textId="77777777" w:rsidR="00FD0F20" w:rsidRPr="00441B52" w:rsidRDefault="00FD0F20" w:rsidP="005A78BF">
            <w:pPr>
              <w:rPr>
                <w:lang w:val="en-CA"/>
              </w:rPr>
            </w:pPr>
          </w:p>
        </w:tc>
      </w:tr>
      <w:tr w:rsidR="00FD0F20" w:rsidRPr="00441B52" w14:paraId="7C9144EF" w14:textId="77777777" w:rsidTr="00423DF1">
        <w:tc>
          <w:tcPr>
            <w:tcW w:w="9362" w:type="dxa"/>
            <w:gridSpan w:val="3"/>
          </w:tcPr>
          <w:p w14:paraId="1154C835" w14:textId="002D68AB" w:rsidR="00FD0F20" w:rsidRPr="00441B52" w:rsidRDefault="00FD0F20" w:rsidP="00FD0F20">
            <w:pPr>
              <w:pStyle w:val="zSoquijdatNomProcureurDef"/>
              <w:rPr>
                <w:lang w:val="en-CA"/>
              </w:rPr>
            </w:pPr>
            <w:r w:rsidRPr="00441B52">
              <w:rPr>
                <w:lang w:val="en-CA"/>
              </w:rPr>
              <w:t>Me Alyson Mace-Reardon</w:t>
            </w:r>
          </w:p>
        </w:tc>
      </w:tr>
      <w:tr w:rsidR="00FD0F20" w:rsidRPr="00441B52" w14:paraId="0379D639" w14:textId="77777777" w:rsidTr="00423DF1">
        <w:tc>
          <w:tcPr>
            <w:tcW w:w="9362" w:type="dxa"/>
            <w:gridSpan w:val="3"/>
          </w:tcPr>
          <w:p w14:paraId="6C0E810E" w14:textId="7E748C4F" w:rsidR="00FD0F20" w:rsidRPr="00441B52" w:rsidRDefault="00FD0F20" w:rsidP="00FD0F20">
            <w:pPr>
              <w:pStyle w:val="zSoquijdatCabinetProcureurDef"/>
            </w:pPr>
            <w:r w:rsidRPr="00441B52">
              <w:t>DIRECTEUR DES POURSUITES CRIMINELLES ET PÉNALES</w:t>
            </w:r>
          </w:p>
        </w:tc>
      </w:tr>
      <w:tr w:rsidR="00FD0F20" w:rsidRPr="00441B52" w14:paraId="70EB65A4" w14:textId="77777777" w:rsidTr="00423DF1">
        <w:tc>
          <w:tcPr>
            <w:tcW w:w="9362" w:type="dxa"/>
            <w:gridSpan w:val="3"/>
          </w:tcPr>
          <w:p w14:paraId="741BFDFA" w14:textId="2ADEF5D0" w:rsidR="00FD0F20" w:rsidRPr="00441B52" w:rsidRDefault="00FD0F20" w:rsidP="00FD0F20">
            <w:pPr>
              <w:pStyle w:val="zSoquijlblProcureurDef"/>
            </w:pPr>
            <w:r w:rsidRPr="00441B52">
              <w:t>Pour le mis en cause</w:t>
            </w:r>
          </w:p>
        </w:tc>
      </w:tr>
      <w:tr w:rsidR="005A78BF" w:rsidRPr="00441B52" w14:paraId="19A1A433" w14:textId="77777777" w:rsidTr="00423DF1">
        <w:tc>
          <w:tcPr>
            <w:tcW w:w="9362" w:type="dxa"/>
            <w:gridSpan w:val="3"/>
          </w:tcPr>
          <w:p w14:paraId="0CBBBF2C" w14:textId="77777777" w:rsidR="005A78BF" w:rsidRPr="00441B52" w:rsidRDefault="005A78BF" w:rsidP="005A78BF"/>
        </w:tc>
      </w:tr>
      <w:tr w:rsidR="005A78BF" w:rsidRPr="00441B52" w14:paraId="360CE820" w14:textId="77777777" w:rsidTr="00423DF1">
        <w:tc>
          <w:tcPr>
            <w:tcW w:w="1997" w:type="dxa"/>
          </w:tcPr>
          <w:p w14:paraId="6924E841" w14:textId="77777777" w:rsidR="005A78BF" w:rsidRPr="00441B52" w:rsidRDefault="005A78BF" w:rsidP="005A78BF">
            <w:pPr>
              <w:pStyle w:val="zSoquijlblDateAudience"/>
            </w:pPr>
            <w:r w:rsidRPr="00441B52">
              <w:t>Date d’audience :</w:t>
            </w:r>
          </w:p>
        </w:tc>
        <w:tc>
          <w:tcPr>
            <w:tcW w:w="7365" w:type="dxa"/>
            <w:gridSpan w:val="2"/>
          </w:tcPr>
          <w:p w14:paraId="47EEFA80" w14:textId="05718AC4" w:rsidR="005A78BF" w:rsidRPr="00441B52" w:rsidRDefault="00FD0F20" w:rsidP="005A78BF">
            <w:pPr>
              <w:pStyle w:val="zSoquijdatDateAudience"/>
            </w:pPr>
            <w:r w:rsidRPr="00441B52">
              <w:t>16 juin 2025</w:t>
            </w:r>
          </w:p>
        </w:tc>
      </w:tr>
      <w:bookmarkEnd w:id="8"/>
    </w:tbl>
    <w:p w14:paraId="15003EC7" w14:textId="77777777" w:rsidR="00846DE8" w:rsidRPr="00441B52" w:rsidRDefault="00846DE8">
      <w:pPr>
        <w:spacing w:line="240" w:lineRule="auto"/>
      </w:pPr>
      <w:r w:rsidRPr="00441B52">
        <w:br w:type="page"/>
      </w:r>
    </w:p>
    <w:tbl>
      <w:tblPr>
        <w:tblW w:w="0" w:type="auto"/>
        <w:tblLayout w:type="fixed"/>
        <w:tblCellMar>
          <w:left w:w="0" w:type="dxa"/>
          <w:right w:w="0" w:type="dxa"/>
        </w:tblCellMar>
        <w:tblLook w:val="0000" w:firstRow="0" w:lastRow="0" w:firstColumn="0" w:lastColumn="0" w:noHBand="0" w:noVBand="0"/>
      </w:tblPr>
      <w:tblGrid>
        <w:gridCol w:w="9360"/>
      </w:tblGrid>
      <w:tr w:rsidR="00843B9D" w:rsidRPr="00441B52" w14:paraId="4742B978" w14:textId="77777777" w:rsidTr="00843B9D">
        <w:tc>
          <w:tcPr>
            <w:tcW w:w="9360" w:type="dxa"/>
          </w:tcPr>
          <w:p w14:paraId="089E983B" w14:textId="77777777" w:rsidR="00843B9D" w:rsidRPr="00441B52" w:rsidRDefault="00843B9D" w:rsidP="00E524EA"/>
        </w:tc>
      </w:tr>
      <w:tr w:rsidR="00E524EA" w:rsidRPr="00441B52" w14:paraId="7C0ECE48" w14:textId="77777777" w:rsidTr="00673117">
        <w:tc>
          <w:tcPr>
            <w:tcW w:w="9360" w:type="dxa"/>
            <w:tcBorders>
              <w:top w:val="single" w:sz="8" w:space="0" w:color="auto"/>
            </w:tcBorders>
          </w:tcPr>
          <w:p w14:paraId="3759689B" w14:textId="77777777" w:rsidR="00E524EA" w:rsidRPr="00441B52" w:rsidRDefault="00E524EA" w:rsidP="00E524EA"/>
        </w:tc>
      </w:tr>
      <w:tr w:rsidR="00E524EA" w:rsidRPr="00441B52" w14:paraId="037EEF04" w14:textId="77777777" w:rsidTr="00673117">
        <w:tc>
          <w:tcPr>
            <w:tcW w:w="9360" w:type="dxa"/>
          </w:tcPr>
          <w:p w14:paraId="5F0CA766" w14:textId="527C3CB7" w:rsidR="00E524EA" w:rsidRPr="00441B52" w:rsidRDefault="005B240C" w:rsidP="00E524EA">
            <w:pPr>
              <w:jc w:val="center"/>
            </w:pPr>
            <w:r>
              <w:t>MOTIFS DE LA JUGE</w:t>
            </w:r>
            <w:r w:rsidR="00E524EA" w:rsidRPr="00441B52">
              <w:t xml:space="preserve"> </w:t>
            </w:r>
            <w:r>
              <w:t>HARVIE</w:t>
            </w:r>
          </w:p>
        </w:tc>
      </w:tr>
      <w:tr w:rsidR="00E524EA" w:rsidRPr="00441B52" w14:paraId="2ED41A59" w14:textId="77777777" w:rsidTr="00673117">
        <w:tc>
          <w:tcPr>
            <w:tcW w:w="9360" w:type="dxa"/>
            <w:tcBorders>
              <w:bottom w:val="single" w:sz="8" w:space="0" w:color="auto"/>
            </w:tcBorders>
          </w:tcPr>
          <w:p w14:paraId="37A422B4" w14:textId="77777777" w:rsidR="00E524EA" w:rsidRPr="00441B52" w:rsidRDefault="00E524EA" w:rsidP="00E524EA"/>
        </w:tc>
      </w:tr>
      <w:tr w:rsidR="00E524EA" w:rsidRPr="00441B52" w14:paraId="188562C1" w14:textId="77777777" w:rsidTr="00673117">
        <w:tc>
          <w:tcPr>
            <w:tcW w:w="9360" w:type="dxa"/>
            <w:tcBorders>
              <w:top w:val="single" w:sz="8" w:space="0" w:color="auto"/>
            </w:tcBorders>
          </w:tcPr>
          <w:p w14:paraId="1A03A2B3" w14:textId="77777777" w:rsidR="00E524EA" w:rsidRPr="00441B52" w:rsidRDefault="00E524EA" w:rsidP="00E524EA"/>
        </w:tc>
      </w:tr>
    </w:tbl>
    <w:p w14:paraId="502A42A8" w14:textId="77777777" w:rsidR="00E524EA" w:rsidRPr="00441B52" w:rsidRDefault="00E524EA" w:rsidP="00843B9D">
      <w:pPr>
        <w:numPr>
          <w:ilvl w:val="0"/>
          <w:numId w:val="18"/>
        </w:numPr>
        <w:tabs>
          <w:tab w:val="clear" w:pos="720"/>
          <w:tab w:val="num" w:pos="993"/>
        </w:tabs>
        <w:spacing w:before="120" w:after="120" w:line="240" w:lineRule="auto"/>
        <w:jc w:val="both"/>
        <w:rPr>
          <w:kern w:val="28"/>
        </w:rPr>
      </w:pPr>
      <w:r w:rsidRPr="00441B52">
        <w:rPr>
          <w:kern w:val="28"/>
        </w:rPr>
        <w:t xml:space="preserve">Le pourvoi porte sur les effets de certaines dispositions de la </w:t>
      </w:r>
      <w:r w:rsidRPr="00441B52">
        <w:rPr>
          <w:i/>
          <w:iCs/>
          <w:kern w:val="28"/>
        </w:rPr>
        <w:t>Loi concernant la lutte contre le tabagisme</w:t>
      </w:r>
      <w:r w:rsidRPr="00441B52">
        <w:rPr>
          <w:kern w:val="28"/>
          <w:vertAlign w:val="superscript"/>
        </w:rPr>
        <w:footnoteReference w:id="1"/>
      </w:r>
      <w:r w:rsidRPr="00441B52">
        <w:rPr>
          <w:iCs/>
          <w:kern w:val="28"/>
        </w:rPr>
        <w:t xml:space="preserve"> (« </w:t>
      </w:r>
      <w:r w:rsidRPr="00441B52">
        <w:rPr>
          <w:b/>
          <w:bCs/>
          <w:iCs/>
          <w:kern w:val="28"/>
        </w:rPr>
        <w:t>Loi</w:t>
      </w:r>
      <w:r w:rsidRPr="00441B52">
        <w:rPr>
          <w:iCs/>
          <w:kern w:val="28"/>
        </w:rPr>
        <w:t> » ou « </w:t>
      </w:r>
      <w:r w:rsidRPr="00441B52">
        <w:rPr>
          <w:b/>
          <w:bCs/>
          <w:i/>
          <w:kern w:val="28"/>
        </w:rPr>
        <w:t>LCLT</w:t>
      </w:r>
      <w:r w:rsidRPr="00441B52">
        <w:rPr>
          <w:iCs/>
          <w:kern w:val="28"/>
        </w:rPr>
        <w:t xml:space="preserve"> ») et du </w:t>
      </w:r>
      <w:r w:rsidRPr="00441B52">
        <w:rPr>
          <w:i/>
          <w:iCs/>
          <w:kern w:val="28"/>
        </w:rPr>
        <w:t>Règlement d’application de la Loi concernant la lutte contre le tabagisme</w:t>
      </w:r>
      <w:r w:rsidRPr="00441B52">
        <w:rPr>
          <w:kern w:val="28"/>
          <w:vertAlign w:val="superscript"/>
        </w:rPr>
        <w:footnoteReference w:id="2"/>
      </w:r>
      <w:r w:rsidRPr="00441B52">
        <w:rPr>
          <w:kern w:val="28"/>
        </w:rPr>
        <w:t xml:space="preserve"> (« </w:t>
      </w:r>
      <w:r w:rsidRPr="00441B52">
        <w:rPr>
          <w:b/>
          <w:bCs/>
          <w:kern w:val="28"/>
        </w:rPr>
        <w:t>Règlement</w:t>
      </w:r>
      <w:r w:rsidRPr="00441B52">
        <w:rPr>
          <w:kern w:val="28"/>
        </w:rPr>
        <w:t> » ou « </w:t>
      </w:r>
      <w:r w:rsidRPr="00441B52">
        <w:rPr>
          <w:b/>
          <w:bCs/>
          <w:kern w:val="28"/>
        </w:rPr>
        <w:t>RLCLT </w:t>
      </w:r>
      <w:r w:rsidRPr="00441B52">
        <w:rPr>
          <w:kern w:val="28"/>
        </w:rPr>
        <w:t xml:space="preserve">») sur un art vivant, plus spécifiquement le théâtre. Il s’agit de déterminer si les dispositions qui interdisent de fumer dans des lieux fermés où se déroulent des activités culturelles ou artistiques, lesquelles s’appliquent sans égard au fait que ce geste soit ou non posé dans le cadre d’une représentation théâtrale, contreviennent à la liberté d’expression artistique et, dans l’affirmative, si cette atteinte est justifiée dans le cadre d’une société libre et démocratique au sens de l’article premier de la </w:t>
      </w:r>
      <w:r w:rsidRPr="00441B52">
        <w:rPr>
          <w:i/>
          <w:kern w:val="28"/>
        </w:rPr>
        <w:t>Charte canadienne des droits et libertés</w:t>
      </w:r>
      <w:r w:rsidRPr="00441B52">
        <w:rPr>
          <w:rFonts w:cs="Arial"/>
          <w:kern w:val="28"/>
          <w:vertAlign w:val="superscript"/>
        </w:rPr>
        <w:footnoteReference w:id="3"/>
      </w:r>
      <w:r w:rsidRPr="00441B52">
        <w:rPr>
          <w:i/>
          <w:kern w:val="28"/>
        </w:rPr>
        <w:t xml:space="preserve"> </w:t>
      </w:r>
      <w:r w:rsidRPr="00441B52">
        <w:rPr>
          <w:iCs/>
          <w:kern w:val="28"/>
        </w:rPr>
        <w:t>(« </w:t>
      </w:r>
      <w:r w:rsidRPr="00441B52">
        <w:rPr>
          <w:b/>
          <w:bCs/>
          <w:iCs/>
          <w:kern w:val="28"/>
        </w:rPr>
        <w:t>Charte canadienne</w:t>
      </w:r>
      <w:r w:rsidRPr="00441B52">
        <w:rPr>
          <w:iCs/>
          <w:kern w:val="28"/>
        </w:rPr>
        <w:t> »)</w:t>
      </w:r>
      <w:r w:rsidRPr="00441B52">
        <w:rPr>
          <w:kern w:val="28"/>
        </w:rPr>
        <w:t>.</w:t>
      </w:r>
    </w:p>
    <w:p w14:paraId="004BF7E2" w14:textId="77777777" w:rsidR="00E524EA" w:rsidRPr="00441B52" w:rsidRDefault="00E524EA" w:rsidP="00843B9D">
      <w:pPr>
        <w:numPr>
          <w:ilvl w:val="0"/>
          <w:numId w:val="18"/>
        </w:numPr>
        <w:tabs>
          <w:tab w:val="clear" w:pos="720"/>
          <w:tab w:val="num" w:pos="993"/>
        </w:tabs>
        <w:spacing w:before="120" w:after="120" w:line="240" w:lineRule="auto"/>
        <w:jc w:val="both"/>
        <w:rPr>
          <w:kern w:val="28"/>
        </w:rPr>
      </w:pPr>
      <w:r w:rsidRPr="00441B52">
        <w:rPr>
          <w:kern w:val="28"/>
        </w:rPr>
        <w:t xml:space="preserve">Il n’est donc pas question d’une contestation de l’interdiction générale de fumer dans des lieux publics fermés ni d’une remise en question de la nocivité des dispositifs permettant d’inhaler de la fumée. Nul n’allègue qu’il devrait être permis, que ce soit au personnel qui y travaille ou au public, de fumer à des fins personnelles dans un lieu où sont présentées des activités culturelles ou artistiques. En fait, le litige concerne l’interdiction pour une personne se produisant sur scène de fumer aux fins du spectacle. Le juge de la Cour supérieure résume avec éloquence les questions que soulève ce pourvoi : </w:t>
      </w:r>
    </w:p>
    <w:p w14:paraId="7D714C33" w14:textId="77777777" w:rsidR="00E524EA" w:rsidRPr="00441B52" w:rsidRDefault="00E524EA" w:rsidP="00843B9D">
      <w:pPr>
        <w:tabs>
          <w:tab w:val="num" w:pos="993"/>
        </w:tabs>
        <w:spacing w:before="120" w:after="120" w:line="240" w:lineRule="auto"/>
        <w:ind w:left="720" w:right="720"/>
        <w:jc w:val="both"/>
        <w:rPr>
          <w:kern w:val="24"/>
          <w:sz w:val="22"/>
        </w:rPr>
      </w:pPr>
      <w:r w:rsidRPr="00441B52">
        <w:rPr>
          <w:kern w:val="24"/>
          <w:sz w:val="22"/>
        </w:rPr>
        <w:t>[</w:t>
      </w:r>
      <w:bookmarkStart w:id="12" w:name="par1"/>
      <w:r w:rsidRPr="00441B52">
        <w:rPr>
          <w:kern w:val="24"/>
          <w:sz w:val="22"/>
        </w:rPr>
        <w:t>1</w:t>
      </w:r>
      <w:bookmarkEnd w:id="12"/>
      <w:r w:rsidRPr="00441B52">
        <w:rPr>
          <w:kern w:val="24"/>
          <w:sz w:val="22"/>
        </w:rPr>
        <w:t>]</w:t>
      </w:r>
      <w:r w:rsidRPr="00441B52">
        <w:rPr>
          <w:kern w:val="24"/>
          <w:sz w:val="22"/>
        </w:rPr>
        <w:tab/>
      </w:r>
      <w:r w:rsidRPr="00441B52">
        <w:rPr>
          <w:kern w:val="24"/>
          <w:sz w:val="22"/>
        </w:rPr>
        <w:tab/>
        <w:t xml:space="preserve">Le choix artistique d’un dramaturge, d’un scénographe ou d’un metteur en scène de faire fumer des comédiens sur la scène d’un théâtre dans un jeu de rôle, et le choix pleinement assumé des interprètes ou comédiens de fumer sur la scène dans leur jeu de rôle, dans le respect du choix artistique des créateurs, constituent-ils une activité expressive protégée par le droit à la liberté d’expression […]? En d’autres termes, </w:t>
      </w:r>
      <w:bookmarkStart w:id="13" w:name="_Hlk152062450"/>
      <w:r w:rsidRPr="00441B52">
        <w:rPr>
          <w:kern w:val="24"/>
          <w:sz w:val="22"/>
        </w:rPr>
        <w:t>l’acte de fumer sur une scène de théâtre dans le contexte particulier d’une pièce de théâtre constitue-t-il une activité expressive lorsque, tant par sa forme que par son contenu, cet acte vise à transmettre un message?</w:t>
      </w:r>
      <w:bookmarkEnd w:id="13"/>
      <w:r w:rsidRPr="00441B52">
        <w:rPr>
          <w:kern w:val="24"/>
          <w:sz w:val="22"/>
        </w:rPr>
        <w:t xml:space="preserve"> Dans l’affirmative, l’interdiction absolue de fumer dans un lieu public qui s’impose à quiconque […] lorsqu’appliquée à l’égard d’un comédien qui fume sur une scène de théâtre en raison d’un choix artistique, portent-elles atteinte à la liberté d’expression […] artistique des créateurs et artistes du milieu du théâtre et des </w:t>
      </w:r>
      <w:r w:rsidRPr="00441B52">
        <w:rPr>
          <w:kern w:val="24"/>
          <w:sz w:val="22"/>
        </w:rPr>
        <w:lastRenderedPageBreak/>
        <w:t>arts? Le cas échéant, la violation est-elle justifiable dans une société libre et démocratique?</w:t>
      </w:r>
      <w:r w:rsidRPr="00441B52">
        <w:rPr>
          <w:kern w:val="24"/>
          <w:sz w:val="22"/>
          <w:vertAlign w:val="superscript"/>
        </w:rPr>
        <w:footnoteReference w:id="4"/>
      </w:r>
    </w:p>
    <w:p w14:paraId="7E853C15" w14:textId="77777777" w:rsidR="00E524EA" w:rsidRPr="00441B52" w:rsidRDefault="00E524EA" w:rsidP="00E524EA">
      <w:pPr>
        <w:tabs>
          <w:tab w:val="num" w:pos="993"/>
        </w:tabs>
        <w:spacing w:before="120" w:after="120" w:line="240" w:lineRule="auto"/>
        <w:ind w:left="720" w:right="720"/>
        <w:jc w:val="right"/>
        <w:rPr>
          <w:kern w:val="24"/>
          <w:sz w:val="22"/>
        </w:rPr>
      </w:pPr>
      <w:r w:rsidRPr="00441B52">
        <w:rPr>
          <w:kern w:val="24"/>
          <w:sz w:val="22"/>
        </w:rPr>
        <w:t>[Renvois omis]</w:t>
      </w:r>
    </w:p>
    <w:p w14:paraId="585EEE15" w14:textId="77777777" w:rsidR="00E524EA" w:rsidRPr="00441B52" w:rsidRDefault="00E524EA" w:rsidP="00E524EA">
      <w:pPr>
        <w:keepNext/>
        <w:tabs>
          <w:tab w:val="num" w:pos="993"/>
        </w:tabs>
        <w:spacing w:before="120" w:after="120" w:line="240" w:lineRule="auto"/>
        <w:outlineLvl w:val="0"/>
        <w:rPr>
          <w:b/>
          <w:kern w:val="28"/>
          <w:sz w:val="28"/>
        </w:rPr>
      </w:pPr>
      <w:r w:rsidRPr="00441B52">
        <w:rPr>
          <w:b/>
          <w:kern w:val="28"/>
          <w:sz w:val="28"/>
        </w:rPr>
        <w:t>CONTEXTE</w:t>
      </w:r>
    </w:p>
    <w:p w14:paraId="4CE09097" w14:textId="7C573DEF"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Les intimés, le Théâtre du Trident inc. (« </w:t>
      </w:r>
      <w:r w:rsidRPr="00441B52">
        <w:rPr>
          <w:b/>
          <w:bCs/>
          <w:kern w:val="28"/>
        </w:rPr>
        <w:t>Théâtre du Trident</w:t>
      </w:r>
      <w:r w:rsidRPr="00441B52">
        <w:rPr>
          <w:kern w:val="28"/>
        </w:rPr>
        <w:t> »), le Théâtre de la Bordée inc. (« </w:t>
      </w:r>
      <w:r w:rsidRPr="00441B52">
        <w:rPr>
          <w:b/>
          <w:bCs/>
          <w:kern w:val="28"/>
        </w:rPr>
        <w:t>Théâtre de la Bordée</w:t>
      </w:r>
      <w:r w:rsidRPr="00441B52">
        <w:rPr>
          <w:kern w:val="28"/>
        </w:rPr>
        <w:t> ») et Premier Acte inc. (« </w:t>
      </w:r>
      <w:r w:rsidRPr="00441B52">
        <w:rPr>
          <w:b/>
          <w:bCs/>
          <w:kern w:val="28"/>
        </w:rPr>
        <w:t>Théâtre</w:t>
      </w:r>
      <w:r w:rsidRPr="00441B52">
        <w:rPr>
          <w:kern w:val="28"/>
        </w:rPr>
        <w:t xml:space="preserve"> </w:t>
      </w:r>
      <w:r w:rsidRPr="00441B52">
        <w:rPr>
          <w:b/>
          <w:bCs/>
          <w:kern w:val="28"/>
        </w:rPr>
        <w:t>Premier Acte</w:t>
      </w:r>
      <w:r w:rsidRPr="00441B52">
        <w:rPr>
          <w:kern w:val="28"/>
        </w:rPr>
        <w:t> ») (ensemble les « </w:t>
      </w:r>
      <w:r w:rsidRPr="00441B52">
        <w:rPr>
          <w:b/>
          <w:bCs/>
          <w:kern w:val="28"/>
        </w:rPr>
        <w:t>Théâtres</w:t>
      </w:r>
      <w:r w:rsidRPr="00441B52">
        <w:rPr>
          <w:kern w:val="28"/>
        </w:rPr>
        <w:t> »)</w:t>
      </w:r>
      <w:r w:rsidR="00C735DE">
        <w:rPr>
          <w:kern w:val="28"/>
        </w:rPr>
        <w:t>,</w:t>
      </w:r>
      <w:r w:rsidRPr="00441B52">
        <w:rPr>
          <w:kern w:val="28"/>
        </w:rPr>
        <w:t xml:space="preserve"> sont trois organismes culturels qui œuvrent dans le domaine de la création théâtrale dans la région de la Ville de Québec. Le Théâtre du Trident a été fondé en 1971, par le regroupement de trois compagnies, afin de mettre sur pied un théâtre institutionnel dans la Ville de Québec. Il a pour principale mission de présenter sur scène des œuvres classiques et contemporaines, de même que des créations. Le Théâtre de la Bordée, fondé en 1976 par un groupe de jeunes acteurs issus du Conservatoire d’art dramatique de Québec, se spécialise dans la production d’œuvres contemporaines de la dramaturgie mondiale et québécoise, de même que des créations. Enfin, le Théâtre Premier Acte a été fondé en 1994 par trois collectifs de la relève théâtrale, afin de regrouper dans un même lieu les projets de compagnies émergentes, et il a pour mission de favoriser la présentation d’œuvres de la relève et des projets autogérés par la mise en commun de ressources financières, humaines et techniques. </w:t>
      </w:r>
    </w:p>
    <w:p w14:paraId="5E17DF73" w14:textId="14703E0E"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Entre 2017 et 2019, les trois Théâtres reçoivent des constats d’infraction assorti</w:t>
      </w:r>
      <w:r w:rsidR="00F4558F" w:rsidRPr="00441B52">
        <w:rPr>
          <w:kern w:val="28"/>
        </w:rPr>
        <w:t>s</w:t>
      </w:r>
      <w:r w:rsidRPr="00441B52">
        <w:rPr>
          <w:kern w:val="28"/>
        </w:rPr>
        <w:t xml:space="preserve"> d’une amende de 500 $ (plus frais) pour avoir « toléré qu’une personne fume dans un endroit où il est interdit de le faire », contrairement à l’article 11 de la </w:t>
      </w:r>
      <w:r w:rsidRPr="00441B52">
        <w:rPr>
          <w:i/>
          <w:iCs/>
          <w:kern w:val="28"/>
        </w:rPr>
        <w:t>Loi</w:t>
      </w:r>
      <w:r w:rsidRPr="00441B52">
        <w:rPr>
          <w:kern w:val="28"/>
        </w:rPr>
        <w:t>, lequel doit être lu en conjonction avec l’article 2 alinéa 1(5</w:t>
      </w:r>
      <w:r w:rsidRPr="00441B52">
        <w:rPr>
          <w:rFonts w:cs="Arial"/>
          <w:kern w:val="28"/>
        </w:rPr>
        <w:t>°</w:t>
      </w:r>
      <w:r w:rsidRPr="00441B52">
        <w:rPr>
          <w:kern w:val="28"/>
        </w:rPr>
        <w:t xml:space="preserve">) de la </w:t>
      </w:r>
      <w:r w:rsidRPr="00441B52">
        <w:rPr>
          <w:i/>
          <w:iCs/>
          <w:kern w:val="28"/>
        </w:rPr>
        <w:t>Loi</w:t>
      </w:r>
      <w:r w:rsidRPr="00441B52">
        <w:rPr>
          <w:kern w:val="28"/>
        </w:rPr>
        <w:t xml:space="preserve"> et l’article 1 du </w:t>
      </w:r>
      <w:r w:rsidRPr="00441B52">
        <w:rPr>
          <w:i/>
          <w:iCs/>
          <w:kern w:val="28"/>
        </w:rPr>
        <w:t>Règlement</w:t>
      </w:r>
      <w:r w:rsidRPr="00441B52">
        <w:rPr>
          <w:kern w:val="28"/>
          <w:vertAlign w:val="superscript"/>
        </w:rPr>
        <w:footnoteReference w:id="5"/>
      </w:r>
      <w:r w:rsidRPr="00441B52">
        <w:rPr>
          <w:kern w:val="28"/>
        </w:rPr>
        <w:t>. Les parties s’en remettent au résumé des faits effectué par le juge de la Cour supérieure :</w:t>
      </w:r>
    </w:p>
    <w:p w14:paraId="54E41C83" w14:textId="77777777" w:rsidR="00E524EA" w:rsidRPr="00441B52" w:rsidRDefault="00E524EA" w:rsidP="00E524EA">
      <w:pPr>
        <w:tabs>
          <w:tab w:val="left" w:pos="1418"/>
        </w:tabs>
        <w:spacing w:before="120" w:after="120" w:line="240" w:lineRule="auto"/>
        <w:ind w:left="720" w:right="720"/>
        <w:jc w:val="both"/>
        <w:rPr>
          <w:kern w:val="24"/>
          <w:sz w:val="22"/>
          <w:lang w:eastAsia="fr-CA"/>
        </w:rPr>
      </w:pPr>
      <w:bookmarkStart w:id="14" w:name="_Hlk147935001"/>
      <w:r w:rsidRPr="00441B52">
        <w:rPr>
          <w:kern w:val="24"/>
          <w:sz w:val="22"/>
        </w:rPr>
        <w:t>[</w:t>
      </w:r>
      <w:bookmarkStart w:id="15" w:name="par5"/>
      <w:bookmarkEnd w:id="15"/>
      <w:r w:rsidRPr="00441B52">
        <w:rPr>
          <w:kern w:val="24"/>
          <w:sz w:val="22"/>
        </w:rPr>
        <w:t>5]</w:t>
      </w:r>
      <w:r w:rsidRPr="00441B52">
        <w:rPr>
          <w:kern w:val="24"/>
          <w:sz w:val="22"/>
        </w:rPr>
        <w:tab/>
        <w:t>À l’automne 2017, l’appelante Le Théâtre du Trident inc. présente la pièce « </w:t>
      </w:r>
      <w:r w:rsidRPr="00441B52">
        <w:rPr>
          <w:i/>
          <w:iCs/>
          <w:kern w:val="24"/>
          <w:sz w:val="22"/>
        </w:rPr>
        <w:t>Le cas de Joé Ferguson</w:t>
      </w:r>
      <w:r w:rsidRPr="00441B52">
        <w:rPr>
          <w:kern w:val="24"/>
          <w:sz w:val="22"/>
        </w:rPr>
        <w:t> » à la salle Octave-Crémazie du Grand Théâtre de Québec. Il s’agit d’une œuvre de l’auteure Isabelle Hubert. La mise en scène de cette pièce est assurée par le metteur en scène Jean-Sébastien Ouellet. Les rôles sont interprétés par les comédiens Joëlle Bond, Sylvie Drapeau, Valérie Laroche et Steven Lee Potvin. Cette pièce illustre le comportement autodestructeur d’une chanteuse déchue. Lors de cette pièce, des comédiens fument deux cigarettes aux herbes. Le choix de faire fumer les interprètes en utilisant des accessoires réalistes est assumé. Il sert à créer un univers et à véhiculer un message.</w:t>
      </w:r>
      <w:bookmarkEnd w:id="14"/>
      <w:r w:rsidRPr="00441B52">
        <w:rPr>
          <w:kern w:val="24"/>
          <w:sz w:val="22"/>
        </w:rPr>
        <w:t xml:space="preserve"> </w:t>
      </w:r>
    </w:p>
    <w:p w14:paraId="4E26B058" w14:textId="77777777" w:rsidR="00E524EA" w:rsidRPr="00441B52" w:rsidRDefault="00E524EA" w:rsidP="00E524EA">
      <w:pPr>
        <w:tabs>
          <w:tab w:val="left" w:pos="1418"/>
        </w:tabs>
        <w:spacing w:before="120" w:after="120" w:line="240" w:lineRule="auto"/>
        <w:ind w:left="720" w:right="720"/>
        <w:jc w:val="both"/>
        <w:rPr>
          <w:kern w:val="24"/>
          <w:sz w:val="22"/>
        </w:rPr>
      </w:pPr>
      <w:r w:rsidRPr="00441B52">
        <w:rPr>
          <w:kern w:val="24"/>
          <w:sz w:val="22"/>
        </w:rPr>
        <w:t>[</w:t>
      </w:r>
      <w:bookmarkStart w:id="16" w:name="par6"/>
      <w:r w:rsidRPr="00441B52">
        <w:rPr>
          <w:kern w:val="24"/>
          <w:sz w:val="22"/>
        </w:rPr>
        <w:t>6</w:t>
      </w:r>
      <w:bookmarkEnd w:id="16"/>
      <w:r w:rsidRPr="00441B52">
        <w:rPr>
          <w:kern w:val="24"/>
          <w:sz w:val="22"/>
        </w:rPr>
        <w:t>]</w:t>
      </w:r>
      <w:r w:rsidRPr="00441B52">
        <w:rPr>
          <w:kern w:val="24"/>
          <w:sz w:val="14"/>
          <w:szCs w:val="14"/>
        </w:rPr>
        <w:tab/>
      </w:r>
      <w:r w:rsidRPr="00441B52">
        <w:rPr>
          <w:kern w:val="24"/>
          <w:sz w:val="22"/>
        </w:rPr>
        <w:t xml:space="preserve">À la suite d’une visite d’inspecteurs, un constat d’infraction est délivré contre l’appelante Le Théâtre du Trident inc. On lui reproche d’avoir toléré qu’une personne fume dans un endroit public où il est interdit de le faire. </w:t>
      </w:r>
      <w:bookmarkStart w:id="17" w:name="_Hlk152056133"/>
      <w:r w:rsidRPr="00441B52">
        <w:rPr>
          <w:kern w:val="24"/>
          <w:sz w:val="22"/>
        </w:rPr>
        <w:t xml:space="preserve">Le geste reproché </w:t>
      </w:r>
      <w:r w:rsidRPr="00441B52">
        <w:rPr>
          <w:kern w:val="24"/>
          <w:sz w:val="22"/>
        </w:rPr>
        <w:lastRenderedPageBreak/>
        <w:t xml:space="preserve">est celui de comédiens qui ont représenté l’acte de fumer </w:t>
      </w:r>
      <w:bookmarkEnd w:id="17"/>
      <w:r w:rsidRPr="00441B52">
        <w:rPr>
          <w:kern w:val="24"/>
          <w:sz w:val="22"/>
        </w:rPr>
        <w:t>sur la scène de la salle Octave-Crémazie.</w:t>
      </w:r>
    </w:p>
    <w:p w14:paraId="3D48093E" w14:textId="77777777" w:rsidR="00E524EA" w:rsidRPr="00441B52" w:rsidRDefault="00E524EA" w:rsidP="00E524EA">
      <w:pPr>
        <w:tabs>
          <w:tab w:val="left" w:pos="1418"/>
        </w:tabs>
        <w:spacing w:before="120" w:after="120" w:line="240" w:lineRule="auto"/>
        <w:ind w:left="720" w:right="720"/>
        <w:jc w:val="center"/>
        <w:rPr>
          <w:kern w:val="24"/>
          <w:sz w:val="27"/>
          <w:szCs w:val="27"/>
        </w:rPr>
      </w:pPr>
      <w:r w:rsidRPr="00441B52">
        <w:rPr>
          <w:kern w:val="24"/>
          <w:sz w:val="22"/>
        </w:rPr>
        <w:t>*</w:t>
      </w:r>
    </w:p>
    <w:p w14:paraId="0F97713C" w14:textId="77777777" w:rsidR="00E524EA" w:rsidRPr="00441B52" w:rsidRDefault="00E524EA" w:rsidP="00E524EA">
      <w:pPr>
        <w:tabs>
          <w:tab w:val="left" w:pos="1418"/>
        </w:tabs>
        <w:spacing w:before="120" w:after="120" w:line="240" w:lineRule="auto"/>
        <w:ind w:left="720" w:right="720"/>
        <w:jc w:val="both"/>
        <w:rPr>
          <w:kern w:val="24"/>
          <w:sz w:val="22"/>
          <w:szCs w:val="24"/>
        </w:rPr>
      </w:pPr>
      <w:r w:rsidRPr="00441B52">
        <w:rPr>
          <w:kern w:val="24"/>
          <w:sz w:val="22"/>
        </w:rPr>
        <w:t>[</w:t>
      </w:r>
      <w:bookmarkStart w:id="18" w:name="par7"/>
      <w:r w:rsidRPr="00441B52">
        <w:rPr>
          <w:kern w:val="24"/>
          <w:sz w:val="22"/>
        </w:rPr>
        <w:t>7</w:t>
      </w:r>
      <w:bookmarkEnd w:id="18"/>
      <w:r w:rsidRPr="00441B52">
        <w:rPr>
          <w:kern w:val="24"/>
          <w:sz w:val="22"/>
        </w:rPr>
        <w:t>]</w:t>
      </w:r>
      <w:r w:rsidRPr="00441B52">
        <w:rPr>
          <w:kern w:val="24"/>
          <w:sz w:val="14"/>
          <w:szCs w:val="14"/>
        </w:rPr>
        <w:tab/>
      </w:r>
      <w:r w:rsidRPr="00441B52">
        <w:rPr>
          <w:kern w:val="24"/>
          <w:sz w:val="22"/>
        </w:rPr>
        <w:t>À l’automne 2018, l’appelante Premier Acte inc. présente la pièce « </w:t>
      </w:r>
      <w:r w:rsidRPr="00441B52">
        <w:rPr>
          <w:i/>
          <w:iCs/>
          <w:kern w:val="24"/>
          <w:sz w:val="22"/>
        </w:rPr>
        <w:t>Conversations avec mon pénis</w:t>
      </w:r>
      <w:r w:rsidRPr="00441B52">
        <w:rPr>
          <w:kern w:val="24"/>
          <w:sz w:val="22"/>
        </w:rPr>
        <w:t xml:space="preserve"> ». Il s’agit d’une œuvre de Dean Hewison. Sa mise en scène est assurée par David Strasbourg. Les rôles sont interprétés par les comédiens Marc-André Thibault et Mary-Lee Picknell. Cette pièce porte sur un cas de crise existentielle, d’insatisfaction sexuelle et de comportement autodestructeur. </w:t>
      </w:r>
      <w:bookmarkStart w:id="19" w:name="_Hlk152056302"/>
      <w:r w:rsidRPr="00441B52">
        <w:rPr>
          <w:kern w:val="24"/>
          <w:sz w:val="22"/>
        </w:rPr>
        <w:t>Dans le cadre de cette pièce</w:t>
      </w:r>
      <w:bookmarkEnd w:id="19"/>
      <w:r w:rsidRPr="00441B52">
        <w:rPr>
          <w:kern w:val="24"/>
          <w:sz w:val="22"/>
        </w:rPr>
        <w:t>, un interprète fume une cigarette aux herbes. Les spectateurs en sont prévenus. Le choix du metteur en scène et des comédiens de représenter l’acte de fumer sur la scène est délibéré. Là encore, l’utilisation d’un accessoire réaliste sert à créer un univers et à véhiculer un message.</w:t>
      </w:r>
    </w:p>
    <w:p w14:paraId="3FDFB8E1" w14:textId="77777777" w:rsidR="00E524EA" w:rsidRPr="00441B52" w:rsidRDefault="00E524EA" w:rsidP="00E524EA">
      <w:pPr>
        <w:tabs>
          <w:tab w:val="left" w:pos="1418"/>
        </w:tabs>
        <w:spacing w:before="120" w:after="120" w:line="240" w:lineRule="auto"/>
        <w:ind w:left="720" w:right="720"/>
        <w:jc w:val="both"/>
        <w:rPr>
          <w:kern w:val="24"/>
          <w:sz w:val="22"/>
        </w:rPr>
      </w:pPr>
      <w:r w:rsidRPr="00441B52">
        <w:rPr>
          <w:kern w:val="24"/>
          <w:sz w:val="22"/>
        </w:rPr>
        <w:t>[</w:t>
      </w:r>
      <w:bookmarkStart w:id="20" w:name="par8"/>
      <w:r w:rsidRPr="00441B52">
        <w:rPr>
          <w:kern w:val="24"/>
          <w:sz w:val="22"/>
        </w:rPr>
        <w:t>8</w:t>
      </w:r>
      <w:bookmarkEnd w:id="20"/>
      <w:r w:rsidRPr="00441B52">
        <w:rPr>
          <w:kern w:val="24"/>
          <w:sz w:val="22"/>
        </w:rPr>
        <w:t>]</w:t>
      </w:r>
      <w:r w:rsidRPr="00441B52">
        <w:rPr>
          <w:kern w:val="24"/>
          <w:sz w:val="14"/>
          <w:szCs w:val="14"/>
        </w:rPr>
        <w:tab/>
      </w:r>
      <w:r w:rsidRPr="00441B52">
        <w:rPr>
          <w:kern w:val="24"/>
          <w:sz w:val="22"/>
        </w:rPr>
        <w:t xml:space="preserve">À la suite d’une visite d’inspecteurs lors de l’une des représentations, un constat d’infraction est délivré contre l’appelante Premier Acte. On lui reproche d’avoir toléré qu’une personne fume dans un endroit public où il est interdit de le faire. </w:t>
      </w:r>
      <w:bookmarkStart w:id="21" w:name="_Hlk152056965"/>
      <w:r w:rsidRPr="00441B52">
        <w:rPr>
          <w:kern w:val="24"/>
          <w:sz w:val="22"/>
        </w:rPr>
        <w:t>Le geste reproché est celui du comédien qui a représenté l’acte de fumer sur la scène</w:t>
      </w:r>
      <w:bookmarkEnd w:id="21"/>
      <w:r w:rsidRPr="00441B52">
        <w:rPr>
          <w:kern w:val="24"/>
          <w:sz w:val="22"/>
        </w:rPr>
        <w:t>.</w:t>
      </w:r>
    </w:p>
    <w:p w14:paraId="04C45E6B" w14:textId="77777777" w:rsidR="00E524EA" w:rsidRPr="00441B52" w:rsidRDefault="00E524EA" w:rsidP="00E524EA">
      <w:pPr>
        <w:tabs>
          <w:tab w:val="left" w:pos="1418"/>
        </w:tabs>
        <w:spacing w:before="120" w:after="120" w:line="240" w:lineRule="auto"/>
        <w:ind w:left="720" w:right="720"/>
        <w:jc w:val="center"/>
        <w:rPr>
          <w:kern w:val="24"/>
          <w:sz w:val="27"/>
          <w:szCs w:val="27"/>
        </w:rPr>
      </w:pPr>
      <w:r w:rsidRPr="00441B52">
        <w:rPr>
          <w:kern w:val="24"/>
          <w:sz w:val="22"/>
        </w:rPr>
        <w:t>*</w:t>
      </w:r>
    </w:p>
    <w:p w14:paraId="7C66D7B4" w14:textId="77777777" w:rsidR="00E524EA" w:rsidRPr="00441B52" w:rsidRDefault="00E524EA" w:rsidP="00E524EA">
      <w:pPr>
        <w:tabs>
          <w:tab w:val="left" w:pos="1418"/>
        </w:tabs>
        <w:spacing w:before="120" w:after="120" w:line="240" w:lineRule="auto"/>
        <w:ind w:left="720" w:right="720"/>
        <w:jc w:val="both"/>
        <w:rPr>
          <w:kern w:val="24"/>
          <w:sz w:val="22"/>
          <w:szCs w:val="24"/>
        </w:rPr>
      </w:pPr>
      <w:r w:rsidRPr="00441B52">
        <w:rPr>
          <w:kern w:val="24"/>
          <w:sz w:val="22"/>
        </w:rPr>
        <w:t>[</w:t>
      </w:r>
      <w:bookmarkStart w:id="22" w:name="par9"/>
      <w:r w:rsidRPr="00441B52">
        <w:rPr>
          <w:kern w:val="24"/>
          <w:sz w:val="22"/>
        </w:rPr>
        <w:t>9</w:t>
      </w:r>
      <w:bookmarkEnd w:id="22"/>
      <w:r w:rsidRPr="00441B52">
        <w:rPr>
          <w:kern w:val="24"/>
          <w:sz w:val="22"/>
        </w:rPr>
        <w:t>]</w:t>
      </w:r>
      <w:r w:rsidRPr="00441B52">
        <w:rPr>
          <w:kern w:val="24"/>
          <w:sz w:val="14"/>
          <w:szCs w:val="14"/>
        </w:rPr>
        <w:tab/>
      </w:r>
      <w:r w:rsidRPr="00441B52">
        <w:rPr>
          <w:kern w:val="24"/>
          <w:sz w:val="22"/>
        </w:rPr>
        <w:t>Au début de l’année 2019, l’appelante Le Théâtre de la Bordée inc. présente la pièce « </w:t>
      </w:r>
      <w:r w:rsidRPr="00441B52">
        <w:rPr>
          <w:i/>
          <w:iCs/>
          <w:kern w:val="24"/>
          <w:sz w:val="22"/>
        </w:rPr>
        <w:t>Rotterdam</w:t>
      </w:r>
      <w:r w:rsidRPr="00441B52">
        <w:rPr>
          <w:kern w:val="24"/>
          <w:sz w:val="22"/>
        </w:rPr>
        <w:t xml:space="preserve"> ». Il s’agit d’une œuvre de Jon Britton. Sa mise en scène est assurée par Édith Patenaude. Les rôles sont interprétés par les comédiens Charles-Étienne Beaulne, Ariane Côté-Lavoie, Marie-Hélène Gendreau et Pascale Renaud-Hébert. Au cours de cette pièce, deux cigarettes aux herbes et deux joints simulés aux herbes sont fumés. Les spectateurs en sont prévenus avant le début de la représentation. À l’instar des pièces de théâtre précédentes, le choix de faire fumer les interprètes est réfléchi. Ici aussi, l’acte de fumer sur la scène sert à créer un univers convaincant et à véhiculer un message. </w:t>
      </w:r>
    </w:p>
    <w:p w14:paraId="106E145F" w14:textId="77777777" w:rsidR="00E524EA" w:rsidRPr="00441B52" w:rsidRDefault="00E524EA" w:rsidP="00E524EA">
      <w:pPr>
        <w:tabs>
          <w:tab w:val="left" w:pos="1418"/>
        </w:tabs>
        <w:spacing w:before="120" w:after="120" w:line="240" w:lineRule="auto"/>
        <w:ind w:left="720" w:right="720"/>
        <w:jc w:val="both"/>
        <w:rPr>
          <w:kern w:val="24"/>
          <w:sz w:val="22"/>
        </w:rPr>
      </w:pPr>
      <w:r w:rsidRPr="00441B52">
        <w:rPr>
          <w:kern w:val="24"/>
          <w:sz w:val="22"/>
        </w:rPr>
        <w:t>[</w:t>
      </w:r>
      <w:bookmarkStart w:id="23" w:name="par10"/>
      <w:r w:rsidRPr="00441B52">
        <w:rPr>
          <w:kern w:val="24"/>
          <w:sz w:val="22"/>
        </w:rPr>
        <w:t>10</w:t>
      </w:r>
      <w:bookmarkEnd w:id="23"/>
      <w:r w:rsidRPr="00441B52">
        <w:rPr>
          <w:kern w:val="24"/>
          <w:sz w:val="22"/>
        </w:rPr>
        <w:t>]</w:t>
      </w:r>
      <w:r w:rsidRPr="00441B52">
        <w:rPr>
          <w:kern w:val="24"/>
          <w:sz w:val="14"/>
          <w:szCs w:val="14"/>
        </w:rPr>
        <w:tab/>
      </w:r>
      <w:r w:rsidRPr="00441B52">
        <w:rPr>
          <w:kern w:val="24"/>
          <w:sz w:val="22"/>
        </w:rPr>
        <w:t>À la suite d’une visite d’inspecteurs lors de l’une des représentations, un constat d’infraction est délivré contre l’appelante Le Théâtre de la Bordée inc. On lui reproche d’avoir toléré qu’une personne fume dans un endroit public où il est interdit de le faire. Le geste reproché est celui du comédien qui a représenté l’acte de fumer sur la scène.</w:t>
      </w:r>
      <w:r w:rsidRPr="00441B52">
        <w:rPr>
          <w:kern w:val="24"/>
          <w:sz w:val="22"/>
          <w:vertAlign w:val="superscript"/>
        </w:rPr>
        <w:footnoteReference w:id="6"/>
      </w:r>
    </w:p>
    <w:p w14:paraId="6A103D47"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Les Théâtres plaident non coupables et les trois affaires sont entendues ensemble par un juge de paix magistrat de la Cour du Québec. À l’audience, ils reconnaissent les éléments essentiels des infractions puis sont déclarés coupables, mais </w:t>
      </w:r>
      <w:r w:rsidRPr="00441B52">
        <w:rPr>
          <w:kern w:val="28"/>
        </w:rPr>
        <w:lastRenderedPageBreak/>
        <w:t>sous réserve de leur demande de déclarer invalide les dispositions concernées, en raison d’une atteinte à la liberté d’expression artistique</w:t>
      </w:r>
      <w:r w:rsidRPr="00441B52">
        <w:rPr>
          <w:kern w:val="28"/>
          <w:vertAlign w:val="superscript"/>
        </w:rPr>
        <w:footnoteReference w:id="7"/>
      </w:r>
      <w:r w:rsidRPr="00441B52">
        <w:rPr>
          <w:kern w:val="28"/>
        </w:rPr>
        <w:t xml:space="preserve">. </w:t>
      </w:r>
    </w:p>
    <w:p w14:paraId="0C0BB28D"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Début novembre 2021, le juge de paix magistrat rejette cette demande en concluant qu’il n’y a pas d’atteinte à la liberté d’expression artistique protégée par les chartes canadienne et québécoise, puisque « l’inhalation ou l’aspiration de la fumée produite par le tabac ou toute substance assimilée à du tabac n’emporte pas en soi un contenu expressif »</w:t>
      </w:r>
      <w:r w:rsidRPr="00441B52">
        <w:rPr>
          <w:kern w:val="28"/>
          <w:vertAlign w:val="superscript"/>
        </w:rPr>
        <w:footnoteReference w:id="8"/>
      </w:r>
      <w:r w:rsidRPr="00441B52">
        <w:rPr>
          <w:kern w:val="28"/>
        </w:rPr>
        <w:t xml:space="preserve">. Il ajoute : </w:t>
      </w:r>
    </w:p>
    <w:p w14:paraId="37CD71F6" w14:textId="77777777" w:rsidR="00E524EA" w:rsidRPr="00441B52" w:rsidRDefault="00E524EA" w:rsidP="00E524EA">
      <w:pPr>
        <w:tabs>
          <w:tab w:val="num" w:pos="1418"/>
        </w:tabs>
        <w:spacing w:before="120" w:after="120" w:line="240" w:lineRule="auto"/>
        <w:ind w:left="720" w:right="720"/>
        <w:jc w:val="both"/>
        <w:rPr>
          <w:kern w:val="24"/>
          <w:sz w:val="22"/>
        </w:rPr>
      </w:pPr>
      <w:r w:rsidRPr="00441B52">
        <w:rPr>
          <w:kern w:val="24"/>
          <w:sz w:val="22"/>
        </w:rPr>
        <w:t>[</w:t>
      </w:r>
      <w:bookmarkStart w:id="24" w:name="par18"/>
      <w:r w:rsidRPr="00441B52">
        <w:rPr>
          <w:kern w:val="24"/>
          <w:sz w:val="22"/>
        </w:rPr>
        <w:t>18</w:t>
      </w:r>
      <w:bookmarkEnd w:id="24"/>
      <w:r w:rsidRPr="00441B52">
        <w:rPr>
          <w:kern w:val="24"/>
          <w:sz w:val="22"/>
        </w:rPr>
        <w:t>]</w:t>
      </w:r>
      <w:r w:rsidRPr="00441B52">
        <w:rPr>
          <w:kern w:val="24"/>
          <w:sz w:val="22"/>
        </w:rPr>
        <w:tab/>
        <w:t>La loi et ses règlements n’empêchent pas un comédien de simuler le geste de fumer sur scène de différentes façons, en utilisant divers accessoires, artifices ou quelques effets spéciaux. La preuve démontre que certains metteurs en scène ont d’ailleurs choisi d’utiliser de fausses cigarettes. Rien dans la législation en cause n’empêche l’exercice des libertés artistiques ni de pouvoir livrer l’âme d’une représentation théâtrale.</w:t>
      </w:r>
    </w:p>
    <w:p w14:paraId="5F99C0AF" w14:textId="77777777" w:rsidR="00E524EA" w:rsidRPr="00441B52" w:rsidRDefault="00E524EA" w:rsidP="00E524EA">
      <w:pPr>
        <w:tabs>
          <w:tab w:val="num" w:pos="1418"/>
        </w:tabs>
        <w:spacing w:before="120" w:after="120" w:line="240" w:lineRule="auto"/>
        <w:ind w:left="720" w:right="720"/>
        <w:jc w:val="both"/>
        <w:rPr>
          <w:kern w:val="24"/>
          <w:sz w:val="22"/>
        </w:rPr>
      </w:pPr>
      <w:r w:rsidRPr="00441B52">
        <w:rPr>
          <w:kern w:val="24"/>
          <w:sz w:val="22"/>
        </w:rPr>
        <w:t>[</w:t>
      </w:r>
      <w:bookmarkStart w:id="25" w:name="par19"/>
      <w:r w:rsidRPr="00441B52">
        <w:rPr>
          <w:kern w:val="24"/>
          <w:sz w:val="22"/>
        </w:rPr>
        <w:t>19</w:t>
      </w:r>
      <w:bookmarkEnd w:id="25"/>
      <w:r w:rsidRPr="00441B52">
        <w:rPr>
          <w:kern w:val="24"/>
          <w:sz w:val="22"/>
        </w:rPr>
        <w:t>]</w:t>
      </w:r>
      <w:r w:rsidRPr="00441B52">
        <w:rPr>
          <w:kern w:val="24"/>
          <w:sz w:val="22"/>
        </w:rPr>
        <w:tab/>
        <w:t>La représentation de gestes ou actions proscrites par d’autres lois est chose commune au théâtre, comme simuler le meurtre, utiliser une arme, consommer de la drogue ou user de violence.</w:t>
      </w:r>
    </w:p>
    <w:p w14:paraId="2881DD01" w14:textId="77777777" w:rsidR="00E524EA" w:rsidRPr="00441B52" w:rsidRDefault="00E524EA" w:rsidP="00E524EA">
      <w:pPr>
        <w:tabs>
          <w:tab w:val="num" w:pos="1418"/>
        </w:tabs>
        <w:spacing w:before="120" w:after="120" w:line="240" w:lineRule="auto"/>
        <w:ind w:left="720" w:right="720"/>
        <w:jc w:val="both"/>
        <w:rPr>
          <w:kern w:val="24"/>
          <w:sz w:val="22"/>
        </w:rPr>
      </w:pPr>
      <w:r w:rsidRPr="00441B52">
        <w:rPr>
          <w:kern w:val="24"/>
          <w:sz w:val="22"/>
        </w:rPr>
        <w:t>[</w:t>
      </w:r>
      <w:bookmarkStart w:id="26" w:name="par20"/>
      <w:r w:rsidRPr="00441B52">
        <w:rPr>
          <w:kern w:val="24"/>
          <w:sz w:val="22"/>
        </w:rPr>
        <w:t>20</w:t>
      </w:r>
      <w:bookmarkEnd w:id="26"/>
      <w:r w:rsidRPr="00441B52">
        <w:rPr>
          <w:kern w:val="24"/>
          <w:sz w:val="22"/>
        </w:rPr>
        <w:t>]</w:t>
      </w:r>
      <w:r w:rsidRPr="00441B52">
        <w:rPr>
          <w:kern w:val="24"/>
          <w:sz w:val="22"/>
        </w:rPr>
        <w:tab/>
        <w:t>La loi et ses règlements permettent de représenter, de simuler, de jouer ou d’acter une personne qui fume, ce qui constitue du contenu expressif qui n’est pas interdit. L’interdiction est de projeter ou d’inhaler de la fumée provenant d’un produit du tabac dans un lieu public.</w:t>
      </w:r>
      <w:r w:rsidRPr="00441B52">
        <w:rPr>
          <w:kern w:val="24"/>
          <w:sz w:val="22"/>
          <w:vertAlign w:val="superscript"/>
        </w:rPr>
        <w:t xml:space="preserve"> </w:t>
      </w:r>
      <w:r w:rsidRPr="00441B52">
        <w:rPr>
          <w:kern w:val="24"/>
          <w:sz w:val="22"/>
        </w:rPr>
        <w:t>[…]</w:t>
      </w:r>
      <w:r w:rsidRPr="00441B52">
        <w:rPr>
          <w:kern w:val="24"/>
          <w:sz w:val="22"/>
          <w:vertAlign w:val="superscript"/>
        </w:rPr>
        <w:footnoteReference w:id="9"/>
      </w:r>
      <w:r w:rsidRPr="00441B52">
        <w:rPr>
          <w:kern w:val="24"/>
          <w:sz w:val="22"/>
        </w:rPr>
        <w:t>.</w:t>
      </w:r>
    </w:p>
    <w:p w14:paraId="19084AA1" w14:textId="25C815D1"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Les Théâtres portent cette décision en appel devant la Cour supérieure et demandent que les articles 1, 2 et 11 de la </w:t>
      </w:r>
      <w:r w:rsidRPr="00441B52">
        <w:rPr>
          <w:i/>
          <w:iCs/>
          <w:kern w:val="28"/>
        </w:rPr>
        <w:t>Loi</w:t>
      </w:r>
      <w:r w:rsidRPr="00441B52">
        <w:rPr>
          <w:kern w:val="28"/>
        </w:rPr>
        <w:t xml:space="preserve"> et l’article 1 du </w:t>
      </w:r>
      <w:r w:rsidRPr="00441B52">
        <w:rPr>
          <w:i/>
          <w:iCs/>
          <w:kern w:val="28"/>
        </w:rPr>
        <w:t>Règlement</w:t>
      </w:r>
      <w:r w:rsidRPr="00441B52">
        <w:rPr>
          <w:kern w:val="28"/>
        </w:rPr>
        <w:t xml:space="preserve"> soient déclarés invalides « à l’égard des participants et </w:t>
      </w:r>
      <w:r w:rsidR="00C735DE">
        <w:rPr>
          <w:kern w:val="28"/>
        </w:rPr>
        <w:t xml:space="preserve">des </w:t>
      </w:r>
      <w:r w:rsidRPr="00441B52">
        <w:rPr>
          <w:kern w:val="28"/>
        </w:rPr>
        <w:t>organisateurs d’une représentation artistique ou culturelle qui se déroule dans un lieu ou commerce visé par la loi » ou, subsidiairement, inopérants à l’égard des mêmes personnes</w:t>
      </w:r>
      <w:r w:rsidRPr="00441B52">
        <w:rPr>
          <w:kern w:val="28"/>
          <w:vertAlign w:val="superscript"/>
        </w:rPr>
        <w:footnoteReference w:id="10"/>
      </w:r>
      <w:r w:rsidRPr="00441B52">
        <w:rPr>
          <w:kern w:val="28"/>
        </w:rPr>
        <w:t>.</w:t>
      </w:r>
    </w:p>
    <w:p w14:paraId="6E23BF1A" w14:textId="77777777" w:rsidR="00E524EA" w:rsidRPr="00441B52" w:rsidRDefault="00E524EA" w:rsidP="00E524EA">
      <w:pPr>
        <w:keepNext/>
        <w:tabs>
          <w:tab w:val="num" w:pos="993"/>
        </w:tabs>
        <w:spacing w:before="120" w:after="120" w:line="240" w:lineRule="auto"/>
        <w:outlineLvl w:val="0"/>
        <w:rPr>
          <w:b/>
          <w:kern w:val="28"/>
          <w:sz w:val="28"/>
        </w:rPr>
      </w:pPr>
      <w:r w:rsidRPr="00441B52">
        <w:rPr>
          <w:b/>
          <w:kern w:val="28"/>
          <w:sz w:val="28"/>
        </w:rPr>
        <w:lastRenderedPageBreak/>
        <w:t>JUGEMENT ENTREPRIS</w:t>
      </w:r>
    </w:p>
    <w:p w14:paraId="6C67469F" w14:textId="7FEB4E18"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Fin mai 2024, le juge accueille l’appel et infirme le jugement. Il analyse les principes applicables en matière de liberté d’expression, puis conclut que le juge de paix magistrat a commis une erreur en considérant que l’acte de fumer sur scène pendant une représentation théâtrale n’était pas une expression protégée. Selon lui, les créateurs transmettaient un message au public en faisant fumer les interprètes sur la scène, car ce geste exprimait « la détresse psychologique et existentielle éprouvée par des personnes vivant certaines difficultés » et favorisait les valeurs sous-jacentes à la liberté d’expression</w:t>
      </w:r>
      <w:r w:rsidRPr="00441B52">
        <w:rPr>
          <w:kern w:val="28"/>
          <w:vertAlign w:val="superscript"/>
        </w:rPr>
        <w:footnoteReference w:id="11"/>
      </w:r>
      <w:r w:rsidRPr="00441B52">
        <w:rPr>
          <w:kern w:val="28"/>
        </w:rPr>
        <w:t xml:space="preserve">. En conséquence, l’effet combiné de la </w:t>
      </w:r>
      <w:r w:rsidR="00710FF5" w:rsidRPr="00441B52">
        <w:rPr>
          <w:i/>
          <w:iCs/>
          <w:kern w:val="28"/>
        </w:rPr>
        <w:t>L</w:t>
      </w:r>
      <w:r w:rsidRPr="00441B52">
        <w:rPr>
          <w:i/>
          <w:iCs/>
          <w:kern w:val="28"/>
        </w:rPr>
        <w:t>oi</w:t>
      </w:r>
      <w:r w:rsidRPr="00441B52">
        <w:rPr>
          <w:kern w:val="28"/>
        </w:rPr>
        <w:t xml:space="preserve"> et du </w:t>
      </w:r>
      <w:r w:rsidR="00710FF5" w:rsidRPr="00441B52">
        <w:rPr>
          <w:i/>
          <w:iCs/>
          <w:kern w:val="28"/>
        </w:rPr>
        <w:t>R</w:t>
      </w:r>
      <w:r w:rsidRPr="00441B52">
        <w:rPr>
          <w:i/>
          <w:iCs/>
          <w:kern w:val="28"/>
        </w:rPr>
        <w:t>èglement</w:t>
      </w:r>
      <w:r w:rsidRPr="00441B52">
        <w:rPr>
          <w:kern w:val="28"/>
        </w:rPr>
        <w:t xml:space="preserve"> viole indirectement la liberté d’expression</w:t>
      </w:r>
      <w:r w:rsidRPr="00441B52">
        <w:rPr>
          <w:kern w:val="28"/>
          <w:vertAlign w:val="superscript"/>
        </w:rPr>
        <w:footnoteReference w:id="12"/>
      </w:r>
      <w:r w:rsidRPr="00441B52">
        <w:rPr>
          <w:kern w:val="28"/>
        </w:rPr>
        <w:t>.</w:t>
      </w:r>
    </w:p>
    <w:p w14:paraId="510D3D78" w14:textId="01F7E5DB"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À la demande des parties, qui prônent une saine administration des ressources judiciaires, le juge analyse ensuite si cette violation est justifiée dans le cadre d’une société libre et démocratique, bien que le juge de paix magistrat n’ait pas abordé cet aspect dans sa décision. Il reconnaît que le législateur cherchait à répondre à un objectif urgent et réel en adoptant la </w:t>
      </w:r>
      <w:r w:rsidRPr="00441B52">
        <w:rPr>
          <w:i/>
          <w:iCs/>
          <w:kern w:val="28"/>
        </w:rPr>
        <w:t>Loi</w:t>
      </w:r>
      <w:r w:rsidRPr="00441B52">
        <w:rPr>
          <w:kern w:val="28"/>
        </w:rPr>
        <w:t xml:space="preserve"> et le </w:t>
      </w:r>
      <w:r w:rsidRPr="00441B52">
        <w:rPr>
          <w:i/>
          <w:iCs/>
          <w:kern w:val="28"/>
        </w:rPr>
        <w:t>Règlement</w:t>
      </w:r>
      <w:r w:rsidRPr="00441B52">
        <w:rPr>
          <w:kern w:val="28"/>
        </w:rPr>
        <w:t>, soit la protection de la santé publique. Il existe un lien rationnel entre cet objectif et l’interdiction, car la preuve présentée démontre « qu’une seule cigarette fumée dans un lieu public</w:t>
      </w:r>
      <w:r w:rsidR="00F4558F" w:rsidRPr="00441B52">
        <w:rPr>
          <w:kern w:val="28"/>
        </w:rPr>
        <w:t xml:space="preserve"> [peut] </w:t>
      </w:r>
      <w:r w:rsidRPr="00441B52">
        <w:rPr>
          <w:kern w:val="28"/>
        </w:rPr>
        <w:t>avoir un impact sur la santé du public »</w:t>
      </w:r>
      <w:r w:rsidRPr="00441B52">
        <w:rPr>
          <w:kern w:val="28"/>
          <w:vertAlign w:val="superscript"/>
        </w:rPr>
        <w:footnoteReference w:id="13"/>
      </w:r>
      <w:r w:rsidRPr="00441B52">
        <w:rPr>
          <w:kern w:val="28"/>
        </w:rPr>
        <w:t>. Toutefois, il ne considère pas l’atteinte minimale, bien qu’il reconnaisse que les dangers associés à l’usage du tabac nécessitent des mesures importantes :</w:t>
      </w:r>
    </w:p>
    <w:p w14:paraId="03FBFA3E"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w:t>
      </w:r>
      <w:bookmarkStart w:id="28" w:name="par63"/>
      <w:r w:rsidRPr="00441B52">
        <w:rPr>
          <w:kern w:val="24"/>
          <w:sz w:val="22"/>
        </w:rPr>
        <w:t>63</w:t>
      </w:r>
      <w:bookmarkEnd w:id="28"/>
      <w:r w:rsidRPr="00441B52">
        <w:rPr>
          <w:kern w:val="24"/>
          <w:sz w:val="22"/>
        </w:rPr>
        <w:t>]</w:t>
      </w:r>
      <w:r w:rsidRPr="00441B52">
        <w:rPr>
          <w:kern w:val="24"/>
          <w:sz w:val="22"/>
        </w:rPr>
        <w:tab/>
        <w:t>[…] Il ne paraît pas raisonnable d’interdire totalement l’acte de fumer une cigarette en toutes circonstances dans le cadre d’une représentation théâtrale. Cette interdiction ne répond pas de façon rationnelle et intelligente aux enjeux liés à l’usage du tabac et aux objectifs que le législateur poursuit à cet égard.</w:t>
      </w:r>
    </w:p>
    <w:p w14:paraId="74BBC13C"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Quant à la proportionnalité, le juge conclut que la balance « penche nettement en faveur du droit à la liberté d’expression artistique »</w:t>
      </w:r>
      <w:r w:rsidRPr="00441B52">
        <w:rPr>
          <w:kern w:val="28"/>
          <w:vertAlign w:val="superscript"/>
        </w:rPr>
        <w:footnoteReference w:id="14"/>
      </w:r>
      <w:r w:rsidRPr="00441B52">
        <w:rPr>
          <w:kern w:val="28"/>
        </w:rPr>
        <w:t xml:space="preserve">. </w:t>
      </w:r>
    </w:p>
    <w:p w14:paraId="61F11B2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juge applique la technique de dissociation et retranche les mots « culturelles ou artistiques » de la disposition qui interdit de fumer dans des lieux fermés en les invalidant ainsi que l’article 1 du </w:t>
      </w:r>
      <w:r w:rsidRPr="00441B52">
        <w:rPr>
          <w:i/>
          <w:iCs/>
          <w:kern w:val="28"/>
        </w:rPr>
        <w:t>Règlement</w:t>
      </w:r>
      <w:r w:rsidRPr="00441B52">
        <w:rPr>
          <w:kern w:val="28"/>
        </w:rPr>
        <w:t>. Il suspend ensuite la déclaration d’invalidité pour une période d’un an afin de permettre au législateur de prévoir des modalités applicables au domaine des arts. Enfin, il acquitte les Théâtres.</w:t>
      </w:r>
    </w:p>
    <w:p w14:paraId="79AB607C" w14:textId="77777777" w:rsidR="00E524EA" w:rsidRPr="00441B52" w:rsidRDefault="00E524EA" w:rsidP="00E524EA">
      <w:pPr>
        <w:keepNext/>
        <w:tabs>
          <w:tab w:val="num" w:pos="993"/>
        </w:tabs>
        <w:spacing w:before="120" w:after="120" w:line="240" w:lineRule="auto"/>
        <w:outlineLvl w:val="0"/>
        <w:rPr>
          <w:b/>
          <w:kern w:val="28"/>
          <w:sz w:val="28"/>
        </w:rPr>
      </w:pPr>
      <w:r w:rsidRPr="00441B52">
        <w:rPr>
          <w:b/>
          <w:kern w:val="28"/>
          <w:sz w:val="28"/>
        </w:rPr>
        <w:lastRenderedPageBreak/>
        <w:t xml:space="preserve">MOYENS D’APPEL </w:t>
      </w:r>
    </w:p>
    <w:p w14:paraId="3EA17387"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 Procureur général du Québec (« </w:t>
      </w:r>
      <w:r w:rsidRPr="00441B52">
        <w:rPr>
          <w:b/>
          <w:bCs/>
          <w:kern w:val="28"/>
        </w:rPr>
        <w:t>PGQ </w:t>
      </w:r>
      <w:r w:rsidRPr="00441B52">
        <w:rPr>
          <w:kern w:val="28"/>
        </w:rPr>
        <w:t xml:space="preserve">») porte le jugement entrepris en appel en soulevant trois moyens. Selon lui, le juge a erré : (1) en concluant que les dispositions en cause portaient atteinte à la liberté d’expression des intimés; (2) en concluant que l’atteinte n’était pas justifiée dans une société libre et démocratique; et (3) en octroyant la réparation constitutionnelle. </w:t>
      </w:r>
    </w:p>
    <w:p w14:paraId="52D9CCE5" w14:textId="77777777" w:rsidR="00E524EA" w:rsidRPr="00441B52" w:rsidRDefault="00E524EA" w:rsidP="00E524EA">
      <w:pPr>
        <w:keepNext/>
        <w:tabs>
          <w:tab w:val="num" w:pos="993"/>
        </w:tabs>
        <w:spacing w:before="120" w:after="120" w:line="240" w:lineRule="auto"/>
        <w:outlineLvl w:val="0"/>
        <w:rPr>
          <w:b/>
          <w:kern w:val="28"/>
          <w:sz w:val="28"/>
        </w:rPr>
      </w:pPr>
      <w:r w:rsidRPr="00441B52">
        <w:rPr>
          <w:b/>
          <w:kern w:val="28"/>
          <w:sz w:val="28"/>
        </w:rPr>
        <w:t>ANALYSE</w:t>
      </w:r>
    </w:p>
    <w:p w14:paraId="089658A4" w14:textId="3E376726" w:rsidR="00E524EA" w:rsidRPr="00441B52" w:rsidRDefault="00E524EA" w:rsidP="00E524EA">
      <w:pPr>
        <w:keepNext/>
        <w:spacing w:before="120" w:after="120" w:line="240" w:lineRule="auto"/>
        <w:outlineLvl w:val="1"/>
        <w:rPr>
          <w:b/>
          <w:i/>
        </w:rPr>
      </w:pPr>
      <w:r w:rsidRPr="00441B52">
        <w:rPr>
          <w:b/>
          <w:i/>
        </w:rPr>
        <w:t>I</w:t>
      </w:r>
      <w:r w:rsidR="00697C06" w:rsidRPr="00441B52">
        <w:rPr>
          <w:b/>
          <w:i/>
        </w:rPr>
        <w:t>.</w:t>
      </w:r>
      <w:r w:rsidRPr="00441B52">
        <w:rPr>
          <w:b/>
          <w:i/>
        </w:rPr>
        <w:t xml:space="preserve"> Liberté d’expression</w:t>
      </w:r>
    </w:p>
    <w:p w14:paraId="0AD3513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PGQ plaide que la </w:t>
      </w:r>
      <w:r w:rsidRPr="00441B52">
        <w:rPr>
          <w:i/>
          <w:iCs/>
          <w:kern w:val="28"/>
        </w:rPr>
        <w:t>Loi</w:t>
      </w:r>
      <w:r w:rsidRPr="00441B52">
        <w:rPr>
          <w:kern w:val="28"/>
        </w:rPr>
        <w:t xml:space="preserve"> et le </w:t>
      </w:r>
      <w:r w:rsidRPr="00441B52">
        <w:rPr>
          <w:i/>
          <w:iCs/>
          <w:kern w:val="28"/>
        </w:rPr>
        <w:t>Règlement</w:t>
      </w:r>
      <w:r w:rsidRPr="00441B52">
        <w:rPr>
          <w:kern w:val="28"/>
        </w:rPr>
        <w:t xml:space="preserve"> n’ont pas pour objet ni pour effet de limiter l’expression artistique. D’une part, ils encadrent l’usage des produits du tabac, et de ceux qui y sont assimilés, dans les lieux fermés qui accueillent du public. D’autre part, ils n’ont pas pour effet d’empêcher d’utiliser des « conventions » pour simuler le geste de fumer et transmettre le message recherché. Le PGQ qualifie d’évaluation personnelle les allégations des Théâtres voulant que l’utilisation d’artifices, comme des fausses cigarettes sans inhalation, manque de crédibilité. Subsidiairement, il plaide que l’atteinte est moins importante que le juge ne le retient puisqu’il demeure permis de représenter le geste de fumer. </w:t>
      </w:r>
    </w:p>
    <w:p w14:paraId="67DE6E75"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Pour les motifs qui suivent, je ne retiens pas ces arguments. Je conclus que le juge énonce correctement les principes applicables et que sa conclusion est bien fondée. Avant de procéder à l’analyse, je reviens sur les dispositions pertinentes de la </w:t>
      </w:r>
      <w:r w:rsidRPr="00441B52">
        <w:rPr>
          <w:i/>
          <w:iCs/>
          <w:kern w:val="28"/>
        </w:rPr>
        <w:t>Loi</w:t>
      </w:r>
      <w:r w:rsidRPr="00441B52">
        <w:rPr>
          <w:kern w:val="28"/>
        </w:rPr>
        <w:t xml:space="preserve"> et du </w:t>
      </w:r>
      <w:r w:rsidRPr="00441B52">
        <w:rPr>
          <w:i/>
          <w:iCs/>
          <w:kern w:val="28"/>
        </w:rPr>
        <w:t>Règlement</w:t>
      </w:r>
      <w:r w:rsidRPr="00441B52">
        <w:rPr>
          <w:kern w:val="28"/>
        </w:rPr>
        <w:t xml:space="preserve"> et les principes applicables.</w:t>
      </w:r>
    </w:p>
    <w:p w14:paraId="5B407E68" w14:textId="77777777" w:rsidR="00E524EA" w:rsidRPr="00441B52" w:rsidRDefault="00E524EA" w:rsidP="00E524EA">
      <w:pPr>
        <w:keepNext/>
        <w:numPr>
          <w:ilvl w:val="0"/>
          <w:numId w:val="21"/>
        </w:numPr>
        <w:tabs>
          <w:tab w:val="num" w:pos="993"/>
        </w:tabs>
        <w:spacing w:before="120" w:after="120" w:line="240" w:lineRule="auto"/>
        <w:outlineLvl w:val="2"/>
        <w:rPr>
          <w:b/>
          <w:bCs/>
        </w:rPr>
      </w:pPr>
      <w:r w:rsidRPr="00441B52">
        <w:rPr>
          <w:b/>
          <w:bCs/>
        </w:rPr>
        <w:t>Dispositions applicables</w:t>
      </w:r>
    </w:p>
    <w:p w14:paraId="543E37F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bookmarkStart w:id="29" w:name="_Ref223778453"/>
      <w:r w:rsidRPr="00441B52">
        <w:rPr>
          <w:kern w:val="28"/>
        </w:rPr>
        <w:t xml:space="preserve">La </w:t>
      </w:r>
      <w:r w:rsidRPr="00441B52">
        <w:rPr>
          <w:i/>
          <w:iCs/>
          <w:kern w:val="28"/>
        </w:rPr>
        <w:t xml:space="preserve">Loi </w:t>
      </w:r>
      <w:r w:rsidRPr="00441B52">
        <w:rPr>
          <w:kern w:val="28"/>
        </w:rPr>
        <w:t>interdit de fumer dans des lieux fermés à caractère public. Plus spécifiquement, son article 2 édicte une interdiction absolue de fumer dans les lieux fermés où se déroulent des activités culturelles et artistiques</w:t>
      </w:r>
      <w:r w:rsidRPr="00441B52">
        <w:rPr>
          <w:kern w:val="28"/>
          <w:vertAlign w:val="superscript"/>
        </w:rPr>
        <w:footnoteReference w:id="15"/>
      </w:r>
      <w:r w:rsidRPr="00441B52">
        <w:rPr>
          <w:kern w:val="28"/>
        </w:rPr>
        <w:t> :</w:t>
      </w:r>
      <w:bookmarkEnd w:id="29"/>
    </w:p>
    <w:tbl>
      <w:tblPr>
        <w:tblW w:w="0" w:type="auto"/>
        <w:tblCellMar>
          <w:left w:w="70" w:type="dxa"/>
          <w:right w:w="70" w:type="dxa"/>
        </w:tblCellMar>
        <w:tblLook w:val="0000" w:firstRow="0" w:lastRow="0" w:firstColumn="0" w:lastColumn="0" w:noHBand="0" w:noVBand="0"/>
      </w:tblPr>
      <w:tblGrid>
        <w:gridCol w:w="4680"/>
        <w:gridCol w:w="4682"/>
      </w:tblGrid>
      <w:tr w:rsidR="00E524EA" w:rsidRPr="00C23406" w14:paraId="6DDBFD57" w14:textId="77777777" w:rsidTr="00673117">
        <w:trPr>
          <w:trHeight w:val="474"/>
        </w:trPr>
        <w:tc>
          <w:tcPr>
            <w:tcW w:w="4680" w:type="dxa"/>
          </w:tcPr>
          <w:p w14:paraId="71F5026C" w14:textId="77777777" w:rsidR="00E524EA" w:rsidRPr="00441B52" w:rsidRDefault="00E524EA" w:rsidP="00A707BB">
            <w:pPr>
              <w:spacing w:line="240" w:lineRule="auto"/>
              <w:ind w:left="720" w:right="144"/>
              <w:jc w:val="both"/>
              <w:rPr>
                <w:sz w:val="22"/>
              </w:rPr>
            </w:pPr>
            <w:r w:rsidRPr="00441B52">
              <w:rPr>
                <w:b/>
                <w:bCs/>
                <w:sz w:val="22"/>
              </w:rPr>
              <w:t>2.</w:t>
            </w:r>
            <w:r w:rsidRPr="00441B52">
              <w:rPr>
                <w:sz w:val="22"/>
              </w:rPr>
              <w:t> Sous réserve des articles 3 à 12, il est interdit de fumer dans tous les lieux fermés suivants :</w:t>
            </w:r>
          </w:p>
          <w:p w14:paraId="403A798D" w14:textId="77777777" w:rsidR="00A707BB" w:rsidRPr="00441B52" w:rsidRDefault="00A707BB" w:rsidP="00710FF5">
            <w:pPr>
              <w:spacing w:line="240" w:lineRule="auto"/>
              <w:ind w:left="720" w:right="144"/>
              <w:jc w:val="both"/>
              <w:rPr>
                <w:sz w:val="22"/>
              </w:rPr>
            </w:pPr>
          </w:p>
          <w:p w14:paraId="5F6ADC53" w14:textId="77777777" w:rsidR="00E524EA" w:rsidRPr="00441B52" w:rsidRDefault="00E524EA" w:rsidP="00710FF5">
            <w:pPr>
              <w:spacing w:line="240" w:lineRule="auto"/>
              <w:ind w:left="720" w:right="144"/>
              <w:jc w:val="both"/>
              <w:rPr>
                <w:sz w:val="22"/>
              </w:rPr>
            </w:pPr>
            <w:r w:rsidRPr="00441B52">
              <w:rPr>
                <w:sz w:val="22"/>
              </w:rPr>
              <w:t>[…]</w:t>
            </w:r>
          </w:p>
          <w:p w14:paraId="219335FE" w14:textId="77777777" w:rsidR="00E524EA" w:rsidRPr="00441B52" w:rsidRDefault="00E524EA" w:rsidP="00710FF5">
            <w:pPr>
              <w:spacing w:line="240" w:lineRule="auto"/>
              <w:ind w:left="720" w:right="144"/>
              <w:jc w:val="both"/>
              <w:rPr>
                <w:sz w:val="22"/>
              </w:rPr>
            </w:pPr>
          </w:p>
          <w:p w14:paraId="278B22F2" w14:textId="4D4B445D" w:rsidR="00E524EA" w:rsidRPr="00441B52" w:rsidRDefault="00E524EA" w:rsidP="00A707BB">
            <w:pPr>
              <w:spacing w:line="240" w:lineRule="auto"/>
              <w:ind w:left="720" w:right="142"/>
              <w:jc w:val="both"/>
              <w:rPr>
                <w:sz w:val="22"/>
              </w:rPr>
            </w:pPr>
            <w:r w:rsidRPr="00441B52">
              <w:rPr>
                <w:sz w:val="22"/>
              </w:rPr>
              <w:t>5°</w:t>
            </w:r>
            <w:r w:rsidR="00697C06" w:rsidRPr="00441B52">
              <w:rPr>
                <w:sz w:val="22"/>
              </w:rPr>
              <w:t xml:space="preserve"> </w:t>
            </w:r>
            <w:r w:rsidRPr="00441B52">
              <w:rPr>
                <w:sz w:val="22"/>
              </w:rPr>
              <w:t xml:space="preserve">ceux où se déroulent des activités sportives ou de loisirs, judiciaires, culturelles ou artistiques, des </w:t>
            </w:r>
            <w:r w:rsidRPr="00441B52">
              <w:rPr>
                <w:sz w:val="22"/>
              </w:rPr>
              <w:lastRenderedPageBreak/>
              <w:t>colloques ou des congrès ou autres activités semblables;</w:t>
            </w:r>
          </w:p>
          <w:p w14:paraId="5589C077" w14:textId="77777777" w:rsidR="00A707BB" w:rsidRPr="00441B52" w:rsidRDefault="00A707BB" w:rsidP="00710FF5">
            <w:pPr>
              <w:spacing w:line="240" w:lineRule="auto"/>
              <w:ind w:left="720" w:right="142"/>
              <w:jc w:val="both"/>
              <w:rPr>
                <w:sz w:val="22"/>
              </w:rPr>
            </w:pPr>
          </w:p>
          <w:p w14:paraId="1FC8774E" w14:textId="77777777" w:rsidR="00E524EA" w:rsidRPr="00441B52" w:rsidRDefault="00E524EA" w:rsidP="00A707BB">
            <w:pPr>
              <w:spacing w:line="240" w:lineRule="auto"/>
              <w:ind w:left="720" w:right="144"/>
              <w:jc w:val="both"/>
              <w:rPr>
                <w:sz w:val="22"/>
              </w:rPr>
            </w:pPr>
            <w:r w:rsidRPr="00441B52">
              <w:rPr>
                <w:sz w:val="22"/>
              </w:rPr>
              <w:t>[…]</w:t>
            </w:r>
          </w:p>
          <w:p w14:paraId="2CFE345D" w14:textId="77777777" w:rsidR="00A707BB" w:rsidRPr="00441B52" w:rsidRDefault="00A707BB" w:rsidP="00710FF5">
            <w:pPr>
              <w:spacing w:line="240" w:lineRule="auto"/>
              <w:ind w:left="720" w:right="144"/>
              <w:jc w:val="both"/>
              <w:rPr>
                <w:sz w:val="22"/>
              </w:rPr>
            </w:pPr>
          </w:p>
          <w:p w14:paraId="3EEF7927" w14:textId="5B8A8305" w:rsidR="00E524EA" w:rsidRPr="00441B52" w:rsidRDefault="00E524EA" w:rsidP="00710FF5">
            <w:pPr>
              <w:spacing w:line="240" w:lineRule="auto"/>
              <w:ind w:left="720" w:right="144"/>
              <w:jc w:val="both"/>
              <w:rPr>
                <w:sz w:val="22"/>
              </w:rPr>
            </w:pPr>
            <w:r w:rsidRPr="00441B52">
              <w:rPr>
                <w:sz w:val="22"/>
              </w:rPr>
              <w:t>12°</w:t>
            </w:r>
            <w:r w:rsidR="00697C06" w:rsidRPr="00441B52">
              <w:rPr>
                <w:sz w:val="22"/>
              </w:rPr>
              <w:t xml:space="preserve"> </w:t>
            </w:r>
            <w:r w:rsidRPr="00441B52">
              <w:rPr>
                <w:sz w:val="22"/>
              </w:rPr>
              <w:t>tous les autres lieux fermés qui accueillent le public.</w:t>
            </w:r>
          </w:p>
        </w:tc>
        <w:tc>
          <w:tcPr>
            <w:tcW w:w="4682" w:type="dxa"/>
          </w:tcPr>
          <w:p w14:paraId="0407AE0E" w14:textId="606B8C0E" w:rsidR="00E524EA" w:rsidRPr="00441B52" w:rsidRDefault="00E524EA" w:rsidP="00A707BB">
            <w:pPr>
              <w:spacing w:line="240" w:lineRule="auto"/>
              <w:ind w:left="144" w:right="720"/>
              <w:jc w:val="both"/>
              <w:rPr>
                <w:sz w:val="22"/>
                <w:lang w:val="en-CA"/>
              </w:rPr>
            </w:pPr>
            <w:r w:rsidRPr="00441B52">
              <w:rPr>
                <w:b/>
                <w:bCs/>
                <w:sz w:val="22"/>
                <w:lang w:val="en-CA"/>
              </w:rPr>
              <w:lastRenderedPageBreak/>
              <w:t>2.</w:t>
            </w:r>
            <w:r w:rsidRPr="00441B52">
              <w:rPr>
                <w:sz w:val="22"/>
                <w:lang w:val="en-CA"/>
              </w:rPr>
              <w:t> Subject to sections 3 to 12, smoking is prohibited in the following enclosed spaces:</w:t>
            </w:r>
            <w:r w:rsidR="00A707BB" w:rsidRPr="00441B52">
              <w:rPr>
                <w:sz w:val="22"/>
                <w:lang w:val="en-CA"/>
              </w:rPr>
              <w:t xml:space="preserve"> </w:t>
            </w:r>
          </w:p>
          <w:p w14:paraId="2686CFC0" w14:textId="77777777" w:rsidR="00A707BB" w:rsidRPr="00441B52" w:rsidRDefault="00A707BB" w:rsidP="00710FF5">
            <w:pPr>
              <w:spacing w:line="240" w:lineRule="auto"/>
              <w:ind w:left="144" w:right="720"/>
              <w:jc w:val="both"/>
              <w:rPr>
                <w:sz w:val="22"/>
                <w:lang w:val="en-CA"/>
              </w:rPr>
            </w:pPr>
          </w:p>
          <w:p w14:paraId="35ACFD3E" w14:textId="77777777" w:rsidR="00E524EA" w:rsidRPr="00441B52" w:rsidRDefault="00E524EA" w:rsidP="00710FF5">
            <w:pPr>
              <w:spacing w:line="240" w:lineRule="auto"/>
              <w:ind w:left="144" w:right="720"/>
              <w:jc w:val="both"/>
              <w:rPr>
                <w:sz w:val="22"/>
                <w:lang w:val="en-CA"/>
              </w:rPr>
            </w:pPr>
            <w:r w:rsidRPr="00441B52">
              <w:rPr>
                <w:sz w:val="22"/>
                <w:lang w:val="en-CA"/>
              </w:rPr>
              <w:t>[…]</w:t>
            </w:r>
          </w:p>
          <w:p w14:paraId="487C092B" w14:textId="77777777" w:rsidR="00E524EA" w:rsidRPr="00441B52" w:rsidRDefault="00E524EA" w:rsidP="00710FF5">
            <w:pPr>
              <w:spacing w:line="240" w:lineRule="auto"/>
              <w:ind w:left="144" w:right="720"/>
              <w:jc w:val="both"/>
              <w:rPr>
                <w:sz w:val="22"/>
                <w:lang w:val="en-CA"/>
              </w:rPr>
            </w:pPr>
          </w:p>
          <w:p w14:paraId="597881B3" w14:textId="77777777" w:rsidR="00E524EA" w:rsidRPr="00441B52" w:rsidRDefault="00E524EA" w:rsidP="00A707BB">
            <w:pPr>
              <w:spacing w:line="240" w:lineRule="auto"/>
              <w:ind w:left="144" w:right="720"/>
              <w:jc w:val="both"/>
              <w:rPr>
                <w:sz w:val="22"/>
                <w:lang w:val="en-CA"/>
              </w:rPr>
            </w:pPr>
            <w:r w:rsidRPr="00441B52">
              <w:rPr>
                <w:sz w:val="22"/>
                <w:lang w:val="en-CA"/>
              </w:rPr>
              <w:t xml:space="preserve">(5) enclosed spaces where activities of a sports or recreational, judicial, cultural or artistic nature are presented, or where conferences, </w:t>
            </w:r>
            <w:r w:rsidRPr="00441B52">
              <w:rPr>
                <w:sz w:val="22"/>
                <w:lang w:val="en-CA"/>
              </w:rPr>
              <w:lastRenderedPageBreak/>
              <w:t>conventions or other similar events are held;</w:t>
            </w:r>
          </w:p>
          <w:p w14:paraId="4DA5D0DE" w14:textId="77777777" w:rsidR="00A707BB" w:rsidRPr="00441B52" w:rsidRDefault="00A707BB" w:rsidP="00710FF5">
            <w:pPr>
              <w:spacing w:line="240" w:lineRule="auto"/>
              <w:ind w:left="144" w:right="720"/>
              <w:jc w:val="both"/>
              <w:rPr>
                <w:sz w:val="22"/>
                <w:lang w:val="en-CA"/>
              </w:rPr>
            </w:pPr>
          </w:p>
          <w:p w14:paraId="7F148A03" w14:textId="77777777" w:rsidR="00E524EA" w:rsidRPr="00441B52" w:rsidRDefault="00E524EA" w:rsidP="00A707BB">
            <w:pPr>
              <w:spacing w:line="240" w:lineRule="auto"/>
              <w:ind w:left="144" w:right="720"/>
              <w:jc w:val="both"/>
              <w:rPr>
                <w:sz w:val="22"/>
                <w:lang w:val="en-CA"/>
              </w:rPr>
            </w:pPr>
            <w:r w:rsidRPr="00441B52">
              <w:rPr>
                <w:sz w:val="22"/>
                <w:lang w:val="en-CA"/>
              </w:rPr>
              <w:t>[…]</w:t>
            </w:r>
          </w:p>
          <w:p w14:paraId="03A9806C" w14:textId="77777777" w:rsidR="00A707BB" w:rsidRPr="00441B52" w:rsidRDefault="00A707BB" w:rsidP="00710FF5">
            <w:pPr>
              <w:spacing w:line="240" w:lineRule="auto"/>
              <w:ind w:left="144" w:right="720"/>
              <w:jc w:val="both"/>
              <w:rPr>
                <w:sz w:val="22"/>
                <w:lang w:val="en-CA"/>
              </w:rPr>
            </w:pPr>
          </w:p>
          <w:p w14:paraId="55EC85F5" w14:textId="77777777" w:rsidR="00E524EA" w:rsidRPr="00441B52" w:rsidRDefault="00E524EA" w:rsidP="00710FF5">
            <w:pPr>
              <w:spacing w:line="240" w:lineRule="auto"/>
              <w:ind w:left="144" w:right="720"/>
              <w:jc w:val="both"/>
              <w:rPr>
                <w:sz w:val="22"/>
                <w:lang w:val="en-CA"/>
              </w:rPr>
            </w:pPr>
            <w:r w:rsidRPr="00441B52">
              <w:rPr>
                <w:sz w:val="22"/>
                <w:lang w:val="en-CA"/>
              </w:rPr>
              <w:t>(12) all other enclosed spaces to which the public has admittance.</w:t>
            </w:r>
          </w:p>
        </w:tc>
      </w:tr>
    </w:tbl>
    <w:p w14:paraId="2B92DDAE" w14:textId="682820B2"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lastRenderedPageBreak/>
        <w:t xml:space="preserve">Cette interdiction de fumer concerne non seulement la cigarette traditionnelle contenant du tabac, mais également tout produit émettant une substance inhalable lorsqu’on le porte à la bouche, comme le prévoient les articles 1 et 1.1 de la </w:t>
      </w:r>
      <w:r w:rsidRPr="00441B52">
        <w:rPr>
          <w:i/>
          <w:iCs/>
          <w:kern w:val="28"/>
        </w:rPr>
        <w:t>Loi</w:t>
      </w:r>
      <w:r w:rsidRPr="00441B52">
        <w:rPr>
          <w:kern w:val="28"/>
        </w:rPr>
        <w:t> :</w:t>
      </w:r>
    </w:p>
    <w:tbl>
      <w:tblPr>
        <w:tblW w:w="0" w:type="auto"/>
        <w:tblCellMar>
          <w:left w:w="70" w:type="dxa"/>
          <w:right w:w="70" w:type="dxa"/>
        </w:tblCellMar>
        <w:tblLook w:val="0000" w:firstRow="0" w:lastRow="0" w:firstColumn="0" w:lastColumn="0" w:noHBand="0" w:noVBand="0"/>
      </w:tblPr>
      <w:tblGrid>
        <w:gridCol w:w="4667"/>
        <w:gridCol w:w="4660"/>
      </w:tblGrid>
      <w:tr w:rsidR="00E524EA" w:rsidRPr="00C23406" w14:paraId="569DE91B" w14:textId="77777777" w:rsidTr="00673117">
        <w:trPr>
          <w:trHeight w:val="726"/>
        </w:trPr>
        <w:tc>
          <w:tcPr>
            <w:tcW w:w="4667" w:type="dxa"/>
          </w:tcPr>
          <w:p w14:paraId="3C4F256B" w14:textId="77777777" w:rsidR="00E524EA" w:rsidRPr="00441B52" w:rsidRDefault="00E524EA" w:rsidP="00710FF5">
            <w:pPr>
              <w:spacing w:before="120" w:line="240" w:lineRule="auto"/>
              <w:ind w:left="720" w:right="142"/>
              <w:jc w:val="both"/>
              <w:rPr>
                <w:sz w:val="22"/>
              </w:rPr>
            </w:pPr>
            <w:r w:rsidRPr="00441B52">
              <w:rPr>
                <w:b/>
                <w:bCs/>
                <w:sz w:val="22"/>
              </w:rPr>
              <w:t>1.</w:t>
            </w:r>
            <w:r w:rsidRPr="00441B52">
              <w:rPr>
                <w:sz w:val="22"/>
              </w:rPr>
              <w:t> La présente loi s’applique au tabac récolté, qu’il soit traité ou non et quelles que soient sa forme et sa présentation. Est assimilé à du tabac, tout produit qui contient du tabac, la cigarette électronique et tout autre dispositif de cette nature que l’on porte à la bouche pour inhaler toute substance contenant ou non de la nicotine, y compris leurs composantes et leurs accessoires, ainsi que tout autre produit ou catégorie de produit qui, au terme d’un règlement du gouvernement, y est assimilé.</w:t>
            </w:r>
          </w:p>
          <w:p w14:paraId="47BA8997" w14:textId="77777777" w:rsidR="00A707BB" w:rsidRPr="00441B52" w:rsidRDefault="00A707BB" w:rsidP="00A707BB">
            <w:pPr>
              <w:spacing w:line="240" w:lineRule="auto"/>
              <w:ind w:left="720" w:right="144"/>
              <w:jc w:val="both"/>
              <w:rPr>
                <w:sz w:val="22"/>
              </w:rPr>
            </w:pPr>
          </w:p>
          <w:p w14:paraId="1E90C25B" w14:textId="77777777" w:rsidR="00E524EA" w:rsidRPr="00441B52" w:rsidRDefault="00E524EA" w:rsidP="00A707BB">
            <w:pPr>
              <w:spacing w:line="240" w:lineRule="auto"/>
              <w:ind w:left="720" w:right="144"/>
              <w:jc w:val="both"/>
              <w:rPr>
                <w:sz w:val="22"/>
              </w:rPr>
            </w:pPr>
            <w:r w:rsidRPr="00441B52">
              <w:rPr>
                <w:sz w:val="22"/>
              </w:rPr>
              <w:t>La présente loi lie l’État.</w:t>
            </w:r>
          </w:p>
          <w:p w14:paraId="20DBCB57" w14:textId="77777777" w:rsidR="00A707BB" w:rsidRPr="00441B52" w:rsidRDefault="00A707BB" w:rsidP="00A707BB">
            <w:pPr>
              <w:spacing w:line="240" w:lineRule="auto"/>
              <w:ind w:left="720" w:right="144"/>
              <w:jc w:val="both"/>
              <w:rPr>
                <w:sz w:val="22"/>
              </w:rPr>
            </w:pPr>
          </w:p>
          <w:p w14:paraId="7C63E664" w14:textId="77777777" w:rsidR="00E524EA" w:rsidRPr="00441B52" w:rsidRDefault="00E524EA" w:rsidP="00A707BB">
            <w:pPr>
              <w:spacing w:line="240" w:lineRule="auto"/>
              <w:ind w:left="720" w:right="144"/>
              <w:jc w:val="both"/>
              <w:rPr>
                <w:sz w:val="22"/>
              </w:rPr>
            </w:pPr>
            <w:r w:rsidRPr="00441B52">
              <w:rPr>
                <w:b/>
                <w:bCs/>
                <w:sz w:val="22"/>
              </w:rPr>
              <w:t>1.1.</w:t>
            </w:r>
            <w:r w:rsidRPr="00441B52">
              <w:rPr>
                <w:sz w:val="22"/>
              </w:rPr>
              <w:t> Aux fins de la présente loi, à moins que le contexte ne s’y oppose, le mot :</w:t>
            </w:r>
          </w:p>
          <w:p w14:paraId="18DFB30E" w14:textId="77777777" w:rsidR="00A707BB" w:rsidRPr="00441B52" w:rsidRDefault="00A707BB" w:rsidP="00A707BB">
            <w:pPr>
              <w:spacing w:line="240" w:lineRule="auto"/>
              <w:ind w:left="720" w:right="144"/>
              <w:jc w:val="both"/>
              <w:rPr>
                <w:sz w:val="22"/>
              </w:rPr>
            </w:pPr>
          </w:p>
          <w:p w14:paraId="1F8A85D0" w14:textId="77777777" w:rsidR="00E524EA" w:rsidRPr="00441B52" w:rsidRDefault="00E524EA" w:rsidP="00A707BB">
            <w:pPr>
              <w:spacing w:line="240" w:lineRule="auto"/>
              <w:ind w:left="720" w:right="144"/>
              <w:jc w:val="both"/>
              <w:rPr>
                <w:sz w:val="22"/>
              </w:rPr>
            </w:pPr>
            <w:r w:rsidRPr="00441B52">
              <w:rPr>
                <w:sz w:val="22"/>
              </w:rPr>
              <w:t>« fumer » vise également l’usage d’une cigarette électronique ou de tout autre dispositif de cette nature;</w:t>
            </w:r>
          </w:p>
          <w:p w14:paraId="1E663BC5" w14:textId="77777777" w:rsidR="00A707BB" w:rsidRPr="00441B52" w:rsidRDefault="00A707BB" w:rsidP="00A707BB">
            <w:pPr>
              <w:spacing w:line="240" w:lineRule="auto"/>
              <w:ind w:left="720" w:right="144"/>
              <w:jc w:val="both"/>
              <w:rPr>
                <w:sz w:val="22"/>
              </w:rPr>
            </w:pPr>
          </w:p>
          <w:p w14:paraId="4205AA8B" w14:textId="77777777" w:rsidR="00E524EA" w:rsidRPr="00441B52" w:rsidRDefault="00E524EA" w:rsidP="00A707BB">
            <w:pPr>
              <w:spacing w:line="240" w:lineRule="auto"/>
              <w:ind w:left="720" w:right="144"/>
              <w:jc w:val="both"/>
              <w:rPr>
                <w:sz w:val="22"/>
              </w:rPr>
            </w:pPr>
            <w:r w:rsidRPr="00441B52">
              <w:rPr>
                <w:sz w:val="22"/>
              </w:rPr>
              <w:t>« tabac » comprend également les accessoires suivants : les tubes, papiers et filtres à cigarette, les pipes, y compris leurs composantes, et les fume-cigarettes.</w:t>
            </w:r>
          </w:p>
        </w:tc>
        <w:tc>
          <w:tcPr>
            <w:tcW w:w="4660" w:type="dxa"/>
          </w:tcPr>
          <w:p w14:paraId="6E6C737B" w14:textId="77777777" w:rsidR="00E524EA" w:rsidRPr="00441B52" w:rsidRDefault="00E524EA" w:rsidP="00710FF5">
            <w:pPr>
              <w:spacing w:before="120" w:line="240" w:lineRule="auto"/>
              <w:ind w:left="142" w:right="720"/>
              <w:jc w:val="both"/>
              <w:rPr>
                <w:sz w:val="22"/>
                <w:lang w:val="en-CA"/>
              </w:rPr>
            </w:pPr>
            <w:r w:rsidRPr="00441B52">
              <w:rPr>
                <w:b/>
                <w:bCs/>
                <w:sz w:val="22"/>
                <w:lang w:val="en-CA"/>
              </w:rPr>
              <w:t>1</w:t>
            </w:r>
            <w:r w:rsidRPr="00441B52">
              <w:rPr>
                <w:sz w:val="22"/>
                <w:lang w:val="en-CA"/>
              </w:rPr>
              <w:t>. This Act applies to harvested tobacco in any processed or unprocessed form, however presented. The term “tobacco” includes any product containing tobacco, electronic cigarettes and any other devices of that nature that are put to one’s mouth to inhale any substance that may or may not contain nicotine, including their components and accessories, and any other product or class of product considered to be tobacco under a government regulation.</w:t>
            </w:r>
          </w:p>
          <w:p w14:paraId="5A31066B" w14:textId="77777777" w:rsidR="00A707BB" w:rsidRPr="00441B52" w:rsidRDefault="00A707BB" w:rsidP="00710FF5">
            <w:pPr>
              <w:spacing w:line="240" w:lineRule="auto"/>
              <w:ind w:left="142" w:right="720"/>
              <w:jc w:val="both"/>
              <w:rPr>
                <w:sz w:val="22"/>
                <w:lang w:val="en-CA"/>
              </w:rPr>
            </w:pPr>
          </w:p>
          <w:p w14:paraId="5F75C5CB" w14:textId="77777777" w:rsidR="00E524EA" w:rsidRPr="00441B52" w:rsidRDefault="00E524EA" w:rsidP="00710FF5">
            <w:pPr>
              <w:spacing w:before="240" w:line="240" w:lineRule="auto"/>
              <w:ind w:left="142" w:right="720"/>
              <w:jc w:val="both"/>
              <w:rPr>
                <w:sz w:val="22"/>
                <w:lang w:val="en-CA"/>
              </w:rPr>
            </w:pPr>
            <w:r w:rsidRPr="00441B52">
              <w:rPr>
                <w:sz w:val="22"/>
                <w:lang w:val="en-CA"/>
              </w:rPr>
              <w:t>This Act is binding on the State.</w:t>
            </w:r>
          </w:p>
          <w:p w14:paraId="193F468A" w14:textId="77777777" w:rsidR="00A707BB" w:rsidRPr="00441B52" w:rsidRDefault="00A707BB" w:rsidP="00A707BB">
            <w:pPr>
              <w:spacing w:line="240" w:lineRule="auto"/>
              <w:ind w:left="144" w:right="720"/>
              <w:jc w:val="both"/>
              <w:rPr>
                <w:sz w:val="22"/>
                <w:lang w:val="en-CA"/>
              </w:rPr>
            </w:pPr>
          </w:p>
          <w:p w14:paraId="4B7A16B1" w14:textId="77777777" w:rsidR="00E524EA" w:rsidRPr="00441B52" w:rsidRDefault="00E524EA" w:rsidP="00A707BB">
            <w:pPr>
              <w:spacing w:line="240" w:lineRule="auto"/>
              <w:ind w:left="144" w:right="720"/>
              <w:jc w:val="both"/>
              <w:rPr>
                <w:sz w:val="22"/>
                <w:lang w:val="en-CA"/>
              </w:rPr>
            </w:pPr>
            <w:r w:rsidRPr="00441B52">
              <w:rPr>
                <w:b/>
                <w:bCs/>
                <w:sz w:val="22"/>
                <w:lang w:val="en-CA"/>
              </w:rPr>
              <w:t>1.1.</w:t>
            </w:r>
            <w:r w:rsidRPr="00441B52">
              <w:rPr>
                <w:sz w:val="22"/>
                <w:lang w:val="en-CA"/>
              </w:rPr>
              <w:t> For the purposes of this Act, unless the context indicates otherwise,</w:t>
            </w:r>
          </w:p>
          <w:p w14:paraId="5F1F08AB" w14:textId="77777777" w:rsidR="00A707BB" w:rsidRPr="00441B52" w:rsidRDefault="00A707BB" w:rsidP="00A707BB">
            <w:pPr>
              <w:spacing w:line="240" w:lineRule="auto"/>
              <w:ind w:left="144" w:right="720"/>
              <w:jc w:val="both"/>
              <w:rPr>
                <w:sz w:val="22"/>
                <w:lang w:val="en-CA"/>
              </w:rPr>
            </w:pPr>
          </w:p>
          <w:p w14:paraId="25C56722" w14:textId="77777777" w:rsidR="00E524EA" w:rsidRPr="00441B52" w:rsidRDefault="00E524EA" w:rsidP="00A707BB">
            <w:pPr>
              <w:spacing w:line="240" w:lineRule="auto"/>
              <w:ind w:left="144" w:right="720"/>
              <w:jc w:val="both"/>
              <w:rPr>
                <w:sz w:val="22"/>
                <w:lang w:val="en-CA"/>
              </w:rPr>
            </w:pPr>
            <w:r w:rsidRPr="00441B52">
              <w:rPr>
                <w:sz w:val="22"/>
                <w:lang w:val="en-CA"/>
              </w:rPr>
              <w:t>“smoking” also covers the use of an electronic cigarette or of any other device of that nature;</w:t>
            </w:r>
          </w:p>
          <w:p w14:paraId="5FBB8457" w14:textId="77777777" w:rsidR="00A707BB" w:rsidRPr="00441B52" w:rsidRDefault="00A707BB" w:rsidP="00A707BB">
            <w:pPr>
              <w:spacing w:line="240" w:lineRule="auto"/>
              <w:ind w:left="144" w:right="720"/>
              <w:jc w:val="both"/>
              <w:rPr>
                <w:sz w:val="22"/>
                <w:lang w:val="en-CA"/>
              </w:rPr>
            </w:pPr>
          </w:p>
          <w:p w14:paraId="5629AE05" w14:textId="77777777" w:rsidR="00E524EA" w:rsidRPr="00441B52" w:rsidRDefault="00E524EA" w:rsidP="00A707BB">
            <w:pPr>
              <w:spacing w:line="240" w:lineRule="auto"/>
              <w:ind w:left="144" w:right="720"/>
              <w:jc w:val="both"/>
              <w:rPr>
                <w:sz w:val="22"/>
                <w:lang w:val="en-CA"/>
              </w:rPr>
            </w:pPr>
            <w:r w:rsidRPr="00441B52">
              <w:rPr>
                <w:sz w:val="22"/>
                <w:lang w:val="en-CA"/>
              </w:rPr>
              <w:t>“tobacco” also includes the following accessories: cigarette tubes, rolling paper and filters, pipes, including their components, and cigarette holders.</w:t>
            </w:r>
          </w:p>
          <w:p w14:paraId="313B9A5F" w14:textId="50A3FA16" w:rsidR="00E524EA" w:rsidRPr="00441B52" w:rsidRDefault="00E524EA" w:rsidP="00710FF5">
            <w:pPr>
              <w:tabs>
                <w:tab w:val="num" w:pos="993"/>
              </w:tabs>
              <w:spacing w:before="240" w:after="120" w:line="240" w:lineRule="auto"/>
              <w:ind w:left="85" w:right="720"/>
              <w:jc w:val="right"/>
              <w:rPr>
                <w:sz w:val="22"/>
                <w:lang w:val="en-CA"/>
              </w:rPr>
            </w:pPr>
          </w:p>
        </w:tc>
      </w:tr>
    </w:tbl>
    <w:p w14:paraId="03048C4D" w14:textId="77777777" w:rsidR="00E524EA" w:rsidRPr="00441B52" w:rsidRDefault="00E524EA" w:rsidP="00C514A5">
      <w:pPr>
        <w:numPr>
          <w:ilvl w:val="0"/>
          <w:numId w:val="18"/>
        </w:numPr>
        <w:tabs>
          <w:tab w:val="clear" w:pos="720"/>
          <w:tab w:val="num" w:pos="993"/>
        </w:tabs>
        <w:spacing w:before="120" w:after="120" w:line="240" w:lineRule="auto"/>
        <w:jc w:val="both"/>
        <w:rPr>
          <w:kern w:val="28"/>
        </w:rPr>
      </w:pPr>
      <w:bookmarkStart w:id="30" w:name="_Ref223778469"/>
      <w:r w:rsidRPr="00441B52">
        <w:rPr>
          <w:kern w:val="28"/>
        </w:rPr>
        <w:t xml:space="preserve">Le </w:t>
      </w:r>
      <w:r w:rsidRPr="00441B52">
        <w:rPr>
          <w:i/>
          <w:iCs/>
          <w:kern w:val="28"/>
        </w:rPr>
        <w:t xml:space="preserve">Règlement </w:t>
      </w:r>
      <w:r w:rsidRPr="00441B52">
        <w:rPr>
          <w:kern w:val="28"/>
        </w:rPr>
        <w:t>précise ce champ d’application en réitérant que l’interdiction s’applique également aux produits qui ne contiennent pas de tabac, mais qui sont destinés à être fumés :</w:t>
      </w:r>
      <w:bookmarkEnd w:id="30"/>
    </w:p>
    <w:tbl>
      <w:tblPr>
        <w:tblW w:w="0" w:type="auto"/>
        <w:tblCellMar>
          <w:left w:w="70" w:type="dxa"/>
          <w:right w:w="70" w:type="dxa"/>
        </w:tblCellMar>
        <w:tblLook w:val="0000" w:firstRow="0" w:lastRow="0" w:firstColumn="0" w:lastColumn="0" w:noHBand="0" w:noVBand="0"/>
      </w:tblPr>
      <w:tblGrid>
        <w:gridCol w:w="4681"/>
        <w:gridCol w:w="4681"/>
      </w:tblGrid>
      <w:tr w:rsidR="00E524EA" w:rsidRPr="00C23406" w14:paraId="4F53E99D" w14:textId="77777777" w:rsidTr="00673117">
        <w:tc>
          <w:tcPr>
            <w:tcW w:w="4751" w:type="dxa"/>
          </w:tcPr>
          <w:p w14:paraId="60871121" w14:textId="77777777" w:rsidR="00E524EA" w:rsidRPr="00441B52" w:rsidRDefault="00E524EA" w:rsidP="001A2C66">
            <w:pPr>
              <w:spacing w:line="240" w:lineRule="auto"/>
              <w:ind w:left="720" w:right="144"/>
              <w:jc w:val="both"/>
              <w:rPr>
                <w:sz w:val="22"/>
              </w:rPr>
            </w:pPr>
            <w:r w:rsidRPr="00441B52">
              <w:rPr>
                <w:b/>
                <w:bCs/>
                <w:sz w:val="22"/>
              </w:rPr>
              <w:lastRenderedPageBreak/>
              <w:t>1</w:t>
            </w:r>
            <w:r w:rsidRPr="00441B52">
              <w:rPr>
                <w:sz w:val="22"/>
              </w:rPr>
              <w:t>. Aux fins de la Loi concernant la lutte contre le tabagisme (chapitre L-6.2), est assimilé à du tabac, tout produit qui ne contient pas de tabac et qui est destiné à être fumé.</w:t>
            </w:r>
          </w:p>
          <w:p w14:paraId="38A910CF" w14:textId="77777777" w:rsidR="00E524EA" w:rsidRPr="00441B52" w:rsidRDefault="00E524EA" w:rsidP="001A2C66">
            <w:pPr>
              <w:spacing w:line="240" w:lineRule="auto"/>
              <w:ind w:left="720" w:right="144"/>
              <w:jc w:val="both"/>
              <w:rPr>
                <w:sz w:val="22"/>
              </w:rPr>
            </w:pPr>
          </w:p>
          <w:p w14:paraId="48F69C4E" w14:textId="77777777" w:rsidR="00E524EA" w:rsidRPr="00441B52" w:rsidRDefault="00E524EA" w:rsidP="001A2C66">
            <w:pPr>
              <w:spacing w:line="240" w:lineRule="auto"/>
              <w:ind w:left="720" w:right="144"/>
              <w:jc w:val="both"/>
              <w:rPr>
                <w:sz w:val="22"/>
              </w:rPr>
            </w:pPr>
            <w:r w:rsidRPr="00441B52">
              <w:rPr>
                <w:sz w:val="22"/>
              </w:rPr>
              <w:t>À l’exception des articles 2, 2.1 et 2.2 de la Loi, le premier alinéa ne s’applique pas au cannabis au sens de la Loi encadrant le cannabis (chapitre C-5.3).</w:t>
            </w:r>
          </w:p>
        </w:tc>
        <w:tc>
          <w:tcPr>
            <w:tcW w:w="4751" w:type="dxa"/>
          </w:tcPr>
          <w:p w14:paraId="37D744A3" w14:textId="77777777" w:rsidR="00E524EA" w:rsidRPr="00441B52" w:rsidRDefault="00E524EA" w:rsidP="001A2C66">
            <w:pPr>
              <w:spacing w:line="240" w:lineRule="auto"/>
              <w:ind w:left="144" w:right="720"/>
              <w:jc w:val="both"/>
              <w:rPr>
                <w:sz w:val="22"/>
                <w:lang w:val="en-CA"/>
              </w:rPr>
            </w:pPr>
            <w:r w:rsidRPr="00441B52">
              <w:rPr>
                <w:b/>
                <w:bCs/>
                <w:sz w:val="22"/>
                <w:lang w:val="en-CA"/>
              </w:rPr>
              <w:t>1.</w:t>
            </w:r>
            <w:r w:rsidRPr="00441B52">
              <w:rPr>
                <w:sz w:val="22"/>
                <w:lang w:val="en-CA"/>
              </w:rPr>
              <w:t> For the purposes of the Tobacco Control Act (chapter L-6.2), any product that does not contain tobacco and is intended to be smoked is considered to be tobacco.</w:t>
            </w:r>
          </w:p>
          <w:p w14:paraId="5870F50F" w14:textId="77777777" w:rsidR="00E524EA" w:rsidRPr="00441B52" w:rsidRDefault="00E524EA" w:rsidP="001A2C66">
            <w:pPr>
              <w:spacing w:line="240" w:lineRule="auto"/>
              <w:ind w:left="144" w:right="720"/>
              <w:jc w:val="both"/>
              <w:rPr>
                <w:sz w:val="22"/>
                <w:lang w:val="en-CA"/>
              </w:rPr>
            </w:pPr>
          </w:p>
          <w:p w14:paraId="0076241C" w14:textId="77777777" w:rsidR="00E524EA" w:rsidRPr="00441B52" w:rsidRDefault="00E524EA" w:rsidP="00710FF5">
            <w:pPr>
              <w:spacing w:after="120" w:line="240" w:lineRule="auto"/>
              <w:ind w:left="142" w:right="720"/>
              <w:jc w:val="both"/>
              <w:rPr>
                <w:sz w:val="22"/>
                <w:lang w:val="en-CA"/>
              </w:rPr>
            </w:pPr>
            <w:r w:rsidRPr="00441B52">
              <w:rPr>
                <w:sz w:val="22"/>
                <w:lang w:val="en-CA"/>
              </w:rPr>
              <w:t>Except for sections 2, 2.1 and 2.2 of the Act, the first paragraph does not apply to cannabis within the meaning of the Cannabis Regulation Act (chapter C-5.3).</w:t>
            </w:r>
          </w:p>
        </w:tc>
      </w:tr>
    </w:tbl>
    <w:p w14:paraId="613602A7" w14:textId="661EF935" w:rsidR="00E524EA" w:rsidRPr="00441B52" w:rsidRDefault="00E524EA" w:rsidP="00C514A5">
      <w:pPr>
        <w:numPr>
          <w:ilvl w:val="0"/>
          <w:numId w:val="18"/>
        </w:numPr>
        <w:tabs>
          <w:tab w:val="clear" w:pos="720"/>
          <w:tab w:val="num" w:pos="993"/>
        </w:tabs>
        <w:spacing w:before="120" w:after="120" w:line="240" w:lineRule="auto"/>
        <w:jc w:val="both"/>
        <w:rPr>
          <w:kern w:val="28"/>
        </w:rPr>
      </w:pPr>
      <w:r w:rsidRPr="00441B52">
        <w:rPr>
          <w:kern w:val="28"/>
        </w:rPr>
        <w:t>Ainsi, la législation interdit de fumer toute substance, qu’elle contienne ou non de la nicotine, au moyen d’un dispositif que l’on porte à sa bouche pour inhaler, dans un lieu fermé où se déroulent des activités culturelles ou artistiques. Outre la cigarette traditionnelle de tabac, l’interdiction de fumer dans les lieux fermés vise également les cigarettes électroniques, même lorsqu’elles sont sans nicotine et qu’elles émettent une fumée secondaire inodore</w:t>
      </w:r>
      <w:r w:rsidR="00697C06" w:rsidRPr="00441B52">
        <w:rPr>
          <w:kern w:val="28"/>
        </w:rPr>
        <w:t>,</w:t>
      </w:r>
      <w:r w:rsidRPr="00441B52">
        <w:rPr>
          <w:kern w:val="28"/>
        </w:rPr>
        <w:t xml:space="preserve"> </w:t>
      </w:r>
      <w:r w:rsidR="00697C06" w:rsidRPr="00441B52">
        <w:rPr>
          <w:kern w:val="28"/>
        </w:rPr>
        <w:t>d</w:t>
      </w:r>
      <w:r w:rsidRPr="00441B52">
        <w:rPr>
          <w:kern w:val="28"/>
        </w:rPr>
        <w:t>e même</w:t>
      </w:r>
      <w:r w:rsidR="00697C06" w:rsidRPr="00441B52">
        <w:rPr>
          <w:kern w:val="28"/>
        </w:rPr>
        <w:t xml:space="preserve"> que</w:t>
      </w:r>
      <w:r w:rsidRPr="00441B52">
        <w:rPr>
          <w:kern w:val="28"/>
        </w:rPr>
        <w:t xml:space="preserve"> les cigarettes aux herbes, fréquemment utilisées au théâtre. Celles-ci sont similaires aux cigarettes traditionnelles de tabac, mais ne contiennent pas de nicotine causant la dépendance. Elles sont néanmoins tout aussi nocives pour la santé de celui qui les fume et de ceux qui en inhalent la fumée secondaire, selon la preuve non contredite déposée par le PGQ</w:t>
      </w:r>
      <w:r w:rsidRPr="00441B52">
        <w:rPr>
          <w:kern w:val="28"/>
          <w:vertAlign w:val="superscript"/>
        </w:rPr>
        <w:footnoteReference w:id="16"/>
      </w:r>
      <w:r w:rsidRPr="00441B52">
        <w:rPr>
          <w:kern w:val="28"/>
        </w:rPr>
        <w:t xml:space="preserve">. Seules les fausses cigarettes, qui ne peuvent pas être allumées et n’émettent pas de fumée inhalable, respectent la législation. Il n’existe aucune exception pour des représentations artistiques de quelque nature que ce soit. </w:t>
      </w:r>
    </w:p>
    <w:p w14:paraId="7010A51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Enfin, l’article 11 de la </w:t>
      </w:r>
      <w:r w:rsidRPr="00441B52">
        <w:rPr>
          <w:i/>
          <w:iCs/>
          <w:kern w:val="28"/>
        </w:rPr>
        <w:t>Loi</w:t>
      </w:r>
      <w:r w:rsidRPr="00441B52">
        <w:rPr>
          <w:kern w:val="28"/>
        </w:rPr>
        <w:t xml:space="preserve"> prévoit, d’une part, qu’un exploitant d’un lieu fermé accessible au public, ne doit pas tolérer qu’une personne y fume et, d’autre part, que sa responsabilité est présumée, à moins d’une preuve de diligence :</w:t>
      </w:r>
    </w:p>
    <w:tbl>
      <w:tblPr>
        <w:tblW w:w="0" w:type="auto"/>
        <w:tblCellMar>
          <w:left w:w="70" w:type="dxa"/>
          <w:right w:w="70" w:type="dxa"/>
        </w:tblCellMar>
        <w:tblLook w:val="0000" w:firstRow="0" w:lastRow="0" w:firstColumn="0" w:lastColumn="0" w:noHBand="0" w:noVBand="0"/>
      </w:tblPr>
      <w:tblGrid>
        <w:gridCol w:w="4685"/>
        <w:gridCol w:w="4677"/>
      </w:tblGrid>
      <w:tr w:rsidR="00E524EA" w:rsidRPr="00C23406" w14:paraId="464AF1D5" w14:textId="77777777" w:rsidTr="00673117">
        <w:tc>
          <w:tcPr>
            <w:tcW w:w="4751" w:type="dxa"/>
          </w:tcPr>
          <w:p w14:paraId="49998CAA" w14:textId="77777777" w:rsidR="00E524EA" w:rsidRPr="00441B52" w:rsidRDefault="00E524EA" w:rsidP="00710FF5">
            <w:pPr>
              <w:spacing w:line="240" w:lineRule="auto"/>
              <w:ind w:left="720" w:right="144"/>
              <w:jc w:val="both"/>
              <w:rPr>
                <w:sz w:val="22"/>
              </w:rPr>
            </w:pPr>
            <w:r w:rsidRPr="00441B52">
              <w:rPr>
                <w:b/>
                <w:bCs/>
                <w:sz w:val="22"/>
              </w:rPr>
              <w:t>11.</w:t>
            </w:r>
            <w:r w:rsidRPr="00441B52">
              <w:rPr>
                <w:sz w:val="22"/>
              </w:rPr>
              <w:t> L’exploitant d’un lieu ou d’un commerce visé au présent chapitre ou à un règlement pris en application du troisième alinéa de l’article 2.1 ne doit pas tolérer qu’une personne fume dans un endroit où il est interdit de le faire.</w:t>
            </w:r>
          </w:p>
          <w:p w14:paraId="22B6299B" w14:textId="77777777" w:rsidR="00E524EA" w:rsidRPr="00441B52" w:rsidRDefault="00E524EA" w:rsidP="00710FF5">
            <w:pPr>
              <w:spacing w:line="240" w:lineRule="auto"/>
              <w:ind w:left="720" w:right="144"/>
              <w:jc w:val="both"/>
              <w:rPr>
                <w:sz w:val="22"/>
              </w:rPr>
            </w:pPr>
          </w:p>
          <w:p w14:paraId="4166DC9A" w14:textId="77777777" w:rsidR="00E524EA" w:rsidRPr="00441B52" w:rsidRDefault="00E524EA" w:rsidP="00710FF5">
            <w:pPr>
              <w:spacing w:line="240" w:lineRule="auto"/>
              <w:ind w:left="720" w:right="144"/>
              <w:jc w:val="both"/>
              <w:rPr>
                <w:sz w:val="22"/>
              </w:rPr>
            </w:pPr>
            <w:r w:rsidRPr="00441B52">
              <w:rPr>
                <w:sz w:val="22"/>
              </w:rPr>
              <w:t xml:space="preserve">Dans une poursuite pénale intentée pour une infraction au premier alinéa, la preuve qu’une personne a fumé dans un endroit où il est interdit de le faire suffit à établir que l’exploitant du lieu ou du commerce a toléré qu’une personne fume dans cet endroit, à </w:t>
            </w:r>
            <w:r w:rsidRPr="00441B52">
              <w:rPr>
                <w:sz w:val="22"/>
              </w:rPr>
              <w:lastRenderedPageBreak/>
              <w:t>moins qu’il n’établisse qu’il a fait preuve de diligence raisonnable en prenant toutes les précautions nécessaires pour en prévenir la perpétration notamment la présence d’affiches clairement visibles stipulant l’interdiction de fumer et l’absence de cendriers.</w:t>
            </w:r>
          </w:p>
        </w:tc>
        <w:tc>
          <w:tcPr>
            <w:tcW w:w="4751" w:type="dxa"/>
          </w:tcPr>
          <w:p w14:paraId="2229C9C0" w14:textId="77777777" w:rsidR="00E524EA" w:rsidRPr="00441B52" w:rsidRDefault="00E524EA" w:rsidP="00710FF5">
            <w:pPr>
              <w:spacing w:line="240" w:lineRule="auto"/>
              <w:ind w:left="144" w:right="720"/>
              <w:jc w:val="both"/>
              <w:rPr>
                <w:sz w:val="22"/>
                <w:lang w:val="en-CA"/>
              </w:rPr>
            </w:pPr>
            <w:r w:rsidRPr="00441B52">
              <w:rPr>
                <w:b/>
                <w:bCs/>
                <w:sz w:val="22"/>
                <w:lang w:val="en-CA"/>
              </w:rPr>
              <w:lastRenderedPageBreak/>
              <w:t>11.</w:t>
            </w:r>
            <w:r w:rsidRPr="00441B52">
              <w:rPr>
                <w:sz w:val="22"/>
                <w:lang w:val="en-CA"/>
              </w:rPr>
              <w:t> The operator of a place or business to which this chapter or a regulation made under the third paragraph of section 2.1 applies shall not tolerate smoking in an area where smoking is prohibited.</w:t>
            </w:r>
          </w:p>
          <w:p w14:paraId="382DA15E" w14:textId="77777777" w:rsidR="00E524EA" w:rsidRPr="00441B52" w:rsidRDefault="00E524EA" w:rsidP="00710FF5">
            <w:pPr>
              <w:spacing w:line="240" w:lineRule="auto"/>
              <w:ind w:left="144" w:right="720"/>
              <w:jc w:val="both"/>
              <w:rPr>
                <w:sz w:val="22"/>
                <w:lang w:val="en-CA"/>
              </w:rPr>
            </w:pPr>
          </w:p>
          <w:p w14:paraId="49946C17" w14:textId="77777777" w:rsidR="00E524EA" w:rsidRPr="00441B52" w:rsidRDefault="00E524EA" w:rsidP="00710FF5">
            <w:pPr>
              <w:spacing w:line="240" w:lineRule="auto"/>
              <w:ind w:left="144" w:right="720"/>
              <w:jc w:val="both"/>
              <w:rPr>
                <w:sz w:val="22"/>
                <w:lang w:val="en-CA"/>
              </w:rPr>
            </w:pPr>
          </w:p>
          <w:p w14:paraId="5E037922" w14:textId="77777777" w:rsidR="00E524EA" w:rsidRPr="00441B52" w:rsidRDefault="00E524EA" w:rsidP="00710FF5">
            <w:pPr>
              <w:spacing w:line="240" w:lineRule="auto"/>
              <w:ind w:left="144" w:right="720"/>
              <w:jc w:val="both"/>
              <w:rPr>
                <w:sz w:val="22"/>
                <w:lang w:val="en-CA"/>
              </w:rPr>
            </w:pPr>
            <w:r w:rsidRPr="00441B52">
              <w:rPr>
                <w:sz w:val="22"/>
                <w:lang w:val="en-CA"/>
              </w:rPr>
              <w:t xml:space="preserve">In penal proceedings for an offence under the first paragraph, proof that a person smoked in an area where smoking is prohibited is sufficient to establish that the operator of the place or business tolerated a person smoking in that area unless it is </w:t>
            </w:r>
            <w:r w:rsidRPr="00441B52">
              <w:rPr>
                <w:sz w:val="22"/>
                <w:lang w:val="en-CA"/>
              </w:rPr>
              <w:lastRenderedPageBreak/>
              <w:t>established that the operator exercised due diligence and took all necessary precautions to prevent its commission, in particular, by posting clearly visible notices stipulating that smoking is prohibited and by having no ashtrays.</w:t>
            </w:r>
          </w:p>
        </w:tc>
      </w:tr>
    </w:tbl>
    <w:p w14:paraId="442C421C" w14:textId="77777777" w:rsidR="00E524EA" w:rsidRPr="00441B52" w:rsidRDefault="00E524EA" w:rsidP="00E524EA">
      <w:pPr>
        <w:keepNext/>
        <w:numPr>
          <w:ilvl w:val="0"/>
          <w:numId w:val="21"/>
        </w:numPr>
        <w:tabs>
          <w:tab w:val="num" w:pos="993"/>
        </w:tabs>
        <w:spacing w:before="120" w:after="120" w:line="240" w:lineRule="auto"/>
        <w:outlineLvl w:val="2"/>
        <w:rPr>
          <w:b/>
          <w:bCs/>
        </w:rPr>
      </w:pPr>
      <w:r w:rsidRPr="00441B52">
        <w:rPr>
          <w:b/>
          <w:bCs/>
        </w:rPr>
        <w:lastRenderedPageBreak/>
        <w:t>Principes applicables</w:t>
      </w:r>
    </w:p>
    <w:p w14:paraId="70F0FBD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La liberté d’expression est garantie par l’alinéa 2</w:t>
      </w:r>
      <w:r w:rsidRPr="00441B52">
        <w:rPr>
          <w:i/>
          <w:kern w:val="28"/>
        </w:rPr>
        <w:t>b</w:t>
      </w:r>
      <w:r w:rsidRPr="00441B52">
        <w:rPr>
          <w:kern w:val="28"/>
        </w:rPr>
        <w:t xml:space="preserve">) de la </w:t>
      </w:r>
      <w:r w:rsidRPr="00441B52">
        <w:rPr>
          <w:i/>
          <w:kern w:val="28"/>
        </w:rPr>
        <w:t xml:space="preserve">Charte canadienne </w:t>
      </w:r>
      <w:r w:rsidRPr="00441B52">
        <w:rPr>
          <w:kern w:val="28"/>
        </w:rPr>
        <w:t xml:space="preserve">ainsi que par l’article 3 de la </w:t>
      </w:r>
      <w:r w:rsidRPr="00441B52">
        <w:rPr>
          <w:i/>
          <w:kern w:val="28"/>
        </w:rPr>
        <w:t>Charte des droits et libertés de la personne</w:t>
      </w:r>
      <w:r w:rsidRPr="00441B52">
        <w:rPr>
          <w:rFonts w:cs="Arial"/>
          <w:kern w:val="28"/>
          <w:vertAlign w:val="superscript"/>
        </w:rPr>
        <w:footnoteReference w:id="17"/>
      </w:r>
      <w:r w:rsidRPr="00441B52">
        <w:rPr>
          <w:kern w:val="28"/>
        </w:rPr>
        <w:t xml:space="preserve"> (« </w:t>
      </w:r>
      <w:r w:rsidRPr="00441B52">
        <w:rPr>
          <w:b/>
          <w:bCs/>
          <w:i/>
          <w:kern w:val="28"/>
        </w:rPr>
        <w:t>Charte québécoise</w:t>
      </w:r>
      <w:r w:rsidRPr="00441B52">
        <w:rPr>
          <w:kern w:val="28"/>
        </w:rPr>
        <w:t xml:space="preserve"> »), lesquels édictent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80"/>
      </w:tblGrid>
      <w:tr w:rsidR="00E524EA" w:rsidRPr="00C23406" w14:paraId="40519715" w14:textId="77777777" w:rsidTr="00673117">
        <w:tc>
          <w:tcPr>
            <w:tcW w:w="4681" w:type="dxa"/>
          </w:tcPr>
          <w:p w14:paraId="67F98459" w14:textId="77777777" w:rsidR="00E524EA" w:rsidRPr="00441B52" w:rsidRDefault="00E524EA" w:rsidP="001A2C66">
            <w:pPr>
              <w:spacing w:line="240" w:lineRule="auto"/>
              <w:ind w:left="720" w:right="144"/>
              <w:jc w:val="both"/>
              <w:rPr>
                <w:b/>
                <w:bCs/>
                <w:sz w:val="22"/>
              </w:rPr>
            </w:pPr>
            <w:r w:rsidRPr="00441B52">
              <w:rPr>
                <w:b/>
                <w:bCs/>
                <w:sz w:val="22"/>
              </w:rPr>
              <w:t>Charte canadienne</w:t>
            </w:r>
          </w:p>
          <w:p w14:paraId="6A573B3F" w14:textId="77777777" w:rsidR="00E524EA" w:rsidRPr="00441B52" w:rsidRDefault="00E524EA" w:rsidP="001A2C66">
            <w:pPr>
              <w:spacing w:line="240" w:lineRule="auto"/>
              <w:ind w:left="720" w:right="144"/>
              <w:jc w:val="both"/>
              <w:rPr>
                <w:sz w:val="22"/>
              </w:rPr>
            </w:pPr>
          </w:p>
          <w:p w14:paraId="2F88D5D3" w14:textId="77777777" w:rsidR="00E524EA" w:rsidRPr="00441B52" w:rsidRDefault="00E524EA" w:rsidP="001A2C66">
            <w:pPr>
              <w:spacing w:line="240" w:lineRule="auto"/>
              <w:ind w:left="720" w:right="144"/>
              <w:jc w:val="both"/>
              <w:rPr>
                <w:sz w:val="22"/>
              </w:rPr>
            </w:pPr>
            <w:r w:rsidRPr="00441B52">
              <w:rPr>
                <w:b/>
                <w:bCs/>
                <w:sz w:val="22"/>
              </w:rPr>
              <w:t>2.</w:t>
            </w:r>
            <w:r w:rsidRPr="00441B52">
              <w:rPr>
                <w:sz w:val="22"/>
              </w:rPr>
              <w:t xml:space="preserve"> Chacun a les libertés fondamentales suivantes :</w:t>
            </w:r>
          </w:p>
          <w:p w14:paraId="2F7FD5BF" w14:textId="77777777" w:rsidR="00E524EA" w:rsidRPr="00441B52" w:rsidRDefault="00E524EA" w:rsidP="001A2C66">
            <w:pPr>
              <w:spacing w:line="240" w:lineRule="auto"/>
              <w:ind w:left="720" w:right="144"/>
              <w:jc w:val="both"/>
              <w:rPr>
                <w:sz w:val="22"/>
              </w:rPr>
            </w:pPr>
            <w:r w:rsidRPr="00441B52">
              <w:rPr>
                <w:sz w:val="22"/>
              </w:rPr>
              <w:t>[…]</w:t>
            </w:r>
          </w:p>
          <w:p w14:paraId="5637CEE9" w14:textId="77777777" w:rsidR="00E524EA" w:rsidRPr="00441B52" w:rsidRDefault="00E524EA" w:rsidP="001A2C66">
            <w:pPr>
              <w:spacing w:line="240" w:lineRule="auto"/>
              <w:ind w:left="720" w:right="144"/>
              <w:jc w:val="both"/>
              <w:rPr>
                <w:sz w:val="22"/>
              </w:rPr>
            </w:pPr>
          </w:p>
          <w:p w14:paraId="3609A845" w14:textId="77777777" w:rsidR="00E524EA" w:rsidRPr="00441B52" w:rsidRDefault="00E524EA" w:rsidP="001A2C66">
            <w:pPr>
              <w:spacing w:line="240" w:lineRule="auto"/>
              <w:ind w:left="720" w:right="144"/>
              <w:jc w:val="both"/>
              <w:rPr>
                <w:sz w:val="22"/>
              </w:rPr>
            </w:pPr>
            <w:r w:rsidRPr="00441B52">
              <w:rPr>
                <w:sz w:val="22"/>
              </w:rPr>
              <w:t xml:space="preserve">b) </w:t>
            </w:r>
            <w:r w:rsidRPr="00441B52">
              <w:rPr>
                <w:sz w:val="22"/>
                <w:u w:val="single"/>
              </w:rPr>
              <w:t>liberté</w:t>
            </w:r>
            <w:r w:rsidRPr="00441B52">
              <w:rPr>
                <w:sz w:val="22"/>
              </w:rPr>
              <w:t xml:space="preserve"> de pensée, de croyance, d’opinion et </w:t>
            </w:r>
            <w:r w:rsidRPr="00441B52">
              <w:rPr>
                <w:sz w:val="22"/>
                <w:u w:val="single"/>
              </w:rPr>
              <w:t>d’expression</w:t>
            </w:r>
            <w:r w:rsidRPr="00441B52">
              <w:rPr>
                <w:sz w:val="22"/>
              </w:rPr>
              <w:t>, y compris la liberté de la presse et des autres moyens de communication;</w:t>
            </w:r>
          </w:p>
          <w:p w14:paraId="2B8940ED" w14:textId="77777777" w:rsidR="00E524EA" w:rsidRPr="00441B52" w:rsidRDefault="00E524EA" w:rsidP="001A2C66">
            <w:pPr>
              <w:spacing w:line="240" w:lineRule="auto"/>
              <w:ind w:left="720" w:right="144"/>
              <w:rPr>
                <w:sz w:val="22"/>
              </w:rPr>
            </w:pPr>
          </w:p>
        </w:tc>
        <w:tc>
          <w:tcPr>
            <w:tcW w:w="4681" w:type="dxa"/>
          </w:tcPr>
          <w:p w14:paraId="4B8C801D" w14:textId="77777777" w:rsidR="00E524EA" w:rsidRPr="00441B52" w:rsidRDefault="00E524EA" w:rsidP="001A2C66">
            <w:pPr>
              <w:spacing w:line="240" w:lineRule="auto"/>
              <w:ind w:left="144" w:right="720"/>
              <w:jc w:val="both"/>
              <w:rPr>
                <w:b/>
                <w:bCs/>
                <w:sz w:val="22"/>
                <w:lang w:val="en-CA"/>
              </w:rPr>
            </w:pPr>
            <w:r w:rsidRPr="00441B52">
              <w:rPr>
                <w:b/>
                <w:bCs/>
                <w:sz w:val="22"/>
                <w:lang w:val="en-CA"/>
              </w:rPr>
              <w:t>Canadian Charter</w:t>
            </w:r>
          </w:p>
          <w:p w14:paraId="681BC554" w14:textId="77777777" w:rsidR="00E524EA" w:rsidRPr="00441B52" w:rsidRDefault="00E524EA" w:rsidP="001A2C66">
            <w:pPr>
              <w:spacing w:line="240" w:lineRule="auto"/>
              <w:ind w:left="144" w:right="720"/>
              <w:jc w:val="both"/>
              <w:rPr>
                <w:sz w:val="22"/>
                <w:lang w:val="en-CA"/>
              </w:rPr>
            </w:pPr>
          </w:p>
          <w:p w14:paraId="0C6E1DD5" w14:textId="77777777" w:rsidR="00E524EA" w:rsidRPr="00441B52" w:rsidRDefault="00E524EA" w:rsidP="001A2C66">
            <w:pPr>
              <w:spacing w:line="240" w:lineRule="auto"/>
              <w:ind w:left="144" w:right="720"/>
              <w:jc w:val="both"/>
              <w:rPr>
                <w:sz w:val="22"/>
                <w:lang w:val="en-CA"/>
              </w:rPr>
            </w:pPr>
            <w:r w:rsidRPr="00441B52">
              <w:rPr>
                <w:b/>
                <w:bCs/>
                <w:sz w:val="22"/>
                <w:lang w:val="en-CA"/>
              </w:rPr>
              <w:t>2.</w:t>
            </w:r>
            <w:r w:rsidRPr="00441B52">
              <w:rPr>
                <w:sz w:val="22"/>
                <w:lang w:val="en-CA"/>
              </w:rPr>
              <w:t xml:space="preserve"> Everyone has the following fundamental freedoms:</w:t>
            </w:r>
          </w:p>
          <w:p w14:paraId="777B2095" w14:textId="77777777" w:rsidR="00E524EA" w:rsidRPr="00441B52" w:rsidRDefault="00E524EA" w:rsidP="001A2C66">
            <w:pPr>
              <w:spacing w:line="240" w:lineRule="auto"/>
              <w:ind w:left="144" w:right="720"/>
              <w:jc w:val="both"/>
              <w:rPr>
                <w:sz w:val="22"/>
                <w:lang w:val="en-CA"/>
              </w:rPr>
            </w:pPr>
            <w:r w:rsidRPr="00441B52">
              <w:rPr>
                <w:sz w:val="22"/>
                <w:lang w:val="en-CA"/>
              </w:rPr>
              <w:t>[…]</w:t>
            </w:r>
          </w:p>
          <w:p w14:paraId="499DFAC6" w14:textId="77777777" w:rsidR="00E524EA" w:rsidRPr="00441B52" w:rsidRDefault="00E524EA" w:rsidP="001A2C66">
            <w:pPr>
              <w:spacing w:line="240" w:lineRule="auto"/>
              <w:ind w:left="144" w:right="720"/>
              <w:jc w:val="both"/>
              <w:rPr>
                <w:sz w:val="22"/>
                <w:lang w:val="en-CA"/>
              </w:rPr>
            </w:pPr>
          </w:p>
          <w:p w14:paraId="4CAA6781" w14:textId="77777777" w:rsidR="00E524EA" w:rsidRPr="00441B52" w:rsidRDefault="00E524EA" w:rsidP="001A2C66">
            <w:pPr>
              <w:spacing w:line="240" w:lineRule="auto"/>
              <w:ind w:left="144" w:right="720"/>
              <w:jc w:val="both"/>
              <w:rPr>
                <w:sz w:val="22"/>
                <w:lang w:val="en-CA"/>
              </w:rPr>
            </w:pPr>
            <w:r w:rsidRPr="00441B52">
              <w:rPr>
                <w:sz w:val="22"/>
                <w:lang w:val="en-CA"/>
              </w:rPr>
              <w:t xml:space="preserve">(b) </w:t>
            </w:r>
            <w:r w:rsidRPr="00441B52">
              <w:rPr>
                <w:sz w:val="22"/>
                <w:u w:val="single"/>
                <w:lang w:val="en-CA"/>
              </w:rPr>
              <w:t>freedom</w:t>
            </w:r>
            <w:r w:rsidRPr="00441B52">
              <w:rPr>
                <w:sz w:val="22"/>
                <w:lang w:val="en-CA"/>
              </w:rPr>
              <w:t xml:space="preserve"> of thought, belief, opinion and </w:t>
            </w:r>
            <w:r w:rsidRPr="00441B52">
              <w:rPr>
                <w:sz w:val="22"/>
                <w:u w:val="single"/>
                <w:lang w:val="en-CA"/>
              </w:rPr>
              <w:t>expression</w:t>
            </w:r>
            <w:r w:rsidRPr="00441B52">
              <w:rPr>
                <w:sz w:val="22"/>
                <w:lang w:val="en-CA"/>
              </w:rPr>
              <w:t>, including freedom of the press and other media of communication;</w:t>
            </w:r>
          </w:p>
        </w:tc>
      </w:tr>
      <w:tr w:rsidR="00E524EA" w:rsidRPr="00441B52" w14:paraId="4CB7B7EF" w14:textId="77777777" w:rsidTr="00673117">
        <w:tc>
          <w:tcPr>
            <w:tcW w:w="4683" w:type="dxa"/>
          </w:tcPr>
          <w:p w14:paraId="151DC498" w14:textId="77777777" w:rsidR="00E524EA" w:rsidRPr="00441B52" w:rsidRDefault="00E524EA" w:rsidP="001A2C66">
            <w:pPr>
              <w:spacing w:line="240" w:lineRule="auto"/>
              <w:ind w:left="720" w:right="144"/>
              <w:jc w:val="both"/>
              <w:rPr>
                <w:b/>
                <w:bCs/>
                <w:sz w:val="22"/>
              </w:rPr>
            </w:pPr>
            <w:r w:rsidRPr="00441B52">
              <w:rPr>
                <w:b/>
                <w:bCs/>
                <w:sz w:val="22"/>
              </w:rPr>
              <w:t>Charte québécoise</w:t>
            </w:r>
          </w:p>
          <w:p w14:paraId="320BA508" w14:textId="77777777" w:rsidR="00E524EA" w:rsidRPr="00441B52" w:rsidRDefault="00E524EA" w:rsidP="001A2C66">
            <w:pPr>
              <w:spacing w:line="240" w:lineRule="auto"/>
              <w:ind w:left="720" w:right="144"/>
              <w:jc w:val="both"/>
              <w:rPr>
                <w:sz w:val="22"/>
              </w:rPr>
            </w:pPr>
          </w:p>
          <w:p w14:paraId="03C6E506" w14:textId="77777777" w:rsidR="00E524EA" w:rsidRPr="00441B52" w:rsidRDefault="00E524EA" w:rsidP="001A2C66">
            <w:pPr>
              <w:spacing w:line="240" w:lineRule="auto"/>
              <w:ind w:left="720" w:right="144"/>
              <w:jc w:val="both"/>
              <w:rPr>
                <w:sz w:val="22"/>
              </w:rPr>
            </w:pPr>
            <w:r w:rsidRPr="00441B52">
              <w:rPr>
                <w:b/>
                <w:bCs/>
                <w:sz w:val="22"/>
              </w:rPr>
              <w:t>3.</w:t>
            </w:r>
            <w:r w:rsidRPr="00441B52">
              <w:rPr>
                <w:sz w:val="22"/>
              </w:rPr>
              <w:t xml:space="preserve"> Toute personne est titulaire des libertés fondamentales telles la liberté de conscience, la liberté de religion, la liberté d’opinion, </w:t>
            </w:r>
            <w:r w:rsidRPr="00441B52">
              <w:rPr>
                <w:sz w:val="22"/>
                <w:u w:val="single"/>
              </w:rPr>
              <w:t>la liberté d’expression</w:t>
            </w:r>
            <w:r w:rsidRPr="00441B52">
              <w:rPr>
                <w:sz w:val="22"/>
              </w:rPr>
              <w:t>, la liberté de réunion pacifique et la liberté d’association.</w:t>
            </w:r>
          </w:p>
        </w:tc>
        <w:tc>
          <w:tcPr>
            <w:tcW w:w="4679" w:type="dxa"/>
          </w:tcPr>
          <w:p w14:paraId="004CC4BE" w14:textId="77777777" w:rsidR="00E524EA" w:rsidRPr="00441B52" w:rsidRDefault="00E524EA" w:rsidP="001A2C66">
            <w:pPr>
              <w:spacing w:line="240" w:lineRule="auto"/>
              <w:ind w:left="144" w:right="720"/>
              <w:jc w:val="both"/>
              <w:rPr>
                <w:b/>
                <w:bCs/>
                <w:sz w:val="22"/>
                <w:lang w:val="en-CA"/>
              </w:rPr>
            </w:pPr>
            <w:r w:rsidRPr="00441B52">
              <w:rPr>
                <w:b/>
                <w:bCs/>
                <w:sz w:val="22"/>
                <w:lang w:val="en-CA"/>
              </w:rPr>
              <w:t>Quebec Charter</w:t>
            </w:r>
          </w:p>
          <w:p w14:paraId="1C244AEC" w14:textId="77777777" w:rsidR="00E524EA" w:rsidRPr="00441B52" w:rsidRDefault="00E524EA" w:rsidP="001A2C66">
            <w:pPr>
              <w:spacing w:line="240" w:lineRule="auto"/>
              <w:ind w:left="144" w:right="720"/>
              <w:jc w:val="both"/>
              <w:rPr>
                <w:sz w:val="22"/>
                <w:lang w:val="en-CA"/>
              </w:rPr>
            </w:pPr>
          </w:p>
          <w:p w14:paraId="375B056C" w14:textId="77777777" w:rsidR="00E524EA" w:rsidRPr="00441B52" w:rsidRDefault="00E524EA" w:rsidP="001A2C66">
            <w:pPr>
              <w:spacing w:line="240" w:lineRule="auto"/>
              <w:ind w:left="144" w:right="720"/>
              <w:jc w:val="both"/>
              <w:rPr>
                <w:sz w:val="22"/>
                <w:lang w:val="en-CA"/>
              </w:rPr>
            </w:pPr>
            <w:r w:rsidRPr="00441B52">
              <w:rPr>
                <w:b/>
                <w:bCs/>
                <w:sz w:val="22"/>
                <w:lang w:val="en-CA"/>
              </w:rPr>
              <w:t>3.</w:t>
            </w:r>
            <w:r w:rsidRPr="00441B52">
              <w:rPr>
                <w:sz w:val="22"/>
                <w:lang w:val="en-CA"/>
              </w:rPr>
              <w:t xml:space="preserve"> Every person is the possessor of the fundamental freedoms, including freedom of conscience, freedom of religion, freedom of opinion, </w:t>
            </w:r>
            <w:r w:rsidRPr="00441B52">
              <w:rPr>
                <w:sz w:val="22"/>
                <w:u w:val="single"/>
                <w:lang w:val="en-CA"/>
              </w:rPr>
              <w:t>freedom of expression</w:t>
            </w:r>
            <w:r w:rsidRPr="00441B52">
              <w:rPr>
                <w:sz w:val="22"/>
                <w:lang w:val="en-CA"/>
              </w:rPr>
              <w:t>, freedom of peaceful assembly and freedom of association.</w:t>
            </w:r>
          </w:p>
          <w:p w14:paraId="39EBBF40" w14:textId="77777777" w:rsidR="00E524EA" w:rsidRPr="00441B52" w:rsidRDefault="00E524EA" w:rsidP="001A2C66">
            <w:pPr>
              <w:spacing w:line="240" w:lineRule="auto"/>
              <w:ind w:left="144" w:right="720"/>
              <w:jc w:val="both"/>
              <w:rPr>
                <w:sz w:val="22"/>
                <w:lang w:val="en-CA"/>
              </w:rPr>
            </w:pPr>
          </w:p>
          <w:p w14:paraId="2414CAE0" w14:textId="77777777" w:rsidR="00E524EA" w:rsidRPr="00441B52" w:rsidRDefault="00E524EA" w:rsidP="001A2C66">
            <w:pPr>
              <w:spacing w:line="240" w:lineRule="auto"/>
              <w:ind w:left="144" w:right="720"/>
              <w:jc w:val="right"/>
              <w:rPr>
                <w:sz w:val="22"/>
                <w:lang w:val="en-CA"/>
              </w:rPr>
            </w:pPr>
            <w:r w:rsidRPr="00441B52">
              <w:rPr>
                <w:sz w:val="22"/>
                <w:lang w:val="en-CA"/>
              </w:rPr>
              <w:t>[Soulignements ajoutés]</w:t>
            </w:r>
          </w:p>
        </w:tc>
      </w:tr>
    </w:tbl>
    <w:p w14:paraId="3F182D6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Ces deux dispositions « s’analysent, en pratique, de façon identique »</w:t>
      </w:r>
      <w:r w:rsidRPr="00441B52">
        <w:rPr>
          <w:kern w:val="28"/>
          <w:vertAlign w:val="superscript"/>
        </w:rPr>
        <w:footnoteReference w:id="18"/>
      </w:r>
      <w:r w:rsidRPr="00441B52">
        <w:rPr>
          <w:kern w:val="28"/>
        </w:rPr>
        <w:t>. La liberté d’expression, à l’instar des autres droits et libertés protégés par les chartes, reçoit une interprétation large et généreuse</w:t>
      </w:r>
      <w:r w:rsidRPr="00441B52">
        <w:rPr>
          <w:kern w:val="28"/>
          <w:vertAlign w:val="superscript"/>
        </w:rPr>
        <w:footnoteReference w:id="19"/>
      </w:r>
      <w:r w:rsidRPr="00441B52">
        <w:rPr>
          <w:kern w:val="28"/>
        </w:rPr>
        <w:t xml:space="preserve">. En outre, une importante jurisprudence reconnaît </w:t>
      </w:r>
      <w:r w:rsidRPr="00441B52">
        <w:rPr>
          <w:kern w:val="28"/>
        </w:rPr>
        <w:lastRenderedPageBreak/>
        <w:t>le caractère fondamental de cette liberté dans une société libre et démocratique, considérant la valeur accordée à la diversité des opinions et des idées, autant pour les individus que la collectivité</w:t>
      </w:r>
      <w:r w:rsidRPr="00441B52">
        <w:rPr>
          <w:kern w:val="28"/>
          <w:vertAlign w:val="superscript"/>
        </w:rPr>
        <w:footnoteReference w:id="20"/>
      </w:r>
      <w:r w:rsidRPr="00441B52">
        <w:rPr>
          <w:kern w:val="28"/>
        </w:rPr>
        <w:t xml:space="preserve">. Comme le soulignait la majorité de la Cour suprême dès l’arrêt </w:t>
      </w:r>
      <w:r w:rsidRPr="00441B52">
        <w:rPr>
          <w:i/>
          <w:iCs/>
          <w:kern w:val="28"/>
        </w:rPr>
        <w:t>Irwin Toy </w:t>
      </w:r>
      <w:r w:rsidRPr="00441B52">
        <w:rPr>
          <w:kern w:val="28"/>
        </w:rPr>
        <w:t>:</w:t>
      </w:r>
    </w:p>
    <w:p w14:paraId="1D91CF1D"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La liberté d’expression a été consacrée par notre Constitution et est garantie dans la</w:t>
      </w:r>
      <w:r w:rsidRPr="00441B52">
        <w:rPr>
          <w:i/>
          <w:iCs/>
          <w:kern w:val="24"/>
          <w:sz w:val="22"/>
        </w:rPr>
        <w:t xml:space="preserve"> Charte</w:t>
      </w:r>
      <w:r w:rsidRPr="00441B52">
        <w:rPr>
          <w:kern w:val="24"/>
          <w:sz w:val="22"/>
        </w:rPr>
        <w:t xml:space="preserve"> </w:t>
      </w:r>
      <w:r w:rsidRPr="00441B52">
        <w:rPr>
          <w:i/>
          <w:iCs/>
          <w:kern w:val="24"/>
          <w:sz w:val="22"/>
        </w:rPr>
        <w:t>québécoise</w:t>
      </w:r>
      <w:r w:rsidRPr="00441B52">
        <w:rPr>
          <w:kern w:val="24"/>
          <w:sz w:val="22"/>
        </w:rPr>
        <w:t xml:space="preserve"> pour assurer que chacun puisse manifester ses pensées, ses opinions, ses croyances, en fait, toutes les expressions du cœur ou de l’esprit, aussi impopulaires, déplaisantes ou contestataires soient</w:t>
      </w:r>
      <w:r w:rsidRPr="00441B52">
        <w:rPr>
          <w:kern w:val="24"/>
          <w:sz w:val="22"/>
        </w:rPr>
        <w:noBreakHyphen/>
        <w:t>elles.</w:t>
      </w:r>
      <w:r w:rsidRPr="00441B52">
        <w:rPr>
          <w:kern w:val="24"/>
          <w:sz w:val="22"/>
          <w:vertAlign w:val="superscript"/>
        </w:rPr>
        <w:footnoteReference w:id="21"/>
      </w:r>
      <w:r w:rsidRPr="00441B52">
        <w:rPr>
          <w:kern w:val="24"/>
          <w:sz w:val="22"/>
        </w:rPr>
        <w:t xml:space="preserve"> </w:t>
      </w:r>
    </w:p>
    <w:p w14:paraId="7DC33C1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Les valeurs qui sous-tendent la liberté d’expression ont été exposées par la Cour suprême dans l’arrêt </w:t>
      </w:r>
      <w:r w:rsidRPr="00441B52">
        <w:rPr>
          <w:i/>
          <w:iCs/>
          <w:kern w:val="28"/>
        </w:rPr>
        <w:t>Ford</w:t>
      </w:r>
      <w:r w:rsidRPr="00441B52">
        <w:rPr>
          <w:kern w:val="28"/>
          <w:vertAlign w:val="superscript"/>
        </w:rPr>
        <w:footnoteReference w:id="22"/>
      </w:r>
      <w:r w:rsidRPr="00441B52">
        <w:rPr>
          <w:kern w:val="28"/>
        </w:rPr>
        <w:t xml:space="preserve">, puis résumées par la majorité dans l’arrêt </w:t>
      </w:r>
      <w:r w:rsidRPr="00441B52">
        <w:rPr>
          <w:i/>
          <w:iCs/>
          <w:kern w:val="28"/>
        </w:rPr>
        <w:t>Irwin Toy </w:t>
      </w:r>
      <w:r w:rsidRPr="00441B52">
        <w:rPr>
          <w:kern w:val="28"/>
        </w:rPr>
        <w:t>:</w:t>
      </w:r>
    </w:p>
    <w:p w14:paraId="45E50CCE"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 (1) la recherche de la vérité est une activité qui est bonne en soi; (2) la participation à la prise de décisions d’intérêt social et politique doit être encouragée et favorisée; et (3) la diversité des formes d’enrichissement et d’épanouissement personnels doit être encouragée dans une société qui est essentiellement tolérante, même accueillante, non seulement à l’égard de ceux qui transmettent un message, mais aussi à l’égard de ceux à qui il est destiné.</w:t>
      </w:r>
      <w:r w:rsidRPr="00441B52">
        <w:rPr>
          <w:kern w:val="24"/>
          <w:sz w:val="22"/>
          <w:vertAlign w:val="superscript"/>
        </w:rPr>
        <w:footnoteReference w:id="23"/>
      </w:r>
    </w:p>
    <w:p w14:paraId="7F291B9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Bien qu’elle ne bénéficie pas d’un statut particulier</w:t>
      </w:r>
      <w:r w:rsidRPr="00441B52">
        <w:rPr>
          <w:kern w:val="28"/>
          <w:vertAlign w:val="superscript"/>
        </w:rPr>
        <w:footnoteReference w:id="24"/>
      </w:r>
      <w:r w:rsidRPr="00441B52">
        <w:rPr>
          <w:kern w:val="28"/>
        </w:rPr>
        <w:t>, la liberté d’expression artistique s’inscrit au cœur de ces valeurs</w:t>
      </w:r>
      <w:r w:rsidRPr="00441B52">
        <w:rPr>
          <w:kern w:val="28"/>
          <w:vertAlign w:val="superscript"/>
        </w:rPr>
        <w:footnoteReference w:id="25"/>
      </w:r>
      <w:r w:rsidRPr="00441B52">
        <w:rPr>
          <w:kern w:val="28"/>
        </w:rPr>
        <w:t xml:space="preserve">. Comme le souligne la majorité de la Cour suprême dans l’arrêt </w:t>
      </w:r>
      <w:r w:rsidRPr="00441B52">
        <w:rPr>
          <w:i/>
          <w:iCs/>
          <w:kern w:val="28"/>
        </w:rPr>
        <w:t>Ward</w:t>
      </w:r>
      <w:r w:rsidRPr="00441B52">
        <w:rPr>
          <w:kern w:val="28"/>
        </w:rPr>
        <w:t xml:space="preserve">, « depuis l’arrêt </w:t>
      </w:r>
      <w:r w:rsidRPr="00441B52">
        <w:rPr>
          <w:i/>
          <w:iCs/>
          <w:kern w:val="28"/>
        </w:rPr>
        <w:t>Brodie, Dansky and Rubin c. The Queen</w:t>
      </w:r>
      <w:r w:rsidRPr="00441B52">
        <w:rPr>
          <w:kern w:val="28"/>
        </w:rPr>
        <w:t>,</w:t>
      </w:r>
      <w:r w:rsidRPr="00441B52">
        <w:rPr>
          <w:i/>
          <w:iCs/>
          <w:kern w:val="28"/>
        </w:rPr>
        <w:t xml:space="preserve"> </w:t>
      </w:r>
      <w:r w:rsidRPr="00441B52">
        <w:rPr>
          <w:kern w:val="28"/>
        </w:rPr>
        <w:t xml:space="preserve">[1962] R.C.S. 681, où il était question de censurer </w:t>
      </w:r>
      <w:r w:rsidRPr="00441B52">
        <w:rPr>
          <w:i/>
          <w:iCs/>
          <w:kern w:val="28"/>
        </w:rPr>
        <w:t>L’Amant de lady Chatterley</w:t>
      </w:r>
      <w:r w:rsidRPr="00441B52">
        <w:rPr>
          <w:kern w:val="28"/>
        </w:rPr>
        <w:t>, un roman de D. H. Lawrence, notre Cour s’est montrée très réticente à freiner l’évolution des arts et des lettres »</w:t>
      </w:r>
      <w:r w:rsidRPr="00441B52">
        <w:rPr>
          <w:kern w:val="28"/>
          <w:vertAlign w:val="superscript"/>
        </w:rPr>
        <w:footnoteReference w:id="26"/>
      </w:r>
      <w:r w:rsidRPr="00441B52">
        <w:rPr>
          <w:kern w:val="28"/>
        </w:rPr>
        <w:t xml:space="preserve">. </w:t>
      </w:r>
    </w:p>
    <w:p w14:paraId="6713769F" w14:textId="16D6C44C"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Pour analyser s’il y a une atteinte à la liberté d’expression dans le cadre d’une revendication « qualifiée de négative », c’est-à-dire lorsque le demandeur cherche à ne pas être assujetti à des mesures limitant ses activités</w:t>
      </w:r>
      <w:r w:rsidRPr="00441B52">
        <w:rPr>
          <w:kern w:val="28"/>
          <w:vertAlign w:val="superscript"/>
        </w:rPr>
        <w:footnoteReference w:id="27"/>
      </w:r>
      <w:r w:rsidRPr="00441B52">
        <w:rPr>
          <w:kern w:val="28"/>
        </w:rPr>
        <w:t>, il faut procéder en deux étapes</w:t>
      </w:r>
      <w:r w:rsidRPr="00441B52">
        <w:rPr>
          <w:kern w:val="28"/>
          <w:vertAlign w:val="superscript"/>
        </w:rPr>
        <w:footnoteReference w:id="28"/>
      </w:r>
      <w:r w:rsidRPr="00441B52">
        <w:rPr>
          <w:kern w:val="28"/>
        </w:rPr>
        <w:t xml:space="preserve">. Premièrement, le tribunal doit déterminer si l’activité en cause relève de la protection </w:t>
      </w:r>
      <w:r w:rsidRPr="00441B52">
        <w:rPr>
          <w:kern w:val="28"/>
        </w:rPr>
        <w:lastRenderedPageBreak/>
        <w:t>accordée à la liberté d’expression en vérifiant : (1) si l’activité concernée a un contenu expressif qui entre dans le champ de la protection offerte; et (2) si le lieu et le mode d’expression de l’activité écartent cette protection</w:t>
      </w:r>
      <w:r w:rsidRPr="00441B52">
        <w:rPr>
          <w:kern w:val="28"/>
          <w:vertAlign w:val="superscript"/>
        </w:rPr>
        <w:footnoteReference w:id="29"/>
      </w:r>
      <w:r w:rsidRPr="00441B52">
        <w:rPr>
          <w:kern w:val="28"/>
        </w:rPr>
        <w:t>. Si l’activité franchit la première étape, le tribunal passe à la seconde étape</w:t>
      </w:r>
      <w:r w:rsidR="00F4558F" w:rsidRPr="00441B52">
        <w:rPr>
          <w:kern w:val="28"/>
        </w:rPr>
        <w:t>,</w:t>
      </w:r>
      <w:r w:rsidRPr="00441B52">
        <w:rPr>
          <w:kern w:val="28"/>
        </w:rPr>
        <w:t xml:space="preserve"> qui consiste à déterminer si les dispositions, par leur objet ou leur effet, portent atteinte au droit protégé. Le fardeau de démontrer la violation incombe à la partie qui l’allègue</w:t>
      </w:r>
      <w:r w:rsidRPr="00441B52">
        <w:rPr>
          <w:kern w:val="28"/>
          <w:vertAlign w:val="superscript"/>
        </w:rPr>
        <w:footnoteReference w:id="30"/>
      </w:r>
      <w:r w:rsidRPr="00441B52">
        <w:rPr>
          <w:kern w:val="28"/>
        </w:rPr>
        <w:t xml:space="preserve">. </w:t>
      </w:r>
    </w:p>
    <w:p w14:paraId="70BA8FC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Une activité sera considérée comme expressive dès lors qu’elle vise à transmettre un message, peu importe sa forme, y compris au moyen de gestes</w:t>
      </w:r>
      <w:r w:rsidRPr="00441B52">
        <w:rPr>
          <w:kern w:val="28"/>
          <w:vertAlign w:val="superscript"/>
        </w:rPr>
        <w:footnoteReference w:id="31"/>
      </w:r>
      <w:r w:rsidRPr="00441B52">
        <w:rPr>
          <w:kern w:val="28"/>
        </w:rPr>
        <w:t xml:space="preserve">. Certaines activités physiques ne comportent pas de message </w:t>
      </w:r>
      <w:r w:rsidRPr="00441B52">
        <w:rPr>
          <w:i/>
          <w:iCs/>
          <w:kern w:val="28"/>
        </w:rPr>
        <w:t>a priori</w:t>
      </w:r>
      <w:r w:rsidRPr="00441B52">
        <w:rPr>
          <w:kern w:val="28"/>
        </w:rPr>
        <w:t>, mais peuvent en acquérir un en raison du contexte dans lequel elles sont exercées</w:t>
      </w:r>
      <w:r w:rsidRPr="00441B52">
        <w:rPr>
          <w:kern w:val="28"/>
          <w:vertAlign w:val="superscript"/>
        </w:rPr>
        <w:footnoteReference w:id="32"/>
      </w:r>
      <w:r w:rsidRPr="00441B52">
        <w:rPr>
          <w:kern w:val="28"/>
        </w:rPr>
        <w:t>. Une marche de santé n’a pas de sens particulier, mais un défilé de manifestants sur la voie publique transmet un message. Dans l’arrêt</w:t>
      </w:r>
      <w:r w:rsidRPr="00441B52">
        <w:rPr>
          <w:i/>
          <w:iCs/>
          <w:kern w:val="28"/>
        </w:rPr>
        <w:t xml:space="preserve"> R c. Butler</w:t>
      </w:r>
      <w:r w:rsidRPr="00441B52">
        <w:rPr>
          <w:kern w:val="28"/>
        </w:rPr>
        <w:t xml:space="preserve">, qui analyse la constitutionnalité de crimes en lien avec du matériel audiovisuel obscène, le juge Sopinka écrit pour la majorité de la Cour suprême : </w:t>
      </w:r>
    </w:p>
    <w:p w14:paraId="402B5D60"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 xml:space="preserve">Premièrement, je ne puis être d’accord avec la prémisse qu’une activité purement physique, comme l’activité sexuelle, ne peut constituer une expression. Deuxièmement, en tournant un film, quel qu’en soit le contenu, </w:t>
      </w:r>
      <w:r w:rsidRPr="00441B52">
        <w:rPr>
          <w:kern w:val="24"/>
          <w:sz w:val="22"/>
          <w:u w:val="single"/>
        </w:rPr>
        <w:t>le producteur choisit consciemment les scènes qui seront incluses dans le film. Dans le choix des scènes, l’auteur du film tente de transmettre un certain message</w:t>
      </w:r>
      <w:r w:rsidRPr="00441B52">
        <w:rPr>
          <w:kern w:val="24"/>
          <w:sz w:val="22"/>
        </w:rPr>
        <w:t xml:space="preserve">. Le message qu’il faut attribuer à l’œuvre ne saurait être mesuré en fonction de la réaction de l’auditoire qui, dans certains cas, sera simplement stimulé physiquement ou choqué. </w:t>
      </w:r>
      <w:r w:rsidRPr="00441B52">
        <w:rPr>
          <w:kern w:val="24"/>
          <w:sz w:val="22"/>
          <w:u w:val="single"/>
        </w:rPr>
        <w:t>Le message de l’œuvre est celui que son auteur lui a intentionnellement attribué.</w:t>
      </w:r>
      <w:r w:rsidRPr="00441B52">
        <w:rPr>
          <w:kern w:val="24"/>
          <w:sz w:val="22"/>
        </w:rPr>
        <w:t xml:space="preserve"> À titre d’exemple, on peut très bien dire qu’un mur blanc ne transmet pas de message. Toutefois, </w:t>
      </w:r>
      <w:r w:rsidRPr="00441B52">
        <w:rPr>
          <w:kern w:val="24"/>
          <w:sz w:val="22"/>
          <w:u w:val="single"/>
        </w:rPr>
        <w:t>si l’on choisit délibérément de capter cette image sur film, l’œuvre a nécessairement une signification pour son auteur et constitue une expression</w:t>
      </w:r>
      <w:r w:rsidRPr="00441B52">
        <w:rPr>
          <w:kern w:val="24"/>
          <w:sz w:val="22"/>
        </w:rPr>
        <w:t>. On pourrait affirmer la même chose relativement à la représentation de personnes qui se livrent à une activité purement sexuelle.</w:t>
      </w:r>
      <w:r w:rsidRPr="00441B52">
        <w:rPr>
          <w:kern w:val="24"/>
          <w:sz w:val="22"/>
          <w:vertAlign w:val="superscript"/>
        </w:rPr>
        <w:footnoteReference w:id="33"/>
      </w:r>
    </w:p>
    <w:p w14:paraId="5AAA04D0" w14:textId="77777777" w:rsidR="00E524EA" w:rsidRPr="00441B52" w:rsidRDefault="00E524EA" w:rsidP="00E524EA">
      <w:pPr>
        <w:tabs>
          <w:tab w:val="num" w:pos="993"/>
        </w:tabs>
        <w:spacing w:before="120" w:after="120" w:line="240" w:lineRule="auto"/>
        <w:ind w:left="720" w:right="720"/>
        <w:jc w:val="right"/>
        <w:rPr>
          <w:kern w:val="24"/>
          <w:sz w:val="22"/>
        </w:rPr>
      </w:pPr>
      <w:r w:rsidRPr="00441B52">
        <w:rPr>
          <w:kern w:val="24"/>
          <w:sz w:val="22"/>
        </w:rPr>
        <w:t>[Soulignements ajoutés]</w:t>
      </w:r>
    </w:p>
    <w:p w14:paraId="478790B4"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Par ailleurs, les formes d’expression qui minent les valeurs sous-jacentes à la liberté d’expression ne bénéficient pas de la protection, c’est le cas par exemple de la violence, qui nuit à la liberté d’échanger des idées, à l’épanouissement personnel et à la recherche de la vérité</w:t>
      </w:r>
      <w:r w:rsidRPr="00441B52">
        <w:rPr>
          <w:kern w:val="28"/>
          <w:vertAlign w:val="superscript"/>
        </w:rPr>
        <w:footnoteReference w:id="34"/>
      </w:r>
      <w:r w:rsidRPr="00441B52">
        <w:rPr>
          <w:kern w:val="28"/>
        </w:rPr>
        <w:t>. Il en est de même de lieux qui ne sont pas propices à certaines formes d’expression, entraînant une dissonance avec les valeurs protégées</w:t>
      </w:r>
      <w:r w:rsidRPr="00441B52">
        <w:rPr>
          <w:kern w:val="28"/>
          <w:vertAlign w:val="superscript"/>
        </w:rPr>
        <w:footnoteReference w:id="35"/>
      </w:r>
      <w:r w:rsidRPr="00441B52">
        <w:rPr>
          <w:kern w:val="28"/>
        </w:rPr>
        <w:t xml:space="preserve">. </w:t>
      </w:r>
    </w:p>
    <w:p w14:paraId="36C72DDF"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lastRenderedPageBreak/>
        <w:t>À la deuxième étape, le tribunal doit examiner si les dispositions ont pour objet ou pour effet de restreindre l’activité expressive, en interdisant ou contrôlant la transmission du message</w:t>
      </w:r>
      <w:r w:rsidRPr="00441B52">
        <w:rPr>
          <w:kern w:val="28"/>
          <w:vertAlign w:val="superscript"/>
        </w:rPr>
        <w:footnoteReference w:id="36"/>
      </w:r>
      <w:r w:rsidRPr="00441B52">
        <w:rPr>
          <w:kern w:val="28"/>
        </w:rPr>
        <w:t xml:space="preserve">. Afin de convaincre que les dispositions ont pour effet de restreindre la liberté d’expression, la partie qui l’invoque devra démontrer que son activité expressive favorise au moins une des valeurs qui sous-tendent le droit protégé. La majorité de la Cour suprême établit les bases de ce raisonnement dans l’arrêt </w:t>
      </w:r>
      <w:r w:rsidRPr="00441B52">
        <w:rPr>
          <w:i/>
          <w:iCs/>
          <w:kern w:val="28"/>
        </w:rPr>
        <w:t>Irwin Toy</w:t>
      </w:r>
      <w:r w:rsidRPr="00441B52">
        <w:rPr>
          <w:kern w:val="28"/>
        </w:rPr>
        <w:t xml:space="preserve"> : </w:t>
      </w:r>
    </w:p>
    <w:p w14:paraId="12378DBF"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 Si la demanderesse conteste l’effet d’une action gouvernementale qui vise à réglementer le bruit, dans l’hypothèse que le but de cette action est neutre quant à l’expression, elle doit démontrer que son but est de transmettre un message qui reflète les principes qui sous</w:t>
      </w:r>
      <w:r w:rsidRPr="00441B52">
        <w:rPr>
          <w:kern w:val="24"/>
          <w:sz w:val="22"/>
        </w:rPr>
        <w:noBreakHyphen/>
        <w:t>tendent la liberté d’expression. La délimitation complète et précise des types d’activités qui favorisent ces principes relève évidemment d’un examen judiciaire qui doit être fait dans chaque cas. Mais la demanderesse doit au moins décrire le message transmis et son rapport avec la recherche de la vérité, la participation au sein de la société ou l’enrichissement et l’épanouissement personnels.</w:t>
      </w:r>
      <w:r w:rsidRPr="00441B52">
        <w:rPr>
          <w:kern w:val="24"/>
          <w:sz w:val="22"/>
          <w:vertAlign w:val="superscript"/>
        </w:rPr>
        <w:footnoteReference w:id="37"/>
      </w:r>
    </w:p>
    <w:p w14:paraId="784581A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fait qu’un message puisse être transmis par un autre moyen ne neutralise pas la violation si le choix du mode de communication transmet en lui-même un message. Dans l’arrêt </w:t>
      </w:r>
      <w:r w:rsidRPr="00441B52">
        <w:rPr>
          <w:i/>
          <w:iCs/>
          <w:kern w:val="28"/>
        </w:rPr>
        <w:t>Ford</w:t>
      </w:r>
      <w:r w:rsidRPr="00441B52">
        <w:rPr>
          <w:kern w:val="28"/>
        </w:rPr>
        <w:t>, la Cour suprême conclut « qu’il ne peut y avoir de véritable liberté d’expression linguistique s’il est interdit de se servir de la langue de son choix »</w:t>
      </w:r>
      <w:r w:rsidRPr="00441B52">
        <w:rPr>
          <w:kern w:val="28"/>
          <w:vertAlign w:val="superscript"/>
        </w:rPr>
        <w:footnoteReference w:id="38"/>
      </w:r>
      <w:r w:rsidRPr="00441B52">
        <w:rPr>
          <w:kern w:val="28"/>
        </w:rPr>
        <w:t>. En effet, la langue d’expression « colore le contenu et le sens de l’expression »</w:t>
      </w:r>
      <w:r w:rsidRPr="00441B52">
        <w:rPr>
          <w:kern w:val="28"/>
          <w:vertAlign w:val="superscript"/>
        </w:rPr>
        <w:footnoteReference w:id="39"/>
      </w:r>
      <w:r w:rsidRPr="00441B52">
        <w:rPr>
          <w:kern w:val="28"/>
        </w:rPr>
        <w:t>, et ce, même si le message peut être transmis dans une autre langue et que l’on peut le traduire</w:t>
      </w:r>
      <w:r w:rsidRPr="00441B52">
        <w:rPr>
          <w:kern w:val="28"/>
          <w:vertAlign w:val="superscript"/>
        </w:rPr>
        <w:footnoteReference w:id="40"/>
      </w:r>
      <w:r w:rsidRPr="00441B52">
        <w:rPr>
          <w:kern w:val="28"/>
        </w:rPr>
        <w:t xml:space="preserve">. Dans l’arrêt </w:t>
      </w:r>
      <w:r w:rsidRPr="00441B52">
        <w:rPr>
          <w:i/>
          <w:iCs/>
          <w:kern w:val="28"/>
        </w:rPr>
        <w:t>SRC</w:t>
      </w:r>
      <w:r w:rsidRPr="00441B52">
        <w:rPr>
          <w:kern w:val="28"/>
        </w:rPr>
        <w:t>, où il est question de la constitutionnalité des dispositions interdisant la diffusion des enregistrements sonores officiels des audiences de la Cour supérieure, la Cour suprême souligne que le contenu des audiences peut être rapporté de diverses façons, mais ajoute que la diffusion des enregistrements officiels des audiences porte un message distinct :</w:t>
      </w:r>
    </w:p>
    <w:p w14:paraId="1D8C808C"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 xml:space="preserve">[52] […] Le contenu du message que les médias veulent transmettre est constitué des témoignages, interrogatoires, observations, jugements et autres sons captés par l’équipement des palais de justice lors des audiences. Ce contenu peut être transmis de multiples façons, que ce soit par la diffusion des enregistrements sonores officiels des audiences, par un reportage écrit, par la transcription écrite des audiences ou par la voix des journalistes. </w:t>
      </w:r>
      <w:r w:rsidRPr="00441B52">
        <w:rPr>
          <w:kern w:val="24"/>
          <w:sz w:val="22"/>
          <w:u w:val="single"/>
        </w:rPr>
        <w:t>Il faut cependant reconnaître que le message transmis par la diffusion des enregistrements sonores officiels des audiences n’est pas le même que celui transmis par un autre mode de communication</w:t>
      </w:r>
      <w:r w:rsidRPr="00441B52">
        <w:rPr>
          <w:kern w:val="24"/>
          <w:sz w:val="22"/>
        </w:rPr>
        <w:t xml:space="preserve">. En l’espèce, je suis d’accord avec la juge Bich de la Cour d’appel pour dire que </w:t>
      </w:r>
      <w:r w:rsidRPr="00441B52">
        <w:rPr>
          <w:kern w:val="24"/>
          <w:sz w:val="22"/>
          <w:u w:val="single"/>
        </w:rPr>
        <w:t xml:space="preserve">le contenu informatif transmis par le mode d’expression que </w:t>
      </w:r>
      <w:r w:rsidRPr="00441B52">
        <w:rPr>
          <w:kern w:val="24"/>
          <w:sz w:val="22"/>
          <w:u w:val="single"/>
        </w:rPr>
        <w:lastRenderedPageBreak/>
        <w:t>souhaitent utiliser les médias n’est pas le même qu’en cas de transcription écrite ou même de description la plus fidèle possible</w:t>
      </w:r>
      <w:r w:rsidRPr="00441B52">
        <w:rPr>
          <w:kern w:val="24"/>
          <w:sz w:val="22"/>
        </w:rPr>
        <w:t>.</w:t>
      </w:r>
      <w:r w:rsidRPr="00441B52">
        <w:rPr>
          <w:kern w:val="24"/>
          <w:sz w:val="22"/>
          <w:vertAlign w:val="superscript"/>
        </w:rPr>
        <w:footnoteReference w:id="41"/>
      </w:r>
    </w:p>
    <w:p w14:paraId="322C456A" w14:textId="77777777" w:rsidR="00E524EA" w:rsidRPr="00441B52" w:rsidRDefault="00E524EA" w:rsidP="00E524EA">
      <w:pPr>
        <w:tabs>
          <w:tab w:val="num" w:pos="993"/>
        </w:tabs>
        <w:spacing w:before="120" w:after="120" w:line="240" w:lineRule="auto"/>
        <w:ind w:left="720" w:right="720"/>
        <w:jc w:val="right"/>
        <w:rPr>
          <w:kern w:val="24"/>
          <w:sz w:val="22"/>
        </w:rPr>
      </w:pPr>
      <w:r w:rsidRPr="00441B52">
        <w:rPr>
          <w:kern w:val="24"/>
          <w:sz w:val="22"/>
        </w:rPr>
        <w:t xml:space="preserve">[Soulignements ajoutés] </w:t>
      </w:r>
    </w:p>
    <w:p w14:paraId="676FC314" w14:textId="77777777" w:rsidR="00E524EA" w:rsidRPr="00441B52" w:rsidRDefault="00E524EA" w:rsidP="00E524EA">
      <w:pPr>
        <w:keepNext/>
        <w:numPr>
          <w:ilvl w:val="0"/>
          <w:numId w:val="21"/>
        </w:numPr>
        <w:tabs>
          <w:tab w:val="num" w:pos="993"/>
        </w:tabs>
        <w:spacing w:before="120" w:after="120" w:line="240" w:lineRule="auto"/>
        <w:outlineLvl w:val="2"/>
        <w:rPr>
          <w:b/>
          <w:bCs/>
        </w:rPr>
      </w:pPr>
      <w:r w:rsidRPr="00441B52">
        <w:rPr>
          <w:b/>
          <w:bCs/>
        </w:rPr>
        <w:t>Analyse</w:t>
      </w:r>
    </w:p>
    <w:p w14:paraId="459BD2B9"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Les parties conviennent que l’objet des dispositions n’est pas de limiter l’expression, mais bien d’interdire de fumer dans certains lieux fermés. L’enjeu concerne l’effet qu’ont ces dispositions sur les représentations artistiques. </w:t>
      </w:r>
    </w:p>
    <w:p w14:paraId="05EFD1BC"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Il était justifié pour le juge de la Cour supérieure de conclure que le juge de paix magistrat a commis une erreur lorsqu’il a affirmé que l’acte de fumer lors des représentations théâtrales n’avait aucun contenu expressif</w:t>
      </w:r>
      <w:r w:rsidRPr="00441B52">
        <w:rPr>
          <w:kern w:val="28"/>
          <w:vertAlign w:val="superscript"/>
        </w:rPr>
        <w:footnoteReference w:id="42"/>
      </w:r>
      <w:r w:rsidRPr="00441B52">
        <w:rPr>
          <w:kern w:val="28"/>
        </w:rPr>
        <w:t>. Comme il l’a souligné, il fallait plutôt « déterminer si, d’une part, en faisant fumer les interprètes sur scène, les créateurs cherchaient à transmettre au public un message ayant une signification et d’autre part, si cette activité tendait à favoriser les trois grandes valeurs sous-jacentes à la liberté d’expression ou au contraire, à les miner »</w:t>
      </w:r>
      <w:r w:rsidRPr="00441B52">
        <w:rPr>
          <w:kern w:val="28"/>
          <w:vertAlign w:val="superscript"/>
        </w:rPr>
        <w:footnoteReference w:id="43"/>
      </w:r>
      <w:r w:rsidRPr="00441B52">
        <w:rPr>
          <w:kern w:val="28"/>
        </w:rPr>
        <w:t>. Le juge a répondu à ces questions avec justesse en soulignant :</w:t>
      </w:r>
    </w:p>
    <w:p w14:paraId="5C4DDA8F" w14:textId="77777777" w:rsidR="00E524EA" w:rsidRPr="00441B52" w:rsidRDefault="00E524EA" w:rsidP="00E524EA">
      <w:pPr>
        <w:tabs>
          <w:tab w:val="num" w:pos="993"/>
          <w:tab w:val="left" w:pos="1276"/>
        </w:tabs>
        <w:spacing w:before="120" w:after="120" w:line="240" w:lineRule="auto"/>
        <w:ind w:left="720" w:right="720"/>
        <w:jc w:val="both"/>
        <w:rPr>
          <w:kern w:val="24"/>
          <w:sz w:val="22"/>
        </w:rPr>
      </w:pPr>
      <w:r w:rsidRPr="00441B52">
        <w:rPr>
          <w:kern w:val="24"/>
          <w:sz w:val="22"/>
        </w:rPr>
        <w:t>[44]</w:t>
      </w:r>
      <w:r w:rsidRPr="00441B52">
        <w:rPr>
          <w:kern w:val="24"/>
          <w:sz w:val="22"/>
        </w:rPr>
        <w:tab/>
        <w:t>[...] Le choix des créateurs de voir une cigarette grillée sur la scène avait un contenu expressif. Ce geste se voulait porteur d’une signification. […]</w:t>
      </w:r>
    </w:p>
    <w:p w14:paraId="31C681CF" w14:textId="77777777" w:rsidR="00E524EA" w:rsidRPr="00441B52" w:rsidRDefault="00E524EA" w:rsidP="00E524EA">
      <w:pPr>
        <w:tabs>
          <w:tab w:val="num" w:pos="993"/>
          <w:tab w:val="left" w:pos="1276"/>
        </w:tabs>
        <w:spacing w:before="120" w:after="120" w:line="240" w:lineRule="auto"/>
        <w:ind w:left="720" w:right="720"/>
        <w:jc w:val="both"/>
        <w:rPr>
          <w:kern w:val="24"/>
          <w:sz w:val="22"/>
        </w:rPr>
      </w:pPr>
      <w:r w:rsidRPr="00441B52">
        <w:rPr>
          <w:kern w:val="24"/>
          <w:sz w:val="22"/>
        </w:rPr>
        <w:t>[…]</w:t>
      </w:r>
    </w:p>
    <w:p w14:paraId="276E9E38" w14:textId="77777777" w:rsidR="00E524EA" w:rsidRPr="00441B52" w:rsidRDefault="00E524EA" w:rsidP="00E524EA">
      <w:pPr>
        <w:tabs>
          <w:tab w:val="num" w:pos="993"/>
          <w:tab w:val="left" w:pos="1276"/>
        </w:tabs>
        <w:spacing w:before="120" w:after="120" w:line="240" w:lineRule="auto"/>
        <w:ind w:left="720" w:right="720"/>
        <w:jc w:val="both"/>
        <w:rPr>
          <w:kern w:val="24"/>
          <w:sz w:val="22"/>
        </w:rPr>
      </w:pPr>
      <w:r w:rsidRPr="00441B52">
        <w:rPr>
          <w:kern w:val="24"/>
          <w:sz w:val="22"/>
        </w:rPr>
        <w:t>[</w:t>
      </w:r>
      <w:bookmarkStart w:id="31" w:name="par47"/>
      <w:r w:rsidRPr="00441B52">
        <w:rPr>
          <w:kern w:val="24"/>
          <w:sz w:val="22"/>
        </w:rPr>
        <w:t>47</w:t>
      </w:r>
      <w:bookmarkEnd w:id="31"/>
      <w:r w:rsidRPr="00441B52">
        <w:rPr>
          <w:kern w:val="24"/>
          <w:sz w:val="22"/>
        </w:rPr>
        <w:t>]</w:t>
      </w:r>
      <w:r w:rsidRPr="00441B52">
        <w:rPr>
          <w:kern w:val="24"/>
          <w:sz w:val="22"/>
        </w:rPr>
        <w:tab/>
        <w:t>Quant à la question de savoir si l’acte de fumer et le lieu où cette activité s’est déroulée minaient les valeurs sous-jacentes au droit à la liberté d’expression, la réponse coule de source. Dans le contexte des trois pièces de théâtre, ce geste ne minait pas ces valeurs. Au contraire, cet acte tendait à favoriser ces valeurs, dans un lieu propice pour les communiquer.</w:t>
      </w:r>
      <w:r w:rsidRPr="00441B52">
        <w:rPr>
          <w:kern w:val="24"/>
          <w:sz w:val="22"/>
          <w:vertAlign w:val="superscript"/>
        </w:rPr>
        <w:footnoteReference w:id="44"/>
      </w:r>
    </w:p>
    <w:p w14:paraId="59B890C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Il est clair que la décision prise par un créateur de faire fumer un personnage dans une pièce de théâtre se distingue de la simple activité physique de fumer. Ainsi, les précédents jurisprudentiels cités par le juge de paix magistrat, dont celui qui conclut que l’interdiction de fumer dans un bar ne contrevient pas à la liberté d’expression</w:t>
      </w:r>
      <w:r w:rsidRPr="00441B52">
        <w:rPr>
          <w:kern w:val="28"/>
          <w:vertAlign w:val="superscript"/>
        </w:rPr>
        <w:footnoteReference w:id="45"/>
      </w:r>
      <w:r w:rsidRPr="00441B52">
        <w:rPr>
          <w:kern w:val="28"/>
        </w:rPr>
        <w:t>, doivent être écartés.</w:t>
      </w:r>
    </w:p>
    <w:p w14:paraId="1896F23F" w14:textId="724BE318"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PGQ reconnaît d’ailleurs un contenu expressif protégé par les chartes à l’acte de fumer dans le contexte théâtral. Je suis d’accord et j’ajoute que la scène est l’endroit tout indiqué pour que les artistes s’expriment et livrent leur message au public. </w:t>
      </w:r>
      <w:r w:rsidRPr="00441B52">
        <w:rPr>
          <w:kern w:val="28"/>
        </w:rPr>
        <w:lastRenderedPageBreak/>
        <w:t xml:space="preserve">Le PGQ </w:t>
      </w:r>
      <w:r w:rsidR="00697C06" w:rsidRPr="00441B52">
        <w:rPr>
          <w:kern w:val="28"/>
        </w:rPr>
        <w:t xml:space="preserve">considère </w:t>
      </w:r>
      <w:r w:rsidRPr="00441B52">
        <w:rPr>
          <w:kern w:val="28"/>
        </w:rPr>
        <w:t xml:space="preserve">cependant que la restriction imposée par les dispositions n’a pas pour effet de restreindre un mode de communication porteur d’un message, puisqu’il est possible de simuler le geste de fumer, sans inhaler de la fumée. Bien qu’il ne s’attarde pas sur cet argument, le juge conclut que le fait de fumer réellement sur scène transmet un message. Je conclus qu’il a raison au regard de la preuve présentée. Voici pourquoi.  </w:t>
      </w:r>
    </w:p>
    <w:p w14:paraId="71D80717" w14:textId="77777777" w:rsidR="00E524EA" w:rsidRPr="00481326" w:rsidRDefault="00E524EA" w:rsidP="00E524EA">
      <w:pPr>
        <w:numPr>
          <w:ilvl w:val="0"/>
          <w:numId w:val="18"/>
        </w:numPr>
        <w:tabs>
          <w:tab w:val="clear" w:pos="720"/>
          <w:tab w:val="num" w:pos="993"/>
        </w:tabs>
        <w:spacing w:before="120" w:after="120" w:line="240" w:lineRule="auto"/>
        <w:jc w:val="both"/>
        <w:rPr>
          <w:kern w:val="28"/>
        </w:rPr>
      </w:pPr>
      <w:bookmarkStart w:id="32" w:name="_Ref223778391"/>
      <w:r w:rsidRPr="00441B52">
        <w:rPr>
          <w:kern w:val="28"/>
        </w:rPr>
        <w:t>Au cours de leur témoignage, les directeurs artistiques et les metteurs en scène exposent l’important travail créatif effectué dans le cadre des productions théâtrales. D’abord, ils choisissent les pièces présentées en tenant compte de nombreux critères, dont la mission du théâtre et l’équilibre de l’ensemble de la saison</w:t>
      </w:r>
      <w:r w:rsidRPr="00481326">
        <w:rPr>
          <w:kern w:val="28"/>
        </w:rPr>
        <w:t>. Plusieurs pièces choisies reflètent diverses sociétés à travers les époques, lesquelles ont inclus et incluent toujours des fumeurs, et ce, dans d’innombrables contextes. Par exemple, on a fumé pour tenter de guérir de certaines afflictions à une époque révolue, pour sceller des ententes de paix dans certaines sociétés, pour étaler son statut social, pour calmer sa dépendance, pour affirmer son autonomie, pour se détendre ou encore pour gérer sa nervosité. Une cigarette partagée permet dans certains cas d’installer une complicité ou peut constituer l’amorce d’une grande amitié. D’autres sont plus lourdes de sens, comme la dernière cigarette du condamné à mort. Enfin, certaines époques, certains milieux et nombre de personnages historiques sont indissociables du fait de fumer, comme Winston Churchill ou René Lévesque, pour ne nommer qu’eux.</w:t>
      </w:r>
      <w:bookmarkEnd w:id="32"/>
    </w:p>
    <w:p w14:paraId="0795040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81326">
        <w:rPr>
          <w:kern w:val="28"/>
        </w:rPr>
        <w:t>Souvent, l’auteur d’une pièce précise dans les didascalies, c’est-à-dire les descriptions scéniques à même le texte, qu’un personnage fume. Les Théâtres ont déposé une liste non exhaustive de plus de 250 pièces dans lesquelles les textes font référence à l’acte de fumer</w:t>
      </w:r>
      <w:r w:rsidRPr="00481326">
        <w:rPr>
          <w:kern w:val="28"/>
          <w:vertAlign w:val="superscript"/>
        </w:rPr>
        <w:footnoteReference w:id="46"/>
      </w:r>
      <w:r w:rsidRPr="00481326">
        <w:rPr>
          <w:kern w:val="28"/>
        </w:rPr>
        <w:t xml:space="preserve">. Lorsqu’il autorise la présentation d’une œuvre, l’auteur du texte, ou en cas de décès sa succession, peut exiger le respect intégral des didascalies. Isabelle Hubert, l’autrice de la pièce </w:t>
      </w:r>
      <w:r w:rsidRPr="00481326">
        <w:rPr>
          <w:i/>
          <w:iCs/>
          <w:kern w:val="28"/>
        </w:rPr>
        <w:t>Le cas Joé Ferguson</w:t>
      </w:r>
      <w:r w:rsidRPr="00481326">
        <w:rPr>
          <w:kern w:val="28"/>
        </w:rPr>
        <w:t>, et Jean-Sébastien</w:t>
      </w:r>
      <w:r w:rsidRPr="00441B52">
        <w:rPr>
          <w:kern w:val="28"/>
        </w:rPr>
        <w:t xml:space="preserve"> Ouellette, le metteur en scène de cette pièce, témoignent que le fait de fumer au théâtre constitue un geste « caractérisant », c’est-à-dire qui informe rapidement les spectateurs sur plusieurs facettes d’une personnalité ou d’une situation. Madame Hubert rappelle à ce sujet que les actions sont souvent plus éloquentes que les paroles. </w:t>
      </w:r>
    </w:p>
    <w:p w14:paraId="7AC75D9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Dans la pièce réaliste intitulée </w:t>
      </w:r>
      <w:r w:rsidRPr="00441B52">
        <w:rPr>
          <w:i/>
          <w:iCs/>
          <w:kern w:val="28"/>
        </w:rPr>
        <w:t>Rotterdam</w:t>
      </w:r>
      <w:r w:rsidRPr="00441B52">
        <w:rPr>
          <w:kern w:val="28"/>
        </w:rPr>
        <w:t xml:space="preserve">, une jeune fille prénommée Alice, qui est réservée, discrète et cache son orientation sexuelle à sa famille, vient d’apprendre que sa conjointe est transgenre, ce qui la bouleverse. À la même période, une collègue de travail prénommée Lelani l’invite à prendre un verre. Alors qu’elle aurait normalement refusé ce genre de proposition, elle décide de l’accepter, considérant son état d’esprit. Dans la ville de Rotterdam, certains bars tolèrent que les clients fument des cigarettes de cannabis et Lelani s’en allume une en présence d’Alice en lui proposant de la partager. </w:t>
      </w:r>
      <w:r w:rsidRPr="00441B52">
        <w:rPr>
          <w:kern w:val="28"/>
        </w:rPr>
        <w:lastRenderedPageBreak/>
        <w:t xml:space="preserve">Cette dernière répond qu’elle n’a jamais consommé de drogue, mais, vulnérable et déboussolée, elle décide d’essayer et s’étouffe. Lelani lui explique comment inhaler et elles échangent la cigarette. Dans la scène suivante, les deux protagonistes se retrouvent à l’extérieur et, dans un jeu de séduction, Lelani souffle directement la fumée de cannabis dans la bouche d’Alice, par un geste tendre qui s’approche d’un baiser : </w:t>
      </w:r>
    </w:p>
    <w:p w14:paraId="4D5DA79E"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kern w:val="24"/>
          <w:sz w:val="22"/>
        </w:rPr>
        <w:t>[…]</w:t>
      </w:r>
    </w:p>
    <w:p w14:paraId="1CF442B9"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b/>
          <w:bCs/>
          <w:kern w:val="24"/>
          <w:sz w:val="22"/>
        </w:rPr>
        <w:t>Alice</w:t>
      </w:r>
      <w:r w:rsidRPr="00441B52">
        <w:rPr>
          <w:kern w:val="24"/>
          <w:sz w:val="22"/>
        </w:rPr>
        <w:t>. Oh mon Dieu, oh mon Dieu – Donne-moi donc ça.</w:t>
      </w:r>
    </w:p>
    <w:p w14:paraId="61B08361" w14:textId="77777777" w:rsidR="00E524EA" w:rsidRPr="00441B52" w:rsidRDefault="00E524EA" w:rsidP="00E524EA">
      <w:pPr>
        <w:tabs>
          <w:tab w:val="num" w:pos="993"/>
        </w:tabs>
        <w:spacing w:before="120" w:after="120" w:line="240" w:lineRule="auto"/>
        <w:ind w:left="720" w:right="720"/>
        <w:jc w:val="both"/>
        <w:rPr>
          <w:i/>
          <w:iCs/>
          <w:kern w:val="24"/>
          <w:sz w:val="22"/>
        </w:rPr>
      </w:pPr>
      <w:r w:rsidRPr="00441B52">
        <w:rPr>
          <w:i/>
          <w:iCs/>
          <w:kern w:val="24"/>
          <w:sz w:val="22"/>
        </w:rPr>
        <w:t xml:space="preserve">Elle arrache à Lelani le joint et en prend une grande bouffée. Elle s’étouffe aussitôt. </w:t>
      </w:r>
    </w:p>
    <w:p w14:paraId="4BAD07B7"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b/>
          <w:bCs/>
          <w:kern w:val="24"/>
          <w:sz w:val="22"/>
        </w:rPr>
        <w:t>Lelani</w:t>
      </w:r>
      <w:r w:rsidRPr="00441B52">
        <w:rPr>
          <w:kern w:val="24"/>
          <w:sz w:val="22"/>
        </w:rPr>
        <w:t xml:space="preserve">. OK, viens ici, donne-moi-le. </w:t>
      </w:r>
    </w:p>
    <w:p w14:paraId="480DCB66" w14:textId="77777777" w:rsidR="00E524EA" w:rsidRPr="00441B52" w:rsidRDefault="00E524EA" w:rsidP="00E524EA">
      <w:pPr>
        <w:tabs>
          <w:tab w:val="num" w:pos="993"/>
        </w:tabs>
        <w:spacing w:before="120" w:after="120" w:line="240" w:lineRule="auto"/>
        <w:ind w:left="720" w:right="720"/>
        <w:jc w:val="both"/>
        <w:rPr>
          <w:i/>
          <w:iCs/>
          <w:kern w:val="24"/>
          <w:sz w:val="22"/>
        </w:rPr>
      </w:pPr>
      <w:r w:rsidRPr="00441B52">
        <w:rPr>
          <w:i/>
          <w:iCs/>
          <w:kern w:val="24"/>
          <w:sz w:val="22"/>
        </w:rPr>
        <w:t xml:space="preserve">Lelani lui reprend le joint. </w:t>
      </w:r>
    </w:p>
    <w:p w14:paraId="5440F2AD"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b/>
          <w:bCs/>
          <w:kern w:val="24"/>
          <w:sz w:val="22"/>
        </w:rPr>
        <w:t>Lelani</w:t>
      </w:r>
      <w:r w:rsidRPr="00441B52">
        <w:rPr>
          <w:kern w:val="24"/>
          <w:sz w:val="22"/>
        </w:rPr>
        <w:t xml:space="preserve">. Regarde là, je vais te montrer, t’as juste à mettre tes mains autour de ta bouche. Comme ça. </w:t>
      </w:r>
    </w:p>
    <w:p w14:paraId="5AAAC2E5" w14:textId="77777777" w:rsidR="00E524EA" w:rsidRPr="00441B52" w:rsidRDefault="00E524EA" w:rsidP="00E524EA">
      <w:pPr>
        <w:tabs>
          <w:tab w:val="num" w:pos="993"/>
        </w:tabs>
        <w:spacing w:before="120" w:after="120" w:line="240" w:lineRule="auto"/>
        <w:ind w:left="720" w:right="720"/>
        <w:jc w:val="both"/>
        <w:rPr>
          <w:i/>
          <w:iCs/>
          <w:kern w:val="24"/>
          <w:sz w:val="22"/>
        </w:rPr>
      </w:pPr>
      <w:r w:rsidRPr="00441B52">
        <w:rPr>
          <w:i/>
          <w:iCs/>
          <w:kern w:val="24"/>
          <w:sz w:val="22"/>
        </w:rPr>
        <w:t xml:space="preserve">Elle lui montre. Alice l’imite. </w:t>
      </w:r>
    </w:p>
    <w:p w14:paraId="6403A22E"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b/>
          <w:bCs/>
          <w:kern w:val="24"/>
          <w:sz w:val="22"/>
        </w:rPr>
        <w:t>Lelani</w:t>
      </w:r>
      <w:r w:rsidRPr="00441B52">
        <w:rPr>
          <w:kern w:val="24"/>
          <w:sz w:val="22"/>
        </w:rPr>
        <w:t xml:space="preserve">. Parfait, bon là, tu fais juste aspirer, OK? </w:t>
      </w:r>
    </w:p>
    <w:p w14:paraId="7A71BA7D"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b/>
          <w:bCs/>
          <w:kern w:val="24"/>
          <w:sz w:val="22"/>
        </w:rPr>
        <w:t>Alice</w:t>
      </w:r>
      <w:r w:rsidRPr="00441B52">
        <w:rPr>
          <w:kern w:val="24"/>
          <w:sz w:val="22"/>
        </w:rPr>
        <w:t xml:space="preserve">. Quand ça, j’aspire? </w:t>
      </w:r>
    </w:p>
    <w:p w14:paraId="780C504F" w14:textId="77777777" w:rsidR="00E524EA" w:rsidRPr="00441B52" w:rsidRDefault="00E524EA" w:rsidP="00E524EA">
      <w:pPr>
        <w:tabs>
          <w:tab w:val="num" w:pos="993"/>
        </w:tabs>
        <w:spacing w:before="120" w:after="120" w:line="240" w:lineRule="auto"/>
        <w:ind w:left="720" w:right="720"/>
        <w:jc w:val="both"/>
        <w:rPr>
          <w:kern w:val="24"/>
          <w:sz w:val="22"/>
        </w:rPr>
      </w:pPr>
      <w:r w:rsidRPr="00441B52">
        <w:rPr>
          <w:i/>
          <w:iCs/>
          <w:kern w:val="24"/>
          <w:sz w:val="22"/>
        </w:rPr>
        <w:t>Lelani prend une grande bouffée. Elle recouvre les mains d’Alice des siennes et y colle son visage. Leur bouche sont tout près. Elle expire la fumée pour qu’Alice l’inspire. Puis, elles se séparent</w:t>
      </w:r>
      <w:r w:rsidRPr="00441B52">
        <w:rPr>
          <w:kern w:val="24"/>
          <w:sz w:val="22"/>
        </w:rPr>
        <w:t>.</w:t>
      </w:r>
      <w:r w:rsidRPr="00441B52">
        <w:rPr>
          <w:kern w:val="24"/>
          <w:sz w:val="22"/>
          <w:vertAlign w:val="superscript"/>
        </w:rPr>
        <w:footnoteReference w:id="47"/>
      </w:r>
    </w:p>
    <w:p w14:paraId="0B71CD2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La metteuse en scène et traductrice de la pièce, Édith Patenaude, témoigne que ces scènes sont fondamentales à l’action. Elles permettent de comprendre la personnalité d’Alice, son état d’esprit et la suite de l’histoire. Elle montre le changement et l’évolution du personnage, alors que celle-ci se permet une transgression. Par ces quelques scènes, le public comprend son euphorie, son laisser-aller et sa découverte émotive. Selon madame Patenaude, il était impossible de présenter la pièce sans ces scènes, car l’œuvre perdrait tout son sens.</w:t>
      </w:r>
    </w:p>
    <w:p w14:paraId="27D72A28"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D’ailleurs, après la remise du constat d’infraction, madame Patenaude et le directeur artistique du Théâtre de la Bordée, Michel Nadeau, ont décidé de maintenir ces scènes en laissant les personnages fumer, vu l’impossibilité de les jouer de façon crédible sans inhaler. Madame Patenaude explique que la restriction imposée par les dispositions limite sa liberté d’expression lors de la création d’œuvres théâtrales. Elle se dit frustrée artistiquement, alors qu’elle avait auparavant toujours considéré la scène d’un théâtre comme un espace de liberté.</w:t>
      </w:r>
    </w:p>
    <w:p w14:paraId="5F325D79" w14:textId="45435F00" w:rsidR="00511D84" w:rsidRDefault="00511D84" w:rsidP="00511D84">
      <w:pPr>
        <w:spacing w:before="120" w:after="120" w:line="240" w:lineRule="auto"/>
        <w:jc w:val="center"/>
        <w:rPr>
          <w:kern w:val="28"/>
        </w:rPr>
      </w:pPr>
      <w:r>
        <w:rPr>
          <w:kern w:val="28"/>
        </w:rPr>
        <w:lastRenderedPageBreak/>
        <w:t>* * *</w:t>
      </w:r>
    </w:p>
    <w:p w14:paraId="2FEADA41" w14:textId="53181D8C"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Une fois la pièce choisie, le metteur en scène et son équipe font l’ensemble des choix artistiques et créatifs nécessaires pour la monter, en collaboration avec la direction du théâtre. Il arrive que, même en l’absence d’indication précise de l’auteur de la pièce, l’équipe artistique responsable de la mise en scène choisisse de faire fumer un personnage pour donner certaines informations aux spectateurs. Ainsi, dans la pièce intitulée </w:t>
      </w:r>
      <w:r w:rsidRPr="00441B52">
        <w:rPr>
          <w:i/>
          <w:iCs/>
          <w:kern w:val="28"/>
        </w:rPr>
        <w:t>Conversations avec mon pénis</w:t>
      </w:r>
      <w:r w:rsidRPr="00441B52">
        <w:rPr>
          <w:kern w:val="28"/>
        </w:rPr>
        <w:t xml:space="preserve">, qui expose la relation entre Tom et son pénis, joué par une actrice habillée dans un costume réaliste grandeur humaine, le personnage principal blâme son pénis pour ses difficultés érectiles. Cette altercation entraîne un moment de tension au cours duquel le traducteur de la pièce, qui est également son acteur principal, Marc-André Thibault, et le metteur en scène, David Strasbourg, ont décidé que Tom devait s’allumer une cigarette et la fumer brièvement. Par cette décision, ils voulaient exprimer au public la crise existentielle du personnage, son anxiété et sa déchéance. En outre, ce geste s’inscrit dans la suite du récit, car le personnage finit par avoir un cancer testiculaire. </w:t>
      </w:r>
    </w:p>
    <w:p w14:paraId="5FC3AB8E"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Après avoir reçu le constat d’infraction en lien avec cette pièce, le directeur artistique du Théâtre Premier Acte, Marc Gourdeau, demande que des cigarettes ne soient plus fumées au cours de la pièce. L’équipe artistique tente de modifier la scène pour que le personnage prenne une cigarette sans l’allumer, ce qui ne permet pas de transmettre de façon crédible les informations qu’ils cherchent à communiquer. À contrecœur, ils retirent la cigarette de la scène dans les théâtres qui ne veulent pas prendre de risque à ce sujet, mais ils se considèrent comme censurés.</w:t>
      </w:r>
    </w:p>
    <w:p w14:paraId="70994C69"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Toute mise en scène établit une proposition qui a pour but d’emporter l’adhésion du spectateur. Les membres de l’équipe utilisent les meilleurs procédés disponibles en vue d’atteindre le réalisme souhaité. Certes, ils respectent des règles de sécurité et de bons sens, mais ils utilisent divers stratagèmes pour créer des illusions parfaites. Si la pièce comprend une bataille, des heures sont consacrées à chorégraphier la scène avec précision et minutie. De même, lorsque les personnages consomment de l’alcool, de la cocaïne ou même de l’héroïne, ces substances sont remplacées avec soin par des produits semblables en tout point. Les acteurs vont observer les gestes réels afin d’ajuster leur jeu et répètent d’innombrables fois pour être crédibles de façon à éviter le décrochage, le leur et celui du public. Toutes ces démarches permettent de conserver l’adhésion du public, malgré les simulacres. </w:t>
      </w:r>
    </w:p>
    <w:p w14:paraId="44155294"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Une difficulté se pose quant à l’acte de fumer. Tous les représentants du théâtre affirment que, malgré les recherches, réflexions et essais, personne n’a réussi à trouver de manière de donner l’illusion de fumer autrement qu’en utilisant des cigarettes aux herbes. </w:t>
      </w:r>
    </w:p>
    <w:p w14:paraId="010DCA1E"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Les fausses cigarettes ne peuvent être allumées, elles ne s’illuminent pas lorsqu’elles sont portées à la bouche, ne se consument pas et ne produisent pas de </w:t>
      </w:r>
      <w:r w:rsidRPr="00441B52">
        <w:rPr>
          <w:kern w:val="28"/>
        </w:rPr>
        <w:lastRenderedPageBreak/>
        <w:t>cendre ni de fumée pouvant être inhalée puis exhalée en volutes, pas plus que de la fumée qui se dégage du bout de la cigarette allumée. Elles n’ont pas d’odeur, ne font pas les bruits caractéristiques de l’acte de fumer et ne s’écrasent pas comme de réelles cigarettes. En somme, les témoins expliquent que l’illusion est ratée puisque la supercherie risque d’être facilement démasquée et le code soigneusement établi brisé. Les spectateurs risquent de décrocher, et les acteurs peuvent peiner à demeurer dans leur personnage dans ce contexte. Bref, toute l’œuvre en souffre</w:t>
      </w:r>
      <w:r w:rsidRPr="00441B52">
        <w:rPr>
          <w:kern w:val="28"/>
          <w:vertAlign w:val="superscript"/>
        </w:rPr>
        <w:footnoteReference w:id="48"/>
      </w:r>
      <w:r w:rsidRPr="00441B52">
        <w:rPr>
          <w:kern w:val="28"/>
        </w:rPr>
        <w:t xml:space="preserve">. Le metteur en scène de la pièce </w:t>
      </w:r>
      <w:r w:rsidRPr="00441B52">
        <w:rPr>
          <w:i/>
          <w:iCs/>
          <w:kern w:val="28"/>
        </w:rPr>
        <w:t>Conversations avec mon pénis</w:t>
      </w:r>
      <w:r w:rsidRPr="00441B52">
        <w:rPr>
          <w:kern w:val="28"/>
        </w:rPr>
        <w:t>, qui est également comédien, David Strasbourg, explique qu’il n’a jamais utilisé de fausses cigarettes au motif qu’il est « flagrant que c’est pas vrai […] c’est comme si je faisais boire une bière à un personnage avec un biberon [...] »</w:t>
      </w:r>
      <w:r w:rsidRPr="00441B52">
        <w:rPr>
          <w:kern w:val="28"/>
          <w:vertAlign w:val="superscript"/>
        </w:rPr>
        <w:footnoteReference w:id="49"/>
      </w:r>
      <w:r w:rsidRPr="00441B52">
        <w:rPr>
          <w:kern w:val="28"/>
        </w:rPr>
        <w:t>. Il en va de même du choix de faire tenir de vraies cigarettes par les personnages, sans qu’elles soient allumées. Il est généralement invraisemblable et inexplicable qu’un fumeur tienne une cigarette, sans la fumer.</w:t>
      </w:r>
    </w:p>
    <w:p w14:paraId="090F85E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Selon le metteur en scène de la pièce </w:t>
      </w:r>
      <w:r w:rsidRPr="00441B52">
        <w:rPr>
          <w:i/>
          <w:iCs/>
          <w:kern w:val="28"/>
        </w:rPr>
        <w:t>Le cas Joé Ferguson</w:t>
      </w:r>
      <w:r w:rsidRPr="00441B52">
        <w:rPr>
          <w:kern w:val="28"/>
        </w:rPr>
        <w:t xml:space="preserve">, Jean-Sébastien Ouellette, qui est également acteur, il est plus difficile de représenter de façon crédible des gestes anodins de la vie de tous les jours que chacun connaît, sans les poser réellement. Ainsi, lorsqu’il est question d’action dont les spectateurs sont rarement témoins, comme une bataille, un décès ou un meurtre, il est plus aisé de les représenter sans choquer le public. Cependant, il est difficile de faire semblant de manger, de boire, de s’embrasser ou de fumer en étant crédible. Ces gestes doivent être réellement posés pour être crus. À ce sujet, Édith Patenaude, metteuse en scène et traductrice de la pièce </w:t>
      </w:r>
      <w:r w:rsidRPr="00441B52">
        <w:rPr>
          <w:i/>
          <w:iCs/>
          <w:kern w:val="28"/>
        </w:rPr>
        <w:t>Rotterdam</w:t>
      </w:r>
      <w:r w:rsidRPr="00441B52">
        <w:rPr>
          <w:kern w:val="28"/>
        </w:rPr>
        <w:t>, souligne que « le mime, au théâtre, c’est la meilleure façon de faire décrocher le public »</w:t>
      </w:r>
      <w:r w:rsidRPr="00441B52">
        <w:rPr>
          <w:kern w:val="28"/>
          <w:vertAlign w:val="superscript"/>
        </w:rPr>
        <w:footnoteReference w:id="50"/>
      </w:r>
      <w:r w:rsidRPr="00441B52">
        <w:rPr>
          <w:kern w:val="28"/>
        </w:rPr>
        <w:t xml:space="preserve">. </w:t>
      </w:r>
    </w:p>
    <w:p w14:paraId="33913182" w14:textId="588D4382"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Monsieur Gourdeau, directeur général et artistique du Théâtre Premier Acte, explique que l’interdiction l’empêche de présenter certaines pièces où la cigarette est incontournable. Par exemple, il refuserait de présenter à nouveau la pièce intitulée </w:t>
      </w:r>
      <w:r w:rsidRPr="00441B52">
        <w:rPr>
          <w:i/>
          <w:iCs/>
          <w:kern w:val="28"/>
        </w:rPr>
        <w:t>Madame G</w:t>
      </w:r>
      <w:r w:rsidRPr="00441B52">
        <w:rPr>
          <w:kern w:val="28"/>
        </w:rPr>
        <w:t xml:space="preserve"> sur une tenancière de maison close connue dans la région</w:t>
      </w:r>
      <w:r w:rsidR="00F4558F" w:rsidRPr="00441B52">
        <w:rPr>
          <w:kern w:val="28"/>
        </w:rPr>
        <w:t>,</w:t>
      </w:r>
      <w:r w:rsidRPr="00441B52">
        <w:rPr>
          <w:kern w:val="28"/>
        </w:rPr>
        <w:t xml:space="preserve"> qui fumait autant que René Lévesque. Plusieurs témoignent dans le même sens, soulignant l’impossibilité de présenter certaines pièces en raison de l’interdit.</w:t>
      </w:r>
    </w:p>
    <w:p w14:paraId="642522DA"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bookmarkStart w:id="33" w:name="_Ref223778419"/>
      <w:r w:rsidRPr="00441B52">
        <w:rPr>
          <w:kern w:val="28"/>
        </w:rPr>
        <w:t xml:space="preserve">En somme, la décision de faire fumer un comédien sur scène est manifestement porteur d’un message et se qualifie de contenu expressif. Il s’agit d’un geste qui ne peut être imité de manière crédible sur scène, sans perdre l’adhésion du spectateur. Ainsi, l’interdiction de fumer sur scène entrave l’expression artistique quant aux choix créatifs, </w:t>
      </w:r>
      <w:r w:rsidRPr="00441B52">
        <w:rPr>
          <w:kern w:val="28"/>
        </w:rPr>
        <w:lastRenderedPageBreak/>
        <w:t>puisqu’elle peut mener à la décision de renoncer à monter un spectacle, lorsque les créateurs concernés considèrent que le geste de fumer est incontournable, ou de couper des scènes ou des gestes expressifs au sein de l’œuvre, brimant l’expression des artistes concernés.</w:t>
      </w:r>
      <w:bookmarkEnd w:id="33"/>
      <w:r w:rsidRPr="00441B52">
        <w:rPr>
          <w:kern w:val="28"/>
        </w:rPr>
        <w:t xml:space="preserve">  </w:t>
      </w:r>
    </w:p>
    <w:p w14:paraId="7FB6E67C" w14:textId="1200D2A1"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Il s’agit d’une atteinte importante, l’expression artistique étant au cœur même des valeurs protégées. Les dispositions </w:t>
      </w:r>
      <w:r w:rsidR="00F4558F" w:rsidRPr="00441B52">
        <w:rPr>
          <w:kern w:val="28"/>
        </w:rPr>
        <w:t xml:space="preserve">ont </w:t>
      </w:r>
      <w:r w:rsidRPr="00441B52">
        <w:rPr>
          <w:kern w:val="28"/>
        </w:rPr>
        <w:t>pour effet de s’immiscer dans le processus créatif des arts vivants et de restreindre un de ses modes d’expression. Le théâtre occupe une place fort importante dans la société puisqu’il participe notamment : (1) à la recherche de la vérité par une représentation historique la plus exacte possible; (2) à l’épanouissement personnel par l’éducation culturelle; et (3) à l’enrichissement de la société, notamment par la contestation ou la confrontation de normes sociales établies</w:t>
      </w:r>
      <w:r w:rsidRPr="00441B52">
        <w:rPr>
          <w:kern w:val="28"/>
          <w:vertAlign w:val="superscript"/>
        </w:rPr>
        <w:footnoteReference w:id="51"/>
      </w:r>
      <w:r w:rsidRPr="00441B52">
        <w:rPr>
          <w:kern w:val="28"/>
        </w:rPr>
        <w:t>. Le choix de faire fumer des personnages participe à ces objectifs importants et, l’atteinte à la liberté d’expression ne doit donc pas être sous-estimée.</w:t>
      </w:r>
    </w:p>
    <w:p w14:paraId="26B5311D"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Je passe donc à l’analyse de la justification de l’atteinte à la liberté d’expression. </w:t>
      </w:r>
      <w:r w:rsidRPr="00441B52">
        <w:rPr>
          <w:bCs/>
          <w:kern w:val="28"/>
        </w:rPr>
        <w:t>Les parties ont convaincu le juge de la Cour supérieure d’examiner cet aspect, bien que le juge de paix magistrat ne l’avait pas abordé, considérant sa conclusion quant à l’atteinte. Dans ce contexte, il y a lieu de trancher les arguments de l’appelant sur cet aspect</w:t>
      </w:r>
      <w:r w:rsidRPr="00441B52">
        <w:rPr>
          <w:bCs/>
          <w:kern w:val="28"/>
          <w:vertAlign w:val="superscript"/>
        </w:rPr>
        <w:footnoteReference w:id="52"/>
      </w:r>
      <w:r w:rsidRPr="00441B52">
        <w:rPr>
          <w:bCs/>
          <w:kern w:val="28"/>
        </w:rPr>
        <w:t xml:space="preserve">. </w:t>
      </w:r>
    </w:p>
    <w:p w14:paraId="1029E800" w14:textId="77777777" w:rsidR="00E524EA" w:rsidRPr="00441B52" w:rsidRDefault="00E524EA" w:rsidP="00E524EA">
      <w:pPr>
        <w:keepNext/>
        <w:spacing w:before="120" w:after="120" w:line="240" w:lineRule="auto"/>
        <w:outlineLvl w:val="1"/>
        <w:rPr>
          <w:b/>
          <w:i/>
        </w:rPr>
      </w:pPr>
      <w:r w:rsidRPr="00441B52">
        <w:rPr>
          <w:b/>
          <w:i/>
        </w:rPr>
        <w:t xml:space="preserve">II. Justification de la violation </w:t>
      </w:r>
    </w:p>
    <w:p w14:paraId="32B5FFE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 PGQ plaide que le juge a tort de conclure que l’atteinte est injustifiée dans une société libre et démocratique. Selon lui, il commet une erreur : a) en définissant trop largement les objectifs législatifs et réglementaires; b) en analysant trop restrictivement l’atteinte minimale; et c) en analysant de façon incomplète les effets préjudiciables de l’atteinte et leurs effets bénéfiques.</w:t>
      </w:r>
    </w:p>
    <w:p w14:paraId="0B26E15E"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À l’instar du jugement entrepris, je conclus que l’atteinte n’est pas justifiée. Après un bref rappel des principes applicables en matière de justification d’une atteinte à un droit protégé par les chartes, je me penche sur les arguments du PGQ.</w:t>
      </w:r>
    </w:p>
    <w:p w14:paraId="6DA07936" w14:textId="77777777" w:rsidR="00E524EA" w:rsidRPr="00441B52" w:rsidRDefault="00E524EA" w:rsidP="00E524EA">
      <w:pPr>
        <w:keepNext/>
        <w:numPr>
          <w:ilvl w:val="0"/>
          <w:numId w:val="22"/>
        </w:numPr>
        <w:tabs>
          <w:tab w:val="num" w:pos="993"/>
        </w:tabs>
        <w:spacing w:before="120" w:after="120" w:line="240" w:lineRule="auto"/>
        <w:outlineLvl w:val="2"/>
        <w:rPr>
          <w:b/>
          <w:bCs/>
          <w:u w:val="single"/>
        </w:rPr>
      </w:pPr>
      <w:r w:rsidRPr="00441B52">
        <w:rPr>
          <w:b/>
          <w:bCs/>
          <w:u w:val="single"/>
        </w:rPr>
        <w:t>Principes applicables</w:t>
      </w:r>
    </w:p>
    <w:p w14:paraId="4056F0F2"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L’article premier de la </w:t>
      </w:r>
      <w:r w:rsidRPr="00441B52">
        <w:rPr>
          <w:i/>
          <w:kern w:val="28"/>
        </w:rPr>
        <w:t xml:space="preserve">Charte canadienne </w:t>
      </w:r>
      <w:r w:rsidRPr="00441B52">
        <w:rPr>
          <w:kern w:val="28"/>
        </w:rPr>
        <w:t xml:space="preserve">et l’article 9.1 de la </w:t>
      </w:r>
      <w:r w:rsidRPr="00441B52">
        <w:rPr>
          <w:i/>
          <w:kern w:val="28"/>
        </w:rPr>
        <w:t xml:space="preserve">Charte québécoise </w:t>
      </w:r>
      <w:r w:rsidRPr="00441B52">
        <w:rPr>
          <w:kern w:val="28"/>
        </w:rPr>
        <w:t xml:space="preserve">sont ainsi libellés : </w:t>
      </w:r>
    </w:p>
    <w:p w14:paraId="4A4AB53D" w14:textId="77777777" w:rsidR="001A2C66" w:rsidRPr="00441B52" w:rsidRDefault="001A2C66" w:rsidP="001A2C66">
      <w:pPr>
        <w:spacing w:before="120" w:after="120" w:line="240" w:lineRule="auto"/>
        <w:jc w:val="both"/>
        <w:rPr>
          <w:kern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80"/>
      </w:tblGrid>
      <w:tr w:rsidR="00E524EA" w:rsidRPr="00C23406" w14:paraId="3620A998" w14:textId="77777777" w:rsidTr="00673117">
        <w:tc>
          <w:tcPr>
            <w:tcW w:w="4681" w:type="dxa"/>
          </w:tcPr>
          <w:p w14:paraId="62665625" w14:textId="77777777" w:rsidR="00E524EA" w:rsidRPr="00441B52" w:rsidRDefault="00E524EA" w:rsidP="00E524EA">
            <w:pPr>
              <w:spacing w:before="120" w:after="120" w:line="240" w:lineRule="auto"/>
              <w:ind w:left="720" w:right="144"/>
              <w:jc w:val="both"/>
              <w:rPr>
                <w:b/>
                <w:bCs/>
                <w:sz w:val="22"/>
              </w:rPr>
            </w:pPr>
            <w:r w:rsidRPr="00441B52">
              <w:rPr>
                <w:b/>
                <w:bCs/>
                <w:sz w:val="22"/>
              </w:rPr>
              <w:lastRenderedPageBreak/>
              <w:t xml:space="preserve">Charte canadienne </w:t>
            </w:r>
          </w:p>
          <w:p w14:paraId="0B03A84E" w14:textId="77777777" w:rsidR="00E524EA" w:rsidRPr="00441B52" w:rsidRDefault="00E524EA" w:rsidP="00E524EA">
            <w:pPr>
              <w:spacing w:before="120" w:after="120" w:line="240" w:lineRule="auto"/>
              <w:ind w:left="720" w:right="144"/>
              <w:jc w:val="both"/>
              <w:rPr>
                <w:rFonts w:cs="Arial"/>
                <w:sz w:val="22"/>
                <w:szCs w:val="22"/>
              </w:rPr>
            </w:pPr>
            <w:r w:rsidRPr="00441B52">
              <w:rPr>
                <w:sz w:val="22"/>
              </w:rPr>
              <w:t>1. La Charte canadienne des droits et libertés garantit les droits et libertés qui y sont énoncés. Ils ne peuvent être restreints que par une règle de droit, dans des limites qui soient raisonnables et dont la justification puisse se démontrer dans le cadre d’une société libre et démocratique.</w:t>
            </w:r>
          </w:p>
        </w:tc>
        <w:tc>
          <w:tcPr>
            <w:tcW w:w="4681" w:type="dxa"/>
          </w:tcPr>
          <w:p w14:paraId="265C6A2A" w14:textId="77777777" w:rsidR="00E524EA" w:rsidRPr="00441B52" w:rsidRDefault="00E524EA" w:rsidP="00E524EA">
            <w:pPr>
              <w:spacing w:before="120" w:after="120" w:line="240" w:lineRule="auto"/>
              <w:ind w:left="144" w:right="720"/>
              <w:jc w:val="both"/>
              <w:rPr>
                <w:b/>
                <w:bCs/>
                <w:sz w:val="22"/>
                <w:lang w:val="en-CA"/>
              </w:rPr>
            </w:pPr>
            <w:r w:rsidRPr="00441B52">
              <w:rPr>
                <w:b/>
                <w:bCs/>
                <w:sz w:val="22"/>
                <w:lang w:val="en-CA"/>
              </w:rPr>
              <w:t xml:space="preserve">Canadian Charter </w:t>
            </w:r>
          </w:p>
          <w:p w14:paraId="42619F14" w14:textId="77777777" w:rsidR="00E524EA" w:rsidRPr="00441B52" w:rsidRDefault="00E524EA" w:rsidP="00E524EA">
            <w:pPr>
              <w:spacing w:before="120" w:after="120" w:line="240" w:lineRule="auto"/>
              <w:ind w:left="144" w:right="720"/>
              <w:jc w:val="both"/>
              <w:rPr>
                <w:sz w:val="22"/>
                <w:lang w:val="en-CA"/>
              </w:rPr>
            </w:pPr>
            <w:r w:rsidRPr="00441B52">
              <w:rPr>
                <w:sz w:val="22"/>
                <w:lang w:val="en-CA"/>
              </w:rPr>
              <w:t>1. The Canadian Charter of Rights and Freedoms guarantees the rights and freedoms set out in it subject only to such reasonable limits prescribed by law as can be demonstrably justified in a free and democratic society.</w:t>
            </w:r>
          </w:p>
        </w:tc>
      </w:tr>
      <w:tr w:rsidR="00E524EA" w:rsidRPr="00C23406" w14:paraId="7BAF5B6F" w14:textId="77777777" w:rsidTr="00673117">
        <w:tc>
          <w:tcPr>
            <w:tcW w:w="4683" w:type="dxa"/>
          </w:tcPr>
          <w:p w14:paraId="1E16F234" w14:textId="77777777" w:rsidR="00E524EA" w:rsidRPr="00441B52" w:rsidRDefault="00E524EA" w:rsidP="00E524EA">
            <w:pPr>
              <w:spacing w:before="120" w:after="120" w:line="240" w:lineRule="auto"/>
              <w:ind w:left="720" w:right="144"/>
              <w:jc w:val="both"/>
              <w:rPr>
                <w:b/>
                <w:bCs/>
                <w:sz w:val="22"/>
              </w:rPr>
            </w:pPr>
            <w:r w:rsidRPr="00441B52">
              <w:rPr>
                <w:b/>
                <w:bCs/>
                <w:sz w:val="22"/>
              </w:rPr>
              <w:t>Charte québécoise</w:t>
            </w:r>
          </w:p>
          <w:p w14:paraId="71568164" w14:textId="77777777" w:rsidR="00E524EA" w:rsidRPr="00441B52" w:rsidRDefault="00E524EA" w:rsidP="00E524EA">
            <w:pPr>
              <w:spacing w:before="120" w:after="120" w:line="240" w:lineRule="auto"/>
              <w:ind w:left="720" w:right="144"/>
              <w:jc w:val="both"/>
              <w:rPr>
                <w:sz w:val="22"/>
              </w:rPr>
            </w:pPr>
            <w:r w:rsidRPr="00441B52">
              <w:rPr>
                <w:sz w:val="22"/>
              </w:rPr>
              <w:t>9.1. Les droits et libertés de la personne s’exercent dans le respect des valeurs démocratiques, de la laïcité de l’État, de l’importance accordée à la protection du français, de l’ordre public et du bien-être général des citoyens du Québec.</w:t>
            </w:r>
          </w:p>
          <w:p w14:paraId="31BA0C29" w14:textId="1BAFBBF8" w:rsidR="00E524EA" w:rsidRPr="00441B52" w:rsidRDefault="00E524EA" w:rsidP="00E524EA">
            <w:pPr>
              <w:spacing w:before="120" w:after="120" w:line="240" w:lineRule="auto"/>
              <w:ind w:left="720" w:right="144"/>
              <w:jc w:val="both"/>
              <w:rPr>
                <w:rFonts w:cs="Arial"/>
                <w:sz w:val="22"/>
                <w:szCs w:val="22"/>
                <w:lang w:eastAsia="fr-CA"/>
              </w:rPr>
            </w:pPr>
            <w:r w:rsidRPr="00441B52">
              <w:rPr>
                <w:sz w:val="22"/>
              </w:rPr>
              <w:t>La loi peut, à cet égard, en fixer la portée et en aménager l’exercice.</w:t>
            </w:r>
            <w:r w:rsidR="00007ACA" w:rsidRPr="00441B52">
              <w:rPr>
                <w:rStyle w:val="Appelnotedebasdep"/>
                <w:sz w:val="22"/>
              </w:rPr>
              <w:footnoteReference w:id="53"/>
            </w:r>
          </w:p>
        </w:tc>
        <w:tc>
          <w:tcPr>
            <w:tcW w:w="4679" w:type="dxa"/>
          </w:tcPr>
          <w:p w14:paraId="49715929" w14:textId="77777777" w:rsidR="00E524EA" w:rsidRPr="00441B52" w:rsidRDefault="00E524EA" w:rsidP="00E524EA">
            <w:pPr>
              <w:spacing w:before="120" w:after="120" w:line="240" w:lineRule="auto"/>
              <w:ind w:left="144" w:right="720"/>
              <w:jc w:val="both"/>
              <w:rPr>
                <w:b/>
                <w:bCs/>
                <w:sz w:val="22"/>
                <w:lang w:val="en-CA"/>
              </w:rPr>
            </w:pPr>
            <w:r w:rsidRPr="00441B52">
              <w:rPr>
                <w:b/>
                <w:bCs/>
                <w:sz w:val="22"/>
                <w:lang w:val="en-CA"/>
              </w:rPr>
              <w:t xml:space="preserve">Quebec Charter </w:t>
            </w:r>
          </w:p>
          <w:p w14:paraId="1C7652B0" w14:textId="77777777" w:rsidR="00E524EA" w:rsidRPr="00441B52" w:rsidRDefault="00E524EA" w:rsidP="00E524EA">
            <w:pPr>
              <w:spacing w:before="120" w:after="120" w:line="240" w:lineRule="auto"/>
              <w:ind w:left="144" w:right="720"/>
              <w:jc w:val="both"/>
              <w:rPr>
                <w:sz w:val="22"/>
                <w:lang w:val="en-CA"/>
              </w:rPr>
            </w:pPr>
            <w:r w:rsidRPr="00441B52">
              <w:rPr>
                <w:sz w:val="22"/>
                <w:lang w:val="en-CA"/>
              </w:rPr>
              <w:t>9.1. In exercising his human rights and freedoms, a person shall maintain a proper regard for democratic values, State laicity, the importance given to the protection of French, public order and the general well-being of the citizens of Québec.</w:t>
            </w:r>
          </w:p>
          <w:p w14:paraId="27F84D04" w14:textId="77777777" w:rsidR="00E524EA" w:rsidRPr="00441B52" w:rsidRDefault="00E524EA" w:rsidP="00E524EA">
            <w:pPr>
              <w:spacing w:before="120" w:after="120" w:line="240" w:lineRule="auto"/>
              <w:ind w:left="144" w:right="720"/>
              <w:jc w:val="both"/>
              <w:rPr>
                <w:sz w:val="22"/>
                <w:lang w:val="en-CA"/>
              </w:rPr>
            </w:pPr>
            <w:r w:rsidRPr="00441B52">
              <w:rPr>
                <w:sz w:val="22"/>
                <w:lang w:val="en-CA"/>
              </w:rPr>
              <w:t>In this respect, the scope of the freedoms and rights, and limits to their exercise, may be fixed by law.</w:t>
            </w:r>
          </w:p>
        </w:tc>
      </w:tr>
    </w:tbl>
    <w:p w14:paraId="11539F0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Ces dispositions permettent de justifier une atteinte portée par une règle de droit</w:t>
      </w:r>
      <w:r w:rsidRPr="00441B52">
        <w:rPr>
          <w:kern w:val="28"/>
          <w:vertAlign w:val="superscript"/>
        </w:rPr>
        <w:footnoteReference w:id="54"/>
      </w:r>
      <w:r w:rsidRPr="00441B52">
        <w:rPr>
          <w:kern w:val="28"/>
        </w:rPr>
        <w:t xml:space="preserve"> à un droit protégé par les chartes, au terme d’une analyse pouvant s’effectuer conjointement et selon un cadre similaire</w:t>
      </w:r>
      <w:r w:rsidRPr="00441B52">
        <w:rPr>
          <w:kern w:val="28"/>
          <w:vertAlign w:val="superscript"/>
        </w:rPr>
        <w:footnoteReference w:id="55"/>
      </w:r>
      <w:r w:rsidRPr="00441B52">
        <w:rPr>
          <w:kern w:val="28"/>
        </w:rPr>
        <w:t>. Il revient à la partie qui allègue le caractère justifié d’une restriction de le démontrer, selon la prépondérance des probabilités</w:t>
      </w:r>
      <w:r w:rsidRPr="00441B52">
        <w:rPr>
          <w:kern w:val="28"/>
          <w:vertAlign w:val="superscript"/>
        </w:rPr>
        <w:footnoteReference w:id="56"/>
      </w:r>
      <w:r w:rsidRPr="00441B52">
        <w:rPr>
          <w:kern w:val="28"/>
        </w:rPr>
        <w:t xml:space="preserve">. Les critères à analyser ont été établis par la Cour suprême dans l’arrêt </w:t>
      </w:r>
      <w:r w:rsidRPr="00441B52">
        <w:rPr>
          <w:i/>
          <w:iCs/>
          <w:kern w:val="28"/>
        </w:rPr>
        <w:t>Oakes</w:t>
      </w:r>
      <w:r w:rsidRPr="00441B52">
        <w:rPr>
          <w:kern w:val="28"/>
          <w:vertAlign w:val="superscript"/>
        </w:rPr>
        <w:footnoteReference w:id="57"/>
      </w:r>
      <w:r w:rsidRPr="00441B52">
        <w:rPr>
          <w:kern w:val="28"/>
        </w:rPr>
        <w:t xml:space="preserve"> et ont été maintes fois réitérés et explicités</w:t>
      </w:r>
      <w:r w:rsidRPr="00441B52">
        <w:rPr>
          <w:kern w:val="28"/>
          <w:vertAlign w:val="superscript"/>
        </w:rPr>
        <w:footnoteReference w:id="58"/>
      </w:r>
      <w:r w:rsidRPr="00441B52">
        <w:rPr>
          <w:kern w:val="28"/>
        </w:rPr>
        <w:t>. Ainsi, la partie doit d’abord convaincre que la restriction vise un objectif suffisamment important, urgent et réel</w:t>
      </w:r>
      <w:r w:rsidRPr="00441B52">
        <w:rPr>
          <w:kern w:val="28"/>
          <w:vertAlign w:val="superscript"/>
        </w:rPr>
        <w:footnoteReference w:id="59"/>
      </w:r>
      <w:r w:rsidRPr="00441B52">
        <w:rPr>
          <w:kern w:val="28"/>
        </w:rPr>
        <w:t xml:space="preserve">. Ensuite, le moyen choisi pour réaliser l’objectif doit être raisonnable et sa justification doit se démontrer à l’aune d’un critère de proportionnalité, lequel comporte trois éléments : (i) le lien rationnel </w:t>
      </w:r>
      <w:r w:rsidRPr="00441B52">
        <w:rPr>
          <w:kern w:val="28"/>
        </w:rPr>
        <w:lastRenderedPageBreak/>
        <w:t xml:space="preserve">entre la mesure et l’objectif; (ii) l’atteinte minimale au droit restreint par la mesure choisie, et (iii) la proportionnalité des effets préjudiciables et bénéfiques de la mesure. </w:t>
      </w:r>
    </w:p>
    <w:p w14:paraId="500859A8" w14:textId="707D575D"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Comme le souligne la Cour suprême, « [l]’examen de la proportionnalité se veut à la fois normatif et contextuel, et oblige les tribunaux à soupeser les intérêts de la société et ceux de particuliers et de groupes »</w:t>
      </w:r>
      <w:r w:rsidRPr="00441B52">
        <w:rPr>
          <w:kern w:val="28"/>
          <w:vertAlign w:val="superscript"/>
        </w:rPr>
        <w:footnoteReference w:id="60"/>
      </w:r>
      <w:r w:rsidRPr="00441B52">
        <w:rPr>
          <w:kern w:val="28"/>
        </w:rPr>
        <w:t>. Dans le cadre de cette analyse contextuelle, il sera plus difficile de justifier une violation à la liberté d’expression qui atteint le cœur des valeurs protégées</w:t>
      </w:r>
      <w:r w:rsidRPr="00441B52">
        <w:rPr>
          <w:kern w:val="28"/>
          <w:vertAlign w:val="superscript"/>
        </w:rPr>
        <w:footnoteReference w:id="61"/>
      </w:r>
      <w:r w:rsidRPr="00441B52">
        <w:rPr>
          <w:kern w:val="28"/>
        </w:rPr>
        <w:t xml:space="preserve">. À ce sujet, ma collègue la juge Bich écrivait dans </w:t>
      </w:r>
      <w:r w:rsidRPr="00481326">
        <w:rPr>
          <w:kern w:val="28"/>
        </w:rPr>
        <w:t>l’arrê</w:t>
      </w:r>
      <w:r w:rsidR="00705301">
        <w:rPr>
          <w:kern w:val="28"/>
        </w:rPr>
        <w:t>t</w:t>
      </w:r>
      <w:r w:rsidRPr="00441B52">
        <w:rPr>
          <w:kern w:val="28"/>
        </w:rPr>
        <w:t xml:space="preserve"> </w:t>
      </w:r>
      <w:r w:rsidRPr="00441B52">
        <w:rPr>
          <w:i/>
          <w:iCs/>
          <w:kern w:val="28"/>
        </w:rPr>
        <w:t>Bérubé c. Ville de Québec</w:t>
      </w:r>
      <w:r w:rsidRPr="00441B52">
        <w:rPr>
          <w:kern w:val="28"/>
        </w:rPr>
        <w:t> :</w:t>
      </w:r>
    </w:p>
    <w:p w14:paraId="6B646FE0" w14:textId="77777777" w:rsidR="00E524EA" w:rsidRPr="00441B52" w:rsidRDefault="00E524EA" w:rsidP="00E524EA">
      <w:pPr>
        <w:spacing w:before="120" w:after="120" w:line="240" w:lineRule="auto"/>
        <w:ind w:left="720" w:right="720"/>
        <w:jc w:val="both"/>
        <w:rPr>
          <w:kern w:val="24"/>
          <w:sz w:val="22"/>
        </w:rPr>
      </w:pPr>
      <w:bookmarkStart w:id="35" w:name="_Ref17135058"/>
      <w:r w:rsidRPr="00441B52">
        <w:rPr>
          <w:kern w:val="24"/>
          <w:sz w:val="22"/>
        </w:rPr>
        <w:t>[</w:t>
      </w:r>
      <w:bookmarkStart w:id="36" w:name="par78"/>
      <w:bookmarkEnd w:id="36"/>
      <w:r w:rsidRPr="00441B52">
        <w:rPr>
          <w:kern w:val="24"/>
          <w:sz w:val="22"/>
        </w:rPr>
        <w:t>78]</w:t>
      </w:r>
      <w:r w:rsidRPr="00441B52">
        <w:rPr>
          <w:kern w:val="24"/>
          <w:sz w:val="22"/>
        </w:rPr>
        <w:tab/>
        <w:t>S’agissant toutefois de restreindre la liberté d’expression, dont l’importance sociale et la fonction privilégiée comme instrument et pilier de l’ordre démocratique ont été maintes fois soulignées par la jurisprudence</w:t>
      </w:r>
      <w:bookmarkStart w:id="37" w:name="_Ref15584289"/>
      <w:bookmarkEnd w:id="35"/>
      <w:bookmarkEnd w:id="37"/>
      <w:r w:rsidRPr="00441B52">
        <w:rPr>
          <w:kern w:val="24"/>
          <w:sz w:val="22"/>
        </w:rPr>
        <w:t xml:space="preserve"> et la doctrine</w:t>
      </w:r>
      <w:bookmarkStart w:id="38" w:name="_Ref16715861"/>
      <w:bookmarkEnd w:id="38"/>
      <w:r w:rsidRPr="00441B52">
        <w:rPr>
          <w:kern w:val="24"/>
          <w:sz w:val="22"/>
        </w:rPr>
        <w:t xml:space="preserve">, la Cour suprême, sous la plume de la juge en chef McLachlin, rappelle cependant que le test ci-dessus doit être </w:t>
      </w:r>
      <w:r w:rsidRPr="00441B52">
        <w:rPr>
          <w:kern w:val="24"/>
          <w:sz w:val="22"/>
          <w:u w:val="single"/>
        </w:rPr>
        <w:t>appliqué de façon rigoureuse</w:t>
      </w:r>
      <w:r w:rsidRPr="00441B52">
        <w:rPr>
          <w:kern w:val="24"/>
          <w:sz w:val="22"/>
        </w:rPr>
        <w:t>, surtout lorsqu’il s’agit de restreindre la liberté d’expression politique […].</w:t>
      </w:r>
      <w:r w:rsidRPr="00441B52">
        <w:rPr>
          <w:kern w:val="24"/>
          <w:sz w:val="22"/>
          <w:vertAlign w:val="superscript"/>
        </w:rPr>
        <w:footnoteReference w:id="62"/>
      </w:r>
    </w:p>
    <w:p w14:paraId="0724C928" w14:textId="77777777" w:rsidR="00E524EA" w:rsidRPr="00441B52" w:rsidRDefault="00E524EA" w:rsidP="00E524EA">
      <w:pPr>
        <w:spacing w:before="120" w:after="120" w:line="240" w:lineRule="auto"/>
        <w:ind w:left="720" w:right="720"/>
        <w:jc w:val="right"/>
        <w:rPr>
          <w:kern w:val="24"/>
          <w:sz w:val="22"/>
        </w:rPr>
      </w:pPr>
      <w:r w:rsidRPr="00441B52">
        <w:rPr>
          <w:kern w:val="24"/>
          <w:sz w:val="22"/>
        </w:rPr>
        <w:t>[Renvois omis; soulignement ajouté]</w:t>
      </w:r>
    </w:p>
    <w:p w14:paraId="2945C2D9"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Je n’ai aucune hésitation à conclure que la même rigueur doit s’appliquer lorsque la liberté d’expression artistique est en cause</w:t>
      </w:r>
      <w:r w:rsidRPr="00441B52">
        <w:rPr>
          <w:kern w:val="28"/>
          <w:vertAlign w:val="superscript"/>
        </w:rPr>
        <w:footnoteReference w:id="63"/>
      </w:r>
      <w:r w:rsidRPr="00441B52">
        <w:rPr>
          <w:kern w:val="28"/>
        </w:rPr>
        <w:t xml:space="preserve">. </w:t>
      </w:r>
    </w:p>
    <w:p w14:paraId="7450C4F6" w14:textId="77777777" w:rsidR="00E524EA" w:rsidRPr="00441B52" w:rsidRDefault="00E524EA" w:rsidP="00E524EA">
      <w:pPr>
        <w:keepNext/>
        <w:numPr>
          <w:ilvl w:val="0"/>
          <w:numId w:val="22"/>
        </w:numPr>
        <w:tabs>
          <w:tab w:val="num" w:pos="993"/>
        </w:tabs>
        <w:spacing w:before="120" w:after="120" w:line="240" w:lineRule="auto"/>
        <w:outlineLvl w:val="2"/>
        <w:rPr>
          <w:b/>
          <w:bCs/>
          <w:u w:val="single"/>
        </w:rPr>
      </w:pPr>
      <w:r w:rsidRPr="00441B52">
        <w:rPr>
          <w:b/>
          <w:bCs/>
          <w:u w:val="single"/>
        </w:rPr>
        <w:t>Objectif du législateur</w:t>
      </w:r>
    </w:p>
    <w:p w14:paraId="59A1122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Aux fins de cette évaluation, c’est l’objectif de la mesure attentatoire, et non celui de l’ensemble des dispositions, qui est pertinent</w:t>
      </w:r>
      <w:r w:rsidRPr="00441B52">
        <w:rPr>
          <w:kern w:val="28"/>
          <w:vertAlign w:val="superscript"/>
        </w:rPr>
        <w:footnoteReference w:id="64"/>
      </w:r>
      <w:r w:rsidRPr="00441B52">
        <w:rPr>
          <w:kern w:val="28"/>
        </w:rPr>
        <w:t>. Par ailleurs, la formulation de cet objectif est centrale à l’analyse, puisque mal cerner un objectif peut compromettre l’examen de la justification</w:t>
      </w:r>
      <w:r w:rsidRPr="00441B52">
        <w:rPr>
          <w:kern w:val="28"/>
          <w:vertAlign w:val="superscript"/>
        </w:rPr>
        <w:footnoteReference w:id="65"/>
      </w:r>
      <w:r w:rsidRPr="00441B52">
        <w:rPr>
          <w:kern w:val="28"/>
        </w:rPr>
        <w:t xml:space="preserve">. En effet, comme le mentionne la majorité de la Cour suprême dans l’arrêt </w:t>
      </w:r>
      <w:r w:rsidRPr="00441B52">
        <w:rPr>
          <w:i/>
          <w:iCs/>
          <w:kern w:val="28"/>
        </w:rPr>
        <w:t>Frank</w:t>
      </w:r>
      <w:r w:rsidRPr="00441B52">
        <w:rPr>
          <w:kern w:val="28"/>
        </w:rPr>
        <w:t xml:space="preserve">, « [s]i l’objectif législatif est formulé de façon trop large, on risque d’en exagérer l’importance […]. À l’inverse, si l’objectif de la mesure est interprété trop étroitement, sa formulation risque de simplement réaffirmer le moyen choisi pour </w:t>
      </w:r>
      <w:r w:rsidRPr="00441B52">
        <w:rPr>
          <w:kern w:val="28"/>
        </w:rPr>
        <w:lastRenderedPageBreak/>
        <w:t>parvenir à ses fins »</w:t>
      </w:r>
      <w:r w:rsidRPr="00441B52">
        <w:rPr>
          <w:kern w:val="28"/>
          <w:vertAlign w:val="superscript"/>
        </w:rPr>
        <w:footnoteReference w:id="66"/>
      </w:r>
      <w:r w:rsidRPr="00441B52">
        <w:rPr>
          <w:kern w:val="28"/>
        </w:rPr>
        <w:t>. Il faut éviter une formulation qui soit trop générale, puisqu’elle conduirait forcément à conclure à l’existence d’un lien rationnel avec le moyen choisi</w:t>
      </w:r>
      <w:r w:rsidRPr="00441B52">
        <w:rPr>
          <w:kern w:val="28"/>
          <w:vertAlign w:val="superscript"/>
        </w:rPr>
        <w:footnoteReference w:id="67"/>
      </w:r>
      <w:r w:rsidRPr="00441B52">
        <w:rPr>
          <w:kern w:val="28"/>
        </w:rPr>
        <w:t>. De même, si l’objectif reprend essentiellement la formulation du moyen, « la distinction entre les fins et les moyens risque de s’estomper, et l’énoncé de l’objet empêchera concrètement le tribunal d’examiner séparément le lien qui existe entre eux »</w:t>
      </w:r>
      <w:r w:rsidRPr="00441B52">
        <w:rPr>
          <w:kern w:val="28"/>
          <w:vertAlign w:val="superscript"/>
        </w:rPr>
        <w:footnoteReference w:id="68"/>
      </w:r>
      <w:r w:rsidRPr="00441B52">
        <w:rPr>
          <w:kern w:val="28"/>
        </w:rPr>
        <w:t>. J’ajoute que de confondre le moyen et l’objectif risque d’entraîner la conclusion que ce moyen est le moins attentatoire puisqu’il correspond exactement à l’objectif et permet nécessairement de l’atteindre de façon réelle et substantielle</w:t>
      </w:r>
      <w:r w:rsidRPr="00441B52">
        <w:rPr>
          <w:kern w:val="28"/>
          <w:vertAlign w:val="superscript"/>
        </w:rPr>
        <w:footnoteReference w:id="69"/>
      </w:r>
      <w:r w:rsidRPr="00441B52">
        <w:rPr>
          <w:kern w:val="28"/>
        </w:rPr>
        <w:t xml:space="preserve">. </w:t>
      </w:r>
    </w:p>
    <w:p w14:paraId="1342DEC1" w14:textId="77777777" w:rsidR="00E524EA" w:rsidRPr="00441B52" w:rsidRDefault="00E524EA" w:rsidP="00E524EA">
      <w:pPr>
        <w:spacing w:before="120" w:after="120" w:line="240" w:lineRule="auto"/>
        <w:jc w:val="center"/>
        <w:rPr>
          <w:kern w:val="28"/>
        </w:rPr>
      </w:pPr>
      <w:r w:rsidRPr="00441B52">
        <w:rPr>
          <w:kern w:val="28"/>
        </w:rPr>
        <w:t>***</w:t>
      </w:r>
    </w:p>
    <w:p w14:paraId="0768518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juge conclut que la limite est imposée par une règle de droit qui poursuit un objectif important : « Tous conviennent que les limites invoquées découlent de la </w:t>
      </w:r>
      <w:r w:rsidRPr="00441B52">
        <w:rPr>
          <w:i/>
          <w:iCs/>
          <w:kern w:val="28"/>
        </w:rPr>
        <w:t>Loi</w:t>
      </w:r>
      <w:r w:rsidRPr="00441B52">
        <w:rPr>
          <w:kern w:val="28"/>
        </w:rPr>
        <w:t xml:space="preserve">, en l’occurrence la </w:t>
      </w:r>
      <w:r w:rsidRPr="00441B52">
        <w:rPr>
          <w:i/>
          <w:iCs/>
          <w:kern w:val="28"/>
        </w:rPr>
        <w:t>LCLT</w:t>
      </w:r>
      <w:r w:rsidRPr="00441B52">
        <w:rPr>
          <w:kern w:val="28"/>
        </w:rPr>
        <w:t xml:space="preserve"> et le </w:t>
      </w:r>
      <w:r w:rsidRPr="00441B52">
        <w:rPr>
          <w:i/>
          <w:iCs/>
          <w:kern w:val="28"/>
        </w:rPr>
        <w:t>Règlement</w:t>
      </w:r>
      <w:r w:rsidRPr="00441B52">
        <w:rPr>
          <w:kern w:val="28"/>
        </w:rPr>
        <w:t xml:space="preserve">, et qu’en adoptant cette </w:t>
      </w:r>
      <w:r w:rsidRPr="00441B52">
        <w:rPr>
          <w:i/>
          <w:iCs/>
          <w:kern w:val="28"/>
        </w:rPr>
        <w:t>Loi</w:t>
      </w:r>
      <w:r w:rsidRPr="00441B52">
        <w:rPr>
          <w:kern w:val="28"/>
        </w:rPr>
        <w:t xml:space="preserve"> et ce </w:t>
      </w:r>
      <w:r w:rsidRPr="00441B52">
        <w:rPr>
          <w:i/>
          <w:iCs/>
          <w:kern w:val="28"/>
        </w:rPr>
        <w:t>Règlement</w:t>
      </w:r>
      <w:r w:rsidRPr="00441B52">
        <w:rPr>
          <w:kern w:val="28"/>
        </w:rPr>
        <w:t xml:space="preserve">, l’État cherchait à répondre à un objectif de </w:t>
      </w:r>
      <w:r w:rsidRPr="00441B52">
        <w:rPr>
          <w:kern w:val="28"/>
          <w:u w:val="single"/>
        </w:rPr>
        <w:t>santé publique</w:t>
      </w:r>
      <w:r w:rsidRPr="00441B52">
        <w:rPr>
          <w:kern w:val="28"/>
        </w:rPr>
        <w:t xml:space="preserve"> urgent et réel »</w:t>
      </w:r>
      <w:r w:rsidRPr="00441B52">
        <w:rPr>
          <w:kern w:val="28"/>
          <w:vertAlign w:val="superscript"/>
        </w:rPr>
        <w:footnoteReference w:id="70"/>
      </w:r>
      <w:r w:rsidRPr="00441B52">
        <w:rPr>
          <w:kern w:val="28"/>
        </w:rPr>
        <w:t xml:space="preserve">. Les Théâtres admettent qu’il s’agit là d’un objectif urgent et réel. </w:t>
      </w:r>
    </w:p>
    <w:p w14:paraId="480B8EF7"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 PGQ plaide que le juge a erré en qualifiant « trop largement l’objectif législatif sous-jacent aux dispositions contestées »</w:t>
      </w:r>
      <w:r w:rsidRPr="00441B52">
        <w:rPr>
          <w:kern w:val="28"/>
          <w:vertAlign w:val="superscript"/>
        </w:rPr>
        <w:footnoteReference w:id="71"/>
      </w:r>
      <w:r w:rsidRPr="00441B52">
        <w:rPr>
          <w:kern w:val="28"/>
        </w:rPr>
        <w:t>, ce qui a créé une distance qui entache irrémédiablement l’analyse de l’atteinte minimale et de la pondération. Sans conclure que cette qualification entraîne de telles conséquences</w:t>
      </w:r>
      <w:r w:rsidRPr="00441B52">
        <w:rPr>
          <w:kern w:val="28"/>
          <w:vertAlign w:val="superscript"/>
        </w:rPr>
        <w:footnoteReference w:id="72"/>
      </w:r>
      <w:r w:rsidRPr="00441B52">
        <w:rPr>
          <w:kern w:val="28"/>
        </w:rPr>
        <w:t>, je conviens que l’objectif retenu dans le jugement entrepris relève davantage de la « valeur sociale directrice » au cœur de l’ensemble des mesures législatives adoptées pour lutter contre le tabagisme et qu’il y a lieu de le préciser davantage</w:t>
      </w:r>
      <w:r w:rsidRPr="00441B52">
        <w:rPr>
          <w:kern w:val="28"/>
          <w:vertAlign w:val="superscript"/>
        </w:rPr>
        <w:footnoteReference w:id="73"/>
      </w:r>
      <w:r w:rsidRPr="00441B52">
        <w:rPr>
          <w:kern w:val="28"/>
        </w:rPr>
        <w:t xml:space="preserve">. </w:t>
      </w:r>
    </w:p>
    <w:p w14:paraId="7E78700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Dans l’arrêt </w:t>
      </w:r>
      <w:r w:rsidRPr="00441B52">
        <w:rPr>
          <w:i/>
          <w:kern w:val="28"/>
        </w:rPr>
        <w:t>Procureur général du Québec</w:t>
      </w:r>
      <w:r w:rsidRPr="00441B52">
        <w:rPr>
          <w:kern w:val="28"/>
        </w:rPr>
        <w:t xml:space="preserve"> c. </w:t>
      </w:r>
      <w:r w:rsidRPr="00441B52">
        <w:rPr>
          <w:i/>
          <w:kern w:val="28"/>
        </w:rPr>
        <w:t>Gallant</w:t>
      </w:r>
      <w:r w:rsidRPr="00441B52">
        <w:rPr>
          <w:iCs/>
          <w:kern w:val="28"/>
          <w:vertAlign w:val="superscript"/>
        </w:rPr>
        <w:footnoteReference w:id="74"/>
      </w:r>
      <w:r w:rsidRPr="00441B52">
        <w:rPr>
          <w:kern w:val="28"/>
        </w:rPr>
        <w:t xml:space="preserve">, portant sur la constitutionnalité des dispositions interdisant notamment les essais de produits de vapotage dans les boutiques spécialisées et dans les cliniques de cessation tabagique, mon collègue, le juge Moore, souligne pour la Cour que la </w:t>
      </w:r>
      <w:r w:rsidRPr="00441B52">
        <w:rPr>
          <w:i/>
          <w:iCs/>
          <w:kern w:val="28"/>
        </w:rPr>
        <w:t>Loi</w:t>
      </w:r>
      <w:r w:rsidRPr="00441B52">
        <w:rPr>
          <w:kern w:val="28"/>
        </w:rPr>
        <w:t xml:space="preserve"> « repose sur trois grands </w:t>
      </w:r>
      <w:r w:rsidRPr="00441B52">
        <w:rPr>
          <w:kern w:val="28"/>
        </w:rPr>
        <w:lastRenderedPageBreak/>
        <w:t>objectifs : 1) prévenir la consommation des produits du tabac, tout particulièrement chez les jeunes; 2) encourager et soutenir l’abandon du tabagisme; et 3) assurer la protection des non-fumeurs contre l’exposition à la fumée secondaire »</w:t>
      </w:r>
      <w:r w:rsidRPr="00441B52">
        <w:rPr>
          <w:kern w:val="28"/>
          <w:vertAlign w:val="superscript"/>
        </w:rPr>
        <w:footnoteReference w:id="75"/>
      </w:r>
      <w:r w:rsidRPr="00441B52">
        <w:rPr>
          <w:kern w:val="28"/>
        </w:rPr>
        <w:t>. Quant aux dispositions précises contestées, qui portent sur le vapotage, il reprend ces objectifs en spécifiant que le législateur cherche à éviter que le vapotage incite au tabagisme par phénomène de mimétisme ou d’effet passerelle, puis il ajoute : « le législateur entend aussi protéger les utilisateurs et les non-utilisateurs de la cigarette électronique à l’encontre des risques inhérents que celle-ci comporte »</w:t>
      </w:r>
      <w:r w:rsidRPr="00441B52">
        <w:rPr>
          <w:kern w:val="28"/>
          <w:vertAlign w:val="superscript"/>
        </w:rPr>
        <w:footnoteReference w:id="76"/>
      </w:r>
      <w:r w:rsidRPr="00441B52">
        <w:rPr>
          <w:kern w:val="28"/>
        </w:rPr>
        <w:t xml:space="preserve">. </w:t>
      </w:r>
    </w:p>
    <w:p w14:paraId="6D6F5FC9"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En s’appuyant sur ce précédent, le PGQ plaide que l’objectif des dispositions législatives contestées est de limiter l’exposition des non-fumeurs à la fumée secondaire. Il ne défend pas la mesure attentatoire sur la base des deux autres objectifs que vise la </w:t>
      </w:r>
      <w:r w:rsidRPr="00441B52">
        <w:rPr>
          <w:i/>
          <w:iCs/>
          <w:kern w:val="28"/>
        </w:rPr>
        <w:t>Loi</w:t>
      </w:r>
      <w:r w:rsidRPr="00441B52">
        <w:rPr>
          <w:iCs/>
          <w:kern w:val="28"/>
        </w:rPr>
        <w:t>, soit prévenir la consommation des produits du tabac, tout particulièrement chez les jeunes et encourager l’abandon du tabagisme</w:t>
      </w:r>
      <w:r w:rsidRPr="00441B52">
        <w:rPr>
          <w:kern w:val="28"/>
        </w:rPr>
        <w:t xml:space="preserve">. En conséquence, il ne présente pas de preuve en lien avec ceux-ci. Voyons tout de même ce qu’il en est pour chacun d’eux. </w:t>
      </w:r>
    </w:p>
    <w:p w14:paraId="64BAA3B8" w14:textId="0FEE0EB5"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L’interdiction de fumer dans des lieux fermés où se déroulent des activités culturelles ou artistiques est introduite en 1986 à l’article 15 de la </w:t>
      </w:r>
      <w:r w:rsidRPr="00441B52">
        <w:rPr>
          <w:i/>
          <w:iCs/>
          <w:kern w:val="28"/>
        </w:rPr>
        <w:t>Loi sur la protection des non-fumeurs dans certains lieux publics</w:t>
      </w:r>
      <w:r w:rsidRPr="00441B52">
        <w:rPr>
          <w:kern w:val="28"/>
          <w:vertAlign w:val="superscript"/>
        </w:rPr>
        <w:footnoteReference w:id="77"/>
      </w:r>
      <w:r w:rsidRPr="00441B52">
        <w:rPr>
          <w:kern w:val="28"/>
        </w:rPr>
        <w:t>. Cette disposition se retrouvait dans le chapitre II intitulé « protection des non-fumeurs », à</w:t>
      </w:r>
      <w:r w:rsidRPr="00441B52">
        <w:rPr>
          <w:i/>
          <w:iCs/>
          <w:kern w:val="28"/>
        </w:rPr>
        <w:t xml:space="preserve"> </w:t>
      </w:r>
      <w:r w:rsidRPr="00441B52">
        <w:rPr>
          <w:kern w:val="28"/>
        </w:rPr>
        <w:t>la section III « Lieux divers ». L’article</w:t>
      </w:r>
      <w:r w:rsidR="00F4558F" w:rsidRPr="00441B52">
        <w:rPr>
          <w:kern w:val="28"/>
        </w:rPr>
        <w:t> </w:t>
      </w:r>
      <w:r w:rsidRPr="00441B52">
        <w:rPr>
          <w:kern w:val="28"/>
        </w:rPr>
        <w:t xml:space="preserve">1 spécifiait que l’objet de la loi était de « régir l’usage du tabac dans certains lieux publics afin de mieux protéger la santé et le bien-être des non-fumeurs ». Cette interdiction est reprise en 1998 dans la </w:t>
      </w:r>
      <w:r w:rsidRPr="00441B52">
        <w:rPr>
          <w:i/>
          <w:iCs/>
          <w:kern w:val="28"/>
        </w:rPr>
        <w:t>Loi sur le tabac</w:t>
      </w:r>
      <w:r w:rsidRPr="00441B52">
        <w:rPr>
          <w:kern w:val="28"/>
          <w:vertAlign w:val="superscript"/>
        </w:rPr>
        <w:footnoteReference w:id="78"/>
      </w:r>
      <w:r w:rsidRPr="00441B52">
        <w:rPr>
          <w:kern w:val="28"/>
        </w:rPr>
        <w:t xml:space="preserve">, dont le titre devient la </w:t>
      </w:r>
      <w:r w:rsidRPr="00441B52">
        <w:rPr>
          <w:i/>
          <w:iCs/>
          <w:kern w:val="28"/>
        </w:rPr>
        <w:t>Loi concernant la lutte contre le tabagisme</w:t>
      </w:r>
      <w:r w:rsidRPr="00441B52">
        <w:rPr>
          <w:kern w:val="28"/>
        </w:rPr>
        <w:t xml:space="preserve"> en 2015. Les débats parlementaires des diverses étapes législatives font état de cet objectif à maintes reprises. Par exemple, en 1986, le ministre de l’Environnement de l’époque, monsieur Clifford Lincoln, souligne : </w:t>
      </w:r>
    </w:p>
    <w:p w14:paraId="6727B3DD" w14:textId="77777777" w:rsidR="00E524EA" w:rsidRPr="00441B52" w:rsidRDefault="00E524EA" w:rsidP="00E524EA">
      <w:pPr>
        <w:spacing w:before="120" w:after="120" w:line="240" w:lineRule="auto"/>
        <w:ind w:left="720" w:right="720"/>
        <w:jc w:val="both"/>
        <w:rPr>
          <w:kern w:val="24"/>
          <w:sz w:val="22"/>
        </w:rPr>
      </w:pPr>
      <w:r w:rsidRPr="00441B52">
        <w:rPr>
          <w:kern w:val="24"/>
          <w:sz w:val="22"/>
        </w:rPr>
        <w:t>[…] Alors on veut gérer l’usage du tabac dans certains lieux publics et l’objectif de la loi c’est de préserver les droits des non-fumeurs à la santé et au bien-être, ce qu’ils demandent. […]</w:t>
      </w:r>
    </w:p>
    <w:p w14:paraId="792C264F" w14:textId="48A6EE88" w:rsidR="00E524EA" w:rsidRPr="00441B52" w:rsidRDefault="00E524EA" w:rsidP="00E524EA">
      <w:pPr>
        <w:spacing w:before="120" w:after="120" w:line="240" w:lineRule="auto"/>
        <w:ind w:left="720" w:right="720"/>
        <w:jc w:val="both"/>
        <w:rPr>
          <w:kern w:val="24"/>
          <w:sz w:val="22"/>
        </w:rPr>
      </w:pPr>
      <w:r w:rsidRPr="00441B52">
        <w:rPr>
          <w:kern w:val="24"/>
          <w:sz w:val="22"/>
        </w:rPr>
        <w:t xml:space="preserve">[…] Donc, ce n’est pas une interdiction totale, c’est une interdiction dans certains endroits. C’est une permission dans d’autres endroits. C’est pourquoi « régir » a été utilisé pour indiquer que cela veut dire gérer, contrôler et permettre dans certains cas ou omettre dans </w:t>
      </w:r>
      <w:r w:rsidRPr="00481326">
        <w:rPr>
          <w:kern w:val="24"/>
          <w:sz w:val="22"/>
        </w:rPr>
        <w:t>d’autre</w:t>
      </w:r>
      <w:r w:rsidR="00D8240B">
        <w:rPr>
          <w:kern w:val="24"/>
          <w:sz w:val="22"/>
        </w:rPr>
        <w:t>s</w:t>
      </w:r>
      <w:r w:rsidRPr="00441B52">
        <w:rPr>
          <w:kern w:val="24"/>
          <w:sz w:val="22"/>
        </w:rPr>
        <w:t xml:space="preserve"> cas. […] L’objectif fondamental de la loi c’est de reconnaître certains droits à des non-fumeurs qui le demandent. C’est cela l’objectif de la loi. Ces droits n’étaient pas reconnus jusqu’à présent. C’est le sens </w:t>
      </w:r>
      <w:r w:rsidRPr="00441B52">
        <w:rPr>
          <w:kern w:val="24"/>
          <w:sz w:val="22"/>
        </w:rPr>
        <w:lastRenderedPageBreak/>
        <w:t>même de la loi. Autrement il n’y aurait pas eu de loi. C’est sûr qu’aujourd’hui sans une loi on pourrait fumer n’importe où. Alors l’idée c’est justement de donner certains droits aux non-fumeurs dans certains endroits.</w:t>
      </w:r>
      <w:r w:rsidRPr="00441B52">
        <w:rPr>
          <w:kern w:val="24"/>
          <w:sz w:val="22"/>
          <w:vertAlign w:val="superscript"/>
        </w:rPr>
        <w:footnoteReference w:id="79"/>
      </w:r>
    </w:p>
    <w:p w14:paraId="2DC69CA9" w14:textId="7D709F1B"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Au fil des modifications, le législateur a élargi les endroits et les dispositifs visés par la législation, afin </w:t>
      </w:r>
      <w:r w:rsidR="00697C06" w:rsidRPr="00441B52">
        <w:rPr>
          <w:kern w:val="28"/>
        </w:rPr>
        <w:t xml:space="preserve">d’inclure </w:t>
      </w:r>
      <w:r w:rsidRPr="00441B52">
        <w:rPr>
          <w:kern w:val="28"/>
        </w:rPr>
        <w:t>notamment de nouveaux lieux publics fermés et les cigarettes aux herbes</w:t>
      </w:r>
      <w:r w:rsidRPr="00441B52">
        <w:rPr>
          <w:kern w:val="28"/>
          <w:vertAlign w:val="superscript"/>
        </w:rPr>
        <w:footnoteReference w:id="80"/>
      </w:r>
      <w:r w:rsidRPr="00441B52">
        <w:rPr>
          <w:kern w:val="28"/>
        </w:rPr>
        <w:t>. Ce faisant, il maintient son objectif, soit de protéger la santé et le bien-être des non-fumeurs par le contrôle de la fumée secondaire dans les lieux publics fermés, dont ceux où se déroulent des activités culturelles ou artistiques. Je n’ai aucune hésitation à conclure qu’il s’agit d’un objectif important, urgent et réel</w:t>
      </w:r>
      <w:r w:rsidRPr="00441B52">
        <w:rPr>
          <w:kern w:val="28"/>
          <w:vertAlign w:val="superscript"/>
        </w:rPr>
        <w:footnoteReference w:id="81"/>
      </w:r>
      <w:r w:rsidRPr="00441B52">
        <w:rPr>
          <w:kern w:val="28"/>
        </w:rPr>
        <w:t>.</w:t>
      </w:r>
    </w:p>
    <w:p w14:paraId="3774D1E4"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Quant aux objectifs de soutenir l’abandon du tabagisme et de prévenir la consommation des produits du tabac, tout particulièrement chez les jeunes, le juge souligne dans ses motifs que « l’acte de fumer dans une pièce de théâtre » doit être soupesé avec « les risques qu’ils [les spectateurs] soient encouragés à fumer »</w:t>
      </w:r>
      <w:r w:rsidRPr="00441B52">
        <w:rPr>
          <w:kern w:val="28"/>
          <w:vertAlign w:val="superscript"/>
        </w:rPr>
        <w:footnoteReference w:id="82"/>
      </w:r>
      <w:r w:rsidRPr="00441B52">
        <w:rPr>
          <w:kern w:val="28"/>
        </w:rPr>
        <w:t>. Cependant, l’interdiction porte sur le fait de fumer un produit émettant une substance pouvant être inhalée, et non de représenter le geste de fumer, comme le reconnaît le PGQ. Ainsi, l’objectif ne peut être véritablement de soutenir l’abandon du tabagisme et prévenir la consommation de produits du tabac puisqu’une telle représentation peut avoir le même effet. À ce sujet, je rappelle que le PGQ ne présente aucune preuve visant à démontrer que l’inhalation de la fumée par un personnage aurait une plus grande influence qu’une représentation de l’acte de fumer, alors que les œuvres cinématographiques et télévisuelles ne sont nullement restreintes à ce sujet</w:t>
      </w:r>
      <w:r w:rsidRPr="00441B52">
        <w:rPr>
          <w:kern w:val="28"/>
          <w:vertAlign w:val="superscript"/>
        </w:rPr>
        <w:footnoteReference w:id="83"/>
      </w:r>
      <w:r w:rsidRPr="00441B52">
        <w:rPr>
          <w:kern w:val="28"/>
        </w:rPr>
        <w:t xml:space="preserve">.  </w:t>
      </w:r>
    </w:p>
    <w:p w14:paraId="17A4F125"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En somme, l’ensemble convainc que l’objectif de la mesure attentatoire sur laquelle doit s’attarder l’analyse est d’assurer la protection des non-fumeurs contre l’exposition à la fumée secondaire, tel que le plaide le PGQ, et qu’il s’agit d’un objectif important, urgent et réel. </w:t>
      </w:r>
    </w:p>
    <w:p w14:paraId="2DC3DFB3" w14:textId="77777777" w:rsidR="00E524EA" w:rsidRPr="00441B52" w:rsidRDefault="00E524EA" w:rsidP="00E524EA">
      <w:pPr>
        <w:keepNext/>
        <w:numPr>
          <w:ilvl w:val="0"/>
          <w:numId w:val="22"/>
        </w:numPr>
        <w:tabs>
          <w:tab w:val="num" w:pos="993"/>
        </w:tabs>
        <w:spacing w:before="120" w:after="120" w:line="240" w:lineRule="auto"/>
        <w:outlineLvl w:val="2"/>
        <w:rPr>
          <w:b/>
          <w:bCs/>
        </w:rPr>
      </w:pPr>
      <w:r w:rsidRPr="00441B52">
        <w:rPr>
          <w:b/>
          <w:bCs/>
        </w:rPr>
        <w:lastRenderedPageBreak/>
        <w:t>Proportionnalité</w:t>
      </w:r>
    </w:p>
    <w:p w14:paraId="4E69A5E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L’analyse de la proportionnalité tient compte de la nature de la violation et du moyen choisi par le législateur pour atteindre l’objectif. Dans le cadre de cet exercice</w:t>
      </w:r>
      <w:r w:rsidRPr="00441B52">
        <w:rPr>
          <w:i/>
          <w:iCs/>
          <w:kern w:val="28"/>
        </w:rPr>
        <w:t xml:space="preserve">, </w:t>
      </w:r>
      <w:r w:rsidRPr="00441B52">
        <w:rPr>
          <w:kern w:val="28"/>
        </w:rPr>
        <w:t xml:space="preserve">« [i]l faut faire preuve d’un certain degré de déférence judiciaire, car l’article premier exige simplement que les limites soient </w:t>
      </w:r>
      <w:r w:rsidRPr="00441B52">
        <w:rPr>
          <w:rFonts w:cs="Arial"/>
          <w:kern w:val="28"/>
        </w:rPr>
        <w:t>“</w:t>
      </w:r>
      <w:r w:rsidRPr="00441B52">
        <w:rPr>
          <w:kern w:val="28"/>
        </w:rPr>
        <w:t>raisonnables</w:t>
      </w:r>
      <w:r w:rsidRPr="00441B52">
        <w:rPr>
          <w:rFonts w:cs="Arial"/>
          <w:kern w:val="28"/>
        </w:rPr>
        <w:t>” »</w:t>
      </w:r>
      <w:r w:rsidRPr="00441B52">
        <w:rPr>
          <w:kern w:val="28"/>
          <w:vertAlign w:val="superscript"/>
        </w:rPr>
        <w:footnoteReference w:id="84"/>
      </w:r>
      <w:r w:rsidRPr="00441B52">
        <w:rPr>
          <w:kern w:val="28"/>
        </w:rPr>
        <w:t xml:space="preserve">. Toutefois, une interdiction absolue d’un droit fondamental, comme la censure complète d’un mode d’expression dans le cadre de la liberté artistique qui s’inscrit dans le cœur des valeurs protégées par les chartes, devra être l’objet d’une analyse plus rigoureuse quant à la proportionnalité de la mesure adoptée par le législateur. </w:t>
      </w:r>
    </w:p>
    <w:p w14:paraId="460E5A85"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Dans l’arrêt </w:t>
      </w:r>
      <w:r w:rsidRPr="00441B52">
        <w:rPr>
          <w:i/>
          <w:iCs/>
          <w:kern w:val="28"/>
        </w:rPr>
        <w:t>RJR</w:t>
      </w:r>
      <w:r w:rsidRPr="00441B52">
        <w:rPr>
          <w:kern w:val="28"/>
        </w:rPr>
        <w:t xml:space="preserve"> portant sur une atteinte à la liberté d’expression découlant d’une loi interdisant la publicité en matière des produits du tabac, la majorité de la Cour suprême rappelle qu’il « sera plus difficile de justifier l’interdiction totale d’une forme d’expression que l’interdiction partielle »</w:t>
      </w:r>
      <w:r w:rsidRPr="00441B52">
        <w:rPr>
          <w:kern w:val="28"/>
          <w:vertAlign w:val="superscript"/>
        </w:rPr>
        <w:footnoteReference w:id="85"/>
      </w:r>
      <w:r w:rsidRPr="00441B52">
        <w:rPr>
          <w:kern w:val="28"/>
        </w:rPr>
        <w:t xml:space="preserve">. De même, dans l’arrêt </w:t>
      </w:r>
      <w:r w:rsidRPr="00441B52">
        <w:rPr>
          <w:i/>
          <w:kern w:val="28"/>
        </w:rPr>
        <w:t>Ramsden</w:t>
      </w:r>
      <w:r w:rsidRPr="00441B52">
        <w:rPr>
          <w:kern w:val="28"/>
        </w:rPr>
        <w:t xml:space="preserve"> </w:t>
      </w:r>
      <w:r w:rsidRPr="00441B52">
        <w:rPr>
          <w:i/>
          <w:iCs/>
          <w:kern w:val="28"/>
        </w:rPr>
        <w:t>c.</w:t>
      </w:r>
      <w:r w:rsidRPr="00441B52">
        <w:rPr>
          <w:kern w:val="28"/>
        </w:rPr>
        <w:t xml:space="preserve"> </w:t>
      </w:r>
      <w:r w:rsidRPr="00441B52">
        <w:rPr>
          <w:i/>
          <w:kern w:val="28"/>
        </w:rPr>
        <w:t>Peterborough (Ville de)</w:t>
      </w:r>
      <w:r w:rsidRPr="00441B52">
        <w:rPr>
          <w:iCs/>
          <w:kern w:val="28"/>
          <w:vertAlign w:val="superscript"/>
        </w:rPr>
        <w:footnoteReference w:id="86"/>
      </w:r>
      <w:r w:rsidRPr="00441B52">
        <w:rPr>
          <w:kern w:val="28"/>
        </w:rPr>
        <w:t>, s’exprimant pour une Cour suprême unanime, le juge Iacobucci conclut qu’une disposition d’un règlement municipal prohibant l’affichage sur la propriété publique viole de façon injustifiée la liberté d’expression, notamment parce qu’elle édicte une interdiction totale d’une forme de communication. Il est difficile pour une telle restriction de satisfaire au critère de la proportionnalité, « notamment aux volets du lien rationnel et de l’atteinte minimale »</w:t>
      </w:r>
      <w:r w:rsidRPr="00441B52">
        <w:rPr>
          <w:kern w:val="28"/>
          <w:vertAlign w:val="superscript"/>
        </w:rPr>
        <w:footnoteReference w:id="87"/>
      </w:r>
      <w:r w:rsidRPr="00441B52">
        <w:rPr>
          <w:kern w:val="28"/>
        </w:rPr>
        <w:t>. Le juge Iacobucci souligne qu’il existe des solutions de rechange moins restrictives qu’une interdiction totale d’afficher, dont une réglementation quant à la taille des affiches, leur emplacement et la durée des affichages, puis il conclut :</w:t>
      </w:r>
    </w:p>
    <w:p w14:paraId="2FB384B9" w14:textId="77777777" w:rsidR="00E524EA" w:rsidRPr="00441B52" w:rsidRDefault="00E524EA" w:rsidP="00E524EA">
      <w:pPr>
        <w:spacing w:before="120" w:after="120" w:line="240" w:lineRule="auto"/>
        <w:ind w:left="720" w:right="720"/>
        <w:jc w:val="both"/>
        <w:rPr>
          <w:kern w:val="24"/>
          <w:sz w:val="22"/>
        </w:rPr>
      </w:pPr>
      <w:r w:rsidRPr="00441B52">
        <w:rPr>
          <w:kern w:val="24"/>
          <w:sz w:val="22"/>
        </w:rPr>
        <w:t>Ces types de solutions de rechange pourraient permettre de dissiper les préoccupations relatives à la présence de déchets dans la rue et aux irritants esthétiques d’une façon beaucoup moins restrictive que le règlement en cause. À mon avis, l’interdiction totale d’afficher sur une propriété publique ne porte pas atteinte au droit en question aussi peu que cela est raisonnablement possible, compte tenu des nombreuses solutions de rechange dont dispose l’appelante.</w:t>
      </w:r>
      <w:r w:rsidRPr="00441B52">
        <w:rPr>
          <w:kern w:val="24"/>
          <w:sz w:val="22"/>
          <w:vertAlign w:val="superscript"/>
        </w:rPr>
        <w:footnoteReference w:id="88"/>
      </w:r>
      <w:r w:rsidRPr="00441B52">
        <w:rPr>
          <w:kern w:val="24"/>
          <w:sz w:val="22"/>
        </w:rPr>
        <w:t xml:space="preserve">  </w:t>
      </w:r>
    </w:p>
    <w:p w14:paraId="14F76FF9"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La Cour suprême arrive à cette conclusion bien que l’affichage demeurait possible sur les propriétés privées au sein de la municipalité. </w:t>
      </w:r>
    </w:p>
    <w:p w14:paraId="738F50DC"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Comme dans ces arrêts, les dispositions contestées interdisent totalement une forme de communication. En effet, ces dispositions prohibent de fumer toute substance dans un lieu fermé où se déroulent des activités artistiques et culturelles, sans égard au contexte. Il s’agit d’une interdiction absolue, qui n’accorde aucune considération à la </w:t>
      </w:r>
      <w:r w:rsidRPr="00441B52">
        <w:rPr>
          <w:kern w:val="28"/>
        </w:rPr>
        <w:lastRenderedPageBreak/>
        <w:t>liberté d’expression et qui a pour effet de censurer les créateurs artistiques quant à une forme d’expression. Je rappelle que la liberté d’expression est fondamentale dans une société libre et démocratique, y compris dans le domaine artistique.</w:t>
      </w:r>
    </w:p>
    <w:p w14:paraId="5C1E0AF8"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La possibilité d’avoir recours à des succédanés de la cigarette n’atténue pas ce constat : représenter l’acte de fumer n’est pas l’équivalent de fumer. Le créateur voit donc sa liberté de choisir un mode d’expression brimée par l’interdiction complète de faire fumer un personnage dans une pièce de théâtre. Il ne faut pas minimiser l’effet de cette interdiction en considérant qu’il reviendra aux créateurs de trouver d’autres moyens d’exprimer leur message. En effet, la preuve démontre que cette interdiction absolue aura pour conséquence que des créateurs renonceront à jouer certaines scènes dans des œuvres ou choisiront de ne pas produire certaines pièces de théâtre. Ce constat souligne combien il importe de protéger un espace de liberté dans le domaine de la création, lequel est essentiel à son développement. Cette liberté ne doit pas être écartée à la légère et l’interdiction complète d’un mode d’expression dans un contexte artistique, qui s’inscrit au cœur des valeurs protégées par les chartes, doit être l’objet d’une analyse rigoureuse quant à la proportionnalité de la mesure adoptée par le législateur. Dans l’arrêt </w:t>
      </w:r>
      <w:r w:rsidRPr="00441B52">
        <w:rPr>
          <w:i/>
          <w:iCs/>
          <w:kern w:val="28"/>
        </w:rPr>
        <w:t>Little Sisters Book and Art Emporium c. Canada (Ministre de la Justice)</w:t>
      </w:r>
      <w:r w:rsidRPr="00441B52">
        <w:rPr>
          <w:kern w:val="28"/>
        </w:rPr>
        <w:t xml:space="preserve">, le juge Binnie, pour la majorité de la Cour suprême, écrivait : </w:t>
      </w:r>
    </w:p>
    <w:p w14:paraId="0797C076" w14:textId="77777777" w:rsidR="00E524EA" w:rsidRPr="00441B52" w:rsidRDefault="00E524EA" w:rsidP="00E524EA">
      <w:pPr>
        <w:spacing w:before="120" w:after="120" w:line="240" w:lineRule="auto"/>
        <w:ind w:left="720" w:right="720"/>
        <w:jc w:val="both"/>
        <w:rPr>
          <w:kern w:val="24"/>
          <w:sz w:val="22"/>
        </w:rPr>
      </w:pPr>
      <w:r w:rsidRPr="00441B52">
        <w:rPr>
          <w:kern w:val="24"/>
          <w:sz w:val="22"/>
        </w:rPr>
        <w:t>[144] La liberté d’expression est au cœur de notre identité en tant qu’individus et de notre bien</w:t>
      </w:r>
      <w:r w:rsidRPr="00441B52">
        <w:rPr>
          <w:kern w:val="24"/>
          <w:sz w:val="22"/>
        </w:rPr>
        <w:noBreakHyphen/>
        <w:t>être collectif en tant que société. Tout doute quant à la justification doit être résolu en faveur de la liberté d’expression.</w:t>
      </w:r>
      <w:r w:rsidRPr="00441B52">
        <w:rPr>
          <w:kern w:val="24"/>
          <w:sz w:val="22"/>
          <w:vertAlign w:val="superscript"/>
        </w:rPr>
        <w:footnoteReference w:id="89"/>
      </w:r>
    </w:p>
    <w:p w14:paraId="63BF25B6" w14:textId="77777777" w:rsidR="00E524EA" w:rsidRPr="00441B52" w:rsidRDefault="00E524EA" w:rsidP="00E524EA">
      <w:pPr>
        <w:keepNext/>
        <w:numPr>
          <w:ilvl w:val="0"/>
          <w:numId w:val="23"/>
        </w:numPr>
        <w:tabs>
          <w:tab w:val="num" w:pos="993"/>
        </w:tabs>
        <w:spacing w:before="120" w:after="120" w:line="240" w:lineRule="auto"/>
        <w:outlineLvl w:val="3"/>
        <w:rPr>
          <w:b/>
        </w:rPr>
      </w:pPr>
      <w:r w:rsidRPr="00441B52">
        <w:rPr>
          <w:b/>
        </w:rPr>
        <w:t>Lien rationnel</w:t>
      </w:r>
    </w:p>
    <w:p w14:paraId="3716B5D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Il suffit que le PGQ établisse que la restriction a un lien causal avec l’objectif pour démontrer le lien rationnel</w:t>
      </w:r>
      <w:r w:rsidRPr="00441B52">
        <w:rPr>
          <w:kern w:val="28"/>
          <w:vertAlign w:val="superscript"/>
        </w:rPr>
        <w:footnoteReference w:id="90"/>
      </w:r>
      <w:r w:rsidRPr="00441B52">
        <w:rPr>
          <w:kern w:val="28"/>
        </w:rPr>
        <w:t>. Le juge conclut que l’État s’est déchargé de son fardeau puisqu’il présente une preuve non contredite qui démontre qu’une seule cigarette fumée dans un lieu public peut « avoir un impact sur la santé du public »</w:t>
      </w:r>
      <w:r w:rsidRPr="00441B52">
        <w:rPr>
          <w:kern w:val="28"/>
          <w:vertAlign w:val="superscript"/>
        </w:rPr>
        <w:footnoteReference w:id="91"/>
      </w:r>
      <w:r w:rsidRPr="00441B52">
        <w:rPr>
          <w:kern w:val="28"/>
        </w:rPr>
        <w:t>. Il ajoute que le lien rationnel s’appuie également sur la raison et la logique, puis il précise « [m]ême en tenant compte des effets de la mesure sur la liberté d’expression des artistes de la scène, le lien rationnel demeure lorsque l’on considère l’importance que revêt cette interdiction en matière de santé publique »</w:t>
      </w:r>
      <w:r w:rsidRPr="00441B52">
        <w:rPr>
          <w:kern w:val="28"/>
          <w:vertAlign w:val="superscript"/>
        </w:rPr>
        <w:footnoteReference w:id="92"/>
      </w:r>
      <w:r w:rsidRPr="00441B52">
        <w:rPr>
          <w:kern w:val="28"/>
        </w:rPr>
        <w:t xml:space="preserve">. Les Théâtres ne contestent pas l’existence d’un lien rationnel entre l’objectif des dispositions et l’interdiction complète de fumer dans les théâtres. Je conviens que le lien rationnel est démontré. </w:t>
      </w:r>
    </w:p>
    <w:p w14:paraId="7D4A190B"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La preuve scientifique non contredite déposée par le PGQ, dont le Rapport d’expertise du D</w:t>
      </w:r>
      <w:r w:rsidRPr="00441B52">
        <w:rPr>
          <w:kern w:val="28"/>
          <w:vertAlign w:val="superscript"/>
        </w:rPr>
        <w:t>r</w:t>
      </w:r>
      <w:r w:rsidRPr="00441B52">
        <w:rPr>
          <w:kern w:val="28"/>
        </w:rPr>
        <w:t xml:space="preserve"> Alain Desjardins, pneumologue, démontre qu’il n’y a aucun seuil d’exposition sécuritaire à la fumée secondaire dans des lieux fermés, que celle-ci </w:t>
      </w:r>
      <w:r w:rsidRPr="00441B52">
        <w:rPr>
          <w:kern w:val="28"/>
        </w:rPr>
        <w:lastRenderedPageBreak/>
        <w:t>provienne du tabac ou des cigarettes aux herbes. Certes, cette dernière ne contient pas de nicotine causant la dépendance, mais elle produit, lors de sa combustion, des particules fines et d’autres composés chimiques nocifs pour la santé humaine, dont certains sont cancérigènes. Ainsi, toute fumée secondaire constitue un risque et celui-ci est accru pour les personnes vulnérables, notamment les femmes enceintes ou les personnes qui sont aux prises avec des problèmes cardiaques, des maladies pulmonaires obstructives chroniques ou de l’asthme sévère.</w:t>
      </w:r>
    </w:p>
    <w:p w14:paraId="1EAFC07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Cette preuve suffit à conclure que le critère du lien rationnel est rempli. Comme le souligne la Cour suprême dans l’arrêt </w:t>
      </w:r>
      <w:r w:rsidRPr="00441B52">
        <w:rPr>
          <w:i/>
          <w:iCs/>
          <w:kern w:val="28"/>
        </w:rPr>
        <w:t>Carter</w:t>
      </w:r>
      <w:r w:rsidRPr="00441B52">
        <w:rPr>
          <w:kern w:val="28"/>
        </w:rPr>
        <w:t>, « lorsqu’une activité pose certains risques, la prohiber constitue un moyen rationnel de réduire les risques »</w:t>
      </w:r>
      <w:r w:rsidRPr="00441B52">
        <w:rPr>
          <w:kern w:val="28"/>
          <w:vertAlign w:val="superscript"/>
        </w:rPr>
        <w:footnoteReference w:id="93"/>
      </w:r>
      <w:r w:rsidRPr="00441B52">
        <w:rPr>
          <w:kern w:val="28"/>
        </w:rPr>
        <w:t>.</w:t>
      </w:r>
    </w:p>
    <w:p w14:paraId="57769C38"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bookmarkStart w:id="39" w:name="_Ref223778363"/>
      <w:r w:rsidRPr="00441B52">
        <w:rPr>
          <w:kern w:val="28"/>
        </w:rPr>
        <w:t xml:space="preserve">Bien que le lien rationnel soit démontré, il est utile de souligner que le PGQ n’a pas mis en preuve l’existence d’un débat public en lien avec l’utilisation de cigarettes dans le cadre de représentations théâtrales pendant la période allant de l’adoption de l’interdiction en 1986 jusqu’à l’émission des constats d’infraction aux Théâtres, en 2017. D’ailleurs, le comédien principal de la pièce </w:t>
      </w:r>
      <w:r w:rsidRPr="00441B52">
        <w:rPr>
          <w:i/>
          <w:iCs/>
          <w:kern w:val="28"/>
        </w:rPr>
        <w:t>Conversations avec mon pénis</w:t>
      </w:r>
      <w:r w:rsidRPr="00441B52">
        <w:rPr>
          <w:kern w:val="28"/>
        </w:rPr>
        <w:t>, Marc-André Thibault, témoigne qu’à sa connaissance, les théâtres dans lesquels il évolue à Montréal n’appliquent pas cette interdiction aux personnages qui fument. J’ajoute qu’il n’y a pas d’autres cas similaires connus en jurisprudence au Québec depuis 40 ans.</w:t>
      </w:r>
      <w:bookmarkEnd w:id="39"/>
    </w:p>
    <w:p w14:paraId="7C540321"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À ce sujet, les commentaires de la majorité de la Cour suprême dans l’arrêt </w:t>
      </w:r>
      <w:r w:rsidRPr="00441B52">
        <w:rPr>
          <w:i/>
          <w:iCs/>
          <w:kern w:val="28"/>
        </w:rPr>
        <w:t>Frank</w:t>
      </w:r>
      <w:r w:rsidRPr="00441B52">
        <w:rPr>
          <w:kern w:val="28"/>
        </w:rPr>
        <w:t xml:space="preserve">, quant à l’incidence de ce constat sur l’importance du lien rationnel de la mesure analysée, paraissent pertinents : </w:t>
      </w:r>
    </w:p>
    <w:p w14:paraId="3E0913AE"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[63]</w:t>
      </w:r>
      <w:r w:rsidRPr="00441B52">
        <w:rPr>
          <w:kern w:val="24"/>
          <w:sz w:val="22"/>
        </w:rPr>
        <w:tab/>
        <w:t xml:space="preserve">Enfin, j’ajouterais que le PGC n’a présenté aucune preuve — que ce soit précisément en lien avec la théorie du contrat social ou relativement à l’équité électorale plus généralement — pour justifier l’objectif des dispositions contestées. En clair, </w:t>
      </w:r>
      <w:r w:rsidRPr="00441B52">
        <w:rPr>
          <w:kern w:val="24"/>
          <w:sz w:val="22"/>
          <w:u w:val="single"/>
        </w:rPr>
        <w:t>il n’y a aucune preuve du préjudice que ces restrictions du vote sont censées redresser. Il est maintenant possible de voter de l’extérieur du Canada depuis plus de 20 ans, et le PGC a été incapable d’indiquer ne serait</w:t>
      </w:r>
      <w:r w:rsidRPr="00441B52">
        <w:rPr>
          <w:rFonts w:ascii="Cambria Math" w:hAnsi="Cambria Math" w:cs="Cambria Math"/>
          <w:kern w:val="24"/>
          <w:sz w:val="22"/>
          <w:u w:val="single"/>
        </w:rPr>
        <w:t>‐</w:t>
      </w:r>
      <w:r w:rsidRPr="00441B52">
        <w:rPr>
          <w:kern w:val="24"/>
          <w:sz w:val="22"/>
          <w:u w:val="single"/>
        </w:rPr>
        <w:t>ce qu</w:t>
      </w:r>
      <w:r w:rsidRPr="00441B52">
        <w:rPr>
          <w:rFonts w:cs="Arial"/>
          <w:kern w:val="24"/>
          <w:sz w:val="22"/>
          <w:u w:val="single"/>
        </w:rPr>
        <w:t>’</w:t>
      </w:r>
      <w:r w:rsidRPr="00441B52">
        <w:rPr>
          <w:kern w:val="24"/>
          <w:sz w:val="22"/>
          <w:u w:val="single"/>
        </w:rPr>
        <w:t>une seule plainte formul</w:t>
      </w:r>
      <w:r w:rsidRPr="00441B52">
        <w:rPr>
          <w:rFonts w:cs="Arial"/>
          <w:kern w:val="24"/>
          <w:sz w:val="22"/>
          <w:u w:val="single"/>
        </w:rPr>
        <w:t>é</w:t>
      </w:r>
      <w:r w:rsidRPr="00441B52">
        <w:rPr>
          <w:kern w:val="24"/>
          <w:sz w:val="22"/>
          <w:u w:val="single"/>
        </w:rPr>
        <w:t>e concernant le vote par des non</w:t>
      </w:r>
      <w:r w:rsidRPr="00441B52">
        <w:rPr>
          <w:rFonts w:ascii="Cambria Math" w:hAnsi="Cambria Math" w:cs="Cambria Math"/>
          <w:kern w:val="24"/>
          <w:sz w:val="22"/>
          <w:u w:val="single"/>
        </w:rPr>
        <w:t>‐</w:t>
      </w:r>
      <w:r w:rsidRPr="00441B52">
        <w:rPr>
          <w:kern w:val="24"/>
          <w:sz w:val="22"/>
          <w:u w:val="single"/>
        </w:rPr>
        <w:t>r</w:t>
      </w:r>
      <w:r w:rsidRPr="00441B52">
        <w:rPr>
          <w:rFonts w:cs="Arial"/>
          <w:kern w:val="24"/>
          <w:sz w:val="22"/>
          <w:u w:val="single"/>
        </w:rPr>
        <w:t>é</w:t>
      </w:r>
      <w:r w:rsidRPr="00441B52">
        <w:rPr>
          <w:kern w:val="24"/>
          <w:sz w:val="22"/>
          <w:u w:val="single"/>
        </w:rPr>
        <w:t>sidents. L</w:t>
      </w:r>
      <w:r w:rsidRPr="00441B52">
        <w:rPr>
          <w:rFonts w:cs="Arial"/>
          <w:kern w:val="24"/>
          <w:sz w:val="22"/>
          <w:u w:val="single"/>
        </w:rPr>
        <w:t>’</w:t>
      </w:r>
      <w:r w:rsidRPr="00441B52">
        <w:rPr>
          <w:kern w:val="24"/>
          <w:sz w:val="22"/>
          <w:u w:val="single"/>
        </w:rPr>
        <w:t>absence de preuve ou de raisonnement logique indiquant un probl</w:t>
      </w:r>
      <w:r w:rsidRPr="00441B52">
        <w:rPr>
          <w:rFonts w:cs="Arial"/>
          <w:kern w:val="24"/>
          <w:sz w:val="22"/>
          <w:u w:val="single"/>
        </w:rPr>
        <w:t>è</w:t>
      </w:r>
      <w:r w:rsidRPr="00441B52">
        <w:rPr>
          <w:kern w:val="24"/>
          <w:sz w:val="22"/>
          <w:u w:val="single"/>
        </w:rPr>
        <w:t>me pr</w:t>
      </w:r>
      <w:r w:rsidRPr="00441B52">
        <w:rPr>
          <w:rFonts w:cs="Arial"/>
          <w:kern w:val="24"/>
          <w:sz w:val="22"/>
          <w:u w:val="single"/>
        </w:rPr>
        <w:t>é</w:t>
      </w:r>
      <w:r w:rsidRPr="00441B52">
        <w:rPr>
          <w:kern w:val="24"/>
          <w:sz w:val="22"/>
          <w:u w:val="single"/>
        </w:rPr>
        <w:t>cis pour lequel un redressement est n</w:t>
      </w:r>
      <w:r w:rsidRPr="00441B52">
        <w:rPr>
          <w:rFonts w:cs="Arial"/>
          <w:kern w:val="24"/>
          <w:sz w:val="22"/>
          <w:u w:val="single"/>
        </w:rPr>
        <w:t>é</w:t>
      </w:r>
      <w:r w:rsidRPr="00441B52">
        <w:rPr>
          <w:kern w:val="24"/>
          <w:sz w:val="22"/>
          <w:u w:val="single"/>
        </w:rPr>
        <w:t>cessaire affaiblit l</w:t>
      </w:r>
      <w:r w:rsidRPr="00441B52">
        <w:rPr>
          <w:rFonts w:cs="Arial"/>
          <w:kern w:val="24"/>
          <w:sz w:val="22"/>
          <w:u w:val="single"/>
        </w:rPr>
        <w:t>’</w:t>
      </w:r>
      <w:r w:rsidRPr="00441B52">
        <w:rPr>
          <w:kern w:val="24"/>
          <w:sz w:val="22"/>
          <w:u w:val="single"/>
        </w:rPr>
        <w:t>argument selon lequel la restriction du droit de vote de non</w:t>
      </w:r>
      <w:r w:rsidRPr="00441B52">
        <w:rPr>
          <w:rFonts w:ascii="Cambria Math" w:hAnsi="Cambria Math" w:cs="Cambria Math"/>
          <w:kern w:val="24"/>
          <w:sz w:val="22"/>
          <w:u w:val="single"/>
        </w:rPr>
        <w:t>‐</w:t>
      </w:r>
      <w:r w:rsidRPr="00441B52">
        <w:rPr>
          <w:kern w:val="24"/>
          <w:sz w:val="22"/>
          <w:u w:val="single"/>
        </w:rPr>
        <w:t>r</w:t>
      </w:r>
      <w:r w:rsidRPr="00441B52">
        <w:rPr>
          <w:rFonts w:cs="Arial"/>
          <w:kern w:val="24"/>
          <w:sz w:val="22"/>
          <w:u w:val="single"/>
        </w:rPr>
        <w:t>é</w:t>
      </w:r>
      <w:r w:rsidRPr="00441B52">
        <w:rPr>
          <w:kern w:val="24"/>
          <w:sz w:val="22"/>
          <w:u w:val="single"/>
        </w:rPr>
        <w:t>sidents a un lien rationnel avec le maintien de l</w:t>
      </w:r>
      <w:r w:rsidRPr="00441B52">
        <w:rPr>
          <w:rFonts w:cs="Arial"/>
          <w:kern w:val="24"/>
          <w:sz w:val="22"/>
          <w:u w:val="single"/>
        </w:rPr>
        <w:t>’é</w:t>
      </w:r>
      <w:r w:rsidRPr="00441B52">
        <w:rPr>
          <w:kern w:val="24"/>
          <w:sz w:val="22"/>
          <w:u w:val="single"/>
        </w:rPr>
        <w:t>quit</w:t>
      </w:r>
      <w:r w:rsidRPr="00441B52">
        <w:rPr>
          <w:rFonts w:cs="Arial"/>
          <w:kern w:val="24"/>
          <w:sz w:val="22"/>
          <w:u w:val="single"/>
        </w:rPr>
        <w:t>é</w:t>
      </w:r>
      <w:r w:rsidRPr="00441B52">
        <w:rPr>
          <w:kern w:val="24"/>
          <w:sz w:val="22"/>
          <w:u w:val="single"/>
        </w:rPr>
        <w:t xml:space="preserve"> </w:t>
      </w:r>
      <w:r w:rsidRPr="00441B52">
        <w:rPr>
          <w:rFonts w:cs="Arial"/>
          <w:kern w:val="24"/>
          <w:sz w:val="22"/>
          <w:u w:val="single"/>
        </w:rPr>
        <w:t>é</w:t>
      </w:r>
      <w:r w:rsidRPr="00441B52">
        <w:rPr>
          <w:kern w:val="24"/>
          <w:sz w:val="22"/>
          <w:u w:val="single"/>
        </w:rPr>
        <w:t>lectorale</w:t>
      </w:r>
      <w:r w:rsidRPr="00441B52">
        <w:rPr>
          <w:kern w:val="24"/>
          <w:sz w:val="22"/>
        </w:rPr>
        <w:t>.</w:t>
      </w:r>
    </w:p>
    <w:p w14:paraId="7D44DC70" w14:textId="77777777" w:rsidR="00E524EA" w:rsidRPr="00441B52" w:rsidRDefault="00E524EA" w:rsidP="00E524EA">
      <w:pPr>
        <w:spacing w:before="120" w:after="120" w:line="240" w:lineRule="auto"/>
        <w:ind w:left="720" w:right="720"/>
        <w:jc w:val="right"/>
        <w:rPr>
          <w:kern w:val="24"/>
          <w:sz w:val="22"/>
        </w:rPr>
      </w:pPr>
      <w:r w:rsidRPr="00441B52">
        <w:rPr>
          <w:kern w:val="24"/>
          <w:sz w:val="22"/>
        </w:rPr>
        <w:t>[Soulignement ajouté]</w:t>
      </w:r>
    </w:p>
    <w:p w14:paraId="55C9B9E9"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Il faut cependant reconnaître que, dans cet arrêt, portant sur la constitutionnalité d’une loi qui interdisait généralement aux Canadiens vivants à l’étranger depuis plus de cinq ans de voter aux élections fédérales, le Procureur général du Canada n’avait présenté « essentiellement aucune preuve », et encore moins une preuve scientifique, </w:t>
      </w:r>
      <w:r w:rsidRPr="00441B52">
        <w:rPr>
          <w:kern w:val="28"/>
        </w:rPr>
        <w:lastRenderedPageBreak/>
        <w:t>pour démontrer le lien rationnel entre la mesure et l’objectif</w:t>
      </w:r>
      <w:r w:rsidRPr="00441B52">
        <w:rPr>
          <w:kern w:val="28"/>
          <w:vertAlign w:val="superscript"/>
        </w:rPr>
        <w:footnoteReference w:id="94"/>
      </w:r>
      <w:r w:rsidRPr="00441B52">
        <w:rPr>
          <w:kern w:val="28"/>
        </w:rPr>
        <w:t xml:space="preserve">. En tout état de cause, la majorité de la Cour suprême conclut, dans cet arrêt, que le moyen ne respectait pas le critère de l’atteinte minimale. J’en viens donc à cette analyse.  </w:t>
      </w:r>
    </w:p>
    <w:p w14:paraId="36EDF7FC" w14:textId="77777777" w:rsidR="00E524EA" w:rsidRPr="00441B52" w:rsidRDefault="00E524EA" w:rsidP="00E524EA">
      <w:pPr>
        <w:keepNext/>
        <w:numPr>
          <w:ilvl w:val="0"/>
          <w:numId w:val="23"/>
        </w:numPr>
        <w:tabs>
          <w:tab w:val="num" w:pos="993"/>
        </w:tabs>
        <w:spacing w:before="120" w:after="120" w:line="240" w:lineRule="auto"/>
        <w:outlineLvl w:val="3"/>
        <w:rPr>
          <w:b/>
        </w:rPr>
      </w:pPr>
      <w:r w:rsidRPr="00441B52">
        <w:rPr>
          <w:b/>
        </w:rPr>
        <w:t>Atteinte minimale</w:t>
      </w:r>
    </w:p>
    <w:p w14:paraId="624F5E4E"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PGQ plaide que le juge a commis une erreur de droit en recherchant une mesure moins attentatoire que les dispositions contestées, au lieu de déterminer si celles</w:t>
      </w:r>
      <w:r w:rsidRPr="00441B52">
        <w:rPr>
          <w:kern w:val="28"/>
        </w:rPr>
        <w:noBreakHyphen/>
        <w:t xml:space="preserve">ci faisaient partie des mesures raisonnables qui permettent d’atteindre efficacement l’objectif. Selon lui, considérant que la preuve non contestée démontre qu’il n’y a pas de niveau d’exposition sécuritaire à la fumée secondaire, la législation fait partie de la gamme des mesures qui permettent d’atteindre réellement cet objectif et qui peuvent être qualifiées d’atteintes minimales. Le législateur a agi avec précaution en interdisant de fumer dans des lieux fermés publics où se déroulent des activités culturelles ou artistiques, compte tenu des informations détenues au moment d’élaborer la mesure. La déférence envers le législateur est de mise puisqu’il s’agit d’un problème complexe qui met en cause des intérêts divergents. </w:t>
      </w:r>
    </w:p>
    <w:p w14:paraId="19E1B56C"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Pour les motifs qui suivent, je ne retiens pas ces arguments. </w:t>
      </w:r>
    </w:p>
    <w:p w14:paraId="02F9B6F9"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juge énonce correctement le droit applicable en affirmant qu’il doit déterminer s’il existe des mesures moins attentatoires qui permettent « d’atteindre de façon réelle et substantielle les objectifs poursuivis par le législateur » et s’il est raisonnable d’interdire complètement à un personnage de fumer au théâtre</w:t>
      </w:r>
      <w:r w:rsidRPr="00441B52">
        <w:rPr>
          <w:kern w:val="28"/>
          <w:vertAlign w:val="superscript"/>
        </w:rPr>
        <w:footnoteReference w:id="95"/>
      </w:r>
      <w:r w:rsidRPr="00441B52">
        <w:rPr>
          <w:kern w:val="28"/>
        </w:rPr>
        <w:t xml:space="preserve">. </w:t>
      </w:r>
    </w:p>
    <w:p w14:paraId="40ED0D8D"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Il considère la preuve non contredite quant à l’absence de niveau d’exposition sécuritaire à la fumée secondaire ainsi que l’argument du PGQ appuyant l’interdiction absolue à titre d’atteinte minimale. Il conclut que cette mesure n’est pas « la moins attentatoire ni la seule mesure pour atteindre de façon réelle et substantielle les objectifs du législateur » dans le contexte d’un personnage fictif d’une pièce de théâtre qui utilise ce mode de communication. Il explique :</w:t>
      </w:r>
    </w:p>
    <w:p w14:paraId="612DC2AC" w14:textId="77777777" w:rsidR="00E524EA" w:rsidRPr="00441B52" w:rsidRDefault="00E524EA" w:rsidP="00E524EA">
      <w:pPr>
        <w:tabs>
          <w:tab w:val="left" w:pos="1276"/>
        </w:tabs>
        <w:spacing w:before="120" w:after="120" w:line="240" w:lineRule="auto"/>
        <w:ind w:left="720" w:right="720"/>
        <w:jc w:val="both"/>
        <w:rPr>
          <w:kern w:val="24"/>
          <w:sz w:val="22"/>
          <w:lang w:eastAsia="fr-CA"/>
        </w:rPr>
      </w:pPr>
      <w:r w:rsidRPr="00441B52">
        <w:rPr>
          <w:kern w:val="24"/>
          <w:sz w:val="22"/>
        </w:rPr>
        <w:t>[63]</w:t>
      </w:r>
      <w:r w:rsidRPr="00441B52">
        <w:rPr>
          <w:kern w:val="24"/>
          <w:sz w:val="22"/>
        </w:rPr>
        <w:tab/>
        <w:t>[…] Il ne paraît pas raisonnable d’interdire totalement l’acte de fumer une cigarette en toutes circonstances dans le cadre d’une représentation théâtrale. Cette interdiction ne répond pas de façon rationnelle et intelligente aux enjeux liés à l’usage du tabac et aux objectifs que le législateur poursuit à cet égard.</w:t>
      </w:r>
    </w:p>
    <w:p w14:paraId="33923945"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w:t>
      </w:r>
      <w:bookmarkStart w:id="40" w:name="par64"/>
      <w:r w:rsidRPr="00441B52">
        <w:rPr>
          <w:kern w:val="24"/>
          <w:sz w:val="22"/>
        </w:rPr>
        <w:t>64</w:t>
      </w:r>
      <w:bookmarkEnd w:id="40"/>
      <w:r w:rsidRPr="00441B52">
        <w:rPr>
          <w:kern w:val="24"/>
          <w:sz w:val="22"/>
        </w:rPr>
        <w:t>]</w:t>
      </w:r>
      <w:r w:rsidRPr="00441B52">
        <w:rPr>
          <w:kern w:val="24"/>
          <w:sz w:val="14"/>
          <w:szCs w:val="14"/>
        </w:rPr>
        <w:tab/>
      </w:r>
      <w:r w:rsidRPr="00441B52">
        <w:rPr>
          <w:kern w:val="24"/>
          <w:sz w:val="22"/>
        </w:rPr>
        <w:t xml:space="preserve">L’acte de fumer dans le contexte d’une pièce de théâtre ne porte pas atteinte de façon substantielle ou significative aux objectifs poursuivis par le législateur. Bien sûr, les dangers associés à l’usage du tabac nécessitent des mesures fortes. L’interdiction de fumer dans les lieux publics en est une valable. </w:t>
      </w:r>
      <w:r w:rsidRPr="00441B52">
        <w:rPr>
          <w:kern w:val="24"/>
          <w:sz w:val="22"/>
          <w:u w:val="single"/>
        </w:rPr>
        <w:t xml:space="preserve">Mais dans le contexte particulier d’une représentation théâtrale, cette interdiction ne répond pas aux objectifs de façon rationnelle. Comme le plaident les appelantes, le fait de </w:t>
      </w:r>
      <w:r w:rsidRPr="00441B52">
        <w:rPr>
          <w:kern w:val="24"/>
          <w:sz w:val="22"/>
          <w:u w:val="single"/>
        </w:rPr>
        <w:lastRenderedPageBreak/>
        <w:t>sanctionner un théâtre qui présente une pièce où un comédien fume une cigarette pour transmettre un message s’écarte grossièrement des objectifs poursuivis par le législateur, même en considérant les enjeux de santé publique</w:t>
      </w:r>
      <w:r w:rsidRPr="00441B52">
        <w:rPr>
          <w:kern w:val="24"/>
          <w:sz w:val="22"/>
        </w:rPr>
        <w:t>.</w:t>
      </w:r>
    </w:p>
    <w:p w14:paraId="0BABDE6B"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w:t>
      </w:r>
      <w:bookmarkStart w:id="41" w:name="par65"/>
      <w:r w:rsidRPr="00441B52">
        <w:rPr>
          <w:kern w:val="24"/>
          <w:sz w:val="22"/>
        </w:rPr>
        <w:t>65</w:t>
      </w:r>
      <w:bookmarkEnd w:id="41"/>
      <w:r w:rsidRPr="00441B52">
        <w:rPr>
          <w:kern w:val="24"/>
          <w:sz w:val="22"/>
        </w:rPr>
        <w:t>]</w:t>
      </w:r>
      <w:r w:rsidRPr="00441B52">
        <w:rPr>
          <w:kern w:val="24"/>
          <w:sz w:val="14"/>
          <w:szCs w:val="14"/>
        </w:rPr>
        <w:tab/>
      </w:r>
      <w:r w:rsidRPr="00441B52">
        <w:rPr>
          <w:kern w:val="24"/>
          <w:sz w:val="22"/>
        </w:rPr>
        <w:t>Cela paraît d’autant plus vrai dans les cas où, comme ici, les spectateurs sont avisés avant la présentation de la pièce que des cigarettes seront fumées lors de la pièce.</w:t>
      </w:r>
    </w:p>
    <w:p w14:paraId="5B8053E2"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[66]</w:t>
      </w:r>
      <w:r w:rsidRPr="00441B52">
        <w:rPr>
          <w:kern w:val="24"/>
          <w:sz w:val="14"/>
          <w:szCs w:val="14"/>
        </w:rPr>
        <w:tab/>
      </w:r>
      <w:r w:rsidRPr="00441B52">
        <w:rPr>
          <w:kern w:val="24"/>
          <w:sz w:val="22"/>
        </w:rPr>
        <w:t>Ceux qui choisissent d’y assister, dont plusieurs non-fumeurs selon toute probabilité, sont en mesure de comprendre l’aspect artistique du geste et surtout, les risques associés à ce geste d’expression artistique. Ce choix n’est pas différent de celui effectué par une personne qui accepte de visiter un ami qui fume en sa présence dans un lieu privé.</w:t>
      </w:r>
    </w:p>
    <w:p w14:paraId="651EFAF6" w14:textId="77777777" w:rsidR="00E524EA" w:rsidRPr="00441B52" w:rsidRDefault="00E524EA" w:rsidP="00E524EA">
      <w:pPr>
        <w:spacing w:before="120" w:after="120" w:line="240" w:lineRule="auto"/>
        <w:ind w:left="720" w:right="720"/>
        <w:jc w:val="right"/>
        <w:rPr>
          <w:kern w:val="24"/>
          <w:sz w:val="22"/>
        </w:rPr>
      </w:pPr>
      <w:r w:rsidRPr="00441B52">
        <w:rPr>
          <w:kern w:val="24"/>
          <w:sz w:val="22"/>
        </w:rPr>
        <w:t>[Soulignement ajouté]</w:t>
      </w:r>
    </w:p>
    <w:p w14:paraId="708EA4DA"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Ce raisonnement me paraît exempt d’erreur révisable, bien que le juge retienne que l’objectif législatif est la protection de la santé publique. En effet, même en considérant l’objectif plus ciblé déterminé, je considère que l’atteinte n’est pas minimale. Voici pourquoi.  </w:t>
      </w:r>
    </w:p>
    <w:p w14:paraId="2B573835"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À l’étape de l’atteinte minimale, le PGQ doit démontrer que la restriction de la liberté d’expression artistique est raisonnable, considérant l’objectif législatif, et qu’il n’existe pas d’autre moyen moins préjudiciable de réaliser l’objectif de façon réelle et substantielle</w:t>
      </w:r>
      <w:r w:rsidRPr="00441B52">
        <w:rPr>
          <w:kern w:val="28"/>
          <w:vertAlign w:val="superscript"/>
        </w:rPr>
        <w:footnoteReference w:id="96"/>
      </w:r>
      <w:r w:rsidRPr="00441B52">
        <w:rPr>
          <w:kern w:val="28"/>
        </w:rPr>
        <w:t>. Ainsi, les dispositions doivent être « </w:t>
      </w:r>
      <w:r w:rsidRPr="00441B52">
        <w:rPr>
          <w:kern w:val="28"/>
          <w:u w:val="single"/>
        </w:rPr>
        <w:t>soigneusement adaptée[s]</w:t>
      </w:r>
      <w:r w:rsidRPr="00441B52">
        <w:rPr>
          <w:kern w:val="28"/>
        </w:rPr>
        <w:t xml:space="preserve"> de façon à ce que l’atteinte aux droits ne dépasse pas ce qui est nécessaire »</w:t>
      </w:r>
      <w:r w:rsidRPr="00441B52">
        <w:rPr>
          <w:kern w:val="28"/>
          <w:vertAlign w:val="superscript"/>
        </w:rPr>
        <w:footnoteReference w:id="97"/>
      </w:r>
      <w:r w:rsidRPr="00441B52">
        <w:rPr>
          <w:kern w:val="28"/>
        </w:rPr>
        <w:t>. Le législateur jouit tout de même d’une certaine latitude en la matière et il ne suffit pas qu’une solution de rechange puisse être envisagée pour conclure que le critère n’est pas rempli</w:t>
      </w:r>
      <w:r w:rsidRPr="00441B52">
        <w:rPr>
          <w:kern w:val="28"/>
          <w:vertAlign w:val="superscript"/>
        </w:rPr>
        <w:footnoteReference w:id="98"/>
      </w:r>
      <w:r w:rsidRPr="00441B52">
        <w:rPr>
          <w:kern w:val="28"/>
        </w:rPr>
        <w:t xml:space="preserve">. Toutefois, dans l’arrêt récent </w:t>
      </w:r>
      <w:r w:rsidRPr="00441B52">
        <w:rPr>
          <w:rFonts w:cs="Arial"/>
          <w:i/>
          <w:iCs/>
          <w:kern w:val="28"/>
          <w:szCs w:val="24"/>
        </w:rPr>
        <w:t>Taylor c. Terre-Neuve-et-Labrador</w:t>
      </w:r>
      <w:r w:rsidRPr="00441B52">
        <w:rPr>
          <w:rFonts w:cs="Arial"/>
          <w:kern w:val="28"/>
          <w:szCs w:val="24"/>
        </w:rPr>
        <w:t>, s’exprimant au nom de la majorité de la Cour suprême, les juges Karakatsanis et Martin expliquent que </w:t>
      </w:r>
      <w:r w:rsidRPr="00441B52">
        <w:rPr>
          <w:kern w:val="28"/>
        </w:rPr>
        <w:t>:</w:t>
      </w:r>
    </w:p>
    <w:p w14:paraId="4C140A37" w14:textId="77777777" w:rsidR="00E524EA" w:rsidRPr="00441B52" w:rsidRDefault="00E524EA" w:rsidP="00E524EA">
      <w:pPr>
        <w:spacing w:before="120" w:after="120" w:line="240" w:lineRule="auto"/>
        <w:ind w:left="720" w:right="720"/>
        <w:jc w:val="both"/>
        <w:rPr>
          <w:kern w:val="24"/>
          <w:sz w:val="22"/>
        </w:rPr>
      </w:pPr>
      <w:r w:rsidRPr="00441B52">
        <w:rPr>
          <w:kern w:val="24"/>
          <w:sz w:val="22"/>
        </w:rPr>
        <w:t>[</w:t>
      </w:r>
      <w:bookmarkStart w:id="42" w:name="par234"/>
      <w:r w:rsidRPr="00441B52">
        <w:rPr>
          <w:kern w:val="24"/>
          <w:sz w:val="22"/>
        </w:rPr>
        <w:t>234</w:t>
      </w:r>
      <w:bookmarkEnd w:id="42"/>
      <w:r w:rsidRPr="00441B52">
        <w:rPr>
          <w:kern w:val="24"/>
          <w:sz w:val="22"/>
        </w:rPr>
        <w:t>] […] l’atteinte au droit doit demeurer aussi limitée que cela est raisonnablement possible. La déférence judiciaire ne doit pas aller jusqu’à accepter n’importe quelle loi « simplement pour le motif que le problème est sérieux et la solution difficile ».</w:t>
      </w:r>
    </w:p>
    <w:p w14:paraId="37D8CC54" w14:textId="77777777" w:rsidR="00E524EA" w:rsidRPr="00441B52" w:rsidRDefault="00E524EA" w:rsidP="00E524EA">
      <w:pPr>
        <w:spacing w:before="120" w:after="120" w:line="240" w:lineRule="auto"/>
        <w:ind w:left="720" w:right="720"/>
        <w:jc w:val="right"/>
        <w:rPr>
          <w:kern w:val="24"/>
          <w:sz w:val="22"/>
        </w:rPr>
      </w:pPr>
      <w:r w:rsidRPr="00441B52">
        <w:rPr>
          <w:kern w:val="24"/>
          <w:sz w:val="22"/>
        </w:rPr>
        <w:t>[Renvois omis]</w:t>
      </w:r>
    </w:p>
    <w:p w14:paraId="13237F05"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Dans l’arrêt </w:t>
      </w:r>
      <w:r w:rsidRPr="00441B52">
        <w:rPr>
          <w:i/>
          <w:iCs/>
          <w:kern w:val="28"/>
        </w:rPr>
        <w:t>RJR</w:t>
      </w:r>
      <w:r w:rsidRPr="00441B52">
        <w:rPr>
          <w:kern w:val="28"/>
        </w:rPr>
        <w:t xml:space="preserve">, la majorité de la Cour suprême mentionnait : « Par contre, si le gouvernement omet d’expliquer pourquoi il n’a pas choisi une mesure beaucoup moins </w:t>
      </w:r>
      <w:r w:rsidRPr="00441B52">
        <w:rPr>
          <w:kern w:val="28"/>
        </w:rPr>
        <w:lastRenderedPageBreak/>
        <w:t>attentatoire et tout aussi efficace, la loi peut être déclarée non valide »</w:t>
      </w:r>
      <w:r w:rsidRPr="00441B52">
        <w:rPr>
          <w:kern w:val="28"/>
          <w:vertAlign w:val="superscript"/>
        </w:rPr>
        <w:footnoteReference w:id="99"/>
      </w:r>
      <w:r w:rsidRPr="00441B52">
        <w:rPr>
          <w:kern w:val="28"/>
        </w:rPr>
        <w:t xml:space="preserve">. Quant à l’interdiction totale, elle ajoute : </w:t>
      </w:r>
    </w:p>
    <w:p w14:paraId="0E0DAE2F" w14:textId="77777777" w:rsidR="00142943" w:rsidRDefault="00E524EA" w:rsidP="00142943">
      <w:pPr>
        <w:tabs>
          <w:tab w:val="left" w:pos="1560"/>
        </w:tabs>
        <w:spacing w:before="120" w:after="120" w:line="240" w:lineRule="auto"/>
        <w:ind w:left="720" w:right="720"/>
        <w:jc w:val="both"/>
        <w:rPr>
          <w:kern w:val="24"/>
          <w:sz w:val="22"/>
        </w:rPr>
      </w:pPr>
      <w:bookmarkStart w:id="43" w:name="par.163"/>
      <w:r w:rsidRPr="00441B52">
        <w:rPr>
          <w:kern w:val="24"/>
          <w:sz w:val="22"/>
        </w:rPr>
        <w:t xml:space="preserve">[163] […] Une interdiction totale ne sera acceptable, sur le plan constitutionnel, en vertu du volet atteinte minimale de l’analyse que dans le cas où </w:t>
      </w:r>
      <w:r w:rsidRPr="00441B52">
        <w:rPr>
          <w:kern w:val="24"/>
          <w:sz w:val="22"/>
          <w:u w:val="single"/>
        </w:rPr>
        <w:t>le gouvernement peut établir que seule une interdiction totale lui permettra d’atteindre son objectif</w:t>
      </w:r>
      <w:r w:rsidRPr="00441B52">
        <w:rPr>
          <w:kern w:val="24"/>
          <w:sz w:val="22"/>
        </w:rPr>
        <w:t>. Si, comme en l’espèce, aucune preuve n’a été présentée pour démontrer qu’une interdiction partielle serait moins efficace qu’une interdiction totale, on n’a pas établi la justification requise en vertu de l’article premier visant à sauvegarder la violation de la liberté d’expression.</w:t>
      </w:r>
      <w:bookmarkEnd w:id="43"/>
      <w:r w:rsidRPr="00441B52">
        <w:rPr>
          <w:kern w:val="24"/>
          <w:sz w:val="22"/>
          <w:vertAlign w:val="superscript"/>
        </w:rPr>
        <w:footnoteReference w:id="100"/>
      </w:r>
    </w:p>
    <w:p w14:paraId="0ED122B2" w14:textId="6E3840E9" w:rsidR="00441B52" w:rsidRPr="00441B52" w:rsidRDefault="00441B52" w:rsidP="00441B52">
      <w:pPr>
        <w:tabs>
          <w:tab w:val="left" w:pos="1560"/>
        </w:tabs>
        <w:spacing w:before="120" w:after="120" w:line="240" w:lineRule="auto"/>
        <w:ind w:left="720" w:right="720"/>
        <w:jc w:val="right"/>
        <w:rPr>
          <w:kern w:val="24"/>
          <w:sz w:val="22"/>
        </w:rPr>
      </w:pPr>
      <w:r>
        <w:rPr>
          <w:kern w:val="24"/>
          <w:sz w:val="22"/>
        </w:rPr>
        <w:t>[</w:t>
      </w:r>
      <w:r w:rsidR="00D4119D">
        <w:rPr>
          <w:kern w:val="24"/>
          <w:sz w:val="22"/>
        </w:rPr>
        <w:t>S</w:t>
      </w:r>
      <w:r>
        <w:rPr>
          <w:kern w:val="24"/>
          <w:sz w:val="22"/>
        </w:rPr>
        <w:t>oulignement ajouté]</w:t>
      </w:r>
    </w:p>
    <w:p w14:paraId="23774D4A" w14:textId="55E00431" w:rsidR="00E524EA" w:rsidRPr="00441B52" w:rsidRDefault="00E524EA" w:rsidP="00142943">
      <w:pPr>
        <w:numPr>
          <w:ilvl w:val="0"/>
          <w:numId w:val="18"/>
        </w:numPr>
        <w:tabs>
          <w:tab w:val="clear" w:pos="720"/>
          <w:tab w:val="num" w:pos="360"/>
        </w:tabs>
        <w:spacing w:before="120" w:after="120" w:line="240" w:lineRule="auto"/>
        <w:jc w:val="both"/>
        <w:rPr>
          <w:kern w:val="28"/>
        </w:rPr>
      </w:pPr>
      <w:r w:rsidRPr="00441B52">
        <w:rPr>
          <w:kern w:val="28"/>
        </w:rPr>
        <w:t>En 1986, lors de l’adoption de l’interdiction de fumer dans un lieu fermé accessible au public où se déroulent certaines activités, dont des activités religieuses, sportives, judiciaires, culturelles et artistiques</w:t>
      </w:r>
      <w:r w:rsidRPr="00441B52">
        <w:rPr>
          <w:kern w:val="28"/>
          <w:vertAlign w:val="superscript"/>
        </w:rPr>
        <w:footnoteReference w:id="101"/>
      </w:r>
      <w:r w:rsidRPr="00441B52">
        <w:rPr>
          <w:kern w:val="28"/>
        </w:rPr>
        <w:t>, il n’y a eu aucun débat parlementaire concernant l’effet de cette restriction sur la liberté d’expression artistique, laquelle n’est jamais mentionnée ni considérée. Les débats parlementaires font plutôt état des préoccupations du législateur en lien avec l’exposition des non-fumeurs à la fumée secondaire des fumeurs qui fréquentent les lieux fermés visés, sans égard aux cigarettes qui peuvent être fumées aux fins d’une représentation artistique. Au cours des débats entourant l’adoption des modifications législatives qui étendent la portée de l’interdiction, cet aspect ne sera pas davantage discuté, bien que l’interdiction soit maintenue pour les salles de spectacle. Tel que souligné précédemment, ce silence peut s’expliquer par l’absence de débat public au sujet de l’utilisation de cigarettes dans les représentations théâtrales et la tolérance entourant celle-ci, et ce, jusqu’à l’émission des constats d’infraction e</w:t>
      </w:r>
      <w:r w:rsidR="00F4558F" w:rsidRPr="00441B52">
        <w:rPr>
          <w:kern w:val="28"/>
        </w:rPr>
        <w:t xml:space="preserve">n </w:t>
      </w:r>
      <w:r w:rsidRPr="00441B52">
        <w:rPr>
          <w:kern w:val="28"/>
        </w:rPr>
        <w:t>2017</w:t>
      </w:r>
      <w:r w:rsidRPr="00441B52">
        <w:rPr>
          <w:kern w:val="28"/>
          <w:vertAlign w:val="superscript"/>
        </w:rPr>
        <w:footnoteReference w:id="102"/>
      </w:r>
      <w:r w:rsidRPr="00441B52">
        <w:rPr>
          <w:kern w:val="28"/>
        </w:rPr>
        <w:t xml:space="preserve">. </w:t>
      </w:r>
    </w:p>
    <w:p w14:paraId="32DCC276"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Malgré cette large interdiction, la cigarette demeure légale dans certains lieux fermés. Certes, au fil des années, le législateur restreint de plus en plus le droit de fumer dans des lieux accessibles au public. À ce jour, il permet encore de fumer dans certains salons de cigare en respectant plusieurs conditions</w:t>
      </w:r>
      <w:r w:rsidRPr="00441B52">
        <w:rPr>
          <w:kern w:val="28"/>
          <w:vertAlign w:val="superscript"/>
        </w:rPr>
        <w:footnoteReference w:id="103"/>
      </w:r>
      <w:r w:rsidRPr="00441B52">
        <w:rPr>
          <w:kern w:val="28"/>
        </w:rPr>
        <w:t>. Par ailleurs, il n’interdit pas de fumer dans certains lieux privés, dont, par exemple, une résidence privée, un fumoir, certains centres de services sociaux</w:t>
      </w:r>
      <w:r w:rsidRPr="00441B52">
        <w:rPr>
          <w:kern w:val="28"/>
          <w:vertAlign w:val="superscript"/>
        </w:rPr>
        <w:footnoteReference w:id="104"/>
      </w:r>
      <w:r w:rsidRPr="00441B52">
        <w:rPr>
          <w:kern w:val="28"/>
        </w:rPr>
        <w:t>, des chambres où il est permis de fumer dans certains centres d’hébergement</w:t>
      </w:r>
      <w:r w:rsidRPr="00441B52">
        <w:rPr>
          <w:kern w:val="28"/>
          <w:vertAlign w:val="superscript"/>
        </w:rPr>
        <w:footnoteReference w:id="105"/>
      </w:r>
      <w:r w:rsidRPr="00441B52">
        <w:rPr>
          <w:kern w:val="28"/>
        </w:rPr>
        <w:t xml:space="preserve"> ou une voiture qui ne transporte pas de personne de moins de 16 ans</w:t>
      </w:r>
      <w:r w:rsidRPr="00441B52">
        <w:rPr>
          <w:kern w:val="28"/>
          <w:vertAlign w:val="superscript"/>
        </w:rPr>
        <w:footnoteReference w:id="106"/>
      </w:r>
      <w:r w:rsidRPr="00441B52">
        <w:rPr>
          <w:kern w:val="28"/>
        </w:rPr>
        <w:t xml:space="preserve">. Dans les débats parlementaires de juin 2005, en lien avec l’étude </w:t>
      </w:r>
      <w:r w:rsidRPr="00441B52">
        <w:rPr>
          <w:kern w:val="28"/>
        </w:rPr>
        <w:lastRenderedPageBreak/>
        <w:t>détaillée du Projet de loi n</w:t>
      </w:r>
      <w:r w:rsidRPr="00441B52">
        <w:rPr>
          <w:rFonts w:cs="Arial"/>
          <w:kern w:val="28"/>
          <w:vertAlign w:val="superscript"/>
        </w:rPr>
        <w:t>o</w:t>
      </w:r>
      <w:r w:rsidRPr="00441B52">
        <w:rPr>
          <w:kern w:val="28"/>
        </w:rPr>
        <w:t xml:space="preserve"> 112 – </w:t>
      </w:r>
      <w:r w:rsidRPr="00441B52">
        <w:rPr>
          <w:i/>
          <w:iCs/>
          <w:kern w:val="28"/>
        </w:rPr>
        <w:t>Loi modifiant la Loi sur le tabac et d’autres dispositions législatives</w:t>
      </w:r>
      <w:r w:rsidRPr="00441B52">
        <w:rPr>
          <w:kern w:val="28"/>
          <w:vertAlign w:val="superscript"/>
        </w:rPr>
        <w:footnoteReference w:id="107"/>
      </w:r>
      <w:r w:rsidRPr="00441B52">
        <w:rPr>
          <w:kern w:val="28"/>
        </w:rPr>
        <w:t>, le ministre de la Santé et des Services sociaux, monsieur Philippe Couillard, explique :</w:t>
      </w:r>
    </w:p>
    <w:p w14:paraId="11A50972" w14:textId="77777777" w:rsidR="00E84882" w:rsidRPr="00441B52" w:rsidRDefault="00E524EA" w:rsidP="00E84882">
      <w:pPr>
        <w:spacing w:before="120" w:after="120" w:line="240" w:lineRule="auto"/>
        <w:ind w:left="720" w:right="720"/>
        <w:jc w:val="both"/>
        <w:rPr>
          <w:kern w:val="24"/>
          <w:sz w:val="22"/>
          <w:lang w:eastAsia="fr-CA"/>
        </w:rPr>
      </w:pPr>
      <w:r w:rsidRPr="00441B52">
        <w:rPr>
          <w:kern w:val="24"/>
          <w:sz w:val="22"/>
          <w:lang w:eastAsia="fr-CA"/>
        </w:rPr>
        <w:t xml:space="preserve">Bien sûr, </w:t>
      </w:r>
      <w:r w:rsidRPr="00441B52">
        <w:rPr>
          <w:kern w:val="24"/>
          <w:sz w:val="22"/>
          <w:u w:val="single"/>
          <w:lang w:eastAsia="fr-CA"/>
        </w:rPr>
        <w:t>question d’équilibre</w:t>
      </w:r>
      <w:r w:rsidRPr="00441B52">
        <w:rPr>
          <w:kern w:val="24"/>
          <w:sz w:val="22"/>
          <w:lang w:eastAsia="fr-CA"/>
        </w:rPr>
        <w:t xml:space="preserve">. Là comme ailleurs, il s’agit de faire l’équilibre entre les normes sociales que nous voulons voir modifiées, </w:t>
      </w:r>
      <w:r w:rsidRPr="00441B52">
        <w:rPr>
          <w:kern w:val="24"/>
          <w:sz w:val="22"/>
          <w:u w:val="single"/>
          <w:lang w:eastAsia="fr-CA"/>
        </w:rPr>
        <w:t>la protection de la santé et la question de l’impact sur certains types de commerces et également la question des libertés individuelles, de sorte que bien sûr il faut permettre aux gens qui malheureusement en font le choix</w:t>
      </w:r>
      <w:r w:rsidRPr="00441B52">
        <w:rPr>
          <w:kern w:val="24"/>
          <w:sz w:val="22"/>
          <w:lang w:eastAsia="fr-CA"/>
        </w:rPr>
        <w:t xml:space="preserve"> — mais je rappelle que cette notion de choix dans le cas du tabagisme est extrêmement relative — </w:t>
      </w:r>
      <w:r w:rsidRPr="00441B52">
        <w:rPr>
          <w:kern w:val="24"/>
          <w:sz w:val="22"/>
          <w:u w:val="single"/>
          <w:lang w:eastAsia="fr-CA"/>
        </w:rPr>
        <w:t>d’utiliser le produit du tabac dans leurs résidences privées, bien sûr. Hors de question totalement d’intervenir dans les résidences privées des gens</w:t>
      </w:r>
      <w:r w:rsidRPr="00441B52">
        <w:rPr>
          <w:kern w:val="24"/>
          <w:sz w:val="22"/>
          <w:lang w:eastAsia="fr-CA"/>
        </w:rPr>
        <w:t>. Et, si on dit « résidences privées », on parle également des endroits, des milieux de vie où séjournent, par exemple, les personnes âgées, en centre d’hébergement, ou les personnes qui doivent être hébergées à long terme pour des problèmes, par exemple autres que le vieillissement, de sorte que nous avons prévu des dispositions où on pourra aménager un pourcentage de chambres maximum de 40 </w:t>
      </w:r>
      <w:r w:rsidRPr="00441B52">
        <w:rPr>
          <w:rFonts w:ascii="CIDFont+F7" w:hAnsi="CIDFont+F7" w:cs="CIDFont+F7"/>
          <w:kern w:val="24"/>
          <w:sz w:val="22"/>
          <w:lang w:eastAsia="fr-CA"/>
        </w:rPr>
        <w:t xml:space="preserve">% </w:t>
      </w:r>
      <w:r w:rsidRPr="00441B52">
        <w:rPr>
          <w:kern w:val="24"/>
          <w:sz w:val="22"/>
          <w:lang w:eastAsia="fr-CA"/>
        </w:rPr>
        <w:t>pour les personnes utilisant le tabac, ceci s’appliquant également aux établissements touristiques, qui pourront continuer à avoir des étages de chambres fumeurs.</w:t>
      </w:r>
      <w:r w:rsidRPr="00441B52">
        <w:rPr>
          <w:kern w:val="24"/>
          <w:sz w:val="22"/>
          <w:vertAlign w:val="superscript"/>
          <w:lang w:eastAsia="fr-CA"/>
        </w:rPr>
        <w:footnoteReference w:id="108"/>
      </w:r>
    </w:p>
    <w:p w14:paraId="24838556" w14:textId="650007FF" w:rsidR="00142943" w:rsidRPr="00441B52" w:rsidRDefault="00142943" w:rsidP="00142943">
      <w:pPr>
        <w:spacing w:before="120" w:after="120" w:line="240" w:lineRule="auto"/>
        <w:ind w:left="720" w:right="720"/>
        <w:jc w:val="right"/>
        <w:rPr>
          <w:kern w:val="24"/>
          <w:sz w:val="22"/>
          <w:lang w:eastAsia="fr-CA"/>
        </w:rPr>
      </w:pPr>
      <w:r w:rsidRPr="00441B52">
        <w:rPr>
          <w:kern w:val="24"/>
          <w:sz w:val="22"/>
          <w:lang w:eastAsia="fr-CA"/>
        </w:rPr>
        <w:t>[Soulignements ajoutés]</w:t>
      </w:r>
    </w:p>
    <w:p w14:paraId="7A5D29F6" w14:textId="262C6ED8" w:rsidR="00E524EA" w:rsidRPr="00441B52" w:rsidRDefault="00E524EA" w:rsidP="00E84882">
      <w:pPr>
        <w:numPr>
          <w:ilvl w:val="0"/>
          <w:numId w:val="18"/>
        </w:numPr>
        <w:tabs>
          <w:tab w:val="clear" w:pos="720"/>
          <w:tab w:val="num" w:pos="360"/>
        </w:tabs>
        <w:spacing w:before="120" w:after="120" w:line="240" w:lineRule="auto"/>
        <w:jc w:val="both"/>
      </w:pPr>
      <w:r w:rsidRPr="00441B52">
        <w:t>En conséquence, des non-fumeurs peuvent être exposés à de la fumée secondaire en acceptant de se rendre dans une résidence privée où habite un fumeur actif et de ce fait d’assumer un certain risque pour leur santé. De même, il est toujours possible de fumer à l’extérieur d’un édifice à une certaine distance de la porte d’entrée</w:t>
      </w:r>
      <w:r w:rsidRPr="00441B52">
        <w:rPr>
          <w:vertAlign w:val="superscript"/>
        </w:rPr>
        <w:footnoteReference w:id="109"/>
      </w:r>
      <w:r w:rsidRPr="00441B52">
        <w:t xml:space="preserve">, et ce, même si des non-fumeurs doivent passer à proximité pour pénétrer dans l’édifice. En somme, ces dispositions démontrent que l’objectif de protection de la santé et du bien-être des non-fumeurs ne nécessite pas d’empêcher tout contact avec de la fumée secondaire. Comme je le soulignais, l’interdiction de fumer dans les théâtres est le moyen employé par le législateur pour y arriver et non, l’objectif lui-même. </w:t>
      </w:r>
    </w:p>
    <w:p w14:paraId="631FB861"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Je conclus donc que la restriction absolue de fumer dans les théâtres n’a pas été soigneusement conçue pour tenir compte de la liberté d’expression artistique. En outre, la preuve ne démontre pas les raisons justifiant que le législateur n’ait nullement envisagé des mesures moins attentatoires. En fait, il semble que cette conséquence ait été oubliée plutôt que de constituer une mesure mûrement réfléchie et soigneusement adaptée pour atteindre l’objectif fixé</w:t>
      </w:r>
      <w:r w:rsidRPr="00441B52">
        <w:rPr>
          <w:kern w:val="28"/>
          <w:vertAlign w:val="superscript"/>
        </w:rPr>
        <w:footnoteReference w:id="110"/>
      </w:r>
      <w:r w:rsidRPr="00441B52">
        <w:rPr>
          <w:kern w:val="28"/>
        </w:rPr>
        <w:t xml:space="preserve">. </w:t>
      </w:r>
    </w:p>
    <w:p w14:paraId="52F13E60"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lastRenderedPageBreak/>
        <w:t>Certes, le législateur peut expliquer « </w:t>
      </w:r>
      <w:r w:rsidRPr="00441B52">
        <w:rPr>
          <w:i/>
          <w:iCs/>
          <w:kern w:val="28"/>
        </w:rPr>
        <w:t>a posteriori</w:t>
      </w:r>
      <w:r w:rsidRPr="00441B52">
        <w:rPr>
          <w:kern w:val="28"/>
        </w:rPr>
        <w:t xml:space="preserve"> […] ce en quoi des mesures moins restrictives […] ne lui auraient pas permis de réaliser son objectif »</w:t>
      </w:r>
      <w:r w:rsidRPr="00441B52">
        <w:rPr>
          <w:kern w:val="28"/>
          <w:vertAlign w:val="superscript"/>
        </w:rPr>
        <w:footnoteReference w:id="111"/>
      </w:r>
      <w:r w:rsidRPr="00441B52">
        <w:rPr>
          <w:kern w:val="28"/>
        </w:rPr>
        <w:t xml:space="preserve">. Pour ce faire, le PGQ met en preuve plusieurs études et rapports scientifiques qui détaillent les effets délétères de la fumée secondaire sur la santé humaine. Or, je considère que cette preuve ne justifie pas la nécessité d’une interdiction absolue pour atteindre l’objectif de protéger la santé et le bien-être des non-fumeurs par le contrôle de la fumée secondaire. </w:t>
      </w:r>
    </w:p>
    <w:p w14:paraId="0BF2BA40" w14:textId="4F9453C1"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La preuve des Théâtres démontre que, mis à part des cas exceptionnels</w:t>
      </w:r>
      <w:r w:rsidRPr="00441B52">
        <w:rPr>
          <w:kern w:val="28"/>
          <w:vertAlign w:val="superscript"/>
        </w:rPr>
        <w:footnoteReference w:id="112"/>
      </w:r>
      <w:r w:rsidRPr="00441B52">
        <w:rPr>
          <w:kern w:val="28"/>
        </w:rPr>
        <w:t xml:space="preserve">, </w:t>
      </w:r>
      <w:r w:rsidR="009F7248" w:rsidRPr="00441B52">
        <w:rPr>
          <w:kern w:val="28"/>
        </w:rPr>
        <w:t xml:space="preserve">dans </w:t>
      </w:r>
      <w:r w:rsidRPr="00441B52">
        <w:rPr>
          <w:kern w:val="28"/>
        </w:rPr>
        <w:t>la vaste majorité des pièces dans lesquels un ou des personnages fument, le nombre de cigarettes et la durée de l’acte de fumer sont fort limités</w:t>
      </w:r>
      <w:r w:rsidRPr="00441B52">
        <w:rPr>
          <w:kern w:val="28"/>
          <w:vertAlign w:val="superscript"/>
        </w:rPr>
        <w:footnoteReference w:id="113"/>
      </w:r>
      <w:r w:rsidRPr="00441B52">
        <w:rPr>
          <w:kern w:val="28"/>
        </w:rPr>
        <w:t>. Le directeur artistique du Théâtre de la Bordée, Michel Nadeau, mentionne que son théâtre présente, dans chaque période de deux ans environ, une seule pièce où un personnage fume. En outre, les salles de théâtres sont généralement des endroits vastes et aérés</w:t>
      </w:r>
      <w:r w:rsidRPr="00441B52">
        <w:rPr>
          <w:kern w:val="28"/>
          <w:vertAlign w:val="superscript"/>
        </w:rPr>
        <w:footnoteReference w:id="114"/>
      </w:r>
      <w:r w:rsidRPr="00441B52">
        <w:rPr>
          <w:kern w:val="28"/>
        </w:rPr>
        <w:t>. Considérant l’ensemble de la preuve, il appert que l’exposition des spectateurs à la fumée secondaire, du fait que des personnages fument dans une pièce de théâtre, est généralement minime, voire négligeable.</w:t>
      </w:r>
    </w:p>
    <w:p w14:paraId="79DFE6C3"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PGQ appuie son argument de l’atteinte minimale sur une preuve générale du risque que représente la fumée de cigarette (et d’autres produits associés) pour la santé. Cette preuve ne fait pas état précisément du risque pour la santé à des concentrations aussi peu importantes que celles émises par des personnages de la pièce dans une salle de théâtre. Le PGQ s’appuie principalement sur le Rapport d’expertise du D</w:t>
      </w:r>
      <w:r w:rsidRPr="00441B52">
        <w:rPr>
          <w:kern w:val="28"/>
          <w:vertAlign w:val="superscript"/>
        </w:rPr>
        <w:t>r</w:t>
      </w:r>
      <w:r w:rsidRPr="00441B52">
        <w:rPr>
          <w:kern w:val="28"/>
        </w:rPr>
        <w:t xml:space="preserve"> Desjardins, </w:t>
      </w:r>
      <w:r w:rsidRPr="00441B52">
        <w:rPr>
          <w:kern w:val="28"/>
        </w:rPr>
        <w:lastRenderedPageBreak/>
        <w:t>lequel expose que la fumée secondaire provient de la fumée primaire exhalée par un fumeur (environ 15 %) à laquelle s’ajoute la fumée latérale qui se dégage de la cigarette qui se consume entre les bouffées (environ 85 %). Le D</w:t>
      </w:r>
      <w:r w:rsidRPr="00441B52">
        <w:rPr>
          <w:kern w:val="28"/>
          <w:vertAlign w:val="superscript"/>
        </w:rPr>
        <w:t>r</w:t>
      </w:r>
      <w:r w:rsidRPr="00441B52">
        <w:rPr>
          <w:kern w:val="28"/>
        </w:rPr>
        <w:t xml:space="preserve"> Desjardins écrit : </w:t>
      </w:r>
    </w:p>
    <w:p w14:paraId="1DA4CBEA" w14:textId="77777777" w:rsidR="00E524EA" w:rsidRPr="00441B52" w:rsidRDefault="00E524EA" w:rsidP="00E524EA">
      <w:pPr>
        <w:spacing w:before="120" w:after="120" w:line="240" w:lineRule="auto"/>
        <w:ind w:left="720" w:right="720"/>
        <w:jc w:val="both"/>
        <w:rPr>
          <w:kern w:val="24"/>
          <w:sz w:val="22"/>
        </w:rPr>
      </w:pPr>
      <w:r w:rsidRPr="00441B52">
        <w:rPr>
          <w:kern w:val="24"/>
          <w:sz w:val="22"/>
        </w:rPr>
        <w:t>Les fumeurs inhalent la fumée primaire non diluée directement dans les poumons, tandis que les personnes exposées de façon passive à la fumée secondaire inhalent les mêmes produits chimiques, mais dilués et donc en concentrations moindres.</w:t>
      </w:r>
      <w:r w:rsidRPr="00441B52">
        <w:rPr>
          <w:kern w:val="24"/>
          <w:sz w:val="22"/>
          <w:vertAlign w:val="superscript"/>
        </w:rPr>
        <w:footnoteReference w:id="115"/>
      </w:r>
      <w:r w:rsidRPr="00441B52">
        <w:rPr>
          <w:kern w:val="24"/>
          <w:sz w:val="22"/>
        </w:rPr>
        <w:t xml:space="preserve">  </w:t>
      </w:r>
    </w:p>
    <w:p w14:paraId="562F9A43"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D</w:t>
      </w:r>
      <w:r w:rsidRPr="00441B52">
        <w:rPr>
          <w:kern w:val="28"/>
          <w:vertAlign w:val="superscript"/>
        </w:rPr>
        <w:t>r</w:t>
      </w:r>
      <w:r w:rsidRPr="00441B52">
        <w:rPr>
          <w:kern w:val="28"/>
        </w:rPr>
        <w:t xml:space="preserve"> Desjardins explique que la fumée secondaire du tabac contient plus de 7 000 produits chimiques, dont 67 sont cancérigènes et 172 toxiques. Son rapport établit également que la cigarette aux herbes, peu importe sa composition, produit une fumée renfermant plusieurs composantes cancérigènes et toxiques, analogue à la fumée émise par une cigarette de tabac</w:t>
      </w:r>
      <w:r w:rsidRPr="00441B52">
        <w:rPr>
          <w:kern w:val="28"/>
          <w:vertAlign w:val="superscript"/>
        </w:rPr>
        <w:footnoteReference w:id="116"/>
      </w:r>
      <w:r w:rsidRPr="00441B52">
        <w:rPr>
          <w:kern w:val="28"/>
        </w:rPr>
        <w:t>. Selon lui, la « seule solution, à la fois simple et efficace, pour assurer le bien-être et promouvoir la santé de tous les occupants des lieux, est l’interdiction de fumer à l’intérieur des lieux publics fermés »</w:t>
      </w:r>
      <w:r w:rsidRPr="00441B52">
        <w:rPr>
          <w:kern w:val="28"/>
          <w:vertAlign w:val="superscript"/>
        </w:rPr>
        <w:footnoteReference w:id="117"/>
      </w:r>
      <w:r w:rsidRPr="00441B52">
        <w:rPr>
          <w:kern w:val="28"/>
        </w:rPr>
        <w:t>.</w:t>
      </w:r>
    </w:p>
    <w:p w14:paraId="7B3DD666"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La majorité des études concernent toutefois des expositions beaucoup plus sévères et persistantes, comme le cas d’un non-fumeur qui habite avec un fumeur</w:t>
      </w:r>
      <w:r w:rsidRPr="00441B52">
        <w:rPr>
          <w:kern w:val="28"/>
          <w:vertAlign w:val="superscript"/>
        </w:rPr>
        <w:footnoteReference w:id="118"/>
      </w:r>
      <w:r w:rsidRPr="00441B52">
        <w:rPr>
          <w:kern w:val="28"/>
        </w:rPr>
        <w:t>. Le D</w:t>
      </w:r>
      <w:r w:rsidRPr="00441B52">
        <w:rPr>
          <w:kern w:val="28"/>
          <w:vertAlign w:val="superscript"/>
        </w:rPr>
        <w:t>r</w:t>
      </w:r>
      <w:r w:rsidRPr="00441B52">
        <w:rPr>
          <w:kern w:val="28"/>
        </w:rPr>
        <w:t> Desjardins cite une seule étude qui fait état d’effets de vasoconstriction coronaire secondaire après une « brève exposition de 30 minutes à faible concentration de FST [fumée secondaire du tabac] dans un fumoir »</w:t>
      </w:r>
      <w:r w:rsidRPr="00441B52">
        <w:rPr>
          <w:kern w:val="28"/>
          <w:vertAlign w:val="superscript"/>
        </w:rPr>
        <w:footnoteReference w:id="119"/>
      </w:r>
      <w:r w:rsidRPr="00441B52">
        <w:rPr>
          <w:kern w:val="28"/>
        </w:rPr>
        <w:t xml:space="preserve">. Le PGQ dépose également des extraits d’un rapport américain du </w:t>
      </w:r>
      <w:r w:rsidRPr="00441B52">
        <w:rPr>
          <w:i/>
          <w:iCs/>
          <w:kern w:val="28"/>
        </w:rPr>
        <w:t>Department of Health and Human Services</w:t>
      </w:r>
      <w:r w:rsidRPr="00441B52">
        <w:rPr>
          <w:kern w:val="28"/>
        </w:rPr>
        <w:t xml:space="preserve"> intitulé « </w:t>
      </w:r>
      <w:r w:rsidRPr="00441B52">
        <w:rPr>
          <w:i/>
          <w:iCs/>
          <w:kern w:val="28"/>
        </w:rPr>
        <w:t>The health Consequences of Involuntary Exposure to Tobacco Smoke</w:t>
      </w:r>
      <w:r w:rsidRPr="00441B52">
        <w:rPr>
          <w:kern w:val="28"/>
        </w:rPr>
        <w:t xml:space="preserve"> » qui conclut entre autres : (1) que la fumée secondaire expose à des concentrations plus élevées quant à certains produits chimiques toxiques et cancérigènes; (2) qu’une exposition pour une courte durée peut avoir des effets négatifs sur le système cardiovasculaire; et (3) qu’il n’y a pas de seuil d’exposition sécuritaire à la fumée secondaire. Cependant, il n’y a aucune précision quant à la nature d’une exposition qualifiée de « courte durée ». Ainsi, comme pour les autres études citées, ce rapport, dont nous n’avons que les conclusions, ne fait qu’établir le principe général qu’il n’existe pas de niveau sécuritaire d’exposition à la fumée secondaire, sans donner les détails quant aux effets à de faibles concentrations ou temps d’exposition. </w:t>
      </w:r>
    </w:p>
    <w:p w14:paraId="0E571400"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Sans écarter la preuve des effets délétères de la fumée secondaire démontrés de manière générale, force est de constater que la valeur probante des études est faible pour des expositions de la nature de celle en cause dans le cadre d’un spectacle de </w:t>
      </w:r>
      <w:r w:rsidRPr="00441B52">
        <w:rPr>
          <w:kern w:val="28"/>
        </w:rPr>
        <w:lastRenderedPageBreak/>
        <w:t xml:space="preserve">théâtre et ne permet pas de justifier qu’une interdiction totale de fumer est requise pour atteindre efficacement l’objectif. </w:t>
      </w:r>
    </w:p>
    <w:p w14:paraId="3DA6EABD"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Lors de son témoignage, le D</w:t>
      </w:r>
      <w:r w:rsidRPr="00441B52">
        <w:rPr>
          <w:kern w:val="28"/>
          <w:vertAlign w:val="superscript"/>
        </w:rPr>
        <w:t>r</w:t>
      </w:r>
      <w:r w:rsidRPr="00441B52">
        <w:rPr>
          <w:kern w:val="28"/>
        </w:rPr>
        <w:t xml:space="preserve"> Desjardins convient que le risque d’effets secondaires augmente avec l’intensité de l’exposition, caractérisée par le nombre de cigarettes qui produisent de la fumée secondaire, la durée d’exposition et la grandeur du lieu dans lequel celles-ci sont allumées. Plus l’exposition est fréquente et proche du cône de combustion de la cigarette, plus le risque augmente. À ce sujet, l’expert reconnaît qu’il n’a pas analysé la volumétrie des différentes salles de théâtre concernées ni considéré la quantité de fumée secondaire générée lors de la présentation des pièces de théâtre en cause. Il ne connaît pas la durée des pièces de théâtre ni la distance qui sépare les personnages des spectateurs. De plus, il n’a aucune information sur le fonctionnement des systèmes de ventilation des différentes salles. Le D</w:t>
      </w:r>
      <w:r w:rsidRPr="00441B52">
        <w:rPr>
          <w:kern w:val="28"/>
          <w:vertAlign w:val="superscript"/>
        </w:rPr>
        <w:t>r</w:t>
      </w:r>
      <w:r w:rsidRPr="00441B52">
        <w:rPr>
          <w:kern w:val="28"/>
        </w:rPr>
        <w:t xml:space="preserve"> Desjardins souligne cependant qu’aucun système de ventilation ne permet d’éliminer toute la fumée secondaire dans un lieu fermé, comme il l’écrivait dans son rapport : </w:t>
      </w:r>
    </w:p>
    <w:p w14:paraId="47882AFA" w14:textId="77777777" w:rsidR="00E524EA" w:rsidRPr="00441B52" w:rsidRDefault="00E524EA" w:rsidP="00E524EA">
      <w:pPr>
        <w:spacing w:before="120" w:after="120" w:line="240" w:lineRule="auto"/>
        <w:ind w:left="720" w:right="720"/>
        <w:jc w:val="both"/>
        <w:rPr>
          <w:kern w:val="24"/>
          <w:sz w:val="22"/>
        </w:rPr>
      </w:pPr>
      <w:r w:rsidRPr="00441B52">
        <w:rPr>
          <w:b/>
          <w:bCs/>
          <w:kern w:val="24"/>
          <w:sz w:val="22"/>
        </w:rPr>
        <w:t>Toutefois, les systèmes de ventilation des endroits fermés ont été maintes fois démontrés inefficaces pour contrôler l’exposition à la fumée secondaire du tabac.</w:t>
      </w:r>
      <w:r w:rsidRPr="00441B52">
        <w:rPr>
          <w:kern w:val="24"/>
          <w:sz w:val="22"/>
        </w:rPr>
        <w:t xml:space="preserve"> Les taux de changements d’air requis pour évacuer la fumée secondaire du tabac et obtenir une qualité d’air intérieur acceptable sont si élevés qu’ils sont généralement impossibles à atteindre. Il y a consensus entre les autorités de santé publique […] que la ventilation ne peut pas éliminer la mortalité et les maladies causées par l’exposition à la fumée secondaire du tabac.</w:t>
      </w:r>
      <w:r w:rsidRPr="00441B52">
        <w:rPr>
          <w:kern w:val="24"/>
          <w:sz w:val="22"/>
          <w:vertAlign w:val="superscript"/>
        </w:rPr>
        <w:footnoteReference w:id="120"/>
      </w:r>
    </w:p>
    <w:p w14:paraId="4DE59C40" w14:textId="77777777" w:rsidR="00E524EA" w:rsidRPr="00441B52" w:rsidRDefault="00E524EA" w:rsidP="00E524EA">
      <w:pPr>
        <w:spacing w:before="120" w:after="120" w:line="240" w:lineRule="auto"/>
        <w:ind w:left="720" w:right="720"/>
        <w:jc w:val="right"/>
        <w:rPr>
          <w:kern w:val="24"/>
          <w:sz w:val="22"/>
        </w:rPr>
      </w:pPr>
      <w:r w:rsidRPr="00441B52">
        <w:rPr>
          <w:kern w:val="24"/>
          <w:sz w:val="22"/>
        </w:rPr>
        <w:t>[Caractères gras dans l’original; renvoi omis]</w:t>
      </w:r>
    </w:p>
    <w:p w14:paraId="7CA81E8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Il témoigne également qu’une quantité infime de fumée secondaire peut incommoder, en raison de l’odeur et des effets irritants</w:t>
      </w:r>
      <w:r w:rsidRPr="00441B52">
        <w:rPr>
          <w:kern w:val="28"/>
          <w:vertAlign w:val="superscript"/>
        </w:rPr>
        <w:footnoteReference w:id="121"/>
      </w:r>
      <w:r w:rsidRPr="00441B52">
        <w:rPr>
          <w:kern w:val="28"/>
        </w:rPr>
        <w:t>. Il rappelle qu’il n’y a pas de seuil sécuritaire de fumée secondaire et, donc, qu’une seule cigarette est problématique.</w:t>
      </w:r>
    </w:p>
    <w:p w14:paraId="58A76A9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Il demeure que la concentration de fumée secondaire à laquelle les spectateurs ont été exposés n’a pas été évaluée. Dans ce contexte, on peut difficilement établir une corrélation épidémiologique entre des pathologies et la fumée secondaire à très faible concentration et fréquence, comme celle en cause dans le cas de personnages qui fument pour une pièce de théâtre.</w:t>
      </w:r>
    </w:p>
    <w:p w14:paraId="29B03AEE" w14:textId="434973F0"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Le PGQ allègue que le principe de précaution justifie l’interdiction absolue, car l’incertitude scientifique ne devrait pas empêcher l’adoption de mesures pour prévenir des </w:t>
      </w:r>
      <w:r w:rsidR="009F7248" w:rsidRPr="00441B52">
        <w:rPr>
          <w:kern w:val="28"/>
        </w:rPr>
        <w:t xml:space="preserve">effets </w:t>
      </w:r>
      <w:r w:rsidRPr="00441B52">
        <w:rPr>
          <w:kern w:val="28"/>
        </w:rPr>
        <w:t xml:space="preserve">potentiels </w:t>
      </w:r>
      <w:r w:rsidR="009F7248" w:rsidRPr="00441B52">
        <w:rPr>
          <w:kern w:val="28"/>
        </w:rPr>
        <w:t xml:space="preserve">sur </w:t>
      </w:r>
      <w:r w:rsidRPr="00441B52">
        <w:rPr>
          <w:kern w:val="28"/>
        </w:rPr>
        <w:t>la santé. Certes, la jurisprudence a déjà reconnu la nécessité « de prendre en compte l’incertitude ou l’existence d’un risque dans l’appréciation de l’action gouvernementale et de la déférence dont il doit bénéficier », notamment en cas d’incapacité de mesurer scientifiquement le préjudice particulier ou l’efficacité d’une mesure</w:t>
      </w:r>
      <w:r w:rsidRPr="00441B52">
        <w:rPr>
          <w:kern w:val="28"/>
          <w:vertAlign w:val="superscript"/>
        </w:rPr>
        <w:footnoteReference w:id="122"/>
      </w:r>
      <w:r w:rsidRPr="00441B52">
        <w:rPr>
          <w:kern w:val="28"/>
        </w:rPr>
        <w:t xml:space="preserve">. </w:t>
      </w:r>
    </w:p>
    <w:p w14:paraId="68D198C5"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Toutefois, dans l’arrêt </w:t>
      </w:r>
      <w:r w:rsidRPr="00441B52">
        <w:rPr>
          <w:i/>
          <w:iCs/>
          <w:kern w:val="28"/>
        </w:rPr>
        <w:t>Taylor</w:t>
      </w:r>
      <w:r w:rsidRPr="00441B52">
        <w:rPr>
          <w:rFonts w:cs="Arial"/>
          <w:kern w:val="28"/>
          <w:szCs w:val="24"/>
        </w:rPr>
        <w:t xml:space="preserve">, la majorité de la Cour suprême explique </w:t>
      </w:r>
      <w:r w:rsidRPr="00441B52">
        <w:rPr>
          <w:kern w:val="28"/>
        </w:rPr>
        <w:t xml:space="preserve">qu’il n’est pas nécessaire d’intégrer le principe de précaution à l’analyse fondée sur l’article premier de la </w:t>
      </w:r>
      <w:r w:rsidRPr="00441B52">
        <w:rPr>
          <w:i/>
          <w:iCs/>
          <w:kern w:val="28"/>
        </w:rPr>
        <w:t>Charte</w:t>
      </w:r>
      <w:r w:rsidRPr="00441B52">
        <w:rPr>
          <w:kern w:val="28"/>
        </w:rPr>
        <w:t xml:space="preserve">, puisque l’approche de déférence judiciaire à l’égard des choix du législateur permet déjà une souplesse dans l’analyse de la justification suivant l’article premier : </w:t>
      </w:r>
    </w:p>
    <w:p w14:paraId="4BDEB560" w14:textId="77777777" w:rsidR="00E524EA" w:rsidRPr="00441B52" w:rsidRDefault="00E524EA" w:rsidP="00E524EA">
      <w:pPr>
        <w:spacing w:before="120" w:after="120" w:line="240" w:lineRule="auto"/>
        <w:ind w:left="720" w:right="720"/>
        <w:jc w:val="both"/>
        <w:rPr>
          <w:kern w:val="24"/>
          <w:sz w:val="22"/>
        </w:rPr>
      </w:pPr>
      <w:r w:rsidRPr="00441B52">
        <w:rPr>
          <w:kern w:val="24"/>
          <w:sz w:val="22"/>
        </w:rPr>
        <w:t>[</w:t>
      </w:r>
      <w:bookmarkStart w:id="44" w:name="par209"/>
      <w:r w:rsidRPr="00441B52">
        <w:rPr>
          <w:kern w:val="24"/>
          <w:sz w:val="22"/>
        </w:rPr>
        <w:t>209</w:t>
      </w:r>
      <w:bookmarkEnd w:id="44"/>
      <w:r w:rsidRPr="00441B52">
        <w:rPr>
          <w:kern w:val="24"/>
          <w:sz w:val="22"/>
        </w:rPr>
        <w:t>]</w:t>
      </w:r>
      <w:r w:rsidRPr="00441B52">
        <w:rPr>
          <w:kern w:val="24"/>
          <w:sz w:val="14"/>
          <w:szCs w:val="14"/>
        </w:rPr>
        <w:tab/>
      </w:r>
      <w:r w:rsidRPr="00441B52">
        <w:rPr>
          <w:kern w:val="24"/>
          <w:sz w:val="22"/>
        </w:rPr>
        <w:t>Les tribunaux reconnaissent que les gouvernements jouissent d’une marge d’appréciation, qu’une approche empreinte de déférence peut être appliquée à chaque étape du critère de l’arrêt </w:t>
      </w:r>
      <w:r w:rsidRPr="00441B52">
        <w:rPr>
          <w:i/>
          <w:iCs/>
          <w:kern w:val="24"/>
          <w:sz w:val="22"/>
        </w:rPr>
        <w:t>Oakes</w:t>
      </w:r>
      <w:r w:rsidRPr="00441B52">
        <w:rPr>
          <w:kern w:val="24"/>
          <w:sz w:val="22"/>
        </w:rPr>
        <w:t> et que chacune de ces étapes prévoit une norme contextuelle. Cette reconnaissance répond aux préoccupations sous</w:t>
      </w:r>
      <w:r w:rsidRPr="00441B52">
        <w:rPr>
          <w:rFonts w:ascii="Cambria Math" w:hAnsi="Cambria Math" w:cs="Cambria Math"/>
          <w:kern w:val="24"/>
          <w:sz w:val="22"/>
        </w:rPr>
        <w:t>‐</w:t>
      </w:r>
      <w:r w:rsidRPr="00441B52">
        <w:rPr>
          <w:kern w:val="24"/>
          <w:sz w:val="22"/>
        </w:rPr>
        <w:t>jacentes du principe de pr</w:t>
      </w:r>
      <w:r w:rsidRPr="00441B52">
        <w:rPr>
          <w:rFonts w:cs="Arial"/>
          <w:kern w:val="24"/>
          <w:sz w:val="22"/>
        </w:rPr>
        <w:t>é</w:t>
      </w:r>
      <w:r w:rsidRPr="00441B52">
        <w:rPr>
          <w:kern w:val="24"/>
          <w:sz w:val="22"/>
        </w:rPr>
        <w:t xml:space="preserve">caution. </w:t>
      </w:r>
    </w:p>
    <w:p w14:paraId="39E10EB9" w14:textId="77777777" w:rsidR="00E524EA" w:rsidRPr="00441B52" w:rsidRDefault="00E524EA" w:rsidP="00E524EA">
      <w:pPr>
        <w:spacing w:before="120" w:after="120" w:line="240" w:lineRule="auto"/>
        <w:ind w:left="720" w:right="720"/>
        <w:jc w:val="both"/>
        <w:rPr>
          <w:kern w:val="24"/>
          <w:sz w:val="22"/>
        </w:rPr>
      </w:pPr>
      <w:r w:rsidRPr="00441B52">
        <w:rPr>
          <w:kern w:val="24"/>
          <w:sz w:val="22"/>
        </w:rPr>
        <w:t>[…]</w:t>
      </w:r>
    </w:p>
    <w:p w14:paraId="09FEA9CD" w14:textId="77777777" w:rsidR="00E524EA" w:rsidRPr="00441B52" w:rsidRDefault="00E524EA" w:rsidP="00E524EA">
      <w:pPr>
        <w:spacing w:before="120" w:after="120" w:line="240" w:lineRule="auto"/>
        <w:ind w:left="720" w:right="720"/>
        <w:jc w:val="both"/>
        <w:rPr>
          <w:kern w:val="24"/>
          <w:sz w:val="22"/>
        </w:rPr>
      </w:pPr>
      <w:r w:rsidRPr="00441B52">
        <w:rPr>
          <w:kern w:val="24"/>
          <w:sz w:val="22"/>
        </w:rPr>
        <w:t>[</w:t>
      </w:r>
      <w:bookmarkStart w:id="45" w:name="par214"/>
      <w:r w:rsidRPr="00441B52">
        <w:rPr>
          <w:kern w:val="24"/>
          <w:sz w:val="22"/>
        </w:rPr>
        <w:t>214</w:t>
      </w:r>
      <w:bookmarkEnd w:id="45"/>
      <w:r w:rsidRPr="00441B52">
        <w:rPr>
          <w:kern w:val="24"/>
          <w:sz w:val="22"/>
        </w:rPr>
        <w:t>]</w:t>
      </w:r>
      <w:r w:rsidRPr="00441B52">
        <w:rPr>
          <w:kern w:val="24"/>
          <w:sz w:val="22"/>
        </w:rPr>
        <w:tab/>
        <w:t xml:space="preserve">Globalement, le critère de l’arrêt </w:t>
      </w:r>
      <w:r w:rsidRPr="00441B52">
        <w:rPr>
          <w:i/>
          <w:iCs/>
          <w:kern w:val="24"/>
          <w:sz w:val="22"/>
        </w:rPr>
        <w:t>Oakes</w:t>
      </w:r>
      <w:r w:rsidRPr="00441B52">
        <w:rPr>
          <w:kern w:val="24"/>
          <w:sz w:val="22"/>
        </w:rPr>
        <w:t xml:space="preserve"> rend déjà bien compte de toute la sagesse qu’offre le principe de précaution. Nous concluons donc que le principe de précaution ne fait pas partie de l’analyse fondée sur l’article premier, et qu’il ne doit pas être inséré ni intégré dans l’analyse de la manière formelle proposée. Le critère de l’arrêt </w:t>
      </w:r>
      <w:r w:rsidRPr="00441B52">
        <w:rPr>
          <w:i/>
          <w:iCs/>
          <w:kern w:val="24"/>
          <w:sz w:val="22"/>
        </w:rPr>
        <w:t>Oakes</w:t>
      </w:r>
      <w:r w:rsidRPr="00441B52">
        <w:rPr>
          <w:kern w:val="24"/>
          <w:sz w:val="22"/>
        </w:rPr>
        <w:t xml:space="preserve"> demeure le critère applicable : il s’agit d’une norme adaptée, souple et nuancée, servant à évaluer si une limite apportée à un droit ou à une liberté garantis par la </w:t>
      </w:r>
      <w:r w:rsidRPr="00441B52">
        <w:rPr>
          <w:i/>
          <w:iCs/>
          <w:kern w:val="24"/>
          <w:sz w:val="22"/>
        </w:rPr>
        <w:t>Charte</w:t>
      </w:r>
      <w:r w:rsidRPr="00441B52">
        <w:rPr>
          <w:kern w:val="24"/>
          <w:sz w:val="22"/>
        </w:rPr>
        <w:t>, même lorsqu’elle est adoptée en situation d’urgence, est justifiée dans une société libre et démocratique.</w:t>
      </w:r>
      <w:r w:rsidRPr="00441B52">
        <w:rPr>
          <w:kern w:val="24"/>
          <w:sz w:val="22"/>
          <w:vertAlign w:val="superscript"/>
        </w:rPr>
        <w:t xml:space="preserve"> </w:t>
      </w:r>
      <w:r w:rsidRPr="00441B52">
        <w:rPr>
          <w:kern w:val="24"/>
          <w:sz w:val="22"/>
          <w:vertAlign w:val="superscript"/>
        </w:rPr>
        <w:footnoteReference w:id="123"/>
      </w:r>
    </w:p>
    <w:p w14:paraId="09C4C1BE"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Dans l’arrêt </w:t>
      </w:r>
      <w:r w:rsidRPr="00441B52">
        <w:rPr>
          <w:i/>
          <w:iCs/>
          <w:kern w:val="28"/>
        </w:rPr>
        <w:t>Irwin Toy</w:t>
      </w:r>
      <w:r w:rsidRPr="00441B52">
        <w:rPr>
          <w:kern w:val="28"/>
        </w:rPr>
        <w:t xml:space="preserve">, la majorité de la Cour suprême explique dans son analyse de la justification de l’atteinte : </w:t>
      </w:r>
    </w:p>
    <w:p w14:paraId="5C494633" w14:textId="77777777" w:rsidR="00E524EA" w:rsidRPr="00441B52" w:rsidRDefault="00E524EA" w:rsidP="00E524EA">
      <w:pPr>
        <w:spacing w:before="120" w:after="120" w:line="240" w:lineRule="auto"/>
        <w:ind w:left="720" w:right="720"/>
        <w:jc w:val="both"/>
        <w:rPr>
          <w:kern w:val="24"/>
          <w:sz w:val="22"/>
        </w:rPr>
      </w:pPr>
      <w:r w:rsidRPr="00441B52">
        <w:rPr>
          <w:kern w:val="24"/>
          <w:sz w:val="22"/>
        </w:rPr>
        <w:t>Si le législateur a fait une évaluation raisonnable quant à la place appropriée de la ligne de démarcation, surtout quand cette évaluation exige l’appréciation de preuves scientifiques contradictoires et la répartition de ressources limitées, il n’appartient pas aux tribunaux de se prononcer après coup. Ce serait seulement substituer une évaluation à une autre.</w:t>
      </w:r>
      <w:r w:rsidRPr="00441B52">
        <w:rPr>
          <w:kern w:val="24"/>
          <w:sz w:val="22"/>
          <w:vertAlign w:val="superscript"/>
        </w:rPr>
        <w:footnoteReference w:id="124"/>
      </w:r>
    </w:p>
    <w:p w14:paraId="02170ADE" w14:textId="0115BFA5"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À l’étape de la justification des dispositions qui interdisent de fumer dans une salle fermée où se déroulent des activités culturelles, la preuve ne démontre pas que le législateur a procédé à une évaluation raisonnable lorsqu’il a tracé la ligne de démarcation. Tel que je le soulignais, il appert que le législateur n’a pas considéré la liberté d’expression des artistes. Des mesures moins attentatoires n’ont pas été analysées et il n’y a eu aucune évaluation de la capacité de telles mesures à réaliser l’objectif. En outre, force est de constater que les risques entourant la cigarette sont connus depuis de nombreuses années et ont déjà été l’objet de plusieurs études, </w:t>
      </w:r>
      <w:r w:rsidR="009F7248" w:rsidRPr="00441B52">
        <w:rPr>
          <w:kern w:val="28"/>
        </w:rPr>
        <w:t xml:space="preserve">ce qui limite </w:t>
      </w:r>
      <w:r w:rsidRPr="00441B52">
        <w:rPr>
          <w:kern w:val="28"/>
        </w:rPr>
        <w:t xml:space="preserve">l’incertitude scientifique dans ce domaine. La preuve démontre que les risques varient en fonction de la concentration de la fumée secondaire. Le PGQ a choisi de ne pas préciser l’importance de l’exposition des spectateurs dans le cas des Théâtres, alors que la preuve générale présentée permet de conclure à son caractère négligeable. En conséquence, il n’arrive pas à démontrer que l’interdiction totale est justifiée. Autrement dit, il ne suffit pas de démontrer qu’il n’y a pas de seuil minimal d’exposition sécuritaire à la fumée secondaire pour convaincre que seule une interdiction absolue permet d’atteindre de façon réelle et substantielle l’objectif. </w:t>
      </w:r>
    </w:p>
    <w:p w14:paraId="49088F2F"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Comme le souligne la majorité de la Cour suprême dans l’arrêt </w:t>
      </w:r>
      <w:r w:rsidRPr="00441B52">
        <w:rPr>
          <w:i/>
          <w:iCs/>
          <w:kern w:val="28"/>
        </w:rPr>
        <w:t>Hutterian</w:t>
      </w:r>
      <w:r w:rsidRPr="00441B52">
        <w:rPr>
          <w:kern w:val="28"/>
        </w:rPr>
        <w:t xml:space="preserve"> : </w:t>
      </w:r>
    </w:p>
    <w:p w14:paraId="6869E22E"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[55]</w:t>
      </w:r>
      <w:r w:rsidRPr="00441B52">
        <w:rPr>
          <w:kern w:val="24"/>
          <w:sz w:val="22"/>
        </w:rPr>
        <w:tab/>
        <w:t xml:space="preserve">Je m’empresse de préciser que, pour déterminer s’il existe des moyens moins radicaux d’atteindre l’objectif gouvernemental, </w:t>
      </w:r>
      <w:r w:rsidRPr="00441B52">
        <w:rPr>
          <w:kern w:val="24"/>
          <w:sz w:val="22"/>
          <w:u w:val="single"/>
        </w:rPr>
        <w:t>le tribunal n’a pas à être convaincu que la solution de rechange permettrait d’atteindre l’objectif </w:t>
      </w:r>
      <w:r w:rsidRPr="00441B52">
        <w:rPr>
          <w:i/>
          <w:iCs/>
          <w:kern w:val="24"/>
          <w:sz w:val="22"/>
          <w:u w:val="single"/>
        </w:rPr>
        <w:t xml:space="preserve">exactement </w:t>
      </w:r>
      <w:r w:rsidRPr="00441B52">
        <w:rPr>
          <w:kern w:val="24"/>
          <w:sz w:val="22"/>
          <w:u w:val="single"/>
        </w:rPr>
        <w:t>dans la même mesure que la mesure contestée</w:t>
      </w:r>
      <w:r w:rsidRPr="00441B52">
        <w:rPr>
          <w:kern w:val="24"/>
          <w:sz w:val="22"/>
        </w:rPr>
        <w:t xml:space="preserve">. En d’autres mots, le tribunal </w:t>
      </w:r>
      <w:r w:rsidRPr="00441B52">
        <w:rPr>
          <w:kern w:val="24"/>
          <w:sz w:val="22"/>
          <w:u w:val="single"/>
        </w:rPr>
        <w:t>ne doit pas accepter une formulation de l’objectif gouvernemental d’une rigueur ou d’une précision irréalistes qui soustrairait en fait la mesure législative à tout examen à l’étape de l’atteinte minimale</w:t>
      </w:r>
      <w:r w:rsidRPr="00441B52">
        <w:rPr>
          <w:kern w:val="24"/>
          <w:sz w:val="22"/>
        </w:rPr>
        <w:t xml:space="preserve">. L’obligation de choisir une mesure « tout aussi efficace » mentionnée dans le passage précité de </w:t>
      </w:r>
      <w:r w:rsidRPr="00441B52">
        <w:rPr>
          <w:i/>
          <w:iCs/>
          <w:kern w:val="24"/>
          <w:sz w:val="22"/>
        </w:rPr>
        <w:t>RJR</w:t>
      </w:r>
      <w:r w:rsidRPr="00441B52">
        <w:rPr>
          <w:rFonts w:ascii="Cambria Math" w:hAnsi="Cambria Math" w:cs="Cambria Math"/>
          <w:i/>
          <w:iCs/>
          <w:kern w:val="24"/>
          <w:sz w:val="22"/>
        </w:rPr>
        <w:t>‐</w:t>
      </w:r>
      <w:r w:rsidRPr="00441B52">
        <w:rPr>
          <w:i/>
          <w:iCs/>
          <w:kern w:val="24"/>
          <w:sz w:val="22"/>
        </w:rPr>
        <w:t>MacDonald</w:t>
      </w:r>
      <w:r w:rsidRPr="00441B52">
        <w:rPr>
          <w:kern w:val="24"/>
          <w:sz w:val="22"/>
        </w:rPr>
        <w:t xml:space="preserve"> ne doit pas être poussée à l’extrême jusqu’à devenir irréalisable. Ce type de mesure inclut les solutions de rechange qui protègent suffisamment l’objectif du gouvernement, compte tenu de toutes les circonstances […]. Bien que le gouvernement ait droit à une certaine déférence à l’égard de la formulation de son objectif, cette déférence n’est ni aveugle ni absolue. </w:t>
      </w:r>
      <w:r w:rsidRPr="00441B52">
        <w:rPr>
          <w:kern w:val="24"/>
          <w:sz w:val="22"/>
          <w:u w:val="single"/>
        </w:rPr>
        <w:t>Le critère de l’atteinte minimale consiste à se demander s’il existe un autre moyen moins attentatoire d’atteindre l’objectif de façon réelle et substantielle</w:t>
      </w:r>
      <w:r w:rsidRPr="00441B52">
        <w:rPr>
          <w:kern w:val="24"/>
          <w:sz w:val="22"/>
        </w:rPr>
        <w:t>. […]</w:t>
      </w:r>
      <w:r w:rsidRPr="00441B52">
        <w:rPr>
          <w:kern w:val="24"/>
          <w:sz w:val="22"/>
          <w:vertAlign w:val="superscript"/>
        </w:rPr>
        <w:footnoteReference w:id="125"/>
      </w:r>
    </w:p>
    <w:p w14:paraId="4116E2F7" w14:textId="77777777" w:rsidR="00E524EA" w:rsidRPr="00441B52" w:rsidRDefault="00E524EA" w:rsidP="00E524EA">
      <w:pPr>
        <w:spacing w:before="120" w:after="120" w:line="240" w:lineRule="auto"/>
        <w:ind w:left="720" w:right="720"/>
        <w:jc w:val="right"/>
        <w:rPr>
          <w:kern w:val="24"/>
          <w:sz w:val="22"/>
        </w:rPr>
      </w:pPr>
      <w:r w:rsidRPr="00441B52">
        <w:rPr>
          <w:kern w:val="24"/>
          <w:sz w:val="22"/>
        </w:rPr>
        <w:t>[Soulignements ajoutés; emphase dans l’original]</w:t>
      </w:r>
    </w:p>
    <w:p w14:paraId="260DF8EC"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Je conclus qu’en s’appuyant sur une preuve générale, le PGQ renverse le fardeau de preuve et ne satisfait pas au critère de l’atteinte minimale, comme le souligne la Cour suprême dans l’arrêt </w:t>
      </w:r>
      <w:r w:rsidRPr="00441B52">
        <w:rPr>
          <w:i/>
          <w:iCs/>
          <w:kern w:val="28"/>
        </w:rPr>
        <w:t>R. c. Ndhlovu</w:t>
      </w:r>
      <w:r w:rsidRPr="00441B52">
        <w:rPr>
          <w:kern w:val="28"/>
        </w:rPr>
        <w:t xml:space="preserve">, qui analyse la constitutionnalité de dispositions entourant le registre national des délinquants sexuels : </w:t>
      </w:r>
    </w:p>
    <w:p w14:paraId="01132B63" w14:textId="77777777" w:rsidR="00E524EA" w:rsidRPr="00441B52" w:rsidRDefault="00E524EA" w:rsidP="00E524EA">
      <w:pPr>
        <w:spacing w:before="120" w:after="120" w:line="240" w:lineRule="auto"/>
        <w:ind w:left="720" w:right="720"/>
        <w:jc w:val="both"/>
        <w:rPr>
          <w:kern w:val="24"/>
          <w:sz w:val="22"/>
        </w:rPr>
      </w:pPr>
      <w:r w:rsidRPr="00441B52">
        <w:rPr>
          <w:kern w:val="24"/>
          <w:sz w:val="22"/>
        </w:rPr>
        <w:t>[126]</w:t>
      </w:r>
      <w:r w:rsidRPr="00441B52">
        <w:rPr>
          <w:kern w:val="24"/>
          <w:sz w:val="22"/>
        </w:rPr>
        <w:tab/>
        <w:t>[…] La pr</w:t>
      </w:r>
      <w:r w:rsidRPr="00441B52">
        <w:rPr>
          <w:rFonts w:cs="Arial"/>
          <w:kern w:val="24"/>
          <w:sz w:val="22"/>
        </w:rPr>
        <w:t>é</w:t>
      </w:r>
      <w:r w:rsidRPr="00441B52">
        <w:rPr>
          <w:kern w:val="24"/>
          <w:sz w:val="22"/>
        </w:rPr>
        <w:t>misse non d</w:t>
      </w:r>
      <w:r w:rsidRPr="00441B52">
        <w:rPr>
          <w:rFonts w:cs="Arial"/>
          <w:kern w:val="24"/>
          <w:sz w:val="22"/>
        </w:rPr>
        <w:t>é</w:t>
      </w:r>
      <w:r w:rsidRPr="00441B52">
        <w:rPr>
          <w:kern w:val="24"/>
          <w:sz w:val="22"/>
        </w:rPr>
        <w:t>montr</w:t>
      </w:r>
      <w:r w:rsidRPr="00441B52">
        <w:rPr>
          <w:rFonts w:cs="Arial"/>
          <w:kern w:val="24"/>
          <w:sz w:val="22"/>
        </w:rPr>
        <w:t>é</w:t>
      </w:r>
      <w:r w:rsidRPr="00441B52">
        <w:rPr>
          <w:kern w:val="24"/>
          <w:sz w:val="22"/>
        </w:rPr>
        <w:t>e veut que la police ne puisse efficacement pr</w:t>
      </w:r>
      <w:r w:rsidRPr="00441B52">
        <w:rPr>
          <w:rFonts w:cs="Arial"/>
          <w:kern w:val="24"/>
          <w:sz w:val="22"/>
        </w:rPr>
        <w:t>é</w:t>
      </w:r>
      <w:r w:rsidRPr="00441B52">
        <w:rPr>
          <w:kern w:val="24"/>
          <w:sz w:val="22"/>
        </w:rPr>
        <w:t>venir les infractions de nature sexuelle et enqu</w:t>
      </w:r>
      <w:r w:rsidRPr="00441B52">
        <w:rPr>
          <w:rFonts w:cs="Arial"/>
          <w:kern w:val="24"/>
          <w:sz w:val="22"/>
        </w:rPr>
        <w:t>ê</w:t>
      </w:r>
      <w:r w:rsidRPr="00441B52">
        <w:rPr>
          <w:kern w:val="24"/>
          <w:sz w:val="22"/>
        </w:rPr>
        <w:t>ter sur celle</w:t>
      </w:r>
      <w:r w:rsidRPr="00441B52">
        <w:rPr>
          <w:rFonts w:ascii="Cambria Math" w:hAnsi="Cambria Math" w:cs="Cambria Math"/>
          <w:kern w:val="24"/>
          <w:sz w:val="22"/>
        </w:rPr>
        <w:t>‐</w:t>
      </w:r>
      <w:r w:rsidRPr="00441B52">
        <w:rPr>
          <w:kern w:val="24"/>
          <w:sz w:val="22"/>
        </w:rPr>
        <w:t>ci que si tous les d</w:t>
      </w:r>
      <w:r w:rsidRPr="00441B52">
        <w:rPr>
          <w:rFonts w:cs="Arial"/>
          <w:kern w:val="24"/>
          <w:sz w:val="22"/>
        </w:rPr>
        <w:t>é</w:t>
      </w:r>
      <w:r w:rsidRPr="00441B52">
        <w:rPr>
          <w:kern w:val="24"/>
          <w:sz w:val="22"/>
        </w:rPr>
        <w:t>linquants d</w:t>
      </w:r>
      <w:r w:rsidRPr="00441B52">
        <w:rPr>
          <w:rFonts w:cs="Arial"/>
          <w:kern w:val="24"/>
          <w:sz w:val="22"/>
        </w:rPr>
        <w:t>é</w:t>
      </w:r>
      <w:r w:rsidRPr="00441B52">
        <w:rPr>
          <w:kern w:val="24"/>
          <w:sz w:val="22"/>
        </w:rPr>
        <w:t>sign</w:t>
      </w:r>
      <w:r w:rsidRPr="00441B52">
        <w:rPr>
          <w:rFonts w:cs="Arial"/>
          <w:kern w:val="24"/>
          <w:sz w:val="22"/>
        </w:rPr>
        <w:t>é</w:t>
      </w:r>
      <w:r w:rsidRPr="00441B52">
        <w:rPr>
          <w:kern w:val="24"/>
          <w:sz w:val="22"/>
        </w:rPr>
        <w:t xml:space="preserve">s sont inscrits. Cette hypothèse semble reposer sur l’idée que si certains délinquants sont inscrits, c’est bien, si un plus grand nombre le sont, c’est encore mieux, et si tous sont inscrits, c’est l’idéal. </w:t>
      </w:r>
      <w:r w:rsidRPr="00441B52">
        <w:rPr>
          <w:kern w:val="24"/>
          <w:sz w:val="22"/>
          <w:u w:val="single"/>
        </w:rPr>
        <w:t xml:space="preserve">Dans l’arrêt </w:t>
      </w:r>
      <w:r w:rsidRPr="00441B52">
        <w:rPr>
          <w:i/>
          <w:iCs/>
          <w:kern w:val="24"/>
          <w:sz w:val="22"/>
          <w:u w:val="single"/>
        </w:rPr>
        <w:t>Carter</w:t>
      </w:r>
      <w:r w:rsidRPr="00441B52">
        <w:rPr>
          <w:kern w:val="24"/>
          <w:sz w:val="22"/>
          <w:u w:val="single"/>
        </w:rPr>
        <w:t xml:space="preserve">, la Cour a rejeté un argument semblable à l’étape de l’étude de l’atteinte minimale parce que « [c]ela a pour effet d’inverser le fardeau imposé par l’article premier et d’exiger du demandeur dont les droits ont été violés de prouver l’existence de moyens moins attentatoires d’atteindre l’objet de la prohibition » (par. 118). La réserve formulée dans l’arrêt </w:t>
      </w:r>
      <w:r w:rsidRPr="00441B52">
        <w:rPr>
          <w:i/>
          <w:iCs/>
          <w:kern w:val="24"/>
          <w:sz w:val="22"/>
          <w:u w:val="single"/>
        </w:rPr>
        <w:t>Carter</w:t>
      </w:r>
      <w:r w:rsidRPr="00441B52">
        <w:rPr>
          <w:kern w:val="24"/>
          <w:sz w:val="22"/>
          <w:u w:val="single"/>
        </w:rPr>
        <w:t xml:space="preserve"> est la même dans le cas qui nous occupe. C’est à la Couronne, et non à M. Ndhlovu, qu’il incombe de s’acquitter du fardeau imposé par l’article premier. Plutôt que de présenter des éléments de preuve qui montrent que des mesures moins attentatoires ne permettraient pas d’atteindre de façon substantielle l’objectif de la mesure, la Couronne se contente d’affirmations et de conjectures, ce qui n’est pas suffisant pour lui permettre de s’acquitter du fardeau que lui impose l’article premier</w:t>
      </w:r>
      <w:r w:rsidRPr="00441B52">
        <w:rPr>
          <w:kern w:val="24"/>
          <w:sz w:val="22"/>
        </w:rPr>
        <w:t>.</w:t>
      </w:r>
      <w:r w:rsidRPr="00441B52">
        <w:rPr>
          <w:kern w:val="24"/>
          <w:sz w:val="22"/>
          <w:vertAlign w:val="superscript"/>
        </w:rPr>
        <w:footnoteReference w:id="126"/>
      </w:r>
    </w:p>
    <w:p w14:paraId="57742A8A" w14:textId="77777777" w:rsidR="00E524EA" w:rsidRPr="00441B52" w:rsidRDefault="00E524EA" w:rsidP="00E524EA">
      <w:pPr>
        <w:spacing w:before="120" w:after="120" w:line="240" w:lineRule="auto"/>
        <w:ind w:left="720" w:right="720"/>
        <w:jc w:val="right"/>
        <w:rPr>
          <w:kern w:val="24"/>
          <w:sz w:val="22"/>
        </w:rPr>
      </w:pPr>
      <w:r w:rsidRPr="00441B52">
        <w:rPr>
          <w:kern w:val="24"/>
          <w:sz w:val="22"/>
        </w:rPr>
        <w:t>[Soulignement ajouté]</w:t>
      </w:r>
    </w:p>
    <w:p w14:paraId="1E90C51B" w14:textId="4115D4DE"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PGQ plaide que plusieurs autres législatures au Canada ont interdit la cigarette et les produits assimilés dans les lieux publics fermés</w:t>
      </w:r>
      <w:r w:rsidRPr="00441B52">
        <w:rPr>
          <w:kern w:val="28"/>
          <w:vertAlign w:val="superscript"/>
        </w:rPr>
        <w:footnoteReference w:id="127"/>
      </w:r>
      <w:r w:rsidRPr="00441B52">
        <w:rPr>
          <w:kern w:val="28"/>
        </w:rPr>
        <w:t>. Je souligne que l’Ontario, de son côté, prévoit une exception à cette interdiction pour les représentations sur scène</w:t>
      </w:r>
      <w:r w:rsidRPr="00441B52">
        <w:rPr>
          <w:kern w:val="28"/>
          <w:vertAlign w:val="superscript"/>
        </w:rPr>
        <w:footnoteReference w:id="128"/>
      </w:r>
      <w:r w:rsidRPr="00441B52">
        <w:rPr>
          <w:kern w:val="28"/>
        </w:rPr>
        <w:t>. Bien que l’existence de cette exception adoptée dans une autre province ne soit pas déterminante, elle peut être utile</w:t>
      </w:r>
      <w:r w:rsidR="0015129C" w:rsidRPr="00441B52">
        <w:rPr>
          <w:kern w:val="28"/>
        </w:rPr>
        <w:t xml:space="preserve"> à l’analyse</w:t>
      </w:r>
      <w:r w:rsidRPr="00441B52">
        <w:rPr>
          <w:kern w:val="28"/>
          <w:vertAlign w:val="superscript"/>
        </w:rPr>
        <w:footnoteReference w:id="129"/>
      </w:r>
      <w:r w:rsidRPr="00441B52">
        <w:rPr>
          <w:kern w:val="28"/>
        </w:rPr>
        <w:t xml:space="preserve">. Dans ce cas, elle constitue une indication supplémentaire que l’interdiction imposée par la </w:t>
      </w:r>
      <w:r w:rsidRPr="00441B52">
        <w:rPr>
          <w:i/>
          <w:iCs/>
          <w:kern w:val="28"/>
        </w:rPr>
        <w:t>Loi</w:t>
      </w:r>
      <w:r w:rsidRPr="00441B52">
        <w:rPr>
          <w:kern w:val="28"/>
        </w:rPr>
        <w:t xml:space="preserve"> n’est pas la mesure la moins attentatoire à la liberté d’expression. Au Québec, je le rappelle, la</w:t>
      </w:r>
      <w:r w:rsidRPr="00441B52">
        <w:rPr>
          <w:i/>
          <w:iCs/>
          <w:kern w:val="28"/>
        </w:rPr>
        <w:t xml:space="preserve"> LCLT</w:t>
      </w:r>
      <w:r w:rsidRPr="00441B52">
        <w:rPr>
          <w:kern w:val="28"/>
        </w:rPr>
        <w:t xml:space="preserve"> interdit de fumer tout produit qui contient du tabac, ainsi que la cigarette électronique et tout autre dispositif de même nature que l’on porte à la bouche pour inhaler toute substance, qu’elle contienne ou non de la nicotine. Il appert que la cigarette électronique sans nicotine, contenant une substance émettant de la fumée secondaire inodore, serait interdite par la </w:t>
      </w:r>
      <w:r w:rsidRPr="00441B52">
        <w:rPr>
          <w:i/>
          <w:iCs/>
          <w:kern w:val="28"/>
        </w:rPr>
        <w:t>LCLT</w:t>
      </w:r>
      <w:r w:rsidRPr="00441B52">
        <w:rPr>
          <w:kern w:val="28"/>
        </w:rPr>
        <w:t xml:space="preserve">. L’interdiction imposée </w:t>
      </w:r>
      <w:r w:rsidR="009F7248" w:rsidRPr="00441B52">
        <w:rPr>
          <w:kern w:val="28"/>
        </w:rPr>
        <w:t>n’est assortie d’</w:t>
      </w:r>
      <w:r w:rsidRPr="00441B52">
        <w:rPr>
          <w:kern w:val="28"/>
        </w:rPr>
        <w:t xml:space="preserve">aucune exception. </w:t>
      </w:r>
    </w:p>
    <w:p w14:paraId="32E65B00"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Le PGQ plaide qu’une interdiction est requise pour protéger de la fumée les comédiens qui interprètent des personnages qui fument. La directrice du Trident, Anne-Marie Olivier, témoigne qu’elle respecte le choix des comédiens de ne pas jouer un personnage qui fume sur scène et que celui-ci est considéré lorsque l’équipe de création prend la décision de faire fumer un personnage. Par ailleurs, les Théâtres démontrent qu’ils réduisent le plus possible les conséquences en limitant le geste réel de fumer aux représentations officielles et en utilisant des cigarettes aux herbes, qui ne contiennent pas de nicotine, pour ne pas déclencher une dépendance ou la faire réapparaître. Quant à la sécurité des travailleurs de scène, celle-ci est protégée, car ces derniers peuvent refuser d’être exposés à de la fumée secondaire pour le temps limité que durent les représentations au cours desquels des personnages fument</w:t>
      </w:r>
      <w:r w:rsidRPr="00441B52">
        <w:rPr>
          <w:kern w:val="28"/>
          <w:vertAlign w:val="superscript"/>
        </w:rPr>
        <w:footnoteReference w:id="130"/>
      </w:r>
      <w:r w:rsidRPr="00441B52">
        <w:rPr>
          <w:kern w:val="28"/>
        </w:rPr>
        <w:t xml:space="preserve">. Ces mesures permettent de réduire l’atteinte, tout en évitant une interdiction absolue d’une forme d’expression. </w:t>
      </w:r>
    </w:p>
    <w:p w14:paraId="42BBA18E" w14:textId="2B8BA83D"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Par ailleurs, le législateur pourrait prévoir d’autres mesures pour encadrer la possibilité de fumer sur scène</w:t>
      </w:r>
      <w:r w:rsidR="0015129C" w:rsidRPr="00441B52">
        <w:rPr>
          <w:kern w:val="28"/>
        </w:rPr>
        <w:t xml:space="preserve">, ce qui éviterait d’interdire complètement un mode de communication, tout en ne compromettant pas </w:t>
      </w:r>
      <w:r w:rsidRPr="00441B52">
        <w:rPr>
          <w:kern w:val="28"/>
        </w:rPr>
        <w:t>grandement l’objectif du législateur</w:t>
      </w:r>
      <w:r w:rsidRPr="00441B52">
        <w:rPr>
          <w:kern w:val="28"/>
          <w:vertAlign w:val="superscript"/>
        </w:rPr>
        <w:footnoteReference w:id="131"/>
      </w:r>
      <w:r w:rsidRPr="00441B52">
        <w:rPr>
          <w:kern w:val="28"/>
        </w:rPr>
        <w:t>. Les Théâtres reconnaissent que des mesures de contrôle de la fumée secondaire sont requises. Ils ne recherchent pas une reconnaissance absolue et sans compromis. Selon eux, « des balises encadrant une éventuelle exemption artistique à être intégrée dans la [</w:t>
      </w:r>
      <w:r w:rsidRPr="00441B52">
        <w:rPr>
          <w:i/>
          <w:iCs/>
          <w:kern w:val="28"/>
        </w:rPr>
        <w:t>Loi</w:t>
      </w:r>
      <w:r w:rsidRPr="00441B52">
        <w:rPr>
          <w:kern w:val="28"/>
        </w:rPr>
        <w:t>] pourraient constituer des limites raisonnables à leur liberté d’expression artistique »</w:t>
      </w:r>
      <w:r w:rsidRPr="00441B52">
        <w:rPr>
          <w:kern w:val="28"/>
          <w:vertAlign w:val="superscript"/>
        </w:rPr>
        <w:footnoteReference w:id="132"/>
      </w:r>
      <w:r w:rsidRPr="00441B52">
        <w:rPr>
          <w:kern w:val="28"/>
        </w:rPr>
        <w:t xml:space="preserve">. </w:t>
      </w:r>
      <w:r w:rsidR="00F4558F" w:rsidRPr="00441B52">
        <w:rPr>
          <w:kern w:val="28"/>
        </w:rPr>
        <w:t>Par exemple, i</w:t>
      </w:r>
      <w:r w:rsidRPr="00441B52">
        <w:rPr>
          <w:kern w:val="28"/>
        </w:rPr>
        <w:t>ls proposent un avis aux spectateurs qui leur permettraient de décider s’ils veulent assister à la pièce dans ce contexte. Le PGQ répond qu’une telle mesure empêcherait des non-fumeurs d’assister à certaines pièces. Cependant, il n’existe pas un droit protégé d’assister à un spectacle donné, de la même manière qu’on ne peut obliger un théâtre à produire une pièce précise</w:t>
      </w:r>
      <w:r w:rsidRPr="00441B52">
        <w:rPr>
          <w:kern w:val="28"/>
          <w:vertAlign w:val="superscript"/>
        </w:rPr>
        <w:footnoteReference w:id="133"/>
      </w:r>
      <w:r w:rsidRPr="00441B52">
        <w:rPr>
          <w:kern w:val="28"/>
        </w:rPr>
        <w:t xml:space="preserve">. La liberté d’expression inclut le droit corollaire d’entendre ce qui est exprimé, mais elle ne permet pas pour cette raison d’imposer une forme d’expression de la part de celui qui s’exprime, autrement il resterait peu de chose de cette liberté. </w:t>
      </w:r>
    </w:p>
    <w:p w14:paraId="3331A206"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Enfin, le PGQ affirme que l’atteinte portée par l’interdiction est minimale puisqu’il est possible pour les artistes d’user d’autres modes d’expression pour représenter théâtralement le geste de fumer, soit en utilisant des succédanés pour mimer le geste sans inhaler réellement ou en l’évoquant artistiquement par des projections, par exemple. Cet argument, qui est similaire à celui plaidé au sujet de l’absence d’atteinte à la liberté d’expression, ne convainc pas davantage. En effet, un mode d’expression artistique, qui est au cœur des valeurs protégées par la liberté d’expression, demeure complètement interdit, sans que la raisonnabilité d’une mesure aussi draconienne pour atteindre l’objectif soit démontrée. Aux termes des dispositions contestées, un personnage ne peut pas fumer une seule bouffée en allumant une cigarette aux herbes, pour ensuite l’écraser, sans contrevenir à la </w:t>
      </w:r>
      <w:r w:rsidRPr="00441B52">
        <w:rPr>
          <w:i/>
          <w:iCs/>
          <w:kern w:val="28"/>
        </w:rPr>
        <w:t>Loi</w:t>
      </w:r>
      <w:r w:rsidRPr="00441B52">
        <w:rPr>
          <w:kern w:val="28"/>
        </w:rPr>
        <w:t>. Ainsi, ces dispositions interdisent d’exprimer sur la scène d’un théâtre un geste qui demeure légal dans notre société. Loin de démontrer que l’atteinte est minimale, cet argument persuade plutôt que le moyen retenu par le législateur n’a pas été choisi avec tout le soin qu’exige une telle atteinte au cœur des valeurs que protège la liberté d’expression artistique.</w:t>
      </w:r>
    </w:p>
    <w:p w14:paraId="12218711"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Je conclus donc que les dispositions ne satisfont pas au critère de l’atteinte minimale et passe néanmoins à l’analyse des effets de la mesure. </w:t>
      </w:r>
    </w:p>
    <w:p w14:paraId="2B474436" w14:textId="77777777" w:rsidR="00E524EA" w:rsidRPr="00441B52" w:rsidRDefault="00E524EA" w:rsidP="00E524EA">
      <w:pPr>
        <w:keepNext/>
        <w:numPr>
          <w:ilvl w:val="0"/>
          <w:numId w:val="23"/>
        </w:numPr>
        <w:tabs>
          <w:tab w:val="num" w:pos="993"/>
        </w:tabs>
        <w:spacing w:before="120" w:after="120" w:line="240" w:lineRule="auto"/>
        <w:outlineLvl w:val="3"/>
        <w:rPr>
          <w:b/>
        </w:rPr>
      </w:pPr>
      <w:r w:rsidRPr="00441B52">
        <w:rPr>
          <w:b/>
        </w:rPr>
        <w:t>Proportionnalité des effets bénéfiques et des effets préjudiciables</w:t>
      </w:r>
    </w:p>
    <w:p w14:paraId="68108576"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PGQ plaide que le juge a commis une erreur à cette étape de l’analyse en surestimant les effets préjudiciables de la mesure sur la liberté d’expression. Il aurait omis de considérer que l’interdit ne vise que le fait de fumer réellement, sans empêcher une représentation théâtrale du geste. Par ailleurs, il n’aurait pas mis en balance les effets préjudiciables qu’il surestime avec les réels effets bénéfiques majeurs que la mesure permet de produire sur la santé en protégeant les non-fumeurs des effets néfastes de la fumée secondaire dans des lieux publics fermés. Ce faisant, il aurait irrémédiablement faussé l’analyse. </w:t>
      </w:r>
    </w:p>
    <w:p w14:paraId="5CDCE265"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Ces arguments ne sont pas fondés. </w:t>
      </w:r>
    </w:p>
    <w:p w14:paraId="20E6376D"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 juge expose avec justesse le test applicable en affirmant qu’« il faut soupeser les inconvénients associés à l’acte de fumer dans une pièce de théâtre, soit d’un côté, les effets négatifs de la fumée pour la santé des spectateurs qui choisissent d’y assister, lesquels sont réels, ainsi que les risques qu’ils soient encouragés à fumer, et de l’autre, l’atteinte au droit à la liberté d’expression artistique »</w:t>
      </w:r>
      <w:r w:rsidRPr="00441B52">
        <w:rPr>
          <w:kern w:val="28"/>
          <w:vertAlign w:val="superscript"/>
        </w:rPr>
        <w:footnoteReference w:id="134"/>
      </w:r>
      <w:r w:rsidRPr="00441B52">
        <w:rPr>
          <w:kern w:val="28"/>
        </w:rPr>
        <w:t xml:space="preserve">. En effet, comme le souligne la Cour suprême dans l’arrêt </w:t>
      </w:r>
      <w:r w:rsidRPr="00441B52">
        <w:rPr>
          <w:i/>
          <w:iCs/>
          <w:kern w:val="28"/>
        </w:rPr>
        <w:t>Carter</w:t>
      </w:r>
      <w:r w:rsidRPr="00441B52">
        <w:rPr>
          <w:kern w:val="28"/>
        </w:rPr>
        <w:t>, ce volet de l’analyse consiste à mettre « en balance l’incidence de la loi sur les droits protégés et l’effet bénéfique de la loi au plan de l’intérêt supérieur du public »</w:t>
      </w:r>
      <w:r w:rsidRPr="00441B52">
        <w:rPr>
          <w:kern w:val="28"/>
          <w:vertAlign w:val="superscript"/>
        </w:rPr>
        <w:footnoteReference w:id="135"/>
      </w:r>
      <w:r w:rsidRPr="00441B52">
        <w:rPr>
          <w:kern w:val="28"/>
        </w:rPr>
        <w:t xml:space="preserve">. Dans l’arrêt </w:t>
      </w:r>
      <w:r w:rsidRPr="00441B52">
        <w:rPr>
          <w:i/>
          <w:iCs/>
          <w:kern w:val="28"/>
        </w:rPr>
        <w:t>Taylor</w:t>
      </w:r>
      <w:r w:rsidRPr="00441B52">
        <w:rPr>
          <w:kern w:val="28"/>
        </w:rPr>
        <w:t>, la majorité de la Cour suprême rappelle, au sujet de ce volet du test, que « [p]</w:t>
      </w:r>
      <w:r w:rsidRPr="00441B52">
        <w:rPr>
          <w:color w:val="000000"/>
        </w:rPr>
        <w:t>l</w:t>
      </w:r>
      <w:r w:rsidRPr="00441B52">
        <w:rPr>
          <w:kern w:val="28"/>
        </w:rPr>
        <w:t>us les effets d’une mesure sont graves ou préjudiciables, plus ses effets bénéfiques doivent être importants »</w:t>
      </w:r>
      <w:r w:rsidRPr="00441B52">
        <w:rPr>
          <w:kern w:val="28"/>
          <w:vertAlign w:val="superscript"/>
        </w:rPr>
        <w:footnoteReference w:id="136"/>
      </w:r>
      <w:r w:rsidRPr="00441B52">
        <w:rPr>
          <w:kern w:val="28"/>
        </w:rPr>
        <w:t>.</w:t>
      </w:r>
    </w:p>
    <w:p w14:paraId="3AE9184E" w14:textId="78942F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Les effets négatifs de l’interdiction sur la liberté d’expression sont importants et tangibles, puisque la restriction peut entraîner qu’une pièce de théâtre ne soit pas produite ou que certains aspects d’une œuvre soient censurés</w:t>
      </w:r>
      <w:r w:rsidRPr="00441B52">
        <w:rPr>
          <w:kern w:val="28"/>
          <w:vertAlign w:val="superscript"/>
        </w:rPr>
        <w:footnoteReference w:id="137"/>
      </w:r>
      <w:r w:rsidRPr="00441B52">
        <w:rPr>
          <w:kern w:val="28"/>
        </w:rPr>
        <w:t>. Il s’agit d’un effet négatif grave pour les créateurs, mais également pour l’ensemble du public qui assiste aux représentations théâtrales. Quant aux effets bénéfiques, le PGQ appuie principalement son argument sur la preuve qu’il n’y a pas de seuil d’exposition sécuritaire à la fumée secondaire dans des lieux fermés. Cependant, le fait de fumer dans le cadre de représentations théâtrales entraîne généralement une exposition marginale à la fumée secondaire, dont les conséquences principales sont avant tout de l’inconfort. Au regard de la preuve déposé</w:t>
      </w:r>
      <w:r w:rsidR="009F7248" w:rsidRPr="00441B52">
        <w:rPr>
          <w:kern w:val="28"/>
        </w:rPr>
        <w:t>e</w:t>
      </w:r>
      <w:r w:rsidRPr="00441B52">
        <w:rPr>
          <w:kern w:val="28"/>
        </w:rPr>
        <w:t>, il appert que l’effet bénéfique obtenu par l’interdiction est en réalité négligeable</w:t>
      </w:r>
      <w:r w:rsidRPr="00441B52">
        <w:rPr>
          <w:kern w:val="28"/>
          <w:vertAlign w:val="superscript"/>
        </w:rPr>
        <w:footnoteReference w:id="138"/>
      </w:r>
      <w:r w:rsidRPr="00441B52">
        <w:rPr>
          <w:kern w:val="28"/>
        </w:rPr>
        <w:t xml:space="preserve">. Je fais miens les propos du juge à ce sujet :  </w:t>
      </w:r>
    </w:p>
    <w:p w14:paraId="1B563BA9" w14:textId="77777777" w:rsidR="00E524EA" w:rsidRPr="00441B52" w:rsidRDefault="00E524EA" w:rsidP="00E524EA">
      <w:pPr>
        <w:tabs>
          <w:tab w:val="num" w:pos="993"/>
          <w:tab w:val="left" w:pos="1276"/>
        </w:tabs>
        <w:spacing w:before="120" w:after="120" w:line="240" w:lineRule="auto"/>
        <w:ind w:left="720" w:right="720"/>
        <w:jc w:val="both"/>
        <w:rPr>
          <w:kern w:val="24"/>
          <w:sz w:val="22"/>
        </w:rPr>
      </w:pPr>
      <w:r w:rsidRPr="00441B52">
        <w:rPr>
          <w:kern w:val="24"/>
          <w:sz w:val="22"/>
        </w:rPr>
        <w:t>[71]</w:t>
      </w:r>
      <w:r w:rsidRPr="00441B52">
        <w:rPr>
          <w:kern w:val="24"/>
          <w:sz w:val="22"/>
        </w:rPr>
        <w:tab/>
        <w:t>De l’avis du Tribunal, le poids des inconvénients penche nettement en faveur du droit à la liberté d’expression artistique. Bien que la santé publique constitue un enjeu important dans notre société et qu’il justifie l’interdiction de fumer dans les lieux publics, cette mesure doit comporter des exceptions dans les cas où l’acte de fumer est le fait de comédiens dans le contexte d’une pièce de théâtre. Les conséquences d’une telle interdiction à l’égard d’un mode d’expression artistique représentent une atteinte grave. Elle l’est d’autant plus que dans notre société qui se veut tolérante, le théâtre, en tant qu’art vivant, constitue l’une des plus importantes formes d’enrichissement et d’épanouissement personnels.</w:t>
      </w:r>
    </w:p>
    <w:p w14:paraId="563B7545" w14:textId="77777777" w:rsidR="00E524EA" w:rsidRPr="00441B52" w:rsidRDefault="00E524EA" w:rsidP="00E524EA">
      <w:pPr>
        <w:tabs>
          <w:tab w:val="num" w:pos="993"/>
          <w:tab w:val="left" w:pos="1276"/>
        </w:tabs>
        <w:spacing w:before="120" w:after="120" w:line="240" w:lineRule="auto"/>
        <w:ind w:left="720" w:right="720"/>
        <w:jc w:val="both"/>
        <w:rPr>
          <w:kern w:val="24"/>
          <w:sz w:val="22"/>
        </w:rPr>
      </w:pPr>
      <w:r w:rsidRPr="00441B52">
        <w:rPr>
          <w:kern w:val="24"/>
          <w:sz w:val="22"/>
        </w:rPr>
        <w:t>[</w:t>
      </w:r>
      <w:bookmarkStart w:id="46" w:name="par72"/>
      <w:r w:rsidRPr="00441B52">
        <w:rPr>
          <w:kern w:val="24"/>
          <w:sz w:val="22"/>
        </w:rPr>
        <w:t>72</w:t>
      </w:r>
      <w:bookmarkEnd w:id="46"/>
      <w:r w:rsidRPr="00441B52">
        <w:rPr>
          <w:kern w:val="24"/>
          <w:sz w:val="22"/>
        </w:rPr>
        <w:t>]</w:t>
      </w:r>
      <w:r w:rsidRPr="00441B52">
        <w:rPr>
          <w:kern w:val="24"/>
          <w:sz w:val="22"/>
        </w:rPr>
        <w:tab/>
        <w:t>En tant que mode d’expression, le théâtre est au cœur des valeurs sous-jacentes à la liberté d’expression, en particulier de celle visant la promotion de la diversité des </w:t>
      </w:r>
      <w:bookmarkStart w:id="47" w:name="_Hlk154740679"/>
      <w:r w:rsidRPr="00441B52">
        <w:rPr>
          <w:kern w:val="24"/>
          <w:sz w:val="22"/>
        </w:rPr>
        <w:t>formes d’enrichissement et d’épanouissement personnels </w:t>
      </w:r>
      <w:bookmarkEnd w:id="47"/>
      <w:r w:rsidRPr="00441B52">
        <w:rPr>
          <w:kern w:val="24"/>
          <w:sz w:val="22"/>
        </w:rPr>
        <w:t>dans une société tolérante à l’égard de ceux qui transmettent un message, et de ceux à qui il est destiné, laquelle ne doit pas être limitée, mais au contraire encouragée. Les atteintes au droit à la liberté d’expression artistique sous toutes ces formes sont préoccupantes, vu l’importance que notre société lui accorde. Les atteintes à cette liberté, qu’elles soient directes ou indirectes, ne sauraient être considérées avec légèreté, même en présence de préoccupations de santé publique.</w:t>
      </w:r>
      <w:r w:rsidRPr="00441B52">
        <w:rPr>
          <w:kern w:val="24"/>
          <w:sz w:val="22"/>
          <w:vertAlign w:val="superscript"/>
        </w:rPr>
        <w:footnoteReference w:id="139"/>
      </w:r>
    </w:p>
    <w:p w14:paraId="420EBEB8"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Au regard de la preuve présentée par le PGQ, je considère que la violation de la </w:t>
      </w:r>
      <w:r w:rsidRPr="00441B52">
        <w:rPr>
          <w:i/>
          <w:iCs/>
          <w:kern w:val="28"/>
        </w:rPr>
        <w:t>Charte</w:t>
      </w:r>
      <w:r w:rsidRPr="00441B52">
        <w:rPr>
          <w:kern w:val="28"/>
        </w:rPr>
        <w:t xml:space="preserve"> entraîne « un prix trop élevé à payer » pour les effets bénéfiques qui en découlent</w:t>
      </w:r>
      <w:r w:rsidRPr="00441B52">
        <w:rPr>
          <w:kern w:val="28"/>
          <w:vertAlign w:val="superscript"/>
        </w:rPr>
        <w:footnoteReference w:id="140"/>
      </w:r>
      <w:r w:rsidRPr="00441B52">
        <w:rPr>
          <w:kern w:val="28"/>
        </w:rPr>
        <w:t xml:space="preserve">. </w:t>
      </w:r>
    </w:p>
    <w:p w14:paraId="4AB76CD7"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Je rappelle en outre que les Théâtres ne réclament pas le respect absolu et sans compromis de la liberté d’expression artistique. Ils réclament un régime prévoyant des modalités qui rééquilibrent les effets préjudiciables disproportionnés d’une interdiction complète de fumer sur scène avec une atteinte réaliste des effets bénéfiques recherchés pour la santé et le bien-être des non-fumeurs, et ce, au moyen de mesures de contrôle de la fumée secondaire générée par les personnages de théâtre qui soient adaptées au contexte et à la réalité. </w:t>
      </w:r>
    </w:p>
    <w:p w14:paraId="79D73F55"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Je conclus donc que l’atteinte est injustifiée et je passe à l’analyse de la réparation appropriée. </w:t>
      </w:r>
    </w:p>
    <w:p w14:paraId="51A587CE" w14:textId="0F41C59E" w:rsidR="00E524EA" w:rsidRPr="00441B52" w:rsidRDefault="00697C06" w:rsidP="00E524EA">
      <w:pPr>
        <w:keepNext/>
        <w:tabs>
          <w:tab w:val="num" w:pos="993"/>
        </w:tabs>
        <w:spacing w:before="120" w:after="120" w:line="240" w:lineRule="auto"/>
        <w:outlineLvl w:val="1"/>
        <w:rPr>
          <w:b/>
          <w:i/>
        </w:rPr>
      </w:pPr>
      <w:r w:rsidRPr="00441B52">
        <w:rPr>
          <w:b/>
          <w:i/>
        </w:rPr>
        <w:t xml:space="preserve">III. </w:t>
      </w:r>
      <w:r w:rsidR="00E524EA" w:rsidRPr="00441B52">
        <w:rPr>
          <w:b/>
          <w:i/>
        </w:rPr>
        <w:t>Réparation</w:t>
      </w:r>
    </w:p>
    <w:p w14:paraId="5657C147"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juge conclut que les articles 1, 2 et 11 </w:t>
      </w:r>
      <w:r w:rsidRPr="00441B52">
        <w:rPr>
          <w:i/>
          <w:iCs/>
          <w:kern w:val="28"/>
        </w:rPr>
        <w:t>LCLT</w:t>
      </w:r>
      <w:r w:rsidRPr="00441B52">
        <w:rPr>
          <w:kern w:val="28"/>
        </w:rPr>
        <w:t xml:space="preserve"> de même que l’article 1 du </w:t>
      </w:r>
      <w:r w:rsidRPr="00441B52">
        <w:rPr>
          <w:i/>
          <w:iCs/>
          <w:kern w:val="28"/>
        </w:rPr>
        <w:t>Règlement</w:t>
      </w:r>
      <w:r w:rsidRPr="00441B52">
        <w:rPr>
          <w:kern w:val="28"/>
        </w:rPr>
        <w:t xml:space="preserve"> « sont une source de violation injustifiée de la liberté d’expression artistique »</w:t>
      </w:r>
      <w:r w:rsidRPr="00441B52">
        <w:rPr>
          <w:kern w:val="28"/>
          <w:vertAlign w:val="superscript"/>
        </w:rPr>
        <w:footnoteReference w:id="141"/>
      </w:r>
      <w:r w:rsidRPr="00441B52">
        <w:rPr>
          <w:kern w:val="28"/>
        </w:rPr>
        <w:t xml:space="preserve">. Il ajoute qu’il n’est pas tenu d’invalider intégralement ces quatre dispositions et, usant de son pouvoir discrétionnaire en matière de réparation, il dissocie les parties incompatibles de la législation en retranchant « du paragraphe 5 de l’article 2 de la </w:t>
      </w:r>
      <w:r w:rsidRPr="00441B52">
        <w:rPr>
          <w:i/>
          <w:iCs/>
          <w:kern w:val="28"/>
        </w:rPr>
        <w:t>LCLT</w:t>
      </w:r>
      <w:r w:rsidRPr="00441B52">
        <w:rPr>
          <w:kern w:val="28"/>
        </w:rPr>
        <w:t xml:space="preserve"> les mots “culturelles” ou “artistiques” »</w:t>
      </w:r>
      <w:r w:rsidRPr="00441B52">
        <w:rPr>
          <w:kern w:val="28"/>
          <w:vertAlign w:val="superscript"/>
        </w:rPr>
        <w:footnoteReference w:id="142"/>
      </w:r>
      <w:r w:rsidRPr="00441B52">
        <w:rPr>
          <w:kern w:val="28"/>
        </w:rPr>
        <w:t xml:space="preserve"> et en invalidant l’article 1 du </w:t>
      </w:r>
      <w:r w:rsidRPr="00441B52">
        <w:rPr>
          <w:i/>
          <w:iCs/>
          <w:kern w:val="28"/>
        </w:rPr>
        <w:t>Règlement</w:t>
      </w:r>
      <w:r w:rsidRPr="00441B52">
        <w:rPr>
          <w:kern w:val="28"/>
        </w:rPr>
        <w:t>, parce que ceux-ci ne prévoient pas d’exception lors de représentations artistiques. Il suspend cependant cette déclaration d’invalidité pour une période d’une année afin d’accorder au législateur un délai raisonnable pour apporter des modifications qui prévoient « des exceptions, limites ou autres modalités applicables au domaine des arts »</w:t>
      </w:r>
      <w:r w:rsidRPr="00441B52">
        <w:rPr>
          <w:kern w:val="28"/>
          <w:vertAlign w:val="superscript"/>
        </w:rPr>
        <w:footnoteReference w:id="143"/>
      </w:r>
      <w:r w:rsidRPr="00441B52">
        <w:rPr>
          <w:kern w:val="28"/>
        </w:rPr>
        <w:t>. Il accorde enfin une exemption aux Théâtres à titre de réparation en les acquittant des infractions</w:t>
      </w:r>
      <w:r w:rsidRPr="00441B52">
        <w:rPr>
          <w:kern w:val="28"/>
          <w:vertAlign w:val="superscript"/>
        </w:rPr>
        <w:footnoteReference w:id="144"/>
      </w:r>
      <w:r w:rsidRPr="00441B52">
        <w:rPr>
          <w:kern w:val="28"/>
        </w:rPr>
        <w:t xml:space="preserve">. </w:t>
      </w:r>
    </w:p>
    <w:p w14:paraId="7F9E99A8" w14:textId="2DA5FBD0"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Le PGQ conteste ces conclusions. Tout d’abord, il plaide que les articles 1 et 11 </w:t>
      </w:r>
      <w:r w:rsidRPr="00441B52">
        <w:rPr>
          <w:i/>
          <w:iCs/>
          <w:kern w:val="28"/>
        </w:rPr>
        <w:t>LCLT</w:t>
      </w:r>
      <w:r w:rsidRPr="00441B52">
        <w:rPr>
          <w:kern w:val="28"/>
        </w:rPr>
        <w:t xml:space="preserve"> ainsi que l’article 1 du </w:t>
      </w:r>
      <w:r w:rsidRPr="00441B52">
        <w:rPr>
          <w:i/>
          <w:iCs/>
          <w:kern w:val="28"/>
        </w:rPr>
        <w:t>Règlement</w:t>
      </w:r>
      <w:r w:rsidRPr="00441B52">
        <w:rPr>
          <w:kern w:val="28"/>
        </w:rPr>
        <w:t xml:space="preserve"> ne sont pas incompatibles avec la liberté d’expression</w:t>
      </w:r>
      <w:r w:rsidRPr="00441B52">
        <w:rPr>
          <w:kern w:val="28"/>
          <w:vertAlign w:val="superscript"/>
        </w:rPr>
        <w:footnoteReference w:id="145"/>
      </w:r>
      <w:r w:rsidRPr="00441B52">
        <w:rPr>
          <w:kern w:val="28"/>
        </w:rPr>
        <w:t xml:space="preserve">. Il a raison. Ces dispositions permettent de délivrer les constats d’infraction contre l’exploitant d’un lieu ou d’un commerce visé, car elles définissent ce que constitue le tabac, en y incluant des produits assimilés, ainsi que les obligations d’un exploitant d’un lieu visé par la législation, dont l’exploitant d’une salle dans laquelle se </w:t>
      </w:r>
      <w:r w:rsidRPr="00481326">
        <w:rPr>
          <w:kern w:val="28"/>
        </w:rPr>
        <w:t>déroule</w:t>
      </w:r>
      <w:r w:rsidR="006A2BB8">
        <w:rPr>
          <w:kern w:val="28"/>
        </w:rPr>
        <w:t>nt</w:t>
      </w:r>
      <w:r w:rsidRPr="00441B52">
        <w:rPr>
          <w:kern w:val="28"/>
        </w:rPr>
        <w:t xml:space="preserve"> des activités culturelles ou artistiques. Ces dispositions ne sont pas celles qui sont incompatibles et le juge a commis une erreur en déclarant invalide l’article 1 du </w:t>
      </w:r>
      <w:r w:rsidRPr="00441B52">
        <w:rPr>
          <w:i/>
          <w:iCs/>
          <w:kern w:val="28"/>
        </w:rPr>
        <w:t>Règlement</w:t>
      </w:r>
      <w:r w:rsidRPr="00441B52">
        <w:rPr>
          <w:kern w:val="28"/>
        </w:rPr>
        <w:t xml:space="preserve">. Bien que le juge mentionne dans ses motifs que les articles 1 et 11 </w:t>
      </w:r>
      <w:r w:rsidRPr="00441B52">
        <w:rPr>
          <w:i/>
          <w:iCs/>
          <w:kern w:val="28"/>
        </w:rPr>
        <w:t>LCLT</w:t>
      </w:r>
      <w:r w:rsidRPr="00441B52">
        <w:rPr>
          <w:kern w:val="28"/>
        </w:rPr>
        <w:t xml:space="preserve"> « sont une source de violation », il ne prononce aucune conclusion au sujet de ces deux articles. Il n’est donc pas nécessaire d’intervenir à ce sujet. </w:t>
      </w:r>
    </w:p>
    <w:p w14:paraId="0279AC35" w14:textId="2B549888"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Quant à l’article 2 </w:t>
      </w:r>
      <w:r w:rsidRPr="00441B52">
        <w:rPr>
          <w:i/>
          <w:iCs/>
          <w:kern w:val="28"/>
        </w:rPr>
        <w:t>LCLT</w:t>
      </w:r>
      <w:r w:rsidRPr="00441B52">
        <w:rPr>
          <w:kern w:val="28"/>
        </w:rPr>
        <w:t>, le PGQ plaide que la réparation accordée a une portée plus large que nécessaire pour remédier à l’atteinte constitutionnelle constatée. Selon lui, la dissociation jumelée à la suspension que le juge ordonne entraîne qu’au terme de la suspension, toute personne pourra fumer dans des lieux où des activités artistiques ou culturelles se dérouleront, sans qu’il n’y ait de balise à cet égard. Le juge devait plutôt procéder à limiter la réparation en déclarant que l’interdiction ne vise pas les « </w:t>
      </w:r>
      <w:r w:rsidRPr="00441B52">
        <w:rPr>
          <w:b/>
          <w:bCs/>
          <w:kern w:val="28"/>
        </w:rPr>
        <w:t>comédiens</w:t>
      </w:r>
      <w:r w:rsidRPr="00441B52">
        <w:rPr>
          <w:kern w:val="28"/>
        </w:rPr>
        <w:t xml:space="preserve"> dans le cadre d’une </w:t>
      </w:r>
      <w:r w:rsidRPr="00441B52">
        <w:rPr>
          <w:b/>
          <w:bCs/>
          <w:kern w:val="28"/>
        </w:rPr>
        <w:t>performance théâtrale</w:t>
      </w:r>
      <w:r w:rsidRPr="00441B52">
        <w:rPr>
          <w:kern w:val="28"/>
        </w:rPr>
        <w:t> »</w:t>
      </w:r>
      <w:r w:rsidRPr="00441B52">
        <w:rPr>
          <w:kern w:val="28"/>
          <w:vertAlign w:val="superscript"/>
        </w:rPr>
        <w:footnoteReference w:id="146"/>
      </w:r>
      <w:r w:rsidRPr="00441B52">
        <w:rPr>
          <w:kern w:val="28"/>
        </w:rPr>
        <w:t xml:space="preserve">. Il ajoute que la réparation qu’il propose ne serait pas en contradiction avec l’article </w:t>
      </w:r>
      <w:r w:rsidR="00C23406">
        <w:rPr>
          <w:kern w:val="28"/>
        </w:rPr>
        <w:t>2</w:t>
      </w:r>
      <w:r w:rsidRPr="00441B52">
        <w:rPr>
          <w:kern w:val="28"/>
        </w:rPr>
        <w:t xml:space="preserve"> alinéa 1(12</w:t>
      </w:r>
      <w:r w:rsidRPr="00441B52">
        <w:rPr>
          <w:rFonts w:cs="Arial"/>
          <w:kern w:val="28"/>
        </w:rPr>
        <w:t>°</w:t>
      </w:r>
      <w:r w:rsidRPr="00441B52">
        <w:rPr>
          <w:kern w:val="28"/>
        </w:rPr>
        <w:t xml:space="preserve">) </w:t>
      </w:r>
      <w:r w:rsidRPr="00441B52">
        <w:rPr>
          <w:i/>
          <w:iCs/>
          <w:kern w:val="28"/>
        </w:rPr>
        <w:t>LCLT</w:t>
      </w:r>
      <w:r w:rsidRPr="00441B52">
        <w:rPr>
          <w:kern w:val="28"/>
        </w:rPr>
        <w:t>, qui édicte qu’il est interdit de fumer dans « tous les autres lieux fermés qui accueillent le public », contrairement à l’ordonnance du juge qui ne peut produire d’effet en raison de ce paragraphe qui n’a pas été considéré.</w:t>
      </w:r>
    </w:p>
    <w:p w14:paraId="10D02F92"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Je conviens que la dissociation effectuée par le juge contrevient aux principes fondamentaux qui doivent guider l’exercice du pouvoir discrétionnaire dans le choix de la réparation adéquate :</w:t>
      </w:r>
    </w:p>
    <w:p w14:paraId="1DBD9E01" w14:textId="77777777" w:rsidR="00E524EA" w:rsidRPr="00441B52" w:rsidRDefault="00E524EA" w:rsidP="00E524EA">
      <w:pPr>
        <w:tabs>
          <w:tab w:val="left" w:pos="1276"/>
        </w:tabs>
        <w:spacing w:before="120" w:after="120" w:line="240" w:lineRule="auto"/>
        <w:ind w:left="720" w:right="720"/>
        <w:jc w:val="both"/>
        <w:rPr>
          <w:rFonts w:ascii="Times New Roman" w:hAnsi="Times New Roman"/>
          <w:kern w:val="24"/>
          <w:sz w:val="22"/>
          <w:lang w:eastAsia="fr-CA"/>
        </w:rPr>
      </w:pPr>
      <w:r w:rsidRPr="00441B52">
        <w:rPr>
          <w:kern w:val="24"/>
          <w:sz w:val="22"/>
        </w:rPr>
        <w:t>A.</w:t>
      </w:r>
      <w:r w:rsidRPr="00441B52">
        <w:rPr>
          <w:kern w:val="24"/>
          <w:sz w:val="14"/>
          <w:szCs w:val="14"/>
        </w:rPr>
        <w:tab/>
      </w:r>
      <w:r w:rsidRPr="00441B52">
        <w:rPr>
          <w:kern w:val="24"/>
          <w:sz w:val="22"/>
        </w:rPr>
        <w:t xml:space="preserve">Les droits garantis par la </w:t>
      </w:r>
      <w:r w:rsidRPr="00441B52">
        <w:rPr>
          <w:i/>
          <w:iCs/>
          <w:kern w:val="24"/>
          <w:sz w:val="22"/>
        </w:rPr>
        <w:t xml:space="preserve">Charte </w:t>
      </w:r>
      <w:r w:rsidRPr="00441B52">
        <w:rPr>
          <w:kern w:val="24"/>
          <w:sz w:val="22"/>
        </w:rPr>
        <w:t>doivent être protégés par l’octroi de réparations efficaces</w:t>
      </w:r>
      <w:r w:rsidRPr="00441B52">
        <w:rPr>
          <w:i/>
          <w:iCs/>
          <w:kern w:val="24"/>
          <w:sz w:val="22"/>
        </w:rPr>
        <w:t>.</w:t>
      </w:r>
    </w:p>
    <w:p w14:paraId="0E634C0E"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B.</w:t>
      </w:r>
      <w:r w:rsidRPr="00441B52">
        <w:rPr>
          <w:kern w:val="24"/>
          <w:sz w:val="14"/>
          <w:szCs w:val="14"/>
        </w:rPr>
        <w:tab/>
      </w:r>
      <w:r w:rsidRPr="00441B52">
        <w:rPr>
          <w:kern w:val="24"/>
          <w:sz w:val="22"/>
        </w:rPr>
        <w:t>Il est dans l’intérêt du public que les lois soient conformes à la Constitution.</w:t>
      </w:r>
    </w:p>
    <w:p w14:paraId="126977B3"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C.</w:t>
      </w:r>
      <w:r w:rsidRPr="00441B52">
        <w:rPr>
          <w:kern w:val="24"/>
          <w:sz w:val="14"/>
          <w:szCs w:val="14"/>
        </w:rPr>
        <w:tab/>
      </w:r>
      <w:r w:rsidRPr="00441B52">
        <w:rPr>
          <w:kern w:val="24"/>
          <w:sz w:val="22"/>
        </w:rPr>
        <w:t>Le public a droit au bénéfice de la loi.</w:t>
      </w:r>
    </w:p>
    <w:p w14:paraId="7321D3DC" w14:textId="77777777" w:rsidR="00E524EA" w:rsidRPr="00441B52" w:rsidRDefault="00E524EA" w:rsidP="00E524EA">
      <w:pPr>
        <w:tabs>
          <w:tab w:val="left" w:pos="1276"/>
        </w:tabs>
        <w:spacing w:before="120" w:after="120" w:line="240" w:lineRule="auto"/>
        <w:ind w:left="720" w:right="720"/>
        <w:jc w:val="both"/>
        <w:rPr>
          <w:kern w:val="24"/>
          <w:sz w:val="22"/>
        </w:rPr>
      </w:pPr>
      <w:r w:rsidRPr="00441B52">
        <w:rPr>
          <w:kern w:val="24"/>
          <w:sz w:val="22"/>
        </w:rPr>
        <w:t>D.</w:t>
      </w:r>
      <w:r w:rsidRPr="00441B52">
        <w:rPr>
          <w:kern w:val="24"/>
          <w:sz w:val="14"/>
          <w:szCs w:val="14"/>
        </w:rPr>
        <w:tab/>
      </w:r>
      <w:r w:rsidRPr="00441B52">
        <w:rPr>
          <w:kern w:val="24"/>
          <w:sz w:val="22"/>
        </w:rPr>
        <w:t>Les tribunaux et les législateurs jouent des rôles institutionnels différents.</w:t>
      </w:r>
      <w:r w:rsidRPr="00441B52">
        <w:rPr>
          <w:kern w:val="24"/>
          <w:sz w:val="22"/>
          <w:vertAlign w:val="superscript"/>
        </w:rPr>
        <w:footnoteReference w:id="147"/>
      </w:r>
    </w:p>
    <w:p w14:paraId="73C983D9" w14:textId="77777777" w:rsidR="00E524EA" w:rsidRPr="00441B52" w:rsidRDefault="00E524EA" w:rsidP="00E524EA">
      <w:pPr>
        <w:numPr>
          <w:ilvl w:val="0"/>
          <w:numId w:val="18"/>
        </w:numPr>
        <w:tabs>
          <w:tab w:val="clear" w:pos="720"/>
          <w:tab w:val="num" w:pos="360"/>
        </w:tabs>
        <w:spacing w:before="120" w:after="120" w:line="240" w:lineRule="auto"/>
        <w:jc w:val="both"/>
        <w:rPr>
          <w:kern w:val="28"/>
        </w:rPr>
      </w:pPr>
      <w:r w:rsidRPr="00441B52">
        <w:rPr>
          <w:kern w:val="28"/>
        </w:rPr>
        <w:t xml:space="preserve"> Le législateur n’aurait jamais adopté l’article 2 alinéa 1(5</w:t>
      </w:r>
      <w:r w:rsidRPr="00441B52">
        <w:rPr>
          <w:rFonts w:cs="Arial"/>
          <w:kern w:val="28"/>
        </w:rPr>
        <w:t>°</w:t>
      </w:r>
      <w:r w:rsidRPr="00441B52">
        <w:rPr>
          <w:kern w:val="28"/>
        </w:rPr>
        <w:t xml:space="preserve">) </w:t>
      </w:r>
      <w:r w:rsidRPr="00441B52">
        <w:rPr>
          <w:i/>
          <w:iCs/>
          <w:kern w:val="28"/>
        </w:rPr>
        <w:t>LCLT</w:t>
      </w:r>
      <w:r w:rsidRPr="00441B52">
        <w:rPr>
          <w:kern w:val="28"/>
        </w:rPr>
        <w:t xml:space="preserve"> en excluant complètement son application des lieux culturels et artistiques. En effet, cette réparation permet que toute personne dans une salle de spectacle fume pour ses besoins personnels, ce qui est en contravention directe avec l’objectif du législateur. Cette déclaration d’invalidité crée une situation qui compromet l’efficacité des choix politiques du législateur</w:t>
      </w:r>
      <w:r w:rsidRPr="00441B52">
        <w:rPr>
          <w:kern w:val="28"/>
          <w:vertAlign w:val="superscript"/>
        </w:rPr>
        <w:footnoteReference w:id="148"/>
      </w:r>
      <w:r w:rsidRPr="00441B52">
        <w:rPr>
          <w:kern w:val="28"/>
        </w:rPr>
        <w:t>. Le juge atténue cette conséquence en ordonnant la suspension de l’effet de la déclaration d’invalidité pendant un an. Néanmoins, il se trouve à maintenir l’application de dispositions inconstitutionnelles pendant une année, alors que la violation est extrêmement ciblée.</w:t>
      </w:r>
    </w:p>
    <w:p w14:paraId="14D40F73" w14:textId="01010421"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Il ne revient pas à la Cour d’ajouter une exception </w:t>
      </w:r>
      <w:r w:rsidR="0015129C" w:rsidRPr="00441B52">
        <w:rPr>
          <w:kern w:val="28"/>
        </w:rPr>
        <w:t xml:space="preserve">ou des exceptions </w:t>
      </w:r>
      <w:r w:rsidRPr="00441B52">
        <w:rPr>
          <w:kern w:val="28"/>
        </w:rPr>
        <w:t>à l’article 2 alinéa 1(5</w:t>
      </w:r>
      <w:r w:rsidRPr="00441B52">
        <w:rPr>
          <w:rFonts w:cs="Arial"/>
          <w:kern w:val="28"/>
        </w:rPr>
        <w:t>°</w:t>
      </w:r>
      <w:r w:rsidRPr="00441B52">
        <w:rPr>
          <w:kern w:val="28"/>
        </w:rPr>
        <w:t xml:space="preserve">) </w:t>
      </w:r>
      <w:r w:rsidRPr="00441B52">
        <w:rPr>
          <w:i/>
          <w:iCs/>
          <w:kern w:val="28"/>
        </w:rPr>
        <w:t>LCLT</w:t>
      </w:r>
      <w:r w:rsidRPr="00441B52">
        <w:rPr>
          <w:kern w:val="28"/>
        </w:rPr>
        <w:t xml:space="preserve">, puisque cela nécessite d’arbitrer entre les différentes solutions possibles et de déterminer celle qui est le mieux adaptée à la société, rôle qui revient au législateur. Comme le souligne la majorité de la Cour suprême dans l’arrêt </w:t>
      </w:r>
      <w:r w:rsidRPr="00441B52">
        <w:rPr>
          <w:i/>
          <w:iCs/>
          <w:kern w:val="28"/>
        </w:rPr>
        <w:t>G.</w:t>
      </w:r>
      <w:r w:rsidRPr="00441B52">
        <w:rPr>
          <w:kern w:val="28"/>
        </w:rPr>
        <w:t>, une telle réparation « empiéterait sur le domaine législatif. En effet, il y a maintes façons de procéder à une telle évaluation et “[i]l appartient […] aux législateurs et non aux tribunaux de combler les lacunes” »</w:t>
      </w:r>
      <w:r w:rsidRPr="00441B52">
        <w:rPr>
          <w:kern w:val="28"/>
          <w:vertAlign w:val="superscript"/>
        </w:rPr>
        <w:footnoteReference w:id="149"/>
      </w:r>
      <w:r w:rsidRPr="00441B52">
        <w:rPr>
          <w:kern w:val="28"/>
        </w:rPr>
        <w:t xml:space="preserve">. </w:t>
      </w:r>
    </w:p>
    <w:p w14:paraId="26616CBF"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En fait, la réparation adaptée à la situation est l’interprétation atténuée de l’article 2 alinéa 1(5</w:t>
      </w:r>
      <w:r w:rsidRPr="00441B52">
        <w:rPr>
          <w:rFonts w:cs="Arial"/>
          <w:kern w:val="28"/>
        </w:rPr>
        <w:t>°</w:t>
      </w:r>
      <w:r w:rsidRPr="00441B52">
        <w:rPr>
          <w:kern w:val="28"/>
        </w:rPr>
        <w:t xml:space="preserve">) </w:t>
      </w:r>
      <w:r w:rsidRPr="00441B52">
        <w:rPr>
          <w:i/>
          <w:iCs/>
          <w:kern w:val="28"/>
        </w:rPr>
        <w:t>LCLT</w:t>
      </w:r>
      <w:r w:rsidRPr="00441B52">
        <w:rPr>
          <w:kern w:val="28"/>
        </w:rPr>
        <w:t>, selon laquelle cette disposition est inopérante « dans la mesure où elle s’applique à toutes les personnes touchées par ses effets inconstitutionnels »</w:t>
      </w:r>
      <w:r w:rsidRPr="00441B52">
        <w:rPr>
          <w:kern w:val="28"/>
          <w:vertAlign w:val="superscript"/>
        </w:rPr>
        <w:footnoteReference w:id="150"/>
      </w:r>
      <w:r w:rsidRPr="00441B52">
        <w:rPr>
          <w:kern w:val="28"/>
        </w:rPr>
        <w:t>, soit les comédiens dans le cadre d’une performance culturelle ou artistique. Il n’est pas justifié de permettre à tout artiste d’être couvert par l’interprétation atténuée puisque cela ouvrirait la porte à ce qu’un artiste, qui n’exprime aucun message en fumant, soit autorisé à poser ce geste à des fins personnelles pendant sa performance sur scène. Quant aux types de performances, il est possible qu’un comédien interprète un personnage dans le cadre d’un spectacle qui n’est pas du théâtre, mais qu’il cherche néanmoins à communiquer un message. L’important est qu’il s’agisse d’une performance dans laquelle le geste de fumer est expressif, et non personnel. Cette conclusion permet d’éviter le conflit d’interprétation avec l’article 2 alinéa 1(12</w:t>
      </w:r>
      <w:r w:rsidRPr="00441B52">
        <w:rPr>
          <w:rFonts w:cs="Arial"/>
          <w:kern w:val="28"/>
        </w:rPr>
        <w:t>°</w:t>
      </w:r>
      <w:r w:rsidRPr="00441B52">
        <w:rPr>
          <w:kern w:val="28"/>
        </w:rPr>
        <w:t xml:space="preserve">) </w:t>
      </w:r>
      <w:r w:rsidRPr="00441B52">
        <w:rPr>
          <w:i/>
          <w:iCs/>
          <w:kern w:val="28"/>
        </w:rPr>
        <w:t>LCLT</w:t>
      </w:r>
      <w:r w:rsidRPr="00441B52">
        <w:rPr>
          <w:kern w:val="28"/>
        </w:rPr>
        <w:t>.</w:t>
      </w:r>
    </w:p>
    <w:p w14:paraId="0295972F"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 xml:space="preserve">Enfin, l’interprétation atténuée n’a pas à être suspendue puisque le PGQ ne démontre pas que son effet immédiat menace « un intérêt public impérieux qui l’emporte sur l’importance de se conformer immédiatement à la Constitution et sur une réparation qui s’appliquerait immédiatement aux personnes dont les droits garantis par la </w:t>
      </w:r>
      <w:r w:rsidRPr="00441B52">
        <w:rPr>
          <w:i/>
          <w:iCs/>
          <w:kern w:val="28"/>
        </w:rPr>
        <w:t xml:space="preserve">Charte </w:t>
      </w:r>
      <w:r w:rsidRPr="00441B52">
        <w:rPr>
          <w:kern w:val="28"/>
        </w:rPr>
        <w:t>seront violés »</w:t>
      </w:r>
      <w:r w:rsidRPr="00441B52">
        <w:rPr>
          <w:kern w:val="28"/>
          <w:vertAlign w:val="superscript"/>
        </w:rPr>
        <w:footnoteReference w:id="151"/>
      </w:r>
      <w:r w:rsidRPr="00441B52">
        <w:rPr>
          <w:kern w:val="28"/>
        </w:rPr>
        <w:t>. L’interprétation atténuée ne nuit pas « considérablement au pouvoir démocratique qu’a le législateur de mettre en place des politiques au moyen de lois »</w:t>
      </w:r>
      <w:r w:rsidRPr="00441B52">
        <w:rPr>
          <w:kern w:val="28"/>
          <w:vertAlign w:val="superscript"/>
        </w:rPr>
        <w:footnoteReference w:id="152"/>
      </w:r>
      <w:r w:rsidRPr="00441B52">
        <w:rPr>
          <w:kern w:val="28"/>
        </w:rPr>
        <w:t xml:space="preserve">. </w:t>
      </w:r>
    </w:p>
    <w:p w14:paraId="3FD5979A" w14:textId="77777777"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S’il le juge à propos, le législateur pourra décider d’arbitrer les intérêts en présence et de mettre en place un régime d’exception qui permette d’assurer un juste équilibre en encadrant l’utilisation de cigarettes et autres produits apparentés sur les scènes de théâtre au cours d’œuvres artistiques.</w:t>
      </w:r>
    </w:p>
    <w:p w14:paraId="0025CB43" w14:textId="77777777" w:rsidR="00E524EA" w:rsidRPr="00441B52" w:rsidRDefault="00E524EA" w:rsidP="00E524EA">
      <w:pPr>
        <w:spacing w:before="120" w:after="120" w:line="240" w:lineRule="auto"/>
        <w:jc w:val="center"/>
        <w:rPr>
          <w:kern w:val="28"/>
        </w:rPr>
      </w:pPr>
      <w:r w:rsidRPr="00441B52">
        <w:rPr>
          <w:kern w:val="28"/>
        </w:rPr>
        <w:t>***</w:t>
      </w:r>
    </w:p>
    <w:p w14:paraId="44F38B6D" w14:textId="081F5CE8" w:rsidR="00E524EA" w:rsidRPr="00441B52" w:rsidRDefault="00E524EA" w:rsidP="00E524EA">
      <w:pPr>
        <w:numPr>
          <w:ilvl w:val="0"/>
          <w:numId w:val="18"/>
        </w:numPr>
        <w:tabs>
          <w:tab w:val="clear" w:pos="720"/>
          <w:tab w:val="num" w:pos="993"/>
        </w:tabs>
        <w:spacing w:before="120" w:after="120" w:line="240" w:lineRule="auto"/>
        <w:jc w:val="both"/>
        <w:rPr>
          <w:kern w:val="28"/>
        </w:rPr>
      </w:pPr>
      <w:r w:rsidRPr="00441B52">
        <w:rPr>
          <w:kern w:val="28"/>
        </w:rPr>
        <w:t>Pour ces motifs, je propose d’accueillir en partie l’appel, d’infirmer le jugement entrepris à la seule fin de modifier la réparation en déclarant l’article 2 alinéa 1(</w:t>
      </w:r>
      <w:r w:rsidR="00D76CEC">
        <w:rPr>
          <w:kern w:val="28"/>
        </w:rPr>
        <w:t>5</w:t>
      </w:r>
      <w:r w:rsidRPr="00441B52">
        <w:rPr>
          <w:rFonts w:cs="Arial"/>
          <w:kern w:val="28"/>
        </w:rPr>
        <w:t>°</w:t>
      </w:r>
      <w:r w:rsidRPr="00441B52">
        <w:rPr>
          <w:kern w:val="28"/>
        </w:rPr>
        <w:t xml:space="preserve">) </w:t>
      </w:r>
      <w:r w:rsidRPr="00441B52">
        <w:rPr>
          <w:i/>
          <w:iCs/>
          <w:kern w:val="28"/>
        </w:rPr>
        <w:t>LCLT</w:t>
      </w:r>
      <w:r w:rsidRPr="00441B52">
        <w:rPr>
          <w:kern w:val="28"/>
        </w:rPr>
        <w:t xml:space="preserve"> invalide et inopérant dans la mesure où il s’applique aux comédiens dans le cadre d’une performance culturelle ou artistique, sans suspension, avec les frais de justice en faveur des Théâtres vu le résultat. Évidemment, l’acquittement des Théâtres est maintenu. </w:t>
      </w:r>
    </w:p>
    <w:tbl>
      <w:tblPr>
        <w:tblW w:w="0" w:type="auto"/>
        <w:tblLayout w:type="fixed"/>
        <w:tblCellMar>
          <w:left w:w="0" w:type="dxa"/>
          <w:right w:w="0" w:type="dxa"/>
        </w:tblCellMar>
        <w:tblLook w:val="0000" w:firstRow="0" w:lastRow="0" w:firstColumn="0" w:lastColumn="0" w:noHBand="0" w:noVBand="0"/>
      </w:tblPr>
      <w:tblGrid>
        <w:gridCol w:w="4735"/>
        <w:gridCol w:w="4625"/>
      </w:tblGrid>
      <w:tr w:rsidR="00E524EA" w:rsidRPr="00441B52" w14:paraId="19FDF265" w14:textId="77777777" w:rsidTr="00673117">
        <w:trPr>
          <w:cantSplit/>
          <w:trHeight w:val="513"/>
        </w:trPr>
        <w:tc>
          <w:tcPr>
            <w:tcW w:w="9360" w:type="dxa"/>
            <w:gridSpan w:val="2"/>
          </w:tcPr>
          <w:p w14:paraId="4E38B661" w14:textId="77777777" w:rsidR="00E524EA" w:rsidRPr="00441B52" w:rsidRDefault="00E524EA" w:rsidP="00E524EA">
            <w:pPr>
              <w:tabs>
                <w:tab w:val="num" w:pos="993"/>
              </w:tabs>
              <w:spacing w:line="240" w:lineRule="auto"/>
            </w:pPr>
          </w:p>
          <w:p w14:paraId="70B99109" w14:textId="77777777" w:rsidR="00E524EA" w:rsidRPr="00441B52" w:rsidRDefault="00E524EA" w:rsidP="00E524EA">
            <w:pPr>
              <w:tabs>
                <w:tab w:val="num" w:pos="993"/>
              </w:tabs>
              <w:spacing w:line="240" w:lineRule="auto"/>
            </w:pPr>
          </w:p>
        </w:tc>
      </w:tr>
      <w:tr w:rsidR="00E524EA" w:rsidRPr="00441B52" w14:paraId="494F5783" w14:textId="77777777" w:rsidTr="00673117">
        <w:trPr>
          <w:cantSplit/>
          <w:trHeight w:val="277"/>
        </w:trPr>
        <w:tc>
          <w:tcPr>
            <w:tcW w:w="4735" w:type="dxa"/>
            <w:vMerge w:val="restart"/>
          </w:tcPr>
          <w:p w14:paraId="3E48C45D" w14:textId="77777777" w:rsidR="00E524EA" w:rsidRPr="00441B52" w:rsidRDefault="00E524EA" w:rsidP="00E524EA">
            <w:pPr>
              <w:tabs>
                <w:tab w:val="num" w:pos="993"/>
              </w:tabs>
              <w:spacing w:before="120" w:after="120" w:line="240" w:lineRule="auto"/>
            </w:pPr>
          </w:p>
        </w:tc>
        <w:tc>
          <w:tcPr>
            <w:tcW w:w="4625" w:type="dxa"/>
            <w:tcBorders>
              <w:bottom w:val="single" w:sz="8" w:space="0" w:color="auto"/>
            </w:tcBorders>
          </w:tcPr>
          <w:p w14:paraId="08A1FC0E" w14:textId="77777777" w:rsidR="00E524EA" w:rsidRPr="00441B52" w:rsidRDefault="00E524EA" w:rsidP="00E524EA">
            <w:pPr>
              <w:tabs>
                <w:tab w:val="num" w:pos="993"/>
              </w:tabs>
              <w:spacing w:line="240" w:lineRule="auto"/>
            </w:pPr>
          </w:p>
        </w:tc>
      </w:tr>
      <w:tr w:rsidR="00E524EA" w:rsidRPr="00C23406" w14:paraId="526E1393" w14:textId="77777777" w:rsidTr="00673117">
        <w:trPr>
          <w:cantSplit/>
          <w:trHeight w:val="276"/>
        </w:trPr>
        <w:tc>
          <w:tcPr>
            <w:tcW w:w="4735" w:type="dxa"/>
            <w:vMerge/>
          </w:tcPr>
          <w:p w14:paraId="03DD1FCD" w14:textId="77777777" w:rsidR="00E524EA" w:rsidRPr="00441B52" w:rsidRDefault="00E524EA" w:rsidP="00E524EA">
            <w:pPr>
              <w:tabs>
                <w:tab w:val="num" w:pos="993"/>
              </w:tabs>
              <w:spacing w:before="120" w:after="120" w:line="240" w:lineRule="auto"/>
            </w:pPr>
          </w:p>
        </w:tc>
        <w:tc>
          <w:tcPr>
            <w:tcW w:w="4625" w:type="dxa"/>
          </w:tcPr>
          <w:p w14:paraId="55199B77" w14:textId="33883EDE" w:rsidR="00E524EA" w:rsidRPr="00E524EA" w:rsidRDefault="005B240C" w:rsidP="00E524EA">
            <w:pPr>
              <w:tabs>
                <w:tab w:val="num" w:pos="993"/>
              </w:tabs>
              <w:spacing w:line="240" w:lineRule="auto"/>
              <w:rPr>
                <w:lang w:val="en-CA"/>
              </w:rPr>
            </w:pPr>
            <w:r>
              <w:t>JUDITH HARVIE, J.C.A.</w:t>
            </w:r>
          </w:p>
        </w:tc>
      </w:tr>
    </w:tbl>
    <w:p w14:paraId="63F1C518" w14:textId="77777777" w:rsidR="00E524EA" w:rsidRPr="00E524EA" w:rsidRDefault="00E524EA" w:rsidP="00E524EA">
      <w:pPr>
        <w:tabs>
          <w:tab w:val="num" w:pos="993"/>
        </w:tabs>
        <w:spacing w:before="120" w:after="120" w:line="240" w:lineRule="auto"/>
        <w:rPr>
          <w:lang w:val="en-CA"/>
        </w:rPr>
      </w:pPr>
    </w:p>
    <w:p w14:paraId="71AE6E8B" w14:textId="77777777" w:rsidR="00740A17" w:rsidRPr="00E524EA" w:rsidRDefault="00740A17" w:rsidP="00FF5D92">
      <w:pPr>
        <w:rPr>
          <w:lang w:val="en-CA"/>
        </w:rPr>
      </w:pPr>
    </w:p>
    <w:sectPr w:rsidR="00740A17" w:rsidRPr="00E524EA" w:rsidSect="00FF5D92">
      <w:headerReference w:type="even" r:id="rId8"/>
      <w:headerReference w:type="default" r:id="rId9"/>
      <w:footerReference w:type="even" r:id="rId10"/>
      <w:footerReference w:type="default" r:id="rId11"/>
      <w:headerReference w:type="first" r:id="rId12"/>
      <w:footerReference w:type="first" r:id="rId13"/>
      <w:pgSz w:w="12242" w:h="15842" w:code="1"/>
      <w:pgMar w:top="1440" w:right="1008" w:bottom="1440" w:left="1872" w:header="1440" w:footer="7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F68B8" w14:textId="77777777" w:rsidR="002A0822" w:rsidRDefault="002A0822">
      <w:r>
        <w:separator/>
      </w:r>
    </w:p>
  </w:endnote>
  <w:endnote w:type="continuationSeparator" w:id="0">
    <w:p w14:paraId="69B6C5DC" w14:textId="77777777" w:rsidR="002A0822" w:rsidRDefault="002A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7">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FEA0" w14:textId="77777777" w:rsidR="00BC662C" w:rsidRDefault="00BC662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BAD0" w14:textId="77777777" w:rsidR="00BC662C" w:rsidRDefault="00BC662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903F" w14:textId="77777777" w:rsidR="00BC662C" w:rsidRDefault="00BC662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558A" w14:textId="77777777" w:rsidR="002A0822" w:rsidRDefault="002A0822">
      <w:r>
        <w:separator/>
      </w:r>
    </w:p>
  </w:footnote>
  <w:footnote w:type="continuationSeparator" w:id="0">
    <w:p w14:paraId="4084837A" w14:textId="77777777" w:rsidR="002A0822" w:rsidRDefault="002A0822">
      <w:r>
        <w:continuationSeparator/>
      </w:r>
    </w:p>
  </w:footnote>
  <w:footnote w:id="1">
    <w:p w14:paraId="16EB6C4C"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Cs/>
        </w:rPr>
        <w:t>RLRQ, c. L-6.2.</w:t>
      </w:r>
    </w:p>
  </w:footnote>
  <w:footnote w:id="2">
    <w:p w14:paraId="60A665D1" w14:textId="77777777" w:rsidR="00E524EA" w:rsidRPr="00441B52" w:rsidRDefault="00E524EA" w:rsidP="00E524EA">
      <w:pPr>
        <w:pStyle w:val="Notedebasdepage"/>
      </w:pPr>
      <w:r w:rsidRPr="00441B52">
        <w:rPr>
          <w:rStyle w:val="Appelnotedebasdep"/>
        </w:rPr>
        <w:footnoteRef/>
      </w:r>
      <w:r w:rsidRPr="00441B52">
        <w:t xml:space="preserve"> </w:t>
      </w:r>
      <w:r w:rsidRPr="00441B52">
        <w:tab/>
        <w:t>RLRQ, c. L-6.2, r. 1.</w:t>
      </w:r>
    </w:p>
  </w:footnote>
  <w:footnote w:id="3">
    <w:p w14:paraId="6A9CE455" w14:textId="77777777" w:rsidR="00E524EA" w:rsidRPr="00441B52" w:rsidRDefault="00E524EA" w:rsidP="00E524EA">
      <w:pPr>
        <w:pStyle w:val="Notedebasdepage"/>
      </w:pPr>
      <w:r w:rsidRPr="00441B52">
        <w:rPr>
          <w:rStyle w:val="Appelnotedebasdep"/>
        </w:rPr>
        <w:footnoteRef/>
      </w:r>
      <w:r w:rsidRPr="00441B52">
        <w:tab/>
      </w:r>
      <w:r w:rsidRPr="00441B52">
        <w:rPr>
          <w:i/>
        </w:rPr>
        <w:t>Charte canadienne des droits et libertés</w:t>
      </w:r>
      <w:r w:rsidRPr="00441B52">
        <w:t xml:space="preserve">, partie I de la </w:t>
      </w:r>
      <w:r w:rsidRPr="00441B52">
        <w:rPr>
          <w:i/>
        </w:rPr>
        <w:t>Loi constitutionnelle de 1982</w:t>
      </w:r>
      <w:r w:rsidRPr="00441B52">
        <w:t xml:space="preserve">, constituant l’annexe B de la </w:t>
      </w:r>
      <w:r w:rsidRPr="00441B52">
        <w:rPr>
          <w:i/>
        </w:rPr>
        <w:t>Loi de 1982 sur le Canada</w:t>
      </w:r>
      <w:r w:rsidRPr="00441B52">
        <w:t xml:space="preserve"> (R.-U.), 1982, c. 11.</w:t>
      </w:r>
    </w:p>
  </w:footnote>
  <w:footnote w:id="4">
    <w:p w14:paraId="1FF06FD1"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Théâtre du Trident inc. c. Directeur des poursuites criminelles et pénales</w:t>
      </w:r>
      <w:r w:rsidRPr="00441B52">
        <w:t xml:space="preserve">, 2024 QCCS 2001 [Jugement entrepris]. </w:t>
      </w:r>
    </w:p>
  </w:footnote>
  <w:footnote w:id="5">
    <w:p w14:paraId="65FE5DB8" w14:textId="3FD219DB" w:rsidR="00E524EA" w:rsidRPr="00441B52" w:rsidRDefault="00E524EA" w:rsidP="00E524EA">
      <w:pPr>
        <w:pStyle w:val="Notedebasdepage"/>
      </w:pPr>
      <w:r w:rsidRPr="00441B52">
        <w:rPr>
          <w:rStyle w:val="Appelnotedebasdep"/>
        </w:rPr>
        <w:footnoteRef/>
      </w:r>
      <w:r w:rsidRPr="00441B52">
        <w:t xml:space="preserve"> </w:t>
      </w:r>
      <w:r w:rsidRPr="00441B52">
        <w:tab/>
        <w:t xml:space="preserve">Constat d’infraction au Théâtre </w:t>
      </w:r>
      <w:r w:rsidR="00C735DE">
        <w:t xml:space="preserve">du </w:t>
      </w:r>
      <w:r w:rsidRPr="00441B52">
        <w:t xml:space="preserve">Trident, 24 novembre 2017; Constat d’infraction au Théâtre </w:t>
      </w:r>
      <w:r w:rsidR="00C735DE">
        <w:t xml:space="preserve">de </w:t>
      </w:r>
      <w:r w:rsidRPr="00441B52">
        <w:t xml:space="preserve">la Bordée, 6 septembre 2019; Constat d’infraction au Théâtre Premier Acte, 11 avril 2019. </w:t>
      </w:r>
    </w:p>
  </w:footnote>
  <w:footnote w:id="6">
    <w:p w14:paraId="6A5E4FE8"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Jugement entrepris. La preuve non contestée présentée devant le juge de paix magistrat en Cour du Québec démontre que la cigarette fumée au Théâtre Premier Acte est conventionnelle, et non une cigarette aux herbes.  </w:t>
      </w:r>
    </w:p>
  </w:footnote>
  <w:footnote w:id="7">
    <w:p w14:paraId="3F2C5EFB" w14:textId="6A7233FB" w:rsidR="00E524EA" w:rsidRPr="00441B52" w:rsidRDefault="00E524EA" w:rsidP="00E524EA">
      <w:pPr>
        <w:pStyle w:val="Notedebasdepage"/>
      </w:pPr>
      <w:r w:rsidRPr="00441B52">
        <w:rPr>
          <w:rStyle w:val="Appelnotedebasdep"/>
        </w:rPr>
        <w:footnoteRef/>
      </w:r>
      <w:r w:rsidRPr="00441B52">
        <w:t xml:space="preserve"> </w:t>
      </w:r>
      <w:r w:rsidRPr="00441B52">
        <w:tab/>
        <w:t>Les Théâtres demandent que les articles soient déclarés invalides « envers l’exploitant d’un lieu ou d’un commerce où se déroulent des activités culturelles ou artistiques visées par la Loi » et, subsidiairement, que les articles soient déclarés inopérants dans la même mesure, Requête en déclaration d’invalidité modifiée des articles 1, 2 et 11 de la [</w:t>
      </w:r>
      <w:r w:rsidRPr="00441B52">
        <w:rPr>
          <w:i/>
          <w:iCs/>
        </w:rPr>
        <w:t>Loi</w:t>
      </w:r>
      <w:r w:rsidRPr="00441B52">
        <w:t>] et de l’article 1 du [</w:t>
      </w:r>
      <w:r w:rsidRPr="00441B52">
        <w:rPr>
          <w:i/>
          <w:iCs/>
        </w:rPr>
        <w:t>Règlement</w:t>
      </w:r>
      <w:r w:rsidRPr="00441B52">
        <w:t xml:space="preserve">], datée du 3 mars 2020. En fait, le juge de paix magistrat n’avait compétence que pour déclarer inapplicables constitutionnellement les dispositions à l’égard des intimés, voir : </w:t>
      </w:r>
      <w:r w:rsidRPr="00441B52">
        <w:rPr>
          <w:i/>
          <w:iCs/>
        </w:rPr>
        <w:t>R. c. Lloyd</w:t>
      </w:r>
      <w:r w:rsidRPr="00441B52">
        <w:t>, 2016 CSC 13, paragr. 15 et 19, propos de la juge en chef de l’époque McLachlin, également acceptés par les juges de la minorité. L’invalidité peut toutefois être analysée en appel</w:t>
      </w:r>
      <w:r w:rsidR="0015129C" w:rsidRPr="00441B52">
        <w:t>, v</w:t>
      </w:r>
      <w:r w:rsidRPr="00441B52">
        <w:t xml:space="preserve">oir : </w:t>
      </w:r>
      <w:r w:rsidRPr="00441B52">
        <w:rPr>
          <w:i/>
          <w:iCs/>
        </w:rPr>
        <w:t>Denis c. R.</w:t>
      </w:r>
      <w:r w:rsidRPr="00441B52">
        <w:t>, 2024 QCCA 647, paragr. 59-70.</w:t>
      </w:r>
    </w:p>
  </w:footnote>
  <w:footnote w:id="8">
    <w:p w14:paraId="2444AC03"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Directeur des poursuites criminelles et pénales c. Théâtre du Trident inc.</w:t>
      </w:r>
      <w:r w:rsidRPr="00441B52">
        <w:t xml:space="preserve">, 2021 QCCQ 11956, paragr. 16.  </w:t>
      </w:r>
    </w:p>
  </w:footnote>
  <w:footnote w:id="9">
    <w:p w14:paraId="7987A6FC"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Directeur des poursuites criminelles et pénales c. Théâtre du Trident inc.</w:t>
      </w:r>
      <w:r w:rsidRPr="00441B52">
        <w:t>, 2021 QCCQ 11956.</w:t>
      </w:r>
    </w:p>
  </w:footnote>
  <w:footnote w:id="10">
    <w:p w14:paraId="641DFEB7"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Avis d’appel des Théâtres modifié le 21 février 2022. </w:t>
      </w:r>
    </w:p>
  </w:footnote>
  <w:footnote w:id="11">
    <w:p w14:paraId="6DC1A558"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 paragr. 44.</w:t>
      </w:r>
    </w:p>
  </w:footnote>
  <w:footnote w:id="12">
    <w:p w14:paraId="38F10C44" w14:textId="299F43ED" w:rsidR="00E524EA" w:rsidRPr="00441B52" w:rsidRDefault="00E524EA" w:rsidP="00E524EA">
      <w:pPr>
        <w:pStyle w:val="Notedebasdepage"/>
      </w:pPr>
      <w:r w:rsidRPr="00441B52">
        <w:rPr>
          <w:rStyle w:val="Appelnotedebasdep"/>
        </w:rPr>
        <w:footnoteRef/>
      </w:r>
      <w:r w:rsidRPr="00441B52">
        <w:t xml:space="preserve"> </w:t>
      </w:r>
      <w:r w:rsidRPr="00441B52">
        <w:tab/>
      </w:r>
      <w:r w:rsidR="00A707BB" w:rsidRPr="00441B52">
        <w:rPr>
          <w:i/>
          <w:iCs/>
        </w:rPr>
        <w:t>Id.</w:t>
      </w:r>
      <w:r w:rsidRPr="00441B52">
        <w:t>, paragr. 50.</w:t>
      </w:r>
    </w:p>
  </w:footnote>
  <w:footnote w:id="13">
    <w:p w14:paraId="12706ABE" w14:textId="176DBA52" w:rsidR="00E524EA" w:rsidRPr="00441B52" w:rsidRDefault="00E524EA" w:rsidP="00E524EA">
      <w:pPr>
        <w:pStyle w:val="Notedebasdepage"/>
      </w:pPr>
      <w:r w:rsidRPr="00441B52">
        <w:rPr>
          <w:rStyle w:val="Appelnotedebasdep"/>
        </w:rPr>
        <w:footnoteRef/>
      </w:r>
      <w:r w:rsidRPr="00441B52">
        <w:t xml:space="preserve"> </w:t>
      </w:r>
      <w:r w:rsidRPr="00441B52">
        <w:tab/>
      </w:r>
      <w:bookmarkStart w:id="27" w:name="_Hlk226700508"/>
      <w:r w:rsidR="00A707BB" w:rsidRPr="00441B52">
        <w:rPr>
          <w:i/>
          <w:iCs/>
        </w:rPr>
        <w:t>Id.</w:t>
      </w:r>
      <w:bookmarkEnd w:id="27"/>
      <w:r w:rsidRPr="00441B52">
        <w:t xml:space="preserve">, paragr. 58. </w:t>
      </w:r>
    </w:p>
  </w:footnote>
  <w:footnote w:id="14">
    <w:p w14:paraId="7DBBACEC" w14:textId="6F44B936" w:rsidR="00E524EA" w:rsidRPr="00441B52" w:rsidRDefault="00E524EA" w:rsidP="00E524EA">
      <w:pPr>
        <w:pStyle w:val="Notedebasdepage"/>
      </w:pPr>
      <w:r w:rsidRPr="00441B52">
        <w:rPr>
          <w:rStyle w:val="Appelnotedebasdep"/>
        </w:rPr>
        <w:footnoteRef/>
      </w:r>
      <w:r w:rsidRPr="00441B52">
        <w:t xml:space="preserve"> </w:t>
      </w:r>
      <w:r w:rsidRPr="00441B52">
        <w:tab/>
      </w:r>
      <w:r w:rsidR="00A707BB" w:rsidRPr="00441B52">
        <w:rPr>
          <w:i/>
          <w:iCs/>
        </w:rPr>
        <w:t>Id.</w:t>
      </w:r>
      <w:r w:rsidRPr="00441B52">
        <w:t>, paragr. 71.</w:t>
      </w:r>
    </w:p>
  </w:footnote>
  <w:footnote w:id="15">
    <w:p w14:paraId="23E5D8E4"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Le législateur a modifié à quelques reprises l’article 2 de la </w:t>
      </w:r>
      <w:r w:rsidRPr="00441B52">
        <w:rPr>
          <w:i/>
          <w:iCs/>
        </w:rPr>
        <w:t>Loi</w:t>
      </w:r>
      <w:r w:rsidRPr="00441B52">
        <w:t xml:space="preserve"> après 2017, mais ces modifications ne portent pas sur les alinéas et paragraphes pertinents aux présentes. </w:t>
      </w:r>
    </w:p>
  </w:footnote>
  <w:footnote w:id="16">
    <w:p w14:paraId="43BE5FBF" w14:textId="77777777" w:rsidR="00E524EA" w:rsidRPr="00441B52" w:rsidRDefault="00E524EA" w:rsidP="00E524EA">
      <w:pPr>
        <w:pStyle w:val="Notedebasdepage"/>
      </w:pPr>
      <w:r w:rsidRPr="00441B52">
        <w:rPr>
          <w:rStyle w:val="Appelnotedebasdep"/>
        </w:rPr>
        <w:footnoteRef/>
      </w:r>
      <w:r w:rsidRPr="00441B52">
        <w:t xml:space="preserve"> </w:t>
      </w:r>
      <w:r w:rsidRPr="00441B52">
        <w:tab/>
        <w:t>Rapport d’expertise du pneumologue, le D</w:t>
      </w:r>
      <w:r w:rsidRPr="00441B52">
        <w:rPr>
          <w:vertAlign w:val="superscript"/>
        </w:rPr>
        <w:t>r</w:t>
      </w:r>
      <w:r w:rsidRPr="00441B52">
        <w:t xml:space="preserve"> Alain Desjardins [Rapport d’expertise], p. 18-22.</w:t>
      </w:r>
    </w:p>
  </w:footnote>
  <w:footnote w:id="17">
    <w:p w14:paraId="796BEFB6" w14:textId="77777777" w:rsidR="00E524EA" w:rsidRPr="00441B52" w:rsidRDefault="00E524EA" w:rsidP="00E524EA">
      <w:pPr>
        <w:pStyle w:val="Notedebasdepage"/>
      </w:pPr>
      <w:r w:rsidRPr="00441B52">
        <w:rPr>
          <w:rStyle w:val="Appelnotedebasdep"/>
        </w:rPr>
        <w:footnoteRef/>
      </w:r>
      <w:r w:rsidRPr="00441B52">
        <w:tab/>
      </w:r>
      <w:r w:rsidRPr="00441B52">
        <w:rPr>
          <w:i/>
        </w:rPr>
        <w:t>Charte des droits et libertés de la personne</w:t>
      </w:r>
      <w:r w:rsidRPr="00441B52">
        <w:t>, RLRQ, c. C-12.</w:t>
      </w:r>
    </w:p>
  </w:footnote>
  <w:footnote w:id="18">
    <w:p w14:paraId="3CD80457"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Procureur général du Québec c. Gallant</w:t>
      </w:r>
      <w:r w:rsidRPr="00441B52">
        <w:t>, 2021 QCCA 1701 [</w:t>
      </w:r>
      <w:r w:rsidRPr="00441B52">
        <w:rPr>
          <w:i/>
          <w:iCs/>
        </w:rPr>
        <w:t>Gallant</w:t>
      </w:r>
      <w:r w:rsidRPr="00441B52">
        <w:t xml:space="preserve">], paragr. 256, citant </w:t>
      </w:r>
      <w:r w:rsidRPr="00441B52">
        <w:rPr>
          <w:i/>
          <w:iCs/>
        </w:rPr>
        <w:t>Ville de Montréal c. Astral Media Affichage</w:t>
      </w:r>
      <w:r w:rsidRPr="00441B52">
        <w:t>, 2019 QCCA 1609, paragr. 103, demande d’autorisation d’appel à la Cour suprême rejetée, 7 mai 2020, n</w:t>
      </w:r>
      <w:r w:rsidRPr="00441B52">
        <w:rPr>
          <w:vertAlign w:val="superscript"/>
        </w:rPr>
        <w:t>o </w:t>
      </w:r>
      <w:r w:rsidRPr="00441B52">
        <w:t xml:space="preserve">38911. Voir également : </w:t>
      </w:r>
      <w:r w:rsidRPr="00441B52">
        <w:rPr>
          <w:i/>
        </w:rPr>
        <w:t>Ford c. Québec (Procureur général)</w:t>
      </w:r>
      <w:r w:rsidRPr="00441B52">
        <w:t>, [1988] 2 R.C.S. 712, p. 748 [</w:t>
      </w:r>
      <w:r w:rsidRPr="00441B52">
        <w:rPr>
          <w:i/>
          <w:iCs/>
        </w:rPr>
        <w:t>Ford</w:t>
      </w:r>
      <w:r w:rsidRPr="00441B52">
        <w:t>].</w:t>
      </w:r>
    </w:p>
  </w:footnote>
  <w:footnote w:id="19">
    <w:p w14:paraId="462B54B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Greater Vancouver Transportation Authority</w:t>
      </w:r>
      <w:r w:rsidRPr="00441B52">
        <w:t xml:space="preserve"> c. </w:t>
      </w:r>
      <w:r w:rsidRPr="00441B52">
        <w:rPr>
          <w:i/>
        </w:rPr>
        <w:t>Fédération canadienne des étudiantes et étudiants — Section Colombie-Britannique</w:t>
      </w:r>
      <w:r w:rsidRPr="00441B52">
        <w:t xml:space="preserve">, 2009 CSC 31, paragr. 27 et la jurisprudence citée. </w:t>
      </w:r>
    </w:p>
  </w:footnote>
  <w:footnote w:id="20">
    <w:p w14:paraId="075F06BF" w14:textId="77777777" w:rsidR="00E524EA" w:rsidRPr="00441B52" w:rsidRDefault="00E524EA" w:rsidP="00E524EA">
      <w:pPr>
        <w:pStyle w:val="Notedebasdepage"/>
        <w:rPr>
          <w:i/>
          <w:iCs/>
        </w:rPr>
      </w:pPr>
      <w:r w:rsidRPr="00441B52">
        <w:rPr>
          <w:rStyle w:val="Appelnotedebasdep"/>
        </w:rPr>
        <w:footnoteRef/>
      </w:r>
      <w:r w:rsidRPr="00441B52">
        <w:t xml:space="preserve"> </w:t>
      </w:r>
      <w:r w:rsidRPr="00441B52">
        <w:tab/>
        <w:t xml:space="preserve">Voir, par exemple : </w:t>
      </w:r>
      <w:r w:rsidRPr="00441B52">
        <w:rPr>
          <w:i/>
        </w:rPr>
        <w:t>Ward</w:t>
      </w:r>
      <w:r w:rsidRPr="00441B52">
        <w:t xml:space="preserve"> </w:t>
      </w:r>
      <w:r w:rsidRPr="00441B52">
        <w:rPr>
          <w:i/>
          <w:iCs/>
        </w:rPr>
        <w:t>c.</w:t>
      </w:r>
      <w:r w:rsidRPr="00441B52">
        <w:t xml:space="preserve"> </w:t>
      </w:r>
      <w:r w:rsidRPr="00441B52">
        <w:rPr>
          <w:i/>
        </w:rPr>
        <w:t>Québec (Commission des droits de la personne et des droits de la jeunesse)</w:t>
      </w:r>
      <w:r w:rsidRPr="00441B52">
        <w:t>, 2021 CSC 43 [</w:t>
      </w:r>
      <w:r w:rsidRPr="00441B52">
        <w:rPr>
          <w:i/>
          <w:iCs/>
        </w:rPr>
        <w:t>Ward</w:t>
      </w:r>
      <w:r w:rsidRPr="00441B52">
        <w:t xml:space="preserve">], paragr. 59-60; </w:t>
      </w:r>
      <w:r w:rsidRPr="00441B52">
        <w:rPr>
          <w:i/>
          <w:iCs/>
        </w:rPr>
        <w:t>Edmonton Journal c. Alberta (Procureur général)</w:t>
      </w:r>
      <w:r w:rsidRPr="00441B52">
        <w:t xml:space="preserve">, [1989] 2 R.C.S. 1326, p. 1336; </w:t>
      </w:r>
      <w:r w:rsidRPr="00441B52">
        <w:rPr>
          <w:i/>
        </w:rPr>
        <w:t>Irwin Toy Ltd.</w:t>
      </w:r>
      <w:r w:rsidRPr="00441B52">
        <w:t xml:space="preserve"> </w:t>
      </w:r>
      <w:r w:rsidRPr="00441B52">
        <w:rPr>
          <w:i/>
          <w:iCs/>
        </w:rPr>
        <w:t>c.</w:t>
      </w:r>
      <w:r w:rsidRPr="00441B52">
        <w:t xml:space="preserve"> </w:t>
      </w:r>
      <w:r w:rsidRPr="00441B52">
        <w:rPr>
          <w:i/>
        </w:rPr>
        <w:t>Québec (Procureur général)</w:t>
      </w:r>
      <w:r w:rsidRPr="00441B52">
        <w:t>, [1989] 1 R.C.S. 927 [</w:t>
      </w:r>
      <w:r w:rsidRPr="00441B52">
        <w:rPr>
          <w:i/>
          <w:iCs/>
        </w:rPr>
        <w:t>Irwin Toy</w:t>
      </w:r>
      <w:r w:rsidRPr="00441B52">
        <w:t xml:space="preserve">], p. 968; </w:t>
      </w:r>
      <w:r w:rsidRPr="00441B52">
        <w:rPr>
          <w:i/>
          <w:iCs/>
        </w:rPr>
        <w:t>Switzman v. Elbling</w:t>
      </w:r>
      <w:r w:rsidRPr="00441B52">
        <w:t>, [1957] R.C.S. 285, p. 358 et 369 ainsi que p. 306, motifs du j. Rand qui soulignait que la liberté d’expression était « </w:t>
      </w:r>
      <w:r w:rsidRPr="00441B52">
        <w:rPr>
          <w:i/>
          <w:iCs/>
        </w:rPr>
        <w:t>little less vital to man's mind and spirit than breathing is to his physical existence</w:t>
      </w:r>
      <w:r w:rsidRPr="00441B52">
        <w:t> ».</w:t>
      </w:r>
    </w:p>
  </w:footnote>
  <w:footnote w:id="21">
    <w:p w14:paraId="63927B51"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lang w:val="en-CA"/>
        </w:rPr>
        <w:t xml:space="preserve">Irwin Toy, </w:t>
      </w:r>
      <w:r w:rsidRPr="00441B52">
        <w:rPr>
          <w:lang w:val="en-CA"/>
        </w:rPr>
        <w:t>p. 968.</w:t>
      </w:r>
    </w:p>
  </w:footnote>
  <w:footnote w:id="22">
    <w:p w14:paraId="0591B988"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Ford</w:t>
      </w:r>
      <w:r w:rsidRPr="00441B52">
        <w:rPr>
          <w:lang w:val="en-CA"/>
        </w:rPr>
        <w:t xml:space="preserve">, p. 765. </w:t>
      </w:r>
    </w:p>
  </w:footnote>
  <w:footnote w:id="23">
    <w:p w14:paraId="4287477C"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Irwin Toy</w:t>
      </w:r>
      <w:r w:rsidRPr="00441B52">
        <w:t>, p. 976.</w:t>
      </w:r>
    </w:p>
  </w:footnote>
  <w:footnote w:id="24">
    <w:p w14:paraId="5ACE38E9"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r>
      <w:r w:rsidRPr="00441B52">
        <w:rPr>
          <w:i/>
          <w:iCs/>
        </w:rPr>
        <w:t>Aubry</w:t>
      </w:r>
      <w:r w:rsidRPr="00441B52">
        <w:rPr>
          <w:iCs/>
        </w:rPr>
        <w:t xml:space="preserve"> </w:t>
      </w:r>
      <w:r w:rsidRPr="00441B52">
        <w:rPr>
          <w:i/>
        </w:rPr>
        <w:t>c.</w:t>
      </w:r>
      <w:r w:rsidRPr="00441B52">
        <w:rPr>
          <w:iCs/>
        </w:rPr>
        <w:t xml:space="preserve"> </w:t>
      </w:r>
      <w:r w:rsidRPr="00441B52">
        <w:rPr>
          <w:i/>
          <w:iCs/>
        </w:rPr>
        <w:t>Éditions Vice-Versa inc.</w:t>
      </w:r>
      <w:r w:rsidRPr="00441B52">
        <w:rPr>
          <w:iCs/>
        </w:rPr>
        <w:t>, [1998] 1 R.C.S. 591</w:t>
      </w:r>
      <w:r w:rsidRPr="00441B52">
        <w:t xml:space="preserve">, paragr. </w:t>
      </w:r>
      <w:r w:rsidRPr="00441B52">
        <w:rPr>
          <w:lang w:val="en-CA"/>
        </w:rPr>
        <w:t xml:space="preserve">55. </w:t>
      </w:r>
    </w:p>
  </w:footnote>
  <w:footnote w:id="25">
    <w:p w14:paraId="346A2CD2"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R. c. Butler</w:t>
      </w:r>
      <w:r w:rsidRPr="00441B52">
        <w:rPr>
          <w:lang w:val="en-CA"/>
        </w:rPr>
        <w:t>, [1992] 1 R.C.S. 452 [</w:t>
      </w:r>
      <w:r w:rsidRPr="00441B52">
        <w:rPr>
          <w:i/>
          <w:iCs/>
          <w:lang w:val="en-CA"/>
        </w:rPr>
        <w:t>Butler</w:t>
      </w:r>
      <w:r w:rsidRPr="00441B52">
        <w:rPr>
          <w:lang w:val="en-CA"/>
        </w:rPr>
        <w:t>], p. 486.</w:t>
      </w:r>
    </w:p>
  </w:footnote>
  <w:footnote w:id="26">
    <w:p w14:paraId="68463686" w14:textId="77777777" w:rsidR="00E524EA" w:rsidRPr="00441B52" w:rsidRDefault="00E524EA" w:rsidP="00E524EA">
      <w:pPr>
        <w:pStyle w:val="Notedebasdepage"/>
      </w:pPr>
      <w:r w:rsidRPr="00441B52">
        <w:rPr>
          <w:rStyle w:val="Appelnotedebasdep"/>
        </w:rPr>
        <w:footnoteRef/>
      </w:r>
      <w:r w:rsidRPr="002D06A6">
        <w:rPr>
          <w:lang w:val="en-CA"/>
        </w:rPr>
        <w:t xml:space="preserve"> </w:t>
      </w:r>
      <w:r w:rsidRPr="002D06A6">
        <w:rPr>
          <w:lang w:val="en-CA"/>
        </w:rPr>
        <w:tab/>
      </w:r>
      <w:r w:rsidRPr="002D06A6">
        <w:rPr>
          <w:i/>
          <w:iCs/>
          <w:lang w:val="en-CA"/>
        </w:rPr>
        <w:t>Ward</w:t>
      </w:r>
      <w:r w:rsidRPr="002D06A6">
        <w:rPr>
          <w:lang w:val="en-CA"/>
        </w:rPr>
        <w:t xml:space="preserve">, paragr. </w:t>
      </w:r>
      <w:r w:rsidRPr="00441B52">
        <w:t xml:space="preserve">64. </w:t>
      </w:r>
    </w:p>
  </w:footnote>
  <w:footnote w:id="27">
    <w:p w14:paraId="68A6A265"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Toronto (Cité)</w:t>
      </w:r>
      <w:r w:rsidRPr="00441B52">
        <w:t xml:space="preserve"> </w:t>
      </w:r>
      <w:r w:rsidRPr="00441B52">
        <w:rPr>
          <w:i/>
          <w:iCs/>
        </w:rPr>
        <w:t>c.</w:t>
      </w:r>
      <w:r w:rsidRPr="00441B52">
        <w:t xml:space="preserve"> </w:t>
      </w:r>
      <w:r w:rsidRPr="00441B52">
        <w:rPr>
          <w:i/>
        </w:rPr>
        <w:t>Ontario (Procureur général)</w:t>
      </w:r>
      <w:r w:rsidRPr="00441B52">
        <w:t xml:space="preserve">, 2021 CSC 34, paragr. 16; </w:t>
      </w:r>
      <w:r w:rsidRPr="00441B52">
        <w:rPr>
          <w:i/>
        </w:rPr>
        <w:t>Baier</w:t>
      </w:r>
      <w:r w:rsidRPr="00441B52">
        <w:t xml:space="preserve"> </w:t>
      </w:r>
      <w:r w:rsidRPr="00441B52">
        <w:rPr>
          <w:i/>
          <w:iCs/>
        </w:rPr>
        <w:t>c.</w:t>
      </w:r>
      <w:r w:rsidRPr="00441B52">
        <w:t xml:space="preserve"> </w:t>
      </w:r>
      <w:r w:rsidRPr="00441B52">
        <w:rPr>
          <w:i/>
        </w:rPr>
        <w:t>Alberta</w:t>
      </w:r>
      <w:r w:rsidRPr="00441B52">
        <w:t>, 2007 CSC 31, paragr. 35.</w:t>
      </w:r>
    </w:p>
  </w:footnote>
  <w:footnote w:id="28">
    <w:p w14:paraId="5BB0F639"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Irwin Toy</w:t>
      </w:r>
      <w:r w:rsidRPr="00441B52">
        <w:t xml:space="preserve">, p. 967 et 971; </w:t>
      </w:r>
      <w:r w:rsidRPr="00441B52">
        <w:rPr>
          <w:i/>
          <w:iCs/>
        </w:rPr>
        <w:t>Société Radio-Canada c. Canada (Procureur général)</w:t>
      </w:r>
      <w:r w:rsidRPr="00441B52">
        <w:t>, 2011 CSC 2 [</w:t>
      </w:r>
      <w:r w:rsidRPr="00441B52">
        <w:rPr>
          <w:i/>
          <w:iCs/>
        </w:rPr>
        <w:t>SRC</w:t>
      </w:r>
      <w:r w:rsidRPr="00441B52">
        <w:t>], paragr. 33.</w:t>
      </w:r>
    </w:p>
  </w:footnote>
  <w:footnote w:id="29">
    <w:p w14:paraId="2EE2DA60"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r>
      <w:r w:rsidRPr="00441B52">
        <w:rPr>
          <w:i/>
          <w:iCs/>
        </w:rPr>
        <w:t>SRC</w:t>
      </w:r>
      <w:r w:rsidRPr="00441B52">
        <w:t xml:space="preserve">, paragr. 34-35; </w:t>
      </w:r>
      <w:r w:rsidRPr="00441B52">
        <w:rPr>
          <w:i/>
        </w:rPr>
        <w:t>Montréal (Ville)</w:t>
      </w:r>
      <w:r w:rsidRPr="00441B52">
        <w:t xml:space="preserve"> </w:t>
      </w:r>
      <w:r w:rsidRPr="00441B52">
        <w:rPr>
          <w:i/>
          <w:iCs/>
        </w:rPr>
        <w:t>c.</w:t>
      </w:r>
      <w:r w:rsidRPr="00441B52">
        <w:t xml:space="preserve"> </w:t>
      </w:r>
      <w:r w:rsidRPr="00441B52">
        <w:rPr>
          <w:i/>
        </w:rPr>
        <w:t>2952-1366 Québec Inc.</w:t>
      </w:r>
      <w:r w:rsidRPr="00441B52">
        <w:t>, 2005 CSC 62 [</w:t>
      </w:r>
      <w:r w:rsidRPr="00441B52">
        <w:rPr>
          <w:i/>
          <w:iCs/>
        </w:rPr>
        <w:t>Ville de Montréal</w:t>
      </w:r>
      <w:r w:rsidRPr="00441B52">
        <w:t xml:space="preserve">], paragr. </w:t>
      </w:r>
      <w:r w:rsidRPr="00441B52">
        <w:rPr>
          <w:lang w:val="en-CA"/>
        </w:rPr>
        <w:t>60.</w:t>
      </w:r>
    </w:p>
  </w:footnote>
  <w:footnote w:id="30">
    <w:p w14:paraId="4FE05D68"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lang w:val="en-CA"/>
        </w:rPr>
        <w:t>Irwin Toy</w:t>
      </w:r>
      <w:r w:rsidRPr="00441B52">
        <w:rPr>
          <w:lang w:val="en-CA"/>
        </w:rPr>
        <w:t>, p. 976.</w:t>
      </w:r>
    </w:p>
  </w:footnote>
  <w:footnote w:id="31">
    <w:p w14:paraId="6D6C3206" w14:textId="7FC4B7B3"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00007ACA" w:rsidRPr="00441B52">
        <w:rPr>
          <w:i/>
          <w:iCs/>
          <w:lang w:val="en-CA"/>
        </w:rPr>
        <w:t>Id.</w:t>
      </w:r>
      <w:r w:rsidRPr="00441B52">
        <w:rPr>
          <w:lang w:val="en-CA"/>
        </w:rPr>
        <w:t>, p. 969-970.</w:t>
      </w:r>
    </w:p>
  </w:footnote>
  <w:footnote w:id="32">
    <w:p w14:paraId="6AC808D0" w14:textId="08D1F239"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00007ACA" w:rsidRPr="00441B52">
        <w:rPr>
          <w:i/>
          <w:iCs/>
          <w:lang w:val="en-CA"/>
        </w:rPr>
        <w:t>Id.</w:t>
      </w:r>
      <w:r w:rsidRPr="00441B52">
        <w:rPr>
          <w:lang w:val="en-CA"/>
        </w:rPr>
        <w:t>, p. 969.</w:t>
      </w:r>
    </w:p>
  </w:footnote>
  <w:footnote w:id="33">
    <w:p w14:paraId="1706FE7D"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Butler</w:t>
      </w:r>
      <w:r w:rsidRPr="00441B52">
        <w:rPr>
          <w:lang w:val="en-CA"/>
        </w:rPr>
        <w:t>, p. 489-490.</w:t>
      </w:r>
    </w:p>
  </w:footnote>
  <w:footnote w:id="34">
    <w:p w14:paraId="025DBCAF" w14:textId="77777777" w:rsidR="00E524EA" w:rsidRPr="00441B52" w:rsidRDefault="00E524EA" w:rsidP="00E524EA">
      <w:pPr>
        <w:pStyle w:val="Notedebasdepage"/>
      </w:pPr>
      <w:r w:rsidRPr="00441B52">
        <w:rPr>
          <w:rStyle w:val="Appelnotedebasdep"/>
        </w:rPr>
        <w:footnoteRef/>
      </w:r>
      <w:r w:rsidRPr="00441B52">
        <w:rPr>
          <w:lang w:val="en-CA"/>
        </w:rPr>
        <w:t xml:space="preserve"> </w:t>
      </w:r>
      <w:r w:rsidRPr="00441B52">
        <w:rPr>
          <w:lang w:val="en-CA"/>
        </w:rPr>
        <w:tab/>
      </w:r>
      <w:r w:rsidRPr="00441B52">
        <w:rPr>
          <w:i/>
          <w:iCs/>
          <w:lang w:val="en-CA"/>
        </w:rPr>
        <w:t>Irwin Toy</w:t>
      </w:r>
      <w:r w:rsidRPr="00441B52">
        <w:rPr>
          <w:lang w:val="en-CA"/>
        </w:rPr>
        <w:t xml:space="preserve">, p. 970. </w:t>
      </w:r>
      <w:r w:rsidRPr="00441B52">
        <w:rPr>
          <w:i/>
          <w:iCs/>
        </w:rPr>
        <w:t>Ville de Montréal</w:t>
      </w:r>
      <w:r w:rsidRPr="00441B52">
        <w:t xml:space="preserve">, paragr. 72. </w:t>
      </w:r>
    </w:p>
  </w:footnote>
  <w:footnote w:id="35">
    <w:p w14:paraId="611C2CA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SRC</w:t>
      </w:r>
      <w:r w:rsidRPr="00441B52">
        <w:t xml:space="preserve">, paragr. 37; </w:t>
      </w:r>
      <w:r w:rsidRPr="00441B52">
        <w:rPr>
          <w:i/>
          <w:iCs/>
        </w:rPr>
        <w:t>Ville de Montréal</w:t>
      </w:r>
      <w:r w:rsidRPr="00441B52">
        <w:t>, paragr. 74.</w:t>
      </w:r>
    </w:p>
  </w:footnote>
  <w:footnote w:id="36">
    <w:p w14:paraId="10EB2EBD" w14:textId="77777777" w:rsidR="00E524EA" w:rsidRPr="002D06A6" w:rsidRDefault="00E524EA" w:rsidP="00E524EA">
      <w:pPr>
        <w:pStyle w:val="Notedebasdepage"/>
      </w:pPr>
      <w:r w:rsidRPr="00441B52">
        <w:rPr>
          <w:rStyle w:val="Appelnotedebasdep"/>
        </w:rPr>
        <w:footnoteRef/>
      </w:r>
      <w:r w:rsidRPr="002D06A6">
        <w:t xml:space="preserve"> </w:t>
      </w:r>
      <w:r w:rsidRPr="002D06A6">
        <w:tab/>
      </w:r>
      <w:r w:rsidRPr="002D06A6">
        <w:rPr>
          <w:i/>
          <w:iCs/>
        </w:rPr>
        <w:t>Irwin Toy</w:t>
      </w:r>
      <w:r w:rsidRPr="002D06A6">
        <w:t>, p. 972.</w:t>
      </w:r>
    </w:p>
  </w:footnote>
  <w:footnote w:id="37">
    <w:p w14:paraId="296CC820" w14:textId="5DC43919"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00007ACA" w:rsidRPr="00441B52">
        <w:rPr>
          <w:i/>
          <w:iCs/>
          <w:lang w:val="en-CA"/>
        </w:rPr>
        <w:t>Id.</w:t>
      </w:r>
      <w:r w:rsidRPr="00441B52">
        <w:rPr>
          <w:lang w:val="en-CA"/>
        </w:rPr>
        <w:t>, p. 977.</w:t>
      </w:r>
    </w:p>
  </w:footnote>
  <w:footnote w:id="38">
    <w:p w14:paraId="4D4647B2"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Ford</w:t>
      </w:r>
      <w:r w:rsidRPr="00441B52">
        <w:rPr>
          <w:lang w:val="en-CA"/>
        </w:rPr>
        <w:t>, p. 748.</w:t>
      </w:r>
    </w:p>
  </w:footnote>
  <w:footnote w:id="39">
    <w:p w14:paraId="1C3949DD" w14:textId="73C1E334"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00007ACA" w:rsidRPr="00441B52">
        <w:rPr>
          <w:i/>
          <w:iCs/>
          <w:lang w:val="en-CA"/>
        </w:rPr>
        <w:t>Ibid.</w:t>
      </w:r>
    </w:p>
  </w:footnote>
  <w:footnote w:id="40">
    <w:p w14:paraId="5CD360BA" w14:textId="2E623C62" w:rsidR="00E524EA" w:rsidRPr="002D06A6" w:rsidRDefault="00E524EA" w:rsidP="00E524EA">
      <w:pPr>
        <w:pStyle w:val="Notedebasdepage"/>
      </w:pPr>
      <w:r w:rsidRPr="00441B52">
        <w:rPr>
          <w:rStyle w:val="Appelnotedebasdep"/>
        </w:rPr>
        <w:footnoteRef/>
      </w:r>
      <w:r w:rsidRPr="002D06A6">
        <w:t xml:space="preserve"> </w:t>
      </w:r>
      <w:r w:rsidRPr="002D06A6">
        <w:tab/>
      </w:r>
      <w:r w:rsidR="00007ACA" w:rsidRPr="002D06A6">
        <w:rPr>
          <w:i/>
          <w:iCs/>
        </w:rPr>
        <w:t>Ibid.</w:t>
      </w:r>
    </w:p>
  </w:footnote>
  <w:footnote w:id="41">
    <w:p w14:paraId="34329750" w14:textId="77777777" w:rsidR="00E524EA" w:rsidRPr="00441B52" w:rsidRDefault="00E524EA" w:rsidP="00E524EA">
      <w:pPr>
        <w:pStyle w:val="Notedebasdepage"/>
      </w:pPr>
      <w:r w:rsidRPr="00441B52">
        <w:rPr>
          <w:rStyle w:val="Appelnotedebasdep"/>
        </w:rPr>
        <w:footnoteRef/>
      </w:r>
      <w:r w:rsidRPr="002D06A6">
        <w:t xml:space="preserve"> </w:t>
      </w:r>
      <w:r w:rsidRPr="002D06A6">
        <w:tab/>
      </w:r>
      <w:r w:rsidRPr="002D06A6">
        <w:rPr>
          <w:i/>
          <w:iCs/>
        </w:rPr>
        <w:t>SRC</w:t>
      </w:r>
      <w:r w:rsidRPr="002D06A6">
        <w:t xml:space="preserve">, paragr. </w:t>
      </w:r>
      <w:r w:rsidRPr="00441B52">
        <w:t>52.</w:t>
      </w:r>
    </w:p>
  </w:footnote>
  <w:footnote w:id="42">
    <w:p w14:paraId="13E3A671"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Jugement entrepris, paragr. 43. </w:t>
      </w:r>
    </w:p>
  </w:footnote>
  <w:footnote w:id="43">
    <w:p w14:paraId="1F74F061" w14:textId="59D53FC3" w:rsidR="00E524EA" w:rsidRPr="00441B52" w:rsidRDefault="00E524EA" w:rsidP="00E524EA">
      <w:pPr>
        <w:pStyle w:val="Notedebasdepage"/>
      </w:pPr>
      <w:r w:rsidRPr="00441B52">
        <w:rPr>
          <w:rStyle w:val="Appelnotedebasdep"/>
        </w:rPr>
        <w:footnoteRef/>
      </w:r>
      <w:r w:rsidRPr="00441B52">
        <w:t xml:space="preserve"> </w:t>
      </w:r>
      <w:r w:rsidRPr="00441B52">
        <w:tab/>
      </w:r>
      <w:r w:rsidR="00007ACA" w:rsidRPr="00441B52">
        <w:rPr>
          <w:i/>
          <w:iCs/>
        </w:rPr>
        <w:t>Id.</w:t>
      </w:r>
      <w:r w:rsidRPr="00441B52">
        <w:t xml:space="preserve">, paragr. 44. </w:t>
      </w:r>
    </w:p>
  </w:footnote>
  <w:footnote w:id="44">
    <w:p w14:paraId="64367CF9"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w:t>
      </w:r>
    </w:p>
  </w:footnote>
  <w:footnote w:id="45">
    <w:p w14:paraId="19653E17"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Yellowknife (City) v. Denny</w:t>
      </w:r>
      <w:r w:rsidRPr="00441B52">
        <w:t xml:space="preserve">, 2004 NWTTC 2, paragr. 65. </w:t>
      </w:r>
    </w:p>
  </w:footnote>
  <w:footnote w:id="46">
    <w:p w14:paraId="5C0BC5D4"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La liste inclut toute sorte de pièces de diverses époques, en passant par </w:t>
      </w:r>
      <w:r w:rsidRPr="00441B52">
        <w:rPr>
          <w:i/>
          <w:iCs/>
        </w:rPr>
        <w:t>Cyrano de Bergerac</w:t>
      </w:r>
      <w:r w:rsidRPr="00441B52">
        <w:t xml:space="preserve"> d’Edmond Rostand, </w:t>
      </w:r>
      <w:r w:rsidRPr="00441B52">
        <w:rPr>
          <w:i/>
          <w:iCs/>
        </w:rPr>
        <w:t>Les trois Sœurs</w:t>
      </w:r>
      <w:r w:rsidRPr="00441B52">
        <w:t xml:space="preserve"> de Anton Chekov, </w:t>
      </w:r>
      <w:r w:rsidRPr="00441B52">
        <w:rPr>
          <w:i/>
          <w:iCs/>
        </w:rPr>
        <w:t>Un Simple Soldat</w:t>
      </w:r>
      <w:r w:rsidRPr="00441B52">
        <w:t xml:space="preserve"> de Marcel Dubé et </w:t>
      </w:r>
      <w:r w:rsidRPr="00441B52">
        <w:rPr>
          <w:i/>
          <w:iCs/>
        </w:rPr>
        <w:t>887</w:t>
      </w:r>
      <w:r w:rsidRPr="00441B52">
        <w:t xml:space="preserve"> de Robert Lepage. Je note que les trois pièces en cause dans le dossier ne sont pas mentionnées, bien que les didascalies de deux d’entre elles, </w:t>
      </w:r>
      <w:r w:rsidRPr="00441B52">
        <w:rPr>
          <w:i/>
          <w:iCs/>
        </w:rPr>
        <w:t>Le cas Joé Ferguson</w:t>
      </w:r>
      <w:r w:rsidRPr="00441B52">
        <w:t xml:space="preserve"> et </w:t>
      </w:r>
      <w:r w:rsidRPr="00441B52">
        <w:rPr>
          <w:i/>
          <w:iCs/>
        </w:rPr>
        <w:t>Rotterdam</w:t>
      </w:r>
      <w:r w:rsidRPr="00441B52">
        <w:t xml:space="preserve">, mentionnent explicitement qu’un ou des personnages fument. </w:t>
      </w:r>
    </w:p>
  </w:footnote>
  <w:footnote w:id="47">
    <w:p w14:paraId="4AB14F2D"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Texte de la pièce de théâtre Rotterdam, p. 55. </w:t>
      </w:r>
    </w:p>
  </w:footnote>
  <w:footnote w:id="48">
    <w:p w14:paraId="0F37402D"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Les deux paquets de fausses cigarettes déposés en preuve, lesquelles ne peuvent être allumées, n’ont pas d’embout qui devient plus rouge lorsque portée à la bouche et ne produisent aucune fumée. Plusieurs témoins expliquent que les fausses cigarettes ne réussissent pas à créer une illusion crédible. Seul David Strasbourg témoigne de l’existence de fausses cigarettes pouvant produire de la fumée lorsque l’on souffle dedans, et non à l’inhalation. Ces fausses cigarettes n’ont pas été déposées en preuve et monsieur Strasbourg affirme qu’elles ne sont pas crédibles. </w:t>
      </w:r>
    </w:p>
  </w:footnote>
  <w:footnote w:id="49">
    <w:p w14:paraId="55A5B51F"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Interrogatoire en chef de David Strasbourg du 21 juin 2021, p. 93. </w:t>
      </w:r>
    </w:p>
  </w:footnote>
  <w:footnote w:id="50">
    <w:p w14:paraId="512237A2"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Contre-interrogatoire d’Édith Patneaude, du 18 juin 2021, p. 171. </w:t>
      </w:r>
    </w:p>
  </w:footnote>
  <w:footnote w:id="51">
    <w:p w14:paraId="28BD25BC" w14:textId="77777777" w:rsidR="00E524EA" w:rsidRPr="00441B52" w:rsidRDefault="00E524EA" w:rsidP="00E524EA">
      <w:pPr>
        <w:pStyle w:val="Notedebasdepage"/>
      </w:pPr>
      <w:r w:rsidRPr="00441B52">
        <w:rPr>
          <w:rStyle w:val="Appelnotedebasdep"/>
        </w:rPr>
        <w:footnoteRef/>
      </w:r>
      <w:r w:rsidRPr="00441B52">
        <w:t xml:space="preserve"> </w:t>
      </w:r>
      <w:r w:rsidRPr="00441B52">
        <w:tab/>
        <w:t>À ce sujet, il suffit de rappeler la controverse de la fin des années ’70 entourant la pièce intitulée « </w:t>
      </w:r>
      <w:r w:rsidRPr="00441B52">
        <w:rPr>
          <w:i/>
          <w:iCs/>
        </w:rPr>
        <w:t>Les fées ont soif</w:t>
      </w:r>
      <w:r w:rsidRPr="00441B52">
        <w:t xml:space="preserve"> », voir : </w:t>
      </w:r>
      <w:r w:rsidRPr="00441B52">
        <w:rPr>
          <w:i/>
        </w:rPr>
        <w:t>Jeunes Canadiens pour une civilisation chrétienne</w:t>
      </w:r>
      <w:r w:rsidRPr="00441B52">
        <w:t xml:space="preserve"> </w:t>
      </w:r>
      <w:r w:rsidRPr="00441B52">
        <w:rPr>
          <w:i/>
          <w:iCs/>
        </w:rPr>
        <w:t>c.</w:t>
      </w:r>
      <w:r w:rsidRPr="00441B52">
        <w:t xml:space="preserve"> </w:t>
      </w:r>
      <w:r w:rsidRPr="00441B52">
        <w:rPr>
          <w:i/>
        </w:rPr>
        <w:t>Fondation du théâtre du Nouveau-Monde</w:t>
      </w:r>
      <w:r w:rsidRPr="00441B52">
        <w:t xml:space="preserve">, [1979] C.A. 491, demande d’autorisation d’appel à la Cour suprême rejetée, 7 février 1980. </w:t>
      </w:r>
    </w:p>
  </w:footnote>
  <w:footnote w:id="52">
    <w:p w14:paraId="7B5D55A4" w14:textId="77777777" w:rsidR="00E524EA" w:rsidRPr="00441B52" w:rsidRDefault="00E524EA" w:rsidP="00E524EA">
      <w:pPr>
        <w:pStyle w:val="Notedebasdepage"/>
        <w:tabs>
          <w:tab w:val="left" w:pos="426"/>
        </w:tabs>
        <w:ind w:left="0" w:firstLine="0"/>
      </w:pPr>
      <w:r w:rsidRPr="00441B52">
        <w:rPr>
          <w:rStyle w:val="Appelnotedebasdep"/>
        </w:rPr>
        <w:footnoteRef/>
      </w:r>
      <w:r w:rsidRPr="00441B52">
        <w:t xml:space="preserve"> </w:t>
      </w:r>
      <w:r w:rsidRPr="00441B52">
        <w:tab/>
        <w:t xml:space="preserve">Voir par analogie : </w:t>
      </w:r>
      <w:r w:rsidRPr="00441B52">
        <w:rPr>
          <w:i/>
        </w:rPr>
        <w:t>R.</w:t>
      </w:r>
      <w:r w:rsidRPr="00441B52">
        <w:t xml:space="preserve"> c. </w:t>
      </w:r>
      <w:r w:rsidRPr="00441B52">
        <w:rPr>
          <w:i/>
        </w:rPr>
        <w:t>K.R.J.</w:t>
      </w:r>
      <w:r w:rsidRPr="00441B52">
        <w:t>, 2016 CSC 31 [</w:t>
      </w:r>
      <w:r w:rsidRPr="00441B52">
        <w:rPr>
          <w:i/>
          <w:iCs/>
        </w:rPr>
        <w:t>K.R.J</w:t>
      </w:r>
      <w:r w:rsidRPr="00441B52">
        <w:t>.], paragr. 59.</w:t>
      </w:r>
    </w:p>
  </w:footnote>
  <w:footnote w:id="53">
    <w:p w14:paraId="581080DF" w14:textId="1FE85C93" w:rsidR="00007ACA" w:rsidRPr="00441B52" w:rsidRDefault="00007ACA">
      <w:pPr>
        <w:pStyle w:val="Notedebasdepage"/>
      </w:pPr>
      <w:r w:rsidRPr="00441B52">
        <w:rPr>
          <w:rStyle w:val="Appelnotedebasdep"/>
        </w:rPr>
        <w:footnoteRef/>
      </w:r>
      <w:r w:rsidRPr="00441B52">
        <w:t xml:space="preserve"> </w:t>
      </w:r>
      <w:r w:rsidRPr="00441B52">
        <w:tab/>
        <w:t xml:space="preserve">Je reproduis la version présentement en vigueur de l’article 9.1 de la </w:t>
      </w:r>
      <w:r w:rsidRPr="00441B52">
        <w:rPr>
          <w:i/>
          <w:iCs/>
        </w:rPr>
        <w:t>Charte québécoise</w:t>
      </w:r>
      <w:r w:rsidRPr="00441B52">
        <w:t>, à laquelle le législateur a apporté des modifications en 2019 et 2022, lesquelles n’ont pas d’i</w:t>
      </w:r>
      <w:r w:rsidR="009F7248" w:rsidRPr="00441B52">
        <w:t xml:space="preserve">ncidence </w:t>
      </w:r>
      <w:r w:rsidRPr="00441B52">
        <w:t>en l’instance.</w:t>
      </w:r>
    </w:p>
  </w:footnote>
  <w:footnote w:id="54">
    <w:p w14:paraId="3856094E"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Ce facteur n’est pas problématique en l’espèce puisque les mesures contestées découlent de dispositions législatives. </w:t>
      </w:r>
    </w:p>
  </w:footnote>
  <w:footnote w:id="55">
    <w:p w14:paraId="57AFBC84" w14:textId="77777777" w:rsidR="00E524EA" w:rsidRPr="00441B52" w:rsidRDefault="00E524EA" w:rsidP="00E524EA">
      <w:pPr>
        <w:pStyle w:val="Notedebasdepage"/>
      </w:pPr>
      <w:r w:rsidRPr="00441B52">
        <w:rPr>
          <w:rStyle w:val="Appelnotedebasdep"/>
        </w:rPr>
        <w:footnoteRef/>
      </w:r>
      <w:r w:rsidRPr="00441B52">
        <w:rPr>
          <w:lang w:val="en-CA"/>
        </w:rPr>
        <w:t xml:space="preserve"> </w:t>
      </w:r>
      <w:r w:rsidRPr="00441B52">
        <w:rPr>
          <w:lang w:val="en-CA"/>
        </w:rPr>
        <w:tab/>
      </w:r>
      <w:r w:rsidRPr="00441B52">
        <w:rPr>
          <w:i/>
          <w:iCs/>
          <w:lang w:val="en-CA"/>
        </w:rPr>
        <w:t>Irwin Toy</w:t>
      </w:r>
      <w:r w:rsidRPr="00441B52">
        <w:rPr>
          <w:lang w:val="en-CA"/>
        </w:rPr>
        <w:t xml:space="preserve">, p. 980; </w:t>
      </w:r>
      <w:r w:rsidRPr="00441B52">
        <w:rPr>
          <w:i/>
          <w:iCs/>
          <w:lang w:val="en-CA"/>
        </w:rPr>
        <w:t>Ford</w:t>
      </w:r>
      <w:r w:rsidRPr="00441B52">
        <w:rPr>
          <w:lang w:val="en-CA"/>
        </w:rPr>
        <w:t xml:space="preserve">, p. 769-770. </w:t>
      </w:r>
      <w:r w:rsidRPr="00441B52">
        <w:t xml:space="preserve">Voir également : </w:t>
      </w:r>
      <w:r w:rsidRPr="00441B52">
        <w:rPr>
          <w:i/>
          <w:iCs/>
        </w:rPr>
        <w:t>Gallant</w:t>
      </w:r>
      <w:r w:rsidRPr="00441B52">
        <w:t>, paragr. 181.</w:t>
      </w:r>
    </w:p>
  </w:footnote>
  <w:footnote w:id="56">
    <w:p w14:paraId="0BE0033A"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t xml:space="preserve">Voir notamment : </w:t>
      </w:r>
      <w:r w:rsidRPr="00441B52">
        <w:rPr>
          <w:i/>
          <w:iCs/>
        </w:rPr>
        <w:t>Ontario (Procureur général) c. G</w:t>
      </w:r>
      <w:r w:rsidRPr="00441B52">
        <w:t>., 2020 CSC 38 [</w:t>
      </w:r>
      <w:r w:rsidRPr="00441B52">
        <w:rPr>
          <w:i/>
          <w:iCs/>
        </w:rPr>
        <w:t>G</w:t>
      </w:r>
      <w:r w:rsidRPr="00441B52">
        <w:t xml:space="preserve">.], paragr. 71; </w:t>
      </w:r>
      <w:r w:rsidRPr="00441B52">
        <w:rPr>
          <w:i/>
          <w:iCs/>
        </w:rPr>
        <w:t>Frank c. Canada (Procureur général)</w:t>
      </w:r>
      <w:r w:rsidRPr="00441B52">
        <w:t>, 2019 CSC 1 [</w:t>
      </w:r>
      <w:r w:rsidRPr="00441B52">
        <w:rPr>
          <w:i/>
          <w:iCs/>
        </w:rPr>
        <w:t>Frank</w:t>
      </w:r>
      <w:r w:rsidRPr="00441B52">
        <w:t>], paragr. 39;</w:t>
      </w:r>
      <w:r w:rsidRPr="00441B52">
        <w:rPr>
          <w:color w:val="000000"/>
          <w:sz w:val="24"/>
        </w:rPr>
        <w:t xml:space="preserve"> </w:t>
      </w:r>
      <w:r w:rsidRPr="00441B52">
        <w:rPr>
          <w:i/>
          <w:iCs/>
        </w:rPr>
        <w:t>RJR</w:t>
      </w:r>
      <w:r w:rsidRPr="00441B52">
        <w:rPr>
          <w:rFonts w:ascii="Cambria Math" w:hAnsi="Cambria Math" w:cs="Cambria Math"/>
          <w:i/>
          <w:iCs/>
        </w:rPr>
        <w:t>‐</w:t>
      </w:r>
      <w:r w:rsidRPr="00441B52">
        <w:rPr>
          <w:i/>
          <w:iCs/>
        </w:rPr>
        <w:t>MacDonald Inc. c. Canada (Procureur g</w:t>
      </w:r>
      <w:r w:rsidRPr="00441B52">
        <w:rPr>
          <w:rFonts w:cs="Arial"/>
          <w:i/>
          <w:iCs/>
        </w:rPr>
        <w:t>é</w:t>
      </w:r>
      <w:r w:rsidRPr="00441B52">
        <w:rPr>
          <w:i/>
          <w:iCs/>
        </w:rPr>
        <w:t>n</w:t>
      </w:r>
      <w:r w:rsidRPr="00441B52">
        <w:rPr>
          <w:rFonts w:cs="Arial"/>
          <w:i/>
          <w:iCs/>
        </w:rPr>
        <w:t>é</w:t>
      </w:r>
      <w:r w:rsidRPr="00441B52">
        <w:rPr>
          <w:i/>
          <w:iCs/>
        </w:rPr>
        <w:t>ral)</w:t>
      </w:r>
      <w:r w:rsidRPr="00441B52">
        <w:t>, [1995] 3 R.C.S. 199, paragr. </w:t>
      </w:r>
      <w:r w:rsidRPr="00441B52">
        <w:rPr>
          <w:lang w:val="en-CA"/>
        </w:rPr>
        <w:t>137</w:t>
      </w:r>
      <w:r w:rsidRPr="00441B52">
        <w:rPr>
          <w:rFonts w:ascii="Cambria Math" w:hAnsi="Cambria Math" w:cs="Cambria Math"/>
          <w:lang w:val="en-CA"/>
        </w:rPr>
        <w:t>‐</w:t>
      </w:r>
      <w:r w:rsidRPr="00441B52">
        <w:rPr>
          <w:lang w:val="en-CA"/>
        </w:rPr>
        <w:t>138 [</w:t>
      </w:r>
      <w:r w:rsidRPr="00441B52">
        <w:rPr>
          <w:i/>
          <w:iCs/>
          <w:lang w:val="en-CA"/>
        </w:rPr>
        <w:t>RJR</w:t>
      </w:r>
      <w:r w:rsidRPr="00441B52">
        <w:rPr>
          <w:lang w:val="en-CA"/>
        </w:rPr>
        <w:t xml:space="preserve">]; </w:t>
      </w:r>
      <w:r w:rsidRPr="00441B52">
        <w:rPr>
          <w:i/>
          <w:lang w:val="en-CA"/>
        </w:rPr>
        <w:t>R. c. Oakes</w:t>
      </w:r>
      <w:r w:rsidRPr="00441B52">
        <w:rPr>
          <w:lang w:val="en-CA"/>
        </w:rPr>
        <w:t>, [1986] 1 R.C.S. 103 [</w:t>
      </w:r>
      <w:r w:rsidRPr="00441B52">
        <w:rPr>
          <w:i/>
          <w:iCs/>
          <w:lang w:val="en-CA"/>
        </w:rPr>
        <w:t>Oakes</w:t>
      </w:r>
      <w:r w:rsidRPr="00441B52">
        <w:rPr>
          <w:lang w:val="en-CA"/>
        </w:rPr>
        <w:t>], p. 137.</w:t>
      </w:r>
    </w:p>
  </w:footnote>
  <w:footnote w:id="57">
    <w:p w14:paraId="2BE8716F" w14:textId="77777777" w:rsidR="00E524EA" w:rsidRPr="002D06A6" w:rsidRDefault="00E524EA" w:rsidP="00E524EA">
      <w:pPr>
        <w:pStyle w:val="Notedebasdepage"/>
        <w:rPr>
          <w:lang w:val="en-CA"/>
        </w:rPr>
      </w:pPr>
      <w:r w:rsidRPr="00441B52">
        <w:rPr>
          <w:rStyle w:val="Appelnotedebasdep"/>
        </w:rPr>
        <w:footnoteRef/>
      </w:r>
      <w:r w:rsidRPr="002D06A6">
        <w:rPr>
          <w:lang w:val="en-CA"/>
        </w:rPr>
        <w:t xml:space="preserve"> </w:t>
      </w:r>
      <w:r w:rsidRPr="002D06A6">
        <w:rPr>
          <w:lang w:val="en-CA"/>
        </w:rPr>
        <w:tab/>
      </w:r>
      <w:r w:rsidRPr="002D06A6">
        <w:rPr>
          <w:i/>
          <w:iCs/>
          <w:lang w:val="en-CA"/>
        </w:rPr>
        <w:t>Oakes</w:t>
      </w:r>
      <w:r w:rsidRPr="002D06A6">
        <w:rPr>
          <w:lang w:val="en-CA"/>
        </w:rPr>
        <w:t xml:space="preserve">, p. 138-139. </w:t>
      </w:r>
    </w:p>
  </w:footnote>
  <w:footnote w:id="58">
    <w:p w14:paraId="0F546CFE" w14:textId="77777777" w:rsidR="00E524EA" w:rsidRPr="00441B52" w:rsidRDefault="00E524EA" w:rsidP="00E524EA">
      <w:pPr>
        <w:pStyle w:val="Notedebasdepage"/>
      </w:pPr>
      <w:r w:rsidRPr="00441B52">
        <w:rPr>
          <w:rStyle w:val="Appelnotedebasdep"/>
        </w:rPr>
        <w:footnoteRef/>
      </w:r>
      <w:r w:rsidRPr="00441B52">
        <w:t xml:space="preserve"> </w:t>
      </w:r>
      <w:r w:rsidRPr="00441B52">
        <w:tab/>
        <w:t>Voir par exemple :</w:t>
      </w:r>
      <w:r w:rsidRPr="00441B52">
        <w:rPr>
          <w:i/>
        </w:rPr>
        <w:t xml:space="preserve"> Ontario (Procureur général)</w:t>
      </w:r>
      <w:r w:rsidRPr="00441B52">
        <w:t xml:space="preserve"> </w:t>
      </w:r>
      <w:r w:rsidRPr="00441B52">
        <w:rPr>
          <w:i/>
          <w:iCs/>
        </w:rPr>
        <w:t>c.</w:t>
      </w:r>
      <w:r w:rsidRPr="00441B52">
        <w:t xml:space="preserve"> </w:t>
      </w:r>
      <w:r w:rsidRPr="00441B52">
        <w:rPr>
          <w:i/>
        </w:rPr>
        <w:t>Working Families Coalition (Canada) Inc.</w:t>
      </w:r>
      <w:r w:rsidRPr="00441B52">
        <w:t xml:space="preserve">, 2025 CSC 5, paragr. 60; </w:t>
      </w:r>
      <w:r w:rsidRPr="00441B52">
        <w:rPr>
          <w:i/>
          <w:iCs/>
        </w:rPr>
        <w:t>G.</w:t>
      </w:r>
      <w:r w:rsidRPr="00441B52">
        <w:t xml:space="preserve">, paragr. 71; </w:t>
      </w:r>
      <w:r w:rsidRPr="00441B52">
        <w:rPr>
          <w:i/>
          <w:iCs/>
        </w:rPr>
        <w:t>Frank</w:t>
      </w:r>
      <w:r w:rsidRPr="00441B52">
        <w:t xml:space="preserve">, paragr. 38-40; </w:t>
      </w:r>
      <w:r w:rsidRPr="00441B52">
        <w:rPr>
          <w:i/>
          <w:iCs/>
        </w:rPr>
        <w:t>K.R.J.</w:t>
      </w:r>
      <w:r w:rsidRPr="00441B52">
        <w:t xml:space="preserve">, paragr. 58; </w:t>
      </w:r>
      <w:r w:rsidRPr="00441B52">
        <w:rPr>
          <w:i/>
          <w:iCs/>
        </w:rPr>
        <w:t>RJR</w:t>
      </w:r>
      <w:r w:rsidRPr="00441B52">
        <w:t xml:space="preserve">, p. 268 et 329-330. </w:t>
      </w:r>
    </w:p>
  </w:footnote>
  <w:footnote w:id="59">
    <w:p w14:paraId="34E6128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Oakes</w:t>
      </w:r>
      <w:r w:rsidRPr="00441B52">
        <w:t>, p. 138-140.</w:t>
      </w:r>
    </w:p>
  </w:footnote>
  <w:footnote w:id="60">
    <w:p w14:paraId="7962B9F5"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Frank</w:t>
      </w:r>
      <w:r w:rsidRPr="00441B52">
        <w:t xml:space="preserve">, paragr. 38, renvoyant notamment à </w:t>
      </w:r>
      <w:r w:rsidRPr="00441B52">
        <w:rPr>
          <w:i/>
          <w:iCs/>
        </w:rPr>
        <w:t>Oakes</w:t>
      </w:r>
      <w:r w:rsidRPr="00441B52">
        <w:t xml:space="preserve">, p. 139. Voir également : </w:t>
      </w:r>
      <w:r w:rsidRPr="00441B52">
        <w:rPr>
          <w:i/>
        </w:rPr>
        <w:t>Québec (Procureure générale)</w:t>
      </w:r>
      <w:r w:rsidRPr="00441B52">
        <w:t xml:space="preserve"> </w:t>
      </w:r>
      <w:r w:rsidRPr="00441B52">
        <w:rPr>
          <w:i/>
          <w:iCs/>
        </w:rPr>
        <w:t>c.</w:t>
      </w:r>
      <w:r w:rsidRPr="00441B52">
        <w:t xml:space="preserve"> </w:t>
      </w:r>
      <w:r w:rsidRPr="00441B52">
        <w:rPr>
          <w:i/>
        </w:rPr>
        <w:t>Alliance du personnel professionnel et technique de la santé et des services sociaux</w:t>
      </w:r>
      <w:r w:rsidRPr="00441B52">
        <w:t xml:space="preserve">, 2018 CSC 17, paragr. 45; </w:t>
      </w:r>
      <w:r w:rsidRPr="00441B52">
        <w:rPr>
          <w:i/>
          <w:iCs/>
        </w:rPr>
        <w:t>K.R.J.</w:t>
      </w:r>
      <w:r w:rsidRPr="00441B52">
        <w:t xml:space="preserve">, paragr. 62; </w:t>
      </w:r>
      <w:r w:rsidRPr="00441B52">
        <w:rPr>
          <w:i/>
          <w:iCs/>
        </w:rPr>
        <w:t>RJR</w:t>
      </w:r>
      <w:r w:rsidRPr="00441B52">
        <w:t xml:space="preserve">, paragr. 144.  </w:t>
      </w:r>
    </w:p>
  </w:footnote>
  <w:footnote w:id="61">
    <w:p w14:paraId="5B84ED2E" w14:textId="4988FF0F"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R. c. Lucas</w:t>
      </w:r>
      <w:r w:rsidRPr="00441B52">
        <w:t xml:space="preserve">, [1998] 1 R.C.S. 439, paragr. 33-34. Quant à la protection accordée selon la nature de l’expression, voir : </w:t>
      </w:r>
      <w:r w:rsidRPr="00441B52">
        <w:rPr>
          <w:i/>
          <w:iCs/>
        </w:rPr>
        <w:t>Harper c. Canada (Procureur général)</w:t>
      </w:r>
      <w:r w:rsidRPr="00441B52">
        <w:t xml:space="preserve">, 2004 CSC 33, paragr. 10; Thomson Newspapers Co. </w:t>
      </w:r>
      <w:r w:rsidRPr="00441B52">
        <w:rPr>
          <w:i/>
          <w:iCs/>
        </w:rPr>
        <w:t>c.</w:t>
      </w:r>
      <w:r w:rsidRPr="00441B52">
        <w:t xml:space="preserve"> </w:t>
      </w:r>
      <w:bookmarkStart w:id="34" w:name="QuickMark"/>
      <w:bookmarkEnd w:id="34"/>
      <w:r w:rsidRPr="00441B52">
        <w:t>Canada (Procureur général), [1998] 1 R.C.S. 877 [</w:t>
      </w:r>
      <w:r w:rsidRPr="00441B52">
        <w:rPr>
          <w:i/>
          <w:iCs/>
        </w:rPr>
        <w:t>Thomson Newspapers</w:t>
      </w:r>
      <w:r w:rsidRPr="00441B52">
        <w:t xml:space="preserve">], paragr. 91; </w:t>
      </w:r>
      <w:r w:rsidRPr="00441B52">
        <w:rPr>
          <w:i/>
          <w:iCs/>
        </w:rPr>
        <w:t>Rocket c. Collège royal des chirurgiens dentistes d’Ontario</w:t>
      </w:r>
      <w:r w:rsidRPr="00441B52">
        <w:t xml:space="preserve">, [1990] 2 R.C.S. 232, p. 246-247; </w:t>
      </w:r>
      <w:r w:rsidRPr="00441B52">
        <w:rPr>
          <w:i/>
          <w:iCs/>
        </w:rPr>
        <w:t>Edmonton Journal c. Alberta (Procureur général)</w:t>
      </w:r>
      <w:r w:rsidRPr="00441B52">
        <w:t>, [1989] 2 R.C.S. 1326, p. 1355-1356</w:t>
      </w:r>
      <w:r w:rsidR="00705301">
        <w:t>.</w:t>
      </w:r>
    </w:p>
  </w:footnote>
  <w:footnote w:id="62">
    <w:p w14:paraId="158BDD3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Bérubé c. Ville de Québec</w:t>
      </w:r>
      <w:r w:rsidRPr="00441B52">
        <w:t>, 2019 QCCA 1764.</w:t>
      </w:r>
    </w:p>
  </w:footnote>
  <w:footnote w:id="63">
    <w:p w14:paraId="31B38411"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Ward</w:t>
      </w:r>
      <w:r w:rsidRPr="00441B52">
        <w:rPr>
          <w:lang w:val="en-CA"/>
        </w:rPr>
        <w:t>, paragr. 64.</w:t>
      </w:r>
    </w:p>
  </w:footnote>
  <w:footnote w:id="64">
    <w:p w14:paraId="4EDE5345"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Frank</w:t>
      </w:r>
      <w:r w:rsidRPr="00441B52">
        <w:rPr>
          <w:lang w:val="en-CA"/>
        </w:rPr>
        <w:t xml:space="preserve">, paragr. 46; </w:t>
      </w:r>
      <w:r w:rsidRPr="00441B52">
        <w:rPr>
          <w:i/>
          <w:iCs/>
          <w:lang w:val="en-CA"/>
        </w:rPr>
        <w:t>K.R.J</w:t>
      </w:r>
      <w:r w:rsidRPr="00441B52">
        <w:rPr>
          <w:lang w:val="en-CA"/>
        </w:rPr>
        <w:t xml:space="preserve">., paragr. 62; </w:t>
      </w:r>
      <w:r w:rsidRPr="00441B52">
        <w:rPr>
          <w:i/>
          <w:iCs/>
          <w:lang w:val="en-CA"/>
        </w:rPr>
        <w:t>RJR</w:t>
      </w:r>
      <w:r w:rsidRPr="00441B52">
        <w:rPr>
          <w:lang w:val="en-CA"/>
        </w:rPr>
        <w:t xml:space="preserve">, paragr. 144. </w:t>
      </w:r>
    </w:p>
  </w:footnote>
  <w:footnote w:id="65">
    <w:p w14:paraId="422D68C4" w14:textId="77777777" w:rsidR="00E524EA" w:rsidRPr="00441B52" w:rsidRDefault="00E524EA" w:rsidP="00E524EA">
      <w:pPr>
        <w:pStyle w:val="Notedebasdepage"/>
      </w:pPr>
      <w:r w:rsidRPr="00441B52">
        <w:rPr>
          <w:rStyle w:val="Appelnotedebasdep"/>
        </w:rPr>
        <w:footnoteRef/>
      </w:r>
      <w:r w:rsidRPr="00441B52">
        <w:rPr>
          <w:lang w:val="en-CA"/>
        </w:rPr>
        <w:t xml:space="preserve"> </w:t>
      </w:r>
      <w:r w:rsidRPr="00441B52">
        <w:rPr>
          <w:lang w:val="en-CA"/>
        </w:rPr>
        <w:tab/>
      </w:r>
      <w:r w:rsidRPr="00441B52">
        <w:rPr>
          <w:i/>
          <w:iCs/>
          <w:lang w:val="en-CA"/>
        </w:rPr>
        <w:t>Toronto Star Newspapers Ltd. c. Canada</w:t>
      </w:r>
      <w:r w:rsidRPr="00441B52">
        <w:rPr>
          <w:lang w:val="en-CA"/>
        </w:rPr>
        <w:t xml:space="preserve">, 2010 CSC 21, paragr. </w:t>
      </w:r>
      <w:r w:rsidRPr="00441B52">
        <w:t>20.</w:t>
      </w:r>
    </w:p>
  </w:footnote>
  <w:footnote w:id="66">
    <w:p w14:paraId="6318F3DA"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r>
      <w:r w:rsidRPr="00441B52">
        <w:rPr>
          <w:i/>
          <w:iCs/>
        </w:rPr>
        <w:t>Frank</w:t>
      </w:r>
      <w:r w:rsidRPr="00441B52">
        <w:t xml:space="preserve">, paragr. 46 [renvois omis]. Voir également : </w:t>
      </w:r>
      <w:r w:rsidRPr="00441B52">
        <w:rPr>
          <w:i/>
          <w:iCs/>
        </w:rPr>
        <w:t>Québec (Procureur général) c. Kanyinda</w:t>
      </w:r>
      <w:r w:rsidRPr="00441B52">
        <w:t xml:space="preserve">, 2026 CSC 7, paragr. </w:t>
      </w:r>
      <w:r w:rsidRPr="00441B52">
        <w:rPr>
          <w:lang w:val="en-CA"/>
        </w:rPr>
        <w:t xml:space="preserve">98; </w:t>
      </w:r>
      <w:r w:rsidRPr="00441B52">
        <w:rPr>
          <w:i/>
          <w:iCs/>
          <w:lang w:val="en-CA"/>
        </w:rPr>
        <w:t>John Howard Society of Saskatchewan c. Saskatchewan (Procureur général)</w:t>
      </w:r>
      <w:r w:rsidRPr="00441B52">
        <w:rPr>
          <w:lang w:val="en-CA"/>
        </w:rPr>
        <w:t>, 2025 CSC 6 [</w:t>
      </w:r>
      <w:r w:rsidRPr="00441B52">
        <w:rPr>
          <w:i/>
          <w:iCs/>
          <w:lang w:val="en-CA"/>
        </w:rPr>
        <w:t>John Howard Society</w:t>
      </w:r>
      <w:r w:rsidRPr="00441B52">
        <w:rPr>
          <w:lang w:val="en-CA"/>
        </w:rPr>
        <w:t xml:space="preserve">], paragr. 93; </w:t>
      </w:r>
      <w:r w:rsidRPr="00441B52">
        <w:rPr>
          <w:i/>
          <w:lang w:val="en-CA"/>
        </w:rPr>
        <w:t>R.</w:t>
      </w:r>
      <w:r w:rsidRPr="00441B52">
        <w:rPr>
          <w:lang w:val="en-CA"/>
        </w:rPr>
        <w:t xml:space="preserve"> </w:t>
      </w:r>
      <w:r w:rsidRPr="00441B52">
        <w:rPr>
          <w:i/>
          <w:iCs/>
          <w:lang w:val="en-CA"/>
        </w:rPr>
        <w:t>c.</w:t>
      </w:r>
      <w:r w:rsidRPr="00441B52">
        <w:rPr>
          <w:lang w:val="en-CA"/>
        </w:rPr>
        <w:t xml:space="preserve"> </w:t>
      </w:r>
      <w:r w:rsidRPr="00441B52">
        <w:rPr>
          <w:i/>
          <w:lang w:val="en-CA"/>
        </w:rPr>
        <w:t>Brown</w:t>
      </w:r>
      <w:r w:rsidRPr="00441B52">
        <w:rPr>
          <w:lang w:val="en-CA"/>
        </w:rPr>
        <w:t>, 2022 CSC 18, paragr. 116.</w:t>
      </w:r>
    </w:p>
  </w:footnote>
  <w:footnote w:id="67">
    <w:p w14:paraId="4F4FEB6E" w14:textId="77777777" w:rsidR="00E524EA" w:rsidRPr="00441B52" w:rsidRDefault="00E524EA" w:rsidP="00E524EA">
      <w:pPr>
        <w:pStyle w:val="Notedebasdepage"/>
      </w:pPr>
      <w:r w:rsidRPr="00441B52">
        <w:rPr>
          <w:rStyle w:val="Appelnotedebasdep"/>
        </w:rPr>
        <w:footnoteRef/>
      </w:r>
      <w:r w:rsidRPr="00441B52">
        <w:rPr>
          <w:lang w:val="en-CA"/>
        </w:rPr>
        <w:t xml:space="preserve"> </w:t>
      </w:r>
      <w:r w:rsidRPr="00441B52">
        <w:rPr>
          <w:lang w:val="en-CA"/>
        </w:rPr>
        <w:tab/>
      </w:r>
      <w:r w:rsidRPr="00441B52">
        <w:rPr>
          <w:i/>
          <w:lang w:val="en-CA"/>
        </w:rPr>
        <w:t>R.</w:t>
      </w:r>
      <w:r w:rsidRPr="00441B52">
        <w:rPr>
          <w:lang w:val="en-CA"/>
        </w:rPr>
        <w:t xml:space="preserve"> </w:t>
      </w:r>
      <w:r w:rsidRPr="00441B52">
        <w:rPr>
          <w:i/>
          <w:iCs/>
          <w:lang w:val="en-CA"/>
        </w:rPr>
        <w:t>c.</w:t>
      </w:r>
      <w:r w:rsidRPr="00441B52">
        <w:rPr>
          <w:lang w:val="en-CA"/>
        </w:rPr>
        <w:t xml:space="preserve"> </w:t>
      </w:r>
      <w:r w:rsidRPr="00441B52">
        <w:rPr>
          <w:i/>
          <w:lang w:val="en-CA"/>
        </w:rPr>
        <w:t>Moriarity</w:t>
      </w:r>
      <w:r w:rsidRPr="00441B52">
        <w:rPr>
          <w:lang w:val="en-CA"/>
        </w:rPr>
        <w:t>, 2015 CSC 55 [</w:t>
      </w:r>
      <w:r w:rsidRPr="00441B52">
        <w:rPr>
          <w:i/>
          <w:iCs/>
          <w:lang w:val="en-CA"/>
        </w:rPr>
        <w:t>Moriarity</w:t>
      </w:r>
      <w:r w:rsidRPr="00441B52">
        <w:rPr>
          <w:lang w:val="en-CA"/>
        </w:rPr>
        <w:t xml:space="preserve">], paragr. </w:t>
      </w:r>
      <w:r w:rsidRPr="00441B52">
        <w:t>28.</w:t>
      </w:r>
    </w:p>
  </w:footnote>
  <w:footnote w:id="68">
    <w:p w14:paraId="4807B0C1"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r>
      <w:r w:rsidRPr="00441B52">
        <w:rPr>
          <w:i/>
        </w:rPr>
        <w:t>Moriarity</w:t>
      </w:r>
      <w:r w:rsidRPr="00441B52">
        <w:t xml:space="preserve">, paragr. 28. Voir également : </w:t>
      </w:r>
      <w:r w:rsidRPr="00441B52">
        <w:rPr>
          <w:i/>
          <w:iCs/>
        </w:rPr>
        <w:t>K.J.R.</w:t>
      </w:r>
      <w:r w:rsidRPr="00441B52">
        <w:t xml:space="preserve">, paragr. </w:t>
      </w:r>
      <w:r w:rsidRPr="00441B52">
        <w:rPr>
          <w:lang w:val="en-CA"/>
        </w:rPr>
        <w:t xml:space="preserve">63; </w:t>
      </w:r>
      <w:r w:rsidRPr="00441B52">
        <w:rPr>
          <w:i/>
          <w:iCs/>
          <w:lang w:val="en-CA"/>
        </w:rPr>
        <w:t>Carter</w:t>
      </w:r>
      <w:r w:rsidRPr="00441B52">
        <w:rPr>
          <w:lang w:val="en-CA"/>
        </w:rPr>
        <w:t>, paragr. 76-77.</w:t>
      </w:r>
    </w:p>
  </w:footnote>
  <w:footnote w:id="69">
    <w:p w14:paraId="6A14B520" w14:textId="77777777" w:rsidR="00E524EA" w:rsidRPr="00441B52" w:rsidRDefault="00E524EA" w:rsidP="00E524EA">
      <w:pPr>
        <w:pStyle w:val="Notedebasdepage"/>
      </w:pPr>
      <w:r w:rsidRPr="00441B52">
        <w:rPr>
          <w:rStyle w:val="Appelnotedebasdep"/>
        </w:rPr>
        <w:footnoteRef/>
      </w:r>
      <w:r w:rsidRPr="00441B52">
        <w:rPr>
          <w:lang w:val="en-CA"/>
        </w:rPr>
        <w:t xml:space="preserve"> </w:t>
      </w:r>
      <w:r w:rsidRPr="00441B52">
        <w:rPr>
          <w:lang w:val="en-CA"/>
        </w:rPr>
        <w:tab/>
      </w:r>
      <w:r w:rsidRPr="00441B52">
        <w:rPr>
          <w:i/>
          <w:lang w:val="en-CA"/>
        </w:rPr>
        <w:t>Alberta</w:t>
      </w:r>
      <w:r w:rsidRPr="00441B52">
        <w:rPr>
          <w:lang w:val="en-CA"/>
        </w:rPr>
        <w:t xml:space="preserve"> </w:t>
      </w:r>
      <w:r w:rsidRPr="00441B52">
        <w:rPr>
          <w:i/>
          <w:iCs/>
          <w:lang w:val="en-CA"/>
        </w:rPr>
        <w:t>c.</w:t>
      </w:r>
      <w:r w:rsidRPr="00441B52">
        <w:rPr>
          <w:lang w:val="en-CA"/>
        </w:rPr>
        <w:t xml:space="preserve"> </w:t>
      </w:r>
      <w:r w:rsidRPr="00441B52">
        <w:rPr>
          <w:i/>
          <w:lang w:val="en-CA"/>
        </w:rPr>
        <w:t>Hutterian Brethren of Wilson Colony</w:t>
      </w:r>
      <w:r w:rsidRPr="00441B52">
        <w:rPr>
          <w:lang w:val="en-CA"/>
        </w:rPr>
        <w:t>, 2009 CSC 37 [</w:t>
      </w:r>
      <w:r w:rsidRPr="00441B52">
        <w:rPr>
          <w:i/>
          <w:iCs/>
          <w:lang w:val="en-CA"/>
        </w:rPr>
        <w:t>Hutterian</w:t>
      </w:r>
      <w:r w:rsidRPr="00441B52">
        <w:rPr>
          <w:lang w:val="en-CA"/>
        </w:rPr>
        <w:t xml:space="preserve">], paragr. </w:t>
      </w:r>
      <w:r w:rsidRPr="00441B52">
        <w:t>55.</w:t>
      </w:r>
    </w:p>
  </w:footnote>
  <w:footnote w:id="70">
    <w:p w14:paraId="377584BC"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 paragr. 56 [soulignement ajouté; renvoi omis].</w:t>
      </w:r>
    </w:p>
  </w:footnote>
  <w:footnote w:id="71">
    <w:p w14:paraId="327200A8" w14:textId="77777777" w:rsidR="00E524EA" w:rsidRPr="00441B52" w:rsidRDefault="00E524EA" w:rsidP="00E524EA">
      <w:pPr>
        <w:pStyle w:val="Notedebasdepage"/>
      </w:pPr>
      <w:r w:rsidRPr="00441B52">
        <w:rPr>
          <w:rStyle w:val="Appelnotedebasdep"/>
        </w:rPr>
        <w:footnoteRef/>
      </w:r>
      <w:r w:rsidRPr="00441B52">
        <w:t xml:space="preserve"> </w:t>
      </w:r>
      <w:r w:rsidRPr="00441B52">
        <w:tab/>
        <w:t>Mémoire du PGQ, paragr. 38.</w:t>
      </w:r>
    </w:p>
  </w:footnote>
  <w:footnote w:id="72">
    <w:p w14:paraId="5A8FF722"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En effet, lors de son analyse de la proportionnalité, le juge précise l’objectif retenu en soulignant : « À partir du moment où une seule cigarette est grillée, </w:t>
      </w:r>
      <w:r w:rsidRPr="00441B52">
        <w:rPr>
          <w:u w:val="single"/>
        </w:rPr>
        <w:t>l’objectif visant à assurer un espace exempt de fumée secondaire</w:t>
      </w:r>
      <w:r w:rsidRPr="00441B52">
        <w:t xml:space="preserve"> sera compromis, au même titre que la santé du public qui choisit d’assister à la pièce de théâtre. », jugement entrepris, paragr. 60 [soulignement ajouté]. Voir également le paragr. 70 du jugement entrepris qui mentionne en outre que « les effets négatifs de la fumée pour la santé des spectateurs qui choisissent d’y assister […], ainsi que les risques qu’ils soient encouragés à fumer […] ».</w:t>
      </w:r>
    </w:p>
  </w:footnote>
  <w:footnote w:id="73">
    <w:p w14:paraId="6008C5D7"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RJR</w:t>
      </w:r>
      <w:r w:rsidRPr="00441B52">
        <w:t xml:space="preserve">, paragr. 144. Voir également : </w:t>
      </w:r>
      <w:r w:rsidRPr="00441B52">
        <w:rPr>
          <w:i/>
          <w:iCs/>
        </w:rPr>
        <w:t>Moriarity</w:t>
      </w:r>
      <w:r w:rsidRPr="00441B52">
        <w:t>, paragr. 28.</w:t>
      </w:r>
    </w:p>
  </w:footnote>
  <w:footnote w:id="74">
    <w:p w14:paraId="4B9AB7ED"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Procureur général du Québec</w:t>
      </w:r>
      <w:r w:rsidRPr="00441B52">
        <w:t xml:space="preserve"> </w:t>
      </w:r>
      <w:r w:rsidRPr="00441B52">
        <w:rPr>
          <w:i/>
          <w:iCs/>
        </w:rPr>
        <w:t>c.</w:t>
      </w:r>
      <w:r w:rsidRPr="00441B52">
        <w:t xml:space="preserve"> </w:t>
      </w:r>
      <w:r w:rsidRPr="00441B52">
        <w:rPr>
          <w:i/>
        </w:rPr>
        <w:t>Gallant</w:t>
      </w:r>
      <w:r w:rsidRPr="00441B52">
        <w:t>, 2021 QCCA 1701 [</w:t>
      </w:r>
      <w:r w:rsidRPr="00441B52">
        <w:rPr>
          <w:i/>
          <w:iCs/>
        </w:rPr>
        <w:t>Gallant</w:t>
      </w:r>
      <w:r w:rsidRPr="00441B52">
        <w:t>].</w:t>
      </w:r>
    </w:p>
  </w:footnote>
  <w:footnote w:id="75">
    <w:p w14:paraId="098ECB61"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Gallant</w:t>
      </w:r>
      <w:r w:rsidRPr="00441B52">
        <w:t xml:space="preserve">, paragr. 22. Voir également : Assemblée nationale du Québec, </w:t>
      </w:r>
      <w:r w:rsidRPr="00441B52">
        <w:rPr>
          <w:i/>
          <w:iCs/>
        </w:rPr>
        <w:t>Journal des débats</w:t>
      </w:r>
      <w:r w:rsidRPr="00441B52">
        <w:t>, 37</w:t>
      </w:r>
      <w:r w:rsidRPr="00441B52">
        <w:rPr>
          <w:vertAlign w:val="superscript"/>
        </w:rPr>
        <w:t>e</w:t>
      </w:r>
      <w:r w:rsidRPr="00441B52">
        <w:t xml:space="preserve"> lég., 1</w:t>
      </w:r>
      <w:r w:rsidRPr="00441B52">
        <w:rPr>
          <w:vertAlign w:val="superscript"/>
        </w:rPr>
        <w:t>re</w:t>
      </w:r>
      <w:r w:rsidRPr="00441B52">
        <w:t> sess., vol. 38, n</w:t>
      </w:r>
      <w:r w:rsidRPr="00441B52">
        <w:rPr>
          <w:vertAlign w:val="superscript"/>
        </w:rPr>
        <w:t>o</w:t>
      </w:r>
      <w:r w:rsidRPr="00441B52">
        <w:t> 159, 1</w:t>
      </w:r>
      <w:r w:rsidRPr="00441B52">
        <w:rPr>
          <w:vertAlign w:val="superscript"/>
        </w:rPr>
        <w:t>er</w:t>
      </w:r>
      <w:r w:rsidRPr="00441B52">
        <w:t xml:space="preserve"> juin 2005, p. 8856, (P. Couillard, ministre de la Santé et des Services sociaux), Étude détaillée du projet de loi n</w:t>
      </w:r>
      <w:r w:rsidRPr="00441B52">
        <w:rPr>
          <w:vertAlign w:val="superscript"/>
        </w:rPr>
        <w:t>o</w:t>
      </w:r>
      <w:r w:rsidRPr="00441B52">
        <w:t xml:space="preserve"> 112 - </w:t>
      </w:r>
      <w:r w:rsidRPr="00441B52">
        <w:rPr>
          <w:i/>
          <w:iCs/>
        </w:rPr>
        <w:t>Loi modifiant la Loi sur le tabac et d’autres dispositions législatives</w:t>
      </w:r>
      <w:r w:rsidRPr="00441B52">
        <w:t>.</w:t>
      </w:r>
    </w:p>
  </w:footnote>
  <w:footnote w:id="76">
    <w:p w14:paraId="461CF844"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Gallant</w:t>
      </w:r>
      <w:r w:rsidRPr="00441B52">
        <w:t>, paragr. 184.</w:t>
      </w:r>
    </w:p>
  </w:footnote>
  <w:footnote w:id="77">
    <w:p w14:paraId="606D331A"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L.Q. 1986, c. 13 (RLRQ, c. P-38.01). L’article prévoyait une exception pour ces lieux lorsque l’activité était réservée « exclusivement aux membres d’un groupe déterminé de personnes », art. 15 al. 2. </w:t>
      </w:r>
    </w:p>
  </w:footnote>
  <w:footnote w:id="78">
    <w:p w14:paraId="584E4396" w14:textId="77777777" w:rsidR="00E524EA" w:rsidRPr="00441B52" w:rsidRDefault="00E524EA" w:rsidP="00E524EA">
      <w:pPr>
        <w:pStyle w:val="Notedebasdepage"/>
      </w:pPr>
      <w:r w:rsidRPr="00441B52">
        <w:rPr>
          <w:rStyle w:val="Appelnotedebasdep"/>
        </w:rPr>
        <w:footnoteRef/>
      </w:r>
      <w:r w:rsidRPr="00441B52">
        <w:t xml:space="preserve"> </w:t>
      </w:r>
      <w:r w:rsidRPr="00441B52">
        <w:tab/>
        <w:t>L.Q. 1998, c. 33 (RLRQ, c. T-0.01), art. 2 al. 1 (5</w:t>
      </w:r>
      <w:r w:rsidRPr="00441B52">
        <w:rPr>
          <w:rFonts w:cs="Arial"/>
        </w:rPr>
        <w:t>°</w:t>
      </w:r>
      <w:r w:rsidRPr="00441B52">
        <w:t>).</w:t>
      </w:r>
    </w:p>
  </w:footnote>
  <w:footnote w:id="79">
    <w:p w14:paraId="4D83B4D9" w14:textId="2844E45C" w:rsidR="00E524EA" w:rsidRPr="00441B52" w:rsidRDefault="00E524EA" w:rsidP="00E524EA">
      <w:pPr>
        <w:pStyle w:val="Notedebasdepage"/>
      </w:pPr>
      <w:r w:rsidRPr="00441B52">
        <w:rPr>
          <w:rStyle w:val="Appelnotedebasdep"/>
        </w:rPr>
        <w:footnoteRef/>
      </w:r>
      <w:r w:rsidRPr="00441B52">
        <w:t xml:space="preserve"> </w:t>
      </w:r>
      <w:r w:rsidRPr="00441B52">
        <w:tab/>
        <w:t xml:space="preserve">Assemblée nationale du Québec, Commission permanente de l’aménagement et des équipements, </w:t>
      </w:r>
      <w:r w:rsidRPr="00441B52">
        <w:rPr>
          <w:i/>
          <w:iCs/>
        </w:rPr>
        <w:t>Journal des débats</w:t>
      </w:r>
      <w:r w:rsidRPr="00441B52">
        <w:t>, 33</w:t>
      </w:r>
      <w:r w:rsidRPr="00441B52">
        <w:rPr>
          <w:vertAlign w:val="superscript"/>
        </w:rPr>
        <w:t>e</w:t>
      </w:r>
      <w:r w:rsidRPr="00441B52">
        <w:t xml:space="preserve"> lég. 1</w:t>
      </w:r>
      <w:r w:rsidRPr="00441B52">
        <w:rPr>
          <w:vertAlign w:val="superscript"/>
        </w:rPr>
        <w:t>re</w:t>
      </w:r>
      <w:r w:rsidRPr="00441B52">
        <w:t xml:space="preserve"> sess., 9 juin 1986, p. CAE-605 à CAE-606 (C. Lincoln, ministre de l’Environnement) Étude détaillée du projet de loi n</w:t>
      </w:r>
      <w:r w:rsidRPr="00441B52">
        <w:rPr>
          <w:vertAlign w:val="superscript"/>
        </w:rPr>
        <w:t>o</w:t>
      </w:r>
      <w:r w:rsidRPr="00441B52">
        <w:t xml:space="preserve"> 84 – </w:t>
      </w:r>
      <w:r w:rsidRPr="00441B52">
        <w:rPr>
          <w:i/>
          <w:iCs/>
        </w:rPr>
        <w:t>Loi sur la protection des non-fumeurs dans certains lieux publics</w:t>
      </w:r>
      <w:r w:rsidR="00705301">
        <w:t>.</w:t>
      </w:r>
    </w:p>
  </w:footnote>
  <w:footnote w:id="80">
    <w:p w14:paraId="50BDBD20"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En 2005, la </w:t>
      </w:r>
      <w:r w:rsidRPr="00441B52">
        <w:rPr>
          <w:i/>
          <w:iCs/>
        </w:rPr>
        <w:t>Loi modifiant la Loi sur le tabac et d’autres dispositions législatives</w:t>
      </w:r>
      <w:r w:rsidRPr="00441B52">
        <w:t xml:space="preserve">, L.Q. 2005, c. 29, modifie l’article 1 de la </w:t>
      </w:r>
      <w:r w:rsidRPr="00441B52">
        <w:rPr>
          <w:i/>
          <w:iCs/>
        </w:rPr>
        <w:t>Loi sur le tabac</w:t>
      </w:r>
      <w:r w:rsidRPr="00441B52">
        <w:t xml:space="preserve">, L.Q. 1998, c. 33 (RLRQ, c. T-0.01), pour inclure dans la notion de « tabac » : tout autre produit ou catégorie de produit qui y est assimilé au terme du </w:t>
      </w:r>
      <w:r w:rsidRPr="00441B52">
        <w:rPr>
          <w:i/>
          <w:iCs/>
        </w:rPr>
        <w:t>Règlement</w:t>
      </w:r>
      <w:r w:rsidRPr="00441B52">
        <w:t xml:space="preserve">. Voir à ce sujet, Assemblée nationale, Commission permanente des affaires sociales, </w:t>
      </w:r>
      <w:r w:rsidRPr="00441B52">
        <w:rPr>
          <w:i/>
          <w:iCs/>
        </w:rPr>
        <w:t>Journal des débats</w:t>
      </w:r>
      <w:r w:rsidRPr="00441B52">
        <w:t>, 37</w:t>
      </w:r>
      <w:r w:rsidRPr="00441B52">
        <w:rPr>
          <w:vertAlign w:val="superscript"/>
        </w:rPr>
        <w:t>e</w:t>
      </w:r>
      <w:r w:rsidRPr="00441B52">
        <w:t xml:space="preserve"> lég., 1</w:t>
      </w:r>
      <w:r w:rsidRPr="00441B52">
        <w:rPr>
          <w:vertAlign w:val="superscript"/>
        </w:rPr>
        <w:t>er</w:t>
      </w:r>
      <w:r w:rsidRPr="00441B52">
        <w:t xml:space="preserve"> sess., vol. 38, n</w:t>
      </w:r>
      <w:r w:rsidRPr="00441B52">
        <w:rPr>
          <w:vertAlign w:val="superscript"/>
        </w:rPr>
        <w:t>o</w:t>
      </w:r>
      <w:r w:rsidRPr="00441B52">
        <w:t> 143, 13 juin 2005 (P. Couillard) : « Alors, l’article 1 permet d’étendre, pour le gouvernement, d’étendre l’application de la loi à de nouveaux produits qui pourraient compromettre l’atteinte des objectifs de la loi, par exemple des cigarettes sans tabac composées de feuilles d’eucalyptus, et autres types de produits qui pourraient se manifester ».</w:t>
      </w:r>
    </w:p>
  </w:footnote>
  <w:footnote w:id="81">
    <w:p w14:paraId="1A0D5BBB"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Canada (Procureur général)</w:t>
      </w:r>
      <w:r w:rsidRPr="00441B52">
        <w:t xml:space="preserve"> </w:t>
      </w:r>
      <w:r w:rsidRPr="00441B52">
        <w:rPr>
          <w:i/>
          <w:iCs/>
        </w:rPr>
        <w:t>c.</w:t>
      </w:r>
      <w:r w:rsidRPr="00441B52">
        <w:t xml:space="preserve"> </w:t>
      </w:r>
      <w:r w:rsidRPr="00441B52">
        <w:rPr>
          <w:i/>
        </w:rPr>
        <w:t>JTI-Macdonald Corp.</w:t>
      </w:r>
      <w:r w:rsidRPr="00441B52">
        <w:t>, 2007 CSC 30 [</w:t>
      </w:r>
      <w:r w:rsidRPr="00441B52">
        <w:rPr>
          <w:i/>
          <w:iCs/>
        </w:rPr>
        <w:t>JTI</w:t>
      </w:r>
      <w:r w:rsidRPr="00441B52">
        <w:t>], paragr. 10.</w:t>
      </w:r>
    </w:p>
  </w:footnote>
  <w:footnote w:id="82">
    <w:p w14:paraId="0D84C604"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 paragr. 70.</w:t>
      </w:r>
    </w:p>
  </w:footnote>
  <w:footnote w:id="83">
    <w:p w14:paraId="39AD39F5"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Je souligne qu’au fédéral, le législateur prévoit une exception à son interdiction de la promotion des produits du tabac ou de vapotage pour les « œuvres littéraires, dramatiques, musicales, cinématographiques, artistiques, scientifiques ou éducatives », voir : </w:t>
      </w:r>
      <w:r w:rsidRPr="00441B52">
        <w:rPr>
          <w:i/>
          <w:iCs/>
        </w:rPr>
        <w:t xml:space="preserve">Loi sur le tabac et les produits de vapotage, </w:t>
      </w:r>
      <w:r w:rsidRPr="00441B52">
        <w:t>L.C. 1997, ch. 13, article 18.</w:t>
      </w:r>
    </w:p>
  </w:footnote>
  <w:footnote w:id="84">
    <w:p w14:paraId="45952FD0"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Taylor c. Terre-Neuve-et-Labrador</w:t>
      </w:r>
      <w:r w:rsidRPr="00441B52">
        <w:t>, 2026 CSC 5, paragr. 192 [</w:t>
      </w:r>
      <w:r w:rsidRPr="00441B52">
        <w:rPr>
          <w:i/>
          <w:iCs/>
        </w:rPr>
        <w:t>Taylor</w:t>
      </w:r>
      <w:r w:rsidRPr="00441B52">
        <w:t xml:space="preserve">]. Voir également : </w:t>
      </w:r>
      <w:r w:rsidRPr="00441B52">
        <w:rPr>
          <w:i/>
        </w:rPr>
        <w:t>Hutterian</w:t>
      </w:r>
      <w:r w:rsidRPr="00441B52">
        <w:t xml:space="preserve">, paragr. 53. </w:t>
      </w:r>
    </w:p>
  </w:footnote>
  <w:footnote w:id="85">
    <w:p w14:paraId="0758272B"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t xml:space="preserve">RJR, paragr. 163. Voir aussi : </w:t>
      </w:r>
      <w:r w:rsidRPr="00441B52">
        <w:rPr>
          <w:i/>
          <w:iCs/>
        </w:rPr>
        <w:t>Bérubé c. Ville de Québec</w:t>
      </w:r>
      <w:r w:rsidRPr="00441B52">
        <w:t xml:space="preserve">, 2019 QCCA 1764, paragr. </w:t>
      </w:r>
      <w:r w:rsidRPr="00441B52">
        <w:rPr>
          <w:lang w:val="en-CA"/>
        </w:rPr>
        <w:t>111.</w:t>
      </w:r>
    </w:p>
  </w:footnote>
  <w:footnote w:id="86">
    <w:p w14:paraId="5BE33F9C"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lang w:val="en-CA"/>
        </w:rPr>
        <w:t>Ramsden</w:t>
      </w:r>
      <w:r w:rsidRPr="00441B52">
        <w:rPr>
          <w:lang w:val="en-CA"/>
        </w:rPr>
        <w:t xml:space="preserve"> </w:t>
      </w:r>
      <w:r w:rsidRPr="00441B52">
        <w:rPr>
          <w:i/>
          <w:iCs/>
          <w:lang w:val="en-CA"/>
        </w:rPr>
        <w:t>c.</w:t>
      </w:r>
      <w:r w:rsidRPr="00441B52">
        <w:rPr>
          <w:lang w:val="en-CA"/>
        </w:rPr>
        <w:t xml:space="preserve"> </w:t>
      </w:r>
      <w:r w:rsidRPr="00441B52">
        <w:rPr>
          <w:i/>
          <w:lang w:val="en-CA"/>
        </w:rPr>
        <w:t>Peterborough (Ville)</w:t>
      </w:r>
      <w:r w:rsidRPr="00441B52">
        <w:rPr>
          <w:lang w:val="en-CA"/>
        </w:rPr>
        <w:t>, [1993] 2 R.C.S. 1084 [</w:t>
      </w:r>
      <w:r w:rsidRPr="00441B52">
        <w:rPr>
          <w:i/>
          <w:iCs/>
          <w:lang w:val="en-CA"/>
        </w:rPr>
        <w:t>Ramsden</w:t>
      </w:r>
      <w:r w:rsidRPr="00441B52">
        <w:rPr>
          <w:lang w:val="en-CA"/>
        </w:rPr>
        <w:t>].</w:t>
      </w:r>
    </w:p>
  </w:footnote>
  <w:footnote w:id="87">
    <w:p w14:paraId="380C3D35" w14:textId="77777777" w:rsidR="00E524EA" w:rsidRPr="002D06A6" w:rsidRDefault="00E524EA" w:rsidP="00E524EA">
      <w:pPr>
        <w:pStyle w:val="Notedebasdepage"/>
        <w:rPr>
          <w:lang w:val="en-CA"/>
        </w:rPr>
      </w:pPr>
      <w:r w:rsidRPr="00441B52">
        <w:rPr>
          <w:rStyle w:val="Appelnotedebasdep"/>
        </w:rPr>
        <w:footnoteRef/>
      </w:r>
      <w:r w:rsidRPr="002D06A6">
        <w:rPr>
          <w:lang w:val="en-CA"/>
        </w:rPr>
        <w:t xml:space="preserve"> </w:t>
      </w:r>
      <w:r w:rsidRPr="002D06A6">
        <w:rPr>
          <w:lang w:val="en-CA"/>
        </w:rPr>
        <w:tab/>
      </w:r>
      <w:r w:rsidRPr="002D06A6">
        <w:rPr>
          <w:i/>
          <w:iCs/>
          <w:lang w:val="en-CA"/>
        </w:rPr>
        <w:t>Ramsden</w:t>
      </w:r>
      <w:r w:rsidRPr="002D06A6">
        <w:rPr>
          <w:lang w:val="en-CA"/>
        </w:rPr>
        <w:t>, p. 1105-1106.</w:t>
      </w:r>
    </w:p>
  </w:footnote>
  <w:footnote w:id="88">
    <w:p w14:paraId="4894E58F" w14:textId="2A57FF23" w:rsidR="00E524EA" w:rsidRPr="00441B52" w:rsidRDefault="00E524EA" w:rsidP="00E524EA">
      <w:pPr>
        <w:pStyle w:val="Notedebasdepage"/>
      </w:pPr>
      <w:r w:rsidRPr="00441B52">
        <w:rPr>
          <w:rStyle w:val="Appelnotedebasdep"/>
        </w:rPr>
        <w:footnoteRef/>
      </w:r>
      <w:r w:rsidRPr="00441B52">
        <w:t xml:space="preserve"> </w:t>
      </w:r>
      <w:r w:rsidRPr="00441B52">
        <w:tab/>
      </w:r>
      <w:r w:rsidR="00007ACA" w:rsidRPr="00441B52">
        <w:rPr>
          <w:i/>
          <w:iCs/>
        </w:rPr>
        <w:t>Id.</w:t>
      </w:r>
      <w:r w:rsidRPr="00441B52">
        <w:t xml:space="preserve">, p. 1107. Voir également : </w:t>
      </w:r>
      <w:r w:rsidRPr="00441B52">
        <w:rPr>
          <w:i/>
          <w:iCs/>
        </w:rPr>
        <w:t xml:space="preserve">Ford, </w:t>
      </w:r>
      <w:r w:rsidRPr="00441B52">
        <w:t>p. 773-774.</w:t>
      </w:r>
    </w:p>
  </w:footnote>
  <w:footnote w:id="89">
    <w:p w14:paraId="1337677C"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Little Sisters Book and Art Emporium c. Canada (Ministre de la Justice)</w:t>
      </w:r>
      <w:r w:rsidRPr="00441B52">
        <w:rPr>
          <w:lang w:val="en-CA"/>
        </w:rPr>
        <w:t>, 2000 CSC 69.</w:t>
      </w:r>
    </w:p>
  </w:footnote>
  <w:footnote w:id="90">
    <w:p w14:paraId="4F89ACEE"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Frank</w:t>
      </w:r>
      <w:r w:rsidRPr="00441B52">
        <w:t>, paragr. 59.</w:t>
      </w:r>
    </w:p>
  </w:footnote>
  <w:footnote w:id="91">
    <w:p w14:paraId="6FBBF8BB"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Jugement entrepris, paragr. 58. </w:t>
      </w:r>
    </w:p>
  </w:footnote>
  <w:footnote w:id="92">
    <w:p w14:paraId="194208B6"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Ibid.</w:t>
      </w:r>
    </w:p>
  </w:footnote>
  <w:footnote w:id="93">
    <w:p w14:paraId="1554DB74"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Carter</w:t>
      </w:r>
      <w:r w:rsidRPr="00441B52">
        <w:t xml:space="preserve"> </w:t>
      </w:r>
      <w:r w:rsidRPr="00441B52">
        <w:rPr>
          <w:i/>
          <w:iCs/>
        </w:rPr>
        <w:t>c.</w:t>
      </w:r>
      <w:r w:rsidRPr="00441B52">
        <w:t xml:space="preserve"> </w:t>
      </w:r>
      <w:r w:rsidRPr="00441B52">
        <w:rPr>
          <w:i/>
        </w:rPr>
        <w:t>Canada (Procureur général)</w:t>
      </w:r>
      <w:r w:rsidRPr="00441B52">
        <w:t>, 2015 CSC 5 [</w:t>
      </w:r>
      <w:r w:rsidRPr="00441B52">
        <w:rPr>
          <w:i/>
          <w:iCs/>
        </w:rPr>
        <w:t>Carter</w:t>
      </w:r>
      <w:r w:rsidRPr="00441B52">
        <w:t>], paragr. 100.</w:t>
      </w:r>
    </w:p>
  </w:footnote>
  <w:footnote w:id="94">
    <w:p w14:paraId="7373A07E"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Frank</w:t>
      </w:r>
      <w:r w:rsidRPr="00441B52">
        <w:t>, paragr. 64.</w:t>
      </w:r>
    </w:p>
  </w:footnote>
  <w:footnote w:id="95">
    <w:p w14:paraId="35E0FA2F"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 paragr. 59 et 63.</w:t>
      </w:r>
    </w:p>
  </w:footnote>
  <w:footnote w:id="96">
    <w:p w14:paraId="12EAB305" w14:textId="5C21ADBF"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John Howard Society</w:t>
      </w:r>
      <w:r w:rsidRPr="00441B52">
        <w:t xml:space="preserve">, paragr. 95; </w:t>
      </w:r>
      <w:r w:rsidRPr="00441B52">
        <w:rPr>
          <w:i/>
          <w:iCs/>
        </w:rPr>
        <w:t>K.J.R.</w:t>
      </w:r>
      <w:r w:rsidRPr="00441B52">
        <w:t>, paragr. 70; Hutterian, paragr. 55</w:t>
      </w:r>
      <w:r w:rsidR="009F7248" w:rsidRPr="00441B52">
        <w:t>.</w:t>
      </w:r>
      <w:r w:rsidRPr="00441B52">
        <w:t xml:space="preserve"> </w:t>
      </w:r>
    </w:p>
  </w:footnote>
  <w:footnote w:id="97">
    <w:p w14:paraId="50E28767"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RJR</w:t>
      </w:r>
      <w:r w:rsidRPr="00441B52">
        <w:t xml:space="preserve">, paragr. 160 [soulignement ajouté]. </w:t>
      </w:r>
    </w:p>
  </w:footnote>
  <w:footnote w:id="98">
    <w:p w14:paraId="1D716A4A" w14:textId="64D927F1" w:rsidR="00E524EA" w:rsidRPr="00441B52" w:rsidRDefault="00E524EA" w:rsidP="00E524EA">
      <w:pPr>
        <w:pStyle w:val="Notedebasdepage"/>
        <w:jc w:val="left"/>
      </w:pPr>
      <w:r w:rsidRPr="00441B52">
        <w:rPr>
          <w:rStyle w:val="Appelnotedebasdep"/>
        </w:rPr>
        <w:footnoteRef/>
      </w:r>
      <w:r w:rsidRPr="00441B52">
        <w:t xml:space="preserve"> </w:t>
      </w:r>
      <w:r w:rsidRPr="00441B52">
        <w:tab/>
      </w:r>
      <w:r w:rsidRPr="00441B52">
        <w:rPr>
          <w:i/>
          <w:iCs/>
        </w:rPr>
        <w:t xml:space="preserve">Ontario (Procureur général) c. Working Families Coalition (Canada) Inc., </w:t>
      </w:r>
      <w:r w:rsidRPr="00441B52">
        <w:t xml:space="preserve">2025 CSC 5, paragr. 63; </w:t>
      </w:r>
      <w:r w:rsidRPr="00441B52">
        <w:rPr>
          <w:i/>
          <w:iCs/>
        </w:rPr>
        <w:t>Hutterian</w:t>
      </w:r>
      <w:r w:rsidRPr="00441B52">
        <w:t xml:space="preserve">, paragr. 55; </w:t>
      </w:r>
      <w:r w:rsidRPr="00441B52">
        <w:rPr>
          <w:i/>
          <w:iCs/>
        </w:rPr>
        <w:t xml:space="preserve">RJR, </w:t>
      </w:r>
      <w:r w:rsidRPr="00441B52">
        <w:t>paragr. 160</w:t>
      </w:r>
      <w:r w:rsidR="009F7248" w:rsidRPr="00441B52">
        <w:t>.</w:t>
      </w:r>
    </w:p>
  </w:footnote>
  <w:footnote w:id="99">
    <w:p w14:paraId="230753A1"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RJR</w:t>
      </w:r>
      <w:r w:rsidRPr="00441B52">
        <w:t xml:space="preserve">, paragr. 160. </w:t>
      </w:r>
    </w:p>
  </w:footnote>
  <w:footnote w:id="100">
    <w:p w14:paraId="6B200A8C"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RJR</w:t>
      </w:r>
      <w:r w:rsidRPr="00441B52">
        <w:t xml:space="preserve">. Voir également : </w:t>
      </w:r>
      <w:r w:rsidRPr="00441B52">
        <w:rPr>
          <w:i/>
          <w:iCs/>
        </w:rPr>
        <w:t>Carter</w:t>
      </w:r>
      <w:r w:rsidRPr="00441B52">
        <w:t xml:space="preserve">, paragr. 119-120; </w:t>
      </w:r>
      <w:r w:rsidRPr="00441B52">
        <w:rPr>
          <w:i/>
          <w:iCs/>
        </w:rPr>
        <w:t>Frank</w:t>
      </w:r>
      <w:r w:rsidRPr="00441B52">
        <w:t>, paragr. 44.</w:t>
      </w:r>
    </w:p>
  </w:footnote>
  <w:footnote w:id="101">
    <w:p w14:paraId="47418C81"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Article 15, </w:t>
      </w:r>
      <w:r w:rsidRPr="00441B52">
        <w:rPr>
          <w:i/>
          <w:iCs/>
        </w:rPr>
        <w:t xml:space="preserve">Loi sur la protection des non-fumeurs dans certains lieux publics, </w:t>
      </w:r>
      <w:r w:rsidRPr="00441B52">
        <w:t>L.Q. 1986, c. 13 (RLRQ, c. P-38.01).</w:t>
      </w:r>
      <w:r w:rsidRPr="00441B52">
        <w:rPr>
          <w:i/>
          <w:iCs/>
        </w:rPr>
        <w:t xml:space="preserve"> </w:t>
      </w:r>
    </w:p>
  </w:footnote>
  <w:footnote w:id="102">
    <w:p w14:paraId="38B7FD37" w14:textId="6AFD125C"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Supra</w:t>
      </w:r>
      <w:r w:rsidRPr="00441B52">
        <w:t xml:space="preserve">, paragr. </w:t>
      </w:r>
      <w:r w:rsidRPr="00441B52">
        <w:fldChar w:fldCharType="begin"/>
      </w:r>
      <w:r w:rsidRPr="00441B52">
        <w:instrText xml:space="preserve"> REF _Ref223778363 \r \h </w:instrText>
      </w:r>
      <w:r w:rsidR="00717118" w:rsidRPr="00441B52">
        <w:instrText xml:space="preserve"> \* MERGEFORMAT </w:instrText>
      </w:r>
      <w:r w:rsidRPr="00441B52">
        <w:fldChar w:fldCharType="separate"/>
      </w:r>
      <w:r w:rsidR="00DA7E95">
        <w:t>[75]</w:t>
      </w:r>
      <w:r w:rsidRPr="00441B52">
        <w:fldChar w:fldCharType="end"/>
      </w:r>
      <w:r w:rsidRPr="00441B52">
        <w:t>.</w:t>
      </w:r>
    </w:p>
  </w:footnote>
  <w:footnote w:id="103">
    <w:p w14:paraId="057A0458"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Article 8.1 </w:t>
      </w:r>
      <w:r w:rsidRPr="00441B52">
        <w:rPr>
          <w:i/>
          <w:iCs/>
        </w:rPr>
        <w:t>LCLT.</w:t>
      </w:r>
    </w:p>
  </w:footnote>
  <w:footnote w:id="104">
    <w:p w14:paraId="350563E2"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Article 3 </w:t>
      </w:r>
      <w:r w:rsidRPr="00441B52">
        <w:rPr>
          <w:i/>
          <w:iCs/>
        </w:rPr>
        <w:t>LCLT</w:t>
      </w:r>
      <w:r w:rsidRPr="00441B52">
        <w:t>.</w:t>
      </w:r>
    </w:p>
  </w:footnote>
  <w:footnote w:id="105">
    <w:p w14:paraId="2AD5AC9F"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Articles 5 et 6 </w:t>
      </w:r>
      <w:r w:rsidRPr="00441B52">
        <w:rPr>
          <w:i/>
          <w:iCs/>
        </w:rPr>
        <w:t>LCLT</w:t>
      </w:r>
      <w:r w:rsidRPr="00441B52">
        <w:t>.</w:t>
      </w:r>
    </w:p>
  </w:footnote>
  <w:footnote w:id="106">
    <w:p w14:paraId="624C093B" w14:textId="77777777" w:rsidR="00E524EA" w:rsidRPr="00441B52" w:rsidRDefault="00E524EA" w:rsidP="00E524EA">
      <w:pPr>
        <w:pStyle w:val="Notedebasdepage"/>
      </w:pPr>
      <w:r w:rsidRPr="00441B52">
        <w:rPr>
          <w:rStyle w:val="Appelnotedebasdep"/>
        </w:rPr>
        <w:footnoteRef/>
      </w:r>
      <w:r w:rsidRPr="00441B52">
        <w:t xml:space="preserve"> </w:t>
      </w:r>
      <w:r w:rsidRPr="00441B52">
        <w:tab/>
        <w:t>Article 2 al. 1 (10.1</w:t>
      </w:r>
      <w:r w:rsidRPr="00441B52">
        <w:rPr>
          <w:vertAlign w:val="superscript"/>
        </w:rPr>
        <w:t>o</w:t>
      </w:r>
      <w:r w:rsidRPr="00441B52">
        <w:t xml:space="preserve">) </w:t>
      </w:r>
      <w:r w:rsidRPr="00441B52">
        <w:rPr>
          <w:i/>
          <w:iCs/>
        </w:rPr>
        <w:t>LCLT</w:t>
      </w:r>
      <w:r w:rsidRPr="00441B52">
        <w:t xml:space="preserve">. </w:t>
      </w:r>
    </w:p>
  </w:footnote>
  <w:footnote w:id="107">
    <w:p w14:paraId="1A0B027D" w14:textId="77777777" w:rsidR="00E524EA" w:rsidRPr="00441B52" w:rsidRDefault="00E524EA" w:rsidP="00E524EA">
      <w:pPr>
        <w:pStyle w:val="Notedebasdepage"/>
      </w:pPr>
      <w:r w:rsidRPr="00441B52">
        <w:rPr>
          <w:rStyle w:val="Appelnotedebasdep"/>
        </w:rPr>
        <w:footnoteRef/>
      </w:r>
      <w:r w:rsidRPr="00441B52">
        <w:t xml:space="preserve"> </w:t>
      </w:r>
      <w:r w:rsidRPr="00441B52">
        <w:tab/>
        <w:t>37</w:t>
      </w:r>
      <w:r w:rsidRPr="00441B52">
        <w:rPr>
          <w:vertAlign w:val="superscript"/>
        </w:rPr>
        <w:t>e</w:t>
      </w:r>
      <w:r w:rsidRPr="00441B52">
        <w:t xml:space="preserve"> lég. (Qc), 1</w:t>
      </w:r>
      <w:r w:rsidRPr="00441B52">
        <w:rPr>
          <w:vertAlign w:val="superscript"/>
        </w:rPr>
        <w:t>re</w:t>
      </w:r>
      <w:r w:rsidRPr="00441B52">
        <w:t xml:space="preserve"> sess., 2005.</w:t>
      </w:r>
    </w:p>
  </w:footnote>
  <w:footnote w:id="108">
    <w:p w14:paraId="336B3806"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Assemblée nationale du Québec, </w:t>
      </w:r>
      <w:r w:rsidRPr="00441B52">
        <w:rPr>
          <w:i/>
          <w:iCs/>
        </w:rPr>
        <w:t>Journal des débats</w:t>
      </w:r>
      <w:r w:rsidRPr="00441B52">
        <w:t>, 37</w:t>
      </w:r>
      <w:r w:rsidRPr="00441B52">
        <w:rPr>
          <w:vertAlign w:val="superscript"/>
        </w:rPr>
        <w:t>e</w:t>
      </w:r>
      <w:r w:rsidRPr="00441B52">
        <w:t xml:space="preserve"> lég., 1</w:t>
      </w:r>
      <w:r w:rsidRPr="00441B52">
        <w:rPr>
          <w:vertAlign w:val="superscript"/>
        </w:rPr>
        <w:t>re</w:t>
      </w:r>
      <w:r w:rsidRPr="00441B52">
        <w:t xml:space="preserve"> sess., vol. 38, n</w:t>
      </w:r>
      <w:r w:rsidRPr="00441B52">
        <w:rPr>
          <w:vertAlign w:val="superscript"/>
        </w:rPr>
        <w:t>o</w:t>
      </w:r>
      <w:r w:rsidRPr="00441B52">
        <w:t> 159, 1</w:t>
      </w:r>
      <w:r w:rsidRPr="00441B52">
        <w:rPr>
          <w:vertAlign w:val="superscript"/>
        </w:rPr>
        <w:t>er</w:t>
      </w:r>
      <w:r w:rsidRPr="00441B52">
        <w:t xml:space="preserve"> juin 2005, p. 8857 (P. Couillard). Je souligne que des modifications ont été apportées aux exceptions depuis 2005.</w:t>
      </w:r>
    </w:p>
  </w:footnote>
  <w:footnote w:id="109">
    <w:p w14:paraId="33510404"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Article 2.2 </w:t>
      </w:r>
      <w:r w:rsidRPr="00441B52">
        <w:rPr>
          <w:i/>
          <w:iCs/>
        </w:rPr>
        <w:t>LCLT</w:t>
      </w:r>
      <w:r w:rsidRPr="00441B52">
        <w:t xml:space="preserve">. </w:t>
      </w:r>
    </w:p>
  </w:footnote>
  <w:footnote w:id="110">
    <w:p w14:paraId="4613CC05" w14:textId="126761DF" w:rsidR="00E524EA" w:rsidRPr="00441B52" w:rsidRDefault="00E524EA" w:rsidP="00E524EA">
      <w:pPr>
        <w:pStyle w:val="Notedebasdepage"/>
      </w:pPr>
      <w:r w:rsidRPr="00441B52">
        <w:rPr>
          <w:rStyle w:val="Appelnotedebasdep"/>
        </w:rPr>
        <w:footnoteRef/>
      </w:r>
      <w:r w:rsidRPr="00441B52">
        <w:t xml:space="preserve"> </w:t>
      </w:r>
      <w:r w:rsidRPr="00441B52">
        <w:tab/>
        <w:t xml:space="preserve">Voir par analogie : </w:t>
      </w:r>
      <w:r w:rsidRPr="00441B52">
        <w:rPr>
          <w:i/>
          <w:iCs/>
        </w:rPr>
        <w:t>Frank</w:t>
      </w:r>
      <w:r w:rsidRPr="00441B52">
        <w:t xml:space="preserve">, paragr. 67; </w:t>
      </w:r>
      <w:r w:rsidRPr="00441B52">
        <w:rPr>
          <w:i/>
          <w:iCs/>
        </w:rPr>
        <w:t>Oakes</w:t>
      </w:r>
      <w:r w:rsidRPr="00441B52">
        <w:t xml:space="preserve">, p. 139. Je mentionne à ce sujet les articles 6 et 7 de la </w:t>
      </w:r>
      <w:r w:rsidRPr="00441B52">
        <w:rPr>
          <w:i/>
          <w:iCs/>
        </w:rPr>
        <w:t>Loi visant à favoriser la paix, l’ordre et la sécurité publique</w:t>
      </w:r>
      <w:r w:rsidRPr="00441B52">
        <w:t xml:space="preserve">, édictée </w:t>
      </w:r>
      <w:r w:rsidR="009F7248" w:rsidRPr="00441B52">
        <w:t xml:space="preserve">par le </w:t>
      </w:r>
      <w:r w:rsidRPr="00441B52">
        <w:t>Projet de loi n</w:t>
      </w:r>
      <w:r w:rsidRPr="00441B52">
        <w:rPr>
          <w:rFonts w:cs="Arial"/>
        </w:rPr>
        <w:t>°</w:t>
      </w:r>
      <w:r w:rsidRPr="00441B52">
        <w:t xml:space="preserve">13, </w:t>
      </w:r>
      <w:r w:rsidRPr="00441B52">
        <w:rPr>
          <w:i/>
          <w:iCs/>
        </w:rPr>
        <w:t>Loi visant à favoriser la sécurité et le sentiment de sécurité de la population et modifiant diverses disposition</w:t>
      </w:r>
      <w:r w:rsidRPr="00441B52">
        <w:t>, L.Q., 2026, c. 7, art. 2, qui a été sanctionné le 2 avril 2026</w:t>
      </w:r>
      <w:r w:rsidR="009F7248" w:rsidRPr="00441B52">
        <w:t>. Ces articles</w:t>
      </w:r>
      <w:r w:rsidRPr="00441B52">
        <w:t xml:space="preserve"> prévoi</w:t>
      </w:r>
      <w:r w:rsidR="009F7248" w:rsidRPr="00441B52">
        <w:t>en</w:t>
      </w:r>
      <w:r w:rsidRPr="00441B52">
        <w:t>t des exceptions à l’interdiction d’exposer un objet identifiant une entité à dessein criminel, dont l’exposition à la vue du public « de bonne foi et de manière raisonnable » dans un contexte « artistique ou culturel, dans la mesure où l’exposition de cet objet est nécessaire dans le cadre de la représentation, de l’exposition, de la diffusion ou de la distribution d’une œuvre »</w:t>
      </w:r>
      <w:r w:rsidR="009F7248" w:rsidRPr="00441B52">
        <w:t>.</w:t>
      </w:r>
      <w:r w:rsidRPr="00441B52">
        <w:t xml:space="preserve"> </w:t>
      </w:r>
    </w:p>
  </w:footnote>
  <w:footnote w:id="111">
    <w:p w14:paraId="0086A8FF" w14:textId="77777777" w:rsidR="00E524EA" w:rsidRPr="00441B52" w:rsidRDefault="00E524EA" w:rsidP="00E524EA">
      <w:pPr>
        <w:pStyle w:val="Notedebasdepage"/>
        <w:rPr>
          <w:rFonts w:cs="Arial"/>
        </w:rPr>
      </w:pPr>
      <w:r w:rsidRPr="00441B52">
        <w:rPr>
          <w:rStyle w:val="Appelnotedebasdep"/>
        </w:rPr>
        <w:footnoteRef/>
      </w:r>
      <w:r w:rsidRPr="00441B52">
        <w:t xml:space="preserve"> </w:t>
      </w:r>
      <w:r w:rsidRPr="00441B52">
        <w:tab/>
      </w:r>
      <w:r w:rsidRPr="00441B52">
        <w:rPr>
          <w:i/>
          <w:iCs/>
        </w:rPr>
        <w:t>Bérubé c. Ville de Québec</w:t>
      </w:r>
      <w:r w:rsidRPr="00441B52">
        <w:t xml:space="preserve">, 2019 QCCA 1764, </w:t>
      </w:r>
      <w:r w:rsidRPr="00441B52">
        <w:rPr>
          <w:rFonts w:cs="Arial"/>
        </w:rPr>
        <w:t xml:space="preserve">paragr. 114, citant notamment </w:t>
      </w:r>
      <w:r w:rsidRPr="00441B52">
        <w:rPr>
          <w:rFonts w:cs="Arial"/>
          <w:i/>
          <w:iCs/>
        </w:rPr>
        <w:t>B.C. Freedom of Information and Privacy Association c. Colombie</w:t>
      </w:r>
      <w:r w:rsidRPr="00441B52">
        <w:rPr>
          <w:rFonts w:cs="Arial"/>
          <w:i/>
          <w:iCs/>
        </w:rPr>
        <w:noBreakHyphen/>
        <w:t>Britannique (Procureur général)</w:t>
      </w:r>
      <w:r w:rsidRPr="00441B52">
        <w:rPr>
          <w:rFonts w:cs="Arial"/>
        </w:rPr>
        <w:t>, 2017 CSC 6, paragr. 58.</w:t>
      </w:r>
    </w:p>
  </w:footnote>
  <w:footnote w:id="112">
    <w:p w14:paraId="490DF58F"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Le directeur artistique du Théâtre de la Bordée, Michel Nadeau mentionne par exemple la pièce intitulée </w:t>
      </w:r>
      <w:r w:rsidRPr="00441B52">
        <w:rPr>
          <w:i/>
          <w:iCs/>
        </w:rPr>
        <w:t>Après la pluie</w:t>
      </w:r>
      <w:r w:rsidRPr="00441B52">
        <w:t xml:space="preserve"> de l’auteur Sergi Belbel dans laquelle 51 cigarettes étaient fumées afin de discuter de l’habitude prise par les travailleurs de sortir fumer à l’extérieur, leur permettant ainsi de s’échapper. Il a monté cette pièce au début des années 2000 au Théâtre Jean Duceppe et au Théâtre Périscope. Il reconnaît qu’il y a eu des plaintes, mais seulement de la part de spectateurs du Théâtre Jean Duceppe. Il ajoute qu’il ne produirait plus cette pièce aujourd’hui, considérant le niveau de tolérance du public. </w:t>
      </w:r>
    </w:p>
  </w:footnote>
  <w:footnote w:id="113">
    <w:p w14:paraId="37924E43"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À titre d’exemple, la preuve démontre que lors de la présentation des pièces de théâtre visées par les constats d’infraction : (1) dans </w:t>
      </w:r>
      <w:r w:rsidRPr="00441B52">
        <w:rPr>
          <w:i/>
          <w:iCs/>
        </w:rPr>
        <w:t>Le cas Joé Ferguson</w:t>
      </w:r>
      <w:r w:rsidRPr="00441B52">
        <w:t xml:space="preserve">, deux cigarettes ont été fumées sur une période d’environ 4 minutes au cours d’une représentation d’environ 1 h 50; (2) dans </w:t>
      </w:r>
      <w:r w:rsidRPr="00441B52">
        <w:rPr>
          <w:i/>
          <w:iCs/>
        </w:rPr>
        <w:t>Rotterdam</w:t>
      </w:r>
      <w:r w:rsidRPr="00441B52">
        <w:t xml:space="preserve">, quatre cigarettes ont été fumées sur une période d’environ 9 minutes au cours d’une représentation d’environ 1 h 45; et (3) dans </w:t>
      </w:r>
      <w:r w:rsidRPr="00441B52">
        <w:rPr>
          <w:i/>
          <w:iCs/>
        </w:rPr>
        <w:t>Conversations avec mon pénis</w:t>
      </w:r>
      <w:r w:rsidRPr="00441B52">
        <w:t xml:space="preserve">, une cigarette a été fumée sur une période d’environ une minute au cours d’une représentation d’environ 1 h 15. </w:t>
      </w:r>
    </w:p>
  </w:footnote>
  <w:footnote w:id="114">
    <w:p w14:paraId="02D12115"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La preuve démontre que : (1) la salle du Théâtre du Trident a un volume de près de 6 300 mètres cubes; (2) celle du Théâtre de la Bordée a un volume de 6 500 mètres cubes; et (3) celle du Théâtre Premier Acte est de 20 000 pieds cubes [566,34 mètres cubes]. </w:t>
      </w:r>
    </w:p>
  </w:footnote>
  <w:footnote w:id="115">
    <w:p w14:paraId="2BEED3B5" w14:textId="77777777" w:rsidR="00E524EA" w:rsidRPr="00441B52" w:rsidRDefault="00E524EA" w:rsidP="00E524EA">
      <w:pPr>
        <w:pStyle w:val="Notedebasdepage"/>
      </w:pPr>
      <w:r w:rsidRPr="00441B52">
        <w:rPr>
          <w:rStyle w:val="Appelnotedebasdep"/>
        </w:rPr>
        <w:footnoteRef/>
      </w:r>
      <w:r w:rsidRPr="00441B52">
        <w:t xml:space="preserve"> </w:t>
      </w:r>
      <w:r w:rsidRPr="00441B52">
        <w:tab/>
        <w:t>Rapport d’expertise, p. 8. Voir également la p. 12 du Rapport d’expertise où le D</w:t>
      </w:r>
      <w:r w:rsidRPr="00441B52">
        <w:rPr>
          <w:vertAlign w:val="superscript"/>
        </w:rPr>
        <w:t>r </w:t>
      </w:r>
      <w:r w:rsidRPr="00441B52">
        <w:t xml:space="preserve">Desjardins précise que les concentrations sont bien moindres pour la fumée secondaire que pour la fumée primaire. </w:t>
      </w:r>
    </w:p>
  </w:footnote>
  <w:footnote w:id="116">
    <w:p w14:paraId="043C9FA0" w14:textId="5D8D032A" w:rsidR="00E524EA" w:rsidRPr="00441B52" w:rsidRDefault="00E524EA" w:rsidP="00E524EA">
      <w:pPr>
        <w:pStyle w:val="Notedebasdepage"/>
      </w:pPr>
      <w:r w:rsidRPr="00441B52">
        <w:rPr>
          <w:rStyle w:val="Appelnotedebasdep"/>
        </w:rPr>
        <w:footnoteRef/>
      </w:r>
      <w:r w:rsidRPr="00441B52">
        <w:t xml:space="preserve"> </w:t>
      </w:r>
      <w:r w:rsidRPr="00441B52">
        <w:tab/>
      </w:r>
      <w:r w:rsidR="00717118" w:rsidRPr="00441B52">
        <w:rPr>
          <w:i/>
          <w:iCs/>
        </w:rPr>
        <w:t>Id.</w:t>
      </w:r>
      <w:r w:rsidRPr="00441B52">
        <w:t>, p. 19.</w:t>
      </w:r>
    </w:p>
  </w:footnote>
  <w:footnote w:id="117">
    <w:p w14:paraId="24C47194" w14:textId="1937B2D9" w:rsidR="00E524EA" w:rsidRPr="00441B52" w:rsidRDefault="00E524EA" w:rsidP="00E524EA">
      <w:pPr>
        <w:pStyle w:val="Notedebasdepage"/>
      </w:pPr>
      <w:r w:rsidRPr="00441B52">
        <w:rPr>
          <w:rStyle w:val="Appelnotedebasdep"/>
        </w:rPr>
        <w:footnoteRef/>
      </w:r>
      <w:r w:rsidRPr="00441B52">
        <w:t xml:space="preserve"> </w:t>
      </w:r>
      <w:r w:rsidRPr="00441B52">
        <w:tab/>
      </w:r>
      <w:r w:rsidR="00717118" w:rsidRPr="00441B52">
        <w:rPr>
          <w:i/>
          <w:iCs/>
        </w:rPr>
        <w:t>Id.</w:t>
      </w:r>
      <w:r w:rsidRPr="00441B52">
        <w:t>, p. 43.</w:t>
      </w:r>
    </w:p>
  </w:footnote>
  <w:footnote w:id="118">
    <w:p w14:paraId="1F45F3F0" w14:textId="563CDBE5" w:rsidR="00E524EA" w:rsidRPr="00441B52" w:rsidRDefault="00E524EA" w:rsidP="00E524EA">
      <w:pPr>
        <w:pStyle w:val="Notedebasdepage"/>
      </w:pPr>
      <w:r w:rsidRPr="00441B52">
        <w:rPr>
          <w:rStyle w:val="Appelnotedebasdep"/>
        </w:rPr>
        <w:footnoteRef/>
      </w:r>
      <w:r w:rsidRPr="00441B52">
        <w:t xml:space="preserve"> </w:t>
      </w:r>
      <w:r w:rsidRPr="00441B52">
        <w:tab/>
      </w:r>
      <w:r w:rsidR="00717118" w:rsidRPr="00441B52">
        <w:rPr>
          <w:i/>
          <w:iCs/>
        </w:rPr>
        <w:t>Id.</w:t>
      </w:r>
      <w:r w:rsidRPr="00441B52">
        <w:t>, p. 28-29, 35 et 38.</w:t>
      </w:r>
    </w:p>
  </w:footnote>
  <w:footnote w:id="119">
    <w:p w14:paraId="59AC085E" w14:textId="1C5552FB" w:rsidR="00E524EA" w:rsidRPr="00441B52" w:rsidRDefault="00E524EA" w:rsidP="00E524EA">
      <w:pPr>
        <w:pStyle w:val="Notedebasdepage"/>
      </w:pPr>
      <w:r w:rsidRPr="00441B52">
        <w:rPr>
          <w:rStyle w:val="Appelnotedebasdep"/>
        </w:rPr>
        <w:footnoteRef/>
      </w:r>
      <w:r w:rsidRPr="00441B52">
        <w:t xml:space="preserve"> </w:t>
      </w:r>
      <w:r w:rsidRPr="00441B52">
        <w:tab/>
      </w:r>
      <w:r w:rsidR="00717118" w:rsidRPr="00441B52">
        <w:rPr>
          <w:i/>
          <w:iCs/>
        </w:rPr>
        <w:t>Id.</w:t>
      </w:r>
      <w:r w:rsidRPr="00441B52">
        <w:t xml:space="preserve">, p. 36. Il cite également l’Agence de protection de l’environnement des États-Unis qui a conclu à un effet cancérigène de la fumée du tabac sur les poumons, « même à de très faibles niveaux d’exposition, sans valeur-seuil minimale », Rapport d’expertise p. 38. </w:t>
      </w:r>
    </w:p>
  </w:footnote>
  <w:footnote w:id="120">
    <w:p w14:paraId="37C9D13F" w14:textId="77777777" w:rsidR="00E524EA" w:rsidRPr="00441B52" w:rsidRDefault="00E524EA" w:rsidP="00E524EA">
      <w:pPr>
        <w:pStyle w:val="Notedebasdepage"/>
      </w:pPr>
      <w:r w:rsidRPr="00441B52">
        <w:rPr>
          <w:rStyle w:val="Appelnotedebasdep"/>
        </w:rPr>
        <w:footnoteRef/>
      </w:r>
      <w:r w:rsidRPr="00441B52">
        <w:t xml:space="preserve"> </w:t>
      </w:r>
      <w:r w:rsidRPr="00441B52">
        <w:tab/>
        <w:t>Rapport d’expertise, p. 26.</w:t>
      </w:r>
    </w:p>
  </w:footnote>
  <w:footnote w:id="121">
    <w:p w14:paraId="546D2238" w14:textId="2AF627B6" w:rsidR="00E524EA" w:rsidRPr="00441B52" w:rsidRDefault="00E524EA" w:rsidP="00E524EA">
      <w:pPr>
        <w:pStyle w:val="Notedebasdepage"/>
      </w:pPr>
      <w:r w:rsidRPr="00441B52">
        <w:rPr>
          <w:rStyle w:val="Appelnotedebasdep"/>
        </w:rPr>
        <w:footnoteRef/>
      </w:r>
      <w:r w:rsidRPr="00441B52">
        <w:t xml:space="preserve"> </w:t>
      </w:r>
      <w:r w:rsidRPr="00441B52">
        <w:tab/>
      </w:r>
      <w:r w:rsidR="00717118" w:rsidRPr="00441B52">
        <w:rPr>
          <w:i/>
          <w:iCs/>
        </w:rPr>
        <w:t>Id.</w:t>
      </w:r>
      <w:r w:rsidRPr="00441B52">
        <w:t>, p. 31.</w:t>
      </w:r>
    </w:p>
  </w:footnote>
  <w:footnote w:id="122">
    <w:p w14:paraId="79C6B15B" w14:textId="77777777" w:rsidR="00E524EA" w:rsidRPr="00441B52" w:rsidRDefault="00E524EA" w:rsidP="00E524EA">
      <w:pPr>
        <w:pStyle w:val="Notedebasdepage"/>
        <w:rPr>
          <w:lang w:val="en-CA"/>
        </w:rPr>
      </w:pPr>
      <w:r w:rsidRPr="00441B52">
        <w:rPr>
          <w:rStyle w:val="Appelnotedebasdep"/>
        </w:rPr>
        <w:footnoteRef/>
      </w:r>
      <w:r w:rsidRPr="00441B52">
        <w:t xml:space="preserve"> </w:t>
      </w:r>
      <w:r w:rsidRPr="00441B52">
        <w:tab/>
      </w:r>
      <w:r w:rsidRPr="00441B52">
        <w:rPr>
          <w:i/>
          <w:iCs/>
        </w:rPr>
        <w:t>Gallant</w:t>
      </w:r>
      <w:r w:rsidRPr="00441B52">
        <w:t xml:space="preserve">, paragr. 207. Voir : </w:t>
      </w:r>
      <w:r w:rsidRPr="00441B52">
        <w:rPr>
          <w:i/>
        </w:rPr>
        <w:t>114957 Canada Ltée (Spraytech, Société d’arrosage)</w:t>
      </w:r>
      <w:r w:rsidRPr="00441B52">
        <w:t xml:space="preserve"> c. </w:t>
      </w:r>
      <w:r w:rsidRPr="00441B52">
        <w:rPr>
          <w:i/>
        </w:rPr>
        <w:t>Hudson (Ville)</w:t>
      </w:r>
      <w:r w:rsidRPr="00441B52">
        <w:t xml:space="preserve">, 2001 CSC 40, paragr. 31-32; </w:t>
      </w:r>
      <w:r w:rsidRPr="00441B52">
        <w:rPr>
          <w:i/>
        </w:rPr>
        <w:t>R.</w:t>
      </w:r>
      <w:r w:rsidRPr="00441B52">
        <w:t xml:space="preserve"> </w:t>
      </w:r>
      <w:r w:rsidRPr="00441B52">
        <w:rPr>
          <w:i/>
          <w:iCs/>
        </w:rPr>
        <w:t>c.</w:t>
      </w:r>
      <w:r w:rsidRPr="00441B52">
        <w:t xml:space="preserve"> </w:t>
      </w:r>
      <w:r w:rsidRPr="00441B52">
        <w:rPr>
          <w:i/>
        </w:rPr>
        <w:t>Sharpe</w:t>
      </w:r>
      <w:r w:rsidRPr="00441B52">
        <w:t xml:space="preserve">, 2001 CSC 2, paragr. 89; </w:t>
      </w:r>
      <w:r w:rsidRPr="00441B52">
        <w:rPr>
          <w:i/>
        </w:rPr>
        <w:t>R.</w:t>
      </w:r>
      <w:r w:rsidRPr="00441B52">
        <w:t xml:space="preserve"> v. </w:t>
      </w:r>
      <w:r w:rsidRPr="00441B52">
        <w:rPr>
          <w:i/>
        </w:rPr>
        <w:t>Michaud</w:t>
      </w:r>
      <w:r w:rsidRPr="00441B52">
        <w:t>, 2015 ONCA 585, paragr. 101-102, demande d’autorisation d’appel à la Cour suprême rejetée, 5 mai 2016, n</w:t>
      </w:r>
      <w:r w:rsidRPr="00441B52">
        <w:rPr>
          <w:vertAlign w:val="superscript"/>
        </w:rPr>
        <w:t>o</w:t>
      </w:r>
      <w:r w:rsidRPr="00441B52">
        <w:t xml:space="preserve"> 36706. Au sujet de la déférence, voir notamment : </w:t>
      </w:r>
      <w:r w:rsidRPr="00441B52">
        <w:rPr>
          <w:i/>
          <w:iCs/>
        </w:rPr>
        <w:t>JTI</w:t>
      </w:r>
      <w:r w:rsidRPr="00441B52">
        <w:t xml:space="preserve">, paragr. 43; </w:t>
      </w:r>
      <w:r w:rsidRPr="00441B52">
        <w:rPr>
          <w:i/>
          <w:iCs/>
        </w:rPr>
        <w:t>Montréal</w:t>
      </w:r>
      <w:r w:rsidRPr="00441B52">
        <w:t xml:space="preserve">, paragr. </w:t>
      </w:r>
      <w:r w:rsidRPr="00441B52">
        <w:rPr>
          <w:lang w:val="en-CA"/>
        </w:rPr>
        <w:t xml:space="preserve">95. </w:t>
      </w:r>
    </w:p>
  </w:footnote>
  <w:footnote w:id="123">
    <w:p w14:paraId="568EE94B"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Taylor</w:t>
      </w:r>
      <w:r w:rsidRPr="00441B52">
        <w:rPr>
          <w:rFonts w:cs="Arial"/>
          <w:lang w:val="en-CA"/>
        </w:rPr>
        <w:t>.</w:t>
      </w:r>
    </w:p>
  </w:footnote>
  <w:footnote w:id="124">
    <w:p w14:paraId="4398B830"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Irwin Toy</w:t>
      </w:r>
      <w:r w:rsidRPr="00441B52">
        <w:rPr>
          <w:lang w:val="en-CA"/>
        </w:rPr>
        <w:t xml:space="preserve">, p. 990. </w:t>
      </w:r>
    </w:p>
  </w:footnote>
  <w:footnote w:id="125">
    <w:p w14:paraId="54DEF063"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Hutterian</w:t>
      </w:r>
      <w:r w:rsidRPr="00441B52">
        <w:rPr>
          <w:lang w:val="en-CA"/>
        </w:rPr>
        <w:t>, paragr. 55.</w:t>
      </w:r>
    </w:p>
  </w:footnote>
  <w:footnote w:id="126">
    <w:p w14:paraId="07B8F5D6" w14:textId="77777777"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r>
      <w:r w:rsidRPr="00441B52">
        <w:rPr>
          <w:i/>
          <w:iCs/>
          <w:lang w:val="en-CA"/>
        </w:rPr>
        <w:t>R. c. Ndhlovu</w:t>
      </w:r>
      <w:r w:rsidRPr="00441B52">
        <w:rPr>
          <w:lang w:val="en-CA"/>
        </w:rPr>
        <w:t>, 2022 CSC 38 [</w:t>
      </w:r>
      <w:r w:rsidRPr="00441B52">
        <w:rPr>
          <w:i/>
          <w:iCs/>
          <w:lang w:val="en-CA"/>
        </w:rPr>
        <w:t>Ndhlovu</w:t>
      </w:r>
      <w:r w:rsidRPr="00441B52">
        <w:rPr>
          <w:lang w:val="en-CA"/>
        </w:rPr>
        <w:t>].</w:t>
      </w:r>
    </w:p>
  </w:footnote>
  <w:footnote w:id="127">
    <w:p w14:paraId="5DBBCD7C" w14:textId="7D80EB8E"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Tobacco, Smoking and Vaping Reduction Act</w:t>
      </w:r>
      <w:r w:rsidRPr="00441B52">
        <w:t xml:space="preserve">, SA c. T-3.8 2005, article 3 (Alberta); </w:t>
      </w:r>
      <w:r w:rsidRPr="00441B52">
        <w:rPr>
          <w:i/>
          <w:iCs/>
        </w:rPr>
        <w:t>Loi sur les endroits sans fumée</w:t>
      </w:r>
      <w:r w:rsidRPr="00441B52">
        <w:t xml:space="preserve">, L.R.N.-B. 2011, c. 222, art. 1, 3 a) et b), 4-5.4 (Nouveau-Brunswick); </w:t>
      </w:r>
      <w:r w:rsidRPr="00441B52">
        <w:rPr>
          <w:i/>
          <w:iCs/>
        </w:rPr>
        <w:t>Smoke-Free Places Act</w:t>
      </w:r>
      <w:r w:rsidRPr="00441B52">
        <w:t xml:space="preserve">, S.N.S. 2002, c. 12, art. 2 h), 5(1)e) et 7 (Nouvelle-Écosse); </w:t>
      </w:r>
      <w:r w:rsidRPr="00441B52">
        <w:rPr>
          <w:i/>
          <w:iCs/>
        </w:rPr>
        <w:t>Tobacco and Vapour Products Control Act</w:t>
      </w:r>
      <w:r w:rsidRPr="00441B52">
        <w:t xml:space="preserve">, RSBC 1996, c. 451 (Colombie-Britannique); </w:t>
      </w:r>
      <w:r w:rsidRPr="00441B52">
        <w:rPr>
          <w:i/>
          <w:iCs/>
        </w:rPr>
        <w:t>Smoke-Free Places Act</w:t>
      </w:r>
      <w:r w:rsidRPr="00441B52">
        <w:t xml:space="preserve">, R.S.P.E.I. 1988, c. S-4.2, art. n(i), 4(1), 5-11 (Île-du-Prince-Édouard); </w:t>
      </w:r>
      <w:r w:rsidRPr="00441B52">
        <w:rPr>
          <w:i/>
          <w:iCs/>
        </w:rPr>
        <w:t>Smoke-Free Environment Act</w:t>
      </w:r>
      <w:r w:rsidRPr="00441B52">
        <w:t xml:space="preserve">, 2005, S.N.L. 2005, c. S-16.2, art. 1(l) et (m.1) et art. 4(1) a) et i) (Terre-Neuve-et-Labrador); </w:t>
      </w:r>
      <w:r w:rsidRPr="00441B52">
        <w:rPr>
          <w:i/>
          <w:iCs/>
        </w:rPr>
        <w:t>Loi sur le contrôle et la réduction de la consommation par inhalation</w:t>
      </w:r>
      <w:r w:rsidRPr="00441B52">
        <w:t xml:space="preserve">, L.T.N.-O. 2019, c. 29, art.1a), 1b) (i) -(ii), 3 (1) a) , 3 (2) et 3 (3) (Territoires du Nord-Ouest); </w:t>
      </w:r>
      <w:r w:rsidRPr="00441B52">
        <w:rPr>
          <w:i/>
          <w:iCs/>
        </w:rPr>
        <w:t>Loi encadrant la lutte contre le fait de fumer et le tabagisme</w:t>
      </w:r>
      <w:r w:rsidRPr="00C735DE">
        <w:t>,</w:t>
      </w:r>
      <w:r w:rsidR="00C735DE" w:rsidRPr="00C735DE">
        <w:t xml:space="preserve"> CLNun, c. T-40, </w:t>
      </w:r>
      <w:r w:rsidRPr="00441B52">
        <w:t xml:space="preserve"> art. 2 et 20 2) a), m) et n) (Nunavut); </w:t>
      </w:r>
      <w:r w:rsidRPr="00441B52">
        <w:rPr>
          <w:i/>
          <w:iCs/>
        </w:rPr>
        <w:t>Loi sur le contrôle et la réglementation des produits du tabac ou de vapotage</w:t>
      </w:r>
      <w:r w:rsidRPr="00441B52">
        <w:t xml:space="preserve">, L.Y. 2019, c. 14, art. 2 a), b) et c), 6-10 (Yukon). </w:t>
      </w:r>
    </w:p>
  </w:footnote>
  <w:footnote w:id="128">
    <w:p w14:paraId="08C6F77A"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Pour l’interdiction de fumer ou de tenir une cigarette allumée dans des lieux fermés, voir : </w:t>
      </w:r>
      <w:r w:rsidRPr="00441B52">
        <w:rPr>
          <w:i/>
          <w:iCs/>
        </w:rPr>
        <w:t>Smoke-Free Ontario Act</w:t>
      </w:r>
      <w:r w:rsidRPr="00441B52">
        <w:t>, S.O., 2017, c. 26, Sched. 3, article 12. Pour l’exception, voir : O. Reg. 268/18</w:t>
      </w:r>
      <w:r w:rsidRPr="00441B52">
        <w:rPr>
          <w:i/>
          <w:iCs/>
        </w:rPr>
        <w:t xml:space="preserve">, </w:t>
      </w:r>
      <w:r w:rsidRPr="00441B52">
        <w:t>article 31. Cette exception ne permet que l’usage d’une cigarette électronique et ne s’applique qu’à une représentation « dramatique, musicale, éducative ou artistique produite directement sur scène ».</w:t>
      </w:r>
    </w:p>
  </w:footnote>
  <w:footnote w:id="129">
    <w:p w14:paraId="5410A63C"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Métallurgistes unis d’Amérique, section locale 7649 (FTQ)</w:t>
      </w:r>
      <w:r w:rsidRPr="00441B52">
        <w:t xml:space="preserve"> </w:t>
      </w:r>
      <w:r w:rsidRPr="00441B52">
        <w:rPr>
          <w:i/>
          <w:iCs/>
        </w:rPr>
        <w:t>c.</w:t>
      </w:r>
      <w:r w:rsidRPr="00441B52">
        <w:t xml:space="preserve"> </w:t>
      </w:r>
      <w:r w:rsidRPr="00441B52">
        <w:rPr>
          <w:i/>
        </w:rPr>
        <w:t>Directeur général des élections du Québec</w:t>
      </w:r>
      <w:r w:rsidRPr="00441B52">
        <w:t xml:space="preserve">, 2011 QCCA 1043, paragr. 46. Voir également : </w:t>
      </w:r>
      <w:r w:rsidRPr="00441B52">
        <w:rPr>
          <w:i/>
          <w:iCs/>
        </w:rPr>
        <w:t>Gallant</w:t>
      </w:r>
      <w:r w:rsidRPr="00441B52">
        <w:t xml:space="preserve">, paragr. 217-219; Peter W. Hogg et Wade K. Wright, </w:t>
      </w:r>
      <w:r w:rsidRPr="00441B52">
        <w:rPr>
          <w:i/>
          <w:iCs/>
        </w:rPr>
        <w:t>Constitutional Law of Canada</w:t>
      </w:r>
      <w:r w:rsidRPr="00441B52">
        <w:t>, 5e éd., vol. 2, Toronto, Thomson Reuters, 2007, (feuilles mobiles, mise à jour n</w:t>
      </w:r>
      <w:r w:rsidRPr="00441B52">
        <w:rPr>
          <w:vertAlign w:val="superscript"/>
        </w:rPr>
        <w:t>o</w:t>
      </w:r>
      <w:r w:rsidRPr="00441B52">
        <w:t> 2024-7), n</w:t>
      </w:r>
      <w:r w:rsidRPr="00441B52">
        <w:rPr>
          <w:vertAlign w:val="superscript"/>
        </w:rPr>
        <w:t>o</w:t>
      </w:r>
      <w:r w:rsidRPr="00441B52">
        <w:t> 38:21, p. 38-47.</w:t>
      </w:r>
    </w:p>
  </w:footnote>
  <w:footnote w:id="130">
    <w:p w14:paraId="1DC63E5D"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rPr>
        <w:t>Loi sur la santé et la sécurité du travail</w:t>
      </w:r>
      <w:r w:rsidRPr="00441B52">
        <w:t xml:space="preserve">, RLRQ, c. s-2.1, art. 12 et s. </w:t>
      </w:r>
    </w:p>
  </w:footnote>
  <w:footnote w:id="131">
    <w:p w14:paraId="59534535" w14:textId="0201B7CA" w:rsidR="00E524EA" w:rsidRPr="00441B52" w:rsidRDefault="00E524EA" w:rsidP="00E524EA">
      <w:pPr>
        <w:pStyle w:val="Notedebasdepage"/>
        <w:rPr>
          <w:lang w:val="en-CA"/>
        </w:rPr>
      </w:pPr>
      <w:r w:rsidRPr="00441B52">
        <w:rPr>
          <w:rStyle w:val="Appelnotedebasdep"/>
        </w:rPr>
        <w:footnoteRef/>
      </w:r>
      <w:r w:rsidRPr="00441B52">
        <w:rPr>
          <w:lang w:val="en-CA"/>
        </w:rPr>
        <w:t xml:space="preserve"> </w:t>
      </w:r>
      <w:r w:rsidRPr="00441B52">
        <w:rPr>
          <w:lang w:val="en-CA"/>
        </w:rPr>
        <w:tab/>
        <w:t>Voir</w:t>
      </w:r>
      <w:r w:rsidR="00535DC0" w:rsidRPr="00441B52">
        <w:rPr>
          <w:lang w:val="en-CA"/>
        </w:rPr>
        <w:t xml:space="preserve"> </w:t>
      </w:r>
      <w:r w:rsidRPr="00441B52">
        <w:rPr>
          <w:lang w:val="en-CA"/>
        </w:rPr>
        <w:t xml:space="preserve">: </w:t>
      </w:r>
      <w:r w:rsidRPr="00441B52">
        <w:rPr>
          <w:i/>
          <w:iCs/>
          <w:lang w:val="en-CA"/>
        </w:rPr>
        <w:t>Hutterian</w:t>
      </w:r>
      <w:r w:rsidRPr="00441B52">
        <w:rPr>
          <w:lang w:val="en-CA"/>
        </w:rPr>
        <w:t xml:space="preserve">, paragr. 60; </w:t>
      </w:r>
      <w:r w:rsidRPr="00441B52">
        <w:rPr>
          <w:i/>
          <w:iCs/>
          <w:lang w:val="en-CA"/>
        </w:rPr>
        <w:t>Ramsden</w:t>
      </w:r>
      <w:r w:rsidRPr="00441B52">
        <w:rPr>
          <w:lang w:val="en-CA"/>
        </w:rPr>
        <w:t>, p. 1107.</w:t>
      </w:r>
    </w:p>
  </w:footnote>
  <w:footnote w:id="132">
    <w:p w14:paraId="6A92F0C5"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Mémoire des Théâtres, paragr. 78. </w:t>
      </w:r>
    </w:p>
  </w:footnote>
  <w:footnote w:id="133">
    <w:p w14:paraId="222BB2B3" w14:textId="59B85EF7" w:rsidR="00E524EA" w:rsidRPr="00441B52" w:rsidRDefault="00E524EA" w:rsidP="00E524EA">
      <w:pPr>
        <w:pStyle w:val="Notedebasdepage"/>
      </w:pPr>
      <w:r w:rsidRPr="00441B52">
        <w:rPr>
          <w:rStyle w:val="Appelnotedebasdep"/>
        </w:rPr>
        <w:footnoteRef/>
      </w:r>
      <w:r w:rsidRPr="00441B52">
        <w:t xml:space="preserve"> </w:t>
      </w:r>
      <w:r w:rsidRPr="00441B52">
        <w:tab/>
        <w:t xml:space="preserve">Voir, par analogie : </w:t>
      </w:r>
      <w:r w:rsidRPr="00441B52">
        <w:rPr>
          <w:i/>
          <w:iCs/>
        </w:rPr>
        <w:t>New Brunswick Broadcasting Co., Ltd.</w:t>
      </w:r>
      <w:r w:rsidRPr="00441B52">
        <w:t xml:space="preserve"> </w:t>
      </w:r>
      <w:r w:rsidRPr="00441B52">
        <w:rPr>
          <w:i/>
          <w:iCs/>
        </w:rPr>
        <w:t>c.</w:t>
      </w:r>
      <w:r w:rsidRPr="00441B52">
        <w:t xml:space="preserve"> </w:t>
      </w:r>
      <w:r w:rsidRPr="00441B52">
        <w:rPr>
          <w:i/>
          <w:iCs/>
        </w:rPr>
        <w:t>CRTC</w:t>
      </w:r>
      <w:r w:rsidRPr="00441B52">
        <w:t xml:space="preserve">, [1984] 2 CF 410, dans lequel le juge en chef Thurlow de la Cour d’appel fédérale souligne : « La liberté qu’a l’appelante [New Brunswick Broadcasting Co.] de radiodiffuser ce qu’elle désire communiquer ne serait pas refusée par le rejet d’une demande de licence pour exploiter une entreprise de radiodiffusion. Comme n’importe qui, elle aurait la liberté de diffuser ses informations en achetant le temps d’émission à une station titulaire de licence. </w:t>
      </w:r>
      <w:r w:rsidRPr="00441B52">
        <w:rPr>
          <w:u w:val="single"/>
        </w:rPr>
        <w:t>La Charte ne confère pas non plus au reste du public le droit à un service de radiodiffusion que doit fournir l’appelante</w:t>
      </w:r>
      <w:r w:rsidRPr="00441B52">
        <w:t xml:space="preserve"> », p. 426 [soulignement ajouté]. </w:t>
      </w:r>
    </w:p>
  </w:footnote>
  <w:footnote w:id="134">
    <w:p w14:paraId="01733D8B"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Jugement entrepris, paragr. 70. </w:t>
      </w:r>
    </w:p>
  </w:footnote>
  <w:footnote w:id="135">
    <w:p w14:paraId="3D0CC008"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Carter</w:t>
      </w:r>
      <w:r w:rsidRPr="00441B52">
        <w:t xml:space="preserve">, paragr. 122. </w:t>
      </w:r>
    </w:p>
  </w:footnote>
  <w:footnote w:id="136">
    <w:p w14:paraId="2D2FD823"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Taylor</w:t>
      </w:r>
      <w:r w:rsidRPr="00441B52">
        <w:t xml:space="preserve">, paragr. 246. </w:t>
      </w:r>
    </w:p>
  </w:footnote>
  <w:footnote w:id="137">
    <w:p w14:paraId="1F8384DE" w14:textId="743369A4"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Supra</w:t>
      </w:r>
      <w:r w:rsidRPr="00441B52">
        <w:t xml:space="preserve">, paragr. </w:t>
      </w:r>
      <w:r w:rsidRPr="00441B52">
        <w:fldChar w:fldCharType="begin"/>
      </w:r>
      <w:r w:rsidRPr="00441B52">
        <w:instrText xml:space="preserve"> REF _Ref223778391 \r \h  \* MERGEFORMAT </w:instrText>
      </w:r>
      <w:r w:rsidRPr="00441B52">
        <w:fldChar w:fldCharType="separate"/>
      </w:r>
      <w:r w:rsidR="00DA7E95">
        <w:t>[37]</w:t>
      </w:r>
      <w:r w:rsidRPr="00441B52">
        <w:fldChar w:fldCharType="end"/>
      </w:r>
      <w:r w:rsidRPr="00441B52">
        <w:t xml:space="preserve"> à </w:t>
      </w:r>
      <w:r w:rsidRPr="00441B52">
        <w:fldChar w:fldCharType="begin"/>
      </w:r>
      <w:r w:rsidRPr="00441B52">
        <w:instrText xml:space="preserve"> REF _Ref223778419 \r \h  \* MERGEFORMAT </w:instrText>
      </w:r>
      <w:r w:rsidRPr="00441B52">
        <w:fldChar w:fldCharType="separate"/>
      </w:r>
      <w:r w:rsidR="00DA7E95">
        <w:t>[49]</w:t>
      </w:r>
      <w:r w:rsidRPr="00441B52">
        <w:fldChar w:fldCharType="end"/>
      </w:r>
      <w:r w:rsidRPr="00441B52">
        <w:t>.</w:t>
      </w:r>
    </w:p>
  </w:footnote>
  <w:footnote w:id="138">
    <w:p w14:paraId="138CFD70"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Voir, par analogie : </w:t>
      </w:r>
      <w:r w:rsidRPr="00441B52">
        <w:rPr>
          <w:i/>
          <w:iCs/>
        </w:rPr>
        <w:t>Ndhlovu</w:t>
      </w:r>
      <w:r w:rsidRPr="00441B52">
        <w:t xml:space="preserve">, paragr. </w:t>
      </w:r>
      <w:r w:rsidRPr="00441B52">
        <w:rPr>
          <w:lang w:val="en-CA"/>
        </w:rPr>
        <w:t xml:space="preserve">130; K.R.J., paragr. 92; </w:t>
      </w:r>
      <w:r w:rsidRPr="00441B52">
        <w:rPr>
          <w:i/>
          <w:iCs/>
          <w:lang w:val="en-CA"/>
        </w:rPr>
        <w:t>Thompson Newspaper</w:t>
      </w:r>
      <w:r w:rsidRPr="00441B52">
        <w:rPr>
          <w:lang w:val="en-CA"/>
        </w:rPr>
        <w:t xml:space="preserve">, paragr. </w:t>
      </w:r>
      <w:r w:rsidRPr="00441B52">
        <w:t>120-130.</w:t>
      </w:r>
    </w:p>
  </w:footnote>
  <w:footnote w:id="139">
    <w:p w14:paraId="22E35B6D"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Jugement entrepris, paragr. 71-72. </w:t>
      </w:r>
    </w:p>
  </w:footnote>
  <w:footnote w:id="140">
    <w:p w14:paraId="07371EB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Taylor</w:t>
      </w:r>
      <w:r w:rsidRPr="00441B52">
        <w:t xml:space="preserve">, paragr. 246. </w:t>
      </w:r>
    </w:p>
  </w:footnote>
  <w:footnote w:id="141">
    <w:p w14:paraId="68A33710" w14:textId="77777777" w:rsidR="00E524EA" w:rsidRPr="00441B52" w:rsidRDefault="00E524EA" w:rsidP="00E524EA">
      <w:pPr>
        <w:pStyle w:val="Notedebasdepage"/>
      </w:pPr>
      <w:r w:rsidRPr="00441B52">
        <w:rPr>
          <w:rStyle w:val="Appelnotedebasdep"/>
        </w:rPr>
        <w:footnoteRef/>
      </w:r>
      <w:r w:rsidRPr="00441B52">
        <w:t xml:space="preserve"> </w:t>
      </w:r>
      <w:r w:rsidRPr="00441B52">
        <w:tab/>
        <w:t>Jugement entrepris, paragr. 73.</w:t>
      </w:r>
    </w:p>
  </w:footnote>
  <w:footnote w:id="142">
    <w:p w14:paraId="58844B0F" w14:textId="77C0AA01" w:rsidR="00E524EA" w:rsidRPr="00441B52" w:rsidRDefault="00E524EA" w:rsidP="00E524EA">
      <w:pPr>
        <w:pStyle w:val="Notedebasdepage"/>
      </w:pPr>
      <w:r w:rsidRPr="00441B52">
        <w:rPr>
          <w:rStyle w:val="Appelnotedebasdep"/>
        </w:rPr>
        <w:footnoteRef/>
      </w:r>
      <w:r w:rsidRPr="00441B52">
        <w:t xml:space="preserve"> </w:t>
      </w:r>
      <w:r w:rsidRPr="00441B52">
        <w:tab/>
      </w:r>
      <w:r w:rsidR="009F2568" w:rsidRPr="00441B52">
        <w:rPr>
          <w:i/>
          <w:iCs/>
        </w:rPr>
        <w:t>Id.</w:t>
      </w:r>
      <w:r w:rsidRPr="00441B52">
        <w:t>, paragr. 76.</w:t>
      </w:r>
    </w:p>
  </w:footnote>
  <w:footnote w:id="143">
    <w:p w14:paraId="66406E04" w14:textId="32B4A5CF" w:rsidR="00E524EA" w:rsidRPr="00441B52" w:rsidRDefault="00E524EA" w:rsidP="00E524EA">
      <w:pPr>
        <w:pStyle w:val="Notedebasdepage"/>
      </w:pPr>
      <w:r w:rsidRPr="00441B52">
        <w:rPr>
          <w:rStyle w:val="Appelnotedebasdep"/>
        </w:rPr>
        <w:footnoteRef/>
      </w:r>
      <w:r w:rsidRPr="00441B52">
        <w:t xml:space="preserve"> </w:t>
      </w:r>
      <w:r w:rsidRPr="00441B52">
        <w:tab/>
      </w:r>
      <w:r w:rsidR="009F2568" w:rsidRPr="00441B52">
        <w:rPr>
          <w:i/>
          <w:iCs/>
        </w:rPr>
        <w:t>Id.</w:t>
      </w:r>
      <w:r w:rsidRPr="00441B52">
        <w:t>, paragr. 77.</w:t>
      </w:r>
    </w:p>
  </w:footnote>
  <w:footnote w:id="144">
    <w:p w14:paraId="50C97B0D"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Les Théâtres ont reconnu les éléments essentiels des infractions puis ont été déclarés coupables par le juge de paix magistrat, sous réserve de leur demande d’invalidité de la législation, en raison d’une atteinte à la liberté d’expression artistique, contrairement à ce que le juge mentionne au paragr. 78 du jugement entrepris. </w:t>
      </w:r>
    </w:p>
  </w:footnote>
  <w:footnote w:id="145">
    <w:p w14:paraId="5C827544" w14:textId="1FF49E92" w:rsidR="00E524EA" w:rsidRPr="00441B52" w:rsidRDefault="00E524EA" w:rsidP="00E524EA">
      <w:pPr>
        <w:pStyle w:val="Notedebasdepage"/>
      </w:pPr>
      <w:r w:rsidRPr="00441B52">
        <w:rPr>
          <w:rStyle w:val="Appelnotedebasdep"/>
        </w:rPr>
        <w:footnoteRef/>
      </w:r>
      <w:r w:rsidRPr="00441B52">
        <w:t xml:space="preserve"> </w:t>
      </w:r>
      <w:r w:rsidRPr="00441B52">
        <w:tab/>
        <w:t xml:space="preserve">Pour le texte des dispositions, voir </w:t>
      </w:r>
      <w:r w:rsidRPr="00441B52">
        <w:rPr>
          <w:i/>
          <w:iCs/>
        </w:rPr>
        <w:t>supra</w:t>
      </w:r>
      <w:r w:rsidRPr="00441B52">
        <w:t xml:space="preserve">, paragr. </w:t>
      </w:r>
      <w:r w:rsidRPr="00441B52">
        <w:fldChar w:fldCharType="begin"/>
      </w:r>
      <w:r w:rsidRPr="00441B52">
        <w:instrText xml:space="preserve"> REF _Ref223778453 \r \h </w:instrText>
      </w:r>
      <w:r w:rsidR="00441B52">
        <w:instrText xml:space="preserve"> \* MERGEFORMAT </w:instrText>
      </w:r>
      <w:r w:rsidRPr="00441B52">
        <w:fldChar w:fldCharType="separate"/>
      </w:r>
      <w:r w:rsidR="00DA7E95">
        <w:t>[19]</w:t>
      </w:r>
      <w:r w:rsidRPr="00441B52">
        <w:fldChar w:fldCharType="end"/>
      </w:r>
      <w:r w:rsidRPr="00441B52">
        <w:t xml:space="preserve"> à </w:t>
      </w:r>
      <w:r w:rsidRPr="00441B52">
        <w:fldChar w:fldCharType="begin"/>
      </w:r>
      <w:r w:rsidRPr="00441B52">
        <w:instrText xml:space="preserve"> REF _Ref223778469 \r \h </w:instrText>
      </w:r>
      <w:r w:rsidR="00441B52">
        <w:instrText xml:space="preserve"> \* MERGEFORMAT </w:instrText>
      </w:r>
      <w:r w:rsidRPr="00441B52">
        <w:fldChar w:fldCharType="separate"/>
      </w:r>
      <w:r w:rsidR="00DA7E95">
        <w:t>[21]</w:t>
      </w:r>
      <w:r w:rsidRPr="00441B52">
        <w:fldChar w:fldCharType="end"/>
      </w:r>
      <w:r w:rsidRPr="00441B52">
        <w:t xml:space="preserve">. </w:t>
      </w:r>
    </w:p>
  </w:footnote>
  <w:footnote w:id="146">
    <w:p w14:paraId="13D99FDA" w14:textId="77777777" w:rsidR="00E524EA" w:rsidRPr="00441B52" w:rsidRDefault="00E524EA" w:rsidP="00E524EA">
      <w:pPr>
        <w:pStyle w:val="Notedebasdepage"/>
      </w:pPr>
      <w:r w:rsidRPr="00441B52">
        <w:rPr>
          <w:rStyle w:val="Appelnotedebasdep"/>
        </w:rPr>
        <w:footnoteRef/>
      </w:r>
      <w:r w:rsidRPr="00441B52">
        <w:t xml:space="preserve"> </w:t>
      </w:r>
      <w:r w:rsidRPr="00441B52">
        <w:tab/>
        <w:t>Mémoire du PGQ, paragr. 111 [caractères gras dans l’original].</w:t>
      </w:r>
    </w:p>
  </w:footnote>
  <w:footnote w:id="147">
    <w:p w14:paraId="1ED6221F"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G.</w:t>
      </w:r>
      <w:r w:rsidRPr="00441B52">
        <w:t>, paragr. 158</w:t>
      </w:r>
    </w:p>
  </w:footnote>
  <w:footnote w:id="148">
    <w:p w14:paraId="17E7D462" w14:textId="77777777" w:rsidR="00E524EA" w:rsidRPr="00441B52" w:rsidRDefault="00E524EA" w:rsidP="00E524EA">
      <w:pPr>
        <w:pStyle w:val="Notedebasdepage"/>
      </w:pPr>
      <w:r w:rsidRPr="00441B52">
        <w:rPr>
          <w:rStyle w:val="Appelnotedebasdep"/>
        </w:rPr>
        <w:footnoteRef/>
      </w:r>
      <w:r w:rsidRPr="00441B52">
        <w:t xml:space="preserve"> </w:t>
      </w:r>
      <w:r w:rsidRPr="00441B52">
        <w:tab/>
        <w:t xml:space="preserve">Voir, par analogie : </w:t>
      </w:r>
      <w:r w:rsidRPr="00441B52">
        <w:rPr>
          <w:i/>
          <w:iCs/>
        </w:rPr>
        <w:t>G.</w:t>
      </w:r>
      <w:r w:rsidRPr="00441B52">
        <w:t>, paragr. 130.</w:t>
      </w:r>
    </w:p>
  </w:footnote>
  <w:footnote w:id="149">
    <w:p w14:paraId="33CB7444"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G.</w:t>
      </w:r>
      <w:r w:rsidRPr="00441B52">
        <w:t>, paragr. 165.</w:t>
      </w:r>
    </w:p>
  </w:footnote>
  <w:footnote w:id="150">
    <w:p w14:paraId="1F38252E" w14:textId="6BACB08D" w:rsidR="00E524EA" w:rsidRPr="00441B52" w:rsidRDefault="00E524EA" w:rsidP="00E524EA">
      <w:pPr>
        <w:pStyle w:val="Notedebasdepage"/>
      </w:pPr>
      <w:r w:rsidRPr="00441B52">
        <w:rPr>
          <w:rStyle w:val="Appelnotedebasdep"/>
        </w:rPr>
        <w:footnoteRef/>
      </w:r>
      <w:r w:rsidRPr="00441B52">
        <w:t xml:space="preserve"> </w:t>
      </w:r>
      <w:r w:rsidRPr="00441B52">
        <w:tab/>
      </w:r>
      <w:r w:rsidR="009F2568" w:rsidRPr="00441B52">
        <w:rPr>
          <w:i/>
          <w:iCs/>
        </w:rPr>
        <w:t>Id</w:t>
      </w:r>
      <w:r w:rsidRPr="00441B52">
        <w:rPr>
          <w:i/>
          <w:iCs/>
        </w:rPr>
        <w:t>.</w:t>
      </w:r>
      <w:r w:rsidRPr="00441B52">
        <w:t>, paragr. 166.</w:t>
      </w:r>
    </w:p>
  </w:footnote>
  <w:footnote w:id="151">
    <w:p w14:paraId="47F70C55" w14:textId="77777777" w:rsidR="00E524EA" w:rsidRPr="00441B52" w:rsidRDefault="00E524EA" w:rsidP="00E524EA">
      <w:pPr>
        <w:pStyle w:val="Notedebasdepage"/>
      </w:pPr>
      <w:r w:rsidRPr="00441B52">
        <w:rPr>
          <w:rStyle w:val="Appelnotedebasdep"/>
        </w:rPr>
        <w:footnoteRef/>
      </w:r>
      <w:r w:rsidRPr="00441B52">
        <w:t xml:space="preserve"> </w:t>
      </w:r>
      <w:r w:rsidRPr="00441B52">
        <w:tab/>
      </w:r>
      <w:r w:rsidRPr="00441B52">
        <w:rPr>
          <w:i/>
          <w:iCs/>
        </w:rPr>
        <w:t>G</w:t>
      </w:r>
      <w:r w:rsidRPr="00441B52">
        <w:t>., paragr. 139.</w:t>
      </w:r>
    </w:p>
  </w:footnote>
  <w:footnote w:id="152">
    <w:p w14:paraId="6BA102AD" w14:textId="6DD5A5C9" w:rsidR="00E524EA" w:rsidRDefault="00E524EA" w:rsidP="00E524EA">
      <w:pPr>
        <w:pStyle w:val="Notedebasdepage"/>
      </w:pPr>
      <w:r w:rsidRPr="00441B52">
        <w:rPr>
          <w:rStyle w:val="Appelnotedebasdep"/>
        </w:rPr>
        <w:footnoteRef/>
      </w:r>
      <w:r w:rsidRPr="00441B52">
        <w:t xml:space="preserve"> </w:t>
      </w:r>
      <w:r w:rsidRPr="00441B52">
        <w:tab/>
      </w:r>
      <w:r w:rsidR="009F2568" w:rsidRPr="00441B52">
        <w:rPr>
          <w:i/>
          <w:iCs/>
        </w:rPr>
        <w:t>Ibid</w:t>
      </w:r>
      <w:r w:rsidRPr="00441B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C44D" w14:textId="77777777" w:rsidR="00BC662C" w:rsidRDefault="00BC66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CD72D" w14:textId="3BA975A0" w:rsidR="007E33E4" w:rsidRDefault="00FF5D92" w:rsidP="00DB2119">
    <w:pPr>
      <w:tabs>
        <w:tab w:val="center" w:pos="4709"/>
        <w:tab w:val="right" w:pos="9360"/>
      </w:tabs>
      <w:spacing w:line="360" w:lineRule="auto"/>
      <w:ind w:right="524"/>
    </w:pPr>
    <w:bookmarkStart w:id="48" w:name="EntDossier"/>
    <w:r>
      <w:t>200-10-004139-247</w:t>
    </w:r>
    <w:bookmarkEnd w:id="48"/>
    <w:r w:rsidR="007E33E4" w:rsidRPr="007462D6">
      <w:t xml:space="preserve"> </w:t>
    </w:r>
    <w:r w:rsidR="007E33E4">
      <w:tab/>
    </w:r>
    <w:r w:rsidR="007E33E4">
      <w:tab/>
      <w:t xml:space="preserve">PAGE : </w:t>
    </w:r>
    <w:r w:rsidR="007E33E4">
      <w:fldChar w:fldCharType="begin"/>
    </w:r>
    <w:r w:rsidR="007E33E4">
      <w:instrText xml:space="preserve"> PAGE </w:instrText>
    </w:r>
    <w:r w:rsidR="007E33E4">
      <w:fldChar w:fldCharType="separate"/>
    </w:r>
    <w:r w:rsidR="008D18FC">
      <w:rPr>
        <w:noProof/>
      </w:rPr>
      <w:t>2</w:t>
    </w:r>
    <w:r w:rsidR="007E33E4">
      <w:fldChar w:fldCharType="end"/>
    </w:r>
  </w:p>
  <w:p w14:paraId="0577C64C" w14:textId="77777777" w:rsidR="007E33E4" w:rsidRDefault="007E33E4" w:rsidP="00DB2119">
    <w:pPr>
      <w:tabs>
        <w:tab w:val="center" w:pos="4709"/>
        <w:tab w:val="right" w:pos="9360"/>
      </w:tabs>
      <w:spacing w:line="360" w:lineRule="auto"/>
      <w:ind w:right="52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000C" w14:textId="77777777" w:rsidR="00BC662C" w:rsidRDefault="00BC662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1E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F12EA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2647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1C3B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EAB8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219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070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6436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DCE6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34AE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2E95"/>
    <w:multiLevelType w:val="hybridMultilevel"/>
    <w:tmpl w:val="8C7AA93A"/>
    <w:lvl w:ilvl="0" w:tplc="0C0C0001">
      <w:start w:val="20"/>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01FB1C0A"/>
    <w:multiLevelType w:val="hybridMultilevel"/>
    <w:tmpl w:val="0130C964"/>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058C7C2F"/>
    <w:multiLevelType w:val="hybridMultilevel"/>
    <w:tmpl w:val="3578C77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B654046"/>
    <w:multiLevelType w:val="hybridMultilevel"/>
    <w:tmpl w:val="B2FE39D4"/>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1158023C"/>
    <w:multiLevelType w:val="multilevel"/>
    <w:tmpl w:val="AAB6963A"/>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13B40219"/>
    <w:multiLevelType w:val="hybridMultilevel"/>
    <w:tmpl w:val="3B3A8002"/>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8BB52DE"/>
    <w:multiLevelType w:val="multilevel"/>
    <w:tmpl w:val="79E601F0"/>
    <w:lvl w:ilvl="0">
      <w:start w:val="1"/>
      <w:numFmt w:val="decimal"/>
      <w:pStyle w:val="Paragraphe"/>
      <w:lvlText w:val="[%1]"/>
      <w:lvlJc w:val="left"/>
      <w:pPr>
        <w:tabs>
          <w:tab w:val="num" w:pos="720"/>
        </w:tabs>
        <w:ind w:left="0" w:firstLine="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4927EEF"/>
    <w:multiLevelType w:val="hybridMultilevel"/>
    <w:tmpl w:val="3BD4AE20"/>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2E051F1"/>
    <w:multiLevelType w:val="multilevel"/>
    <w:tmpl w:val="9FF6529E"/>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4A9D1B84"/>
    <w:multiLevelType w:val="multilevel"/>
    <w:tmpl w:val="2766DEE4"/>
    <w:lvl w:ilvl="0">
      <w:start w:val="1"/>
      <w:numFmt w:val="bullet"/>
      <w:lvlText w:val=""/>
      <w:lvlJc w:val="left"/>
      <w:pPr>
        <w:tabs>
          <w:tab w:val="num" w:pos="792"/>
        </w:tabs>
        <w:ind w:left="792" w:hanging="72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D08744A"/>
    <w:multiLevelType w:val="multilevel"/>
    <w:tmpl w:val="32C074B4"/>
    <w:lvl w:ilvl="0">
      <w:start w:val="1"/>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21" w15:restartNumberingAfterBreak="0">
    <w:nsid w:val="526C3BF4"/>
    <w:multiLevelType w:val="multilevel"/>
    <w:tmpl w:val="64B27E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89C3426"/>
    <w:multiLevelType w:val="hybridMultilevel"/>
    <w:tmpl w:val="3E665F6C"/>
    <w:lvl w:ilvl="0" w:tplc="B12EE20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5D891C90"/>
    <w:multiLevelType w:val="multilevel"/>
    <w:tmpl w:val="E4B80EC4"/>
    <w:lvl w:ilvl="0">
      <w:start w:val="1"/>
      <w:numFmt w:val="decimal"/>
      <w:lvlText w:val="%1."/>
      <w:lvlJc w:val="left"/>
      <w:pPr>
        <w:ind w:left="430" w:hanging="43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24" w15:restartNumberingAfterBreak="0">
    <w:nsid w:val="609C0DCC"/>
    <w:multiLevelType w:val="multilevel"/>
    <w:tmpl w:val="F11C8164"/>
    <w:lvl w:ilvl="0">
      <w:start w:val="1"/>
      <w:numFmt w:val="decimal"/>
      <w:lvlText w:val="[%1]"/>
      <w:lvlJc w:val="left"/>
      <w:pPr>
        <w:tabs>
          <w:tab w:val="num" w:pos="360"/>
        </w:tabs>
        <w:ind w:left="0" w:firstLine="0"/>
      </w:pPr>
      <w:rPr>
        <w:rFonts w:ascii="Arial" w:hAnsi="Arial" w:hint="default"/>
        <w:b w:val="0"/>
        <w:i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68683D0C"/>
    <w:multiLevelType w:val="multilevel"/>
    <w:tmpl w:val="578AAB64"/>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D2B46E8"/>
    <w:multiLevelType w:val="multilevel"/>
    <w:tmpl w:val="EE88570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749842D3"/>
    <w:multiLevelType w:val="hybridMultilevel"/>
    <w:tmpl w:val="6C7E9B40"/>
    <w:lvl w:ilvl="0" w:tplc="0C0C0001">
      <w:numFmt w:val="bullet"/>
      <w:lvlText w:val=""/>
      <w:lvlJc w:val="left"/>
      <w:pPr>
        <w:ind w:left="720" w:hanging="360"/>
      </w:pPr>
      <w:rPr>
        <w:rFonts w:ascii="Symbol" w:eastAsia="Times New Roman" w:hAnsi="Symbol"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5CE3428"/>
    <w:multiLevelType w:val="hybridMultilevel"/>
    <w:tmpl w:val="71483854"/>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7837339C"/>
    <w:multiLevelType w:val="multilevel"/>
    <w:tmpl w:val="368AB3AE"/>
    <w:lvl w:ilvl="0">
      <w:start w:val="1"/>
      <w:numFmt w:val="decimal"/>
      <w:lvlText w:val="%1"/>
      <w:lvlJc w:val="left"/>
      <w:pPr>
        <w:ind w:left="360" w:hanging="360"/>
      </w:pPr>
      <w:rPr>
        <w:rFonts w:hint="default"/>
        <w:b/>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b/>
      </w:rPr>
    </w:lvl>
    <w:lvl w:ilvl="3">
      <w:start w:val="1"/>
      <w:numFmt w:val="decimal"/>
      <w:lvlText w:val="%1.%2.%3.%4"/>
      <w:lvlJc w:val="left"/>
      <w:pPr>
        <w:ind w:left="3456" w:hanging="1080"/>
      </w:pPr>
      <w:rPr>
        <w:rFonts w:hint="default"/>
        <w:b/>
      </w:rPr>
    </w:lvl>
    <w:lvl w:ilvl="4">
      <w:start w:val="1"/>
      <w:numFmt w:val="decimal"/>
      <w:lvlText w:val="%1.%2.%3.%4.%5"/>
      <w:lvlJc w:val="left"/>
      <w:pPr>
        <w:ind w:left="4248" w:hanging="1080"/>
      </w:pPr>
      <w:rPr>
        <w:rFonts w:hint="default"/>
        <w:b/>
      </w:rPr>
    </w:lvl>
    <w:lvl w:ilvl="5">
      <w:start w:val="1"/>
      <w:numFmt w:val="decimal"/>
      <w:lvlText w:val="%1.%2.%3.%4.%5.%6"/>
      <w:lvlJc w:val="left"/>
      <w:pPr>
        <w:ind w:left="5400" w:hanging="1440"/>
      </w:pPr>
      <w:rPr>
        <w:rFonts w:hint="default"/>
        <w:b/>
      </w:rPr>
    </w:lvl>
    <w:lvl w:ilvl="6">
      <w:start w:val="1"/>
      <w:numFmt w:val="decimal"/>
      <w:lvlText w:val="%1.%2.%3.%4.%5.%6.%7"/>
      <w:lvlJc w:val="left"/>
      <w:pPr>
        <w:ind w:left="6192" w:hanging="1440"/>
      </w:pPr>
      <w:rPr>
        <w:rFonts w:hint="default"/>
        <w:b/>
      </w:rPr>
    </w:lvl>
    <w:lvl w:ilvl="7">
      <w:start w:val="1"/>
      <w:numFmt w:val="decimal"/>
      <w:lvlText w:val="%1.%2.%3.%4.%5.%6.%7.%8"/>
      <w:lvlJc w:val="left"/>
      <w:pPr>
        <w:ind w:left="7344" w:hanging="1800"/>
      </w:pPr>
      <w:rPr>
        <w:rFonts w:hint="default"/>
        <w:b/>
      </w:rPr>
    </w:lvl>
    <w:lvl w:ilvl="8">
      <w:start w:val="1"/>
      <w:numFmt w:val="decimal"/>
      <w:lvlText w:val="%1.%2.%3.%4.%5.%6.%7.%8.%9"/>
      <w:lvlJc w:val="left"/>
      <w:pPr>
        <w:ind w:left="8136" w:hanging="1800"/>
      </w:pPr>
      <w:rPr>
        <w:rFonts w:hint="default"/>
        <w:b/>
      </w:rPr>
    </w:lvl>
  </w:abstractNum>
  <w:abstractNum w:abstractNumId="30" w15:restartNumberingAfterBreak="0">
    <w:nsid w:val="7A1B2C72"/>
    <w:multiLevelType w:val="hybridMultilevel"/>
    <w:tmpl w:val="D820D0F6"/>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7A7831B1"/>
    <w:multiLevelType w:val="multilevel"/>
    <w:tmpl w:val="02582BE2"/>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num w:numId="1" w16cid:durableId="1005744867">
    <w:abstractNumId w:val="24"/>
  </w:num>
  <w:num w:numId="2" w16cid:durableId="2126729408">
    <w:abstractNumId w:val="24"/>
  </w:num>
  <w:num w:numId="3" w16cid:durableId="1932200708">
    <w:abstractNumId w:val="24"/>
  </w:num>
  <w:num w:numId="4" w16cid:durableId="1181696905">
    <w:abstractNumId w:val="8"/>
  </w:num>
  <w:num w:numId="5" w16cid:durableId="480579356">
    <w:abstractNumId w:val="3"/>
  </w:num>
  <w:num w:numId="6" w16cid:durableId="827285401">
    <w:abstractNumId w:val="2"/>
  </w:num>
  <w:num w:numId="7" w16cid:durableId="1914662429">
    <w:abstractNumId w:val="1"/>
  </w:num>
  <w:num w:numId="8" w16cid:durableId="2108848720">
    <w:abstractNumId w:val="0"/>
  </w:num>
  <w:num w:numId="9" w16cid:durableId="1457991691">
    <w:abstractNumId w:val="9"/>
  </w:num>
  <w:num w:numId="10" w16cid:durableId="1496067544">
    <w:abstractNumId w:val="7"/>
  </w:num>
  <w:num w:numId="11" w16cid:durableId="1404836006">
    <w:abstractNumId w:val="6"/>
  </w:num>
  <w:num w:numId="12" w16cid:durableId="401564615">
    <w:abstractNumId w:val="5"/>
  </w:num>
  <w:num w:numId="13" w16cid:durableId="1963922308">
    <w:abstractNumId w:val="4"/>
  </w:num>
  <w:num w:numId="14" w16cid:durableId="101456703">
    <w:abstractNumId w:val="24"/>
  </w:num>
  <w:num w:numId="15" w16cid:durableId="1382091185">
    <w:abstractNumId w:val="24"/>
  </w:num>
  <w:num w:numId="16" w16cid:durableId="1993637402">
    <w:abstractNumId w:val="24"/>
  </w:num>
  <w:num w:numId="17" w16cid:durableId="1263806435">
    <w:abstractNumId w:val="19"/>
  </w:num>
  <w:num w:numId="18" w16cid:durableId="43604593">
    <w:abstractNumId w:val="16"/>
  </w:num>
  <w:num w:numId="19" w16cid:durableId="577986528">
    <w:abstractNumId w:val="13"/>
  </w:num>
  <w:num w:numId="20" w16cid:durableId="1703899970">
    <w:abstractNumId w:val="30"/>
  </w:num>
  <w:num w:numId="21" w16cid:durableId="1975064928">
    <w:abstractNumId w:val="12"/>
  </w:num>
  <w:num w:numId="22" w16cid:durableId="1019619564">
    <w:abstractNumId w:val="17"/>
  </w:num>
  <w:num w:numId="23" w16cid:durableId="293564615">
    <w:abstractNumId w:val="22"/>
  </w:num>
  <w:num w:numId="24" w16cid:durableId="1727682783">
    <w:abstractNumId w:val="25"/>
  </w:num>
  <w:num w:numId="25" w16cid:durableId="2056585749">
    <w:abstractNumId w:val="21"/>
  </w:num>
  <w:num w:numId="26" w16cid:durableId="1429347494">
    <w:abstractNumId w:val="28"/>
  </w:num>
  <w:num w:numId="27" w16cid:durableId="2064015810">
    <w:abstractNumId w:val="15"/>
  </w:num>
  <w:num w:numId="28" w16cid:durableId="45105919">
    <w:abstractNumId w:val="11"/>
  </w:num>
  <w:num w:numId="29" w16cid:durableId="2051569409">
    <w:abstractNumId w:val="27"/>
  </w:num>
  <w:num w:numId="30" w16cid:durableId="1221017845">
    <w:abstractNumId w:val="10"/>
  </w:num>
  <w:num w:numId="31" w16cid:durableId="1512911387">
    <w:abstractNumId w:val="23"/>
  </w:num>
  <w:num w:numId="32" w16cid:durableId="1359695724">
    <w:abstractNumId w:val="14"/>
  </w:num>
  <w:num w:numId="33" w16cid:durableId="570623523">
    <w:abstractNumId w:val="16"/>
    <w:lvlOverride w:ilvl="0">
      <w:startOverride w:val="1"/>
    </w:lvlOverride>
    <w:lvlOverride w:ilvl="1">
      <w:startOverride w:val="1"/>
    </w:lvlOverride>
  </w:num>
  <w:num w:numId="34" w16cid:durableId="1218055874">
    <w:abstractNumId w:val="29"/>
  </w:num>
  <w:num w:numId="35" w16cid:durableId="1855605576">
    <w:abstractNumId w:val="18"/>
  </w:num>
  <w:num w:numId="36" w16cid:durableId="1826049820">
    <w:abstractNumId w:val="31"/>
  </w:num>
  <w:num w:numId="37" w16cid:durableId="1524203329">
    <w:abstractNumId w:val="20"/>
  </w:num>
  <w:num w:numId="38" w16cid:durableId="21161711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nNBChoix" w:val="3"/>
    <w:docVar w:name="MotifJuge1" w:val="MOTIFS DE LA JUGE"/>
    <w:docVar w:name="MotifJuge2" w:val="MOTIFS DE LA JUGE"/>
    <w:docVar w:name="MotifJuge3" w:val="MOTIFS DE LA JUGE"/>
    <w:docVar w:name="NomFamJuge1" w:val="HOGUE"/>
    <w:docVar w:name="NomFamJuge2" w:val="LAVALLÉE"/>
    <w:docVar w:name="NomFamJuge3" w:val="HARVIE"/>
    <w:docVar w:name="NomFamJuge4" w:val="MAILHOT"/>
    <w:docVar w:name="NomFamJuge5" w:val="BAUDOUIN"/>
    <w:docVar w:name="QteJuge1" w:val=", J.C.A."/>
    <w:docVar w:name="QteJuge2" w:val=", J.C.A."/>
    <w:docVar w:name="QteJuge3" w:val=", J.C.A."/>
    <w:docVar w:name="stPremiereFois" w:val="Non"/>
  </w:docVars>
  <w:rsids>
    <w:rsidRoot w:val="00FF5D92"/>
    <w:rsid w:val="00007ACA"/>
    <w:rsid w:val="000131E1"/>
    <w:rsid w:val="00030C93"/>
    <w:rsid w:val="0004394C"/>
    <w:rsid w:val="00052A85"/>
    <w:rsid w:val="00053691"/>
    <w:rsid w:val="000A7516"/>
    <w:rsid w:val="000B42AF"/>
    <w:rsid w:val="00110B53"/>
    <w:rsid w:val="00112321"/>
    <w:rsid w:val="00117914"/>
    <w:rsid w:val="0013028C"/>
    <w:rsid w:val="00142943"/>
    <w:rsid w:val="0015129C"/>
    <w:rsid w:val="0015610F"/>
    <w:rsid w:val="0015723E"/>
    <w:rsid w:val="00160B31"/>
    <w:rsid w:val="00170F96"/>
    <w:rsid w:val="00181F56"/>
    <w:rsid w:val="001830B2"/>
    <w:rsid w:val="0018446A"/>
    <w:rsid w:val="00190FA7"/>
    <w:rsid w:val="0019456C"/>
    <w:rsid w:val="001972F2"/>
    <w:rsid w:val="0019738C"/>
    <w:rsid w:val="001A2C66"/>
    <w:rsid w:val="001A5942"/>
    <w:rsid w:val="001E38FC"/>
    <w:rsid w:val="00205DC4"/>
    <w:rsid w:val="0021548E"/>
    <w:rsid w:val="002273F5"/>
    <w:rsid w:val="002727AF"/>
    <w:rsid w:val="002A0822"/>
    <w:rsid w:val="002A1CF3"/>
    <w:rsid w:val="002B4A07"/>
    <w:rsid w:val="002C4107"/>
    <w:rsid w:val="002D06A6"/>
    <w:rsid w:val="002E1F0E"/>
    <w:rsid w:val="002E229C"/>
    <w:rsid w:val="002E51F1"/>
    <w:rsid w:val="002F0887"/>
    <w:rsid w:val="002F1350"/>
    <w:rsid w:val="002F1DBC"/>
    <w:rsid w:val="002F2C89"/>
    <w:rsid w:val="002F6136"/>
    <w:rsid w:val="002F63DA"/>
    <w:rsid w:val="00302EC7"/>
    <w:rsid w:val="00322DE0"/>
    <w:rsid w:val="0032363D"/>
    <w:rsid w:val="0033190E"/>
    <w:rsid w:val="003604F6"/>
    <w:rsid w:val="00361325"/>
    <w:rsid w:val="0037130C"/>
    <w:rsid w:val="00374235"/>
    <w:rsid w:val="00374888"/>
    <w:rsid w:val="00374E40"/>
    <w:rsid w:val="00392E75"/>
    <w:rsid w:val="003C582F"/>
    <w:rsid w:val="003D2209"/>
    <w:rsid w:val="003D487D"/>
    <w:rsid w:val="003E3239"/>
    <w:rsid w:val="003E3E3C"/>
    <w:rsid w:val="004020AD"/>
    <w:rsid w:val="00423DF1"/>
    <w:rsid w:val="00430C58"/>
    <w:rsid w:val="004331C4"/>
    <w:rsid w:val="0043564D"/>
    <w:rsid w:val="004359EF"/>
    <w:rsid w:val="00441B52"/>
    <w:rsid w:val="00441C25"/>
    <w:rsid w:val="00446452"/>
    <w:rsid w:val="00472DC8"/>
    <w:rsid w:val="004802EC"/>
    <w:rsid w:val="00481326"/>
    <w:rsid w:val="004A29F1"/>
    <w:rsid w:val="004A6641"/>
    <w:rsid w:val="004B115D"/>
    <w:rsid w:val="004B1E94"/>
    <w:rsid w:val="004B33FF"/>
    <w:rsid w:val="004B403A"/>
    <w:rsid w:val="004C43EA"/>
    <w:rsid w:val="004D2F69"/>
    <w:rsid w:val="004D3607"/>
    <w:rsid w:val="004D6A11"/>
    <w:rsid w:val="004E4FBA"/>
    <w:rsid w:val="00511D84"/>
    <w:rsid w:val="005131F1"/>
    <w:rsid w:val="0051484F"/>
    <w:rsid w:val="00516B3E"/>
    <w:rsid w:val="005262C9"/>
    <w:rsid w:val="00527923"/>
    <w:rsid w:val="00531D70"/>
    <w:rsid w:val="00535DC0"/>
    <w:rsid w:val="00554B46"/>
    <w:rsid w:val="00566BF6"/>
    <w:rsid w:val="00583434"/>
    <w:rsid w:val="0058349F"/>
    <w:rsid w:val="005860AB"/>
    <w:rsid w:val="005A78BF"/>
    <w:rsid w:val="005B1593"/>
    <w:rsid w:val="005B240C"/>
    <w:rsid w:val="005B334C"/>
    <w:rsid w:val="005B6B4C"/>
    <w:rsid w:val="005C6E5F"/>
    <w:rsid w:val="005C7516"/>
    <w:rsid w:val="005D1522"/>
    <w:rsid w:val="005D5B4C"/>
    <w:rsid w:val="005E44C2"/>
    <w:rsid w:val="005F5F5F"/>
    <w:rsid w:val="00624770"/>
    <w:rsid w:val="0064250B"/>
    <w:rsid w:val="006826AA"/>
    <w:rsid w:val="0068356A"/>
    <w:rsid w:val="00697C06"/>
    <w:rsid w:val="006A0DB0"/>
    <w:rsid w:val="006A2BB8"/>
    <w:rsid w:val="006A6629"/>
    <w:rsid w:val="006A71D4"/>
    <w:rsid w:val="006C6D80"/>
    <w:rsid w:val="006D70C7"/>
    <w:rsid w:val="006E0F14"/>
    <w:rsid w:val="006E58E4"/>
    <w:rsid w:val="006F4D26"/>
    <w:rsid w:val="00705301"/>
    <w:rsid w:val="00710FF5"/>
    <w:rsid w:val="00717118"/>
    <w:rsid w:val="00740A17"/>
    <w:rsid w:val="007462D6"/>
    <w:rsid w:val="0074738B"/>
    <w:rsid w:val="00752A88"/>
    <w:rsid w:val="0076062E"/>
    <w:rsid w:val="007901CC"/>
    <w:rsid w:val="00790A30"/>
    <w:rsid w:val="007933D0"/>
    <w:rsid w:val="007953F3"/>
    <w:rsid w:val="007A7803"/>
    <w:rsid w:val="007B061E"/>
    <w:rsid w:val="007B48D5"/>
    <w:rsid w:val="007D087C"/>
    <w:rsid w:val="007E33E4"/>
    <w:rsid w:val="007E4CC9"/>
    <w:rsid w:val="007F40FD"/>
    <w:rsid w:val="007F4BC7"/>
    <w:rsid w:val="00800D23"/>
    <w:rsid w:val="00816273"/>
    <w:rsid w:val="0082717B"/>
    <w:rsid w:val="00827B04"/>
    <w:rsid w:val="0083032E"/>
    <w:rsid w:val="00841907"/>
    <w:rsid w:val="00843B9D"/>
    <w:rsid w:val="00846DE8"/>
    <w:rsid w:val="00853FED"/>
    <w:rsid w:val="0086036A"/>
    <w:rsid w:val="008653A3"/>
    <w:rsid w:val="008657A2"/>
    <w:rsid w:val="00866645"/>
    <w:rsid w:val="00882210"/>
    <w:rsid w:val="008A6185"/>
    <w:rsid w:val="008C1FE9"/>
    <w:rsid w:val="008C3941"/>
    <w:rsid w:val="008C7DCE"/>
    <w:rsid w:val="008D18FC"/>
    <w:rsid w:val="008D398B"/>
    <w:rsid w:val="008D7E49"/>
    <w:rsid w:val="008E5E9D"/>
    <w:rsid w:val="008F364A"/>
    <w:rsid w:val="008F3F53"/>
    <w:rsid w:val="008F6973"/>
    <w:rsid w:val="00902AD7"/>
    <w:rsid w:val="00913E03"/>
    <w:rsid w:val="009229E9"/>
    <w:rsid w:val="00926953"/>
    <w:rsid w:val="00932703"/>
    <w:rsid w:val="00936469"/>
    <w:rsid w:val="009400B7"/>
    <w:rsid w:val="00940474"/>
    <w:rsid w:val="009443B3"/>
    <w:rsid w:val="00954DC2"/>
    <w:rsid w:val="00957B92"/>
    <w:rsid w:val="009627FC"/>
    <w:rsid w:val="00970966"/>
    <w:rsid w:val="00974442"/>
    <w:rsid w:val="00981119"/>
    <w:rsid w:val="00995079"/>
    <w:rsid w:val="009A370C"/>
    <w:rsid w:val="009B0BA7"/>
    <w:rsid w:val="009C2CBB"/>
    <w:rsid w:val="009F1F69"/>
    <w:rsid w:val="009F2568"/>
    <w:rsid w:val="009F7248"/>
    <w:rsid w:val="00A058D2"/>
    <w:rsid w:val="00A06A50"/>
    <w:rsid w:val="00A23BF4"/>
    <w:rsid w:val="00A2593B"/>
    <w:rsid w:val="00A34E05"/>
    <w:rsid w:val="00A427AA"/>
    <w:rsid w:val="00A43D8B"/>
    <w:rsid w:val="00A454F1"/>
    <w:rsid w:val="00A475D5"/>
    <w:rsid w:val="00A5219D"/>
    <w:rsid w:val="00A543CC"/>
    <w:rsid w:val="00A707BB"/>
    <w:rsid w:val="00A93CFF"/>
    <w:rsid w:val="00AA6FFF"/>
    <w:rsid w:val="00AB7DD2"/>
    <w:rsid w:val="00AC2F47"/>
    <w:rsid w:val="00AE1B6D"/>
    <w:rsid w:val="00AF0C7C"/>
    <w:rsid w:val="00B01D86"/>
    <w:rsid w:val="00B073D1"/>
    <w:rsid w:val="00B07E4E"/>
    <w:rsid w:val="00B11FD1"/>
    <w:rsid w:val="00B137E9"/>
    <w:rsid w:val="00B2768E"/>
    <w:rsid w:val="00B30EA2"/>
    <w:rsid w:val="00B36ED3"/>
    <w:rsid w:val="00B417FE"/>
    <w:rsid w:val="00B513C9"/>
    <w:rsid w:val="00B56EF4"/>
    <w:rsid w:val="00B62595"/>
    <w:rsid w:val="00B70485"/>
    <w:rsid w:val="00B82A13"/>
    <w:rsid w:val="00BC662C"/>
    <w:rsid w:val="00C02AF8"/>
    <w:rsid w:val="00C159B6"/>
    <w:rsid w:val="00C17E01"/>
    <w:rsid w:val="00C23406"/>
    <w:rsid w:val="00C3172C"/>
    <w:rsid w:val="00C31AC4"/>
    <w:rsid w:val="00C409BE"/>
    <w:rsid w:val="00C423CA"/>
    <w:rsid w:val="00C514A5"/>
    <w:rsid w:val="00C652ED"/>
    <w:rsid w:val="00C735DE"/>
    <w:rsid w:val="00C7793C"/>
    <w:rsid w:val="00C939A8"/>
    <w:rsid w:val="00C97145"/>
    <w:rsid w:val="00CC5877"/>
    <w:rsid w:val="00CF0A8F"/>
    <w:rsid w:val="00D010FD"/>
    <w:rsid w:val="00D02812"/>
    <w:rsid w:val="00D20056"/>
    <w:rsid w:val="00D4119D"/>
    <w:rsid w:val="00D47100"/>
    <w:rsid w:val="00D66765"/>
    <w:rsid w:val="00D76CEC"/>
    <w:rsid w:val="00D8240B"/>
    <w:rsid w:val="00DA7E95"/>
    <w:rsid w:val="00DB2119"/>
    <w:rsid w:val="00DC05BC"/>
    <w:rsid w:val="00DC4264"/>
    <w:rsid w:val="00DD3A24"/>
    <w:rsid w:val="00DE7DBF"/>
    <w:rsid w:val="00DF3516"/>
    <w:rsid w:val="00E03C07"/>
    <w:rsid w:val="00E07E81"/>
    <w:rsid w:val="00E20E3C"/>
    <w:rsid w:val="00E36290"/>
    <w:rsid w:val="00E42E72"/>
    <w:rsid w:val="00E524EA"/>
    <w:rsid w:val="00E566E6"/>
    <w:rsid w:val="00E56B97"/>
    <w:rsid w:val="00E66D8B"/>
    <w:rsid w:val="00E71139"/>
    <w:rsid w:val="00E81E61"/>
    <w:rsid w:val="00E84882"/>
    <w:rsid w:val="00E848B4"/>
    <w:rsid w:val="00E86030"/>
    <w:rsid w:val="00E87188"/>
    <w:rsid w:val="00E91417"/>
    <w:rsid w:val="00E91F2A"/>
    <w:rsid w:val="00E94329"/>
    <w:rsid w:val="00E947B8"/>
    <w:rsid w:val="00EB1377"/>
    <w:rsid w:val="00EB6F71"/>
    <w:rsid w:val="00EC1E33"/>
    <w:rsid w:val="00ED7DBA"/>
    <w:rsid w:val="00EF24BB"/>
    <w:rsid w:val="00F07022"/>
    <w:rsid w:val="00F1119E"/>
    <w:rsid w:val="00F22828"/>
    <w:rsid w:val="00F26635"/>
    <w:rsid w:val="00F33E30"/>
    <w:rsid w:val="00F35A34"/>
    <w:rsid w:val="00F40882"/>
    <w:rsid w:val="00F43559"/>
    <w:rsid w:val="00F4558F"/>
    <w:rsid w:val="00F5789B"/>
    <w:rsid w:val="00F75AAB"/>
    <w:rsid w:val="00F75C76"/>
    <w:rsid w:val="00F86CCA"/>
    <w:rsid w:val="00F9069D"/>
    <w:rsid w:val="00FC720B"/>
    <w:rsid w:val="00FD0F20"/>
    <w:rsid w:val="00FE3FE9"/>
    <w:rsid w:val="00FE6A10"/>
    <w:rsid w:val="00FF5D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F51075"/>
  <w15:chartTrackingRefBased/>
  <w15:docId w15:val="{16709618-343D-4117-8C7A-6880AC97A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exact"/>
    </w:pPr>
    <w:rPr>
      <w:rFonts w:ascii="Arial" w:hAnsi="Arial"/>
      <w:sz w:val="24"/>
      <w:lang w:eastAsia="fr-FR"/>
    </w:rPr>
  </w:style>
  <w:style w:type="paragraph" w:styleId="Titre1">
    <w:name w:val="heading 1"/>
    <w:basedOn w:val="Normal"/>
    <w:next w:val="Normal"/>
    <w:qFormat/>
    <w:pPr>
      <w:keepNext/>
      <w:spacing w:before="240" w:after="60" w:line="500" w:lineRule="exact"/>
      <w:outlineLvl w:val="0"/>
    </w:pPr>
    <w:rPr>
      <w:b/>
      <w:kern w:val="28"/>
      <w:sz w:val="28"/>
    </w:rPr>
  </w:style>
  <w:style w:type="paragraph" w:styleId="Titre2">
    <w:name w:val="heading 2"/>
    <w:basedOn w:val="Normal"/>
    <w:next w:val="Normal"/>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qFormat/>
    <w:pPr>
      <w:numPr>
        <w:numId w:val="18"/>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semiHidden/>
    <w:pPr>
      <w:spacing w:after="120"/>
    </w:pPr>
  </w:style>
  <w:style w:type="paragraph" w:styleId="Notedebasdepage">
    <w:name w:val="footnote text"/>
    <w:aliases w:val="Char Char Char,Char Char,ft,Footnote text,ft2,fn,Char,Nota de rodapé,Char Char Char Char Char,Footnote Text Char Char Char Char Char,Footnote Text Char Char Char Char,Footnote reference,FA Fu,ft Char Ch,Footnotes,Footnote ak,f"/>
    <w:basedOn w:val="Normal"/>
    <w:link w:val="NotedebasdepageCar"/>
    <w:qFormat/>
    <w:pPr>
      <w:spacing w:line="240" w:lineRule="auto"/>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spacing w:line="500" w:lineRule="exact"/>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style>
  <w:style w:type="paragraph" w:customStyle="1" w:styleId="zSoquijdatGreffe">
    <w:name w:val="zSoquij_datGreffe"/>
    <w:basedOn w:val="Normal"/>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pPr>
      <w:ind w:left="950"/>
    </w:pPr>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rPr>
      <w:b/>
    </w:rPr>
  </w:style>
  <w:style w:type="paragraph" w:customStyle="1" w:styleId="zSoquijdatQteJuge">
    <w:name w:val="zSoquij_datQteJuge"/>
    <w:basedOn w:val="Normal"/>
    <w:rPr>
      <w:b/>
    </w:rPr>
  </w:style>
  <w:style w:type="paragraph" w:customStyle="1" w:styleId="zSoquijdatJuge">
    <w:name w:val="zSoquij_datJuge"/>
    <w:basedOn w:val="Normal"/>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IdJuge">
    <w:name w:val="zSoquij_datIdJuge"/>
    <w:basedOn w:val="Normal"/>
    <w:pPr>
      <w:jc w:val="right"/>
    </w:pPr>
  </w:style>
  <w:style w:type="paragraph" w:customStyle="1" w:styleId="Sous-paragraphe">
    <w:name w:val="Sous-paragraphe"/>
    <w:basedOn w:val="Normal"/>
    <w:qFormat/>
    <w:pPr>
      <w:widowControl w:val="0"/>
      <w:numPr>
        <w:ilvl w:val="1"/>
        <w:numId w:val="18"/>
      </w:numPr>
      <w:spacing w:after="120"/>
      <w:jc w:val="both"/>
    </w:pPr>
    <w:rPr>
      <w:kern w:val="28"/>
    </w:rPr>
  </w:style>
  <w:style w:type="paragraph" w:customStyle="1" w:styleId="zSoquijdatNomProcureurDem">
    <w:name w:val="zSoquij_datNomProcureurDem"/>
    <w:basedOn w:val="zSoquijlblProcureurDem"/>
    <w:pPr>
      <w:keepNext/>
    </w:pPr>
  </w:style>
  <w:style w:type="paragraph" w:customStyle="1" w:styleId="zSoquijdatNomProcureurDef">
    <w:name w:val="zSoquij_datNomProcureurDef"/>
    <w:basedOn w:val="zSoquijlblProcureurDef"/>
    <w:pPr>
      <w:keepNext/>
    </w:pPr>
  </w:style>
  <w:style w:type="paragraph" w:customStyle="1" w:styleId="zSoquijdatCabinetProcureurDem">
    <w:name w:val="zSoquij_datCabinetProcureurDem"/>
    <w:basedOn w:val="Normal"/>
    <w:pPr>
      <w:keepNext/>
    </w:pPr>
  </w:style>
  <w:style w:type="paragraph" w:customStyle="1" w:styleId="zSoquijdatCabinetProcureurDef">
    <w:name w:val="zSoquij_datCabinetProcureurDef"/>
    <w:basedOn w:val="zSoquijlblProcureurDef"/>
    <w:pPr>
      <w:keepNext/>
    </w:pPr>
  </w:style>
  <w:style w:type="paragraph" w:styleId="En-tte">
    <w:name w:val="header"/>
    <w:basedOn w:val="Normal"/>
    <w:semiHidden/>
    <w:pPr>
      <w:tabs>
        <w:tab w:val="center" w:pos="4320"/>
        <w:tab w:val="right" w:pos="8640"/>
      </w:tabs>
    </w:pPr>
  </w:style>
  <w:style w:type="paragraph" w:styleId="Pieddepage">
    <w:name w:val="footer"/>
    <w:basedOn w:val="Normal"/>
    <w:semiHidden/>
    <w:pPr>
      <w:tabs>
        <w:tab w:val="center" w:pos="4320"/>
        <w:tab w:val="right" w:pos="8640"/>
      </w:tabs>
    </w:pPr>
  </w:style>
  <w:style w:type="paragraph" w:customStyle="1" w:styleId="Tableaudroiteanglais">
    <w:name w:val="Tableau droite anglais"/>
    <w:basedOn w:val="Tableaugauchefranais"/>
    <w:pPr>
      <w:ind w:left="144" w:right="720"/>
      <w:jc w:val="both"/>
    </w:pPr>
    <w:rPr>
      <w:lang w:val="en-CA"/>
    </w:rPr>
  </w:style>
  <w:style w:type="paragraph" w:customStyle="1" w:styleId="Tableaugauchefranais">
    <w:name w:val="Tableau gauche français"/>
    <w:basedOn w:val="Normal"/>
    <w:pPr>
      <w:ind w:left="720" w:right="144"/>
    </w:pPr>
    <w:rPr>
      <w:sz w:val="22"/>
    </w:rPr>
  </w:style>
  <w:style w:type="character" w:styleId="Appelnotedebasdep">
    <w:name w:val="footnote reference"/>
    <w:aliases w:val="fr,Ref,de nota al pie,Char Char6 Char Char Char Char Char Char Char Char Char Char Char Char,Char6 Char Char Char Char Char Char Char Char Char Char Char Char Char,Footnote"/>
    <w:qFormat/>
    <w:rPr>
      <w:noProof w:val="0"/>
      <w:vertAlign w:val="superscript"/>
      <w:lang w:val="fr-CA"/>
    </w:rPr>
  </w:style>
  <w:style w:type="paragraph" w:styleId="Corpsdetexte3">
    <w:name w:val="Body Text 3"/>
    <w:basedOn w:val="Normal"/>
    <w:semiHidden/>
    <w:pPr>
      <w:spacing w:after="120"/>
    </w:pPr>
    <w:rPr>
      <w:sz w:val="16"/>
    </w:rPr>
  </w:style>
  <w:style w:type="paragraph" w:customStyle="1" w:styleId="zSoquijdatRepertorie">
    <w:name w:val="zSoquij_datRepertorie"/>
    <w:basedOn w:val="zSoquijlblCour"/>
    <w:pPr>
      <w:spacing w:line="240" w:lineRule="auto"/>
      <w:jc w:val="left"/>
    </w:pPr>
    <w:rPr>
      <w:sz w:val="22"/>
    </w:rPr>
  </w:style>
  <w:style w:type="paragraph" w:customStyle="1" w:styleId="zSoquijdatRefNeutre">
    <w:name w:val="zSoquij_datRefNeutre"/>
    <w:basedOn w:val="zSoquijlblCour"/>
    <w:pPr>
      <w:spacing w:line="240" w:lineRule="auto"/>
      <w:jc w:val="left"/>
    </w:pPr>
    <w:rPr>
      <w:sz w:val="22"/>
    </w:rPr>
  </w:style>
  <w:style w:type="table" w:styleId="Grilledutableau">
    <w:name w:val="Table Grid"/>
    <w:basedOn w:val="TableauNormal"/>
    <w:rsid w:val="00E20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E3239"/>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3239"/>
    <w:rPr>
      <w:rFonts w:ascii="Segoe UI" w:hAnsi="Segoe UI" w:cs="Segoe UI"/>
      <w:sz w:val="18"/>
      <w:szCs w:val="18"/>
      <w:lang w:eastAsia="fr-FR"/>
    </w:rPr>
  </w:style>
  <w:style w:type="character" w:styleId="Hyperlien">
    <w:name w:val="Hyperlink"/>
    <w:basedOn w:val="Policepardfaut"/>
    <w:uiPriority w:val="99"/>
    <w:unhideWhenUsed/>
    <w:rsid w:val="00E91F2A"/>
    <w:rPr>
      <w:color w:val="0563C1" w:themeColor="hyperlink"/>
      <w:u w:val="single"/>
    </w:rPr>
  </w:style>
  <w:style w:type="character" w:styleId="Mentionnonrsolue">
    <w:name w:val="Unresolved Mention"/>
    <w:basedOn w:val="Policepardfaut"/>
    <w:uiPriority w:val="99"/>
    <w:semiHidden/>
    <w:unhideWhenUsed/>
    <w:rsid w:val="00E91F2A"/>
    <w:rPr>
      <w:color w:val="605E5C"/>
      <w:shd w:val="clear" w:color="auto" w:fill="E1DFDD"/>
    </w:rPr>
  </w:style>
  <w:style w:type="paragraph" w:customStyle="1" w:styleId="noparagrjugement">
    <w:name w:val="noparagrjugement"/>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NotedebasdepageCar">
    <w:name w:val="Note de bas de page Car"/>
    <w:aliases w:val="Char Char Char Car,Char Char Car,ft Car,Footnote text Car,ft2 Car,fn Car,Char Car,Nota de rodapé Car,Char Char Char Char Char Car,Footnote Text Char Char Char Char Char Car,Footnote Text Char Char Char Char Car,FA Fu Car,f Car"/>
    <w:basedOn w:val="Policepardfaut"/>
    <w:link w:val="Notedebasdepage"/>
    <w:rsid w:val="00E524EA"/>
    <w:rPr>
      <w:rFonts w:ascii="Arial" w:hAnsi="Arial"/>
      <w:lang w:eastAsia="fr-FR"/>
    </w:rPr>
  </w:style>
  <w:style w:type="character" w:customStyle="1" w:styleId="ParagrapheCar">
    <w:name w:val="Paragraphe Car"/>
    <w:link w:val="Paragraphe"/>
    <w:qFormat/>
    <w:rsid w:val="00E524EA"/>
    <w:rPr>
      <w:rFonts w:ascii="Arial" w:hAnsi="Arial"/>
      <w:kern w:val="28"/>
      <w:sz w:val="24"/>
      <w:lang w:eastAsia="fr-FR"/>
    </w:rPr>
  </w:style>
  <w:style w:type="paragraph" w:styleId="Rvision">
    <w:name w:val="Revision"/>
    <w:hidden/>
    <w:uiPriority w:val="99"/>
    <w:semiHidden/>
    <w:rsid w:val="00E524EA"/>
    <w:rPr>
      <w:rFonts w:ascii="Arial" w:hAnsi="Arial"/>
      <w:sz w:val="24"/>
      <w:lang w:eastAsia="fr-FR"/>
    </w:rPr>
  </w:style>
  <w:style w:type="character" w:styleId="Marquedecommentaire">
    <w:name w:val="annotation reference"/>
    <w:basedOn w:val="Policepardfaut"/>
    <w:uiPriority w:val="99"/>
    <w:semiHidden/>
    <w:unhideWhenUsed/>
    <w:rsid w:val="00E524EA"/>
    <w:rPr>
      <w:sz w:val="16"/>
      <w:szCs w:val="16"/>
    </w:rPr>
  </w:style>
  <w:style w:type="paragraph" w:styleId="Commentaire">
    <w:name w:val="annotation text"/>
    <w:basedOn w:val="Normal"/>
    <w:link w:val="CommentaireCar"/>
    <w:uiPriority w:val="99"/>
    <w:unhideWhenUsed/>
    <w:rsid w:val="00E524EA"/>
    <w:pPr>
      <w:spacing w:line="240" w:lineRule="auto"/>
    </w:pPr>
    <w:rPr>
      <w:sz w:val="20"/>
    </w:rPr>
  </w:style>
  <w:style w:type="character" w:customStyle="1" w:styleId="CommentaireCar">
    <w:name w:val="Commentaire Car"/>
    <w:basedOn w:val="Policepardfaut"/>
    <w:link w:val="Commentaire"/>
    <w:uiPriority w:val="99"/>
    <w:rsid w:val="00E524EA"/>
    <w:rPr>
      <w:rFonts w:ascii="Arial" w:hAnsi="Arial"/>
      <w:lang w:eastAsia="fr-FR"/>
    </w:rPr>
  </w:style>
  <w:style w:type="paragraph" w:styleId="Objetducommentaire">
    <w:name w:val="annotation subject"/>
    <w:basedOn w:val="Commentaire"/>
    <w:next w:val="Commentaire"/>
    <w:link w:val="ObjetducommentaireCar"/>
    <w:uiPriority w:val="99"/>
    <w:semiHidden/>
    <w:unhideWhenUsed/>
    <w:rsid w:val="00E524EA"/>
    <w:rPr>
      <w:b/>
      <w:bCs/>
    </w:rPr>
  </w:style>
  <w:style w:type="character" w:customStyle="1" w:styleId="ObjetducommentaireCar">
    <w:name w:val="Objet du commentaire Car"/>
    <w:basedOn w:val="CommentaireCar"/>
    <w:link w:val="Objetducommentaire"/>
    <w:uiPriority w:val="99"/>
    <w:semiHidden/>
    <w:rsid w:val="00E524EA"/>
    <w:rPr>
      <w:rFonts w:ascii="Arial" w:hAnsi="Arial"/>
      <w:b/>
      <w:bCs/>
      <w:lang w:eastAsia="fr-FR"/>
    </w:rPr>
  </w:style>
  <w:style w:type="character" w:styleId="Lienvisit">
    <w:name w:val="FollowedHyperlink"/>
    <w:basedOn w:val="Policepardfaut"/>
    <w:uiPriority w:val="99"/>
    <w:semiHidden/>
    <w:unhideWhenUsed/>
    <w:rsid w:val="00E524EA"/>
    <w:rPr>
      <w:color w:val="954F72" w:themeColor="followedHyperlink"/>
      <w:u w:val="single"/>
    </w:rPr>
  </w:style>
  <w:style w:type="paragraph" w:customStyle="1" w:styleId="paranondepar-altn">
    <w:name w:val="paranondepar-altn"/>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decisia-reflex2-icon">
    <w:name w:val="decisia-reflex2-icon"/>
    <w:basedOn w:val="Policepardfaut"/>
    <w:rsid w:val="00E524EA"/>
  </w:style>
  <w:style w:type="paragraph" w:customStyle="1" w:styleId="citation-altc">
    <w:name w:val="citation-altc"/>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solexhl">
    <w:name w:val="solexhl"/>
    <w:basedOn w:val="Policepardfaut"/>
    <w:rsid w:val="00E524EA"/>
  </w:style>
  <w:style w:type="character" w:styleId="CitationHTML">
    <w:name w:val="HTML Cite"/>
    <w:basedOn w:val="Policepardfaut"/>
    <w:uiPriority w:val="99"/>
    <w:unhideWhenUsed/>
    <w:rsid w:val="00E524EA"/>
    <w:rPr>
      <w:i/>
      <w:iCs/>
    </w:rPr>
  </w:style>
  <w:style w:type="paragraph" w:customStyle="1" w:styleId="paragraphe0">
    <w:name w:val="paragraphe"/>
    <w:basedOn w:val="Normal"/>
    <w:rsid w:val="00E524EA"/>
    <w:pPr>
      <w:spacing w:before="100" w:beforeAutospacing="1" w:after="100" w:afterAutospacing="1" w:line="240" w:lineRule="auto"/>
    </w:pPr>
    <w:rPr>
      <w:rFonts w:ascii="Times New Roman" w:hAnsi="Times New Roman"/>
      <w:szCs w:val="24"/>
      <w:lang w:eastAsia="fr-CA"/>
    </w:rPr>
  </w:style>
  <w:style w:type="character" w:customStyle="1" w:styleId="reflex2-link">
    <w:name w:val="reflex2-link"/>
    <w:basedOn w:val="Policepardfaut"/>
    <w:rsid w:val="00E524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abarits_SOQUIJ\Gabarits_SOQUIJ%20CA\CAFra-VERSION%20oct.%202024.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F8A525-8000-4EBF-92DB-64B5AB8AA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CAFra-VERSION oct. 2024.dotm</Template>
  <TotalTime>1</TotalTime>
  <Pages>36</Pages>
  <Words>16270</Words>
  <Characters>89489</Characters>
  <Application>Microsoft Office Word</Application>
  <DocSecurity>0</DocSecurity>
  <Lines>745</Lines>
  <Paragraphs>211</Paragraphs>
  <ScaleCrop>false</ScaleCrop>
  <HeadingPairs>
    <vt:vector size="2" baseType="variant">
      <vt:variant>
        <vt:lpstr>Titre</vt:lpstr>
      </vt:variant>
      <vt:variant>
        <vt:i4>1</vt:i4>
      </vt:variant>
    </vt:vector>
  </HeadingPairs>
  <TitlesOfParts>
    <vt:vector size="1" baseType="lpstr">
      <vt:lpstr>Gabarit de jugement pour la cour d'appel</vt:lpstr>
    </vt:vector>
  </TitlesOfParts>
  <Manager>Patrice Tardif</Manager>
  <Company>MJQ</Company>
  <LinksUpToDate>false</LinksUpToDate>
  <CharactersWithSpaces>105548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de jugement pour la cour d'appel</dc:title>
  <dc:subject/>
  <dc:creator>Marie-France Lefebvre</dc:creator>
  <cp:keywords/>
  <dc:description/>
  <cp:lastModifiedBy>Paillé, Pryscilla</cp:lastModifiedBy>
  <cp:revision>7</cp:revision>
  <cp:lastPrinted>2026-04-22T13:44:00Z</cp:lastPrinted>
  <dcterms:created xsi:type="dcterms:W3CDTF">2026-04-22T13:45:00Z</dcterms:created>
  <dcterms:modified xsi:type="dcterms:W3CDTF">2026-04-22T17:20:00Z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quij_DateModification">
    <vt:lpwstr>04-26-2001</vt:lpwstr>
  </property>
  <property fmtid="{D5CDD505-2E9C-101B-9397-08002B2CF9AE}" pid="3" name="Soquij_Version">
    <vt:lpwstr>1.6</vt:lpwstr>
  </property>
  <property fmtid="{D5CDD505-2E9C-101B-9397-08002B2CF9AE}" pid="4" name="Soquij_ModifiePar">
    <vt:lpwstr>renste</vt:lpwstr>
  </property>
  <property fmtid="{D5CDD505-2E9C-101B-9397-08002B2CF9AE}" pid="5" name="Soquij_Modele">
    <vt:lpwstr>Edj</vt:lpwstr>
  </property>
  <property fmtid="{D5CDD505-2E9C-101B-9397-08002B2CF9AE}" pid="6" name="Soquij_Cour">
    <vt:lpwstr>CA</vt:lpwstr>
  </property>
  <property fmtid="{D5CDD505-2E9C-101B-9397-08002B2CF9AE}" pid="7" name="Soquij_Langue">
    <vt:lpwstr>Fra</vt:lpwstr>
  </property>
</Properties>
</file>