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FF00" w14:textId="2CBBD73A" w:rsidR="004C29BB" w:rsidRDefault="004C29BB">
      <w:pPr>
        <w:rPr>
          <w:b/>
          <w:bCs/>
          <w:lang w:val="en-CA"/>
        </w:rPr>
      </w:pPr>
      <w:r w:rsidRPr="004C29BB">
        <w:rPr>
          <w:b/>
          <w:bCs/>
          <w:lang w:val="en-CA"/>
        </w:rPr>
        <w:t>English translation of the judgment of the Court by SOQUIJ</w:t>
      </w:r>
    </w:p>
    <w:p w14:paraId="5B4B2697" w14:textId="77777777" w:rsidR="004C29BB" w:rsidRPr="004C29BB" w:rsidRDefault="004C29BB">
      <w:pPr>
        <w:rPr>
          <w:b/>
          <w:bCs/>
          <w:lang w:val="en-CA"/>
        </w:rPr>
      </w:pPr>
    </w:p>
    <w:tbl>
      <w:tblPr>
        <w:tblW w:w="9502" w:type="dxa"/>
        <w:tblLayout w:type="fixed"/>
        <w:tblCellMar>
          <w:left w:w="0" w:type="dxa"/>
          <w:right w:w="0" w:type="dxa"/>
        </w:tblCellMar>
        <w:tblLook w:val="0000" w:firstRow="0" w:lastRow="0" w:firstColumn="0" w:lastColumn="0" w:noHBand="0" w:noVBand="0"/>
      </w:tblPr>
      <w:tblGrid>
        <w:gridCol w:w="1030"/>
        <w:gridCol w:w="388"/>
        <w:gridCol w:w="283"/>
        <w:gridCol w:w="2410"/>
        <w:gridCol w:w="3402"/>
        <w:gridCol w:w="1989"/>
      </w:tblGrid>
      <w:tr w:rsidR="00E6606D" w:rsidRPr="00076CA5" w14:paraId="684B4A3D" w14:textId="77777777" w:rsidTr="00145125">
        <w:trPr>
          <w:trHeight w:val="248"/>
        </w:trPr>
        <w:tc>
          <w:tcPr>
            <w:tcW w:w="7513" w:type="dxa"/>
            <w:gridSpan w:val="5"/>
          </w:tcPr>
          <w:p w14:paraId="2D85D410" w14:textId="7068D850" w:rsidR="008F364A" w:rsidRPr="00076CA5" w:rsidRDefault="004351B0" w:rsidP="0038691B">
            <w:pPr>
              <w:pStyle w:val="zSoquijdatRepertorie"/>
              <w:rPr>
                <w:rFonts w:cs="Arial"/>
              </w:rPr>
            </w:pPr>
            <w:r w:rsidRPr="00076CA5">
              <w:rPr>
                <w:rFonts w:cs="Arial"/>
                <w:bCs/>
              </w:rPr>
              <w:t xml:space="preserve">Lalande </w:t>
            </w:r>
            <w:r w:rsidR="00BD0F9C" w:rsidRPr="00076CA5">
              <w:rPr>
                <w:rFonts w:cs="Arial"/>
                <w:bCs/>
              </w:rPr>
              <w:t>c. Procureur g</w:t>
            </w:r>
            <w:r w:rsidR="0078545F" w:rsidRPr="00076CA5">
              <w:rPr>
                <w:rFonts w:cs="Arial"/>
                <w:bCs/>
              </w:rPr>
              <w:t>é</w:t>
            </w:r>
            <w:r w:rsidR="00BD0F9C" w:rsidRPr="00076CA5">
              <w:rPr>
                <w:rFonts w:cs="Arial"/>
                <w:bCs/>
              </w:rPr>
              <w:t>n</w:t>
            </w:r>
            <w:r w:rsidR="0078545F" w:rsidRPr="00076CA5">
              <w:rPr>
                <w:rFonts w:cs="Arial"/>
                <w:bCs/>
              </w:rPr>
              <w:t>é</w:t>
            </w:r>
            <w:r w:rsidR="00BD0F9C" w:rsidRPr="00076CA5">
              <w:rPr>
                <w:rFonts w:cs="Arial"/>
                <w:bCs/>
              </w:rPr>
              <w:t>ral du Québec</w:t>
            </w:r>
          </w:p>
        </w:tc>
        <w:tc>
          <w:tcPr>
            <w:tcW w:w="1989" w:type="dxa"/>
          </w:tcPr>
          <w:p w14:paraId="02253412" w14:textId="0DCE6E63" w:rsidR="008F364A" w:rsidRPr="00076CA5" w:rsidRDefault="004351B0" w:rsidP="0078669F">
            <w:pPr>
              <w:pStyle w:val="zSoquijdatRefNeutre"/>
              <w:jc w:val="right"/>
              <w:rPr>
                <w:rFonts w:cs="Arial"/>
              </w:rPr>
            </w:pPr>
            <w:r w:rsidRPr="00076CA5">
              <w:rPr>
                <w:rFonts w:cs="Arial"/>
                <w:bCs/>
                <w:lang w:val="en-CA"/>
              </w:rPr>
              <w:t>2025 QCCA 1558</w:t>
            </w:r>
          </w:p>
        </w:tc>
      </w:tr>
      <w:tr w:rsidR="00E6606D" w:rsidRPr="00076CA5" w14:paraId="6665F2B0" w14:textId="77777777" w:rsidTr="00145125">
        <w:trPr>
          <w:trHeight w:val="247"/>
        </w:trPr>
        <w:tc>
          <w:tcPr>
            <w:tcW w:w="9502" w:type="dxa"/>
            <w:gridSpan w:val="6"/>
          </w:tcPr>
          <w:p w14:paraId="2B6BECBE" w14:textId="77777777" w:rsidR="008F364A" w:rsidRPr="00076CA5" w:rsidRDefault="004351B0">
            <w:pPr>
              <w:pStyle w:val="zSoquijlblCour"/>
            </w:pPr>
            <w:r w:rsidRPr="00076CA5">
              <w:rPr>
                <w:bCs/>
                <w:lang w:val="en-CA"/>
              </w:rPr>
              <w:t>COURT OF APPEAL</w:t>
            </w:r>
          </w:p>
        </w:tc>
      </w:tr>
      <w:tr w:rsidR="00E6606D" w:rsidRPr="00076CA5" w14:paraId="0566DA82" w14:textId="77777777" w:rsidTr="00145125">
        <w:trPr>
          <w:trHeight w:val="540"/>
        </w:trPr>
        <w:tc>
          <w:tcPr>
            <w:tcW w:w="9502" w:type="dxa"/>
            <w:gridSpan w:val="6"/>
          </w:tcPr>
          <w:p w14:paraId="701C3695" w14:textId="77777777" w:rsidR="008F364A" w:rsidRPr="00076CA5" w:rsidRDefault="008F364A">
            <w:pPr>
              <w:pStyle w:val="zSoquijdatDivision"/>
            </w:pPr>
          </w:p>
        </w:tc>
      </w:tr>
      <w:tr w:rsidR="00E6606D" w:rsidRPr="00076CA5" w14:paraId="0F87E941" w14:textId="77777777" w:rsidTr="00145125">
        <w:tc>
          <w:tcPr>
            <w:tcW w:w="9502" w:type="dxa"/>
            <w:gridSpan w:val="6"/>
          </w:tcPr>
          <w:p w14:paraId="55D961C0" w14:textId="77777777" w:rsidR="008F364A" w:rsidRPr="00076CA5" w:rsidRDefault="004351B0">
            <w:pPr>
              <w:pStyle w:val="zSoquijlblPays"/>
            </w:pPr>
            <w:r w:rsidRPr="00076CA5">
              <w:rPr>
                <w:lang w:val="en-CA"/>
              </w:rPr>
              <w:t>CANADA</w:t>
            </w:r>
          </w:p>
        </w:tc>
      </w:tr>
      <w:tr w:rsidR="00E6606D" w:rsidRPr="00076CA5" w14:paraId="298121F5" w14:textId="77777777" w:rsidTr="00145125">
        <w:tc>
          <w:tcPr>
            <w:tcW w:w="9502" w:type="dxa"/>
            <w:gridSpan w:val="6"/>
          </w:tcPr>
          <w:p w14:paraId="6C0C28AB" w14:textId="77777777" w:rsidR="008F364A" w:rsidRPr="00076CA5" w:rsidRDefault="004351B0">
            <w:pPr>
              <w:pStyle w:val="zSoquijlblProvince"/>
            </w:pPr>
            <w:r w:rsidRPr="00076CA5">
              <w:rPr>
                <w:lang w:val="en-CA"/>
              </w:rPr>
              <w:t>PROVINCE OF QUEBEC</w:t>
            </w:r>
          </w:p>
        </w:tc>
      </w:tr>
      <w:tr w:rsidR="00E6606D" w:rsidRPr="00076CA5" w14:paraId="4910BD80" w14:textId="77777777" w:rsidTr="00145125">
        <w:tc>
          <w:tcPr>
            <w:tcW w:w="1418" w:type="dxa"/>
            <w:gridSpan w:val="2"/>
          </w:tcPr>
          <w:p w14:paraId="5A0074F7" w14:textId="62DE3870" w:rsidR="008F364A" w:rsidRPr="00076CA5" w:rsidRDefault="004351B0">
            <w:pPr>
              <w:pStyle w:val="zSoquijlblGreffe"/>
            </w:pPr>
            <w:r w:rsidRPr="00076CA5">
              <w:rPr>
                <w:lang w:val="en-CA"/>
              </w:rPr>
              <w:t>MONTR</w:t>
            </w:r>
            <w:r w:rsidR="00A86A1E">
              <w:rPr>
                <w:lang w:val="en-CA"/>
              </w:rPr>
              <w:t>E</w:t>
            </w:r>
            <w:r w:rsidRPr="00076CA5">
              <w:rPr>
                <w:lang w:val="en-CA"/>
              </w:rPr>
              <w:t>A</w:t>
            </w:r>
            <w:r w:rsidR="00E63024" w:rsidRPr="00076CA5">
              <w:rPr>
                <w:lang w:val="en-CA"/>
              </w:rPr>
              <w:t>L</w:t>
            </w:r>
          </w:p>
          <w:p w14:paraId="5E941413" w14:textId="77777777" w:rsidR="008F364A" w:rsidRPr="00076CA5" w:rsidRDefault="008F364A">
            <w:pPr>
              <w:pStyle w:val="zSoquijlblGreffe"/>
            </w:pPr>
          </w:p>
        </w:tc>
        <w:tc>
          <w:tcPr>
            <w:tcW w:w="8084" w:type="dxa"/>
            <w:gridSpan w:val="4"/>
          </w:tcPr>
          <w:p w14:paraId="71D30FC4" w14:textId="6531F400" w:rsidR="008F364A" w:rsidRPr="00076CA5" w:rsidRDefault="00BD0F9C" w:rsidP="00AE1B6D">
            <w:pPr>
              <w:pStyle w:val="zSoquijdatGreffe"/>
              <w:ind w:left="-22"/>
            </w:pPr>
            <w:r w:rsidRPr="00076CA5">
              <w:rPr>
                <w:lang w:val="en-CA"/>
              </w:rPr>
              <w:t>SEAT</w:t>
            </w:r>
          </w:p>
        </w:tc>
      </w:tr>
      <w:tr w:rsidR="00E6606D" w:rsidRPr="00076CA5" w14:paraId="1B6F2F10" w14:textId="77777777" w:rsidTr="00145125">
        <w:tc>
          <w:tcPr>
            <w:tcW w:w="1030" w:type="dxa"/>
          </w:tcPr>
          <w:p w14:paraId="2242B58A" w14:textId="77777777" w:rsidR="008F364A" w:rsidRPr="00076CA5" w:rsidRDefault="004351B0">
            <w:pPr>
              <w:pStyle w:val="zSoquijlblNoDossier"/>
            </w:pPr>
            <w:r w:rsidRPr="00076CA5">
              <w:rPr>
                <w:lang w:val="en-CA"/>
              </w:rPr>
              <w:t>No.:</w:t>
            </w:r>
          </w:p>
        </w:tc>
        <w:tc>
          <w:tcPr>
            <w:tcW w:w="8472" w:type="dxa"/>
            <w:gridSpan w:val="5"/>
          </w:tcPr>
          <w:p w14:paraId="743B2108" w14:textId="1FCE5DF3" w:rsidR="008F364A" w:rsidRPr="00076CA5" w:rsidRDefault="004351B0">
            <w:pPr>
              <w:pStyle w:val="zSoquijdatNoDossier"/>
            </w:pPr>
            <w:bookmarkStart w:id="0" w:name="NoDossier"/>
            <w:r w:rsidRPr="00076CA5">
              <w:rPr>
                <w:lang w:val="en-CA"/>
              </w:rPr>
              <w:t>500-09-700399-256</w:t>
            </w:r>
            <w:bookmarkEnd w:id="0"/>
          </w:p>
        </w:tc>
      </w:tr>
      <w:tr w:rsidR="00E6606D" w:rsidRPr="00076CA5" w14:paraId="1F031E31" w14:textId="77777777" w:rsidTr="00145125">
        <w:tc>
          <w:tcPr>
            <w:tcW w:w="9502" w:type="dxa"/>
            <w:gridSpan w:val="6"/>
          </w:tcPr>
          <w:p w14:paraId="0074E1B2" w14:textId="55A9FDF1" w:rsidR="0048453D" w:rsidRPr="00076CA5" w:rsidRDefault="004351B0" w:rsidP="0048453D">
            <w:pPr>
              <w:pStyle w:val="zSoquijdatNoDossierAnt"/>
            </w:pPr>
            <w:r w:rsidRPr="00076CA5">
              <w:rPr>
                <w:lang w:val="en-CA"/>
              </w:rPr>
              <w:t>(700-17-020601-240)</w:t>
            </w:r>
          </w:p>
        </w:tc>
      </w:tr>
      <w:tr w:rsidR="00E6606D" w:rsidRPr="00076CA5" w14:paraId="5FB31442" w14:textId="77777777" w:rsidTr="00145125">
        <w:tc>
          <w:tcPr>
            <w:tcW w:w="9502" w:type="dxa"/>
            <w:gridSpan w:val="6"/>
          </w:tcPr>
          <w:p w14:paraId="136D35BB" w14:textId="77777777" w:rsidR="008F364A" w:rsidRPr="00076CA5" w:rsidRDefault="008F364A"/>
        </w:tc>
      </w:tr>
      <w:tr w:rsidR="00E6606D" w:rsidRPr="00076CA5" w14:paraId="4AB13DC1" w14:textId="77777777" w:rsidTr="00145125">
        <w:tc>
          <w:tcPr>
            <w:tcW w:w="1030" w:type="dxa"/>
          </w:tcPr>
          <w:p w14:paraId="741D1332" w14:textId="77777777" w:rsidR="008F364A" w:rsidRPr="00076CA5" w:rsidRDefault="004351B0">
            <w:pPr>
              <w:pStyle w:val="zSoquijlblDateJugement"/>
            </w:pPr>
            <w:r w:rsidRPr="00076CA5">
              <w:rPr>
                <w:lang w:val="en-CA"/>
              </w:rPr>
              <w:t>DATE:</w:t>
            </w:r>
          </w:p>
        </w:tc>
        <w:tc>
          <w:tcPr>
            <w:tcW w:w="8472" w:type="dxa"/>
            <w:gridSpan w:val="5"/>
          </w:tcPr>
          <w:p w14:paraId="1A766299" w14:textId="3C518F84" w:rsidR="008F364A" w:rsidRPr="00076CA5" w:rsidRDefault="004351B0">
            <w:pPr>
              <w:pStyle w:val="zSoquijdatDateJugement"/>
            </w:pPr>
            <w:r w:rsidRPr="00076CA5">
              <w:rPr>
                <w:lang w:val="en-CA"/>
              </w:rPr>
              <w:t xml:space="preserve">December 1, 2025 </w:t>
            </w:r>
          </w:p>
        </w:tc>
      </w:tr>
      <w:tr w:rsidR="00E6606D" w:rsidRPr="00076CA5" w14:paraId="30ADE2B7" w14:textId="77777777" w:rsidTr="00145125">
        <w:tc>
          <w:tcPr>
            <w:tcW w:w="9502" w:type="dxa"/>
            <w:gridSpan w:val="6"/>
            <w:tcBorders>
              <w:bottom w:val="single" w:sz="8" w:space="0" w:color="auto"/>
            </w:tcBorders>
          </w:tcPr>
          <w:p w14:paraId="0C9AFB78" w14:textId="77777777" w:rsidR="008F364A" w:rsidRPr="00076CA5" w:rsidRDefault="008F364A"/>
        </w:tc>
      </w:tr>
      <w:tr w:rsidR="00E6606D" w:rsidRPr="00076CA5" w14:paraId="29C6D83B" w14:textId="77777777" w:rsidTr="00145125">
        <w:tc>
          <w:tcPr>
            <w:tcW w:w="9502" w:type="dxa"/>
            <w:gridSpan w:val="6"/>
            <w:tcBorders>
              <w:top w:val="single" w:sz="8" w:space="0" w:color="auto"/>
            </w:tcBorders>
          </w:tcPr>
          <w:p w14:paraId="19DF6232" w14:textId="77777777" w:rsidR="008F364A" w:rsidRPr="00076CA5" w:rsidRDefault="008F364A"/>
        </w:tc>
      </w:tr>
      <w:tr w:rsidR="00E6606D" w:rsidRPr="00145125" w14:paraId="118EC602" w14:textId="77777777" w:rsidTr="00350287">
        <w:tc>
          <w:tcPr>
            <w:tcW w:w="1701" w:type="dxa"/>
            <w:gridSpan w:val="3"/>
          </w:tcPr>
          <w:p w14:paraId="4C620E86" w14:textId="77777777" w:rsidR="008F364A" w:rsidRPr="00076CA5" w:rsidRDefault="004351B0" w:rsidP="00423DF1">
            <w:pPr>
              <w:pStyle w:val="zSoquijlblJuge"/>
              <w:ind w:right="-142"/>
            </w:pPr>
            <w:bookmarkStart w:id="1" w:name="FORMATION"/>
            <w:r w:rsidRPr="00076CA5">
              <w:rPr>
                <w:bCs/>
                <w:lang w:val="en-CA"/>
              </w:rPr>
              <w:t>CORAM:</w:t>
            </w:r>
            <w:bookmarkEnd w:id="1"/>
          </w:p>
        </w:tc>
        <w:tc>
          <w:tcPr>
            <w:tcW w:w="2410" w:type="dxa"/>
          </w:tcPr>
          <w:p w14:paraId="68D40245" w14:textId="77777777" w:rsidR="008F364A" w:rsidRPr="00076CA5" w:rsidRDefault="004351B0">
            <w:pPr>
              <w:pStyle w:val="zSoquijdatQteJuge"/>
            </w:pPr>
            <w:bookmarkStart w:id="2" w:name="Honorables"/>
            <w:r w:rsidRPr="00076CA5">
              <w:rPr>
                <w:bCs/>
                <w:lang w:val="en-CA"/>
              </w:rPr>
              <w:t>THE HONOURABLE</w:t>
            </w:r>
            <w:bookmarkEnd w:id="2"/>
          </w:p>
        </w:tc>
        <w:tc>
          <w:tcPr>
            <w:tcW w:w="5391" w:type="dxa"/>
            <w:gridSpan w:val="2"/>
          </w:tcPr>
          <w:p w14:paraId="2867F7DF" w14:textId="07357E95" w:rsidR="008F364A" w:rsidRPr="00145125" w:rsidRDefault="004351B0">
            <w:pPr>
              <w:pStyle w:val="zSoquijdatJuge"/>
              <w:rPr>
                <w:lang w:val="en-CA"/>
              </w:rPr>
            </w:pPr>
            <w:bookmarkStart w:id="3" w:name="NomJuge1"/>
            <w:r w:rsidRPr="00076CA5">
              <w:rPr>
                <w:bCs/>
                <w:lang w:val="en-CA"/>
              </w:rPr>
              <w:t>MARK SCHRAGER, J.A.</w:t>
            </w:r>
            <w:bookmarkEnd w:id="3"/>
          </w:p>
          <w:p w14:paraId="379CE195" w14:textId="5468F3E9" w:rsidR="008F364A" w:rsidRPr="00145125" w:rsidRDefault="004351B0">
            <w:pPr>
              <w:pStyle w:val="zSoquijdatJuge"/>
              <w:rPr>
                <w:lang w:val="en-CA"/>
              </w:rPr>
            </w:pPr>
            <w:bookmarkStart w:id="4" w:name="NomJuge2"/>
            <w:r w:rsidRPr="00076CA5">
              <w:rPr>
                <w:bCs/>
                <w:lang w:val="en-CA"/>
              </w:rPr>
              <w:t>SIMON RUEL, J.A.</w:t>
            </w:r>
            <w:bookmarkEnd w:id="4"/>
          </w:p>
          <w:p w14:paraId="246353B3" w14:textId="4FEC20C5" w:rsidR="005A78BF" w:rsidRPr="00145125" w:rsidRDefault="004351B0" w:rsidP="0048453D">
            <w:pPr>
              <w:pStyle w:val="zSoquijdatJuge"/>
              <w:rPr>
                <w:lang w:val="en-CA"/>
              </w:rPr>
            </w:pPr>
            <w:bookmarkStart w:id="5" w:name="_Hlt520513784"/>
            <w:bookmarkStart w:id="6" w:name="NomJuge3"/>
            <w:bookmarkEnd w:id="5"/>
            <w:r w:rsidRPr="00076CA5">
              <w:rPr>
                <w:bCs/>
                <w:lang w:val="en-CA"/>
              </w:rPr>
              <w:t>GENEVIÈVE COTNAM, J.A.</w:t>
            </w:r>
            <w:bookmarkEnd w:id="6"/>
          </w:p>
        </w:tc>
      </w:tr>
      <w:tr w:rsidR="00E6606D" w:rsidRPr="00145125" w14:paraId="49234668" w14:textId="77777777" w:rsidTr="00145125">
        <w:tc>
          <w:tcPr>
            <w:tcW w:w="9502" w:type="dxa"/>
            <w:gridSpan w:val="6"/>
            <w:tcBorders>
              <w:bottom w:val="single" w:sz="8" w:space="0" w:color="auto"/>
            </w:tcBorders>
          </w:tcPr>
          <w:p w14:paraId="2D4EF53F" w14:textId="77777777" w:rsidR="008F364A" w:rsidRPr="00145125" w:rsidRDefault="008F364A">
            <w:pPr>
              <w:rPr>
                <w:lang w:val="en-CA"/>
              </w:rPr>
            </w:pPr>
          </w:p>
        </w:tc>
      </w:tr>
      <w:tr w:rsidR="00E6606D" w:rsidRPr="00145125" w14:paraId="5DB1F5AD" w14:textId="77777777" w:rsidTr="00145125">
        <w:tc>
          <w:tcPr>
            <w:tcW w:w="9502" w:type="dxa"/>
            <w:gridSpan w:val="6"/>
          </w:tcPr>
          <w:p w14:paraId="6950D96C" w14:textId="77777777" w:rsidR="008F364A" w:rsidRPr="00145125" w:rsidRDefault="008F364A" w:rsidP="00DC003F">
            <w:pPr>
              <w:pStyle w:val="zSoquijlblTitrePartie"/>
              <w:spacing w:line="240" w:lineRule="auto"/>
              <w:rPr>
                <w:lang w:val="en-CA"/>
              </w:rPr>
            </w:pPr>
          </w:p>
        </w:tc>
      </w:tr>
      <w:tr w:rsidR="00E6606D" w:rsidRPr="00076CA5" w14:paraId="77413C59" w14:textId="77777777" w:rsidTr="00145125">
        <w:tc>
          <w:tcPr>
            <w:tcW w:w="9502" w:type="dxa"/>
            <w:gridSpan w:val="6"/>
          </w:tcPr>
          <w:p w14:paraId="0F2AC7D7" w14:textId="1BF37BD9" w:rsidR="008F364A" w:rsidRPr="00076CA5" w:rsidRDefault="004351B0" w:rsidP="00DC003F">
            <w:pPr>
              <w:pStyle w:val="zSoquijdatNomPartieDem"/>
              <w:spacing w:line="240" w:lineRule="auto"/>
            </w:pPr>
            <w:r w:rsidRPr="00076CA5">
              <w:rPr>
                <w:lang w:val="en-CA"/>
              </w:rPr>
              <w:t>XAVIER-ANTOINE LALANDE</w:t>
            </w:r>
          </w:p>
        </w:tc>
      </w:tr>
      <w:tr w:rsidR="00E6606D" w:rsidRPr="00076CA5" w14:paraId="4B5879E0" w14:textId="77777777" w:rsidTr="00145125">
        <w:tc>
          <w:tcPr>
            <w:tcW w:w="9502" w:type="dxa"/>
            <w:gridSpan w:val="6"/>
          </w:tcPr>
          <w:p w14:paraId="6CD891A6" w14:textId="55C0DBA5" w:rsidR="0048453D" w:rsidRPr="00076CA5" w:rsidRDefault="00BD0F9C" w:rsidP="00BD0F9C">
            <w:pPr>
              <w:keepNext/>
              <w:widowControl w:val="0"/>
              <w:jc w:val="both"/>
              <w:outlineLvl w:val="5"/>
            </w:pPr>
            <w:r w:rsidRPr="00076CA5">
              <w:rPr>
                <w:rFonts w:cs="Arial"/>
                <w:b/>
                <w:snapToGrid w:val="0"/>
              </w:rPr>
              <w:t>CONSEIL DES PRÉFETS ET DES ÉLUS DE LA RÉGION DES LAURENTIDES</w:t>
            </w:r>
          </w:p>
        </w:tc>
      </w:tr>
      <w:tr w:rsidR="00E6606D" w:rsidRPr="00076CA5" w14:paraId="10E795A4" w14:textId="77777777" w:rsidTr="00145125">
        <w:tc>
          <w:tcPr>
            <w:tcW w:w="9502" w:type="dxa"/>
            <w:gridSpan w:val="6"/>
          </w:tcPr>
          <w:p w14:paraId="738D5AF6" w14:textId="1E5E36B5" w:rsidR="0048453D" w:rsidRPr="00076CA5" w:rsidRDefault="004351B0" w:rsidP="00DC003F">
            <w:pPr>
              <w:pStyle w:val="zSoquijdatNomPartieDem"/>
              <w:spacing w:line="240" w:lineRule="auto"/>
            </w:pPr>
            <w:r w:rsidRPr="00076CA5">
              <w:rPr>
                <w:lang w:val="en-CA"/>
              </w:rPr>
              <w:t>DAVID ARMSTRONG</w:t>
            </w:r>
          </w:p>
        </w:tc>
      </w:tr>
      <w:tr w:rsidR="00E6606D" w:rsidRPr="00076CA5" w14:paraId="357305DF" w14:textId="77777777" w:rsidTr="00145125">
        <w:tc>
          <w:tcPr>
            <w:tcW w:w="9502" w:type="dxa"/>
            <w:gridSpan w:val="6"/>
          </w:tcPr>
          <w:p w14:paraId="53D1DF5E" w14:textId="7D5D16B6" w:rsidR="0048453D" w:rsidRPr="00076CA5" w:rsidRDefault="004351B0" w:rsidP="00DC003F">
            <w:pPr>
              <w:pStyle w:val="zSoquijdatNomPartieDem"/>
              <w:spacing w:line="240" w:lineRule="auto"/>
            </w:pPr>
            <w:r w:rsidRPr="00076CA5">
              <w:rPr>
                <w:lang w:val="en-CA"/>
              </w:rPr>
              <w:t>RÉMI BARBEAU-CARDOZA</w:t>
            </w:r>
          </w:p>
        </w:tc>
      </w:tr>
      <w:tr w:rsidR="00E6606D" w:rsidRPr="00076CA5" w14:paraId="5FDB8B89" w14:textId="77777777" w:rsidTr="00145125">
        <w:tc>
          <w:tcPr>
            <w:tcW w:w="9502" w:type="dxa"/>
            <w:gridSpan w:val="6"/>
          </w:tcPr>
          <w:p w14:paraId="3625B69E" w14:textId="6CC1B2E5" w:rsidR="0048453D" w:rsidRPr="00076CA5" w:rsidRDefault="004351B0" w:rsidP="00DC003F">
            <w:pPr>
              <w:pStyle w:val="zSoquijdatNomPartieDem"/>
              <w:spacing w:line="240" w:lineRule="auto"/>
            </w:pPr>
            <w:r w:rsidRPr="00076CA5">
              <w:rPr>
                <w:lang w:val="en-CA"/>
              </w:rPr>
              <w:t>BROME-MISSISQUOI REGIONAL COUNTY MUNICIPALITY</w:t>
            </w:r>
          </w:p>
        </w:tc>
      </w:tr>
      <w:tr w:rsidR="00E6606D" w:rsidRPr="00076CA5" w14:paraId="5F07FFF9" w14:textId="77777777" w:rsidTr="00145125">
        <w:tc>
          <w:tcPr>
            <w:tcW w:w="9502" w:type="dxa"/>
            <w:gridSpan w:val="6"/>
          </w:tcPr>
          <w:p w14:paraId="04FFA921" w14:textId="2DE67BE3" w:rsidR="0048453D" w:rsidRPr="00076CA5" w:rsidRDefault="004351B0" w:rsidP="00DC003F">
            <w:pPr>
              <w:pStyle w:val="zSoquijdatNomPartieDem"/>
              <w:spacing w:line="240" w:lineRule="auto"/>
            </w:pPr>
            <w:r w:rsidRPr="00076CA5">
              <w:t>TABLE DES MRC DU CENTRE-DU-QUÉBEC</w:t>
            </w:r>
          </w:p>
        </w:tc>
      </w:tr>
      <w:tr w:rsidR="00E6606D" w:rsidRPr="00076CA5" w14:paraId="107CE446" w14:textId="77777777" w:rsidTr="00145125">
        <w:tc>
          <w:tcPr>
            <w:tcW w:w="9502" w:type="dxa"/>
            <w:gridSpan w:val="6"/>
          </w:tcPr>
          <w:p w14:paraId="66B38832" w14:textId="413294AF" w:rsidR="0048453D" w:rsidRPr="00076CA5" w:rsidRDefault="004351B0" w:rsidP="00DC003F">
            <w:pPr>
              <w:pStyle w:val="zSoquijdatNomPartieDem"/>
              <w:spacing w:line="240" w:lineRule="auto"/>
            </w:pPr>
            <w:r w:rsidRPr="00076CA5">
              <w:rPr>
                <w:lang w:val="en-CA"/>
              </w:rPr>
              <w:t>CITY OF SHERBROOKE</w:t>
            </w:r>
          </w:p>
        </w:tc>
      </w:tr>
      <w:tr w:rsidR="00E6606D" w:rsidRPr="00076CA5" w14:paraId="6AAD4284" w14:textId="77777777" w:rsidTr="00145125">
        <w:tc>
          <w:tcPr>
            <w:tcW w:w="9502" w:type="dxa"/>
            <w:gridSpan w:val="6"/>
          </w:tcPr>
          <w:p w14:paraId="1CB519D8" w14:textId="7BC39684" w:rsidR="008F364A" w:rsidRPr="00076CA5" w:rsidRDefault="004351B0" w:rsidP="00DC003F">
            <w:pPr>
              <w:pStyle w:val="zSoquijdatQtePartieDem"/>
              <w:spacing w:line="240" w:lineRule="auto"/>
            </w:pPr>
            <w:r w:rsidRPr="00076CA5">
              <w:rPr>
                <w:lang w:val="en-CA"/>
              </w:rPr>
              <w:t xml:space="preserve">APPELLANTS – </w:t>
            </w:r>
            <w:r w:rsidR="00A86A1E">
              <w:rPr>
                <w:lang w:val="en-CA"/>
              </w:rPr>
              <w:t>p</w:t>
            </w:r>
            <w:r w:rsidRPr="00076CA5">
              <w:rPr>
                <w:lang w:val="en-CA"/>
              </w:rPr>
              <w:t>laintiffs</w:t>
            </w:r>
          </w:p>
        </w:tc>
      </w:tr>
      <w:tr w:rsidR="00E6606D" w:rsidRPr="00076CA5" w14:paraId="3B4F02A5" w14:textId="77777777" w:rsidTr="00145125">
        <w:tc>
          <w:tcPr>
            <w:tcW w:w="9502" w:type="dxa"/>
            <w:gridSpan w:val="6"/>
          </w:tcPr>
          <w:p w14:paraId="13DDB3FF" w14:textId="77777777" w:rsidR="008F364A" w:rsidRPr="00076CA5" w:rsidRDefault="004351B0" w:rsidP="00DC003F">
            <w:pPr>
              <w:pStyle w:val="zSoquijlblLienParties"/>
              <w:spacing w:line="240" w:lineRule="auto"/>
            </w:pPr>
            <w:r w:rsidRPr="00076CA5">
              <w:rPr>
                <w:lang w:val="en-CA"/>
              </w:rPr>
              <w:t>v.</w:t>
            </w:r>
          </w:p>
        </w:tc>
      </w:tr>
      <w:tr w:rsidR="00E6606D" w:rsidRPr="00076CA5" w14:paraId="70D2100E" w14:textId="77777777" w:rsidTr="00145125">
        <w:tc>
          <w:tcPr>
            <w:tcW w:w="9502" w:type="dxa"/>
            <w:gridSpan w:val="6"/>
          </w:tcPr>
          <w:p w14:paraId="612558F1" w14:textId="77777777" w:rsidR="008F364A" w:rsidRPr="00076CA5" w:rsidRDefault="008F364A" w:rsidP="00DC003F">
            <w:pPr>
              <w:spacing w:line="240" w:lineRule="auto"/>
            </w:pPr>
          </w:p>
        </w:tc>
      </w:tr>
      <w:tr w:rsidR="00E6606D" w:rsidRPr="00076CA5" w14:paraId="47EEAEDE" w14:textId="77777777" w:rsidTr="00145125">
        <w:tc>
          <w:tcPr>
            <w:tcW w:w="9502" w:type="dxa"/>
            <w:gridSpan w:val="6"/>
          </w:tcPr>
          <w:p w14:paraId="45BEE89D" w14:textId="1D9E4E58" w:rsidR="008F364A" w:rsidRPr="00076CA5" w:rsidRDefault="004351B0" w:rsidP="00DC003F">
            <w:pPr>
              <w:pStyle w:val="zSoquijdatNomPartieDef"/>
              <w:spacing w:line="240" w:lineRule="auto"/>
            </w:pPr>
            <w:r w:rsidRPr="00076CA5">
              <w:rPr>
                <w:lang w:val="en-CA"/>
              </w:rPr>
              <w:t>ATTORNEY GENERAL OF QUEBEC</w:t>
            </w:r>
          </w:p>
        </w:tc>
      </w:tr>
      <w:tr w:rsidR="00E6606D" w:rsidRPr="00076CA5" w14:paraId="58059C00" w14:textId="77777777" w:rsidTr="00145125">
        <w:tc>
          <w:tcPr>
            <w:tcW w:w="9502" w:type="dxa"/>
            <w:gridSpan w:val="6"/>
          </w:tcPr>
          <w:p w14:paraId="2AB760B4" w14:textId="19723D77" w:rsidR="008F364A" w:rsidRPr="00076CA5" w:rsidRDefault="004351B0" w:rsidP="00DC003F">
            <w:pPr>
              <w:pStyle w:val="zSoquijdatQtePartieDef"/>
              <w:spacing w:line="240" w:lineRule="auto"/>
            </w:pPr>
            <w:r w:rsidRPr="00076CA5">
              <w:rPr>
                <w:lang w:val="en-CA"/>
              </w:rPr>
              <w:t xml:space="preserve">RESPONDENT – </w:t>
            </w:r>
            <w:r w:rsidR="00A86A1E">
              <w:rPr>
                <w:lang w:val="en-CA"/>
              </w:rPr>
              <w:t>d</w:t>
            </w:r>
            <w:r w:rsidRPr="00076CA5">
              <w:rPr>
                <w:lang w:val="en-CA"/>
              </w:rPr>
              <w:t>efendant</w:t>
            </w:r>
          </w:p>
        </w:tc>
      </w:tr>
      <w:tr w:rsidR="00E6606D" w:rsidRPr="00076CA5" w14:paraId="12705608" w14:textId="77777777" w:rsidTr="00145125">
        <w:tc>
          <w:tcPr>
            <w:tcW w:w="9502" w:type="dxa"/>
            <w:gridSpan w:val="6"/>
          </w:tcPr>
          <w:p w14:paraId="68B56854" w14:textId="2DF2DE18" w:rsidR="0048453D" w:rsidRPr="00076CA5" w:rsidRDefault="004351B0" w:rsidP="00DC003F">
            <w:pPr>
              <w:spacing w:line="240" w:lineRule="auto"/>
            </w:pPr>
            <w:r w:rsidRPr="00076CA5">
              <w:rPr>
                <w:lang w:val="en-CA"/>
              </w:rPr>
              <w:t>and</w:t>
            </w:r>
          </w:p>
        </w:tc>
      </w:tr>
      <w:tr w:rsidR="00E6606D" w:rsidRPr="00350287" w14:paraId="115CC807" w14:textId="77777777" w:rsidTr="00145125">
        <w:tc>
          <w:tcPr>
            <w:tcW w:w="9502" w:type="dxa"/>
            <w:gridSpan w:val="6"/>
          </w:tcPr>
          <w:p w14:paraId="7AA11984" w14:textId="4EACCD47" w:rsidR="0048453D" w:rsidRPr="00076CA5" w:rsidRDefault="004351B0" w:rsidP="00DC003F">
            <w:pPr>
              <w:pStyle w:val="zSoquijdatNomPartieDef"/>
              <w:spacing w:line="240" w:lineRule="auto"/>
              <w:rPr>
                <w:lang w:val="en-CA"/>
              </w:rPr>
            </w:pPr>
            <w:r w:rsidRPr="00076CA5">
              <w:rPr>
                <w:lang w:val="en-CA"/>
              </w:rPr>
              <w:t>JEAN-FRANÇOIS BLANCHET, in his capacity as Chief Electoral Officer of Quebec and Chair of the Commission de la représentation</w:t>
            </w:r>
          </w:p>
        </w:tc>
      </w:tr>
      <w:tr w:rsidR="00E6606D" w:rsidRPr="00076CA5" w14:paraId="564EF3FC" w14:textId="77777777" w:rsidTr="00145125">
        <w:tc>
          <w:tcPr>
            <w:tcW w:w="9502" w:type="dxa"/>
            <w:gridSpan w:val="6"/>
          </w:tcPr>
          <w:p w14:paraId="2F727DC0" w14:textId="564C0ED5" w:rsidR="0048453D" w:rsidRPr="00076CA5" w:rsidRDefault="004351B0" w:rsidP="00DC003F">
            <w:pPr>
              <w:pStyle w:val="zSoquijdatQtePartieDef"/>
              <w:spacing w:line="240" w:lineRule="auto"/>
            </w:pPr>
            <w:r w:rsidRPr="00076CA5">
              <w:rPr>
                <w:lang w:val="en-CA"/>
              </w:rPr>
              <w:t xml:space="preserve">IMPLEADED PARTY – </w:t>
            </w:r>
            <w:r w:rsidR="00A86A1E">
              <w:rPr>
                <w:lang w:val="en-CA"/>
              </w:rPr>
              <w:t>i</w:t>
            </w:r>
            <w:r w:rsidRPr="00076CA5">
              <w:rPr>
                <w:lang w:val="en-CA"/>
              </w:rPr>
              <w:t>mpleaded party</w:t>
            </w:r>
          </w:p>
        </w:tc>
      </w:tr>
      <w:tr w:rsidR="00E6606D" w:rsidRPr="00076CA5" w14:paraId="63C35CE1" w14:textId="77777777" w:rsidTr="00145125">
        <w:tc>
          <w:tcPr>
            <w:tcW w:w="9502" w:type="dxa"/>
            <w:gridSpan w:val="6"/>
          </w:tcPr>
          <w:p w14:paraId="73036194" w14:textId="43EBD18E" w:rsidR="0048453D" w:rsidRPr="00076CA5" w:rsidRDefault="004351B0" w:rsidP="00DC003F">
            <w:pPr>
              <w:spacing w:line="240" w:lineRule="auto"/>
            </w:pPr>
            <w:r w:rsidRPr="00076CA5">
              <w:rPr>
                <w:lang w:val="en-CA"/>
              </w:rPr>
              <w:t>and</w:t>
            </w:r>
          </w:p>
        </w:tc>
      </w:tr>
      <w:tr w:rsidR="00E6606D" w:rsidRPr="00076CA5" w14:paraId="1B91BE05" w14:textId="77777777" w:rsidTr="00145125">
        <w:tc>
          <w:tcPr>
            <w:tcW w:w="9502" w:type="dxa"/>
            <w:gridSpan w:val="6"/>
          </w:tcPr>
          <w:p w14:paraId="58CF1627" w14:textId="5DE2F27A" w:rsidR="0048453D" w:rsidRPr="00076CA5" w:rsidRDefault="004351B0" w:rsidP="00AF5AC3">
            <w:pPr>
              <w:pStyle w:val="zSoquijdatNomPartieDef"/>
              <w:spacing w:line="240" w:lineRule="auto"/>
              <w:jc w:val="both"/>
            </w:pPr>
            <w:r w:rsidRPr="00076CA5">
              <w:t>TABLE DES PRÉFETS DES MRC DE LA GASPÉSIE ET DES ÎLES-DE-LA-MADELEINE</w:t>
            </w:r>
          </w:p>
        </w:tc>
      </w:tr>
      <w:tr w:rsidR="00E6606D" w:rsidRPr="00076CA5" w14:paraId="2680F8A2" w14:textId="77777777" w:rsidTr="00145125">
        <w:tc>
          <w:tcPr>
            <w:tcW w:w="9502" w:type="dxa"/>
            <w:gridSpan w:val="6"/>
          </w:tcPr>
          <w:p w14:paraId="44AFC763" w14:textId="5041B3D9" w:rsidR="0048453D" w:rsidRPr="00076CA5" w:rsidRDefault="004351B0" w:rsidP="00AF5AC3">
            <w:pPr>
              <w:pStyle w:val="zSoquijdatNomPartieDef"/>
              <w:spacing w:line="240" w:lineRule="auto"/>
              <w:jc w:val="both"/>
            </w:pPr>
            <w:r w:rsidRPr="00076CA5">
              <w:rPr>
                <w:lang w:val="en-CA"/>
              </w:rPr>
              <w:t>DANIEL CÔTÉ</w:t>
            </w:r>
          </w:p>
        </w:tc>
      </w:tr>
      <w:tr w:rsidR="00E6606D" w:rsidRPr="00076CA5" w14:paraId="46DD0C1D" w14:textId="77777777" w:rsidTr="00145125">
        <w:tc>
          <w:tcPr>
            <w:tcW w:w="9502" w:type="dxa"/>
            <w:gridSpan w:val="6"/>
          </w:tcPr>
          <w:p w14:paraId="627F4092" w14:textId="4C7172F6" w:rsidR="0048453D" w:rsidRPr="00076CA5" w:rsidRDefault="004351B0" w:rsidP="00AF5AC3">
            <w:pPr>
              <w:pStyle w:val="zSoquijdatNomPartieDef"/>
              <w:spacing w:line="240" w:lineRule="auto"/>
              <w:jc w:val="both"/>
            </w:pPr>
            <w:r w:rsidRPr="00076CA5">
              <w:rPr>
                <w:lang w:val="en-CA"/>
              </w:rPr>
              <w:t>CANADIAN CIVIL LIBERTIES ASSOCIATION</w:t>
            </w:r>
          </w:p>
        </w:tc>
      </w:tr>
      <w:tr w:rsidR="00E6606D" w:rsidRPr="00076CA5" w14:paraId="731691FF" w14:textId="77777777" w:rsidTr="00145125">
        <w:tc>
          <w:tcPr>
            <w:tcW w:w="9502" w:type="dxa"/>
            <w:gridSpan w:val="6"/>
          </w:tcPr>
          <w:p w14:paraId="41339637" w14:textId="3EE1ECC0" w:rsidR="0048453D" w:rsidRPr="00076CA5" w:rsidRDefault="004351B0" w:rsidP="00DC003F">
            <w:pPr>
              <w:pStyle w:val="zSoquijdatQtePartieDef"/>
              <w:spacing w:line="240" w:lineRule="auto"/>
            </w:pPr>
            <w:r w:rsidRPr="00076CA5">
              <w:rPr>
                <w:lang w:val="en-CA"/>
              </w:rPr>
              <w:t xml:space="preserve">IMPLEADED PARTY – </w:t>
            </w:r>
            <w:r w:rsidR="00A86A1E">
              <w:rPr>
                <w:lang w:val="en-CA"/>
              </w:rPr>
              <w:t>i</w:t>
            </w:r>
            <w:r w:rsidRPr="00076CA5">
              <w:rPr>
                <w:lang w:val="en-CA"/>
              </w:rPr>
              <w:t>nterveners</w:t>
            </w:r>
          </w:p>
        </w:tc>
      </w:tr>
    </w:tbl>
    <w:p w14:paraId="5830B380" w14:textId="77777777" w:rsidR="004963F5" w:rsidRPr="00076CA5" w:rsidRDefault="004351B0">
      <w:r w:rsidRPr="00076CA5">
        <w:rPr>
          <w:lang w:val="en-CA"/>
        </w:rPr>
        <w:br w:type="page"/>
      </w:r>
    </w:p>
    <w:tbl>
      <w:tblPr>
        <w:tblW w:w="9360" w:type="dxa"/>
        <w:tblLayout w:type="fixed"/>
        <w:tblCellMar>
          <w:left w:w="0" w:type="dxa"/>
          <w:right w:w="0" w:type="dxa"/>
        </w:tblCellMar>
        <w:tblLook w:val="0000" w:firstRow="0" w:lastRow="0" w:firstColumn="0" w:lastColumn="0" w:noHBand="0" w:noVBand="0"/>
      </w:tblPr>
      <w:tblGrid>
        <w:gridCol w:w="9360"/>
      </w:tblGrid>
      <w:tr w:rsidR="00E6606D" w:rsidRPr="00076CA5" w14:paraId="7E619B17" w14:textId="77777777" w:rsidTr="00DC003F">
        <w:trPr>
          <w:trHeight w:val="210"/>
        </w:trPr>
        <w:tc>
          <w:tcPr>
            <w:tcW w:w="9360" w:type="dxa"/>
          </w:tcPr>
          <w:p w14:paraId="6A3E9832" w14:textId="7101413D" w:rsidR="008F364A" w:rsidRPr="00076CA5" w:rsidRDefault="008F364A" w:rsidP="00DC003F">
            <w:pPr>
              <w:spacing w:line="240" w:lineRule="auto"/>
            </w:pPr>
          </w:p>
        </w:tc>
      </w:tr>
      <w:tr w:rsidR="00E6606D" w:rsidRPr="00076CA5" w14:paraId="4E3392A0" w14:textId="77777777" w:rsidTr="008D18FC">
        <w:tc>
          <w:tcPr>
            <w:tcW w:w="9360" w:type="dxa"/>
            <w:tcBorders>
              <w:top w:val="single" w:sz="8" w:space="0" w:color="auto"/>
            </w:tcBorders>
          </w:tcPr>
          <w:p w14:paraId="0187B4E6" w14:textId="77777777" w:rsidR="008F364A" w:rsidRPr="00076CA5" w:rsidRDefault="008F364A" w:rsidP="00DC003F">
            <w:pPr>
              <w:spacing w:line="240" w:lineRule="auto"/>
            </w:pPr>
            <w:bookmarkStart w:id="7" w:name="Arret"/>
          </w:p>
        </w:tc>
      </w:tr>
      <w:tr w:rsidR="00E6606D" w:rsidRPr="00076CA5" w14:paraId="5914A85F" w14:textId="77777777" w:rsidTr="004963F5">
        <w:tc>
          <w:tcPr>
            <w:tcW w:w="9360" w:type="dxa"/>
          </w:tcPr>
          <w:p w14:paraId="2B8CF160" w14:textId="0AC7A691" w:rsidR="008F364A" w:rsidRPr="00076CA5" w:rsidRDefault="004351B0" w:rsidP="00DC003F">
            <w:pPr>
              <w:pStyle w:val="zSoquijlblTypeDocument"/>
              <w:spacing w:line="240" w:lineRule="auto"/>
            </w:pPr>
            <w:bookmarkStart w:id="8" w:name="TitreDocument"/>
            <w:r w:rsidRPr="00076CA5">
              <w:rPr>
                <w:lang w:val="en-CA"/>
              </w:rPr>
              <w:t>JUDGMENT</w:t>
            </w:r>
            <w:bookmarkEnd w:id="8"/>
          </w:p>
        </w:tc>
      </w:tr>
      <w:tr w:rsidR="00E6606D" w:rsidRPr="00076CA5" w14:paraId="0235F737" w14:textId="77777777" w:rsidTr="004963F5">
        <w:tc>
          <w:tcPr>
            <w:tcW w:w="9360" w:type="dxa"/>
          </w:tcPr>
          <w:p w14:paraId="088C1CB5" w14:textId="73BDFB0E" w:rsidR="008F364A" w:rsidRPr="00076CA5" w:rsidRDefault="004351B0" w:rsidP="00DC003F">
            <w:pPr>
              <w:spacing w:line="240" w:lineRule="auto"/>
            </w:pPr>
            <w:r w:rsidRPr="00076CA5">
              <w:rPr>
                <w:lang w:val="en-CA"/>
              </w:rPr>
              <w:t>______________________________________________________________________</w:t>
            </w:r>
          </w:p>
        </w:tc>
      </w:tr>
      <w:tr w:rsidR="00E6606D" w:rsidRPr="00076CA5" w14:paraId="49C441B6" w14:textId="77777777" w:rsidTr="004963F5">
        <w:tc>
          <w:tcPr>
            <w:tcW w:w="9360" w:type="dxa"/>
          </w:tcPr>
          <w:p w14:paraId="05CDF889" w14:textId="77777777" w:rsidR="004963F5" w:rsidRPr="00076CA5" w:rsidRDefault="004963F5" w:rsidP="00DC003F">
            <w:pPr>
              <w:spacing w:line="240" w:lineRule="auto"/>
            </w:pPr>
          </w:p>
        </w:tc>
      </w:tr>
    </w:tbl>
    <w:p w14:paraId="4FEF9F90" w14:textId="587E7202" w:rsidR="00CD689C" w:rsidRPr="00076CA5" w:rsidRDefault="004351B0" w:rsidP="00153772">
      <w:pPr>
        <w:pStyle w:val="aParagraphe"/>
        <w:numPr>
          <w:ilvl w:val="0"/>
          <w:numId w:val="18"/>
        </w:numPr>
        <w:spacing w:line="240" w:lineRule="auto"/>
        <w:rPr>
          <w:lang w:val="en-CA"/>
        </w:rPr>
      </w:pPr>
      <w:r w:rsidRPr="00076CA5">
        <w:rPr>
          <w:lang w:val="en-CA"/>
        </w:rPr>
        <w:t xml:space="preserve">The appellants appeal </w:t>
      </w:r>
      <w:r w:rsidR="00BD0F9C" w:rsidRPr="00076CA5">
        <w:rPr>
          <w:lang w:val="en-CA"/>
        </w:rPr>
        <w:t>from a</w:t>
      </w:r>
      <w:r w:rsidRPr="00076CA5">
        <w:rPr>
          <w:lang w:val="en-CA"/>
        </w:rPr>
        <w:t xml:space="preserve"> judgment rendered on May 29, 2025</w:t>
      </w:r>
      <w:r w:rsidR="00E63024" w:rsidRPr="00076CA5">
        <w:rPr>
          <w:lang w:val="en-CA"/>
        </w:rPr>
        <w:t>,</w:t>
      </w:r>
      <w:r w:rsidRPr="00076CA5">
        <w:rPr>
          <w:lang w:val="en-CA"/>
        </w:rPr>
        <w:t xml:space="preserve"> by the Superior Court, District of Terrebonne (</w:t>
      </w:r>
      <w:r w:rsidR="00E60D4D">
        <w:rPr>
          <w:lang w:val="en-CA"/>
        </w:rPr>
        <w:t xml:space="preserve">the </w:t>
      </w:r>
      <w:r w:rsidRPr="00076CA5">
        <w:rPr>
          <w:lang w:val="en-CA"/>
        </w:rPr>
        <w:t>Hon</w:t>
      </w:r>
      <w:r w:rsidR="00E60D4D">
        <w:rPr>
          <w:lang w:val="en-CA"/>
        </w:rPr>
        <w:t>ourable</w:t>
      </w:r>
      <w:r w:rsidRPr="00076CA5">
        <w:rPr>
          <w:lang w:val="en-CA"/>
        </w:rPr>
        <w:t xml:space="preserve"> Alexander Pless), dismiss</w:t>
      </w:r>
      <w:r w:rsidR="00E60D4D">
        <w:rPr>
          <w:lang w:val="en-CA"/>
        </w:rPr>
        <w:t>ing</w:t>
      </w:r>
      <w:r w:rsidRPr="00076CA5">
        <w:rPr>
          <w:lang w:val="en-CA"/>
        </w:rPr>
        <w:t xml:space="preserve"> the appellants</w:t>
      </w:r>
      <w:r w:rsidR="00E60D4D">
        <w:rPr>
          <w:lang w:val="en-CA"/>
        </w:rPr>
        <w:t>’</w:t>
      </w:r>
      <w:r w:rsidRPr="00076CA5">
        <w:rPr>
          <w:lang w:val="en-CA"/>
        </w:rPr>
        <w:t xml:space="preserve"> application for judicial review to have the </w:t>
      </w:r>
      <w:r w:rsidRPr="00076CA5">
        <w:rPr>
          <w:i/>
          <w:iCs/>
          <w:lang w:val="en-CA"/>
        </w:rPr>
        <w:t>Act to interrupt the electoral division delimitation process</w:t>
      </w:r>
      <w:r w:rsidRPr="00076CA5">
        <w:rPr>
          <w:lang w:val="en-CA"/>
        </w:rPr>
        <w:t xml:space="preserve"> declared unconstitutional.</w:t>
      </w:r>
    </w:p>
    <w:p w14:paraId="2D228289" w14:textId="2071802B" w:rsidR="00BD0F9C" w:rsidRDefault="004351B0" w:rsidP="00153772">
      <w:pPr>
        <w:pStyle w:val="Paragraphe"/>
        <w:spacing w:line="240" w:lineRule="auto"/>
        <w:rPr>
          <w:b/>
          <w:bCs/>
          <w:lang w:val="en-CA"/>
        </w:rPr>
      </w:pPr>
      <w:r w:rsidRPr="00076CA5">
        <w:rPr>
          <w:lang w:val="en-CA"/>
        </w:rPr>
        <w:t>For the reasons of Schrager</w:t>
      </w:r>
      <w:r w:rsidR="00E60D4D">
        <w:rPr>
          <w:lang w:val="en-CA"/>
        </w:rPr>
        <w:t>,</w:t>
      </w:r>
      <w:r w:rsidR="00BD0F9C" w:rsidRPr="00076CA5">
        <w:rPr>
          <w:lang w:val="en-CA"/>
        </w:rPr>
        <w:t xml:space="preserve"> J.A.</w:t>
      </w:r>
      <w:r w:rsidRPr="00076CA5">
        <w:rPr>
          <w:lang w:val="en-CA"/>
        </w:rPr>
        <w:t>, with which Ruel and Cotnam</w:t>
      </w:r>
      <w:r w:rsidR="00E60D4D">
        <w:rPr>
          <w:lang w:val="en-CA"/>
        </w:rPr>
        <w:t>,</w:t>
      </w:r>
      <w:r w:rsidRPr="00076CA5">
        <w:rPr>
          <w:lang w:val="en-CA"/>
        </w:rPr>
        <w:t xml:space="preserve"> </w:t>
      </w:r>
      <w:r w:rsidR="00BD0F9C" w:rsidRPr="00076CA5">
        <w:rPr>
          <w:lang w:val="en-CA"/>
        </w:rPr>
        <w:t>JJ.A.</w:t>
      </w:r>
      <w:r w:rsidR="00E63024" w:rsidRPr="00076CA5">
        <w:rPr>
          <w:lang w:val="en-CA"/>
        </w:rPr>
        <w:t xml:space="preserve"> </w:t>
      </w:r>
      <w:r w:rsidR="00BD0F9C" w:rsidRPr="00076CA5">
        <w:rPr>
          <w:lang w:val="en-CA"/>
        </w:rPr>
        <w:t>agree</w:t>
      </w:r>
      <w:r w:rsidRPr="00076CA5">
        <w:rPr>
          <w:lang w:val="en-CA"/>
        </w:rPr>
        <w:t xml:space="preserve">, </w:t>
      </w:r>
      <w:r w:rsidR="00E60D4D">
        <w:rPr>
          <w:b/>
          <w:bCs/>
          <w:lang w:val="en-CA"/>
        </w:rPr>
        <w:t>THE COURT:</w:t>
      </w:r>
    </w:p>
    <w:p w14:paraId="5F8C8DCA" w14:textId="05E89CEF" w:rsidR="00CD689C" w:rsidRPr="00E60D4D" w:rsidRDefault="00E60D4D" w:rsidP="00E60D4D">
      <w:pPr>
        <w:pStyle w:val="Paragraphe"/>
        <w:spacing w:line="240" w:lineRule="auto"/>
        <w:rPr>
          <w:b/>
          <w:bCs/>
          <w:lang w:val="en-CA"/>
        </w:rPr>
      </w:pPr>
      <w:r>
        <w:rPr>
          <w:b/>
          <w:bCs/>
          <w:lang w:val="en-CA"/>
        </w:rPr>
        <w:t>ALLOWS</w:t>
      </w:r>
      <w:r w:rsidR="00E44240" w:rsidRPr="00E60D4D">
        <w:rPr>
          <w:b/>
          <w:bCs/>
          <w:lang w:val="en-CA"/>
        </w:rPr>
        <w:t xml:space="preserve"> </w:t>
      </w:r>
      <w:r w:rsidR="00E44240" w:rsidRPr="00E60D4D">
        <w:rPr>
          <w:lang w:val="en-CA"/>
        </w:rPr>
        <w:t xml:space="preserve">the appeal with </w:t>
      </w:r>
      <w:r w:rsidR="00BA6D2A">
        <w:rPr>
          <w:lang w:val="en-CA"/>
        </w:rPr>
        <w:t xml:space="preserve">legal </w:t>
      </w:r>
      <w:r w:rsidR="00E44240" w:rsidRPr="00E60D4D">
        <w:rPr>
          <w:lang w:val="en-CA"/>
        </w:rPr>
        <w:t>costs against the Attorney General of Quebec;</w:t>
      </w:r>
    </w:p>
    <w:p w14:paraId="054C1356" w14:textId="391C75F9" w:rsidR="00CD689C" w:rsidRPr="00076CA5" w:rsidRDefault="00E63024" w:rsidP="00153772">
      <w:pPr>
        <w:pStyle w:val="Paragraphe"/>
        <w:spacing w:line="240" w:lineRule="auto"/>
        <w:rPr>
          <w:lang w:val="en-CA"/>
        </w:rPr>
      </w:pPr>
      <w:r w:rsidRPr="00076CA5">
        <w:rPr>
          <w:b/>
          <w:bCs/>
          <w:lang w:val="en-CA"/>
        </w:rPr>
        <w:t>SETS ASIDE</w:t>
      </w:r>
      <w:r w:rsidR="00BD0F9C" w:rsidRPr="00076CA5">
        <w:rPr>
          <w:b/>
          <w:bCs/>
          <w:lang w:val="en-CA"/>
        </w:rPr>
        <w:t xml:space="preserve"> </w:t>
      </w:r>
      <w:r w:rsidRPr="00076CA5">
        <w:rPr>
          <w:lang w:val="en-CA"/>
        </w:rPr>
        <w:t>the judgment under appeal;</w:t>
      </w:r>
    </w:p>
    <w:p w14:paraId="3B0C559C" w14:textId="70BA5BAE" w:rsidR="002125BC" w:rsidRPr="00076CA5" w:rsidRDefault="004351B0" w:rsidP="002125BC">
      <w:pPr>
        <w:pStyle w:val="Paragraphe"/>
        <w:numPr>
          <w:ilvl w:val="0"/>
          <w:numId w:val="0"/>
        </w:numPr>
        <w:spacing w:line="240" w:lineRule="auto"/>
        <w:rPr>
          <w:lang w:val="en-CA"/>
        </w:rPr>
      </w:pPr>
      <w:r w:rsidRPr="00076CA5">
        <w:rPr>
          <w:b/>
          <w:bCs/>
          <w:lang w:val="en-CA"/>
        </w:rPr>
        <w:t>AND RENDER</w:t>
      </w:r>
      <w:r w:rsidR="00BA6D2A">
        <w:rPr>
          <w:b/>
          <w:bCs/>
          <w:lang w:val="en-CA"/>
        </w:rPr>
        <w:t>ING</w:t>
      </w:r>
      <w:r w:rsidRPr="00076CA5">
        <w:rPr>
          <w:b/>
          <w:bCs/>
          <w:lang w:val="en-CA"/>
        </w:rPr>
        <w:t xml:space="preserve"> THE </w:t>
      </w:r>
      <w:r w:rsidR="00BA6D2A">
        <w:rPr>
          <w:b/>
          <w:bCs/>
          <w:lang w:val="en-CA"/>
        </w:rPr>
        <w:t>JUDGMENT</w:t>
      </w:r>
      <w:r w:rsidRPr="00076CA5">
        <w:rPr>
          <w:b/>
          <w:bCs/>
          <w:lang w:val="en-CA"/>
        </w:rPr>
        <w:t xml:space="preserve"> THAT SHOULD HAVE BEEN RENDERED:</w:t>
      </w:r>
    </w:p>
    <w:p w14:paraId="602E00F8" w14:textId="1675B10D" w:rsidR="00CD689C" w:rsidRPr="00076CA5" w:rsidRDefault="00BD0F9C" w:rsidP="00153772">
      <w:pPr>
        <w:pStyle w:val="Paragraphe"/>
        <w:spacing w:line="240" w:lineRule="auto"/>
        <w:rPr>
          <w:lang w:val="en-CA"/>
        </w:rPr>
      </w:pPr>
      <w:r w:rsidRPr="00076CA5">
        <w:rPr>
          <w:b/>
          <w:bCs/>
          <w:lang w:val="en-CA"/>
        </w:rPr>
        <w:t>GRANTS</w:t>
      </w:r>
      <w:r w:rsidRPr="00076CA5">
        <w:rPr>
          <w:lang w:val="en-CA"/>
        </w:rPr>
        <w:t xml:space="preserve"> the re</w:t>
      </w:r>
      <w:r w:rsidR="00387F6B" w:rsidRPr="00076CA5">
        <w:rPr>
          <w:lang w:val="en-CA"/>
        </w:rPr>
        <w:t xml:space="preserve">-amended </w:t>
      </w:r>
      <w:r w:rsidRPr="00076CA5">
        <w:rPr>
          <w:lang w:val="en-CA"/>
        </w:rPr>
        <w:t xml:space="preserve">application for judicial review dated April 8, 2025, with </w:t>
      </w:r>
      <w:r w:rsidR="00BA6D2A">
        <w:rPr>
          <w:lang w:val="en-CA"/>
        </w:rPr>
        <w:t xml:space="preserve">legal </w:t>
      </w:r>
      <w:r w:rsidRPr="00076CA5">
        <w:rPr>
          <w:lang w:val="en-CA"/>
        </w:rPr>
        <w:t>costs against the Attorney General of Quebec;</w:t>
      </w:r>
    </w:p>
    <w:p w14:paraId="46323184" w14:textId="0B4F3C24" w:rsidR="00CD689C" w:rsidRPr="00076CA5" w:rsidRDefault="004351B0" w:rsidP="002125BC">
      <w:pPr>
        <w:pStyle w:val="Paragraphe"/>
        <w:spacing w:line="240" w:lineRule="auto"/>
        <w:rPr>
          <w:lang w:val="en-CA"/>
        </w:rPr>
      </w:pPr>
      <w:r w:rsidRPr="00076CA5">
        <w:rPr>
          <w:b/>
          <w:bCs/>
          <w:lang w:val="en-CA"/>
        </w:rPr>
        <w:t>DECLARES</w:t>
      </w:r>
      <w:r w:rsidRPr="00076CA5">
        <w:rPr>
          <w:lang w:val="en-CA"/>
        </w:rPr>
        <w:t xml:space="preserve"> the </w:t>
      </w:r>
      <w:r w:rsidRPr="00076CA5">
        <w:rPr>
          <w:i/>
          <w:iCs/>
          <w:lang w:val="en-CA"/>
        </w:rPr>
        <w:t>Act to interrupt the electoral division delimitation process</w:t>
      </w:r>
      <w:r w:rsidRPr="00076CA5">
        <w:rPr>
          <w:lang w:val="en-CA"/>
        </w:rPr>
        <w:t xml:space="preserve"> (</w:t>
      </w:r>
      <w:r w:rsidR="00387F6B" w:rsidRPr="00076CA5">
        <w:rPr>
          <w:lang w:val="en-CA"/>
        </w:rPr>
        <w:t>S</w:t>
      </w:r>
      <w:r w:rsidR="00BA6D2A">
        <w:rPr>
          <w:lang w:val="en-CA"/>
        </w:rPr>
        <w:t>.</w:t>
      </w:r>
      <w:r w:rsidR="00387F6B" w:rsidRPr="00076CA5">
        <w:rPr>
          <w:lang w:val="en-CA"/>
        </w:rPr>
        <w:t>Q</w:t>
      </w:r>
      <w:r w:rsidR="00BA6D2A">
        <w:rPr>
          <w:lang w:val="en-CA"/>
        </w:rPr>
        <w:t>.</w:t>
      </w:r>
      <w:r w:rsidR="00990DD2">
        <w:rPr>
          <w:lang w:val="en-CA"/>
        </w:rPr>
        <w:t> </w:t>
      </w:r>
      <w:r w:rsidRPr="00076CA5">
        <w:rPr>
          <w:lang w:val="en-CA"/>
        </w:rPr>
        <w:t>2024, c. 14)</w:t>
      </w:r>
      <w:r w:rsidR="00BA6D2A" w:rsidRPr="00BA6D2A">
        <w:rPr>
          <w:lang w:val="en-CA"/>
        </w:rPr>
        <w:t xml:space="preserve"> </w:t>
      </w:r>
      <w:r w:rsidR="00BA6D2A" w:rsidRPr="00076CA5">
        <w:rPr>
          <w:lang w:val="en-CA"/>
        </w:rPr>
        <w:t>unconstitutional and inoperative</w:t>
      </w:r>
      <w:r w:rsidR="00BA6D2A">
        <w:rPr>
          <w:lang w:val="en-CA"/>
        </w:rPr>
        <w:t>.</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4682"/>
        <w:gridCol w:w="4680"/>
      </w:tblGrid>
      <w:tr w:rsidR="00E6606D" w:rsidRPr="00350287" w14:paraId="6FDEE1D4" w14:textId="77777777" w:rsidTr="003E3239">
        <w:trPr>
          <w:trHeight w:val="576"/>
        </w:trPr>
        <w:tc>
          <w:tcPr>
            <w:tcW w:w="9362" w:type="dxa"/>
            <w:gridSpan w:val="2"/>
            <w:tcBorders>
              <w:top w:val="nil"/>
              <w:bottom w:val="nil"/>
            </w:tcBorders>
          </w:tcPr>
          <w:p w14:paraId="7335BE9F" w14:textId="77777777" w:rsidR="008F364A" w:rsidRPr="00076CA5" w:rsidRDefault="008F364A">
            <w:pPr>
              <w:keepNext/>
              <w:rPr>
                <w:lang w:val="en-CA"/>
              </w:rPr>
            </w:pPr>
          </w:p>
        </w:tc>
      </w:tr>
      <w:tr w:rsidR="00E6606D" w:rsidRPr="00350287" w14:paraId="34B53A96" w14:textId="77777777" w:rsidTr="00117914">
        <w:trPr>
          <w:trHeight w:val="283"/>
        </w:trPr>
        <w:tc>
          <w:tcPr>
            <w:tcW w:w="4682" w:type="dxa"/>
            <w:tcBorders>
              <w:top w:val="nil"/>
              <w:bottom w:val="nil"/>
            </w:tcBorders>
          </w:tcPr>
          <w:p w14:paraId="548A7CD2" w14:textId="77777777" w:rsidR="008F364A" w:rsidRPr="00076CA5" w:rsidRDefault="008F364A">
            <w:pPr>
              <w:keepNext/>
              <w:rPr>
                <w:lang w:val="en-CA"/>
              </w:rPr>
            </w:pPr>
          </w:p>
        </w:tc>
        <w:tc>
          <w:tcPr>
            <w:tcW w:w="4680" w:type="dxa"/>
            <w:tcBorders>
              <w:top w:val="nil"/>
              <w:bottom w:val="single" w:sz="8" w:space="0" w:color="auto"/>
            </w:tcBorders>
          </w:tcPr>
          <w:p w14:paraId="5FE37966" w14:textId="77777777" w:rsidR="008F364A" w:rsidRPr="00076CA5" w:rsidRDefault="008F364A">
            <w:pPr>
              <w:keepNext/>
              <w:rPr>
                <w:lang w:val="en-CA"/>
              </w:rPr>
            </w:pPr>
          </w:p>
        </w:tc>
      </w:tr>
      <w:tr w:rsidR="00E6606D" w:rsidRPr="00BB722C" w14:paraId="3D25A8F4" w14:textId="77777777" w:rsidTr="00117914">
        <w:trPr>
          <w:trHeight w:val="283"/>
        </w:trPr>
        <w:tc>
          <w:tcPr>
            <w:tcW w:w="4682" w:type="dxa"/>
            <w:tcBorders>
              <w:top w:val="nil"/>
            </w:tcBorders>
          </w:tcPr>
          <w:p w14:paraId="279561FD" w14:textId="77777777" w:rsidR="008F364A" w:rsidRPr="00076CA5" w:rsidRDefault="008F364A">
            <w:pPr>
              <w:keepNext/>
              <w:rPr>
                <w:lang w:val="en-CA"/>
              </w:rPr>
            </w:pPr>
          </w:p>
        </w:tc>
        <w:tc>
          <w:tcPr>
            <w:tcW w:w="4680" w:type="dxa"/>
            <w:tcBorders>
              <w:top w:val="single" w:sz="8" w:space="0" w:color="auto"/>
            </w:tcBorders>
          </w:tcPr>
          <w:p w14:paraId="28DCE40E" w14:textId="5D4E46AD" w:rsidR="008F364A" w:rsidRPr="00145125" w:rsidRDefault="004351B0">
            <w:pPr>
              <w:rPr>
                <w:lang w:val="en-CA"/>
              </w:rPr>
            </w:pPr>
            <w:r w:rsidRPr="00076CA5">
              <w:rPr>
                <w:lang w:val="en-CA"/>
              </w:rPr>
              <w:t>MARK SCHRAGER, J.A.</w:t>
            </w:r>
          </w:p>
        </w:tc>
      </w:tr>
      <w:tr w:rsidR="00E6606D" w:rsidRPr="00BB722C" w14:paraId="756CF51F" w14:textId="77777777" w:rsidTr="00117914">
        <w:trPr>
          <w:trHeight w:val="283"/>
        </w:trPr>
        <w:tc>
          <w:tcPr>
            <w:tcW w:w="4682" w:type="dxa"/>
            <w:tcBorders>
              <w:top w:val="nil"/>
            </w:tcBorders>
          </w:tcPr>
          <w:p w14:paraId="68CF777F" w14:textId="77777777" w:rsidR="008F364A" w:rsidRPr="00145125" w:rsidRDefault="008F364A">
            <w:pPr>
              <w:keepNext/>
              <w:rPr>
                <w:lang w:val="en-CA"/>
              </w:rPr>
            </w:pPr>
            <w:bookmarkStart w:id="9" w:name="Signature2"/>
          </w:p>
        </w:tc>
        <w:tc>
          <w:tcPr>
            <w:tcW w:w="4680" w:type="dxa"/>
            <w:tcBorders>
              <w:top w:val="nil"/>
            </w:tcBorders>
          </w:tcPr>
          <w:p w14:paraId="7A2841B0" w14:textId="77777777" w:rsidR="008F364A" w:rsidRPr="00145125" w:rsidRDefault="008F364A">
            <w:pPr>
              <w:keepNext/>
              <w:rPr>
                <w:lang w:val="en-CA"/>
              </w:rPr>
            </w:pPr>
          </w:p>
        </w:tc>
      </w:tr>
      <w:tr w:rsidR="00E6606D" w:rsidRPr="00BB722C" w14:paraId="3ADBA78E" w14:textId="77777777" w:rsidTr="00117914">
        <w:trPr>
          <w:trHeight w:val="283"/>
        </w:trPr>
        <w:tc>
          <w:tcPr>
            <w:tcW w:w="4682" w:type="dxa"/>
            <w:tcBorders>
              <w:top w:val="nil"/>
              <w:bottom w:val="nil"/>
            </w:tcBorders>
          </w:tcPr>
          <w:p w14:paraId="70048D96" w14:textId="77777777" w:rsidR="008F364A" w:rsidRPr="00145125" w:rsidRDefault="008F364A">
            <w:pPr>
              <w:keepNext/>
              <w:rPr>
                <w:lang w:val="en-CA"/>
              </w:rPr>
            </w:pPr>
          </w:p>
        </w:tc>
        <w:tc>
          <w:tcPr>
            <w:tcW w:w="4680" w:type="dxa"/>
            <w:tcBorders>
              <w:top w:val="nil"/>
              <w:bottom w:val="single" w:sz="8" w:space="0" w:color="auto"/>
            </w:tcBorders>
          </w:tcPr>
          <w:p w14:paraId="79B89FE9" w14:textId="77777777" w:rsidR="008F364A" w:rsidRPr="00145125" w:rsidRDefault="008F364A">
            <w:pPr>
              <w:keepNext/>
              <w:rPr>
                <w:lang w:val="en-CA"/>
              </w:rPr>
            </w:pPr>
          </w:p>
        </w:tc>
      </w:tr>
      <w:tr w:rsidR="00E6606D" w:rsidRPr="00076CA5" w14:paraId="6B6041B2" w14:textId="77777777" w:rsidTr="00117914">
        <w:trPr>
          <w:trHeight w:val="283"/>
        </w:trPr>
        <w:tc>
          <w:tcPr>
            <w:tcW w:w="4682" w:type="dxa"/>
            <w:tcBorders>
              <w:top w:val="nil"/>
            </w:tcBorders>
          </w:tcPr>
          <w:p w14:paraId="17B7BA72" w14:textId="77777777" w:rsidR="008F364A" w:rsidRPr="00145125" w:rsidRDefault="008F364A">
            <w:pPr>
              <w:keepNext/>
              <w:rPr>
                <w:lang w:val="en-CA"/>
              </w:rPr>
            </w:pPr>
          </w:p>
        </w:tc>
        <w:tc>
          <w:tcPr>
            <w:tcW w:w="4680" w:type="dxa"/>
            <w:tcBorders>
              <w:top w:val="single" w:sz="8" w:space="0" w:color="auto"/>
            </w:tcBorders>
          </w:tcPr>
          <w:p w14:paraId="7E78624E" w14:textId="1EFA39C9" w:rsidR="008F364A" w:rsidRPr="00076CA5" w:rsidRDefault="004351B0">
            <w:pPr>
              <w:keepNext/>
            </w:pPr>
            <w:r w:rsidRPr="00076CA5">
              <w:rPr>
                <w:lang w:val="en-CA"/>
              </w:rPr>
              <w:t>SIMON RUEL, J.A.</w:t>
            </w:r>
          </w:p>
        </w:tc>
      </w:tr>
      <w:tr w:rsidR="00E6606D" w:rsidRPr="00076CA5" w14:paraId="7A24D221" w14:textId="77777777" w:rsidTr="00117914">
        <w:trPr>
          <w:trHeight w:val="283"/>
        </w:trPr>
        <w:tc>
          <w:tcPr>
            <w:tcW w:w="4682" w:type="dxa"/>
            <w:tcBorders>
              <w:top w:val="nil"/>
            </w:tcBorders>
          </w:tcPr>
          <w:p w14:paraId="66C53123" w14:textId="77777777" w:rsidR="008F364A" w:rsidRPr="00076CA5" w:rsidRDefault="008F364A">
            <w:pPr>
              <w:keepNext/>
            </w:pPr>
            <w:bookmarkStart w:id="10" w:name="Signature3"/>
            <w:bookmarkEnd w:id="9"/>
          </w:p>
        </w:tc>
        <w:tc>
          <w:tcPr>
            <w:tcW w:w="4680" w:type="dxa"/>
            <w:tcBorders>
              <w:top w:val="nil"/>
            </w:tcBorders>
          </w:tcPr>
          <w:p w14:paraId="35FB0613" w14:textId="77777777" w:rsidR="008F364A" w:rsidRPr="00076CA5" w:rsidRDefault="008F364A">
            <w:pPr>
              <w:keepNext/>
            </w:pPr>
          </w:p>
        </w:tc>
      </w:tr>
      <w:tr w:rsidR="00E6606D" w:rsidRPr="00076CA5" w14:paraId="29F5D7B8" w14:textId="77777777" w:rsidTr="00117914">
        <w:trPr>
          <w:trHeight w:val="283"/>
        </w:trPr>
        <w:tc>
          <w:tcPr>
            <w:tcW w:w="4682" w:type="dxa"/>
            <w:tcBorders>
              <w:top w:val="nil"/>
              <w:bottom w:val="nil"/>
            </w:tcBorders>
          </w:tcPr>
          <w:p w14:paraId="719E23E9" w14:textId="77777777" w:rsidR="008F364A" w:rsidRPr="00076CA5" w:rsidRDefault="008F364A">
            <w:pPr>
              <w:keepNext/>
            </w:pPr>
          </w:p>
        </w:tc>
        <w:tc>
          <w:tcPr>
            <w:tcW w:w="4680" w:type="dxa"/>
            <w:tcBorders>
              <w:top w:val="nil"/>
              <w:bottom w:val="single" w:sz="8" w:space="0" w:color="auto"/>
            </w:tcBorders>
          </w:tcPr>
          <w:p w14:paraId="5AD49F73" w14:textId="77777777" w:rsidR="008F364A" w:rsidRPr="00076CA5" w:rsidRDefault="008F364A">
            <w:pPr>
              <w:keepNext/>
            </w:pPr>
          </w:p>
        </w:tc>
      </w:tr>
      <w:tr w:rsidR="00E6606D" w:rsidRPr="00BB722C" w14:paraId="03DC2442" w14:textId="77777777" w:rsidTr="00117914">
        <w:trPr>
          <w:trHeight w:val="283"/>
        </w:trPr>
        <w:tc>
          <w:tcPr>
            <w:tcW w:w="4682" w:type="dxa"/>
            <w:tcBorders>
              <w:top w:val="nil"/>
            </w:tcBorders>
          </w:tcPr>
          <w:p w14:paraId="5761789F" w14:textId="77777777" w:rsidR="008F364A" w:rsidRPr="00076CA5" w:rsidRDefault="008F364A">
            <w:pPr>
              <w:keepNext/>
            </w:pPr>
          </w:p>
        </w:tc>
        <w:tc>
          <w:tcPr>
            <w:tcW w:w="4680" w:type="dxa"/>
            <w:tcBorders>
              <w:top w:val="single" w:sz="8" w:space="0" w:color="auto"/>
            </w:tcBorders>
          </w:tcPr>
          <w:p w14:paraId="515D503D" w14:textId="00878CD2" w:rsidR="008F364A" w:rsidRPr="00076CA5" w:rsidRDefault="004351B0">
            <w:pPr>
              <w:keepNext/>
              <w:rPr>
                <w:lang w:val="en-CA"/>
              </w:rPr>
            </w:pPr>
            <w:r w:rsidRPr="00076CA5">
              <w:rPr>
                <w:lang w:val="en-CA"/>
              </w:rPr>
              <w:t>GENEVIÈVE COTNAM, J.A.</w:t>
            </w:r>
          </w:p>
        </w:tc>
      </w:tr>
      <w:bookmarkEnd w:id="10"/>
      <w:tr w:rsidR="00E6606D" w:rsidRPr="00BB722C" w14:paraId="45754363" w14:textId="77777777" w:rsidTr="00423DF1">
        <w:tc>
          <w:tcPr>
            <w:tcW w:w="9362" w:type="dxa"/>
            <w:gridSpan w:val="2"/>
          </w:tcPr>
          <w:p w14:paraId="1510ED88" w14:textId="77777777" w:rsidR="005A78BF" w:rsidRPr="00076CA5" w:rsidRDefault="005A78BF" w:rsidP="005A78BF">
            <w:pPr>
              <w:rPr>
                <w:lang w:val="en-CA"/>
              </w:rPr>
            </w:pPr>
          </w:p>
        </w:tc>
      </w:tr>
    </w:tbl>
    <w:p w14:paraId="06753517" w14:textId="77777777" w:rsidR="009D0860" w:rsidRPr="00076CA5" w:rsidRDefault="004351B0">
      <w:pPr>
        <w:rPr>
          <w:lang w:val="en-CA"/>
        </w:rPr>
      </w:pPr>
      <w:r w:rsidRPr="00076CA5">
        <w:rPr>
          <w:lang w:val="en-CA"/>
        </w:rPr>
        <w:br w:type="page"/>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7365"/>
      </w:tblGrid>
      <w:tr w:rsidR="00E6606D" w:rsidRPr="00076CA5" w14:paraId="284423F1" w14:textId="77777777" w:rsidTr="009D0860">
        <w:tc>
          <w:tcPr>
            <w:tcW w:w="9362" w:type="dxa"/>
            <w:gridSpan w:val="2"/>
            <w:tcBorders>
              <w:top w:val="nil"/>
            </w:tcBorders>
          </w:tcPr>
          <w:p w14:paraId="3EA703A8" w14:textId="4110D267" w:rsidR="005A78BF" w:rsidRPr="00076CA5" w:rsidRDefault="00387F6B" w:rsidP="005A78BF">
            <w:pPr>
              <w:pStyle w:val="zSoquijdatNomProcureurDem"/>
            </w:pPr>
            <w:r w:rsidRPr="00076CA5">
              <w:rPr>
                <w:lang w:val="en-CA"/>
              </w:rPr>
              <w:lastRenderedPageBreak/>
              <w:t>Mtre Daniel Goupil</w:t>
            </w:r>
          </w:p>
        </w:tc>
      </w:tr>
      <w:tr w:rsidR="00E6606D" w:rsidRPr="00076CA5" w14:paraId="4D029CBA" w14:textId="77777777" w:rsidTr="009D0860">
        <w:tc>
          <w:tcPr>
            <w:tcW w:w="9362" w:type="dxa"/>
            <w:gridSpan w:val="2"/>
            <w:tcBorders>
              <w:top w:val="nil"/>
            </w:tcBorders>
          </w:tcPr>
          <w:p w14:paraId="752CA6A9" w14:textId="53C03BB0" w:rsidR="0048453D" w:rsidRPr="00076CA5" w:rsidRDefault="00387F6B" w:rsidP="005A78BF">
            <w:pPr>
              <w:pStyle w:val="zSoquijdatNomProcureurDem"/>
            </w:pPr>
            <w:r w:rsidRPr="00076CA5">
              <w:rPr>
                <w:lang w:val="en-CA"/>
              </w:rPr>
              <w:t>Mtre Axel Fournier</w:t>
            </w:r>
          </w:p>
        </w:tc>
      </w:tr>
      <w:tr w:rsidR="00E6606D" w:rsidRPr="00076CA5" w14:paraId="4606251B" w14:textId="77777777" w:rsidTr="009D0860">
        <w:tc>
          <w:tcPr>
            <w:tcW w:w="9362" w:type="dxa"/>
            <w:gridSpan w:val="2"/>
            <w:tcBorders>
              <w:top w:val="nil"/>
            </w:tcBorders>
          </w:tcPr>
          <w:p w14:paraId="59239B35" w14:textId="70CAB63A" w:rsidR="005A78BF" w:rsidRPr="00076CA5" w:rsidRDefault="004351B0" w:rsidP="005A78BF">
            <w:pPr>
              <w:pStyle w:val="zSoquijdatCabinetProcureurDem"/>
            </w:pPr>
            <w:r w:rsidRPr="00076CA5">
              <w:rPr>
                <w:lang w:val="en-CA"/>
              </w:rPr>
              <w:t>PRÉVOST FORTIN D'AOUST</w:t>
            </w:r>
          </w:p>
        </w:tc>
      </w:tr>
      <w:tr w:rsidR="00E6606D" w:rsidRPr="00076CA5" w14:paraId="14398FA6" w14:textId="77777777" w:rsidTr="009D0860">
        <w:tc>
          <w:tcPr>
            <w:tcW w:w="9362" w:type="dxa"/>
            <w:gridSpan w:val="2"/>
            <w:tcBorders>
              <w:top w:val="nil"/>
            </w:tcBorders>
          </w:tcPr>
          <w:p w14:paraId="74CA6960" w14:textId="434C63FC" w:rsidR="005A78BF" w:rsidRPr="00076CA5" w:rsidRDefault="004351B0" w:rsidP="005A78BF">
            <w:pPr>
              <w:pStyle w:val="zSoquijlblProcureurDem"/>
            </w:pPr>
            <w:r w:rsidRPr="00076CA5">
              <w:rPr>
                <w:lang w:val="en-CA"/>
              </w:rPr>
              <w:t>For the appellants</w:t>
            </w:r>
          </w:p>
        </w:tc>
      </w:tr>
      <w:tr w:rsidR="00E6606D" w:rsidRPr="00076CA5" w14:paraId="1D2AEF89" w14:textId="77777777" w:rsidTr="00CB158B">
        <w:tc>
          <w:tcPr>
            <w:tcW w:w="9362" w:type="dxa"/>
            <w:gridSpan w:val="2"/>
            <w:tcBorders>
              <w:bottom w:val="nil"/>
            </w:tcBorders>
          </w:tcPr>
          <w:p w14:paraId="7F488BDF" w14:textId="77777777" w:rsidR="005A78BF" w:rsidRPr="00076CA5" w:rsidRDefault="005A78BF" w:rsidP="005A78BF"/>
        </w:tc>
      </w:tr>
      <w:tr w:rsidR="00E6606D" w:rsidRPr="00076CA5" w14:paraId="53072B09" w14:textId="77777777" w:rsidTr="00CB158B">
        <w:tc>
          <w:tcPr>
            <w:tcW w:w="9362" w:type="dxa"/>
            <w:gridSpan w:val="2"/>
            <w:tcBorders>
              <w:top w:val="nil"/>
            </w:tcBorders>
          </w:tcPr>
          <w:p w14:paraId="133428A0" w14:textId="7C0A7B39" w:rsidR="005A78BF" w:rsidRPr="00076CA5" w:rsidRDefault="00387F6B" w:rsidP="005A78BF">
            <w:pPr>
              <w:pStyle w:val="zSoquijdatNomProcureurDef"/>
            </w:pPr>
            <w:r w:rsidRPr="00076CA5">
              <w:rPr>
                <w:lang w:val="en-CA"/>
              </w:rPr>
              <w:t>Mtre Amélie Bellerose</w:t>
            </w:r>
          </w:p>
        </w:tc>
      </w:tr>
      <w:tr w:rsidR="00E6606D" w:rsidRPr="00076CA5" w14:paraId="11CD81AE" w14:textId="77777777" w:rsidTr="00CB158B">
        <w:tc>
          <w:tcPr>
            <w:tcW w:w="9362" w:type="dxa"/>
            <w:gridSpan w:val="2"/>
            <w:tcBorders>
              <w:top w:val="nil"/>
            </w:tcBorders>
          </w:tcPr>
          <w:p w14:paraId="15C06ACA" w14:textId="089A07A4" w:rsidR="0048453D" w:rsidRPr="00076CA5" w:rsidRDefault="00387F6B" w:rsidP="005A78BF">
            <w:pPr>
              <w:pStyle w:val="zSoquijdatNomProcureurDef"/>
            </w:pPr>
            <w:r w:rsidRPr="00076CA5">
              <w:rPr>
                <w:lang w:val="en-CA"/>
              </w:rPr>
              <w:t>Mtre Gabriel S. Gervais</w:t>
            </w:r>
          </w:p>
        </w:tc>
      </w:tr>
      <w:tr w:rsidR="00E6606D" w:rsidRPr="00076CA5" w14:paraId="1C2E0235" w14:textId="77777777" w:rsidTr="00CB158B">
        <w:tc>
          <w:tcPr>
            <w:tcW w:w="9362" w:type="dxa"/>
            <w:gridSpan w:val="2"/>
            <w:tcBorders>
              <w:top w:val="nil"/>
            </w:tcBorders>
          </w:tcPr>
          <w:p w14:paraId="550AD8DA" w14:textId="50C264B7" w:rsidR="005A78BF" w:rsidRPr="00076CA5" w:rsidRDefault="004351B0" w:rsidP="005A78BF">
            <w:pPr>
              <w:pStyle w:val="zSoquijdatCabinetProcureurDef"/>
            </w:pPr>
            <w:r w:rsidRPr="00076CA5">
              <w:rPr>
                <w:lang w:val="en-CA"/>
              </w:rPr>
              <w:t>BERNARD, ROY (JUSTICE-QUÉBEC)</w:t>
            </w:r>
          </w:p>
        </w:tc>
      </w:tr>
      <w:tr w:rsidR="00E6606D" w:rsidRPr="00076CA5" w14:paraId="19716866" w14:textId="77777777" w:rsidTr="00CB158B">
        <w:tc>
          <w:tcPr>
            <w:tcW w:w="9362" w:type="dxa"/>
            <w:gridSpan w:val="2"/>
            <w:tcBorders>
              <w:top w:val="nil"/>
            </w:tcBorders>
          </w:tcPr>
          <w:p w14:paraId="2C176B05" w14:textId="1B992092" w:rsidR="005A78BF" w:rsidRPr="00076CA5" w:rsidRDefault="004351B0" w:rsidP="005A78BF">
            <w:pPr>
              <w:pStyle w:val="zSoquijlblProcureurDef"/>
            </w:pPr>
            <w:r w:rsidRPr="00076CA5">
              <w:rPr>
                <w:lang w:val="en-CA"/>
              </w:rPr>
              <w:t>For the respondent</w:t>
            </w:r>
          </w:p>
        </w:tc>
      </w:tr>
      <w:tr w:rsidR="00E6606D" w:rsidRPr="00076CA5" w14:paraId="4BC4893E" w14:textId="77777777" w:rsidTr="00CB158B">
        <w:tc>
          <w:tcPr>
            <w:tcW w:w="9362" w:type="dxa"/>
            <w:gridSpan w:val="2"/>
            <w:tcBorders>
              <w:top w:val="nil"/>
              <w:bottom w:val="nil"/>
            </w:tcBorders>
          </w:tcPr>
          <w:p w14:paraId="33B898A4" w14:textId="77777777" w:rsidR="0048453D" w:rsidRPr="00076CA5" w:rsidRDefault="0048453D" w:rsidP="005A78BF"/>
        </w:tc>
      </w:tr>
      <w:tr w:rsidR="00E6606D" w:rsidRPr="00076CA5" w14:paraId="0BC3E600" w14:textId="77777777" w:rsidTr="00153772">
        <w:tc>
          <w:tcPr>
            <w:tcW w:w="9362" w:type="dxa"/>
            <w:gridSpan w:val="2"/>
            <w:tcBorders>
              <w:top w:val="nil"/>
            </w:tcBorders>
          </w:tcPr>
          <w:p w14:paraId="4DD1FC2B" w14:textId="2F35EC2B" w:rsidR="0048453D" w:rsidRPr="00076CA5" w:rsidRDefault="00387F6B" w:rsidP="0048453D">
            <w:pPr>
              <w:pStyle w:val="zSoquijdatNomProcureurDef"/>
            </w:pPr>
            <w:r w:rsidRPr="00076CA5">
              <w:rPr>
                <w:lang w:val="en-CA"/>
              </w:rPr>
              <w:t>Mtre Olivier Cournoyer Boutin</w:t>
            </w:r>
          </w:p>
        </w:tc>
      </w:tr>
      <w:tr w:rsidR="00E6606D" w:rsidRPr="00076CA5" w14:paraId="75723A51" w14:textId="77777777" w:rsidTr="00153772">
        <w:tc>
          <w:tcPr>
            <w:tcW w:w="9362" w:type="dxa"/>
            <w:gridSpan w:val="2"/>
            <w:tcBorders>
              <w:top w:val="nil"/>
            </w:tcBorders>
          </w:tcPr>
          <w:p w14:paraId="5BA57479" w14:textId="3F90912C" w:rsidR="0048453D" w:rsidRPr="00076CA5" w:rsidRDefault="00387F6B" w:rsidP="0048453D">
            <w:pPr>
              <w:pStyle w:val="zSoquijdatNomProcureurDef"/>
            </w:pPr>
            <w:r w:rsidRPr="00076CA5">
              <w:rPr>
                <w:lang w:val="en-CA"/>
              </w:rPr>
              <w:t>Mtre Henrick Lavoie</w:t>
            </w:r>
          </w:p>
        </w:tc>
      </w:tr>
      <w:tr w:rsidR="00E6606D" w:rsidRPr="00350287" w14:paraId="49111550" w14:textId="77777777" w:rsidTr="00153772">
        <w:tc>
          <w:tcPr>
            <w:tcW w:w="9362" w:type="dxa"/>
            <w:gridSpan w:val="2"/>
            <w:tcBorders>
              <w:top w:val="nil"/>
            </w:tcBorders>
          </w:tcPr>
          <w:p w14:paraId="755B4272" w14:textId="041B9130" w:rsidR="0048453D" w:rsidRPr="00076CA5" w:rsidRDefault="004351B0" w:rsidP="0048453D">
            <w:pPr>
              <w:pStyle w:val="zSoquijdatCabinetProcureurDef"/>
              <w:rPr>
                <w:lang w:val="en-CA"/>
              </w:rPr>
            </w:pPr>
            <w:r w:rsidRPr="00076CA5">
              <w:rPr>
                <w:lang w:val="en-CA"/>
              </w:rPr>
              <w:t>CHIEF ELECTORAL OFFICER OF QUEBEC</w:t>
            </w:r>
          </w:p>
        </w:tc>
      </w:tr>
      <w:tr w:rsidR="00E6606D" w:rsidRPr="00350287" w14:paraId="468DC57D" w14:textId="77777777" w:rsidTr="00153772">
        <w:tc>
          <w:tcPr>
            <w:tcW w:w="9362" w:type="dxa"/>
            <w:gridSpan w:val="2"/>
            <w:tcBorders>
              <w:top w:val="nil"/>
            </w:tcBorders>
          </w:tcPr>
          <w:p w14:paraId="2F6B6851" w14:textId="6B31FBA0" w:rsidR="0048453D" w:rsidRPr="00076CA5" w:rsidRDefault="004351B0" w:rsidP="00933DFC">
            <w:pPr>
              <w:pStyle w:val="zSoquijlblProcureurDef"/>
              <w:jc w:val="both"/>
              <w:rPr>
                <w:lang w:val="en-CA"/>
              </w:rPr>
            </w:pPr>
            <w:r w:rsidRPr="00076CA5">
              <w:rPr>
                <w:lang w:val="en-CA"/>
              </w:rPr>
              <w:t>For Jean-François Blanchet, in his capacity as Chief Electoral Officer of Quebec and Chair of the Commission de la représentation</w:t>
            </w:r>
          </w:p>
        </w:tc>
      </w:tr>
      <w:tr w:rsidR="00E6606D" w:rsidRPr="00350287" w14:paraId="56171110" w14:textId="77777777" w:rsidTr="00423DF1">
        <w:tc>
          <w:tcPr>
            <w:tcW w:w="9362" w:type="dxa"/>
            <w:gridSpan w:val="2"/>
          </w:tcPr>
          <w:p w14:paraId="7291953C" w14:textId="77777777" w:rsidR="0048453D" w:rsidRPr="00076CA5" w:rsidRDefault="0048453D" w:rsidP="005A78BF">
            <w:pPr>
              <w:rPr>
                <w:lang w:val="en-CA"/>
              </w:rPr>
            </w:pPr>
          </w:p>
        </w:tc>
      </w:tr>
      <w:tr w:rsidR="00E6606D" w:rsidRPr="00076CA5" w14:paraId="01B8D416" w14:textId="77777777" w:rsidTr="00423DF1">
        <w:tc>
          <w:tcPr>
            <w:tcW w:w="9362" w:type="dxa"/>
            <w:gridSpan w:val="2"/>
          </w:tcPr>
          <w:p w14:paraId="4DF66CCD" w14:textId="27FE65E7" w:rsidR="0048453D" w:rsidRPr="00076CA5" w:rsidRDefault="00387F6B" w:rsidP="0048453D">
            <w:pPr>
              <w:pStyle w:val="zSoquijdatNomProcureurDef"/>
            </w:pPr>
            <w:r w:rsidRPr="00076CA5">
              <w:rPr>
                <w:lang w:val="en-CA"/>
              </w:rPr>
              <w:t>Mtre Benjamin Bolduc</w:t>
            </w:r>
          </w:p>
        </w:tc>
      </w:tr>
      <w:tr w:rsidR="00E6606D" w:rsidRPr="00076CA5" w14:paraId="491D7345" w14:textId="77777777" w:rsidTr="00423DF1">
        <w:tc>
          <w:tcPr>
            <w:tcW w:w="9362" w:type="dxa"/>
            <w:gridSpan w:val="2"/>
          </w:tcPr>
          <w:p w14:paraId="2AACFAC7" w14:textId="4F616566" w:rsidR="0048453D" w:rsidRPr="00076CA5" w:rsidRDefault="004351B0" w:rsidP="0048453D">
            <w:pPr>
              <w:pStyle w:val="zSoquijdatCabinetProcureurDef"/>
            </w:pPr>
            <w:r w:rsidRPr="00076CA5">
              <w:rPr>
                <w:lang w:val="en-CA"/>
              </w:rPr>
              <w:t>TREMBLAY BOIS MIGNAULT LEMAY</w:t>
            </w:r>
          </w:p>
        </w:tc>
      </w:tr>
      <w:tr w:rsidR="00E6606D" w:rsidRPr="00076CA5" w14:paraId="570A2DB8" w14:textId="77777777" w:rsidTr="00423DF1">
        <w:tc>
          <w:tcPr>
            <w:tcW w:w="9362" w:type="dxa"/>
            <w:gridSpan w:val="2"/>
          </w:tcPr>
          <w:p w14:paraId="09DBF9C8" w14:textId="29E1E0A6" w:rsidR="0048453D" w:rsidRPr="00076CA5" w:rsidRDefault="004351B0" w:rsidP="00933DFC">
            <w:pPr>
              <w:pStyle w:val="zSoquijlblProcureurDef"/>
              <w:jc w:val="both"/>
            </w:pPr>
            <w:r w:rsidRPr="00076CA5">
              <w:t xml:space="preserve">For </w:t>
            </w:r>
            <w:r w:rsidR="0006726A">
              <w:t xml:space="preserve">the </w:t>
            </w:r>
            <w:r w:rsidRPr="00076CA5">
              <w:t>Table des préfets des MRC de la Gaspésie et des Îles-de-la-Madeleine and Daniel Côté</w:t>
            </w:r>
          </w:p>
        </w:tc>
      </w:tr>
      <w:tr w:rsidR="00E6606D" w:rsidRPr="00076CA5" w14:paraId="53E4C878" w14:textId="77777777" w:rsidTr="00423DF1">
        <w:tc>
          <w:tcPr>
            <w:tcW w:w="9362" w:type="dxa"/>
            <w:gridSpan w:val="2"/>
          </w:tcPr>
          <w:p w14:paraId="40994B26" w14:textId="77777777" w:rsidR="0048453D" w:rsidRPr="00076CA5" w:rsidRDefault="0048453D" w:rsidP="005A78BF"/>
        </w:tc>
      </w:tr>
      <w:tr w:rsidR="00E6606D" w:rsidRPr="00076CA5" w14:paraId="0A347A99" w14:textId="77777777" w:rsidTr="00423DF1">
        <w:tc>
          <w:tcPr>
            <w:tcW w:w="9362" w:type="dxa"/>
            <w:gridSpan w:val="2"/>
          </w:tcPr>
          <w:p w14:paraId="0AEB915E" w14:textId="6E3CF931" w:rsidR="0048453D" w:rsidRPr="00076CA5" w:rsidRDefault="00387F6B" w:rsidP="0048453D">
            <w:pPr>
              <w:pStyle w:val="zSoquijdatNomProcureurDef"/>
            </w:pPr>
            <w:r w:rsidRPr="00076CA5">
              <w:rPr>
                <w:lang w:val="en-CA"/>
              </w:rPr>
              <w:t>Mtre Julien Boud</w:t>
            </w:r>
            <w:r w:rsidR="0083473C">
              <w:rPr>
                <w:lang w:val="en-CA"/>
              </w:rPr>
              <w:t>r</w:t>
            </w:r>
            <w:r w:rsidRPr="00076CA5">
              <w:rPr>
                <w:lang w:val="en-CA"/>
              </w:rPr>
              <w:t>eault</w:t>
            </w:r>
          </w:p>
        </w:tc>
      </w:tr>
      <w:tr w:rsidR="00E6606D" w:rsidRPr="00076CA5" w14:paraId="0A8DBCB5" w14:textId="77777777" w:rsidTr="00423DF1">
        <w:tc>
          <w:tcPr>
            <w:tcW w:w="9362" w:type="dxa"/>
            <w:gridSpan w:val="2"/>
          </w:tcPr>
          <w:p w14:paraId="1A5002F2" w14:textId="0492C3EA" w:rsidR="0048453D" w:rsidRPr="00076CA5" w:rsidRDefault="004351B0" w:rsidP="0048453D">
            <w:pPr>
              <w:pStyle w:val="zSoquijdatCabinetProcureurDef"/>
            </w:pPr>
            <w:r w:rsidRPr="00076CA5">
              <w:rPr>
                <w:lang w:val="en-CA"/>
              </w:rPr>
              <w:t>BORDEN LADNER GERVAIS</w:t>
            </w:r>
          </w:p>
        </w:tc>
      </w:tr>
      <w:tr w:rsidR="00E6606D" w:rsidRPr="00350287" w14:paraId="14301DE2" w14:textId="77777777" w:rsidTr="00423DF1">
        <w:tc>
          <w:tcPr>
            <w:tcW w:w="9362" w:type="dxa"/>
            <w:gridSpan w:val="2"/>
          </w:tcPr>
          <w:p w14:paraId="7A8D2778" w14:textId="6EC3AA2B" w:rsidR="0048453D" w:rsidRPr="00076CA5" w:rsidRDefault="004351B0" w:rsidP="0048453D">
            <w:pPr>
              <w:pStyle w:val="zSoquijlblProcureurDef"/>
              <w:rPr>
                <w:lang w:val="en-CA"/>
              </w:rPr>
            </w:pPr>
            <w:r w:rsidRPr="00076CA5">
              <w:rPr>
                <w:lang w:val="en-CA"/>
              </w:rPr>
              <w:t>For the Canadian Civil Liberties Association</w:t>
            </w:r>
          </w:p>
        </w:tc>
      </w:tr>
      <w:tr w:rsidR="00E6606D" w:rsidRPr="00350287" w14:paraId="69A88E81" w14:textId="77777777" w:rsidTr="00423DF1">
        <w:tc>
          <w:tcPr>
            <w:tcW w:w="9362" w:type="dxa"/>
            <w:gridSpan w:val="2"/>
          </w:tcPr>
          <w:p w14:paraId="2EBED2C5" w14:textId="77777777" w:rsidR="005A78BF" w:rsidRPr="00076CA5" w:rsidRDefault="005A78BF" w:rsidP="005A78BF">
            <w:pPr>
              <w:rPr>
                <w:lang w:val="en-CA"/>
              </w:rPr>
            </w:pPr>
          </w:p>
        </w:tc>
      </w:tr>
      <w:tr w:rsidR="00E6606D" w:rsidRPr="00076CA5" w14:paraId="0B8551D8" w14:textId="77777777" w:rsidTr="00423DF1">
        <w:tc>
          <w:tcPr>
            <w:tcW w:w="1997" w:type="dxa"/>
          </w:tcPr>
          <w:p w14:paraId="026FDAE3" w14:textId="77777777" w:rsidR="005A78BF" w:rsidRPr="00076CA5" w:rsidRDefault="004351B0" w:rsidP="005A78BF">
            <w:pPr>
              <w:pStyle w:val="zSoquijlblDateAudience"/>
            </w:pPr>
            <w:r w:rsidRPr="00076CA5">
              <w:rPr>
                <w:lang w:val="en-CA"/>
              </w:rPr>
              <w:t>Date of hearing:</w:t>
            </w:r>
          </w:p>
        </w:tc>
        <w:tc>
          <w:tcPr>
            <w:tcW w:w="7365" w:type="dxa"/>
          </w:tcPr>
          <w:p w14:paraId="182CD8C9" w14:textId="7688C6C9" w:rsidR="005A78BF" w:rsidRPr="00076CA5" w:rsidRDefault="004351B0" w:rsidP="005A78BF">
            <w:pPr>
              <w:pStyle w:val="zSoquijdatDateAudience"/>
            </w:pPr>
            <w:r w:rsidRPr="00076CA5">
              <w:rPr>
                <w:lang w:val="en-CA"/>
              </w:rPr>
              <w:t>November 19, 2025</w:t>
            </w:r>
          </w:p>
        </w:tc>
      </w:tr>
    </w:tbl>
    <w:p w14:paraId="6716EFD1" w14:textId="77777777" w:rsidR="006D4B37" w:rsidRPr="00076CA5" w:rsidRDefault="006D4B37" w:rsidP="006D4B37">
      <w:pPr>
        <w:sectPr w:rsidR="006D4B37" w:rsidRPr="00076CA5" w:rsidSect="006D4B37">
          <w:headerReference w:type="default" r:id="rId8"/>
          <w:footerReference w:type="default" r:id="rId9"/>
          <w:pgSz w:w="12242" w:h="15842" w:code="1"/>
          <w:pgMar w:top="1440" w:right="1008" w:bottom="1440" w:left="1872" w:header="1440" w:footer="792" w:gutter="0"/>
          <w:cols w:space="720"/>
          <w:formProt w:val="0"/>
          <w:titlePg/>
        </w:sectPr>
      </w:pPr>
      <w:bookmarkStart w:id="11" w:name="Opinion"/>
      <w:bookmarkEnd w:id="7"/>
    </w:p>
    <w:tbl>
      <w:tblPr>
        <w:tblW w:w="0" w:type="auto"/>
        <w:tblLayout w:type="fixed"/>
        <w:tblCellMar>
          <w:left w:w="0" w:type="dxa"/>
          <w:right w:w="0" w:type="dxa"/>
        </w:tblCellMar>
        <w:tblLook w:val="0000" w:firstRow="0" w:lastRow="0" w:firstColumn="0" w:lastColumn="0" w:noHBand="0" w:noVBand="0"/>
      </w:tblPr>
      <w:tblGrid>
        <w:gridCol w:w="9360"/>
      </w:tblGrid>
      <w:tr w:rsidR="00E6606D" w:rsidRPr="00076CA5" w14:paraId="3DBE00D1" w14:textId="77777777" w:rsidTr="00D37B39">
        <w:tc>
          <w:tcPr>
            <w:tcW w:w="9360" w:type="dxa"/>
            <w:tcBorders>
              <w:bottom w:val="single" w:sz="8" w:space="0" w:color="auto"/>
            </w:tcBorders>
          </w:tcPr>
          <w:p w14:paraId="75FB1E15" w14:textId="77777777" w:rsidR="006D4B37" w:rsidRPr="00076CA5" w:rsidRDefault="004351B0" w:rsidP="00D37B39">
            <w:r w:rsidRPr="00076CA5">
              <w:rPr>
                <w:lang w:val="en-CA"/>
              </w:rPr>
              <w:lastRenderedPageBreak/>
              <w:br w:type="page"/>
            </w:r>
          </w:p>
        </w:tc>
      </w:tr>
      <w:tr w:rsidR="00E6606D" w:rsidRPr="00076CA5" w14:paraId="49444A2F" w14:textId="77777777" w:rsidTr="00D37B39">
        <w:tc>
          <w:tcPr>
            <w:tcW w:w="9360" w:type="dxa"/>
            <w:tcBorders>
              <w:top w:val="single" w:sz="8" w:space="0" w:color="auto"/>
            </w:tcBorders>
          </w:tcPr>
          <w:p w14:paraId="3D322F10" w14:textId="77777777" w:rsidR="006D4B37" w:rsidRPr="00076CA5" w:rsidRDefault="006D4B37" w:rsidP="00D37B39"/>
        </w:tc>
      </w:tr>
      <w:tr w:rsidR="00E6606D" w:rsidRPr="00350287" w14:paraId="0E02FF5A" w14:textId="77777777" w:rsidTr="00D37B39">
        <w:tc>
          <w:tcPr>
            <w:tcW w:w="9360" w:type="dxa"/>
          </w:tcPr>
          <w:p w14:paraId="5BDED0F4" w14:textId="4C033981" w:rsidR="006D4B37" w:rsidRPr="00076CA5" w:rsidRDefault="00387F6B" w:rsidP="00D37B39">
            <w:pPr>
              <w:pStyle w:val="zSoquijlblOpinionJuge"/>
              <w:rPr>
                <w:lang w:val="en-CA"/>
              </w:rPr>
            </w:pPr>
            <w:r w:rsidRPr="00076CA5">
              <w:rPr>
                <w:lang w:val="en-CA"/>
              </w:rPr>
              <w:t>REASONS OF SCHRAGER</w:t>
            </w:r>
            <w:r w:rsidR="0006726A">
              <w:rPr>
                <w:lang w:val="en-CA"/>
              </w:rPr>
              <w:t>,</w:t>
            </w:r>
            <w:r w:rsidRPr="00076CA5">
              <w:rPr>
                <w:lang w:val="en-CA"/>
              </w:rPr>
              <w:t xml:space="preserve"> J.A.</w:t>
            </w:r>
          </w:p>
        </w:tc>
      </w:tr>
      <w:tr w:rsidR="00E6606D" w:rsidRPr="00350287" w14:paraId="51BDE957" w14:textId="77777777" w:rsidTr="00D37B39">
        <w:tc>
          <w:tcPr>
            <w:tcW w:w="9360" w:type="dxa"/>
            <w:tcBorders>
              <w:bottom w:val="single" w:sz="8" w:space="0" w:color="auto"/>
            </w:tcBorders>
          </w:tcPr>
          <w:p w14:paraId="240AE9F4" w14:textId="77777777" w:rsidR="006D4B37" w:rsidRPr="00076CA5" w:rsidRDefault="006D4B37" w:rsidP="00D37B39">
            <w:pPr>
              <w:rPr>
                <w:lang w:val="en-CA"/>
              </w:rPr>
            </w:pPr>
          </w:p>
        </w:tc>
      </w:tr>
      <w:tr w:rsidR="00E6606D" w:rsidRPr="00350287" w14:paraId="0740F91B" w14:textId="77777777" w:rsidTr="00D37B39">
        <w:tc>
          <w:tcPr>
            <w:tcW w:w="9360" w:type="dxa"/>
            <w:tcBorders>
              <w:top w:val="single" w:sz="8" w:space="0" w:color="auto"/>
            </w:tcBorders>
          </w:tcPr>
          <w:p w14:paraId="7DAD952E" w14:textId="77777777" w:rsidR="006D4B37" w:rsidRPr="00076CA5" w:rsidRDefault="006D4B37" w:rsidP="00D37B39">
            <w:pPr>
              <w:rPr>
                <w:lang w:val="en-CA"/>
              </w:rPr>
            </w:pPr>
          </w:p>
        </w:tc>
      </w:tr>
    </w:tbl>
    <w:p w14:paraId="62A129CB" w14:textId="77777777" w:rsidR="006D4B37" w:rsidRPr="00076CA5" w:rsidRDefault="004351B0" w:rsidP="006D4B37">
      <w:pPr>
        <w:pStyle w:val="Titre1"/>
      </w:pPr>
      <w:r w:rsidRPr="00076CA5">
        <w:rPr>
          <w:bCs/>
          <w:lang w:val="en-CA"/>
        </w:rPr>
        <w:t>INTRODUCTION</w:t>
      </w:r>
    </w:p>
    <w:p w14:paraId="5BCD384C" w14:textId="082BCE96" w:rsidR="006D4B37" w:rsidRPr="00076CA5" w:rsidRDefault="004351B0" w:rsidP="006D4B37">
      <w:pPr>
        <w:pStyle w:val="aParagraphe"/>
        <w:numPr>
          <w:ilvl w:val="0"/>
          <w:numId w:val="18"/>
        </w:numPr>
        <w:spacing w:line="280" w:lineRule="exact"/>
        <w:rPr>
          <w:lang w:val="en-CA"/>
        </w:rPr>
      </w:pPr>
      <w:r w:rsidRPr="00076CA5">
        <w:rPr>
          <w:lang w:val="en-CA"/>
        </w:rPr>
        <w:t xml:space="preserve">The appellants appeal </w:t>
      </w:r>
      <w:r w:rsidR="00387F6B" w:rsidRPr="00076CA5">
        <w:rPr>
          <w:lang w:val="en-CA"/>
        </w:rPr>
        <w:t>from</w:t>
      </w:r>
      <w:r w:rsidRPr="00076CA5">
        <w:rPr>
          <w:lang w:val="en-CA"/>
        </w:rPr>
        <w:t xml:space="preserve"> a judgment</w:t>
      </w:r>
      <w:bookmarkStart w:id="12" w:name="_Ref213243925"/>
      <w:r w:rsidRPr="00076CA5">
        <w:rPr>
          <w:rStyle w:val="Appelnotedebasdep"/>
          <w:lang w:val="en-CA"/>
        </w:rPr>
        <w:footnoteReference w:id="1"/>
      </w:r>
      <w:bookmarkEnd w:id="12"/>
      <w:r w:rsidRPr="00076CA5">
        <w:rPr>
          <w:lang w:val="en-CA"/>
        </w:rPr>
        <w:t xml:space="preserve"> rendered on May 29, 2025</w:t>
      </w:r>
      <w:r w:rsidR="00E63024" w:rsidRPr="00076CA5">
        <w:rPr>
          <w:lang w:val="en-CA"/>
        </w:rPr>
        <w:t>,</w:t>
      </w:r>
      <w:r w:rsidRPr="00076CA5">
        <w:rPr>
          <w:lang w:val="en-CA"/>
        </w:rPr>
        <w:t xml:space="preserve"> by the Superior Court, District of Terrebonne (the Honourable Alexander Pless), dismiss</w:t>
      </w:r>
      <w:r w:rsidR="00C23B7C">
        <w:rPr>
          <w:lang w:val="en-CA"/>
        </w:rPr>
        <w:t>ing</w:t>
      </w:r>
      <w:r w:rsidRPr="00076CA5">
        <w:rPr>
          <w:lang w:val="en-CA"/>
        </w:rPr>
        <w:t xml:space="preserve"> the appellants</w:t>
      </w:r>
      <w:r w:rsidR="0006726A">
        <w:rPr>
          <w:lang w:val="en-CA"/>
        </w:rPr>
        <w:t>’</w:t>
      </w:r>
      <w:r w:rsidRPr="00076CA5">
        <w:rPr>
          <w:lang w:val="en-CA"/>
        </w:rPr>
        <w:t xml:space="preserve"> application for judicial review to have the </w:t>
      </w:r>
      <w:r w:rsidRPr="00076CA5">
        <w:rPr>
          <w:i/>
          <w:iCs/>
          <w:lang w:val="en-CA"/>
        </w:rPr>
        <w:t>Act to interrupt the electoral division delimitation process</w:t>
      </w:r>
      <w:r w:rsidRPr="00076CA5">
        <w:rPr>
          <w:lang w:val="en-CA"/>
        </w:rPr>
        <w:t xml:space="preserve"> (“</w:t>
      </w:r>
      <w:r w:rsidRPr="00145125">
        <w:rPr>
          <w:b/>
          <w:bCs/>
          <w:i/>
          <w:iCs/>
          <w:lang w:val="en-CA"/>
        </w:rPr>
        <w:t>A</w:t>
      </w:r>
      <w:r w:rsidR="002B54C0">
        <w:rPr>
          <w:b/>
          <w:bCs/>
          <w:i/>
          <w:iCs/>
          <w:lang w:val="en-CA"/>
        </w:rPr>
        <w:t>T</w:t>
      </w:r>
      <w:r w:rsidRPr="00145125">
        <w:rPr>
          <w:b/>
          <w:bCs/>
          <w:i/>
          <w:iCs/>
          <w:lang w:val="en-CA"/>
        </w:rPr>
        <w:t>I</w:t>
      </w:r>
      <w:r w:rsidRPr="00076CA5">
        <w:rPr>
          <w:lang w:val="en-CA"/>
        </w:rPr>
        <w:t xml:space="preserve">”) declared </w:t>
      </w:r>
      <w:r w:rsidR="00387F6B" w:rsidRPr="00076CA5">
        <w:rPr>
          <w:lang w:val="en-CA"/>
        </w:rPr>
        <w:t>unconstitutional</w:t>
      </w:r>
      <w:r w:rsidR="00915D2E" w:rsidRPr="00076CA5">
        <w:rPr>
          <w:lang w:val="en-CA"/>
        </w:rPr>
        <w:t>.</w:t>
      </w:r>
      <w:r w:rsidRPr="00076CA5">
        <w:rPr>
          <w:rStyle w:val="Appelnotedebasdep"/>
          <w:lang w:val="en-CA"/>
        </w:rPr>
        <w:footnoteReference w:id="2"/>
      </w:r>
    </w:p>
    <w:p w14:paraId="6AF5967F" w14:textId="0AB8A219" w:rsidR="006D4B37" w:rsidRPr="00076CA5" w:rsidRDefault="004351B0" w:rsidP="006D4B37">
      <w:pPr>
        <w:pStyle w:val="aParagraphe"/>
        <w:keepNext/>
        <w:numPr>
          <w:ilvl w:val="0"/>
          <w:numId w:val="18"/>
        </w:numPr>
        <w:spacing w:before="240" w:after="240" w:line="280" w:lineRule="exact"/>
        <w:outlineLvl w:val="0"/>
        <w:rPr>
          <w:lang w:val="en-CA"/>
        </w:rPr>
      </w:pPr>
      <w:r w:rsidRPr="00076CA5">
        <w:rPr>
          <w:lang w:val="en-CA"/>
        </w:rPr>
        <w:t xml:space="preserve">The effect of the </w:t>
      </w:r>
      <w:r w:rsidR="002B54C0" w:rsidRPr="002B54C0">
        <w:rPr>
          <w:i/>
          <w:iCs/>
          <w:lang w:val="en-CA"/>
        </w:rPr>
        <w:t>ATI</w:t>
      </w:r>
      <w:r w:rsidRPr="00076CA5">
        <w:rPr>
          <w:lang w:val="en-CA"/>
        </w:rPr>
        <w:t xml:space="preserve"> is to completely interrupt the process</w:t>
      </w:r>
      <w:bookmarkStart w:id="13" w:name="_Ref213746570"/>
      <w:r w:rsidRPr="00076CA5">
        <w:rPr>
          <w:rStyle w:val="Appelnotedebasdep"/>
          <w:lang w:val="en-CA"/>
        </w:rPr>
        <w:footnoteReference w:id="3"/>
      </w:r>
      <w:bookmarkEnd w:id="13"/>
      <w:r w:rsidRPr="00076CA5">
        <w:rPr>
          <w:lang w:val="en-CA"/>
        </w:rPr>
        <w:t xml:space="preserve"> </w:t>
      </w:r>
      <w:r w:rsidR="0006726A">
        <w:rPr>
          <w:lang w:val="en-CA"/>
        </w:rPr>
        <w:t xml:space="preserve">of reviewing the electoral map </w:t>
      </w:r>
      <w:r w:rsidRPr="00076CA5">
        <w:rPr>
          <w:lang w:val="en-CA"/>
        </w:rPr>
        <w:t>by the Commission de la représentation (“</w:t>
      </w:r>
      <w:r w:rsidRPr="00076CA5">
        <w:rPr>
          <w:b/>
          <w:bCs/>
          <w:lang w:val="en-CA"/>
        </w:rPr>
        <w:t>Commission</w:t>
      </w:r>
      <w:r w:rsidRPr="00076CA5">
        <w:rPr>
          <w:lang w:val="en-CA"/>
        </w:rPr>
        <w:t>”) and postpone it until after the next general election, scheduled for October 2026.</w:t>
      </w:r>
    </w:p>
    <w:p w14:paraId="03160EE4" w14:textId="4E46DC6D" w:rsidR="00B01F29" w:rsidRPr="00076CA5" w:rsidRDefault="004351B0" w:rsidP="00B01F29">
      <w:pPr>
        <w:pStyle w:val="Paragraphe"/>
        <w:spacing w:line="240" w:lineRule="auto"/>
        <w:rPr>
          <w:lang w:val="en-CA"/>
        </w:rPr>
      </w:pPr>
      <w:r w:rsidRPr="00076CA5">
        <w:rPr>
          <w:lang w:val="en-CA"/>
        </w:rPr>
        <w:t xml:space="preserve">The Superior Court recognized that this </w:t>
      </w:r>
      <w:r w:rsidR="00130006">
        <w:rPr>
          <w:lang w:val="en-CA"/>
        </w:rPr>
        <w:t>statute</w:t>
      </w:r>
      <w:r w:rsidR="00915D2E" w:rsidRPr="00076CA5">
        <w:rPr>
          <w:lang w:val="en-CA"/>
        </w:rPr>
        <w:t xml:space="preserve"> </w:t>
      </w:r>
      <w:r w:rsidR="00130006">
        <w:rPr>
          <w:lang w:val="en-CA"/>
        </w:rPr>
        <w:t>infringes</w:t>
      </w:r>
      <w:r w:rsidR="00915D2E" w:rsidRPr="00076CA5">
        <w:rPr>
          <w:lang w:val="en-CA"/>
        </w:rPr>
        <w:t xml:space="preserve"> </w:t>
      </w:r>
      <w:r w:rsidRPr="00076CA5">
        <w:rPr>
          <w:lang w:val="en-CA"/>
        </w:rPr>
        <w:t xml:space="preserve">the right to vote protected by </w:t>
      </w:r>
      <w:r w:rsidR="00CD6218" w:rsidRPr="00076CA5">
        <w:rPr>
          <w:lang w:val="en-CA"/>
        </w:rPr>
        <w:t>s</w:t>
      </w:r>
      <w:r w:rsidRPr="00076CA5">
        <w:rPr>
          <w:lang w:val="en-CA"/>
        </w:rPr>
        <w:t xml:space="preserve">ection 3 of the </w:t>
      </w:r>
      <w:r w:rsidRPr="00076CA5">
        <w:rPr>
          <w:i/>
          <w:iCs/>
          <w:lang w:val="en-CA"/>
        </w:rPr>
        <w:t>Canadian Charter</w:t>
      </w:r>
      <w:r w:rsidR="00915D2E" w:rsidRPr="00145125">
        <w:rPr>
          <w:lang w:val="en-CA"/>
        </w:rPr>
        <w:t>,</w:t>
      </w:r>
      <w:r w:rsidRPr="00076CA5">
        <w:rPr>
          <w:rStyle w:val="Appelnotedebasdep"/>
          <w:lang w:val="en-CA"/>
        </w:rPr>
        <w:footnoteReference w:id="4"/>
      </w:r>
      <w:r w:rsidRPr="00076CA5">
        <w:rPr>
          <w:lang w:val="en-CA"/>
        </w:rPr>
        <w:t xml:space="preserve"> but ruled that the </w:t>
      </w:r>
      <w:r w:rsidR="00130006">
        <w:rPr>
          <w:lang w:val="en-CA"/>
        </w:rPr>
        <w:t>infringement is</w:t>
      </w:r>
      <w:r w:rsidRPr="00076CA5">
        <w:rPr>
          <w:lang w:val="en-CA"/>
        </w:rPr>
        <w:t xml:space="preserve"> justified under </w:t>
      </w:r>
      <w:r w:rsidR="00CD6218" w:rsidRPr="00076CA5">
        <w:rPr>
          <w:lang w:val="en-CA"/>
        </w:rPr>
        <w:t>s</w:t>
      </w:r>
      <w:r w:rsidRPr="00076CA5">
        <w:rPr>
          <w:lang w:val="en-CA"/>
        </w:rPr>
        <w:t xml:space="preserve">ection 1 of the </w:t>
      </w:r>
      <w:r w:rsidRPr="00076CA5">
        <w:rPr>
          <w:i/>
          <w:iCs/>
          <w:lang w:val="en-CA"/>
        </w:rPr>
        <w:t>Charter</w:t>
      </w:r>
      <w:r w:rsidRPr="00076CA5">
        <w:rPr>
          <w:lang w:val="en-CA"/>
        </w:rPr>
        <w:t xml:space="preserve">. </w:t>
      </w:r>
    </w:p>
    <w:p w14:paraId="7BAAD879" w14:textId="28D1DC87" w:rsidR="00B01F29" w:rsidRPr="00076CA5" w:rsidRDefault="004351B0" w:rsidP="00B01F29">
      <w:pPr>
        <w:pStyle w:val="Titre1"/>
      </w:pPr>
      <w:r w:rsidRPr="00076CA5">
        <w:rPr>
          <w:bCs/>
          <w:lang w:val="en-CA"/>
        </w:rPr>
        <w:t>LEGISLATIVE CONTEXT</w:t>
      </w:r>
    </w:p>
    <w:p w14:paraId="6A9B6CA3" w14:textId="34F97D2B" w:rsidR="006D4B37" w:rsidRPr="00076CA5" w:rsidRDefault="004351B0" w:rsidP="006D4B37">
      <w:pPr>
        <w:numPr>
          <w:ilvl w:val="0"/>
          <w:numId w:val="18"/>
        </w:numPr>
        <w:spacing w:before="120" w:after="120"/>
        <w:jc w:val="both"/>
        <w:rPr>
          <w:kern w:val="28"/>
          <w:lang w:val="en-CA"/>
        </w:rPr>
      </w:pPr>
      <w:r w:rsidRPr="00076CA5">
        <w:rPr>
          <w:kern w:val="28"/>
          <w:lang w:val="en-CA"/>
        </w:rPr>
        <w:t xml:space="preserve">The </w:t>
      </w:r>
      <w:r w:rsidRPr="00076CA5">
        <w:rPr>
          <w:i/>
          <w:iCs/>
          <w:kern w:val="28"/>
          <w:lang w:val="en-CA"/>
        </w:rPr>
        <w:t>Election Act</w:t>
      </w:r>
      <w:r w:rsidRPr="00076CA5">
        <w:rPr>
          <w:kern w:val="28"/>
          <w:lang w:val="en-CA"/>
        </w:rPr>
        <w:t xml:space="preserve"> </w:t>
      </w:r>
      <w:r w:rsidR="00395868">
        <w:rPr>
          <w:kern w:val="28"/>
          <w:lang w:val="en-CA"/>
        </w:rPr>
        <w:t>provides</w:t>
      </w:r>
      <w:r w:rsidRPr="00076CA5">
        <w:rPr>
          <w:kern w:val="28"/>
          <w:lang w:val="en-CA"/>
        </w:rPr>
        <w:t xml:space="preserve"> that the Commission, an independent body, has the mandate to </w:t>
      </w:r>
      <w:r w:rsidR="00395868">
        <w:rPr>
          <w:kern w:val="28"/>
          <w:lang w:val="en-CA"/>
        </w:rPr>
        <w:t>establish the boundaries of the</w:t>
      </w:r>
      <w:r w:rsidRPr="00076CA5">
        <w:rPr>
          <w:kern w:val="28"/>
          <w:lang w:val="en-CA"/>
        </w:rPr>
        <w:t xml:space="preserve"> electoral divisions (“</w:t>
      </w:r>
      <w:r w:rsidRPr="00076CA5">
        <w:rPr>
          <w:b/>
          <w:bCs/>
          <w:kern w:val="28"/>
          <w:lang w:val="en-CA"/>
        </w:rPr>
        <w:t xml:space="preserve">Delimitation </w:t>
      </w:r>
      <w:r w:rsidR="00915D2E" w:rsidRPr="00076CA5">
        <w:rPr>
          <w:b/>
          <w:bCs/>
          <w:kern w:val="28"/>
          <w:lang w:val="en-CA"/>
        </w:rPr>
        <w:t>P</w:t>
      </w:r>
      <w:r w:rsidRPr="00076CA5">
        <w:rPr>
          <w:b/>
          <w:bCs/>
          <w:kern w:val="28"/>
          <w:lang w:val="en-CA"/>
        </w:rPr>
        <w:t>rocess</w:t>
      </w:r>
      <w:r w:rsidRPr="00076CA5">
        <w:rPr>
          <w:kern w:val="28"/>
          <w:lang w:val="en-CA"/>
        </w:rPr>
        <w:t>” or “</w:t>
      </w:r>
      <w:r w:rsidRPr="00076CA5">
        <w:rPr>
          <w:b/>
          <w:bCs/>
          <w:kern w:val="28"/>
          <w:lang w:val="en-CA"/>
        </w:rPr>
        <w:t>Process</w:t>
      </w:r>
      <w:r w:rsidRPr="00076CA5">
        <w:rPr>
          <w:kern w:val="28"/>
          <w:lang w:val="en-CA"/>
        </w:rPr>
        <w:t>”)</w:t>
      </w:r>
      <w:r w:rsidRPr="00076CA5">
        <w:rPr>
          <w:kern w:val="28"/>
          <w:vertAlign w:val="superscript"/>
          <w:lang w:val="en-CA"/>
        </w:rPr>
        <w:footnoteReference w:id="5"/>
      </w:r>
      <w:r w:rsidRPr="00076CA5">
        <w:rPr>
          <w:kern w:val="28"/>
          <w:lang w:val="en-CA"/>
        </w:rPr>
        <w:t xml:space="preserve"> to take into account demographic changes</w:t>
      </w:r>
      <w:r w:rsidRPr="00076CA5">
        <w:rPr>
          <w:i/>
          <w:iCs/>
          <w:kern w:val="28"/>
          <w:lang w:val="en-CA"/>
        </w:rPr>
        <w:t>.</w:t>
      </w:r>
    </w:p>
    <w:p w14:paraId="67A395A2" w14:textId="5A2FA762" w:rsidR="006D4B37" w:rsidRPr="00076CA5" w:rsidRDefault="004351B0" w:rsidP="006D4B37">
      <w:pPr>
        <w:numPr>
          <w:ilvl w:val="0"/>
          <w:numId w:val="18"/>
        </w:numPr>
        <w:spacing w:before="120" w:after="120"/>
        <w:jc w:val="both"/>
        <w:rPr>
          <w:kern w:val="28"/>
          <w:lang w:val="en-CA"/>
        </w:rPr>
      </w:pPr>
      <w:r w:rsidRPr="00076CA5">
        <w:rPr>
          <w:kern w:val="28"/>
          <w:lang w:val="en-CA"/>
        </w:rPr>
        <w:t>The Process begins after the second general election following the last delimitation</w:t>
      </w:r>
      <w:r w:rsidR="00915D2E" w:rsidRPr="00076CA5">
        <w:rPr>
          <w:kern w:val="28"/>
          <w:lang w:val="en-CA"/>
        </w:rPr>
        <w:t>.</w:t>
      </w:r>
      <w:r w:rsidRPr="00076CA5">
        <w:rPr>
          <w:kern w:val="28"/>
          <w:vertAlign w:val="superscript"/>
          <w:lang w:val="en-CA"/>
        </w:rPr>
        <w:footnoteReference w:id="6"/>
      </w:r>
      <w:r w:rsidRPr="00076CA5">
        <w:rPr>
          <w:kern w:val="28"/>
          <w:lang w:val="en-CA"/>
        </w:rPr>
        <w:t xml:space="preserve"> Within </w:t>
      </w:r>
      <w:r w:rsidR="00915D2E" w:rsidRPr="00076CA5">
        <w:rPr>
          <w:kern w:val="28"/>
          <w:lang w:val="en-CA"/>
        </w:rPr>
        <w:t>12</w:t>
      </w:r>
      <w:r w:rsidRPr="00076CA5">
        <w:rPr>
          <w:kern w:val="28"/>
          <w:lang w:val="en-CA"/>
        </w:rPr>
        <w:t xml:space="preserve"> months of the start of the </w:t>
      </w:r>
      <w:r w:rsidR="00915D2E" w:rsidRPr="00076CA5">
        <w:rPr>
          <w:kern w:val="28"/>
          <w:lang w:val="en-CA"/>
        </w:rPr>
        <w:t>D</w:t>
      </w:r>
      <w:r w:rsidRPr="00076CA5">
        <w:rPr>
          <w:kern w:val="28"/>
          <w:lang w:val="en-CA"/>
        </w:rPr>
        <w:t xml:space="preserve">elimitation </w:t>
      </w:r>
      <w:r w:rsidR="00915D2E" w:rsidRPr="00076CA5">
        <w:rPr>
          <w:kern w:val="28"/>
          <w:lang w:val="en-CA"/>
        </w:rPr>
        <w:t>P</w:t>
      </w:r>
      <w:r w:rsidRPr="00076CA5">
        <w:rPr>
          <w:kern w:val="28"/>
          <w:lang w:val="en-CA"/>
        </w:rPr>
        <w:t xml:space="preserve">rocess, the Commission submits a preliminary report to the President or Secretary General of the National Assembly in which it proposes a </w:t>
      </w:r>
      <w:r w:rsidR="006F1276">
        <w:rPr>
          <w:kern w:val="28"/>
          <w:lang w:val="en-CA"/>
        </w:rPr>
        <w:t xml:space="preserve">new </w:t>
      </w:r>
      <w:r w:rsidRPr="00076CA5">
        <w:rPr>
          <w:kern w:val="28"/>
          <w:lang w:val="en-CA"/>
        </w:rPr>
        <w:t>delimitation of the electoral divisions. In th</w:t>
      </w:r>
      <w:r w:rsidR="00915D2E" w:rsidRPr="00076CA5">
        <w:rPr>
          <w:kern w:val="28"/>
          <w:lang w:val="en-CA"/>
        </w:rPr>
        <w:t xml:space="preserve">is </w:t>
      </w:r>
      <w:r w:rsidR="006F1276">
        <w:rPr>
          <w:kern w:val="28"/>
          <w:lang w:val="en-CA"/>
        </w:rPr>
        <w:t>case</w:t>
      </w:r>
      <w:r w:rsidRPr="00076CA5">
        <w:rPr>
          <w:kern w:val="28"/>
          <w:lang w:val="en-CA"/>
        </w:rPr>
        <w:t xml:space="preserve">, the Commission </w:t>
      </w:r>
      <w:r w:rsidR="006F1276">
        <w:rPr>
          <w:kern w:val="28"/>
          <w:lang w:val="en-CA"/>
        </w:rPr>
        <w:t>tabled</w:t>
      </w:r>
      <w:r w:rsidRPr="00076CA5">
        <w:rPr>
          <w:kern w:val="28"/>
          <w:lang w:val="en-CA"/>
        </w:rPr>
        <w:t xml:space="preserve"> this preliminary report on September 19, 2023 (“</w:t>
      </w:r>
      <w:r w:rsidRPr="00076CA5">
        <w:rPr>
          <w:b/>
          <w:bCs/>
          <w:kern w:val="28"/>
          <w:lang w:val="en-CA"/>
        </w:rPr>
        <w:t>Preliminary Report</w:t>
      </w:r>
      <w:r w:rsidRPr="00076CA5">
        <w:rPr>
          <w:kern w:val="28"/>
          <w:lang w:val="en-CA"/>
        </w:rPr>
        <w:t>”)</w:t>
      </w:r>
      <w:r w:rsidR="00915D2E" w:rsidRPr="00076CA5">
        <w:rPr>
          <w:kern w:val="28"/>
          <w:lang w:val="en-CA"/>
        </w:rPr>
        <w:t>.</w:t>
      </w:r>
      <w:r w:rsidRPr="00076CA5">
        <w:rPr>
          <w:kern w:val="28"/>
          <w:vertAlign w:val="superscript"/>
          <w:lang w:val="en-CA"/>
        </w:rPr>
        <w:footnoteReference w:id="7"/>
      </w:r>
    </w:p>
    <w:p w14:paraId="09B061B0" w14:textId="026E2943" w:rsidR="006D4B37" w:rsidRPr="00076CA5" w:rsidRDefault="00915D2E" w:rsidP="006D4B37">
      <w:pPr>
        <w:numPr>
          <w:ilvl w:val="0"/>
          <w:numId w:val="18"/>
        </w:numPr>
        <w:spacing w:before="120" w:after="120"/>
        <w:jc w:val="both"/>
        <w:rPr>
          <w:kern w:val="28"/>
          <w:lang w:val="en-CA"/>
        </w:rPr>
      </w:pPr>
      <w:r w:rsidRPr="00076CA5">
        <w:rPr>
          <w:kern w:val="28"/>
          <w:lang w:val="en-CA"/>
        </w:rPr>
        <w:lastRenderedPageBreak/>
        <w:t xml:space="preserve">Within six months </w:t>
      </w:r>
      <w:r w:rsidR="00B03730">
        <w:rPr>
          <w:kern w:val="28"/>
          <w:lang w:val="en-CA"/>
        </w:rPr>
        <w:t xml:space="preserve">following the tabling </w:t>
      </w:r>
      <w:r w:rsidRPr="00076CA5">
        <w:rPr>
          <w:kern w:val="28"/>
          <w:lang w:val="en-CA"/>
        </w:rPr>
        <w:t xml:space="preserve">of its preliminary report to the National Assembly, the Commission hears </w:t>
      </w:r>
      <w:r w:rsidR="00B03730">
        <w:rPr>
          <w:kern w:val="28"/>
          <w:lang w:val="en-CA"/>
        </w:rPr>
        <w:t xml:space="preserve">the </w:t>
      </w:r>
      <w:r w:rsidRPr="00076CA5">
        <w:rPr>
          <w:kern w:val="28"/>
          <w:lang w:val="en-CA"/>
        </w:rPr>
        <w:t xml:space="preserve">representations </w:t>
      </w:r>
      <w:r w:rsidR="00B03730">
        <w:rPr>
          <w:kern w:val="28"/>
          <w:lang w:val="en-CA"/>
        </w:rPr>
        <w:t>made by the Members of the National Assembly and by interested individuals</w:t>
      </w:r>
      <w:r w:rsidRPr="00076CA5">
        <w:rPr>
          <w:kern w:val="28"/>
          <w:lang w:val="en-CA"/>
        </w:rPr>
        <w:t xml:space="preserve"> and organizations.</w:t>
      </w:r>
      <w:r w:rsidRPr="00076CA5">
        <w:rPr>
          <w:kern w:val="28"/>
          <w:vertAlign w:val="superscript"/>
          <w:lang w:val="en-CA"/>
        </w:rPr>
        <w:footnoteReference w:id="8"/>
      </w:r>
      <w:r w:rsidRPr="00076CA5">
        <w:rPr>
          <w:kern w:val="28"/>
          <w:lang w:val="en-CA"/>
        </w:rPr>
        <w:t xml:space="preserve"> The </w:t>
      </w:r>
      <w:r w:rsidRPr="00076CA5">
        <w:rPr>
          <w:i/>
          <w:iCs/>
          <w:kern w:val="28"/>
          <w:lang w:val="en-CA"/>
        </w:rPr>
        <w:t>Election Act</w:t>
      </w:r>
      <w:r w:rsidRPr="00076CA5">
        <w:rPr>
          <w:kern w:val="28"/>
          <w:lang w:val="en-CA"/>
        </w:rPr>
        <w:t xml:space="preserve"> also provides, without specifying ti</w:t>
      </w:r>
      <w:r w:rsidR="00A76F48" w:rsidRPr="00076CA5">
        <w:rPr>
          <w:kern w:val="28"/>
          <w:lang w:val="en-CA"/>
        </w:rPr>
        <w:t>m</w:t>
      </w:r>
      <w:r w:rsidR="00387F6B" w:rsidRPr="00076CA5">
        <w:rPr>
          <w:kern w:val="28"/>
          <w:lang w:val="en-CA"/>
        </w:rPr>
        <w:t xml:space="preserve">e </w:t>
      </w:r>
      <w:r w:rsidRPr="00076CA5">
        <w:rPr>
          <w:kern w:val="28"/>
          <w:lang w:val="en-CA"/>
        </w:rPr>
        <w:t>limits, that the Commi</w:t>
      </w:r>
      <w:r w:rsidR="00A76F48" w:rsidRPr="00076CA5">
        <w:rPr>
          <w:kern w:val="28"/>
          <w:lang w:val="en-CA"/>
        </w:rPr>
        <w:t>ttee</w:t>
      </w:r>
      <w:r w:rsidRPr="00076CA5">
        <w:rPr>
          <w:kern w:val="28"/>
          <w:lang w:val="en-CA"/>
        </w:rPr>
        <w:t xml:space="preserve"> on the National Assembly </w:t>
      </w:r>
      <w:r w:rsidR="00D16E52">
        <w:rPr>
          <w:kern w:val="28"/>
          <w:lang w:val="en-CA"/>
        </w:rPr>
        <w:t>will</w:t>
      </w:r>
      <w:r w:rsidRPr="00076CA5">
        <w:rPr>
          <w:kern w:val="28"/>
          <w:lang w:val="en-CA"/>
        </w:rPr>
        <w:t xml:space="preserve"> study the Preliminary Report and that any </w:t>
      </w:r>
      <w:r w:rsidR="00D16E52">
        <w:rPr>
          <w:kern w:val="28"/>
          <w:lang w:val="en-CA"/>
        </w:rPr>
        <w:t>Member of the National Assembly</w:t>
      </w:r>
      <w:r w:rsidRPr="00076CA5">
        <w:rPr>
          <w:kern w:val="28"/>
          <w:lang w:val="en-CA"/>
        </w:rPr>
        <w:t xml:space="preserve"> may </w:t>
      </w:r>
      <w:r w:rsidR="00D16E52">
        <w:rPr>
          <w:kern w:val="28"/>
          <w:lang w:val="en-CA"/>
        </w:rPr>
        <w:t>take part</w:t>
      </w:r>
      <w:r w:rsidRPr="00076CA5">
        <w:rPr>
          <w:kern w:val="28"/>
          <w:lang w:val="en-CA"/>
        </w:rPr>
        <w:t xml:space="preserve"> in the de</w:t>
      </w:r>
      <w:r w:rsidR="00A76F48" w:rsidRPr="00076CA5">
        <w:rPr>
          <w:kern w:val="28"/>
          <w:lang w:val="en-CA"/>
        </w:rPr>
        <w:t>bates.</w:t>
      </w:r>
      <w:r w:rsidRPr="00076CA5">
        <w:rPr>
          <w:kern w:val="28"/>
          <w:vertAlign w:val="superscript"/>
          <w:lang w:val="en-CA"/>
        </w:rPr>
        <w:footnoteReference w:id="9"/>
      </w:r>
    </w:p>
    <w:p w14:paraId="4EA05DC0" w14:textId="27A13876" w:rsidR="006D4B37" w:rsidRPr="00076CA5" w:rsidRDefault="00E71082" w:rsidP="006D4B37">
      <w:pPr>
        <w:numPr>
          <w:ilvl w:val="0"/>
          <w:numId w:val="18"/>
        </w:numPr>
        <w:spacing w:before="120" w:after="120"/>
        <w:jc w:val="both"/>
        <w:rPr>
          <w:kern w:val="28"/>
          <w:lang w:val="en-CA"/>
        </w:rPr>
      </w:pPr>
      <w:r>
        <w:rPr>
          <w:kern w:val="28"/>
          <w:lang w:val="en-CA"/>
        </w:rPr>
        <w:t>A</w:t>
      </w:r>
      <w:r w:rsidR="004351B0" w:rsidRPr="00076CA5">
        <w:rPr>
          <w:kern w:val="28"/>
          <w:lang w:val="en-CA"/>
        </w:rPr>
        <w:t xml:space="preserve">fter </w:t>
      </w:r>
      <w:r w:rsidR="00D16E52">
        <w:rPr>
          <w:kern w:val="28"/>
          <w:lang w:val="en-CA"/>
        </w:rPr>
        <w:t>considering</w:t>
      </w:r>
      <w:r w:rsidR="004351B0" w:rsidRPr="00076CA5">
        <w:rPr>
          <w:kern w:val="28"/>
          <w:lang w:val="en-CA"/>
        </w:rPr>
        <w:t xml:space="preserve"> the representations </w:t>
      </w:r>
      <w:r w:rsidR="00D16E52">
        <w:rPr>
          <w:kern w:val="28"/>
          <w:lang w:val="en-CA"/>
        </w:rPr>
        <w:t>made to it by the Members of the National Assembly and by individuals</w:t>
      </w:r>
      <w:r w:rsidR="004351B0" w:rsidRPr="00076CA5">
        <w:rPr>
          <w:kern w:val="28"/>
          <w:lang w:val="en-CA"/>
        </w:rPr>
        <w:t xml:space="preserve"> and organizations, the Commission submits a second report</w:t>
      </w:r>
      <w:r w:rsidR="00A76F48" w:rsidRPr="00076CA5">
        <w:rPr>
          <w:kern w:val="28"/>
          <w:lang w:val="en-CA"/>
        </w:rPr>
        <w:t xml:space="preserve"> indicating the boundaries of the electoral divisions</w:t>
      </w:r>
      <w:r w:rsidR="00A76F48" w:rsidRPr="00076CA5">
        <w:rPr>
          <w:kern w:val="28"/>
          <w:vertAlign w:val="superscript"/>
          <w:lang w:val="en-CA"/>
        </w:rPr>
        <w:footnoteReference w:id="10"/>
      </w:r>
      <w:r w:rsidR="004351B0" w:rsidRPr="00076CA5">
        <w:rPr>
          <w:kern w:val="28"/>
          <w:lang w:val="en-CA"/>
        </w:rPr>
        <w:t xml:space="preserve"> to the President or </w:t>
      </w:r>
      <w:r w:rsidR="00D16E52">
        <w:rPr>
          <w:kern w:val="28"/>
          <w:lang w:val="en-CA"/>
        </w:rPr>
        <w:t xml:space="preserve">the </w:t>
      </w:r>
      <w:r w:rsidR="004351B0" w:rsidRPr="00076CA5">
        <w:rPr>
          <w:kern w:val="28"/>
          <w:lang w:val="en-CA"/>
        </w:rPr>
        <w:t xml:space="preserve">Secretary General of the National Assembly, who tables it </w:t>
      </w:r>
      <w:r w:rsidR="00D16E52">
        <w:rPr>
          <w:kern w:val="28"/>
          <w:lang w:val="en-CA"/>
        </w:rPr>
        <w:t>before the Assembly</w:t>
      </w:r>
      <w:r w:rsidR="004351B0" w:rsidRPr="00076CA5">
        <w:rPr>
          <w:kern w:val="28"/>
          <w:lang w:val="en-CA"/>
        </w:rPr>
        <w:t>. In th</w:t>
      </w:r>
      <w:r w:rsidR="00A76F48" w:rsidRPr="00076CA5">
        <w:rPr>
          <w:kern w:val="28"/>
          <w:lang w:val="en-CA"/>
        </w:rPr>
        <w:t xml:space="preserve">is </w:t>
      </w:r>
      <w:r w:rsidR="00D16E52">
        <w:rPr>
          <w:kern w:val="28"/>
          <w:lang w:val="en-CA"/>
        </w:rPr>
        <w:t>case</w:t>
      </w:r>
      <w:r w:rsidR="004351B0" w:rsidRPr="00076CA5">
        <w:rPr>
          <w:kern w:val="28"/>
          <w:lang w:val="en-CA"/>
        </w:rPr>
        <w:t xml:space="preserve">, the </w:t>
      </w:r>
      <w:r w:rsidR="002B54C0" w:rsidRPr="002B54C0">
        <w:rPr>
          <w:i/>
          <w:iCs/>
          <w:kern w:val="28"/>
          <w:lang w:val="en-CA"/>
        </w:rPr>
        <w:t>ATI</w:t>
      </w:r>
      <w:r w:rsidR="004351B0" w:rsidRPr="00076CA5">
        <w:rPr>
          <w:i/>
          <w:iCs/>
          <w:kern w:val="28"/>
          <w:lang w:val="en-CA"/>
        </w:rPr>
        <w:t xml:space="preserve"> </w:t>
      </w:r>
      <w:r w:rsidR="004351B0" w:rsidRPr="00076CA5">
        <w:rPr>
          <w:kern w:val="28"/>
          <w:lang w:val="en-CA"/>
        </w:rPr>
        <w:t xml:space="preserve">was enacted before the submission of this second report, scheduled </w:t>
      </w:r>
      <w:r w:rsidR="00160F4C">
        <w:rPr>
          <w:kern w:val="28"/>
          <w:lang w:val="en-CA"/>
        </w:rPr>
        <w:t>for tabling</w:t>
      </w:r>
      <w:r w:rsidR="00D16E52">
        <w:rPr>
          <w:kern w:val="28"/>
          <w:lang w:val="en-CA"/>
        </w:rPr>
        <w:t xml:space="preserve"> in</w:t>
      </w:r>
      <w:r w:rsidR="004351B0" w:rsidRPr="00076CA5">
        <w:rPr>
          <w:kern w:val="28"/>
          <w:lang w:val="en-CA"/>
        </w:rPr>
        <w:t xml:space="preserve"> September 2024. </w:t>
      </w:r>
    </w:p>
    <w:p w14:paraId="79396D28" w14:textId="60EBF7FA" w:rsidR="006D4B37" w:rsidRPr="00076CA5" w:rsidRDefault="004351B0" w:rsidP="006D4B37">
      <w:pPr>
        <w:numPr>
          <w:ilvl w:val="0"/>
          <w:numId w:val="18"/>
        </w:numPr>
        <w:spacing w:before="120" w:after="120"/>
        <w:jc w:val="both"/>
        <w:rPr>
          <w:kern w:val="28"/>
          <w:lang w:val="en-CA"/>
        </w:rPr>
      </w:pPr>
      <w:r w:rsidRPr="00076CA5">
        <w:rPr>
          <w:kern w:val="28"/>
          <w:lang w:val="en-CA"/>
        </w:rPr>
        <w:t xml:space="preserve"> Finally, within five days </w:t>
      </w:r>
      <w:r w:rsidR="00160F4C">
        <w:rPr>
          <w:kern w:val="28"/>
          <w:lang w:val="en-CA"/>
        </w:rPr>
        <w:t>f</w:t>
      </w:r>
      <w:r w:rsidR="00A146C9">
        <w:rPr>
          <w:kern w:val="28"/>
          <w:lang w:val="en-CA"/>
        </w:rPr>
        <w:t>ollowing the</w:t>
      </w:r>
      <w:r w:rsidRPr="00076CA5">
        <w:rPr>
          <w:kern w:val="28"/>
          <w:lang w:val="en-CA"/>
        </w:rPr>
        <w:t xml:space="preserve"> tabling</w:t>
      </w:r>
      <w:r w:rsidR="00A76F48" w:rsidRPr="00076CA5">
        <w:rPr>
          <w:kern w:val="28"/>
          <w:lang w:val="en-CA"/>
        </w:rPr>
        <w:t xml:space="preserve">, </w:t>
      </w:r>
      <w:r w:rsidRPr="00076CA5">
        <w:rPr>
          <w:kern w:val="28"/>
          <w:lang w:val="en-CA"/>
        </w:rPr>
        <w:t>the new report is the subject of a debate limited to five hours in the National Assembly and, no</w:t>
      </w:r>
      <w:r w:rsidR="00A146C9">
        <w:rPr>
          <w:kern w:val="28"/>
          <w:lang w:val="en-CA"/>
        </w:rPr>
        <w:t>t</w:t>
      </w:r>
      <w:r w:rsidRPr="00076CA5">
        <w:rPr>
          <w:kern w:val="28"/>
          <w:lang w:val="en-CA"/>
        </w:rPr>
        <w:t xml:space="preserve"> later than the tenth day following </w:t>
      </w:r>
      <w:r w:rsidR="00A146C9">
        <w:rPr>
          <w:kern w:val="28"/>
          <w:lang w:val="en-CA"/>
        </w:rPr>
        <w:t>the</w:t>
      </w:r>
      <w:r w:rsidRPr="00076CA5">
        <w:rPr>
          <w:kern w:val="28"/>
          <w:lang w:val="en-CA"/>
        </w:rPr>
        <w:t xml:space="preserve"> debate, the Commission establishes the final boundaries of the electoral divisions, which are published in the following days in the </w:t>
      </w:r>
      <w:r w:rsidRPr="00076CA5">
        <w:rPr>
          <w:i/>
          <w:iCs/>
          <w:kern w:val="28"/>
          <w:lang w:val="en-CA"/>
        </w:rPr>
        <w:t>Gazette officielle du Québec</w:t>
      </w:r>
      <w:r w:rsidR="00A76F48" w:rsidRPr="00076CA5">
        <w:rPr>
          <w:i/>
          <w:iCs/>
          <w:kern w:val="28"/>
          <w:lang w:val="en-CA"/>
        </w:rPr>
        <w:t>.</w:t>
      </w:r>
      <w:r w:rsidRPr="00076CA5">
        <w:rPr>
          <w:kern w:val="28"/>
          <w:vertAlign w:val="superscript"/>
          <w:lang w:val="en-CA"/>
        </w:rPr>
        <w:footnoteReference w:id="11"/>
      </w:r>
      <w:r w:rsidRPr="00076CA5">
        <w:rPr>
          <w:kern w:val="28"/>
          <w:lang w:val="en-CA"/>
        </w:rPr>
        <w:t xml:space="preserve"> This electoral “map” published in the </w:t>
      </w:r>
      <w:r w:rsidRPr="00076CA5">
        <w:rPr>
          <w:i/>
          <w:iCs/>
          <w:kern w:val="28"/>
          <w:lang w:val="en-CA"/>
        </w:rPr>
        <w:t>Gazette officielle du Québec</w:t>
      </w:r>
      <w:r w:rsidRPr="00076CA5">
        <w:rPr>
          <w:kern w:val="28"/>
          <w:lang w:val="en-CA"/>
        </w:rPr>
        <w:t xml:space="preserve"> comes into </w:t>
      </w:r>
      <w:r w:rsidR="00A146C9">
        <w:rPr>
          <w:kern w:val="28"/>
          <w:lang w:val="en-CA"/>
        </w:rPr>
        <w:t>force</w:t>
      </w:r>
      <w:r w:rsidRPr="00076CA5">
        <w:rPr>
          <w:kern w:val="28"/>
          <w:lang w:val="en-CA"/>
        </w:rPr>
        <w:t xml:space="preserve"> only when two conditions are met: (1) the legislature has ended</w:t>
      </w:r>
      <w:r w:rsidR="00A146C9">
        <w:rPr>
          <w:kern w:val="28"/>
          <w:lang w:val="en-CA"/>
        </w:rPr>
        <w:t>,</w:t>
      </w:r>
      <w:r w:rsidRPr="00076CA5">
        <w:rPr>
          <w:kern w:val="28"/>
          <w:lang w:val="en-CA"/>
        </w:rPr>
        <w:t xml:space="preserve"> and (2) a period of </w:t>
      </w:r>
      <w:r w:rsidR="00A76F48" w:rsidRPr="00076CA5">
        <w:rPr>
          <w:kern w:val="28"/>
          <w:lang w:val="en-CA"/>
        </w:rPr>
        <w:t xml:space="preserve">six </w:t>
      </w:r>
      <w:r w:rsidRPr="00076CA5">
        <w:rPr>
          <w:kern w:val="28"/>
          <w:lang w:val="en-CA"/>
        </w:rPr>
        <w:t>months has elapsed between publication and the end of the legislature</w:t>
      </w:r>
      <w:r w:rsidR="00A76F48" w:rsidRPr="00076CA5">
        <w:rPr>
          <w:kern w:val="28"/>
          <w:lang w:val="en-CA"/>
        </w:rPr>
        <w:t>.</w:t>
      </w:r>
      <w:r w:rsidRPr="00076CA5">
        <w:rPr>
          <w:kern w:val="28"/>
          <w:vertAlign w:val="superscript"/>
          <w:lang w:val="en-CA"/>
        </w:rPr>
        <w:footnoteReference w:id="12"/>
      </w:r>
      <w:r w:rsidRPr="00076CA5">
        <w:rPr>
          <w:kern w:val="28"/>
          <w:lang w:val="en-CA"/>
        </w:rPr>
        <w:t xml:space="preserve"> This second prerequisite for the electoral map</w:t>
      </w:r>
      <w:r w:rsidR="00A146C9">
        <w:rPr>
          <w:kern w:val="28"/>
          <w:lang w:val="en-CA"/>
        </w:rPr>
        <w:t>’</w:t>
      </w:r>
      <w:r w:rsidRPr="00076CA5">
        <w:rPr>
          <w:kern w:val="28"/>
          <w:lang w:val="en-CA"/>
        </w:rPr>
        <w:t>s entry into force generates ti</w:t>
      </w:r>
      <w:r w:rsidR="00A76F48" w:rsidRPr="00076CA5">
        <w:rPr>
          <w:kern w:val="28"/>
          <w:lang w:val="en-CA"/>
        </w:rPr>
        <w:t>me</w:t>
      </w:r>
      <w:r w:rsidR="00387F6B" w:rsidRPr="00076CA5">
        <w:rPr>
          <w:kern w:val="28"/>
          <w:lang w:val="en-CA"/>
        </w:rPr>
        <w:t xml:space="preserve"> </w:t>
      </w:r>
      <w:r w:rsidRPr="00076CA5">
        <w:rPr>
          <w:kern w:val="28"/>
          <w:lang w:val="en-CA"/>
        </w:rPr>
        <w:t>pressure in th</w:t>
      </w:r>
      <w:r w:rsidR="00A76F48" w:rsidRPr="00076CA5">
        <w:rPr>
          <w:kern w:val="28"/>
          <w:lang w:val="en-CA"/>
        </w:rPr>
        <w:t>is case</w:t>
      </w:r>
      <w:r w:rsidRPr="00076CA5">
        <w:rPr>
          <w:kern w:val="28"/>
          <w:lang w:val="en-CA"/>
        </w:rPr>
        <w:t xml:space="preserve">. The current legislature </w:t>
      </w:r>
      <w:r w:rsidR="00A76F48" w:rsidRPr="00076CA5">
        <w:rPr>
          <w:kern w:val="28"/>
          <w:lang w:val="en-CA"/>
        </w:rPr>
        <w:t xml:space="preserve">ends </w:t>
      </w:r>
      <w:r w:rsidRPr="00076CA5">
        <w:rPr>
          <w:kern w:val="28"/>
          <w:lang w:val="en-CA"/>
        </w:rPr>
        <w:t>no later than August 29, 2026</w:t>
      </w:r>
      <w:r w:rsidR="00A76F48" w:rsidRPr="00076CA5">
        <w:rPr>
          <w:kern w:val="28"/>
          <w:lang w:val="en-CA"/>
        </w:rPr>
        <w:t>,</w:t>
      </w:r>
      <w:r w:rsidRPr="00076CA5">
        <w:rPr>
          <w:kern w:val="28"/>
          <w:vertAlign w:val="superscript"/>
          <w:lang w:val="en-CA"/>
        </w:rPr>
        <w:footnoteReference w:id="13"/>
      </w:r>
      <w:r w:rsidRPr="00076CA5">
        <w:rPr>
          <w:kern w:val="28"/>
          <w:lang w:val="en-CA"/>
        </w:rPr>
        <w:t xml:space="preserve"> which means </w:t>
      </w:r>
      <w:r w:rsidR="00E71082">
        <w:rPr>
          <w:kern w:val="28"/>
          <w:lang w:val="en-CA"/>
        </w:rPr>
        <w:t xml:space="preserve">that </w:t>
      </w:r>
      <w:r w:rsidRPr="00076CA5">
        <w:rPr>
          <w:kern w:val="28"/>
          <w:lang w:val="en-CA"/>
        </w:rPr>
        <w:t xml:space="preserve">the new map must be published by the end of February 2026. Failing this, the list of electoral divisions in effect on the day preceding the end of this legislature will remain in </w:t>
      </w:r>
      <w:r w:rsidR="00D85806">
        <w:rPr>
          <w:kern w:val="28"/>
          <w:lang w:val="en-CA"/>
        </w:rPr>
        <w:t>force</w:t>
      </w:r>
      <w:r w:rsidRPr="00076CA5">
        <w:rPr>
          <w:kern w:val="28"/>
          <w:lang w:val="en-CA"/>
        </w:rPr>
        <w:t xml:space="preserve"> for the next general election</w:t>
      </w:r>
      <w:r w:rsidR="00A76F48" w:rsidRPr="00076CA5">
        <w:rPr>
          <w:kern w:val="28"/>
          <w:lang w:val="en-CA"/>
        </w:rPr>
        <w:t>.</w:t>
      </w:r>
      <w:r w:rsidRPr="00076CA5">
        <w:rPr>
          <w:kern w:val="28"/>
          <w:vertAlign w:val="superscript"/>
          <w:lang w:val="en-CA"/>
        </w:rPr>
        <w:footnoteReference w:id="14"/>
      </w:r>
    </w:p>
    <w:p w14:paraId="1FAC5016" w14:textId="44DDD4B3" w:rsidR="00982CB8" w:rsidRPr="00076CA5" w:rsidRDefault="004351B0" w:rsidP="006D4B37">
      <w:pPr>
        <w:numPr>
          <w:ilvl w:val="0"/>
          <w:numId w:val="18"/>
        </w:numPr>
        <w:spacing w:before="120" w:after="120"/>
        <w:jc w:val="both"/>
        <w:rPr>
          <w:kern w:val="28"/>
          <w:lang w:val="en-CA"/>
        </w:rPr>
      </w:pPr>
      <w:r w:rsidRPr="00076CA5">
        <w:rPr>
          <w:kern w:val="28"/>
          <w:lang w:val="en-CA"/>
        </w:rPr>
        <w:t>The Commission carries out this delimitation exercise by applying the principles, criteria</w:t>
      </w:r>
      <w:r w:rsidR="001E3AC3">
        <w:rPr>
          <w:kern w:val="28"/>
          <w:lang w:val="en-CA"/>
        </w:rPr>
        <w:t>,</w:t>
      </w:r>
      <w:r w:rsidRPr="00076CA5">
        <w:rPr>
          <w:kern w:val="28"/>
          <w:lang w:val="en-CA"/>
        </w:rPr>
        <w:t xml:space="preserve"> and limits set out in the</w:t>
      </w:r>
      <w:r w:rsidRPr="00076CA5">
        <w:rPr>
          <w:i/>
          <w:iCs/>
          <w:kern w:val="28"/>
          <w:lang w:val="en-CA"/>
        </w:rPr>
        <w:t xml:space="preserve"> Election Act</w:t>
      </w:r>
      <w:r w:rsidRPr="00076CA5">
        <w:rPr>
          <w:kern w:val="28"/>
          <w:lang w:val="en-CA"/>
        </w:rPr>
        <w:t xml:space="preserve"> </w:t>
      </w:r>
      <w:r w:rsidR="001E3AC3">
        <w:rPr>
          <w:kern w:val="28"/>
          <w:lang w:val="en-CA"/>
        </w:rPr>
        <w:t xml:space="preserve">and developed </w:t>
      </w:r>
      <w:r w:rsidRPr="00076CA5">
        <w:rPr>
          <w:kern w:val="28"/>
          <w:lang w:val="en-CA"/>
        </w:rPr>
        <w:t>by the legislat</w:t>
      </w:r>
      <w:r w:rsidR="001E3AC3">
        <w:rPr>
          <w:kern w:val="28"/>
          <w:lang w:val="en-CA"/>
        </w:rPr>
        <w:t>ure</w:t>
      </w:r>
      <w:r w:rsidRPr="00076CA5">
        <w:rPr>
          <w:kern w:val="28"/>
          <w:lang w:val="en-CA"/>
        </w:rPr>
        <w:t>. The first principle is that of effective representation of electors (“</w:t>
      </w:r>
      <w:r w:rsidRPr="00076CA5">
        <w:rPr>
          <w:b/>
          <w:bCs/>
          <w:kern w:val="28"/>
          <w:lang w:val="en-CA"/>
        </w:rPr>
        <w:t>effective representation</w:t>
      </w:r>
      <w:r w:rsidRPr="00076CA5">
        <w:rPr>
          <w:kern w:val="28"/>
          <w:lang w:val="en-CA"/>
        </w:rPr>
        <w:t>”)</w:t>
      </w:r>
      <w:r w:rsidR="00A76F48" w:rsidRPr="00076CA5">
        <w:rPr>
          <w:kern w:val="28"/>
          <w:lang w:val="en-CA"/>
        </w:rPr>
        <w:t>,</w:t>
      </w:r>
      <w:r w:rsidRPr="00076CA5">
        <w:rPr>
          <w:kern w:val="28"/>
          <w:vertAlign w:val="superscript"/>
          <w:lang w:val="en-CA"/>
        </w:rPr>
        <w:footnoteReference w:id="15"/>
      </w:r>
      <w:r w:rsidRPr="00076CA5">
        <w:rPr>
          <w:kern w:val="28"/>
          <w:lang w:val="en-CA"/>
        </w:rPr>
        <w:t xml:space="preserve"> as </w:t>
      </w:r>
      <w:r w:rsidR="00A76F48" w:rsidRPr="00076CA5">
        <w:rPr>
          <w:kern w:val="28"/>
          <w:lang w:val="en-CA"/>
        </w:rPr>
        <w:t>developed</w:t>
      </w:r>
      <w:r w:rsidRPr="00076CA5">
        <w:rPr>
          <w:kern w:val="28"/>
          <w:lang w:val="en-CA"/>
        </w:rPr>
        <w:t xml:space="preserve"> by the Supre</w:t>
      </w:r>
      <w:r w:rsidR="00A76F48" w:rsidRPr="00076CA5">
        <w:rPr>
          <w:kern w:val="28"/>
          <w:lang w:val="en-CA"/>
        </w:rPr>
        <w:t>me</w:t>
      </w:r>
      <w:r w:rsidR="00387F6B" w:rsidRPr="00076CA5">
        <w:rPr>
          <w:kern w:val="28"/>
          <w:lang w:val="en-CA"/>
        </w:rPr>
        <w:t xml:space="preserve"> </w:t>
      </w:r>
      <w:r w:rsidRPr="00076CA5">
        <w:rPr>
          <w:kern w:val="28"/>
          <w:lang w:val="en-CA"/>
        </w:rPr>
        <w:t>Court of Canada</w:t>
      </w:r>
      <w:r w:rsidR="00076CA5">
        <w:rPr>
          <w:kern w:val="28"/>
          <w:lang w:val="en-CA"/>
        </w:rPr>
        <w:t>.</w:t>
      </w:r>
      <w:r w:rsidRPr="00076CA5">
        <w:rPr>
          <w:rStyle w:val="Appelnotedebasdep"/>
          <w:kern w:val="28"/>
          <w:lang w:val="en-CA"/>
        </w:rPr>
        <w:footnoteReference w:id="16"/>
      </w:r>
      <w:r w:rsidRPr="00076CA5">
        <w:rPr>
          <w:kern w:val="28"/>
          <w:lang w:val="en-CA"/>
        </w:rPr>
        <w:t xml:space="preserve"> Electoral division delimitations must be defined to ensure that this principle is respected. </w:t>
      </w:r>
    </w:p>
    <w:p w14:paraId="2B1D92A4" w14:textId="696EFEB4" w:rsidR="006D4B37" w:rsidRPr="00076CA5" w:rsidRDefault="004351B0" w:rsidP="006D4B37">
      <w:pPr>
        <w:numPr>
          <w:ilvl w:val="0"/>
          <w:numId w:val="18"/>
        </w:numPr>
        <w:spacing w:before="120" w:after="120"/>
        <w:jc w:val="both"/>
        <w:rPr>
          <w:kern w:val="28"/>
          <w:lang w:val="en-CA"/>
        </w:rPr>
      </w:pPr>
      <w:r w:rsidRPr="00076CA5">
        <w:rPr>
          <w:kern w:val="28"/>
          <w:lang w:val="en-CA"/>
        </w:rPr>
        <w:lastRenderedPageBreak/>
        <w:t>The second principle is numerical in nature</w:t>
      </w:r>
      <w:r w:rsidR="00A76F48" w:rsidRPr="00076CA5">
        <w:rPr>
          <w:kern w:val="28"/>
          <w:lang w:val="en-CA"/>
        </w:rPr>
        <w:t xml:space="preserve"> and </w:t>
      </w:r>
      <w:r w:rsidR="007215A5">
        <w:rPr>
          <w:kern w:val="28"/>
          <w:lang w:val="en-CA"/>
        </w:rPr>
        <w:t>consists of the fact</w:t>
      </w:r>
      <w:r w:rsidR="00A76F48" w:rsidRPr="00076CA5">
        <w:rPr>
          <w:kern w:val="28"/>
          <w:lang w:val="en-CA"/>
        </w:rPr>
        <w:t xml:space="preserve"> that “the vote of each elector is of equal weight</w:t>
      </w:r>
      <w:r w:rsidR="00586D3D" w:rsidRPr="00076CA5">
        <w:rPr>
          <w:kern w:val="28"/>
          <w:lang w:val="en-CA"/>
        </w:rPr>
        <w:t>”</w:t>
      </w:r>
      <w:r w:rsidR="00121288">
        <w:rPr>
          <w:kern w:val="28"/>
          <w:lang w:val="en-CA"/>
        </w:rPr>
        <w:t>.</w:t>
      </w:r>
      <w:r w:rsidRPr="00076CA5">
        <w:rPr>
          <w:kern w:val="28"/>
          <w:vertAlign w:val="superscript"/>
          <w:lang w:val="en-CA"/>
        </w:rPr>
        <w:footnoteReference w:id="17"/>
      </w:r>
      <w:r w:rsidRPr="00076CA5">
        <w:rPr>
          <w:kern w:val="28"/>
          <w:lang w:val="en-CA"/>
        </w:rPr>
        <w:t xml:space="preserve"> The delimitation of </w:t>
      </w:r>
      <w:r w:rsidR="00F445F6">
        <w:rPr>
          <w:kern w:val="28"/>
          <w:lang w:val="en-CA"/>
        </w:rPr>
        <w:t xml:space="preserve">the </w:t>
      </w:r>
      <w:r w:rsidRPr="00076CA5">
        <w:rPr>
          <w:kern w:val="28"/>
          <w:lang w:val="en-CA"/>
        </w:rPr>
        <w:t xml:space="preserve">electoral divisions must take this principle into account with the aim of having an equal number of </w:t>
      </w:r>
      <w:r w:rsidR="00776E8D" w:rsidRPr="00076CA5">
        <w:rPr>
          <w:kern w:val="28"/>
          <w:lang w:val="en-CA"/>
        </w:rPr>
        <w:t>electors</w:t>
      </w:r>
      <w:r w:rsidRPr="00076CA5">
        <w:rPr>
          <w:kern w:val="28"/>
          <w:lang w:val="en-CA"/>
        </w:rPr>
        <w:t xml:space="preserve"> in each </w:t>
      </w:r>
      <w:r w:rsidR="00776E8D" w:rsidRPr="00076CA5">
        <w:rPr>
          <w:kern w:val="28"/>
          <w:lang w:val="en-CA"/>
        </w:rPr>
        <w:t>electoral division</w:t>
      </w:r>
      <w:r w:rsidRPr="00076CA5">
        <w:rPr>
          <w:kern w:val="28"/>
          <w:lang w:val="en-CA"/>
        </w:rPr>
        <w:t xml:space="preserve">. The Commission </w:t>
      </w:r>
      <w:r w:rsidR="00776E8D" w:rsidRPr="00076CA5">
        <w:rPr>
          <w:kern w:val="28"/>
          <w:lang w:val="en-CA"/>
        </w:rPr>
        <w:t xml:space="preserve">works toward </w:t>
      </w:r>
      <w:r w:rsidRPr="00076CA5">
        <w:rPr>
          <w:kern w:val="28"/>
          <w:lang w:val="en-CA"/>
        </w:rPr>
        <w:t xml:space="preserve">this </w:t>
      </w:r>
      <w:r w:rsidR="00776E8D" w:rsidRPr="00076CA5">
        <w:rPr>
          <w:kern w:val="28"/>
          <w:lang w:val="en-CA"/>
        </w:rPr>
        <w:t>goal</w:t>
      </w:r>
      <w:r w:rsidRPr="00076CA5">
        <w:rPr>
          <w:kern w:val="28"/>
          <w:lang w:val="en-CA"/>
        </w:rPr>
        <w:t xml:space="preserve">, within the considerations set out in the </w:t>
      </w:r>
      <w:r w:rsidRPr="00076CA5">
        <w:rPr>
          <w:i/>
          <w:iCs/>
          <w:kern w:val="28"/>
          <w:lang w:val="en-CA"/>
        </w:rPr>
        <w:t>Election Act</w:t>
      </w:r>
      <w:r w:rsidRPr="00076CA5">
        <w:rPr>
          <w:kern w:val="28"/>
          <w:lang w:val="en-CA"/>
        </w:rPr>
        <w:t xml:space="preserve">. </w:t>
      </w:r>
    </w:p>
    <w:p w14:paraId="288F61D7" w14:textId="235D43B9" w:rsidR="006D4B37" w:rsidRPr="00076CA5" w:rsidRDefault="004351B0" w:rsidP="006D4B37">
      <w:pPr>
        <w:numPr>
          <w:ilvl w:val="0"/>
          <w:numId w:val="18"/>
        </w:numPr>
        <w:spacing w:before="120" w:after="120"/>
        <w:jc w:val="both"/>
        <w:rPr>
          <w:kern w:val="28"/>
          <w:lang w:val="en-CA"/>
        </w:rPr>
      </w:pPr>
      <w:r w:rsidRPr="001E2444">
        <w:rPr>
          <w:kern w:val="28"/>
          <w:lang w:val="en-CA"/>
        </w:rPr>
        <w:t>For example</w:t>
      </w:r>
      <w:r w:rsidRPr="00076CA5">
        <w:rPr>
          <w:kern w:val="28"/>
          <w:lang w:val="en-CA"/>
        </w:rPr>
        <w:t xml:space="preserve">, the </w:t>
      </w:r>
      <w:r w:rsidRPr="00076CA5">
        <w:rPr>
          <w:i/>
          <w:iCs/>
          <w:kern w:val="28"/>
          <w:lang w:val="en-CA"/>
        </w:rPr>
        <w:t>Elect</w:t>
      </w:r>
      <w:r w:rsidR="00776E8D" w:rsidRPr="00076CA5">
        <w:rPr>
          <w:i/>
          <w:iCs/>
          <w:kern w:val="28"/>
          <w:lang w:val="en-CA"/>
        </w:rPr>
        <w:t>ion</w:t>
      </w:r>
      <w:r w:rsidRPr="00076CA5">
        <w:rPr>
          <w:i/>
          <w:iCs/>
          <w:kern w:val="28"/>
          <w:lang w:val="en-CA"/>
        </w:rPr>
        <w:t xml:space="preserve"> Act</w:t>
      </w:r>
      <w:r w:rsidRPr="00076CA5">
        <w:rPr>
          <w:kern w:val="28"/>
          <w:lang w:val="en-CA"/>
        </w:rPr>
        <w:t xml:space="preserve"> provides for a minimum of 122 electoral divisions and a maximum of 125</w:t>
      </w:r>
      <w:r w:rsidR="00776E8D" w:rsidRPr="00076CA5">
        <w:rPr>
          <w:kern w:val="28"/>
          <w:lang w:val="en-CA"/>
        </w:rPr>
        <w:t>.</w:t>
      </w:r>
      <w:r w:rsidRPr="00076CA5">
        <w:rPr>
          <w:kern w:val="28"/>
          <w:vertAlign w:val="superscript"/>
          <w:lang w:val="en-CA"/>
        </w:rPr>
        <w:footnoteReference w:id="18"/>
      </w:r>
      <w:r w:rsidRPr="00076CA5">
        <w:rPr>
          <w:kern w:val="28"/>
          <w:lang w:val="en-CA"/>
        </w:rPr>
        <w:t xml:space="preserve"> The </w:t>
      </w:r>
      <w:r w:rsidR="00776E8D" w:rsidRPr="00076CA5">
        <w:rPr>
          <w:i/>
          <w:iCs/>
          <w:kern w:val="28"/>
          <w:lang w:val="en-CA"/>
        </w:rPr>
        <w:t>Election Act</w:t>
      </w:r>
      <w:r w:rsidRPr="00076CA5">
        <w:rPr>
          <w:kern w:val="28"/>
          <w:lang w:val="en-CA"/>
        </w:rPr>
        <w:t xml:space="preserve"> also stipulates that, in principle, each electoral division must be delimited in such a way that the number of electors in a division </w:t>
      </w:r>
      <w:r w:rsidR="00776E8D" w:rsidRPr="00076CA5">
        <w:rPr>
          <w:kern w:val="28"/>
          <w:lang w:val="en-CA"/>
        </w:rPr>
        <w:t>does not deviate by more than</w:t>
      </w:r>
      <w:r w:rsidRPr="00076CA5">
        <w:rPr>
          <w:kern w:val="28"/>
          <w:lang w:val="en-CA"/>
        </w:rPr>
        <w:t xml:space="preserve"> 25% </w:t>
      </w:r>
      <w:r w:rsidR="00776E8D" w:rsidRPr="00076CA5">
        <w:rPr>
          <w:kern w:val="28"/>
          <w:lang w:val="en-CA"/>
        </w:rPr>
        <w:t>from</w:t>
      </w:r>
      <w:r w:rsidRPr="00076CA5">
        <w:rPr>
          <w:kern w:val="28"/>
          <w:lang w:val="en-CA"/>
        </w:rPr>
        <w:t xml:space="preserve"> the quotient obtained by dividing the total number of electors by the number of electoral divisions</w:t>
      </w:r>
      <w:r w:rsidR="00776E8D" w:rsidRPr="00076CA5">
        <w:rPr>
          <w:kern w:val="28"/>
          <w:lang w:val="en-CA"/>
        </w:rPr>
        <w:t>.</w:t>
      </w:r>
      <w:r w:rsidRPr="00076CA5">
        <w:rPr>
          <w:kern w:val="28"/>
          <w:vertAlign w:val="superscript"/>
          <w:lang w:val="en-CA"/>
        </w:rPr>
        <w:footnoteReference w:id="19"/>
      </w:r>
      <w:r w:rsidRPr="00076CA5">
        <w:rPr>
          <w:kern w:val="28"/>
          <w:lang w:val="en-CA"/>
        </w:rPr>
        <w:t xml:space="preserve"> This calculation, </w:t>
      </w:r>
      <w:r w:rsidR="001E2444">
        <w:rPr>
          <w:kern w:val="28"/>
          <w:lang w:val="en-CA"/>
        </w:rPr>
        <w:t>that is</w:t>
      </w:r>
      <w:r w:rsidR="00776E8D" w:rsidRPr="00076CA5">
        <w:rPr>
          <w:kern w:val="28"/>
          <w:lang w:val="en-CA"/>
        </w:rPr>
        <w:t>,</w:t>
      </w:r>
      <w:r w:rsidRPr="00076CA5">
        <w:rPr>
          <w:kern w:val="28"/>
          <w:lang w:val="en-CA"/>
        </w:rPr>
        <w:t xml:space="preserve"> dividing the total number of </w:t>
      </w:r>
      <w:r w:rsidR="00776E8D" w:rsidRPr="00076CA5">
        <w:rPr>
          <w:kern w:val="28"/>
          <w:lang w:val="en-CA"/>
        </w:rPr>
        <w:t>electors</w:t>
      </w:r>
      <w:r w:rsidRPr="00076CA5">
        <w:rPr>
          <w:kern w:val="28"/>
          <w:lang w:val="en-CA"/>
        </w:rPr>
        <w:t xml:space="preserve"> by the number of electoral divisions, </w:t>
      </w:r>
      <w:r w:rsidR="001E2444">
        <w:rPr>
          <w:kern w:val="28"/>
          <w:lang w:val="en-CA"/>
        </w:rPr>
        <w:t>results in</w:t>
      </w:r>
      <w:r w:rsidRPr="00076CA5">
        <w:rPr>
          <w:kern w:val="28"/>
          <w:lang w:val="en-CA"/>
        </w:rPr>
        <w:t xml:space="preserve"> what is known as the “</w:t>
      </w:r>
      <w:r w:rsidRPr="00076CA5">
        <w:rPr>
          <w:b/>
          <w:bCs/>
          <w:kern w:val="28"/>
          <w:lang w:val="en-CA"/>
        </w:rPr>
        <w:t>electoral quotient</w:t>
      </w:r>
      <w:r w:rsidRPr="00076CA5">
        <w:rPr>
          <w:kern w:val="28"/>
          <w:lang w:val="en-CA"/>
        </w:rPr>
        <w:t>”</w:t>
      </w:r>
      <w:r w:rsidR="001E2444">
        <w:rPr>
          <w:kern w:val="28"/>
          <w:lang w:val="en-CA"/>
        </w:rPr>
        <w:t>.</w:t>
      </w:r>
      <w:r w:rsidRPr="00076CA5">
        <w:rPr>
          <w:kern w:val="28"/>
          <w:lang w:val="en-CA"/>
        </w:rPr>
        <w:t xml:space="preserve"> The emphasis here is on the word “electoral”</w:t>
      </w:r>
      <w:r w:rsidR="00644D2C">
        <w:rPr>
          <w:kern w:val="28"/>
          <w:lang w:val="en-CA"/>
        </w:rPr>
        <w:t>.</w:t>
      </w:r>
      <w:r w:rsidRPr="00076CA5">
        <w:rPr>
          <w:kern w:val="28"/>
          <w:lang w:val="en-CA"/>
        </w:rPr>
        <w:t xml:space="preserve"> The calculation is based on the number of electors on the permanent list of electors, not on the total population of Quebec. As of April 30, 2023, the electoral quot</w:t>
      </w:r>
      <w:r w:rsidR="00776E8D" w:rsidRPr="00076CA5">
        <w:rPr>
          <w:kern w:val="28"/>
          <w:lang w:val="en-CA"/>
        </w:rPr>
        <w:t>ient</w:t>
      </w:r>
      <w:r w:rsidRPr="00076CA5">
        <w:rPr>
          <w:kern w:val="28"/>
          <w:lang w:val="en-CA"/>
        </w:rPr>
        <w:t xml:space="preserve"> was equivalent to 50,694 electors</w:t>
      </w:r>
      <w:r w:rsidR="00776E8D" w:rsidRPr="00076CA5">
        <w:rPr>
          <w:kern w:val="28"/>
          <w:lang w:val="en-CA"/>
        </w:rPr>
        <w:t>. T</w:t>
      </w:r>
      <w:r w:rsidRPr="00076CA5">
        <w:rPr>
          <w:kern w:val="28"/>
          <w:lang w:val="en-CA"/>
        </w:rPr>
        <w:t xml:space="preserve">he minimum threshold (-25%) was therefore 38,021 and the maximum threshold (+25%) 63,368 electors. The maximum deviations (negative or positive) of 25% </w:t>
      </w:r>
      <w:r w:rsidR="00776E8D" w:rsidRPr="00076CA5">
        <w:rPr>
          <w:kern w:val="28"/>
          <w:lang w:val="en-CA"/>
        </w:rPr>
        <w:t>from</w:t>
      </w:r>
      <w:r w:rsidRPr="00076CA5">
        <w:rPr>
          <w:kern w:val="28"/>
          <w:lang w:val="en-CA"/>
        </w:rPr>
        <w:t xml:space="preserve"> the electoral quotient do not set an absolute limit, </w:t>
      </w:r>
      <w:r w:rsidR="001E2444">
        <w:rPr>
          <w:kern w:val="28"/>
          <w:lang w:val="en-CA"/>
        </w:rPr>
        <w:t>because</w:t>
      </w:r>
      <w:r w:rsidR="001E2444" w:rsidRPr="00076CA5">
        <w:rPr>
          <w:kern w:val="28"/>
          <w:lang w:val="en-CA"/>
        </w:rPr>
        <w:t xml:space="preserve"> </w:t>
      </w:r>
      <w:r w:rsidRPr="00076CA5">
        <w:rPr>
          <w:kern w:val="28"/>
          <w:lang w:val="en-CA"/>
        </w:rPr>
        <w:t xml:space="preserve">the Commission may, </w:t>
      </w:r>
      <w:r w:rsidR="00776E8D" w:rsidRPr="00076CA5">
        <w:rPr>
          <w:kern w:val="28"/>
          <w:lang w:val="en-CA"/>
        </w:rPr>
        <w:t xml:space="preserve">for </w:t>
      </w:r>
      <w:r w:rsidRPr="00076CA5">
        <w:rPr>
          <w:kern w:val="28"/>
          <w:lang w:val="en-CA"/>
        </w:rPr>
        <w:t>exceptional</w:t>
      </w:r>
      <w:r w:rsidR="00776E8D" w:rsidRPr="00076CA5">
        <w:rPr>
          <w:kern w:val="28"/>
          <w:lang w:val="en-CA"/>
        </w:rPr>
        <w:t xml:space="preserve"> reasons</w:t>
      </w:r>
      <w:r w:rsidRPr="00076CA5">
        <w:rPr>
          <w:kern w:val="28"/>
          <w:lang w:val="en-CA"/>
        </w:rPr>
        <w:t>, de</w:t>
      </w:r>
      <w:r w:rsidR="00776E8D" w:rsidRPr="00076CA5">
        <w:rPr>
          <w:kern w:val="28"/>
          <w:lang w:val="en-CA"/>
        </w:rPr>
        <w:t>part</w:t>
      </w:r>
      <w:r w:rsidRPr="00076CA5">
        <w:rPr>
          <w:kern w:val="28"/>
          <w:lang w:val="en-CA"/>
        </w:rPr>
        <w:t xml:space="preserve"> from them if it considers that their application </w:t>
      </w:r>
      <w:r w:rsidR="001E2444">
        <w:rPr>
          <w:kern w:val="28"/>
          <w:lang w:val="en-CA"/>
        </w:rPr>
        <w:t>would</w:t>
      </w:r>
      <w:r w:rsidRPr="00076CA5">
        <w:rPr>
          <w:kern w:val="28"/>
          <w:lang w:val="en-CA"/>
        </w:rPr>
        <w:t xml:space="preserve"> not adequately </w:t>
      </w:r>
      <w:r w:rsidR="001E2444">
        <w:rPr>
          <w:kern w:val="28"/>
          <w:lang w:val="en-CA"/>
        </w:rPr>
        <w:t>serve the purpose of</w:t>
      </w:r>
      <w:r w:rsidRPr="00076CA5">
        <w:rPr>
          <w:kern w:val="28"/>
          <w:lang w:val="en-CA"/>
        </w:rPr>
        <w:t xml:space="preserve"> effective representation</w:t>
      </w:r>
      <w:r w:rsidR="00776E8D" w:rsidRPr="00076CA5">
        <w:rPr>
          <w:kern w:val="28"/>
          <w:lang w:val="en-CA"/>
        </w:rPr>
        <w:t>.</w:t>
      </w:r>
      <w:r w:rsidRPr="00076CA5">
        <w:rPr>
          <w:kern w:val="28"/>
          <w:vertAlign w:val="superscript"/>
          <w:lang w:val="en-CA"/>
        </w:rPr>
        <w:footnoteReference w:id="20"/>
      </w:r>
      <w:r w:rsidRPr="00076CA5">
        <w:rPr>
          <w:kern w:val="28"/>
          <w:lang w:val="en-CA"/>
        </w:rPr>
        <w:t xml:space="preserve"> </w:t>
      </w:r>
      <w:r w:rsidR="00776E8D" w:rsidRPr="00076CA5">
        <w:rPr>
          <w:kern w:val="28"/>
          <w:lang w:val="en-CA"/>
        </w:rPr>
        <w:t xml:space="preserve">In such cases, </w:t>
      </w:r>
      <w:r w:rsidRPr="00076CA5">
        <w:rPr>
          <w:kern w:val="28"/>
          <w:lang w:val="en-CA"/>
        </w:rPr>
        <w:t xml:space="preserve">it must </w:t>
      </w:r>
      <w:r w:rsidR="001E2444">
        <w:rPr>
          <w:kern w:val="28"/>
          <w:lang w:val="en-CA"/>
        </w:rPr>
        <w:t>provide written</w:t>
      </w:r>
      <w:r w:rsidRPr="00076CA5">
        <w:rPr>
          <w:kern w:val="28"/>
          <w:lang w:val="en-CA"/>
        </w:rPr>
        <w:t xml:space="preserve"> reasons for its decision. It should be noted that the legislat</w:t>
      </w:r>
      <w:r w:rsidR="00546BD9">
        <w:rPr>
          <w:kern w:val="28"/>
          <w:lang w:val="en-CA"/>
        </w:rPr>
        <w:t>ure</w:t>
      </w:r>
      <w:r w:rsidRPr="00076CA5">
        <w:rPr>
          <w:kern w:val="28"/>
          <w:lang w:val="en-CA"/>
        </w:rPr>
        <w:t xml:space="preserve"> may also </w:t>
      </w:r>
      <w:r w:rsidR="00546BD9">
        <w:rPr>
          <w:kern w:val="28"/>
          <w:lang w:val="en-CA"/>
        </w:rPr>
        <w:t>withdraw</w:t>
      </w:r>
      <w:r w:rsidRPr="00076CA5">
        <w:rPr>
          <w:kern w:val="28"/>
          <w:lang w:val="en-CA"/>
        </w:rPr>
        <w:t xml:space="preserve"> one or more electoral divisions from the application of the rule providing for a maximum deviation of 25%, as it did for the </w:t>
      </w:r>
      <w:r w:rsidR="00776E8D" w:rsidRPr="00076CA5">
        <w:rPr>
          <w:kern w:val="28"/>
          <w:lang w:val="en-CA"/>
        </w:rPr>
        <w:t>Îles-de-la-Madeleine.</w:t>
      </w:r>
      <w:r w:rsidRPr="00076CA5">
        <w:rPr>
          <w:kern w:val="28"/>
          <w:vertAlign w:val="superscript"/>
          <w:lang w:val="en-CA"/>
        </w:rPr>
        <w:footnoteReference w:id="21"/>
      </w:r>
    </w:p>
    <w:p w14:paraId="1FA93ACB" w14:textId="64D11A60" w:rsidR="006D4B37" w:rsidRPr="00076CA5" w:rsidRDefault="004351B0" w:rsidP="006D4B37">
      <w:pPr>
        <w:numPr>
          <w:ilvl w:val="0"/>
          <w:numId w:val="18"/>
        </w:numPr>
        <w:spacing w:before="120" w:after="120"/>
        <w:jc w:val="both"/>
        <w:rPr>
          <w:kern w:val="28"/>
          <w:lang w:val="en-CA"/>
        </w:rPr>
      </w:pPr>
      <w:r w:rsidRPr="00076CA5">
        <w:rPr>
          <w:kern w:val="28"/>
          <w:lang w:val="en-CA"/>
        </w:rPr>
        <w:t xml:space="preserve">Section 15 of the </w:t>
      </w:r>
      <w:r w:rsidRPr="00076CA5">
        <w:rPr>
          <w:i/>
          <w:iCs/>
          <w:kern w:val="28"/>
          <w:lang w:val="en-CA"/>
        </w:rPr>
        <w:t>Election Act</w:t>
      </w:r>
      <w:r w:rsidRPr="00076CA5">
        <w:rPr>
          <w:kern w:val="28"/>
          <w:lang w:val="en-CA"/>
        </w:rPr>
        <w:t xml:space="preserve"> sets out another principle, which is qualitative in nature. When defining the boundaries of an electoral division, the Commission seeks to ensure that it represents a “natural community”</w:t>
      </w:r>
      <w:r w:rsidR="002001A0">
        <w:rPr>
          <w:kern w:val="28"/>
          <w:lang w:val="en-CA"/>
        </w:rPr>
        <w:t>,</w:t>
      </w:r>
      <w:r w:rsidRPr="00076CA5">
        <w:rPr>
          <w:kern w:val="28"/>
          <w:lang w:val="en-CA"/>
        </w:rPr>
        <w:t xml:space="preserve"> which </w:t>
      </w:r>
      <w:r w:rsidR="00776E8D" w:rsidRPr="00076CA5">
        <w:rPr>
          <w:kern w:val="28"/>
          <w:lang w:val="en-CA"/>
        </w:rPr>
        <w:t>is established on the basis of “demographical, geographical and sociological considerations, such as the</w:t>
      </w:r>
      <w:r w:rsidRPr="00076CA5">
        <w:rPr>
          <w:kern w:val="28"/>
          <w:lang w:val="en-CA"/>
        </w:rPr>
        <w:t xml:space="preserve"> population density, </w:t>
      </w:r>
      <w:r w:rsidR="00776E8D" w:rsidRPr="00076CA5">
        <w:rPr>
          <w:kern w:val="28"/>
          <w:lang w:val="en-CA"/>
        </w:rPr>
        <w:t xml:space="preserve">… </w:t>
      </w:r>
      <w:r w:rsidR="00C50556">
        <w:rPr>
          <w:kern w:val="28"/>
          <w:lang w:val="en-CA"/>
        </w:rPr>
        <w:t xml:space="preserve">the </w:t>
      </w:r>
      <w:r w:rsidRPr="00076CA5">
        <w:rPr>
          <w:kern w:val="28"/>
          <w:lang w:val="en-CA"/>
        </w:rPr>
        <w:t xml:space="preserve">accessibility, area and </w:t>
      </w:r>
      <w:r w:rsidR="00776E8D" w:rsidRPr="00076CA5">
        <w:rPr>
          <w:kern w:val="28"/>
          <w:lang w:val="en-CA"/>
        </w:rPr>
        <w:t>shape</w:t>
      </w:r>
      <w:r w:rsidRPr="00076CA5">
        <w:rPr>
          <w:kern w:val="28"/>
          <w:lang w:val="en-CA"/>
        </w:rPr>
        <w:t xml:space="preserve"> of the region, the natural </w:t>
      </w:r>
      <w:r w:rsidR="00776E8D" w:rsidRPr="00076CA5">
        <w:rPr>
          <w:kern w:val="28"/>
          <w:lang w:val="en-CA"/>
        </w:rPr>
        <w:t xml:space="preserve">local </w:t>
      </w:r>
      <w:r w:rsidRPr="00076CA5">
        <w:rPr>
          <w:kern w:val="28"/>
          <w:lang w:val="en-CA"/>
        </w:rPr>
        <w:t>boundaries, and the territories of local municipalities”</w:t>
      </w:r>
      <w:r w:rsidR="002001A0">
        <w:rPr>
          <w:kern w:val="28"/>
          <w:lang w:val="en-CA"/>
        </w:rPr>
        <w:t>.</w:t>
      </w:r>
    </w:p>
    <w:p w14:paraId="719CEE4A" w14:textId="6EA28733" w:rsidR="006D4B37" w:rsidRPr="00076CA5" w:rsidRDefault="004351B0" w:rsidP="006D4B37">
      <w:pPr>
        <w:pStyle w:val="Titre1"/>
      </w:pPr>
      <w:r w:rsidRPr="00076CA5">
        <w:rPr>
          <w:bCs/>
          <w:lang w:val="en-CA"/>
        </w:rPr>
        <w:t xml:space="preserve">FACTS </w:t>
      </w:r>
    </w:p>
    <w:p w14:paraId="288ED216" w14:textId="5D5599FD" w:rsidR="006D4B37" w:rsidRPr="00076CA5" w:rsidRDefault="004351B0" w:rsidP="006D4B37">
      <w:pPr>
        <w:pStyle w:val="aParagraphe"/>
        <w:numPr>
          <w:ilvl w:val="0"/>
          <w:numId w:val="18"/>
        </w:numPr>
        <w:spacing w:line="280" w:lineRule="exact"/>
        <w:rPr>
          <w:lang w:val="en-CA"/>
        </w:rPr>
      </w:pPr>
      <w:r w:rsidRPr="00076CA5">
        <w:rPr>
          <w:lang w:val="en-CA"/>
        </w:rPr>
        <w:t>In its Preliminary Report, the Commission propose</w:t>
      </w:r>
      <w:r w:rsidR="00776E8D" w:rsidRPr="00076CA5">
        <w:rPr>
          <w:lang w:val="en-CA"/>
        </w:rPr>
        <w:t>d</w:t>
      </w:r>
      <w:r w:rsidRPr="00076CA5">
        <w:rPr>
          <w:lang w:val="en-CA"/>
        </w:rPr>
        <w:t xml:space="preserve"> </w:t>
      </w:r>
      <w:r w:rsidR="00776E8D" w:rsidRPr="00076CA5">
        <w:rPr>
          <w:lang w:val="en-CA"/>
        </w:rPr>
        <w:t xml:space="preserve">changing </w:t>
      </w:r>
      <w:r w:rsidRPr="00076CA5">
        <w:rPr>
          <w:lang w:val="en-CA"/>
        </w:rPr>
        <w:t>the boundaries of 55 of the 125 electoral divisions</w:t>
      </w:r>
      <w:r w:rsidRPr="00076CA5">
        <w:rPr>
          <w:rStyle w:val="Appelnotedebasdep"/>
          <w:lang w:val="en-CA"/>
        </w:rPr>
        <w:footnoteReference w:id="22"/>
      </w:r>
      <w:r w:rsidRPr="00076CA5">
        <w:rPr>
          <w:lang w:val="en-CA"/>
        </w:rPr>
        <w:t xml:space="preserve"> in light of demographic changes. In particular, it propose</w:t>
      </w:r>
      <w:r w:rsidR="0022648D" w:rsidRPr="00076CA5">
        <w:rPr>
          <w:lang w:val="en-CA"/>
        </w:rPr>
        <w:t>d adding</w:t>
      </w:r>
      <w:r w:rsidRPr="00076CA5">
        <w:rPr>
          <w:lang w:val="en-CA"/>
        </w:rPr>
        <w:t xml:space="preserve"> a</w:t>
      </w:r>
      <w:r w:rsidR="0022648D" w:rsidRPr="00076CA5">
        <w:rPr>
          <w:lang w:val="en-CA"/>
        </w:rPr>
        <w:t xml:space="preserve">n electoral division </w:t>
      </w:r>
      <w:r w:rsidRPr="00076CA5">
        <w:rPr>
          <w:lang w:val="en-CA"/>
        </w:rPr>
        <w:t xml:space="preserve">in the Laurentides-Lanaudière region and </w:t>
      </w:r>
      <w:r w:rsidR="0022648D" w:rsidRPr="00076CA5">
        <w:rPr>
          <w:lang w:val="en-CA"/>
        </w:rPr>
        <w:t>one</w:t>
      </w:r>
      <w:r w:rsidRPr="00076CA5">
        <w:rPr>
          <w:lang w:val="en-CA"/>
        </w:rPr>
        <w:t xml:space="preserve"> in </w:t>
      </w:r>
      <w:r w:rsidRPr="00076CA5">
        <w:rPr>
          <w:lang w:val="en-CA"/>
        </w:rPr>
        <w:lastRenderedPageBreak/>
        <w:t xml:space="preserve">the Estrie–Centre-du-Québec region. </w:t>
      </w:r>
      <w:r w:rsidR="0022648D" w:rsidRPr="00076CA5">
        <w:rPr>
          <w:lang w:val="en-CA"/>
        </w:rPr>
        <w:t>It also</w:t>
      </w:r>
      <w:r w:rsidRPr="00076CA5">
        <w:rPr>
          <w:lang w:val="en-CA"/>
        </w:rPr>
        <w:t xml:space="preserve"> suggest</w:t>
      </w:r>
      <w:r w:rsidR="0022648D" w:rsidRPr="00076CA5">
        <w:rPr>
          <w:lang w:val="en-CA"/>
        </w:rPr>
        <w:t xml:space="preserve">ed removing </w:t>
      </w:r>
      <w:r w:rsidRPr="00076CA5">
        <w:rPr>
          <w:lang w:val="en-CA"/>
        </w:rPr>
        <w:t xml:space="preserve">one </w:t>
      </w:r>
      <w:r w:rsidR="0022648D" w:rsidRPr="00076CA5">
        <w:rPr>
          <w:lang w:val="en-CA"/>
        </w:rPr>
        <w:t>electoral division</w:t>
      </w:r>
      <w:r w:rsidRPr="00076CA5">
        <w:rPr>
          <w:lang w:val="en-CA"/>
        </w:rPr>
        <w:t xml:space="preserve"> on Montreal Island and another in the Bas-Saint-Laurent–Gaspésie</w:t>
      </w:r>
      <w:r w:rsidR="00C50556" w:rsidRPr="00076CA5">
        <w:rPr>
          <w:lang w:val="en-CA"/>
        </w:rPr>
        <w:t>–</w:t>
      </w:r>
      <w:r w:rsidRPr="00076CA5">
        <w:rPr>
          <w:lang w:val="en-CA"/>
        </w:rPr>
        <w:t xml:space="preserve">Îles-de-la-Madeleine region. The reconfiguration of </w:t>
      </w:r>
      <w:r w:rsidR="0022648D" w:rsidRPr="00076CA5">
        <w:rPr>
          <w:lang w:val="en-CA"/>
        </w:rPr>
        <w:t>the delimitations</w:t>
      </w:r>
      <w:r w:rsidRPr="00076CA5">
        <w:rPr>
          <w:lang w:val="en-CA"/>
        </w:rPr>
        <w:t xml:space="preserve"> in the Bas-Saint-Laurent–Gaspésie</w:t>
      </w:r>
      <w:r w:rsidR="00C50556" w:rsidRPr="00076CA5">
        <w:rPr>
          <w:lang w:val="en-CA"/>
        </w:rPr>
        <w:t>–</w:t>
      </w:r>
      <w:r w:rsidRPr="00076CA5">
        <w:rPr>
          <w:lang w:val="en-CA"/>
        </w:rPr>
        <w:t>Îles-de-la-Madeleine region reduced the number of electoral divisions in the region</w:t>
      </w:r>
      <w:r w:rsidR="00C50556">
        <w:rPr>
          <w:lang w:val="en-CA"/>
        </w:rPr>
        <w:t xml:space="preserve"> from six to five,</w:t>
      </w:r>
      <w:r w:rsidRPr="00076CA5">
        <w:rPr>
          <w:rStyle w:val="Appelnotedebasdep"/>
          <w:lang w:val="en-CA"/>
        </w:rPr>
        <w:footnoteReference w:id="23"/>
      </w:r>
      <w:r w:rsidRPr="00076CA5">
        <w:rPr>
          <w:lang w:val="en-CA"/>
        </w:rPr>
        <w:t xml:space="preserve"> essentially through the merger of the Gaspé and Bonaventure electoral divisions.</w:t>
      </w:r>
    </w:p>
    <w:p w14:paraId="0A1E5516" w14:textId="0BFDF79C" w:rsidR="006D4B37" w:rsidRPr="00076CA5" w:rsidRDefault="004351B0" w:rsidP="006D4B37">
      <w:pPr>
        <w:pStyle w:val="aParagraphe"/>
        <w:numPr>
          <w:ilvl w:val="0"/>
          <w:numId w:val="18"/>
        </w:numPr>
        <w:spacing w:line="280" w:lineRule="exact"/>
        <w:rPr>
          <w:lang w:val="en-CA"/>
        </w:rPr>
      </w:pPr>
      <w:r w:rsidRPr="00076CA5">
        <w:rPr>
          <w:lang w:val="en-CA"/>
        </w:rPr>
        <w:t xml:space="preserve">Following the </w:t>
      </w:r>
      <w:r w:rsidR="0022648D" w:rsidRPr="00076CA5">
        <w:rPr>
          <w:lang w:val="en-CA"/>
        </w:rPr>
        <w:t>tabling</w:t>
      </w:r>
      <w:r w:rsidRPr="00076CA5">
        <w:rPr>
          <w:lang w:val="en-CA"/>
        </w:rPr>
        <w:t xml:space="preserve"> of the Preliminary Report, the Commission held public consultations and hearings, which ended on November 15, 2023</w:t>
      </w:r>
      <w:r w:rsidR="0022648D" w:rsidRPr="00076CA5">
        <w:rPr>
          <w:lang w:val="en-CA"/>
        </w:rPr>
        <w:t>.</w:t>
      </w:r>
      <w:r w:rsidRPr="00076CA5">
        <w:rPr>
          <w:rStyle w:val="Appelnotedebasdep"/>
          <w:lang w:val="en-CA"/>
        </w:rPr>
        <w:footnoteReference w:id="24"/>
      </w:r>
    </w:p>
    <w:p w14:paraId="48B2DE38" w14:textId="512CC588" w:rsidR="006D4B37" w:rsidRPr="00076CA5" w:rsidRDefault="004351B0" w:rsidP="006D4B37">
      <w:pPr>
        <w:pStyle w:val="aParagraphe"/>
        <w:numPr>
          <w:ilvl w:val="0"/>
          <w:numId w:val="18"/>
        </w:numPr>
        <w:spacing w:line="280" w:lineRule="exact"/>
        <w:rPr>
          <w:lang w:val="en-CA"/>
        </w:rPr>
      </w:pPr>
      <w:r w:rsidRPr="00076CA5">
        <w:rPr>
          <w:lang w:val="en-CA"/>
        </w:rPr>
        <w:t xml:space="preserve">On October 17, 2023, the National Assembly </w:t>
      </w:r>
      <w:r w:rsidR="0022648D" w:rsidRPr="00076CA5">
        <w:rPr>
          <w:lang w:val="en-CA"/>
        </w:rPr>
        <w:t xml:space="preserve">passed </w:t>
      </w:r>
      <w:r w:rsidRPr="00076CA5">
        <w:rPr>
          <w:lang w:val="en-CA"/>
        </w:rPr>
        <w:t>a unanimous motion asking the Commission to abandon the merger of the Gaspé and Bonaventure electoral divisions</w:t>
      </w:r>
      <w:r w:rsidR="0022648D" w:rsidRPr="00076CA5">
        <w:rPr>
          <w:lang w:val="en-CA"/>
        </w:rPr>
        <w:t>.</w:t>
      </w:r>
      <w:r w:rsidRPr="00076CA5">
        <w:rPr>
          <w:rStyle w:val="Appelnotedebasdep"/>
          <w:lang w:val="en-CA"/>
        </w:rPr>
        <w:footnoteReference w:id="25"/>
      </w:r>
    </w:p>
    <w:p w14:paraId="1103F126" w14:textId="5354976C" w:rsidR="006D4B37" w:rsidRPr="00076CA5" w:rsidRDefault="004351B0" w:rsidP="006D4B37">
      <w:pPr>
        <w:pStyle w:val="aParagraphe"/>
        <w:numPr>
          <w:ilvl w:val="0"/>
          <w:numId w:val="18"/>
        </w:numPr>
        <w:spacing w:line="280" w:lineRule="exact"/>
        <w:rPr>
          <w:lang w:val="en-CA"/>
        </w:rPr>
      </w:pPr>
      <w:r w:rsidRPr="00076CA5">
        <w:rPr>
          <w:lang w:val="en-CA"/>
        </w:rPr>
        <w:t>On February 13, 14</w:t>
      </w:r>
      <w:r w:rsidR="00C50556">
        <w:rPr>
          <w:lang w:val="en-CA"/>
        </w:rPr>
        <w:t>,</w:t>
      </w:r>
      <w:r w:rsidRPr="00076CA5">
        <w:rPr>
          <w:lang w:val="en-CA"/>
        </w:rPr>
        <w:t xml:space="preserve"> and 15, 2024, the Preliminary Report </w:t>
      </w:r>
      <w:r w:rsidR="0022648D" w:rsidRPr="00076CA5">
        <w:rPr>
          <w:lang w:val="en-CA"/>
        </w:rPr>
        <w:t>was</w:t>
      </w:r>
      <w:r w:rsidRPr="00076CA5">
        <w:rPr>
          <w:lang w:val="en-CA"/>
        </w:rPr>
        <w:t xml:space="preserve"> studied </w:t>
      </w:r>
      <w:r w:rsidR="0022648D" w:rsidRPr="00076CA5">
        <w:rPr>
          <w:lang w:val="en-CA"/>
        </w:rPr>
        <w:t>in</w:t>
      </w:r>
      <w:r w:rsidRPr="00076CA5">
        <w:rPr>
          <w:lang w:val="en-CA"/>
        </w:rPr>
        <w:t xml:space="preserve"> the National Assembly</w:t>
      </w:r>
      <w:r w:rsidR="0022648D" w:rsidRPr="00076CA5">
        <w:rPr>
          <w:lang w:val="en-CA"/>
        </w:rPr>
        <w:t>.</w:t>
      </w:r>
      <w:r w:rsidRPr="00076CA5">
        <w:rPr>
          <w:rStyle w:val="Appelnotedebasdep"/>
          <w:lang w:val="en-CA"/>
        </w:rPr>
        <w:footnoteReference w:id="26"/>
      </w:r>
    </w:p>
    <w:p w14:paraId="5F46FA5F" w14:textId="41237478" w:rsidR="006D4B37" w:rsidRPr="00076CA5" w:rsidRDefault="004351B0" w:rsidP="006D4B37">
      <w:pPr>
        <w:pStyle w:val="aParagraphe"/>
        <w:numPr>
          <w:ilvl w:val="0"/>
          <w:numId w:val="18"/>
        </w:numPr>
        <w:spacing w:line="280" w:lineRule="exact"/>
        <w:rPr>
          <w:lang w:val="en-CA"/>
        </w:rPr>
      </w:pPr>
      <w:r w:rsidRPr="00076CA5">
        <w:rPr>
          <w:lang w:val="en-CA"/>
        </w:rPr>
        <w:t xml:space="preserve">On March 28, 2024, the Minister </w:t>
      </w:r>
      <w:r w:rsidR="00C50556">
        <w:rPr>
          <w:lang w:val="en-CA"/>
        </w:rPr>
        <w:t>R</w:t>
      </w:r>
      <w:r w:rsidRPr="00076CA5">
        <w:rPr>
          <w:lang w:val="en-CA"/>
        </w:rPr>
        <w:t xml:space="preserve">esponsible for Democratic Institutions, Jean-François Roberge, </w:t>
      </w:r>
      <w:r w:rsidR="0022648D" w:rsidRPr="00076CA5">
        <w:rPr>
          <w:lang w:val="en-CA"/>
        </w:rPr>
        <w:t>together with</w:t>
      </w:r>
      <w:r w:rsidRPr="00076CA5">
        <w:rPr>
          <w:lang w:val="en-CA"/>
        </w:rPr>
        <w:t xml:space="preserve"> representatives of the three opposition parties, announced his intention to introduce a bill to interrupt the electoral map delimitation process</w:t>
      </w:r>
      <w:r w:rsidR="0022648D" w:rsidRPr="00076CA5">
        <w:rPr>
          <w:lang w:val="en-CA"/>
        </w:rPr>
        <w:t>.</w:t>
      </w:r>
      <w:r w:rsidRPr="00076CA5">
        <w:rPr>
          <w:rStyle w:val="Appelnotedebasdep"/>
          <w:lang w:val="en-CA"/>
        </w:rPr>
        <w:footnoteReference w:id="27"/>
      </w:r>
      <w:r w:rsidRPr="00076CA5">
        <w:rPr>
          <w:lang w:val="en-CA"/>
        </w:rPr>
        <w:t xml:space="preserve"> The National Assembly unanimously </w:t>
      </w:r>
      <w:r w:rsidR="0022648D" w:rsidRPr="00076CA5">
        <w:rPr>
          <w:lang w:val="en-CA"/>
        </w:rPr>
        <w:t>passed</w:t>
      </w:r>
      <w:r w:rsidRPr="00076CA5">
        <w:rPr>
          <w:lang w:val="en-CA"/>
        </w:rPr>
        <w:t xml:space="preserve"> a motion underscoring its members</w:t>
      </w:r>
      <w:r w:rsidR="00C50556">
        <w:rPr>
          <w:lang w:val="en-CA"/>
        </w:rPr>
        <w:t>’</w:t>
      </w:r>
      <w:r w:rsidRPr="00076CA5">
        <w:rPr>
          <w:lang w:val="en-CA"/>
        </w:rPr>
        <w:t xml:space="preserve"> intention to review the parameters and provisions of the </w:t>
      </w:r>
      <w:r w:rsidRPr="00076CA5">
        <w:rPr>
          <w:i/>
          <w:iCs/>
          <w:lang w:val="en-CA"/>
        </w:rPr>
        <w:t>Election Act</w:t>
      </w:r>
      <w:r w:rsidRPr="00076CA5">
        <w:rPr>
          <w:rStyle w:val="Appelnotedebasdep"/>
          <w:lang w:val="en-CA"/>
        </w:rPr>
        <w:footnoteReference w:id="28"/>
      </w:r>
      <w:r w:rsidRPr="00076CA5">
        <w:rPr>
          <w:lang w:val="en-CA"/>
        </w:rPr>
        <w:t xml:space="preserve"> that guide the Commission</w:t>
      </w:r>
      <w:r w:rsidR="00C50556">
        <w:rPr>
          <w:lang w:val="en-CA"/>
        </w:rPr>
        <w:t>’</w:t>
      </w:r>
      <w:r w:rsidRPr="00076CA5">
        <w:rPr>
          <w:lang w:val="en-CA"/>
        </w:rPr>
        <w:t xml:space="preserve">s work, more specifically the delimitation criteria set out in </w:t>
      </w:r>
      <w:r w:rsidR="0022648D" w:rsidRPr="00076CA5">
        <w:rPr>
          <w:lang w:val="en-CA"/>
        </w:rPr>
        <w:t>s</w:t>
      </w:r>
      <w:r w:rsidRPr="00076CA5">
        <w:rPr>
          <w:lang w:val="en-CA"/>
        </w:rPr>
        <w:t xml:space="preserve">ections 15 and 16 of the </w:t>
      </w:r>
      <w:r w:rsidRPr="00076CA5">
        <w:rPr>
          <w:i/>
          <w:iCs/>
          <w:lang w:val="en-CA"/>
        </w:rPr>
        <w:t>Election Act</w:t>
      </w:r>
      <w:r w:rsidR="00C50556">
        <w:rPr>
          <w:lang w:val="en-CA"/>
        </w:rPr>
        <w:t>.</w:t>
      </w:r>
      <w:r w:rsidRPr="00076CA5">
        <w:rPr>
          <w:rStyle w:val="Appelnotedebasdep"/>
          <w:lang w:val="en-CA"/>
        </w:rPr>
        <w:footnoteReference w:id="29"/>
      </w:r>
      <w:r w:rsidRPr="00076CA5">
        <w:rPr>
          <w:lang w:val="en-CA"/>
        </w:rPr>
        <w:t xml:space="preserve"> </w:t>
      </w:r>
    </w:p>
    <w:p w14:paraId="4B4E802D" w14:textId="70163A71" w:rsidR="00982374" w:rsidRPr="00076CA5" w:rsidRDefault="004351B0" w:rsidP="006D4B37">
      <w:pPr>
        <w:pStyle w:val="aParagraphe"/>
        <w:numPr>
          <w:ilvl w:val="0"/>
          <w:numId w:val="18"/>
        </w:numPr>
        <w:spacing w:line="280" w:lineRule="exact"/>
        <w:rPr>
          <w:lang w:val="en-CA"/>
        </w:rPr>
      </w:pPr>
      <w:r w:rsidRPr="00076CA5">
        <w:rPr>
          <w:lang w:val="en-CA"/>
        </w:rPr>
        <w:t>On April 24, 2024, Bill 59 was introduced in the National Assembly:</w:t>
      </w:r>
      <w:r w:rsidRPr="00076CA5">
        <w:rPr>
          <w:i/>
          <w:iCs/>
          <w:lang w:val="en-CA"/>
        </w:rPr>
        <w:t xml:space="preserve"> </w:t>
      </w:r>
      <w:r w:rsidRPr="00076CA5">
        <w:rPr>
          <w:lang w:val="en-CA"/>
        </w:rPr>
        <w:t xml:space="preserve">the </w:t>
      </w:r>
      <w:r w:rsidR="002B54C0" w:rsidRPr="002B54C0">
        <w:rPr>
          <w:i/>
          <w:iCs/>
          <w:lang w:val="en-CA"/>
        </w:rPr>
        <w:t>ATI</w:t>
      </w:r>
      <w:r w:rsidR="00C50556">
        <w:rPr>
          <w:lang w:val="en-CA"/>
        </w:rPr>
        <w:t>.</w:t>
      </w:r>
      <w:r w:rsidRPr="00076CA5">
        <w:rPr>
          <w:rStyle w:val="Appelnotedebasdep"/>
          <w:lang w:val="en-CA"/>
        </w:rPr>
        <w:footnoteReference w:id="30"/>
      </w:r>
      <w:r w:rsidRPr="00076CA5">
        <w:rPr>
          <w:lang w:val="en-CA"/>
        </w:rPr>
        <w:t xml:space="preserve"> On May 2, 2024, without any particular debate, the </w:t>
      </w:r>
      <w:r w:rsidR="002B54C0" w:rsidRPr="002B54C0">
        <w:rPr>
          <w:i/>
          <w:iCs/>
          <w:lang w:val="en-CA"/>
        </w:rPr>
        <w:t>ATI</w:t>
      </w:r>
      <w:r w:rsidRPr="00076CA5">
        <w:rPr>
          <w:lang w:val="en-CA"/>
        </w:rPr>
        <w:t xml:space="preserve"> was unanimously adopted on an accelerated basis</w:t>
      </w:r>
      <w:r w:rsidR="004228EB">
        <w:rPr>
          <w:lang w:val="en-CA"/>
        </w:rPr>
        <w:t>.</w:t>
      </w:r>
      <w:r w:rsidRPr="00076CA5">
        <w:rPr>
          <w:rStyle w:val="Appelnotedebasdep"/>
          <w:lang w:val="en-CA"/>
        </w:rPr>
        <w:footnoteReference w:id="31"/>
      </w:r>
      <w:r w:rsidRPr="00076CA5">
        <w:rPr>
          <w:lang w:val="en-CA"/>
        </w:rPr>
        <w:t xml:space="preserve"> On May 7, 2024, the </w:t>
      </w:r>
      <w:r w:rsidR="002B54C0" w:rsidRPr="002B54C0">
        <w:rPr>
          <w:i/>
          <w:iCs/>
          <w:lang w:val="en-CA"/>
        </w:rPr>
        <w:t>ATI</w:t>
      </w:r>
      <w:r w:rsidRPr="00076CA5">
        <w:rPr>
          <w:lang w:val="en-CA"/>
        </w:rPr>
        <w:t xml:space="preserve"> </w:t>
      </w:r>
      <w:r w:rsidR="00CD6218" w:rsidRPr="00076CA5">
        <w:rPr>
          <w:lang w:val="en-CA"/>
        </w:rPr>
        <w:t xml:space="preserve">received royal assent from </w:t>
      </w:r>
      <w:r w:rsidRPr="00076CA5">
        <w:rPr>
          <w:lang w:val="en-CA"/>
        </w:rPr>
        <w:t>the Lieutenant-Governor</w:t>
      </w:r>
      <w:r w:rsidR="00CD6218" w:rsidRPr="00076CA5">
        <w:rPr>
          <w:lang w:val="en-CA"/>
        </w:rPr>
        <w:t>.</w:t>
      </w:r>
      <w:r w:rsidRPr="00076CA5">
        <w:rPr>
          <w:rStyle w:val="Appelnotedebasdep"/>
          <w:lang w:val="en-CA"/>
        </w:rPr>
        <w:footnoteReference w:id="32"/>
      </w:r>
      <w:r w:rsidRPr="00076CA5">
        <w:rPr>
          <w:lang w:val="en-CA"/>
        </w:rPr>
        <w:t xml:space="preserve"> </w:t>
      </w:r>
    </w:p>
    <w:p w14:paraId="36D49B99" w14:textId="448A59EE" w:rsidR="006D4B37" w:rsidRPr="00076CA5" w:rsidRDefault="004351B0" w:rsidP="006D4B37">
      <w:pPr>
        <w:pStyle w:val="aParagraphe"/>
        <w:numPr>
          <w:ilvl w:val="0"/>
          <w:numId w:val="18"/>
        </w:numPr>
        <w:spacing w:line="280" w:lineRule="exact"/>
        <w:rPr>
          <w:lang w:val="en-CA"/>
        </w:rPr>
      </w:pPr>
      <w:r w:rsidRPr="00076CA5">
        <w:rPr>
          <w:lang w:val="en-CA"/>
        </w:rPr>
        <w:t xml:space="preserve">On December 5, 2024, a Superior Court judge granted in part an application for an interlocutory injunction to exempt the Commission from the application of the </w:t>
      </w:r>
      <w:r w:rsidR="002B54C0" w:rsidRPr="002B54C0">
        <w:rPr>
          <w:i/>
          <w:iCs/>
          <w:lang w:val="en-CA"/>
        </w:rPr>
        <w:t>ATI</w:t>
      </w:r>
      <w:r w:rsidRPr="00076CA5">
        <w:rPr>
          <w:lang w:val="en-CA"/>
        </w:rPr>
        <w:t xml:space="preserve">, but </w:t>
      </w:r>
      <w:r w:rsidR="004228EB">
        <w:rPr>
          <w:lang w:val="en-CA"/>
        </w:rPr>
        <w:t>solely</w:t>
      </w:r>
      <w:r w:rsidRPr="00076CA5">
        <w:rPr>
          <w:lang w:val="en-CA"/>
        </w:rPr>
        <w:t xml:space="preserve"> to allow it to finalize the drafting of the report referred to in </w:t>
      </w:r>
      <w:r w:rsidR="0010182E">
        <w:rPr>
          <w:lang w:val="en-CA"/>
        </w:rPr>
        <w:t xml:space="preserve">the first </w:t>
      </w:r>
      <w:r w:rsidRPr="00076CA5">
        <w:rPr>
          <w:lang w:val="en-CA"/>
        </w:rPr>
        <w:t>paragraph</w:t>
      </w:r>
      <w:r w:rsidR="004228EB">
        <w:rPr>
          <w:lang w:val="en-CA"/>
        </w:rPr>
        <w:t> </w:t>
      </w:r>
      <w:r w:rsidRPr="00076CA5">
        <w:rPr>
          <w:lang w:val="en-CA"/>
        </w:rPr>
        <w:t xml:space="preserve">of </w:t>
      </w:r>
      <w:r w:rsidR="00CD6218" w:rsidRPr="00076CA5">
        <w:rPr>
          <w:lang w:val="en-CA"/>
        </w:rPr>
        <w:lastRenderedPageBreak/>
        <w:t>s</w:t>
      </w:r>
      <w:r w:rsidRPr="00076CA5">
        <w:rPr>
          <w:lang w:val="en-CA"/>
        </w:rPr>
        <w:t xml:space="preserve">ection 28 of the </w:t>
      </w:r>
      <w:r w:rsidRPr="00076CA5">
        <w:rPr>
          <w:i/>
          <w:iCs/>
          <w:lang w:val="en-CA"/>
        </w:rPr>
        <w:t>Election Act</w:t>
      </w:r>
      <w:r w:rsidRPr="00076CA5">
        <w:rPr>
          <w:lang w:val="en-CA"/>
        </w:rPr>
        <w:t xml:space="preserve"> (the second report indicating the boundaries of the electoral divisions)</w:t>
      </w:r>
      <w:r w:rsidR="00CD6218" w:rsidRPr="00076CA5">
        <w:rPr>
          <w:lang w:val="en-CA"/>
        </w:rPr>
        <w:t>.</w:t>
      </w:r>
      <w:r w:rsidRPr="00076CA5">
        <w:rPr>
          <w:rStyle w:val="Appelnotedebasdep"/>
          <w:lang w:val="en-CA"/>
        </w:rPr>
        <w:footnoteReference w:id="33"/>
      </w:r>
    </w:p>
    <w:p w14:paraId="15620CE8" w14:textId="77777777" w:rsidR="006D4B37" w:rsidRPr="00076CA5" w:rsidRDefault="004351B0" w:rsidP="006D4B37">
      <w:pPr>
        <w:pStyle w:val="Titre1"/>
      </w:pPr>
      <w:r w:rsidRPr="00076CA5">
        <w:rPr>
          <w:bCs/>
          <w:lang w:val="en-CA"/>
        </w:rPr>
        <w:t>JUDGMENT UNDER APPEAL</w:t>
      </w:r>
    </w:p>
    <w:p w14:paraId="6D95EF54" w14:textId="44A4C1CE" w:rsidR="006D4B37" w:rsidRPr="00076CA5" w:rsidRDefault="00752673" w:rsidP="00982374">
      <w:pPr>
        <w:pStyle w:val="Paragraphe"/>
        <w:spacing w:line="240" w:lineRule="auto"/>
        <w:rPr>
          <w:lang w:val="en-CA"/>
        </w:rPr>
      </w:pPr>
      <w:r>
        <w:rPr>
          <w:lang w:val="en-CA"/>
        </w:rPr>
        <w:t>T</w:t>
      </w:r>
      <w:r w:rsidR="004351B0" w:rsidRPr="00752673">
        <w:rPr>
          <w:lang w:val="en-CA"/>
        </w:rPr>
        <w:t>he Superior</w:t>
      </w:r>
      <w:r w:rsidR="004351B0" w:rsidRPr="00076CA5">
        <w:rPr>
          <w:lang w:val="en-CA"/>
        </w:rPr>
        <w:t xml:space="preserve"> Court judge</w:t>
      </w:r>
      <w:r>
        <w:rPr>
          <w:lang w:val="en-CA"/>
        </w:rPr>
        <w:t xml:space="preserve"> was of the view that</w:t>
      </w:r>
      <w:r w:rsidR="004351B0" w:rsidRPr="00076CA5">
        <w:rPr>
          <w:lang w:val="en-CA"/>
        </w:rPr>
        <w:t xml:space="preserve"> the combination of two factors, </w:t>
      </w:r>
      <w:r w:rsidR="004830E6">
        <w:rPr>
          <w:lang w:val="en-CA"/>
        </w:rPr>
        <w:t>namely</w:t>
      </w:r>
      <w:r w:rsidR="004351B0" w:rsidRPr="00076CA5">
        <w:rPr>
          <w:lang w:val="en-CA"/>
        </w:rPr>
        <w:t xml:space="preserve"> the presence of seven electoral divisions </w:t>
      </w:r>
      <w:r w:rsidR="004830E6">
        <w:rPr>
          <w:lang w:val="en-CA"/>
        </w:rPr>
        <w:t>with an exceptional positive deviation</w:t>
      </w:r>
      <w:r w:rsidR="004351B0" w:rsidRPr="00076CA5">
        <w:rPr>
          <w:lang w:val="en-CA"/>
        </w:rPr>
        <w:t xml:space="preserve"> and the political interruption of the </w:t>
      </w:r>
      <w:r w:rsidR="00CD6218" w:rsidRPr="00076CA5">
        <w:rPr>
          <w:lang w:val="en-CA"/>
        </w:rPr>
        <w:t xml:space="preserve">Commission’s </w:t>
      </w:r>
      <w:r w:rsidR="004351B0" w:rsidRPr="00076CA5">
        <w:rPr>
          <w:lang w:val="en-CA"/>
        </w:rPr>
        <w:t>Delimitation Process</w:t>
      </w:r>
      <w:r w:rsidR="00CD6218" w:rsidRPr="00076CA5">
        <w:rPr>
          <w:lang w:val="en-CA"/>
        </w:rPr>
        <w:t>,</w:t>
      </w:r>
      <w:r w:rsidR="004351B0" w:rsidRPr="00076CA5">
        <w:rPr>
          <w:lang w:val="en-CA"/>
        </w:rPr>
        <w:t xml:space="preserve"> </w:t>
      </w:r>
      <w:r>
        <w:rPr>
          <w:lang w:val="en-CA"/>
        </w:rPr>
        <w:t>infringe</w:t>
      </w:r>
      <w:r w:rsidR="00ED743A">
        <w:rPr>
          <w:lang w:val="en-CA"/>
        </w:rPr>
        <w:t>d</w:t>
      </w:r>
      <w:r w:rsidR="004351B0" w:rsidRPr="00076CA5">
        <w:rPr>
          <w:lang w:val="en-CA"/>
        </w:rPr>
        <w:t xml:space="preserve"> </w:t>
      </w:r>
      <w:r w:rsidR="00CD6218" w:rsidRPr="00076CA5">
        <w:rPr>
          <w:lang w:val="en-CA"/>
        </w:rPr>
        <w:t>s</w:t>
      </w:r>
      <w:r w:rsidR="004351B0" w:rsidRPr="00076CA5">
        <w:rPr>
          <w:lang w:val="en-CA"/>
        </w:rPr>
        <w:t xml:space="preserve">ection 3 of the </w:t>
      </w:r>
      <w:r w:rsidR="004351B0" w:rsidRPr="00076CA5">
        <w:rPr>
          <w:i/>
          <w:iCs/>
          <w:lang w:val="en-CA"/>
        </w:rPr>
        <w:t>Charter</w:t>
      </w:r>
      <w:r w:rsidR="00CD6218" w:rsidRPr="00076CA5">
        <w:rPr>
          <w:i/>
          <w:iCs/>
          <w:lang w:val="en-CA"/>
        </w:rPr>
        <w:t>.</w:t>
      </w:r>
      <w:r w:rsidR="004351B0" w:rsidRPr="00076CA5">
        <w:rPr>
          <w:rStyle w:val="Appelnotedebasdep"/>
          <w:lang w:val="en-CA"/>
        </w:rPr>
        <w:footnoteReference w:id="34"/>
      </w:r>
      <w:r w:rsidR="00076CA5">
        <w:rPr>
          <w:i/>
          <w:iCs/>
          <w:lang w:val="en-CA"/>
        </w:rPr>
        <w:t xml:space="preserve"> </w:t>
      </w:r>
      <w:r w:rsidR="004351B0" w:rsidRPr="00076CA5">
        <w:rPr>
          <w:lang w:val="en-CA"/>
        </w:rPr>
        <w:t xml:space="preserve">This conclusion </w:t>
      </w:r>
      <w:r w:rsidR="00CD6218" w:rsidRPr="00076CA5">
        <w:rPr>
          <w:lang w:val="en-CA"/>
        </w:rPr>
        <w:t>was</w:t>
      </w:r>
      <w:r w:rsidR="004351B0" w:rsidRPr="00076CA5">
        <w:rPr>
          <w:lang w:val="en-CA"/>
        </w:rPr>
        <w:t xml:space="preserve"> based not only on the fact that the appellants</w:t>
      </w:r>
      <w:r w:rsidR="00671D6F">
        <w:rPr>
          <w:lang w:val="en-CA"/>
        </w:rPr>
        <w:t>’</w:t>
      </w:r>
      <w:r w:rsidR="004351B0" w:rsidRPr="00076CA5">
        <w:rPr>
          <w:lang w:val="en-CA"/>
        </w:rPr>
        <w:t xml:space="preserve"> votes </w:t>
      </w:r>
      <w:r w:rsidR="00CD6218" w:rsidRPr="00076CA5">
        <w:rPr>
          <w:lang w:val="en-CA"/>
        </w:rPr>
        <w:t>were</w:t>
      </w:r>
      <w:r w:rsidR="004351B0" w:rsidRPr="00076CA5">
        <w:rPr>
          <w:lang w:val="en-CA"/>
        </w:rPr>
        <w:t xml:space="preserve"> significantly diluted, but also on the fact that the map </w:t>
      </w:r>
      <w:r w:rsidR="00CD6218" w:rsidRPr="00076CA5">
        <w:rPr>
          <w:lang w:val="en-CA"/>
        </w:rPr>
        <w:t>was</w:t>
      </w:r>
      <w:r w:rsidR="004351B0" w:rsidRPr="00076CA5">
        <w:rPr>
          <w:lang w:val="en-CA"/>
        </w:rPr>
        <w:t xml:space="preserve"> not the result of an independent process applying the criteria of the </w:t>
      </w:r>
      <w:r w:rsidR="00776E8D" w:rsidRPr="00076CA5">
        <w:rPr>
          <w:i/>
          <w:iCs/>
          <w:lang w:val="en-CA"/>
        </w:rPr>
        <w:t>Election Act</w:t>
      </w:r>
      <w:r w:rsidR="00CD6218" w:rsidRPr="00076CA5">
        <w:rPr>
          <w:i/>
          <w:iCs/>
          <w:lang w:val="en-CA"/>
        </w:rPr>
        <w:t>.</w:t>
      </w:r>
      <w:r w:rsidR="004351B0" w:rsidRPr="00076CA5">
        <w:rPr>
          <w:rStyle w:val="Appelnotedebasdep"/>
          <w:lang w:val="en-CA"/>
        </w:rPr>
        <w:footnoteReference w:id="35"/>
      </w:r>
      <w:r w:rsidR="004351B0" w:rsidRPr="00076CA5">
        <w:rPr>
          <w:lang w:val="en-CA"/>
        </w:rPr>
        <w:t xml:space="preserve"> In other words, the result of the </w:t>
      </w:r>
      <w:r w:rsidR="002B54C0" w:rsidRPr="002B54C0">
        <w:rPr>
          <w:i/>
          <w:iCs/>
          <w:lang w:val="en-CA"/>
        </w:rPr>
        <w:t>ATI</w:t>
      </w:r>
      <w:r w:rsidR="004351B0" w:rsidRPr="00076CA5">
        <w:rPr>
          <w:lang w:val="en-CA"/>
        </w:rPr>
        <w:t xml:space="preserve"> is that the map that would be used in 2026 </w:t>
      </w:r>
      <w:r w:rsidR="00CD6218" w:rsidRPr="00076CA5">
        <w:rPr>
          <w:lang w:val="en-CA"/>
        </w:rPr>
        <w:t xml:space="preserve">would </w:t>
      </w:r>
      <w:r w:rsidR="004351B0" w:rsidRPr="00076CA5">
        <w:rPr>
          <w:lang w:val="en-CA"/>
        </w:rPr>
        <w:t xml:space="preserve">significantly </w:t>
      </w:r>
      <w:r w:rsidR="002F2EC8" w:rsidRPr="00076CA5">
        <w:rPr>
          <w:lang w:val="en-CA"/>
        </w:rPr>
        <w:t>impair</w:t>
      </w:r>
      <w:r w:rsidR="004351B0" w:rsidRPr="00076CA5">
        <w:rPr>
          <w:lang w:val="en-CA"/>
        </w:rPr>
        <w:t xml:space="preserve"> </w:t>
      </w:r>
      <w:r w:rsidR="00CD6218" w:rsidRPr="00076CA5">
        <w:rPr>
          <w:lang w:val="en-CA"/>
        </w:rPr>
        <w:t xml:space="preserve">the </w:t>
      </w:r>
      <w:r w:rsidR="004351B0" w:rsidRPr="00076CA5">
        <w:rPr>
          <w:lang w:val="en-CA"/>
        </w:rPr>
        <w:t>appellants</w:t>
      </w:r>
      <w:r w:rsidR="00671D6F">
        <w:rPr>
          <w:lang w:val="en-CA"/>
        </w:rPr>
        <w:t>’</w:t>
      </w:r>
      <w:r w:rsidR="004351B0" w:rsidRPr="00076CA5">
        <w:rPr>
          <w:lang w:val="en-CA"/>
        </w:rPr>
        <w:t xml:space="preserve"> right to vote, through political intervention that </w:t>
      </w:r>
      <w:r w:rsidR="00CD6218" w:rsidRPr="00076CA5">
        <w:rPr>
          <w:lang w:val="en-CA"/>
        </w:rPr>
        <w:t xml:space="preserve">negated </w:t>
      </w:r>
      <w:r w:rsidR="00671D6F">
        <w:rPr>
          <w:lang w:val="en-CA"/>
        </w:rPr>
        <w:t xml:space="preserve">the </w:t>
      </w:r>
      <w:r w:rsidR="004351B0" w:rsidRPr="00076CA5">
        <w:rPr>
          <w:lang w:val="en-CA"/>
        </w:rPr>
        <w:t xml:space="preserve">implementation of neutral criteria inspired by </w:t>
      </w:r>
      <w:r w:rsidR="002F2EC8" w:rsidRPr="00076CA5">
        <w:rPr>
          <w:lang w:val="en-CA"/>
        </w:rPr>
        <w:t xml:space="preserve">guidance from </w:t>
      </w:r>
      <w:r w:rsidR="004351B0" w:rsidRPr="00076CA5">
        <w:rPr>
          <w:lang w:val="en-CA"/>
        </w:rPr>
        <w:t>the Supre</w:t>
      </w:r>
      <w:r w:rsidR="00CD6218" w:rsidRPr="00076CA5">
        <w:rPr>
          <w:lang w:val="en-CA"/>
        </w:rPr>
        <w:t>me</w:t>
      </w:r>
      <w:r w:rsidR="00387F6B" w:rsidRPr="00076CA5">
        <w:rPr>
          <w:lang w:val="en-CA"/>
        </w:rPr>
        <w:t xml:space="preserve"> </w:t>
      </w:r>
      <w:r w:rsidR="004351B0" w:rsidRPr="00076CA5">
        <w:rPr>
          <w:lang w:val="en-CA"/>
        </w:rPr>
        <w:t>Court</w:t>
      </w:r>
      <w:r w:rsidR="002F2EC8" w:rsidRPr="00076CA5">
        <w:rPr>
          <w:lang w:val="en-CA"/>
        </w:rPr>
        <w:t>.</w:t>
      </w:r>
      <w:r w:rsidR="004351B0" w:rsidRPr="00076CA5">
        <w:rPr>
          <w:rStyle w:val="Appelnotedebasdep"/>
          <w:lang w:val="en-CA"/>
        </w:rPr>
        <w:footnoteReference w:id="36"/>
      </w:r>
      <w:r w:rsidR="004351B0" w:rsidRPr="00076CA5">
        <w:rPr>
          <w:lang w:val="en-CA"/>
        </w:rPr>
        <w:t xml:space="preserve"> The existence of this </w:t>
      </w:r>
      <w:r w:rsidR="002F2EC8" w:rsidRPr="00076CA5">
        <w:rPr>
          <w:lang w:val="en-CA"/>
        </w:rPr>
        <w:t>breach</w:t>
      </w:r>
      <w:r w:rsidR="004351B0" w:rsidRPr="00076CA5">
        <w:rPr>
          <w:lang w:val="en-CA"/>
        </w:rPr>
        <w:t xml:space="preserve"> </w:t>
      </w:r>
      <w:r w:rsidR="002F2EC8" w:rsidRPr="00076CA5">
        <w:rPr>
          <w:lang w:val="en-CA"/>
        </w:rPr>
        <w:t>was</w:t>
      </w:r>
      <w:r w:rsidR="004351B0" w:rsidRPr="00076CA5">
        <w:rPr>
          <w:lang w:val="en-CA"/>
        </w:rPr>
        <w:t xml:space="preserve"> not contested on appeal.</w:t>
      </w:r>
    </w:p>
    <w:p w14:paraId="2C0B5B8F" w14:textId="43D897E1" w:rsidR="006D4B37" w:rsidRPr="00076CA5" w:rsidRDefault="004351B0" w:rsidP="006D4B37">
      <w:pPr>
        <w:pStyle w:val="aParagraphe"/>
        <w:numPr>
          <w:ilvl w:val="0"/>
          <w:numId w:val="18"/>
        </w:numPr>
        <w:spacing w:line="280" w:lineRule="exact"/>
        <w:rPr>
          <w:lang w:val="en-CA"/>
        </w:rPr>
      </w:pPr>
      <w:r w:rsidRPr="00076CA5">
        <w:rPr>
          <w:lang w:val="en-CA"/>
        </w:rPr>
        <w:t>The judge then appl</w:t>
      </w:r>
      <w:r w:rsidR="00B63D3B">
        <w:rPr>
          <w:lang w:val="en-CA"/>
        </w:rPr>
        <w:t>ied</w:t>
      </w:r>
      <w:r w:rsidRPr="00076CA5">
        <w:rPr>
          <w:lang w:val="en-CA"/>
        </w:rPr>
        <w:t xml:space="preserve"> the analytical framework developed by the Supre</w:t>
      </w:r>
      <w:r w:rsidR="00E63024" w:rsidRPr="00076CA5">
        <w:rPr>
          <w:lang w:val="en-CA"/>
        </w:rPr>
        <w:t>me</w:t>
      </w:r>
      <w:r w:rsidR="00387F6B" w:rsidRPr="00076CA5">
        <w:rPr>
          <w:lang w:val="en-CA"/>
        </w:rPr>
        <w:t xml:space="preserve"> </w:t>
      </w:r>
      <w:r w:rsidRPr="00076CA5">
        <w:rPr>
          <w:lang w:val="en-CA"/>
        </w:rPr>
        <w:t xml:space="preserve">Court in </w:t>
      </w:r>
      <w:bookmarkStart w:id="15" w:name="_Hlk189214683"/>
      <w:r w:rsidRPr="00076CA5">
        <w:rPr>
          <w:i/>
          <w:iCs/>
          <w:lang w:val="en-CA"/>
        </w:rPr>
        <w:t>R.</w:t>
      </w:r>
      <w:r w:rsidRPr="00076CA5">
        <w:rPr>
          <w:lang w:val="en-CA"/>
        </w:rPr>
        <w:t xml:space="preserve"> </w:t>
      </w:r>
      <w:r w:rsidRPr="00076CA5">
        <w:rPr>
          <w:i/>
          <w:iCs/>
          <w:lang w:val="en-CA"/>
        </w:rPr>
        <w:t>v.</w:t>
      </w:r>
      <w:r w:rsidRPr="00076CA5">
        <w:rPr>
          <w:lang w:val="en-CA"/>
        </w:rPr>
        <w:t xml:space="preserve"> </w:t>
      </w:r>
      <w:r w:rsidRPr="00076CA5">
        <w:rPr>
          <w:i/>
          <w:iCs/>
          <w:lang w:val="en-CA"/>
        </w:rPr>
        <w:t>Oakes</w:t>
      </w:r>
      <w:bookmarkStart w:id="16" w:name="_Ref214454509"/>
      <w:bookmarkEnd w:id="15"/>
      <w:r w:rsidRPr="00076CA5">
        <w:rPr>
          <w:rStyle w:val="Appelnotedebasdep"/>
          <w:lang w:val="en-CA"/>
        </w:rPr>
        <w:footnoteReference w:id="37"/>
      </w:r>
      <w:bookmarkEnd w:id="16"/>
      <w:r w:rsidRPr="00076CA5">
        <w:rPr>
          <w:lang w:val="en-CA"/>
        </w:rPr>
        <w:t xml:space="preserve"> to determine whether the respondent succeeded in demonstrating that the </w:t>
      </w:r>
      <w:r w:rsidR="00B66CFF">
        <w:rPr>
          <w:lang w:val="en-CA"/>
        </w:rPr>
        <w:t>infringement</w:t>
      </w:r>
      <w:r w:rsidRPr="00076CA5">
        <w:rPr>
          <w:lang w:val="en-CA"/>
        </w:rPr>
        <w:t xml:space="preserve"> of the right to vote guaranteed by </w:t>
      </w:r>
      <w:r w:rsidR="002F2EC8" w:rsidRPr="00076CA5">
        <w:rPr>
          <w:lang w:val="en-CA"/>
        </w:rPr>
        <w:t>s</w:t>
      </w:r>
      <w:r w:rsidRPr="00076CA5">
        <w:rPr>
          <w:lang w:val="en-CA"/>
        </w:rPr>
        <w:t xml:space="preserve">ection 3 of the </w:t>
      </w:r>
      <w:r w:rsidRPr="00076CA5">
        <w:rPr>
          <w:i/>
          <w:iCs/>
          <w:lang w:val="en-CA"/>
        </w:rPr>
        <w:t>Charter</w:t>
      </w:r>
      <w:r w:rsidRPr="00076CA5">
        <w:rPr>
          <w:lang w:val="en-CA"/>
        </w:rPr>
        <w:t xml:space="preserve"> was justified </w:t>
      </w:r>
      <w:r w:rsidR="00B66CFF">
        <w:rPr>
          <w:lang w:val="en-CA"/>
        </w:rPr>
        <w:t>under</w:t>
      </w:r>
      <w:r w:rsidR="002F2EC8" w:rsidRPr="00076CA5">
        <w:rPr>
          <w:lang w:val="en-CA"/>
        </w:rPr>
        <w:t xml:space="preserve"> s</w:t>
      </w:r>
      <w:r w:rsidRPr="00076CA5">
        <w:rPr>
          <w:lang w:val="en-CA"/>
        </w:rPr>
        <w:t xml:space="preserve">ection 1 of the </w:t>
      </w:r>
      <w:r w:rsidRPr="00076CA5">
        <w:rPr>
          <w:i/>
          <w:iCs/>
          <w:lang w:val="en-CA"/>
        </w:rPr>
        <w:t>Charter</w:t>
      </w:r>
      <w:r w:rsidR="00076CA5">
        <w:rPr>
          <w:i/>
          <w:iCs/>
          <w:lang w:val="en-CA"/>
        </w:rPr>
        <w:t>.</w:t>
      </w:r>
      <w:r w:rsidRPr="00076CA5">
        <w:rPr>
          <w:rStyle w:val="Appelnotedebasdep"/>
          <w:lang w:val="en-CA"/>
        </w:rPr>
        <w:footnoteReference w:id="38"/>
      </w:r>
    </w:p>
    <w:p w14:paraId="4AC4421C" w14:textId="7E166E7E" w:rsidR="006D4B37" w:rsidRPr="00076CA5" w:rsidRDefault="004351B0" w:rsidP="006D4B37">
      <w:pPr>
        <w:pStyle w:val="aParagraphe"/>
        <w:numPr>
          <w:ilvl w:val="0"/>
          <w:numId w:val="18"/>
        </w:numPr>
        <w:spacing w:line="280" w:lineRule="exact"/>
        <w:rPr>
          <w:lang w:val="en-CA"/>
        </w:rPr>
      </w:pPr>
      <w:r w:rsidRPr="00076CA5">
        <w:rPr>
          <w:lang w:val="en-CA"/>
        </w:rPr>
        <w:t xml:space="preserve">The judge </w:t>
      </w:r>
      <w:r w:rsidR="002F2EC8" w:rsidRPr="00076CA5">
        <w:rPr>
          <w:lang w:val="en-CA"/>
        </w:rPr>
        <w:t>was</w:t>
      </w:r>
      <w:r w:rsidRPr="00076CA5">
        <w:rPr>
          <w:lang w:val="en-CA"/>
        </w:rPr>
        <w:t xml:space="preserve"> of the </w:t>
      </w:r>
      <w:r w:rsidR="00B66CFF">
        <w:rPr>
          <w:lang w:val="en-CA"/>
        </w:rPr>
        <w:t>view</w:t>
      </w:r>
      <w:r w:rsidRPr="00076CA5">
        <w:rPr>
          <w:lang w:val="en-CA"/>
        </w:rPr>
        <w:t xml:space="preserve"> that the legislature</w:t>
      </w:r>
      <w:r w:rsidR="00B66CFF">
        <w:rPr>
          <w:lang w:val="en-CA"/>
        </w:rPr>
        <w:t>’</w:t>
      </w:r>
      <w:r w:rsidRPr="00076CA5">
        <w:rPr>
          <w:lang w:val="en-CA"/>
        </w:rPr>
        <w:t xml:space="preserve">s objectives in </w:t>
      </w:r>
      <w:r w:rsidR="00B66CFF">
        <w:rPr>
          <w:lang w:val="en-CA"/>
        </w:rPr>
        <w:t>enacting</w:t>
      </w:r>
      <w:r w:rsidRPr="00076CA5">
        <w:rPr>
          <w:lang w:val="en-CA"/>
        </w:rPr>
        <w:t xml:space="preserve"> the </w:t>
      </w:r>
      <w:r w:rsidR="002B54C0" w:rsidRPr="002B54C0">
        <w:rPr>
          <w:i/>
          <w:iCs/>
          <w:lang w:val="en-CA"/>
        </w:rPr>
        <w:t>ATI</w:t>
      </w:r>
      <w:r w:rsidRPr="00076CA5">
        <w:rPr>
          <w:lang w:val="en-CA"/>
        </w:rPr>
        <w:t xml:space="preserve">, </w:t>
      </w:r>
      <w:r w:rsidR="00B63D3B">
        <w:rPr>
          <w:lang w:val="en-CA"/>
        </w:rPr>
        <w:t>namely</w:t>
      </w:r>
      <w:r w:rsidRPr="00076CA5">
        <w:rPr>
          <w:lang w:val="en-CA"/>
        </w:rPr>
        <w:t xml:space="preserve"> to preserve the voices of </w:t>
      </w:r>
      <w:r w:rsidR="00B66CFF">
        <w:rPr>
          <w:lang w:val="en-CA"/>
        </w:rPr>
        <w:t xml:space="preserve">the </w:t>
      </w:r>
      <w:r w:rsidRPr="00076CA5">
        <w:rPr>
          <w:lang w:val="en-CA"/>
        </w:rPr>
        <w:t>regions in demographic decline and to allow ti</w:t>
      </w:r>
      <w:r w:rsidR="002F2EC8" w:rsidRPr="00076CA5">
        <w:rPr>
          <w:lang w:val="en-CA"/>
        </w:rPr>
        <w:t>me</w:t>
      </w:r>
      <w:r w:rsidR="00387F6B" w:rsidRPr="00076CA5">
        <w:rPr>
          <w:lang w:val="en-CA"/>
        </w:rPr>
        <w:t xml:space="preserve"> </w:t>
      </w:r>
      <w:r w:rsidR="00F903CA">
        <w:rPr>
          <w:lang w:val="en-CA"/>
        </w:rPr>
        <w:t>to</w:t>
      </w:r>
      <w:r w:rsidRPr="00076CA5">
        <w:rPr>
          <w:lang w:val="en-CA"/>
        </w:rPr>
        <w:t xml:space="preserve"> reflect in order to conduct a societal debate, were “</w:t>
      </w:r>
      <w:r w:rsidR="002F2EC8" w:rsidRPr="00076CA5">
        <w:rPr>
          <w:lang w:val="en-CA"/>
        </w:rPr>
        <w:t>substantial and pressing</w:t>
      </w:r>
      <w:r w:rsidRPr="00076CA5">
        <w:rPr>
          <w:lang w:val="en-CA"/>
        </w:rPr>
        <w:t>” objectives</w:t>
      </w:r>
      <w:r w:rsidR="002F2EC8" w:rsidRPr="00076CA5">
        <w:rPr>
          <w:lang w:val="en-CA"/>
        </w:rPr>
        <w:t>.</w:t>
      </w:r>
      <w:r w:rsidRPr="00076CA5">
        <w:rPr>
          <w:rStyle w:val="Appelnotedebasdep"/>
          <w:lang w:val="en-CA"/>
        </w:rPr>
        <w:footnoteReference w:id="39"/>
      </w:r>
      <w:r w:rsidRPr="00076CA5">
        <w:rPr>
          <w:lang w:val="en-CA"/>
        </w:rPr>
        <w:t> </w:t>
      </w:r>
    </w:p>
    <w:p w14:paraId="6628F8BF" w14:textId="29B9FFD1" w:rsidR="006D4B37" w:rsidRPr="00076CA5" w:rsidRDefault="004351B0" w:rsidP="006D4B37">
      <w:pPr>
        <w:pStyle w:val="aParagraphe"/>
        <w:numPr>
          <w:ilvl w:val="0"/>
          <w:numId w:val="18"/>
        </w:numPr>
        <w:spacing w:line="280" w:lineRule="exact"/>
        <w:rPr>
          <w:lang w:val="en-CA"/>
        </w:rPr>
      </w:pPr>
      <w:r w:rsidRPr="00076CA5">
        <w:rPr>
          <w:lang w:val="en-CA"/>
        </w:rPr>
        <w:t>He then conclude</w:t>
      </w:r>
      <w:r w:rsidR="002F2EC8" w:rsidRPr="00076CA5">
        <w:rPr>
          <w:lang w:val="en-CA"/>
        </w:rPr>
        <w:t>d</w:t>
      </w:r>
      <w:r w:rsidRPr="00076CA5">
        <w:rPr>
          <w:lang w:val="en-CA"/>
        </w:rPr>
        <w:t xml:space="preserve"> that there </w:t>
      </w:r>
      <w:r w:rsidR="002F2EC8" w:rsidRPr="00076CA5">
        <w:rPr>
          <w:lang w:val="en-CA"/>
        </w:rPr>
        <w:t>was</w:t>
      </w:r>
      <w:r w:rsidRPr="00076CA5">
        <w:rPr>
          <w:lang w:val="en-CA"/>
        </w:rPr>
        <w:t xml:space="preserve"> a rational connection </w:t>
      </w:r>
      <w:r w:rsidR="006A128B">
        <w:rPr>
          <w:lang w:val="en-CA"/>
        </w:rPr>
        <w:t>because</w:t>
      </w:r>
      <w:r w:rsidRPr="00076CA5">
        <w:rPr>
          <w:lang w:val="en-CA"/>
        </w:rPr>
        <w:t xml:space="preserve"> the immediate objective of the </w:t>
      </w:r>
      <w:r w:rsidR="002B54C0" w:rsidRPr="002B54C0">
        <w:rPr>
          <w:i/>
          <w:iCs/>
          <w:lang w:val="en-CA"/>
        </w:rPr>
        <w:t>ATI</w:t>
      </w:r>
      <w:r w:rsidRPr="00076CA5">
        <w:rPr>
          <w:lang w:val="en-CA"/>
        </w:rPr>
        <w:t xml:space="preserve"> is to preserve an electoral division in Gaspésie that the Commission</w:t>
      </w:r>
      <w:r w:rsidR="00194ADF">
        <w:rPr>
          <w:lang w:val="en-CA"/>
        </w:rPr>
        <w:t>’</w:t>
      </w:r>
      <w:r w:rsidRPr="00076CA5">
        <w:rPr>
          <w:lang w:val="en-CA"/>
        </w:rPr>
        <w:t>s Preliminary Report propose</w:t>
      </w:r>
      <w:r w:rsidR="002F2EC8" w:rsidRPr="00076CA5">
        <w:rPr>
          <w:lang w:val="en-CA"/>
        </w:rPr>
        <w:t>d</w:t>
      </w:r>
      <w:r w:rsidRPr="00076CA5">
        <w:rPr>
          <w:lang w:val="en-CA"/>
        </w:rPr>
        <w:t xml:space="preserve"> to eliminate</w:t>
      </w:r>
      <w:r w:rsidR="002F2EC8" w:rsidRPr="00076CA5">
        <w:rPr>
          <w:lang w:val="en-CA"/>
        </w:rPr>
        <w:t>.</w:t>
      </w:r>
      <w:r w:rsidRPr="00076CA5">
        <w:rPr>
          <w:rStyle w:val="Appelnotedebasdep"/>
          <w:lang w:val="en-CA"/>
        </w:rPr>
        <w:footnoteReference w:id="40"/>
      </w:r>
      <w:r w:rsidRPr="00076CA5">
        <w:rPr>
          <w:lang w:val="en-CA"/>
        </w:rPr>
        <w:t xml:space="preserve"> He also </w:t>
      </w:r>
      <w:r w:rsidR="00194ADF">
        <w:rPr>
          <w:lang w:val="en-CA"/>
        </w:rPr>
        <w:t>noted</w:t>
      </w:r>
      <w:r w:rsidRPr="00076CA5">
        <w:rPr>
          <w:lang w:val="en-CA"/>
        </w:rPr>
        <w:t xml:space="preserve"> that the </w:t>
      </w:r>
      <w:r w:rsidR="002F2EC8" w:rsidRPr="00076CA5">
        <w:rPr>
          <w:lang w:val="en-CA"/>
        </w:rPr>
        <w:t>enactment</w:t>
      </w:r>
      <w:r w:rsidRPr="00076CA5">
        <w:rPr>
          <w:lang w:val="en-CA"/>
        </w:rPr>
        <w:t xml:space="preserve"> of the </w:t>
      </w:r>
      <w:r w:rsidR="002B54C0" w:rsidRPr="002B54C0">
        <w:rPr>
          <w:i/>
          <w:iCs/>
          <w:lang w:val="en-CA"/>
        </w:rPr>
        <w:t>ATI</w:t>
      </w:r>
      <w:r w:rsidRPr="00076CA5">
        <w:rPr>
          <w:lang w:val="en-CA"/>
        </w:rPr>
        <w:t xml:space="preserve"> </w:t>
      </w:r>
      <w:r w:rsidR="002F2EC8" w:rsidRPr="00076CA5">
        <w:rPr>
          <w:lang w:val="en-CA"/>
        </w:rPr>
        <w:t xml:space="preserve">provided time </w:t>
      </w:r>
      <w:r w:rsidRPr="00076CA5">
        <w:rPr>
          <w:lang w:val="en-CA"/>
        </w:rPr>
        <w:t xml:space="preserve">to </w:t>
      </w:r>
      <w:r w:rsidR="002F2EC8" w:rsidRPr="00076CA5">
        <w:rPr>
          <w:lang w:val="en-CA"/>
        </w:rPr>
        <w:t>consider</w:t>
      </w:r>
      <w:r w:rsidRPr="00076CA5">
        <w:rPr>
          <w:lang w:val="en-CA"/>
        </w:rPr>
        <w:t xml:space="preserve"> other options and to engage in a societal debate.</w:t>
      </w:r>
    </w:p>
    <w:p w14:paraId="4CDBA9A7" w14:textId="055BC0E9" w:rsidR="006D4B37" w:rsidRPr="00076CA5" w:rsidRDefault="004351B0" w:rsidP="006D4B37">
      <w:pPr>
        <w:pStyle w:val="aParagraphe"/>
        <w:numPr>
          <w:ilvl w:val="0"/>
          <w:numId w:val="18"/>
        </w:numPr>
        <w:spacing w:line="280" w:lineRule="exact"/>
        <w:rPr>
          <w:lang w:val="en-CA"/>
        </w:rPr>
      </w:pPr>
      <w:r w:rsidRPr="00076CA5">
        <w:rPr>
          <w:lang w:val="en-CA"/>
        </w:rPr>
        <w:t xml:space="preserve">On the </w:t>
      </w:r>
      <w:r w:rsidR="002F2EC8" w:rsidRPr="00076CA5">
        <w:rPr>
          <w:lang w:val="en-CA"/>
        </w:rPr>
        <w:t>issue</w:t>
      </w:r>
      <w:r w:rsidRPr="00076CA5">
        <w:rPr>
          <w:lang w:val="en-CA"/>
        </w:rPr>
        <w:t xml:space="preserve"> of “minimal impairment</w:t>
      </w:r>
      <w:r w:rsidR="00194ADF">
        <w:rPr>
          <w:lang w:val="en-CA"/>
        </w:rPr>
        <w:t>”</w:t>
      </w:r>
      <w:r w:rsidRPr="00076CA5">
        <w:rPr>
          <w:lang w:val="en-CA"/>
        </w:rPr>
        <w:t xml:space="preserve">, the judge acknowledged that there were, in theory, other measures that could have </w:t>
      </w:r>
      <w:r w:rsidR="00B63D3B">
        <w:rPr>
          <w:lang w:val="en-CA"/>
        </w:rPr>
        <w:t>allowed</w:t>
      </w:r>
      <w:r w:rsidRPr="00076CA5">
        <w:rPr>
          <w:lang w:val="en-CA"/>
        </w:rPr>
        <w:t xml:space="preserve"> the government to pursue the </w:t>
      </w:r>
      <w:r w:rsidR="002F2EC8" w:rsidRPr="00076CA5">
        <w:rPr>
          <w:lang w:val="en-CA"/>
        </w:rPr>
        <w:t>stated</w:t>
      </w:r>
      <w:r w:rsidRPr="00076CA5">
        <w:rPr>
          <w:lang w:val="en-CA"/>
        </w:rPr>
        <w:t xml:space="preserve"> objective while minimizing the </w:t>
      </w:r>
      <w:r w:rsidR="00194ADF">
        <w:rPr>
          <w:lang w:val="en-CA"/>
        </w:rPr>
        <w:t>infringement</w:t>
      </w:r>
      <w:r w:rsidRPr="00076CA5">
        <w:rPr>
          <w:lang w:val="en-CA"/>
        </w:rPr>
        <w:t xml:space="preserve"> of the plaintiffs</w:t>
      </w:r>
      <w:r w:rsidR="00194ADF">
        <w:rPr>
          <w:lang w:val="en-CA"/>
        </w:rPr>
        <w:t>’</w:t>
      </w:r>
      <w:r w:rsidRPr="00076CA5">
        <w:rPr>
          <w:lang w:val="en-CA"/>
        </w:rPr>
        <w:t xml:space="preserve"> rights</w:t>
      </w:r>
      <w:r w:rsidRPr="00076CA5">
        <w:rPr>
          <w:rStyle w:val="Appelnotedebasdep"/>
          <w:lang w:val="en-CA"/>
        </w:rPr>
        <w:footnoteReference w:id="41"/>
      </w:r>
      <w:r w:rsidRPr="00076CA5">
        <w:rPr>
          <w:lang w:val="en-CA"/>
        </w:rPr>
        <w:t xml:space="preserve"> and that the approach </w:t>
      </w:r>
      <w:r w:rsidRPr="00076CA5">
        <w:rPr>
          <w:lang w:val="en-CA"/>
        </w:rPr>
        <w:lastRenderedPageBreak/>
        <w:t>chosen by the legislat</w:t>
      </w:r>
      <w:r w:rsidR="00194ADF">
        <w:rPr>
          <w:lang w:val="en-CA"/>
        </w:rPr>
        <w:t>ure</w:t>
      </w:r>
      <w:r w:rsidRPr="00076CA5">
        <w:rPr>
          <w:lang w:val="en-CA"/>
        </w:rPr>
        <w:t xml:space="preserve"> </w:t>
      </w:r>
      <w:r w:rsidR="00194ADF">
        <w:rPr>
          <w:lang w:val="en-CA"/>
        </w:rPr>
        <w:t>could be explained</w:t>
      </w:r>
      <w:r w:rsidRPr="00076CA5">
        <w:rPr>
          <w:lang w:val="en-CA"/>
        </w:rPr>
        <w:t xml:space="preserve"> mainly by the fact that it was the option that received </w:t>
      </w:r>
      <w:r w:rsidR="00E13EC9" w:rsidRPr="00076CA5">
        <w:rPr>
          <w:lang w:val="en-CA"/>
        </w:rPr>
        <w:t xml:space="preserve">the </w:t>
      </w:r>
      <w:r w:rsidRPr="00076CA5">
        <w:rPr>
          <w:lang w:val="en-CA"/>
        </w:rPr>
        <w:t xml:space="preserve">unanimous support of the </w:t>
      </w:r>
      <w:r w:rsidR="002F2EC8" w:rsidRPr="00076CA5">
        <w:rPr>
          <w:lang w:val="en-CA"/>
        </w:rPr>
        <w:t>MNAs.</w:t>
      </w:r>
      <w:r w:rsidRPr="00076CA5">
        <w:rPr>
          <w:rStyle w:val="Appelnotedebasdep"/>
          <w:lang w:val="en-CA"/>
        </w:rPr>
        <w:footnoteReference w:id="42"/>
      </w:r>
    </w:p>
    <w:p w14:paraId="22084596" w14:textId="473F5D15" w:rsidR="006D4B37" w:rsidRPr="00076CA5" w:rsidRDefault="004351B0" w:rsidP="006D4B37">
      <w:pPr>
        <w:pStyle w:val="aParagraphe"/>
        <w:numPr>
          <w:ilvl w:val="0"/>
          <w:numId w:val="18"/>
        </w:numPr>
        <w:spacing w:line="280" w:lineRule="exact"/>
        <w:rPr>
          <w:lang w:val="en-CA"/>
        </w:rPr>
      </w:pPr>
      <w:r w:rsidRPr="00913255">
        <w:rPr>
          <w:lang w:val="en-CA"/>
        </w:rPr>
        <w:t>The judge state</w:t>
      </w:r>
      <w:r w:rsidR="00E13EC9" w:rsidRPr="00913255">
        <w:rPr>
          <w:lang w:val="en-CA"/>
        </w:rPr>
        <w:t>d</w:t>
      </w:r>
      <w:r w:rsidRPr="00076CA5">
        <w:rPr>
          <w:lang w:val="en-CA"/>
        </w:rPr>
        <w:t xml:space="preserve"> that in matters of electoral reform, the existence of the support of a strong majority of </w:t>
      </w:r>
      <w:r w:rsidR="00E13EC9" w:rsidRPr="00076CA5">
        <w:rPr>
          <w:lang w:val="en-CA"/>
        </w:rPr>
        <w:t>MNAs</w:t>
      </w:r>
      <w:r w:rsidRPr="00076CA5">
        <w:rPr>
          <w:lang w:val="en-CA"/>
        </w:rPr>
        <w:t xml:space="preserve"> is</w:t>
      </w:r>
      <w:r w:rsidR="00E13EC9" w:rsidRPr="00076CA5">
        <w:rPr>
          <w:lang w:val="en-CA"/>
        </w:rPr>
        <w:t xml:space="preserve"> [</w:t>
      </w:r>
      <w:r w:rsidR="00946D67">
        <w:rPr>
          <w:smallCaps/>
          <w:lang w:val="en-CA"/>
        </w:rPr>
        <w:t>translation</w:t>
      </w:r>
      <w:r w:rsidR="00E13EC9" w:rsidRPr="00076CA5">
        <w:rPr>
          <w:lang w:val="en-CA"/>
        </w:rPr>
        <w:t xml:space="preserve">] </w:t>
      </w:r>
      <w:r w:rsidRPr="00076CA5">
        <w:rPr>
          <w:lang w:val="en-CA"/>
        </w:rPr>
        <w:t>“relevant</w:t>
      </w:r>
      <w:r w:rsidR="00946D67">
        <w:rPr>
          <w:lang w:val="en-CA"/>
        </w:rPr>
        <w:t>”</w:t>
      </w:r>
      <w:r w:rsidR="00E13EC9" w:rsidRPr="00076CA5">
        <w:rPr>
          <w:lang w:val="en-CA"/>
        </w:rPr>
        <w:t>,</w:t>
      </w:r>
      <w:r w:rsidRPr="00076CA5">
        <w:rPr>
          <w:rStyle w:val="Appelnotedebasdep"/>
          <w:lang w:val="en-CA"/>
        </w:rPr>
        <w:footnoteReference w:id="43"/>
      </w:r>
      <w:r w:rsidRPr="00076CA5">
        <w:rPr>
          <w:lang w:val="en-CA"/>
        </w:rPr>
        <w:t xml:space="preserve"> particularly when it must be determined whether other options would also have received unanimous support (or at least a strong majority)</w:t>
      </w:r>
      <w:r w:rsidR="00076CA5">
        <w:rPr>
          <w:lang w:val="en-CA"/>
        </w:rPr>
        <w:t>.</w:t>
      </w:r>
      <w:r w:rsidRPr="00076CA5">
        <w:rPr>
          <w:rStyle w:val="Appelnotedebasdep"/>
          <w:lang w:val="en-CA"/>
        </w:rPr>
        <w:footnoteReference w:id="44"/>
      </w:r>
      <w:r w:rsidRPr="00076CA5">
        <w:rPr>
          <w:lang w:val="en-CA"/>
        </w:rPr>
        <w:t xml:space="preserve"> He </w:t>
      </w:r>
      <w:r w:rsidR="003C4CEE">
        <w:rPr>
          <w:lang w:val="en-CA"/>
        </w:rPr>
        <w:t>tempered that</w:t>
      </w:r>
      <w:r w:rsidRPr="00076CA5">
        <w:rPr>
          <w:lang w:val="en-CA"/>
        </w:rPr>
        <w:t xml:space="preserve"> statement by explaining that: (1) parties that are not represented in the National Assembly had no say in the matter, </w:t>
      </w:r>
      <w:r w:rsidR="003C4CEE">
        <w:rPr>
          <w:lang w:val="en-CA"/>
        </w:rPr>
        <w:t>for example</w:t>
      </w:r>
      <w:r w:rsidRPr="00076CA5">
        <w:rPr>
          <w:lang w:val="en-CA"/>
        </w:rPr>
        <w:t xml:space="preserve"> the Conservative Party</w:t>
      </w:r>
      <w:r w:rsidR="00E13EC9" w:rsidRPr="00076CA5">
        <w:rPr>
          <w:lang w:val="en-CA"/>
        </w:rPr>
        <w:t xml:space="preserve"> of Quebec</w:t>
      </w:r>
      <w:r w:rsidRPr="00076CA5">
        <w:rPr>
          <w:lang w:val="en-CA"/>
        </w:rPr>
        <w:t xml:space="preserve">, which obtained 12.92% of the popular vote in the last election but won no seats, and that (2) </w:t>
      </w:r>
      <w:r w:rsidR="00E13EC9" w:rsidRPr="00076CA5">
        <w:rPr>
          <w:lang w:val="en-CA"/>
        </w:rPr>
        <w:t xml:space="preserve">everyone </w:t>
      </w:r>
      <w:r w:rsidRPr="00076CA5">
        <w:rPr>
          <w:lang w:val="en-CA"/>
        </w:rPr>
        <w:t>who voted in favo</w:t>
      </w:r>
      <w:r w:rsidR="00922FC1">
        <w:rPr>
          <w:lang w:val="en-CA"/>
        </w:rPr>
        <w:t>u</w:t>
      </w:r>
      <w:r w:rsidRPr="00076CA5">
        <w:rPr>
          <w:lang w:val="en-CA"/>
        </w:rPr>
        <w:t xml:space="preserve">r of the </w:t>
      </w:r>
      <w:r w:rsidR="002B54C0" w:rsidRPr="002B54C0">
        <w:rPr>
          <w:i/>
          <w:iCs/>
          <w:lang w:val="en-CA"/>
        </w:rPr>
        <w:t>ATI</w:t>
      </w:r>
      <w:r w:rsidRPr="00076CA5">
        <w:rPr>
          <w:lang w:val="en-CA"/>
        </w:rPr>
        <w:t xml:space="preserve"> won their last election and are therefore likely to perceive an interest in preserving the status quo</w:t>
      </w:r>
      <w:r w:rsidR="00E13EC9" w:rsidRPr="00076CA5">
        <w:rPr>
          <w:lang w:val="en-CA"/>
        </w:rPr>
        <w:t>.</w:t>
      </w:r>
      <w:r w:rsidRPr="00076CA5">
        <w:rPr>
          <w:rStyle w:val="Appelnotedebasdep"/>
          <w:lang w:val="en-CA"/>
        </w:rPr>
        <w:footnoteReference w:id="45"/>
      </w:r>
      <w:r w:rsidRPr="00076CA5">
        <w:rPr>
          <w:lang w:val="en-CA"/>
        </w:rPr>
        <w:t xml:space="preserve"> The judge noted that unanimity does not eliminate the structural conflict of interest</w:t>
      </w:r>
      <w:r w:rsidR="00E13EC9" w:rsidRPr="00076CA5">
        <w:rPr>
          <w:lang w:val="en-CA"/>
        </w:rPr>
        <w:t>.</w:t>
      </w:r>
      <w:r w:rsidRPr="00076CA5">
        <w:rPr>
          <w:rStyle w:val="Appelnotedebasdep"/>
          <w:lang w:val="en-CA"/>
        </w:rPr>
        <w:footnoteReference w:id="46"/>
      </w:r>
      <w:r w:rsidRPr="00076CA5">
        <w:rPr>
          <w:lang w:val="en-CA"/>
        </w:rPr>
        <w:t xml:space="preserve"> He state</w:t>
      </w:r>
      <w:r w:rsidR="00E13EC9" w:rsidRPr="00076CA5">
        <w:rPr>
          <w:lang w:val="en-CA"/>
        </w:rPr>
        <w:t>d</w:t>
      </w:r>
      <w:r w:rsidRPr="00076CA5">
        <w:rPr>
          <w:lang w:val="en-CA"/>
        </w:rPr>
        <w:t xml:space="preserve"> that </w:t>
      </w:r>
      <w:r w:rsidR="00E13EC9" w:rsidRPr="00076CA5">
        <w:rPr>
          <w:lang w:val="en-CA"/>
        </w:rPr>
        <w:t>[</w:t>
      </w:r>
      <w:r w:rsidR="003C4CEE">
        <w:rPr>
          <w:smallCaps/>
          <w:lang w:val="en-CA"/>
        </w:rPr>
        <w:t>translation</w:t>
      </w:r>
      <w:r w:rsidR="00E13EC9" w:rsidRPr="00076CA5">
        <w:rPr>
          <w:lang w:val="en-CA"/>
        </w:rPr>
        <w:t xml:space="preserve">] </w:t>
      </w:r>
      <w:r w:rsidRPr="00076CA5">
        <w:rPr>
          <w:lang w:val="en-CA"/>
        </w:rPr>
        <w:t xml:space="preserve">“if there is a solution that is truly less </w:t>
      </w:r>
      <w:r w:rsidR="000C4336">
        <w:rPr>
          <w:lang w:val="en-CA"/>
        </w:rPr>
        <w:t>impairing</w:t>
      </w:r>
      <w:r w:rsidRPr="00076CA5">
        <w:rPr>
          <w:lang w:val="en-CA"/>
        </w:rPr>
        <w:t xml:space="preserve"> </w:t>
      </w:r>
      <w:r w:rsidR="00E13EC9" w:rsidRPr="00076CA5">
        <w:rPr>
          <w:lang w:val="en-CA"/>
        </w:rPr>
        <w:t xml:space="preserve">within the meaning of the </w:t>
      </w:r>
      <w:r w:rsidRPr="00076CA5">
        <w:rPr>
          <w:lang w:val="en-CA"/>
        </w:rPr>
        <w:t>minimal impairment analysis, the fact that it is not politically viable is simply irrelevant to the analysis</w:t>
      </w:r>
      <w:r w:rsidR="00E13EC9" w:rsidRPr="00076CA5">
        <w:rPr>
          <w:lang w:val="en-CA"/>
        </w:rPr>
        <w:t>”</w:t>
      </w:r>
      <w:r w:rsidR="00A72F95">
        <w:rPr>
          <w:lang w:val="en-CA"/>
        </w:rPr>
        <w:t>.</w:t>
      </w:r>
      <w:r w:rsidRPr="00076CA5">
        <w:rPr>
          <w:rStyle w:val="Appelnotedebasdep"/>
          <w:lang w:val="en-CA"/>
        </w:rPr>
        <w:footnoteReference w:id="47"/>
      </w:r>
    </w:p>
    <w:p w14:paraId="32623DC5" w14:textId="202D229B" w:rsidR="006D4B37" w:rsidRPr="00145125" w:rsidRDefault="004351B0" w:rsidP="006D4B37">
      <w:pPr>
        <w:pStyle w:val="aParagraphe"/>
        <w:numPr>
          <w:ilvl w:val="0"/>
          <w:numId w:val="18"/>
        </w:numPr>
        <w:spacing w:line="280" w:lineRule="exact"/>
        <w:rPr>
          <w:lang w:val="en-CA"/>
        </w:rPr>
      </w:pPr>
      <w:r w:rsidRPr="00076CA5">
        <w:rPr>
          <w:lang w:val="en-CA"/>
        </w:rPr>
        <w:t xml:space="preserve">Despite this observation, the judge </w:t>
      </w:r>
      <w:r w:rsidR="00C867B3">
        <w:rPr>
          <w:lang w:val="en-CA"/>
        </w:rPr>
        <w:t>was of the view</w:t>
      </w:r>
      <w:r w:rsidRPr="00076CA5">
        <w:rPr>
          <w:lang w:val="en-CA"/>
        </w:rPr>
        <w:t xml:space="preserve"> that the existence of the support of a strong majority </w:t>
      </w:r>
      <w:r w:rsidR="00817F2E" w:rsidRPr="00076CA5">
        <w:rPr>
          <w:lang w:val="en-CA"/>
        </w:rPr>
        <w:t>is</w:t>
      </w:r>
      <w:r w:rsidRPr="00076CA5">
        <w:rPr>
          <w:lang w:val="en-CA"/>
        </w:rPr>
        <w:t xml:space="preserve"> of unique and vital importance in electoral reform and that it was perhaps even essential that the legislat</w:t>
      </w:r>
      <w:r w:rsidR="00C867B3">
        <w:rPr>
          <w:lang w:val="en-CA"/>
        </w:rPr>
        <w:t>ure</w:t>
      </w:r>
      <w:r w:rsidRPr="00076CA5">
        <w:rPr>
          <w:lang w:val="en-CA"/>
        </w:rPr>
        <w:t xml:space="preserve"> preferred a solution supported by all </w:t>
      </w:r>
      <w:r w:rsidR="00817F2E" w:rsidRPr="00076CA5">
        <w:rPr>
          <w:lang w:val="en-CA"/>
        </w:rPr>
        <w:t xml:space="preserve">elected </w:t>
      </w:r>
      <w:r w:rsidR="00DD4BAB">
        <w:rPr>
          <w:lang w:val="en-CA"/>
        </w:rPr>
        <w:t>representatives</w:t>
      </w:r>
      <w:r w:rsidR="00817F2E" w:rsidRPr="00076CA5">
        <w:rPr>
          <w:lang w:val="en-CA"/>
        </w:rPr>
        <w:t>.</w:t>
      </w:r>
      <w:r w:rsidRPr="00076CA5">
        <w:rPr>
          <w:rStyle w:val="Appelnotedebasdep"/>
          <w:lang w:val="en-CA"/>
        </w:rPr>
        <w:footnoteReference w:id="48"/>
      </w:r>
      <w:r w:rsidRPr="00076CA5">
        <w:rPr>
          <w:lang w:val="en-CA"/>
        </w:rPr>
        <w:t xml:space="preserve"> The judge also </w:t>
      </w:r>
      <w:r w:rsidR="00C867B3">
        <w:rPr>
          <w:lang w:val="en-CA"/>
        </w:rPr>
        <w:t>noted</w:t>
      </w:r>
      <w:r w:rsidR="00817F2E" w:rsidRPr="00076CA5">
        <w:rPr>
          <w:lang w:val="en-CA"/>
        </w:rPr>
        <w:t xml:space="preserve"> </w:t>
      </w:r>
      <w:r w:rsidRPr="00076CA5">
        <w:rPr>
          <w:lang w:val="en-CA"/>
        </w:rPr>
        <w:t xml:space="preserve">that </w:t>
      </w:r>
      <w:r w:rsidR="00817F2E" w:rsidRPr="00076CA5">
        <w:rPr>
          <w:lang w:val="en-CA"/>
        </w:rPr>
        <w:t xml:space="preserve">among the other less </w:t>
      </w:r>
      <w:r w:rsidR="000C4336">
        <w:rPr>
          <w:lang w:val="en-CA"/>
        </w:rPr>
        <w:t>impairing</w:t>
      </w:r>
      <w:r w:rsidR="00817F2E" w:rsidRPr="00076CA5">
        <w:rPr>
          <w:lang w:val="en-CA"/>
        </w:rPr>
        <w:t xml:space="preserve"> options, </w:t>
      </w:r>
      <w:r w:rsidRPr="00076CA5">
        <w:rPr>
          <w:lang w:val="en-CA"/>
        </w:rPr>
        <w:t xml:space="preserve">there </w:t>
      </w:r>
      <w:r w:rsidR="00817F2E" w:rsidRPr="00076CA5">
        <w:rPr>
          <w:lang w:val="en-CA"/>
        </w:rPr>
        <w:t>was</w:t>
      </w:r>
      <w:r w:rsidRPr="00076CA5">
        <w:rPr>
          <w:lang w:val="en-CA"/>
        </w:rPr>
        <w:t xml:space="preserve"> no evidence to indicate that any of them would have received the support of a strong majority of the </w:t>
      </w:r>
      <w:r w:rsidR="00C867B3">
        <w:rPr>
          <w:lang w:val="en-CA"/>
        </w:rPr>
        <w:t>M</w:t>
      </w:r>
      <w:r w:rsidRPr="00076CA5">
        <w:rPr>
          <w:lang w:val="en-CA"/>
        </w:rPr>
        <w:t>embers of the National Assembly</w:t>
      </w:r>
      <w:r w:rsidR="00817F2E" w:rsidRPr="00076CA5">
        <w:rPr>
          <w:lang w:val="en-CA"/>
        </w:rPr>
        <w:t>.</w:t>
      </w:r>
      <w:r w:rsidRPr="00076CA5">
        <w:rPr>
          <w:rStyle w:val="Appelnotedebasdep"/>
          <w:lang w:val="en-CA"/>
        </w:rPr>
        <w:footnoteReference w:id="49"/>
      </w:r>
      <w:r w:rsidRPr="00076CA5">
        <w:rPr>
          <w:lang w:val="en-CA"/>
        </w:rPr>
        <w:t xml:space="preserve"> For example, there is no evidence that the option of simply protecting the Gaspésie electoral divisions in the </w:t>
      </w:r>
      <w:r w:rsidR="00817F2E" w:rsidRPr="00076CA5">
        <w:rPr>
          <w:lang w:val="en-CA"/>
        </w:rPr>
        <w:t>same</w:t>
      </w:r>
      <w:r w:rsidR="00387F6B" w:rsidRPr="00076CA5">
        <w:rPr>
          <w:lang w:val="en-CA"/>
        </w:rPr>
        <w:t xml:space="preserve"> </w:t>
      </w:r>
      <w:r w:rsidRPr="00076CA5">
        <w:rPr>
          <w:lang w:val="en-CA"/>
        </w:rPr>
        <w:t xml:space="preserve">way </w:t>
      </w:r>
      <w:r w:rsidR="00817F2E" w:rsidRPr="00076CA5">
        <w:rPr>
          <w:lang w:val="en-CA"/>
        </w:rPr>
        <w:t>that</w:t>
      </w:r>
      <w:r w:rsidRPr="00076CA5">
        <w:rPr>
          <w:lang w:val="en-CA"/>
        </w:rPr>
        <w:t xml:space="preserve"> the </w:t>
      </w:r>
      <w:r w:rsidRPr="00076CA5">
        <w:rPr>
          <w:i/>
          <w:iCs/>
          <w:lang w:val="en-CA"/>
        </w:rPr>
        <w:t>Election Act</w:t>
      </w:r>
      <w:r w:rsidRPr="00076CA5">
        <w:rPr>
          <w:lang w:val="en-CA"/>
        </w:rPr>
        <w:t xml:space="preserve"> protects the </w:t>
      </w:r>
      <w:r w:rsidR="00817F2E" w:rsidRPr="00076CA5">
        <w:rPr>
          <w:lang w:val="en-CA"/>
        </w:rPr>
        <w:t>Îles-de-la-Madeleine</w:t>
      </w:r>
      <w:r w:rsidRPr="00076CA5">
        <w:rPr>
          <w:rStyle w:val="Appelnotedebasdep"/>
          <w:lang w:val="en-CA"/>
        </w:rPr>
        <w:footnoteReference w:id="50"/>
      </w:r>
      <w:r w:rsidRPr="00076CA5">
        <w:rPr>
          <w:lang w:val="en-CA"/>
        </w:rPr>
        <w:t xml:space="preserve"> and letting the Commission rebalance the rest of the electoral divisions, while seemingly possible, would have received the unanimous support of the National Assembly</w:t>
      </w:r>
      <w:r w:rsidR="00817F2E" w:rsidRPr="00076CA5">
        <w:rPr>
          <w:lang w:val="en-CA"/>
        </w:rPr>
        <w:t>.</w:t>
      </w:r>
      <w:r w:rsidRPr="00076CA5">
        <w:rPr>
          <w:rStyle w:val="Appelnotedebasdep"/>
          <w:lang w:val="en-CA"/>
        </w:rPr>
        <w:footnoteReference w:id="51"/>
      </w:r>
      <w:r w:rsidRPr="00076CA5">
        <w:rPr>
          <w:lang w:val="en-CA"/>
        </w:rPr>
        <w:t xml:space="preserve"> </w:t>
      </w:r>
      <w:r w:rsidR="00E8303E">
        <w:rPr>
          <w:lang w:val="en-CA"/>
        </w:rPr>
        <w:t>Last</w:t>
      </w:r>
      <w:r w:rsidRPr="00076CA5">
        <w:rPr>
          <w:lang w:val="en-CA"/>
        </w:rPr>
        <w:t xml:space="preserve">, he </w:t>
      </w:r>
      <w:r w:rsidR="00817F2E" w:rsidRPr="00076CA5">
        <w:rPr>
          <w:lang w:val="en-CA"/>
        </w:rPr>
        <w:t>stated</w:t>
      </w:r>
      <w:r w:rsidRPr="00076CA5">
        <w:rPr>
          <w:lang w:val="en-CA"/>
        </w:rPr>
        <w:t xml:space="preserve">: </w:t>
      </w:r>
    </w:p>
    <w:p w14:paraId="5A362469" w14:textId="7E954A54" w:rsidR="00817F2E" w:rsidRPr="00076CA5" w:rsidRDefault="00817F2E" w:rsidP="006D4B37">
      <w:pPr>
        <w:pStyle w:val="cCitationdebase"/>
        <w:rPr>
          <w:lang w:val="en-CA"/>
        </w:rPr>
      </w:pPr>
      <w:r w:rsidRPr="00076CA5">
        <w:rPr>
          <w:lang w:val="en-CA"/>
        </w:rPr>
        <w:t>[</w:t>
      </w:r>
      <w:r w:rsidR="00E8303E">
        <w:rPr>
          <w:smallCaps/>
          <w:lang w:val="en-CA"/>
        </w:rPr>
        <w:t>translation</w:t>
      </w:r>
      <w:r w:rsidRPr="00076CA5">
        <w:rPr>
          <w:lang w:val="en-CA"/>
        </w:rPr>
        <w:t>]</w:t>
      </w:r>
    </w:p>
    <w:p w14:paraId="7DE883D5" w14:textId="7CB38657" w:rsidR="006D4B37" w:rsidRPr="00076CA5" w:rsidRDefault="004351B0" w:rsidP="006D4B37">
      <w:pPr>
        <w:pStyle w:val="cCitationdebase"/>
        <w:rPr>
          <w:lang w:val="en-CA"/>
        </w:rPr>
      </w:pPr>
      <w:r w:rsidRPr="00076CA5">
        <w:rPr>
          <w:lang w:val="en-CA"/>
        </w:rPr>
        <w:t>[</w:t>
      </w:r>
      <w:bookmarkStart w:id="17" w:name="par146"/>
      <w:r w:rsidRPr="00076CA5">
        <w:rPr>
          <w:lang w:val="en-CA"/>
        </w:rPr>
        <w:t>146</w:t>
      </w:r>
      <w:bookmarkEnd w:id="17"/>
      <w:r w:rsidRPr="00076CA5">
        <w:rPr>
          <w:lang w:val="en-CA"/>
        </w:rPr>
        <w:t>]     In th</w:t>
      </w:r>
      <w:r w:rsidR="00817F2E" w:rsidRPr="00076CA5">
        <w:rPr>
          <w:lang w:val="en-CA"/>
        </w:rPr>
        <w:t xml:space="preserve">is </w:t>
      </w:r>
      <w:r w:rsidR="00E8303E">
        <w:rPr>
          <w:lang w:val="en-CA"/>
        </w:rPr>
        <w:t>case</w:t>
      </w:r>
      <w:r w:rsidRPr="00076CA5">
        <w:rPr>
          <w:lang w:val="en-CA"/>
        </w:rPr>
        <w:t xml:space="preserve">, the only way to reach the conclusion that there were other less </w:t>
      </w:r>
      <w:r w:rsidR="000C4336">
        <w:rPr>
          <w:lang w:val="en-CA"/>
        </w:rPr>
        <w:t>impairing</w:t>
      </w:r>
      <w:r w:rsidRPr="00076CA5">
        <w:rPr>
          <w:lang w:val="en-CA"/>
        </w:rPr>
        <w:t xml:space="preserve"> measures is if the </w:t>
      </w:r>
      <w:r w:rsidR="00817F2E" w:rsidRPr="00076CA5">
        <w:rPr>
          <w:lang w:val="en-CA"/>
        </w:rPr>
        <w:t>Court</w:t>
      </w:r>
      <w:r w:rsidRPr="00076CA5">
        <w:rPr>
          <w:lang w:val="en-CA"/>
        </w:rPr>
        <w:t xml:space="preserve"> considers that another option could have received the support of a strong majority of elected </w:t>
      </w:r>
      <w:r w:rsidR="00DD4BAB">
        <w:rPr>
          <w:lang w:val="en-CA"/>
        </w:rPr>
        <w:t>representatives</w:t>
      </w:r>
      <w:r w:rsidRPr="00076CA5">
        <w:rPr>
          <w:lang w:val="en-CA"/>
        </w:rPr>
        <w:t>. There is no evidence to support such a conclusion, and in such matters</w:t>
      </w:r>
      <w:r w:rsidR="00E8303E">
        <w:rPr>
          <w:lang w:val="en-CA"/>
        </w:rPr>
        <w:t>,</w:t>
      </w:r>
      <w:r w:rsidRPr="00076CA5">
        <w:rPr>
          <w:lang w:val="en-CA"/>
        </w:rPr>
        <w:t xml:space="preserve"> the </w:t>
      </w:r>
      <w:r w:rsidR="00817F2E" w:rsidRPr="00076CA5">
        <w:rPr>
          <w:lang w:val="en-CA"/>
        </w:rPr>
        <w:t>Court</w:t>
      </w:r>
      <w:r w:rsidRPr="00076CA5">
        <w:rPr>
          <w:lang w:val="en-CA"/>
        </w:rPr>
        <w:t xml:space="preserve"> cannot substitute its political judgment for that of </w:t>
      </w:r>
      <w:r w:rsidR="003E58C4">
        <w:rPr>
          <w:lang w:val="en-CA"/>
        </w:rPr>
        <w:t xml:space="preserve">the </w:t>
      </w:r>
      <w:r w:rsidRPr="00076CA5">
        <w:rPr>
          <w:lang w:val="en-CA"/>
        </w:rPr>
        <w:t xml:space="preserve">elected </w:t>
      </w:r>
      <w:r w:rsidR="00DD4BAB">
        <w:rPr>
          <w:lang w:val="en-CA"/>
        </w:rPr>
        <w:t>representatives</w:t>
      </w:r>
      <w:r w:rsidRPr="00076CA5">
        <w:rPr>
          <w:lang w:val="en-CA"/>
        </w:rPr>
        <w:t xml:space="preserve"> </w:t>
      </w:r>
      <w:r w:rsidR="001F607F">
        <w:rPr>
          <w:lang w:val="en-CA"/>
        </w:rPr>
        <w:t>[</w:t>
      </w:r>
      <w:r w:rsidRPr="00076CA5">
        <w:rPr>
          <w:lang w:val="en-CA"/>
        </w:rPr>
        <w:t>...</w:t>
      </w:r>
      <w:r w:rsidR="001F607F">
        <w:rPr>
          <w:lang w:val="en-CA"/>
        </w:rPr>
        <w:t>]</w:t>
      </w:r>
      <w:r w:rsidRPr="00076CA5">
        <w:rPr>
          <w:lang w:val="en-CA"/>
        </w:rPr>
        <w:t>.</w:t>
      </w:r>
    </w:p>
    <w:p w14:paraId="5C167757" w14:textId="53D88BBC" w:rsidR="006D4B37" w:rsidRPr="00076CA5" w:rsidRDefault="004351B0" w:rsidP="006D4B37">
      <w:pPr>
        <w:pStyle w:val="aParagraphe"/>
        <w:numPr>
          <w:ilvl w:val="0"/>
          <w:numId w:val="18"/>
        </w:numPr>
        <w:spacing w:line="280" w:lineRule="exact"/>
        <w:rPr>
          <w:lang w:val="en-CA"/>
        </w:rPr>
      </w:pPr>
      <w:r w:rsidRPr="00076CA5">
        <w:rPr>
          <w:lang w:val="en-CA"/>
        </w:rPr>
        <w:lastRenderedPageBreak/>
        <w:t xml:space="preserve">That said, he </w:t>
      </w:r>
      <w:r w:rsidR="005E0B61">
        <w:rPr>
          <w:lang w:val="en-CA"/>
        </w:rPr>
        <w:t>nevertheless</w:t>
      </w:r>
      <w:r w:rsidR="00817F2E" w:rsidRPr="00076CA5">
        <w:rPr>
          <w:lang w:val="en-CA"/>
        </w:rPr>
        <w:t xml:space="preserve"> </w:t>
      </w:r>
      <w:r w:rsidRPr="00076CA5">
        <w:rPr>
          <w:lang w:val="en-CA"/>
        </w:rPr>
        <w:t>comment</w:t>
      </w:r>
      <w:r w:rsidR="00817F2E" w:rsidRPr="00076CA5">
        <w:rPr>
          <w:lang w:val="en-CA"/>
        </w:rPr>
        <w:t>ed</w:t>
      </w:r>
      <w:r w:rsidRPr="00076CA5">
        <w:rPr>
          <w:lang w:val="en-CA"/>
        </w:rPr>
        <w:t xml:space="preserve"> on the proposal to protect the Gaspésie electoral divisions and </w:t>
      </w:r>
      <w:r w:rsidR="006C09CA">
        <w:rPr>
          <w:lang w:val="en-CA"/>
        </w:rPr>
        <w:t xml:space="preserve">to </w:t>
      </w:r>
      <w:r w:rsidRPr="00076CA5">
        <w:rPr>
          <w:lang w:val="en-CA"/>
        </w:rPr>
        <w:t xml:space="preserve">allow the Commission to redraw the </w:t>
      </w:r>
      <w:r w:rsidR="006C09CA">
        <w:rPr>
          <w:lang w:val="en-CA"/>
        </w:rPr>
        <w:t xml:space="preserve">electoral </w:t>
      </w:r>
      <w:r w:rsidR="00817F2E" w:rsidRPr="00076CA5">
        <w:rPr>
          <w:lang w:val="en-CA"/>
        </w:rPr>
        <w:t>divisions</w:t>
      </w:r>
      <w:r w:rsidRPr="00076CA5">
        <w:rPr>
          <w:lang w:val="en-CA"/>
        </w:rPr>
        <w:t xml:space="preserve"> for the rest of the province</w:t>
      </w:r>
      <w:r w:rsidR="00817F2E" w:rsidRPr="00076CA5">
        <w:rPr>
          <w:lang w:val="en-CA"/>
        </w:rPr>
        <w:t>.</w:t>
      </w:r>
      <w:r w:rsidRPr="00076CA5">
        <w:rPr>
          <w:rStyle w:val="Appelnotedebasdep"/>
          <w:lang w:val="en-CA"/>
        </w:rPr>
        <w:footnoteReference w:id="52"/>
      </w:r>
      <w:r w:rsidRPr="00076CA5">
        <w:rPr>
          <w:lang w:val="en-CA"/>
        </w:rPr>
        <w:t xml:space="preserve"> In this regard, he note</w:t>
      </w:r>
      <w:r w:rsidR="00817F2E" w:rsidRPr="00076CA5">
        <w:rPr>
          <w:lang w:val="en-CA"/>
        </w:rPr>
        <w:t>d</w:t>
      </w:r>
      <w:r w:rsidRPr="00076CA5">
        <w:rPr>
          <w:lang w:val="en-CA"/>
        </w:rPr>
        <w:t xml:space="preserve"> that a similar intervention </w:t>
      </w:r>
      <w:r w:rsidR="006C09CA">
        <w:rPr>
          <w:lang w:val="en-CA"/>
        </w:rPr>
        <w:t xml:space="preserve">in </w:t>
      </w:r>
      <w:r w:rsidRPr="00076CA5">
        <w:rPr>
          <w:lang w:val="en-CA"/>
        </w:rPr>
        <w:t xml:space="preserve">the work of an independent commission was considered a violation of </w:t>
      </w:r>
      <w:r w:rsidR="00817F2E" w:rsidRPr="00076CA5">
        <w:rPr>
          <w:lang w:val="en-CA"/>
        </w:rPr>
        <w:t>s</w:t>
      </w:r>
      <w:r w:rsidRPr="00076CA5">
        <w:rPr>
          <w:lang w:val="en-CA"/>
        </w:rPr>
        <w:t xml:space="preserve">ection 3 of the </w:t>
      </w:r>
      <w:r w:rsidRPr="00076CA5">
        <w:rPr>
          <w:i/>
          <w:iCs/>
          <w:lang w:val="en-CA"/>
        </w:rPr>
        <w:t>Charter</w:t>
      </w:r>
      <w:r w:rsidRPr="00076CA5">
        <w:rPr>
          <w:lang w:val="en-CA"/>
        </w:rPr>
        <w:t xml:space="preserve"> by the Nova Scotia Court of Appeal</w:t>
      </w:r>
      <w:bookmarkStart w:id="18" w:name="_Ref213244221"/>
      <w:r w:rsidR="00817F2E" w:rsidRPr="00076CA5">
        <w:rPr>
          <w:lang w:val="en-CA"/>
        </w:rPr>
        <w:t>.</w:t>
      </w:r>
      <w:r w:rsidRPr="00076CA5">
        <w:rPr>
          <w:rStyle w:val="Appelnotedebasdep"/>
          <w:lang w:val="en-CA"/>
        </w:rPr>
        <w:footnoteReference w:id="53"/>
      </w:r>
      <w:bookmarkEnd w:id="18"/>
      <w:r w:rsidRPr="00076CA5">
        <w:rPr>
          <w:lang w:val="en-CA"/>
        </w:rPr>
        <w:t xml:space="preserve"> He also note</w:t>
      </w:r>
      <w:r w:rsidR="00817F2E" w:rsidRPr="00076CA5">
        <w:rPr>
          <w:lang w:val="en-CA"/>
        </w:rPr>
        <w:t>d</w:t>
      </w:r>
      <w:r w:rsidRPr="00076CA5">
        <w:rPr>
          <w:lang w:val="en-CA"/>
        </w:rPr>
        <w:t xml:space="preserve"> that such a proposal </w:t>
      </w:r>
      <w:r w:rsidR="006C09CA">
        <w:rPr>
          <w:lang w:val="en-CA"/>
        </w:rPr>
        <w:t>might</w:t>
      </w:r>
      <w:r w:rsidRPr="00076CA5">
        <w:rPr>
          <w:lang w:val="en-CA"/>
        </w:rPr>
        <w:t xml:space="preserve"> not receive </w:t>
      </w:r>
      <w:bookmarkStart w:id="19" w:name="_Hlk199350884"/>
      <w:r w:rsidR="006C09CA">
        <w:rPr>
          <w:lang w:val="en-CA"/>
        </w:rPr>
        <w:t>multi</w:t>
      </w:r>
      <w:r w:rsidRPr="00076CA5">
        <w:rPr>
          <w:lang w:val="en-CA"/>
        </w:rPr>
        <w:t>-party support</w:t>
      </w:r>
      <w:bookmarkEnd w:id="19"/>
      <w:r w:rsidRPr="00076CA5">
        <w:rPr>
          <w:lang w:val="en-CA"/>
        </w:rPr>
        <w:t xml:space="preserve">, in </w:t>
      </w:r>
      <w:r w:rsidR="003E58C4">
        <w:rPr>
          <w:lang w:val="en-CA"/>
        </w:rPr>
        <w:t>violation</w:t>
      </w:r>
      <w:r w:rsidRPr="00076CA5">
        <w:rPr>
          <w:lang w:val="en-CA"/>
        </w:rPr>
        <w:t xml:space="preserve"> of the parliamentary convention that </w:t>
      </w:r>
      <w:r w:rsidR="00E44240" w:rsidRPr="00076CA5">
        <w:rPr>
          <w:lang w:val="en-CA"/>
        </w:rPr>
        <w:t xml:space="preserve">the drawing of the </w:t>
      </w:r>
      <w:r w:rsidRPr="00076CA5">
        <w:rPr>
          <w:lang w:val="en-CA"/>
        </w:rPr>
        <w:t>electoral map must enjoy broad support among the political parties represented.</w:t>
      </w:r>
    </w:p>
    <w:p w14:paraId="64ED3346" w14:textId="7744CCA4" w:rsidR="006D4B37" w:rsidRPr="00076CA5" w:rsidRDefault="00E44240" w:rsidP="006D4B37">
      <w:pPr>
        <w:pStyle w:val="Titre1"/>
      </w:pPr>
      <w:r w:rsidRPr="00076CA5">
        <w:t>ISSUES</w:t>
      </w:r>
    </w:p>
    <w:p w14:paraId="7AD4E921" w14:textId="2060BA63" w:rsidR="006D4B37" w:rsidRPr="00076CA5" w:rsidRDefault="00E44240" w:rsidP="006D4B37">
      <w:pPr>
        <w:pStyle w:val="aParagraphe"/>
        <w:numPr>
          <w:ilvl w:val="0"/>
          <w:numId w:val="18"/>
        </w:numPr>
        <w:spacing w:line="280" w:lineRule="exact"/>
        <w:rPr>
          <w:lang w:val="en-CA"/>
        </w:rPr>
      </w:pPr>
      <w:r w:rsidRPr="00076CA5">
        <w:rPr>
          <w:lang w:val="en-CA"/>
        </w:rPr>
        <w:t xml:space="preserve">The appeal </w:t>
      </w:r>
      <w:r w:rsidR="00B94277">
        <w:rPr>
          <w:lang w:val="en-CA"/>
        </w:rPr>
        <w:t>concerns</w:t>
      </w:r>
      <w:r w:rsidRPr="00076CA5">
        <w:rPr>
          <w:lang w:val="en-CA"/>
        </w:rPr>
        <w:t xml:space="preserve"> only the application of section 1 of the </w:t>
      </w:r>
      <w:r w:rsidRPr="00076CA5">
        <w:rPr>
          <w:i/>
          <w:iCs/>
          <w:lang w:val="en-CA"/>
        </w:rPr>
        <w:t>Charter</w:t>
      </w:r>
      <w:r w:rsidRPr="00076CA5">
        <w:rPr>
          <w:lang w:val="en-CA"/>
        </w:rPr>
        <w:t>. Specifically, the appellants challeng</w:t>
      </w:r>
      <w:r w:rsidR="00B94277">
        <w:rPr>
          <w:lang w:val="en-CA"/>
        </w:rPr>
        <w:t>e</w:t>
      </w:r>
      <w:r w:rsidRPr="00076CA5">
        <w:rPr>
          <w:lang w:val="en-CA"/>
        </w:rPr>
        <w:t xml:space="preserve"> </w:t>
      </w:r>
      <w:r w:rsidR="00B94277">
        <w:rPr>
          <w:lang w:val="en-CA"/>
        </w:rPr>
        <w:t xml:space="preserve">only </w:t>
      </w:r>
      <w:r w:rsidRPr="00076CA5">
        <w:rPr>
          <w:lang w:val="en-CA"/>
        </w:rPr>
        <w:t>two of the judge</w:t>
      </w:r>
      <w:r w:rsidR="00B94277">
        <w:rPr>
          <w:lang w:val="en-CA"/>
        </w:rPr>
        <w:t>’</w:t>
      </w:r>
      <w:r w:rsidRPr="00076CA5">
        <w:rPr>
          <w:lang w:val="en-CA"/>
        </w:rPr>
        <w:t xml:space="preserve">s conclusions: (1) </w:t>
      </w:r>
      <w:r w:rsidR="00B94277">
        <w:rPr>
          <w:lang w:val="en-CA"/>
        </w:rPr>
        <w:t>that the infringement is</w:t>
      </w:r>
      <w:r w:rsidRPr="00076CA5">
        <w:rPr>
          <w:lang w:val="en-CA"/>
        </w:rPr>
        <w:t xml:space="preserve"> minimal and (2) </w:t>
      </w:r>
      <w:r w:rsidR="00B94277">
        <w:rPr>
          <w:lang w:val="en-CA"/>
        </w:rPr>
        <w:t xml:space="preserve">that </w:t>
      </w:r>
      <w:r w:rsidRPr="00076CA5">
        <w:rPr>
          <w:lang w:val="en-CA"/>
        </w:rPr>
        <w:t xml:space="preserve">there </w:t>
      </w:r>
      <w:r w:rsidR="00B94277">
        <w:rPr>
          <w:lang w:val="en-CA"/>
        </w:rPr>
        <w:t>is</w:t>
      </w:r>
      <w:r w:rsidRPr="00076CA5">
        <w:rPr>
          <w:lang w:val="en-CA"/>
        </w:rPr>
        <w:t xml:space="preserve"> proportionality between the </w:t>
      </w:r>
      <w:r w:rsidR="00B94277">
        <w:rPr>
          <w:lang w:val="en-CA"/>
        </w:rPr>
        <w:t>salutary</w:t>
      </w:r>
      <w:r w:rsidRPr="00076CA5">
        <w:rPr>
          <w:lang w:val="en-CA"/>
        </w:rPr>
        <w:t xml:space="preserve"> effects of the </w:t>
      </w:r>
      <w:r w:rsidR="002B54C0" w:rsidRPr="002B54C0">
        <w:rPr>
          <w:i/>
          <w:iCs/>
          <w:lang w:val="en-CA"/>
        </w:rPr>
        <w:t>ATI</w:t>
      </w:r>
      <w:r w:rsidRPr="00076CA5">
        <w:rPr>
          <w:lang w:val="en-CA"/>
        </w:rPr>
        <w:t xml:space="preserve"> and its </w:t>
      </w:r>
      <w:r w:rsidR="00B94277">
        <w:rPr>
          <w:lang w:val="en-CA"/>
        </w:rPr>
        <w:t>adverse</w:t>
      </w:r>
      <w:r w:rsidRPr="00076CA5">
        <w:rPr>
          <w:lang w:val="en-CA"/>
        </w:rPr>
        <w:t xml:space="preserve"> effects.</w:t>
      </w:r>
    </w:p>
    <w:p w14:paraId="55009BFC" w14:textId="77777777" w:rsidR="006D4B37" w:rsidRPr="00076CA5" w:rsidRDefault="004351B0" w:rsidP="006D4B37">
      <w:pPr>
        <w:pStyle w:val="Titre1"/>
      </w:pPr>
      <w:r w:rsidRPr="00076CA5">
        <w:rPr>
          <w:bCs/>
          <w:lang w:val="en-CA"/>
        </w:rPr>
        <w:t>CLAIMS OF THE PARTIES</w:t>
      </w:r>
    </w:p>
    <w:p w14:paraId="136CFC46" w14:textId="38DA858A" w:rsidR="006D4B37" w:rsidRPr="00076CA5" w:rsidRDefault="004351B0" w:rsidP="006D4B37">
      <w:pPr>
        <w:pStyle w:val="Titre2"/>
        <w:rPr>
          <w:lang w:val="en-CA"/>
        </w:rPr>
      </w:pPr>
      <w:r w:rsidRPr="00076CA5">
        <w:rPr>
          <w:bCs/>
          <w:iCs/>
          <w:lang w:val="en-CA"/>
        </w:rPr>
        <w:t xml:space="preserve">Claims of the parties </w:t>
      </w:r>
      <w:r w:rsidR="00E44240" w:rsidRPr="00076CA5">
        <w:rPr>
          <w:bCs/>
          <w:iCs/>
          <w:lang w:val="en-CA"/>
        </w:rPr>
        <w:t xml:space="preserve">in </w:t>
      </w:r>
      <w:r w:rsidRPr="00076CA5">
        <w:rPr>
          <w:bCs/>
          <w:iCs/>
          <w:lang w:val="en-CA"/>
        </w:rPr>
        <w:t>support</w:t>
      </w:r>
      <w:r w:rsidR="00E44240" w:rsidRPr="00076CA5">
        <w:rPr>
          <w:bCs/>
          <w:iCs/>
          <w:lang w:val="en-CA"/>
        </w:rPr>
        <w:t xml:space="preserve"> of</w:t>
      </w:r>
      <w:r w:rsidRPr="00076CA5">
        <w:rPr>
          <w:bCs/>
          <w:iCs/>
          <w:lang w:val="en-CA"/>
        </w:rPr>
        <w:t xml:space="preserve"> </w:t>
      </w:r>
      <w:r w:rsidR="00AC3624">
        <w:rPr>
          <w:bCs/>
          <w:iCs/>
          <w:lang w:val="en-CA"/>
        </w:rPr>
        <w:t>allowing</w:t>
      </w:r>
      <w:r w:rsidRPr="00076CA5">
        <w:rPr>
          <w:bCs/>
          <w:iCs/>
          <w:lang w:val="en-CA"/>
        </w:rPr>
        <w:t xml:space="preserve"> the appeal</w:t>
      </w:r>
      <w:r w:rsidRPr="00076CA5">
        <w:rPr>
          <w:rStyle w:val="Appelnotedebasdep"/>
          <w:bCs/>
          <w:i w:val="0"/>
          <w:lang w:val="en-CA"/>
        </w:rPr>
        <w:footnoteReference w:id="54"/>
      </w:r>
      <w:r w:rsidRPr="00076CA5">
        <w:rPr>
          <w:bCs/>
          <w:iCs/>
          <w:lang w:val="en-CA"/>
        </w:rPr>
        <w:t xml:space="preserve"> </w:t>
      </w:r>
    </w:p>
    <w:p w14:paraId="5716C838" w14:textId="3063CA04" w:rsidR="006D4B37" w:rsidRPr="00076CA5" w:rsidRDefault="004351B0" w:rsidP="006D4B37">
      <w:pPr>
        <w:pStyle w:val="aParagraphe"/>
        <w:numPr>
          <w:ilvl w:val="0"/>
          <w:numId w:val="18"/>
        </w:numPr>
        <w:spacing w:line="280" w:lineRule="exact"/>
        <w:rPr>
          <w:lang w:val="en-CA"/>
        </w:rPr>
      </w:pPr>
      <w:r w:rsidRPr="00F7687C">
        <w:rPr>
          <w:lang w:val="en-CA"/>
        </w:rPr>
        <w:t xml:space="preserve">The </w:t>
      </w:r>
      <w:r w:rsidR="0083473C">
        <w:rPr>
          <w:lang w:val="en-CA"/>
        </w:rPr>
        <w:t>first instance</w:t>
      </w:r>
      <w:r w:rsidRPr="00F7687C">
        <w:rPr>
          <w:lang w:val="en-CA"/>
        </w:rPr>
        <w:t xml:space="preserve"> judge </w:t>
      </w:r>
      <w:r w:rsidR="00AC3624" w:rsidRPr="00F7687C">
        <w:rPr>
          <w:lang w:val="en-CA"/>
        </w:rPr>
        <w:t>made</w:t>
      </w:r>
      <w:r w:rsidRPr="00076CA5">
        <w:rPr>
          <w:lang w:val="en-CA"/>
        </w:rPr>
        <w:t xml:space="preserve"> a reviewable error in </w:t>
      </w:r>
      <w:r w:rsidR="00F7687C">
        <w:rPr>
          <w:lang w:val="en-CA"/>
        </w:rPr>
        <w:t>finding</w:t>
      </w:r>
      <w:r w:rsidRPr="00076CA5">
        <w:rPr>
          <w:lang w:val="en-CA"/>
        </w:rPr>
        <w:t xml:space="preserve"> that the </w:t>
      </w:r>
      <w:r w:rsidR="002B54C0" w:rsidRPr="002B54C0">
        <w:rPr>
          <w:i/>
          <w:iCs/>
          <w:lang w:val="en-CA"/>
        </w:rPr>
        <w:t>ATI</w:t>
      </w:r>
      <w:r w:rsidRPr="00076CA5">
        <w:rPr>
          <w:lang w:val="en-CA"/>
        </w:rPr>
        <w:t xml:space="preserve"> met the minimal impairment test when there are three less </w:t>
      </w:r>
      <w:r w:rsidR="000C4336">
        <w:rPr>
          <w:lang w:val="en-CA"/>
        </w:rPr>
        <w:t>impairing</w:t>
      </w:r>
      <w:r w:rsidRPr="00076CA5">
        <w:rPr>
          <w:lang w:val="en-CA"/>
        </w:rPr>
        <w:t xml:space="preserve"> measures that are just as effective as the </w:t>
      </w:r>
      <w:r w:rsidR="002B54C0" w:rsidRPr="002B54C0">
        <w:rPr>
          <w:i/>
          <w:iCs/>
          <w:lang w:val="en-CA"/>
        </w:rPr>
        <w:t>ATI</w:t>
      </w:r>
      <w:r w:rsidRPr="00076CA5">
        <w:rPr>
          <w:i/>
          <w:iCs/>
          <w:lang w:val="en-CA"/>
        </w:rPr>
        <w:t xml:space="preserve"> </w:t>
      </w:r>
      <w:r w:rsidRPr="00076CA5">
        <w:rPr>
          <w:lang w:val="en-CA"/>
        </w:rPr>
        <w:t>in achieving the legislat</w:t>
      </w:r>
      <w:r w:rsidR="00AC3624">
        <w:rPr>
          <w:lang w:val="en-CA"/>
        </w:rPr>
        <w:t>ure’</w:t>
      </w:r>
      <w:r w:rsidRPr="00076CA5">
        <w:rPr>
          <w:lang w:val="en-CA"/>
        </w:rPr>
        <w:t>s objectives:</w:t>
      </w:r>
    </w:p>
    <w:p w14:paraId="200BEE6D" w14:textId="4199619C" w:rsidR="006D4B37" w:rsidRPr="00076CA5" w:rsidRDefault="004351B0" w:rsidP="006D4B37">
      <w:pPr>
        <w:pStyle w:val="cCitationdebase"/>
        <w:rPr>
          <w:sz w:val="24"/>
          <w:szCs w:val="24"/>
          <w:lang w:val="en-CA"/>
        </w:rPr>
      </w:pPr>
      <w:r w:rsidRPr="00076CA5">
        <w:rPr>
          <w:sz w:val="24"/>
          <w:szCs w:val="24"/>
          <w:lang w:val="en-CA"/>
        </w:rPr>
        <w:t xml:space="preserve">(1) </w:t>
      </w:r>
      <w:r w:rsidR="00AC3624">
        <w:rPr>
          <w:sz w:val="24"/>
          <w:szCs w:val="24"/>
          <w:lang w:val="en-CA"/>
        </w:rPr>
        <w:t>enact</w:t>
      </w:r>
      <w:r w:rsidRPr="00076CA5">
        <w:rPr>
          <w:sz w:val="24"/>
          <w:szCs w:val="24"/>
          <w:lang w:val="en-CA"/>
        </w:rPr>
        <w:t xml:space="preserve"> legislation to protect the current boundaries of the Gaspésie electoral divisions in order to allow the Commission to complete its review work for the other electoral divisions;</w:t>
      </w:r>
    </w:p>
    <w:p w14:paraId="04C69C86" w14:textId="73436187" w:rsidR="006D4B37" w:rsidRPr="00076CA5" w:rsidRDefault="004351B0" w:rsidP="006D4B37">
      <w:pPr>
        <w:pStyle w:val="cCitationdebase"/>
        <w:rPr>
          <w:sz w:val="24"/>
          <w:szCs w:val="24"/>
          <w:lang w:val="en-CA"/>
        </w:rPr>
      </w:pPr>
      <w:r w:rsidRPr="00076CA5">
        <w:rPr>
          <w:sz w:val="24"/>
          <w:szCs w:val="24"/>
          <w:lang w:val="en-CA"/>
        </w:rPr>
        <w:t xml:space="preserve">(2) </w:t>
      </w:r>
      <w:r w:rsidR="00AC3624">
        <w:rPr>
          <w:sz w:val="24"/>
          <w:szCs w:val="24"/>
          <w:lang w:val="en-CA"/>
        </w:rPr>
        <w:t>a</w:t>
      </w:r>
      <w:r w:rsidRPr="00076CA5">
        <w:rPr>
          <w:sz w:val="24"/>
          <w:szCs w:val="24"/>
          <w:lang w:val="en-CA"/>
        </w:rPr>
        <w:t>dd up to four electoral divisions throughout Qu</w:t>
      </w:r>
      <w:r w:rsidR="00AC3624">
        <w:rPr>
          <w:sz w:val="24"/>
          <w:szCs w:val="24"/>
          <w:lang w:val="en-CA"/>
        </w:rPr>
        <w:t>e</w:t>
      </w:r>
      <w:r w:rsidRPr="00076CA5">
        <w:rPr>
          <w:sz w:val="24"/>
          <w:szCs w:val="24"/>
          <w:lang w:val="en-CA"/>
        </w:rPr>
        <w:t>bec for the next election and let the Commission do its work</w:t>
      </w:r>
      <w:r w:rsidR="00076CA5">
        <w:rPr>
          <w:sz w:val="24"/>
          <w:szCs w:val="24"/>
          <w:lang w:val="en-CA"/>
        </w:rPr>
        <w:t>;</w:t>
      </w:r>
      <w:r w:rsidRPr="00076CA5">
        <w:rPr>
          <w:rStyle w:val="Appelnotedebasdep"/>
          <w:sz w:val="24"/>
          <w:szCs w:val="24"/>
          <w:lang w:val="en-CA"/>
        </w:rPr>
        <w:footnoteReference w:id="55"/>
      </w:r>
    </w:p>
    <w:p w14:paraId="526F7AC0" w14:textId="0DACCDEC" w:rsidR="006D4B37" w:rsidRPr="00076CA5" w:rsidRDefault="004351B0" w:rsidP="006D4B37">
      <w:pPr>
        <w:pStyle w:val="cCitationdebase"/>
        <w:rPr>
          <w:sz w:val="24"/>
          <w:szCs w:val="24"/>
          <w:lang w:val="en-CA"/>
        </w:rPr>
      </w:pPr>
      <w:r w:rsidRPr="00076CA5">
        <w:rPr>
          <w:sz w:val="24"/>
          <w:szCs w:val="24"/>
          <w:lang w:val="en-CA"/>
        </w:rPr>
        <w:t xml:space="preserve">(3) </w:t>
      </w:r>
      <w:r w:rsidR="00AC3624">
        <w:rPr>
          <w:sz w:val="24"/>
          <w:szCs w:val="24"/>
          <w:lang w:val="en-CA"/>
        </w:rPr>
        <w:t>s</w:t>
      </w:r>
      <w:r w:rsidRPr="00076CA5">
        <w:rPr>
          <w:sz w:val="24"/>
          <w:szCs w:val="24"/>
          <w:lang w:val="en-CA"/>
        </w:rPr>
        <w:t xml:space="preserve">ettle for a temporary suspension of a few months, which would have allowed for the creation of a working committee, the adoption of a new bill amending one or </w:t>
      </w:r>
      <w:r w:rsidR="00E44240" w:rsidRPr="00076CA5">
        <w:rPr>
          <w:sz w:val="24"/>
          <w:szCs w:val="24"/>
          <w:lang w:val="en-CA"/>
        </w:rPr>
        <w:t xml:space="preserve">the </w:t>
      </w:r>
      <w:r w:rsidRPr="00076CA5">
        <w:rPr>
          <w:sz w:val="24"/>
          <w:szCs w:val="24"/>
          <w:lang w:val="en-CA"/>
        </w:rPr>
        <w:t xml:space="preserve">other of the delimitation criteria set out in </w:t>
      </w:r>
      <w:r w:rsidR="00E44240" w:rsidRPr="00076CA5">
        <w:rPr>
          <w:sz w:val="24"/>
          <w:szCs w:val="24"/>
          <w:lang w:val="en-CA"/>
        </w:rPr>
        <w:t>s</w:t>
      </w:r>
      <w:r w:rsidRPr="00076CA5">
        <w:rPr>
          <w:sz w:val="24"/>
          <w:szCs w:val="24"/>
          <w:lang w:val="en-CA"/>
        </w:rPr>
        <w:t>ection 14 et seq</w:t>
      </w:r>
      <w:r w:rsidRPr="00076CA5">
        <w:rPr>
          <w:i/>
          <w:iCs/>
          <w:sz w:val="24"/>
          <w:szCs w:val="24"/>
          <w:lang w:val="en-CA"/>
        </w:rPr>
        <w:t>.</w:t>
      </w:r>
      <w:r w:rsidRPr="00076CA5">
        <w:rPr>
          <w:sz w:val="24"/>
          <w:szCs w:val="24"/>
          <w:lang w:val="en-CA"/>
        </w:rPr>
        <w:t xml:space="preserve"> of the </w:t>
      </w:r>
      <w:r w:rsidRPr="00076CA5">
        <w:rPr>
          <w:i/>
          <w:iCs/>
          <w:sz w:val="24"/>
          <w:szCs w:val="24"/>
          <w:lang w:val="en-CA"/>
        </w:rPr>
        <w:t>Election Act</w:t>
      </w:r>
      <w:r w:rsidRPr="00076CA5">
        <w:rPr>
          <w:sz w:val="24"/>
          <w:szCs w:val="24"/>
          <w:lang w:val="en-CA"/>
        </w:rPr>
        <w:t xml:space="preserve"> and, ultimately, the resumption and completion of the Commission</w:t>
      </w:r>
      <w:r w:rsidR="00AC3624">
        <w:rPr>
          <w:sz w:val="24"/>
          <w:szCs w:val="24"/>
          <w:lang w:val="en-CA"/>
        </w:rPr>
        <w:t>’</w:t>
      </w:r>
      <w:r w:rsidRPr="00076CA5">
        <w:rPr>
          <w:sz w:val="24"/>
          <w:szCs w:val="24"/>
          <w:lang w:val="en-CA"/>
        </w:rPr>
        <w:t xml:space="preserve">s </w:t>
      </w:r>
      <w:r w:rsidR="00AC3624">
        <w:rPr>
          <w:sz w:val="24"/>
          <w:szCs w:val="24"/>
          <w:lang w:val="en-CA"/>
        </w:rPr>
        <w:t>D</w:t>
      </w:r>
      <w:r w:rsidRPr="00076CA5">
        <w:rPr>
          <w:sz w:val="24"/>
          <w:szCs w:val="24"/>
          <w:lang w:val="en-CA"/>
        </w:rPr>
        <w:t xml:space="preserve">elimitation </w:t>
      </w:r>
      <w:r w:rsidR="00AC3624">
        <w:rPr>
          <w:sz w:val="24"/>
          <w:szCs w:val="24"/>
          <w:lang w:val="en-CA"/>
        </w:rPr>
        <w:t>P</w:t>
      </w:r>
      <w:r w:rsidRPr="00076CA5">
        <w:rPr>
          <w:sz w:val="24"/>
          <w:szCs w:val="24"/>
          <w:lang w:val="en-CA"/>
        </w:rPr>
        <w:t>rocess in the spring of 2025.</w:t>
      </w:r>
    </w:p>
    <w:p w14:paraId="19C4E8D3" w14:textId="57E2CAD0" w:rsidR="006D4B37" w:rsidRPr="00076CA5" w:rsidRDefault="004351B0" w:rsidP="006D4B37">
      <w:pPr>
        <w:pStyle w:val="aParagraphe"/>
        <w:numPr>
          <w:ilvl w:val="0"/>
          <w:numId w:val="18"/>
        </w:numPr>
        <w:spacing w:line="280" w:lineRule="exact"/>
        <w:rPr>
          <w:lang w:val="en-CA"/>
        </w:rPr>
      </w:pPr>
      <w:r w:rsidRPr="00076CA5">
        <w:rPr>
          <w:lang w:val="en-CA"/>
        </w:rPr>
        <w:lastRenderedPageBreak/>
        <w:t>The judge</w:t>
      </w:r>
      <w:r w:rsidR="00183823">
        <w:rPr>
          <w:lang w:val="en-CA"/>
        </w:rPr>
        <w:t>’</w:t>
      </w:r>
      <w:r w:rsidRPr="00076CA5">
        <w:rPr>
          <w:lang w:val="en-CA"/>
        </w:rPr>
        <w:t xml:space="preserve">s error stems from two of </w:t>
      </w:r>
      <w:r w:rsidR="00E44240" w:rsidRPr="00076CA5">
        <w:rPr>
          <w:lang w:val="en-CA"/>
        </w:rPr>
        <w:t>his</w:t>
      </w:r>
      <w:r w:rsidRPr="00076CA5">
        <w:rPr>
          <w:lang w:val="en-CA"/>
        </w:rPr>
        <w:t xml:space="preserve"> preliminary conclusions. The first is that an intervention similar to that protecting the current boundaries of the Gaspésie electoral divisions ha</w:t>
      </w:r>
      <w:r w:rsidR="00F7687C">
        <w:rPr>
          <w:lang w:val="en-CA"/>
        </w:rPr>
        <w:t>d</w:t>
      </w:r>
      <w:r w:rsidRPr="00076CA5">
        <w:rPr>
          <w:lang w:val="en-CA"/>
        </w:rPr>
        <w:t xml:space="preserve"> already been found to violate </w:t>
      </w:r>
      <w:r w:rsidR="00E44240" w:rsidRPr="00076CA5">
        <w:rPr>
          <w:lang w:val="en-CA"/>
        </w:rPr>
        <w:t>s</w:t>
      </w:r>
      <w:r w:rsidRPr="00076CA5">
        <w:rPr>
          <w:lang w:val="en-CA"/>
        </w:rPr>
        <w:t xml:space="preserve">ection 3 of the </w:t>
      </w:r>
      <w:r w:rsidRPr="00076CA5">
        <w:rPr>
          <w:i/>
          <w:iCs/>
          <w:lang w:val="en-CA"/>
        </w:rPr>
        <w:t xml:space="preserve">Charter </w:t>
      </w:r>
      <w:r w:rsidRPr="00076CA5">
        <w:rPr>
          <w:lang w:val="en-CA"/>
        </w:rPr>
        <w:t>in a Nova Scotia case, and the second is to have relied heavily on the fact that the measure adopted by the legislat</w:t>
      </w:r>
      <w:r w:rsidR="00183823">
        <w:rPr>
          <w:lang w:val="en-CA"/>
        </w:rPr>
        <w:t>ure</w:t>
      </w:r>
      <w:r w:rsidRPr="00076CA5">
        <w:rPr>
          <w:lang w:val="en-CA"/>
        </w:rPr>
        <w:t xml:space="preserve"> is the only one with </w:t>
      </w:r>
      <w:r w:rsidR="00E44240" w:rsidRPr="00076CA5">
        <w:rPr>
          <w:lang w:val="en-CA"/>
        </w:rPr>
        <w:t xml:space="preserve">the </w:t>
      </w:r>
      <w:r w:rsidRPr="00076CA5">
        <w:rPr>
          <w:lang w:val="en-CA"/>
        </w:rPr>
        <w:t xml:space="preserve">unanimous support </w:t>
      </w:r>
      <w:r w:rsidR="00E44240" w:rsidRPr="00076CA5">
        <w:rPr>
          <w:lang w:val="en-CA"/>
        </w:rPr>
        <w:t>of</w:t>
      </w:r>
      <w:r w:rsidRPr="00076CA5">
        <w:rPr>
          <w:lang w:val="en-CA"/>
        </w:rPr>
        <w:t xml:space="preserve"> </w:t>
      </w:r>
      <w:r w:rsidR="00183823">
        <w:rPr>
          <w:lang w:val="en-CA"/>
        </w:rPr>
        <w:t xml:space="preserve">the </w:t>
      </w:r>
      <w:r w:rsidRPr="00076CA5">
        <w:rPr>
          <w:lang w:val="en-CA"/>
        </w:rPr>
        <w:t xml:space="preserve">elected </w:t>
      </w:r>
      <w:r w:rsidR="00DD4BAB">
        <w:rPr>
          <w:lang w:val="en-CA"/>
        </w:rPr>
        <w:t>representatives</w:t>
      </w:r>
      <w:r w:rsidRPr="00076CA5">
        <w:rPr>
          <w:lang w:val="en-CA"/>
        </w:rPr>
        <w:t xml:space="preserve">. </w:t>
      </w:r>
    </w:p>
    <w:p w14:paraId="3224AEA9" w14:textId="70903EF6" w:rsidR="006D4B37" w:rsidRPr="00076CA5" w:rsidRDefault="004351B0" w:rsidP="006D4B37">
      <w:pPr>
        <w:pStyle w:val="aParagraphe"/>
        <w:numPr>
          <w:ilvl w:val="0"/>
          <w:numId w:val="18"/>
        </w:numPr>
        <w:spacing w:line="280" w:lineRule="exact"/>
        <w:rPr>
          <w:lang w:val="en-CA"/>
        </w:rPr>
      </w:pPr>
      <w:r w:rsidRPr="00076CA5">
        <w:rPr>
          <w:lang w:val="en-CA"/>
        </w:rPr>
        <w:t xml:space="preserve">With </w:t>
      </w:r>
      <w:r w:rsidR="00FD098C">
        <w:rPr>
          <w:lang w:val="en-CA"/>
        </w:rPr>
        <w:t>respect</w:t>
      </w:r>
      <w:r w:rsidRPr="00076CA5">
        <w:rPr>
          <w:lang w:val="en-CA"/>
        </w:rPr>
        <w:t xml:space="preserve"> to the first preliminary conclusion, the parties supporting the appeal point out that the </w:t>
      </w:r>
      <w:r w:rsidR="00FD098C">
        <w:rPr>
          <w:lang w:val="en-CA"/>
        </w:rPr>
        <w:t xml:space="preserve">judgment of the </w:t>
      </w:r>
      <w:r w:rsidRPr="00076CA5">
        <w:rPr>
          <w:lang w:val="en-CA"/>
        </w:rPr>
        <w:t xml:space="preserve">Nova Scotia Court of Appeal deals with a legislative intervention that </w:t>
      </w:r>
      <w:r w:rsidR="00FD098C">
        <w:rPr>
          <w:lang w:val="en-CA"/>
        </w:rPr>
        <w:t>is different than the one that</w:t>
      </w:r>
      <w:r w:rsidR="00E44240" w:rsidRPr="00076CA5">
        <w:rPr>
          <w:lang w:val="en-CA"/>
        </w:rPr>
        <w:t xml:space="preserve"> would </w:t>
      </w:r>
      <w:r w:rsidRPr="00076CA5">
        <w:rPr>
          <w:lang w:val="en-CA"/>
        </w:rPr>
        <w:t xml:space="preserve">protect the Gaspésie electoral divisions while allowing electoral redistribution. As for the second, they argue that by emphasizing the importance of respecting the parliamentary convention, </w:t>
      </w:r>
      <w:r w:rsidR="00986EB6" w:rsidRPr="00076CA5">
        <w:rPr>
          <w:lang w:val="en-CA"/>
        </w:rPr>
        <w:t xml:space="preserve">the judge </w:t>
      </w:r>
      <w:r w:rsidRPr="00076CA5">
        <w:rPr>
          <w:lang w:val="en-CA"/>
        </w:rPr>
        <w:t>adopt</w:t>
      </w:r>
      <w:r w:rsidR="00E44240" w:rsidRPr="00076CA5">
        <w:rPr>
          <w:lang w:val="en-CA"/>
        </w:rPr>
        <w:t>ed</w:t>
      </w:r>
      <w:r w:rsidRPr="00076CA5">
        <w:rPr>
          <w:lang w:val="en-CA"/>
        </w:rPr>
        <w:t xml:space="preserve"> an overly deferential stance</w:t>
      </w:r>
      <w:r w:rsidR="00D37EF3" w:rsidRPr="00076CA5">
        <w:rPr>
          <w:lang w:val="en-CA"/>
        </w:rPr>
        <w:t xml:space="preserve"> </w:t>
      </w:r>
      <w:r w:rsidRPr="00076CA5">
        <w:rPr>
          <w:lang w:val="en-CA"/>
        </w:rPr>
        <w:t xml:space="preserve">akin to elevating the parliamentary convention to a quasi-constitutional </w:t>
      </w:r>
      <w:r w:rsidR="00986EB6">
        <w:rPr>
          <w:lang w:val="en-CA"/>
        </w:rPr>
        <w:t>standard</w:t>
      </w:r>
      <w:r w:rsidRPr="00076CA5">
        <w:rPr>
          <w:lang w:val="en-CA"/>
        </w:rPr>
        <w:t xml:space="preserve"> that would have the effect of limiting the application of the </w:t>
      </w:r>
      <w:r w:rsidRPr="00076CA5">
        <w:rPr>
          <w:i/>
          <w:iCs/>
          <w:lang w:val="en-CA"/>
        </w:rPr>
        <w:t>Charter</w:t>
      </w:r>
      <w:r w:rsidRPr="00076CA5">
        <w:rPr>
          <w:lang w:val="en-CA"/>
        </w:rPr>
        <w:t>.</w:t>
      </w:r>
    </w:p>
    <w:p w14:paraId="444D523A" w14:textId="61DE051B" w:rsidR="006D4B37" w:rsidRPr="00076CA5" w:rsidRDefault="00D37EF3" w:rsidP="006D4B37">
      <w:pPr>
        <w:pStyle w:val="Titre2"/>
        <w:rPr>
          <w:iCs/>
          <w:lang w:val="en-CA"/>
        </w:rPr>
      </w:pPr>
      <w:r w:rsidRPr="00076CA5">
        <w:rPr>
          <w:bCs/>
          <w:iCs/>
          <w:lang w:val="en-CA"/>
        </w:rPr>
        <w:t>Claims of the parties in support of dismissing the appeal</w:t>
      </w:r>
      <w:r w:rsidRPr="00076CA5">
        <w:rPr>
          <w:rStyle w:val="Appelnotedebasdep"/>
          <w:bCs/>
          <w:i w:val="0"/>
          <w:lang w:val="en-CA"/>
        </w:rPr>
        <w:footnoteReference w:id="56"/>
      </w:r>
    </w:p>
    <w:p w14:paraId="655843D3" w14:textId="7C981273" w:rsidR="006D4B37" w:rsidRPr="00076CA5" w:rsidRDefault="004351B0" w:rsidP="006D4B37">
      <w:pPr>
        <w:pStyle w:val="aParagraphe"/>
        <w:numPr>
          <w:ilvl w:val="0"/>
          <w:numId w:val="18"/>
        </w:numPr>
        <w:spacing w:line="280" w:lineRule="exact"/>
        <w:rPr>
          <w:lang w:val="en-CA"/>
        </w:rPr>
      </w:pPr>
      <w:r w:rsidRPr="00076CA5">
        <w:rPr>
          <w:lang w:val="en-CA"/>
        </w:rPr>
        <w:t>The appellants</w:t>
      </w:r>
      <w:r w:rsidR="00DD4BAB">
        <w:rPr>
          <w:lang w:val="en-CA"/>
        </w:rPr>
        <w:t>’</w:t>
      </w:r>
      <w:r w:rsidRPr="00076CA5">
        <w:rPr>
          <w:lang w:val="en-CA"/>
        </w:rPr>
        <w:t xml:space="preserve"> suggestions do not make it possible to preserve the full</w:t>
      </w:r>
      <w:r w:rsidR="00DD4BAB">
        <w:rPr>
          <w:lang w:val="en-CA"/>
        </w:rPr>
        <w:t>,</w:t>
      </w:r>
      <w:r w:rsidRPr="00076CA5">
        <w:rPr>
          <w:lang w:val="en-CA"/>
        </w:rPr>
        <w:t xml:space="preserve"> effective representation of all citizens while giving elected </w:t>
      </w:r>
      <w:r w:rsidR="00DD4BAB">
        <w:rPr>
          <w:lang w:val="en-CA"/>
        </w:rPr>
        <w:t>members</w:t>
      </w:r>
      <w:r w:rsidRPr="00076CA5">
        <w:rPr>
          <w:lang w:val="en-CA"/>
        </w:rPr>
        <w:t xml:space="preserve"> and Quebec society </w:t>
      </w:r>
      <w:r w:rsidR="00D37EF3" w:rsidRPr="00076CA5">
        <w:rPr>
          <w:lang w:val="en-CA"/>
        </w:rPr>
        <w:t>time</w:t>
      </w:r>
      <w:r w:rsidR="00387F6B" w:rsidRPr="00076CA5">
        <w:rPr>
          <w:lang w:val="en-CA"/>
        </w:rPr>
        <w:t xml:space="preserve"> </w:t>
      </w:r>
      <w:r w:rsidR="00F903CA">
        <w:rPr>
          <w:lang w:val="en-CA"/>
        </w:rPr>
        <w:t>to</w:t>
      </w:r>
      <w:r w:rsidR="0060038C">
        <w:rPr>
          <w:lang w:val="en-CA"/>
        </w:rPr>
        <w:t xml:space="preserve"> reflect</w:t>
      </w:r>
      <w:r w:rsidRPr="00076CA5">
        <w:rPr>
          <w:lang w:val="en-CA"/>
        </w:rPr>
        <w:t xml:space="preserve"> on how to ensure the effective representation of all </w:t>
      </w:r>
      <w:r w:rsidR="00D37EF3" w:rsidRPr="00076CA5">
        <w:rPr>
          <w:lang w:val="en-CA"/>
        </w:rPr>
        <w:t>electors</w:t>
      </w:r>
      <w:r w:rsidRPr="00076CA5">
        <w:rPr>
          <w:lang w:val="en-CA"/>
        </w:rPr>
        <w:t>.</w:t>
      </w:r>
    </w:p>
    <w:p w14:paraId="062EDDCE" w14:textId="2FD4AD60" w:rsidR="006D4B37" w:rsidRPr="00076CA5" w:rsidRDefault="004351B0" w:rsidP="006D4B37">
      <w:pPr>
        <w:pStyle w:val="aParagraphe"/>
        <w:numPr>
          <w:ilvl w:val="0"/>
          <w:numId w:val="18"/>
        </w:numPr>
        <w:spacing w:line="280" w:lineRule="exact"/>
        <w:rPr>
          <w:lang w:val="en-CA"/>
        </w:rPr>
      </w:pPr>
      <w:r w:rsidRPr="00076CA5">
        <w:rPr>
          <w:lang w:val="en-CA"/>
        </w:rPr>
        <w:t xml:space="preserve">The arguments raised by the appellants are far from new and have been </w:t>
      </w:r>
      <w:r w:rsidR="00B626BA">
        <w:rPr>
          <w:lang w:val="en-CA"/>
        </w:rPr>
        <w:t xml:space="preserve">the subject of </w:t>
      </w:r>
      <w:r w:rsidRPr="00076CA5">
        <w:rPr>
          <w:lang w:val="en-CA"/>
        </w:rPr>
        <w:t>analy</w:t>
      </w:r>
      <w:r w:rsidR="00B626BA">
        <w:rPr>
          <w:lang w:val="en-CA"/>
        </w:rPr>
        <w:t>sis</w:t>
      </w:r>
      <w:r w:rsidRPr="00076CA5">
        <w:rPr>
          <w:lang w:val="en-CA"/>
        </w:rPr>
        <w:t xml:space="preserve"> over the years. These suggestions necessarily </w:t>
      </w:r>
      <w:r w:rsidR="00D37EF3" w:rsidRPr="00076CA5">
        <w:rPr>
          <w:lang w:val="en-CA"/>
        </w:rPr>
        <w:t>involve</w:t>
      </w:r>
      <w:r w:rsidRPr="00076CA5">
        <w:rPr>
          <w:lang w:val="en-CA"/>
        </w:rPr>
        <w:t xml:space="preserve"> a compromise between the two objectives.</w:t>
      </w:r>
    </w:p>
    <w:p w14:paraId="4EFFEDBE" w14:textId="32ED08EC" w:rsidR="006D4B37" w:rsidRPr="00076CA5" w:rsidRDefault="004351B0" w:rsidP="006D4B37">
      <w:pPr>
        <w:pStyle w:val="aParagraphe"/>
        <w:numPr>
          <w:ilvl w:val="0"/>
          <w:numId w:val="18"/>
        </w:numPr>
        <w:spacing w:line="280" w:lineRule="exact"/>
        <w:rPr>
          <w:lang w:val="en-CA"/>
        </w:rPr>
      </w:pPr>
      <w:r w:rsidRPr="00076CA5">
        <w:rPr>
          <w:lang w:val="en-CA"/>
        </w:rPr>
        <w:t xml:space="preserve">The </w:t>
      </w:r>
      <w:r w:rsidR="002B54C0" w:rsidRPr="002B54C0">
        <w:rPr>
          <w:i/>
          <w:iCs/>
          <w:lang w:val="en-CA"/>
        </w:rPr>
        <w:t>ATI</w:t>
      </w:r>
      <w:r w:rsidRPr="00076CA5">
        <w:rPr>
          <w:lang w:val="en-CA"/>
        </w:rPr>
        <w:t xml:space="preserve"> is one of the reasonable options available to the legislat</w:t>
      </w:r>
      <w:r w:rsidR="00B626BA">
        <w:rPr>
          <w:lang w:val="en-CA"/>
        </w:rPr>
        <w:t>ure</w:t>
      </w:r>
      <w:r w:rsidRPr="00076CA5">
        <w:rPr>
          <w:lang w:val="en-CA"/>
        </w:rPr>
        <w:t xml:space="preserve"> to achieve the legislative objectives in a real and substantial </w:t>
      </w:r>
      <w:r w:rsidR="00B626BA">
        <w:rPr>
          <w:lang w:val="en-CA"/>
        </w:rPr>
        <w:t>manner</w:t>
      </w:r>
      <w:r w:rsidRPr="00076CA5">
        <w:rPr>
          <w:lang w:val="en-CA"/>
        </w:rPr>
        <w:t xml:space="preserve">. There was no realistic alternative that would achieve the </w:t>
      </w:r>
      <w:r w:rsidR="00E30176" w:rsidRPr="00076CA5">
        <w:rPr>
          <w:lang w:val="en-CA"/>
        </w:rPr>
        <w:t>pressing and substanti</w:t>
      </w:r>
      <w:r w:rsidR="00B626BA">
        <w:rPr>
          <w:lang w:val="en-CA"/>
        </w:rPr>
        <w:t>al</w:t>
      </w:r>
      <w:r w:rsidRPr="00076CA5">
        <w:rPr>
          <w:lang w:val="en-CA"/>
        </w:rPr>
        <w:t xml:space="preserve"> legislative objectives with the </w:t>
      </w:r>
      <w:r w:rsidR="00D37EF3" w:rsidRPr="00076CA5">
        <w:rPr>
          <w:lang w:val="en-CA"/>
        </w:rPr>
        <w:t>same</w:t>
      </w:r>
      <w:r w:rsidR="00387F6B" w:rsidRPr="00076CA5">
        <w:rPr>
          <w:lang w:val="en-CA"/>
        </w:rPr>
        <w:t xml:space="preserve"> </w:t>
      </w:r>
      <w:r w:rsidRPr="00076CA5">
        <w:rPr>
          <w:lang w:val="en-CA"/>
        </w:rPr>
        <w:t xml:space="preserve">efficiency, while at the </w:t>
      </w:r>
      <w:r w:rsidR="00D37EF3" w:rsidRPr="00076CA5">
        <w:rPr>
          <w:lang w:val="en-CA"/>
        </w:rPr>
        <w:t>same time</w:t>
      </w:r>
      <w:r w:rsidR="00387F6B" w:rsidRPr="00076CA5">
        <w:rPr>
          <w:lang w:val="en-CA"/>
        </w:rPr>
        <w:t xml:space="preserve"> </w:t>
      </w:r>
      <w:r w:rsidRPr="00076CA5">
        <w:rPr>
          <w:lang w:val="en-CA"/>
        </w:rPr>
        <w:t>garnering a majority or broad consensus in the National Assembly.</w:t>
      </w:r>
    </w:p>
    <w:p w14:paraId="4B507DEB" w14:textId="610C239F" w:rsidR="006D4B37" w:rsidRPr="00076CA5" w:rsidRDefault="004351B0" w:rsidP="006D4B37">
      <w:pPr>
        <w:pStyle w:val="aParagraphe"/>
        <w:numPr>
          <w:ilvl w:val="0"/>
          <w:numId w:val="18"/>
        </w:numPr>
        <w:spacing w:line="280" w:lineRule="exact"/>
        <w:rPr>
          <w:lang w:val="en-CA"/>
        </w:rPr>
      </w:pPr>
      <w:r w:rsidRPr="00076CA5">
        <w:rPr>
          <w:lang w:val="en-CA"/>
        </w:rPr>
        <w:t>The option of adding electoral divisions</w:t>
      </w:r>
      <w:r w:rsidR="005B2BF6">
        <w:rPr>
          <w:lang w:val="en-CA"/>
        </w:rPr>
        <w:t xml:space="preserve"> would</w:t>
      </w:r>
      <w:r w:rsidRPr="00076CA5">
        <w:rPr>
          <w:lang w:val="en-CA"/>
        </w:rPr>
        <w:t xml:space="preserve"> (1) </w:t>
      </w:r>
      <w:r w:rsidR="00E30176" w:rsidRPr="00076CA5">
        <w:rPr>
          <w:lang w:val="en-CA"/>
        </w:rPr>
        <w:t>[</w:t>
      </w:r>
      <w:r w:rsidR="00B626BA">
        <w:rPr>
          <w:smallCaps/>
          <w:lang w:val="en-CA"/>
        </w:rPr>
        <w:t>translation</w:t>
      </w:r>
      <w:r w:rsidR="00E30176" w:rsidRPr="00076CA5">
        <w:rPr>
          <w:lang w:val="en-CA"/>
        </w:rPr>
        <w:t xml:space="preserve">] </w:t>
      </w:r>
      <w:r w:rsidRPr="00076CA5">
        <w:rPr>
          <w:lang w:val="en-CA"/>
        </w:rPr>
        <w:t xml:space="preserve">“significantly” increase the number of electoral divisions </w:t>
      </w:r>
      <w:r w:rsidR="00ED743A">
        <w:rPr>
          <w:lang w:val="en-CA"/>
        </w:rPr>
        <w:t>with an exceptional positive deviation</w:t>
      </w:r>
      <w:r w:rsidRPr="00076CA5">
        <w:rPr>
          <w:lang w:val="en-CA"/>
        </w:rPr>
        <w:t xml:space="preserve">; (2) not achieve the legislative objective of preserving </w:t>
      </w:r>
      <w:r w:rsidR="00B626BA">
        <w:rPr>
          <w:lang w:val="en-CA"/>
        </w:rPr>
        <w:t xml:space="preserve">the </w:t>
      </w:r>
      <w:r w:rsidR="00E30176" w:rsidRPr="00076CA5">
        <w:rPr>
          <w:lang w:val="en-CA"/>
        </w:rPr>
        <w:t>electoral divisions</w:t>
      </w:r>
      <w:r w:rsidRPr="00076CA5">
        <w:rPr>
          <w:lang w:val="en-CA"/>
        </w:rPr>
        <w:t xml:space="preserve"> in Gaspésie or Montr</w:t>
      </w:r>
      <w:r w:rsidR="00B626BA">
        <w:rPr>
          <w:lang w:val="en-CA"/>
        </w:rPr>
        <w:t>e</w:t>
      </w:r>
      <w:r w:rsidRPr="00076CA5">
        <w:rPr>
          <w:lang w:val="en-CA"/>
        </w:rPr>
        <w:t xml:space="preserve">al; (3) diminish their electoral weight; and (4) not allow </w:t>
      </w:r>
      <w:r w:rsidR="00E30176" w:rsidRPr="00076CA5">
        <w:rPr>
          <w:lang w:val="en-CA"/>
        </w:rPr>
        <w:t>time</w:t>
      </w:r>
      <w:r w:rsidR="00387F6B" w:rsidRPr="00076CA5">
        <w:rPr>
          <w:lang w:val="en-CA"/>
        </w:rPr>
        <w:t xml:space="preserve"> </w:t>
      </w:r>
      <w:r w:rsidR="00F903CA">
        <w:rPr>
          <w:lang w:val="en-CA"/>
        </w:rPr>
        <w:t>to</w:t>
      </w:r>
      <w:r w:rsidRPr="00076CA5">
        <w:rPr>
          <w:lang w:val="en-CA"/>
        </w:rPr>
        <w:t xml:space="preserve"> reflect on rebalancing the </w:t>
      </w:r>
      <w:r w:rsidRPr="00076CA5">
        <w:rPr>
          <w:i/>
          <w:iCs/>
          <w:lang w:val="en-CA"/>
        </w:rPr>
        <w:t>Election Act</w:t>
      </w:r>
      <w:r w:rsidR="004E3337" w:rsidRPr="004E3337">
        <w:rPr>
          <w:lang w:val="en-CA"/>
        </w:rPr>
        <w:t xml:space="preserve"> </w:t>
      </w:r>
      <w:r w:rsidR="004E3337" w:rsidRPr="00076CA5">
        <w:rPr>
          <w:lang w:val="en-CA"/>
        </w:rPr>
        <w:t>criteria</w:t>
      </w:r>
      <w:r w:rsidRPr="00076CA5">
        <w:rPr>
          <w:lang w:val="en-CA"/>
        </w:rPr>
        <w:t xml:space="preserve">. </w:t>
      </w:r>
      <w:r w:rsidR="004E3337">
        <w:rPr>
          <w:lang w:val="en-CA"/>
        </w:rPr>
        <w:t>It is t</w:t>
      </w:r>
      <w:r w:rsidRPr="00076CA5">
        <w:rPr>
          <w:lang w:val="en-CA"/>
        </w:rPr>
        <w:t>herefore not a</w:t>
      </w:r>
      <w:r w:rsidR="00B626BA">
        <w:rPr>
          <w:lang w:val="en-CA"/>
        </w:rPr>
        <w:t xml:space="preserve"> </w:t>
      </w:r>
      <w:r w:rsidR="00E30176" w:rsidRPr="00076CA5">
        <w:rPr>
          <w:lang w:val="en-CA"/>
        </w:rPr>
        <w:t xml:space="preserve">“less </w:t>
      </w:r>
      <w:r w:rsidR="000C4336">
        <w:rPr>
          <w:lang w:val="en-CA"/>
        </w:rPr>
        <w:t>impairing</w:t>
      </w:r>
      <w:r w:rsidR="00E30176" w:rsidRPr="00076CA5">
        <w:rPr>
          <w:lang w:val="en-CA"/>
        </w:rPr>
        <w:t xml:space="preserve">” </w:t>
      </w:r>
      <w:r w:rsidR="000C4336">
        <w:rPr>
          <w:lang w:val="en-CA"/>
        </w:rPr>
        <w:t>option</w:t>
      </w:r>
      <w:r w:rsidR="00E30176" w:rsidRPr="00076CA5">
        <w:rPr>
          <w:lang w:val="en-CA"/>
        </w:rPr>
        <w:t xml:space="preserve"> than diluting the</w:t>
      </w:r>
      <w:r w:rsidRPr="00076CA5">
        <w:rPr>
          <w:lang w:val="en-CA"/>
        </w:rPr>
        <w:t xml:space="preserve"> appellants</w:t>
      </w:r>
      <w:r w:rsidR="00B626BA">
        <w:rPr>
          <w:lang w:val="en-CA"/>
        </w:rPr>
        <w:t>’</w:t>
      </w:r>
      <w:r w:rsidRPr="00076CA5">
        <w:rPr>
          <w:lang w:val="en-CA"/>
        </w:rPr>
        <w:t xml:space="preserve"> voting rights—quite the contrary.</w:t>
      </w:r>
    </w:p>
    <w:p w14:paraId="69FB8FCA" w14:textId="215BADE4" w:rsidR="006D4B37" w:rsidRPr="00076CA5" w:rsidRDefault="00B626BA" w:rsidP="006D4B37">
      <w:pPr>
        <w:pStyle w:val="aParagraphe"/>
        <w:numPr>
          <w:ilvl w:val="0"/>
          <w:numId w:val="18"/>
        </w:numPr>
        <w:spacing w:line="280" w:lineRule="exact"/>
        <w:rPr>
          <w:lang w:val="en-CA"/>
        </w:rPr>
      </w:pPr>
      <w:r>
        <w:rPr>
          <w:lang w:val="en-CA"/>
        </w:rPr>
        <w:t>Last</w:t>
      </w:r>
      <w:r w:rsidR="004351B0" w:rsidRPr="00076CA5">
        <w:rPr>
          <w:lang w:val="en-CA"/>
        </w:rPr>
        <w:t xml:space="preserve">, the option of direct protection of </w:t>
      </w:r>
      <w:r w:rsidR="00E30176" w:rsidRPr="00076CA5">
        <w:rPr>
          <w:lang w:val="en-CA"/>
        </w:rPr>
        <w:t xml:space="preserve">the current </w:t>
      </w:r>
      <w:r w:rsidR="004351B0" w:rsidRPr="00076CA5">
        <w:rPr>
          <w:lang w:val="en-CA"/>
        </w:rPr>
        <w:t xml:space="preserve">electoral divisions in the </w:t>
      </w:r>
      <w:r w:rsidR="004351B0" w:rsidRPr="00076CA5">
        <w:rPr>
          <w:i/>
          <w:iCs/>
          <w:lang w:val="en-CA"/>
        </w:rPr>
        <w:t xml:space="preserve">Election Act </w:t>
      </w:r>
      <w:r w:rsidR="00E30176" w:rsidRPr="00076CA5">
        <w:rPr>
          <w:lang w:val="en-CA"/>
        </w:rPr>
        <w:t>as</w:t>
      </w:r>
      <w:r w:rsidR="00E30176" w:rsidRPr="00076CA5">
        <w:rPr>
          <w:i/>
          <w:iCs/>
          <w:lang w:val="en-CA"/>
        </w:rPr>
        <w:t xml:space="preserve"> </w:t>
      </w:r>
      <w:r w:rsidR="004351B0" w:rsidRPr="00076CA5">
        <w:rPr>
          <w:lang w:val="en-CA"/>
        </w:rPr>
        <w:t xml:space="preserve">proposed by the appellants would not ensure a reduction in the number of </w:t>
      </w:r>
      <w:r w:rsidR="004E3337">
        <w:rPr>
          <w:lang w:val="en-CA"/>
        </w:rPr>
        <w:t>exceptional positive deviations</w:t>
      </w:r>
      <w:r w:rsidR="004351B0" w:rsidRPr="00076CA5">
        <w:rPr>
          <w:lang w:val="en-CA"/>
        </w:rPr>
        <w:t xml:space="preserve"> in the province. </w:t>
      </w:r>
      <w:r w:rsidR="00E30176" w:rsidRPr="00076CA5">
        <w:rPr>
          <w:lang w:val="en-CA"/>
        </w:rPr>
        <w:t>Pursuant to</w:t>
      </w:r>
      <w:r w:rsidR="004351B0" w:rsidRPr="00076CA5">
        <w:rPr>
          <w:lang w:val="en-CA"/>
        </w:rPr>
        <w:t xml:space="preserve"> the </w:t>
      </w:r>
      <w:r w:rsidR="004351B0" w:rsidRPr="00076CA5">
        <w:rPr>
          <w:i/>
          <w:iCs/>
          <w:lang w:val="en-CA"/>
        </w:rPr>
        <w:t>Election Act</w:t>
      </w:r>
      <w:r w:rsidR="004351B0" w:rsidRPr="00076CA5">
        <w:rPr>
          <w:lang w:val="en-CA"/>
        </w:rPr>
        <w:t xml:space="preserve">, what the </w:t>
      </w:r>
      <w:r w:rsidR="004351B0" w:rsidRPr="00076CA5">
        <w:rPr>
          <w:lang w:val="en-CA"/>
        </w:rPr>
        <w:lastRenderedPageBreak/>
        <w:t xml:space="preserve">Commission </w:t>
      </w:r>
      <w:r w:rsidR="00E30176" w:rsidRPr="00076CA5">
        <w:rPr>
          <w:lang w:val="en-CA"/>
        </w:rPr>
        <w:t>would no longer be able to mitigate would</w:t>
      </w:r>
      <w:r w:rsidR="004351B0" w:rsidRPr="00076CA5">
        <w:rPr>
          <w:lang w:val="en-CA"/>
        </w:rPr>
        <w:t xml:space="preserve"> have to be redistributed </w:t>
      </w:r>
      <w:r w:rsidR="00E30176" w:rsidRPr="00076CA5">
        <w:rPr>
          <w:lang w:val="en-CA"/>
        </w:rPr>
        <w:t xml:space="preserve">in </w:t>
      </w:r>
      <w:r w:rsidR="004351B0" w:rsidRPr="00076CA5">
        <w:rPr>
          <w:lang w:val="en-CA"/>
        </w:rPr>
        <w:t xml:space="preserve">Gaspésie or other regions with </w:t>
      </w:r>
      <w:r w:rsidR="00E30176" w:rsidRPr="00076CA5">
        <w:rPr>
          <w:lang w:val="en-CA"/>
        </w:rPr>
        <w:t>[</w:t>
      </w:r>
      <w:r w:rsidR="00825A69">
        <w:rPr>
          <w:smallCaps/>
          <w:lang w:val="en-CA"/>
        </w:rPr>
        <w:t>translation</w:t>
      </w:r>
      <w:r w:rsidR="00E30176" w:rsidRPr="00076CA5">
        <w:rPr>
          <w:lang w:val="en-CA"/>
        </w:rPr>
        <w:t xml:space="preserve">] </w:t>
      </w:r>
      <w:r w:rsidR="004351B0" w:rsidRPr="00076CA5">
        <w:rPr>
          <w:lang w:val="en-CA"/>
        </w:rPr>
        <w:t>“elector deficits”</w:t>
      </w:r>
      <w:r w:rsidR="00825A69">
        <w:rPr>
          <w:lang w:val="en-CA"/>
        </w:rPr>
        <w:t>.</w:t>
      </w:r>
      <w:r w:rsidR="004351B0" w:rsidRPr="00076CA5">
        <w:rPr>
          <w:lang w:val="en-CA"/>
        </w:rPr>
        <w:t xml:space="preserve"> </w:t>
      </w:r>
      <w:r w:rsidR="00E30176" w:rsidRPr="00076CA5">
        <w:rPr>
          <w:lang w:val="en-CA"/>
        </w:rPr>
        <w:t>Th</w:t>
      </w:r>
      <w:r w:rsidR="00825A69">
        <w:rPr>
          <w:lang w:val="en-CA"/>
        </w:rPr>
        <w:t>us</w:t>
      </w:r>
      <w:r w:rsidR="00E30176" w:rsidRPr="00076CA5">
        <w:rPr>
          <w:lang w:val="en-CA"/>
        </w:rPr>
        <w:t xml:space="preserve">, this is also not </w:t>
      </w:r>
      <w:r w:rsidR="004351B0" w:rsidRPr="00076CA5">
        <w:rPr>
          <w:lang w:val="en-CA"/>
        </w:rPr>
        <w:t>a</w:t>
      </w:r>
      <w:r w:rsidR="00825A69">
        <w:rPr>
          <w:lang w:val="en-CA"/>
        </w:rPr>
        <w:t xml:space="preserve"> </w:t>
      </w:r>
      <w:r w:rsidR="004351B0" w:rsidRPr="00076CA5">
        <w:rPr>
          <w:lang w:val="en-CA"/>
        </w:rPr>
        <w:t xml:space="preserve">“less </w:t>
      </w:r>
      <w:r w:rsidR="000C4336">
        <w:rPr>
          <w:lang w:val="en-CA"/>
        </w:rPr>
        <w:t>impairing</w:t>
      </w:r>
      <w:r w:rsidR="004351B0" w:rsidRPr="00076CA5">
        <w:rPr>
          <w:lang w:val="en-CA"/>
        </w:rPr>
        <w:t xml:space="preserve">” </w:t>
      </w:r>
      <w:r w:rsidR="004E3337">
        <w:rPr>
          <w:lang w:val="en-CA"/>
        </w:rPr>
        <w:t>solution</w:t>
      </w:r>
      <w:r w:rsidR="004351B0" w:rsidRPr="00076CA5">
        <w:rPr>
          <w:lang w:val="en-CA"/>
        </w:rPr>
        <w:t>. Nor does it pr</w:t>
      </w:r>
      <w:r w:rsidR="00E30176" w:rsidRPr="00076CA5">
        <w:rPr>
          <w:lang w:val="en-CA"/>
        </w:rPr>
        <w:t xml:space="preserve">otect </w:t>
      </w:r>
      <w:r w:rsidR="004351B0" w:rsidRPr="00076CA5">
        <w:rPr>
          <w:lang w:val="en-CA"/>
        </w:rPr>
        <w:t>the vo</w:t>
      </w:r>
      <w:r w:rsidR="00E30176" w:rsidRPr="00076CA5">
        <w:rPr>
          <w:lang w:val="en-CA"/>
        </w:rPr>
        <w:t>ices</w:t>
      </w:r>
      <w:r w:rsidR="004351B0" w:rsidRPr="00076CA5">
        <w:rPr>
          <w:lang w:val="en-CA"/>
        </w:rPr>
        <w:t xml:space="preserve"> of other regions in demographic decline </w:t>
      </w:r>
      <w:r w:rsidR="00825A69" w:rsidRPr="00076CA5">
        <w:rPr>
          <w:lang w:val="en-CA"/>
        </w:rPr>
        <w:t xml:space="preserve">to any greater degree </w:t>
      </w:r>
      <w:r w:rsidR="004351B0" w:rsidRPr="00076CA5">
        <w:rPr>
          <w:lang w:val="en-CA"/>
        </w:rPr>
        <w:t xml:space="preserve">or allow </w:t>
      </w:r>
      <w:r w:rsidR="00805A13" w:rsidRPr="00076CA5">
        <w:rPr>
          <w:lang w:val="en-CA"/>
        </w:rPr>
        <w:t>time</w:t>
      </w:r>
      <w:r w:rsidR="00387F6B" w:rsidRPr="00076CA5">
        <w:rPr>
          <w:lang w:val="en-CA"/>
        </w:rPr>
        <w:t xml:space="preserve"> </w:t>
      </w:r>
      <w:r w:rsidR="00F903CA">
        <w:rPr>
          <w:lang w:val="en-CA"/>
        </w:rPr>
        <w:t>to</w:t>
      </w:r>
      <w:r w:rsidR="004351B0" w:rsidRPr="00076CA5">
        <w:rPr>
          <w:lang w:val="en-CA"/>
        </w:rPr>
        <w:t xml:space="preserve"> reflect on rebalancing the criteria of the </w:t>
      </w:r>
      <w:r w:rsidR="004351B0" w:rsidRPr="00076CA5">
        <w:rPr>
          <w:i/>
          <w:iCs/>
          <w:lang w:val="en-CA"/>
        </w:rPr>
        <w:t>Election Act</w:t>
      </w:r>
      <w:r w:rsidR="004351B0" w:rsidRPr="00076CA5">
        <w:rPr>
          <w:lang w:val="en-CA"/>
        </w:rPr>
        <w:t>.</w:t>
      </w:r>
    </w:p>
    <w:p w14:paraId="72C8160A" w14:textId="77777777" w:rsidR="006D4B37" w:rsidRPr="00076CA5" w:rsidRDefault="004351B0" w:rsidP="006D4B37">
      <w:pPr>
        <w:pStyle w:val="Titre1"/>
      </w:pPr>
      <w:r w:rsidRPr="00076CA5">
        <w:rPr>
          <w:bCs/>
          <w:lang w:val="en-CA"/>
        </w:rPr>
        <w:t>DISCUSSION</w:t>
      </w:r>
    </w:p>
    <w:p w14:paraId="01027FCA" w14:textId="77777777" w:rsidR="006D4B37" w:rsidRPr="00076CA5" w:rsidRDefault="004351B0" w:rsidP="006D4B37">
      <w:pPr>
        <w:pStyle w:val="Titre2"/>
      </w:pPr>
      <w:r w:rsidRPr="00076CA5">
        <w:rPr>
          <w:bCs/>
          <w:iCs/>
          <w:lang w:val="en-CA"/>
        </w:rPr>
        <w:t>Applicable law</w:t>
      </w:r>
    </w:p>
    <w:p w14:paraId="57ED0920" w14:textId="77777777" w:rsidR="006D4B37" w:rsidRPr="00076CA5" w:rsidRDefault="004351B0" w:rsidP="006D4B37">
      <w:pPr>
        <w:pStyle w:val="aParagraphe"/>
        <w:numPr>
          <w:ilvl w:val="0"/>
          <w:numId w:val="18"/>
        </w:numPr>
        <w:spacing w:line="280" w:lineRule="exact"/>
        <w:rPr>
          <w:lang w:val="en-CA"/>
        </w:rPr>
      </w:pPr>
      <w:r w:rsidRPr="00076CA5">
        <w:rPr>
          <w:lang w:val="en-CA"/>
        </w:rPr>
        <w:t xml:space="preserve">Section 3 of the </w:t>
      </w:r>
      <w:r w:rsidRPr="00076CA5">
        <w:rPr>
          <w:i/>
          <w:iCs/>
          <w:lang w:val="en-CA"/>
        </w:rPr>
        <w:t>Charter</w:t>
      </w:r>
      <w:r w:rsidRPr="00076CA5">
        <w:rPr>
          <w:lang w:val="en-CA"/>
        </w:rPr>
        <w:t xml:space="preserve"> reads as follows: </w:t>
      </w:r>
    </w:p>
    <w:tbl>
      <w:tblPr>
        <w:tblW w:w="0" w:type="auto"/>
        <w:tblLayout w:type="fixed"/>
        <w:tblCellMar>
          <w:left w:w="70" w:type="dxa"/>
          <w:right w:w="70" w:type="dxa"/>
        </w:tblCellMar>
        <w:tblLook w:val="0000" w:firstRow="0" w:lastRow="0" w:firstColumn="0" w:lastColumn="0" w:noHBand="0" w:noVBand="0"/>
      </w:tblPr>
      <w:tblGrid>
        <w:gridCol w:w="4681"/>
        <w:gridCol w:w="4681"/>
      </w:tblGrid>
      <w:tr w:rsidR="00E6606D" w:rsidRPr="00076CA5" w14:paraId="47A08854" w14:textId="77777777" w:rsidTr="00D37B39">
        <w:tc>
          <w:tcPr>
            <w:tcW w:w="4681" w:type="dxa"/>
          </w:tcPr>
          <w:p w14:paraId="3B83F8ED" w14:textId="2C7EE99F" w:rsidR="006D4B37" w:rsidRPr="00145125" w:rsidRDefault="004351B0" w:rsidP="00D37B39">
            <w:pPr>
              <w:pStyle w:val="Tableaugauchefranais"/>
              <w:tabs>
                <w:tab w:val="left" w:pos="1127"/>
              </w:tabs>
              <w:jc w:val="both"/>
              <w:rPr>
                <w:lang w:val="en-CA"/>
              </w:rPr>
            </w:pPr>
            <w:r w:rsidRPr="00145125">
              <w:rPr>
                <w:lang w:val="en-CA"/>
              </w:rPr>
              <w:t xml:space="preserve">3     </w:t>
            </w:r>
            <w:r w:rsidR="00285D5E" w:rsidRPr="00145125">
              <w:rPr>
                <w:lang w:val="en-CA"/>
              </w:rPr>
              <w:t xml:space="preserve">     Every citizen of Canada has the right to vote in an election of members of the House of Commons or of a legislative assembly and to be qualified for membership therein.</w:t>
            </w:r>
          </w:p>
        </w:tc>
        <w:tc>
          <w:tcPr>
            <w:tcW w:w="4681" w:type="dxa"/>
          </w:tcPr>
          <w:p w14:paraId="50F17B68" w14:textId="52A6A8A3" w:rsidR="006D4B37" w:rsidRPr="00145125" w:rsidRDefault="004351B0" w:rsidP="00D37B39">
            <w:pPr>
              <w:pStyle w:val="Tableaudroiteanglais"/>
              <w:rPr>
                <w:lang w:val="fr-CA"/>
              </w:rPr>
            </w:pPr>
            <w:r w:rsidRPr="00145125">
              <w:rPr>
                <w:lang w:val="fr-CA"/>
              </w:rPr>
              <w:t>3</w:t>
            </w:r>
            <w:r w:rsidR="00285D5E" w:rsidRPr="00145125">
              <w:rPr>
                <w:lang w:val="fr-CA"/>
              </w:rPr>
              <w:t xml:space="preserve">             Tout citoyen canadien a le droit de vote et est éligible aux élections législatives fédérales ou provinciales.</w:t>
            </w:r>
          </w:p>
          <w:p w14:paraId="5B18206B" w14:textId="77777777" w:rsidR="006D4B37" w:rsidRPr="00145125" w:rsidRDefault="006D4B37" w:rsidP="00D37B39">
            <w:pPr>
              <w:pStyle w:val="Tableaudroiteanglais"/>
              <w:rPr>
                <w:lang w:val="fr-CA"/>
              </w:rPr>
            </w:pPr>
          </w:p>
        </w:tc>
      </w:tr>
      <w:tr w:rsidR="00285D5E" w:rsidRPr="00076CA5" w14:paraId="215481A3" w14:textId="77777777" w:rsidTr="00D37B39">
        <w:tc>
          <w:tcPr>
            <w:tcW w:w="4681" w:type="dxa"/>
          </w:tcPr>
          <w:p w14:paraId="537A7345" w14:textId="77777777" w:rsidR="00285D5E" w:rsidRPr="00285D5E" w:rsidRDefault="00285D5E" w:rsidP="00D37B39">
            <w:pPr>
              <w:pStyle w:val="Tableaugauchefranais"/>
              <w:tabs>
                <w:tab w:val="left" w:pos="1127"/>
              </w:tabs>
              <w:jc w:val="both"/>
            </w:pPr>
          </w:p>
        </w:tc>
        <w:tc>
          <w:tcPr>
            <w:tcW w:w="4681" w:type="dxa"/>
          </w:tcPr>
          <w:p w14:paraId="1BA4EE3E" w14:textId="77777777" w:rsidR="00285D5E" w:rsidRPr="00145125" w:rsidRDefault="00285D5E" w:rsidP="00D37B39">
            <w:pPr>
              <w:pStyle w:val="Tableaudroiteanglais"/>
              <w:rPr>
                <w:lang w:val="fr-CA"/>
              </w:rPr>
            </w:pPr>
          </w:p>
        </w:tc>
      </w:tr>
    </w:tbl>
    <w:p w14:paraId="749AE816" w14:textId="0CA29497" w:rsidR="006D4B37" w:rsidRPr="00076CA5" w:rsidRDefault="004351B0" w:rsidP="006D4B37">
      <w:pPr>
        <w:pStyle w:val="aParagraphe"/>
        <w:numPr>
          <w:ilvl w:val="0"/>
          <w:numId w:val="18"/>
        </w:numPr>
        <w:spacing w:line="280" w:lineRule="exact"/>
        <w:rPr>
          <w:lang w:val="en-CA"/>
        </w:rPr>
      </w:pPr>
      <w:r w:rsidRPr="007959A7">
        <w:rPr>
          <w:lang w:val="en-CA"/>
        </w:rPr>
        <w:t xml:space="preserve">The </w:t>
      </w:r>
      <w:r w:rsidR="004E3337">
        <w:rPr>
          <w:lang w:val="en-CA"/>
        </w:rPr>
        <w:t>framers</w:t>
      </w:r>
      <w:r w:rsidRPr="00076CA5">
        <w:rPr>
          <w:lang w:val="en-CA"/>
        </w:rPr>
        <w:t xml:space="preserve"> of the </w:t>
      </w:r>
      <w:r w:rsidRPr="00076CA5">
        <w:rPr>
          <w:i/>
          <w:iCs/>
          <w:lang w:val="en-CA"/>
        </w:rPr>
        <w:t>Charter</w:t>
      </w:r>
      <w:r w:rsidRPr="00076CA5">
        <w:rPr>
          <w:lang w:val="en-CA"/>
        </w:rPr>
        <w:t xml:space="preserve"> emphasized the special importance of </w:t>
      </w:r>
      <w:r w:rsidR="00805A13" w:rsidRPr="00076CA5">
        <w:rPr>
          <w:lang w:val="en-CA"/>
        </w:rPr>
        <w:t>s</w:t>
      </w:r>
      <w:r w:rsidRPr="00076CA5">
        <w:rPr>
          <w:lang w:val="en-CA"/>
        </w:rPr>
        <w:t xml:space="preserve">ection 3, notably by exempting it from the application of </w:t>
      </w:r>
      <w:r w:rsidR="00805A13" w:rsidRPr="00076CA5">
        <w:rPr>
          <w:lang w:val="en-CA"/>
        </w:rPr>
        <w:t>s</w:t>
      </w:r>
      <w:r w:rsidRPr="00076CA5">
        <w:rPr>
          <w:lang w:val="en-CA"/>
        </w:rPr>
        <w:t xml:space="preserve">ection 33 (the notwithstanding clause), </w:t>
      </w:r>
      <w:r w:rsidR="007959A7">
        <w:rPr>
          <w:lang w:val="en-CA"/>
        </w:rPr>
        <w:t>such</w:t>
      </w:r>
      <w:r w:rsidRPr="00076CA5">
        <w:rPr>
          <w:lang w:val="en-CA"/>
        </w:rPr>
        <w:t xml:space="preserve"> that any </w:t>
      </w:r>
      <w:r w:rsidR="0052553A" w:rsidRPr="00076CA5">
        <w:rPr>
          <w:lang w:val="en-CA"/>
        </w:rPr>
        <w:t xml:space="preserve">intrusion on </w:t>
      </w:r>
      <w:r w:rsidRPr="00076CA5">
        <w:rPr>
          <w:lang w:val="en-CA"/>
        </w:rPr>
        <w:t xml:space="preserve">this </w:t>
      </w:r>
      <w:r w:rsidR="0052553A" w:rsidRPr="00076CA5">
        <w:rPr>
          <w:lang w:val="en-CA"/>
        </w:rPr>
        <w:t>core</w:t>
      </w:r>
      <w:r w:rsidRPr="00076CA5">
        <w:rPr>
          <w:lang w:val="en-CA"/>
        </w:rPr>
        <w:t xml:space="preserve"> democratic right </w:t>
      </w:r>
      <w:bookmarkStart w:id="20" w:name="_Hlk213000544"/>
      <w:r w:rsidRPr="00076CA5">
        <w:rPr>
          <w:lang w:val="en-CA"/>
        </w:rPr>
        <w:t xml:space="preserve">must be </w:t>
      </w:r>
      <w:r w:rsidR="007959A7">
        <w:rPr>
          <w:lang w:val="en-CA"/>
        </w:rPr>
        <w:t>reviewed</w:t>
      </w:r>
      <w:r w:rsidRPr="00076CA5">
        <w:rPr>
          <w:lang w:val="en-CA"/>
        </w:rPr>
        <w:t xml:space="preserve"> </w:t>
      </w:r>
      <w:r w:rsidR="007959A7">
        <w:rPr>
          <w:lang w:val="en-CA"/>
        </w:rPr>
        <w:t>on the basis of</w:t>
      </w:r>
      <w:r w:rsidRPr="00076CA5">
        <w:rPr>
          <w:lang w:val="en-CA"/>
        </w:rPr>
        <w:t xml:space="preserve"> a </w:t>
      </w:r>
      <w:r w:rsidR="0052553A" w:rsidRPr="00076CA5">
        <w:rPr>
          <w:lang w:val="en-CA"/>
        </w:rPr>
        <w:t>stringent</w:t>
      </w:r>
      <w:r w:rsidRPr="00076CA5">
        <w:rPr>
          <w:lang w:val="en-CA"/>
        </w:rPr>
        <w:t xml:space="preserve"> justification</w:t>
      </w:r>
      <w:bookmarkStart w:id="21" w:name="_Ref214455187"/>
      <w:bookmarkEnd w:id="20"/>
      <w:r w:rsidR="0052553A" w:rsidRPr="00076CA5">
        <w:rPr>
          <w:lang w:val="en-CA"/>
        </w:rPr>
        <w:t xml:space="preserve"> standard</w:t>
      </w:r>
      <w:r w:rsidRPr="00076CA5">
        <w:rPr>
          <w:rStyle w:val="Appelnotedebasdep"/>
          <w:lang w:val="en-CA"/>
        </w:rPr>
        <w:footnoteReference w:id="57"/>
      </w:r>
      <w:bookmarkEnd w:id="21"/>
      <w:r w:rsidRPr="00076CA5">
        <w:rPr>
          <w:lang w:val="en-CA"/>
        </w:rPr>
        <w:t xml:space="preserve"> without, however, placing a heavier burden on the government in the context of this right</w:t>
      </w:r>
      <w:bookmarkStart w:id="23" w:name="_Hlk213000550"/>
      <w:r w:rsidRPr="00076CA5">
        <w:rPr>
          <w:lang w:val="en-CA"/>
        </w:rPr>
        <w:t xml:space="preserve"> than in the context of the other rights guaranteed by the </w:t>
      </w:r>
      <w:r w:rsidRPr="00076CA5">
        <w:rPr>
          <w:i/>
          <w:iCs/>
          <w:lang w:val="en-CA"/>
        </w:rPr>
        <w:t>Charter</w:t>
      </w:r>
      <w:r w:rsidR="00805A13" w:rsidRPr="00076CA5">
        <w:rPr>
          <w:i/>
          <w:iCs/>
          <w:lang w:val="en-CA"/>
        </w:rPr>
        <w:t>.</w:t>
      </w:r>
      <w:r w:rsidRPr="00076CA5">
        <w:rPr>
          <w:rStyle w:val="Appelnotedebasdep"/>
          <w:lang w:val="en-CA"/>
        </w:rPr>
        <w:footnoteReference w:id="58"/>
      </w:r>
      <w:bookmarkEnd w:id="23"/>
    </w:p>
    <w:p w14:paraId="5DCB785C" w14:textId="43EBEF07" w:rsidR="006D4B37" w:rsidRPr="00076CA5" w:rsidRDefault="004351B0" w:rsidP="006D4B37">
      <w:pPr>
        <w:pStyle w:val="aParagraphe"/>
        <w:numPr>
          <w:ilvl w:val="0"/>
          <w:numId w:val="18"/>
        </w:numPr>
        <w:spacing w:line="280" w:lineRule="exact"/>
        <w:rPr>
          <w:lang w:val="en-CA"/>
        </w:rPr>
      </w:pPr>
      <w:r w:rsidRPr="00076CA5">
        <w:rPr>
          <w:lang w:val="en-CA"/>
        </w:rPr>
        <w:t xml:space="preserve">In </w:t>
      </w:r>
      <w:r w:rsidR="004401FB" w:rsidRPr="00145125">
        <w:rPr>
          <w:i/>
          <w:iCs/>
          <w:lang w:val="en-CA"/>
        </w:rPr>
        <w:t>Reference re Prov.</w:t>
      </w:r>
      <w:r w:rsidRPr="00076CA5">
        <w:rPr>
          <w:i/>
          <w:iCs/>
          <w:lang w:val="en-CA"/>
        </w:rPr>
        <w:t xml:space="preserve"> Electoral </w:t>
      </w:r>
      <w:r w:rsidR="00805A13" w:rsidRPr="00076CA5">
        <w:rPr>
          <w:i/>
          <w:iCs/>
          <w:lang w:val="en-CA"/>
        </w:rPr>
        <w:t>Boundaries</w:t>
      </w:r>
      <w:r w:rsidRPr="00076CA5">
        <w:rPr>
          <w:i/>
          <w:iCs/>
          <w:lang w:val="en-CA"/>
        </w:rPr>
        <w:t xml:space="preserve"> (Sask.)</w:t>
      </w:r>
      <w:bookmarkStart w:id="24" w:name="_Ref214455382"/>
      <w:r w:rsidR="00805A13" w:rsidRPr="005E320D">
        <w:rPr>
          <w:lang w:val="en-CA"/>
        </w:rPr>
        <w:t>,</w:t>
      </w:r>
      <w:r w:rsidRPr="00076CA5">
        <w:rPr>
          <w:vertAlign w:val="superscript"/>
          <w:lang w:val="en-CA"/>
        </w:rPr>
        <w:footnoteReference w:id="59"/>
      </w:r>
      <w:bookmarkEnd w:id="24"/>
      <w:r w:rsidRPr="00076CA5">
        <w:rPr>
          <w:lang w:val="en-CA"/>
        </w:rPr>
        <w:t xml:space="preserve"> a case dealing with the delimitation of electoral divisions, the </w:t>
      </w:r>
      <w:r w:rsidR="00805A13" w:rsidRPr="00076CA5">
        <w:rPr>
          <w:lang w:val="en-CA"/>
        </w:rPr>
        <w:t>Supreme</w:t>
      </w:r>
      <w:r w:rsidR="00387F6B" w:rsidRPr="00076CA5">
        <w:rPr>
          <w:lang w:val="en-CA"/>
        </w:rPr>
        <w:t xml:space="preserve"> </w:t>
      </w:r>
      <w:r w:rsidRPr="00076CA5">
        <w:rPr>
          <w:lang w:val="en-CA"/>
        </w:rPr>
        <w:t xml:space="preserve">Court </w:t>
      </w:r>
      <w:r w:rsidR="00805A13" w:rsidRPr="00076CA5">
        <w:rPr>
          <w:lang w:val="en-CA"/>
        </w:rPr>
        <w:t>ruled</w:t>
      </w:r>
      <w:r w:rsidRPr="00076CA5">
        <w:rPr>
          <w:lang w:val="en-CA"/>
        </w:rPr>
        <w:t xml:space="preserve"> that the purpose of the right to vote is not </w:t>
      </w:r>
      <w:r w:rsidR="00E601E1" w:rsidRPr="00076CA5">
        <w:rPr>
          <w:lang w:val="en-CA"/>
        </w:rPr>
        <w:t>voting</w:t>
      </w:r>
      <w:r w:rsidRPr="00076CA5">
        <w:rPr>
          <w:lang w:val="en-CA"/>
        </w:rPr>
        <w:t xml:space="preserve"> power</w:t>
      </w:r>
      <w:r w:rsidR="00805A13" w:rsidRPr="00076CA5">
        <w:rPr>
          <w:lang w:val="en-CA"/>
        </w:rPr>
        <w:t xml:space="preserve"> parity</w:t>
      </w:r>
      <w:r w:rsidRPr="00076CA5">
        <w:rPr>
          <w:lang w:val="en-CA"/>
        </w:rPr>
        <w:t>, but the right to “effective representation”</w:t>
      </w:r>
      <w:bookmarkStart w:id="25" w:name="_Ref214367399"/>
      <w:r w:rsidR="00043F4F">
        <w:rPr>
          <w:lang w:val="en-CA"/>
        </w:rPr>
        <w:t>.</w:t>
      </w:r>
      <w:r w:rsidRPr="00076CA5">
        <w:rPr>
          <w:rStyle w:val="Appelnotedebasdep"/>
          <w:lang w:val="en-CA"/>
        </w:rPr>
        <w:footnoteReference w:id="60"/>
      </w:r>
      <w:bookmarkEnd w:id="25"/>
      <w:r w:rsidRPr="00076CA5">
        <w:rPr>
          <w:lang w:val="en-CA"/>
        </w:rPr>
        <w:t xml:space="preserve"> Effective representation </w:t>
      </w:r>
      <w:r w:rsidR="00043F4F">
        <w:rPr>
          <w:lang w:val="en-CA"/>
        </w:rPr>
        <w:t>comprehends the idea of having</w:t>
      </w:r>
      <w:r w:rsidRPr="00076CA5">
        <w:rPr>
          <w:lang w:val="en-CA"/>
        </w:rPr>
        <w:t xml:space="preserve"> a voice in </w:t>
      </w:r>
      <w:r w:rsidR="00043F4F">
        <w:rPr>
          <w:lang w:val="en-CA"/>
        </w:rPr>
        <w:t xml:space="preserve">the deliberations of </w:t>
      </w:r>
      <w:r w:rsidRPr="00076CA5">
        <w:rPr>
          <w:lang w:val="en-CA"/>
        </w:rPr>
        <w:t xml:space="preserve">government </w:t>
      </w:r>
      <w:r w:rsidR="005E320D">
        <w:rPr>
          <w:lang w:val="en-CA"/>
        </w:rPr>
        <w:t>as well as</w:t>
      </w:r>
      <w:r w:rsidRPr="00076CA5">
        <w:rPr>
          <w:lang w:val="en-CA"/>
        </w:rPr>
        <w:t xml:space="preserve"> </w:t>
      </w:r>
      <w:r w:rsidR="00043F4F">
        <w:rPr>
          <w:lang w:val="en-CA"/>
        </w:rPr>
        <w:t xml:space="preserve">the idea of the right </w:t>
      </w:r>
      <w:r w:rsidRPr="00076CA5">
        <w:rPr>
          <w:lang w:val="en-CA"/>
        </w:rPr>
        <w:t xml:space="preserve">to </w:t>
      </w:r>
      <w:r w:rsidR="00805A13" w:rsidRPr="00076CA5">
        <w:rPr>
          <w:lang w:val="en-CA"/>
        </w:rPr>
        <w:t xml:space="preserve">bring </w:t>
      </w:r>
      <w:r w:rsidR="00043F4F">
        <w:rPr>
          <w:lang w:val="en-CA"/>
        </w:rPr>
        <w:t>one’</w:t>
      </w:r>
      <w:r w:rsidR="005E320D">
        <w:rPr>
          <w:lang w:val="en-CA"/>
        </w:rPr>
        <w:t xml:space="preserve">s </w:t>
      </w:r>
      <w:r w:rsidR="00805A13" w:rsidRPr="00076CA5">
        <w:rPr>
          <w:lang w:val="en-CA"/>
        </w:rPr>
        <w:t xml:space="preserve">concerns to the attention of </w:t>
      </w:r>
      <w:r w:rsidR="00043F4F">
        <w:rPr>
          <w:lang w:val="en-CA"/>
        </w:rPr>
        <w:t>one’s government representative</w:t>
      </w:r>
      <w:r w:rsidR="00805A13" w:rsidRPr="00076CA5">
        <w:rPr>
          <w:lang w:val="en-CA"/>
        </w:rPr>
        <w:t>.</w:t>
      </w:r>
      <w:r w:rsidRPr="00076CA5">
        <w:rPr>
          <w:vertAlign w:val="superscript"/>
          <w:lang w:val="en-CA"/>
        </w:rPr>
        <w:footnoteReference w:id="61"/>
      </w:r>
      <w:r w:rsidRPr="00076CA5">
        <w:rPr>
          <w:lang w:val="en-CA"/>
        </w:rPr>
        <w:t xml:space="preserve"> The main purpose of </w:t>
      </w:r>
      <w:r w:rsidR="00805A13" w:rsidRPr="00076CA5">
        <w:rPr>
          <w:lang w:val="en-CA"/>
        </w:rPr>
        <w:t>s</w:t>
      </w:r>
      <w:r w:rsidRPr="00076CA5">
        <w:rPr>
          <w:lang w:val="en-CA"/>
        </w:rPr>
        <w:t xml:space="preserve">ection 3 is </w:t>
      </w:r>
      <w:r w:rsidR="00043F4F">
        <w:rPr>
          <w:lang w:val="en-CA"/>
        </w:rPr>
        <w:t>for voters to be</w:t>
      </w:r>
      <w:r w:rsidRPr="00076CA5">
        <w:rPr>
          <w:lang w:val="en-CA"/>
        </w:rPr>
        <w:t xml:space="preserve"> effective</w:t>
      </w:r>
      <w:r w:rsidR="00043F4F">
        <w:rPr>
          <w:lang w:val="en-CA"/>
        </w:rPr>
        <w:t>ly represented</w:t>
      </w:r>
      <w:r w:rsidRPr="00076CA5">
        <w:rPr>
          <w:lang w:val="en-CA"/>
        </w:rPr>
        <w:t xml:space="preserve"> in government and to play a meaningful role in the electoral process</w:t>
      </w:r>
      <w:r w:rsidR="00805A13" w:rsidRPr="00076CA5">
        <w:rPr>
          <w:lang w:val="en-CA"/>
        </w:rPr>
        <w:t>.</w:t>
      </w:r>
      <w:r w:rsidRPr="00076CA5">
        <w:rPr>
          <w:vertAlign w:val="superscript"/>
          <w:lang w:val="en-CA"/>
        </w:rPr>
        <w:footnoteReference w:id="62"/>
      </w:r>
    </w:p>
    <w:p w14:paraId="61D55808" w14:textId="7026C4D9" w:rsidR="006D4B37" w:rsidRPr="00076CA5" w:rsidRDefault="004351B0" w:rsidP="006D4B37">
      <w:pPr>
        <w:pStyle w:val="aParagraphe"/>
        <w:numPr>
          <w:ilvl w:val="0"/>
          <w:numId w:val="18"/>
        </w:numPr>
        <w:spacing w:line="280" w:lineRule="exact"/>
        <w:rPr>
          <w:lang w:val="en-CA"/>
        </w:rPr>
      </w:pPr>
      <w:r w:rsidRPr="00076CA5">
        <w:rPr>
          <w:lang w:val="en-CA"/>
        </w:rPr>
        <w:lastRenderedPageBreak/>
        <w:t xml:space="preserve">This effective representation is not unconditional. The system must not unduly dilute the vote of one citizen </w:t>
      </w:r>
      <w:r w:rsidR="00E601E1" w:rsidRPr="00076CA5">
        <w:rPr>
          <w:lang w:val="en-CA"/>
        </w:rPr>
        <w:t xml:space="preserve">as </w:t>
      </w:r>
      <w:r w:rsidRPr="00076CA5">
        <w:rPr>
          <w:lang w:val="en-CA"/>
        </w:rPr>
        <w:t xml:space="preserve">compared </w:t>
      </w:r>
      <w:r w:rsidR="00E601E1" w:rsidRPr="00076CA5">
        <w:rPr>
          <w:lang w:val="en-CA"/>
        </w:rPr>
        <w:t>with</w:t>
      </w:r>
      <w:r w:rsidRPr="00076CA5">
        <w:rPr>
          <w:lang w:val="en-CA"/>
        </w:rPr>
        <w:t xml:space="preserve"> that of another (relative parity of </w:t>
      </w:r>
      <w:r w:rsidR="00E601E1" w:rsidRPr="00076CA5">
        <w:rPr>
          <w:lang w:val="en-CA"/>
        </w:rPr>
        <w:t>voting</w:t>
      </w:r>
      <w:r w:rsidRPr="00076CA5">
        <w:rPr>
          <w:lang w:val="en-CA"/>
        </w:rPr>
        <w:t xml:space="preserve"> power)</w:t>
      </w:r>
      <w:r w:rsidR="00E601E1" w:rsidRPr="00076CA5">
        <w:rPr>
          <w:lang w:val="en-CA"/>
        </w:rPr>
        <w:t>.</w:t>
      </w:r>
      <w:r w:rsidRPr="00076CA5">
        <w:rPr>
          <w:vertAlign w:val="superscript"/>
          <w:lang w:val="en-CA"/>
        </w:rPr>
        <w:footnoteReference w:id="63"/>
      </w:r>
      <w:r w:rsidRPr="00076CA5">
        <w:rPr>
          <w:lang w:val="en-CA"/>
        </w:rPr>
        <w:t xml:space="preserve"> </w:t>
      </w:r>
      <w:r w:rsidR="00E601E1" w:rsidRPr="00076CA5">
        <w:rPr>
          <w:lang w:val="en-CA"/>
        </w:rPr>
        <w:t>This means that a departure from</w:t>
      </w:r>
      <w:r w:rsidRPr="00076CA5">
        <w:rPr>
          <w:lang w:val="en-CA"/>
        </w:rPr>
        <w:t xml:space="preserve"> “absolute </w:t>
      </w:r>
      <w:r w:rsidR="00E601E1" w:rsidRPr="00076CA5">
        <w:rPr>
          <w:lang w:val="en-CA"/>
        </w:rPr>
        <w:t>voter parity</w:t>
      </w:r>
      <w:r w:rsidRPr="00076CA5">
        <w:rPr>
          <w:lang w:val="en-CA"/>
        </w:rPr>
        <w:t xml:space="preserve">” </w:t>
      </w:r>
      <w:r w:rsidR="00E601E1" w:rsidRPr="00076CA5">
        <w:rPr>
          <w:lang w:val="en-CA"/>
        </w:rPr>
        <w:t>may</w:t>
      </w:r>
      <w:r w:rsidRPr="00076CA5">
        <w:rPr>
          <w:lang w:val="en-CA"/>
        </w:rPr>
        <w:t xml:space="preserve"> be justified to take </w:t>
      </w:r>
      <w:r w:rsidR="00E601E1" w:rsidRPr="00076CA5">
        <w:rPr>
          <w:lang w:val="en-CA"/>
        </w:rPr>
        <w:t xml:space="preserve">into </w:t>
      </w:r>
      <w:r w:rsidRPr="00076CA5">
        <w:rPr>
          <w:lang w:val="en-CA"/>
        </w:rPr>
        <w:t>account factors also aimed at effective representation, such as geograph</w:t>
      </w:r>
      <w:r w:rsidR="00E601E1" w:rsidRPr="00076CA5">
        <w:rPr>
          <w:lang w:val="en-CA"/>
        </w:rPr>
        <w:t>y</w:t>
      </w:r>
      <w:r w:rsidRPr="00076CA5">
        <w:rPr>
          <w:lang w:val="en-CA"/>
        </w:rPr>
        <w:t>, community history</w:t>
      </w:r>
      <w:r w:rsidR="00610785">
        <w:rPr>
          <w:lang w:val="en-CA"/>
        </w:rPr>
        <w:t>,</w:t>
      </w:r>
      <w:r w:rsidRPr="00076CA5">
        <w:rPr>
          <w:lang w:val="en-CA"/>
        </w:rPr>
        <w:t xml:space="preserve"> </w:t>
      </w:r>
      <w:r w:rsidR="00610785">
        <w:rPr>
          <w:lang w:val="en-CA"/>
        </w:rPr>
        <w:t>community</w:t>
      </w:r>
      <w:r w:rsidRPr="00076CA5">
        <w:rPr>
          <w:lang w:val="en-CA"/>
        </w:rPr>
        <w:t xml:space="preserve"> interests, and </w:t>
      </w:r>
      <w:r w:rsidR="00E601E1" w:rsidRPr="00076CA5">
        <w:rPr>
          <w:lang w:val="en-CA"/>
        </w:rPr>
        <w:t xml:space="preserve">minority </w:t>
      </w:r>
      <w:r w:rsidRPr="00076CA5">
        <w:rPr>
          <w:lang w:val="en-CA"/>
        </w:rPr>
        <w:t>representation</w:t>
      </w:r>
      <w:r w:rsidRPr="00076CA5">
        <w:rPr>
          <w:rStyle w:val="Appelnotedebasdep"/>
          <w:lang w:val="en-CA"/>
        </w:rPr>
        <w:footnoteReference w:id="64"/>
      </w:r>
      <w:r w:rsidRPr="00076CA5">
        <w:rPr>
          <w:lang w:val="en-CA"/>
        </w:rPr>
        <w:t xml:space="preserve">—as codified in </w:t>
      </w:r>
      <w:r w:rsidR="00E601E1" w:rsidRPr="00076CA5">
        <w:rPr>
          <w:lang w:val="en-CA"/>
        </w:rPr>
        <w:t>s</w:t>
      </w:r>
      <w:r w:rsidRPr="00076CA5">
        <w:rPr>
          <w:lang w:val="en-CA"/>
        </w:rPr>
        <w:t xml:space="preserve">ection 15 of the </w:t>
      </w:r>
      <w:r w:rsidRPr="00076CA5">
        <w:rPr>
          <w:i/>
          <w:iCs/>
          <w:lang w:val="en-CA"/>
        </w:rPr>
        <w:t>Election Act</w:t>
      </w:r>
      <w:r w:rsidRPr="00076CA5">
        <w:rPr>
          <w:lang w:val="en-CA"/>
        </w:rPr>
        <w:t xml:space="preserve">. It should also be noted that absolute parity is, in practice, unattainable, as it is </w:t>
      </w:r>
      <w:r w:rsidR="00E601E1" w:rsidRPr="00076CA5">
        <w:rPr>
          <w:lang w:val="en-CA"/>
        </w:rPr>
        <w:t>im</w:t>
      </w:r>
      <w:r w:rsidRPr="00076CA5">
        <w:rPr>
          <w:lang w:val="en-CA"/>
        </w:rPr>
        <w:t>possible to guarantee that each di</w:t>
      </w:r>
      <w:r w:rsidR="00E601E1" w:rsidRPr="00076CA5">
        <w:rPr>
          <w:lang w:val="en-CA"/>
        </w:rPr>
        <w:t xml:space="preserve">vision has </w:t>
      </w:r>
      <w:r w:rsidRPr="00076CA5">
        <w:rPr>
          <w:lang w:val="en-CA"/>
        </w:rPr>
        <w:t xml:space="preserve">exactly the </w:t>
      </w:r>
      <w:r w:rsidR="00E601E1" w:rsidRPr="00076CA5">
        <w:rPr>
          <w:lang w:val="en-CA"/>
        </w:rPr>
        <w:t>same</w:t>
      </w:r>
      <w:r w:rsidR="00387F6B" w:rsidRPr="00076CA5">
        <w:rPr>
          <w:lang w:val="en-CA"/>
        </w:rPr>
        <w:t xml:space="preserve"> </w:t>
      </w:r>
      <w:r w:rsidRPr="00076CA5">
        <w:rPr>
          <w:lang w:val="en-CA"/>
        </w:rPr>
        <w:t xml:space="preserve">number of </w:t>
      </w:r>
      <w:r w:rsidR="00E601E1" w:rsidRPr="00076CA5">
        <w:rPr>
          <w:lang w:val="en-CA"/>
        </w:rPr>
        <w:t>electors.</w:t>
      </w:r>
      <w:r w:rsidRPr="00076CA5">
        <w:rPr>
          <w:vertAlign w:val="superscript"/>
          <w:lang w:val="en-CA"/>
        </w:rPr>
        <w:footnoteReference w:id="65"/>
      </w:r>
    </w:p>
    <w:p w14:paraId="509F195A" w14:textId="0B11E05E" w:rsidR="006D4B37" w:rsidRPr="00076CA5" w:rsidRDefault="004351B0" w:rsidP="006D4B37">
      <w:pPr>
        <w:pStyle w:val="aParagraphe"/>
        <w:numPr>
          <w:ilvl w:val="0"/>
          <w:numId w:val="18"/>
        </w:numPr>
        <w:spacing w:line="280" w:lineRule="exact"/>
        <w:rPr>
          <w:lang w:val="en-CA"/>
        </w:rPr>
      </w:pPr>
      <w:r w:rsidRPr="00076CA5">
        <w:rPr>
          <w:lang w:val="en-CA"/>
        </w:rPr>
        <w:t>The Chief Electoral Officer (“</w:t>
      </w:r>
      <w:r w:rsidRPr="00076CA5">
        <w:rPr>
          <w:b/>
          <w:bCs/>
          <w:lang w:val="en-CA"/>
        </w:rPr>
        <w:t>CEO</w:t>
      </w:r>
      <w:r w:rsidRPr="00076CA5">
        <w:rPr>
          <w:lang w:val="en-CA"/>
        </w:rPr>
        <w:t>”) interpret</w:t>
      </w:r>
      <w:r w:rsidR="00E601E1" w:rsidRPr="00076CA5">
        <w:rPr>
          <w:lang w:val="en-CA"/>
        </w:rPr>
        <w:t>ed</w:t>
      </w:r>
      <w:r w:rsidRPr="00076CA5">
        <w:rPr>
          <w:lang w:val="en-CA"/>
        </w:rPr>
        <w:t xml:space="preserve"> the </w:t>
      </w:r>
      <w:r w:rsidR="00E601E1" w:rsidRPr="00076CA5">
        <w:rPr>
          <w:lang w:val="en-CA"/>
        </w:rPr>
        <w:t>concept</w:t>
      </w:r>
      <w:r w:rsidRPr="00076CA5">
        <w:rPr>
          <w:lang w:val="en-CA"/>
        </w:rPr>
        <w:t xml:space="preserve"> of effective representation in his November 2024 report as follows: </w:t>
      </w:r>
      <w:r w:rsidR="00E601E1" w:rsidRPr="00076CA5">
        <w:rPr>
          <w:lang w:val="en-CA"/>
        </w:rPr>
        <w:t>[</w:t>
      </w:r>
      <w:r w:rsidR="0087275A">
        <w:rPr>
          <w:smallCaps/>
          <w:lang w:val="en-CA"/>
        </w:rPr>
        <w:t>translation</w:t>
      </w:r>
      <w:r w:rsidR="00E601E1" w:rsidRPr="00076CA5">
        <w:rPr>
          <w:lang w:val="en-CA"/>
        </w:rPr>
        <w:t xml:space="preserve">] </w:t>
      </w:r>
      <w:r w:rsidRPr="00076CA5">
        <w:rPr>
          <w:lang w:val="en-CA"/>
        </w:rPr>
        <w:t xml:space="preserve">“The </w:t>
      </w:r>
      <w:r w:rsidR="00776E8D" w:rsidRPr="00076CA5">
        <w:rPr>
          <w:i/>
          <w:iCs/>
          <w:lang w:val="en-CA"/>
        </w:rPr>
        <w:t>Election Act</w:t>
      </w:r>
      <w:r w:rsidRPr="00076CA5">
        <w:rPr>
          <w:lang w:val="en-CA"/>
        </w:rPr>
        <w:t xml:space="preserve"> </w:t>
      </w:r>
      <w:r w:rsidR="00E601E1" w:rsidRPr="00076CA5">
        <w:rPr>
          <w:lang w:val="en-CA"/>
        </w:rPr>
        <w:t xml:space="preserve">identifies </w:t>
      </w:r>
      <w:r w:rsidRPr="00076CA5">
        <w:rPr>
          <w:lang w:val="en-CA"/>
        </w:rPr>
        <w:t xml:space="preserve">two criteria for achieving effective representation: relative </w:t>
      </w:r>
      <w:r w:rsidR="00E601E1" w:rsidRPr="00076CA5">
        <w:rPr>
          <w:lang w:val="en-CA"/>
        </w:rPr>
        <w:t xml:space="preserve">voter parity </w:t>
      </w:r>
      <w:r w:rsidRPr="00076CA5">
        <w:rPr>
          <w:lang w:val="en-CA"/>
        </w:rPr>
        <w:t>and respect for natural communities. An electoral division reflects the balance between these two components</w:t>
      </w:r>
      <w:r w:rsidR="009D1887">
        <w:rPr>
          <w:lang w:val="en-CA"/>
        </w:rPr>
        <w:t>.</w:t>
      </w:r>
      <w:r w:rsidR="0087275A">
        <w:rPr>
          <w:lang w:val="en-CA"/>
        </w:rPr>
        <w:t>”</w:t>
      </w:r>
    </w:p>
    <w:p w14:paraId="029C617F" w14:textId="6CC699AE" w:rsidR="006D4B37" w:rsidRPr="00076CA5" w:rsidRDefault="00E31691" w:rsidP="006D4B37">
      <w:pPr>
        <w:pStyle w:val="aParagraphe"/>
        <w:numPr>
          <w:ilvl w:val="0"/>
          <w:numId w:val="18"/>
        </w:numPr>
        <w:spacing w:line="280" w:lineRule="exact"/>
        <w:rPr>
          <w:lang w:val="en-CA"/>
        </w:rPr>
      </w:pPr>
      <w:r>
        <w:rPr>
          <w:lang w:val="en-CA"/>
        </w:rPr>
        <w:t>A</w:t>
      </w:r>
      <w:r w:rsidR="004351B0" w:rsidRPr="00076CA5">
        <w:rPr>
          <w:lang w:val="en-CA"/>
        </w:rPr>
        <w:t xml:space="preserve"> provision that </w:t>
      </w:r>
      <w:r w:rsidR="00656B2C">
        <w:rPr>
          <w:lang w:val="en-CA"/>
        </w:rPr>
        <w:t>infringes</w:t>
      </w:r>
      <w:r w:rsidR="00E601E1" w:rsidRPr="00076CA5">
        <w:rPr>
          <w:lang w:val="en-CA"/>
        </w:rPr>
        <w:t xml:space="preserve"> </w:t>
      </w:r>
      <w:r w:rsidR="004351B0" w:rsidRPr="00076CA5">
        <w:rPr>
          <w:lang w:val="en-CA"/>
        </w:rPr>
        <w:t xml:space="preserve">a right can be </w:t>
      </w:r>
      <w:r>
        <w:rPr>
          <w:lang w:val="en-CA"/>
        </w:rPr>
        <w:t>saved under</w:t>
      </w:r>
      <w:r w:rsidR="004351B0" w:rsidRPr="00076CA5">
        <w:rPr>
          <w:lang w:val="en-CA"/>
        </w:rPr>
        <w:t xml:space="preserve"> </w:t>
      </w:r>
      <w:r w:rsidR="00E601E1" w:rsidRPr="00076CA5">
        <w:rPr>
          <w:lang w:val="en-CA"/>
        </w:rPr>
        <w:t>s</w:t>
      </w:r>
      <w:r w:rsidR="004351B0" w:rsidRPr="00076CA5">
        <w:rPr>
          <w:lang w:val="en-CA"/>
        </w:rPr>
        <w:t xml:space="preserve">ection 1 of the </w:t>
      </w:r>
      <w:r w:rsidR="004351B0" w:rsidRPr="00076CA5">
        <w:rPr>
          <w:i/>
          <w:iCs/>
          <w:lang w:val="en-CA"/>
        </w:rPr>
        <w:t>Charter</w:t>
      </w:r>
      <w:r>
        <w:rPr>
          <w:lang w:val="en-CA"/>
        </w:rPr>
        <w:t>,</w:t>
      </w:r>
      <w:r w:rsidR="004351B0" w:rsidRPr="00076CA5">
        <w:rPr>
          <w:vertAlign w:val="superscript"/>
          <w:lang w:val="en-CA"/>
        </w:rPr>
        <w:footnoteReference w:id="66"/>
      </w:r>
      <w:r w:rsidR="004351B0" w:rsidRPr="00076CA5">
        <w:rPr>
          <w:lang w:val="en-CA"/>
        </w:rPr>
        <w:t xml:space="preserve"> as the judge did. The factors relevant to this analysis were set out by the Sup</w:t>
      </w:r>
      <w:r w:rsidR="00E601E1" w:rsidRPr="00076CA5">
        <w:rPr>
          <w:lang w:val="en-CA"/>
        </w:rPr>
        <w:t>reme</w:t>
      </w:r>
      <w:r w:rsidR="00387F6B" w:rsidRPr="00076CA5">
        <w:rPr>
          <w:lang w:val="en-CA"/>
        </w:rPr>
        <w:t xml:space="preserve"> </w:t>
      </w:r>
      <w:r w:rsidR="004351B0" w:rsidRPr="00076CA5">
        <w:rPr>
          <w:lang w:val="en-CA"/>
        </w:rPr>
        <w:t xml:space="preserve">Court in </w:t>
      </w:r>
      <w:r w:rsidR="004351B0" w:rsidRPr="00076CA5">
        <w:rPr>
          <w:i/>
          <w:iCs/>
          <w:lang w:val="en-CA"/>
        </w:rPr>
        <w:t>Oakes</w:t>
      </w:r>
      <w:r w:rsidR="00E601E1" w:rsidRPr="00076CA5">
        <w:rPr>
          <w:i/>
          <w:iCs/>
          <w:lang w:val="en-CA"/>
        </w:rPr>
        <w:t>.</w:t>
      </w:r>
      <w:r w:rsidR="004351B0" w:rsidRPr="00076CA5">
        <w:rPr>
          <w:vertAlign w:val="superscript"/>
          <w:lang w:val="en-CA"/>
        </w:rPr>
        <w:footnoteReference w:id="67"/>
      </w:r>
      <w:r w:rsidR="004351B0" w:rsidRPr="00076CA5">
        <w:rPr>
          <w:lang w:val="en-CA"/>
        </w:rPr>
        <w:t xml:space="preserve"> Two </w:t>
      </w:r>
      <w:r w:rsidR="00E601E1" w:rsidRPr="00076CA5">
        <w:rPr>
          <w:lang w:val="en-CA"/>
        </w:rPr>
        <w:t>central</w:t>
      </w:r>
      <w:r w:rsidR="004351B0" w:rsidRPr="00076CA5">
        <w:rPr>
          <w:lang w:val="en-CA"/>
        </w:rPr>
        <w:t xml:space="preserve"> criteria must be met for </w:t>
      </w:r>
      <w:r w:rsidR="00E601E1" w:rsidRPr="00076CA5">
        <w:rPr>
          <w:lang w:val="en-CA"/>
        </w:rPr>
        <w:t xml:space="preserve">a limit on </w:t>
      </w:r>
      <w:r w:rsidR="004351B0" w:rsidRPr="00076CA5">
        <w:rPr>
          <w:lang w:val="en-CA"/>
        </w:rPr>
        <w:t xml:space="preserve">a </w:t>
      </w:r>
      <w:r w:rsidR="004351B0" w:rsidRPr="00076CA5">
        <w:rPr>
          <w:i/>
          <w:iCs/>
          <w:lang w:val="en-CA"/>
        </w:rPr>
        <w:t>Charter</w:t>
      </w:r>
      <w:r w:rsidR="004351B0" w:rsidRPr="00076CA5">
        <w:rPr>
          <w:lang w:val="en-CA"/>
        </w:rPr>
        <w:t xml:space="preserve"> right to be justified </w:t>
      </w:r>
      <w:r>
        <w:rPr>
          <w:lang w:val="en-CA"/>
        </w:rPr>
        <w:t>under</w:t>
      </w:r>
      <w:r w:rsidR="004351B0" w:rsidRPr="00076CA5">
        <w:rPr>
          <w:lang w:val="en-CA"/>
        </w:rPr>
        <w:t xml:space="preserve"> </w:t>
      </w:r>
      <w:r w:rsidR="00E601E1" w:rsidRPr="00076CA5">
        <w:rPr>
          <w:lang w:val="en-CA"/>
        </w:rPr>
        <w:t>s</w:t>
      </w:r>
      <w:r w:rsidR="004351B0" w:rsidRPr="00076CA5">
        <w:rPr>
          <w:lang w:val="en-CA"/>
        </w:rPr>
        <w:t xml:space="preserve">ection 1: (1) the objective of the measure must be </w:t>
      </w:r>
      <w:r w:rsidR="00E601E1" w:rsidRPr="00076CA5">
        <w:rPr>
          <w:lang w:val="en-CA"/>
        </w:rPr>
        <w:t>pressing and substanti</w:t>
      </w:r>
      <w:r w:rsidR="001F0A89" w:rsidRPr="00076CA5">
        <w:rPr>
          <w:lang w:val="en-CA"/>
        </w:rPr>
        <w:t>al</w:t>
      </w:r>
      <w:r w:rsidR="004351B0" w:rsidRPr="00076CA5">
        <w:rPr>
          <w:lang w:val="en-CA"/>
        </w:rPr>
        <w:t xml:space="preserve"> and (2) the means by which the objective is </w:t>
      </w:r>
      <w:r w:rsidR="00E601E1" w:rsidRPr="00076CA5">
        <w:rPr>
          <w:lang w:val="en-CA"/>
        </w:rPr>
        <w:t>furthered</w:t>
      </w:r>
      <w:r w:rsidR="004351B0" w:rsidRPr="00076CA5">
        <w:rPr>
          <w:lang w:val="en-CA"/>
        </w:rPr>
        <w:t xml:space="preserve"> must be proportionate</w:t>
      </w:r>
      <w:r w:rsidR="00E601E1" w:rsidRPr="00076CA5">
        <w:rPr>
          <w:lang w:val="en-CA"/>
        </w:rPr>
        <w:t>.</w:t>
      </w:r>
      <w:r w:rsidR="004351B0" w:rsidRPr="00076CA5">
        <w:rPr>
          <w:vertAlign w:val="superscript"/>
          <w:lang w:val="en-CA"/>
        </w:rPr>
        <w:footnoteReference w:id="68"/>
      </w:r>
    </w:p>
    <w:p w14:paraId="445509C5" w14:textId="1A02922A" w:rsidR="006D4B37" w:rsidRPr="00076CA5" w:rsidRDefault="004351B0" w:rsidP="006D4B37">
      <w:pPr>
        <w:pStyle w:val="aParagraphe"/>
        <w:numPr>
          <w:ilvl w:val="0"/>
          <w:numId w:val="18"/>
        </w:numPr>
        <w:spacing w:line="280" w:lineRule="exact"/>
        <w:rPr>
          <w:lang w:val="en-CA"/>
        </w:rPr>
      </w:pPr>
      <w:r w:rsidRPr="00076CA5">
        <w:rPr>
          <w:lang w:val="en-CA"/>
        </w:rPr>
        <w:t xml:space="preserve">The burden is on the party seeking to </w:t>
      </w:r>
      <w:r w:rsidR="001F0A89" w:rsidRPr="00076CA5">
        <w:rPr>
          <w:lang w:val="en-CA"/>
        </w:rPr>
        <w:t>uphold</w:t>
      </w:r>
      <w:r w:rsidRPr="00076CA5">
        <w:rPr>
          <w:lang w:val="en-CA"/>
        </w:rPr>
        <w:t xml:space="preserve"> the </w:t>
      </w:r>
      <w:r w:rsidR="001F0A89" w:rsidRPr="00076CA5">
        <w:rPr>
          <w:lang w:val="en-CA"/>
        </w:rPr>
        <w:t>limit</w:t>
      </w:r>
      <w:r w:rsidRPr="00076CA5">
        <w:rPr>
          <w:lang w:val="en-CA"/>
        </w:rPr>
        <w:t xml:space="preserve">, in this case the respondent, the Attorney General of Quebec, </w:t>
      </w:r>
      <w:r w:rsidR="001F0A89" w:rsidRPr="00076CA5">
        <w:rPr>
          <w:lang w:val="en-CA"/>
        </w:rPr>
        <w:t xml:space="preserve">who must discharge this burden by satisfying </w:t>
      </w:r>
      <w:r w:rsidRPr="00076CA5">
        <w:rPr>
          <w:lang w:val="en-CA"/>
        </w:rPr>
        <w:t>the standard of proof on a balance of probabilities</w:t>
      </w:r>
      <w:r w:rsidR="001F0A89" w:rsidRPr="00076CA5">
        <w:rPr>
          <w:lang w:val="en-CA"/>
        </w:rPr>
        <w:t>.</w:t>
      </w:r>
      <w:r w:rsidRPr="00076CA5">
        <w:rPr>
          <w:vertAlign w:val="superscript"/>
          <w:lang w:val="en-CA"/>
        </w:rPr>
        <w:footnoteReference w:id="69"/>
      </w:r>
      <w:r w:rsidRPr="00076CA5">
        <w:rPr>
          <w:lang w:val="en-CA"/>
        </w:rPr>
        <w:t> </w:t>
      </w:r>
    </w:p>
    <w:p w14:paraId="0D64B319" w14:textId="3ED49C24" w:rsidR="006D4B37" w:rsidRPr="00076CA5" w:rsidRDefault="004351B0" w:rsidP="00C05348">
      <w:pPr>
        <w:pStyle w:val="Paragraphe"/>
        <w:spacing w:line="240" w:lineRule="auto"/>
        <w:rPr>
          <w:lang w:val="en-CA"/>
        </w:rPr>
      </w:pPr>
      <w:r w:rsidRPr="00076CA5">
        <w:rPr>
          <w:lang w:val="en-CA"/>
        </w:rPr>
        <w:t>The “</w:t>
      </w:r>
      <w:r w:rsidR="00E601E1" w:rsidRPr="00076CA5">
        <w:rPr>
          <w:lang w:val="en-CA"/>
        </w:rPr>
        <w:t>pressing</w:t>
      </w:r>
      <w:r w:rsidRPr="00076CA5">
        <w:rPr>
          <w:lang w:val="en-CA"/>
        </w:rPr>
        <w:t xml:space="preserve"> and substanti</w:t>
      </w:r>
      <w:r w:rsidR="001F0A89" w:rsidRPr="00076CA5">
        <w:rPr>
          <w:lang w:val="en-CA"/>
        </w:rPr>
        <w:t>al</w:t>
      </w:r>
      <w:r w:rsidRPr="00076CA5">
        <w:rPr>
          <w:lang w:val="en-CA"/>
        </w:rPr>
        <w:t>” objective</w:t>
      </w:r>
      <w:bookmarkStart w:id="28" w:name="_Ref214454902"/>
      <w:r w:rsidRPr="00076CA5">
        <w:rPr>
          <w:vertAlign w:val="superscript"/>
          <w:lang w:val="en-CA"/>
        </w:rPr>
        <w:footnoteReference w:id="70"/>
      </w:r>
      <w:bookmarkEnd w:id="28"/>
      <w:r w:rsidRPr="00076CA5">
        <w:rPr>
          <w:lang w:val="en-CA"/>
        </w:rPr>
        <w:t xml:space="preserve"> of the </w:t>
      </w:r>
      <w:r w:rsidRPr="00076CA5">
        <w:rPr>
          <w:i/>
          <w:iCs/>
          <w:lang w:val="en-CA"/>
        </w:rPr>
        <w:t xml:space="preserve">Oakes </w:t>
      </w:r>
      <w:r w:rsidR="009D1887" w:rsidRPr="00076CA5">
        <w:rPr>
          <w:lang w:val="en-CA"/>
        </w:rPr>
        <w:t xml:space="preserve">test </w:t>
      </w:r>
      <w:r w:rsidRPr="00076CA5">
        <w:rPr>
          <w:lang w:val="en-CA"/>
        </w:rPr>
        <w:t>is not at issue in th</w:t>
      </w:r>
      <w:r w:rsidR="001F0A89" w:rsidRPr="00076CA5">
        <w:rPr>
          <w:lang w:val="en-CA"/>
        </w:rPr>
        <w:t>is</w:t>
      </w:r>
      <w:r w:rsidRPr="00076CA5">
        <w:rPr>
          <w:lang w:val="en-CA"/>
        </w:rPr>
        <w:t xml:space="preserve"> appeal</w:t>
      </w:r>
      <w:r w:rsidR="00E31691">
        <w:rPr>
          <w:lang w:val="en-CA"/>
        </w:rPr>
        <w:t>;</w:t>
      </w:r>
      <w:r w:rsidRPr="00076CA5">
        <w:rPr>
          <w:lang w:val="en-CA"/>
        </w:rPr>
        <w:t xml:space="preserve"> only </w:t>
      </w:r>
      <w:r w:rsidR="00E31691">
        <w:rPr>
          <w:lang w:val="en-CA"/>
        </w:rPr>
        <w:t>the issue</w:t>
      </w:r>
      <w:r w:rsidRPr="00076CA5">
        <w:rPr>
          <w:lang w:val="en-CA"/>
        </w:rPr>
        <w:t xml:space="preserve"> of proportionality remains in dispute. </w:t>
      </w:r>
    </w:p>
    <w:p w14:paraId="6B37791B" w14:textId="3C2F1D61" w:rsidR="006D4B37" w:rsidRPr="00076CA5" w:rsidRDefault="001F0A89" w:rsidP="006D4B37">
      <w:pPr>
        <w:pStyle w:val="aParagraphe"/>
        <w:numPr>
          <w:ilvl w:val="0"/>
          <w:numId w:val="18"/>
        </w:numPr>
        <w:spacing w:line="280" w:lineRule="exact"/>
        <w:rPr>
          <w:lang w:val="en-CA"/>
        </w:rPr>
      </w:pPr>
      <w:r w:rsidRPr="00076CA5">
        <w:rPr>
          <w:lang w:val="en-CA"/>
        </w:rPr>
        <w:t xml:space="preserve">The proportionality inquiry </w:t>
      </w:r>
      <w:r w:rsidR="00E31691">
        <w:rPr>
          <w:lang w:val="en-CA"/>
        </w:rPr>
        <w:t>comprises</w:t>
      </w:r>
      <w:r w:rsidRPr="00076CA5">
        <w:rPr>
          <w:lang w:val="en-CA"/>
        </w:rPr>
        <w:t xml:space="preserve"> three components.</w:t>
      </w:r>
      <w:r w:rsidRPr="00076CA5">
        <w:rPr>
          <w:vertAlign w:val="superscript"/>
          <w:lang w:val="en-CA"/>
        </w:rPr>
        <w:footnoteReference w:id="71"/>
      </w:r>
    </w:p>
    <w:p w14:paraId="4A2DF566" w14:textId="55083796" w:rsidR="006D4B37" w:rsidRPr="00076CA5" w:rsidRDefault="004351B0" w:rsidP="006D4B37">
      <w:pPr>
        <w:pStyle w:val="aParagraphe"/>
        <w:numPr>
          <w:ilvl w:val="0"/>
          <w:numId w:val="18"/>
        </w:numPr>
        <w:spacing w:line="280" w:lineRule="exact"/>
        <w:rPr>
          <w:lang w:val="en-CA"/>
        </w:rPr>
      </w:pPr>
      <w:r w:rsidRPr="00076CA5">
        <w:rPr>
          <w:lang w:val="en-CA"/>
        </w:rPr>
        <w:t xml:space="preserve">First, the </w:t>
      </w:r>
      <w:r w:rsidR="009D1887">
        <w:rPr>
          <w:lang w:val="en-CA"/>
        </w:rPr>
        <w:t>C</w:t>
      </w:r>
      <w:r w:rsidRPr="00076CA5">
        <w:rPr>
          <w:lang w:val="en-CA"/>
        </w:rPr>
        <w:t>ourt must determine whether the legislat</w:t>
      </w:r>
      <w:r w:rsidR="003C7C89">
        <w:rPr>
          <w:lang w:val="en-CA"/>
        </w:rPr>
        <w:t>ure</w:t>
      </w:r>
      <w:r w:rsidRPr="00076CA5">
        <w:rPr>
          <w:lang w:val="en-CA"/>
        </w:rPr>
        <w:t xml:space="preserve"> </w:t>
      </w:r>
      <w:r w:rsidR="003C7C89">
        <w:rPr>
          <w:lang w:val="en-CA"/>
        </w:rPr>
        <w:t xml:space="preserve">has </w:t>
      </w:r>
      <w:r w:rsidRPr="00076CA5">
        <w:rPr>
          <w:lang w:val="en-CA"/>
        </w:rPr>
        <w:t>succeed</w:t>
      </w:r>
      <w:r w:rsidR="003C7C89">
        <w:rPr>
          <w:lang w:val="en-CA"/>
        </w:rPr>
        <w:t>ed</w:t>
      </w:r>
      <w:r w:rsidRPr="00076CA5">
        <w:rPr>
          <w:lang w:val="en-CA"/>
        </w:rPr>
        <w:t xml:space="preserve"> in </w:t>
      </w:r>
      <w:r w:rsidR="003C7C89">
        <w:rPr>
          <w:lang w:val="en-CA"/>
        </w:rPr>
        <w:t>showing</w:t>
      </w:r>
      <w:r w:rsidRPr="00076CA5">
        <w:rPr>
          <w:lang w:val="en-CA"/>
        </w:rPr>
        <w:t xml:space="preserve"> a causal </w:t>
      </w:r>
      <w:r w:rsidR="003C7C89">
        <w:rPr>
          <w:lang w:val="en-CA"/>
        </w:rPr>
        <w:t>connection</w:t>
      </w:r>
      <w:r w:rsidRPr="00076CA5">
        <w:rPr>
          <w:lang w:val="en-CA"/>
        </w:rPr>
        <w:t xml:space="preserve"> between the </w:t>
      </w:r>
      <w:r w:rsidR="003C7C89">
        <w:rPr>
          <w:lang w:val="en-CA"/>
        </w:rPr>
        <w:t>infringement</w:t>
      </w:r>
      <w:r w:rsidRPr="00076CA5">
        <w:rPr>
          <w:lang w:val="en-CA"/>
        </w:rPr>
        <w:t xml:space="preserve"> and the benefit sought</w:t>
      </w:r>
      <w:r w:rsidR="003C7C89">
        <w:rPr>
          <w:lang w:val="en-CA"/>
        </w:rPr>
        <w:t xml:space="preserve"> on the basis of reason or logic</w:t>
      </w:r>
      <w:r w:rsidR="001F0A89" w:rsidRPr="00076CA5">
        <w:rPr>
          <w:lang w:val="en-CA"/>
        </w:rPr>
        <w:t>.</w:t>
      </w:r>
      <w:r w:rsidRPr="00076CA5">
        <w:rPr>
          <w:vertAlign w:val="superscript"/>
          <w:lang w:val="en-CA"/>
        </w:rPr>
        <w:footnoteReference w:id="72"/>
      </w:r>
      <w:r w:rsidRPr="00076CA5">
        <w:rPr>
          <w:lang w:val="en-CA"/>
        </w:rPr>
        <w:t xml:space="preserve"> This first step in the analysis of the </w:t>
      </w:r>
      <w:r w:rsidRPr="00076CA5">
        <w:rPr>
          <w:i/>
          <w:iCs/>
          <w:lang w:val="en-CA"/>
        </w:rPr>
        <w:t>Oakes</w:t>
      </w:r>
      <w:r w:rsidRPr="00076CA5">
        <w:rPr>
          <w:lang w:val="en-CA"/>
        </w:rPr>
        <w:t xml:space="preserve"> proportionality </w:t>
      </w:r>
      <w:r w:rsidR="001F0A89" w:rsidRPr="00076CA5">
        <w:rPr>
          <w:lang w:val="en-CA"/>
        </w:rPr>
        <w:t>test</w:t>
      </w:r>
      <w:r w:rsidRPr="00076CA5">
        <w:rPr>
          <w:lang w:val="en-CA"/>
        </w:rPr>
        <w:t xml:space="preserve"> is not at issue in th</w:t>
      </w:r>
      <w:r w:rsidR="001F0A89" w:rsidRPr="00076CA5">
        <w:rPr>
          <w:lang w:val="en-CA"/>
        </w:rPr>
        <w:t>is</w:t>
      </w:r>
      <w:r w:rsidRPr="00076CA5">
        <w:rPr>
          <w:lang w:val="en-CA"/>
        </w:rPr>
        <w:t xml:space="preserve"> appeal either.</w:t>
      </w:r>
      <w:bookmarkStart w:id="30" w:name="_Hlk213000477"/>
    </w:p>
    <w:p w14:paraId="602C15CE" w14:textId="14D0E665" w:rsidR="006D4B37" w:rsidRPr="00076CA5" w:rsidRDefault="004351B0" w:rsidP="006D4B37">
      <w:pPr>
        <w:pStyle w:val="aParagraphe"/>
        <w:numPr>
          <w:ilvl w:val="0"/>
          <w:numId w:val="18"/>
        </w:numPr>
        <w:spacing w:line="280" w:lineRule="exact"/>
        <w:rPr>
          <w:lang w:val="en-CA"/>
        </w:rPr>
      </w:pPr>
      <w:r w:rsidRPr="00076CA5">
        <w:rPr>
          <w:lang w:val="en-CA"/>
        </w:rPr>
        <w:lastRenderedPageBreak/>
        <w:t xml:space="preserve">Second, the </w:t>
      </w:r>
      <w:r w:rsidR="009D1887">
        <w:rPr>
          <w:lang w:val="en-CA"/>
        </w:rPr>
        <w:t>C</w:t>
      </w:r>
      <w:r w:rsidRPr="00076CA5">
        <w:rPr>
          <w:lang w:val="en-CA"/>
        </w:rPr>
        <w:t xml:space="preserve">ourt must be satisfied that the law is carefully tailored so that rights </w:t>
      </w:r>
      <w:r w:rsidR="00DA02BB" w:rsidRPr="00076CA5">
        <w:rPr>
          <w:lang w:val="en-CA"/>
        </w:rPr>
        <w:t>are impaired no more than necessary.</w:t>
      </w:r>
      <w:bookmarkStart w:id="31" w:name="_Hlk213000427"/>
      <w:r w:rsidRPr="00076CA5">
        <w:rPr>
          <w:vertAlign w:val="superscript"/>
          <w:lang w:val="en-CA"/>
        </w:rPr>
        <w:footnoteReference w:id="73"/>
      </w:r>
      <w:bookmarkEnd w:id="30"/>
      <w:bookmarkEnd w:id="31"/>
    </w:p>
    <w:p w14:paraId="164D722E" w14:textId="77777777" w:rsidR="006D4B37" w:rsidRPr="00076CA5" w:rsidRDefault="004351B0" w:rsidP="00145125">
      <w:pPr>
        <w:pStyle w:val="aParagraphe"/>
        <w:keepNext/>
        <w:numPr>
          <w:ilvl w:val="0"/>
          <w:numId w:val="18"/>
        </w:numPr>
        <w:spacing w:line="280" w:lineRule="exact"/>
      </w:pPr>
      <w:r w:rsidRPr="00076CA5">
        <w:rPr>
          <w:lang w:val="en-CA"/>
        </w:rPr>
        <w:t>However:</w:t>
      </w:r>
    </w:p>
    <w:p w14:paraId="3422093B" w14:textId="550A5625" w:rsidR="006D4B37" w:rsidRPr="00145125" w:rsidRDefault="00285D5E" w:rsidP="00145125">
      <w:pPr>
        <w:keepNext/>
        <w:spacing w:before="120" w:after="120"/>
        <w:ind w:left="720" w:right="720"/>
        <w:jc w:val="both"/>
        <w:rPr>
          <w:kern w:val="24"/>
          <w:sz w:val="22"/>
          <w:lang w:val="en-CA"/>
        </w:rPr>
      </w:pPr>
      <w:bookmarkStart w:id="32" w:name="par.160"/>
      <w:r w:rsidRPr="00145125">
        <w:rPr>
          <w:kern w:val="24"/>
          <w:sz w:val="22"/>
          <w:lang w:val="en-CA"/>
        </w:rPr>
        <w:t>If the law falls within a range of reasonable alternatives, the courts will not find it overbroad merely because they can conceive of an alternative which might better tailor objective to infringement</w:t>
      </w:r>
      <w:bookmarkEnd w:id="32"/>
      <w:r w:rsidR="004351B0" w:rsidRPr="00145125">
        <w:rPr>
          <w:kern w:val="24"/>
          <w:sz w:val="22"/>
          <w:lang w:val="en-CA"/>
        </w:rPr>
        <w:t>.</w:t>
      </w:r>
      <w:r w:rsidR="004351B0" w:rsidRPr="00285D5E">
        <w:rPr>
          <w:kern w:val="24"/>
          <w:sz w:val="22"/>
          <w:vertAlign w:val="superscript"/>
        </w:rPr>
        <w:footnoteReference w:id="74"/>
      </w:r>
    </w:p>
    <w:p w14:paraId="18C8F0F5" w14:textId="24486142" w:rsidR="006D4B37" w:rsidRPr="00076CA5" w:rsidRDefault="00A147F4" w:rsidP="006D4B37">
      <w:pPr>
        <w:pStyle w:val="Paragraphe"/>
        <w:spacing w:line="280" w:lineRule="exact"/>
        <w:rPr>
          <w:lang w:val="en-CA"/>
        </w:rPr>
      </w:pPr>
      <w:r>
        <w:rPr>
          <w:lang w:val="en-CA"/>
        </w:rPr>
        <w:t>Accordingly</w:t>
      </w:r>
      <w:r w:rsidR="004351B0" w:rsidRPr="00076CA5">
        <w:rPr>
          <w:lang w:val="en-CA"/>
        </w:rPr>
        <w:t xml:space="preserve">, the </w:t>
      </w:r>
      <w:r>
        <w:rPr>
          <w:lang w:val="en-CA"/>
        </w:rPr>
        <w:t>impugned</w:t>
      </w:r>
      <w:r w:rsidR="004351B0" w:rsidRPr="00076CA5">
        <w:rPr>
          <w:lang w:val="en-CA"/>
        </w:rPr>
        <w:t xml:space="preserve"> measures need not </w:t>
      </w:r>
      <w:r>
        <w:rPr>
          <w:lang w:val="en-CA"/>
        </w:rPr>
        <w:t>be</w:t>
      </w:r>
      <w:r w:rsidR="004351B0" w:rsidRPr="00076CA5">
        <w:rPr>
          <w:lang w:val="en-CA"/>
        </w:rPr>
        <w:t xml:space="preserve"> the least </w:t>
      </w:r>
      <w:r>
        <w:rPr>
          <w:lang w:val="en-CA"/>
        </w:rPr>
        <w:t>impairing option</w:t>
      </w:r>
      <w:r w:rsidR="00DA02BB" w:rsidRPr="00076CA5">
        <w:rPr>
          <w:lang w:val="en-CA"/>
        </w:rPr>
        <w:t>.</w:t>
      </w:r>
      <w:r w:rsidR="004351B0" w:rsidRPr="00076CA5">
        <w:rPr>
          <w:vertAlign w:val="superscript"/>
          <w:lang w:val="en-CA"/>
        </w:rPr>
        <w:footnoteReference w:id="75"/>
      </w:r>
      <w:r w:rsidR="004351B0" w:rsidRPr="00076CA5">
        <w:rPr>
          <w:lang w:val="en-CA"/>
        </w:rPr>
        <w:t xml:space="preserve"> In fact, it is not for the courts to modify the reasonable decisions of the legislat</w:t>
      </w:r>
      <w:r w:rsidR="007F56BF">
        <w:rPr>
          <w:lang w:val="en-CA"/>
        </w:rPr>
        <w:t>ure</w:t>
      </w:r>
      <w:r w:rsidR="004351B0" w:rsidRPr="00076CA5">
        <w:rPr>
          <w:lang w:val="en-CA"/>
        </w:rPr>
        <w:t>, which require weighing opposing considerations of principle</w:t>
      </w:r>
      <w:r w:rsidR="00DA02BB" w:rsidRPr="00076CA5">
        <w:rPr>
          <w:lang w:val="en-CA"/>
        </w:rPr>
        <w:t>,</w:t>
      </w:r>
      <w:r w:rsidR="004351B0" w:rsidRPr="00076CA5">
        <w:rPr>
          <w:rStyle w:val="Appelnotedebasdep"/>
          <w:lang w:val="en-CA"/>
        </w:rPr>
        <w:footnoteReference w:id="76"/>
      </w:r>
      <w:r w:rsidR="004351B0" w:rsidRPr="00076CA5">
        <w:rPr>
          <w:lang w:val="en-CA"/>
        </w:rPr>
        <w:t xml:space="preserve"> as is </w:t>
      </w:r>
      <w:r w:rsidR="00DA02BB" w:rsidRPr="00076CA5">
        <w:rPr>
          <w:lang w:val="en-CA"/>
        </w:rPr>
        <w:t xml:space="preserve">definitely </w:t>
      </w:r>
      <w:r w:rsidR="004351B0" w:rsidRPr="00076CA5">
        <w:rPr>
          <w:lang w:val="en-CA"/>
        </w:rPr>
        <w:t>the case with the delimitation of the electoral map</w:t>
      </w:r>
      <w:r w:rsidR="00DA02BB" w:rsidRPr="00076CA5">
        <w:rPr>
          <w:lang w:val="en-CA"/>
        </w:rPr>
        <w:t>.</w:t>
      </w:r>
      <w:r w:rsidR="004351B0" w:rsidRPr="00076CA5">
        <w:rPr>
          <w:rStyle w:val="Appelnotedebasdep"/>
          <w:lang w:val="en-CA"/>
        </w:rPr>
        <w:footnoteReference w:id="77"/>
      </w:r>
    </w:p>
    <w:p w14:paraId="6FD09648" w14:textId="4194F1F4" w:rsidR="006D4B37" w:rsidRPr="00076CA5" w:rsidRDefault="007F56BF" w:rsidP="006D4B37">
      <w:pPr>
        <w:pStyle w:val="aParagraphe"/>
        <w:numPr>
          <w:ilvl w:val="0"/>
          <w:numId w:val="18"/>
        </w:numPr>
        <w:spacing w:line="280" w:lineRule="exact"/>
        <w:rPr>
          <w:lang w:val="en-CA"/>
        </w:rPr>
      </w:pPr>
      <w:r>
        <w:rPr>
          <w:lang w:val="en-CA"/>
        </w:rPr>
        <w:t>That</w:t>
      </w:r>
      <w:r w:rsidR="004351B0" w:rsidRPr="00076CA5">
        <w:rPr>
          <w:lang w:val="en-CA"/>
        </w:rPr>
        <w:t xml:space="preserve"> being </w:t>
      </w:r>
      <w:r>
        <w:rPr>
          <w:lang w:val="en-CA"/>
        </w:rPr>
        <w:t>said</w:t>
      </w:r>
      <w:r w:rsidR="004351B0" w:rsidRPr="00076CA5">
        <w:rPr>
          <w:lang w:val="en-CA"/>
        </w:rPr>
        <w:t xml:space="preserve">, a court must </w:t>
      </w:r>
      <w:r>
        <w:rPr>
          <w:lang w:val="en-CA"/>
        </w:rPr>
        <w:t>know what alternative measures for implementing the objective were</w:t>
      </w:r>
      <w:r w:rsidR="004351B0" w:rsidRPr="00076CA5">
        <w:rPr>
          <w:lang w:val="en-CA"/>
        </w:rPr>
        <w:t xml:space="preserve"> available to the legislature </w:t>
      </w:r>
      <w:r>
        <w:rPr>
          <w:lang w:val="en-CA"/>
        </w:rPr>
        <w:t>when</w:t>
      </w:r>
      <w:r w:rsidR="00387F6B" w:rsidRPr="00076CA5">
        <w:rPr>
          <w:lang w:val="en-CA"/>
        </w:rPr>
        <w:t xml:space="preserve"> </w:t>
      </w:r>
      <w:r w:rsidR="004351B0" w:rsidRPr="00076CA5">
        <w:rPr>
          <w:lang w:val="en-CA"/>
        </w:rPr>
        <w:t>it made its decision</w:t>
      </w:r>
      <w:r w:rsidR="00DA02BB" w:rsidRPr="00076CA5">
        <w:rPr>
          <w:lang w:val="en-CA"/>
        </w:rPr>
        <w:t>.</w:t>
      </w:r>
      <w:r w:rsidR="004351B0" w:rsidRPr="00076CA5">
        <w:rPr>
          <w:rStyle w:val="Appelnotedebasdep"/>
          <w:lang w:val="en-CA"/>
        </w:rPr>
        <w:footnoteReference w:id="78"/>
      </w:r>
      <w:r w:rsidR="004351B0" w:rsidRPr="00076CA5">
        <w:rPr>
          <w:lang w:val="en-CA"/>
        </w:rPr>
        <w:t> </w:t>
      </w:r>
    </w:p>
    <w:p w14:paraId="30223999" w14:textId="77777777" w:rsidR="006D4B37" w:rsidRPr="00076CA5" w:rsidRDefault="004351B0" w:rsidP="006D4B37">
      <w:pPr>
        <w:pStyle w:val="aParagraphe"/>
        <w:numPr>
          <w:ilvl w:val="0"/>
          <w:numId w:val="18"/>
        </w:numPr>
        <w:spacing w:line="280" w:lineRule="exact"/>
        <w:rPr>
          <w:lang w:val="en-CA"/>
        </w:rPr>
      </w:pPr>
      <w:r w:rsidRPr="00076CA5">
        <w:rPr>
          <w:lang w:val="en-CA"/>
        </w:rPr>
        <w:t>The third step in the proportionality analysis is to:</w:t>
      </w:r>
    </w:p>
    <w:p w14:paraId="2C087CB9" w14:textId="4B3F967F" w:rsidR="006D4B37" w:rsidRPr="00145125" w:rsidRDefault="001F607F" w:rsidP="006D4B37">
      <w:pPr>
        <w:pStyle w:val="cCitationdebase"/>
        <w:rPr>
          <w:lang w:val="en-CA"/>
        </w:rPr>
      </w:pPr>
      <w:r w:rsidRPr="001F607F">
        <w:rPr>
          <w:lang w:val="en-CA"/>
        </w:rPr>
        <w:t xml:space="preserve">[…] </w:t>
      </w:r>
      <w:r w:rsidR="00CC27DA" w:rsidRPr="00145125">
        <w:rPr>
          <w:lang w:val="en-CA"/>
        </w:rPr>
        <w:t>assess, in light of the practical and contextual details which are elucidated in the first and second stages, whether the benefits which accrue from the limitation are proportional to its deleterious effects as measured by the values underlying the </w:t>
      </w:r>
      <w:r w:rsidR="00CC27DA" w:rsidRPr="00145125">
        <w:rPr>
          <w:i/>
          <w:iCs/>
          <w:lang w:val="en-CA"/>
        </w:rPr>
        <w:t>Charter</w:t>
      </w:r>
      <w:r w:rsidR="004351B0" w:rsidRPr="00145125">
        <w:rPr>
          <w:lang w:val="en-CA"/>
        </w:rPr>
        <w:t>.</w:t>
      </w:r>
      <w:r>
        <w:rPr>
          <w:lang w:val="en-CA"/>
        </w:rPr>
        <w:t xml:space="preserve"> </w:t>
      </w:r>
      <w:r w:rsidRPr="0074003D">
        <w:t>[…]</w:t>
      </w:r>
      <w:r w:rsidR="004351B0" w:rsidRPr="00CC27DA">
        <w:rPr>
          <w:rStyle w:val="Appelnotedebasdep"/>
        </w:rPr>
        <w:footnoteReference w:id="79"/>
      </w:r>
    </w:p>
    <w:p w14:paraId="5CA58C63" w14:textId="77777777" w:rsidR="006D4B37" w:rsidRPr="00076CA5" w:rsidRDefault="004351B0" w:rsidP="006D4B37">
      <w:pPr>
        <w:pStyle w:val="Titre2"/>
      </w:pPr>
      <w:r w:rsidRPr="00076CA5">
        <w:rPr>
          <w:bCs/>
          <w:iCs/>
          <w:lang w:val="en-CA"/>
        </w:rPr>
        <w:t>Analysis</w:t>
      </w:r>
    </w:p>
    <w:p w14:paraId="5607A13B" w14:textId="31E20FB4" w:rsidR="006D4B37" w:rsidRPr="00076CA5" w:rsidRDefault="004351B0" w:rsidP="006D4B37">
      <w:pPr>
        <w:pStyle w:val="aParagraphe"/>
        <w:numPr>
          <w:ilvl w:val="0"/>
          <w:numId w:val="18"/>
        </w:numPr>
        <w:spacing w:line="280" w:lineRule="exact"/>
        <w:rPr>
          <w:lang w:val="en-CA"/>
        </w:rPr>
      </w:pPr>
      <w:r w:rsidRPr="00F96EE3">
        <w:rPr>
          <w:lang w:val="en-CA"/>
        </w:rPr>
        <w:t xml:space="preserve">As </w:t>
      </w:r>
      <w:r w:rsidR="00CD212D" w:rsidRPr="00F96EE3">
        <w:rPr>
          <w:lang w:val="en-CA"/>
        </w:rPr>
        <w:t>discussed</w:t>
      </w:r>
      <w:r w:rsidRPr="00F96EE3">
        <w:rPr>
          <w:lang w:val="en-CA"/>
        </w:rPr>
        <w:t xml:space="preserve"> above</w:t>
      </w:r>
      <w:r w:rsidRPr="00076CA5">
        <w:rPr>
          <w:lang w:val="en-CA"/>
        </w:rPr>
        <w:t xml:space="preserve">, in its Preliminary Report, the Commission recommended changes to 55 of the 125 electoral divisions. </w:t>
      </w:r>
      <w:r w:rsidR="00DA02BB" w:rsidRPr="00076CA5">
        <w:rPr>
          <w:lang w:val="en-CA"/>
        </w:rPr>
        <w:t>Some</w:t>
      </w:r>
      <w:r w:rsidR="00387F6B" w:rsidRPr="00076CA5">
        <w:rPr>
          <w:lang w:val="en-CA"/>
        </w:rPr>
        <w:t xml:space="preserve"> </w:t>
      </w:r>
      <w:r w:rsidRPr="00076CA5">
        <w:rPr>
          <w:lang w:val="en-CA"/>
        </w:rPr>
        <w:t xml:space="preserve">of these suggestions require the boundaries of certain divisions to be revised, while others—those at the heart of </w:t>
      </w:r>
      <w:r w:rsidR="00CD212D">
        <w:rPr>
          <w:lang w:val="en-CA"/>
        </w:rPr>
        <w:t>this</w:t>
      </w:r>
      <w:r w:rsidRPr="00076CA5">
        <w:rPr>
          <w:lang w:val="en-CA"/>
        </w:rPr>
        <w:t xml:space="preserve"> </w:t>
      </w:r>
      <w:r w:rsidR="00DA02BB" w:rsidRPr="00076CA5">
        <w:rPr>
          <w:lang w:val="en-CA"/>
        </w:rPr>
        <w:t>appeal</w:t>
      </w:r>
      <w:r w:rsidRPr="00076CA5">
        <w:rPr>
          <w:lang w:val="en-CA"/>
        </w:rPr>
        <w:t xml:space="preserve">—require </w:t>
      </w:r>
      <w:r w:rsidR="00DA02BB" w:rsidRPr="00076CA5">
        <w:rPr>
          <w:lang w:val="en-CA"/>
        </w:rPr>
        <w:t xml:space="preserve">electoral </w:t>
      </w:r>
      <w:r w:rsidRPr="00076CA5">
        <w:rPr>
          <w:lang w:val="en-CA"/>
        </w:rPr>
        <w:t>divisions to be added or removed.</w:t>
      </w:r>
    </w:p>
    <w:p w14:paraId="1A0B74EC" w14:textId="6AC00512" w:rsidR="00DA401A" w:rsidRDefault="004351B0" w:rsidP="006D4B37">
      <w:pPr>
        <w:pStyle w:val="aParagraphe"/>
        <w:numPr>
          <w:ilvl w:val="0"/>
          <w:numId w:val="18"/>
        </w:numPr>
        <w:spacing w:line="280" w:lineRule="exact"/>
        <w:rPr>
          <w:lang w:val="en-CA"/>
        </w:rPr>
      </w:pPr>
      <w:r w:rsidRPr="00076CA5">
        <w:rPr>
          <w:lang w:val="en-CA"/>
        </w:rPr>
        <w:lastRenderedPageBreak/>
        <w:t>First, there would be the addition of a</w:t>
      </w:r>
      <w:r w:rsidR="000C26F5" w:rsidRPr="00076CA5">
        <w:rPr>
          <w:lang w:val="en-CA"/>
        </w:rPr>
        <w:t xml:space="preserve">n electoral division </w:t>
      </w:r>
      <w:r w:rsidRPr="00076CA5">
        <w:rPr>
          <w:lang w:val="en-CA"/>
        </w:rPr>
        <w:t>in the Laurentides-Lanaudière region and another in the Estrie–Centre-du-Québec region.</w:t>
      </w:r>
    </w:p>
    <w:p w14:paraId="7DC14A84" w14:textId="37955165" w:rsidR="006D4B37" w:rsidRPr="00E2619E" w:rsidRDefault="004351B0" w:rsidP="00F96EE3">
      <w:pPr>
        <w:pStyle w:val="aParagraphe"/>
        <w:numPr>
          <w:ilvl w:val="0"/>
          <w:numId w:val="18"/>
        </w:numPr>
        <w:spacing w:line="280" w:lineRule="exact"/>
        <w:rPr>
          <w:lang w:val="en-CA"/>
        </w:rPr>
      </w:pPr>
      <w:r w:rsidRPr="00E2619E">
        <w:rPr>
          <w:lang w:val="en-CA"/>
        </w:rPr>
        <w:t xml:space="preserve">In the Laurentides-Lanaudière region, the addition would correct the </w:t>
      </w:r>
      <w:r w:rsidR="00F96EE3" w:rsidRPr="00E2619E">
        <w:rPr>
          <w:lang w:val="en-CA"/>
        </w:rPr>
        <w:t>exceptional positive deviations</w:t>
      </w:r>
      <w:r w:rsidRPr="00E2619E">
        <w:rPr>
          <w:lang w:val="en-CA"/>
        </w:rPr>
        <w:t xml:space="preserve"> in two electoral divisions</w:t>
      </w:r>
      <w:r w:rsidRPr="00076CA5">
        <w:rPr>
          <w:vertAlign w:val="superscript"/>
          <w:lang w:val="en-CA"/>
        </w:rPr>
        <w:footnoteReference w:id="80"/>
      </w:r>
      <w:r w:rsidRPr="00E2619E">
        <w:rPr>
          <w:lang w:val="en-CA"/>
        </w:rPr>
        <w:t xml:space="preserve"> and also, according to the Commission, prevent three other electoral divisions in the region from </w:t>
      </w:r>
      <w:r w:rsidR="00E2619E" w:rsidRPr="00E2619E">
        <w:rPr>
          <w:lang w:val="en-CA"/>
        </w:rPr>
        <w:t>having</w:t>
      </w:r>
      <w:r w:rsidR="00F96EE3" w:rsidRPr="00E2619E">
        <w:rPr>
          <w:lang w:val="en-CA"/>
        </w:rPr>
        <w:t xml:space="preserve"> exceptional positive deviations</w:t>
      </w:r>
      <w:r w:rsidRPr="00E2619E">
        <w:rPr>
          <w:lang w:val="en-CA"/>
        </w:rPr>
        <w:t xml:space="preserve"> in the short or medium term</w:t>
      </w:r>
      <w:r w:rsidR="000C26F5" w:rsidRPr="00E2619E">
        <w:rPr>
          <w:lang w:val="en-CA"/>
        </w:rPr>
        <w:t>.</w:t>
      </w:r>
      <w:r w:rsidRPr="00076CA5">
        <w:rPr>
          <w:vertAlign w:val="superscript"/>
          <w:lang w:val="en-CA"/>
        </w:rPr>
        <w:footnoteReference w:id="81"/>
      </w:r>
      <w:r w:rsidRPr="00E2619E">
        <w:rPr>
          <w:lang w:val="en-CA"/>
        </w:rPr>
        <w:t xml:space="preserve"> </w:t>
      </w:r>
      <w:r w:rsidR="00DB5155" w:rsidRPr="00E2619E">
        <w:rPr>
          <w:lang w:val="en-CA"/>
        </w:rPr>
        <w:t>Last</w:t>
      </w:r>
      <w:r w:rsidRPr="00E2619E">
        <w:rPr>
          <w:lang w:val="en-CA"/>
        </w:rPr>
        <w:t xml:space="preserve">, the proposal modifies the boundaries of 12 of the 17 current electoral divisions to improve the balance between the number of </w:t>
      </w:r>
      <w:r w:rsidR="000C26F5" w:rsidRPr="00E2619E">
        <w:rPr>
          <w:lang w:val="en-CA"/>
        </w:rPr>
        <w:t>electors</w:t>
      </w:r>
      <w:r w:rsidRPr="00E2619E">
        <w:rPr>
          <w:lang w:val="en-CA"/>
        </w:rPr>
        <w:t xml:space="preserve"> in each division and the </w:t>
      </w:r>
      <w:r w:rsidR="000C26F5" w:rsidRPr="00E2619E">
        <w:rPr>
          <w:lang w:val="en-CA"/>
        </w:rPr>
        <w:t>sustainability</w:t>
      </w:r>
      <w:r w:rsidRPr="00E2619E">
        <w:rPr>
          <w:lang w:val="en-CA"/>
        </w:rPr>
        <w:t xml:space="preserve"> of the delimitation.</w:t>
      </w:r>
    </w:p>
    <w:p w14:paraId="7B54B458" w14:textId="1015FF01" w:rsidR="006D4B37" w:rsidRPr="00076CA5" w:rsidRDefault="004351B0" w:rsidP="00933AAA">
      <w:pPr>
        <w:pStyle w:val="Paragraphe"/>
        <w:spacing w:line="240" w:lineRule="auto"/>
        <w:rPr>
          <w:lang w:val="en-CA"/>
        </w:rPr>
      </w:pPr>
      <w:r w:rsidRPr="00076CA5">
        <w:rPr>
          <w:lang w:val="en-CA"/>
        </w:rPr>
        <w:t xml:space="preserve">In the Estrie–Centre-du-Québec region, the addition of an electoral division and the changes to the boundaries of </w:t>
      </w:r>
      <w:r w:rsidR="009451C9">
        <w:rPr>
          <w:lang w:val="en-CA"/>
        </w:rPr>
        <w:t xml:space="preserve">the </w:t>
      </w:r>
      <w:r w:rsidRPr="00076CA5">
        <w:rPr>
          <w:lang w:val="en-CA"/>
        </w:rPr>
        <w:t xml:space="preserve">existing </w:t>
      </w:r>
      <w:r w:rsidR="009451C9">
        <w:rPr>
          <w:lang w:val="en-CA"/>
        </w:rPr>
        <w:t>divisions</w:t>
      </w:r>
      <w:r w:rsidRPr="00076CA5">
        <w:rPr>
          <w:lang w:val="en-CA"/>
        </w:rPr>
        <w:t xml:space="preserve"> would restore the balance of two electoral divisions </w:t>
      </w:r>
      <w:r w:rsidR="00ED743A">
        <w:rPr>
          <w:lang w:val="en-CA"/>
        </w:rPr>
        <w:t>with an exceptional positive deviation</w:t>
      </w:r>
      <w:r w:rsidRPr="00076CA5">
        <w:rPr>
          <w:vertAlign w:val="superscript"/>
          <w:lang w:val="en-CA"/>
        </w:rPr>
        <w:footnoteReference w:id="82"/>
      </w:r>
      <w:r w:rsidRPr="00076CA5">
        <w:rPr>
          <w:lang w:val="en-CA"/>
        </w:rPr>
        <w:t xml:space="preserve"> and reduce the number of </w:t>
      </w:r>
      <w:r w:rsidR="000C26F5" w:rsidRPr="00076CA5">
        <w:rPr>
          <w:lang w:val="en-CA"/>
        </w:rPr>
        <w:t>electors</w:t>
      </w:r>
      <w:r w:rsidRPr="00076CA5">
        <w:rPr>
          <w:lang w:val="en-CA"/>
        </w:rPr>
        <w:t xml:space="preserve"> in two electoral divisions</w:t>
      </w:r>
      <w:r w:rsidRPr="00076CA5">
        <w:rPr>
          <w:vertAlign w:val="superscript"/>
          <w:lang w:val="en-CA"/>
        </w:rPr>
        <w:footnoteReference w:id="83"/>
      </w:r>
      <w:r w:rsidRPr="00076CA5">
        <w:rPr>
          <w:lang w:val="en-CA"/>
        </w:rPr>
        <w:t xml:space="preserve"> at risk of becoming exception</w:t>
      </w:r>
      <w:r w:rsidR="000C26F5" w:rsidRPr="00076CA5">
        <w:rPr>
          <w:lang w:val="en-CA"/>
        </w:rPr>
        <w:t>s</w:t>
      </w:r>
      <w:r w:rsidRPr="00076CA5">
        <w:rPr>
          <w:lang w:val="en-CA"/>
        </w:rPr>
        <w:t xml:space="preserve"> in the short or medium term. The proposal improves the balance in the number of </w:t>
      </w:r>
      <w:r w:rsidR="000C26F5" w:rsidRPr="00076CA5">
        <w:rPr>
          <w:lang w:val="en-CA"/>
        </w:rPr>
        <w:t>electors</w:t>
      </w:r>
      <w:r w:rsidRPr="00076CA5">
        <w:rPr>
          <w:lang w:val="en-CA"/>
        </w:rPr>
        <w:t xml:space="preserve"> and ensures the long-term sustainability of the delimitation. It should be remembered that the new electoral map is in force for two elections, which is why it is so important for the Commission to plan ahead.</w:t>
      </w:r>
    </w:p>
    <w:p w14:paraId="7B9780B0" w14:textId="66CB3E3B" w:rsidR="006D4B37" w:rsidRPr="00076CA5" w:rsidRDefault="004351B0" w:rsidP="006D4B37">
      <w:pPr>
        <w:pStyle w:val="aParagraphe"/>
        <w:numPr>
          <w:ilvl w:val="0"/>
          <w:numId w:val="18"/>
        </w:numPr>
        <w:spacing w:line="280" w:lineRule="exact"/>
        <w:rPr>
          <w:lang w:val="en-CA"/>
        </w:rPr>
      </w:pPr>
      <w:r w:rsidRPr="00076CA5">
        <w:rPr>
          <w:lang w:val="en-CA"/>
        </w:rPr>
        <w:t xml:space="preserve">In </w:t>
      </w:r>
      <w:r w:rsidR="000C26F5" w:rsidRPr="00076CA5">
        <w:rPr>
          <w:lang w:val="en-CA"/>
        </w:rPr>
        <w:t>contrast</w:t>
      </w:r>
      <w:r w:rsidRPr="00076CA5">
        <w:rPr>
          <w:lang w:val="en-CA"/>
        </w:rPr>
        <w:t xml:space="preserve">, two electoral divisions </w:t>
      </w:r>
      <w:r w:rsidR="000F74FB">
        <w:rPr>
          <w:lang w:val="en-CA"/>
        </w:rPr>
        <w:t>would be</w:t>
      </w:r>
      <w:r w:rsidRPr="00076CA5">
        <w:rPr>
          <w:lang w:val="en-CA"/>
        </w:rPr>
        <w:t xml:space="preserve"> </w:t>
      </w:r>
      <w:r w:rsidR="000C26F5" w:rsidRPr="00076CA5">
        <w:rPr>
          <w:lang w:val="en-CA"/>
        </w:rPr>
        <w:t>eliminated</w:t>
      </w:r>
      <w:r w:rsidRPr="00076CA5">
        <w:rPr>
          <w:lang w:val="en-CA"/>
        </w:rPr>
        <w:t>: one in the Île-de-Montréal region and the other in the Bas-Saint-Laurent</w:t>
      </w:r>
      <w:r w:rsidR="009451C9" w:rsidRPr="00076CA5">
        <w:rPr>
          <w:lang w:val="en-CA"/>
        </w:rPr>
        <w:t>-</w:t>
      </w:r>
      <w:r w:rsidRPr="00076CA5">
        <w:rPr>
          <w:lang w:val="en-CA"/>
        </w:rPr>
        <w:t>Gaspésie-Îles-de-la-Madeleine region. The electoral region of Bas-Saint-Laurent</w:t>
      </w:r>
      <w:r w:rsidR="00597415" w:rsidRPr="00076CA5">
        <w:rPr>
          <w:lang w:val="en-CA"/>
        </w:rPr>
        <w:t>-</w:t>
      </w:r>
      <w:r w:rsidRPr="00076CA5">
        <w:rPr>
          <w:lang w:val="en-CA"/>
        </w:rPr>
        <w:t>Gaspésie-Îles-de-la-Madeleine (</w:t>
      </w:r>
      <w:r w:rsidR="000C26F5" w:rsidRPr="00076CA5">
        <w:rPr>
          <w:lang w:val="en-CA"/>
        </w:rPr>
        <w:t>other than</w:t>
      </w:r>
      <w:r w:rsidRPr="00076CA5">
        <w:rPr>
          <w:lang w:val="en-CA"/>
        </w:rPr>
        <w:t xml:space="preserve"> the electoral division of Îles-de-la-Madeleine, which already </w:t>
      </w:r>
      <w:r w:rsidR="00B63D3B">
        <w:rPr>
          <w:lang w:val="en-CA"/>
        </w:rPr>
        <w:t xml:space="preserve">has an </w:t>
      </w:r>
      <w:r w:rsidR="00B63D3B" w:rsidRPr="00B63D3B">
        <w:rPr>
          <w:lang w:val="en-CA"/>
        </w:rPr>
        <w:t>exceptional negative deviation</w:t>
      </w:r>
      <w:r w:rsidRPr="00076CA5">
        <w:rPr>
          <w:lang w:val="en-CA"/>
        </w:rPr>
        <w:t xml:space="preserve"> under the </w:t>
      </w:r>
      <w:r w:rsidRPr="00076CA5">
        <w:rPr>
          <w:i/>
          <w:iCs/>
          <w:lang w:val="en-CA"/>
        </w:rPr>
        <w:t>Election Act</w:t>
      </w:r>
      <w:r w:rsidRPr="00076CA5">
        <w:rPr>
          <w:lang w:val="en-CA"/>
        </w:rPr>
        <w:t xml:space="preserve">) includes two electoral divisions that deviate from the ±25% criterion: Bonaventure and Gaspé, with deviations from the average of -29.2% and </w:t>
      </w:r>
      <w:r w:rsidR="00597415">
        <w:rPr>
          <w:lang w:val="en-CA"/>
        </w:rPr>
        <w:noBreakHyphen/>
      </w:r>
      <w:r w:rsidRPr="00076CA5">
        <w:rPr>
          <w:lang w:val="en-CA"/>
        </w:rPr>
        <w:t>40.6% respectively</w:t>
      </w:r>
      <w:r w:rsidR="000C26F5" w:rsidRPr="00076CA5">
        <w:rPr>
          <w:lang w:val="en-CA"/>
        </w:rPr>
        <w:t>.</w:t>
      </w:r>
      <w:r w:rsidRPr="00076CA5">
        <w:rPr>
          <w:vertAlign w:val="superscript"/>
          <w:lang w:val="en-CA"/>
        </w:rPr>
        <w:footnoteReference w:id="84"/>
      </w:r>
      <w:r w:rsidRPr="00076CA5">
        <w:rPr>
          <w:lang w:val="en-CA"/>
        </w:rPr>
        <w:t xml:space="preserve"> The region</w:t>
      </w:r>
      <w:r w:rsidR="00597415">
        <w:rPr>
          <w:lang w:val="en-CA"/>
        </w:rPr>
        <w:t>’</w:t>
      </w:r>
      <w:r w:rsidRPr="00076CA5">
        <w:rPr>
          <w:lang w:val="en-CA"/>
        </w:rPr>
        <w:t>s electoral weight declined between November 30, 2014</w:t>
      </w:r>
      <w:r w:rsidR="00597415">
        <w:rPr>
          <w:lang w:val="en-CA"/>
        </w:rPr>
        <w:t>,</w:t>
      </w:r>
      <w:r w:rsidRPr="00076CA5">
        <w:rPr>
          <w:lang w:val="en-CA"/>
        </w:rPr>
        <w:t xml:space="preserve"> and April 30, 2023, and this trend will most likely continue over the next few years, according to the Commission.</w:t>
      </w:r>
    </w:p>
    <w:p w14:paraId="7E30CF5A" w14:textId="607D45A7" w:rsidR="006D4B37" w:rsidRPr="00076CA5" w:rsidRDefault="004351B0" w:rsidP="0088673E">
      <w:pPr>
        <w:pStyle w:val="Paragraphe"/>
        <w:spacing w:line="240" w:lineRule="auto"/>
        <w:rPr>
          <w:lang w:val="en-CA"/>
        </w:rPr>
      </w:pPr>
      <w:r w:rsidRPr="00076CA5">
        <w:rPr>
          <w:lang w:val="en-CA"/>
        </w:rPr>
        <w:lastRenderedPageBreak/>
        <w:t xml:space="preserve">Even though the </w:t>
      </w:r>
      <w:r w:rsidR="000C26F5" w:rsidRPr="00076CA5">
        <w:rPr>
          <w:lang w:val="en-CA"/>
        </w:rPr>
        <w:t xml:space="preserve">text of the </w:t>
      </w:r>
      <w:r w:rsidR="002B54C0" w:rsidRPr="002B54C0">
        <w:rPr>
          <w:i/>
          <w:iCs/>
          <w:lang w:val="en-CA"/>
        </w:rPr>
        <w:t>ATI</w:t>
      </w:r>
      <w:r w:rsidRPr="00076CA5">
        <w:rPr>
          <w:lang w:val="en-CA"/>
        </w:rPr>
        <w:t xml:space="preserve"> and the explanatory notes are silent on </w:t>
      </w:r>
      <w:r w:rsidR="000F74FB">
        <w:rPr>
          <w:lang w:val="en-CA"/>
        </w:rPr>
        <w:t>the</w:t>
      </w:r>
      <w:r w:rsidRPr="00076CA5">
        <w:rPr>
          <w:lang w:val="en-CA"/>
        </w:rPr>
        <w:t xml:space="preserve"> subject, the evidence </w:t>
      </w:r>
      <w:r w:rsidR="000C26F5" w:rsidRPr="00076CA5">
        <w:rPr>
          <w:lang w:val="en-CA"/>
        </w:rPr>
        <w:t>adduced</w:t>
      </w:r>
      <w:r w:rsidRPr="00076CA5">
        <w:rPr>
          <w:lang w:val="en-CA"/>
        </w:rPr>
        <w:t xml:space="preserve"> allows us to understand that the primary objective </w:t>
      </w:r>
      <w:r w:rsidR="000C26F5" w:rsidRPr="00076CA5">
        <w:rPr>
          <w:lang w:val="en-CA"/>
        </w:rPr>
        <w:t>of</w:t>
      </w:r>
      <w:r w:rsidRPr="00076CA5">
        <w:rPr>
          <w:lang w:val="en-CA"/>
        </w:rPr>
        <w:t xml:space="preserve"> the </w:t>
      </w:r>
      <w:r w:rsidR="002B54C0" w:rsidRPr="002B54C0">
        <w:rPr>
          <w:i/>
          <w:iCs/>
          <w:lang w:val="en-CA"/>
        </w:rPr>
        <w:t>ATI</w:t>
      </w:r>
      <w:r w:rsidRPr="00076CA5">
        <w:rPr>
          <w:lang w:val="en-CA"/>
        </w:rPr>
        <w:t xml:space="preserve"> is to prevent the elimination of an electoral division in Gaspésie</w:t>
      </w:r>
      <w:r w:rsidR="000C26F5" w:rsidRPr="00076CA5">
        <w:rPr>
          <w:lang w:val="en-CA"/>
        </w:rPr>
        <w:t>.</w:t>
      </w:r>
      <w:r w:rsidRPr="00076CA5">
        <w:rPr>
          <w:vertAlign w:val="superscript"/>
          <w:lang w:val="en-CA"/>
        </w:rPr>
        <w:footnoteReference w:id="85"/>
      </w:r>
      <w:r w:rsidRPr="00076CA5">
        <w:rPr>
          <w:lang w:val="en-CA"/>
        </w:rPr>
        <w:t xml:space="preserve"> </w:t>
      </w:r>
      <w:r w:rsidR="000C26F5" w:rsidRPr="00076CA5">
        <w:rPr>
          <w:lang w:val="en-CA"/>
        </w:rPr>
        <w:t>It is clear</w:t>
      </w:r>
      <w:r w:rsidRPr="00076CA5">
        <w:rPr>
          <w:lang w:val="en-CA"/>
        </w:rPr>
        <w:t xml:space="preserve"> that the legislat</w:t>
      </w:r>
      <w:r w:rsidR="000F74FB">
        <w:rPr>
          <w:lang w:val="en-CA"/>
        </w:rPr>
        <w:t>ure</w:t>
      </w:r>
      <w:r w:rsidRPr="00076CA5">
        <w:rPr>
          <w:lang w:val="en-CA"/>
        </w:rPr>
        <w:t xml:space="preserve"> did </w:t>
      </w:r>
      <w:r w:rsidR="000F74FB">
        <w:rPr>
          <w:lang w:val="en-CA"/>
        </w:rPr>
        <w:t xml:space="preserve">not </w:t>
      </w:r>
      <w:r w:rsidRPr="00076CA5">
        <w:rPr>
          <w:lang w:val="en-CA"/>
        </w:rPr>
        <w:t>choose to intervene because of the loss of a</w:t>
      </w:r>
      <w:r w:rsidR="000C26F5" w:rsidRPr="00076CA5">
        <w:rPr>
          <w:lang w:val="en-CA"/>
        </w:rPr>
        <w:t xml:space="preserve">n electoral division </w:t>
      </w:r>
      <w:r w:rsidRPr="00076CA5">
        <w:rPr>
          <w:lang w:val="en-CA"/>
        </w:rPr>
        <w:t>in Montr</w:t>
      </w:r>
      <w:r w:rsidR="000F74FB">
        <w:rPr>
          <w:lang w:val="en-CA"/>
        </w:rPr>
        <w:t>e</w:t>
      </w:r>
      <w:r w:rsidRPr="00076CA5">
        <w:rPr>
          <w:lang w:val="en-CA"/>
        </w:rPr>
        <w:t xml:space="preserve">al, which is mentioned </w:t>
      </w:r>
      <w:r w:rsidR="000F74FB">
        <w:rPr>
          <w:lang w:val="en-CA"/>
        </w:rPr>
        <w:t xml:space="preserve">only </w:t>
      </w:r>
      <w:r w:rsidRPr="00076CA5">
        <w:rPr>
          <w:lang w:val="en-CA"/>
        </w:rPr>
        <w:t>in passing. Moreover, it is the reality of Gaspésie and, in general, th</w:t>
      </w:r>
      <w:r w:rsidR="00673BD4" w:rsidRPr="00076CA5">
        <w:rPr>
          <w:lang w:val="en-CA"/>
        </w:rPr>
        <w:t xml:space="preserve">e reality </w:t>
      </w:r>
      <w:r w:rsidRPr="00076CA5">
        <w:rPr>
          <w:lang w:val="en-CA"/>
        </w:rPr>
        <w:t xml:space="preserve">of regional electoral divisions that is </w:t>
      </w:r>
      <w:r w:rsidR="00673BD4" w:rsidRPr="00076CA5">
        <w:rPr>
          <w:lang w:val="en-CA"/>
        </w:rPr>
        <w:t>the focus</w:t>
      </w:r>
      <w:r w:rsidRPr="00076CA5">
        <w:rPr>
          <w:lang w:val="en-CA"/>
        </w:rPr>
        <w:t xml:space="preserve"> in the respondent</w:t>
      </w:r>
      <w:r w:rsidR="000F74FB">
        <w:rPr>
          <w:lang w:val="en-CA"/>
        </w:rPr>
        <w:t>’</w:t>
      </w:r>
      <w:r w:rsidRPr="00076CA5">
        <w:rPr>
          <w:lang w:val="en-CA"/>
        </w:rPr>
        <w:t xml:space="preserve">s </w:t>
      </w:r>
      <w:r w:rsidR="000F74FB">
        <w:rPr>
          <w:lang w:val="en-CA"/>
        </w:rPr>
        <w:t>brief</w:t>
      </w:r>
      <w:r w:rsidR="000C26F5" w:rsidRPr="00076CA5">
        <w:rPr>
          <w:lang w:val="en-CA"/>
        </w:rPr>
        <w:t xml:space="preserve"> and arguments</w:t>
      </w:r>
      <w:r w:rsidRPr="00076CA5">
        <w:rPr>
          <w:lang w:val="en-CA"/>
        </w:rPr>
        <w:t>.</w:t>
      </w:r>
    </w:p>
    <w:p w14:paraId="318FB3CC" w14:textId="3C585D17" w:rsidR="006D4B37" w:rsidRPr="00076CA5" w:rsidRDefault="004351B0" w:rsidP="006D4B37">
      <w:pPr>
        <w:pStyle w:val="aParagraphe"/>
        <w:numPr>
          <w:ilvl w:val="0"/>
          <w:numId w:val="18"/>
        </w:numPr>
        <w:spacing w:line="280" w:lineRule="exact"/>
        <w:rPr>
          <w:lang w:val="en-CA"/>
        </w:rPr>
      </w:pPr>
      <w:r w:rsidRPr="00076CA5">
        <w:rPr>
          <w:lang w:val="en-CA"/>
        </w:rPr>
        <w:t xml:space="preserve">The second objective of the </w:t>
      </w:r>
      <w:r w:rsidR="002B54C0" w:rsidRPr="002B54C0">
        <w:rPr>
          <w:i/>
          <w:iCs/>
          <w:lang w:val="en-CA"/>
        </w:rPr>
        <w:t>ATI</w:t>
      </w:r>
      <w:r w:rsidRPr="00076CA5">
        <w:rPr>
          <w:i/>
          <w:iCs/>
          <w:lang w:val="en-CA"/>
        </w:rPr>
        <w:t>,</w:t>
      </w:r>
      <w:r w:rsidRPr="00076CA5">
        <w:rPr>
          <w:lang w:val="en-CA"/>
        </w:rPr>
        <w:t xml:space="preserve"> </w:t>
      </w:r>
      <w:r w:rsidR="000F74FB">
        <w:rPr>
          <w:lang w:val="en-CA"/>
        </w:rPr>
        <w:t>stated</w:t>
      </w:r>
      <w:r w:rsidRPr="00076CA5">
        <w:rPr>
          <w:lang w:val="en-CA"/>
        </w:rPr>
        <w:t xml:space="preserve"> by the minister responsible in a </w:t>
      </w:r>
      <w:r w:rsidR="00673BD4" w:rsidRPr="00076CA5">
        <w:rPr>
          <w:lang w:val="en-CA"/>
        </w:rPr>
        <w:t>memorandum</w:t>
      </w:r>
      <w:r w:rsidRPr="00076CA5">
        <w:rPr>
          <w:lang w:val="en-CA"/>
        </w:rPr>
        <w:t xml:space="preserve"> to Cabinet, is to </w:t>
      </w:r>
      <w:r w:rsidR="00673BD4" w:rsidRPr="00076CA5">
        <w:rPr>
          <w:lang w:val="en-CA"/>
        </w:rPr>
        <w:t>[</w:t>
      </w:r>
      <w:r w:rsidR="000F74FB">
        <w:rPr>
          <w:smallCaps/>
          <w:lang w:val="en-CA"/>
        </w:rPr>
        <w:t>translation</w:t>
      </w:r>
      <w:r w:rsidR="00673BD4" w:rsidRPr="00076CA5">
        <w:rPr>
          <w:lang w:val="en-CA"/>
        </w:rPr>
        <w:t xml:space="preserve">] </w:t>
      </w:r>
      <w:r w:rsidRPr="00076CA5">
        <w:rPr>
          <w:lang w:val="en-CA"/>
        </w:rPr>
        <w:t xml:space="preserve">“give parliamentarians the </w:t>
      </w:r>
      <w:r w:rsidR="00673BD4" w:rsidRPr="00076CA5">
        <w:rPr>
          <w:lang w:val="en-CA"/>
        </w:rPr>
        <w:t>time</w:t>
      </w:r>
      <w:r w:rsidR="00387F6B" w:rsidRPr="00076CA5">
        <w:rPr>
          <w:lang w:val="en-CA"/>
        </w:rPr>
        <w:t xml:space="preserve"> </w:t>
      </w:r>
      <w:r w:rsidRPr="00076CA5">
        <w:rPr>
          <w:lang w:val="en-CA"/>
        </w:rPr>
        <w:t>need</w:t>
      </w:r>
      <w:r w:rsidR="002F236B">
        <w:rPr>
          <w:lang w:val="en-CA"/>
        </w:rPr>
        <w:t>ed</w:t>
      </w:r>
      <w:r w:rsidRPr="00076CA5">
        <w:rPr>
          <w:lang w:val="en-CA"/>
        </w:rPr>
        <w:t xml:space="preserve"> to reflect in depth on the criteria for delimiting </w:t>
      </w:r>
      <w:r w:rsidR="005F3699">
        <w:rPr>
          <w:lang w:val="en-CA"/>
        </w:rPr>
        <w:t xml:space="preserve">the </w:t>
      </w:r>
      <w:r w:rsidRPr="00076CA5">
        <w:rPr>
          <w:lang w:val="en-CA"/>
        </w:rPr>
        <w:t xml:space="preserve">electoral divisions set out in the </w:t>
      </w:r>
      <w:r w:rsidRPr="00076CA5">
        <w:rPr>
          <w:i/>
          <w:iCs/>
          <w:lang w:val="en-CA"/>
        </w:rPr>
        <w:t>Election Act</w:t>
      </w:r>
      <w:r w:rsidR="00673BD4" w:rsidRPr="00145125">
        <w:rPr>
          <w:lang w:val="en-CA"/>
        </w:rPr>
        <w:t>”</w:t>
      </w:r>
      <w:r w:rsidR="002F236B">
        <w:rPr>
          <w:lang w:val="en-CA"/>
        </w:rPr>
        <w:t>.</w:t>
      </w:r>
      <w:r w:rsidRPr="00076CA5">
        <w:rPr>
          <w:rStyle w:val="Appelnotedebasdep"/>
          <w:lang w:val="en-CA"/>
        </w:rPr>
        <w:footnoteReference w:id="86"/>
      </w:r>
    </w:p>
    <w:p w14:paraId="70F15593" w14:textId="1A16FE7F" w:rsidR="006D4B37" w:rsidRPr="00076CA5" w:rsidRDefault="009F6683" w:rsidP="006D4B37">
      <w:pPr>
        <w:pStyle w:val="aParagraphe"/>
        <w:numPr>
          <w:ilvl w:val="0"/>
          <w:numId w:val="18"/>
        </w:numPr>
        <w:spacing w:line="280" w:lineRule="exact"/>
        <w:rPr>
          <w:lang w:val="en-CA"/>
        </w:rPr>
      </w:pPr>
      <w:r>
        <w:rPr>
          <w:lang w:val="en-CA"/>
        </w:rPr>
        <w:t>The purpose of t</w:t>
      </w:r>
      <w:r w:rsidR="004351B0" w:rsidRPr="00076CA5">
        <w:rPr>
          <w:lang w:val="en-CA"/>
        </w:rPr>
        <w:t xml:space="preserve">his reflection would ultimately and probably </w:t>
      </w:r>
      <w:r>
        <w:rPr>
          <w:lang w:val="en-CA"/>
        </w:rPr>
        <w:t>be</w:t>
      </w:r>
      <w:r w:rsidR="004351B0" w:rsidRPr="00076CA5">
        <w:rPr>
          <w:lang w:val="en-CA"/>
        </w:rPr>
        <w:t xml:space="preserve"> to agree on </w:t>
      </w:r>
      <w:r>
        <w:rPr>
          <w:lang w:val="en-CA"/>
        </w:rPr>
        <w:t xml:space="preserve">the </w:t>
      </w:r>
      <w:r w:rsidR="004351B0" w:rsidRPr="00076CA5">
        <w:rPr>
          <w:lang w:val="en-CA"/>
        </w:rPr>
        <w:t xml:space="preserve">criteria applicable to the 2030 electoral map to take into account the fact that: (1) the inhabited territory continues to grow; (2) it is becoming increasingly difficult for </w:t>
      </w:r>
      <w:r w:rsidR="00673BD4" w:rsidRPr="00076CA5">
        <w:rPr>
          <w:lang w:val="en-CA"/>
        </w:rPr>
        <w:t>some MNAs</w:t>
      </w:r>
      <w:r w:rsidR="004351B0" w:rsidRPr="00076CA5">
        <w:rPr>
          <w:lang w:val="en-CA"/>
        </w:rPr>
        <w:t xml:space="preserve"> to reach citizens in </w:t>
      </w:r>
      <w:r w:rsidR="00673BD4" w:rsidRPr="00076CA5">
        <w:rPr>
          <w:lang w:val="en-CA"/>
        </w:rPr>
        <w:t xml:space="preserve">all areas </w:t>
      </w:r>
      <w:r w:rsidR="004351B0" w:rsidRPr="00076CA5">
        <w:rPr>
          <w:lang w:val="en-CA"/>
        </w:rPr>
        <w:t xml:space="preserve">of their electoral divisions; (3) there is a persistent phenomenon of devitalization of certain remote regions; and (4) we are witnessing sustained demographic growth in the </w:t>
      </w:r>
      <w:r>
        <w:rPr>
          <w:lang w:val="en-CA"/>
        </w:rPr>
        <w:t>suburbs</w:t>
      </w:r>
      <w:r w:rsidR="004351B0" w:rsidRPr="00076CA5">
        <w:rPr>
          <w:lang w:val="en-CA"/>
        </w:rPr>
        <w:t xml:space="preserve"> of major cities. The respondent </w:t>
      </w:r>
      <w:r>
        <w:rPr>
          <w:lang w:val="en-CA"/>
        </w:rPr>
        <w:t>submits</w:t>
      </w:r>
      <w:r w:rsidR="004351B0" w:rsidRPr="00076CA5">
        <w:rPr>
          <w:lang w:val="en-CA"/>
        </w:rPr>
        <w:t xml:space="preserve"> that this</w:t>
      </w:r>
      <w:r>
        <w:rPr>
          <w:lang w:val="en-CA"/>
        </w:rPr>
        <w:t xml:space="preserve"> [</w:t>
      </w:r>
      <w:r>
        <w:rPr>
          <w:smallCaps/>
          <w:lang w:val="en-CA"/>
        </w:rPr>
        <w:t>translation</w:t>
      </w:r>
      <w:r>
        <w:rPr>
          <w:lang w:val="en-CA"/>
        </w:rPr>
        <w:t>]</w:t>
      </w:r>
      <w:r w:rsidR="004351B0" w:rsidRPr="00076CA5">
        <w:rPr>
          <w:lang w:val="en-CA"/>
        </w:rPr>
        <w:t xml:space="preserve"> “reform” is intended to find a way to offset the widening demographic gap between certain remote regions and the rest of Quebec. By applying the current criteria of the </w:t>
      </w:r>
      <w:r w:rsidR="004351B0" w:rsidRPr="00076CA5">
        <w:rPr>
          <w:i/>
          <w:iCs/>
          <w:lang w:val="en-CA"/>
        </w:rPr>
        <w:t>Election</w:t>
      </w:r>
      <w:r w:rsidR="004351B0" w:rsidRPr="00076CA5">
        <w:rPr>
          <w:lang w:val="en-CA"/>
        </w:rPr>
        <w:t xml:space="preserve"> Act, this phenomenon leads to several situations of</w:t>
      </w:r>
      <w:r>
        <w:rPr>
          <w:lang w:val="en-CA"/>
        </w:rPr>
        <w:t xml:space="preserve"> [</w:t>
      </w:r>
      <w:r>
        <w:rPr>
          <w:smallCaps/>
          <w:lang w:val="en-CA"/>
        </w:rPr>
        <w:t>translation</w:t>
      </w:r>
      <w:r>
        <w:rPr>
          <w:lang w:val="en-CA"/>
        </w:rPr>
        <w:t>]</w:t>
      </w:r>
      <w:r w:rsidR="004351B0" w:rsidRPr="00076CA5">
        <w:rPr>
          <w:lang w:val="en-CA"/>
        </w:rPr>
        <w:t xml:space="preserve"> “distortion”</w:t>
      </w:r>
      <w:r w:rsidR="005F3699">
        <w:rPr>
          <w:lang w:val="en-CA"/>
        </w:rPr>
        <w:t>,</w:t>
      </w:r>
      <w:r w:rsidR="004351B0" w:rsidRPr="00076CA5">
        <w:rPr>
          <w:lang w:val="en-CA"/>
        </w:rPr>
        <w:t xml:space="preserve"> namely a multiplication of exceptions, which are not necessarily renewed by the Commission, as is the case here for the Gaspésie region. Modifying the delimitation criteria set out in the </w:t>
      </w:r>
      <w:r w:rsidR="004351B0" w:rsidRPr="00076CA5">
        <w:rPr>
          <w:i/>
          <w:iCs/>
          <w:lang w:val="en-CA"/>
        </w:rPr>
        <w:t>Election Act</w:t>
      </w:r>
      <w:r w:rsidR="004351B0" w:rsidRPr="00076CA5">
        <w:rPr>
          <w:lang w:val="en-CA"/>
        </w:rPr>
        <w:t xml:space="preserve"> </w:t>
      </w:r>
      <w:r w:rsidR="00673BD4" w:rsidRPr="00076CA5">
        <w:rPr>
          <w:lang w:val="en-CA"/>
        </w:rPr>
        <w:t xml:space="preserve">might reduce </w:t>
      </w:r>
      <w:r w:rsidR="004351B0" w:rsidRPr="00076CA5">
        <w:rPr>
          <w:lang w:val="en-CA"/>
        </w:rPr>
        <w:t xml:space="preserve">the </w:t>
      </w:r>
      <w:r w:rsidR="00673BD4" w:rsidRPr="00076CA5">
        <w:rPr>
          <w:lang w:val="en-CA"/>
        </w:rPr>
        <w:t xml:space="preserve">restrictions </w:t>
      </w:r>
      <w:r w:rsidR="004351B0" w:rsidRPr="00076CA5">
        <w:rPr>
          <w:lang w:val="en-CA"/>
        </w:rPr>
        <w:t>imposed on the Commission by the numerical and demographic criteria</w:t>
      </w:r>
      <w:r w:rsidR="00673BD4" w:rsidRPr="00076CA5">
        <w:rPr>
          <w:lang w:val="en-CA"/>
        </w:rPr>
        <w:t>.</w:t>
      </w:r>
      <w:r w:rsidR="004351B0" w:rsidRPr="00076CA5">
        <w:rPr>
          <w:rStyle w:val="Appelnotedebasdep"/>
          <w:lang w:val="en-CA"/>
        </w:rPr>
        <w:footnoteReference w:id="87"/>
      </w:r>
    </w:p>
    <w:p w14:paraId="756CD8A4" w14:textId="31C17E36" w:rsidR="006D4B37" w:rsidRPr="00076CA5" w:rsidRDefault="00673BD4" w:rsidP="00E429A3">
      <w:pPr>
        <w:pStyle w:val="aParagraphe"/>
        <w:numPr>
          <w:ilvl w:val="0"/>
          <w:numId w:val="18"/>
        </w:numPr>
        <w:tabs>
          <w:tab w:val="clear" w:pos="720"/>
        </w:tabs>
        <w:spacing w:line="280" w:lineRule="exact"/>
        <w:rPr>
          <w:lang w:val="en-CA"/>
        </w:rPr>
      </w:pPr>
      <w:r w:rsidRPr="00076CA5">
        <w:rPr>
          <w:lang w:val="en-CA"/>
        </w:rPr>
        <w:t xml:space="preserve">Briefly, in this </w:t>
      </w:r>
      <w:r w:rsidR="00A45DA6">
        <w:rPr>
          <w:lang w:val="en-CA"/>
        </w:rPr>
        <w:t>case</w:t>
      </w:r>
      <w:r w:rsidRPr="00076CA5">
        <w:rPr>
          <w:lang w:val="en-CA"/>
        </w:rPr>
        <w:t xml:space="preserve">, </w:t>
      </w:r>
      <w:r w:rsidRPr="002F3C48">
        <w:rPr>
          <w:lang w:val="en-CA"/>
        </w:rPr>
        <w:t>the MNAs disagreed</w:t>
      </w:r>
      <w:r w:rsidRPr="00076CA5">
        <w:rPr>
          <w:lang w:val="en-CA"/>
        </w:rPr>
        <w:t xml:space="preserve"> with the results of </w:t>
      </w:r>
      <w:r w:rsidR="002F3C48">
        <w:rPr>
          <w:lang w:val="en-CA"/>
        </w:rPr>
        <w:t>the application of</w:t>
      </w:r>
      <w:r w:rsidRPr="00076CA5">
        <w:rPr>
          <w:lang w:val="en-CA"/>
        </w:rPr>
        <w:t xml:space="preserve"> the current criteria, but were unable to define others, which in itself does not justify the </w:t>
      </w:r>
      <w:r w:rsidR="002F3C48">
        <w:rPr>
          <w:lang w:val="en-CA"/>
        </w:rPr>
        <w:t>enactment</w:t>
      </w:r>
      <w:r w:rsidRPr="00076CA5">
        <w:rPr>
          <w:lang w:val="en-CA"/>
        </w:rPr>
        <w:t xml:space="preserve"> of the </w:t>
      </w:r>
      <w:r w:rsidR="002B54C0" w:rsidRPr="002B54C0">
        <w:rPr>
          <w:i/>
          <w:iCs/>
          <w:lang w:val="en-CA"/>
        </w:rPr>
        <w:t>ATI</w:t>
      </w:r>
      <w:r w:rsidRPr="00076CA5">
        <w:rPr>
          <w:lang w:val="en-CA"/>
        </w:rPr>
        <w:t xml:space="preserve">, especially since the respondent did not present evidence of the examination of alternatives to meet its burden of proving that the </w:t>
      </w:r>
      <w:r w:rsidR="002B54C0" w:rsidRPr="002B54C0">
        <w:rPr>
          <w:i/>
          <w:iCs/>
          <w:lang w:val="en-CA"/>
        </w:rPr>
        <w:t>ATI</w:t>
      </w:r>
      <w:r w:rsidRPr="00076CA5">
        <w:rPr>
          <w:lang w:val="en-CA"/>
        </w:rPr>
        <w:t xml:space="preserve"> constitutes minimal impairment of the infringed</w:t>
      </w:r>
      <w:r w:rsidR="002F3C48" w:rsidRPr="002F3C48">
        <w:rPr>
          <w:lang w:val="en-CA"/>
        </w:rPr>
        <w:t xml:space="preserve"> </w:t>
      </w:r>
      <w:r w:rsidR="002F3C48" w:rsidRPr="00076CA5">
        <w:rPr>
          <w:lang w:val="en-CA"/>
        </w:rPr>
        <w:t>right</w:t>
      </w:r>
      <w:r w:rsidRPr="00076CA5">
        <w:rPr>
          <w:lang w:val="en-CA"/>
        </w:rPr>
        <w:t>.</w:t>
      </w:r>
      <w:r w:rsidRPr="00076CA5">
        <w:rPr>
          <w:rStyle w:val="Appelnotedebasdep"/>
          <w:lang w:val="en-CA"/>
        </w:rPr>
        <w:footnoteReference w:id="88"/>
      </w:r>
    </w:p>
    <w:p w14:paraId="6BC00FAD" w14:textId="5E0E9E1A" w:rsidR="006D4B37" w:rsidRPr="00145125" w:rsidRDefault="004351B0" w:rsidP="006D4B37">
      <w:pPr>
        <w:pStyle w:val="aParagraphe"/>
        <w:numPr>
          <w:ilvl w:val="0"/>
          <w:numId w:val="18"/>
        </w:numPr>
        <w:tabs>
          <w:tab w:val="clear" w:pos="720"/>
        </w:tabs>
        <w:spacing w:line="280" w:lineRule="exact"/>
        <w:rPr>
          <w:lang w:val="en-CA"/>
        </w:rPr>
      </w:pPr>
      <w:r w:rsidRPr="00076CA5">
        <w:rPr>
          <w:lang w:val="en-CA"/>
        </w:rPr>
        <w:t xml:space="preserve">The evidence shows, and the experts heard on both sides </w:t>
      </w:r>
      <w:r w:rsidR="007315C7">
        <w:rPr>
          <w:lang w:val="en-CA"/>
        </w:rPr>
        <w:t>stated</w:t>
      </w:r>
      <w:r w:rsidRPr="00076CA5">
        <w:rPr>
          <w:lang w:val="en-CA"/>
        </w:rPr>
        <w:t>, that for several decades the legislat</w:t>
      </w:r>
      <w:r w:rsidR="007315C7">
        <w:rPr>
          <w:lang w:val="en-CA"/>
        </w:rPr>
        <w:t>ure</w:t>
      </w:r>
      <w:r w:rsidRPr="00076CA5">
        <w:rPr>
          <w:lang w:val="en-CA"/>
        </w:rPr>
        <w:t xml:space="preserve"> has been perfectly aware of the issue of the inevitable disappearance of electoral divisions in remote regions </w:t>
      </w:r>
      <w:r w:rsidR="00B829B0" w:rsidRPr="00076CA5">
        <w:rPr>
          <w:lang w:val="en-CA"/>
        </w:rPr>
        <w:t xml:space="preserve">because of </w:t>
      </w:r>
      <w:r w:rsidRPr="00076CA5">
        <w:rPr>
          <w:lang w:val="en-CA"/>
        </w:rPr>
        <w:t xml:space="preserve">socio-demographic </w:t>
      </w:r>
      <w:r w:rsidRPr="00076CA5">
        <w:rPr>
          <w:lang w:val="en-CA"/>
        </w:rPr>
        <w:lastRenderedPageBreak/>
        <w:t xml:space="preserve">changes and the application of the </w:t>
      </w:r>
      <w:r w:rsidRPr="00076CA5">
        <w:rPr>
          <w:i/>
          <w:iCs/>
          <w:lang w:val="en-CA"/>
        </w:rPr>
        <w:t>Election</w:t>
      </w:r>
      <w:r w:rsidRPr="00076CA5">
        <w:rPr>
          <w:lang w:val="en-CA"/>
        </w:rPr>
        <w:t xml:space="preserve"> </w:t>
      </w:r>
      <w:r w:rsidRPr="00076CA5">
        <w:rPr>
          <w:i/>
          <w:iCs/>
          <w:lang w:val="en-CA"/>
        </w:rPr>
        <w:t>Act</w:t>
      </w:r>
      <w:r w:rsidRPr="00076CA5">
        <w:rPr>
          <w:lang w:val="en-CA"/>
        </w:rPr>
        <w:t xml:space="preserve"> </w:t>
      </w:r>
      <w:r w:rsidR="007315C7" w:rsidRPr="00076CA5">
        <w:rPr>
          <w:lang w:val="en-CA"/>
        </w:rPr>
        <w:t xml:space="preserve">criteria </w:t>
      </w:r>
      <w:r w:rsidRPr="00076CA5">
        <w:rPr>
          <w:lang w:val="en-CA"/>
        </w:rPr>
        <w:t>by the Commission</w:t>
      </w:r>
      <w:r w:rsidR="00B829B0" w:rsidRPr="00076CA5">
        <w:rPr>
          <w:lang w:val="en-CA"/>
        </w:rPr>
        <w:t>.</w:t>
      </w:r>
      <w:r w:rsidRPr="00076CA5">
        <w:rPr>
          <w:rStyle w:val="Appelnotedebasdep"/>
          <w:lang w:val="en-CA"/>
        </w:rPr>
        <w:footnoteReference w:id="89"/>
      </w:r>
      <w:r w:rsidRPr="00076CA5">
        <w:rPr>
          <w:lang w:val="en-CA"/>
        </w:rPr>
        <w:t xml:space="preserve"> Historically, instead of tackling the issue head-on in the face of opposition from political parties, the legislat</w:t>
      </w:r>
      <w:r w:rsidR="007315C7">
        <w:rPr>
          <w:lang w:val="en-CA"/>
        </w:rPr>
        <w:t>ure</w:t>
      </w:r>
      <w:r w:rsidRPr="00076CA5">
        <w:rPr>
          <w:lang w:val="en-CA"/>
        </w:rPr>
        <w:t xml:space="preserve"> often interfered in the </w:t>
      </w:r>
      <w:r w:rsidR="00B829B0" w:rsidRPr="00076CA5">
        <w:rPr>
          <w:lang w:val="en-CA"/>
        </w:rPr>
        <w:t>P</w:t>
      </w:r>
      <w:r w:rsidRPr="00076CA5">
        <w:rPr>
          <w:lang w:val="en-CA"/>
        </w:rPr>
        <w:t>rocess, claiming to be independent of the Commission. This is clear from the brief overview of the various</w:t>
      </w:r>
      <w:r w:rsidR="00B829B0" w:rsidRPr="00076CA5">
        <w:rPr>
          <w:lang w:val="en-CA"/>
        </w:rPr>
        <w:t xml:space="preserve"> contemporary </w:t>
      </w:r>
      <w:r w:rsidRPr="00076CA5">
        <w:rPr>
          <w:lang w:val="en-CA"/>
        </w:rPr>
        <w:t xml:space="preserve">parliamentary debates </w:t>
      </w:r>
      <w:r w:rsidR="00B829B0" w:rsidRPr="00076CA5">
        <w:rPr>
          <w:lang w:val="en-CA"/>
        </w:rPr>
        <w:t>over</w:t>
      </w:r>
      <w:r w:rsidRPr="00076CA5">
        <w:rPr>
          <w:lang w:val="en-CA"/>
        </w:rPr>
        <w:t xml:space="preserve"> the redesign of Qu</w:t>
      </w:r>
      <w:r w:rsidR="00B829B0" w:rsidRPr="00076CA5">
        <w:rPr>
          <w:lang w:val="en-CA"/>
        </w:rPr>
        <w:t>e</w:t>
      </w:r>
      <w:r w:rsidRPr="00076CA5">
        <w:rPr>
          <w:lang w:val="en-CA"/>
        </w:rPr>
        <w:t>bec</w:t>
      </w:r>
      <w:r w:rsidR="00B829B0" w:rsidRPr="00076CA5">
        <w:rPr>
          <w:lang w:val="en-CA"/>
        </w:rPr>
        <w:t>’s</w:t>
      </w:r>
      <w:r w:rsidRPr="00076CA5">
        <w:rPr>
          <w:lang w:val="en-CA"/>
        </w:rPr>
        <w:t xml:space="preserve"> electoral map presented in the report of the respondent</w:t>
      </w:r>
      <w:r w:rsidR="007315C7">
        <w:rPr>
          <w:lang w:val="en-CA"/>
        </w:rPr>
        <w:t>’</w:t>
      </w:r>
      <w:r w:rsidRPr="00076CA5">
        <w:rPr>
          <w:lang w:val="en-CA"/>
        </w:rPr>
        <w:t xml:space="preserve">s expert witness, as well as in </w:t>
      </w:r>
      <w:r w:rsidR="005F3699">
        <w:rPr>
          <w:lang w:val="en-CA"/>
        </w:rPr>
        <w:t>his</w:t>
      </w:r>
      <w:r w:rsidRPr="00076CA5">
        <w:rPr>
          <w:lang w:val="en-CA"/>
        </w:rPr>
        <w:t xml:space="preserve"> testimony, which confirm that the legislat</w:t>
      </w:r>
      <w:r w:rsidR="007315C7">
        <w:rPr>
          <w:lang w:val="en-CA"/>
        </w:rPr>
        <w:t>ure</w:t>
      </w:r>
      <w:r w:rsidRPr="00076CA5">
        <w:rPr>
          <w:lang w:val="en-CA"/>
        </w:rPr>
        <w:t xml:space="preserve"> could have revised the </w:t>
      </w:r>
      <w:r w:rsidRPr="00076CA5">
        <w:rPr>
          <w:i/>
          <w:iCs/>
          <w:lang w:val="en-CA"/>
        </w:rPr>
        <w:t>Election Act</w:t>
      </w:r>
      <w:r w:rsidRPr="00076CA5">
        <w:rPr>
          <w:lang w:val="en-CA"/>
        </w:rPr>
        <w:t xml:space="preserve"> </w:t>
      </w:r>
      <w:r w:rsidR="007315C7" w:rsidRPr="00076CA5">
        <w:rPr>
          <w:lang w:val="en-CA"/>
        </w:rPr>
        <w:t xml:space="preserve">criteria </w:t>
      </w:r>
      <w:r w:rsidRPr="00076CA5">
        <w:rPr>
          <w:lang w:val="en-CA"/>
        </w:rPr>
        <w:t xml:space="preserve">several years ago, since </w:t>
      </w:r>
      <w:r w:rsidR="007315C7">
        <w:rPr>
          <w:lang w:val="en-CA"/>
        </w:rPr>
        <w:t>it is the</w:t>
      </w:r>
      <w:r w:rsidRPr="00076CA5">
        <w:rPr>
          <w:lang w:val="en-CA"/>
        </w:rPr>
        <w:t xml:space="preserve"> master of </w:t>
      </w:r>
      <w:r w:rsidR="007315C7">
        <w:rPr>
          <w:lang w:val="en-CA"/>
        </w:rPr>
        <w:t>its</w:t>
      </w:r>
      <w:r w:rsidRPr="00076CA5">
        <w:rPr>
          <w:lang w:val="en-CA"/>
        </w:rPr>
        <w:t xml:space="preserve"> own </w:t>
      </w:r>
      <w:r w:rsidR="00C66D8B">
        <w:rPr>
          <w:lang w:val="en-CA"/>
        </w:rPr>
        <w:t>schedule</w:t>
      </w:r>
      <w:r w:rsidRPr="00076CA5">
        <w:rPr>
          <w:lang w:val="en-CA"/>
        </w:rPr>
        <w:t xml:space="preserve"> and procedure. </w:t>
      </w:r>
      <w:r w:rsidR="00B829B0" w:rsidRPr="00076CA5">
        <w:rPr>
          <w:lang w:val="en-CA"/>
        </w:rPr>
        <w:t>The legislat</w:t>
      </w:r>
      <w:r w:rsidR="007315C7">
        <w:rPr>
          <w:lang w:val="en-CA"/>
        </w:rPr>
        <w:t>ure</w:t>
      </w:r>
      <w:r w:rsidRPr="00076CA5">
        <w:rPr>
          <w:lang w:val="en-CA"/>
        </w:rPr>
        <w:t xml:space="preserve"> did not do this.</w:t>
      </w:r>
    </w:p>
    <w:p w14:paraId="422642AE" w14:textId="71E34113" w:rsidR="006D4B37" w:rsidRPr="00076CA5" w:rsidRDefault="004351B0" w:rsidP="006D4B37">
      <w:pPr>
        <w:pStyle w:val="aParagraphe"/>
        <w:numPr>
          <w:ilvl w:val="0"/>
          <w:numId w:val="18"/>
        </w:numPr>
        <w:tabs>
          <w:tab w:val="clear" w:pos="720"/>
        </w:tabs>
        <w:spacing w:line="280" w:lineRule="exact"/>
        <w:rPr>
          <w:lang w:val="en-CA"/>
        </w:rPr>
      </w:pPr>
      <w:r w:rsidRPr="00076CA5">
        <w:rPr>
          <w:lang w:val="en-CA"/>
        </w:rPr>
        <w:t>The C</w:t>
      </w:r>
      <w:r w:rsidR="00B829B0" w:rsidRPr="00076CA5">
        <w:rPr>
          <w:lang w:val="en-CA"/>
        </w:rPr>
        <w:t xml:space="preserve">EO noted </w:t>
      </w:r>
      <w:r w:rsidRPr="00076CA5">
        <w:rPr>
          <w:lang w:val="en-CA"/>
        </w:rPr>
        <w:t xml:space="preserve">a historical preference among </w:t>
      </w:r>
      <w:r w:rsidR="00B829B0" w:rsidRPr="00076CA5">
        <w:rPr>
          <w:lang w:val="en-CA"/>
        </w:rPr>
        <w:t xml:space="preserve">some MNAs to </w:t>
      </w:r>
      <w:r w:rsidRPr="00076CA5">
        <w:rPr>
          <w:lang w:val="en-CA"/>
        </w:rPr>
        <w:t xml:space="preserve">maintain the status quo of </w:t>
      </w:r>
      <w:r w:rsidR="00C66D8B">
        <w:rPr>
          <w:lang w:val="en-CA"/>
        </w:rPr>
        <w:t xml:space="preserve">the </w:t>
      </w:r>
      <w:r w:rsidRPr="00076CA5">
        <w:rPr>
          <w:lang w:val="en-CA"/>
        </w:rPr>
        <w:t xml:space="preserve">electoral divisions. </w:t>
      </w:r>
      <w:r w:rsidR="00C66D8B">
        <w:rPr>
          <w:lang w:val="en-CA"/>
        </w:rPr>
        <w:t>It is therefore not surprising</w:t>
      </w:r>
      <w:r w:rsidRPr="00076CA5">
        <w:rPr>
          <w:lang w:val="en-CA"/>
        </w:rPr>
        <w:t xml:space="preserve"> that the appellants</w:t>
      </w:r>
      <w:r w:rsidR="00C66D8B">
        <w:rPr>
          <w:lang w:val="en-CA"/>
        </w:rPr>
        <w:t>’</w:t>
      </w:r>
      <w:r w:rsidRPr="00076CA5">
        <w:rPr>
          <w:lang w:val="en-CA"/>
        </w:rPr>
        <w:t xml:space="preserve"> expert witness </w:t>
      </w:r>
      <w:r w:rsidR="00C66D8B">
        <w:rPr>
          <w:lang w:val="en-CA"/>
        </w:rPr>
        <w:t>is of the view</w:t>
      </w:r>
      <w:r w:rsidRPr="00076CA5">
        <w:rPr>
          <w:lang w:val="en-CA"/>
        </w:rPr>
        <w:t xml:space="preserve"> that the </w:t>
      </w:r>
      <w:r w:rsidR="002B54C0" w:rsidRPr="002B54C0">
        <w:rPr>
          <w:i/>
          <w:iCs/>
          <w:lang w:val="en-CA"/>
        </w:rPr>
        <w:t>ATI</w:t>
      </w:r>
      <w:r w:rsidRPr="00076CA5">
        <w:rPr>
          <w:lang w:val="en-CA"/>
        </w:rPr>
        <w:t xml:space="preserve"> </w:t>
      </w:r>
      <w:r w:rsidR="00B829B0" w:rsidRPr="00076CA5">
        <w:rPr>
          <w:lang w:val="en-CA"/>
        </w:rPr>
        <w:t>[</w:t>
      </w:r>
      <w:r w:rsidR="00C66D8B">
        <w:rPr>
          <w:smallCaps/>
          <w:lang w:val="en-CA"/>
        </w:rPr>
        <w:t>translation</w:t>
      </w:r>
      <w:r w:rsidR="00B829B0" w:rsidRPr="00076CA5">
        <w:rPr>
          <w:lang w:val="en-CA"/>
        </w:rPr>
        <w:t xml:space="preserve">] </w:t>
      </w:r>
      <w:r w:rsidRPr="00076CA5">
        <w:rPr>
          <w:lang w:val="en-CA"/>
        </w:rPr>
        <w:t xml:space="preserve">“arose from the inability of </w:t>
      </w:r>
      <w:r w:rsidR="00C66D8B">
        <w:rPr>
          <w:lang w:val="en-CA"/>
        </w:rPr>
        <w:t xml:space="preserve">the </w:t>
      </w:r>
      <w:r w:rsidR="00B829B0" w:rsidRPr="00076CA5">
        <w:rPr>
          <w:lang w:val="en-CA"/>
        </w:rPr>
        <w:t>MNAs</w:t>
      </w:r>
      <w:r w:rsidRPr="00076CA5">
        <w:rPr>
          <w:lang w:val="en-CA"/>
        </w:rPr>
        <w:t xml:space="preserve"> to develop solutions that would </w:t>
      </w:r>
      <w:r w:rsidR="00C66D8B">
        <w:rPr>
          <w:lang w:val="en-CA"/>
        </w:rPr>
        <w:t>withstand</w:t>
      </w:r>
      <w:r w:rsidRPr="00076CA5">
        <w:rPr>
          <w:lang w:val="en-CA"/>
        </w:rPr>
        <w:t xml:space="preserve"> close scrutiny and </w:t>
      </w:r>
      <w:r w:rsidR="00B829B0" w:rsidRPr="00076CA5">
        <w:rPr>
          <w:lang w:val="en-CA"/>
        </w:rPr>
        <w:t xml:space="preserve">to </w:t>
      </w:r>
      <w:r w:rsidRPr="00076CA5">
        <w:rPr>
          <w:lang w:val="en-CA"/>
        </w:rPr>
        <w:t>agree on a solution”</w:t>
      </w:r>
      <w:r w:rsidR="00F903CA">
        <w:rPr>
          <w:lang w:val="en-CA"/>
        </w:rPr>
        <w:t>.</w:t>
      </w:r>
      <w:r w:rsidRPr="00076CA5">
        <w:rPr>
          <w:lang w:val="en-CA"/>
        </w:rPr>
        <w:t xml:space="preserve"> In his </w:t>
      </w:r>
      <w:r w:rsidR="00C66D8B">
        <w:rPr>
          <w:lang w:val="en-CA"/>
        </w:rPr>
        <w:t>view</w:t>
      </w:r>
      <w:r w:rsidRPr="00076CA5">
        <w:rPr>
          <w:lang w:val="en-CA"/>
        </w:rPr>
        <w:t xml:space="preserve">, the announced reform is </w:t>
      </w:r>
      <w:r w:rsidR="00B829B0" w:rsidRPr="00076CA5">
        <w:rPr>
          <w:lang w:val="en-CA"/>
        </w:rPr>
        <w:t xml:space="preserve">merely </w:t>
      </w:r>
      <w:r w:rsidR="00C66D8B">
        <w:rPr>
          <w:lang w:val="en-CA"/>
        </w:rPr>
        <w:t xml:space="preserve">a </w:t>
      </w:r>
      <w:r w:rsidRPr="00076CA5">
        <w:rPr>
          <w:lang w:val="en-CA"/>
        </w:rPr>
        <w:t xml:space="preserve">hypothesis. He </w:t>
      </w:r>
      <w:r w:rsidR="00C66D8B">
        <w:rPr>
          <w:lang w:val="en-CA"/>
        </w:rPr>
        <w:t>noted</w:t>
      </w:r>
      <w:r w:rsidRPr="00076CA5">
        <w:rPr>
          <w:lang w:val="en-CA"/>
        </w:rPr>
        <w:t xml:space="preserve"> that seven months after the </w:t>
      </w:r>
      <w:r w:rsidR="00C66D8B">
        <w:rPr>
          <w:lang w:val="en-CA"/>
        </w:rPr>
        <w:t>enactment</w:t>
      </w:r>
      <w:r w:rsidRPr="00076CA5">
        <w:rPr>
          <w:lang w:val="en-CA"/>
        </w:rPr>
        <w:t xml:space="preserve"> of the </w:t>
      </w:r>
      <w:r w:rsidR="002B54C0" w:rsidRPr="002B54C0">
        <w:rPr>
          <w:i/>
          <w:iCs/>
          <w:lang w:val="en-CA"/>
        </w:rPr>
        <w:t>ATI</w:t>
      </w:r>
      <w:r w:rsidRPr="00076CA5">
        <w:rPr>
          <w:lang w:val="en-CA"/>
        </w:rPr>
        <w:t xml:space="preserve">, no </w:t>
      </w:r>
      <w:r w:rsidR="00C66D8B">
        <w:rPr>
          <w:lang w:val="en-CA"/>
        </w:rPr>
        <w:t>schedule</w:t>
      </w:r>
      <w:r w:rsidRPr="00076CA5">
        <w:rPr>
          <w:lang w:val="en-CA"/>
        </w:rPr>
        <w:t xml:space="preserve"> has been set for this ambitious and demanding revi</w:t>
      </w:r>
      <w:r w:rsidR="00B829B0" w:rsidRPr="00076CA5">
        <w:rPr>
          <w:lang w:val="en-CA"/>
        </w:rPr>
        <w:t>ew</w:t>
      </w:r>
      <w:r w:rsidRPr="00076CA5">
        <w:rPr>
          <w:lang w:val="en-CA"/>
        </w:rPr>
        <w:t xml:space="preserve"> exercise. The CEO supports the view that the legislat</w:t>
      </w:r>
      <w:r w:rsidR="00C66D8B">
        <w:rPr>
          <w:lang w:val="en-CA"/>
        </w:rPr>
        <w:t>ure</w:t>
      </w:r>
      <w:r w:rsidRPr="00076CA5">
        <w:rPr>
          <w:lang w:val="en-CA"/>
        </w:rPr>
        <w:t xml:space="preserve"> has shown no real desire to reform the </w:t>
      </w:r>
      <w:r w:rsidRPr="00076CA5">
        <w:rPr>
          <w:i/>
          <w:iCs/>
          <w:lang w:val="en-CA"/>
        </w:rPr>
        <w:t>Election Act</w:t>
      </w:r>
      <w:r w:rsidR="00C66D8B">
        <w:rPr>
          <w:i/>
          <w:iCs/>
          <w:lang w:val="en-CA"/>
        </w:rPr>
        <w:t xml:space="preserve"> </w:t>
      </w:r>
      <w:r w:rsidR="00C66D8B" w:rsidRPr="00076CA5">
        <w:rPr>
          <w:lang w:val="en-CA"/>
        </w:rPr>
        <w:t>criteria</w:t>
      </w:r>
      <w:r w:rsidRPr="00076CA5">
        <w:rPr>
          <w:lang w:val="en-CA"/>
        </w:rPr>
        <w:t xml:space="preserve">. </w:t>
      </w:r>
    </w:p>
    <w:p w14:paraId="50D8D72A" w14:textId="70598362" w:rsidR="006D4B37" w:rsidRPr="00076CA5" w:rsidRDefault="004351B0" w:rsidP="006D4B37">
      <w:pPr>
        <w:pStyle w:val="aParagraphe"/>
        <w:numPr>
          <w:ilvl w:val="0"/>
          <w:numId w:val="18"/>
        </w:numPr>
        <w:spacing w:line="280" w:lineRule="exact"/>
        <w:rPr>
          <w:lang w:val="en-CA"/>
        </w:rPr>
      </w:pPr>
      <w:r w:rsidRPr="00076CA5">
        <w:rPr>
          <w:lang w:val="en-CA"/>
        </w:rPr>
        <w:t xml:space="preserve">These observations raise reservations about the collective will to reform the </w:t>
      </w:r>
      <w:r w:rsidRPr="00076CA5">
        <w:rPr>
          <w:i/>
          <w:iCs/>
          <w:lang w:val="en-CA"/>
        </w:rPr>
        <w:t>Election Act</w:t>
      </w:r>
      <w:r w:rsidRPr="00076CA5">
        <w:rPr>
          <w:lang w:val="en-CA"/>
        </w:rPr>
        <w:t xml:space="preserve">, and therefore about the need for </w:t>
      </w:r>
      <w:r w:rsidR="00B829B0" w:rsidRPr="00076CA5">
        <w:rPr>
          <w:lang w:val="en-CA"/>
        </w:rPr>
        <w:t>[</w:t>
      </w:r>
      <w:r w:rsidR="001B4CC9">
        <w:rPr>
          <w:smallCaps/>
          <w:lang w:val="en-CA"/>
        </w:rPr>
        <w:t>translation</w:t>
      </w:r>
      <w:r w:rsidR="00B829B0" w:rsidRPr="00076CA5">
        <w:rPr>
          <w:lang w:val="en-CA"/>
        </w:rPr>
        <w:t xml:space="preserve">] </w:t>
      </w:r>
      <w:r w:rsidRPr="00076CA5">
        <w:rPr>
          <w:lang w:val="en-CA"/>
        </w:rPr>
        <w:t>“ti</w:t>
      </w:r>
      <w:r w:rsidR="00B829B0" w:rsidRPr="00076CA5">
        <w:rPr>
          <w:lang w:val="en-CA"/>
        </w:rPr>
        <w:t>me</w:t>
      </w:r>
      <w:r w:rsidR="00387F6B" w:rsidRPr="00076CA5">
        <w:rPr>
          <w:lang w:val="en-CA"/>
        </w:rPr>
        <w:t xml:space="preserve"> </w:t>
      </w:r>
      <w:r w:rsidR="00F903CA">
        <w:rPr>
          <w:lang w:val="en-CA"/>
        </w:rPr>
        <w:t>to</w:t>
      </w:r>
      <w:r w:rsidRPr="00076CA5">
        <w:rPr>
          <w:lang w:val="en-CA"/>
        </w:rPr>
        <w:t xml:space="preserve"> reflect”</w:t>
      </w:r>
      <w:r w:rsidR="00F903CA">
        <w:rPr>
          <w:lang w:val="en-CA"/>
        </w:rPr>
        <w:t>.</w:t>
      </w:r>
      <w:r w:rsidRPr="00076CA5">
        <w:rPr>
          <w:lang w:val="en-CA"/>
        </w:rPr>
        <w:t xml:space="preserve"> Indeed, the announced exercise is likely to be particularly complex given that, according to the </w:t>
      </w:r>
      <w:r w:rsidR="0060038C">
        <w:rPr>
          <w:lang w:val="en-CA"/>
        </w:rPr>
        <w:t>CEO</w:t>
      </w:r>
      <w:r w:rsidRPr="00076CA5">
        <w:rPr>
          <w:lang w:val="en-CA"/>
        </w:rPr>
        <w:t xml:space="preserve">, the current delimitation criteria set out in the </w:t>
      </w:r>
      <w:r w:rsidR="00776E8D" w:rsidRPr="00076CA5">
        <w:rPr>
          <w:i/>
          <w:iCs/>
          <w:lang w:val="en-CA"/>
        </w:rPr>
        <w:t>Election Act</w:t>
      </w:r>
      <w:r w:rsidRPr="00076CA5">
        <w:rPr>
          <w:lang w:val="en-CA"/>
        </w:rPr>
        <w:t xml:space="preserve"> are among the most flexible on record. </w:t>
      </w:r>
    </w:p>
    <w:p w14:paraId="29C34AD0" w14:textId="3D408899" w:rsidR="006D4B37" w:rsidRPr="00145125" w:rsidRDefault="004351B0" w:rsidP="00060D10">
      <w:pPr>
        <w:pStyle w:val="Paragraphe"/>
        <w:spacing w:line="240" w:lineRule="auto"/>
        <w:rPr>
          <w:lang w:val="en-CA"/>
        </w:rPr>
      </w:pPr>
      <w:r w:rsidRPr="00076CA5">
        <w:rPr>
          <w:lang w:val="en-CA"/>
        </w:rPr>
        <w:t xml:space="preserve">Like the judge, the undersigned </w:t>
      </w:r>
      <w:r w:rsidR="00C92CE1">
        <w:rPr>
          <w:lang w:val="en-CA"/>
        </w:rPr>
        <w:t>acknowledges</w:t>
      </w:r>
      <w:r w:rsidRPr="00076CA5">
        <w:rPr>
          <w:lang w:val="en-CA"/>
        </w:rPr>
        <w:t xml:space="preserve"> the complexity of the task of redrawing the electoral map. That being said, despite the challenges inherent in the appeal and the issues in dispute, the </w:t>
      </w:r>
      <w:r w:rsidR="0083473C">
        <w:rPr>
          <w:lang w:val="en-CA"/>
        </w:rPr>
        <w:t>first instance</w:t>
      </w:r>
      <w:r w:rsidRPr="00076CA5">
        <w:rPr>
          <w:lang w:val="en-CA"/>
        </w:rPr>
        <w:t xml:space="preserve"> judge </w:t>
      </w:r>
      <w:r w:rsidR="00D55B5F">
        <w:rPr>
          <w:lang w:val="en-CA"/>
        </w:rPr>
        <w:t>made</w:t>
      </w:r>
      <w:r w:rsidRPr="00076CA5">
        <w:rPr>
          <w:lang w:val="en-CA"/>
        </w:rPr>
        <w:t xml:space="preserve"> a reviewable error in </w:t>
      </w:r>
      <w:r w:rsidR="00D55B5F">
        <w:rPr>
          <w:lang w:val="en-CA"/>
        </w:rPr>
        <w:t>finding</w:t>
      </w:r>
      <w:r w:rsidRPr="00076CA5">
        <w:rPr>
          <w:lang w:val="en-CA"/>
        </w:rPr>
        <w:t xml:space="preserve"> that the </w:t>
      </w:r>
      <w:r w:rsidR="002B54C0" w:rsidRPr="002B54C0">
        <w:rPr>
          <w:i/>
          <w:iCs/>
          <w:lang w:val="en-CA"/>
        </w:rPr>
        <w:t>ATI</w:t>
      </w:r>
      <w:r w:rsidRPr="00076CA5">
        <w:rPr>
          <w:lang w:val="en-CA"/>
        </w:rPr>
        <w:t xml:space="preserve"> </w:t>
      </w:r>
      <w:r w:rsidR="00D55B5F">
        <w:rPr>
          <w:lang w:val="en-CA"/>
        </w:rPr>
        <w:t>constitutes</w:t>
      </w:r>
      <w:r w:rsidRPr="00076CA5">
        <w:rPr>
          <w:lang w:val="en-CA"/>
        </w:rPr>
        <w:t xml:space="preserve"> minimal i</w:t>
      </w:r>
      <w:r w:rsidR="00B829B0" w:rsidRPr="00076CA5">
        <w:rPr>
          <w:lang w:val="en-CA"/>
        </w:rPr>
        <w:t>mpairment</w:t>
      </w:r>
      <w:r w:rsidRPr="00076CA5">
        <w:rPr>
          <w:lang w:val="en-CA"/>
        </w:rPr>
        <w:t xml:space="preserve">. </w:t>
      </w:r>
      <w:r w:rsidR="00D55B5F">
        <w:rPr>
          <w:lang w:val="en-CA"/>
        </w:rPr>
        <w:t>Here is why</w:t>
      </w:r>
      <w:r w:rsidRPr="00076CA5">
        <w:rPr>
          <w:lang w:val="en-CA"/>
        </w:rPr>
        <w:t>.</w:t>
      </w:r>
    </w:p>
    <w:p w14:paraId="4419DE43" w14:textId="2B6713DB" w:rsidR="006D4B37" w:rsidRPr="00076CA5" w:rsidRDefault="004351B0" w:rsidP="00004500">
      <w:pPr>
        <w:pStyle w:val="Paragraphe"/>
        <w:spacing w:line="240" w:lineRule="auto"/>
        <w:rPr>
          <w:lang w:val="en-CA"/>
        </w:rPr>
      </w:pPr>
      <w:r w:rsidRPr="00076CA5">
        <w:rPr>
          <w:lang w:val="en-CA"/>
        </w:rPr>
        <w:t>The judge found that the alternative proposal, consisting of protecting the Gaspésie electoral divisions in the sa</w:t>
      </w:r>
      <w:r w:rsidR="00B829B0" w:rsidRPr="00076CA5">
        <w:rPr>
          <w:lang w:val="en-CA"/>
        </w:rPr>
        <w:t>me</w:t>
      </w:r>
      <w:r w:rsidR="00387F6B" w:rsidRPr="00076CA5">
        <w:rPr>
          <w:lang w:val="en-CA"/>
        </w:rPr>
        <w:t xml:space="preserve"> </w:t>
      </w:r>
      <w:r w:rsidRPr="00076CA5">
        <w:rPr>
          <w:lang w:val="en-CA"/>
        </w:rPr>
        <w:t xml:space="preserve">way </w:t>
      </w:r>
      <w:r w:rsidR="00B829B0" w:rsidRPr="00076CA5">
        <w:rPr>
          <w:lang w:val="en-CA"/>
        </w:rPr>
        <w:t>that</w:t>
      </w:r>
      <w:r w:rsidRPr="00076CA5">
        <w:rPr>
          <w:lang w:val="en-CA"/>
        </w:rPr>
        <w:t xml:space="preserve"> the </w:t>
      </w:r>
      <w:r w:rsidRPr="00076CA5">
        <w:rPr>
          <w:i/>
          <w:iCs/>
          <w:lang w:val="en-CA"/>
        </w:rPr>
        <w:t>Election Act</w:t>
      </w:r>
      <w:r w:rsidRPr="00076CA5">
        <w:rPr>
          <w:lang w:val="en-CA"/>
        </w:rPr>
        <w:t xml:space="preserve"> protects the </w:t>
      </w:r>
      <w:r w:rsidR="00B829B0" w:rsidRPr="00076CA5">
        <w:rPr>
          <w:lang w:val="en-CA"/>
        </w:rPr>
        <w:t>Îles-de-la-Madeleine</w:t>
      </w:r>
      <w:r w:rsidRPr="00076CA5">
        <w:rPr>
          <w:lang w:val="en-CA"/>
        </w:rPr>
        <w:t xml:space="preserve">, and letting the Commission rebalance the rest of the electoral divisions (an option the judge considered possible), also </w:t>
      </w:r>
      <w:r w:rsidR="004D46BE">
        <w:rPr>
          <w:lang w:val="en-CA"/>
        </w:rPr>
        <w:t>infringes</w:t>
      </w:r>
      <w:r w:rsidRPr="00076CA5">
        <w:rPr>
          <w:lang w:val="en-CA"/>
        </w:rPr>
        <w:t xml:space="preserve"> </w:t>
      </w:r>
      <w:r w:rsidR="00316CA9" w:rsidRPr="00076CA5">
        <w:rPr>
          <w:lang w:val="en-CA"/>
        </w:rPr>
        <w:t>s</w:t>
      </w:r>
      <w:r w:rsidRPr="00076CA5">
        <w:rPr>
          <w:lang w:val="en-CA"/>
        </w:rPr>
        <w:t xml:space="preserve">ection 3 of the </w:t>
      </w:r>
      <w:r w:rsidRPr="00076CA5">
        <w:rPr>
          <w:i/>
          <w:iCs/>
          <w:lang w:val="en-CA"/>
        </w:rPr>
        <w:t>Charter</w:t>
      </w:r>
      <w:r w:rsidR="00316CA9" w:rsidRPr="00076CA5">
        <w:rPr>
          <w:i/>
          <w:iCs/>
          <w:lang w:val="en-CA"/>
        </w:rPr>
        <w:t>.</w:t>
      </w:r>
      <w:r w:rsidRPr="00076CA5">
        <w:rPr>
          <w:rStyle w:val="Appelnotedebasdep"/>
          <w:lang w:val="en-CA"/>
        </w:rPr>
        <w:footnoteReference w:id="90"/>
      </w:r>
      <w:r w:rsidRPr="00076CA5">
        <w:rPr>
          <w:lang w:val="en-CA"/>
        </w:rPr>
        <w:t xml:space="preserve"> He note</w:t>
      </w:r>
      <w:r w:rsidR="00316CA9" w:rsidRPr="00076CA5">
        <w:rPr>
          <w:lang w:val="en-CA"/>
        </w:rPr>
        <w:t>d</w:t>
      </w:r>
      <w:r w:rsidRPr="00076CA5">
        <w:rPr>
          <w:lang w:val="en-CA"/>
        </w:rPr>
        <w:t xml:space="preserve"> that there </w:t>
      </w:r>
      <w:r w:rsidR="00316CA9" w:rsidRPr="00076CA5">
        <w:rPr>
          <w:lang w:val="en-CA"/>
        </w:rPr>
        <w:t>was</w:t>
      </w:r>
      <w:r w:rsidRPr="00076CA5">
        <w:rPr>
          <w:lang w:val="en-CA"/>
        </w:rPr>
        <w:t xml:space="preserve"> </w:t>
      </w:r>
      <w:r w:rsidR="00D55B5F">
        <w:rPr>
          <w:lang w:val="en-CA"/>
        </w:rPr>
        <w:t>nothing to show</w:t>
      </w:r>
      <w:r w:rsidRPr="00076CA5">
        <w:rPr>
          <w:lang w:val="en-CA"/>
        </w:rPr>
        <w:t xml:space="preserve"> that this approach would have received the unanimous support of the National Assembly</w:t>
      </w:r>
      <w:r w:rsidR="00316CA9" w:rsidRPr="00076CA5">
        <w:rPr>
          <w:lang w:val="en-CA"/>
        </w:rPr>
        <w:t>.</w:t>
      </w:r>
      <w:r w:rsidRPr="00076CA5">
        <w:rPr>
          <w:rStyle w:val="Appelnotedebasdep"/>
          <w:lang w:val="en-CA"/>
        </w:rPr>
        <w:footnoteReference w:id="91"/>
      </w:r>
      <w:r w:rsidRPr="00076CA5">
        <w:rPr>
          <w:lang w:val="en-CA"/>
        </w:rPr>
        <w:t xml:space="preserve"> He err</w:t>
      </w:r>
      <w:r w:rsidR="00D55B5F">
        <w:rPr>
          <w:lang w:val="en-CA"/>
        </w:rPr>
        <w:t>ed</w:t>
      </w:r>
      <w:r w:rsidRPr="00076CA5">
        <w:rPr>
          <w:lang w:val="en-CA"/>
        </w:rPr>
        <w:t xml:space="preserve">, however, in failing to rigorously </w:t>
      </w:r>
      <w:r w:rsidR="00D55B5F" w:rsidRPr="00076CA5">
        <w:rPr>
          <w:lang w:val="en-CA"/>
        </w:rPr>
        <w:t xml:space="preserve">examine </w:t>
      </w:r>
      <w:r w:rsidRPr="00076CA5">
        <w:rPr>
          <w:lang w:val="en-CA"/>
        </w:rPr>
        <w:lastRenderedPageBreak/>
        <w:t xml:space="preserve">whether this other real and envisaged option </w:t>
      </w:r>
      <w:r w:rsidR="00316CA9" w:rsidRPr="00076CA5">
        <w:rPr>
          <w:lang w:val="en-CA"/>
        </w:rPr>
        <w:t>was</w:t>
      </w:r>
      <w:r w:rsidRPr="00076CA5">
        <w:rPr>
          <w:lang w:val="en-CA"/>
        </w:rPr>
        <w:t xml:space="preserve"> significantly less </w:t>
      </w:r>
      <w:r w:rsidR="000C4336">
        <w:rPr>
          <w:lang w:val="en-CA"/>
        </w:rPr>
        <w:t>impairing</w:t>
      </w:r>
      <w:r w:rsidRPr="00076CA5">
        <w:rPr>
          <w:lang w:val="en-CA"/>
        </w:rPr>
        <w:t xml:space="preserve"> than the one chosen by the legislator.</w:t>
      </w:r>
    </w:p>
    <w:p w14:paraId="2F707BDE" w14:textId="57341108" w:rsidR="006D4B37" w:rsidRPr="00076CA5" w:rsidRDefault="004351B0" w:rsidP="006D4B37">
      <w:pPr>
        <w:pStyle w:val="aParagraphe"/>
        <w:numPr>
          <w:ilvl w:val="0"/>
          <w:numId w:val="18"/>
        </w:numPr>
        <w:spacing w:line="280" w:lineRule="exact"/>
        <w:rPr>
          <w:lang w:val="en-CA"/>
        </w:rPr>
      </w:pPr>
      <w:r w:rsidRPr="00076CA5">
        <w:rPr>
          <w:lang w:val="en-CA"/>
        </w:rPr>
        <w:t xml:space="preserve">This is an error of law </w:t>
      </w:r>
      <w:r w:rsidR="00DE5D9E">
        <w:rPr>
          <w:lang w:val="en-CA"/>
        </w:rPr>
        <w:t>because</w:t>
      </w:r>
      <w:r w:rsidRPr="00076CA5">
        <w:rPr>
          <w:lang w:val="en-CA"/>
        </w:rPr>
        <w:t xml:space="preserve"> the Supre</w:t>
      </w:r>
      <w:r w:rsidR="00B03875" w:rsidRPr="00076CA5">
        <w:rPr>
          <w:lang w:val="en-CA"/>
        </w:rPr>
        <w:t>me</w:t>
      </w:r>
      <w:r w:rsidR="00387F6B" w:rsidRPr="00076CA5">
        <w:rPr>
          <w:lang w:val="en-CA"/>
        </w:rPr>
        <w:t xml:space="preserve"> </w:t>
      </w:r>
      <w:r w:rsidRPr="00076CA5">
        <w:rPr>
          <w:lang w:val="en-CA"/>
        </w:rPr>
        <w:t xml:space="preserve">Court </w:t>
      </w:r>
      <w:r w:rsidR="00DE5D9E">
        <w:rPr>
          <w:lang w:val="en-CA"/>
        </w:rPr>
        <w:t>teaches</w:t>
      </w:r>
      <w:r w:rsidRPr="00076CA5">
        <w:rPr>
          <w:lang w:val="en-CA"/>
        </w:rPr>
        <w:t xml:space="preserve"> that the law must be carefully tailored so that rights </w:t>
      </w:r>
      <w:r w:rsidR="00B03875" w:rsidRPr="00076CA5">
        <w:rPr>
          <w:lang w:val="en-CA"/>
        </w:rPr>
        <w:t>are impaired no more than necessary</w:t>
      </w:r>
      <w:r w:rsidRPr="00076CA5">
        <w:rPr>
          <w:lang w:val="en-CA"/>
        </w:rPr>
        <w:t>,</w:t>
      </w:r>
      <w:r w:rsidRPr="00076CA5">
        <w:rPr>
          <w:rStyle w:val="Appelnotedebasdep"/>
          <w:lang w:val="en-CA"/>
        </w:rPr>
        <w:footnoteReference w:id="92"/>
      </w:r>
      <w:r w:rsidRPr="00076CA5">
        <w:rPr>
          <w:lang w:val="en-CA"/>
        </w:rPr>
        <w:t xml:space="preserve"> and that any </w:t>
      </w:r>
      <w:r w:rsidR="00B03875" w:rsidRPr="00076CA5">
        <w:rPr>
          <w:lang w:val="en-CA"/>
        </w:rPr>
        <w:t xml:space="preserve">impairment of </w:t>
      </w:r>
      <w:r w:rsidRPr="00076CA5">
        <w:rPr>
          <w:lang w:val="en-CA"/>
        </w:rPr>
        <w:t xml:space="preserve">the right guaranteed by </w:t>
      </w:r>
      <w:r w:rsidR="00B03875" w:rsidRPr="00076CA5">
        <w:rPr>
          <w:lang w:val="en-CA"/>
        </w:rPr>
        <w:t>s</w:t>
      </w:r>
      <w:r w:rsidRPr="00076CA5">
        <w:rPr>
          <w:lang w:val="en-CA"/>
        </w:rPr>
        <w:t xml:space="preserve">ection 3 of the </w:t>
      </w:r>
      <w:r w:rsidRPr="00076CA5">
        <w:rPr>
          <w:i/>
          <w:iCs/>
          <w:lang w:val="en-CA"/>
        </w:rPr>
        <w:t>Charter</w:t>
      </w:r>
      <w:r w:rsidRPr="00076CA5">
        <w:rPr>
          <w:lang w:val="en-CA"/>
        </w:rPr>
        <w:t xml:space="preserve"> must be examined according to a </w:t>
      </w:r>
      <w:r w:rsidR="00C81936">
        <w:rPr>
          <w:lang w:val="en-CA"/>
        </w:rPr>
        <w:t>stringent</w:t>
      </w:r>
      <w:r w:rsidRPr="00076CA5">
        <w:rPr>
          <w:lang w:val="en-CA"/>
        </w:rPr>
        <w:t xml:space="preserve"> standard, given the fundamental nature of the right to vote</w:t>
      </w:r>
      <w:r w:rsidR="00076CA5">
        <w:rPr>
          <w:lang w:val="en-CA"/>
        </w:rPr>
        <w:t>.</w:t>
      </w:r>
      <w:r w:rsidRPr="00076CA5">
        <w:rPr>
          <w:rStyle w:val="Appelnotedebasdep"/>
          <w:lang w:val="en-CA"/>
        </w:rPr>
        <w:footnoteReference w:id="93"/>
      </w:r>
    </w:p>
    <w:p w14:paraId="094CD116" w14:textId="7F64E79F" w:rsidR="006D4B37" w:rsidRPr="00076CA5" w:rsidRDefault="004351B0" w:rsidP="006D4B37">
      <w:pPr>
        <w:pStyle w:val="aParagraphe"/>
        <w:numPr>
          <w:ilvl w:val="0"/>
          <w:numId w:val="18"/>
        </w:numPr>
        <w:spacing w:line="280" w:lineRule="exact"/>
        <w:rPr>
          <w:lang w:val="en-CA"/>
        </w:rPr>
      </w:pPr>
      <w:r w:rsidRPr="00076CA5">
        <w:rPr>
          <w:lang w:val="en-CA"/>
        </w:rPr>
        <w:t xml:space="preserve">In concluding that maintaining the status quo in Gaspésie constitutes an </w:t>
      </w:r>
      <w:r w:rsidR="00BF111E">
        <w:rPr>
          <w:lang w:val="en-CA"/>
        </w:rPr>
        <w:t xml:space="preserve">infringement </w:t>
      </w:r>
      <w:r w:rsidRPr="00076CA5">
        <w:rPr>
          <w:lang w:val="en-CA"/>
        </w:rPr>
        <w:t xml:space="preserve">of </w:t>
      </w:r>
      <w:r w:rsidR="0052553A" w:rsidRPr="00076CA5">
        <w:rPr>
          <w:lang w:val="en-CA"/>
        </w:rPr>
        <w:t>s</w:t>
      </w:r>
      <w:r w:rsidRPr="00076CA5">
        <w:rPr>
          <w:lang w:val="en-CA"/>
        </w:rPr>
        <w:t>ection 3, the judge relie</w:t>
      </w:r>
      <w:r w:rsidR="0052553A" w:rsidRPr="00076CA5">
        <w:rPr>
          <w:lang w:val="en-CA"/>
        </w:rPr>
        <w:t>d</w:t>
      </w:r>
      <w:r w:rsidRPr="00076CA5">
        <w:rPr>
          <w:lang w:val="en-CA"/>
        </w:rPr>
        <w:t xml:space="preserve"> on the Nova Scotia Court of Appeal</w:t>
      </w:r>
      <w:r w:rsidR="00C81936">
        <w:rPr>
          <w:lang w:val="en-CA"/>
        </w:rPr>
        <w:t>’</w:t>
      </w:r>
      <w:r w:rsidRPr="00076CA5">
        <w:rPr>
          <w:lang w:val="en-CA"/>
        </w:rPr>
        <w:t>s decision in</w:t>
      </w:r>
      <w:r w:rsidR="00C81936">
        <w:rPr>
          <w:lang w:val="en-CA"/>
        </w:rPr>
        <w:t xml:space="preserve"> the</w:t>
      </w:r>
      <w:r w:rsidRPr="00076CA5">
        <w:rPr>
          <w:lang w:val="en-CA"/>
        </w:rPr>
        <w:t xml:space="preserve"> </w:t>
      </w:r>
      <w:r w:rsidRPr="00076CA5">
        <w:rPr>
          <w:i/>
          <w:iCs/>
          <w:lang w:val="en-CA"/>
        </w:rPr>
        <w:t>Nova Scotia Reference</w:t>
      </w:r>
      <w:r w:rsidR="00C81936">
        <w:rPr>
          <w:lang w:val="en-CA"/>
        </w:rPr>
        <w:t>.</w:t>
      </w:r>
      <w:r w:rsidRPr="00076CA5">
        <w:rPr>
          <w:lang w:val="en-CA"/>
        </w:rPr>
        <w:t xml:space="preserve"> The factual framework examined was similar to, </w:t>
      </w:r>
      <w:r w:rsidR="00237C49">
        <w:rPr>
          <w:lang w:val="en-CA"/>
        </w:rPr>
        <w:t>yet</w:t>
      </w:r>
      <w:r w:rsidRPr="00076CA5">
        <w:rPr>
          <w:lang w:val="en-CA"/>
        </w:rPr>
        <w:t xml:space="preserve"> in fact different from, </w:t>
      </w:r>
      <w:r w:rsidR="00237C49">
        <w:rPr>
          <w:lang w:val="en-CA"/>
        </w:rPr>
        <w:t>this one</w:t>
      </w:r>
      <w:r w:rsidR="0052553A" w:rsidRPr="00076CA5">
        <w:rPr>
          <w:lang w:val="en-CA"/>
        </w:rPr>
        <w:t>.</w:t>
      </w:r>
      <w:r w:rsidRPr="00076CA5">
        <w:rPr>
          <w:rStyle w:val="Appelnotedebasdep"/>
          <w:lang w:val="en-CA"/>
        </w:rPr>
        <w:footnoteReference w:id="94"/>
      </w:r>
      <w:r w:rsidRPr="00076CA5">
        <w:rPr>
          <w:lang w:val="en-CA"/>
        </w:rPr>
        <w:t xml:space="preserve"> A committee of the Nova Scotia legislature, via a report defining the criteria for delimiting the electoral map, instructed the independent commission not to renew three electoral divisions (incidentally, largely Acadian) given their </w:t>
      </w:r>
      <w:r w:rsidR="00237C49">
        <w:rPr>
          <w:lang w:val="en-CA"/>
        </w:rPr>
        <w:t>significant</w:t>
      </w:r>
      <w:r w:rsidRPr="00076CA5">
        <w:rPr>
          <w:lang w:val="en-CA"/>
        </w:rPr>
        <w:t xml:space="preserve"> </w:t>
      </w:r>
      <w:r w:rsidR="00B63D3B" w:rsidRPr="00B63D3B">
        <w:rPr>
          <w:lang w:val="en-CA"/>
        </w:rPr>
        <w:t>exceptional negative deviations</w:t>
      </w:r>
      <w:r w:rsidRPr="00076CA5">
        <w:rPr>
          <w:lang w:val="en-CA"/>
        </w:rPr>
        <w:t xml:space="preserve"> from the electoral quotient</w:t>
      </w:r>
      <w:r w:rsidR="0052553A" w:rsidRPr="00076CA5">
        <w:rPr>
          <w:lang w:val="en-CA"/>
        </w:rPr>
        <w:t>.</w:t>
      </w:r>
      <w:r w:rsidRPr="00076CA5">
        <w:rPr>
          <w:rStyle w:val="Appelnotedebasdep"/>
          <w:lang w:val="en-CA"/>
        </w:rPr>
        <w:footnoteReference w:id="95"/>
      </w:r>
      <w:r w:rsidRPr="00076CA5">
        <w:rPr>
          <w:lang w:val="en-CA"/>
        </w:rPr>
        <w:t xml:space="preserve"> The </w:t>
      </w:r>
      <w:r w:rsidR="0052553A" w:rsidRPr="00076CA5">
        <w:rPr>
          <w:lang w:val="en-CA"/>
        </w:rPr>
        <w:t>c</w:t>
      </w:r>
      <w:r w:rsidRPr="00076CA5">
        <w:rPr>
          <w:lang w:val="en-CA"/>
        </w:rPr>
        <w:t>ommission nevertheless renewed these three Acadian electoral divisions on the grounds that their renewal was justified on the basis of “effective representation”—essentially to maintain the voice of these minorities</w:t>
      </w:r>
      <w:r w:rsidR="0052553A" w:rsidRPr="00076CA5">
        <w:rPr>
          <w:lang w:val="en-CA"/>
        </w:rPr>
        <w:t>.</w:t>
      </w:r>
      <w:r w:rsidRPr="00076CA5">
        <w:rPr>
          <w:rStyle w:val="Appelnotedebasdep"/>
          <w:lang w:val="en-CA"/>
        </w:rPr>
        <w:footnoteReference w:id="96"/>
      </w:r>
      <w:r w:rsidRPr="00076CA5">
        <w:rPr>
          <w:lang w:val="en-CA"/>
        </w:rPr>
        <w:t xml:space="preserve"> The Attorney General declared the </w:t>
      </w:r>
      <w:r w:rsidR="0052553A" w:rsidRPr="00076CA5">
        <w:rPr>
          <w:lang w:val="en-CA"/>
        </w:rPr>
        <w:t>c</w:t>
      </w:r>
      <w:r w:rsidRPr="00076CA5">
        <w:rPr>
          <w:lang w:val="en-CA"/>
        </w:rPr>
        <w:t>ommission</w:t>
      </w:r>
      <w:r w:rsidR="00237C49">
        <w:rPr>
          <w:lang w:val="en-CA"/>
        </w:rPr>
        <w:t>’</w:t>
      </w:r>
      <w:r w:rsidRPr="00076CA5">
        <w:rPr>
          <w:lang w:val="en-CA"/>
        </w:rPr>
        <w:t>s interim report “null and void”</w:t>
      </w:r>
      <w:r w:rsidRPr="00076CA5">
        <w:rPr>
          <w:rStyle w:val="Appelnotedebasdep"/>
          <w:lang w:val="en-CA"/>
        </w:rPr>
        <w:footnoteReference w:id="97"/>
      </w:r>
      <w:r w:rsidRPr="00076CA5">
        <w:rPr>
          <w:lang w:val="en-CA"/>
        </w:rPr>
        <w:t xml:space="preserve"> and asked the </w:t>
      </w:r>
      <w:r w:rsidR="0052553A" w:rsidRPr="00076CA5">
        <w:rPr>
          <w:lang w:val="en-CA"/>
        </w:rPr>
        <w:t>c</w:t>
      </w:r>
      <w:r w:rsidRPr="00076CA5">
        <w:rPr>
          <w:lang w:val="en-CA"/>
        </w:rPr>
        <w:t xml:space="preserve">ommission to prepare a new interim report. The </w:t>
      </w:r>
      <w:r w:rsidR="0052553A" w:rsidRPr="00076CA5">
        <w:rPr>
          <w:lang w:val="en-CA"/>
        </w:rPr>
        <w:t>c</w:t>
      </w:r>
      <w:r w:rsidRPr="00076CA5">
        <w:rPr>
          <w:lang w:val="en-CA"/>
        </w:rPr>
        <w:t>ommission</w:t>
      </w:r>
      <w:r w:rsidR="0052553A" w:rsidRPr="00076CA5">
        <w:rPr>
          <w:lang w:val="en-CA"/>
        </w:rPr>
        <w:t xml:space="preserve">’s new </w:t>
      </w:r>
      <w:r w:rsidRPr="00076CA5">
        <w:rPr>
          <w:lang w:val="en-CA"/>
        </w:rPr>
        <w:t>report eliminate</w:t>
      </w:r>
      <w:r w:rsidR="0052553A" w:rsidRPr="00076CA5">
        <w:rPr>
          <w:lang w:val="en-CA"/>
        </w:rPr>
        <w:t>d</w:t>
      </w:r>
      <w:r w:rsidRPr="00076CA5">
        <w:rPr>
          <w:lang w:val="en-CA"/>
        </w:rPr>
        <w:t xml:space="preserve"> the three Acadian electoral divisions</w:t>
      </w:r>
      <w:r w:rsidR="0052553A" w:rsidRPr="00076CA5">
        <w:rPr>
          <w:lang w:val="en-CA"/>
        </w:rPr>
        <w:t>.</w:t>
      </w:r>
      <w:r w:rsidRPr="00076CA5">
        <w:rPr>
          <w:rStyle w:val="Appelnotedebasdep"/>
          <w:lang w:val="en-CA"/>
        </w:rPr>
        <w:footnoteReference w:id="98"/>
      </w:r>
      <w:r w:rsidRPr="00076CA5">
        <w:rPr>
          <w:lang w:val="en-CA"/>
        </w:rPr>
        <w:t xml:space="preserve"> </w:t>
      </w:r>
    </w:p>
    <w:p w14:paraId="62FDFFDF" w14:textId="75CC4C09" w:rsidR="006D4B37" w:rsidRPr="00076CA5" w:rsidRDefault="004351B0" w:rsidP="006D4B37">
      <w:pPr>
        <w:pStyle w:val="aParagraphe"/>
        <w:numPr>
          <w:ilvl w:val="0"/>
          <w:numId w:val="18"/>
        </w:numPr>
        <w:spacing w:line="280" w:lineRule="exact"/>
        <w:rPr>
          <w:lang w:val="en-CA"/>
        </w:rPr>
      </w:pPr>
      <w:r w:rsidRPr="00076CA5">
        <w:rPr>
          <w:lang w:val="en-CA"/>
        </w:rPr>
        <w:t xml:space="preserve">The Nova Scotia Court of Appeal </w:t>
      </w:r>
      <w:r w:rsidR="0044075A">
        <w:rPr>
          <w:lang w:val="en-CA"/>
        </w:rPr>
        <w:t>found</w:t>
      </w:r>
      <w:r w:rsidRPr="00076CA5">
        <w:rPr>
          <w:lang w:val="en-CA"/>
        </w:rPr>
        <w:t xml:space="preserve"> that </w:t>
      </w:r>
      <w:r w:rsidR="0044075A">
        <w:rPr>
          <w:lang w:val="en-CA"/>
        </w:rPr>
        <w:t>this</w:t>
      </w:r>
      <w:r w:rsidRPr="00076CA5">
        <w:rPr>
          <w:lang w:val="en-CA"/>
        </w:rPr>
        <w:t xml:space="preserve"> approach violated the right guaranteed by </w:t>
      </w:r>
      <w:r w:rsidR="0052553A" w:rsidRPr="00076CA5">
        <w:rPr>
          <w:lang w:val="en-CA"/>
        </w:rPr>
        <w:t>s</w:t>
      </w:r>
      <w:r w:rsidRPr="00076CA5">
        <w:rPr>
          <w:lang w:val="en-CA"/>
        </w:rPr>
        <w:t xml:space="preserve">ection 3 of the </w:t>
      </w:r>
      <w:r w:rsidRPr="00076CA5">
        <w:rPr>
          <w:i/>
          <w:iCs/>
          <w:lang w:val="en-CA"/>
        </w:rPr>
        <w:t>Charter</w:t>
      </w:r>
      <w:r w:rsidRPr="00076CA5">
        <w:rPr>
          <w:lang w:val="en-CA"/>
        </w:rPr>
        <w:t xml:space="preserve"> because, even though there was no constitutional requirement for an independent commission, the Attorney General's intervention prevented the process (in this case, the </w:t>
      </w:r>
      <w:r w:rsidR="0052553A" w:rsidRPr="00076CA5">
        <w:rPr>
          <w:lang w:val="en-CA"/>
        </w:rPr>
        <w:t>c</w:t>
      </w:r>
      <w:r w:rsidRPr="00076CA5">
        <w:rPr>
          <w:lang w:val="en-CA"/>
        </w:rPr>
        <w:t xml:space="preserve">ommission's work) from taking into account criteria useful </w:t>
      </w:r>
      <w:r w:rsidR="0052553A" w:rsidRPr="00076CA5">
        <w:rPr>
          <w:lang w:val="en-CA"/>
        </w:rPr>
        <w:t>in</w:t>
      </w:r>
      <w:r w:rsidRPr="00076CA5">
        <w:rPr>
          <w:lang w:val="en-CA"/>
        </w:rPr>
        <w:t xml:space="preserve"> assessing “effective representation”</w:t>
      </w:r>
      <w:r w:rsidR="0044075A">
        <w:rPr>
          <w:lang w:val="en-CA"/>
        </w:rPr>
        <w:t>.</w:t>
      </w:r>
      <w:r w:rsidRPr="00076CA5">
        <w:rPr>
          <w:rStyle w:val="Appelnotedebasdep"/>
          <w:lang w:val="en-CA"/>
        </w:rPr>
        <w:footnoteReference w:id="99"/>
      </w:r>
      <w:r w:rsidRPr="00076CA5">
        <w:rPr>
          <w:lang w:val="en-CA"/>
        </w:rPr>
        <w:t xml:space="preserve"> Section 3 of the </w:t>
      </w:r>
      <w:r w:rsidRPr="00076CA5">
        <w:rPr>
          <w:i/>
          <w:iCs/>
          <w:lang w:val="en-CA"/>
        </w:rPr>
        <w:t>Charter</w:t>
      </w:r>
      <w:r w:rsidRPr="00076CA5">
        <w:rPr>
          <w:lang w:val="en-CA"/>
        </w:rPr>
        <w:t xml:space="preserve"> requires a process </w:t>
      </w:r>
      <w:r w:rsidR="0052553A" w:rsidRPr="00076CA5">
        <w:rPr>
          <w:lang w:val="en-CA"/>
        </w:rPr>
        <w:t>to</w:t>
      </w:r>
      <w:r w:rsidRPr="00076CA5">
        <w:rPr>
          <w:lang w:val="en-CA"/>
        </w:rPr>
        <w:t xml:space="preserve"> objectively assess the criteria </w:t>
      </w:r>
      <w:r w:rsidR="0052553A" w:rsidRPr="00076CA5">
        <w:rPr>
          <w:lang w:val="en-CA"/>
        </w:rPr>
        <w:t>used to</w:t>
      </w:r>
      <w:r w:rsidRPr="00076CA5">
        <w:rPr>
          <w:lang w:val="en-CA"/>
        </w:rPr>
        <w:t xml:space="preserve"> determin</w:t>
      </w:r>
      <w:r w:rsidR="0052553A" w:rsidRPr="00076CA5">
        <w:rPr>
          <w:lang w:val="en-CA"/>
        </w:rPr>
        <w:t>e</w:t>
      </w:r>
      <w:r w:rsidRPr="00076CA5">
        <w:rPr>
          <w:lang w:val="en-CA"/>
        </w:rPr>
        <w:t xml:space="preserve"> “effective representation</w:t>
      </w:r>
      <w:r w:rsidR="0052553A" w:rsidRPr="00076CA5">
        <w:rPr>
          <w:lang w:val="en-CA"/>
        </w:rPr>
        <w:t>”</w:t>
      </w:r>
      <w:r w:rsidR="00217834">
        <w:rPr>
          <w:lang w:val="en-CA"/>
        </w:rPr>
        <w:t>.</w:t>
      </w:r>
      <w:r w:rsidRPr="00076CA5">
        <w:rPr>
          <w:rStyle w:val="Appelnotedebasdep"/>
          <w:lang w:val="en-CA"/>
        </w:rPr>
        <w:footnoteReference w:id="100"/>
      </w:r>
    </w:p>
    <w:p w14:paraId="454E07C5" w14:textId="2E7129E9" w:rsidR="006D4B37" w:rsidRPr="00076CA5" w:rsidRDefault="004351B0" w:rsidP="006D4B37">
      <w:pPr>
        <w:pStyle w:val="aParagraphe"/>
        <w:numPr>
          <w:ilvl w:val="0"/>
          <w:numId w:val="18"/>
        </w:numPr>
        <w:spacing w:line="280" w:lineRule="exact"/>
        <w:rPr>
          <w:lang w:val="en-CA"/>
        </w:rPr>
      </w:pPr>
      <w:r w:rsidRPr="00076CA5">
        <w:rPr>
          <w:lang w:val="en-CA"/>
        </w:rPr>
        <w:t xml:space="preserve">According to the Nova Scotia Court of Appeal, this </w:t>
      </w:r>
      <w:r w:rsidR="00217834">
        <w:rPr>
          <w:lang w:val="en-CA"/>
        </w:rPr>
        <w:t>infringement</w:t>
      </w:r>
      <w:r w:rsidR="0052553A" w:rsidRPr="00076CA5">
        <w:rPr>
          <w:lang w:val="en-CA"/>
        </w:rPr>
        <w:t xml:space="preserve"> </w:t>
      </w:r>
      <w:r w:rsidRPr="00076CA5">
        <w:rPr>
          <w:lang w:val="en-CA"/>
        </w:rPr>
        <w:t xml:space="preserve">of the right </w:t>
      </w:r>
      <w:r w:rsidR="0052553A" w:rsidRPr="00076CA5">
        <w:rPr>
          <w:lang w:val="en-CA"/>
        </w:rPr>
        <w:t xml:space="preserve">to vote </w:t>
      </w:r>
      <w:r w:rsidRPr="00076CA5">
        <w:rPr>
          <w:lang w:val="en-CA"/>
        </w:rPr>
        <w:t xml:space="preserve">was not justified </w:t>
      </w:r>
      <w:r w:rsidR="0044075A">
        <w:rPr>
          <w:lang w:val="en-CA"/>
        </w:rPr>
        <w:t>under the</w:t>
      </w:r>
      <w:r w:rsidRPr="00076CA5">
        <w:rPr>
          <w:lang w:val="en-CA"/>
        </w:rPr>
        <w:t xml:space="preserve"> </w:t>
      </w:r>
      <w:r w:rsidRPr="00076CA5">
        <w:rPr>
          <w:i/>
          <w:iCs/>
          <w:lang w:val="en-CA"/>
        </w:rPr>
        <w:t>Oakes</w:t>
      </w:r>
      <w:r w:rsidR="0044075A">
        <w:rPr>
          <w:i/>
          <w:iCs/>
          <w:lang w:val="en-CA"/>
        </w:rPr>
        <w:t xml:space="preserve"> </w:t>
      </w:r>
      <w:r w:rsidR="0044075A">
        <w:rPr>
          <w:lang w:val="en-CA"/>
        </w:rPr>
        <w:t>test</w:t>
      </w:r>
      <w:r w:rsidRPr="00076CA5">
        <w:rPr>
          <w:lang w:val="en-CA"/>
        </w:rPr>
        <w:t xml:space="preserve">, as </w:t>
      </w:r>
      <w:r w:rsidR="0044075A">
        <w:rPr>
          <w:lang w:val="en-CA"/>
        </w:rPr>
        <w:t xml:space="preserve">there was no rational connection between </w:t>
      </w:r>
      <w:r w:rsidRPr="00076CA5">
        <w:rPr>
          <w:lang w:val="en-CA"/>
        </w:rPr>
        <w:t xml:space="preserve">the </w:t>
      </w:r>
      <w:r w:rsidRPr="00076CA5">
        <w:rPr>
          <w:lang w:val="en-CA"/>
        </w:rPr>
        <w:lastRenderedPageBreak/>
        <w:t>Attorney General</w:t>
      </w:r>
      <w:r w:rsidR="0044075A">
        <w:rPr>
          <w:lang w:val="en-CA"/>
        </w:rPr>
        <w:t>’</w:t>
      </w:r>
      <w:r w:rsidRPr="00076CA5">
        <w:rPr>
          <w:lang w:val="en-CA"/>
        </w:rPr>
        <w:t xml:space="preserve">s intervention </w:t>
      </w:r>
      <w:r w:rsidR="0044075A">
        <w:rPr>
          <w:lang w:val="en-CA"/>
        </w:rPr>
        <w:t>and</w:t>
      </w:r>
      <w:r w:rsidRPr="00076CA5">
        <w:rPr>
          <w:lang w:val="en-CA"/>
        </w:rPr>
        <w:t xml:space="preserve"> </w:t>
      </w:r>
      <w:r w:rsidR="00372FFF" w:rsidRPr="00076CA5">
        <w:rPr>
          <w:lang w:val="en-CA"/>
        </w:rPr>
        <w:t>the</w:t>
      </w:r>
      <w:r w:rsidRPr="00076CA5">
        <w:rPr>
          <w:lang w:val="en-CA"/>
        </w:rPr>
        <w:t xml:space="preserve"> legislative objective</w:t>
      </w:r>
      <w:r w:rsidR="0044075A">
        <w:rPr>
          <w:lang w:val="en-CA"/>
        </w:rPr>
        <w:t>,</w:t>
      </w:r>
      <w:r w:rsidRPr="00076CA5">
        <w:rPr>
          <w:rStyle w:val="Appelnotedebasdep"/>
          <w:lang w:val="en-CA"/>
        </w:rPr>
        <w:footnoteReference w:id="101"/>
      </w:r>
      <w:r w:rsidRPr="00076CA5">
        <w:rPr>
          <w:lang w:val="en-CA"/>
        </w:rPr>
        <w:t xml:space="preserve"> and </w:t>
      </w:r>
      <w:r w:rsidR="0044075A">
        <w:rPr>
          <w:lang w:val="en-CA"/>
        </w:rPr>
        <w:t xml:space="preserve">it </w:t>
      </w:r>
      <w:r w:rsidRPr="00076CA5">
        <w:rPr>
          <w:lang w:val="en-CA"/>
        </w:rPr>
        <w:t>did not constitute minimal i</w:t>
      </w:r>
      <w:r w:rsidR="00372FFF" w:rsidRPr="00076CA5">
        <w:rPr>
          <w:lang w:val="en-CA"/>
        </w:rPr>
        <w:t>mpairment.</w:t>
      </w:r>
      <w:r w:rsidRPr="00076CA5">
        <w:rPr>
          <w:rStyle w:val="Appelnotedebasdep"/>
          <w:lang w:val="en-CA"/>
        </w:rPr>
        <w:footnoteReference w:id="102"/>
      </w:r>
      <w:r w:rsidRPr="00076CA5">
        <w:rPr>
          <w:lang w:val="en-CA"/>
        </w:rPr>
        <w:t xml:space="preserve"> </w:t>
      </w:r>
    </w:p>
    <w:p w14:paraId="5D8CF0C6" w14:textId="2B2DBD72" w:rsidR="006D4B37" w:rsidRPr="00076CA5" w:rsidRDefault="004351B0" w:rsidP="006D4B37">
      <w:pPr>
        <w:pStyle w:val="aParagraphe"/>
        <w:numPr>
          <w:ilvl w:val="0"/>
          <w:numId w:val="18"/>
        </w:numPr>
        <w:spacing w:line="280" w:lineRule="exact"/>
        <w:rPr>
          <w:lang w:val="en-CA"/>
        </w:rPr>
      </w:pPr>
      <w:r w:rsidRPr="00076CA5">
        <w:rPr>
          <w:lang w:val="en-CA"/>
        </w:rPr>
        <w:t xml:space="preserve">On this last point, the Nova Scotia Court of Appeal </w:t>
      </w:r>
      <w:r w:rsidR="001234C0" w:rsidRPr="00076CA5">
        <w:rPr>
          <w:lang w:val="en-CA"/>
        </w:rPr>
        <w:t>concluded</w:t>
      </w:r>
      <w:r w:rsidRPr="00076CA5">
        <w:rPr>
          <w:lang w:val="en-CA"/>
        </w:rPr>
        <w:t xml:space="preserve"> that </w:t>
      </w:r>
      <w:r w:rsidR="00372FFF" w:rsidRPr="00076CA5">
        <w:rPr>
          <w:lang w:val="en-CA"/>
        </w:rPr>
        <w:t xml:space="preserve">after tabling the final report of the commission as a bill, </w:t>
      </w:r>
      <w:r w:rsidRPr="00076CA5">
        <w:rPr>
          <w:lang w:val="en-CA"/>
        </w:rPr>
        <w:t>the legislat</w:t>
      </w:r>
      <w:r w:rsidR="00C520FD">
        <w:rPr>
          <w:lang w:val="en-CA"/>
        </w:rPr>
        <w:t>ure</w:t>
      </w:r>
      <w:r w:rsidR="00372FFF" w:rsidRPr="00076CA5">
        <w:rPr>
          <w:lang w:val="en-CA"/>
        </w:rPr>
        <w:t xml:space="preserve"> could have </w:t>
      </w:r>
      <w:r w:rsidRPr="00076CA5">
        <w:rPr>
          <w:lang w:val="en-CA"/>
        </w:rPr>
        <w:t xml:space="preserve">amended the bill to remove the three Acadian electoral divisions, and that such an intervention would have been less </w:t>
      </w:r>
      <w:r w:rsidR="000C4336">
        <w:rPr>
          <w:lang w:val="en-CA"/>
        </w:rPr>
        <w:t>impairing</w:t>
      </w:r>
      <w:r w:rsidR="00372FFF" w:rsidRPr="00076CA5">
        <w:rPr>
          <w:lang w:val="en-CA"/>
        </w:rPr>
        <w:t>.</w:t>
      </w:r>
      <w:r w:rsidRPr="00076CA5">
        <w:rPr>
          <w:rStyle w:val="Appelnotedebasdep"/>
          <w:lang w:val="en-CA"/>
        </w:rPr>
        <w:footnoteReference w:id="103"/>
      </w:r>
      <w:r w:rsidRPr="00076CA5">
        <w:rPr>
          <w:lang w:val="en-CA"/>
        </w:rPr>
        <w:t xml:space="preserve"> </w:t>
      </w:r>
      <w:r w:rsidR="00C520FD">
        <w:rPr>
          <w:lang w:val="en-CA"/>
        </w:rPr>
        <w:t>Accordingly</w:t>
      </w:r>
      <w:r w:rsidRPr="00076CA5">
        <w:rPr>
          <w:lang w:val="en-CA"/>
        </w:rPr>
        <w:t>, th</w:t>
      </w:r>
      <w:r w:rsidR="00372FFF" w:rsidRPr="00076CA5">
        <w:rPr>
          <w:lang w:val="en-CA"/>
        </w:rPr>
        <w:t>is</w:t>
      </w:r>
      <w:r w:rsidRPr="00076CA5">
        <w:rPr>
          <w:lang w:val="en-CA"/>
        </w:rPr>
        <w:t xml:space="preserve"> judgment supports the appellants</w:t>
      </w:r>
      <w:r w:rsidR="001F0AC4">
        <w:rPr>
          <w:lang w:val="en-CA"/>
        </w:rPr>
        <w:t>’</w:t>
      </w:r>
      <w:r w:rsidRPr="00076CA5">
        <w:rPr>
          <w:lang w:val="en-CA"/>
        </w:rPr>
        <w:t xml:space="preserve"> position in this case. The National Assembly could have complied with </w:t>
      </w:r>
      <w:r w:rsidR="00372FFF" w:rsidRPr="00076CA5">
        <w:rPr>
          <w:lang w:val="en-CA"/>
        </w:rPr>
        <w:t>s</w:t>
      </w:r>
      <w:r w:rsidRPr="00076CA5">
        <w:rPr>
          <w:lang w:val="en-CA"/>
        </w:rPr>
        <w:t xml:space="preserve">ection 3 of the </w:t>
      </w:r>
      <w:r w:rsidRPr="00076CA5">
        <w:rPr>
          <w:i/>
          <w:iCs/>
          <w:lang w:val="en-CA"/>
        </w:rPr>
        <w:t xml:space="preserve">Charter </w:t>
      </w:r>
      <w:r w:rsidRPr="00076CA5">
        <w:rPr>
          <w:lang w:val="en-CA"/>
        </w:rPr>
        <w:t xml:space="preserve">and the reform process set out in the </w:t>
      </w:r>
      <w:r w:rsidRPr="00076CA5">
        <w:rPr>
          <w:i/>
          <w:iCs/>
          <w:lang w:val="en-CA"/>
        </w:rPr>
        <w:t>Election Act</w:t>
      </w:r>
      <w:r w:rsidRPr="00076CA5">
        <w:rPr>
          <w:lang w:val="en-CA"/>
        </w:rPr>
        <w:t xml:space="preserve"> by adopting the Commission's recommendations, subject to the elimination of one electoral division in Gaspésie. This could have been maintained—even temporarily—by amending the </w:t>
      </w:r>
      <w:r w:rsidRPr="00076CA5">
        <w:rPr>
          <w:i/>
          <w:iCs/>
          <w:lang w:val="en-CA"/>
        </w:rPr>
        <w:t>Election Act</w:t>
      </w:r>
      <w:r w:rsidRPr="001F0AC4">
        <w:rPr>
          <w:lang w:val="en-CA"/>
        </w:rPr>
        <w:t>,</w:t>
      </w:r>
      <w:r w:rsidRPr="00076CA5">
        <w:rPr>
          <w:lang w:val="en-CA"/>
        </w:rPr>
        <w:t xml:space="preserve"> as </w:t>
      </w:r>
      <w:r w:rsidR="00372FFF" w:rsidRPr="00076CA5">
        <w:rPr>
          <w:lang w:val="en-CA"/>
        </w:rPr>
        <w:t>was done in the case of Îles-de-la-Madeleine.</w:t>
      </w:r>
    </w:p>
    <w:p w14:paraId="02FDBE77" w14:textId="259F4B3B" w:rsidR="006D4B37" w:rsidRPr="00076CA5" w:rsidRDefault="00C520FD" w:rsidP="006D4B37">
      <w:pPr>
        <w:pStyle w:val="aParagraphe"/>
        <w:numPr>
          <w:ilvl w:val="0"/>
          <w:numId w:val="18"/>
        </w:numPr>
        <w:spacing w:line="280" w:lineRule="exact"/>
        <w:rPr>
          <w:lang w:val="en-CA"/>
        </w:rPr>
      </w:pPr>
      <w:r>
        <w:rPr>
          <w:lang w:val="en-CA"/>
        </w:rPr>
        <w:t>Moreover</w:t>
      </w:r>
      <w:r w:rsidR="004351B0" w:rsidRPr="00076CA5">
        <w:rPr>
          <w:lang w:val="en-CA"/>
        </w:rPr>
        <w:t xml:space="preserve">, the judge erred in justifying the application of </w:t>
      </w:r>
      <w:r w:rsidR="00372FFF" w:rsidRPr="00076CA5">
        <w:rPr>
          <w:lang w:val="en-CA"/>
        </w:rPr>
        <w:t>s</w:t>
      </w:r>
      <w:r w:rsidR="004351B0" w:rsidRPr="00076CA5">
        <w:rPr>
          <w:lang w:val="en-CA"/>
        </w:rPr>
        <w:t xml:space="preserve">ection 1 of the </w:t>
      </w:r>
      <w:r w:rsidR="004351B0" w:rsidRPr="00076CA5">
        <w:rPr>
          <w:i/>
          <w:iCs/>
          <w:lang w:val="en-CA"/>
        </w:rPr>
        <w:t>Charter</w:t>
      </w:r>
      <w:r w:rsidR="004351B0" w:rsidRPr="00076CA5">
        <w:rPr>
          <w:lang w:val="en-CA"/>
        </w:rPr>
        <w:t xml:space="preserve"> based on the unanimous vote </w:t>
      </w:r>
      <w:r w:rsidR="00AB2D36" w:rsidRPr="00076CA5">
        <w:rPr>
          <w:lang w:val="en-CA"/>
        </w:rPr>
        <w:t xml:space="preserve">on the </w:t>
      </w:r>
      <w:r w:rsidR="002B54C0" w:rsidRPr="002B54C0">
        <w:rPr>
          <w:i/>
          <w:iCs/>
          <w:lang w:val="en-CA"/>
        </w:rPr>
        <w:t>ATI</w:t>
      </w:r>
      <w:r w:rsidR="00AB2D36" w:rsidRPr="00076CA5">
        <w:rPr>
          <w:lang w:val="en-CA"/>
        </w:rPr>
        <w:t xml:space="preserve"> </w:t>
      </w:r>
      <w:r w:rsidR="004351B0" w:rsidRPr="00076CA5">
        <w:rPr>
          <w:lang w:val="en-CA"/>
        </w:rPr>
        <w:t xml:space="preserve">in the National Assembly. The evidence </w:t>
      </w:r>
      <w:r w:rsidR="00372FFF" w:rsidRPr="00076CA5">
        <w:rPr>
          <w:lang w:val="en-CA"/>
        </w:rPr>
        <w:t xml:space="preserve">adduced </w:t>
      </w:r>
      <w:r w:rsidR="004351B0" w:rsidRPr="00076CA5">
        <w:rPr>
          <w:lang w:val="en-CA"/>
        </w:rPr>
        <w:t>by the respondent</w:t>
      </w:r>
      <w:r w:rsidR="00AB2D36">
        <w:rPr>
          <w:lang w:val="en-CA"/>
        </w:rPr>
        <w:t>’</w:t>
      </w:r>
      <w:r w:rsidR="004351B0" w:rsidRPr="00076CA5">
        <w:rPr>
          <w:lang w:val="en-CA"/>
        </w:rPr>
        <w:t xml:space="preserve">s expert witness reveals that the parliamentary convention relied on by the judge was formulated following an attempt by the government </w:t>
      </w:r>
      <w:r w:rsidR="00372FFF" w:rsidRPr="00076CA5">
        <w:rPr>
          <w:lang w:val="en-CA"/>
        </w:rPr>
        <w:t>of the day</w:t>
      </w:r>
      <w:r w:rsidR="00387F6B" w:rsidRPr="00076CA5">
        <w:rPr>
          <w:lang w:val="en-CA"/>
        </w:rPr>
        <w:t xml:space="preserve"> </w:t>
      </w:r>
      <w:r w:rsidR="004351B0" w:rsidRPr="00076CA5">
        <w:rPr>
          <w:lang w:val="en-CA"/>
        </w:rPr>
        <w:t xml:space="preserve">to </w:t>
      </w:r>
      <w:r w:rsidR="00372FFF" w:rsidRPr="00076CA5">
        <w:rPr>
          <w:lang w:val="en-CA"/>
        </w:rPr>
        <w:t>substantially</w:t>
      </w:r>
      <w:r w:rsidR="004351B0" w:rsidRPr="00076CA5">
        <w:rPr>
          <w:lang w:val="en-CA"/>
        </w:rPr>
        <w:t xml:space="preserve"> amend the </w:t>
      </w:r>
      <w:r w:rsidR="004351B0" w:rsidRPr="00076CA5">
        <w:rPr>
          <w:i/>
          <w:iCs/>
          <w:lang w:val="en-CA"/>
        </w:rPr>
        <w:t>Election Act</w:t>
      </w:r>
      <w:r w:rsidR="004351B0" w:rsidRPr="00076CA5">
        <w:rPr>
          <w:lang w:val="en-CA"/>
        </w:rPr>
        <w:t xml:space="preserve"> in the face of opposition.</w:t>
      </w:r>
    </w:p>
    <w:p w14:paraId="5B80893C" w14:textId="0F1584D8" w:rsidR="006D4B37" w:rsidRPr="00076CA5" w:rsidRDefault="00AB2D36" w:rsidP="006D4B37">
      <w:pPr>
        <w:pStyle w:val="aParagraphe"/>
        <w:numPr>
          <w:ilvl w:val="0"/>
          <w:numId w:val="18"/>
        </w:numPr>
        <w:spacing w:line="280" w:lineRule="exact"/>
        <w:rPr>
          <w:lang w:val="en-CA"/>
        </w:rPr>
      </w:pPr>
      <w:r>
        <w:rPr>
          <w:lang w:val="en-CA"/>
        </w:rPr>
        <w:t>The c</w:t>
      </w:r>
      <w:r w:rsidR="004351B0" w:rsidRPr="00076CA5">
        <w:rPr>
          <w:lang w:val="en-CA"/>
        </w:rPr>
        <w:t xml:space="preserve">urrent circumstances are different </w:t>
      </w:r>
      <w:r w:rsidR="001F0AC4">
        <w:rPr>
          <w:lang w:val="en-CA"/>
        </w:rPr>
        <w:t>because</w:t>
      </w:r>
      <w:r w:rsidR="004351B0" w:rsidRPr="00076CA5">
        <w:rPr>
          <w:lang w:val="en-CA"/>
        </w:rPr>
        <w:t xml:space="preserve"> the </w:t>
      </w:r>
      <w:r w:rsidR="002B54C0" w:rsidRPr="002B54C0">
        <w:rPr>
          <w:i/>
          <w:iCs/>
          <w:lang w:val="en-CA"/>
        </w:rPr>
        <w:t>ATI</w:t>
      </w:r>
      <w:r w:rsidR="004351B0" w:rsidRPr="00076CA5">
        <w:rPr>
          <w:lang w:val="en-CA"/>
        </w:rPr>
        <w:t xml:space="preserve"> </w:t>
      </w:r>
      <w:r w:rsidR="00372FFF" w:rsidRPr="00076CA5">
        <w:rPr>
          <w:lang w:val="en-CA"/>
        </w:rPr>
        <w:t>was</w:t>
      </w:r>
      <w:r w:rsidR="004351B0" w:rsidRPr="00076CA5">
        <w:rPr>
          <w:lang w:val="en-CA"/>
        </w:rPr>
        <w:t xml:space="preserve"> supported by the opposition parties. Moreover, there is no evidence of </w:t>
      </w:r>
      <w:r w:rsidR="00372FFF" w:rsidRPr="00076CA5">
        <w:rPr>
          <w:lang w:val="en-CA"/>
        </w:rPr>
        <w:t xml:space="preserve">any </w:t>
      </w:r>
      <w:r w:rsidR="004351B0" w:rsidRPr="00076CA5">
        <w:rPr>
          <w:lang w:val="en-CA"/>
        </w:rPr>
        <w:t xml:space="preserve">public debate to examine a measure other than the </w:t>
      </w:r>
      <w:r w:rsidR="002B54C0" w:rsidRPr="002B54C0">
        <w:rPr>
          <w:i/>
          <w:iCs/>
          <w:lang w:val="en-CA"/>
        </w:rPr>
        <w:t>ATI</w:t>
      </w:r>
      <w:r w:rsidR="004351B0" w:rsidRPr="00076CA5">
        <w:rPr>
          <w:lang w:val="en-CA"/>
        </w:rPr>
        <w:t xml:space="preserve">. It is therefore impossible to conclude, for example, that there </w:t>
      </w:r>
      <w:r w:rsidR="00372FFF" w:rsidRPr="00076CA5">
        <w:rPr>
          <w:lang w:val="en-CA"/>
        </w:rPr>
        <w:t>was</w:t>
      </w:r>
      <w:r w:rsidR="004351B0" w:rsidRPr="00076CA5">
        <w:rPr>
          <w:lang w:val="en-CA"/>
        </w:rPr>
        <w:t xml:space="preserve"> no consensus on the proposal to protect—possibly temporarily—the number of electoral divisions in Gaspésie and to let the Commission continue the Process while taking this constraint into account. Thus, the respondent </w:t>
      </w:r>
      <w:r>
        <w:rPr>
          <w:lang w:val="en-CA"/>
        </w:rPr>
        <w:t xml:space="preserve">has </w:t>
      </w:r>
      <w:r w:rsidR="004351B0" w:rsidRPr="00076CA5">
        <w:rPr>
          <w:lang w:val="en-CA"/>
        </w:rPr>
        <w:t>fail</w:t>
      </w:r>
      <w:r w:rsidR="00372FFF" w:rsidRPr="00076CA5">
        <w:rPr>
          <w:lang w:val="en-CA"/>
        </w:rPr>
        <w:t>ed</w:t>
      </w:r>
      <w:r w:rsidR="004351B0" w:rsidRPr="00076CA5">
        <w:rPr>
          <w:lang w:val="en-CA"/>
        </w:rPr>
        <w:t xml:space="preserve"> to meet its burden </w:t>
      </w:r>
      <w:r w:rsidR="00515308">
        <w:rPr>
          <w:lang w:val="en-CA"/>
        </w:rPr>
        <w:t>of showing</w:t>
      </w:r>
      <w:r w:rsidR="004351B0" w:rsidRPr="00076CA5">
        <w:rPr>
          <w:lang w:val="en-CA"/>
        </w:rPr>
        <w:t xml:space="preserve"> that the legislat</w:t>
      </w:r>
      <w:r w:rsidR="004D5928" w:rsidRPr="00076CA5">
        <w:rPr>
          <w:lang w:val="en-CA"/>
        </w:rPr>
        <w:t>or</w:t>
      </w:r>
      <w:r w:rsidR="004351B0" w:rsidRPr="00076CA5">
        <w:rPr>
          <w:lang w:val="en-CA"/>
        </w:rPr>
        <w:t xml:space="preserve"> carefully selected one measure from a range of choices</w:t>
      </w:r>
      <w:r w:rsidR="004D5928" w:rsidRPr="00076CA5">
        <w:rPr>
          <w:lang w:val="en-CA"/>
        </w:rPr>
        <w:t>.</w:t>
      </w:r>
      <w:r w:rsidR="004351B0" w:rsidRPr="00076CA5">
        <w:rPr>
          <w:rStyle w:val="Appelnotedebasdep"/>
          <w:lang w:val="en-CA"/>
        </w:rPr>
        <w:footnoteReference w:id="104"/>
      </w:r>
      <w:r w:rsidR="004351B0" w:rsidRPr="00076CA5">
        <w:rPr>
          <w:lang w:val="en-CA"/>
        </w:rPr>
        <w:t xml:space="preserve"> In any case, the existence of a parliamentary consensus, like a unanimous vote on any measure, cannot serve as justification for violating a </w:t>
      </w:r>
      <w:r w:rsidR="004351B0" w:rsidRPr="00076CA5">
        <w:rPr>
          <w:i/>
          <w:iCs/>
          <w:lang w:val="en-CA"/>
        </w:rPr>
        <w:t>Charter</w:t>
      </w:r>
      <w:r w:rsidR="00515308">
        <w:rPr>
          <w:i/>
          <w:iCs/>
          <w:lang w:val="en-CA"/>
        </w:rPr>
        <w:t xml:space="preserve"> </w:t>
      </w:r>
      <w:r w:rsidR="00515308">
        <w:rPr>
          <w:lang w:val="en-CA"/>
        </w:rPr>
        <w:t>right</w:t>
      </w:r>
      <w:r w:rsidR="00DD07E4" w:rsidRPr="00DD07E4">
        <w:rPr>
          <w:lang w:val="en-CA"/>
        </w:rPr>
        <w:t>.</w:t>
      </w:r>
      <w:r w:rsidR="004351B0" w:rsidRPr="00076CA5">
        <w:rPr>
          <w:rStyle w:val="Appelnotedebasdep"/>
          <w:lang w:val="en-CA"/>
        </w:rPr>
        <w:footnoteReference w:id="105"/>
      </w:r>
      <w:r w:rsidR="004351B0" w:rsidRPr="00076CA5">
        <w:rPr>
          <w:lang w:val="en-CA"/>
        </w:rPr>
        <w:t xml:space="preserve"> Unanimity may satisfy political requirements, but not necessarily legal scrutiny </w:t>
      </w:r>
      <w:r w:rsidR="000C3E0F" w:rsidRPr="00076CA5">
        <w:rPr>
          <w:lang w:val="en-CA"/>
        </w:rPr>
        <w:t xml:space="preserve">of the application of the </w:t>
      </w:r>
      <w:r w:rsidR="004351B0" w:rsidRPr="00076CA5">
        <w:rPr>
          <w:i/>
          <w:iCs/>
          <w:lang w:val="en-CA"/>
        </w:rPr>
        <w:t>Charter</w:t>
      </w:r>
      <w:r w:rsidR="004351B0" w:rsidRPr="00076CA5">
        <w:rPr>
          <w:lang w:val="en-CA"/>
        </w:rPr>
        <w:t xml:space="preserve"> to protect fundamental rights.</w:t>
      </w:r>
    </w:p>
    <w:p w14:paraId="6D1DB0DE" w14:textId="42286111" w:rsidR="006D4B37" w:rsidRPr="00076CA5" w:rsidRDefault="004351B0" w:rsidP="006D4B37">
      <w:pPr>
        <w:pStyle w:val="aParagraphe"/>
        <w:numPr>
          <w:ilvl w:val="0"/>
          <w:numId w:val="18"/>
        </w:numPr>
        <w:spacing w:line="280" w:lineRule="exact"/>
        <w:rPr>
          <w:lang w:val="en-CA"/>
        </w:rPr>
      </w:pPr>
      <w:r w:rsidRPr="00076CA5">
        <w:rPr>
          <w:lang w:val="en-CA"/>
        </w:rPr>
        <w:t>The judge</w:t>
      </w:r>
      <w:r w:rsidR="00431189">
        <w:rPr>
          <w:lang w:val="en-CA"/>
        </w:rPr>
        <w:t>’</w:t>
      </w:r>
      <w:r w:rsidRPr="00076CA5">
        <w:rPr>
          <w:lang w:val="en-CA"/>
        </w:rPr>
        <w:t xml:space="preserve">s failure to rigorously </w:t>
      </w:r>
      <w:r w:rsidR="0058719C" w:rsidRPr="00076CA5">
        <w:rPr>
          <w:lang w:val="en-CA"/>
        </w:rPr>
        <w:t xml:space="preserve">examine </w:t>
      </w:r>
      <w:r w:rsidRPr="00076CA5">
        <w:rPr>
          <w:lang w:val="en-CA"/>
        </w:rPr>
        <w:t xml:space="preserve">the proposal to protect the Gaspésie electoral divisions on the grounds that it would also </w:t>
      </w:r>
      <w:r w:rsidR="0058719C">
        <w:rPr>
          <w:lang w:val="en-CA"/>
        </w:rPr>
        <w:t>infringe</w:t>
      </w:r>
      <w:r w:rsidRPr="00076CA5">
        <w:rPr>
          <w:lang w:val="en-CA"/>
        </w:rPr>
        <w:t xml:space="preserve"> the right set out in </w:t>
      </w:r>
      <w:r w:rsidR="000C3E0F" w:rsidRPr="00076CA5">
        <w:rPr>
          <w:lang w:val="en-CA"/>
        </w:rPr>
        <w:t>s</w:t>
      </w:r>
      <w:r w:rsidRPr="00076CA5">
        <w:rPr>
          <w:lang w:val="en-CA"/>
        </w:rPr>
        <w:t xml:space="preserve">ection 3 of the </w:t>
      </w:r>
      <w:r w:rsidRPr="00076CA5">
        <w:rPr>
          <w:i/>
          <w:iCs/>
          <w:lang w:val="en-CA"/>
        </w:rPr>
        <w:t>Charter</w:t>
      </w:r>
      <w:r w:rsidRPr="00076CA5">
        <w:rPr>
          <w:lang w:val="en-CA"/>
        </w:rPr>
        <w:t xml:space="preserve"> and that there was no evidence that it would have received unanimous support </w:t>
      </w:r>
      <w:r w:rsidR="0058719C">
        <w:rPr>
          <w:lang w:val="en-CA"/>
        </w:rPr>
        <w:t>is</w:t>
      </w:r>
      <w:r w:rsidRPr="00076CA5">
        <w:rPr>
          <w:lang w:val="en-CA"/>
        </w:rPr>
        <w:t xml:space="preserve"> an error that </w:t>
      </w:r>
      <w:r w:rsidR="0058719C">
        <w:rPr>
          <w:lang w:val="en-CA"/>
        </w:rPr>
        <w:t>is</w:t>
      </w:r>
      <w:r w:rsidRPr="00076CA5">
        <w:rPr>
          <w:lang w:val="en-CA"/>
        </w:rPr>
        <w:t xml:space="preserve"> review</w:t>
      </w:r>
      <w:r w:rsidR="0058719C">
        <w:rPr>
          <w:lang w:val="en-CA"/>
        </w:rPr>
        <w:t>able</w:t>
      </w:r>
      <w:r w:rsidRPr="00076CA5">
        <w:rPr>
          <w:lang w:val="en-CA"/>
        </w:rPr>
        <w:t xml:space="preserve"> on appeal because the proposal is clearly less </w:t>
      </w:r>
      <w:r w:rsidR="0058719C">
        <w:rPr>
          <w:lang w:val="en-CA"/>
        </w:rPr>
        <w:t>impairing</w:t>
      </w:r>
      <w:r w:rsidRPr="00076CA5">
        <w:rPr>
          <w:lang w:val="en-CA"/>
        </w:rPr>
        <w:t xml:space="preserve"> to the right to vote guaranteed by </w:t>
      </w:r>
      <w:r w:rsidR="000C3E0F" w:rsidRPr="00076CA5">
        <w:rPr>
          <w:lang w:val="en-CA"/>
        </w:rPr>
        <w:t>s</w:t>
      </w:r>
      <w:r w:rsidRPr="00076CA5">
        <w:rPr>
          <w:lang w:val="en-CA"/>
        </w:rPr>
        <w:t xml:space="preserve">ection 3 of the </w:t>
      </w:r>
      <w:r w:rsidRPr="00076CA5">
        <w:rPr>
          <w:i/>
          <w:iCs/>
          <w:lang w:val="en-CA"/>
        </w:rPr>
        <w:t>Charter</w:t>
      </w:r>
      <w:r w:rsidRPr="00076CA5">
        <w:rPr>
          <w:lang w:val="en-CA"/>
        </w:rPr>
        <w:t xml:space="preserve">. If the respondent </w:t>
      </w:r>
      <w:r w:rsidRPr="00076CA5">
        <w:rPr>
          <w:lang w:val="en-CA"/>
        </w:rPr>
        <w:lastRenderedPageBreak/>
        <w:t>prefer</w:t>
      </w:r>
      <w:r w:rsidR="005D2703">
        <w:rPr>
          <w:lang w:val="en-CA"/>
        </w:rPr>
        <w:t>s</w:t>
      </w:r>
      <w:r w:rsidRPr="00076CA5">
        <w:rPr>
          <w:lang w:val="en-CA"/>
        </w:rPr>
        <w:t xml:space="preserve"> to avoid a piecemeal solution or </w:t>
      </w:r>
      <w:r w:rsidR="000C3E0F" w:rsidRPr="00076CA5">
        <w:rPr>
          <w:lang w:val="en-CA"/>
        </w:rPr>
        <w:t>a</w:t>
      </w:r>
      <w:r w:rsidRPr="00076CA5">
        <w:rPr>
          <w:lang w:val="en-CA"/>
        </w:rPr>
        <w:t xml:space="preserve"> multiplication of electoral divisions with a shortage of </w:t>
      </w:r>
      <w:r w:rsidR="000C3E0F" w:rsidRPr="00076CA5">
        <w:rPr>
          <w:lang w:val="en-CA"/>
        </w:rPr>
        <w:t>electors</w:t>
      </w:r>
      <w:r w:rsidRPr="00076CA5">
        <w:rPr>
          <w:lang w:val="en-CA"/>
        </w:rPr>
        <w:t>, a “minimal” solution other than the status quo must be justified, because the status quo is not</w:t>
      </w:r>
      <w:r w:rsidR="0054216D" w:rsidRPr="0054216D">
        <w:rPr>
          <w:lang w:val="en-CA"/>
        </w:rPr>
        <w:t xml:space="preserve"> </w:t>
      </w:r>
      <w:r w:rsidR="0054216D" w:rsidRPr="00076CA5">
        <w:rPr>
          <w:lang w:val="en-CA"/>
        </w:rPr>
        <w:t>a solution</w:t>
      </w:r>
      <w:r w:rsidRPr="00076CA5">
        <w:rPr>
          <w:lang w:val="en-CA"/>
        </w:rPr>
        <w:t>, even according to the respondent. Nor is maintaining the status quo essential to the government</w:t>
      </w:r>
      <w:r w:rsidR="0058719C">
        <w:rPr>
          <w:lang w:val="en-CA"/>
        </w:rPr>
        <w:t>’</w:t>
      </w:r>
      <w:r w:rsidRPr="00076CA5">
        <w:rPr>
          <w:lang w:val="en-CA"/>
        </w:rPr>
        <w:t>s process</w:t>
      </w:r>
      <w:r w:rsidR="000C3E0F" w:rsidRPr="00076CA5">
        <w:rPr>
          <w:lang w:val="en-CA"/>
        </w:rPr>
        <w:t xml:space="preserve"> of reflection</w:t>
      </w:r>
      <w:r w:rsidRPr="00076CA5">
        <w:rPr>
          <w:lang w:val="en-CA"/>
        </w:rPr>
        <w:t>.</w:t>
      </w:r>
    </w:p>
    <w:p w14:paraId="27171EF9" w14:textId="35260EF5" w:rsidR="006D4B37" w:rsidRPr="00076CA5" w:rsidRDefault="004351B0" w:rsidP="006D4B37">
      <w:pPr>
        <w:pStyle w:val="aParagraphe"/>
        <w:numPr>
          <w:ilvl w:val="0"/>
          <w:numId w:val="18"/>
        </w:numPr>
        <w:spacing w:line="280" w:lineRule="exact"/>
        <w:rPr>
          <w:lang w:val="en-CA"/>
        </w:rPr>
      </w:pPr>
      <w:r w:rsidRPr="00076CA5">
        <w:rPr>
          <w:lang w:val="en-CA"/>
        </w:rPr>
        <w:t xml:space="preserve">Retaining the proposal to protect the Gaspésie electoral divisions would have </w:t>
      </w:r>
      <w:r w:rsidR="0058719C">
        <w:rPr>
          <w:lang w:val="en-CA"/>
        </w:rPr>
        <w:t xml:space="preserve">essentially </w:t>
      </w:r>
      <w:r w:rsidRPr="00076CA5">
        <w:rPr>
          <w:lang w:val="en-CA"/>
        </w:rPr>
        <w:t>preserved the integrity of the Commission</w:t>
      </w:r>
      <w:r w:rsidR="0058719C">
        <w:rPr>
          <w:lang w:val="en-CA"/>
        </w:rPr>
        <w:t>’</w:t>
      </w:r>
      <w:r w:rsidRPr="00076CA5">
        <w:rPr>
          <w:lang w:val="en-CA"/>
        </w:rPr>
        <w:t>s independent process, which was on a trajectory of significant change</w:t>
      </w:r>
      <w:r w:rsidR="000C3E0F" w:rsidRPr="00076CA5">
        <w:rPr>
          <w:lang w:val="en-CA"/>
        </w:rPr>
        <w:t>. That proposal was driven</w:t>
      </w:r>
      <w:r w:rsidRPr="00076CA5">
        <w:rPr>
          <w:lang w:val="en-CA"/>
        </w:rPr>
        <w:t xml:space="preserve"> by the application of the principle of effective representation, prescribed by the Supre</w:t>
      </w:r>
      <w:r w:rsidR="000C3E0F" w:rsidRPr="00076CA5">
        <w:rPr>
          <w:lang w:val="en-CA"/>
        </w:rPr>
        <w:t>me</w:t>
      </w:r>
      <w:r w:rsidR="00387F6B" w:rsidRPr="00076CA5">
        <w:rPr>
          <w:lang w:val="en-CA"/>
        </w:rPr>
        <w:t xml:space="preserve"> </w:t>
      </w:r>
      <w:r w:rsidRPr="00076CA5">
        <w:rPr>
          <w:lang w:val="en-CA"/>
        </w:rPr>
        <w:t xml:space="preserve">Court and codified in </w:t>
      </w:r>
      <w:r w:rsidR="000C3E0F" w:rsidRPr="00076CA5">
        <w:rPr>
          <w:lang w:val="en-CA"/>
        </w:rPr>
        <w:t>s</w:t>
      </w:r>
      <w:r w:rsidRPr="00076CA5">
        <w:rPr>
          <w:lang w:val="en-CA"/>
        </w:rPr>
        <w:t xml:space="preserve">ection 15 of the </w:t>
      </w:r>
      <w:r w:rsidRPr="00076CA5">
        <w:rPr>
          <w:i/>
          <w:iCs/>
          <w:lang w:val="en-CA"/>
        </w:rPr>
        <w:t>Election Act</w:t>
      </w:r>
      <w:r w:rsidRPr="00076CA5">
        <w:rPr>
          <w:lang w:val="en-CA"/>
        </w:rPr>
        <w:t xml:space="preserve">, thus ensuring the effective representation of many electors for the general election scheduled for 2026. </w:t>
      </w:r>
    </w:p>
    <w:p w14:paraId="3D0C06B5" w14:textId="4EEBE852" w:rsidR="006D4B37" w:rsidRPr="00076CA5" w:rsidRDefault="004351B0" w:rsidP="006D4B37">
      <w:pPr>
        <w:pStyle w:val="aParagraphe"/>
        <w:numPr>
          <w:ilvl w:val="0"/>
          <w:numId w:val="18"/>
        </w:numPr>
        <w:spacing w:line="280" w:lineRule="exact"/>
        <w:rPr>
          <w:lang w:val="en-CA"/>
        </w:rPr>
      </w:pPr>
      <w:r w:rsidRPr="00076CA5">
        <w:rPr>
          <w:lang w:val="en-CA"/>
        </w:rPr>
        <w:t xml:space="preserve">It is not necessary to examine other minimum </w:t>
      </w:r>
      <w:r w:rsidR="000C3E0F" w:rsidRPr="00076CA5">
        <w:rPr>
          <w:lang w:val="en-CA"/>
        </w:rPr>
        <w:t>impairment proposals</w:t>
      </w:r>
      <w:r w:rsidRPr="00076CA5">
        <w:rPr>
          <w:lang w:val="en-CA"/>
        </w:rPr>
        <w:t xml:space="preserve">, such as </w:t>
      </w:r>
      <w:r w:rsidR="000C3E0F" w:rsidRPr="00076CA5">
        <w:rPr>
          <w:lang w:val="en-CA"/>
        </w:rPr>
        <w:t>increasing</w:t>
      </w:r>
      <w:r w:rsidRPr="00076CA5">
        <w:rPr>
          <w:lang w:val="en-CA"/>
        </w:rPr>
        <w:t xml:space="preserve"> the number of electoral divisions, even though </w:t>
      </w:r>
      <w:r w:rsidR="005D2703">
        <w:rPr>
          <w:lang w:val="en-CA"/>
        </w:rPr>
        <w:t>maintaining</w:t>
      </w:r>
      <w:r w:rsidRPr="00076CA5">
        <w:rPr>
          <w:lang w:val="en-CA"/>
        </w:rPr>
        <w:t xml:space="preserve"> a division in Gaspésie and </w:t>
      </w:r>
      <w:r w:rsidR="005D2703">
        <w:rPr>
          <w:lang w:val="en-CA"/>
        </w:rPr>
        <w:t>adding</w:t>
      </w:r>
      <w:r w:rsidRPr="00076CA5">
        <w:rPr>
          <w:lang w:val="en-CA"/>
        </w:rPr>
        <w:t xml:space="preserve"> divisions recommended by the Commission may require an increase in the total number of seats in the National Assembly. </w:t>
      </w:r>
      <w:r w:rsidR="005D2703">
        <w:rPr>
          <w:lang w:val="en-CA"/>
        </w:rPr>
        <w:t>That being said</w:t>
      </w:r>
      <w:r w:rsidRPr="00076CA5">
        <w:rPr>
          <w:lang w:val="en-CA"/>
        </w:rPr>
        <w:t xml:space="preserve">, a re-examination by the Commission of the proposals </w:t>
      </w:r>
      <w:r w:rsidR="005D2703">
        <w:rPr>
          <w:lang w:val="en-CA"/>
        </w:rPr>
        <w:t>set out</w:t>
      </w:r>
      <w:r w:rsidRPr="00076CA5">
        <w:rPr>
          <w:lang w:val="en-CA"/>
        </w:rPr>
        <w:t xml:space="preserve"> in </w:t>
      </w:r>
      <w:r w:rsidR="000C3E0F" w:rsidRPr="00076CA5">
        <w:rPr>
          <w:lang w:val="en-CA"/>
        </w:rPr>
        <w:t>its</w:t>
      </w:r>
      <w:r w:rsidRPr="00076CA5">
        <w:rPr>
          <w:lang w:val="en-CA"/>
        </w:rPr>
        <w:t xml:space="preserve"> Preliminary Report, </w:t>
      </w:r>
      <w:r w:rsidR="00E63024" w:rsidRPr="00076CA5">
        <w:rPr>
          <w:lang w:val="en-CA"/>
        </w:rPr>
        <w:t>which</w:t>
      </w:r>
      <w:r w:rsidR="000C3E0F" w:rsidRPr="00076CA5">
        <w:rPr>
          <w:lang w:val="en-CA"/>
        </w:rPr>
        <w:t xml:space="preserve"> take </w:t>
      </w:r>
      <w:r w:rsidRPr="00076CA5">
        <w:rPr>
          <w:lang w:val="en-CA"/>
        </w:rPr>
        <w:t>into account maint</w:t>
      </w:r>
      <w:r w:rsidR="000C3E0F" w:rsidRPr="00076CA5">
        <w:rPr>
          <w:lang w:val="en-CA"/>
        </w:rPr>
        <w:t xml:space="preserve">aining </w:t>
      </w:r>
      <w:r w:rsidRPr="00076CA5">
        <w:rPr>
          <w:lang w:val="en-CA"/>
        </w:rPr>
        <w:t>the status quo</w:t>
      </w:r>
      <w:r w:rsidRPr="00076CA5">
        <w:rPr>
          <w:i/>
          <w:iCs/>
          <w:lang w:val="en-CA"/>
        </w:rPr>
        <w:t xml:space="preserve"> </w:t>
      </w:r>
      <w:r w:rsidRPr="00076CA5">
        <w:rPr>
          <w:lang w:val="en-CA"/>
        </w:rPr>
        <w:t xml:space="preserve">in Gaspésie, could lead to </w:t>
      </w:r>
      <w:r w:rsidR="000C3E0F" w:rsidRPr="00076CA5">
        <w:rPr>
          <w:lang w:val="en-CA"/>
        </w:rPr>
        <w:t xml:space="preserve">changes to </w:t>
      </w:r>
      <w:r w:rsidRPr="00076CA5">
        <w:rPr>
          <w:lang w:val="en-CA"/>
        </w:rPr>
        <w:t xml:space="preserve">its initial recommendations </w:t>
      </w:r>
      <w:r w:rsidR="005D2703">
        <w:rPr>
          <w:lang w:val="en-CA"/>
        </w:rPr>
        <w:t>such</w:t>
      </w:r>
      <w:r w:rsidRPr="00076CA5">
        <w:rPr>
          <w:lang w:val="en-CA"/>
        </w:rPr>
        <w:t xml:space="preserve"> that an increase in the total number of seats in the National Assembly would not be necessary. Naturally, such a determination is beyond the scope of the Court's role in this appeal. Maintaining an electoral division in Gaspésie may be the less </w:t>
      </w:r>
      <w:r w:rsidR="000C4336">
        <w:rPr>
          <w:lang w:val="en-CA"/>
        </w:rPr>
        <w:t>impairing</w:t>
      </w:r>
      <w:r w:rsidRPr="00076CA5">
        <w:rPr>
          <w:lang w:val="en-CA"/>
        </w:rPr>
        <w:t xml:space="preserve"> option chosen, but </w:t>
      </w:r>
      <w:r w:rsidR="000C3E0F" w:rsidRPr="00076CA5">
        <w:rPr>
          <w:lang w:val="en-CA"/>
        </w:rPr>
        <w:t>again</w:t>
      </w:r>
      <w:r w:rsidRPr="00076CA5">
        <w:rPr>
          <w:lang w:val="en-CA"/>
        </w:rPr>
        <w:t xml:space="preserve">, the Court's role is not to </w:t>
      </w:r>
      <w:r w:rsidR="005D2703">
        <w:rPr>
          <w:lang w:val="en-CA"/>
        </w:rPr>
        <w:t>take the place of</w:t>
      </w:r>
      <w:r w:rsidRPr="00076CA5">
        <w:rPr>
          <w:lang w:val="en-CA"/>
        </w:rPr>
        <w:t xml:space="preserve"> the legislat</w:t>
      </w:r>
      <w:r w:rsidR="005D2703">
        <w:rPr>
          <w:lang w:val="en-CA"/>
        </w:rPr>
        <w:t>ure</w:t>
      </w:r>
      <w:r w:rsidRPr="00076CA5">
        <w:rPr>
          <w:lang w:val="en-CA"/>
        </w:rPr>
        <w:t xml:space="preserve">, whose </w:t>
      </w:r>
      <w:r w:rsidR="000C3E0F" w:rsidRPr="00076CA5">
        <w:rPr>
          <w:lang w:val="en-CA"/>
        </w:rPr>
        <w:t xml:space="preserve">role is to carry out the </w:t>
      </w:r>
      <w:r w:rsidRPr="00076CA5">
        <w:rPr>
          <w:lang w:val="en-CA"/>
        </w:rPr>
        <w:t>ultimate balancing to preserve the effective right to vote for all.</w:t>
      </w:r>
    </w:p>
    <w:p w14:paraId="116A15D7" w14:textId="77777777" w:rsidR="006D4B37" w:rsidRPr="00076CA5" w:rsidRDefault="004351B0" w:rsidP="006D4B37">
      <w:pPr>
        <w:pStyle w:val="aParagraphe"/>
        <w:tabs>
          <w:tab w:val="clear" w:pos="720"/>
        </w:tabs>
        <w:spacing w:line="280" w:lineRule="exact"/>
        <w:jc w:val="center"/>
      </w:pPr>
      <w:r w:rsidRPr="00076CA5">
        <w:rPr>
          <w:lang w:val="en-CA"/>
        </w:rPr>
        <w:t xml:space="preserve">* * * </w:t>
      </w:r>
    </w:p>
    <w:p w14:paraId="2DD4828B" w14:textId="08671188" w:rsidR="006D4B37" w:rsidRPr="00076CA5" w:rsidRDefault="004351B0" w:rsidP="006D4B37">
      <w:pPr>
        <w:pStyle w:val="aParagraphe"/>
        <w:numPr>
          <w:ilvl w:val="0"/>
          <w:numId w:val="18"/>
        </w:numPr>
        <w:spacing w:line="280" w:lineRule="exact"/>
        <w:rPr>
          <w:lang w:val="en-CA"/>
        </w:rPr>
      </w:pPr>
      <w:r w:rsidRPr="00F4270D">
        <w:rPr>
          <w:lang w:val="en-CA"/>
        </w:rPr>
        <w:t>In view of my conclusion</w:t>
      </w:r>
      <w:r w:rsidRPr="00076CA5">
        <w:rPr>
          <w:lang w:val="en-CA"/>
        </w:rPr>
        <w:t xml:space="preserve"> that the Court</w:t>
      </w:r>
      <w:r w:rsidR="00767AF1">
        <w:rPr>
          <w:lang w:val="en-CA"/>
        </w:rPr>
        <w:t>’</w:t>
      </w:r>
      <w:r w:rsidRPr="00076CA5">
        <w:rPr>
          <w:lang w:val="en-CA"/>
        </w:rPr>
        <w:t>s intervention is required because of the judge</w:t>
      </w:r>
      <w:r w:rsidR="00767AF1">
        <w:rPr>
          <w:lang w:val="en-CA"/>
        </w:rPr>
        <w:t>’</w:t>
      </w:r>
      <w:r w:rsidRPr="00076CA5">
        <w:rPr>
          <w:lang w:val="en-CA"/>
        </w:rPr>
        <w:t>s error of law regarding minimal impairment, it is not strictly necessary to examine the parties</w:t>
      </w:r>
      <w:r w:rsidR="00767AF1">
        <w:rPr>
          <w:lang w:val="en-CA"/>
        </w:rPr>
        <w:t>’</w:t>
      </w:r>
      <w:r w:rsidRPr="00076CA5">
        <w:rPr>
          <w:lang w:val="en-CA"/>
        </w:rPr>
        <w:t xml:space="preserve"> arguments on the other aspects of the proportionality test. However, in the interests of complete treatment of the questions submitted, I </w:t>
      </w:r>
      <w:r w:rsidR="008134D9" w:rsidRPr="00076CA5">
        <w:rPr>
          <w:lang w:val="en-CA"/>
        </w:rPr>
        <w:t xml:space="preserve">am of </w:t>
      </w:r>
      <w:r w:rsidRPr="00076CA5">
        <w:rPr>
          <w:lang w:val="en-CA"/>
        </w:rPr>
        <w:t xml:space="preserve">the opinion that the judge </w:t>
      </w:r>
      <w:r w:rsidR="00767AF1">
        <w:rPr>
          <w:lang w:val="en-CA"/>
        </w:rPr>
        <w:t>made</w:t>
      </w:r>
      <w:r w:rsidRPr="00076CA5">
        <w:rPr>
          <w:lang w:val="en-CA"/>
        </w:rPr>
        <w:t xml:space="preserve"> a </w:t>
      </w:r>
      <w:r w:rsidR="00767AF1">
        <w:rPr>
          <w:lang w:val="en-CA"/>
        </w:rPr>
        <w:t>palpable</w:t>
      </w:r>
      <w:r w:rsidRPr="00076CA5">
        <w:rPr>
          <w:lang w:val="en-CA"/>
        </w:rPr>
        <w:t xml:space="preserve"> and </w:t>
      </w:r>
      <w:r w:rsidR="00767AF1">
        <w:rPr>
          <w:lang w:val="en-CA"/>
        </w:rPr>
        <w:t>overriding</w:t>
      </w:r>
      <w:r w:rsidRPr="00076CA5">
        <w:rPr>
          <w:lang w:val="en-CA"/>
        </w:rPr>
        <w:t xml:space="preserve"> error in the application of this criterion. </w:t>
      </w:r>
    </w:p>
    <w:p w14:paraId="32B226C5" w14:textId="79738B71" w:rsidR="0009191A" w:rsidRPr="00076CA5" w:rsidRDefault="004351B0" w:rsidP="006D4B37">
      <w:pPr>
        <w:pStyle w:val="aParagraphe"/>
        <w:numPr>
          <w:ilvl w:val="0"/>
          <w:numId w:val="18"/>
        </w:numPr>
        <w:spacing w:line="280" w:lineRule="exact"/>
        <w:rPr>
          <w:lang w:val="en-CA"/>
        </w:rPr>
      </w:pPr>
      <w:r w:rsidRPr="00076CA5">
        <w:rPr>
          <w:lang w:val="en-CA"/>
        </w:rPr>
        <w:t xml:space="preserve">The </w:t>
      </w:r>
      <w:r w:rsidR="008134D9" w:rsidRPr="00076CA5">
        <w:rPr>
          <w:lang w:val="en-CA"/>
        </w:rPr>
        <w:t>deleterious</w:t>
      </w:r>
      <w:r w:rsidRPr="00076CA5">
        <w:rPr>
          <w:lang w:val="en-CA"/>
        </w:rPr>
        <w:t xml:space="preserve"> effects measured in </w:t>
      </w:r>
      <w:r w:rsidR="00767AF1">
        <w:rPr>
          <w:lang w:val="en-CA"/>
        </w:rPr>
        <w:t>light</w:t>
      </w:r>
      <w:r w:rsidRPr="00076CA5">
        <w:rPr>
          <w:lang w:val="en-CA"/>
        </w:rPr>
        <w:t xml:space="preserve"> of the values enshrined in the </w:t>
      </w:r>
      <w:r w:rsidRPr="00076CA5">
        <w:rPr>
          <w:i/>
          <w:iCs/>
          <w:lang w:val="en-CA"/>
        </w:rPr>
        <w:t>Charter</w:t>
      </w:r>
      <w:r w:rsidRPr="00076CA5">
        <w:rPr>
          <w:lang w:val="en-CA"/>
        </w:rPr>
        <w:t xml:space="preserve"> and </w:t>
      </w:r>
      <w:r w:rsidR="00F4270D">
        <w:rPr>
          <w:lang w:val="en-CA"/>
        </w:rPr>
        <w:t>arising</w:t>
      </w:r>
      <w:r w:rsidRPr="00076CA5">
        <w:rPr>
          <w:lang w:val="en-CA"/>
        </w:rPr>
        <w:t xml:space="preserve"> from the </w:t>
      </w:r>
      <w:r w:rsidR="002B54C0" w:rsidRPr="002B54C0">
        <w:rPr>
          <w:i/>
          <w:iCs/>
          <w:lang w:val="en-CA"/>
        </w:rPr>
        <w:t>ATI</w:t>
      </w:r>
      <w:r w:rsidRPr="00076CA5">
        <w:rPr>
          <w:lang w:val="en-CA"/>
        </w:rPr>
        <w:t xml:space="preserve"> exceed the benefits proposed by this legislation.</w:t>
      </w:r>
    </w:p>
    <w:p w14:paraId="50D08183" w14:textId="52CD64AC" w:rsidR="006D4B37" w:rsidRPr="00076CA5" w:rsidRDefault="004351B0" w:rsidP="006D4B37">
      <w:pPr>
        <w:pStyle w:val="aParagraphe"/>
        <w:numPr>
          <w:ilvl w:val="0"/>
          <w:numId w:val="18"/>
        </w:numPr>
        <w:spacing w:line="280" w:lineRule="exact"/>
        <w:rPr>
          <w:lang w:val="en-CA"/>
        </w:rPr>
      </w:pPr>
      <w:r w:rsidRPr="00076CA5">
        <w:rPr>
          <w:lang w:val="en-CA"/>
        </w:rPr>
        <w:t xml:space="preserve">The </w:t>
      </w:r>
      <w:r w:rsidR="00767AF1">
        <w:rPr>
          <w:lang w:val="en-CA"/>
        </w:rPr>
        <w:t>infringement</w:t>
      </w:r>
      <w:r w:rsidRPr="00076CA5">
        <w:rPr>
          <w:lang w:val="en-CA"/>
        </w:rPr>
        <w:t xml:space="preserve"> of the right to effective representation guaranteed by </w:t>
      </w:r>
      <w:r w:rsidR="008134D9" w:rsidRPr="00076CA5">
        <w:rPr>
          <w:lang w:val="en-CA"/>
        </w:rPr>
        <w:t>s</w:t>
      </w:r>
      <w:r w:rsidRPr="00076CA5">
        <w:rPr>
          <w:lang w:val="en-CA"/>
        </w:rPr>
        <w:t xml:space="preserve">ection 3 of the </w:t>
      </w:r>
      <w:r w:rsidRPr="00076CA5">
        <w:rPr>
          <w:i/>
          <w:iCs/>
          <w:lang w:val="en-CA"/>
        </w:rPr>
        <w:t>Charter</w:t>
      </w:r>
      <w:r w:rsidRPr="00076CA5">
        <w:rPr>
          <w:lang w:val="en-CA"/>
        </w:rPr>
        <w:t xml:space="preserve"> is serious because not only </w:t>
      </w:r>
      <w:r w:rsidR="00D75FA9">
        <w:rPr>
          <w:lang w:val="en-CA"/>
        </w:rPr>
        <w:t>do</w:t>
      </w:r>
      <w:r w:rsidRPr="00076CA5">
        <w:rPr>
          <w:lang w:val="en-CA"/>
        </w:rPr>
        <w:t xml:space="preserve"> the communities of Estrie–Centre-du-Québec and Laurentides-Lanaudière see their votes considerably diluted to the advantage of </w:t>
      </w:r>
      <w:r w:rsidRPr="00076CA5">
        <w:rPr>
          <w:lang w:val="en-CA"/>
        </w:rPr>
        <w:lastRenderedPageBreak/>
        <w:t>other electoral divisions</w:t>
      </w:r>
      <w:r w:rsidR="008134D9" w:rsidRPr="00076CA5">
        <w:rPr>
          <w:lang w:val="en-CA"/>
        </w:rPr>
        <w:t>,</w:t>
      </w:r>
      <w:r w:rsidRPr="00076CA5">
        <w:rPr>
          <w:rStyle w:val="Appelnotedebasdep"/>
          <w:lang w:val="en-CA"/>
        </w:rPr>
        <w:footnoteReference w:id="106"/>
      </w:r>
      <w:r w:rsidRPr="00076CA5">
        <w:rPr>
          <w:lang w:val="en-CA"/>
        </w:rPr>
        <w:t xml:space="preserve"> as the judge note</w:t>
      </w:r>
      <w:r w:rsidR="008134D9" w:rsidRPr="00076CA5">
        <w:rPr>
          <w:lang w:val="en-CA"/>
        </w:rPr>
        <w:t>d,</w:t>
      </w:r>
      <w:r w:rsidRPr="00076CA5">
        <w:rPr>
          <w:rStyle w:val="Appelnotedebasdep"/>
          <w:lang w:val="en-CA"/>
        </w:rPr>
        <w:footnoteReference w:id="107"/>
      </w:r>
      <w:r w:rsidRPr="00076CA5">
        <w:rPr>
          <w:lang w:val="en-CA"/>
        </w:rPr>
        <w:t xml:space="preserve"> but </w:t>
      </w:r>
      <w:r w:rsidR="008134D9" w:rsidRPr="00076CA5">
        <w:rPr>
          <w:lang w:val="en-CA"/>
        </w:rPr>
        <w:t xml:space="preserve">maintaining </w:t>
      </w:r>
      <w:r w:rsidRPr="00076CA5">
        <w:rPr>
          <w:lang w:val="en-CA"/>
        </w:rPr>
        <w:t xml:space="preserve">this dilution is the result of an effort to circumvent the independent process provided for in the </w:t>
      </w:r>
      <w:r w:rsidRPr="00076CA5">
        <w:rPr>
          <w:i/>
          <w:iCs/>
          <w:lang w:val="en-CA"/>
        </w:rPr>
        <w:t>Election Act</w:t>
      </w:r>
      <w:r w:rsidRPr="00076CA5">
        <w:rPr>
          <w:lang w:val="en-CA"/>
        </w:rPr>
        <w:t xml:space="preserve"> and considered essential to guaranteeing this right.</w:t>
      </w:r>
      <w:r w:rsidRPr="00076CA5">
        <w:rPr>
          <w:rStyle w:val="Appelnotedebasdep"/>
          <w:lang w:val="en-CA"/>
        </w:rPr>
        <w:footnoteReference w:id="108"/>
      </w:r>
      <w:r w:rsidRPr="00076CA5">
        <w:rPr>
          <w:lang w:val="en-CA"/>
        </w:rPr>
        <w:t xml:space="preserve"> It is important to note that, as a result of the </w:t>
      </w:r>
      <w:r w:rsidR="002B54C0" w:rsidRPr="002B54C0">
        <w:rPr>
          <w:i/>
          <w:iCs/>
          <w:lang w:val="en-CA"/>
        </w:rPr>
        <w:t>ATI</w:t>
      </w:r>
      <w:r w:rsidRPr="00076CA5">
        <w:rPr>
          <w:lang w:val="en-CA"/>
        </w:rPr>
        <w:t xml:space="preserve">, the many other proposed changes to the electoral map, to which no objections were raised, </w:t>
      </w:r>
      <w:r w:rsidR="008134D9" w:rsidRPr="00076CA5">
        <w:rPr>
          <w:lang w:val="en-CA"/>
        </w:rPr>
        <w:t>were</w:t>
      </w:r>
      <w:r w:rsidRPr="00076CA5">
        <w:rPr>
          <w:lang w:val="en-CA"/>
        </w:rPr>
        <w:t xml:space="preserve"> also suspended. Thus, the beneficial effects of the </w:t>
      </w:r>
      <w:r w:rsidR="002B54C0" w:rsidRPr="002B54C0">
        <w:rPr>
          <w:i/>
          <w:iCs/>
          <w:lang w:val="en-CA"/>
        </w:rPr>
        <w:t>ATI</w:t>
      </w:r>
      <w:r w:rsidRPr="00076CA5">
        <w:rPr>
          <w:lang w:val="en-CA"/>
        </w:rPr>
        <w:t xml:space="preserve"> </w:t>
      </w:r>
      <w:r w:rsidR="008134D9" w:rsidRPr="00076CA5">
        <w:rPr>
          <w:lang w:val="en-CA"/>
        </w:rPr>
        <w:t>apply</w:t>
      </w:r>
      <w:r w:rsidRPr="00076CA5">
        <w:rPr>
          <w:lang w:val="en-CA"/>
        </w:rPr>
        <w:t xml:space="preserve"> </w:t>
      </w:r>
      <w:r w:rsidR="00767AF1">
        <w:rPr>
          <w:lang w:val="en-CA"/>
        </w:rPr>
        <w:t xml:space="preserve">to </w:t>
      </w:r>
      <w:r w:rsidRPr="00076CA5">
        <w:rPr>
          <w:lang w:val="en-CA"/>
        </w:rPr>
        <w:t xml:space="preserve">only 65,000 </w:t>
      </w:r>
      <w:r w:rsidR="008134D9" w:rsidRPr="00076CA5">
        <w:rPr>
          <w:lang w:val="en-CA"/>
        </w:rPr>
        <w:t>electors</w:t>
      </w:r>
      <w:r w:rsidRPr="00076CA5">
        <w:rPr>
          <w:lang w:val="en-CA"/>
        </w:rPr>
        <w:t xml:space="preserve"> in two electoral divisions, at the cost of diluting the vote of nearly half a million </w:t>
      </w:r>
      <w:r w:rsidR="008134D9" w:rsidRPr="00076CA5">
        <w:rPr>
          <w:lang w:val="en-CA"/>
        </w:rPr>
        <w:t>electors.</w:t>
      </w:r>
      <w:r w:rsidRPr="00076CA5">
        <w:rPr>
          <w:rStyle w:val="Appelnotedebasdep"/>
          <w:lang w:val="en-CA"/>
        </w:rPr>
        <w:footnoteReference w:id="109"/>
      </w:r>
      <w:r w:rsidRPr="00076CA5">
        <w:rPr>
          <w:lang w:val="en-CA"/>
        </w:rPr>
        <w:t xml:space="preserve"> </w:t>
      </w:r>
    </w:p>
    <w:p w14:paraId="6A056756" w14:textId="7068D5FC" w:rsidR="006D4B37" w:rsidRPr="00076CA5" w:rsidRDefault="004351B0" w:rsidP="006D4B37">
      <w:pPr>
        <w:pStyle w:val="aParagraphe"/>
        <w:numPr>
          <w:ilvl w:val="0"/>
          <w:numId w:val="18"/>
        </w:numPr>
        <w:spacing w:line="280" w:lineRule="exact"/>
        <w:rPr>
          <w:lang w:val="en-CA"/>
        </w:rPr>
      </w:pPr>
      <w:r w:rsidRPr="00076CA5">
        <w:rPr>
          <w:lang w:val="en-CA"/>
        </w:rPr>
        <w:t xml:space="preserve">I am aware of the particular challenge faced by </w:t>
      </w:r>
      <w:r w:rsidR="008134D9" w:rsidRPr="00076CA5">
        <w:rPr>
          <w:lang w:val="en-CA"/>
        </w:rPr>
        <w:t xml:space="preserve">elected </w:t>
      </w:r>
      <w:r w:rsidR="00347960">
        <w:rPr>
          <w:lang w:val="en-CA"/>
        </w:rPr>
        <w:t>representatives</w:t>
      </w:r>
      <w:r w:rsidRPr="00076CA5">
        <w:rPr>
          <w:lang w:val="en-CA"/>
        </w:rPr>
        <w:t xml:space="preserve"> from electoral divisions</w:t>
      </w:r>
      <w:r w:rsidR="00D75FA9" w:rsidRPr="00D75FA9">
        <w:rPr>
          <w:lang w:val="en-CA"/>
        </w:rPr>
        <w:t xml:space="preserve"> </w:t>
      </w:r>
      <w:r w:rsidR="00D75FA9">
        <w:rPr>
          <w:lang w:val="en-CA"/>
        </w:rPr>
        <w:t xml:space="preserve">in </w:t>
      </w:r>
      <w:r w:rsidR="00D75FA9" w:rsidRPr="00076CA5">
        <w:rPr>
          <w:lang w:val="en-CA"/>
        </w:rPr>
        <w:t>re</w:t>
      </w:r>
      <w:r w:rsidR="00D75FA9">
        <w:rPr>
          <w:lang w:val="en-CA"/>
        </w:rPr>
        <w:t>mote regions</w:t>
      </w:r>
      <w:r w:rsidRPr="00076CA5">
        <w:rPr>
          <w:lang w:val="en-CA"/>
        </w:rPr>
        <w:t>, as noted by the Supre</w:t>
      </w:r>
      <w:r w:rsidR="008134D9" w:rsidRPr="00076CA5">
        <w:rPr>
          <w:lang w:val="en-CA"/>
        </w:rPr>
        <w:t>me</w:t>
      </w:r>
      <w:r w:rsidR="00387F6B" w:rsidRPr="00076CA5">
        <w:rPr>
          <w:lang w:val="en-CA"/>
        </w:rPr>
        <w:t xml:space="preserve"> </w:t>
      </w:r>
      <w:r w:rsidRPr="00076CA5">
        <w:rPr>
          <w:lang w:val="en-CA"/>
        </w:rPr>
        <w:t>Court</w:t>
      </w:r>
      <w:r w:rsidR="008134D9" w:rsidRPr="00076CA5">
        <w:rPr>
          <w:lang w:val="en-CA"/>
        </w:rPr>
        <w:t>.</w:t>
      </w:r>
      <w:r w:rsidRPr="00076CA5">
        <w:rPr>
          <w:rStyle w:val="Appelnotedebasdep"/>
          <w:lang w:val="en-CA"/>
        </w:rPr>
        <w:footnoteReference w:id="110"/>
      </w:r>
      <w:r w:rsidRPr="00076CA5">
        <w:rPr>
          <w:lang w:val="en-CA"/>
        </w:rPr>
        <w:t xml:space="preserve"> However, the </w:t>
      </w:r>
      <w:r w:rsidR="007B59A3" w:rsidRPr="002472ED">
        <w:rPr>
          <w:lang w:val="en-CA"/>
        </w:rPr>
        <w:t>exceptional positive deviation</w:t>
      </w:r>
      <w:r w:rsidRPr="00076CA5">
        <w:rPr>
          <w:lang w:val="en-CA"/>
        </w:rPr>
        <w:t xml:space="preserve"> electoral divisions </w:t>
      </w:r>
      <w:r w:rsidR="008134D9" w:rsidRPr="00076CA5">
        <w:rPr>
          <w:lang w:val="en-CA"/>
        </w:rPr>
        <w:t>that</w:t>
      </w:r>
      <w:r w:rsidRPr="00076CA5">
        <w:rPr>
          <w:lang w:val="en-CA"/>
        </w:rPr>
        <w:t xml:space="preserve"> remain</w:t>
      </w:r>
      <w:r w:rsidR="008134D9" w:rsidRPr="00076CA5">
        <w:rPr>
          <w:lang w:val="en-CA"/>
        </w:rPr>
        <w:t>ed</w:t>
      </w:r>
      <w:r w:rsidRPr="00076CA5">
        <w:rPr>
          <w:lang w:val="en-CA"/>
        </w:rPr>
        <w:t xml:space="preserve"> unchanged (Brome-Missisquoi, Richmond, Gatineau, Papineau</w:t>
      </w:r>
      <w:r w:rsidR="00347960">
        <w:rPr>
          <w:lang w:val="en-CA"/>
        </w:rPr>
        <w:t>,</w:t>
      </w:r>
      <w:r w:rsidRPr="00076CA5">
        <w:rPr>
          <w:lang w:val="en-CA"/>
        </w:rPr>
        <w:t xml:space="preserve"> and Johnson</w:t>
      </w:r>
      <w:r w:rsidRPr="00076CA5">
        <w:rPr>
          <w:rStyle w:val="Appelnotedebasdep"/>
          <w:lang w:val="en-CA"/>
        </w:rPr>
        <w:footnoteReference w:id="111"/>
      </w:r>
      <w:r w:rsidRPr="00076CA5">
        <w:rPr>
          <w:lang w:val="en-CA"/>
        </w:rPr>
        <w:t xml:space="preserve">) following the </w:t>
      </w:r>
      <w:r w:rsidR="008134D9" w:rsidRPr="00076CA5">
        <w:rPr>
          <w:lang w:val="en-CA"/>
        </w:rPr>
        <w:t>enactment</w:t>
      </w:r>
      <w:r w:rsidRPr="00076CA5">
        <w:rPr>
          <w:lang w:val="en-CA"/>
        </w:rPr>
        <w:t xml:space="preserve"> of the </w:t>
      </w:r>
      <w:r w:rsidR="002B54C0" w:rsidRPr="002B54C0">
        <w:rPr>
          <w:i/>
          <w:iCs/>
          <w:lang w:val="en-CA"/>
        </w:rPr>
        <w:t>ATI</w:t>
      </w:r>
      <w:r w:rsidRPr="00076CA5">
        <w:rPr>
          <w:lang w:val="en-CA"/>
        </w:rPr>
        <w:t xml:space="preserve"> are not located in the regions of the </w:t>
      </w:r>
      <w:r w:rsidR="00356DCC">
        <w:rPr>
          <w:lang w:val="en-CA"/>
        </w:rPr>
        <w:t>large</w:t>
      </w:r>
      <w:r w:rsidRPr="00076CA5">
        <w:rPr>
          <w:lang w:val="en-CA"/>
        </w:rPr>
        <w:t xml:space="preserve"> </w:t>
      </w:r>
      <w:r w:rsidR="00356DCC">
        <w:rPr>
          <w:lang w:val="en-CA"/>
        </w:rPr>
        <w:t>metropolitan areas</w:t>
      </w:r>
      <w:r w:rsidRPr="00076CA5">
        <w:rPr>
          <w:lang w:val="en-CA"/>
        </w:rPr>
        <w:t xml:space="preserve"> of Montr</w:t>
      </w:r>
      <w:r w:rsidR="00347960">
        <w:rPr>
          <w:lang w:val="en-CA"/>
        </w:rPr>
        <w:t>e</w:t>
      </w:r>
      <w:r w:rsidRPr="00076CA5">
        <w:rPr>
          <w:lang w:val="en-CA"/>
        </w:rPr>
        <w:t>al or Qu</w:t>
      </w:r>
      <w:r w:rsidR="00762FA5">
        <w:rPr>
          <w:lang w:val="en-CA"/>
        </w:rPr>
        <w:t>e</w:t>
      </w:r>
      <w:r w:rsidRPr="00076CA5">
        <w:rPr>
          <w:lang w:val="en-CA"/>
        </w:rPr>
        <w:t>bec</w:t>
      </w:r>
      <w:r w:rsidR="00762FA5">
        <w:rPr>
          <w:lang w:val="en-CA"/>
        </w:rPr>
        <w:t xml:space="preserve"> City</w:t>
      </w:r>
      <w:r w:rsidRPr="00076CA5">
        <w:rPr>
          <w:lang w:val="en-CA"/>
        </w:rPr>
        <w:t xml:space="preserve">. </w:t>
      </w:r>
    </w:p>
    <w:p w14:paraId="6C5A4BE5" w14:textId="1181B138" w:rsidR="006D4B37" w:rsidRPr="00076CA5" w:rsidRDefault="008134D9" w:rsidP="006D4B37">
      <w:pPr>
        <w:pStyle w:val="aParagraphe"/>
        <w:numPr>
          <w:ilvl w:val="0"/>
          <w:numId w:val="18"/>
        </w:numPr>
        <w:spacing w:line="280" w:lineRule="exact"/>
        <w:rPr>
          <w:lang w:val="en-CA"/>
        </w:rPr>
      </w:pPr>
      <w:r w:rsidRPr="00076CA5">
        <w:rPr>
          <w:lang w:val="en-CA"/>
        </w:rPr>
        <w:t xml:space="preserve">The judge's insistence on the temporary nature (until the next election) of the </w:t>
      </w:r>
      <w:r w:rsidR="002B54C0" w:rsidRPr="002B54C0">
        <w:rPr>
          <w:i/>
          <w:iCs/>
          <w:lang w:val="en-CA"/>
        </w:rPr>
        <w:t>ATI</w:t>
      </w:r>
      <w:r w:rsidRPr="00076CA5">
        <w:rPr>
          <w:lang w:val="en-CA"/>
        </w:rPr>
        <w:t xml:space="preserve"> is also not convincing. If we assume</w:t>
      </w:r>
      <w:r w:rsidR="00387F6B" w:rsidRPr="00076CA5">
        <w:rPr>
          <w:lang w:val="en-CA"/>
        </w:rPr>
        <w:t xml:space="preserve"> </w:t>
      </w:r>
      <w:r w:rsidRPr="00076CA5">
        <w:rPr>
          <w:lang w:val="en-CA"/>
        </w:rPr>
        <w:t xml:space="preserve">that a four-year suspension is a temporary suspension, the changes proposed by the Commission, including the elimination of electoral divisions, </w:t>
      </w:r>
      <w:r w:rsidR="002472ED">
        <w:rPr>
          <w:lang w:val="en-CA"/>
        </w:rPr>
        <w:t xml:space="preserve">are </w:t>
      </w:r>
      <w:r w:rsidRPr="00076CA5">
        <w:rPr>
          <w:lang w:val="en-CA"/>
        </w:rPr>
        <w:t>also temporary in the sense that they can be changed by the legislat</w:t>
      </w:r>
      <w:r w:rsidR="00121A06">
        <w:rPr>
          <w:lang w:val="en-CA"/>
        </w:rPr>
        <w:t>ure</w:t>
      </w:r>
      <w:r w:rsidRPr="00076CA5">
        <w:rPr>
          <w:lang w:val="en-CA"/>
        </w:rPr>
        <w:t xml:space="preserve"> at any time, by adding electoral divisions or protecting Gaspésie by amending the </w:t>
      </w:r>
      <w:r w:rsidRPr="00076CA5">
        <w:rPr>
          <w:i/>
          <w:iCs/>
          <w:lang w:val="en-CA"/>
        </w:rPr>
        <w:t>Election Act</w:t>
      </w:r>
      <w:r w:rsidRPr="00076CA5">
        <w:rPr>
          <w:lang w:val="en-CA"/>
        </w:rPr>
        <w:t>, or possibly by any other measure that is the product of reflection</w:t>
      </w:r>
      <w:r w:rsidR="002472ED">
        <w:rPr>
          <w:lang w:val="en-CA"/>
        </w:rPr>
        <w:t>.</w:t>
      </w:r>
    </w:p>
    <w:p w14:paraId="5F1E817B" w14:textId="0622C713" w:rsidR="006D4B37" w:rsidRPr="00076CA5" w:rsidRDefault="00121A06" w:rsidP="006D4B37">
      <w:pPr>
        <w:pStyle w:val="aParagraphe"/>
        <w:numPr>
          <w:ilvl w:val="0"/>
          <w:numId w:val="18"/>
        </w:numPr>
        <w:spacing w:line="280" w:lineRule="exact"/>
        <w:rPr>
          <w:lang w:val="en-CA"/>
        </w:rPr>
      </w:pPr>
      <w:r>
        <w:rPr>
          <w:lang w:val="en-CA"/>
        </w:rPr>
        <w:t>Moreover</w:t>
      </w:r>
      <w:r w:rsidR="006D5BDA" w:rsidRPr="00076CA5">
        <w:rPr>
          <w:lang w:val="en-CA"/>
        </w:rPr>
        <w:t xml:space="preserve">, the argument associated with the temporary nature of the </w:t>
      </w:r>
      <w:r w:rsidR="002B54C0" w:rsidRPr="002B54C0">
        <w:rPr>
          <w:i/>
          <w:iCs/>
          <w:lang w:val="en-CA"/>
        </w:rPr>
        <w:t>ATI</w:t>
      </w:r>
      <w:r w:rsidR="006D5BDA" w:rsidRPr="00076CA5">
        <w:rPr>
          <w:lang w:val="en-CA"/>
        </w:rPr>
        <w:t xml:space="preserve"> risks trivializing the importance of a periodic review of the electoral map. The </w:t>
      </w:r>
      <w:r w:rsidR="006D5BDA" w:rsidRPr="00076CA5">
        <w:rPr>
          <w:i/>
          <w:iCs/>
          <w:lang w:val="en-CA"/>
        </w:rPr>
        <w:t xml:space="preserve">Election Act </w:t>
      </w:r>
      <w:r w:rsidR="006D5BDA" w:rsidRPr="00076CA5">
        <w:rPr>
          <w:lang w:val="en-CA"/>
        </w:rPr>
        <w:t xml:space="preserve">provides for a review every two elections, </w:t>
      </w:r>
      <w:r>
        <w:rPr>
          <w:lang w:val="en-CA"/>
        </w:rPr>
        <w:t>thus</w:t>
      </w:r>
      <w:r w:rsidR="006D5BDA" w:rsidRPr="00076CA5">
        <w:rPr>
          <w:lang w:val="en-CA"/>
        </w:rPr>
        <w:t xml:space="preserve">, generally every six to eight years, which </w:t>
      </w:r>
      <w:r w:rsidR="006D5BDA" w:rsidRPr="00076CA5">
        <w:rPr>
          <w:lang w:val="en-CA"/>
        </w:rPr>
        <w:lastRenderedPageBreak/>
        <w:t xml:space="preserve">means that rights to effective representation are reviewed on a timely basis. The suspension or delay of this work, even if temporary, should not be seen as </w:t>
      </w:r>
      <w:r>
        <w:rPr>
          <w:lang w:val="en-CA"/>
        </w:rPr>
        <w:t>an insignificant</w:t>
      </w:r>
      <w:r w:rsidR="006D5BDA" w:rsidRPr="00076CA5">
        <w:rPr>
          <w:lang w:val="en-CA"/>
        </w:rPr>
        <w:t xml:space="preserve"> gesture because it has the effect of perpetuating violations of section 3 of the </w:t>
      </w:r>
      <w:r w:rsidR="006D5BDA" w:rsidRPr="00076CA5">
        <w:rPr>
          <w:i/>
          <w:iCs/>
          <w:lang w:val="en-CA"/>
        </w:rPr>
        <w:t xml:space="preserve">Charter </w:t>
      </w:r>
      <w:r w:rsidR="006D5BDA" w:rsidRPr="00076CA5">
        <w:rPr>
          <w:lang w:val="en-CA"/>
        </w:rPr>
        <w:t>beyond the normal review period. In the face of regional population decline, which is not a recent phenomenon, the so-called temporary justification seems more like an excuse or a</w:t>
      </w:r>
      <w:r>
        <w:rPr>
          <w:lang w:val="en-CA"/>
        </w:rPr>
        <w:t xml:space="preserve"> [</w:t>
      </w:r>
      <w:r>
        <w:rPr>
          <w:smallCaps/>
          <w:lang w:val="en-CA"/>
        </w:rPr>
        <w:t>translation</w:t>
      </w:r>
      <w:r>
        <w:rPr>
          <w:lang w:val="en-CA"/>
        </w:rPr>
        <w:t>]</w:t>
      </w:r>
      <w:r w:rsidR="006D5BDA" w:rsidRPr="00076CA5">
        <w:rPr>
          <w:lang w:val="en-CA"/>
        </w:rPr>
        <w:t xml:space="preserve"> “halfway” compromise motivated by a lack of willingness to take any initiative other than maintaining the status quo.</w:t>
      </w:r>
      <w:r w:rsidR="006D5BDA" w:rsidRPr="00076CA5">
        <w:rPr>
          <w:rStyle w:val="Appelnotedebasdep"/>
          <w:lang w:val="en-CA"/>
        </w:rPr>
        <w:footnoteReference w:id="112"/>
      </w:r>
    </w:p>
    <w:p w14:paraId="3DAC4F57" w14:textId="34E7FFBD" w:rsidR="003764F2" w:rsidRPr="00076CA5" w:rsidRDefault="004351B0" w:rsidP="003764F2">
      <w:pPr>
        <w:pStyle w:val="Paragraphe"/>
        <w:rPr>
          <w:lang w:val="en-CA"/>
        </w:rPr>
      </w:pPr>
      <w:r w:rsidRPr="00076CA5">
        <w:rPr>
          <w:lang w:val="en-CA"/>
        </w:rPr>
        <w:t xml:space="preserve">For all these reasons, the </w:t>
      </w:r>
      <w:r w:rsidR="002B54C0" w:rsidRPr="002B54C0">
        <w:rPr>
          <w:i/>
          <w:iCs/>
          <w:lang w:val="en-CA"/>
        </w:rPr>
        <w:t>ATI</w:t>
      </w:r>
      <w:r w:rsidRPr="00076CA5">
        <w:rPr>
          <w:lang w:val="en-CA"/>
        </w:rPr>
        <w:t xml:space="preserve"> must be declared unconstitutional.</w:t>
      </w:r>
    </w:p>
    <w:p w14:paraId="305A3E1A" w14:textId="77777777" w:rsidR="006D4B37" w:rsidRPr="00076CA5" w:rsidRDefault="004351B0" w:rsidP="00CB7813">
      <w:pPr>
        <w:pStyle w:val="aParagraphe"/>
        <w:tabs>
          <w:tab w:val="clear" w:pos="720"/>
        </w:tabs>
        <w:spacing w:line="240" w:lineRule="auto"/>
        <w:jc w:val="center"/>
      </w:pPr>
      <w:r w:rsidRPr="00076CA5">
        <w:rPr>
          <w:lang w:val="en-CA"/>
        </w:rPr>
        <w:t>* * *</w:t>
      </w:r>
    </w:p>
    <w:p w14:paraId="110D2CF0" w14:textId="73F333AD" w:rsidR="006D4B37" w:rsidRPr="00076CA5" w:rsidRDefault="004351B0" w:rsidP="00CB7813">
      <w:pPr>
        <w:pStyle w:val="aParagraphe"/>
        <w:numPr>
          <w:ilvl w:val="0"/>
          <w:numId w:val="18"/>
        </w:numPr>
        <w:spacing w:line="240" w:lineRule="auto"/>
        <w:rPr>
          <w:lang w:val="en-CA"/>
        </w:rPr>
      </w:pPr>
      <w:r w:rsidRPr="00076CA5">
        <w:rPr>
          <w:lang w:val="en-CA"/>
        </w:rPr>
        <w:t xml:space="preserve">In their </w:t>
      </w:r>
      <w:r w:rsidR="00922FC1">
        <w:rPr>
          <w:lang w:val="en-CA"/>
        </w:rPr>
        <w:t>brief</w:t>
      </w:r>
      <w:r w:rsidRPr="00076CA5">
        <w:rPr>
          <w:lang w:val="en-CA"/>
        </w:rPr>
        <w:t xml:space="preserve">, the appellants ask </w:t>
      </w:r>
      <w:r w:rsidR="00922FC1">
        <w:rPr>
          <w:lang w:val="en-CA"/>
        </w:rPr>
        <w:t>the Court to</w:t>
      </w:r>
      <w:r w:rsidRPr="00076CA5">
        <w:rPr>
          <w:lang w:val="en-CA"/>
        </w:rPr>
        <w:t xml:space="preserve"> declar</w:t>
      </w:r>
      <w:r w:rsidR="00922FC1">
        <w:rPr>
          <w:lang w:val="en-CA"/>
        </w:rPr>
        <w:t>e</w:t>
      </w:r>
      <w:r w:rsidRPr="00076CA5">
        <w:rPr>
          <w:lang w:val="en-CA"/>
        </w:rPr>
        <w:t xml:space="preserve"> </w:t>
      </w:r>
      <w:r w:rsidR="006D5BDA" w:rsidRPr="00076CA5">
        <w:rPr>
          <w:lang w:val="en-CA"/>
        </w:rPr>
        <w:t>at the outset</w:t>
      </w:r>
      <w:r w:rsidRPr="00076CA5">
        <w:rPr>
          <w:lang w:val="en-CA"/>
        </w:rPr>
        <w:t xml:space="preserve"> that a Court ruling in favo</w:t>
      </w:r>
      <w:r w:rsidR="00922FC1">
        <w:rPr>
          <w:lang w:val="en-CA"/>
        </w:rPr>
        <w:t>u</w:t>
      </w:r>
      <w:r w:rsidRPr="00076CA5">
        <w:rPr>
          <w:lang w:val="en-CA"/>
        </w:rPr>
        <w:t xml:space="preserve">r of the appellants is enforceable notwithstanding appeal, to avoid ambiguity on the issue and to allow the Commission to table its report </w:t>
      </w:r>
      <w:r w:rsidR="00460AD1">
        <w:rPr>
          <w:lang w:val="en-CA"/>
        </w:rPr>
        <w:t>in</w:t>
      </w:r>
      <w:r w:rsidRPr="00076CA5">
        <w:rPr>
          <w:lang w:val="en-CA"/>
        </w:rPr>
        <w:t xml:space="preserve"> the National Assembly and set the electoral redistribution process in motion while there is still time.</w:t>
      </w:r>
    </w:p>
    <w:p w14:paraId="41819D39" w14:textId="1BFDF448" w:rsidR="006D4B37" w:rsidRPr="00076CA5" w:rsidRDefault="004351B0" w:rsidP="00CB7813">
      <w:pPr>
        <w:pStyle w:val="aParagraphe"/>
        <w:numPr>
          <w:ilvl w:val="0"/>
          <w:numId w:val="18"/>
        </w:numPr>
        <w:spacing w:after="100" w:line="240" w:lineRule="auto"/>
        <w:rPr>
          <w:lang w:val="en-CA"/>
        </w:rPr>
      </w:pPr>
      <w:r w:rsidRPr="00076CA5">
        <w:rPr>
          <w:lang w:val="en-CA"/>
        </w:rPr>
        <w:t xml:space="preserve">Such a request is unnecessary given that, </w:t>
      </w:r>
      <w:r w:rsidR="006D5BDA" w:rsidRPr="00076CA5">
        <w:rPr>
          <w:lang w:val="en-CA"/>
        </w:rPr>
        <w:t xml:space="preserve">pursuant to article </w:t>
      </w:r>
      <w:r w:rsidRPr="00076CA5">
        <w:rPr>
          <w:lang w:val="en-CA"/>
        </w:rPr>
        <w:t xml:space="preserve">390 </w:t>
      </w:r>
      <w:r w:rsidRPr="00AF7DCE">
        <w:rPr>
          <w:i/>
          <w:iCs/>
          <w:lang w:val="en-CA"/>
        </w:rPr>
        <w:t>C</w:t>
      </w:r>
      <w:r w:rsidR="006D5BDA" w:rsidRPr="00AF7DCE">
        <w:rPr>
          <w:i/>
          <w:iCs/>
          <w:lang w:val="en-CA"/>
        </w:rPr>
        <w:t>.</w:t>
      </w:r>
      <w:r w:rsidRPr="00AF7DCE">
        <w:rPr>
          <w:i/>
          <w:iCs/>
          <w:lang w:val="en-CA"/>
        </w:rPr>
        <w:t>C</w:t>
      </w:r>
      <w:r w:rsidR="006D5BDA" w:rsidRPr="00AF7DCE">
        <w:rPr>
          <w:i/>
          <w:iCs/>
          <w:lang w:val="en-CA"/>
        </w:rPr>
        <w:t>.</w:t>
      </w:r>
      <w:r w:rsidRPr="00AF7DCE">
        <w:rPr>
          <w:i/>
          <w:iCs/>
          <w:lang w:val="en-CA"/>
        </w:rPr>
        <w:t>P</w:t>
      </w:r>
      <w:r w:rsidR="006D5BDA" w:rsidRPr="00AF7DCE">
        <w:rPr>
          <w:i/>
          <w:iCs/>
          <w:lang w:val="en-CA"/>
        </w:rPr>
        <w:t>.</w:t>
      </w:r>
      <w:r w:rsidRPr="00076CA5">
        <w:rPr>
          <w:lang w:val="en-CA"/>
        </w:rPr>
        <w:t>, the Court</w:t>
      </w:r>
      <w:r w:rsidR="00460AD1">
        <w:rPr>
          <w:lang w:val="en-CA"/>
        </w:rPr>
        <w:t>’</w:t>
      </w:r>
      <w:r w:rsidRPr="00076CA5">
        <w:rPr>
          <w:lang w:val="en-CA"/>
        </w:rPr>
        <w:t xml:space="preserve">s </w:t>
      </w:r>
      <w:r w:rsidR="006D5BDA" w:rsidRPr="00076CA5">
        <w:rPr>
          <w:lang w:val="en-CA"/>
        </w:rPr>
        <w:t>decisions</w:t>
      </w:r>
      <w:r w:rsidRPr="00076CA5">
        <w:rPr>
          <w:lang w:val="en-CA"/>
        </w:rPr>
        <w:t xml:space="preserve"> are enforceable</w:t>
      </w:r>
      <w:r w:rsidR="00460AD1" w:rsidRPr="00460AD1">
        <w:rPr>
          <w:lang w:val="en-CA"/>
        </w:rPr>
        <w:t xml:space="preserve"> </w:t>
      </w:r>
      <w:r w:rsidR="00460AD1" w:rsidRPr="00076CA5">
        <w:rPr>
          <w:lang w:val="en-CA"/>
        </w:rPr>
        <w:t>immediately</w:t>
      </w:r>
      <w:r w:rsidRPr="00076CA5">
        <w:rPr>
          <w:lang w:val="en-CA"/>
        </w:rPr>
        <w:t xml:space="preserve">. </w:t>
      </w:r>
      <w:r w:rsidR="006D5BDA" w:rsidRPr="00076CA5">
        <w:rPr>
          <w:lang w:val="en-CA"/>
        </w:rPr>
        <w:t xml:space="preserve">Counsel for the </w:t>
      </w:r>
      <w:r w:rsidRPr="00076CA5">
        <w:rPr>
          <w:lang w:val="en-CA"/>
        </w:rPr>
        <w:t xml:space="preserve">appellants </w:t>
      </w:r>
      <w:r w:rsidR="006D5BDA" w:rsidRPr="00076CA5">
        <w:rPr>
          <w:lang w:val="en-CA"/>
        </w:rPr>
        <w:t xml:space="preserve">acknowledged </w:t>
      </w:r>
      <w:r w:rsidR="00460AD1">
        <w:rPr>
          <w:lang w:val="en-CA"/>
        </w:rPr>
        <w:t>this</w:t>
      </w:r>
      <w:r w:rsidRPr="00076CA5">
        <w:rPr>
          <w:lang w:val="en-CA"/>
        </w:rPr>
        <w:t xml:space="preserve"> at the hearing.</w:t>
      </w:r>
    </w:p>
    <w:p w14:paraId="247969BA" w14:textId="38BE828A" w:rsidR="006D4B37" w:rsidRPr="00076CA5" w:rsidRDefault="00460AD1" w:rsidP="00CB7813">
      <w:pPr>
        <w:pStyle w:val="aParagraphe"/>
        <w:numPr>
          <w:ilvl w:val="0"/>
          <w:numId w:val="18"/>
        </w:numPr>
        <w:spacing w:after="100" w:line="240" w:lineRule="auto"/>
        <w:rPr>
          <w:lang w:val="en-CA"/>
        </w:rPr>
      </w:pPr>
      <w:r>
        <w:rPr>
          <w:lang w:val="en-CA"/>
        </w:rPr>
        <w:t>T</w:t>
      </w:r>
      <w:r w:rsidR="004351B0" w:rsidRPr="00076CA5">
        <w:rPr>
          <w:lang w:val="en-CA"/>
        </w:rPr>
        <w:t xml:space="preserve">he respondent </w:t>
      </w:r>
      <w:r>
        <w:rPr>
          <w:lang w:val="en-CA"/>
        </w:rPr>
        <w:t>asks</w:t>
      </w:r>
      <w:r w:rsidR="004351B0" w:rsidRPr="00076CA5">
        <w:rPr>
          <w:lang w:val="en-CA"/>
        </w:rPr>
        <w:t xml:space="preserve"> the Court </w:t>
      </w:r>
      <w:r>
        <w:rPr>
          <w:lang w:val="en-CA"/>
        </w:rPr>
        <w:t xml:space="preserve">to stay its </w:t>
      </w:r>
      <w:r w:rsidR="004351B0" w:rsidRPr="00076CA5">
        <w:rPr>
          <w:lang w:val="en-CA"/>
        </w:rPr>
        <w:t xml:space="preserve">declaration of unconstitutionality for six months. The Court may </w:t>
      </w:r>
      <w:r w:rsidR="00F97B0C" w:rsidRPr="00076CA5">
        <w:rPr>
          <w:lang w:val="en-CA"/>
        </w:rPr>
        <w:t>stay</w:t>
      </w:r>
      <w:r w:rsidR="004351B0" w:rsidRPr="00076CA5">
        <w:rPr>
          <w:lang w:val="en-CA"/>
        </w:rPr>
        <w:t xml:space="preserve"> </w:t>
      </w:r>
      <w:r>
        <w:rPr>
          <w:lang w:val="en-CA"/>
        </w:rPr>
        <w:t xml:space="preserve">the </w:t>
      </w:r>
      <w:r w:rsidR="004351B0" w:rsidRPr="00076CA5">
        <w:rPr>
          <w:lang w:val="en-CA"/>
        </w:rPr>
        <w:t xml:space="preserve">execution of </w:t>
      </w:r>
      <w:r w:rsidR="00F97B0C" w:rsidRPr="00076CA5">
        <w:rPr>
          <w:lang w:val="en-CA"/>
        </w:rPr>
        <w:t>its</w:t>
      </w:r>
      <w:r w:rsidR="004351B0" w:rsidRPr="00076CA5">
        <w:rPr>
          <w:lang w:val="en-CA"/>
        </w:rPr>
        <w:t xml:space="preserve"> </w:t>
      </w:r>
      <w:r w:rsidR="00F97B0C" w:rsidRPr="00076CA5">
        <w:rPr>
          <w:lang w:val="en-CA"/>
        </w:rPr>
        <w:t>decision</w:t>
      </w:r>
      <w:r w:rsidR="004351B0" w:rsidRPr="00076CA5">
        <w:rPr>
          <w:lang w:val="en-CA"/>
        </w:rPr>
        <w:t xml:space="preserve"> if the </w:t>
      </w:r>
      <w:r>
        <w:rPr>
          <w:lang w:val="en-CA"/>
        </w:rPr>
        <w:t>applicant</w:t>
      </w:r>
      <w:r w:rsidR="004351B0" w:rsidRPr="00076CA5">
        <w:rPr>
          <w:lang w:val="en-CA"/>
        </w:rPr>
        <w:t xml:space="preserve"> demonstrates that the following three criteria are met: </w:t>
      </w:r>
    </w:p>
    <w:p w14:paraId="60D9CC20" w14:textId="7FA2BAB3" w:rsidR="006D4B37" w:rsidRPr="00076CA5" w:rsidRDefault="004351B0" w:rsidP="00CB7813">
      <w:pPr>
        <w:spacing w:before="120" w:after="100" w:line="240" w:lineRule="auto"/>
        <w:ind w:left="720" w:right="720"/>
        <w:jc w:val="both"/>
        <w:rPr>
          <w:kern w:val="24"/>
          <w:szCs w:val="24"/>
          <w:lang w:val="en-CA"/>
        </w:rPr>
      </w:pPr>
      <w:r w:rsidRPr="00076CA5">
        <w:rPr>
          <w:kern w:val="24"/>
          <w:szCs w:val="24"/>
          <w:lang w:val="en-CA"/>
        </w:rPr>
        <w:t>1.</w:t>
      </w:r>
      <w:r w:rsidRPr="00076CA5">
        <w:rPr>
          <w:rFonts w:ascii="Times New Roman" w:hAnsi="Times New Roman"/>
          <w:kern w:val="24"/>
          <w:szCs w:val="24"/>
          <w:lang w:val="en-CA"/>
        </w:rPr>
        <w:t xml:space="preserve"> </w:t>
      </w:r>
      <w:r w:rsidR="00460AD1">
        <w:rPr>
          <w:kern w:val="24"/>
          <w:szCs w:val="24"/>
          <w:lang w:val="en-CA"/>
        </w:rPr>
        <w:t>t</w:t>
      </w:r>
      <w:r w:rsidR="00F97B0C" w:rsidRPr="00076CA5">
        <w:rPr>
          <w:kern w:val="24"/>
          <w:szCs w:val="24"/>
          <w:lang w:val="en-CA"/>
        </w:rPr>
        <w:t>h</w:t>
      </w:r>
      <w:r w:rsidRPr="00076CA5">
        <w:rPr>
          <w:kern w:val="24"/>
          <w:szCs w:val="24"/>
          <w:lang w:val="en-CA"/>
        </w:rPr>
        <w:t xml:space="preserve">e proposed appeal raises a serious </w:t>
      </w:r>
      <w:r w:rsidR="00F97B0C" w:rsidRPr="00076CA5">
        <w:rPr>
          <w:kern w:val="24"/>
          <w:szCs w:val="24"/>
          <w:lang w:val="en-CA"/>
        </w:rPr>
        <w:t>question to be tried</w:t>
      </w:r>
      <w:r w:rsidRPr="00076CA5">
        <w:rPr>
          <w:kern w:val="24"/>
          <w:szCs w:val="24"/>
          <w:lang w:val="en-CA"/>
        </w:rPr>
        <w:t>;</w:t>
      </w:r>
    </w:p>
    <w:p w14:paraId="1E78D360" w14:textId="02EC8F10" w:rsidR="006D4B37" w:rsidRPr="00076CA5" w:rsidRDefault="004351B0" w:rsidP="00CB7813">
      <w:pPr>
        <w:spacing w:before="120" w:after="100" w:line="240" w:lineRule="auto"/>
        <w:ind w:left="720" w:right="720"/>
        <w:jc w:val="both"/>
        <w:rPr>
          <w:kern w:val="24"/>
          <w:szCs w:val="24"/>
          <w:lang w:val="en-CA"/>
        </w:rPr>
      </w:pPr>
      <w:r w:rsidRPr="00076CA5">
        <w:rPr>
          <w:kern w:val="24"/>
          <w:szCs w:val="24"/>
          <w:lang w:val="en-CA"/>
        </w:rPr>
        <w:t>2.</w:t>
      </w:r>
      <w:r w:rsidRPr="00076CA5">
        <w:rPr>
          <w:rFonts w:ascii="Times New Roman" w:hAnsi="Times New Roman"/>
          <w:kern w:val="24"/>
          <w:szCs w:val="24"/>
          <w:lang w:val="en-CA"/>
        </w:rPr>
        <w:t xml:space="preserve"> </w:t>
      </w:r>
      <w:r w:rsidR="00460AD1">
        <w:rPr>
          <w:kern w:val="24"/>
          <w:szCs w:val="24"/>
          <w:lang w:val="en-CA"/>
        </w:rPr>
        <w:t>the e</w:t>
      </w:r>
      <w:r w:rsidR="00F97B0C" w:rsidRPr="00076CA5">
        <w:rPr>
          <w:kern w:val="24"/>
          <w:szCs w:val="24"/>
          <w:lang w:val="en-CA"/>
        </w:rPr>
        <w:t>x</w:t>
      </w:r>
      <w:r w:rsidRPr="00076CA5">
        <w:rPr>
          <w:kern w:val="24"/>
          <w:szCs w:val="24"/>
          <w:lang w:val="en-CA"/>
        </w:rPr>
        <w:t>ecution of the Court</w:t>
      </w:r>
      <w:r w:rsidR="00460AD1">
        <w:rPr>
          <w:kern w:val="24"/>
          <w:szCs w:val="24"/>
          <w:lang w:val="en-CA"/>
        </w:rPr>
        <w:t>’</w:t>
      </w:r>
      <w:r w:rsidRPr="00076CA5">
        <w:rPr>
          <w:kern w:val="24"/>
          <w:szCs w:val="24"/>
          <w:lang w:val="en-CA"/>
        </w:rPr>
        <w:t xml:space="preserve">s </w:t>
      </w:r>
      <w:r w:rsidR="00F97B0C" w:rsidRPr="00076CA5">
        <w:rPr>
          <w:kern w:val="24"/>
          <w:szCs w:val="24"/>
          <w:lang w:val="en-CA"/>
        </w:rPr>
        <w:t>decision</w:t>
      </w:r>
      <w:r w:rsidRPr="00076CA5">
        <w:rPr>
          <w:kern w:val="24"/>
          <w:szCs w:val="24"/>
          <w:lang w:val="en-CA"/>
        </w:rPr>
        <w:t xml:space="preserve"> is likely to cause serious and irreparable harm, which a favo</w:t>
      </w:r>
      <w:r w:rsidR="00922FC1">
        <w:rPr>
          <w:kern w:val="24"/>
          <w:szCs w:val="24"/>
          <w:lang w:val="en-CA"/>
        </w:rPr>
        <w:t>u</w:t>
      </w:r>
      <w:r w:rsidRPr="00076CA5">
        <w:rPr>
          <w:kern w:val="24"/>
          <w:szCs w:val="24"/>
          <w:lang w:val="en-CA"/>
        </w:rPr>
        <w:t xml:space="preserve">rable </w:t>
      </w:r>
      <w:r w:rsidR="00F97B0C" w:rsidRPr="00076CA5">
        <w:rPr>
          <w:kern w:val="24"/>
          <w:szCs w:val="24"/>
          <w:lang w:val="en-CA"/>
        </w:rPr>
        <w:t xml:space="preserve">decision by </w:t>
      </w:r>
      <w:r w:rsidRPr="00076CA5">
        <w:rPr>
          <w:kern w:val="24"/>
          <w:szCs w:val="24"/>
          <w:lang w:val="en-CA"/>
        </w:rPr>
        <w:t>the Supre</w:t>
      </w:r>
      <w:r w:rsidR="00F97B0C" w:rsidRPr="00076CA5">
        <w:rPr>
          <w:kern w:val="24"/>
          <w:szCs w:val="24"/>
          <w:lang w:val="en-CA"/>
        </w:rPr>
        <w:t>me</w:t>
      </w:r>
      <w:r w:rsidR="00387F6B" w:rsidRPr="00076CA5">
        <w:rPr>
          <w:kern w:val="24"/>
          <w:szCs w:val="24"/>
          <w:lang w:val="en-CA"/>
        </w:rPr>
        <w:t xml:space="preserve"> </w:t>
      </w:r>
      <w:r w:rsidRPr="00076CA5">
        <w:rPr>
          <w:kern w:val="24"/>
          <w:szCs w:val="24"/>
          <w:lang w:val="en-CA"/>
        </w:rPr>
        <w:t xml:space="preserve">Court will not be able to remedy; </w:t>
      </w:r>
    </w:p>
    <w:p w14:paraId="1C51C4FF" w14:textId="5D60FE6E" w:rsidR="006D4B37" w:rsidRPr="00076CA5" w:rsidRDefault="004351B0" w:rsidP="00CB7813">
      <w:pPr>
        <w:spacing w:before="120" w:after="100" w:line="240" w:lineRule="auto"/>
        <w:ind w:left="720" w:right="720"/>
        <w:jc w:val="both"/>
        <w:rPr>
          <w:kern w:val="24"/>
          <w:sz w:val="22"/>
          <w:lang w:val="en-CA"/>
        </w:rPr>
      </w:pPr>
      <w:r w:rsidRPr="00076CA5">
        <w:rPr>
          <w:kern w:val="24"/>
          <w:szCs w:val="24"/>
          <w:lang w:val="en-CA"/>
        </w:rPr>
        <w:t>3.</w:t>
      </w:r>
      <w:r w:rsidRPr="00076CA5">
        <w:rPr>
          <w:rFonts w:ascii="Times New Roman" w:hAnsi="Times New Roman"/>
          <w:kern w:val="24"/>
          <w:szCs w:val="24"/>
          <w:lang w:val="en-CA"/>
        </w:rPr>
        <w:t xml:space="preserve"> </w:t>
      </w:r>
      <w:r w:rsidR="001234C0" w:rsidRPr="00076CA5">
        <w:rPr>
          <w:kern w:val="24"/>
          <w:szCs w:val="24"/>
          <w:lang w:val="en-CA"/>
        </w:rPr>
        <w:t>Th</w:t>
      </w:r>
      <w:r w:rsidRPr="00076CA5">
        <w:rPr>
          <w:kern w:val="24"/>
          <w:szCs w:val="24"/>
          <w:lang w:val="en-CA"/>
        </w:rPr>
        <w:t>e balance of convenience, taking into account the public interest, favours maintaining the status quo until the Supre</w:t>
      </w:r>
      <w:r w:rsidR="00F97B0C" w:rsidRPr="00076CA5">
        <w:rPr>
          <w:kern w:val="24"/>
          <w:szCs w:val="24"/>
          <w:lang w:val="en-CA"/>
        </w:rPr>
        <w:t>me</w:t>
      </w:r>
      <w:r w:rsidR="00387F6B" w:rsidRPr="00076CA5">
        <w:rPr>
          <w:kern w:val="24"/>
          <w:szCs w:val="24"/>
          <w:lang w:val="en-CA"/>
        </w:rPr>
        <w:t xml:space="preserve"> </w:t>
      </w:r>
      <w:r w:rsidRPr="00076CA5">
        <w:rPr>
          <w:kern w:val="24"/>
          <w:szCs w:val="24"/>
          <w:lang w:val="en-CA"/>
        </w:rPr>
        <w:t xml:space="preserve">Court has ruled on the application for </w:t>
      </w:r>
      <w:r w:rsidR="00F97B0C" w:rsidRPr="00076CA5">
        <w:rPr>
          <w:kern w:val="24"/>
          <w:szCs w:val="24"/>
          <w:lang w:val="en-CA"/>
        </w:rPr>
        <w:t>leave to appeal</w:t>
      </w:r>
      <w:r w:rsidRPr="00076CA5">
        <w:rPr>
          <w:kern w:val="24"/>
          <w:szCs w:val="24"/>
          <w:lang w:val="en-CA"/>
        </w:rPr>
        <w:t>.</w:t>
      </w:r>
      <w:r w:rsidRPr="00076CA5">
        <w:rPr>
          <w:kern w:val="24"/>
          <w:sz w:val="22"/>
          <w:vertAlign w:val="superscript"/>
          <w:lang w:val="en-CA"/>
        </w:rPr>
        <w:footnoteReference w:id="113"/>
      </w:r>
    </w:p>
    <w:p w14:paraId="07FF2A2E" w14:textId="0211D4B1" w:rsidR="006D4B37" w:rsidRPr="00076CA5" w:rsidRDefault="004351B0" w:rsidP="00CB7813">
      <w:pPr>
        <w:pStyle w:val="aParagraphe"/>
        <w:numPr>
          <w:ilvl w:val="0"/>
          <w:numId w:val="18"/>
        </w:numPr>
        <w:spacing w:after="100" w:line="240" w:lineRule="auto"/>
        <w:rPr>
          <w:lang w:val="en-CA"/>
        </w:rPr>
      </w:pPr>
      <w:r w:rsidRPr="00076CA5">
        <w:rPr>
          <w:lang w:val="en-CA"/>
        </w:rPr>
        <w:t xml:space="preserve">The last two criteria are not met. The </w:t>
      </w:r>
      <w:r w:rsidR="00F97B0C" w:rsidRPr="00076CA5">
        <w:rPr>
          <w:lang w:val="en-CA"/>
        </w:rPr>
        <w:t>harm</w:t>
      </w:r>
      <w:r w:rsidRPr="00076CA5">
        <w:rPr>
          <w:lang w:val="en-CA"/>
        </w:rPr>
        <w:t xml:space="preserve"> caused to the respondent would not be irreparable </w:t>
      </w:r>
      <w:r w:rsidR="00460AD1">
        <w:rPr>
          <w:lang w:val="en-CA"/>
        </w:rPr>
        <w:t>as</w:t>
      </w:r>
      <w:r w:rsidRPr="00076CA5">
        <w:rPr>
          <w:lang w:val="en-CA"/>
        </w:rPr>
        <w:t xml:space="preserve"> the legislat</w:t>
      </w:r>
      <w:r w:rsidR="00460AD1">
        <w:rPr>
          <w:lang w:val="en-CA"/>
        </w:rPr>
        <w:t>ure</w:t>
      </w:r>
      <w:r w:rsidRPr="00076CA5">
        <w:rPr>
          <w:lang w:val="en-CA"/>
        </w:rPr>
        <w:t xml:space="preserve"> need only provide an exception status for Gaspé</w:t>
      </w:r>
      <w:r w:rsidR="00F97B0C" w:rsidRPr="00076CA5">
        <w:rPr>
          <w:lang w:val="en-CA"/>
        </w:rPr>
        <w:t>sie</w:t>
      </w:r>
      <w:r w:rsidRPr="00076CA5">
        <w:rPr>
          <w:lang w:val="en-CA"/>
        </w:rPr>
        <w:t>. Moreover, the proposed</w:t>
      </w:r>
      <w:r w:rsidR="00460AD1">
        <w:rPr>
          <w:lang w:val="en-CA"/>
        </w:rPr>
        <w:t xml:space="preserve"> [</w:t>
      </w:r>
      <w:r w:rsidR="00460AD1">
        <w:rPr>
          <w:smallCaps/>
          <w:lang w:val="en-CA"/>
        </w:rPr>
        <w:t>translation</w:t>
      </w:r>
      <w:r w:rsidR="00460AD1">
        <w:rPr>
          <w:lang w:val="en-CA"/>
        </w:rPr>
        <w:t>]</w:t>
      </w:r>
      <w:r w:rsidRPr="00076CA5">
        <w:rPr>
          <w:lang w:val="en-CA"/>
        </w:rPr>
        <w:t xml:space="preserve"> “</w:t>
      </w:r>
      <w:r w:rsidR="00F97B0C" w:rsidRPr="00076CA5">
        <w:rPr>
          <w:lang w:val="en-CA"/>
        </w:rPr>
        <w:t xml:space="preserve">time </w:t>
      </w:r>
      <w:r w:rsidR="00F903CA">
        <w:rPr>
          <w:lang w:val="en-CA"/>
        </w:rPr>
        <w:t>to</w:t>
      </w:r>
      <w:r w:rsidR="00F97B0C" w:rsidRPr="00076CA5">
        <w:rPr>
          <w:lang w:val="en-CA"/>
        </w:rPr>
        <w:t xml:space="preserve"> </w:t>
      </w:r>
      <w:r w:rsidRPr="00076CA5">
        <w:rPr>
          <w:lang w:val="en-CA"/>
        </w:rPr>
        <w:t>reflect</w:t>
      </w:r>
      <w:r w:rsidR="00F97B0C" w:rsidRPr="00076CA5">
        <w:rPr>
          <w:lang w:val="en-CA"/>
        </w:rPr>
        <w:t xml:space="preserve">” </w:t>
      </w:r>
      <w:r w:rsidRPr="00076CA5">
        <w:rPr>
          <w:lang w:val="en-CA"/>
        </w:rPr>
        <w:t xml:space="preserve">does not require that the </w:t>
      </w:r>
      <w:r w:rsidR="002B54C0" w:rsidRPr="002B54C0">
        <w:rPr>
          <w:i/>
          <w:iCs/>
          <w:lang w:val="en-CA"/>
        </w:rPr>
        <w:t>ATI</w:t>
      </w:r>
      <w:r w:rsidRPr="00076CA5">
        <w:rPr>
          <w:i/>
          <w:iCs/>
          <w:lang w:val="en-CA"/>
        </w:rPr>
        <w:t xml:space="preserve"> </w:t>
      </w:r>
      <w:r w:rsidRPr="00076CA5">
        <w:rPr>
          <w:lang w:val="en-CA"/>
        </w:rPr>
        <w:t xml:space="preserve">remain in force or that the electoral map remain unchanged. Above all, the balance of </w:t>
      </w:r>
      <w:r w:rsidR="00F97B0C" w:rsidRPr="00076CA5">
        <w:rPr>
          <w:lang w:val="en-CA"/>
        </w:rPr>
        <w:t>convenience</w:t>
      </w:r>
      <w:r w:rsidRPr="00076CA5">
        <w:rPr>
          <w:lang w:val="en-CA"/>
        </w:rPr>
        <w:t xml:space="preserve"> </w:t>
      </w:r>
      <w:r w:rsidR="004E4F88">
        <w:rPr>
          <w:lang w:val="en-CA"/>
        </w:rPr>
        <w:t>weighs</w:t>
      </w:r>
      <w:r w:rsidRPr="00076CA5">
        <w:rPr>
          <w:lang w:val="en-CA"/>
        </w:rPr>
        <w:t xml:space="preserve"> in favour of the appellants </w:t>
      </w:r>
      <w:r w:rsidR="004E4F88">
        <w:rPr>
          <w:lang w:val="en-CA"/>
        </w:rPr>
        <w:t>because</w:t>
      </w:r>
      <w:r w:rsidRPr="00076CA5">
        <w:rPr>
          <w:lang w:val="en-CA"/>
        </w:rPr>
        <w:t xml:space="preserve"> a stay of execution would render their action futile</w:t>
      </w:r>
      <w:r w:rsidR="004E4F88">
        <w:rPr>
          <w:lang w:val="en-CA"/>
        </w:rPr>
        <w:t>,</w:t>
      </w:r>
      <w:r w:rsidRPr="00076CA5">
        <w:rPr>
          <w:lang w:val="en-CA"/>
        </w:rPr>
        <w:t xml:space="preserve"> and the next election would be held on the basis of an electoral map </w:t>
      </w:r>
      <w:r w:rsidRPr="00076CA5">
        <w:rPr>
          <w:lang w:val="en-CA"/>
        </w:rPr>
        <w:lastRenderedPageBreak/>
        <w:t>that is not the product of an independent process and does not respect the principle of effective representation.</w:t>
      </w:r>
    </w:p>
    <w:p w14:paraId="6301DB62" w14:textId="77777777" w:rsidR="006D4B37" w:rsidRPr="00076CA5" w:rsidRDefault="004351B0" w:rsidP="00CB7813">
      <w:pPr>
        <w:pStyle w:val="aParagraphe"/>
        <w:tabs>
          <w:tab w:val="clear" w:pos="720"/>
        </w:tabs>
        <w:spacing w:after="100" w:line="240" w:lineRule="auto"/>
        <w:jc w:val="center"/>
      </w:pPr>
      <w:r w:rsidRPr="00076CA5">
        <w:rPr>
          <w:lang w:val="en-CA"/>
        </w:rPr>
        <w:t>* * *</w:t>
      </w:r>
    </w:p>
    <w:p w14:paraId="594A330A" w14:textId="05C17D5F" w:rsidR="006D4B37" w:rsidRPr="00076CA5" w:rsidRDefault="004351B0" w:rsidP="00CB7813">
      <w:pPr>
        <w:pStyle w:val="aParagraphe"/>
        <w:numPr>
          <w:ilvl w:val="0"/>
          <w:numId w:val="18"/>
        </w:numPr>
        <w:spacing w:after="100" w:line="240" w:lineRule="auto"/>
        <w:rPr>
          <w:lang w:val="en-CA"/>
        </w:rPr>
      </w:pPr>
      <w:r w:rsidRPr="00076CA5">
        <w:rPr>
          <w:lang w:val="en-CA"/>
        </w:rPr>
        <w:t xml:space="preserve">For all these reasons, I </w:t>
      </w:r>
      <w:r w:rsidR="00F97B0C" w:rsidRPr="00076CA5">
        <w:rPr>
          <w:lang w:val="en-CA"/>
        </w:rPr>
        <w:t>propose</w:t>
      </w:r>
      <w:r w:rsidRPr="00076CA5">
        <w:rPr>
          <w:lang w:val="en-CA"/>
        </w:rPr>
        <w:t xml:space="preserve"> that the Court </w:t>
      </w:r>
      <w:r w:rsidR="004E4F88">
        <w:rPr>
          <w:lang w:val="en-CA"/>
        </w:rPr>
        <w:t>allow</w:t>
      </w:r>
      <w:r w:rsidRPr="00076CA5">
        <w:rPr>
          <w:lang w:val="en-CA"/>
        </w:rPr>
        <w:t xml:space="preserve"> the appeal, set aside the judgment </w:t>
      </w:r>
      <w:r w:rsidR="0083473C">
        <w:rPr>
          <w:lang w:val="en-CA"/>
        </w:rPr>
        <w:t>in</w:t>
      </w:r>
      <w:r w:rsidRPr="00076CA5">
        <w:rPr>
          <w:lang w:val="en-CA"/>
        </w:rPr>
        <w:t xml:space="preserve"> first instance, </w:t>
      </w:r>
      <w:r w:rsidR="00F97B0C" w:rsidRPr="00076CA5">
        <w:rPr>
          <w:lang w:val="en-CA"/>
        </w:rPr>
        <w:t>grant</w:t>
      </w:r>
      <w:r w:rsidRPr="00076CA5">
        <w:rPr>
          <w:lang w:val="en-CA"/>
        </w:rPr>
        <w:t xml:space="preserve"> the </w:t>
      </w:r>
      <w:r w:rsidR="00F97B0C" w:rsidRPr="00076CA5">
        <w:rPr>
          <w:lang w:val="en-CA"/>
        </w:rPr>
        <w:t xml:space="preserve">re-amended </w:t>
      </w:r>
      <w:r w:rsidRPr="00076CA5">
        <w:rPr>
          <w:lang w:val="en-CA"/>
        </w:rPr>
        <w:t>application for judicial review dated April</w:t>
      </w:r>
      <w:r>
        <w:rPr>
          <w:lang w:val="en-CA"/>
        </w:rPr>
        <w:t> </w:t>
      </w:r>
      <w:r w:rsidRPr="00076CA5">
        <w:rPr>
          <w:lang w:val="en-CA"/>
        </w:rPr>
        <w:t>8, 2025</w:t>
      </w:r>
      <w:r w:rsidR="00F97B0C" w:rsidRPr="00076CA5">
        <w:rPr>
          <w:lang w:val="en-CA"/>
        </w:rPr>
        <w:t>,</w:t>
      </w:r>
      <w:r w:rsidRPr="00076CA5">
        <w:rPr>
          <w:lang w:val="en-CA"/>
        </w:rPr>
        <w:t xml:space="preserve"> and declare unconstitutional the </w:t>
      </w:r>
      <w:r w:rsidRPr="00076CA5">
        <w:rPr>
          <w:i/>
          <w:iCs/>
          <w:lang w:val="en-CA"/>
        </w:rPr>
        <w:t>Act to interrupt the electoral division delimitation process</w:t>
      </w:r>
      <w:r w:rsidRPr="00076CA5">
        <w:rPr>
          <w:lang w:val="en-CA"/>
        </w:rPr>
        <w:t xml:space="preserve"> assented </w:t>
      </w:r>
      <w:r w:rsidR="00F97B0C" w:rsidRPr="00076CA5">
        <w:rPr>
          <w:lang w:val="en-CA"/>
        </w:rPr>
        <w:t xml:space="preserve">to </w:t>
      </w:r>
      <w:r w:rsidRPr="00076CA5">
        <w:rPr>
          <w:lang w:val="en-CA"/>
        </w:rPr>
        <w:t xml:space="preserve">on May 7, 2024. The respondent, the Attorney General, </w:t>
      </w:r>
      <w:r w:rsidR="004E4F88">
        <w:rPr>
          <w:lang w:val="en-CA"/>
        </w:rPr>
        <w:t>will</w:t>
      </w:r>
      <w:r w:rsidRPr="00076CA5">
        <w:rPr>
          <w:lang w:val="en-CA"/>
        </w:rPr>
        <w:t xml:space="preserve"> bear the legal costs of both proceedings.</w:t>
      </w:r>
    </w:p>
    <w:tbl>
      <w:tblPr>
        <w:tblW w:w="0" w:type="auto"/>
        <w:tblInd w:w="70" w:type="dxa"/>
        <w:tblLayout w:type="fixed"/>
        <w:tblCellMar>
          <w:left w:w="70" w:type="dxa"/>
          <w:right w:w="70" w:type="dxa"/>
        </w:tblCellMar>
        <w:tblLook w:val="0000" w:firstRow="0" w:lastRow="0" w:firstColumn="0" w:lastColumn="0" w:noHBand="0" w:noVBand="0"/>
      </w:tblPr>
      <w:tblGrid>
        <w:gridCol w:w="4735"/>
        <w:gridCol w:w="4625"/>
      </w:tblGrid>
      <w:tr w:rsidR="00E6606D" w:rsidRPr="00350287" w14:paraId="020101C9" w14:textId="77777777" w:rsidTr="00D37B39">
        <w:trPr>
          <w:cantSplit/>
          <w:trHeight w:val="513"/>
        </w:trPr>
        <w:tc>
          <w:tcPr>
            <w:tcW w:w="9360" w:type="dxa"/>
            <w:gridSpan w:val="2"/>
          </w:tcPr>
          <w:p w14:paraId="0E94EAD1" w14:textId="77777777" w:rsidR="006D4B37" w:rsidRPr="00076CA5" w:rsidRDefault="006D4B37" w:rsidP="00D37B39">
            <w:pPr>
              <w:rPr>
                <w:lang w:val="en-CA"/>
              </w:rPr>
            </w:pPr>
          </w:p>
        </w:tc>
      </w:tr>
      <w:tr w:rsidR="00E6606D" w:rsidRPr="00350287" w14:paraId="2484707C" w14:textId="77777777" w:rsidTr="00D37B39">
        <w:tblPrEx>
          <w:tblCellMar>
            <w:left w:w="0" w:type="dxa"/>
            <w:right w:w="0" w:type="dxa"/>
          </w:tblCellMar>
        </w:tblPrEx>
        <w:trPr>
          <w:cantSplit/>
          <w:trHeight w:val="277"/>
        </w:trPr>
        <w:tc>
          <w:tcPr>
            <w:tcW w:w="4735" w:type="dxa"/>
            <w:vMerge w:val="restart"/>
          </w:tcPr>
          <w:p w14:paraId="7BAE35C9" w14:textId="77777777" w:rsidR="006D4B37" w:rsidRPr="00076CA5" w:rsidRDefault="006D4B37" w:rsidP="00D37B39">
            <w:pPr>
              <w:rPr>
                <w:lang w:val="en-CA"/>
              </w:rPr>
            </w:pPr>
          </w:p>
        </w:tc>
        <w:tc>
          <w:tcPr>
            <w:tcW w:w="4625" w:type="dxa"/>
            <w:tcBorders>
              <w:bottom w:val="single" w:sz="8" w:space="0" w:color="auto"/>
            </w:tcBorders>
          </w:tcPr>
          <w:p w14:paraId="655261F2" w14:textId="77777777" w:rsidR="006D4B37" w:rsidRPr="00076CA5" w:rsidRDefault="006D4B37" w:rsidP="00D37B39">
            <w:pPr>
              <w:rPr>
                <w:lang w:val="en-CA"/>
              </w:rPr>
            </w:pPr>
          </w:p>
        </w:tc>
      </w:tr>
      <w:tr w:rsidR="00E6606D" w:rsidRPr="00145125" w14:paraId="092FA42D" w14:textId="77777777" w:rsidTr="00D37B39">
        <w:tblPrEx>
          <w:tblCellMar>
            <w:left w:w="0" w:type="dxa"/>
            <w:right w:w="0" w:type="dxa"/>
          </w:tblCellMar>
        </w:tblPrEx>
        <w:trPr>
          <w:cantSplit/>
          <w:trHeight w:val="276"/>
        </w:trPr>
        <w:tc>
          <w:tcPr>
            <w:tcW w:w="4735" w:type="dxa"/>
            <w:vMerge/>
          </w:tcPr>
          <w:p w14:paraId="07DC0A49" w14:textId="77777777" w:rsidR="006D4B37" w:rsidRPr="00076CA5" w:rsidRDefault="006D4B37" w:rsidP="00D37B39">
            <w:pPr>
              <w:rPr>
                <w:lang w:val="en-CA"/>
              </w:rPr>
            </w:pPr>
          </w:p>
        </w:tc>
        <w:tc>
          <w:tcPr>
            <w:tcW w:w="4625" w:type="dxa"/>
          </w:tcPr>
          <w:p w14:paraId="1F833FB4" w14:textId="39355838" w:rsidR="006D4B37" w:rsidRPr="00145125" w:rsidRDefault="004351B0" w:rsidP="00D37B39">
            <w:pPr>
              <w:rPr>
                <w:lang w:val="en-CA"/>
              </w:rPr>
            </w:pPr>
            <w:r w:rsidRPr="00076CA5">
              <w:rPr>
                <w:lang w:val="en-CA"/>
              </w:rPr>
              <w:t>MARK SCHRAGER, J.A.</w:t>
            </w:r>
          </w:p>
        </w:tc>
      </w:tr>
      <w:bookmarkEnd w:id="11"/>
    </w:tbl>
    <w:p w14:paraId="20F8A3C0" w14:textId="77777777" w:rsidR="00740A17" w:rsidRPr="00145125" w:rsidRDefault="00740A17" w:rsidP="00CB7813">
      <w:pPr>
        <w:rPr>
          <w:lang w:val="en-CA"/>
        </w:rPr>
      </w:pPr>
    </w:p>
    <w:sectPr w:rsidR="00740A17" w:rsidRPr="00145125" w:rsidSect="006D4B37">
      <w:headerReference w:type="default" r:id="rId10"/>
      <w:pgSz w:w="12242" w:h="15842" w:code="1"/>
      <w:pgMar w:top="1440" w:right="1008" w:bottom="1440" w:left="1872" w:header="1440" w:footer="79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F97F" w14:textId="77777777" w:rsidR="008B2CB8" w:rsidRDefault="008B2CB8">
      <w:pPr>
        <w:spacing w:line="240" w:lineRule="auto"/>
      </w:pPr>
      <w:r>
        <w:separator/>
      </w:r>
    </w:p>
  </w:endnote>
  <w:endnote w:type="continuationSeparator" w:id="0">
    <w:p w14:paraId="10BA4C72" w14:textId="77777777" w:rsidR="008B2CB8" w:rsidRDefault="008B2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464D" w14:textId="13E29E17" w:rsidR="0074003D" w:rsidRPr="00B008F1" w:rsidRDefault="00B008F1" w:rsidP="00B008F1">
    <w:pPr>
      <w:pStyle w:val="Pieddepage"/>
      <w:jc w:val="right"/>
      <w:rPr>
        <w:b/>
        <w:bCs/>
        <w:lang w:val="en-CA"/>
      </w:rPr>
    </w:pPr>
    <w:r w:rsidRPr="00B008F1">
      <w:rPr>
        <w:b/>
        <w:bCs/>
        <w:lang w:val="en-CA"/>
      </w:rPr>
      <w:t>English translation of the judgment of the Court by SOQUIJ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A397" w14:textId="77777777" w:rsidR="008B2CB8" w:rsidRDefault="008B2CB8">
      <w:r>
        <w:separator/>
      </w:r>
    </w:p>
  </w:footnote>
  <w:footnote w:type="continuationSeparator" w:id="0">
    <w:p w14:paraId="26D4267F" w14:textId="77777777" w:rsidR="008B2CB8" w:rsidRDefault="008B2CB8">
      <w:r>
        <w:continuationSeparator/>
      </w:r>
    </w:p>
  </w:footnote>
  <w:footnote w:id="1">
    <w:p w14:paraId="03BA0647" w14:textId="33AD2191" w:rsidR="006D4B37" w:rsidRPr="00076CA5" w:rsidRDefault="004351B0" w:rsidP="006D4B37">
      <w:pPr>
        <w:pStyle w:val="Notedebasdepage"/>
      </w:pPr>
      <w:r w:rsidRPr="00076CA5">
        <w:rPr>
          <w:rStyle w:val="Appelnotedebasdep"/>
          <w:lang w:val="en-CA"/>
        </w:rPr>
        <w:footnoteRef/>
      </w:r>
      <w:r w:rsidRPr="00076CA5">
        <w:t xml:space="preserve"> </w:t>
      </w:r>
      <w:r w:rsidRPr="00076CA5">
        <w:tab/>
      </w:r>
      <w:r w:rsidR="00915D2E" w:rsidRPr="00076CA5">
        <w:rPr>
          <w:i/>
          <w:iCs/>
        </w:rPr>
        <w:t xml:space="preserve">Lalande </w:t>
      </w:r>
      <w:r w:rsidR="00915D2E" w:rsidRPr="00145125">
        <w:rPr>
          <w:i/>
          <w:iCs/>
        </w:rPr>
        <w:t>c</w:t>
      </w:r>
      <w:r w:rsidR="00915D2E" w:rsidRPr="00076CA5">
        <w:rPr>
          <w:i/>
          <w:iCs/>
        </w:rPr>
        <w:t>. Procureur général du Québec</w:t>
      </w:r>
      <w:r w:rsidRPr="00076CA5">
        <w:t>, 2025 QCCS 2078 [judgment under appeal].</w:t>
      </w:r>
    </w:p>
  </w:footnote>
  <w:footnote w:id="2">
    <w:p w14:paraId="128F808D" w14:textId="30BA8EA7"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Bill 59 —</w:t>
      </w:r>
      <w:r w:rsidRPr="00076CA5">
        <w:rPr>
          <w:i/>
          <w:iCs/>
          <w:lang w:val="en-CA"/>
        </w:rPr>
        <w:t xml:space="preserve"> An Act to interrupt the electoral division delimitation process, </w:t>
      </w:r>
      <w:r w:rsidRPr="00076CA5">
        <w:rPr>
          <w:lang w:val="en-CA"/>
        </w:rPr>
        <w:t xml:space="preserve">assented </w:t>
      </w:r>
      <w:r w:rsidR="00915D2E" w:rsidRPr="00076CA5">
        <w:rPr>
          <w:lang w:val="en-CA"/>
        </w:rPr>
        <w:t xml:space="preserve">to </w:t>
      </w:r>
      <w:r w:rsidRPr="00076CA5">
        <w:rPr>
          <w:lang w:val="en-CA"/>
        </w:rPr>
        <w:t>on May 7, 2024.</w:t>
      </w:r>
    </w:p>
  </w:footnote>
  <w:footnote w:id="3">
    <w:p w14:paraId="264361E3" w14:textId="4E726856"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The electoral division delimitation process provided for in </w:t>
      </w:r>
      <w:r w:rsidR="00916FF7" w:rsidRPr="00076CA5">
        <w:rPr>
          <w:lang w:val="en-CA"/>
        </w:rPr>
        <w:t>s</w:t>
      </w:r>
      <w:r w:rsidRPr="00076CA5">
        <w:rPr>
          <w:lang w:val="en-CA"/>
        </w:rPr>
        <w:t xml:space="preserve">ections 14 to 33 of the </w:t>
      </w:r>
      <w:r w:rsidRPr="00076CA5">
        <w:rPr>
          <w:i/>
          <w:iCs/>
          <w:lang w:val="en-CA"/>
        </w:rPr>
        <w:t>Election Act</w:t>
      </w:r>
      <w:r w:rsidRPr="00076CA5">
        <w:rPr>
          <w:lang w:val="en-CA"/>
        </w:rPr>
        <w:t>, CQLR, c. E-3.3</w:t>
      </w:r>
      <w:r w:rsidR="00915D2E" w:rsidRPr="00076CA5">
        <w:rPr>
          <w:lang w:val="en-CA"/>
        </w:rPr>
        <w:t xml:space="preserve"> </w:t>
      </w:r>
      <w:r w:rsidRPr="00076CA5">
        <w:rPr>
          <w:lang w:val="en-CA"/>
        </w:rPr>
        <w:t>[</w:t>
      </w:r>
      <w:r w:rsidRPr="00076CA5">
        <w:rPr>
          <w:i/>
          <w:iCs/>
          <w:lang w:val="en-CA"/>
        </w:rPr>
        <w:t>Election Act</w:t>
      </w:r>
      <w:r w:rsidRPr="00076CA5">
        <w:rPr>
          <w:lang w:val="en-CA"/>
        </w:rPr>
        <w:t>].</w:t>
      </w:r>
    </w:p>
  </w:footnote>
  <w:footnote w:id="4">
    <w:p w14:paraId="015B2A51" w14:textId="44610D3C" w:rsidR="00B01F29" w:rsidRPr="00076CA5" w:rsidRDefault="004351B0">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 xml:space="preserve">Canadian Charter of Rights and Freedoms, </w:t>
      </w:r>
      <w:r w:rsidRPr="00076CA5">
        <w:rPr>
          <w:lang w:val="en-CA"/>
        </w:rPr>
        <w:t>Part I of the</w:t>
      </w:r>
      <w:r w:rsidRPr="00076CA5">
        <w:rPr>
          <w:i/>
          <w:iCs/>
          <w:lang w:val="en-CA"/>
        </w:rPr>
        <w:t xml:space="preserve"> Constitution Act, 1982</w:t>
      </w:r>
      <w:r w:rsidRPr="00076CA5">
        <w:rPr>
          <w:lang w:val="en-CA"/>
        </w:rPr>
        <w:t xml:space="preserve">, </w:t>
      </w:r>
      <w:r w:rsidR="00D05399">
        <w:rPr>
          <w:lang w:val="en-CA"/>
        </w:rPr>
        <w:t xml:space="preserve">being </w:t>
      </w:r>
      <w:r w:rsidRPr="00076CA5">
        <w:rPr>
          <w:lang w:val="en-CA"/>
        </w:rPr>
        <w:t xml:space="preserve">Schedule B to the </w:t>
      </w:r>
      <w:r w:rsidRPr="00076CA5">
        <w:rPr>
          <w:i/>
          <w:iCs/>
          <w:lang w:val="en-CA"/>
        </w:rPr>
        <w:t>Canada Act 1982</w:t>
      </w:r>
      <w:r w:rsidRPr="00076CA5">
        <w:rPr>
          <w:lang w:val="en-CA"/>
        </w:rPr>
        <w:t xml:space="preserve"> (U.K.), 1982, c. 11, s. 3 [</w:t>
      </w:r>
      <w:r w:rsidRPr="00076CA5">
        <w:rPr>
          <w:i/>
          <w:iCs/>
          <w:lang w:val="en-CA"/>
        </w:rPr>
        <w:t>Charter</w:t>
      </w:r>
      <w:r w:rsidRPr="00076CA5">
        <w:rPr>
          <w:lang w:val="en-CA"/>
        </w:rPr>
        <w:t>].</w:t>
      </w:r>
    </w:p>
  </w:footnote>
  <w:footnote w:id="5">
    <w:p w14:paraId="020F11F1" w14:textId="74DBFA38"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Election Act</w:t>
      </w:r>
      <w:r w:rsidRPr="00076CA5">
        <w:rPr>
          <w:lang w:val="en-CA"/>
        </w:rPr>
        <w:t xml:space="preserve">,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_Ref213746570 \h  \* MERGEFORMAT </w:instrText>
      </w:r>
      <w:r w:rsidRPr="00076CA5">
        <w:rPr>
          <w:lang w:val="en-CA"/>
        </w:rPr>
      </w:r>
      <w:r w:rsidRPr="00076CA5">
        <w:rPr>
          <w:lang w:val="en-CA"/>
        </w:rPr>
        <w:fldChar w:fldCharType="separate"/>
      </w:r>
      <w:r w:rsidR="00990DD2">
        <w:rPr>
          <w:lang w:val="en-CA"/>
        </w:rPr>
        <w:t>3</w:t>
      </w:r>
      <w:r w:rsidRPr="00076CA5">
        <w:rPr>
          <w:lang w:val="en-CA"/>
        </w:rPr>
        <w:fldChar w:fldCharType="end"/>
      </w:r>
      <w:r w:rsidRPr="00076CA5">
        <w:rPr>
          <w:lang w:val="en-CA"/>
        </w:rPr>
        <w:t xml:space="preserve">, </w:t>
      </w:r>
      <w:bookmarkStart w:id="14" w:name="_Hlk213243517"/>
      <w:r w:rsidR="00915D2E" w:rsidRPr="00076CA5">
        <w:rPr>
          <w:lang w:val="en-CA"/>
        </w:rPr>
        <w:t>s.</w:t>
      </w:r>
      <w:r w:rsidRPr="00076CA5">
        <w:rPr>
          <w:lang w:val="en-CA"/>
        </w:rPr>
        <w:t xml:space="preserve"> </w:t>
      </w:r>
      <w:bookmarkEnd w:id="14"/>
      <w:r w:rsidRPr="00076CA5">
        <w:rPr>
          <w:lang w:val="en-CA"/>
        </w:rPr>
        <w:t>532.</w:t>
      </w:r>
    </w:p>
  </w:footnote>
  <w:footnote w:id="6">
    <w:p w14:paraId="1730012D" w14:textId="69FE63D1"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915D2E" w:rsidRPr="00076CA5">
        <w:rPr>
          <w:i/>
          <w:iCs/>
          <w:lang w:val="en-CA"/>
        </w:rPr>
        <w:t>Id.</w:t>
      </w:r>
      <w:r w:rsidR="00D05399">
        <w:rPr>
          <w:lang w:val="en-CA"/>
        </w:rPr>
        <w:t>,</w:t>
      </w:r>
      <w:r w:rsidR="00915D2E" w:rsidRPr="00076CA5">
        <w:rPr>
          <w:i/>
          <w:iCs/>
          <w:lang w:val="en-CA"/>
        </w:rPr>
        <w:t xml:space="preserve"> </w:t>
      </w:r>
      <w:r w:rsidR="00915D2E" w:rsidRPr="00145125">
        <w:rPr>
          <w:lang w:val="en-CA"/>
        </w:rPr>
        <w:t>s.</w:t>
      </w:r>
      <w:r w:rsidR="00915D2E" w:rsidRPr="00076CA5">
        <w:rPr>
          <w:i/>
          <w:iCs/>
          <w:lang w:val="en-CA"/>
        </w:rPr>
        <w:t> </w:t>
      </w:r>
      <w:r w:rsidRPr="00076CA5">
        <w:rPr>
          <w:lang w:val="en-CA"/>
        </w:rPr>
        <w:t>19</w:t>
      </w:r>
      <w:r w:rsidRPr="00076CA5">
        <w:rPr>
          <w:i/>
          <w:iCs/>
          <w:lang w:val="en-CA"/>
        </w:rPr>
        <w:t>.</w:t>
      </w:r>
      <w:r w:rsidRPr="00076CA5">
        <w:rPr>
          <w:lang w:val="en-CA"/>
        </w:rPr>
        <w:t xml:space="preserve"> As a result, Quebec's electoral map is periodically revi</w:t>
      </w:r>
      <w:r w:rsidR="00915D2E" w:rsidRPr="00076CA5">
        <w:rPr>
          <w:lang w:val="en-CA"/>
        </w:rPr>
        <w:t>ewed</w:t>
      </w:r>
      <w:r w:rsidRPr="00076CA5">
        <w:rPr>
          <w:lang w:val="en-CA"/>
        </w:rPr>
        <w:t xml:space="preserve"> </w:t>
      </w:r>
      <w:r w:rsidR="00915D2E" w:rsidRPr="00076CA5">
        <w:rPr>
          <w:lang w:val="en-CA"/>
        </w:rPr>
        <w:t xml:space="preserve">after </w:t>
      </w:r>
      <w:r w:rsidRPr="00076CA5">
        <w:rPr>
          <w:lang w:val="en-CA"/>
        </w:rPr>
        <w:t xml:space="preserve">every </w:t>
      </w:r>
      <w:r w:rsidR="00395868">
        <w:rPr>
          <w:lang w:val="en-CA"/>
        </w:rPr>
        <w:t>second</w:t>
      </w:r>
      <w:r w:rsidRPr="00076CA5">
        <w:rPr>
          <w:lang w:val="en-CA"/>
        </w:rPr>
        <w:t xml:space="preserve"> election.</w:t>
      </w:r>
    </w:p>
  </w:footnote>
  <w:footnote w:id="7">
    <w:p w14:paraId="27A9DECA" w14:textId="4AA70606"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Judgment under appeal,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3E58C4">
        <w:rPr>
          <w:lang w:val="en-CA"/>
        </w:rPr>
        <w:t>,</w:t>
      </w:r>
      <w:r w:rsidRPr="00076CA5">
        <w:rPr>
          <w:lang w:val="en-CA"/>
        </w:rPr>
        <w:t xml:space="preserve"> para. 16.</w:t>
      </w:r>
    </w:p>
  </w:footnote>
  <w:footnote w:id="8">
    <w:p w14:paraId="3AD4A1C8" w14:textId="5FCAAB3D"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Election Act</w:t>
      </w:r>
      <w:r w:rsidRPr="00076CA5">
        <w:rPr>
          <w:lang w:val="en-CA"/>
        </w:rPr>
        <w:t>,</w:t>
      </w:r>
      <w:r w:rsidRPr="00076CA5">
        <w:rPr>
          <w:i/>
          <w:iCs/>
          <w:lang w:val="en-CA"/>
        </w:rPr>
        <w:t xml:space="preserve"> supra</w:t>
      </w:r>
      <w:r w:rsidRPr="00076CA5">
        <w:rPr>
          <w:lang w:val="en-CA"/>
        </w:rPr>
        <w:t xml:space="preserve"> note </w:t>
      </w:r>
      <w:r w:rsidRPr="00076CA5">
        <w:rPr>
          <w:lang w:val="en-CA"/>
        </w:rPr>
        <w:fldChar w:fldCharType="begin"/>
      </w:r>
      <w:r w:rsidRPr="00076CA5">
        <w:rPr>
          <w:lang w:val="en-CA"/>
        </w:rPr>
        <w:instrText xml:space="preserve"> NOTEREF _Ref213746570 \h  \* MERGEFORMAT </w:instrText>
      </w:r>
      <w:r w:rsidRPr="00076CA5">
        <w:rPr>
          <w:lang w:val="en-CA"/>
        </w:rPr>
      </w:r>
      <w:r w:rsidRPr="00076CA5">
        <w:rPr>
          <w:lang w:val="en-CA"/>
        </w:rPr>
        <w:fldChar w:fldCharType="separate"/>
      </w:r>
      <w:r w:rsidR="00990DD2">
        <w:rPr>
          <w:lang w:val="en-CA"/>
        </w:rPr>
        <w:t>3</w:t>
      </w:r>
      <w:r w:rsidRPr="00076CA5">
        <w:rPr>
          <w:lang w:val="en-CA"/>
        </w:rPr>
        <w:fldChar w:fldCharType="end"/>
      </w:r>
      <w:r w:rsidR="00586D3D" w:rsidRPr="00076CA5">
        <w:rPr>
          <w:lang w:val="en-CA"/>
        </w:rPr>
        <w:t>,</w:t>
      </w:r>
      <w:r w:rsidRPr="00076CA5">
        <w:rPr>
          <w:lang w:val="en-CA"/>
        </w:rPr>
        <w:t xml:space="preserve"> </w:t>
      </w:r>
      <w:r w:rsidR="00586D3D" w:rsidRPr="00076CA5">
        <w:rPr>
          <w:lang w:val="en-CA"/>
        </w:rPr>
        <w:t>ss</w:t>
      </w:r>
      <w:r w:rsidRPr="00076CA5">
        <w:rPr>
          <w:lang w:val="en-CA"/>
        </w:rPr>
        <w:t>. 24 and 24.1.</w:t>
      </w:r>
    </w:p>
  </w:footnote>
  <w:footnote w:id="9">
    <w:p w14:paraId="0A4F4A8E" w14:textId="21B5B3D2"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Election Act</w:t>
      </w:r>
      <w:r w:rsidRPr="00076CA5">
        <w:rPr>
          <w:lang w:val="en-CA"/>
        </w:rPr>
        <w:t>,</w:t>
      </w:r>
      <w:r w:rsidRPr="00076CA5">
        <w:rPr>
          <w:i/>
          <w:iCs/>
          <w:lang w:val="en-CA"/>
        </w:rPr>
        <w:t xml:space="preserve"> supra</w:t>
      </w:r>
      <w:r w:rsidRPr="00076CA5">
        <w:rPr>
          <w:lang w:val="en-CA"/>
        </w:rPr>
        <w:t xml:space="preserve"> note </w:t>
      </w:r>
      <w:r w:rsidRPr="00076CA5">
        <w:rPr>
          <w:lang w:val="en-CA"/>
        </w:rPr>
        <w:fldChar w:fldCharType="begin"/>
      </w:r>
      <w:r w:rsidRPr="00076CA5">
        <w:rPr>
          <w:lang w:val="en-CA"/>
        </w:rPr>
        <w:instrText xml:space="preserve"> NOTEREF _Ref213746570 \h  \* MERGEFORMAT </w:instrText>
      </w:r>
      <w:r w:rsidRPr="00076CA5">
        <w:rPr>
          <w:lang w:val="en-CA"/>
        </w:rPr>
      </w:r>
      <w:r w:rsidRPr="00076CA5">
        <w:rPr>
          <w:lang w:val="en-CA"/>
        </w:rPr>
        <w:fldChar w:fldCharType="separate"/>
      </w:r>
      <w:r w:rsidR="00990DD2">
        <w:rPr>
          <w:lang w:val="en-CA"/>
        </w:rPr>
        <w:t>3</w:t>
      </w:r>
      <w:r w:rsidRPr="00076CA5">
        <w:rPr>
          <w:lang w:val="en-CA"/>
        </w:rPr>
        <w:fldChar w:fldCharType="end"/>
      </w:r>
      <w:r w:rsidR="00586D3D" w:rsidRPr="00076CA5">
        <w:rPr>
          <w:lang w:val="en-CA"/>
        </w:rPr>
        <w:t>,</w:t>
      </w:r>
      <w:r w:rsidRPr="00076CA5">
        <w:rPr>
          <w:lang w:val="en-CA"/>
        </w:rPr>
        <w:t xml:space="preserve"> </w:t>
      </w:r>
      <w:r w:rsidR="00586D3D" w:rsidRPr="00076CA5">
        <w:rPr>
          <w:lang w:val="en-CA"/>
        </w:rPr>
        <w:t>s</w:t>
      </w:r>
      <w:r w:rsidRPr="00076CA5">
        <w:rPr>
          <w:lang w:val="en-CA"/>
        </w:rPr>
        <w:t>. 25.</w:t>
      </w:r>
    </w:p>
  </w:footnote>
  <w:footnote w:id="10">
    <w:p w14:paraId="5A6C558B" w14:textId="25B50B4A" w:rsidR="00A76F48" w:rsidRPr="00076CA5" w:rsidRDefault="00A76F48" w:rsidP="00A76F48">
      <w:pPr>
        <w:pStyle w:val="Notedebasdepage"/>
        <w:rPr>
          <w:lang w:val="es-ES"/>
        </w:rPr>
      </w:pPr>
      <w:r w:rsidRPr="00076CA5">
        <w:rPr>
          <w:rStyle w:val="Appelnotedebasdep"/>
          <w:lang w:val="en-CA"/>
        </w:rPr>
        <w:footnoteRef/>
      </w:r>
      <w:r w:rsidRPr="00076CA5">
        <w:rPr>
          <w:lang w:val="es-ES"/>
        </w:rPr>
        <w:t xml:space="preserve"> </w:t>
      </w:r>
      <w:r w:rsidRPr="00076CA5">
        <w:rPr>
          <w:lang w:val="es-ES"/>
        </w:rPr>
        <w:tab/>
      </w:r>
      <w:r w:rsidRPr="00076CA5">
        <w:rPr>
          <w:i/>
          <w:iCs/>
          <w:lang w:val="es-ES"/>
        </w:rPr>
        <w:t>Id.</w:t>
      </w:r>
      <w:r w:rsidR="00586D3D" w:rsidRPr="00E71082">
        <w:rPr>
          <w:lang w:val="es-ES"/>
        </w:rPr>
        <w:t>,</w:t>
      </w:r>
      <w:r w:rsidR="00586D3D" w:rsidRPr="00076CA5">
        <w:rPr>
          <w:lang w:val="es-ES"/>
        </w:rPr>
        <w:t xml:space="preserve"> </w:t>
      </w:r>
      <w:r w:rsidRPr="00076CA5">
        <w:rPr>
          <w:lang w:val="es-ES"/>
        </w:rPr>
        <w:t>s. 28</w:t>
      </w:r>
      <w:r w:rsidR="00586D3D" w:rsidRPr="00076CA5">
        <w:rPr>
          <w:lang w:val="es-ES"/>
        </w:rPr>
        <w:t>,</w:t>
      </w:r>
      <w:r w:rsidRPr="00076CA5">
        <w:rPr>
          <w:lang w:val="es-ES"/>
        </w:rPr>
        <w:t xml:space="preserve"> para. 1.</w:t>
      </w:r>
    </w:p>
  </w:footnote>
  <w:footnote w:id="11">
    <w:p w14:paraId="58646DCE" w14:textId="2D7EE11D" w:rsidR="006D4B37" w:rsidRPr="00076CA5" w:rsidRDefault="004351B0" w:rsidP="006D4B37">
      <w:pPr>
        <w:pStyle w:val="Notedebasdepage"/>
        <w:rPr>
          <w:lang w:val="es-ES"/>
        </w:rPr>
      </w:pPr>
      <w:r w:rsidRPr="00076CA5">
        <w:rPr>
          <w:rStyle w:val="Appelnotedebasdep"/>
          <w:lang w:val="en-CA"/>
        </w:rPr>
        <w:footnoteRef/>
      </w:r>
      <w:r w:rsidRPr="00076CA5">
        <w:rPr>
          <w:lang w:val="es-ES"/>
        </w:rPr>
        <w:t xml:space="preserve"> </w:t>
      </w:r>
      <w:r w:rsidRPr="00076CA5">
        <w:rPr>
          <w:lang w:val="es-ES"/>
        </w:rPr>
        <w:tab/>
      </w:r>
      <w:r w:rsidR="00915D2E" w:rsidRPr="00076CA5">
        <w:rPr>
          <w:i/>
          <w:iCs/>
          <w:lang w:val="es-ES"/>
        </w:rPr>
        <w:t>Id.</w:t>
      </w:r>
      <w:r w:rsidR="00586D3D" w:rsidRPr="00E71082">
        <w:rPr>
          <w:lang w:val="es-ES"/>
        </w:rPr>
        <w:t>,</w:t>
      </w:r>
      <w:r w:rsidRPr="00076CA5">
        <w:rPr>
          <w:lang w:val="es-ES"/>
        </w:rPr>
        <w:t xml:space="preserve"> </w:t>
      </w:r>
      <w:r w:rsidR="00586D3D" w:rsidRPr="00076CA5">
        <w:rPr>
          <w:lang w:val="es-ES"/>
        </w:rPr>
        <w:t>s.</w:t>
      </w:r>
      <w:r w:rsidRPr="00076CA5">
        <w:rPr>
          <w:lang w:val="es-ES"/>
        </w:rPr>
        <w:t> 29</w:t>
      </w:r>
      <w:r w:rsidRPr="00076CA5">
        <w:rPr>
          <w:i/>
          <w:iCs/>
          <w:lang w:val="es-ES"/>
        </w:rPr>
        <w:t>.</w:t>
      </w:r>
    </w:p>
  </w:footnote>
  <w:footnote w:id="12">
    <w:p w14:paraId="1FD553B3" w14:textId="3DDEB173" w:rsidR="006D4B37" w:rsidRPr="00076CA5" w:rsidRDefault="004351B0" w:rsidP="006D4B37">
      <w:pPr>
        <w:pStyle w:val="Notedebasdepage"/>
        <w:rPr>
          <w:lang w:val="en-CA"/>
        </w:rPr>
      </w:pPr>
      <w:r w:rsidRPr="00076CA5">
        <w:rPr>
          <w:rStyle w:val="Appelnotedebasdep"/>
          <w:lang w:val="en-CA"/>
        </w:rPr>
        <w:footnoteRef/>
      </w:r>
      <w:r w:rsidRPr="00752673">
        <w:rPr>
          <w:lang w:val="en-CA"/>
        </w:rPr>
        <w:t xml:space="preserve"> </w:t>
      </w:r>
      <w:r w:rsidRPr="00752673">
        <w:rPr>
          <w:lang w:val="en-CA"/>
        </w:rPr>
        <w:tab/>
      </w:r>
      <w:r w:rsidR="00915D2E" w:rsidRPr="00752673">
        <w:rPr>
          <w:i/>
          <w:iCs/>
          <w:lang w:val="en-CA"/>
        </w:rPr>
        <w:t>Id.</w:t>
      </w:r>
      <w:r w:rsidR="00586D3D" w:rsidRPr="00E71082">
        <w:rPr>
          <w:lang w:val="en-CA"/>
        </w:rPr>
        <w:t>,</w:t>
      </w:r>
      <w:r w:rsidRPr="00752673">
        <w:rPr>
          <w:lang w:val="en-CA"/>
        </w:rPr>
        <w:t xml:space="preserve"> s. 32</w:t>
      </w:r>
      <w:r w:rsidR="00586D3D" w:rsidRPr="00752673">
        <w:rPr>
          <w:lang w:val="en-CA"/>
        </w:rPr>
        <w:t>,</w:t>
      </w:r>
      <w:r w:rsidRPr="00752673">
        <w:rPr>
          <w:lang w:val="en-CA"/>
        </w:rPr>
        <w:t xml:space="preserve"> para. </w:t>
      </w:r>
      <w:r w:rsidRPr="00076CA5">
        <w:rPr>
          <w:lang w:val="en-CA"/>
        </w:rPr>
        <w:t>1.</w:t>
      </w:r>
    </w:p>
  </w:footnote>
  <w:footnote w:id="13">
    <w:p w14:paraId="55F8C807" w14:textId="4FB14FB9" w:rsidR="006D4B37" w:rsidRPr="0014512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An Act respecting the National Assembly</w:t>
      </w:r>
      <w:r w:rsidRPr="00076CA5">
        <w:rPr>
          <w:lang w:val="en-CA"/>
        </w:rPr>
        <w:t>, CQLR, c. A-23.1, s. 6 para. </w:t>
      </w:r>
      <w:r w:rsidRPr="00145125">
        <w:rPr>
          <w:lang w:val="en-CA"/>
        </w:rPr>
        <w:t>2.</w:t>
      </w:r>
    </w:p>
  </w:footnote>
  <w:footnote w:id="14">
    <w:p w14:paraId="441E91C1" w14:textId="341D4738" w:rsidR="006D4B37" w:rsidRPr="00145125" w:rsidRDefault="004351B0" w:rsidP="006D4B37">
      <w:pPr>
        <w:pStyle w:val="Notedebasdepage"/>
        <w:rPr>
          <w:lang w:val="en-CA"/>
        </w:rPr>
      </w:pPr>
      <w:r w:rsidRPr="00076CA5">
        <w:rPr>
          <w:rStyle w:val="Appelnotedebasdep"/>
          <w:lang w:val="en-CA"/>
        </w:rPr>
        <w:footnoteRef/>
      </w:r>
      <w:r w:rsidRPr="00145125">
        <w:rPr>
          <w:lang w:val="en-CA"/>
        </w:rPr>
        <w:t xml:space="preserve"> </w:t>
      </w:r>
      <w:r w:rsidRPr="00145125">
        <w:rPr>
          <w:lang w:val="en-CA"/>
        </w:rPr>
        <w:tab/>
      </w:r>
      <w:r w:rsidRPr="00145125">
        <w:rPr>
          <w:i/>
          <w:iCs/>
          <w:lang w:val="en-CA"/>
        </w:rPr>
        <w:t>Election Act</w:t>
      </w:r>
      <w:r w:rsidRPr="00145125">
        <w:rPr>
          <w:lang w:val="en-CA"/>
        </w:rPr>
        <w:t xml:space="preserve">, </w:t>
      </w:r>
      <w:r w:rsidRPr="00145125">
        <w:rPr>
          <w:i/>
          <w:iCs/>
          <w:lang w:val="en-CA"/>
        </w:rPr>
        <w:t>supra</w:t>
      </w:r>
      <w:r w:rsidRPr="00145125">
        <w:rPr>
          <w:lang w:val="en-CA"/>
        </w:rPr>
        <w:t xml:space="preserve"> note </w:t>
      </w:r>
      <w:r w:rsidRPr="00076CA5">
        <w:rPr>
          <w:lang w:val="en-CA"/>
        </w:rPr>
        <w:fldChar w:fldCharType="begin"/>
      </w:r>
      <w:r w:rsidRPr="00145125">
        <w:rPr>
          <w:lang w:val="en-CA"/>
        </w:rPr>
        <w:instrText xml:space="preserve"> NOTEREF _Ref213746570 \h  \* MERGEFORMAT </w:instrText>
      </w:r>
      <w:r w:rsidRPr="00076CA5">
        <w:rPr>
          <w:lang w:val="en-CA"/>
        </w:rPr>
      </w:r>
      <w:r w:rsidRPr="00076CA5">
        <w:rPr>
          <w:lang w:val="en-CA"/>
        </w:rPr>
        <w:fldChar w:fldCharType="separate"/>
      </w:r>
      <w:r w:rsidR="00990DD2">
        <w:rPr>
          <w:lang w:val="en-CA"/>
        </w:rPr>
        <w:t>3</w:t>
      </w:r>
      <w:r w:rsidRPr="00076CA5">
        <w:rPr>
          <w:lang w:val="en-CA"/>
        </w:rPr>
        <w:fldChar w:fldCharType="end"/>
      </w:r>
      <w:r w:rsidRPr="00145125">
        <w:rPr>
          <w:lang w:val="en-CA"/>
        </w:rPr>
        <w:t>, s. 32</w:t>
      </w:r>
      <w:r w:rsidR="00776E8D" w:rsidRPr="00145125">
        <w:rPr>
          <w:lang w:val="en-CA"/>
        </w:rPr>
        <w:t>,</w:t>
      </w:r>
      <w:r w:rsidRPr="00145125">
        <w:rPr>
          <w:lang w:val="en-CA"/>
        </w:rPr>
        <w:t xml:space="preserve"> para. 2.</w:t>
      </w:r>
    </w:p>
  </w:footnote>
  <w:footnote w:id="15">
    <w:p w14:paraId="63CA7174" w14:textId="47CB6F9B" w:rsidR="006D4B37" w:rsidRPr="00145125" w:rsidRDefault="004351B0" w:rsidP="006D4B37">
      <w:pPr>
        <w:pStyle w:val="Notedebasdepage"/>
        <w:rPr>
          <w:lang w:val="en-CA"/>
        </w:rPr>
      </w:pPr>
      <w:r w:rsidRPr="00076CA5">
        <w:rPr>
          <w:rStyle w:val="Appelnotedebasdep"/>
          <w:lang w:val="en-CA"/>
        </w:rPr>
        <w:footnoteRef/>
      </w:r>
      <w:r w:rsidRPr="00145125">
        <w:rPr>
          <w:lang w:val="en-CA"/>
        </w:rPr>
        <w:t xml:space="preserve"> </w:t>
      </w:r>
      <w:r w:rsidRPr="00145125">
        <w:rPr>
          <w:lang w:val="en-CA"/>
        </w:rPr>
        <w:tab/>
      </w:r>
      <w:r w:rsidR="00915D2E" w:rsidRPr="00145125">
        <w:rPr>
          <w:i/>
          <w:iCs/>
          <w:lang w:val="en-CA"/>
        </w:rPr>
        <w:t>Id.</w:t>
      </w:r>
      <w:r w:rsidR="00D85806" w:rsidRPr="00E71082">
        <w:rPr>
          <w:i/>
          <w:iCs/>
          <w:lang w:val="en-CA"/>
        </w:rPr>
        <w:t>,</w:t>
      </w:r>
      <w:r w:rsidRPr="00145125">
        <w:rPr>
          <w:lang w:val="en-CA"/>
        </w:rPr>
        <w:t xml:space="preserve"> s. 14</w:t>
      </w:r>
      <w:r w:rsidR="00776E8D" w:rsidRPr="00145125">
        <w:rPr>
          <w:lang w:val="en-CA"/>
        </w:rPr>
        <w:t>,</w:t>
      </w:r>
      <w:r w:rsidRPr="00145125">
        <w:rPr>
          <w:lang w:val="en-CA"/>
        </w:rPr>
        <w:t xml:space="preserve"> para. 1.</w:t>
      </w:r>
    </w:p>
  </w:footnote>
  <w:footnote w:id="16">
    <w:p w14:paraId="69066967" w14:textId="20408FC8" w:rsidR="00CC6ADA" w:rsidRPr="00145125" w:rsidRDefault="004351B0">
      <w:pPr>
        <w:pStyle w:val="Notedebasdepage"/>
        <w:rPr>
          <w:lang w:val="en-CA"/>
        </w:rPr>
      </w:pPr>
      <w:r w:rsidRPr="00076CA5">
        <w:rPr>
          <w:rStyle w:val="Appelnotedebasdep"/>
          <w:lang w:val="en-CA"/>
        </w:rPr>
        <w:footnoteRef/>
      </w:r>
      <w:r w:rsidRPr="00145125">
        <w:rPr>
          <w:lang w:val="en-CA"/>
        </w:rPr>
        <w:t xml:space="preserve"> </w:t>
      </w:r>
      <w:r w:rsidRPr="00145125">
        <w:rPr>
          <w:lang w:val="en-CA"/>
        </w:rPr>
        <w:tab/>
      </w:r>
      <w:r w:rsidR="00D85806" w:rsidRPr="00145125">
        <w:rPr>
          <w:i/>
          <w:iCs/>
          <w:lang w:val="en-CA"/>
        </w:rPr>
        <w:t>Reference re Prov. Electoral Boundaries (Sask.)</w:t>
      </w:r>
      <w:r w:rsidR="00D85806" w:rsidRPr="00145125">
        <w:rPr>
          <w:lang w:val="en-CA"/>
        </w:rPr>
        <w:t>,</w:t>
      </w:r>
      <w:r w:rsidRPr="00145125">
        <w:rPr>
          <w:lang w:val="en-CA"/>
        </w:rPr>
        <w:t xml:space="preserve"> [1991] 2 S</w:t>
      </w:r>
      <w:r w:rsidR="00E63024" w:rsidRPr="00145125">
        <w:rPr>
          <w:lang w:val="en-CA"/>
        </w:rPr>
        <w:t>.</w:t>
      </w:r>
      <w:r w:rsidRPr="00145125">
        <w:rPr>
          <w:lang w:val="en-CA"/>
        </w:rPr>
        <w:t>C</w:t>
      </w:r>
      <w:r w:rsidR="00E63024" w:rsidRPr="00145125">
        <w:rPr>
          <w:lang w:val="en-CA"/>
        </w:rPr>
        <w:t>.</w:t>
      </w:r>
      <w:r w:rsidRPr="00145125">
        <w:rPr>
          <w:lang w:val="en-CA"/>
        </w:rPr>
        <w:t>R</w:t>
      </w:r>
      <w:r w:rsidR="00E63024" w:rsidRPr="00145125">
        <w:rPr>
          <w:lang w:val="en-CA"/>
        </w:rPr>
        <w:t>.</w:t>
      </w:r>
      <w:r w:rsidRPr="00145125">
        <w:rPr>
          <w:lang w:val="en-CA"/>
        </w:rPr>
        <w:t xml:space="preserve"> 158.</w:t>
      </w:r>
    </w:p>
  </w:footnote>
  <w:footnote w:id="17">
    <w:p w14:paraId="275E082B" w14:textId="7C242F9B" w:rsidR="006A54A6" w:rsidRPr="00145125" w:rsidRDefault="004351B0" w:rsidP="006A54A6">
      <w:pPr>
        <w:pStyle w:val="Notedebasdepage"/>
        <w:rPr>
          <w:lang w:val="es-ES"/>
        </w:rPr>
      </w:pPr>
      <w:r w:rsidRPr="00076CA5">
        <w:rPr>
          <w:rStyle w:val="Appelnotedebasdep"/>
          <w:lang w:val="en-CA"/>
        </w:rPr>
        <w:footnoteRef/>
      </w:r>
      <w:r w:rsidRPr="00145125">
        <w:rPr>
          <w:lang w:val="en-CA"/>
        </w:rPr>
        <w:t xml:space="preserve"> </w:t>
      </w:r>
      <w:r w:rsidRPr="00145125">
        <w:rPr>
          <w:lang w:val="en-CA"/>
        </w:rPr>
        <w:tab/>
      </w:r>
      <w:r w:rsidR="00D85806" w:rsidRPr="00F86AA3">
        <w:rPr>
          <w:i/>
          <w:iCs/>
          <w:lang w:val="en-CA"/>
        </w:rPr>
        <w:t xml:space="preserve">Reference re Prov. </w:t>
      </w:r>
      <w:r w:rsidR="00D85806" w:rsidRPr="00145125">
        <w:rPr>
          <w:i/>
          <w:iCs/>
          <w:lang w:val="es-CL"/>
        </w:rPr>
        <w:t>Electoral Boundaries (Sask.)</w:t>
      </w:r>
      <w:r w:rsidR="00D85806" w:rsidRPr="00145125">
        <w:rPr>
          <w:lang w:val="es-CL"/>
        </w:rPr>
        <w:t>,</w:t>
      </w:r>
      <w:r w:rsidRPr="00076CA5">
        <w:rPr>
          <w:lang w:val="es-ES"/>
        </w:rPr>
        <w:t xml:space="preserve"> sec. 14</w:t>
      </w:r>
      <w:r w:rsidR="00D85806">
        <w:rPr>
          <w:lang w:val="es-ES"/>
        </w:rPr>
        <w:t>,</w:t>
      </w:r>
      <w:r w:rsidRPr="00076CA5">
        <w:rPr>
          <w:lang w:val="es-ES"/>
        </w:rPr>
        <w:t xml:space="preserve"> para. </w:t>
      </w:r>
      <w:r w:rsidRPr="00145125">
        <w:rPr>
          <w:lang w:val="es-ES"/>
        </w:rPr>
        <w:t>2.</w:t>
      </w:r>
    </w:p>
  </w:footnote>
  <w:footnote w:id="18">
    <w:p w14:paraId="1132ACA4" w14:textId="1872F840" w:rsidR="006D4B37" w:rsidRPr="00145125" w:rsidRDefault="004351B0" w:rsidP="006D4B37">
      <w:pPr>
        <w:pStyle w:val="Notedebasdepage"/>
        <w:rPr>
          <w:lang w:val="es-ES"/>
        </w:rPr>
      </w:pPr>
      <w:r w:rsidRPr="00076CA5">
        <w:rPr>
          <w:rStyle w:val="Appelnotedebasdep"/>
          <w:lang w:val="en-CA"/>
        </w:rPr>
        <w:footnoteRef/>
      </w:r>
      <w:r w:rsidRPr="00145125">
        <w:rPr>
          <w:lang w:val="es-ES"/>
        </w:rPr>
        <w:t xml:space="preserve"> </w:t>
      </w:r>
      <w:r w:rsidRPr="00145125">
        <w:rPr>
          <w:lang w:val="es-ES"/>
        </w:rPr>
        <w:tab/>
      </w:r>
      <w:r w:rsidRPr="00145125">
        <w:rPr>
          <w:i/>
          <w:iCs/>
          <w:lang w:val="es-ES"/>
        </w:rPr>
        <w:t>Election Act</w:t>
      </w:r>
      <w:r w:rsidRPr="00145125">
        <w:rPr>
          <w:lang w:val="es-ES"/>
        </w:rPr>
        <w:t xml:space="preserve">, </w:t>
      </w:r>
      <w:r w:rsidRPr="00145125">
        <w:rPr>
          <w:i/>
          <w:iCs/>
          <w:lang w:val="es-ES"/>
        </w:rPr>
        <w:t>supra</w:t>
      </w:r>
      <w:r w:rsidRPr="00145125">
        <w:rPr>
          <w:lang w:val="es-ES"/>
        </w:rPr>
        <w:t xml:space="preserve"> note </w:t>
      </w:r>
      <w:r w:rsidRPr="00076CA5">
        <w:rPr>
          <w:lang w:val="en-CA"/>
        </w:rPr>
        <w:fldChar w:fldCharType="begin"/>
      </w:r>
      <w:r w:rsidRPr="00145125">
        <w:rPr>
          <w:lang w:val="es-ES"/>
        </w:rPr>
        <w:instrText xml:space="preserve"> NOTEREF _Ref213746570 \h  \* MERGEFORMAT </w:instrText>
      </w:r>
      <w:r w:rsidRPr="00076CA5">
        <w:rPr>
          <w:lang w:val="en-CA"/>
        </w:rPr>
      </w:r>
      <w:r w:rsidRPr="00076CA5">
        <w:rPr>
          <w:lang w:val="en-CA"/>
        </w:rPr>
        <w:fldChar w:fldCharType="separate"/>
      </w:r>
      <w:r w:rsidR="00990DD2">
        <w:rPr>
          <w:lang w:val="es-ES"/>
        </w:rPr>
        <w:t>3</w:t>
      </w:r>
      <w:r w:rsidRPr="00076CA5">
        <w:rPr>
          <w:lang w:val="en-CA"/>
        </w:rPr>
        <w:fldChar w:fldCharType="end"/>
      </w:r>
      <w:r w:rsidRPr="00145125">
        <w:rPr>
          <w:lang w:val="es-ES"/>
        </w:rPr>
        <w:t>, s. 14</w:t>
      </w:r>
      <w:r w:rsidR="0022648D" w:rsidRPr="00145125">
        <w:rPr>
          <w:lang w:val="es-ES"/>
        </w:rPr>
        <w:t>,</w:t>
      </w:r>
      <w:r w:rsidRPr="00145125">
        <w:rPr>
          <w:lang w:val="es-ES"/>
        </w:rPr>
        <w:t xml:space="preserve"> para. 2.</w:t>
      </w:r>
    </w:p>
  </w:footnote>
  <w:footnote w:id="19">
    <w:p w14:paraId="6015D64F" w14:textId="7566AD3E" w:rsidR="006D4B37" w:rsidRPr="00145125" w:rsidRDefault="004351B0" w:rsidP="006D4B37">
      <w:pPr>
        <w:pStyle w:val="Notedebasdepage"/>
        <w:rPr>
          <w:lang w:val="es-CL"/>
        </w:rPr>
      </w:pPr>
      <w:r w:rsidRPr="00076CA5">
        <w:rPr>
          <w:rStyle w:val="Appelnotedebasdep"/>
          <w:lang w:val="en-CA"/>
        </w:rPr>
        <w:footnoteRef/>
      </w:r>
      <w:r w:rsidRPr="00145125">
        <w:rPr>
          <w:lang w:val="es-ES"/>
        </w:rPr>
        <w:t xml:space="preserve"> </w:t>
      </w:r>
      <w:r w:rsidRPr="00145125">
        <w:rPr>
          <w:lang w:val="es-ES"/>
        </w:rPr>
        <w:tab/>
      </w:r>
      <w:r w:rsidR="00915D2E" w:rsidRPr="00145125">
        <w:rPr>
          <w:i/>
          <w:iCs/>
          <w:lang w:val="es-CL"/>
        </w:rPr>
        <w:t>Id.</w:t>
      </w:r>
      <w:r w:rsidRPr="00145125">
        <w:rPr>
          <w:lang w:val="es-CL"/>
        </w:rPr>
        <w:t xml:space="preserve">, </w:t>
      </w:r>
      <w:r w:rsidR="0022648D" w:rsidRPr="00145125">
        <w:rPr>
          <w:lang w:val="es-CL"/>
        </w:rPr>
        <w:t xml:space="preserve">s. </w:t>
      </w:r>
      <w:r w:rsidRPr="00145125">
        <w:rPr>
          <w:lang w:val="es-CL"/>
        </w:rPr>
        <w:t>16</w:t>
      </w:r>
      <w:r w:rsidRPr="00145125">
        <w:rPr>
          <w:i/>
          <w:iCs/>
          <w:lang w:val="es-CL"/>
        </w:rPr>
        <w:t>.</w:t>
      </w:r>
    </w:p>
  </w:footnote>
  <w:footnote w:id="20">
    <w:p w14:paraId="40CB8085" w14:textId="452BB400" w:rsidR="006D4B37" w:rsidRPr="00145125" w:rsidRDefault="004351B0" w:rsidP="006D4B37">
      <w:pPr>
        <w:pStyle w:val="Notedebasdepage"/>
        <w:rPr>
          <w:lang w:val="es-CL"/>
        </w:rPr>
      </w:pPr>
      <w:r w:rsidRPr="00076CA5">
        <w:rPr>
          <w:rStyle w:val="Appelnotedebasdep"/>
          <w:lang w:val="en-CA"/>
        </w:rPr>
        <w:footnoteRef/>
      </w:r>
      <w:r w:rsidRPr="00145125">
        <w:rPr>
          <w:lang w:val="es-CL"/>
        </w:rPr>
        <w:t xml:space="preserve"> </w:t>
      </w:r>
      <w:r w:rsidRPr="00145125">
        <w:rPr>
          <w:lang w:val="es-CL"/>
        </w:rPr>
        <w:tab/>
      </w:r>
      <w:r w:rsidR="00915D2E" w:rsidRPr="00145125">
        <w:rPr>
          <w:i/>
          <w:iCs/>
          <w:lang w:val="es-CL"/>
        </w:rPr>
        <w:t>Id.</w:t>
      </w:r>
      <w:r w:rsidR="0010182E">
        <w:rPr>
          <w:lang w:val="es-CL"/>
        </w:rPr>
        <w:t>,</w:t>
      </w:r>
      <w:r w:rsidRPr="00145125">
        <w:rPr>
          <w:lang w:val="es-CL"/>
        </w:rPr>
        <w:t xml:space="preserve"> s. 17</w:t>
      </w:r>
      <w:r w:rsidR="0022648D" w:rsidRPr="00145125">
        <w:rPr>
          <w:lang w:val="es-CL"/>
        </w:rPr>
        <w:t>,</w:t>
      </w:r>
      <w:r w:rsidRPr="00145125">
        <w:rPr>
          <w:lang w:val="es-CL"/>
        </w:rPr>
        <w:t xml:space="preserve"> para. 1.</w:t>
      </w:r>
    </w:p>
  </w:footnote>
  <w:footnote w:id="21">
    <w:p w14:paraId="5A0E56C4" w14:textId="38A5488E" w:rsidR="006D4B37" w:rsidRPr="00076CA5" w:rsidRDefault="004351B0" w:rsidP="006D4B37">
      <w:pPr>
        <w:pStyle w:val="Notedebasdepage"/>
        <w:rPr>
          <w:lang w:val="en-CA"/>
        </w:rPr>
      </w:pPr>
      <w:r w:rsidRPr="00076CA5">
        <w:rPr>
          <w:rStyle w:val="Appelnotedebasdep"/>
          <w:lang w:val="en-CA"/>
        </w:rPr>
        <w:footnoteRef/>
      </w:r>
      <w:r w:rsidRPr="00145125">
        <w:rPr>
          <w:lang w:val="es-CL"/>
        </w:rPr>
        <w:t xml:space="preserve"> </w:t>
      </w:r>
      <w:r w:rsidRPr="00145125">
        <w:rPr>
          <w:lang w:val="es-CL"/>
        </w:rPr>
        <w:tab/>
      </w:r>
      <w:r w:rsidR="00915D2E" w:rsidRPr="00145125">
        <w:rPr>
          <w:i/>
          <w:iCs/>
          <w:lang w:val="es-CL"/>
        </w:rPr>
        <w:t>Id.</w:t>
      </w:r>
      <w:r w:rsidR="0010182E">
        <w:rPr>
          <w:lang w:val="es-CL"/>
        </w:rPr>
        <w:t>,</w:t>
      </w:r>
      <w:r w:rsidRPr="00145125">
        <w:rPr>
          <w:lang w:val="es-CL"/>
        </w:rPr>
        <w:t xml:space="preserve"> s. 17</w:t>
      </w:r>
      <w:r w:rsidR="0022648D" w:rsidRPr="00145125">
        <w:rPr>
          <w:lang w:val="es-CL"/>
        </w:rPr>
        <w:t>,</w:t>
      </w:r>
      <w:r w:rsidRPr="00145125">
        <w:rPr>
          <w:lang w:val="es-CL"/>
        </w:rPr>
        <w:t xml:space="preserve"> para. </w:t>
      </w:r>
      <w:r w:rsidRPr="00076CA5">
        <w:rPr>
          <w:lang w:val="en-CA"/>
        </w:rPr>
        <w:t>2.</w:t>
      </w:r>
    </w:p>
  </w:footnote>
  <w:footnote w:id="22">
    <w:p w14:paraId="33CB64F6" w14:textId="60829E3C"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Judgment under appeal,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3E58C4">
        <w:rPr>
          <w:lang w:val="en-CA"/>
        </w:rPr>
        <w:t>,</w:t>
      </w:r>
      <w:r w:rsidR="00915D2E" w:rsidRPr="00076CA5">
        <w:rPr>
          <w:lang w:val="en-CA"/>
        </w:rPr>
        <w:t xml:space="preserve"> para</w:t>
      </w:r>
      <w:r w:rsidRPr="00076CA5">
        <w:rPr>
          <w:lang w:val="en-CA"/>
        </w:rPr>
        <w:t>. 17, which uses the number 50 without referring to a source, but see the Commission</w:t>
      </w:r>
      <w:r w:rsidR="00C50556">
        <w:rPr>
          <w:lang w:val="en-CA"/>
        </w:rPr>
        <w:t>’</w:t>
      </w:r>
      <w:r w:rsidRPr="00076CA5">
        <w:rPr>
          <w:lang w:val="en-CA"/>
        </w:rPr>
        <w:t>s Preliminary Report, p. 32.</w:t>
      </w:r>
    </w:p>
  </w:footnote>
  <w:footnote w:id="23">
    <w:p w14:paraId="1CECFBEC" w14:textId="4AAD7FCC"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Judgment under appeal,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3E58C4">
        <w:rPr>
          <w:lang w:val="en-CA"/>
        </w:rPr>
        <w:t>,</w:t>
      </w:r>
      <w:r w:rsidR="00915D2E" w:rsidRPr="00076CA5">
        <w:rPr>
          <w:lang w:val="en-CA"/>
        </w:rPr>
        <w:t xml:space="preserve"> para</w:t>
      </w:r>
      <w:r w:rsidRPr="00076CA5">
        <w:rPr>
          <w:lang w:val="en-CA"/>
        </w:rPr>
        <w:t>. 18.</w:t>
      </w:r>
    </w:p>
  </w:footnote>
  <w:footnote w:id="24">
    <w:p w14:paraId="4A895C4F" w14:textId="70726BCB"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915D2E" w:rsidRPr="00076CA5">
        <w:rPr>
          <w:i/>
          <w:iCs/>
          <w:lang w:val="en-CA"/>
        </w:rPr>
        <w:t>Id.</w:t>
      </w:r>
      <w:r w:rsidR="003E58C4">
        <w:rPr>
          <w:lang w:val="en-CA"/>
        </w:rPr>
        <w:t>,</w:t>
      </w:r>
      <w:r w:rsidR="00915D2E" w:rsidRPr="00076CA5">
        <w:rPr>
          <w:lang w:val="en-CA"/>
        </w:rPr>
        <w:t xml:space="preserve"> para</w:t>
      </w:r>
      <w:r w:rsidRPr="00076CA5">
        <w:rPr>
          <w:lang w:val="en-CA"/>
        </w:rPr>
        <w:t>s. 24 and 28.</w:t>
      </w:r>
    </w:p>
  </w:footnote>
  <w:footnote w:id="25">
    <w:p w14:paraId="12A718CB" w14:textId="2E70A67F"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915D2E" w:rsidRPr="00076CA5">
        <w:rPr>
          <w:i/>
          <w:iCs/>
          <w:lang w:val="en-CA"/>
        </w:rPr>
        <w:t>Id.</w:t>
      </w:r>
      <w:r w:rsidR="003E58C4">
        <w:rPr>
          <w:lang w:val="en-CA"/>
        </w:rPr>
        <w:t>,</w:t>
      </w:r>
      <w:r w:rsidR="00915D2E" w:rsidRPr="00076CA5">
        <w:rPr>
          <w:lang w:val="en-CA"/>
        </w:rPr>
        <w:t xml:space="preserve"> para</w:t>
      </w:r>
      <w:r w:rsidRPr="00076CA5">
        <w:rPr>
          <w:lang w:val="en-CA"/>
        </w:rPr>
        <w:t>. 27.</w:t>
      </w:r>
    </w:p>
  </w:footnote>
  <w:footnote w:id="26">
    <w:p w14:paraId="2F6EF246" w14:textId="19207912"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915D2E" w:rsidRPr="00076CA5">
        <w:rPr>
          <w:i/>
          <w:iCs/>
          <w:lang w:val="en-CA"/>
        </w:rPr>
        <w:t>Id.</w:t>
      </w:r>
      <w:r w:rsidR="003E58C4">
        <w:rPr>
          <w:lang w:val="en-CA"/>
        </w:rPr>
        <w:t>,</w:t>
      </w:r>
      <w:r w:rsidR="00915D2E" w:rsidRPr="00076CA5">
        <w:rPr>
          <w:lang w:val="en-CA"/>
        </w:rPr>
        <w:t xml:space="preserve"> para</w:t>
      </w:r>
      <w:r w:rsidRPr="00076CA5">
        <w:rPr>
          <w:lang w:val="en-CA"/>
        </w:rPr>
        <w:t>. 28.</w:t>
      </w:r>
    </w:p>
  </w:footnote>
  <w:footnote w:id="27">
    <w:p w14:paraId="4E5128B1" w14:textId="0D4C84C4"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915D2E" w:rsidRPr="00076CA5">
        <w:rPr>
          <w:i/>
          <w:iCs/>
          <w:lang w:val="en-CA"/>
        </w:rPr>
        <w:t>Id.</w:t>
      </w:r>
      <w:r w:rsidR="003E58C4">
        <w:rPr>
          <w:lang w:val="en-CA"/>
        </w:rPr>
        <w:t>,</w:t>
      </w:r>
      <w:r w:rsidR="00915D2E" w:rsidRPr="00076CA5">
        <w:rPr>
          <w:lang w:val="en-CA"/>
        </w:rPr>
        <w:t xml:space="preserve"> para</w:t>
      </w:r>
      <w:r w:rsidRPr="00076CA5">
        <w:rPr>
          <w:lang w:val="en-CA"/>
        </w:rPr>
        <w:t>. 31.</w:t>
      </w:r>
    </w:p>
  </w:footnote>
  <w:footnote w:id="28">
    <w:p w14:paraId="1A92F029" w14:textId="6408E6A4"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Election Act</w:t>
      </w:r>
      <w:r w:rsidRPr="00076CA5">
        <w:rPr>
          <w:lang w:val="en-CA"/>
        </w:rPr>
        <w:t xml:space="preserve">,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_Ref213746570 \h  \* MERGEFORMAT </w:instrText>
      </w:r>
      <w:r w:rsidRPr="00076CA5">
        <w:rPr>
          <w:lang w:val="en-CA"/>
        </w:rPr>
      </w:r>
      <w:r w:rsidRPr="00076CA5">
        <w:rPr>
          <w:lang w:val="en-CA"/>
        </w:rPr>
        <w:fldChar w:fldCharType="separate"/>
      </w:r>
      <w:r w:rsidR="00990DD2">
        <w:rPr>
          <w:lang w:val="en-CA"/>
        </w:rPr>
        <w:t>3</w:t>
      </w:r>
      <w:r w:rsidRPr="00076CA5">
        <w:rPr>
          <w:lang w:val="en-CA"/>
        </w:rPr>
        <w:fldChar w:fldCharType="end"/>
      </w:r>
      <w:r w:rsidRPr="00076CA5">
        <w:rPr>
          <w:lang w:val="en-CA"/>
        </w:rPr>
        <w:t>.</w:t>
      </w:r>
    </w:p>
  </w:footnote>
  <w:footnote w:id="29">
    <w:p w14:paraId="121410EA" w14:textId="3DB67DA5" w:rsidR="006D4B37" w:rsidRPr="0014512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Judgment under appeal,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3E58C4">
        <w:rPr>
          <w:lang w:val="en-CA"/>
        </w:rPr>
        <w:t>,</w:t>
      </w:r>
      <w:r w:rsidR="00CD6218" w:rsidRPr="00076CA5">
        <w:rPr>
          <w:lang w:val="en-CA"/>
        </w:rPr>
        <w:t xml:space="preserve"> </w:t>
      </w:r>
      <w:r w:rsidR="00915D2E" w:rsidRPr="00076CA5">
        <w:rPr>
          <w:lang w:val="en-CA"/>
        </w:rPr>
        <w:t>para</w:t>
      </w:r>
      <w:r w:rsidRPr="00076CA5">
        <w:rPr>
          <w:lang w:val="en-CA"/>
        </w:rPr>
        <w:t xml:space="preserve">s. </w:t>
      </w:r>
      <w:r w:rsidRPr="00145125">
        <w:rPr>
          <w:lang w:val="en-CA"/>
        </w:rPr>
        <w:t>31 and 32.</w:t>
      </w:r>
    </w:p>
  </w:footnote>
  <w:footnote w:id="30">
    <w:p w14:paraId="26D9A771" w14:textId="7F640198" w:rsidR="006D4B37" w:rsidRPr="00350287" w:rsidRDefault="004351B0" w:rsidP="006D4B37">
      <w:pPr>
        <w:pStyle w:val="Notedebasdepage"/>
      </w:pPr>
      <w:r w:rsidRPr="00076CA5">
        <w:rPr>
          <w:rStyle w:val="Appelnotedebasdep"/>
          <w:lang w:val="en-CA"/>
        </w:rPr>
        <w:footnoteRef/>
      </w:r>
      <w:r w:rsidRPr="00350287">
        <w:t xml:space="preserve"> </w:t>
      </w:r>
      <w:r w:rsidRPr="00350287">
        <w:tab/>
      </w:r>
      <w:r w:rsidR="00915D2E" w:rsidRPr="00350287">
        <w:rPr>
          <w:i/>
          <w:iCs/>
        </w:rPr>
        <w:t>Id.</w:t>
      </w:r>
      <w:r w:rsidR="003E58C4" w:rsidRPr="00350287">
        <w:t>,</w:t>
      </w:r>
      <w:r w:rsidR="00915D2E" w:rsidRPr="00350287">
        <w:t xml:space="preserve"> para</w:t>
      </w:r>
      <w:r w:rsidRPr="00350287">
        <w:t>. 33.</w:t>
      </w:r>
    </w:p>
  </w:footnote>
  <w:footnote w:id="31">
    <w:p w14:paraId="06F96A01" w14:textId="7DCF8F57" w:rsidR="006D4B37" w:rsidRPr="00350287" w:rsidRDefault="004351B0" w:rsidP="006D4B37">
      <w:pPr>
        <w:pStyle w:val="Notedebasdepage"/>
      </w:pPr>
      <w:r w:rsidRPr="00076CA5">
        <w:rPr>
          <w:rStyle w:val="Appelnotedebasdep"/>
          <w:lang w:val="en-CA"/>
        </w:rPr>
        <w:footnoteRef/>
      </w:r>
      <w:r w:rsidRPr="003E58C4">
        <w:t xml:space="preserve"> </w:t>
      </w:r>
      <w:r w:rsidRPr="003E58C4">
        <w:tab/>
      </w:r>
      <w:r w:rsidRPr="003E58C4">
        <w:rPr>
          <w:i/>
          <w:iCs/>
        </w:rPr>
        <w:t>Journal des débats de l’Assemblée nationale</w:t>
      </w:r>
      <w:r w:rsidRPr="003E58C4">
        <w:t xml:space="preserve">, May 2, 2024, pp. 4–7; Judgment under appeal, </w:t>
      </w:r>
      <w:r w:rsidRPr="003E58C4">
        <w:rPr>
          <w:i/>
          <w:iCs/>
        </w:rPr>
        <w:t>supra</w:t>
      </w:r>
      <w:r w:rsidRPr="003E58C4">
        <w:t xml:space="preserve"> note </w:t>
      </w:r>
      <w:r w:rsidRPr="00076CA5">
        <w:rPr>
          <w:lang w:val="en-CA"/>
        </w:rPr>
        <w:fldChar w:fldCharType="begin"/>
      </w:r>
      <w:r w:rsidRPr="003E58C4">
        <w:instrText xml:space="preserve"> NOTEREF _Ref213243925 \h  \* MERGEFORMAT </w:instrText>
      </w:r>
      <w:r w:rsidRPr="00076CA5">
        <w:rPr>
          <w:lang w:val="en-CA"/>
        </w:rPr>
      </w:r>
      <w:r w:rsidRPr="00076CA5">
        <w:rPr>
          <w:lang w:val="en-CA"/>
        </w:rPr>
        <w:fldChar w:fldCharType="separate"/>
      </w:r>
      <w:r w:rsidR="00990DD2">
        <w:t>1</w:t>
      </w:r>
      <w:r w:rsidRPr="00076CA5">
        <w:rPr>
          <w:lang w:val="en-CA"/>
        </w:rPr>
        <w:fldChar w:fldCharType="end"/>
      </w:r>
      <w:r w:rsidR="003E58C4" w:rsidRPr="003E58C4">
        <w:t>,</w:t>
      </w:r>
      <w:r w:rsidR="00915D2E" w:rsidRPr="003E58C4">
        <w:t xml:space="preserve"> para</w:t>
      </w:r>
      <w:r w:rsidRPr="003E58C4">
        <w:t xml:space="preserve">. </w:t>
      </w:r>
      <w:r w:rsidRPr="00350287">
        <w:t>33.</w:t>
      </w:r>
    </w:p>
  </w:footnote>
  <w:footnote w:id="32">
    <w:p w14:paraId="29645493" w14:textId="07955689" w:rsidR="006D4B37" w:rsidRPr="00076CA5" w:rsidRDefault="004351B0" w:rsidP="006D4B37">
      <w:pPr>
        <w:pStyle w:val="Notedebasdepage"/>
      </w:pPr>
      <w:r w:rsidRPr="00076CA5">
        <w:rPr>
          <w:rStyle w:val="Appelnotedebasdep"/>
          <w:lang w:val="en-CA"/>
        </w:rPr>
        <w:footnoteRef/>
      </w:r>
      <w:r w:rsidRPr="00350287">
        <w:t xml:space="preserve"> </w:t>
      </w:r>
      <w:r w:rsidRPr="00350287">
        <w:tab/>
        <w:t>Judgment under appeal,</w:t>
      </w:r>
      <w:r w:rsidRPr="00350287">
        <w:rPr>
          <w:i/>
          <w:iCs/>
        </w:rPr>
        <w:t xml:space="preserve"> supra</w:t>
      </w:r>
      <w:r w:rsidRPr="00350287">
        <w:t xml:space="preserve"> note </w:t>
      </w:r>
      <w:r w:rsidRPr="00076CA5">
        <w:rPr>
          <w:lang w:val="en-CA"/>
        </w:rPr>
        <w:fldChar w:fldCharType="begin"/>
      </w:r>
      <w:r w:rsidRPr="00350287">
        <w:instrText xml:space="preserve"> NOTEREF _Ref213243925 \h  \* MERGEFORMAT </w:instrText>
      </w:r>
      <w:r w:rsidRPr="00076CA5">
        <w:rPr>
          <w:lang w:val="en-CA"/>
        </w:rPr>
      </w:r>
      <w:r w:rsidRPr="00076CA5">
        <w:rPr>
          <w:lang w:val="en-CA"/>
        </w:rPr>
        <w:fldChar w:fldCharType="separate"/>
      </w:r>
      <w:r w:rsidR="00990DD2">
        <w:t>1</w:t>
      </w:r>
      <w:r w:rsidRPr="00076CA5">
        <w:rPr>
          <w:lang w:val="en-CA"/>
        </w:rPr>
        <w:fldChar w:fldCharType="end"/>
      </w:r>
      <w:r w:rsidR="003E58C4" w:rsidRPr="00350287">
        <w:t>,</w:t>
      </w:r>
      <w:r w:rsidR="00915D2E" w:rsidRPr="00350287">
        <w:t xml:space="preserve"> para</w:t>
      </w:r>
      <w:r w:rsidRPr="00350287">
        <w:t xml:space="preserve">. </w:t>
      </w:r>
      <w:r w:rsidRPr="00076CA5">
        <w:t>33.</w:t>
      </w:r>
    </w:p>
  </w:footnote>
  <w:footnote w:id="33">
    <w:p w14:paraId="090D4553" w14:textId="1D7ABEA2" w:rsidR="006D4B37" w:rsidRPr="00076CA5" w:rsidRDefault="004351B0" w:rsidP="006D4B37">
      <w:pPr>
        <w:pStyle w:val="Notedebasdepage"/>
      </w:pPr>
      <w:r w:rsidRPr="00076CA5">
        <w:rPr>
          <w:rStyle w:val="Appelnotedebasdep"/>
          <w:lang w:val="en-CA"/>
        </w:rPr>
        <w:footnoteRef/>
      </w:r>
      <w:r w:rsidRPr="00076CA5">
        <w:t xml:space="preserve"> </w:t>
      </w:r>
      <w:r w:rsidRPr="00076CA5">
        <w:tab/>
      </w:r>
      <w:r w:rsidRPr="00076CA5">
        <w:rPr>
          <w:i/>
          <w:iCs/>
        </w:rPr>
        <w:t xml:space="preserve">Lalande </w:t>
      </w:r>
      <w:r w:rsidR="00CD6218" w:rsidRPr="00145125">
        <w:rPr>
          <w:i/>
          <w:iCs/>
        </w:rPr>
        <w:t>c</w:t>
      </w:r>
      <w:r w:rsidRPr="00076CA5">
        <w:rPr>
          <w:i/>
          <w:iCs/>
        </w:rPr>
        <w:t xml:space="preserve">. </w:t>
      </w:r>
      <w:r w:rsidR="00CD6218" w:rsidRPr="00076CA5">
        <w:rPr>
          <w:i/>
          <w:iCs/>
        </w:rPr>
        <w:t>Procureur général du Québec</w:t>
      </w:r>
      <w:r w:rsidRPr="00076CA5">
        <w:t>, 2024 QCCS 4418.</w:t>
      </w:r>
    </w:p>
  </w:footnote>
  <w:footnote w:id="34">
    <w:p w14:paraId="5D294449" w14:textId="42D76100" w:rsidR="006D4B37" w:rsidRPr="00076CA5" w:rsidRDefault="004351B0" w:rsidP="006D4B37">
      <w:pPr>
        <w:pStyle w:val="Notedebasdepage"/>
        <w:rPr>
          <w:lang w:val="en-CA"/>
        </w:rPr>
      </w:pPr>
      <w:r w:rsidRPr="00076CA5">
        <w:rPr>
          <w:rStyle w:val="Appelnotedebasdep"/>
          <w:lang w:val="en-CA"/>
        </w:rPr>
        <w:footnoteRef/>
      </w:r>
      <w:r w:rsidRPr="003E58C4">
        <w:rPr>
          <w:lang w:val="en-CA"/>
        </w:rPr>
        <w:t xml:space="preserve"> </w:t>
      </w:r>
      <w:r w:rsidRPr="003E58C4">
        <w:rPr>
          <w:lang w:val="en-CA"/>
        </w:rPr>
        <w:tab/>
        <w:t xml:space="preserve">Judgment under appeal, </w:t>
      </w:r>
      <w:r w:rsidRPr="003E58C4">
        <w:rPr>
          <w:i/>
          <w:iCs/>
          <w:lang w:val="en-CA"/>
        </w:rPr>
        <w:t>supra</w:t>
      </w:r>
      <w:r w:rsidRPr="003E58C4">
        <w:rPr>
          <w:lang w:val="en-CA"/>
        </w:rPr>
        <w:t xml:space="preserve"> note </w:t>
      </w:r>
      <w:r w:rsidRPr="00076CA5">
        <w:rPr>
          <w:lang w:val="en-CA"/>
        </w:rPr>
        <w:fldChar w:fldCharType="begin"/>
      </w:r>
      <w:r w:rsidRPr="003E58C4">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3E58C4">
        <w:rPr>
          <w:lang w:val="en-CA"/>
        </w:rPr>
        <w:t>,</w:t>
      </w:r>
      <w:r w:rsidR="00915D2E" w:rsidRPr="003E58C4">
        <w:rPr>
          <w:lang w:val="en-CA"/>
        </w:rPr>
        <w:t xml:space="preserve"> para</w:t>
      </w:r>
      <w:r w:rsidRPr="003E58C4">
        <w:rPr>
          <w:lang w:val="en-CA"/>
        </w:rPr>
        <w:t xml:space="preserve">s. </w:t>
      </w:r>
      <w:r w:rsidRPr="00076CA5">
        <w:rPr>
          <w:lang w:val="en-CA"/>
        </w:rPr>
        <w:t>66, 67</w:t>
      </w:r>
      <w:r w:rsidR="00B66CFF">
        <w:rPr>
          <w:lang w:val="en-CA"/>
        </w:rPr>
        <w:t>,</w:t>
      </w:r>
      <w:r w:rsidRPr="00076CA5">
        <w:rPr>
          <w:lang w:val="en-CA"/>
        </w:rPr>
        <w:t xml:space="preserve"> and 107–111.</w:t>
      </w:r>
    </w:p>
  </w:footnote>
  <w:footnote w:id="35">
    <w:p w14:paraId="132D9B22" w14:textId="32CBF308"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915D2E" w:rsidRPr="00076CA5">
        <w:rPr>
          <w:i/>
          <w:iCs/>
          <w:lang w:val="en-CA"/>
        </w:rPr>
        <w:t>Id.</w:t>
      </w:r>
      <w:r w:rsidR="003E58C4">
        <w:rPr>
          <w:lang w:val="en-CA"/>
        </w:rPr>
        <w:t>,</w:t>
      </w:r>
      <w:r w:rsidR="00915D2E" w:rsidRPr="00076CA5">
        <w:rPr>
          <w:lang w:val="en-CA"/>
        </w:rPr>
        <w:t xml:space="preserve"> para</w:t>
      </w:r>
      <w:r w:rsidRPr="00076CA5">
        <w:rPr>
          <w:lang w:val="en-CA"/>
        </w:rPr>
        <w:t xml:space="preserve">. 107; </w:t>
      </w:r>
      <w:r w:rsidRPr="00076CA5">
        <w:rPr>
          <w:i/>
          <w:iCs/>
          <w:lang w:val="en-CA"/>
        </w:rPr>
        <w:t>Election Act</w:t>
      </w:r>
      <w:r w:rsidRPr="00076CA5">
        <w:rPr>
          <w:lang w:val="en-CA"/>
        </w:rPr>
        <w:t xml:space="preserve">,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_Ref213746570 \h  \* MERGEFORMAT </w:instrText>
      </w:r>
      <w:r w:rsidRPr="00076CA5">
        <w:rPr>
          <w:lang w:val="en-CA"/>
        </w:rPr>
      </w:r>
      <w:r w:rsidRPr="00076CA5">
        <w:rPr>
          <w:lang w:val="en-CA"/>
        </w:rPr>
        <w:fldChar w:fldCharType="separate"/>
      </w:r>
      <w:r w:rsidR="00990DD2">
        <w:rPr>
          <w:lang w:val="en-CA"/>
        </w:rPr>
        <w:t>3</w:t>
      </w:r>
      <w:r w:rsidRPr="00076CA5">
        <w:rPr>
          <w:lang w:val="en-CA"/>
        </w:rPr>
        <w:fldChar w:fldCharType="end"/>
      </w:r>
      <w:r w:rsidRPr="00076CA5">
        <w:rPr>
          <w:lang w:val="en-CA"/>
        </w:rPr>
        <w:t>.</w:t>
      </w:r>
    </w:p>
  </w:footnote>
  <w:footnote w:id="36">
    <w:p w14:paraId="57A52F6E" w14:textId="48CDA694"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915D2E" w:rsidRPr="00076CA5">
        <w:rPr>
          <w:i/>
          <w:iCs/>
          <w:lang w:val="en-CA"/>
        </w:rPr>
        <w:t>Id.</w:t>
      </w:r>
      <w:r w:rsidR="003E58C4">
        <w:rPr>
          <w:lang w:val="en-CA"/>
        </w:rPr>
        <w:t>,</w:t>
      </w:r>
      <w:r w:rsidRPr="00076CA5">
        <w:rPr>
          <w:lang w:val="en-CA"/>
        </w:rPr>
        <w:t xml:space="preserve"> paras. 107 and 110; </w:t>
      </w:r>
      <w:r w:rsidR="004401FB" w:rsidRPr="00145125">
        <w:rPr>
          <w:i/>
          <w:iCs/>
          <w:lang w:val="en-CA"/>
        </w:rPr>
        <w:t>Reference re Prov.</w:t>
      </w:r>
      <w:r w:rsidRPr="00076CA5">
        <w:rPr>
          <w:i/>
          <w:iCs/>
          <w:lang w:val="en-CA"/>
        </w:rPr>
        <w:t xml:space="preserve"> Elect</w:t>
      </w:r>
      <w:r w:rsidR="002F2EC8" w:rsidRPr="00076CA5">
        <w:rPr>
          <w:i/>
          <w:iCs/>
          <w:lang w:val="en-CA"/>
        </w:rPr>
        <w:t>oral</w:t>
      </w:r>
      <w:r w:rsidRPr="00076CA5">
        <w:rPr>
          <w:i/>
          <w:iCs/>
          <w:lang w:val="en-CA"/>
        </w:rPr>
        <w:t xml:space="preserve"> </w:t>
      </w:r>
      <w:r w:rsidR="002F2EC8" w:rsidRPr="00076CA5">
        <w:rPr>
          <w:i/>
          <w:iCs/>
          <w:lang w:val="en-CA"/>
        </w:rPr>
        <w:t>Boundaries</w:t>
      </w:r>
      <w:r w:rsidRPr="00076CA5">
        <w:rPr>
          <w:i/>
          <w:iCs/>
          <w:lang w:val="en-CA"/>
        </w:rPr>
        <w:t xml:space="preserve"> (Sask.)</w:t>
      </w:r>
      <w:r w:rsidRPr="00076CA5">
        <w:rPr>
          <w:lang w:val="en-CA"/>
        </w:rPr>
        <w:t>, [1991] 2 S</w:t>
      </w:r>
      <w:r w:rsidR="002F2EC8" w:rsidRPr="00076CA5">
        <w:rPr>
          <w:lang w:val="en-CA"/>
        </w:rPr>
        <w:t>.</w:t>
      </w:r>
      <w:r w:rsidRPr="00076CA5">
        <w:rPr>
          <w:lang w:val="en-CA"/>
        </w:rPr>
        <w:t>C</w:t>
      </w:r>
      <w:r w:rsidR="002F2EC8" w:rsidRPr="00076CA5">
        <w:rPr>
          <w:lang w:val="en-CA"/>
        </w:rPr>
        <w:t>.</w:t>
      </w:r>
      <w:r w:rsidRPr="00076CA5">
        <w:rPr>
          <w:lang w:val="en-CA"/>
        </w:rPr>
        <w:t>R</w:t>
      </w:r>
      <w:r w:rsidR="002F2EC8" w:rsidRPr="00076CA5">
        <w:rPr>
          <w:lang w:val="en-CA"/>
        </w:rPr>
        <w:t>.</w:t>
      </w:r>
      <w:r w:rsidRPr="00076CA5">
        <w:rPr>
          <w:lang w:val="en-CA"/>
        </w:rPr>
        <w:t xml:space="preserve"> 158.</w:t>
      </w:r>
    </w:p>
  </w:footnote>
  <w:footnote w:id="37">
    <w:p w14:paraId="7719851F" w14:textId="718104F9"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R. v. Oakes</w:t>
      </w:r>
      <w:r w:rsidRPr="00076CA5">
        <w:rPr>
          <w:lang w:val="en-CA"/>
        </w:rPr>
        <w:t>, [1986] 1 S</w:t>
      </w:r>
      <w:r w:rsidR="002F2EC8" w:rsidRPr="00076CA5">
        <w:rPr>
          <w:lang w:val="en-CA"/>
        </w:rPr>
        <w:t>.</w:t>
      </w:r>
      <w:r w:rsidRPr="00076CA5">
        <w:rPr>
          <w:lang w:val="en-CA"/>
        </w:rPr>
        <w:t>C</w:t>
      </w:r>
      <w:r w:rsidR="002F2EC8" w:rsidRPr="00076CA5">
        <w:rPr>
          <w:lang w:val="en-CA"/>
        </w:rPr>
        <w:t>.</w:t>
      </w:r>
      <w:r w:rsidRPr="00076CA5">
        <w:rPr>
          <w:lang w:val="en-CA"/>
        </w:rPr>
        <w:t>R</w:t>
      </w:r>
      <w:r w:rsidR="002F2EC8" w:rsidRPr="00076CA5">
        <w:rPr>
          <w:lang w:val="en-CA"/>
        </w:rPr>
        <w:t>.</w:t>
      </w:r>
      <w:r w:rsidRPr="00076CA5">
        <w:rPr>
          <w:lang w:val="en-CA"/>
        </w:rPr>
        <w:t xml:space="preserve"> 103 [</w:t>
      </w:r>
      <w:r w:rsidRPr="00076CA5">
        <w:rPr>
          <w:i/>
          <w:iCs/>
          <w:lang w:val="en-CA"/>
        </w:rPr>
        <w:t>Oakes</w:t>
      </w:r>
      <w:r w:rsidRPr="00076CA5">
        <w:rPr>
          <w:lang w:val="en-CA"/>
        </w:rPr>
        <w:t>].</w:t>
      </w:r>
    </w:p>
  </w:footnote>
  <w:footnote w:id="38">
    <w:p w14:paraId="2914E143" w14:textId="42C06429" w:rsidR="006D4B37" w:rsidRPr="00350287" w:rsidRDefault="004351B0" w:rsidP="006D4B37">
      <w:pPr>
        <w:pStyle w:val="Notedebasdepage"/>
        <w:rPr>
          <w:lang w:val="es-CL"/>
        </w:rPr>
      </w:pPr>
      <w:r w:rsidRPr="00076CA5">
        <w:rPr>
          <w:rStyle w:val="Appelnotedebasdep"/>
          <w:lang w:val="en-CA"/>
        </w:rPr>
        <w:footnoteRef/>
      </w:r>
      <w:r w:rsidRPr="00076CA5">
        <w:rPr>
          <w:lang w:val="en-CA"/>
        </w:rPr>
        <w:t xml:space="preserve"> </w:t>
      </w:r>
      <w:r w:rsidRPr="00076CA5">
        <w:rPr>
          <w:lang w:val="en-CA"/>
        </w:rPr>
        <w:tab/>
        <w:t xml:space="preserve">Judgment under appeal,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3E58C4">
        <w:rPr>
          <w:lang w:val="en-CA"/>
        </w:rPr>
        <w:t>,</w:t>
      </w:r>
      <w:r w:rsidR="00915D2E" w:rsidRPr="00076CA5">
        <w:rPr>
          <w:lang w:val="en-CA"/>
        </w:rPr>
        <w:t xml:space="preserve"> para</w:t>
      </w:r>
      <w:r w:rsidRPr="00076CA5">
        <w:rPr>
          <w:lang w:val="en-CA"/>
        </w:rPr>
        <w:t xml:space="preserve">. </w:t>
      </w:r>
      <w:r w:rsidRPr="00350287">
        <w:rPr>
          <w:lang w:val="es-CL"/>
        </w:rPr>
        <w:t>112.</w:t>
      </w:r>
    </w:p>
  </w:footnote>
  <w:footnote w:id="39">
    <w:p w14:paraId="21128981" w14:textId="0924B98A"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003E58C4" w:rsidRPr="00350287">
        <w:rPr>
          <w:lang w:val="es-CL"/>
        </w:rPr>
        <w:t>,</w:t>
      </w:r>
      <w:r w:rsidR="00915D2E" w:rsidRPr="00350287">
        <w:rPr>
          <w:lang w:val="es-CL"/>
        </w:rPr>
        <w:t xml:space="preserve"> para</w:t>
      </w:r>
      <w:r w:rsidRPr="00350287">
        <w:rPr>
          <w:lang w:val="es-CL"/>
        </w:rPr>
        <w:t>. 120.</w:t>
      </w:r>
    </w:p>
  </w:footnote>
  <w:footnote w:id="40">
    <w:p w14:paraId="5F31DC40" w14:textId="26DDEDDE"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003E58C4" w:rsidRPr="00350287">
        <w:rPr>
          <w:lang w:val="es-CL"/>
        </w:rPr>
        <w:t>,</w:t>
      </w:r>
      <w:r w:rsidR="00915D2E" w:rsidRPr="00350287">
        <w:rPr>
          <w:lang w:val="es-CL"/>
        </w:rPr>
        <w:t xml:space="preserve"> para</w:t>
      </w:r>
      <w:r w:rsidRPr="00350287">
        <w:rPr>
          <w:lang w:val="es-CL"/>
        </w:rPr>
        <w:t xml:space="preserve">. 123. </w:t>
      </w:r>
    </w:p>
  </w:footnote>
  <w:footnote w:id="41">
    <w:p w14:paraId="16DB5A8B" w14:textId="7A5AB9D0"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003E58C4" w:rsidRPr="00350287">
        <w:rPr>
          <w:lang w:val="es-CL"/>
        </w:rPr>
        <w:t>,</w:t>
      </w:r>
      <w:r w:rsidR="00915D2E" w:rsidRPr="00350287">
        <w:rPr>
          <w:lang w:val="es-CL"/>
        </w:rPr>
        <w:t xml:space="preserve"> para</w:t>
      </w:r>
      <w:r w:rsidRPr="00350287">
        <w:rPr>
          <w:lang w:val="es-CL"/>
        </w:rPr>
        <w:t>. 131.</w:t>
      </w:r>
    </w:p>
  </w:footnote>
  <w:footnote w:id="42">
    <w:p w14:paraId="782D516C" w14:textId="4F754130"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t xml:space="preserve">Judgment under appeal, </w:t>
      </w:r>
      <w:r w:rsidRPr="00350287">
        <w:rPr>
          <w:i/>
          <w:iCs/>
          <w:lang w:val="es-CL"/>
        </w:rPr>
        <w:t>supra</w:t>
      </w:r>
      <w:r w:rsidRPr="00350287">
        <w:rPr>
          <w:lang w:val="es-CL"/>
        </w:rPr>
        <w:t xml:space="preserve"> note </w:t>
      </w:r>
      <w:r w:rsidRPr="00076CA5">
        <w:rPr>
          <w:lang w:val="en-CA"/>
        </w:rPr>
        <w:fldChar w:fldCharType="begin"/>
      </w:r>
      <w:r w:rsidRPr="00350287">
        <w:rPr>
          <w:lang w:val="es-CL"/>
        </w:rPr>
        <w:instrText xml:space="preserve"> NOTEREF _Ref213243925 \h  \* MERGEFORMAT </w:instrText>
      </w:r>
      <w:r w:rsidRPr="00076CA5">
        <w:rPr>
          <w:lang w:val="en-CA"/>
        </w:rPr>
      </w:r>
      <w:r w:rsidRPr="00076CA5">
        <w:rPr>
          <w:lang w:val="en-CA"/>
        </w:rPr>
        <w:fldChar w:fldCharType="separate"/>
      </w:r>
      <w:r w:rsidR="00990DD2">
        <w:rPr>
          <w:lang w:val="es-CL"/>
        </w:rPr>
        <w:t>1</w:t>
      </w:r>
      <w:r w:rsidRPr="00076CA5">
        <w:rPr>
          <w:lang w:val="en-CA"/>
        </w:rPr>
        <w:fldChar w:fldCharType="end"/>
      </w:r>
      <w:r w:rsidR="003E58C4" w:rsidRPr="00350287">
        <w:rPr>
          <w:lang w:val="es-CL"/>
        </w:rPr>
        <w:t>,</w:t>
      </w:r>
      <w:r w:rsidR="00915D2E" w:rsidRPr="00350287">
        <w:rPr>
          <w:lang w:val="es-CL"/>
        </w:rPr>
        <w:t xml:space="preserve"> para</w:t>
      </w:r>
      <w:r w:rsidRPr="00350287">
        <w:rPr>
          <w:lang w:val="es-CL"/>
        </w:rPr>
        <w:t>. 132.</w:t>
      </w:r>
    </w:p>
  </w:footnote>
  <w:footnote w:id="43">
    <w:p w14:paraId="7D998EA5" w14:textId="56D5FB47"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00913255" w:rsidRPr="00350287">
        <w:rPr>
          <w:lang w:val="es-CL"/>
        </w:rPr>
        <w:t>,</w:t>
      </w:r>
      <w:r w:rsidR="00913255" w:rsidRPr="00350287">
        <w:rPr>
          <w:i/>
          <w:iCs/>
          <w:lang w:val="es-CL"/>
        </w:rPr>
        <w:t xml:space="preserve"> </w:t>
      </w:r>
      <w:r w:rsidR="00915D2E" w:rsidRPr="00350287">
        <w:rPr>
          <w:lang w:val="es-CL"/>
        </w:rPr>
        <w:t>para</w:t>
      </w:r>
      <w:r w:rsidRPr="00350287">
        <w:rPr>
          <w:lang w:val="es-CL"/>
        </w:rPr>
        <w:t>. 142.</w:t>
      </w:r>
    </w:p>
  </w:footnote>
  <w:footnote w:id="44">
    <w:p w14:paraId="07025E3C" w14:textId="786630DE"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00913255" w:rsidRPr="00350287">
        <w:rPr>
          <w:lang w:val="es-CL"/>
        </w:rPr>
        <w:t>,</w:t>
      </w:r>
      <w:r w:rsidR="00915D2E" w:rsidRPr="00350287">
        <w:rPr>
          <w:lang w:val="es-CL"/>
        </w:rPr>
        <w:t xml:space="preserve"> para</w:t>
      </w:r>
      <w:r w:rsidRPr="00350287">
        <w:rPr>
          <w:lang w:val="es-CL"/>
        </w:rPr>
        <w:t>s. 137 and 154.</w:t>
      </w:r>
    </w:p>
  </w:footnote>
  <w:footnote w:id="45">
    <w:p w14:paraId="00E5D4E1" w14:textId="45D8F2D9"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00913255" w:rsidRPr="00350287">
        <w:rPr>
          <w:lang w:val="es-CL"/>
        </w:rPr>
        <w:t>,</w:t>
      </w:r>
      <w:r w:rsidR="00817F2E" w:rsidRPr="00350287">
        <w:rPr>
          <w:i/>
          <w:iCs/>
          <w:lang w:val="es-CL"/>
        </w:rPr>
        <w:t xml:space="preserve"> </w:t>
      </w:r>
      <w:r w:rsidR="00915D2E" w:rsidRPr="00350287">
        <w:rPr>
          <w:lang w:val="es-CL"/>
        </w:rPr>
        <w:t>para</w:t>
      </w:r>
      <w:r w:rsidRPr="00350287">
        <w:rPr>
          <w:lang w:val="es-CL"/>
        </w:rPr>
        <w:t>s. 139 and 140.</w:t>
      </w:r>
    </w:p>
  </w:footnote>
  <w:footnote w:id="46">
    <w:p w14:paraId="0C246E3E" w14:textId="52B8A393"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00913255" w:rsidRPr="00350287">
        <w:rPr>
          <w:lang w:val="es-CL"/>
        </w:rPr>
        <w:t>,</w:t>
      </w:r>
      <w:r w:rsidR="00817F2E" w:rsidRPr="00350287">
        <w:rPr>
          <w:i/>
          <w:iCs/>
          <w:lang w:val="es-CL"/>
        </w:rPr>
        <w:t xml:space="preserve"> </w:t>
      </w:r>
      <w:r w:rsidR="00915D2E" w:rsidRPr="00350287">
        <w:rPr>
          <w:lang w:val="es-CL"/>
        </w:rPr>
        <w:t>para</w:t>
      </w:r>
      <w:r w:rsidRPr="00350287">
        <w:rPr>
          <w:lang w:val="es-CL"/>
        </w:rPr>
        <w:t>. 141.</w:t>
      </w:r>
    </w:p>
  </w:footnote>
  <w:footnote w:id="47">
    <w:p w14:paraId="6CA60455" w14:textId="61A440C9" w:rsidR="006D4B37" w:rsidRPr="00145125" w:rsidRDefault="004351B0" w:rsidP="006D4B37">
      <w:pPr>
        <w:pStyle w:val="Notedebasdepage"/>
        <w:rPr>
          <w:lang w:val="en-CA"/>
        </w:rPr>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00913255" w:rsidRPr="00350287">
        <w:rPr>
          <w:lang w:val="es-CL"/>
        </w:rPr>
        <w:t>,</w:t>
      </w:r>
      <w:r w:rsidR="00946D67" w:rsidRPr="00350287">
        <w:rPr>
          <w:i/>
          <w:iCs/>
          <w:lang w:val="es-CL"/>
        </w:rPr>
        <w:t xml:space="preserve"> </w:t>
      </w:r>
      <w:r w:rsidR="00915D2E" w:rsidRPr="00350287">
        <w:rPr>
          <w:lang w:val="es-CL"/>
        </w:rPr>
        <w:t>para</w:t>
      </w:r>
      <w:r w:rsidRPr="00350287">
        <w:rPr>
          <w:lang w:val="es-CL"/>
        </w:rPr>
        <w:t>. </w:t>
      </w:r>
      <w:r w:rsidRPr="00145125">
        <w:rPr>
          <w:lang w:val="en-CA"/>
        </w:rPr>
        <w:t>148.</w:t>
      </w:r>
    </w:p>
  </w:footnote>
  <w:footnote w:id="48">
    <w:p w14:paraId="380124FB" w14:textId="3277C2E6" w:rsidR="006D4B37" w:rsidRPr="00076CA5" w:rsidRDefault="004351B0" w:rsidP="006D4B37">
      <w:pPr>
        <w:pStyle w:val="Notedebasdepage"/>
        <w:rPr>
          <w:lang w:val="en-CA"/>
        </w:rPr>
      </w:pPr>
      <w:r w:rsidRPr="00076CA5">
        <w:rPr>
          <w:rStyle w:val="Appelnotedebasdep"/>
          <w:lang w:val="en-CA"/>
        </w:rPr>
        <w:footnoteRef/>
      </w:r>
      <w:r w:rsidRPr="00145125">
        <w:rPr>
          <w:lang w:val="en-CA"/>
        </w:rPr>
        <w:t xml:space="preserve"> </w:t>
      </w:r>
      <w:r w:rsidRPr="00145125">
        <w:rPr>
          <w:lang w:val="en-CA"/>
        </w:rPr>
        <w:tab/>
      </w:r>
      <w:r w:rsidR="00915D2E" w:rsidRPr="00145125">
        <w:rPr>
          <w:i/>
          <w:iCs/>
          <w:lang w:val="en-CA"/>
        </w:rPr>
        <w:t>Id.</w:t>
      </w:r>
      <w:r w:rsidR="00913255">
        <w:rPr>
          <w:lang w:val="en-CA"/>
        </w:rPr>
        <w:t>,</w:t>
      </w:r>
      <w:r w:rsidR="00946D67">
        <w:rPr>
          <w:i/>
          <w:iCs/>
          <w:lang w:val="en-CA"/>
        </w:rPr>
        <w:t xml:space="preserve"> </w:t>
      </w:r>
      <w:r w:rsidR="00915D2E" w:rsidRPr="00145125">
        <w:rPr>
          <w:lang w:val="en-CA"/>
        </w:rPr>
        <w:t>para</w:t>
      </w:r>
      <w:r w:rsidRPr="00145125">
        <w:rPr>
          <w:lang w:val="en-CA"/>
        </w:rPr>
        <w:t xml:space="preserve">s. </w:t>
      </w:r>
      <w:r w:rsidRPr="00076CA5">
        <w:rPr>
          <w:lang w:val="en-CA"/>
        </w:rPr>
        <w:t>132 and 137.</w:t>
      </w:r>
    </w:p>
  </w:footnote>
  <w:footnote w:id="49">
    <w:p w14:paraId="1EF4893A" w14:textId="34A73C68"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915D2E" w:rsidRPr="00076CA5">
        <w:rPr>
          <w:i/>
          <w:iCs/>
          <w:lang w:val="en-CA"/>
        </w:rPr>
        <w:t>Id.</w:t>
      </w:r>
      <w:r w:rsidR="00913255">
        <w:rPr>
          <w:lang w:val="en-CA"/>
        </w:rPr>
        <w:t>,</w:t>
      </w:r>
      <w:r w:rsidR="00946D67">
        <w:rPr>
          <w:i/>
          <w:iCs/>
          <w:lang w:val="en-CA"/>
        </w:rPr>
        <w:t xml:space="preserve"> </w:t>
      </w:r>
      <w:r w:rsidR="00915D2E" w:rsidRPr="00076CA5">
        <w:rPr>
          <w:lang w:val="en-CA"/>
        </w:rPr>
        <w:t>para</w:t>
      </w:r>
      <w:r w:rsidRPr="00076CA5">
        <w:rPr>
          <w:lang w:val="en-CA"/>
        </w:rPr>
        <w:t>s. 144 and 157.</w:t>
      </w:r>
    </w:p>
  </w:footnote>
  <w:footnote w:id="50">
    <w:p w14:paraId="264139F5" w14:textId="5222C8BF"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kern w:val="28"/>
          <w:lang w:val="en-CA"/>
        </w:rPr>
        <w:t>Election Act</w:t>
      </w:r>
      <w:r w:rsidRPr="00076CA5">
        <w:rPr>
          <w:kern w:val="28"/>
          <w:lang w:val="en-CA"/>
        </w:rPr>
        <w:t>, s. 17.</w:t>
      </w:r>
    </w:p>
  </w:footnote>
  <w:footnote w:id="51">
    <w:p w14:paraId="2F593536" w14:textId="5DAFA1BB"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Judgment under appeal,</w:t>
      </w:r>
      <w:r w:rsidRPr="00076CA5">
        <w:rPr>
          <w:i/>
          <w:iCs/>
          <w:lang w:val="en-CA"/>
        </w:rPr>
        <w:t xml:space="preserve"> supra</w:t>
      </w:r>
      <w:r w:rsidRPr="00076CA5">
        <w:rPr>
          <w:lang w:val="en-CA"/>
        </w:rPr>
        <w:t xml:space="preserve"> note </w:t>
      </w:r>
      <w:r w:rsidRPr="00076CA5">
        <w:rPr>
          <w:lang w:val="en-CA"/>
        </w:rPr>
        <w:fldChar w:fldCharType="begin"/>
      </w:r>
      <w:r w:rsidRPr="00076CA5">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3E58C4">
        <w:rPr>
          <w:lang w:val="en-CA"/>
        </w:rPr>
        <w:t>,</w:t>
      </w:r>
      <w:r w:rsidR="00915D2E" w:rsidRPr="00076CA5">
        <w:rPr>
          <w:lang w:val="en-CA"/>
        </w:rPr>
        <w:t xml:space="preserve"> para</w:t>
      </w:r>
      <w:r w:rsidRPr="00076CA5">
        <w:rPr>
          <w:lang w:val="en-CA"/>
        </w:rPr>
        <w:t>. 145.</w:t>
      </w:r>
    </w:p>
  </w:footnote>
  <w:footnote w:id="52">
    <w:p w14:paraId="0C5B1DDB" w14:textId="64F0A64B"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Judgment under appeal,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3E58C4">
        <w:rPr>
          <w:lang w:val="en-CA"/>
        </w:rPr>
        <w:t>,</w:t>
      </w:r>
      <w:r w:rsidR="00915D2E" w:rsidRPr="00076CA5">
        <w:rPr>
          <w:lang w:val="en-CA"/>
        </w:rPr>
        <w:t xml:space="preserve"> para</w:t>
      </w:r>
      <w:r w:rsidRPr="00076CA5">
        <w:rPr>
          <w:lang w:val="en-CA"/>
        </w:rPr>
        <w:t>. 150 et seq.</w:t>
      </w:r>
    </w:p>
  </w:footnote>
  <w:footnote w:id="53">
    <w:p w14:paraId="1E9507BE" w14:textId="1B7C2C18"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Reference re the Final Report of the Electoral Boundaries Commission</w:t>
      </w:r>
      <w:r w:rsidRPr="00076CA5">
        <w:rPr>
          <w:lang w:val="en-CA"/>
        </w:rPr>
        <w:t>, 2017 NSCA 10 [</w:t>
      </w:r>
      <w:r w:rsidRPr="00076CA5">
        <w:rPr>
          <w:i/>
          <w:iCs/>
          <w:lang w:val="en-CA"/>
        </w:rPr>
        <w:t>Nova Scotia Reference</w:t>
      </w:r>
      <w:r w:rsidRPr="00076CA5">
        <w:rPr>
          <w:lang w:val="en-CA"/>
        </w:rPr>
        <w:t>].</w:t>
      </w:r>
    </w:p>
  </w:footnote>
  <w:footnote w:id="54">
    <w:p w14:paraId="5656CBCE" w14:textId="12C85D70"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E44240" w:rsidRPr="00076CA5">
        <w:rPr>
          <w:lang w:val="en-CA"/>
        </w:rPr>
        <w:t>The a</w:t>
      </w:r>
      <w:r w:rsidRPr="00076CA5">
        <w:rPr>
          <w:lang w:val="en-CA"/>
        </w:rPr>
        <w:t xml:space="preserve">ppellants and </w:t>
      </w:r>
      <w:r w:rsidR="00AE3583">
        <w:rPr>
          <w:lang w:val="en-CA"/>
        </w:rPr>
        <w:t xml:space="preserve">the </w:t>
      </w:r>
      <w:r w:rsidR="00E44240" w:rsidRPr="00076CA5">
        <w:rPr>
          <w:lang w:val="en-CA"/>
        </w:rPr>
        <w:t>impleaded parties</w:t>
      </w:r>
      <w:r w:rsidRPr="00076CA5">
        <w:rPr>
          <w:lang w:val="en-CA"/>
        </w:rPr>
        <w:t xml:space="preserve"> Canadian Civil Liberties Association and Chief Electoral Officer.</w:t>
      </w:r>
    </w:p>
  </w:footnote>
  <w:footnote w:id="55">
    <w:p w14:paraId="5AD57820" w14:textId="254FB9A4"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E44240" w:rsidRPr="00076CA5">
        <w:rPr>
          <w:lang w:val="en-CA"/>
        </w:rPr>
        <w:t>[</w:t>
      </w:r>
      <w:r w:rsidR="00986EB6">
        <w:rPr>
          <w:smallCaps/>
          <w:lang w:val="en-CA"/>
        </w:rPr>
        <w:t>translation</w:t>
      </w:r>
      <w:r w:rsidR="00E44240" w:rsidRPr="00076CA5">
        <w:rPr>
          <w:lang w:val="en-CA"/>
        </w:rPr>
        <w:t xml:space="preserve">] </w:t>
      </w:r>
      <w:r w:rsidRPr="00076CA5">
        <w:rPr>
          <w:lang w:val="en-CA"/>
        </w:rPr>
        <w:t xml:space="preserve"> “This </w:t>
      </w:r>
      <w:r w:rsidR="00E44240" w:rsidRPr="00076CA5">
        <w:rPr>
          <w:lang w:val="en-CA"/>
        </w:rPr>
        <w:t xml:space="preserve">addition of electoral divisions </w:t>
      </w:r>
      <w:r w:rsidRPr="00076CA5">
        <w:rPr>
          <w:lang w:val="en-CA"/>
        </w:rPr>
        <w:t xml:space="preserve">would have given the Commission the leeway </w:t>
      </w:r>
      <w:r w:rsidR="00E44240" w:rsidRPr="00076CA5">
        <w:rPr>
          <w:lang w:val="en-CA"/>
        </w:rPr>
        <w:t xml:space="preserve">required </w:t>
      </w:r>
      <w:r w:rsidRPr="00076CA5">
        <w:rPr>
          <w:lang w:val="en-CA"/>
        </w:rPr>
        <w:t>to maintain the status quo for the Gaspésie and Montr</w:t>
      </w:r>
      <w:r w:rsidR="00986EB6">
        <w:rPr>
          <w:lang w:val="en-CA"/>
        </w:rPr>
        <w:t>e</w:t>
      </w:r>
      <w:r w:rsidRPr="00076CA5">
        <w:rPr>
          <w:lang w:val="en-CA"/>
        </w:rPr>
        <w:t xml:space="preserve">al </w:t>
      </w:r>
      <w:r w:rsidR="00E44240" w:rsidRPr="00076CA5">
        <w:rPr>
          <w:lang w:val="en-CA"/>
        </w:rPr>
        <w:t>electoral divisions</w:t>
      </w:r>
      <w:r w:rsidRPr="00076CA5">
        <w:rPr>
          <w:lang w:val="en-CA"/>
        </w:rPr>
        <w:t>, while allowing for population growth elsewhere in Quebec.”</w:t>
      </w:r>
    </w:p>
  </w:footnote>
  <w:footnote w:id="56">
    <w:p w14:paraId="4A6E38BE" w14:textId="70FA6F8E" w:rsidR="006D4B37" w:rsidRPr="00076CA5" w:rsidRDefault="004351B0" w:rsidP="006D4B37">
      <w:pPr>
        <w:pStyle w:val="Notedebasdepage"/>
      </w:pPr>
      <w:r w:rsidRPr="00076CA5">
        <w:rPr>
          <w:rStyle w:val="Appelnotedebasdep"/>
          <w:lang w:val="en-CA"/>
        </w:rPr>
        <w:footnoteRef/>
      </w:r>
      <w:r w:rsidRPr="00076CA5">
        <w:t xml:space="preserve"> </w:t>
      </w:r>
      <w:r w:rsidRPr="00076CA5">
        <w:tab/>
        <w:t>The respondent and the impleaded party Table des préfets des MRC de la Gaspésie et des Îles (“Table des Préfets”).</w:t>
      </w:r>
    </w:p>
  </w:footnote>
  <w:footnote w:id="57">
    <w:p w14:paraId="0183B80E" w14:textId="43E0EE67"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bookmarkStart w:id="22" w:name="_Hlk214455922"/>
      <w:r w:rsidRPr="00076CA5">
        <w:rPr>
          <w:i/>
          <w:iCs/>
          <w:lang w:val="en-CA"/>
        </w:rPr>
        <w:t xml:space="preserve">Ontario (Attorney General) </w:t>
      </w:r>
      <w:bookmarkEnd w:id="22"/>
      <w:r w:rsidRPr="00076CA5">
        <w:rPr>
          <w:i/>
          <w:iCs/>
          <w:lang w:val="en-CA"/>
        </w:rPr>
        <w:t>v. Working Families Coalition (Canada) Inc</w:t>
      </w:r>
      <w:r w:rsidRPr="00076CA5">
        <w:rPr>
          <w:lang w:val="en-CA"/>
        </w:rPr>
        <w:t>, 2025 SCC 5</w:t>
      </w:r>
      <w:r w:rsidR="003E58C4">
        <w:rPr>
          <w:lang w:val="en-CA"/>
        </w:rPr>
        <w:t>,</w:t>
      </w:r>
      <w:r w:rsidR="00915D2E" w:rsidRPr="00076CA5">
        <w:rPr>
          <w:lang w:val="en-CA"/>
        </w:rPr>
        <w:t xml:space="preserve"> para</w:t>
      </w:r>
      <w:r w:rsidRPr="00076CA5">
        <w:rPr>
          <w:lang w:val="en-CA"/>
        </w:rPr>
        <w:t>. 64 [</w:t>
      </w:r>
      <w:r w:rsidRPr="00076CA5">
        <w:rPr>
          <w:i/>
          <w:iCs/>
          <w:lang w:val="en-CA"/>
        </w:rPr>
        <w:t>Ontario (Attorney General)</w:t>
      </w:r>
      <w:r w:rsidRPr="00076CA5">
        <w:rPr>
          <w:lang w:val="en-CA"/>
        </w:rPr>
        <w:t>];</w:t>
      </w:r>
      <w:r w:rsidRPr="00076CA5">
        <w:rPr>
          <w:i/>
          <w:iCs/>
          <w:lang w:val="en-CA"/>
        </w:rPr>
        <w:t xml:space="preserve"> Frank v. Canada (Attorney General</w:t>
      </w:r>
      <w:r w:rsidRPr="00076CA5">
        <w:rPr>
          <w:lang w:val="en-CA"/>
        </w:rPr>
        <w:t>), 2019 SCC 1</w:t>
      </w:r>
      <w:r w:rsidR="003E58C4">
        <w:rPr>
          <w:lang w:val="en-CA"/>
        </w:rPr>
        <w:t>,</w:t>
      </w:r>
      <w:r w:rsidR="00915D2E" w:rsidRPr="00076CA5">
        <w:rPr>
          <w:lang w:val="en-CA"/>
        </w:rPr>
        <w:t xml:space="preserve"> para</w:t>
      </w:r>
      <w:r w:rsidRPr="00076CA5">
        <w:rPr>
          <w:lang w:val="en-CA"/>
        </w:rPr>
        <w:t>s. 25 and 26 [</w:t>
      </w:r>
      <w:r w:rsidRPr="00076CA5">
        <w:rPr>
          <w:i/>
          <w:iCs/>
          <w:lang w:val="en-CA"/>
        </w:rPr>
        <w:t>Frank</w:t>
      </w:r>
      <w:r w:rsidRPr="00076CA5">
        <w:rPr>
          <w:lang w:val="en-CA"/>
        </w:rPr>
        <w:t>];</w:t>
      </w:r>
      <w:r w:rsidRPr="00076CA5">
        <w:rPr>
          <w:i/>
          <w:iCs/>
          <w:lang w:val="en-CA"/>
        </w:rPr>
        <w:t xml:space="preserve"> Figueroa v. Canada (Attorney General</w:t>
      </w:r>
      <w:r w:rsidRPr="00076CA5">
        <w:rPr>
          <w:lang w:val="en-CA"/>
        </w:rPr>
        <w:t>), 2003 SCC 37</w:t>
      </w:r>
      <w:r w:rsidR="003E58C4">
        <w:rPr>
          <w:lang w:val="en-CA"/>
        </w:rPr>
        <w:t>,</w:t>
      </w:r>
      <w:r w:rsidR="00915D2E" w:rsidRPr="00076CA5">
        <w:rPr>
          <w:lang w:val="en-CA"/>
        </w:rPr>
        <w:t xml:space="preserve"> para</w:t>
      </w:r>
      <w:r w:rsidRPr="00076CA5">
        <w:rPr>
          <w:lang w:val="en-CA"/>
        </w:rPr>
        <w:t xml:space="preserve">. 60; </w:t>
      </w:r>
      <w:r w:rsidRPr="00076CA5">
        <w:rPr>
          <w:i/>
          <w:iCs/>
          <w:lang w:val="en-CA"/>
        </w:rPr>
        <w:t>Sauvé v. Canada (Chief Electoral Officer)</w:t>
      </w:r>
      <w:r w:rsidRPr="00076CA5">
        <w:rPr>
          <w:lang w:val="en-CA"/>
        </w:rPr>
        <w:t>, 2002 SCC 68</w:t>
      </w:r>
      <w:r w:rsidR="003E58C4">
        <w:rPr>
          <w:lang w:val="en-CA"/>
        </w:rPr>
        <w:t>,</w:t>
      </w:r>
      <w:r w:rsidR="00915D2E" w:rsidRPr="00076CA5">
        <w:rPr>
          <w:lang w:val="en-CA"/>
        </w:rPr>
        <w:t xml:space="preserve"> para</w:t>
      </w:r>
      <w:r w:rsidRPr="00076CA5">
        <w:rPr>
          <w:lang w:val="en-CA"/>
        </w:rPr>
        <w:t>s. 9-11 and 14.</w:t>
      </w:r>
    </w:p>
  </w:footnote>
  <w:footnote w:id="58">
    <w:p w14:paraId="35389B32" w14:textId="4F8942D2"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Frank</w:t>
      </w:r>
      <w:r w:rsidRPr="00076CA5">
        <w:rPr>
          <w:lang w:val="en-CA"/>
        </w:rPr>
        <w:t>,</w:t>
      </w:r>
      <w:r w:rsidRPr="00076CA5">
        <w:rPr>
          <w:i/>
          <w:iCs/>
          <w:lang w:val="en-CA"/>
        </w:rPr>
        <w:t xml:space="preserve"> supra</w:t>
      </w:r>
      <w:r w:rsidRPr="00076CA5">
        <w:rPr>
          <w:lang w:val="en-CA"/>
        </w:rPr>
        <w:t xml:space="preserve"> note </w:t>
      </w:r>
      <w:r w:rsidRPr="00076CA5">
        <w:rPr>
          <w:lang w:val="en-CA"/>
        </w:rPr>
        <w:fldChar w:fldCharType="begin"/>
      </w:r>
      <w:r w:rsidRPr="00076CA5">
        <w:rPr>
          <w:lang w:val="en-CA"/>
        </w:rPr>
        <w:instrText xml:space="preserve"> NOTEREF _Ref214455187 \h  \* MERGEFORMAT </w:instrText>
      </w:r>
      <w:r w:rsidRPr="00076CA5">
        <w:rPr>
          <w:lang w:val="en-CA"/>
        </w:rPr>
      </w:r>
      <w:r w:rsidRPr="00076CA5">
        <w:rPr>
          <w:lang w:val="en-CA"/>
        </w:rPr>
        <w:fldChar w:fldCharType="separate"/>
      </w:r>
      <w:r w:rsidR="00990DD2">
        <w:rPr>
          <w:lang w:val="en-CA"/>
        </w:rPr>
        <w:t>57</w:t>
      </w:r>
      <w:r w:rsidRPr="00076CA5">
        <w:rPr>
          <w:lang w:val="en-CA"/>
        </w:rPr>
        <w:fldChar w:fldCharType="end"/>
      </w:r>
      <w:r w:rsidR="003E58C4">
        <w:rPr>
          <w:lang w:val="en-CA"/>
        </w:rPr>
        <w:t>,</w:t>
      </w:r>
      <w:r w:rsidR="00915D2E" w:rsidRPr="00076CA5">
        <w:rPr>
          <w:lang w:val="en-CA"/>
        </w:rPr>
        <w:t xml:space="preserve"> para</w:t>
      </w:r>
      <w:r w:rsidRPr="00076CA5">
        <w:rPr>
          <w:lang w:val="en-CA"/>
        </w:rPr>
        <w:t>. 43.</w:t>
      </w:r>
    </w:p>
  </w:footnote>
  <w:footnote w:id="59">
    <w:p w14:paraId="2FDA691B" w14:textId="497B7D7A"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004401FB" w:rsidRPr="00145125">
        <w:rPr>
          <w:i/>
          <w:iCs/>
          <w:lang w:val="en-CA"/>
        </w:rPr>
        <w:t>Reference re Prov.</w:t>
      </w:r>
      <w:r w:rsidRPr="00076CA5">
        <w:rPr>
          <w:i/>
          <w:iCs/>
          <w:lang w:val="en-CA"/>
        </w:rPr>
        <w:t xml:space="preserve"> </w:t>
      </w:r>
      <w:r w:rsidR="001F0A89" w:rsidRPr="00076CA5">
        <w:rPr>
          <w:i/>
          <w:iCs/>
          <w:lang w:val="en-CA"/>
        </w:rPr>
        <w:t>Electoral</w:t>
      </w:r>
      <w:r w:rsidRPr="00076CA5">
        <w:rPr>
          <w:i/>
          <w:iCs/>
          <w:lang w:val="en-CA"/>
        </w:rPr>
        <w:t xml:space="preserve"> </w:t>
      </w:r>
      <w:r w:rsidR="001F0A89" w:rsidRPr="00076CA5">
        <w:rPr>
          <w:i/>
          <w:iCs/>
          <w:lang w:val="en-CA"/>
        </w:rPr>
        <w:t>Boundaries</w:t>
      </w:r>
      <w:r w:rsidRPr="00076CA5">
        <w:rPr>
          <w:i/>
          <w:iCs/>
          <w:lang w:val="en-CA"/>
        </w:rPr>
        <w:t xml:space="preserve"> (Sask.)</w:t>
      </w:r>
      <w:r w:rsidRPr="00076CA5">
        <w:rPr>
          <w:lang w:val="en-CA"/>
        </w:rPr>
        <w:t>, [1991] 2 S</w:t>
      </w:r>
      <w:r w:rsidR="001F0A89" w:rsidRPr="00076CA5">
        <w:rPr>
          <w:lang w:val="en-CA"/>
        </w:rPr>
        <w:t>.</w:t>
      </w:r>
      <w:r w:rsidRPr="00076CA5">
        <w:rPr>
          <w:lang w:val="en-CA"/>
        </w:rPr>
        <w:t>C</w:t>
      </w:r>
      <w:r w:rsidR="001F0A89" w:rsidRPr="00076CA5">
        <w:rPr>
          <w:lang w:val="en-CA"/>
        </w:rPr>
        <w:t>.</w:t>
      </w:r>
      <w:r w:rsidRPr="00076CA5">
        <w:rPr>
          <w:lang w:val="en-CA"/>
        </w:rPr>
        <w:t>R</w:t>
      </w:r>
      <w:r w:rsidR="001F0A89" w:rsidRPr="00076CA5">
        <w:rPr>
          <w:lang w:val="en-CA"/>
        </w:rPr>
        <w:t>.</w:t>
      </w:r>
      <w:r w:rsidRPr="00076CA5">
        <w:rPr>
          <w:lang w:val="en-CA"/>
        </w:rPr>
        <w:t xml:space="preserve"> 158 </w:t>
      </w:r>
      <w:r w:rsidR="004401FB">
        <w:rPr>
          <w:lang w:val="en-CA"/>
        </w:rPr>
        <w:t>[</w:t>
      </w:r>
      <w:r w:rsidRPr="00076CA5">
        <w:rPr>
          <w:lang w:val="en-CA"/>
        </w:rPr>
        <w:t>“</w:t>
      </w:r>
      <w:r w:rsidRPr="00076CA5">
        <w:rPr>
          <w:i/>
          <w:iCs/>
          <w:lang w:val="en-CA"/>
        </w:rPr>
        <w:t>Saskatchewan Reference</w:t>
      </w:r>
      <w:r w:rsidRPr="00076CA5">
        <w:rPr>
          <w:lang w:val="en-CA"/>
        </w:rPr>
        <w:t>”</w:t>
      </w:r>
      <w:r w:rsidR="004401FB">
        <w:rPr>
          <w:lang w:val="en-CA"/>
        </w:rPr>
        <w:t>]</w:t>
      </w:r>
      <w:r w:rsidRPr="00076CA5">
        <w:rPr>
          <w:lang w:val="en-CA"/>
        </w:rPr>
        <w:t>.</w:t>
      </w:r>
    </w:p>
  </w:footnote>
  <w:footnote w:id="60">
    <w:p w14:paraId="68FF052D" w14:textId="182379A4"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Saskatchewan Reference</w:t>
      </w:r>
      <w:r w:rsidRPr="00076CA5">
        <w:rPr>
          <w:lang w:val="en-CA"/>
        </w:rPr>
        <w:t xml:space="preserve">, </w:t>
      </w:r>
      <w:r w:rsidRPr="00076CA5">
        <w:rPr>
          <w:i/>
          <w:iCs/>
          <w:lang w:val="en-CA"/>
        </w:rPr>
        <w:t>supra</w:t>
      </w:r>
      <w:r w:rsidRPr="00076CA5">
        <w:rPr>
          <w:lang w:val="en-CA"/>
        </w:rPr>
        <w:t xml:space="preserve"> </w:t>
      </w:r>
      <w:bookmarkStart w:id="26" w:name="_Hlk214455666"/>
      <w:r w:rsidRPr="00076CA5">
        <w:rPr>
          <w:lang w:val="en-CA"/>
        </w:rPr>
        <w:t xml:space="preserve">note </w:t>
      </w:r>
      <w:r w:rsidRPr="00076CA5">
        <w:rPr>
          <w:lang w:val="en-CA"/>
        </w:rPr>
        <w:fldChar w:fldCharType="begin"/>
      </w:r>
      <w:r w:rsidRPr="00076CA5">
        <w:rPr>
          <w:lang w:val="en-CA"/>
        </w:rPr>
        <w:instrText xml:space="preserve"> NOTEREF _Ref214455382 \h  \* MERGEFORMAT </w:instrText>
      </w:r>
      <w:r w:rsidRPr="00076CA5">
        <w:rPr>
          <w:lang w:val="en-CA"/>
        </w:rPr>
      </w:r>
      <w:r w:rsidRPr="00076CA5">
        <w:rPr>
          <w:lang w:val="en-CA"/>
        </w:rPr>
        <w:fldChar w:fldCharType="separate"/>
      </w:r>
      <w:r w:rsidR="00990DD2">
        <w:rPr>
          <w:lang w:val="en-CA"/>
        </w:rPr>
        <w:t>59</w:t>
      </w:r>
      <w:r w:rsidRPr="00076CA5">
        <w:rPr>
          <w:lang w:val="en-CA"/>
        </w:rPr>
        <w:fldChar w:fldCharType="end"/>
      </w:r>
      <w:bookmarkEnd w:id="26"/>
      <w:r w:rsidRPr="00076CA5">
        <w:rPr>
          <w:lang w:val="en-CA"/>
        </w:rPr>
        <w:t xml:space="preserve">, p. 183 et seq.; </w:t>
      </w:r>
      <w:r w:rsidRPr="00076CA5">
        <w:rPr>
          <w:i/>
          <w:iCs/>
          <w:lang w:val="en-CA"/>
        </w:rPr>
        <w:t>Harper v. Canada (Attorney General)</w:t>
      </w:r>
      <w:r w:rsidRPr="00076CA5">
        <w:rPr>
          <w:lang w:val="en-CA"/>
        </w:rPr>
        <w:t>, 2004 SCC 33</w:t>
      </w:r>
      <w:r w:rsidR="003E58C4">
        <w:rPr>
          <w:lang w:val="en-CA"/>
        </w:rPr>
        <w:t>,</w:t>
      </w:r>
      <w:r w:rsidR="00915D2E" w:rsidRPr="00076CA5">
        <w:rPr>
          <w:lang w:val="en-CA"/>
        </w:rPr>
        <w:t xml:space="preserve"> para</w:t>
      </w:r>
      <w:r w:rsidRPr="00076CA5">
        <w:rPr>
          <w:lang w:val="en-CA"/>
        </w:rPr>
        <w:t>. 68 [</w:t>
      </w:r>
      <w:r w:rsidRPr="00076CA5">
        <w:rPr>
          <w:i/>
          <w:iCs/>
          <w:lang w:val="en-CA"/>
        </w:rPr>
        <w:t>Harper</w:t>
      </w:r>
      <w:r w:rsidRPr="00076CA5">
        <w:rPr>
          <w:lang w:val="en-CA"/>
        </w:rPr>
        <w:t>].</w:t>
      </w:r>
    </w:p>
  </w:footnote>
  <w:footnote w:id="61">
    <w:p w14:paraId="1A767D6C" w14:textId="7E9A821F" w:rsidR="006D4B37" w:rsidRPr="00350287" w:rsidRDefault="004351B0" w:rsidP="006D4B37">
      <w:pPr>
        <w:pStyle w:val="Notedebasdepage"/>
        <w:rPr>
          <w:lang w:val="es-CL"/>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Saskatchewan Reference</w:t>
      </w:r>
      <w:r w:rsidRPr="00076CA5">
        <w:rPr>
          <w:lang w:val="en-CA"/>
        </w:rPr>
        <w:t xml:space="preserve">,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_Ref214455382 \h  \* MERGEFORMAT </w:instrText>
      </w:r>
      <w:r w:rsidRPr="00076CA5">
        <w:rPr>
          <w:lang w:val="en-CA"/>
        </w:rPr>
      </w:r>
      <w:r w:rsidRPr="00076CA5">
        <w:rPr>
          <w:lang w:val="en-CA"/>
        </w:rPr>
        <w:fldChar w:fldCharType="separate"/>
      </w:r>
      <w:r w:rsidR="00990DD2">
        <w:rPr>
          <w:lang w:val="en-CA"/>
        </w:rPr>
        <w:t>59</w:t>
      </w:r>
      <w:r w:rsidRPr="00076CA5">
        <w:rPr>
          <w:lang w:val="en-CA"/>
        </w:rPr>
        <w:fldChar w:fldCharType="end"/>
      </w:r>
      <w:r w:rsidRPr="00076CA5">
        <w:rPr>
          <w:lang w:val="en-CA"/>
        </w:rPr>
        <w:t xml:space="preserve">, p. 183; </w:t>
      </w:r>
      <w:r w:rsidRPr="00076CA5">
        <w:rPr>
          <w:i/>
          <w:iCs/>
          <w:lang w:val="en-CA"/>
        </w:rPr>
        <w:t>Ontario (Attorney General)</w:t>
      </w:r>
      <w:r w:rsidRPr="00076CA5">
        <w:rPr>
          <w:lang w:val="en-CA"/>
        </w:rPr>
        <w:t xml:space="preserve">,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_Ref214455187 \h  \* MERGEFORMAT </w:instrText>
      </w:r>
      <w:r w:rsidRPr="00076CA5">
        <w:rPr>
          <w:lang w:val="en-CA"/>
        </w:rPr>
      </w:r>
      <w:r w:rsidRPr="00076CA5">
        <w:rPr>
          <w:lang w:val="en-CA"/>
        </w:rPr>
        <w:fldChar w:fldCharType="separate"/>
      </w:r>
      <w:r w:rsidR="00990DD2">
        <w:rPr>
          <w:lang w:val="en-CA"/>
        </w:rPr>
        <w:t>57</w:t>
      </w:r>
      <w:r w:rsidRPr="00076CA5">
        <w:rPr>
          <w:lang w:val="en-CA"/>
        </w:rPr>
        <w:fldChar w:fldCharType="end"/>
      </w:r>
      <w:r w:rsidR="003E58C4">
        <w:rPr>
          <w:lang w:val="en-CA"/>
        </w:rPr>
        <w:t>,</w:t>
      </w:r>
      <w:r w:rsidR="00915D2E" w:rsidRPr="00076CA5">
        <w:rPr>
          <w:lang w:val="en-CA"/>
        </w:rPr>
        <w:t xml:space="preserve"> para</w:t>
      </w:r>
      <w:r w:rsidRPr="00076CA5">
        <w:rPr>
          <w:lang w:val="en-CA"/>
        </w:rPr>
        <w:t xml:space="preserve">. </w:t>
      </w:r>
      <w:r w:rsidRPr="00350287">
        <w:rPr>
          <w:lang w:val="es-CL"/>
        </w:rPr>
        <w:t>29.</w:t>
      </w:r>
    </w:p>
  </w:footnote>
  <w:footnote w:id="62">
    <w:p w14:paraId="4EB64531" w14:textId="7C437E05" w:rsidR="006D4B37" w:rsidRPr="00350287" w:rsidRDefault="004351B0" w:rsidP="006D4B37">
      <w:pPr>
        <w:pStyle w:val="Notedebasdepage"/>
        <w:rPr>
          <w:lang w:val="es-CL"/>
        </w:rPr>
      </w:pPr>
      <w:r w:rsidRPr="00076CA5">
        <w:rPr>
          <w:rStyle w:val="Appelnotedebasdep"/>
          <w:lang w:val="en-CA"/>
        </w:rPr>
        <w:footnoteRef/>
      </w:r>
      <w:r w:rsidRPr="003E58C4">
        <w:rPr>
          <w:lang w:val="es-CL"/>
        </w:rPr>
        <w:t xml:space="preserve"> </w:t>
      </w:r>
      <w:r w:rsidRPr="003E58C4">
        <w:rPr>
          <w:lang w:val="es-CL"/>
        </w:rPr>
        <w:tab/>
      </w:r>
      <w:r w:rsidRPr="003E58C4">
        <w:rPr>
          <w:i/>
          <w:iCs/>
          <w:lang w:val="es-CL"/>
        </w:rPr>
        <w:t>Ontario (Attorney General)</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9; </w:t>
      </w:r>
      <w:r w:rsidRPr="003E58C4">
        <w:rPr>
          <w:i/>
          <w:iCs/>
          <w:lang w:val="es-CL"/>
        </w:rPr>
        <w:t>Frank</w:t>
      </w:r>
      <w:r w:rsidRPr="003E58C4">
        <w:rPr>
          <w:lang w:val="es-CL"/>
        </w:rPr>
        <w:t>,</w:t>
      </w:r>
      <w:r w:rsidRPr="003E58C4">
        <w:rPr>
          <w:i/>
          <w:iCs/>
          <w:lang w:val="es-CL"/>
        </w:rPr>
        <w:t xml:space="preserve"> 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w:t>
      </w:r>
      <w:r w:rsidRPr="00350287">
        <w:rPr>
          <w:lang w:val="es-CL"/>
        </w:rPr>
        <w:t>26.</w:t>
      </w:r>
    </w:p>
  </w:footnote>
  <w:footnote w:id="63">
    <w:p w14:paraId="4189420A" w14:textId="5EB5F4FA"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Pr="00350287">
        <w:rPr>
          <w:i/>
          <w:iCs/>
          <w:lang w:val="es-CL"/>
        </w:rPr>
        <w:t>Saskatchewan Reference</w:t>
      </w:r>
      <w:r w:rsidRPr="00350287">
        <w:rPr>
          <w:lang w:val="es-CL"/>
        </w:rPr>
        <w:t xml:space="preserve">, </w:t>
      </w:r>
      <w:r w:rsidRPr="00350287">
        <w:rPr>
          <w:i/>
          <w:iCs/>
          <w:lang w:val="es-CL"/>
        </w:rPr>
        <w:t>supra</w:t>
      </w:r>
      <w:r w:rsidRPr="00350287">
        <w:rPr>
          <w:lang w:val="es-CL"/>
        </w:rPr>
        <w:t xml:space="preserve"> note </w:t>
      </w:r>
      <w:r w:rsidRPr="00076CA5">
        <w:rPr>
          <w:lang w:val="en-CA"/>
        </w:rPr>
        <w:fldChar w:fldCharType="begin"/>
      </w:r>
      <w:r w:rsidRPr="00350287">
        <w:rPr>
          <w:lang w:val="es-CL"/>
        </w:rPr>
        <w:instrText xml:space="preserve"> NOTEREF _Ref214455382 \h  \* MERGEFORMAT </w:instrText>
      </w:r>
      <w:r w:rsidRPr="00076CA5">
        <w:rPr>
          <w:lang w:val="en-CA"/>
        </w:rPr>
      </w:r>
      <w:r w:rsidRPr="00076CA5">
        <w:rPr>
          <w:lang w:val="en-CA"/>
        </w:rPr>
        <w:fldChar w:fldCharType="separate"/>
      </w:r>
      <w:r w:rsidR="00990DD2">
        <w:rPr>
          <w:lang w:val="es-CL"/>
        </w:rPr>
        <w:t>59</w:t>
      </w:r>
      <w:r w:rsidRPr="00076CA5">
        <w:rPr>
          <w:lang w:val="en-CA"/>
        </w:rPr>
        <w:fldChar w:fldCharType="end"/>
      </w:r>
      <w:r w:rsidRPr="00350287">
        <w:rPr>
          <w:lang w:val="es-CL"/>
        </w:rPr>
        <w:t xml:space="preserve">, p. 183. </w:t>
      </w:r>
    </w:p>
  </w:footnote>
  <w:footnote w:id="64">
    <w:p w14:paraId="49B76049" w14:textId="1FB24A5C"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Pr="00350287">
        <w:rPr>
          <w:lang w:val="es-CL"/>
        </w:rPr>
        <w:t>, p. 184.</w:t>
      </w:r>
    </w:p>
  </w:footnote>
  <w:footnote w:id="65">
    <w:p w14:paraId="1AF5A484" w14:textId="1E260486"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Pr="00350287">
        <w:rPr>
          <w:lang w:val="es-CL"/>
        </w:rPr>
        <w:t>, p. 184.</w:t>
      </w:r>
    </w:p>
  </w:footnote>
  <w:footnote w:id="66">
    <w:p w14:paraId="5CB5272E" w14:textId="32BDE406"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Pr="00350287">
        <w:rPr>
          <w:i/>
          <w:iCs/>
          <w:lang w:val="es-CL"/>
        </w:rPr>
        <w:t>Harper</w:t>
      </w:r>
      <w:r w:rsidRPr="00350287">
        <w:rPr>
          <w:lang w:val="es-CL"/>
        </w:rPr>
        <w:t xml:space="preserve">, </w:t>
      </w:r>
      <w:r w:rsidRPr="00350287">
        <w:rPr>
          <w:i/>
          <w:iCs/>
          <w:lang w:val="es-CL"/>
        </w:rPr>
        <w:t>supra</w:t>
      </w:r>
      <w:r w:rsidRPr="00350287">
        <w:rPr>
          <w:lang w:val="es-CL"/>
        </w:rPr>
        <w:t xml:space="preserve"> note </w:t>
      </w:r>
      <w:r w:rsidRPr="00076CA5">
        <w:rPr>
          <w:lang w:val="en-CA"/>
        </w:rPr>
        <w:fldChar w:fldCharType="begin"/>
      </w:r>
      <w:r w:rsidRPr="00350287">
        <w:rPr>
          <w:lang w:val="es-CL"/>
        </w:rPr>
        <w:instrText xml:space="preserve"> NOTEREF _Ref214367399 \h  \* MERGEFORMAT </w:instrText>
      </w:r>
      <w:r w:rsidRPr="00076CA5">
        <w:rPr>
          <w:lang w:val="en-CA"/>
        </w:rPr>
      </w:r>
      <w:r w:rsidRPr="00076CA5">
        <w:rPr>
          <w:lang w:val="en-CA"/>
        </w:rPr>
        <w:fldChar w:fldCharType="separate"/>
      </w:r>
      <w:r w:rsidR="00990DD2">
        <w:rPr>
          <w:lang w:val="es-CL"/>
        </w:rPr>
        <w:t>60</w:t>
      </w:r>
      <w:r w:rsidRPr="00076CA5">
        <w:rPr>
          <w:lang w:val="en-CA"/>
        </w:rPr>
        <w:fldChar w:fldCharType="end"/>
      </w:r>
      <w:r w:rsidR="003E58C4" w:rsidRPr="00350287">
        <w:rPr>
          <w:lang w:val="es-CL"/>
        </w:rPr>
        <w:t>,</w:t>
      </w:r>
      <w:r w:rsidR="00915D2E" w:rsidRPr="00350287">
        <w:rPr>
          <w:lang w:val="es-CL"/>
        </w:rPr>
        <w:t xml:space="preserve"> para</w:t>
      </w:r>
      <w:r w:rsidRPr="00350287">
        <w:rPr>
          <w:lang w:val="es-CL"/>
        </w:rPr>
        <w:t>. 131.</w:t>
      </w:r>
    </w:p>
  </w:footnote>
  <w:footnote w:id="67">
    <w:p w14:paraId="2CACF7A3" w14:textId="73CA75C2"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bookmarkStart w:id="27" w:name="_Hlk214454675"/>
      <w:r w:rsidRPr="00350287">
        <w:rPr>
          <w:i/>
          <w:iCs/>
          <w:lang w:val="es-CL"/>
        </w:rPr>
        <w:t>Oakes</w:t>
      </w:r>
      <w:r w:rsidRPr="00350287">
        <w:rPr>
          <w:lang w:val="es-CL"/>
        </w:rPr>
        <w:t xml:space="preserve">, </w:t>
      </w:r>
      <w:r w:rsidRPr="00350287">
        <w:rPr>
          <w:i/>
          <w:iCs/>
          <w:lang w:val="es-CL"/>
        </w:rPr>
        <w:t>supra</w:t>
      </w:r>
      <w:r w:rsidRPr="00350287">
        <w:rPr>
          <w:lang w:val="es-CL"/>
        </w:rPr>
        <w:t xml:space="preserve"> note </w:t>
      </w:r>
      <w:r w:rsidRPr="00076CA5">
        <w:rPr>
          <w:lang w:val="en-CA"/>
        </w:rPr>
        <w:fldChar w:fldCharType="begin"/>
      </w:r>
      <w:r w:rsidRPr="00350287">
        <w:rPr>
          <w:lang w:val="es-CL"/>
        </w:rPr>
        <w:instrText xml:space="preserve"> NOTEREF _Ref214454509 \h  \* MERGEFORMAT </w:instrText>
      </w:r>
      <w:r w:rsidRPr="00076CA5">
        <w:rPr>
          <w:lang w:val="en-CA"/>
        </w:rPr>
      </w:r>
      <w:r w:rsidRPr="00076CA5">
        <w:rPr>
          <w:lang w:val="en-CA"/>
        </w:rPr>
        <w:fldChar w:fldCharType="separate"/>
      </w:r>
      <w:r w:rsidR="00990DD2">
        <w:rPr>
          <w:lang w:val="es-CL"/>
        </w:rPr>
        <w:t>37</w:t>
      </w:r>
      <w:r w:rsidRPr="00076CA5">
        <w:rPr>
          <w:lang w:val="en-CA"/>
        </w:rPr>
        <w:fldChar w:fldCharType="end"/>
      </w:r>
      <w:bookmarkEnd w:id="27"/>
      <w:r w:rsidRPr="00350287">
        <w:rPr>
          <w:lang w:val="es-CL"/>
        </w:rPr>
        <w:t xml:space="preserve">; </w:t>
      </w:r>
      <w:r w:rsidRPr="00350287">
        <w:rPr>
          <w:i/>
          <w:iCs/>
          <w:lang w:val="es-CL"/>
        </w:rPr>
        <w:t>Ontario (Attorney General)</w:t>
      </w:r>
      <w:r w:rsidRPr="00350287">
        <w:rPr>
          <w:lang w:val="es-CL"/>
        </w:rPr>
        <w:t xml:space="preserve">, </w:t>
      </w:r>
      <w:r w:rsidRPr="00350287">
        <w:rPr>
          <w:i/>
          <w:iCs/>
          <w:lang w:val="es-CL"/>
        </w:rPr>
        <w:t>supra</w:t>
      </w:r>
      <w:r w:rsidRPr="00350287">
        <w:rPr>
          <w:lang w:val="es-CL"/>
        </w:rPr>
        <w:t xml:space="preserve"> note </w:t>
      </w:r>
      <w:r w:rsidRPr="00076CA5">
        <w:rPr>
          <w:lang w:val="en-CA"/>
        </w:rPr>
        <w:fldChar w:fldCharType="begin"/>
      </w:r>
      <w:r w:rsidRPr="00350287">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50287">
        <w:rPr>
          <w:lang w:val="es-CL"/>
        </w:rPr>
        <w:t>,</w:t>
      </w:r>
      <w:r w:rsidR="00915D2E" w:rsidRPr="00350287">
        <w:rPr>
          <w:lang w:val="es-CL"/>
        </w:rPr>
        <w:t xml:space="preserve"> para</w:t>
      </w:r>
      <w:r w:rsidRPr="00350287">
        <w:rPr>
          <w:lang w:val="es-CL"/>
        </w:rPr>
        <w:t>. 60.</w:t>
      </w:r>
    </w:p>
  </w:footnote>
  <w:footnote w:id="68">
    <w:p w14:paraId="02A4FF96" w14:textId="650DB068"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Pr="00350287">
        <w:rPr>
          <w:i/>
          <w:iCs/>
          <w:lang w:val="es-CL"/>
        </w:rPr>
        <w:t>Frank</w:t>
      </w:r>
      <w:r w:rsidRPr="00350287">
        <w:rPr>
          <w:lang w:val="es-CL"/>
        </w:rPr>
        <w:t>,</w:t>
      </w:r>
      <w:r w:rsidRPr="00350287">
        <w:rPr>
          <w:i/>
          <w:iCs/>
          <w:lang w:val="es-CL"/>
        </w:rPr>
        <w:t xml:space="preserve"> supra</w:t>
      </w:r>
      <w:r w:rsidRPr="00350287">
        <w:rPr>
          <w:lang w:val="es-CL"/>
        </w:rPr>
        <w:t xml:space="preserve"> note </w:t>
      </w:r>
      <w:r w:rsidRPr="00076CA5">
        <w:rPr>
          <w:lang w:val="en-CA"/>
        </w:rPr>
        <w:fldChar w:fldCharType="begin"/>
      </w:r>
      <w:r w:rsidRPr="00350287">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50287">
        <w:rPr>
          <w:lang w:val="es-CL"/>
        </w:rPr>
        <w:t>,</w:t>
      </w:r>
      <w:r w:rsidR="00915D2E" w:rsidRPr="00350287">
        <w:rPr>
          <w:lang w:val="es-CL"/>
        </w:rPr>
        <w:t xml:space="preserve"> para</w:t>
      </w:r>
      <w:r w:rsidRPr="00350287">
        <w:rPr>
          <w:lang w:val="es-CL"/>
        </w:rPr>
        <w:t>. 38.</w:t>
      </w:r>
    </w:p>
  </w:footnote>
  <w:footnote w:id="69">
    <w:p w14:paraId="0EEDC907" w14:textId="7A254F5D"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Pr="00350287">
        <w:rPr>
          <w:i/>
          <w:iCs/>
          <w:lang w:val="es-CL"/>
        </w:rPr>
        <w:t>Frank</w:t>
      </w:r>
      <w:r w:rsidRPr="00350287">
        <w:rPr>
          <w:lang w:val="es-CL"/>
        </w:rPr>
        <w:t>,</w:t>
      </w:r>
      <w:r w:rsidRPr="00350287">
        <w:rPr>
          <w:i/>
          <w:iCs/>
          <w:lang w:val="es-CL"/>
        </w:rPr>
        <w:t xml:space="preserve"> supra</w:t>
      </w:r>
      <w:r w:rsidRPr="00350287">
        <w:rPr>
          <w:lang w:val="es-CL"/>
        </w:rPr>
        <w:t xml:space="preserve"> note </w:t>
      </w:r>
      <w:r w:rsidRPr="00076CA5">
        <w:rPr>
          <w:lang w:val="en-CA"/>
        </w:rPr>
        <w:fldChar w:fldCharType="begin"/>
      </w:r>
      <w:r w:rsidRPr="00350287">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50287">
        <w:rPr>
          <w:lang w:val="es-CL"/>
        </w:rPr>
        <w:t>,</w:t>
      </w:r>
      <w:r w:rsidR="00915D2E" w:rsidRPr="00350287">
        <w:rPr>
          <w:lang w:val="es-CL"/>
        </w:rPr>
        <w:t xml:space="preserve"> para</w:t>
      </w:r>
      <w:r w:rsidRPr="00350287">
        <w:rPr>
          <w:lang w:val="es-CL"/>
        </w:rPr>
        <w:t xml:space="preserve">s. 39 and 42; </w:t>
      </w:r>
      <w:r w:rsidRPr="00350287">
        <w:rPr>
          <w:i/>
          <w:iCs/>
          <w:lang w:val="es-CL"/>
        </w:rPr>
        <w:t>Oakes</w:t>
      </w:r>
      <w:r w:rsidRPr="00350287">
        <w:rPr>
          <w:lang w:val="es-CL"/>
        </w:rPr>
        <w:t xml:space="preserve">, </w:t>
      </w:r>
      <w:r w:rsidRPr="00350287">
        <w:rPr>
          <w:i/>
          <w:iCs/>
          <w:lang w:val="es-CL"/>
        </w:rPr>
        <w:t>supra</w:t>
      </w:r>
      <w:r w:rsidRPr="00350287">
        <w:rPr>
          <w:lang w:val="es-CL"/>
        </w:rPr>
        <w:t xml:space="preserve"> note </w:t>
      </w:r>
      <w:r w:rsidRPr="00076CA5">
        <w:rPr>
          <w:lang w:val="en-CA"/>
        </w:rPr>
        <w:fldChar w:fldCharType="begin"/>
      </w:r>
      <w:r w:rsidRPr="00350287">
        <w:rPr>
          <w:lang w:val="es-CL"/>
        </w:rPr>
        <w:instrText xml:space="preserve"> NOTEREF _Ref214454509 \h  \* MERGEFORMAT </w:instrText>
      </w:r>
      <w:r w:rsidRPr="00076CA5">
        <w:rPr>
          <w:lang w:val="en-CA"/>
        </w:rPr>
      </w:r>
      <w:r w:rsidRPr="00076CA5">
        <w:rPr>
          <w:lang w:val="en-CA"/>
        </w:rPr>
        <w:fldChar w:fldCharType="separate"/>
      </w:r>
      <w:r w:rsidR="00990DD2">
        <w:rPr>
          <w:lang w:val="es-CL"/>
        </w:rPr>
        <w:t>37</w:t>
      </w:r>
      <w:r w:rsidRPr="00076CA5">
        <w:rPr>
          <w:lang w:val="en-CA"/>
        </w:rPr>
        <w:fldChar w:fldCharType="end"/>
      </w:r>
      <w:r w:rsidR="003E58C4" w:rsidRPr="00350287">
        <w:rPr>
          <w:lang w:val="es-CL"/>
        </w:rPr>
        <w:t>,</w:t>
      </w:r>
      <w:r w:rsidR="00915D2E" w:rsidRPr="00350287">
        <w:rPr>
          <w:lang w:val="es-CL"/>
        </w:rPr>
        <w:t xml:space="preserve"> para</w:t>
      </w:r>
      <w:r w:rsidRPr="00350287">
        <w:rPr>
          <w:lang w:val="es-CL"/>
        </w:rPr>
        <w:t>s. 66 and 67.</w:t>
      </w:r>
    </w:p>
  </w:footnote>
  <w:footnote w:id="70">
    <w:p w14:paraId="5345D97A" w14:textId="540E5885" w:rsidR="006D4B37" w:rsidRPr="00076CA5" w:rsidRDefault="004351B0" w:rsidP="006D4B37">
      <w:pPr>
        <w:pStyle w:val="Notedebasdepage"/>
        <w:rPr>
          <w:lang w:val="nb-NO"/>
        </w:rPr>
      </w:pPr>
      <w:r w:rsidRPr="00076CA5">
        <w:rPr>
          <w:rStyle w:val="Appelnotedebasdep"/>
          <w:lang w:val="en-CA"/>
        </w:rPr>
        <w:footnoteRef/>
      </w:r>
      <w:r w:rsidRPr="00076CA5">
        <w:rPr>
          <w:lang w:val="nb-NO"/>
        </w:rPr>
        <w:t xml:space="preserve"> </w:t>
      </w:r>
      <w:r w:rsidRPr="00076CA5">
        <w:rPr>
          <w:lang w:val="nb-NO"/>
        </w:rPr>
        <w:tab/>
      </w:r>
      <w:r w:rsidRPr="00076CA5">
        <w:rPr>
          <w:i/>
          <w:iCs/>
          <w:lang w:val="nb-NO"/>
        </w:rPr>
        <w:t>R. v. Bryan</w:t>
      </w:r>
      <w:r w:rsidRPr="00076CA5">
        <w:rPr>
          <w:lang w:val="nb-NO"/>
        </w:rPr>
        <w:t>, 2007 SCC 12</w:t>
      </w:r>
      <w:r w:rsidR="003E58C4">
        <w:rPr>
          <w:lang w:val="nb-NO"/>
        </w:rPr>
        <w:t>,</w:t>
      </w:r>
      <w:r w:rsidR="00915D2E" w:rsidRPr="00076CA5">
        <w:rPr>
          <w:lang w:val="nb-NO"/>
        </w:rPr>
        <w:t xml:space="preserve"> para</w:t>
      </w:r>
      <w:r w:rsidRPr="00076CA5">
        <w:rPr>
          <w:lang w:val="nb-NO"/>
        </w:rPr>
        <w:t>s. 32-37 [</w:t>
      </w:r>
      <w:r w:rsidRPr="00076CA5">
        <w:rPr>
          <w:i/>
          <w:iCs/>
          <w:lang w:val="nb-NO"/>
        </w:rPr>
        <w:t>Bryan</w:t>
      </w:r>
      <w:r w:rsidRPr="00076CA5">
        <w:rPr>
          <w:lang w:val="nb-NO"/>
        </w:rPr>
        <w:t xml:space="preserve">]; </w:t>
      </w:r>
      <w:r w:rsidRPr="00076CA5">
        <w:rPr>
          <w:i/>
          <w:iCs/>
          <w:lang w:val="nb-NO"/>
        </w:rPr>
        <w:t>Oakes</w:t>
      </w:r>
      <w:r w:rsidRPr="00076CA5">
        <w:rPr>
          <w:lang w:val="nb-NO"/>
        </w:rPr>
        <w:t xml:space="preserve">, </w:t>
      </w:r>
      <w:r w:rsidRPr="00076CA5">
        <w:rPr>
          <w:i/>
          <w:iCs/>
          <w:lang w:val="nb-NO"/>
        </w:rPr>
        <w:t>supra</w:t>
      </w:r>
      <w:r w:rsidRPr="00076CA5">
        <w:rPr>
          <w:lang w:val="nb-NO"/>
        </w:rPr>
        <w:t xml:space="preserve"> note </w:t>
      </w:r>
      <w:r w:rsidRPr="00076CA5">
        <w:rPr>
          <w:lang w:val="en-CA"/>
        </w:rPr>
        <w:fldChar w:fldCharType="begin"/>
      </w:r>
      <w:r w:rsidRPr="00076CA5">
        <w:rPr>
          <w:lang w:val="nb-NO"/>
        </w:rPr>
        <w:instrText xml:space="preserve"> NOTEREF _Ref214454509 \h  \* MERGEFORMAT </w:instrText>
      </w:r>
      <w:r w:rsidRPr="00076CA5">
        <w:rPr>
          <w:lang w:val="en-CA"/>
        </w:rPr>
      </w:r>
      <w:r w:rsidRPr="00076CA5">
        <w:rPr>
          <w:lang w:val="en-CA"/>
        </w:rPr>
        <w:fldChar w:fldCharType="separate"/>
      </w:r>
      <w:r w:rsidR="00990DD2">
        <w:rPr>
          <w:lang w:val="nb-NO"/>
        </w:rPr>
        <w:t>37</w:t>
      </w:r>
      <w:r w:rsidRPr="00076CA5">
        <w:rPr>
          <w:lang w:val="en-CA"/>
        </w:rPr>
        <w:fldChar w:fldCharType="end"/>
      </w:r>
      <w:r w:rsidR="003E58C4" w:rsidRPr="003E58C4">
        <w:rPr>
          <w:lang w:val="es-CL"/>
        </w:rPr>
        <w:t>,</w:t>
      </w:r>
      <w:r w:rsidR="00915D2E" w:rsidRPr="00076CA5">
        <w:rPr>
          <w:lang w:val="nb-NO"/>
        </w:rPr>
        <w:t xml:space="preserve"> para</w:t>
      </w:r>
      <w:r w:rsidRPr="00076CA5">
        <w:rPr>
          <w:lang w:val="nb-NO"/>
        </w:rPr>
        <w:t>. 69.</w:t>
      </w:r>
    </w:p>
  </w:footnote>
  <w:footnote w:id="71">
    <w:p w14:paraId="39B4F630" w14:textId="5B220622" w:rsidR="006D4B37" w:rsidRPr="00076CA5" w:rsidRDefault="004351B0" w:rsidP="006D4B37">
      <w:pPr>
        <w:pStyle w:val="Notedebasdepage"/>
        <w:rPr>
          <w:lang w:val="nb-NO"/>
        </w:rPr>
      </w:pPr>
      <w:r w:rsidRPr="00076CA5">
        <w:rPr>
          <w:rStyle w:val="Appelnotedebasdep"/>
          <w:lang w:val="en-CA"/>
        </w:rPr>
        <w:footnoteRef/>
      </w:r>
      <w:r w:rsidRPr="00076CA5">
        <w:rPr>
          <w:lang w:val="nb-NO"/>
        </w:rPr>
        <w:t xml:space="preserve"> </w:t>
      </w:r>
      <w:r w:rsidRPr="00076CA5">
        <w:rPr>
          <w:lang w:val="nb-NO"/>
        </w:rPr>
        <w:tab/>
      </w:r>
      <w:r w:rsidRPr="00076CA5">
        <w:rPr>
          <w:i/>
          <w:iCs/>
          <w:lang w:val="nb-NO"/>
        </w:rPr>
        <w:t>Frank</w:t>
      </w:r>
      <w:r w:rsidRPr="00076CA5">
        <w:rPr>
          <w:lang w:val="nb-NO"/>
        </w:rPr>
        <w:t>,</w:t>
      </w:r>
      <w:r w:rsidRPr="00076CA5">
        <w:rPr>
          <w:i/>
          <w:iCs/>
          <w:lang w:val="nb-NO"/>
        </w:rPr>
        <w:t xml:space="preserve"> supra</w:t>
      </w:r>
      <w:r w:rsidRPr="00076CA5">
        <w:rPr>
          <w:lang w:val="nb-NO"/>
        </w:rPr>
        <w:t xml:space="preserve"> note </w:t>
      </w:r>
      <w:r w:rsidRPr="00076CA5">
        <w:rPr>
          <w:lang w:val="en-CA"/>
        </w:rPr>
        <w:fldChar w:fldCharType="begin"/>
      </w:r>
      <w:r w:rsidRPr="00076CA5">
        <w:rPr>
          <w:lang w:val="nb-NO"/>
        </w:rPr>
        <w:instrText xml:space="preserve"> NOTEREF _Ref214455187 \h  \* MERGEFORMAT </w:instrText>
      </w:r>
      <w:r w:rsidRPr="00076CA5">
        <w:rPr>
          <w:lang w:val="en-CA"/>
        </w:rPr>
      </w:r>
      <w:r w:rsidRPr="00076CA5">
        <w:rPr>
          <w:lang w:val="en-CA"/>
        </w:rPr>
        <w:fldChar w:fldCharType="separate"/>
      </w:r>
      <w:r w:rsidR="00990DD2">
        <w:rPr>
          <w:lang w:val="nb-NO"/>
        </w:rPr>
        <w:t>57</w:t>
      </w:r>
      <w:r w:rsidRPr="00076CA5">
        <w:rPr>
          <w:lang w:val="en-CA"/>
        </w:rPr>
        <w:fldChar w:fldCharType="end"/>
      </w:r>
      <w:r w:rsidR="003E58C4" w:rsidRPr="003E58C4">
        <w:rPr>
          <w:lang w:val="es-CL"/>
        </w:rPr>
        <w:t>,</w:t>
      </w:r>
      <w:r w:rsidR="00915D2E" w:rsidRPr="00076CA5">
        <w:rPr>
          <w:lang w:val="nb-NO"/>
        </w:rPr>
        <w:t xml:space="preserve"> para</w:t>
      </w:r>
      <w:r w:rsidRPr="00076CA5">
        <w:rPr>
          <w:lang w:val="nb-NO"/>
        </w:rPr>
        <w:t xml:space="preserve">. 38; </w:t>
      </w:r>
      <w:r w:rsidRPr="00076CA5">
        <w:rPr>
          <w:i/>
          <w:iCs/>
          <w:lang w:val="nb-NO"/>
        </w:rPr>
        <w:t>Oakes</w:t>
      </w:r>
      <w:r w:rsidRPr="00076CA5">
        <w:rPr>
          <w:lang w:val="nb-NO"/>
        </w:rPr>
        <w:t xml:space="preserve">, </w:t>
      </w:r>
      <w:r w:rsidRPr="00076CA5">
        <w:rPr>
          <w:i/>
          <w:iCs/>
          <w:lang w:val="nb-NO"/>
        </w:rPr>
        <w:t>supra</w:t>
      </w:r>
      <w:r w:rsidRPr="00076CA5">
        <w:rPr>
          <w:lang w:val="nb-NO"/>
        </w:rPr>
        <w:t xml:space="preserve"> note </w:t>
      </w:r>
      <w:r w:rsidRPr="00076CA5">
        <w:rPr>
          <w:lang w:val="en-CA"/>
        </w:rPr>
        <w:fldChar w:fldCharType="begin"/>
      </w:r>
      <w:r w:rsidRPr="00076CA5">
        <w:rPr>
          <w:lang w:val="nb-NO"/>
        </w:rPr>
        <w:instrText xml:space="preserve"> NOTEREF _Ref214454509 \h  \* MERGEFORMAT </w:instrText>
      </w:r>
      <w:r w:rsidRPr="00076CA5">
        <w:rPr>
          <w:lang w:val="en-CA"/>
        </w:rPr>
      </w:r>
      <w:r w:rsidRPr="00076CA5">
        <w:rPr>
          <w:lang w:val="en-CA"/>
        </w:rPr>
        <w:fldChar w:fldCharType="separate"/>
      </w:r>
      <w:r w:rsidR="00990DD2">
        <w:rPr>
          <w:lang w:val="nb-NO"/>
        </w:rPr>
        <w:t>37</w:t>
      </w:r>
      <w:r w:rsidRPr="00076CA5">
        <w:rPr>
          <w:lang w:val="en-CA"/>
        </w:rPr>
        <w:fldChar w:fldCharType="end"/>
      </w:r>
      <w:r w:rsidR="003E58C4" w:rsidRPr="003E58C4">
        <w:rPr>
          <w:lang w:val="es-CL"/>
        </w:rPr>
        <w:t>,</w:t>
      </w:r>
      <w:r w:rsidR="00915D2E" w:rsidRPr="00076CA5">
        <w:rPr>
          <w:lang w:val="nb-NO"/>
        </w:rPr>
        <w:t xml:space="preserve"> para</w:t>
      </w:r>
      <w:r w:rsidRPr="00076CA5">
        <w:rPr>
          <w:lang w:val="nb-NO"/>
        </w:rPr>
        <w:t>. 70.</w:t>
      </w:r>
    </w:p>
  </w:footnote>
  <w:footnote w:id="72">
    <w:p w14:paraId="6E55533F" w14:textId="252458BC" w:rsidR="006D4B37" w:rsidRPr="00350287" w:rsidRDefault="004351B0" w:rsidP="006D4B37">
      <w:pPr>
        <w:pStyle w:val="Notedebasdepage"/>
        <w:rPr>
          <w:lang w:val="es-CL"/>
        </w:rPr>
      </w:pPr>
      <w:r w:rsidRPr="00076CA5">
        <w:rPr>
          <w:rStyle w:val="Appelnotedebasdep"/>
          <w:lang w:val="en-CA"/>
        </w:rPr>
        <w:footnoteRef/>
      </w:r>
      <w:r w:rsidRPr="00076CA5">
        <w:rPr>
          <w:lang w:val="nb-NO"/>
        </w:rPr>
        <w:t xml:space="preserve"> </w:t>
      </w:r>
      <w:r w:rsidRPr="00076CA5">
        <w:rPr>
          <w:lang w:val="nb-NO"/>
        </w:rPr>
        <w:tab/>
      </w:r>
      <w:bookmarkStart w:id="29" w:name="_Hlk213005714"/>
      <w:r w:rsidRPr="00076CA5">
        <w:rPr>
          <w:i/>
          <w:iCs/>
          <w:lang w:val="nb-NO"/>
        </w:rPr>
        <w:t>Bryan</w:t>
      </w:r>
      <w:r w:rsidRPr="00076CA5">
        <w:rPr>
          <w:lang w:val="nb-NO"/>
        </w:rPr>
        <w:t xml:space="preserve">, </w:t>
      </w:r>
      <w:r w:rsidRPr="00076CA5">
        <w:rPr>
          <w:i/>
          <w:iCs/>
          <w:lang w:val="nb-NO"/>
        </w:rPr>
        <w:t>supra</w:t>
      </w:r>
      <w:r w:rsidRPr="00076CA5">
        <w:rPr>
          <w:lang w:val="nb-NO"/>
        </w:rPr>
        <w:t xml:space="preserve"> note </w:t>
      </w:r>
      <w:r w:rsidRPr="00076CA5">
        <w:rPr>
          <w:lang w:val="en-CA"/>
        </w:rPr>
        <w:fldChar w:fldCharType="begin"/>
      </w:r>
      <w:r w:rsidRPr="00076CA5">
        <w:rPr>
          <w:lang w:val="nb-NO"/>
        </w:rPr>
        <w:instrText xml:space="preserve"> NOTEREF _Ref214454902 \h  \* MERGEFORMAT </w:instrText>
      </w:r>
      <w:r w:rsidRPr="00076CA5">
        <w:rPr>
          <w:lang w:val="en-CA"/>
        </w:rPr>
      </w:r>
      <w:r w:rsidRPr="00076CA5">
        <w:rPr>
          <w:lang w:val="en-CA"/>
        </w:rPr>
        <w:fldChar w:fldCharType="separate"/>
      </w:r>
      <w:r w:rsidR="00990DD2">
        <w:rPr>
          <w:lang w:val="nb-NO"/>
        </w:rPr>
        <w:t>70</w:t>
      </w:r>
      <w:r w:rsidRPr="00076CA5">
        <w:rPr>
          <w:lang w:val="en-CA"/>
        </w:rPr>
        <w:fldChar w:fldCharType="end"/>
      </w:r>
      <w:r w:rsidR="003E58C4" w:rsidRPr="003E58C4">
        <w:rPr>
          <w:lang w:val="es-CL"/>
        </w:rPr>
        <w:t>,</w:t>
      </w:r>
      <w:r w:rsidR="00915D2E" w:rsidRPr="00076CA5">
        <w:rPr>
          <w:lang w:val="nb-NO"/>
        </w:rPr>
        <w:t xml:space="preserve"> para</w:t>
      </w:r>
      <w:r w:rsidRPr="00076CA5">
        <w:rPr>
          <w:lang w:val="nb-NO"/>
        </w:rPr>
        <w:t xml:space="preserve">s. </w:t>
      </w:r>
      <w:r w:rsidRPr="00145125">
        <w:rPr>
          <w:lang w:val="nb-NO"/>
        </w:rPr>
        <w:t xml:space="preserve">39-41; </w:t>
      </w:r>
      <w:r w:rsidRPr="00145125">
        <w:rPr>
          <w:i/>
          <w:iCs/>
          <w:lang w:val="nb-NO"/>
        </w:rPr>
        <w:t>Harper</w:t>
      </w:r>
      <w:r w:rsidRPr="00145125">
        <w:rPr>
          <w:lang w:val="nb-NO"/>
        </w:rPr>
        <w:t xml:space="preserve">, </w:t>
      </w:r>
      <w:r w:rsidRPr="00145125">
        <w:rPr>
          <w:i/>
          <w:iCs/>
          <w:lang w:val="nb-NO"/>
        </w:rPr>
        <w:t>supra</w:t>
      </w:r>
      <w:r w:rsidRPr="00145125">
        <w:rPr>
          <w:lang w:val="nb-NO"/>
        </w:rPr>
        <w:t xml:space="preserve"> note </w:t>
      </w:r>
      <w:r w:rsidRPr="00076CA5">
        <w:rPr>
          <w:lang w:val="en-CA"/>
        </w:rPr>
        <w:fldChar w:fldCharType="begin"/>
      </w:r>
      <w:r w:rsidRPr="00145125">
        <w:rPr>
          <w:lang w:val="nb-NO"/>
        </w:rPr>
        <w:instrText xml:space="preserve"> NOTEREF _Ref214367399 \h  \* MERGEFORMAT </w:instrText>
      </w:r>
      <w:r w:rsidRPr="00076CA5">
        <w:rPr>
          <w:lang w:val="en-CA"/>
        </w:rPr>
      </w:r>
      <w:r w:rsidRPr="00076CA5">
        <w:rPr>
          <w:lang w:val="en-CA"/>
        </w:rPr>
        <w:fldChar w:fldCharType="separate"/>
      </w:r>
      <w:r w:rsidR="00990DD2">
        <w:rPr>
          <w:lang w:val="nb-NO"/>
        </w:rPr>
        <w:t>60</w:t>
      </w:r>
      <w:r w:rsidRPr="00076CA5">
        <w:rPr>
          <w:lang w:val="en-CA"/>
        </w:rPr>
        <w:fldChar w:fldCharType="end"/>
      </w:r>
      <w:r w:rsidR="003E58C4" w:rsidRPr="003E58C4">
        <w:rPr>
          <w:lang w:val="es-CL"/>
        </w:rPr>
        <w:t>,</w:t>
      </w:r>
      <w:r w:rsidR="00915D2E" w:rsidRPr="00145125">
        <w:rPr>
          <w:lang w:val="nb-NO"/>
        </w:rPr>
        <w:t xml:space="preserve"> para</w:t>
      </w:r>
      <w:r w:rsidRPr="00145125">
        <w:rPr>
          <w:lang w:val="nb-NO"/>
        </w:rPr>
        <w:t xml:space="preserve">. </w:t>
      </w:r>
      <w:r w:rsidRPr="00350287">
        <w:rPr>
          <w:lang w:val="es-CL"/>
        </w:rPr>
        <w:t xml:space="preserve">104; </w:t>
      </w:r>
      <w:r w:rsidRPr="00350287">
        <w:rPr>
          <w:i/>
          <w:iCs/>
          <w:lang w:val="es-CL"/>
        </w:rPr>
        <w:t>Oakes</w:t>
      </w:r>
      <w:r w:rsidRPr="00350287">
        <w:rPr>
          <w:lang w:val="es-CL"/>
        </w:rPr>
        <w:t xml:space="preserve">, </w:t>
      </w:r>
      <w:r w:rsidRPr="00350287">
        <w:rPr>
          <w:i/>
          <w:iCs/>
          <w:lang w:val="es-CL"/>
        </w:rPr>
        <w:t>supra</w:t>
      </w:r>
      <w:r w:rsidRPr="00350287">
        <w:rPr>
          <w:lang w:val="es-CL"/>
        </w:rPr>
        <w:t xml:space="preserve"> note </w:t>
      </w:r>
      <w:r w:rsidRPr="00076CA5">
        <w:rPr>
          <w:lang w:val="en-CA"/>
        </w:rPr>
        <w:fldChar w:fldCharType="begin"/>
      </w:r>
      <w:r w:rsidRPr="00350287">
        <w:rPr>
          <w:lang w:val="es-CL"/>
        </w:rPr>
        <w:instrText xml:space="preserve"> NOTEREF _Ref214454509 \h  \* MERGEFORMAT </w:instrText>
      </w:r>
      <w:r w:rsidRPr="00076CA5">
        <w:rPr>
          <w:lang w:val="en-CA"/>
        </w:rPr>
      </w:r>
      <w:r w:rsidRPr="00076CA5">
        <w:rPr>
          <w:lang w:val="en-CA"/>
        </w:rPr>
        <w:fldChar w:fldCharType="separate"/>
      </w:r>
      <w:r w:rsidR="00990DD2">
        <w:rPr>
          <w:lang w:val="es-CL"/>
        </w:rPr>
        <w:t>37</w:t>
      </w:r>
      <w:r w:rsidRPr="00076CA5">
        <w:rPr>
          <w:lang w:val="en-CA"/>
        </w:rPr>
        <w:fldChar w:fldCharType="end"/>
      </w:r>
      <w:r w:rsidR="003E58C4" w:rsidRPr="00350287">
        <w:rPr>
          <w:lang w:val="es-CL"/>
        </w:rPr>
        <w:t>,</w:t>
      </w:r>
      <w:r w:rsidR="00915D2E" w:rsidRPr="00350287">
        <w:rPr>
          <w:lang w:val="es-CL"/>
        </w:rPr>
        <w:t xml:space="preserve"> para</w:t>
      </w:r>
      <w:r w:rsidRPr="00350287">
        <w:rPr>
          <w:lang w:val="es-CL"/>
        </w:rPr>
        <w:t>. 70.</w:t>
      </w:r>
      <w:bookmarkEnd w:id="29"/>
    </w:p>
  </w:footnote>
  <w:footnote w:id="73">
    <w:p w14:paraId="5A67807C" w14:textId="76877D8F" w:rsidR="006D4B37" w:rsidRPr="00350287" w:rsidRDefault="004351B0" w:rsidP="006D4B37">
      <w:pPr>
        <w:pStyle w:val="Notedebasdepage"/>
        <w:rPr>
          <w:lang w:val="es-CL"/>
        </w:rPr>
      </w:pPr>
      <w:r w:rsidRPr="00076CA5">
        <w:rPr>
          <w:rStyle w:val="Appelnotedebasdep"/>
          <w:lang w:val="en-CA"/>
        </w:rPr>
        <w:footnoteRef/>
      </w:r>
      <w:r w:rsidRPr="003E58C4">
        <w:rPr>
          <w:lang w:val="es-CL"/>
        </w:rPr>
        <w:t xml:space="preserve"> </w:t>
      </w:r>
      <w:r w:rsidRPr="003E58C4">
        <w:rPr>
          <w:lang w:val="es-CL"/>
        </w:rPr>
        <w:tab/>
      </w:r>
      <w:r w:rsidRPr="003E58C4">
        <w:rPr>
          <w:i/>
          <w:iCs/>
          <w:lang w:val="es-CL"/>
        </w:rPr>
        <w:t>Bryan</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_Ref214454902 \h  \* MERGEFORMAT </w:instrText>
      </w:r>
      <w:r w:rsidRPr="00076CA5">
        <w:rPr>
          <w:lang w:val="en-CA"/>
        </w:rPr>
      </w:r>
      <w:r w:rsidRPr="00076CA5">
        <w:rPr>
          <w:lang w:val="en-CA"/>
        </w:rPr>
        <w:fldChar w:fldCharType="separate"/>
      </w:r>
      <w:r w:rsidR="00990DD2">
        <w:rPr>
          <w:lang w:val="es-CL"/>
        </w:rPr>
        <w:t>70</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42, citing </w:t>
      </w:r>
      <w:r w:rsidRPr="003E58C4">
        <w:rPr>
          <w:i/>
          <w:iCs/>
          <w:lang w:val="es-CL"/>
        </w:rPr>
        <w:t>RJR-MacDonald Inc. v. Canada (Attorney General)</w:t>
      </w:r>
      <w:r w:rsidRPr="003E58C4">
        <w:rPr>
          <w:lang w:val="es-CL"/>
        </w:rPr>
        <w:t>, 1995 CanLII 64 (SCC), [1995] 3 S</w:t>
      </w:r>
      <w:r w:rsidR="00DA02BB" w:rsidRPr="003E58C4">
        <w:rPr>
          <w:lang w:val="es-CL"/>
        </w:rPr>
        <w:t>.</w:t>
      </w:r>
      <w:r w:rsidRPr="003E58C4">
        <w:rPr>
          <w:lang w:val="es-CL"/>
        </w:rPr>
        <w:t>C</w:t>
      </w:r>
      <w:r w:rsidR="00DA02BB" w:rsidRPr="003E58C4">
        <w:rPr>
          <w:lang w:val="es-CL"/>
        </w:rPr>
        <w:t>.</w:t>
      </w:r>
      <w:r w:rsidRPr="003E58C4">
        <w:rPr>
          <w:lang w:val="es-CL"/>
        </w:rPr>
        <w:t>R</w:t>
      </w:r>
      <w:r w:rsidR="00DA02BB" w:rsidRPr="003E58C4">
        <w:rPr>
          <w:lang w:val="es-CL"/>
        </w:rPr>
        <w:t>.</w:t>
      </w:r>
      <w:r w:rsidRPr="003E58C4">
        <w:rPr>
          <w:lang w:val="es-CL"/>
        </w:rPr>
        <w:t xml:space="preserve"> 199</w:t>
      </w:r>
      <w:r w:rsidR="003E58C4" w:rsidRPr="003E58C4">
        <w:rPr>
          <w:lang w:val="es-CL"/>
        </w:rPr>
        <w:t>,</w:t>
      </w:r>
      <w:r w:rsidR="00915D2E" w:rsidRPr="003E58C4">
        <w:rPr>
          <w:lang w:val="es-CL"/>
        </w:rPr>
        <w:t xml:space="preserve"> para</w:t>
      </w:r>
      <w:r w:rsidRPr="003E58C4">
        <w:rPr>
          <w:lang w:val="es-CL"/>
        </w:rPr>
        <w:t xml:space="preserve">. 160; </w:t>
      </w:r>
      <w:r w:rsidRPr="003E58C4">
        <w:rPr>
          <w:i/>
          <w:iCs/>
          <w:lang w:val="es-CL"/>
        </w:rPr>
        <w:t>Frank</w:t>
      </w:r>
      <w:r w:rsidRPr="003E58C4">
        <w:rPr>
          <w:lang w:val="es-CL"/>
        </w:rPr>
        <w:t>,</w:t>
      </w:r>
      <w:r w:rsidRPr="003E58C4">
        <w:rPr>
          <w:i/>
          <w:iCs/>
          <w:lang w:val="es-CL"/>
        </w:rPr>
        <w:t xml:space="preserve"> 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66; </w:t>
      </w:r>
      <w:r w:rsidRPr="003E58C4">
        <w:rPr>
          <w:i/>
          <w:iCs/>
          <w:lang w:val="es-CL"/>
        </w:rPr>
        <w:t>Ontario (Attorney General)</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63; </w:t>
      </w:r>
      <w:r w:rsidRPr="003E58C4">
        <w:rPr>
          <w:i/>
          <w:iCs/>
          <w:lang w:val="es-CL"/>
        </w:rPr>
        <w:t>Oakes</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_Ref214454509 \h  \* MERGEFORMAT </w:instrText>
      </w:r>
      <w:r w:rsidRPr="00076CA5">
        <w:rPr>
          <w:lang w:val="en-CA"/>
        </w:rPr>
      </w:r>
      <w:r w:rsidRPr="00076CA5">
        <w:rPr>
          <w:lang w:val="en-CA"/>
        </w:rPr>
        <w:fldChar w:fldCharType="separate"/>
      </w:r>
      <w:r w:rsidR="00990DD2">
        <w:rPr>
          <w:lang w:val="es-CL"/>
        </w:rPr>
        <w:t>37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w:t>
      </w:r>
      <w:r w:rsidRPr="00350287">
        <w:rPr>
          <w:lang w:val="es-CL"/>
        </w:rPr>
        <w:t>70.</w:t>
      </w:r>
    </w:p>
  </w:footnote>
  <w:footnote w:id="74">
    <w:p w14:paraId="4FB904C4" w14:textId="6B8D5C31" w:rsidR="006D4B37" w:rsidRPr="00350287" w:rsidRDefault="004351B0" w:rsidP="006D4B37">
      <w:pPr>
        <w:pStyle w:val="Notedebasdepage"/>
        <w:rPr>
          <w:lang w:val="es-CL"/>
        </w:rPr>
      </w:pPr>
      <w:r w:rsidRPr="00076CA5">
        <w:rPr>
          <w:rStyle w:val="Appelnotedebasdep"/>
          <w:lang w:val="en-CA"/>
        </w:rPr>
        <w:footnoteRef/>
      </w:r>
      <w:r w:rsidRPr="003E58C4">
        <w:rPr>
          <w:lang w:val="es-CL"/>
        </w:rPr>
        <w:t xml:space="preserve"> </w:t>
      </w:r>
      <w:r w:rsidRPr="003E58C4">
        <w:rPr>
          <w:lang w:val="es-CL"/>
        </w:rPr>
        <w:tab/>
      </w:r>
      <w:bookmarkStart w:id="33" w:name="_Hlk213001408"/>
      <w:r w:rsidRPr="003E58C4">
        <w:rPr>
          <w:i/>
          <w:iCs/>
          <w:lang w:val="es-CL"/>
        </w:rPr>
        <w:t>RJR-MacDonald Inc. v. Canada (Attorney General)</w:t>
      </w:r>
      <w:r w:rsidRPr="003E58C4">
        <w:rPr>
          <w:lang w:val="es-CL"/>
        </w:rPr>
        <w:t>, [1995] 3 S</w:t>
      </w:r>
      <w:r w:rsidR="00DA02BB" w:rsidRPr="003E58C4">
        <w:rPr>
          <w:lang w:val="es-CL"/>
        </w:rPr>
        <w:t>.</w:t>
      </w:r>
      <w:r w:rsidRPr="003E58C4">
        <w:rPr>
          <w:lang w:val="es-CL"/>
        </w:rPr>
        <w:t>C</w:t>
      </w:r>
      <w:r w:rsidR="00DA02BB" w:rsidRPr="003E58C4">
        <w:rPr>
          <w:lang w:val="es-CL"/>
        </w:rPr>
        <w:t>.</w:t>
      </w:r>
      <w:r w:rsidRPr="003E58C4">
        <w:rPr>
          <w:lang w:val="es-CL"/>
        </w:rPr>
        <w:t>R</w:t>
      </w:r>
      <w:r w:rsidR="00DA02BB" w:rsidRPr="003E58C4">
        <w:rPr>
          <w:lang w:val="es-CL"/>
        </w:rPr>
        <w:t>.</w:t>
      </w:r>
      <w:r w:rsidRPr="003E58C4">
        <w:rPr>
          <w:lang w:val="es-CL"/>
        </w:rPr>
        <w:t xml:space="preserve"> 199</w:t>
      </w:r>
      <w:r w:rsidR="003E58C4" w:rsidRPr="003E58C4">
        <w:rPr>
          <w:lang w:val="es-CL"/>
        </w:rPr>
        <w:t>,</w:t>
      </w:r>
      <w:r w:rsidRPr="003E58C4">
        <w:rPr>
          <w:lang w:val="es-CL"/>
        </w:rPr>
        <w:t xml:space="preserve"> para. </w:t>
      </w:r>
      <w:r w:rsidRPr="00350287">
        <w:rPr>
          <w:lang w:val="en-CA"/>
        </w:rPr>
        <w:t xml:space="preserve">160; </w:t>
      </w:r>
      <w:r w:rsidRPr="00350287">
        <w:rPr>
          <w:i/>
          <w:iCs/>
          <w:lang w:val="en-CA"/>
        </w:rPr>
        <w:t>Bryan</w:t>
      </w:r>
      <w:r w:rsidRPr="00350287">
        <w:rPr>
          <w:lang w:val="en-CA"/>
        </w:rPr>
        <w:t xml:space="preserve">, </w:t>
      </w:r>
      <w:r w:rsidRPr="00350287">
        <w:rPr>
          <w:i/>
          <w:iCs/>
          <w:lang w:val="en-CA"/>
        </w:rPr>
        <w:t>supra</w:t>
      </w:r>
      <w:r w:rsidRPr="00350287">
        <w:rPr>
          <w:lang w:val="en-CA"/>
        </w:rPr>
        <w:t xml:space="preserve"> note </w:t>
      </w:r>
      <w:r w:rsidRPr="00076CA5">
        <w:rPr>
          <w:lang w:val="en-CA"/>
        </w:rPr>
        <w:fldChar w:fldCharType="begin"/>
      </w:r>
      <w:r w:rsidRPr="00350287">
        <w:rPr>
          <w:lang w:val="en-CA"/>
        </w:rPr>
        <w:instrText xml:space="preserve"> NOTEREF _Ref214454902 \h  \* MERGEFORMAT </w:instrText>
      </w:r>
      <w:r w:rsidRPr="00076CA5">
        <w:rPr>
          <w:lang w:val="en-CA"/>
        </w:rPr>
      </w:r>
      <w:r w:rsidRPr="00076CA5">
        <w:rPr>
          <w:lang w:val="en-CA"/>
        </w:rPr>
        <w:fldChar w:fldCharType="separate"/>
      </w:r>
      <w:r w:rsidR="00990DD2">
        <w:rPr>
          <w:lang w:val="en-CA"/>
        </w:rPr>
        <w:t>70</w:t>
      </w:r>
      <w:r w:rsidRPr="00076CA5">
        <w:rPr>
          <w:lang w:val="en-CA"/>
        </w:rPr>
        <w:fldChar w:fldCharType="end"/>
      </w:r>
      <w:r w:rsidR="003E58C4" w:rsidRPr="00350287">
        <w:rPr>
          <w:lang w:val="en-CA"/>
        </w:rPr>
        <w:t>,</w:t>
      </w:r>
      <w:r w:rsidR="00915D2E" w:rsidRPr="00350287">
        <w:rPr>
          <w:lang w:val="en-CA"/>
        </w:rPr>
        <w:t xml:space="preserve"> para</w:t>
      </w:r>
      <w:r w:rsidRPr="00350287">
        <w:rPr>
          <w:lang w:val="en-CA"/>
        </w:rPr>
        <w:t xml:space="preserve">. </w:t>
      </w:r>
      <w:r w:rsidRPr="00076CA5">
        <w:rPr>
          <w:lang w:val="en-CA"/>
        </w:rPr>
        <w:t xml:space="preserve">42, citing this excerpt from </w:t>
      </w:r>
      <w:r w:rsidRPr="00076CA5">
        <w:rPr>
          <w:i/>
          <w:iCs/>
          <w:lang w:val="en-CA"/>
        </w:rPr>
        <w:t>RJR-MacDonald Inc. v. Canada (Attorney General),</w:t>
      </w:r>
      <w:r w:rsidRPr="00076CA5">
        <w:rPr>
          <w:lang w:val="en-CA"/>
        </w:rPr>
        <w:t xml:space="preserve"> [1995] 3 S</w:t>
      </w:r>
      <w:r w:rsidR="000C26F5" w:rsidRPr="00076CA5">
        <w:rPr>
          <w:lang w:val="en-CA"/>
        </w:rPr>
        <w:t>.</w:t>
      </w:r>
      <w:r w:rsidRPr="00076CA5">
        <w:rPr>
          <w:lang w:val="en-CA"/>
        </w:rPr>
        <w:t>C</w:t>
      </w:r>
      <w:r w:rsidR="000C26F5" w:rsidRPr="00076CA5">
        <w:rPr>
          <w:lang w:val="en-CA"/>
        </w:rPr>
        <w:t>.</w:t>
      </w:r>
      <w:r w:rsidRPr="00076CA5">
        <w:rPr>
          <w:lang w:val="en-CA"/>
        </w:rPr>
        <w:t>R</w:t>
      </w:r>
      <w:r w:rsidR="000C26F5" w:rsidRPr="00076CA5">
        <w:rPr>
          <w:lang w:val="en-CA"/>
        </w:rPr>
        <w:t>.</w:t>
      </w:r>
      <w:r w:rsidRPr="00076CA5">
        <w:rPr>
          <w:lang w:val="en-CA"/>
        </w:rPr>
        <w:t xml:space="preserve"> 199</w:t>
      </w:r>
      <w:r w:rsidR="003E58C4">
        <w:rPr>
          <w:lang w:val="en-CA"/>
        </w:rPr>
        <w:t>,</w:t>
      </w:r>
      <w:r w:rsidRPr="00076CA5">
        <w:rPr>
          <w:lang w:val="en-CA"/>
        </w:rPr>
        <w:t xml:space="preserve"> para. </w:t>
      </w:r>
      <w:r w:rsidRPr="00350287">
        <w:rPr>
          <w:lang w:val="es-CL"/>
        </w:rPr>
        <w:t>160.</w:t>
      </w:r>
      <w:bookmarkEnd w:id="33"/>
    </w:p>
  </w:footnote>
  <w:footnote w:id="75">
    <w:p w14:paraId="07F8A661" w14:textId="1FB4681A" w:rsidR="006D4B37" w:rsidRPr="00350287" w:rsidRDefault="004351B0" w:rsidP="006D4B37">
      <w:pPr>
        <w:pStyle w:val="Notedebasdepage"/>
        <w:rPr>
          <w:lang w:val="es-CL"/>
        </w:rPr>
      </w:pPr>
      <w:r w:rsidRPr="00076CA5">
        <w:rPr>
          <w:rStyle w:val="Appelnotedebasdep"/>
          <w:lang w:val="en-CA"/>
        </w:rPr>
        <w:footnoteRef/>
      </w:r>
      <w:r w:rsidRPr="003E58C4">
        <w:rPr>
          <w:lang w:val="es-CL"/>
        </w:rPr>
        <w:t xml:space="preserve"> </w:t>
      </w:r>
      <w:r w:rsidRPr="003E58C4">
        <w:rPr>
          <w:lang w:val="es-CL"/>
        </w:rPr>
        <w:tab/>
      </w:r>
      <w:r w:rsidRPr="003E58C4">
        <w:rPr>
          <w:i/>
          <w:iCs/>
          <w:lang w:val="es-CL"/>
        </w:rPr>
        <w:t>Harper</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_Ref214367399 \h  \* MERGEFORMAT </w:instrText>
      </w:r>
      <w:r w:rsidRPr="00076CA5">
        <w:rPr>
          <w:lang w:val="en-CA"/>
        </w:rPr>
      </w:r>
      <w:r w:rsidRPr="00076CA5">
        <w:rPr>
          <w:lang w:val="en-CA"/>
        </w:rPr>
        <w:fldChar w:fldCharType="separate"/>
      </w:r>
      <w:r w:rsidR="00990DD2">
        <w:rPr>
          <w:lang w:val="es-CL"/>
        </w:rPr>
        <w:t>60</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110; </w:t>
      </w:r>
      <w:r w:rsidRPr="003E58C4">
        <w:rPr>
          <w:i/>
          <w:iCs/>
          <w:lang w:val="es-CL"/>
        </w:rPr>
        <w:t>Ontario (Attorney General)</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w:t>
      </w:r>
      <w:r w:rsidRPr="00350287">
        <w:rPr>
          <w:lang w:val="es-CL"/>
        </w:rPr>
        <w:t>63.</w:t>
      </w:r>
    </w:p>
  </w:footnote>
  <w:footnote w:id="76">
    <w:p w14:paraId="69137C2D" w14:textId="193FB557" w:rsidR="006D4B37" w:rsidRPr="00350287" w:rsidRDefault="004351B0" w:rsidP="006D4B37">
      <w:pPr>
        <w:pStyle w:val="Notedebasdepage"/>
        <w:rPr>
          <w:lang w:val="es-CL"/>
        </w:rPr>
      </w:pPr>
      <w:r w:rsidRPr="00076CA5">
        <w:rPr>
          <w:rStyle w:val="Appelnotedebasdep"/>
          <w:lang w:val="en-CA"/>
        </w:rPr>
        <w:footnoteRef/>
      </w:r>
      <w:r w:rsidRPr="003E58C4">
        <w:rPr>
          <w:lang w:val="es-CL"/>
        </w:rPr>
        <w:t xml:space="preserve"> </w:t>
      </w:r>
      <w:r w:rsidRPr="003E58C4">
        <w:rPr>
          <w:lang w:val="es-CL"/>
        </w:rPr>
        <w:tab/>
      </w:r>
      <w:r w:rsidRPr="003E58C4">
        <w:rPr>
          <w:i/>
          <w:iCs/>
          <w:lang w:val="es-CL"/>
        </w:rPr>
        <w:t>Ontario (Attorney General)</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w:t>
      </w:r>
      <w:r w:rsidRPr="00350287">
        <w:rPr>
          <w:lang w:val="es-CL"/>
        </w:rPr>
        <w:t>63.</w:t>
      </w:r>
    </w:p>
  </w:footnote>
  <w:footnote w:id="77">
    <w:p w14:paraId="2B8FB93E" w14:textId="70545C1E"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Pr="00350287">
        <w:rPr>
          <w:i/>
          <w:iCs/>
          <w:lang w:val="es-CL"/>
        </w:rPr>
        <w:t>Saskatchewan Reference</w:t>
      </w:r>
      <w:r w:rsidRPr="00350287">
        <w:rPr>
          <w:lang w:val="es-CL"/>
        </w:rPr>
        <w:t>, p. 189.</w:t>
      </w:r>
    </w:p>
  </w:footnote>
  <w:footnote w:id="78">
    <w:p w14:paraId="43C252C5" w14:textId="30762B41"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Pr="00350287">
        <w:rPr>
          <w:i/>
          <w:iCs/>
          <w:lang w:val="es-CL"/>
        </w:rPr>
        <w:t>Oakes</w:t>
      </w:r>
      <w:r w:rsidRPr="00350287">
        <w:rPr>
          <w:lang w:val="es-CL"/>
        </w:rPr>
        <w:t xml:space="preserve">, </w:t>
      </w:r>
      <w:r w:rsidRPr="00350287">
        <w:rPr>
          <w:i/>
          <w:iCs/>
          <w:lang w:val="es-CL"/>
        </w:rPr>
        <w:t>supra</w:t>
      </w:r>
      <w:r w:rsidRPr="00350287">
        <w:rPr>
          <w:lang w:val="es-CL"/>
        </w:rPr>
        <w:t xml:space="preserve"> note </w:t>
      </w:r>
      <w:r w:rsidRPr="00076CA5">
        <w:rPr>
          <w:lang w:val="en-CA"/>
        </w:rPr>
        <w:fldChar w:fldCharType="begin"/>
      </w:r>
      <w:r w:rsidRPr="00350287">
        <w:rPr>
          <w:lang w:val="es-CL"/>
        </w:rPr>
        <w:instrText xml:space="preserve"> NOTEREF _Ref214454509 \h  \* MERGEFORMAT </w:instrText>
      </w:r>
      <w:r w:rsidRPr="00076CA5">
        <w:rPr>
          <w:lang w:val="en-CA"/>
        </w:rPr>
      </w:r>
      <w:r w:rsidRPr="00076CA5">
        <w:rPr>
          <w:lang w:val="en-CA"/>
        </w:rPr>
        <w:fldChar w:fldCharType="separate"/>
      </w:r>
      <w:r w:rsidR="00990DD2">
        <w:rPr>
          <w:lang w:val="es-CL"/>
        </w:rPr>
        <w:t>37</w:t>
      </w:r>
      <w:r w:rsidRPr="00076CA5">
        <w:rPr>
          <w:lang w:val="en-CA"/>
        </w:rPr>
        <w:fldChar w:fldCharType="end"/>
      </w:r>
      <w:r w:rsidR="003E58C4" w:rsidRPr="00350287">
        <w:rPr>
          <w:lang w:val="es-CL"/>
        </w:rPr>
        <w:t>,</w:t>
      </w:r>
      <w:r w:rsidR="00915D2E" w:rsidRPr="00350287">
        <w:rPr>
          <w:lang w:val="es-CL"/>
        </w:rPr>
        <w:t xml:space="preserve"> para</w:t>
      </w:r>
      <w:r w:rsidRPr="00350287">
        <w:rPr>
          <w:lang w:val="es-CL"/>
        </w:rPr>
        <w:t>. 68.</w:t>
      </w:r>
    </w:p>
  </w:footnote>
  <w:footnote w:id="79">
    <w:p w14:paraId="10EE21D7" w14:textId="7073D88B"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r>
      <w:r w:rsidRPr="00350287">
        <w:rPr>
          <w:i/>
          <w:iCs/>
          <w:lang w:val="es-CL"/>
        </w:rPr>
        <w:t>Thomson Newspapers Co. v. Canada (Attorney General),</w:t>
      </w:r>
      <w:r w:rsidRPr="00350287">
        <w:rPr>
          <w:lang w:val="es-CL"/>
        </w:rPr>
        <w:t xml:space="preserve"> [1998] 1 S</w:t>
      </w:r>
      <w:r w:rsidR="000C26F5" w:rsidRPr="00350287">
        <w:rPr>
          <w:lang w:val="es-CL"/>
        </w:rPr>
        <w:t>.</w:t>
      </w:r>
      <w:r w:rsidRPr="00350287">
        <w:rPr>
          <w:lang w:val="es-CL"/>
        </w:rPr>
        <w:t>C</w:t>
      </w:r>
      <w:r w:rsidR="000C26F5" w:rsidRPr="00350287">
        <w:rPr>
          <w:lang w:val="es-CL"/>
        </w:rPr>
        <w:t>.</w:t>
      </w:r>
      <w:r w:rsidRPr="00350287">
        <w:rPr>
          <w:lang w:val="es-CL"/>
        </w:rPr>
        <w:t>R</w:t>
      </w:r>
      <w:r w:rsidR="000C26F5" w:rsidRPr="00350287">
        <w:rPr>
          <w:lang w:val="es-CL"/>
        </w:rPr>
        <w:t>.</w:t>
      </w:r>
      <w:r w:rsidRPr="00350287">
        <w:rPr>
          <w:lang w:val="es-CL"/>
        </w:rPr>
        <w:t xml:space="preserve"> 877</w:t>
      </w:r>
      <w:r w:rsidR="003E58C4" w:rsidRPr="00350287">
        <w:rPr>
          <w:lang w:val="es-CL"/>
        </w:rPr>
        <w:t>,</w:t>
      </w:r>
      <w:r w:rsidR="00915D2E" w:rsidRPr="00350287">
        <w:rPr>
          <w:lang w:val="es-CL"/>
        </w:rPr>
        <w:t xml:space="preserve"> para</w:t>
      </w:r>
      <w:r w:rsidRPr="00350287">
        <w:rPr>
          <w:lang w:val="es-CL"/>
        </w:rPr>
        <w:t xml:space="preserve">. </w:t>
      </w:r>
      <w:r w:rsidRPr="003E58C4">
        <w:rPr>
          <w:lang w:val="es-CL"/>
        </w:rPr>
        <w:t xml:space="preserve">125; See also </w:t>
      </w:r>
      <w:r w:rsidRPr="003E58C4">
        <w:rPr>
          <w:i/>
          <w:iCs/>
          <w:lang w:val="es-CL"/>
        </w:rPr>
        <w:t>Bryan</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_Ref214454902 \h  \* MERGEFORMAT </w:instrText>
      </w:r>
      <w:r w:rsidRPr="00076CA5">
        <w:rPr>
          <w:lang w:val="en-CA"/>
        </w:rPr>
      </w:r>
      <w:r w:rsidRPr="00076CA5">
        <w:rPr>
          <w:lang w:val="en-CA"/>
        </w:rPr>
        <w:fldChar w:fldCharType="separate"/>
      </w:r>
      <w:r w:rsidR="00990DD2">
        <w:rPr>
          <w:lang w:val="es-CL"/>
        </w:rPr>
        <w:t>70</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48; </w:t>
      </w:r>
      <w:r w:rsidRPr="003E58C4">
        <w:rPr>
          <w:i/>
          <w:iCs/>
          <w:lang w:val="es-CL"/>
        </w:rPr>
        <w:t>Harper</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_Ref214367399 \h  \* MERGEFORMAT </w:instrText>
      </w:r>
      <w:r w:rsidRPr="00076CA5">
        <w:rPr>
          <w:lang w:val="en-CA"/>
        </w:rPr>
      </w:r>
      <w:r w:rsidRPr="00076CA5">
        <w:rPr>
          <w:lang w:val="en-CA"/>
        </w:rPr>
        <w:fldChar w:fldCharType="separate"/>
      </w:r>
      <w:r w:rsidR="00990DD2">
        <w:rPr>
          <w:lang w:val="es-CL"/>
        </w:rPr>
        <w:t>60</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119; </w:t>
      </w:r>
      <w:r w:rsidRPr="003E58C4">
        <w:rPr>
          <w:i/>
          <w:iCs/>
          <w:lang w:val="es-CL"/>
        </w:rPr>
        <w:t>Frank</w:t>
      </w:r>
      <w:r w:rsidRPr="003E58C4">
        <w:rPr>
          <w:lang w:val="es-CL"/>
        </w:rPr>
        <w:t>,</w:t>
      </w:r>
      <w:r w:rsidRPr="003E58C4">
        <w:rPr>
          <w:i/>
          <w:iCs/>
          <w:lang w:val="es-CL"/>
        </w:rPr>
        <w:t xml:space="preserve"> 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76; </w:t>
      </w:r>
      <w:r w:rsidRPr="003E58C4">
        <w:rPr>
          <w:i/>
          <w:iCs/>
          <w:lang w:val="es-CL"/>
        </w:rPr>
        <w:t>Nova Scotia Reference</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_Ref213244221 \h  \* MERGEFORMAT </w:instrText>
      </w:r>
      <w:r w:rsidRPr="00076CA5">
        <w:rPr>
          <w:lang w:val="en-CA"/>
        </w:rPr>
      </w:r>
      <w:r w:rsidRPr="00076CA5">
        <w:rPr>
          <w:lang w:val="en-CA"/>
        </w:rPr>
        <w:fldChar w:fldCharType="separate"/>
      </w:r>
      <w:r w:rsidR="00990DD2">
        <w:rPr>
          <w:lang w:val="es-CL"/>
        </w:rPr>
        <w:t>53</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140; </w:t>
      </w:r>
      <w:r w:rsidRPr="003E58C4">
        <w:rPr>
          <w:i/>
          <w:iCs/>
          <w:lang w:val="es-CL"/>
        </w:rPr>
        <w:t>Ontario (Attorney General)</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60; </w:t>
      </w:r>
      <w:r w:rsidRPr="003E58C4">
        <w:rPr>
          <w:i/>
          <w:iCs/>
          <w:lang w:val="es-CL"/>
        </w:rPr>
        <w:t>Oakes</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_Ref214454509 \h  \* MERGEFORMAT </w:instrText>
      </w:r>
      <w:r w:rsidRPr="00076CA5">
        <w:rPr>
          <w:lang w:val="en-CA"/>
        </w:rPr>
      </w:r>
      <w:r w:rsidRPr="00076CA5">
        <w:rPr>
          <w:lang w:val="en-CA"/>
        </w:rPr>
        <w:fldChar w:fldCharType="separate"/>
      </w:r>
      <w:r w:rsidR="00990DD2">
        <w:rPr>
          <w:lang w:val="es-CL"/>
        </w:rPr>
        <w:t>37</w:t>
      </w:r>
      <w:r w:rsidRPr="00076CA5">
        <w:rPr>
          <w:lang w:val="en-CA"/>
        </w:rPr>
        <w:fldChar w:fldCharType="end"/>
      </w:r>
      <w:r w:rsidR="003E58C4" w:rsidRPr="003E58C4">
        <w:rPr>
          <w:lang w:val="es-CL"/>
        </w:rPr>
        <w:t>,</w:t>
      </w:r>
      <w:r w:rsidR="00915D2E" w:rsidRPr="003E58C4">
        <w:rPr>
          <w:lang w:val="es-CL"/>
        </w:rPr>
        <w:t xml:space="preserve"> para</w:t>
      </w:r>
      <w:r w:rsidRPr="003E58C4">
        <w:rPr>
          <w:i/>
          <w:iCs/>
          <w:lang w:val="es-CL"/>
        </w:rPr>
        <w:t xml:space="preserve">. </w:t>
      </w:r>
      <w:r w:rsidRPr="00350287">
        <w:rPr>
          <w:lang w:val="es-CL"/>
        </w:rPr>
        <w:t>70.</w:t>
      </w:r>
    </w:p>
  </w:footnote>
  <w:footnote w:id="80">
    <w:p w14:paraId="1A94F985" w14:textId="04D0F396" w:rsidR="006D4B37" w:rsidRPr="00350287" w:rsidRDefault="004351B0" w:rsidP="006D4B37">
      <w:pPr>
        <w:pStyle w:val="Notedebasdepage"/>
        <w:rPr>
          <w:lang w:val="es-CL"/>
        </w:rPr>
      </w:pPr>
      <w:r w:rsidRPr="00076CA5">
        <w:rPr>
          <w:rStyle w:val="Appelnotedebasdep"/>
          <w:lang w:val="en-CA"/>
        </w:rPr>
        <w:footnoteRef/>
      </w:r>
      <w:r w:rsidRPr="00350287">
        <w:rPr>
          <w:lang w:val="es-CL"/>
        </w:rPr>
        <w:t xml:space="preserve"> </w:t>
      </w:r>
      <w:r w:rsidRPr="00350287">
        <w:rPr>
          <w:lang w:val="es-CL"/>
        </w:rPr>
        <w:tab/>
        <w:t>Saint-Jérô</w:t>
      </w:r>
      <w:r w:rsidR="00E63024" w:rsidRPr="00350287">
        <w:rPr>
          <w:lang w:val="es-CL"/>
        </w:rPr>
        <w:t>me</w:t>
      </w:r>
      <w:r w:rsidR="00387F6B" w:rsidRPr="00350287">
        <w:rPr>
          <w:lang w:val="es-CL"/>
        </w:rPr>
        <w:t xml:space="preserve"> </w:t>
      </w:r>
      <w:r w:rsidRPr="00350287">
        <w:rPr>
          <w:lang w:val="es-CL"/>
        </w:rPr>
        <w:t>and Mirabel: their deviation from the provincial average is now +26.1% and +26.7% respectively (</w:t>
      </w:r>
      <w:r w:rsidRPr="00350287">
        <w:rPr>
          <w:i/>
          <w:iCs/>
          <w:lang w:val="es-CL"/>
        </w:rPr>
        <w:t>Rapport préliminaire en vue d’une nouvelle délimitation</w:t>
      </w:r>
      <w:r w:rsidRPr="00350287">
        <w:rPr>
          <w:lang w:val="es-CL"/>
        </w:rPr>
        <w:t>, September 2023, Preliminary Report, pp. 60</w:t>
      </w:r>
      <w:r w:rsidR="00597415" w:rsidRPr="00350287">
        <w:rPr>
          <w:lang w:val="es-CL"/>
        </w:rPr>
        <w:t>-</w:t>
      </w:r>
      <w:r w:rsidRPr="00350287">
        <w:rPr>
          <w:lang w:val="es-CL"/>
        </w:rPr>
        <w:t>62).</w:t>
      </w:r>
    </w:p>
  </w:footnote>
  <w:footnote w:id="81">
    <w:p w14:paraId="60351092" w14:textId="452C82C4"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Berthier, Blainville</w:t>
      </w:r>
      <w:r w:rsidR="00597415">
        <w:rPr>
          <w:lang w:val="en-CA"/>
        </w:rPr>
        <w:t>,</w:t>
      </w:r>
      <w:r w:rsidRPr="00076CA5">
        <w:rPr>
          <w:lang w:val="en-CA"/>
        </w:rPr>
        <w:t xml:space="preserve"> and Terrebonne.</w:t>
      </w:r>
    </w:p>
  </w:footnote>
  <w:footnote w:id="82">
    <w:p w14:paraId="6EC9A626" w14:textId="5F1D70D8"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Brome-Missisquoi and Richmond, where the deviation from the provincial average </w:t>
      </w:r>
      <w:r w:rsidR="000C26F5" w:rsidRPr="00076CA5">
        <w:rPr>
          <w:lang w:val="en-CA"/>
        </w:rPr>
        <w:t>is</w:t>
      </w:r>
      <w:r w:rsidRPr="00076CA5">
        <w:rPr>
          <w:lang w:val="en-CA"/>
        </w:rPr>
        <w:t xml:space="preserve"> +33.0% and +27.3% respectively (Preliminary Report</w:t>
      </w:r>
      <w:r w:rsidR="000C26F5" w:rsidRPr="00076CA5">
        <w:rPr>
          <w:lang w:val="en-CA"/>
        </w:rPr>
        <w:t>,</w:t>
      </w:r>
      <w:r w:rsidRPr="00076CA5">
        <w:rPr>
          <w:lang w:val="en-CA"/>
        </w:rPr>
        <w:t xml:space="preserve"> pp. 48</w:t>
      </w:r>
      <w:r w:rsidR="00597415">
        <w:rPr>
          <w:lang w:val="en-CA"/>
        </w:rPr>
        <w:t>-</w:t>
      </w:r>
      <w:r w:rsidRPr="00076CA5">
        <w:rPr>
          <w:lang w:val="en-CA"/>
        </w:rPr>
        <w:t>52).</w:t>
      </w:r>
    </w:p>
  </w:footnote>
  <w:footnote w:id="83">
    <w:p w14:paraId="48F7FC56" w14:textId="1AB22B86"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Johnson and Arthabaska: the </w:t>
      </w:r>
      <w:r w:rsidR="000C26F5" w:rsidRPr="00076CA5">
        <w:rPr>
          <w:lang w:val="en-CA"/>
        </w:rPr>
        <w:t>deviation</w:t>
      </w:r>
      <w:r w:rsidRPr="00076CA5">
        <w:rPr>
          <w:lang w:val="en-CA"/>
        </w:rPr>
        <w:t xml:space="preserve"> is +24.8% and +22.9% respectively.</w:t>
      </w:r>
    </w:p>
  </w:footnote>
  <w:footnote w:id="84">
    <w:p w14:paraId="6C9844E2" w14:textId="52152721"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The Commission had already granted exception status to these two electoral divisions in 2017, which it did not renew in 2023 </w:t>
      </w:r>
      <w:r w:rsidR="00597415">
        <w:rPr>
          <w:lang w:val="en-CA"/>
        </w:rPr>
        <w:t>because</w:t>
      </w:r>
      <w:r w:rsidRPr="00076CA5">
        <w:rPr>
          <w:lang w:val="en-CA"/>
        </w:rPr>
        <w:t xml:space="preserve"> the inequalities are increasing</w:t>
      </w:r>
      <w:r w:rsidR="00673BD4" w:rsidRPr="00076CA5">
        <w:rPr>
          <w:lang w:val="en-CA"/>
        </w:rPr>
        <w:t xml:space="preserve">. The Commission </w:t>
      </w:r>
      <w:r w:rsidR="00597415">
        <w:rPr>
          <w:lang w:val="en-CA"/>
        </w:rPr>
        <w:t>is of the view</w:t>
      </w:r>
      <w:r w:rsidR="00673BD4" w:rsidRPr="00076CA5">
        <w:rPr>
          <w:lang w:val="en-CA"/>
        </w:rPr>
        <w:t xml:space="preserve"> that</w:t>
      </w:r>
      <w:r w:rsidRPr="00076CA5">
        <w:rPr>
          <w:lang w:val="en-CA"/>
        </w:rPr>
        <w:t xml:space="preserve"> it can propose</w:t>
      </w:r>
      <w:r w:rsidR="00673BD4" w:rsidRPr="00076CA5">
        <w:rPr>
          <w:lang w:val="en-CA"/>
        </w:rPr>
        <w:t xml:space="preserve"> </w:t>
      </w:r>
      <w:r w:rsidRPr="00076CA5">
        <w:rPr>
          <w:lang w:val="en-CA"/>
        </w:rPr>
        <w:t xml:space="preserve">a delimitation that respects the numerical criterion of the </w:t>
      </w:r>
      <w:r w:rsidRPr="00076CA5">
        <w:rPr>
          <w:i/>
          <w:iCs/>
          <w:lang w:val="en-CA"/>
        </w:rPr>
        <w:t>Election Act</w:t>
      </w:r>
      <w:r w:rsidRPr="00076CA5">
        <w:rPr>
          <w:lang w:val="en-CA"/>
        </w:rPr>
        <w:t xml:space="preserve"> and the natural communities of this region, and </w:t>
      </w:r>
      <w:r w:rsidR="00673BD4" w:rsidRPr="00076CA5">
        <w:rPr>
          <w:lang w:val="en-CA"/>
        </w:rPr>
        <w:t xml:space="preserve">that </w:t>
      </w:r>
      <w:r w:rsidRPr="00076CA5">
        <w:rPr>
          <w:lang w:val="en-CA"/>
        </w:rPr>
        <w:t xml:space="preserve">the </w:t>
      </w:r>
      <w:r w:rsidR="00673BD4" w:rsidRPr="00076CA5">
        <w:rPr>
          <w:lang w:val="en-CA"/>
        </w:rPr>
        <w:t xml:space="preserve">changes it is proposing </w:t>
      </w:r>
      <w:r w:rsidRPr="00076CA5">
        <w:rPr>
          <w:lang w:val="en-CA"/>
        </w:rPr>
        <w:t xml:space="preserve">contribute to establishing more </w:t>
      </w:r>
      <w:r w:rsidR="00597415">
        <w:rPr>
          <w:lang w:val="en-CA"/>
        </w:rPr>
        <w:t>sustainable</w:t>
      </w:r>
      <w:r w:rsidRPr="00076CA5">
        <w:rPr>
          <w:lang w:val="en-CA"/>
        </w:rPr>
        <w:t xml:space="preserve"> electoral </w:t>
      </w:r>
      <w:r w:rsidR="00673BD4" w:rsidRPr="00076CA5">
        <w:rPr>
          <w:lang w:val="en-CA"/>
        </w:rPr>
        <w:t>divisions</w:t>
      </w:r>
      <w:r w:rsidRPr="00076CA5">
        <w:rPr>
          <w:lang w:val="en-CA"/>
        </w:rPr>
        <w:t xml:space="preserve"> (Preliminary Report, pp. 22, 39, 40</w:t>
      </w:r>
      <w:r w:rsidR="00597415">
        <w:rPr>
          <w:lang w:val="en-CA"/>
        </w:rPr>
        <w:t>, and</w:t>
      </w:r>
      <w:r w:rsidRPr="00076CA5">
        <w:rPr>
          <w:lang w:val="en-CA"/>
        </w:rPr>
        <w:t xml:space="preserve">41). For example, the Commission compares Gaspé to Ungava, which </w:t>
      </w:r>
      <w:r w:rsidR="00673BD4" w:rsidRPr="00076CA5">
        <w:rPr>
          <w:lang w:val="en-CA"/>
        </w:rPr>
        <w:t>[</w:t>
      </w:r>
      <w:r w:rsidR="00597415">
        <w:rPr>
          <w:smallCaps/>
          <w:lang w:val="en-CA"/>
        </w:rPr>
        <w:t>translation</w:t>
      </w:r>
      <w:r w:rsidR="00673BD4" w:rsidRPr="00076CA5">
        <w:rPr>
          <w:lang w:val="en-CA"/>
        </w:rPr>
        <w:t xml:space="preserve">] </w:t>
      </w:r>
      <w:r w:rsidRPr="00076CA5">
        <w:rPr>
          <w:lang w:val="en-CA"/>
        </w:rPr>
        <w:t xml:space="preserve">“has an area to serve nearly twice that of the Gaspé division; the distance between the municipalities </w:t>
      </w:r>
      <w:r w:rsidR="00597415">
        <w:rPr>
          <w:lang w:val="en-CA"/>
        </w:rPr>
        <w:t xml:space="preserve">that are the </w:t>
      </w:r>
      <w:r w:rsidR="00DC696D">
        <w:rPr>
          <w:lang w:val="en-CA"/>
        </w:rPr>
        <w:t>f</w:t>
      </w:r>
      <w:r w:rsidR="00FA01E0">
        <w:rPr>
          <w:lang w:val="en-CA"/>
        </w:rPr>
        <w:t>a</w:t>
      </w:r>
      <w:r w:rsidR="00DC696D">
        <w:rPr>
          <w:lang w:val="en-CA"/>
        </w:rPr>
        <w:t xml:space="preserve">rthest apart </w:t>
      </w:r>
      <w:r w:rsidRPr="00076CA5">
        <w:rPr>
          <w:lang w:val="en-CA"/>
        </w:rPr>
        <w:t>is about five times greater” (p. 40).</w:t>
      </w:r>
    </w:p>
  </w:footnote>
  <w:footnote w:id="85">
    <w:p w14:paraId="2897838B" w14:textId="2B902DA0" w:rsidR="006D4B37" w:rsidRPr="00076CA5" w:rsidRDefault="004351B0" w:rsidP="006D4B37">
      <w:pPr>
        <w:pStyle w:val="Notedebasdepage"/>
        <w:rPr>
          <w:lang w:val="en-CA"/>
        </w:rPr>
      </w:pPr>
      <w:r w:rsidRPr="00076CA5">
        <w:rPr>
          <w:rStyle w:val="Appelnotedebasdep"/>
          <w:lang w:val="en-CA"/>
        </w:rPr>
        <w:footnoteRef/>
      </w:r>
      <w:r w:rsidRPr="00076CA5">
        <w:rPr>
          <w:lang w:val="en-CA"/>
        </w:rPr>
        <w:tab/>
        <w:t>The appellants</w:t>
      </w:r>
      <w:r w:rsidR="00FA01E0">
        <w:rPr>
          <w:lang w:val="en-CA"/>
        </w:rPr>
        <w:t>’</w:t>
      </w:r>
      <w:r w:rsidRPr="00076CA5">
        <w:rPr>
          <w:lang w:val="en-CA"/>
        </w:rPr>
        <w:t xml:space="preserve"> expert </w:t>
      </w:r>
      <w:r w:rsidR="00FA01E0">
        <w:rPr>
          <w:lang w:val="en-CA"/>
        </w:rPr>
        <w:t>stated</w:t>
      </w:r>
      <w:r w:rsidRPr="00076CA5">
        <w:rPr>
          <w:lang w:val="en-CA"/>
        </w:rPr>
        <w:t xml:space="preserve"> that </w:t>
      </w:r>
      <w:r w:rsidR="00FA01E0">
        <w:rPr>
          <w:lang w:val="en-CA"/>
        </w:rPr>
        <w:t>everyone was</w:t>
      </w:r>
      <w:r w:rsidRPr="00076CA5">
        <w:rPr>
          <w:lang w:val="en-CA"/>
        </w:rPr>
        <w:t xml:space="preserve"> against the removal of an electoral division in Gaspésie during the study </w:t>
      </w:r>
      <w:r w:rsidR="00673BD4" w:rsidRPr="00076CA5">
        <w:rPr>
          <w:lang w:val="en-CA"/>
        </w:rPr>
        <w:t>of the report by</w:t>
      </w:r>
      <w:r w:rsidRPr="00076CA5">
        <w:rPr>
          <w:lang w:val="en-CA"/>
        </w:rPr>
        <w:t xml:space="preserve"> the National Assembly.</w:t>
      </w:r>
    </w:p>
  </w:footnote>
  <w:footnote w:id="86">
    <w:p w14:paraId="558CA39B" w14:textId="4FB213F9" w:rsidR="00E429A3" w:rsidRPr="00076CA5" w:rsidRDefault="004351B0">
      <w:pPr>
        <w:pStyle w:val="Notedebasdepage"/>
      </w:pPr>
      <w:r w:rsidRPr="00076CA5">
        <w:rPr>
          <w:rStyle w:val="Appelnotedebasdep"/>
          <w:lang w:val="en-CA"/>
        </w:rPr>
        <w:footnoteRef/>
      </w:r>
      <w:r w:rsidRPr="00076CA5">
        <w:t xml:space="preserve"> </w:t>
      </w:r>
      <w:r w:rsidRPr="00076CA5">
        <w:tab/>
        <w:t xml:space="preserve">Memorandum from Jean-François Roberge, Minister responsible for </w:t>
      </w:r>
      <w:r w:rsidR="00B829B0" w:rsidRPr="00076CA5">
        <w:t>D</w:t>
      </w:r>
      <w:r w:rsidRPr="00076CA5">
        <w:t xml:space="preserve">emocratic </w:t>
      </w:r>
      <w:r w:rsidR="00B829B0" w:rsidRPr="00076CA5">
        <w:t>I</w:t>
      </w:r>
      <w:r w:rsidRPr="00076CA5">
        <w:t xml:space="preserve">nstitutions, to </w:t>
      </w:r>
      <w:r w:rsidR="00B829B0" w:rsidRPr="00076CA5">
        <w:t>Cabinet</w:t>
      </w:r>
      <w:r w:rsidRPr="00076CA5">
        <w:t>, April 8, 2024, p. 2.</w:t>
      </w:r>
    </w:p>
  </w:footnote>
  <w:footnote w:id="87">
    <w:p w14:paraId="579E45A2" w14:textId="77777777" w:rsidR="006D4B37" w:rsidRPr="00076CA5" w:rsidRDefault="004351B0" w:rsidP="006D4B37">
      <w:pPr>
        <w:pStyle w:val="Notedebasdepage"/>
      </w:pPr>
      <w:r w:rsidRPr="00076CA5">
        <w:rPr>
          <w:rStyle w:val="Appelnotedebasdep"/>
          <w:lang w:val="en-CA"/>
        </w:rPr>
        <w:footnoteRef/>
      </w:r>
      <w:r w:rsidRPr="00076CA5">
        <w:t xml:space="preserve"> </w:t>
      </w:r>
      <w:r w:rsidRPr="00076CA5">
        <w:tab/>
      </w:r>
      <w:r w:rsidRPr="00076CA5">
        <w:rPr>
          <w:i/>
          <w:iCs/>
        </w:rPr>
        <w:t>Journal des débats de l’Assemblée nationale</w:t>
      </w:r>
      <w:r w:rsidRPr="00076CA5">
        <w:t>, May 2, 2024.</w:t>
      </w:r>
    </w:p>
  </w:footnote>
  <w:footnote w:id="88">
    <w:p w14:paraId="6DE24565" w14:textId="6B3773F1" w:rsidR="006D4B37" w:rsidRPr="00076CA5" w:rsidRDefault="004351B0" w:rsidP="006D4B37">
      <w:pPr>
        <w:pStyle w:val="Notedebasdepage"/>
        <w:rPr>
          <w:lang w:val="en-CA"/>
        </w:rPr>
      </w:pPr>
      <w:r w:rsidRPr="00076CA5">
        <w:rPr>
          <w:rStyle w:val="Appelnotedebasdep"/>
          <w:lang w:val="en-CA"/>
        </w:rPr>
        <w:footnoteRef/>
      </w:r>
      <w:r w:rsidRPr="00076CA5">
        <w:t xml:space="preserve"> </w:t>
      </w:r>
      <w:r w:rsidRPr="00076CA5">
        <w:tab/>
      </w:r>
      <w:r w:rsidRPr="00076CA5">
        <w:rPr>
          <w:i/>
          <w:iCs/>
        </w:rPr>
        <w:t xml:space="preserve">Bérubé </w:t>
      </w:r>
      <w:r w:rsidR="00B829B0" w:rsidRPr="00145125">
        <w:rPr>
          <w:i/>
          <w:iCs/>
        </w:rPr>
        <w:t>c</w:t>
      </w:r>
      <w:r w:rsidRPr="00076CA5">
        <w:rPr>
          <w:i/>
          <w:iCs/>
        </w:rPr>
        <w:t>. Ville de Québec</w:t>
      </w:r>
      <w:r w:rsidRPr="00076CA5">
        <w:t>, 2019 QCCA 1764</w:t>
      </w:r>
      <w:r w:rsidR="003E58C4">
        <w:t>,</w:t>
      </w:r>
      <w:r w:rsidR="00915D2E" w:rsidRPr="00076CA5">
        <w:t xml:space="preserve"> para</w:t>
      </w:r>
      <w:r w:rsidRPr="00076CA5">
        <w:t xml:space="preserve">. </w:t>
      </w:r>
      <w:r w:rsidRPr="00076CA5">
        <w:rPr>
          <w:lang w:val="en-CA"/>
        </w:rPr>
        <w:t>107 et seq.</w:t>
      </w:r>
    </w:p>
  </w:footnote>
  <w:footnote w:id="89">
    <w:p w14:paraId="1C8D22F6" w14:textId="62FAAA3C"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As observed by the respondent</w:t>
      </w:r>
      <w:r w:rsidR="00A45DA6">
        <w:rPr>
          <w:lang w:val="en-CA"/>
        </w:rPr>
        <w:t>’</w:t>
      </w:r>
      <w:r w:rsidRPr="00076CA5">
        <w:rPr>
          <w:lang w:val="en-CA"/>
        </w:rPr>
        <w:t>s expert, as early as 2001</w:t>
      </w:r>
      <w:r w:rsidR="00A45DA6">
        <w:rPr>
          <w:lang w:val="en-CA"/>
        </w:rPr>
        <w:t>-</w:t>
      </w:r>
      <w:r w:rsidRPr="00076CA5">
        <w:rPr>
          <w:lang w:val="en-CA"/>
        </w:rPr>
        <w:t xml:space="preserve">2002, the Commission seemed to foresee a dynamic in which the demographic decline of certain regions would be accompanied by a process of gradual disappearance of electoral divisions, leading to </w:t>
      </w:r>
      <w:r w:rsidR="00B829B0" w:rsidRPr="00076CA5">
        <w:rPr>
          <w:lang w:val="en-CA"/>
        </w:rPr>
        <w:t xml:space="preserve">drawn out agony </w:t>
      </w:r>
      <w:r w:rsidRPr="00076CA5">
        <w:rPr>
          <w:lang w:val="en-CA"/>
        </w:rPr>
        <w:t>punctuated by outcry, and concluded that a process of reflection was needed to respond to the increasingly strong and contradictory reactions. At the time, it called for a broader reflection on the criteria for revising the electoral map.</w:t>
      </w:r>
    </w:p>
  </w:footnote>
  <w:footnote w:id="90">
    <w:p w14:paraId="6D83072A" w14:textId="72CF7DF2"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Judgment under appeal,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3E58C4">
        <w:rPr>
          <w:lang w:val="en-CA"/>
        </w:rPr>
        <w:t>,</w:t>
      </w:r>
      <w:r w:rsidR="00915D2E" w:rsidRPr="00076CA5">
        <w:rPr>
          <w:lang w:val="en-CA"/>
        </w:rPr>
        <w:t xml:space="preserve"> para</w:t>
      </w:r>
      <w:r w:rsidRPr="00076CA5">
        <w:rPr>
          <w:lang w:val="en-CA"/>
        </w:rPr>
        <w:t>s. 150 and 151.</w:t>
      </w:r>
    </w:p>
  </w:footnote>
  <w:footnote w:id="91">
    <w:p w14:paraId="56B6C141" w14:textId="1CA1BD9E" w:rsidR="006D4B37" w:rsidRPr="00350287" w:rsidRDefault="004351B0" w:rsidP="006D4B37">
      <w:pPr>
        <w:pStyle w:val="Notedebasdepage"/>
        <w:rPr>
          <w:lang w:val="en-CA"/>
        </w:rPr>
      </w:pPr>
      <w:r w:rsidRPr="00076CA5">
        <w:rPr>
          <w:rStyle w:val="Appelnotedebasdep"/>
          <w:lang w:val="en-CA"/>
        </w:rPr>
        <w:footnoteRef/>
      </w:r>
      <w:r w:rsidRPr="00350287">
        <w:rPr>
          <w:lang w:val="en-CA"/>
        </w:rPr>
        <w:t xml:space="preserve"> </w:t>
      </w:r>
      <w:r w:rsidRPr="00350287">
        <w:rPr>
          <w:lang w:val="en-CA"/>
        </w:rPr>
        <w:tab/>
      </w:r>
      <w:r w:rsidR="00915D2E" w:rsidRPr="00350287">
        <w:rPr>
          <w:i/>
          <w:iCs/>
          <w:lang w:val="en-CA"/>
        </w:rPr>
        <w:t>Id.</w:t>
      </w:r>
      <w:r w:rsidR="003E58C4" w:rsidRPr="00350287">
        <w:rPr>
          <w:lang w:val="en-CA"/>
        </w:rPr>
        <w:t>,</w:t>
      </w:r>
      <w:r w:rsidRPr="00350287">
        <w:rPr>
          <w:lang w:val="en-CA"/>
        </w:rPr>
        <w:t xml:space="preserve"> </w:t>
      </w:r>
      <w:r w:rsidR="00316CA9" w:rsidRPr="00350287">
        <w:rPr>
          <w:lang w:val="en-CA"/>
        </w:rPr>
        <w:t>paras.</w:t>
      </w:r>
      <w:r w:rsidRPr="00350287">
        <w:rPr>
          <w:lang w:val="en-CA"/>
        </w:rPr>
        <w:t>145, 146</w:t>
      </w:r>
      <w:r w:rsidR="00C92CE1" w:rsidRPr="00350287">
        <w:rPr>
          <w:lang w:val="en-CA"/>
        </w:rPr>
        <w:t>,</w:t>
      </w:r>
      <w:r w:rsidRPr="00350287">
        <w:rPr>
          <w:lang w:val="en-CA"/>
        </w:rPr>
        <w:t xml:space="preserve"> and 152</w:t>
      </w:r>
      <w:r w:rsidR="00C92CE1" w:rsidRPr="00350287">
        <w:rPr>
          <w:lang w:val="en-CA"/>
        </w:rPr>
        <w:t>-</w:t>
      </w:r>
      <w:r w:rsidRPr="00350287">
        <w:rPr>
          <w:lang w:val="en-CA"/>
        </w:rPr>
        <w:t>157.</w:t>
      </w:r>
    </w:p>
  </w:footnote>
  <w:footnote w:id="92">
    <w:p w14:paraId="3C20C324" w14:textId="011EA505" w:rsidR="006D4B37" w:rsidRPr="00350287" w:rsidRDefault="004351B0" w:rsidP="006D4B37">
      <w:pPr>
        <w:pStyle w:val="Notedebasdepage"/>
        <w:rPr>
          <w:lang w:val="es-CL"/>
        </w:rPr>
      </w:pPr>
      <w:r w:rsidRPr="00076CA5">
        <w:rPr>
          <w:rStyle w:val="Appelnotedebasdep"/>
          <w:lang w:val="en-CA"/>
        </w:rPr>
        <w:footnoteRef/>
      </w:r>
      <w:r w:rsidRPr="00350287">
        <w:rPr>
          <w:lang w:val="en-CA"/>
        </w:rPr>
        <w:t xml:space="preserve"> </w:t>
      </w:r>
      <w:r w:rsidRPr="00350287">
        <w:rPr>
          <w:lang w:val="en-CA"/>
        </w:rPr>
        <w:tab/>
      </w:r>
      <w:r w:rsidRPr="00350287">
        <w:rPr>
          <w:i/>
          <w:iCs/>
          <w:lang w:val="en-CA"/>
        </w:rPr>
        <w:t>Bryan</w:t>
      </w:r>
      <w:r w:rsidRPr="00350287">
        <w:rPr>
          <w:lang w:val="en-CA"/>
        </w:rPr>
        <w:t xml:space="preserve">, </w:t>
      </w:r>
      <w:r w:rsidRPr="00350287">
        <w:rPr>
          <w:i/>
          <w:iCs/>
          <w:lang w:val="en-CA"/>
        </w:rPr>
        <w:t>supra</w:t>
      </w:r>
      <w:r w:rsidRPr="00350287">
        <w:rPr>
          <w:lang w:val="en-CA"/>
        </w:rPr>
        <w:t xml:space="preserve">, note </w:t>
      </w:r>
      <w:r w:rsidRPr="00076CA5">
        <w:rPr>
          <w:lang w:val="en-CA"/>
        </w:rPr>
        <w:fldChar w:fldCharType="begin"/>
      </w:r>
      <w:r w:rsidRPr="00350287">
        <w:rPr>
          <w:lang w:val="en-CA"/>
        </w:rPr>
        <w:instrText xml:space="preserve"> NOTEREF _Ref214454902 \h  \* MERGEFORMAT </w:instrText>
      </w:r>
      <w:r w:rsidRPr="00076CA5">
        <w:rPr>
          <w:lang w:val="en-CA"/>
        </w:rPr>
      </w:r>
      <w:r w:rsidRPr="00076CA5">
        <w:rPr>
          <w:lang w:val="en-CA"/>
        </w:rPr>
        <w:fldChar w:fldCharType="separate"/>
      </w:r>
      <w:r w:rsidR="00990DD2">
        <w:rPr>
          <w:lang w:val="en-CA"/>
        </w:rPr>
        <w:t>70</w:t>
      </w:r>
      <w:r w:rsidRPr="00076CA5">
        <w:rPr>
          <w:lang w:val="en-CA"/>
        </w:rPr>
        <w:fldChar w:fldCharType="end"/>
      </w:r>
      <w:r w:rsidR="003E58C4" w:rsidRPr="00350287">
        <w:rPr>
          <w:lang w:val="en-CA"/>
        </w:rPr>
        <w:t>,</w:t>
      </w:r>
      <w:r w:rsidR="00915D2E" w:rsidRPr="00350287">
        <w:rPr>
          <w:lang w:val="en-CA"/>
        </w:rPr>
        <w:t xml:space="preserve"> para</w:t>
      </w:r>
      <w:r w:rsidRPr="00350287">
        <w:rPr>
          <w:lang w:val="en-CA"/>
        </w:rPr>
        <w:t xml:space="preserve">. </w:t>
      </w:r>
      <w:r w:rsidRPr="00076CA5">
        <w:rPr>
          <w:lang w:val="en-CA"/>
        </w:rPr>
        <w:t xml:space="preserve">42, citing </w:t>
      </w:r>
      <w:r w:rsidRPr="00076CA5">
        <w:rPr>
          <w:i/>
          <w:iCs/>
          <w:lang w:val="en-CA"/>
        </w:rPr>
        <w:t>RJR-MacDonald Inc. v. Canada (Attorney General)</w:t>
      </w:r>
      <w:r w:rsidRPr="00076CA5">
        <w:rPr>
          <w:lang w:val="en-CA"/>
        </w:rPr>
        <w:t>, 1995 CanLII 64 (SCC), [1995] 3 S</w:t>
      </w:r>
      <w:r w:rsidR="00372FFF" w:rsidRPr="00076CA5">
        <w:rPr>
          <w:lang w:val="en-CA"/>
        </w:rPr>
        <w:t>.</w:t>
      </w:r>
      <w:r w:rsidRPr="00076CA5">
        <w:rPr>
          <w:lang w:val="en-CA"/>
        </w:rPr>
        <w:t>C</w:t>
      </w:r>
      <w:r w:rsidR="00372FFF" w:rsidRPr="00076CA5">
        <w:rPr>
          <w:lang w:val="en-CA"/>
        </w:rPr>
        <w:t>.</w:t>
      </w:r>
      <w:r w:rsidRPr="00076CA5">
        <w:rPr>
          <w:lang w:val="en-CA"/>
        </w:rPr>
        <w:t>R</w:t>
      </w:r>
      <w:r w:rsidR="00372FFF" w:rsidRPr="00076CA5">
        <w:rPr>
          <w:lang w:val="en-CA"/>
        </w:rPr>
        <w:t>.</w:t>
      </w:r>
      <w:r w:rsidRPr="00076CA5">
        <w:rPr>
          <w:lang w:val="en-CA"/>
        </w:rPr>
        <w:t xml:space="preserve"> 199</w:t>
      </w:r>
      <w:r w:rsidR="003E58C4">
        <w:rPr>
          <w:lang w:val="en-CA"/>
        </w:rPr>
        <w:t>,</w:t>
      </w:r>
      <w:r w:rsidR="00915D2E" w:rsidRPr="00076CA5">
        <w:rPr>
          <w:lang w:val="en-CA"/>
        </w:rPr>
        <w:t xml:space="preserve"> para</w:t>
      </w:r>
      <w:r w:rsidRPr="00076CA5">
        <w:rPr>
          <w:lang w:val="en-CA"/>
        </w:rPr>
        <w:t xml:space="preserve">. </w:t>
      </w:r>
      <w:r w:rsidRPr="003E58C4">
        <w:rPr>
          <w:lang w:val="es-CL"/>
        </w:rPr>
        <w:t xml:space="preserve">160; </w:t>
      </w:r>
      <w:r w:rsidRPr="003E58C4">
        <w:rPr>
          <w:i/>
          <w:iCs/>
          <w:lang w:val="es-CL"/>
        </w:rPr>
        <w:t>Frank</w:t>
      </w:r>
      <w:r w:rsidRPr="003E58C4">
        <w:rPr>
          <w:lang w:val="es-CL"/>
        </w:rPr>
        <w:t>,</w:t>
      </w:r>
      <w:r w:rsidRPr="003E58C4">
        <w:rPr>
          <w:i/>
          <w:iCs/>
          <w:lang w:val="es-CL"/>
        </w:rPr>
        <w:t xml:space="preserve"> 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66; </w:t>
      </w:r>
      <w:r w:rsidRPr="003E58C4">
        <w:rPr>
          <w:i/>
          <w:iCs/>
          <w:lang w:val="es-CL"/>
        </w:rPr>
        <w:t>Ontario (Attorney General)</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w:t>
      </w:r>
      <w:r w:rsidRPr="00350287">
        <w:rPr>
          <w:lang w:val="es-CL"/>
        </w:rPr>
        <w:t xml:space="preserve">63; </w:t>
      </w:r>
      <w:r w:rsidRPr="00350287">
        <w:rPr>
          <w:i/>
          <w:iCs/>
          <w:lang w:val="es-CL"/>
        </w:rPr>
        <w:t>Oakes</w:t>
      </w:r>
      <w:r w:rsidRPr="00350287">
        <w:rPr>
          <w:lang w:val="es-CL"/>
        </w:rPr>
        <w:t xml:space="preserve">, </w:t>
      </w:r>
      <w:r w:rsidRPr="00350287">
        <w:rPr>
          <w:i/>
          <w:iCs/>
          <w:lang w:val="es-CL"/>
        </w:rPr>
        <w:t>supra</w:t>
      </w:r>
      <w:r w:rsidRPr="00350287">
        <w:rPr>
          <w:lang w:val="es-CL"/>
        </w:rPr>
        <w:t xml:space="preserve"> note </w:t>
      </w:r>
      <w:r w:rsidRPr="00076CA5">
        <w:rPr>
          <w:lang w:val="en-CA"/>
        </w:rPr>
        <w:fldChar w:fldCharType="begin"/>
      </w:r>
      <w:r w:rsidRPr="00350287">
        <w:rPr>
          <w:lang w:val="es-CL"/>
        </w:rPr>
        <w:instrText xml:space="preserve"> NOTEREF _Ref214454509 \h  \* MERGEFORMAT </w:instrText>
      </w:r>
      <w:r w:rsidRPr="00076CA5">
        <w:rPr>
          <w:lang w:val="en-CA"/>
        </w:rPr>
      </w:r>
      <w:r w:rsidRPr="00076CA5">
        <w:rPr>
          <w:lang w:val="en-CA"/>
        </w:rPr>
        <w:fldChar w:fldCharType="separate"/>
      </w:r>
      <w:r w:rsidR="00990DD2">
        <w:rPr>
          <w:lang w:val="es-CL"/>
        </w:rPr>
        <w:t>37</w:t>
      </w:r>
      <w:r w:rsidRPr="00076CA5">
        <w:rPr>
          <w:lang w:val="en-CA"/>
        </w:rPr>
        <w:fldChar w:fldCharType="end"/>
      </w:r>
      <w:r w:rsidR="003E58C4" w:rsidRPr="00350287">
        <w:rPr>
          <w:lang w:val="es-CL"/>
        </w:rPr>
        <w:t>,</w:t>
      </w:r>
      <w:r w:rsidR="00915D2E" w:rsidRPr="00350287">
        <w:rPr>
          <w:lang w:val="es-CL"/>
        </w:rPr>
        <w:t xml:space="preserve"> para</w:t>
      </w:r>
      <w:r w:rsidRPr="00350287">
        <w:rPr>
          <w:lang w:val="es-CL"/>
        </w:rPr>
        <w:t>. 70.</w:t>
      </w:r>
    </w:p>
  </w:footnote>
  <w:footnote w:id="93">
    <w:p w14:paraId="4FEAFE77" w14:textId="57060E1E" w:rsidR="006D4B37" w:rsidRPr="00350287" w:rsidRDefault="004351B0" w:rsidP="006D4B37">
      <w:pPr>
        <w:pStyle w:val="Notedebasdepage"/>
        <w:rPr>
          <w:lang w:val="es-CL"/>
        </w:rPr>
      </w:pPr>
      <w:r w:rsidRPr="00076CA5">
        <w:rPr>
          <w:rStyle w:val="Appelnotedebasdep"/>
          <w:lang w:val="en-CA"/>
        </w:rPr>
        <w:footnoteRef/>
      </w:r>
      <w:r w:rsidRPr="003E58C4">
        <w:rPr>
          <w:lang w:val="es-CL"/>
        </w:rPr>
        <w:t xml:space="preserve"> </w:t>
      </w:r>
      <w:r w:rsidRPr="003E58C4">
        <w:rPr>
          <w:lang w:val="es-CL"/>
        </w:rPr>
        <w:tab/>
      </w:r>
      <w:r w:rsidRPr="003E58C4">
        <w:rPr>
          <w:i/>
          <w:iCs/>
          <w:lang w:val="es-CL"/>
        </w:rPr>
        <w:t>Ontario (Attorney General)</w:t>
      </w:r>
      <w:r w:rsidRPr="003E58C4">
        <w:rPr>
          <w:lang w:val="es-CL"/>
        </w:rPr>
        <w:t xml:space="preserve">, </w:t>
      </w:r>
      <w:r w:rsidRPr="003E58C4">
        <w:rPr>
          <w:i/>
          <w:iCs/>
          <w:lang w:val="es-CL"/>
        </w:rPr>
        <w:t>supra</w:t>
      </w:r>
      <w:r w:rsidRPr="003E58C4">
        <w:rPr>
          <w:lang w:val="es-CL"/>
        </w:rPr>
        <w:t xml:space="preserve"> note </w:t>
      </w:r>
      <w:r w:rsidRPr="00076CA5">
        <w:rPr>
          <w:lang w:val="en-CA"/>
        </w:rPr>
        <w:fldChar w:fldCharType="begin"/>
      </w:r>
      <w:r w:rsidRPr="003E58C4">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3E58C4">
        <w:rPr>
          <w:lang w:val="es-CL"/>
        </w:rPr>
        <w:t>,</w:t>
      </w:r>
      <w:r w:rsidR="00915D2E" w:rsidRPr="003E58C4">
        <w:rPr>
          <w:lang w:val="es-CL"/>
        </w:rPr>
        <w:t xml:space="preserve"> para</w:t>
      </w:r>
      <w:r w:rsidRPr="003E58C4">
        <w:rPr>
          <w:lang w:val="es-CL"/>
        </w:rPr>
        <w:t xml:space="preserve">. </w:t>
      </w:r>
      <w:r w:rsidRPr="006850DF">
        <w:rPr>
          <w:lang w:val="es-CL"/>
        </w:rPr>
        <w:t>64;</w:t>
      </w:r>
      <w:r w:rsidRPr="006850DF">
        <w:rPr>
          <w:i/>
          <w:iCs/>
          <w:lang w:val="es-CL"/>
        </w:rPr>
        <w:t xml:space="preserve"> Frank</w:t>
      </w:r>
      <w:r w:rsidRPr="006850DF">
        <w:rPr>
          <w:lang w:val="es-CL"/>
        </w:rPr>
        <w:t>,</w:t>
      </w:r>
      <w:r w:rsidRPr="006850DF">
        <w:rPr>
          <w:i/>
          <w:iCs/>
          <w:lang w:val="es-CL"/>
        </w:rPr>
        <w:t xml:space="preserve"> supra</w:t>
      </w:r>
      <w:r w:rsidRPr="006850DF">
        <w:rPr>
          <w:lang w:val="es-CL"/>
        </w:rPr>
        <w:t xml:space="preserve"> note </w:t>
      </w:r>
      <w:r w:rsidRPr="00076CA5">
        <w:rPr>
          <w:lang w:val="en-CA"/>
        </w:rPr>
        <w:fldChar w:fldCharType="begin"/>
      </w:r>
      <w:r w:rsidRPr="006850DF">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3E58C4" w:rsidRPr="006850DF">
        <w:rPr>
          <w:lang w:val="es-CL"/>
        </w:rPr>
        <w:t>,</w:t>
      </w:r>
      <w:r w:rsidR="00915D2E" w:rsidRPr="006850DF">
        <w:rPr>
          <w:lang w:val="es-CL"/>
        </w:rPr>
        <w:t xml:space="preserve"> para</w:t>
      </w:r>
      <w:r w:rsidRPr="006850DF">
        <w:rPr>
          <w:lang w:val="es-CL"/>
        </w:rPr>
        <w:t>s. 25 and 26;</w:t>
      </w:r>
      <w:r w:rsidRPr="006850DF">
        <w:rPr>
          <w:i/>
          <w:iCs/>
          <w:lang w:val="es-CL"/>
        </w:rPr>
        <w:t xml:space="preserve"> Figueroa v. Canada (Attorney General</w:t>
      </w:r>
      <w:r w:rsidRPr="006850DF">
        <w:rPr>
          <w:lang w:val="es-CL"/>
        </w:rPr>
        <w:t>), 2003 SCC 37</w:t>
      </w:r>
      <w:r w:rsidR="003E58C4" w:rsidRPr="006850DF">
        <w:rPr>
          <w:lang w:val="es-CL"/>
        </w:rPr>
        <w:t>,</w:t>
      </w:r>
      <w:r w:rsidR="00915D2E" w:rsidRPr="006850DF">
        <w:rPr>
          <w:lang w:val="es-CL"/>
        </w:rPr>
        <w:t xml:space="preserve"> para</w:t>
      </w:r>
      <w:r w:rsidRPr="006850DF">
        <w:rPr>
          <w:lang w:val="es-CL"/>
        </w:rPr>
        <w:t xml:space="preserve">. 60; </w:t>
      </w:r>
      <w:r w:rsidRPr="006850DF">
        <w:rPr>
          <w:i/>
          <w:iCs/>
          <w:lang w:val="es-CL"/>
        </w:rPr>
        <w:t>Sauvé v. Canada (Chief Electoral Officer)</w:t>
      </w:r>
      <w:r w:rsidRPr="006850DF">
        <w:rPr>
          <w:lang w:val="es-CL"/>
        </w:rPr>
        <w:t>, 2002 SCC 68</w:t>
      </w:r>
      <w:r w:rsidR="003E58C4" w:rsidRPr="006850DF">
        <w:rPr>
          <w:lang w:val="es-CL"/>
        </w:rPr>
        <w:t>,</w:t>
      </w:r>
      <w:r w:rsidR="00915D2E" w:rsidRPr="006850DF">
        <w:rPr>
          <w:lang w:val="es-CL"/>
        </w:rPr>
        <w:t xml:space="preserve"> para</w:t>
      </w:r>
      <w:r w:rsidRPr="006850DF">
        <w:rPr>
          <w:lang w:val="es-CL"/>
        </w:rPr>
        <w:t xml:space="preserve">s. </w:t>
      </w:r>
      <w:r w:rsidRPr="00350287">
        <w:rPr>
          <w:lang w:val="es-CL"/>
        </w:rPr>
        <w:t>9-11 and 14.</w:t>
      </w:r>
    </w:p>
  </w:footnote>
  <w:footnote w:id="94">
    <w:p w14:paraId="0530F287" w14:textId="40CB43C6" w:rsidR="006D4B37" w:rsidRPr="00350287" w:rsidRDefault="004351B0" w:rsidP="006D4B37">
      <w:pPr>
        <w:pStyle w:val="Notedebasdepage"/>
        <w:rPr>
          <w:lang w:val="es-CL"/>
        </w:rPr>
      </w:pPr>
      <w:r w:rsidRPr="00076CA5">
        <w:rPr>
          <w:rStyle w:val="Appelnotedebasdep"/>
          <w:lang w:val="en-CA"/>
        </w:rPr>
        <w:footnoteRef/>
      </w:r>
      <w:r w:rsidRPr="006850DF">
        <w:rPr>
          <w:lang w:val="es-CL"/>
        </w:rPr>
        <w:t xml:space="preserve"> </w:t>
      </w:r>
      <w:r w:rsidRPr="006850DF">
        <w:rPr>
          <w:lang w:val="es-CL"/>
        </w:rPr>
        <w:tab/>
      </w:r>
      <w:r w:rsidRPr="006850DF">
        <w:rPr>
          <w:i/>
          <w:iCs/>
          <w:lang w:val="es-CL"/>
        </w:rPr>
        <w:t>Nova Scotia Reference</w:t>
      </w:r>
      <w:r w:rsidRPr="006850DF">
        <w:rPr>
          <w:lang w:val="es-CL"/>
        </w:rPr>
        <w:t xml:space="preserve">, </w:t>
      </w:r>
      <w:r w:rsidRPr="006850DF">
        <w:rPr>
          <w:i/>
          <w:iCs/>
          <w:lang w:val="es-CL"/>
        </w:rPr>
        <w:t>supra</w:t>
      </w:r>
      <w:r w:rsidRPr="006850DF">
        <w:rPr>
          <w:lang w:val="es-CL"/>
        </w:rPr>
        <w:t xml:space="preserve"> note </w:t>
      </w:r>
      <w:r w:rsidRPr="00076CA5">
        <w:rPr>
          <w:lang w:val="en-CA"/>
        </w:rPr>
        <w:fldChar w:fldCharType="begin"/>
      </w:r>
      <w:r w:rsidRPr="006850DF">
        <w:rPr>
          <w:lang w:val="es-CL"/>
        </w:rPr>
        <w:instrText xml:space="preserve"> NOTEREF _Ref213244221 \h  \* MERGEFORMAT </w:instrText>
      </w:r>
      <w:r w:rsidRPr="00076CA5">
        <w:rPr>
          <w:lang w:val="en-CA"/>
        </w:rPr>
      </w:r>
      <w:r w:rsidRPr="00076CA5">
        <w:rPr>
          <w:lang w:val="en-CA"/>
        </w:rPr>
        <w:fldChar w:fldCharType="separate"/>
      </w:r>
      <w:r w:rsidR="00990DD2">
        <w:rPr>
          <w:lang w:val="es-CL"/>
        </w:rPr>
        <w:t>53</w:t>
      </w:r>
      <w:r w:rsidRPr="00076CA5">
        <w:rPr>
          <w:lang w:val="en-CA"/>
        </w:rPr>
        <w:fldChar w:fldCharType="end"/>
      </w:r>
      <w:r w:rsidR="006850DF" w:rsidRPr="006850DF">
        <w:rPr>
          <w:lang w:val="es-CL"/>
        </w:rPr>
        <w:t>,</w:t>
      </w:r>
      <w:r w:rsidR="00915D2E" w:rsidRPr="006850DF">
        <w:rPr>
          <w:lang w:val="es-CL"/>
        </w:rPr>
        <w:t xml:space="preserve"> para</w:t>
      </w:r>
      <w:r w:rsidRPr="006850DF">
        <w:rPr>
          <w:lang w:val="es-CL"/>
        </w:rPr>
        <w:t xml:space="preserve">. </w:t>
      </w:r>
      <w:r w:rsidRPr="00350287">
        <w:rPr>
          <w:lang w:val="es-CL"/>
        </w:rPr>
        <w:t>7 et seq.</w:t>
      </w:r>
    </w:p>
  </w:footnote>
  <w:footnote w:id="95">
    <w:p w14:paraId="41D4C99C" w14:textId="144D3343" w:rsidR="006D4B37" w:rsidRPr="00350287" w:rsidRDefault="004351B0" w:rsidP="006D4B37">
      <w:pPr>
        <w:pStyle w:val="Notedebasdepage"/>
      </w:pPr>
      <w:r w:rsidRPr="00076CA5">
        <w:rPr>
          <w:rStyle w:val="Appelnotedebasdep"/>
          <w:lang w:val="en-CA"/>
        </w:rPr>
        <w:footnoteRef/>
      </w:r>
      <w:r w:rsidRPr="00350287">
        <w:rPr>
          <w:lang w:val="es-CL"/>
        </w:rPr>
        <w:t xml:space="preserve"> </w:t>
      </w:r>
      <w:r w:rsidRPr="00350287">
        <w:rPr>
          <w:lang w:val="es-CL"/>
        </w:rPr>
        <w:tab/>
      </w:r>
      <w:r w:rsidR="00915D2E" w:rsidRPr="00350287">
        <w:rPr>
          <w:i/>
          <w:iCs/>
          <w:lang w:val="es-CL"/>
        </w:rPr>
        <w:t>Id.</w:t>
      </w:r>
      <w:r w:rsidR="006850DF" w:rsidRPr="00350287">
        <w:rPr>
          <w:lang w:val="es-CL"/>
        </w:rPr>
        <w:t xml:space="preserve">, </w:t>
      </w:r>
      <w:r w:rsidR="00915D2E" w:rsidRPr="00350287">
        <w:rPr>
          <w:lang w:val="es-CL"/>
        </w:rPr>
        <w:t>para</w:t>
      </w:r>
      <w:r w:rsidRPr="00350287">
        <w:rPr>
          <w:lang w:val="es-CL"/>
        </w:rPr>
        <w:t xml:space="preserve">. </w:t>
      </w:r>
      <w:r w:rsidRPr="00350287">
        <w:t>41 et seq.</w:t>
      </w:r>
    </w:p>
  </w:footnote>
  <w:footnote w:id="96">
    <w:p w14:paraId="1B4731BA" w14:textId="6E188B46" w:rsidR="006D4B37" w:rsidRPr="00350287" w:rsidRDefault="004351B0" w:rsidP="006D4B37">
      <w:pPr>
        <w:pStyle w:val="Notedebasdepage"/>
      </w:pPr>
      <w:r w:rsidRPr="00076CA5">
        <w:rPr>
          <w:rStyle w:val="Appelnotedebasdep"/>
          <w:lang w:val="en-CA"/>
        </w:rPr>
        <w:footnoteRef/>
      </w:r>
      <w:r w:rsidRPr="00350287">
        <w:t xml:space="preserve"> </w:t>
      </w:r>
      <w:r w:rsidRPr="00350287">
        <w:tab/>
      </w:r>
      <w:r w:rsidR="00915D2E" w:rsidRPr="00350287">
        <w:rPr>
          <w:i/>
          <w:iCs/>
        </w:rPr>
        <w:t>Id.</w:t>
      </w:r>
      <w:r w:rsidR="006850DF" w:rsidRPr="00350287">
        <w:t>,</w:t>
      </w:r>
      <w:r w:rsidR="00915D2E" w:rsidRPr="00350287">
        <w:t xml:space="preserve"> para</w:t>
      </w:r>
      <w:r w:rsidRPr="00350287">
        <w:t>. 46 et seq.</w:t>
      </w:r>
    </w:p>
  </w:footnote>
  <w:footnote w:id="97">
    <w:p w14:paraId="154B6E10" w14:textId="356F2E7E" w:rsidR="006D4B37" w:rsidRPr="00076CA5" w:rsidRDefault="004351B0" w:rsidP="006D4B37">
      <w:pPr>
        <w:pStyle w:val="Notedebasdepage"/>
        <w:rPr>
          <w:lang w:val="nb-NO"/>
        </w:rPr>
      </w:pPr>
      <w:r w:rsidRPr="00076CA5">
        <w:rPr>
          <w:rStyle w:val="Appelnotedebasdep"/>
          <w:lang w:val="en-CA"/>
        </w:rPr>
        <w:footnoteRef/>
      </w:r>
      <w:r w:rsidRPr="006850DF">
        <w:rPr>
          <w:lang w:val="es-CL"/>
        </w:rPr>
        <w:t xml:space="preserve"> </w:t>
      </w:r>
      <w:r w:rsidRPr="006850DF">
        <w:rPr>
          <w:lang w:val="es-CL"/>
        </w:rPr>
        <w:tab/>
      </w:r>
      <w:r w:rsidRPr="006850DF">
        <w:rPr>
          <w:i/>
          <w:iCs/>
          <w:lang w:val="es-CL"/>
        </w:rPr>
        <w:t>Nova Scotia Reference</w:t>
      </w:r>
      <w:r w:rsidRPr="006850DF">
        <w:rPr>
          <w:lang w:val="es-CL"/>
        </w:rPr>
        <w:t xml:space="preserve">, </w:t>
      </w:r>
      <w:r w:rsidRPr="006850DF">
        <w:rPr>
          <w:i/>
          <w:iCs/>
          <w:lang w:val="es-CL"/>
        </w:rPr>
        <w:t>supra</w:t>
      </w:r>
      <w:r w:rsidRPr="006850DF">
        <w:rPr>
          <w:lang w:val="es-CL"/>
        </w:rPr>
        <w:t xml:space="preserve"> note </w:t>
      </w:r>
      <w:r w:rsidRPr="00076CA5">
        <w:rPr>
          <w:lang w:val="en-CA"/>
        </w:rPr>
        <w:fldChar w:fldCharType="begin"/>
      </w:r>
      <w:r w:rsidRPr="006850DF">
        <w:rPr>
          <w:lang w:val="es-CL"/>
        </w:rPr>
        <w:instrText xml:space="preserve"> NOTEREF _Ref213244221 \h  \* MERGEFORMAT </w:instrText>
      </w:r>
      <w:r w:rsidRPr="00076CA5">
        <w:rPr>
          <w:lang w:val="en-CA"/>
        </w:rPr>
      </w:r>
      <w:r w:rsidRPr="00076CA5">
        <w:rPr>
          <w:lang w:val="en-CA"/>
        </w:rPr>
        <w:fldChar w:fldCharType="separate"/>
      </w:r>
      <w:r w:rsidR="00990DD2">
        <w:rPr>
          <w:lang w:val="es-CL"/>
        </w:rPr>
        <w:t>53</w:t>
      </w:r>
      <w:r w:rsidRPr="00076CA5">
        <w:rPr>
          <w:lang w:val="en-CA"/>
        </w:rPr>
        <w:fldChar w:fldCharType="end"/>
      </w:r>
      <w:r w:rsidR="006850DF" w:rsidRPr="006850DF">
        <w:rPr>
          <w:lang w:val="es-CL"/>
        </w:rPr>
        <w:t>,</w:t>
      </w:r>
      <w:r w:rsidR="00915D2E" w:rsidRPr="006850DF">
        <w:rPr>
          <w:lang w:val="es-CL"/>
        </w:rPr>
        <w:t xml:space="preserve"> para</w:t>
      </w:r>
      <w:r w:rsidRPr="006850DF">
        <w:rPr>
          <w:lang w:val="es-CL"/>
        </w:rPr>
        <w:t xml:space="preserve">. </w:t>
      </w:r>
      <w:r w:rsidRPr="00076CA5">
        <w:rPr>
          <w:lang w:val="nb-NO"/>
        </w:rPr>
        <w:t>52.</w:t>
      </w:r>
    </w:p>
  </w:footnote>
  <w:footnote w:id="98">
    <w:p w14:paraId="09CA05DA" w14:textId="5EF3B4E7" w:rsidR="006D4B37" w:rsidRPr="00076CA5" w:rsidRDefault="004351B0" w:rsidP="006D4B37">
      <w:pPr>
        <w:pStyle w:val="Notedebasdepage"/>
        <w:rPr>
          <w:lang w:val="nb-NO"/>
        </w:rPr>
      </w:pPr>
      <w:r w:rsidRPr="00076CA5">
        <w:rPr>
          <w:rStyle w:val="Appelnotedebasdep"/>
          <w:lang w:val="en-CA"/>
        </w:rPr>
        <w:footnoteRef/>
      </w:r>
      <w:r w:rsidRPr="00076CA5">
        <w:rPr>
          <w:lang w:val="nb-NO"/>
        </w:rPr>
        <w:t xml:space="preserve"> </w:t>
      </w:r>
      <w:r w:rsidRPr="00076CA5">
        <w:rPr>
          <w:lang w:val="nb-NO"/>
        </w:rPr>
        <w:tab/>
      </w:r>
      <w:r w:rsidR="00915D2E" w:rsidRPr="00076CA5">
        <w:rPr>
          <w:i/>
          <w:iCs/>
          <w:lang w:val="nb-NO"/>
        </w:rPr>
        <w:t>Id.</w:t>
      </w:r>
      <w:r w:rsidR="006850DF">
        <w:rPr>
          <w:lang w:val="nb-NO"/>
        </w:rPr>
        <w:t>,</w:t>
      </w:r>
      <w:r w:rsidR="00915D2E" w:rsidRPr="00076CA5">
        <w:rPr>
          <w:lang w:val="nb-NO"/>
        </w:rPr>
        <w:t xml:space="preserve"> para</w:t>
      </w:r>
      <w:r w:rsidRPr="00076CA5">
        <w:rPr>
          <w:lang w:val="nb-NO"/>
        </w:rPr>
        <w:t>. 53.</w:t>
      </w:r>
    </w:p>
  </w:footnote>
  <w:footnote w:id="99">
    <w:p w14:paraId="264F2BDA" w14:textId="28B23BAA" w:rsidR="006D4B37" w:rsidRPr="00076CA5" w:rsidRDefault="004351B0" w:rsidP="006D4B37">
      <w:pPr>
        <w:pStyle w:val="Notedebasdepage"/>
        <w:rPr>
          <w:lang w:val="nb-NO"/>
        </w:rPr>
      </w:pPr>
      <w:r w:rsidRPr="00076CA5">
        <w:rPr>
          <w:rStyle w:val="Appelnotedebasdep"/>
          <w:lang w:val="en-CA"/>
        </w:rPr>
        <w:footnoteRef/>
      </w:r>
      <w:r w:rsidRPr="00076CA5">
        <w:rPr>
          <w:lang w:val="nb-NO"/>
        </w:rPr>
        <w:t xml:space="preserve"> </w:t>
      </w:r>
      <w:r w:rsidRPr="00076CA5">
        <w:rPr>
          <w:lang w:val="nb-NO"/>
        </w:rPr>
        <w:tab/>
      </w:r>
      <w:bookmarkStart w:id="34" w:name="_Hlk213009192"/>
      <w:r w:rsidR="00915D2E" w:rsidRPr="00076CA5">
        <w:rPr>
          <w:i/>
          <w:iCs/>
          <w:lang w:val="nb-NO"/>
        </w:rPr>
        <w:t>Id.</w:t>
      </w:r>
      <w:r w:rsidR="006850DF">
        <w:rPr>
          <w:lang w:val="nb-NO"/>
        </w:rPr>
        <w:t>,</w:t>
      </w:r>
      <w:r w:rsidRPr="00076CA5">
        <w:rPr>
          <w:lang w:val="nb-NO"/>
        </w:rPr>
        <w:t xml:space="preserve"> paras. 56, 69 et seq.</w:t>
      </w:r>
      <w:r w:rsidR="00372FFF" w:rsidRPr="00076CA5">
        <w:rPr>
          <w:lang w:val="nb-NO"/>
        </w:rPr>
        <w:t>,</w:t>
      </w:r>
      <w:r w:rsidRPr="00076CA5">
        <w:rPr>
          <w:lang w:val="nb-NO"/>
        </w:rPr>
        <w:t xml:space="preserve"> 78 et seq.</w:t>
      </w:r>
      <w:r w:rsidR="00372FFF" w:rsidRPr="00076CA5">
        <w:rPr>
          <w:lang w:val="nb-NO"/>
        </w:rPr>
        <w:t>,</w:t>
      </w:r>
      <w:r w:rsidRPr="00076CA5">
        <w:rPr>
          <w:lang w:val="nb-NO"/>
        </w:rPr>
        <w:t xml:space="preserve"> 90, 108, 134</w:t>
      </w:r>
      <w:r w:rsidR="00237C49">
        <w:rPr>
          <w:lang w:val="nb-NO"/>
        </w:rPr>
        <w:t>,</w:t>
      </w:r>
      <w:r w:rsidRPr="00076CA5">
        <w:rPr>
          <w:lang w:val="nb-NO"/>
        </w:rPr>
        <w:t xml:space="preserve"> and 136</w:t>
      </w:r>
      <w:bookmarkEnd w:id="34"/>
      <w:r w:rsidRPr="00076CA5">
        <w:rPr>
          <w:lang w:val="nb-NO"/>
        </w:rPr>
        <w:t>.</w:t>
      </w:r>
    </w:p>
  </w:footnote>
  <w:footnote w:id="100">
    <w:p w14:paraId="465211C0" w14:textId="054EA201" w:rsidR="006D4B37" w:rsidRPr="00076CA5" w:rsidRDefault="004351B0" w:rsidP="006D4B37">
      <w:pPr>
        <w:pStyle w:val="Notedebasdepage"/>
        <w:rPr>
          <w:lang w:val="nb-NO"/>
        </w:rPr>
      </w:pPr>
      <w:r w:rsidRPr="00076CA5">
        <w:rPr>
          <w:rStyle w:val="Appelnotedebasdep"/>
          <w:lang w:val="en-CA"/>
        </w:rPr>
        <w:footnoteRef/>
      </w:r>
      <w:r w:rsidRPr="00076CA5">
        <w:rPr>
          <w:lang w:val="nb-NO"/>
        </w:rPr>
        <w:t xml:space="preserve"> </w:t>
      </w:r>
      <w:r w:rsidRPr="00076CA5">
        <w:rPr>
          <w:lang w:val="nb-NO"/>
        </w:rPr>
        <w:tab/>
      </w:r>
      <w:r w:rsidR="00915D2E" w:rsidRPr="00076CA5">
        <w:rPr>
          <w:i/>
          <w:iCs/>
          <w:lang w:val="nb-NO"/>
        </w:rPr>
        <w:t>Id.</w:t>
      </w:r>
      <w:r w:rsidR="006850DF">
        <w:rPr>
          <w:lang w:val="nb-NO"/>
        </w:rPr>
        <w:t>,</w:t>
      </w:r>
      <w:r w:rsidR="00372FFF" w:rsidRPr="00076CA5">
        <w:rPr>
          <w:i/>
          <w:iCs/>
          <w:lang w:val="nb-NO"/>
        </w:rPr>
        <w:t xml:space="preserve"> </w:t>
      </w:r>
      <w:r w:rsidR="00915D2E" w:rsidRPr="00076CA5">
        <w:rPr>
          <w:lang w:val="nb-NO"/>
        </w:rPr>
        <w:t>para</w:t>
      </w:r>
      <w:r w:rsidRPr="00076CA5">
        <w:rPr>
          <w:lang w:val="nb-NO"/>
        </w:rPr>
        <w:t>s. 4 and 134–136.</w:t>
      </w:r>
    </w:p>
  </w:footnote>
  <w:footnote w:id="101">
    <w:p w14:paraId="557FDE7F" w14:textId="2DDBC0B0" w:rsidR="006D4B37" w:rsidRPr="00076CA5" w:rsidRDefault="004351B0" w:rsidP="006D4B37">
      <w:pPr>
        <w:pStyle w:val="Notedebasdepage"/>
        <w:rPr>
          <w:lang w:val="nb-NO"/>
        </w:rPr>
      </w:pPr>
      <w:r w:rsidRPr="00076CA5">
        <w:rPr>
          <w:rStyle w:val="Appelnotedebasdep"/>
          <w:lang w:val="en-CA"/>
        </w:rPr>
        <w:footnoteRef/>
      </w:r>
      <w:r w:rsidRPr="00076CA5">
        <w:rPr>
          <w:lang w:val="nb-NO"/>
        </w:rPr>
        <w:t xml:space="preserve"> </w:t>
      </w:r>
      <w:r w:rsidRPr="00076CA5">
        <w:rPr>
          <w:lang w:val="nb-NO"/>
        </w:rPr>
        <w:tab/>
      </w:r>
      <w:r w:rsidR="00915D2E" w:rsidRPr="00076CA5">
        <w:rPr>
          <w:i/>
          <w:iCs/>
          <w:lang w:val="nb-NO"/>
        </w:rPr>
        <w:t>Id.</w:t>
      </w:r>
      <w:r w:rsidR="006850DF">
        <w:rPr>
          <w:lang w:val="nb-NO"/>
        </w:rPr>
        <w:t>,</w:t>
      </w:r>
      <w:r w:rsidR="00372FFF" w:rsidRPr="00076CA5">
        <w:rPr>
          <w:i/>
          <w:iCs/>
          <w:lang w:val="nb-NO"/>
        </w:rPr>
        <w:t xml:space="preserve"> </w:t>
      </w:r>
      <w:r w:rsidR="00915D2E" w:rsidRPr="00076CA5">
        <w:rPr>
          <w:lang w:val="nb-NO"/>
        </w:rPr>
        <w:t>para</w:t>
      </w:r>
      <w:r w:rsidRPr="00076CA5">
        <w:rPr>
          <w:lang w:val="nb-NO"/>
        </w:rPr>
        <w:t>. 147 et seq.</w:t>
      </w:r>
    </w:p>
  </w:footnote>
  <w:footnote w:id="102">
    <w:p w14:paraId="25878F9F" w14:textId="166096C4" w:rsidR="006D4B37" w:rsidRPr="00076CA5" w:rsidRDefault="004351B0" w:rsidP="006D4B37">
      <w:pPr>
        <w:pStyle w:val="Notedebasdepage"/>
        <w:rPr>
          <w:lang w:val="nb-NO"/>
        </w:rPr>
      </w:pPr>
      <w:r w:rsidRPr="00076CA5">
        <w:rPr>
          <w:rStyle w:val="Appelnotedebasdep"/>
          <w:lang w:val="en-CA"/>
        </w:rPr>
        <w:footnoteRef/>
      </w:r>
      <w:r w:rsidRPr="00076CA5">
        <w:rPr>
          <w:lang w:val="nb-NO"/>
        </w:rPr>
        <w:t xml:space="preserve"> </w:t>
      </w:r>
      <w:r w:rsidRPr="00076CA5">
        <w:rPr>
          <w:lang w:val="nb-NO"/>
        </w:rPr>
        <w:tab/>
      </w:r>
      <w:r w:rsidR="00915D2E" w:rsidRPr="00076CA5">
        <w:rPr>
          <w:i/>
          <w:iCs/>
          <w:lang w:val="nb-NO"/>
        </w:rPr>
        <w:t>Id.</w:t>
      </w:r>
      <w:r w:rsidR="006850DF">
        <w:rPr>
          <w:lang w:val="nb-NO"/>
        </w:rPr>
        <w:t>,</w:t>
      </w:r>
      <w:r w:rsidR="00915D2E" w:rsidRPr="00076CA5">
        <w:rPr>
          <w:lang w:val="nb-NO"/>
        </w:rPr>
        <w:t xml:space="preserve"> para</w:t>
      </w:r>
      <w:r w:rsidRPr="00076CA5">
        <w:rPr>
          <w:lang w:val="nb-NO"/>
        </w:rPr>
        <w:t>. 155 et seq.</w:t>
      </w:r>
    </w:p>
  </w:footnote>
  <w:footnote w:id="103">
    <w:p w14:paraId="5C9D864D" w14:textId="22238ED9" w:rsidR="006D4B37" w:rsidRPr="00076CA5" w:rsidRDefault="004351B0" w:rsidP="006D4B37">
      <w:pPr>
        <w:pStyle w:val="Notedebasdepage"/>
        <w:rPr>
          <w:lang w:val="nb-NO"/>
        </w:rPr>
      </w:pPr>
      <w:r w:rsidRPr="00076CA5">
        <w:rPr>
          <w:rStyle w:val="Appelnotedebasdep"/>
          <w:lang w:val="en-CA"/>
        </w:rPr>
        <w:footnoteRef/>
      </w:r>
      <w:r w:rsidRPr="00076CA5">
        <w:rPr>
          <w:lang w:val="nb-NO"/>
        </w:rPr>
        <w:t xml:space="preserve"> </w:t>
      </w:r>
      <w:r w:rsidRPr="00076CA5">
        <w:rPr>
          <w:lang w:val="nb-NO"/>
        </w:rPr>
        <w:tab/>
      </w:r>
      <w:r w:rsidR="00915D2E" w:rsidRPr="00076CA5">
        <w:rPr>
          <w:i/>
          <w:iCs/>
          <w:lang w:val="nb-NO"/>
        </w:rPr>
        <w:t>Id.</w:t>
      </w:r>
      <w:r w:rsidR="006850DF">
        <w:rPr>
          <w:lang w:val="nb-NO"/>
        </w:rPr>
        <w:t>,</w:t>
      </w:r>
      <w:r w:rsidRPr="00076CA5">
        <w:rPr>
          <w:lang w:val="nb-NO"/>
        </w:rPr>
        <w:t xml:space="preserve"> paras. 97 et seq. and 155 et seq.</w:t>
      </w:r>
    </w:p>
  </w:footnote>
  <w:footnote w:id="104">
    <w:p w14:paraId="22361303" w14:textId="2FB06C8B" w:rsidR="006D4B37" w:rsidRPr="00076CA5" w:rsidRDefault="004351B0" w:rsidP="006D4B37">
      <w:pPr>
        <w:pStyle w:val="Notedebasdepage"/>
        <w:rPr>
          <w:lang w:val="en-CA"/>
        </w:rPr>
      </w:pPr>
      <w:r w:rsidRPr="00076CA5">
        <w:rPr>
          <w:rStyle w:val="Appelnotedebasdep"/>
          <w:lang w:val="en-CA"/>
        </w:rPr>
        <w:footnoteRef/>
      </w:r>
      <w:r w:rsidRPr="00076CA5">
        <w:rPr>
          <w:lang w:val="nb-NO"/>
        </w:rPr>
        <w:t xml:space="preserve"> </w:t>
      </w:r>
      <w:r w:rsidRPr="00076CA5">
        <w:rPr>
          <w:lang w:val="nb-NO"/>
        </w:rPr>
        <w:tab/>
      </w:r>
      <w:r w:rsidRPr="00076CA5">
        <w:rPr>
          <w:i/>
          <w:iCs/>
          <w:lang w:val="nb-NO"/>
        </w:rPr>
        <w:t>Bryan</w:t>
      </w:r>
      <w:r w:rsidRPr="00076CA5">
        <w:rPr>
          <w:lang w:val="nb-NO"/>
        </w:rPr>
        <w:t xml:space="preserve">, </w:t>
      </w:r>
      <w:r w:rsidRPr="00076CA5">
        <w:rPr>
          <w:i/>
          <w:iCs/>
          <w:lang w:val="nb-NO"/>
        </w:rPr>
        <w:t>supra</w:t>
      </w:r>
      <w:r w:rsidRPr="00076CA5">
        <w:rPr>
          <w:lang w:val="nb-NO"/>
        </w:rPr>
        <w:t xml:space="preserve"> note </w:t>
      </w:r>
      <w:r w:rsidRPr="00076CA5">
        <w:rPr>
          <w:lang w:val="en-CA"/>
        </w:rPr>
        <w:fldChar w:fldCharType="begin"/>
      </w:r>
      <w:r w:rsidRPr="00076CA5">
        <w:rPr>
          <w:lang w:val="nb-NO"/>
        </w:rPr>
        <w:instrText xml:space="preserve"> NOTEREF _Ref214454902 \h  \* MERGEFORMAT </w:instrText>
      </w:r>
      <w:r w:rsidRPr="00076CA5">
        <w:rPr>
          <w:lang w:val="en-CA"/>
        </w:rPr>
      </w:r>
      <w:r w:rsidRPr="00076CA5">
        <w:rPr>
          <w:lang w:val="en-CA"/>
        </w:rPr>
        <w:fldChar w:fldCharType="separate"/>
      </w:r>
      <w:r w:rsidR="00990DD2">
        <w:rPr>
          <w:lang w:val="nb-NO"/>
        </w:rPr>
        <w:t>70</w:t>
      </w:r>
      <w:r w:rsidRPr="00076CA5">
        <w:rPr>
          <w:lang w:val="en-CA"/>
        </w:rPr>
        <w:fldChar w:fldCharType="end"/>
      </w:r>
      <w:r w:rsidR="006850DF" w:rsidRPr="006850DF">
        <w:rPr>
          <w:lang w:val="es-CL"/>
        </w:rPr>
        <w:t>,</w:t>
      </w:r>
      <w:r w:rsidR="00915D2E" w:rsidRPr="00076CA5">
        <w:rPr>
          <w:lang w:val="nb-NO"/>
        </w:rPr>
        <w:t xml:space="preserve"> para</w:t>
      </w:r>
      <w:r w:rsidRPr="00076CA5">
        <w:rPr>
          <w:lang w:val="nb-NO"/>
        </w:rPr>
        <w:t xml:space="preserve">. </w:t>
      </w:r>
      <w:r w:rsidRPr="006850DF">
        <w:rPr>
          <w:lang w:val="es-CL"/>
        </w:rPr>
        <w:t xml:space="preserve">42, citing </w:t>
      </w:r>
      <w:r w:rsidRPr="006850DF">
        <w:rPr>
          <w:i/>
          <w:iCs/>
          <w:lang w:val="es-CL"/>
        </w:rPr>
        <w:t>RJR-MacDonald Inc. v. Canada (Attorney General)</w:t>
      </w:r>
      <w:r w:rsidRPr="006850DF">
        <w:rPr>
          <w:lang w:val="es-CL"/>
        </w:rPr>
        <w:t>, 1995 CanLII 64 (SCC), [1995] 3 S</w:t>
      </w:r>
      <w:r w:rsidR="000C3E0F" w:rsidRPr="006850DF">
        <w:rPr>
          <w:lang w:val="es-CL"/>
        </w:rPr>
        <w:t>.</w:t>
      </w:r>
      <w:r w:rsidRPr="006850DF">
        <w:rPr>
          <w:lang w:val="es-CL"/>
        </w:rPr>
        <w:t>C</w:t>
      </w:r>
      <w:r w:rsidR="000C3E0F" w:rsidRPr="006850DF">
        <w:rPr>
          <w:lang w:val="es-CL"/>
        </w:rPr>
        <w:t>.</w:t>
      </w:r>
      <w:r w:rsidRPr="006850DF">
        <w:rPr>
          <w:lang w:val="es-CL"/>
        </w:rPr>
        <w:t>R</w:t>
      </w:r>
      <w:r w:rsidR="000C3E0F" w:rsidRPr="006850DF">
        <w:rPr>
          <w:lang w:val="es-CL"/>
        </w:rPr>
        <w:t>.</w:t>
      </w:r>
      <w:r w:rsidRPr="006850DF">
        <w:rPr>
          <w:lang w:val="es-CL"/>
        </w:rPr>
        <w:t xml:space="preserve"> 199</w:t>
      </w:r>
      <w:r w:rsidR="006850DF" w:rsidRPr="006850DF">
        <w:rPr>
          <w:lang w:val="es-CL"/>
        </w:rPr>
        <w:t>,</w:t>
      </w:r>
      <w:r w:rsidR="00915D2E" w:rsidRPr="006850DF">
        <w:rPr>
          <w:lang w:val="es-CL"/>
        </w:rPr>
        <w:t xml:space="preserve"> para</w:t>
      </w:r>
      <w:r w:rsidRPr="006850DF">
        <w:rPr>
          <w:lang w:val="es-CL"/>
        </w:rPr>
        <w:t xml:space="preserve">. 160; </w:t>
      </w:r>
      <w:r w:rsidRPr="006850DF">
        <w:rPr>
          <w:i/>
          <w:iCs/>
          <w:lang w:val="es-CL"/>
        </w:rPr>
        <w:t>Frank</w:t>
      </w:r>
      <w:r w:rsidRPr="006850DF">
        <w:rPr>
          <w:lang w:val="es-CL"/>
        </w:rPr>
        <w:t>,</w:t>
      </w:r>
      <w:r w:rsidRPr="006850DF">
        <w:rPr>
          <w:i/>
          <w:iCs/>
          <w:lang w:val="es-CL"/>
        </w:rPr>
        <w:t xml:space="preserve"> supra</w:t>
      </w:r>
      <w:r w:rsidRPr="006850DF">
        <w:rPr>
          <w:lang w:val="es-CL"/>
        </w:rPr>
        <w:t xml:space="preserve"> note </w:t>
      </w:r>
      <w:r w:rsidRPr="00076CA5">
        <w:rPr>
          <w:lang w:val="en-CA"/>
        </w:rPr>
        <w:fldChar w:fldCharType="begin"/>
      </w:r>
      <w:r w:rsidRPr="006850DF">
        <w:rPr>
          <w:lang w:val="es-CL"/>
        </w:rPr>
        <w:instrText xml:space="preserve"> NOTEREF _Ref214455187 \h  \* MERGEFORMAT </w:instrText>
      </w:r>
      <w:r w:rsidRPr="00076CA5">
        <w:rPr>
          <w:lang w:val="en-CA"/>
        </w:rPr>
      </w:r>
      <w:r w:rsidRPr="00076CA5">
        <w:rPr>
          <w:lang w:val="en-CA"/>
        </w:rPr>
        <w:fldChar w:fldCharType="separate"/>
      </w:r>
      <w:r w:rsidR="00990DD2">
        <w:rPr>
          <w:lang w:val="es-CL"/>
        </w:rPr>
        <w:t>57</w:t>
      </w:r>
      <w:r w:rsidRPr="00076CA5">
        <w:rPr>
          <w:lang w:val="en-CA"/>
        </w:rPr>
        <w:fldChar w:fldCharType="end"/>
      </w:r>
      <w:r w:rsidR="006850DF" w:rsidRPr="006850DF">
        <w:rPr>
          <w:lang w:val="es-CL"/>
        </w:rPr>
        <w:t>,</w:t>
      </w:r>
      <w:r w:rsidR="00915D2E" w:rsidRPr="006850DF">
        <w:rPr>
          <w:lang w:val="es-CL"/>
        </w:rPr>
        <w:t xml:space="preserve"> para</w:t>
      </w:r>
      <w:r w:rsidRPr="006850DF">
        <w:rPr>
          <w:lang w:val="es-CL"/>
        </w:rPr>
        <w:t xml:space="preserve">. </w:t>
      </w:r>
      <w:r w:rsidRPr="00076CA5">
        <w:rPr>
          <w:lang w:val="en-CA"/>
        </w:rPr>
        <w:t xml:space="preserve">66; </w:t>
      </w:r>
      <w:r w:rsidRPr="00076CA5">
        <w:rPr>
          <w:i/>
          <w:iCs/>
          <w:lang w:val="en-CA"/>
        </w:rPr>
        <w:t>Ontario (Attorney General)</w:t>
      </w:r>
      <w:r w:rsidRPr="00076CA5">
        <w:rPr>
          <w:lang w:val="en-CA"/>
        </w:rPr>
        <w:t xml:space="preserve">,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_Ref214455187 \h  \* MERGEFORMAT </w:instrText>
      </w:r>
      <w:r w:rsidRPr="00076CA5">
        <w:rPr>
          <w:lang w:val="en-CA"/>
        </w:rPr>
      </w:r>
      <w:r w:rsidRPr="00076CA5">
        <w:rPr>
          <w:lang w:val="en-CA"/>
        </w:rPr>
        <w:fldChar w:fldCharType="separate"/>
      </w:r>
      <w:r w:rsidR="00990DD2">
        <w:rPr>
          <w:lang w:val="en-CA"/>
        </w:rPr>
        <w:t>57</w:t>
      </w:r>
      <w:r w:rsidRPr="00076CA5">
        <w:rPr>
          <w:lang w:val="en-CA"/>
        </w:rPr>
        <w:fldChar w:fldCharType="end"/>
      </w:r>
      <w:r w:rsidR="006850DF">
        <w:rPr>
          <w:lang w:val="en-CA"/>
        </w:rPr>
        <w:t>,</w:t>
      </w:r>
      <w:r w:rsidR="00915D2E" w:rsidRPr="00076CA5">
        <w:rPr>
          <w:lang w:val="en-CA"/>
        </w:rPr>
        <w:t xml:space="preserve"> para</w:t>
      </w:r>
      <w:r w:rsidRPr="00076CA5">
        <w:rPr>
          <w:lang w:val="en-CA"/>
        </w:rPr>
        <w:t>. 63.</w:t>
      </w:r>
    </w:p>
  </w:footnote>
  <w:footnote w:id="105">
    <w:p w14:paraId="0F84282B" w14:textId="711512CC"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Sauvé v. Canada (Chief Electoral Officer)</w:t>
      </w:r>
      <w:r w:rsidRPr="00076CA5">
        <w:rPr>
          <w:lang w:val="en-CA"/>
        </w:rPr>
        <w:t>, 2002 SCC 68, [2002] 3 S</w:t>
      </w:r>
      <w:r w:rsidR="000C3E0F" w:rsidRPr="00076CA5">
        <w:rPr>
          <w:lang w:val="en-CA"/>
        </w:rPr>
        <w:t>.</w:t>
      </w:r>
      <w:r w:rsidRPr="00076CA5">
        <w:rPr>
          <w:lang w:val="en-CA"/>
        </w:rPr>
        <w:t>C</w:t>
      </w:r>
      <w:r w:rsidR="000C3E0F" w:rsidRPr="00076CA5">
        <w:rPr>
          <w:lang w:val="en-CA"/>
        </w:rPr>
        <w:t>.</w:t>
      </w:r>
      <w:r w:rsidRPr="00076CA5">
        <w:rPr>
          <w:lang w:val="en-CA"/>
        </w:rPr>
        <w:t>R</w:t>
      </w:r>
      <w:r w:rsidR="000C3E0F" w:rsidRPr="00076CA5">
        <w:rPr>
          <w:lang w:val="en-CA"/>
        </w:rPr>
        <w:t>.</w:t>
      </w:r>
      <w:r w:rsidRPr="00076CA5">
        <w:rPr>
          <w:lang w:val="en-CA"/>
        </w:rPr>
        <w:t xml:space="preserve"> 519</w:t>
      </w:r>
      <w:r w:rsidR="006850DF">
        <w:rPr>
          <w:lang w:val="en-CA"/>
        </w:rPr>
        <w:t>,</w:t>
      </w:r>
      <w:r w:rsidR="00915D2E" w:rsidRPr="00076CA5">
        <w:rPr>
          <w:lang w:val="en-CA"/>
        </w:rPr>
        <w:t xml:space="preserve"> para</w:t>
      </w:r>
      <w:r w:rsidRPr="00076CA5">
        <w:rPr>
          <w:lang w:val="en-CA"/>
        </w:rPr>
        <w:t>. 16</w:t>
      </w:r>
      <w:r w:rsidR="0058719C">
        <w:rPr>
          <w:lang w:val="en-CA"/>
        </w:rPr>
        <w:t>;</w:t>
      </w:r>
      <w:r w:rsidRPr="00076CA5">
        <w:rPr>
          <w:lang w:val="en-CA"/>
        </w:rPr>
        <w:t xml:space="preserve"> see </w:t>
      </w:r>
      <w:r w:rsidR="0058719C">
        <w:rPr>
          <w:lang w:val="en-CA"/>
        </w:rPr>
        <w:t xml:space="preserve">also </w:t>
      </w:r>
      <w:r w:rsidRPr="00076CA5">
        <w:rPr>
          <w:lang w:val="en-CA"/>
        </w:rPr>
        <w:t xml:space="preserve">by analogy </w:t>
      </w:r>
      <w:r w:rsidRPr="00076CA5">
        <w:rPr>
          <w:i/>
          <w:iCs/>
          <w:lang w:val="en-CA"/>
        </w:rPr>
        <w:t>Osborne v. Canada (Treasury Board)</w:t>
      </w:r>
      <w:r w:rsidRPr="00076CA5">
        <w:rPr>
          <w:lang w:val="en-CA"/>
        </w:rPr>
        <w:t>, [1991] 2 S</w:t>
      </w:r>
      <w:r w:rsidR="000C3E0F" w:rsidRPr="00076CA5">
        <w:rPr>
          <w:lang w:val="en-CA"/>
        </w:rPr>
        <w:t>.</w:t>
      </w:r>
      <w:r w:rsidRPr="00076CA5">
        <w:rPr>
          <w:lang w:val="en-CA"/>
        </w:rPr>
        <w:t>C</w:t>
      </w:r>
      <w:r w:rsidR="000C3E0F" w:rsidRPr="00076CA5">
        <w:rPr>
          <w:lang w:val="en-CA"/>
        </w:rPr>
        <w:t>.</w:t>
      </w:r>
      <w:r w:rsidRPr="00076CA5">
        <w:rPr>
          <w:lang w:val="en-CA"/>
        </w:rPr>
        <w:t>R</w:t>
      </w:r>
      <w:r w:rsidR="000C3E0F" w:rsidRPr="00076CA5">
        <w:rPr>
          <w:lang w:val="en-CA"/>
        </w:rPr>
        <w:t>.</w:t>
      </w:r>
      <w:r w:rsidRPr="00076CA5">
        <w:rPr>
          <w:lang w:val="en-CA"/>
        </w:rPr>
        <w:t xml:space="preserve"> 69, pp. 86-88.</w:t>
      </w:r>
    </w:p>
  </w:footnote>
  <w:footnote w:id="106">
    <w:p w14:paraId="688E5054" w14:textId="16B9FEA4" w:rsidR="000E158D" w:rsidRPr="00076CA5" w:rsidRDefault="004351B0" w:rsidP="000E158D">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See </w:t>
      </w:r>
      <w:r w:rsidR="008134D9" w:rsidRPr="00076CA5">
        <w:rPr>
          <w:lang w:val="en-CA"/>
        </w:rPr>
        <w:t xml:space="preserve">the </w:t>
      </w:r>
      <w:r w:rsidRPr="00076CA5">
        <w:rPr>
          <w:lang w:val="en-CA"/>
        </w:rPr>
        <w:t>Preliminary Report, pp. 1, 23, 24, 26, 31, 33</w:t>
      </w:r>
      <w:r w:rsidR="00256FC2">
        <w:rPr>
          <w:lang w:val="en-CA"/>
        </w:rPr>
        <w:t>,</w:t>
      </w:r>
      <w:r w:rsidRPr="00076CA5">
        <w:rPr>
          <w:lang w:val="en-CA"/>
        </w:rPr>
        <w:t xml:space="preserve"> and 93, </w:t>
      </w:r>
      <w:r w:rsidR="008134D9" w:rsidRPr="00145125">
        <w:rPr>
          <w:i/>
          <w:iCs/>
          <w:lang w:val="en-CA"/>
        </w:rPr>
        <w:t>Constats et réflexions - Révision de la carte électorale par la Commission</w:t>
      </w:r>
      <w:r w:rsidRPr="00076CA5">
        <w:rPr>
          <w:lang w:val="en-CA"/>
        </w:rPr>
        <w:t>, May 2024, p. 6</w:t>
      </w:r>
      <w:r w:rsidR="008134D9" w:rsidRPr="00076CA5">
        <w:rPr>
          <w:lang w:val="en-CA"/>
        </w:rPr>
        <w:t>,</w:t>
      </w:r>
      <w:r w:rsidRPr="00076CA5">
        <w:rPr>
          <w:lang w:val="en-CA"/>
        </w:rPr>
        <w:t xml:space="preserve"> and </w:t>
      </w:r>
      <w:r w:rsidR="008134D9" w:rsidRPr="00076CA5">
        <w:rPr>
          <w:lang w:val="en-CA"/>
        </w:rPr>
        <w:t>the a</w:t>
      </w:r>
      <w:r w:rsidRPr="00076CA5">
        <w:rPr>
          <w:lang w:val="en-CA"/>
        </w:rPr>
        <w:t xml:space="preserve">mended expert report prepared by Louis Massicotte dated March 31, 2025, p. 35. There are six electoral divisions </w:t>
      </w:r>
      <w:r w:rsidR="00ED743A">
        <w:rPr>
          <w:lang w:val="en-CA"/>
        </w:rPr>
        <w:t>with an exceptional positive deviation</w:t>
      </w:r>
      <w:r w:rsidRPr="00076CA5">
        <w:rPr>
          <w:lang w:val="en-CA"/>
        </w:rPr>
        <w:t xml:space="preserve"> (+25% above </w:t>
      </w:r>
      <w:r w:rsidR="008134D9" w:rsidRPr="00076CA5">
        <w:rPr>
          <w:lang w:val="en-CA"/>
        </w:rPr>
        <w:t xml:space="preserve">the </w:t>
      </w:r>
      <w:r w:rsidRPr="00076CA5">
        <w:rPr>
          <w:lang w:val="en-CA"/>
        </w:rPr>
        <w:t>average): two in Estrie–Centre-du-Québec, two in Laurentides-Lanaudière</w:t>
      </w:r>
      <w:r w:rsidR="00256FC2">
        <w:rPr>
          <w:lang w:val="en-CA"/>
        </w:rPr>
        <w:t>,</w:t>
      </w:r>
      <w:r w:rsidRPr="00076CA5">
        <w:rPr>
          <w:lang w:val="en-CA"/>
        </w:rPr>
        <w:t xml:space="preserve"> and two in the Outaouais region. </w:t>
      </w:r>
      <w:r w:rsidR="008134D9" w:rsidRPr="00076CA5">
        <w:rPr>
          <w:lang w:val="en-CA"/>
        </w:rPr>
        <w:t>In addition</w:t>
      </w:r>
      <w:r w:rsidRPr="00076CA5">
        <w:rPr>
          <w:lang w:val="en-CA"/>
        </w:rPr>
        <w:t xml:space="preserve">, there are nine electoral divisions approaching the maximum threshold of between +20% and +25%. In the 2026 general election, 17 </w:t>
      </w:r>
      <w:r w:rsidR="008134D9" w:rsidRPr="00076CA5">
        <w:rPr>
          <w:lang w:val="en-CA"/>
        </w:rPr>
        <w:t xml:space="preserve">electoral </w:t>
      </w:r>
      <w:r w:rsidRPr="00076CA5">
        <w:rPr>
          <w:lang w:val="en-CA"/>
        </w:rPr>
        <w:t xml:space="preserve">divisions are expected to </w:t>
      </w:r>
      <w:r w:rsidR="00845CA7">
        <w:rPr>
          <w:lang w:val="en-CA"/>
        </w:rPr>
        <w:t>have</w:t>
      </w:r>
      <w:r w:rsidRPr="00076CA5">
        <w:rPr>
          <w:lang w:val="en-CA"/>
        </w:rPr>
        <w:t xml:space="preserve"> exception status, three more than in the 2022 general election and ten more than in the 2018 general election. </w:t>
      </w:r>
    </w:p>
  </w:footnote>
  <w:footnote w:id="107">
    <w:p w14:paraId="625B17E8" w14:textId="388AD806"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Judgment under appeal,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6850DF">
        <w:rPr>
          <w:lang w:val="en-CA"/>
        </w:rPr>
        <w:t>,</w:t>
      </w:r>
      <w:r w:rsidR="00915D2E" w:rsidRPr="00076CA5">
        <w:rPr>
          <w:lang w:val="en-CA"/>
        </w:rPr>
        <w:t xml:space="preserve"> para</w:t>
      </w:r>
      <w:r w:rsidRPr="00076CA5">
        <w:rPr>
          <w:lang w:val="en-CA"/>
        </w:rPr>
        <w:t>. 163</w:t>
      </w:r>
      <w:r w:rsidR="00845CA7">
        <w:rPr>
          <w:lang w:val="en-CA"/>
        </w:rPr>
        <w:t>;</w:t>
      </w:r>
      <w:r w:rsidRPr="00076CA5">
        <w:rPr>
          <w:lang w:val="en-CA"/>
        </w:rPr>
        <w:t xml:space="preserve"> see</w:t>
      </w:r>
      <w:r w:rsidR="00845CA7">
        <w:rPr>
          <w:lang w:val="en-CA"/>
        </w:rPr>
        <w:t xml:space="preserve"> also</w:t>
      </w:r>
      <w:r w:rsidRPr="00076CA5">
        <w:rPr>
          <w:lang w:val="en-CA"/>
        </w:rPr>
        <w:t xml:space="preserve"> </w:t>
      </w:r>
      <w:r w:rsidRPr="00076CA5">
        <w:rPr>
          <w:i/>
          <w:iCs/>
          <w:lang w:val="en-CA"/>
        </w:rPr>
        <w:t>Dixon v. British Columbia (Attorney General)</w:t>
      </w:r>
      <w:r w:rsidRPr="00076CA5">
        <w:rPr>
          <w:lang w:val="en-CA"/>
        </w:rPr>
        <w:t>, 1989 CanLII 248 (BCSC) (McLachlin</w:t>
      </w:r>
      <w:r w:rsidR="00845CA7">
        <w:rPr>
          <w:lang w:val="en-CA"/>
        </w:rPr>
        <w:t>,</w:t>
      </w:r>
      <w:r w:rsidR="008134D9" w:rsidRPr="00076CA5">
        <w:rPr>
          <w:lang w:val="en-CA"/>
        </w:rPr>
        <w:t xml:space="preserve"> J.</w:t>
      </w:r>
      <w:r w:rsidRPr="00076CA5">
        <w:rPr>
          <w:lang w:val="en-CA"/>
        </w:rPr>
        <w:t>).</w:t>
      </w:r>
    </w:p>
  </w:footnote>
  <w:footnote w:id="108">
    <w:p w14:paraId="5BB0FF6A" w14:textId="41BD2693"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Preliminary Report, p. 18: </w:t>
      </w:r>
      <w:r w:rsidR="008134D9" w:rsidRPr="00076CA5">
        <w:rPr>
          <w:lang w:val="en-CA"/>
        </w:rPr>
        <w:t>[</w:t>
      </w:r>
      <w:r w:rsidR="00845CA7">
        <w:rPr>
          <w:smallCaps/>
          <w:lang w:val="en-CA"/>
        </w:rPr>
        <w:t>translation</w:t>
      </w:r>
      <w:r w:rsidR="008134D9" w:rsidRPr="00076CA5">
        <w:rPr>
          <w:lang w:val="en-CA"/>
        </w:rPr>
        <w:t xml:space="preserve">] </w:t>
      </w:r>
      <w:r w:rsidRPr="00076CA5">
        <w:rPr>
          <w:lang w:val="en-CA"/>
        </w:rPr>
        <w:t>“Parliamentarians have chosen to entrust the Commission de la représentation électorale with the responsibility of establishing Quebec</w:t>
      </w:r>
      <w:r w:rsidR="00845CA7">
        <w:rPr>
          <w:lang w:val="en-CA"/>
        </w:rPr>
        <w:t>’</w:t>
      </w:r>
      <w:r w:rsidRPr="00076CA5">
        <w:rPr>
          <w:lang w:val="en-CA"/>
        </w:rPr>
        <w:t>s electoral map so that this exercise is carried out impartially and independent of political power”</w:t>
      </w:r>
      <w:r w:rsidR="00845CA7">
        <w:rPr>
          <w:lang w:val="en-CA"/>
        </w:rPr>
        <w:t>.</w:t>
      </w:r>
      <w:r w:rsidRPr="00076CA5">
        <w:rPr>
          <w:lang w:val="en-CA"/>
        </w:rPr>
        <w:t xml:space="preserve"> See for example </w:t>
      </w:r>
      <w:r w:rsidRPr="00076CA5">
        <w:rPr>
          <w:i/>
          <w:iCs/>
          <w:lang w:val="en-CA"/>
        </w:rPr>
        <w:t>Nova Scotia Reference</w:t>
      </w:r>
      <w:r w:rsidRPr="00076CA5">
        <w:rPr>
          <w:lang w:val="en-CA"/>
        </w:rPr>
        <w:t xml:space="preserve">,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_Ref213244221 \h  \* MERGEFORMAT </w:instrText>
      </w:r>
      <w:r w:rsidRPr="00076CA5">
        <w:rPr>
          <w:lang w:val="en-CA"/>
        </w:rPr>
      </w:r>
      <w:r w:rsidRPr="00076CA5">
        <w:rPr>
          <w:lang w:val="en-CA"/>
        </w:rPr>
        <w:fldChar w:fldCharType="separate"/>
      </w:r>
      <w:r w:rsidR="00990DD2">
        <w:rPr>
          <w:lang w:val="en-CA"/>
        </w:rPr>
        <w:t>53</w:t>
      </w:r>
      <w:r w:rsidRPr="00076CA5">
        <w:rPr>
          <w:lang w:val="en-CA"/>
        </w:rPr>
        <w:fldChar w:fldCharType="end"/>
      </w:r>
      <w:r w:rsidR="006850DF">
        <w:rPr>
          <w:lang w:val="en-CA"/>
        </w:rPr>
        <w:t>,</w:t>
      </w:r>
      <w:r w:rsidR="00915D2E" w:rsidRPr="00076CA5">
        <w:rPr>
          <w:lang w:val="en-CA"/>
        </w:rPr>
        <w:t xml:space="preserve"> para</w:t>
      </w:r>
      <w:r w:rsidRPr="00076CA5">
        <w:rPr>
          <w:lang w:val="en-CA"/>
        </w:rPr>
        <w:t>s. 56, 69 et seq., 78 et seq., 90, 108, 134</w:t>
      </w:r>
      <w:r w:rsidR="00845CA7">
        <w:rPr>
          <w:lang w:val="en-CA"/>
        </w:rPr>
        <w:t>,</w:t>
      </w:r>
      <w:r w:rsidRPr="00076CA5">
        <w:rPr>
          <w:lang w:val="en-CA"/>
        </w:rPr>
        <w:t xml:space="preserve"> and 136; Judgment under appeal,</w:t>
      </w:r>
      <w:r w:rsidRPr="00076CA5">
        <w:rPr>
          <w:i/>
          <w:iCs/>
          <w:lang w:val="en-CA"/>
        </w:rPr>
        <w:t xml:space="preserve"> supra</w:t>
      </w:r>
      <w:r w:rsidRPr="00076CA5">
        <w:rPr>
          <w:lang w:val="en-CA"/>
        </w:rPr>
        <w:t xml:space="preserve"> note </w:t>
      </w:r>
      <w:r w:rsidRPr="00076CA5">
        <w:rPr>
          <w:lang w:val="en-CA"/>
        </w:rPr>
        <w:fldChar w:fldCharType="begin"/>
      </w:r>
      <w:r w:rsidRPr="00076CA5">
        <w:rPr>
          <w:lang w:val="en-CA"/>
        </w:rPr>
        <w:instrText xml:space="preserve"> NOTEREF _Ref213243925 \h  \* MERGEFORMAT </w:instrText>
      </w:r>
      <w:r w:rsidRPr="00076CA5">
        <w:rPr>
          <w:lang w:val="en-CA"/>
        </w:rPr>
      </w:r>
      <w:r w:rsidRPr="00076CA5">
        <w:rPr>
          <w:lang w:val="en-CA"/>
        </w:rPr>
        <w:fldChar w:fldCharType="separate"/>
      </w:r>
      <w:r w:rsidR="00990DD2">
        <w:rPr>
          <w:lang w:val="en-CA"/>
        </w:rPr>
        <w:t>1</w:t>
      </w:r>
      <w:r w:rsidRPr="00076CA5">
        <w:rPr>
          <w:lang w:val="en-CA"/>
        </w:rPr>
        <w:fldChar w:fldCharType="end"/>
      </w:r>
      <w:r w:rsidR="006850DF">
        <w:rPr>
          <w:lang w:val="en-CA"/>
        </w:rPr>
        <w:t>,</w:t>
      </w:r>
      <w:r w:rsidR="00915D2E" w:rsidRPr="00076CA5">
        <w:rPr>
          <w:lang w:val="en-CA"/>
        </w:rPr>
        <w:t xml:space="preserve"> para</w:t>
      </w:r>
      <w:r w:rsidRPr="00076CA5">
        <w:rPr>
          <w:lang w:val="en-CA"/>
        </w:rPr>
        <w:t>. 107.</w:t>
      </w:r>
    </w:p>
  </w:footnote>
  <w:footnote w:id="109">
    <w:p w14:paraId="30436112" w14:textId="726DA521"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t xml:space="preserve">And that </w:t>
      </w:r>
      <w:r w:rsidR="00845CA7">
        <w:rPr>
          <w:lang w:val="en-CA"/>
        </w:rPr>
        <w:t xml:space="preserve">is </w:t>
      </w:r>
      <w:r w:rsidRPr="00076CA5">
        <w:rPr>
          <w:lang w:val="en-CA"/>
        </w:rPr>
        <w:t xml:space="preserve">by limiting </w:t>
      </w:r>
      <w:r w:rsidR="00845CA7">
        <w:rPr>
          <w:lang w:val="en-CA"/>
        </w:rPr>
        <w:t>the analysis</w:t>
      </w:r>
      <w:r w:rsidRPr="00076CA5">
        <w:rPr>
          <w:lang w:val="en-CA"/>
        </w:rPr>
        <w:t xml:space="preserve"> to the electoral divisions </w:t>
      </w:r>
      <w:r w:rsidR="00ED743A">
        <w:rPr>
          <w:lang w:val="en-CA"/>
        </w:rPr>
        <w:t>with an exceptional positive deviation</w:t>
      </w:r>
      <w:r w:rsidRPr="00076CA5">
        <w:rPr>
          <w:lang w:val="en-CA"/>
        </w:rPr>
        <w:t xml:space="preserve"> as of April 30, 2024 (see</w:t>
      </w:r>
      <w:r w:rsidRPr="00076CA5">
        <w:rPr>
          <w:sz w:val="24"/>
          <w:lang w:val="en-CA"/>
        </w:rPr>
        <w:t xml:space="preserve"> </w:t>
      </w:r>
      <w:r w:rsidR="006D5BDA" w:rsidRPr="00145125">
        <w:rPr>
          <w:i/>
          <w:iCs/>
          <w:lang w:val="en-CA"/>
        </w:rPr>
        <w:t>Constats et réflexions - Révision de la carte électorale par la Commission</w:t>
      </w:r>
      <w:r w:rsidRPr="00076CA5">
        <w:rPr>
          <w:lang w:val="en-CA"/>
        </w:rPr>
        <w:t>, May 2024, p. 23).</w:t>
      </w:r>
    </w:p>
  </w:footnote>
  <w:footnote w:id="110">
    <w:p w14:paraId="23EFC808" w14:textId="3EE70425" w:rsidR="006D4B37" w:rsidRPr="00076CA5" w:rsidRDefault="004351B0" w:rsidP="006D4B37">
      <w:pPr>
        <w:pStyle w:val="Notedebasdepage"/>
        <w:rPr>
          <w:lang w:val="en-CA"/>
        </w:rPr>
      </w:pPr>
      <w:r w:rsidRPr="00076CA5">
        <w:rPr>
          <w:rStyle w:val="Appelnotedebasdep"/>
          <w:lang w:val="en-CA"/>
        </w:rPr>
        <w:footnoteRef/>
      </w:r>
      <w:r w:rsidRPr="00076CA5">
        <w:rPr>
          <w:lang w:val="en-CA"/>
        </w:rPr>
        <w:t xml:space="preserve"> </w:t>
      </w:r>
      <w:r w:rsidRPr="00076CA5">
        <w:rPr>
          <w:lang w:val="en-CA"/>
        </w:rPr>
        <w:tab/>
      </w:r>
      <w:r w:rsidRPr="00076CA5">
        <w:rPr>
          <w:i/>
          <w:iCs/>
          <w:lang w:val="en-CA"/>
        </w:rPr>
        <w:t>Saskatchewan Reference</w:t>
      </w:r>
      <w:r w:rsidRPr="00076CA5">
        <w:rPr>
          <w:lang w:val="en-CA"/>
        </w:rPr>
        <w:t xml:space="preserve">, </w:t>
      </w:r>
      <w:r w:rsidRPr="00076CA5">
        <w:rPr>
          <w:i/>
          <w:iCs/>
          <w:lang w:val="en-CA"/>
        </w:rPr>
        <w:t>supra</w:t>
      </w:r>
      <w:r w:rsidRPr="00076CA5">
        <w:rPr>
          <w:lang w:val="en-CA"/>
        </w:rPr>
        <w:t xml:space="preserve"> note </w:t>
      </w:r>
      <w:r w:rsidRPr="00076CA5">
        <w:rPr>
          <w:lang w:val="en-CA"/>
        </w:rPr>
        <w:fldChar w:fldCharType="begin"/>
      </w:r>
      <w:r w:rsidRPr="00076CA5">
        <w:rPr>
          <w:lang w:val="en-CA"/>
        </w:rPr>
        <w:instrText xml:space="preserve"> NOTEREF _Ref214455382 \h  \* MERGEFORMAT </w:instrText>
      </w:r>
      <w:r w:rsidRPr="00076CA5">
        <w:rPr>
          <w:lang w:val="en-CA"/>
        </w:rPr>
      </w:r>
      <w:r w:rsidRPr="00076CA5">
        <w:rPr>
          <w:lang w:val="en-CA"/>
        </w:rPr>
        <w:fldChar w:fldCharType="separate"/>
      </w:r>
      <w:r w:rsidR="00990DD2">
        <w:rPr>
          <w:lang w:val="en-CA"/>
        </w:rPr>
        <w:t>59</w:t>
      </w:r>
      <w:r w:rsidRPr="00076CA5">
        <w:rPr>
          <w:lang w:val="en-CA"/>
        </w:rPr>
        <w:fldChar w:fldCharType="end"/>
      </w:r>
      <w:r w:rsidRPr="00076CA5">
        <w:rPr>
          <w:lang w:val="en-CA"/>
        </w:rPr>
        <w:t>, p. 195.</w:t>
      </w:r>
    </w:p>
  </w:footnote>
  <w:footnote w:id="111">
    <w:p w14:paraId="40D9A23D" w14:textId="23087675" w:rsidR="006D4B37" w:rsidRPr="00350287" w:rsidRDefault="004351B0" w:rsidP="006D4B37">
      <w:pPr>
        <w:pStyle w:val="Notedebasdepage"/>
        <w:rPr>
          <w:lang w:val="en-CA"/>
        </w:rPr>
      </w:pPr>
      <w:r w:rsidRPr="00076CA5">
        <w:rPr>
          <w:rStyle w:val="Appelnotedebasdep"/>
          <w:lang w:val="en-CA"/>
        </w:rPr>
        <w:footnoteRef/>
      </w:r>
      <w:r w:rsidRPr="00350287">
        <w:rPr>
          <w:lang w:val="en-CA"/>
        </w:rPr>
        <w:t xml:space="preserve"> </w:t>
      </w:r>
      <w:r w:rsidRPr="00350287">
        <w:rPr>
          <w:lang w:val="en-CA"/>
        </w:rPr>
        <w:tab/>
      </w:r>
      <w:r w:rsidR="00845CA7" w:rsidRPr="00350287">
        <w:rPr>
          <w:lang w:val="en-CA"/>
        </w:rPr>
        <w:t>An e</w:t>
      </w:r>
      <w:r w:rsidR="008134D9" w:rsidRPr="00350287">
        <w:rPr>
          <w:lang w:val="en-CA"/>
        </w:rPr>
        <w:t xml:space="preserve">lectoral division </w:t>
      </w:r>
      <w:r w:rsidR="00ED743A" w:rsidRPr="00350287">
        <w:rPr>
          <w:lang w:val="en-CA"/>
        </w:rPr>
        <w:t xml:space="preserve">with an exceptional positive deviation </w:t>
      </w:r>
      <w:r w:rsidRPr="00350287">
        <w:rPr>
          <w:lang w:val="en-CA"/>
        </w:rPr>
        <w:t xml:space="preserve">according to </w:t>
      </w:r>
      <w:r w:rsidR="00C21EAD" w:rsidRPr="00350287">
        <w:rPr>
          <w:lang w:val="en-CA"/>
        </w:rPr>
        <w:t xml:space="preserve">the </w:t>
      </w:r>
      <w:r w:rsidRPr="00350287">
        <w:rPr>
          <w:lang w:val="en-CA"/>
        </w:rPr>
        <w:t xml:space="preserve">April 2024 figures: </w:t>
      </w:r>
      <w:r w:rsidR="006D5BDA" w:rsidRPr="00350287">
        <w:rPr>
          <w:i/>
          <w:iCs/>
          <w:lang w:val="en-CA"/>
        </w:rPr>
        <w:t>Constats et réflexions - Révision de la carte électorale par la Commission</w:t>
      </w:r>
      <w:r w:rsidR="006D5BDA" w:rsidRPr="00350287">
        <w:rPr>
          <w:lang w:val="en-CA"/>
        </w:rPr>
        <w:t xml:space="preserve">, </w:t>
      </w:r>
      <w:r w:rsidRPr="00350287">
        <w:rPr>
          <w:lang w:val="en-CA"/>
        </w:rPr>
        <w:t>May 2024, p. 23.</w:t>
      </w:r>
    </w:p>
  </w:footnote>
  <w:footnote w:id="112">
    <w:p w14:paraId="7831D500" w14:textId="1B5956F7" w:rsidR="006D4B37" w:rsidRPr="00076CA5" w:rsidRDefault="004351B0" w:rsidP="006D4B37">
      <w:pPr>
        <w:pStyle w:val="Notedebasdepage"/>
      </w:pPr>
      <w:r w:rsidRPr="00076CA5">
        <w:rPr>
          <w:rStyle w:val="Appelnotedebasdep"/>
          <w:lang w:val="en-CA"/>
        </w:rPr>
        <w:footnoteRef/>
      </w:r>
      <w:r w:rsidRPr="00350287">
        <w:t xml:space="preserve"> </w:t>
      </w:r>
      <w:r w:rsidR="0078545F" w:rsidRPr="00350287">
        <w:tab/>
      </w:r>
      <w:r w:rsidRPr="00350287">
        <w:rPr>
          <w:i/>
          <w:iCs/>
        </w:rPr>
        <w:t>Frank</w:t>
      </w:r>
      <w:r w:rsidRPr="00350287">
        <w:t>,</w:t>
      </w:r>
      <w:r w:rsidRPr="00350287">
        <w:rPr>
          <w:i/>
          <w:iCs/>
        </w:rPr>
        <w:t xml:space="preserve"> supra</w:t>
      </w:r>
      <w:r w:rsidRPr="00350287">
        <w:t xml:space="preserve"> note </w:t>
      </w:r>
      <w:r w:rsidRPr="00076CA5">
        <w:rPr>
          <w:lang w:val="en-CA"/>
        </w:rPr>
        <w:fldChar w:fldCharType="begin"/>
      </w:r>
      <w:r w:rsidRPr="00350287">
        <w:instrText xml:space="preserve"> NOTEREF _Ref214455187 \h  \* MERGEFORMAT </w:instrText>
      </w:r>
      <w:r w:rsidRPr="00076CA5">
        <w:rPr>
          <w:lang w:val="en-CA"/>
        </w:rPr>
      </w:r>
      <w:r w:rsidRPr="00076CA5">
        <w:rPr>
          <w:lang w:val="en-CA"/>
        </w:rPr>
        <w:fldChar w:fldCharType="separate"/>
      </w:r>
      <w:r w:rsidR="00990DD2">
        <w:t>57</w:t>
      </w:r>
      <w:r w:rsidRPr="00076CA5">
        <w:rPr>
          <w:lang w:val="en-CA"/>
        </w:rPr>
        <w:fldChar w:fldCharType="end"/>
      </w:r>
      <w:r w:rsidR="006850DF" w:rsidRPr="00350287">
        <w:t>,</w:t>
      </w:r>
      <w:r w:rsidR="00915D2E" w:rsidRPr="00350287">
        <w:t xml:space="preserve"> para</w:t>
      </w:r>
      <w:r w:rsidRPr="00350287">
        <w:t xml:space="preserve">. </w:t>
      </w:r>
      <w:r w:rsidRPr="00076CA5">
        <w:t>67.</w:t>
      </w:r>
    </w:p>
  </w:footnote>
  <w:footnote w:id="113">
    <w:p w14:paraId="6E6E9965" w14:textId="1530B723" w:rsidR="006D4B37" w:rsidRPr="00076CA5" w:rsidRDefault="004351B0" w:rsidP="006D4B37">
      <w:pPr>
        <w:pStyle w:val="Notedebasdepage"/>
      </w:pPr>
      <w:r w:rsidRPr="00076CA5">
        <w:rPr>
          <w:rStyle w:val="Appelnotedebasdep"/>
          <w:lang w:val="en-CA"/>
        </w:rPr>
        <w:footnoteRef/>
      </w:r>
      <w:r w:rsidRPr="00076CA5">
        <w:t xml:space="preserve"> </w:t>
      </w:r>
      <w:r w:rsidRPr="00076CA5">
        <w:tab/>
      </w:r>
      <w:r w:rsidR="00F97B0C" w:rsidRPr="00076CA5">
        <w:rPr>
          <w:i/>
          <w:iCs/>
        </w:rPr>
        <w:t>Procureur général du Québec c. Kanyinda</w:t>
      </w:r>
      <w:r w:rsidRPr="00076CA5">
        <w:t>, 2024 QCCA 346</w:t>
      </w:r>
      <w:r w:rsidR="006850DF">
        <w:t>,</w:t>
      </w:r>
      <w:r w:rsidR="00915D2E" w:rsidRPr="00076CA5">
        <w:t xml:space="preserve"> para</w:t>
      </w:r>
      <w:r w:rsidRPr="00076CA5">
        <w:t xml:space="preserve">. </w:t>
      </w:r>
      <w:r w:rsidRPr="00145125">
        <w:t>8 (Weitzman</w:t>
      </w:r>
      <w:r w:rsidR="00460AD1">
        <w:t>,</w:t>
      </w:r>
      <w:r w:rsidR="00F97B0C" w:rsidRPr="00145125">
        <w:t xml:space="preserve"> J.A.</w:t>
      </w:r>
      <w:r w:rsidRPr="0014512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D8E5" w14:textId="77777777" w:rsidR="006D4B37" w:rsidRPr="00076CA5" w:rsidRDefault="004351B0" w:rsidP="00DD68E2">
    <w:pPr>
      <w:tabs>
        <w:tab w:val="center" w:pos="4709"/>
        <w:tab w:val="right" w:pos="9360"/>
      </w:tabs>
      <w:spacing w:line="360" w:lineRule="auto"/>
      <w:ind w:right="524"/>
    </w:pPr>
    <w:r w:rsidRPr="00076CA5">
      <w:rPr>
        <w:lang w:val="en-CA"/>
      </w:rPr>
      <w:t xml:space="preserve">500-09-700399-256 </w:t>
    </w:r>
    <w:r w:rsidRPr="00076CA5">
      <w:rPr>
        <w:lang w:val="en-CA"/>
      </w:rPr>
      <w:tab/>
    </w:r>
    <w:r w:rsidRPr="00076CA5">
      <w:rPr>
        <w:lang w:val="en-CA"/>
      </w:rPr>
      <w:tab/>
      <w:t xml:space="preserve">PAGE: </w:t>
    </w:r>
    <w:r w:rsidRPr="00076CA5">
      <w:rPr>
        <w:lang w:val="en-CA"/>
      </w:rPr>
      <w:fldChar w:fldCharType="begin"/>
    </w:r>
    <w:r w:rsidRPr="00076CA5">
      <w:rPr>
        <w:lang w:val="en-CA"/>
      </w:rPr>
      <w:instrText xml:space="preserve"> PAGE </w:instrText>
    </w:r>
    <w:r w:rsidRPr="00076CA5">
      <w:rPr>
        <w:lang w:val="en-CA"/>
      </w:rPr>
      <w:fldChar w:fldCharType="separate"/>
    </w:r>
    <w:r w:rsidRPr="00076CA5">
      <w:rPr>
        <w:lang w:val="en-CA"/>
      </w:rPr>
      <w:t>3</w:t>
    </w:r>
    <w:r w:rsidRPr="00076CA5">
      <w:rPr>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96E9" w14:textId="7FC54BD7" w:rsidR="007E33E4" w:rsidRPr="00076CA5" w:rsidRDefault="004351B0" w:rsidP="00DB2119">
    <w:pPr>
      <w:tabs>
        <w:tab w:val="center" w:pos="4709"/>
        <w:tab w:val="right" w:pos="9360"/>
      </w:tabs>
      <w:spacing w:line="360" w:lineRule="auto"/>
      <w:ind w:right="524"/>
    </w:pPr>
    <w:bookmarkStart w:id="35" w:name="EntDossier"/>
    <w:r w:rsidRPr="00076CA5">
      <w:rPr>
        <w:lang w:val="en-CA"/>
      </w:rPr>
      <w:t>500-09-700399-256</w:t>
    </w:r>
    <w:bookmarkEnd w:id="35"/>
    <w:r w:rsidRPr="00076CA5">
      <w:rPr>
        <w:lang w:val="en-CA"/>
      </w:rPr>
      <w:t xml:space="preserve"> </w:t>
    </w:r>
    <w:r w:rsidRPr="00076CA5">
      <w:rPr>
        <w:lang w:val="en-CA"/>
      </w:rPr>
      <w:tab/>
    </w:r>
    <w:r w:rsidRPr="00076CA5">
      <w:rPr>
        <w:lang w:val="en-CA"/>
      </w:rPr>
      <w:tab/>
      <w:t xml:space="preserve">PAGE: </w:t>
    </w:r>
    <w:r w:rsidRPr="00076CA5">
      <w:rPr>
        <w:lang w:val="en-CA"/>
      </w:rPr>
      <w:fldChar w:fldCharType="begin"/>
    </w:r>
    <w:r w:rsidRPr="00076CA5">
      <w:rPr>
        <w:lang w:val="en-CA"/>
      </w:rPr>
      <w:instrText xml:space="preserve"> PAGE </w:instrText>
    </w:r>
    <w:r w:rsidRPr="00076CA5">
      <w:rPr>
        <w:lang w:val="en-CA"/>
      </w:rPr>
      <w:fldChar w:fldCharType="separate"/>
    </w:r>
    <w:r w:rsidRPr="00076CA5">
      <w:rPr>
        <w:lang w:val="en-CA"/>
      </w:rPr>
      <w:t>22</w:t>
    </w:r>
    <w:r w:rsidRPr="00076CA5">
      <w:rPr>
        <w:lang w:val="en-CA"/>
      </w:rPr>
      <w:fldChar w:fldCharType="end"/>
    </w:r>
  </w:p>
  <w:p w14:paraId="5AD527CF" w14:textId="77777777" w:rsidR="007E33E4" w:rsidRPr="00076CA5"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85FF0"/>
    <w:multiLevelType w:val="hybridMultilevel"/>
    <w:tmpl w:val="F00244FE"/>
    <w:lvl w:ilvl="0" w:tplc="D548E9B4">
      <w:start w:val="1"/>
      <w:numFmt w:val="upperRoman"/>
      <w:pStyle w:val="Titre1"/>
      <w:lvlText w:val="%1."/>
      <w:lvlJc w:val="left"/>
      <w:pPr>
        <w:ind w:left="720" w:hanging="360"/>
      </w:pPr>
      <w:rPr>
        <w:rFonts w:ascii="Arial" w:eastAsia="Arial" w:hAnsi="Arial" w:cs="Arial" w:hint="default"/>
        <w:b/>
        <w:bCs/>
        <w:i w:val="0"/>
        <w:iCs w:val="0"/>
        <w:spacing w:val="0"/>
        <w:w w:val="100"/>
        <w:sz w:val="24"/>
        <w:szCs w:val="24"/>
      </w:rPr>
    </w:lvl>
    <w:lvl w:ilvl="1" w:tplc="1DA49C40" w:tentative="1">
      <w:start w:val="1"/>
      <w:numFmt w:val="lowerLetter"/>
      <w:lvlText w:val="%2."/>
      <w:lvlJc w:val="left"/>
      <w:pPr>
        <w:ind w:left="1440" w:hanging="360"/>
      </w:pPr>
    </w:lvl>
    <w:lvl w:ilvl="2" w:tplc="F34407C0" w:tentative="1">
      <w:start w:val="1"/>
      <w:numFmt w:val="lowerRoman"/>
      <w:lvlText w:val="%3."/>
      <w:lvlJc w:val="right"/>
      <w:pPr>
        <w:ind w:left="2160" w:hanging="180"/>
      </w:pPr>
    </w:lvl>
    <w:lvl w:ilvl="3" w:tplc="8B44294A" w:tentative="1">
      <w:start w:val="1"/>
      <w:numFmt w:val="decimal"/>
      <w:lvlText w:val="%4."/>
      <w:lvlJc w:val="left"/>
      <w:pPr>
        <w:ind w:left="2880" w:hanging="360"/>
      </w:pPr>
    </w:lvl>
    <w:lvl w:ilvl="4" w:tplc="8AC41E56" w:tentative="1">
      <w:start w:val="1"/>
      <w:numFmt w:val="lowerLetter"/>
      <w:lvlText w:val="%5."/>
      <w:lvlJc w:val="left"/>
      <w:pPr>
        <w:ind w:left="3600" w:hanging="360"/>
      </w:pPr>
    </w:lvl>
    <w:lvl w:ilvl="5" w:tplc="52865CEC" w:tentative="1">
      <w:start w:val="1"/>
      <w:numFmt w:val="lowerRoman"/>
      <w:lvlText w:val="%6."/>
      <w:lvlJc w:val="right"/>
      <w:pPr>
        <w:ind w:left="4320" w:hanging="180"/>
      </w:pPr>
    </w:lvl>
    <w:lvl w:ilvl="6" w:tplc="51C0CCEA" w:tentative="1">
      <w:start w:val="1"/>
      <w:numFmt w:val="decimal"/>
      <w:lvlText w:val="%7."/>
      <w:lvlJc w:val="left"/>
      <w:pPr>
        <w:ind w:left="5040" w:hanging="360"/>
      </w:pPr>
    </w:lvl>
    <w:lvl w:ilvl="7" w:tplc="A08EDBA2" w:tentative="1">
      <w:start w:val="1"/>
      <w:numFmt w:val="lowerLetter"/>
      <w:lvlText w:val="%8."/>
      <w:lvlJc w:val="left"/>
      <w:pPr>
        <w:ind w:left="5760" w:hanging="360"/>
      </w:pPr>
    </w:lvl>
    <w:lvl w:ilvl="8" w:tplc="804209AC" w:tentative="1">
      <w:start w:val="1"/>
      <w:numFmt w:val="lowerRoman"/>
      <w:lvlText w:val="%9."/>
      <w:lvlJc w:val="right"/>
      <w:pPr>
        <w:ind w:left="6480" w:hanging="180"/>
      </w:pPr>
    </w:lvl>
  </w:abstractNum>
  <w:abstractNum w:abstractNumId="11" w15:restartNumberingAfterBreak="0">
    <w:nsid w:val="1FEA0980"/>
    <w:multiLevelType w:val="hybridMultilevel"/>
    <w:tmpl w:val="E318A628"/>
    <w:lvl w:ilvl="0" w:tplc="BC3AAE82">
      <w:start w:val="3"/>
      <w:numFmt w:val="bullet"/>
      <w:lvlText w:val=""/>
      <w:lvlJc w:val="left"/>
      <w:pPr>
        <w:ind w:left="720" w:hanging="360"/>
      </w:pPr>
      <w:rPr>
        <w:rFonts w:ascii="Symbol" w:eastAsia="Times New Roman" w:hAnsi="Symbol" w:cs="Times New Roman" w:hint="default"/>
      </w:rPr>
    </w:lvl>
    <w:lvl w:ilvl="1" w:tplc="2182E916" w:tentative="1">
      <w:start w:val="1"/>
      <w:numFmt w:val="bullet"/>
      <w:lvlText w:val="o"/>
      <w:lvlJc w:val="left"/>
      <w:pPr>
        <w:ind w:left="1440" w:hanging="360"/>
      </w:pPr>
      <w:rPr>
        <w:rFonts w:ascii="Courier New" w:hAnsi="Courier New" w:cs="Courier New" w:hint="default"/>
      </w:rPr>
    </w:lvl>
    <w:lvl w:ilvl="2" w:tplc="8188B710" w:tentative="1">
      <w:start w:val="1"/>
      <w:numFmt w:val="bullet"/>
      <w:lvlText w:val=""/>
      <w:lvlJc w:val="left"/>
      <w:pPr>
        <w:ind w:left="2160" w:hanging="360"/>
      </w:pPr>
      <w:rPr>
        <w:rFonts w:ascii="Wingdings" w:hAnsi="Wingdings" w:hint="default"/>
      </w:rPr>
    </w:lvl>
    <w:lvl w:ilvl="3" w:tplc="6CCAFE96" w:tentative="1">
      <w:start w:val="1"/>
      <w:numFmt w:val="bullet"/>
      <w:lvlText w:val=""/>
      <w:lvlJc w:val="left"/>
      <w:pPr>
        <w:ind w:left="2880" w:hanging="360"/>
      </w:pPr>
      <w:rPr>
        <w:rFonts w:ascii="Symbol" w:hAnsi="Symbol" w:hint="default"/>
      </w:rPr>
    </w:lvl>
    <w:lvl w:ilvl="4" w:tplc="6980AF8A" w:tentative="1">
      <w:start w:val="1"/>
      <w:numFmt w:val="bullet"/>
      <w:lvlText w:val="o"/>
      <w:lvlJc w:val="left"/>
      <w:pPr>
        <w:ind w:left="3600" w:hanging="360"/>
      </w:pPr>
      <w:rPr>
        <w:rFonts w:ascii="Courier New" w:hAnsi="Courier New" w:cs="Courier New" w:hint="default"/>
      </w:rPr>
    </w:lvl>
    <w:lvl w:ilvl="5" w:tplc="D2EC59E2" w:tentative="1">
      <w:start w:val="1"/>
      <w:numFmt w:val="bullet"/>
      <w:lvlText w:val=""/>
      <w:lvlJc w:val="left"/>
      <w:pPr>
        <w:ind w:left="4320" w:hanging="360"/>
      </w:pPr>
      <w:rPr>
        <w:rFonts w:ascii="Wingdings" w:hAnsi="Wingdings" w:hint="default"/>
      </w:rPr>
    </w:lvl>
    <w:lvl w:ilvl="6" w:tplc="9C504774" w:tentative="1">
      <w:start w:val="1"/>
      <w:numFmt w:val="bullet"/>
      <w:lvlText w:val=""/>
      <w:lvlJc w:val="left"/>
      <w:pPr>
        <w:ind w:left="5040" w:hanging="360"/>
      </w:pPr>
      <w:rPr>
        <w:rFonts w:ascii="Symbol" w:hAnsi="Symbol" w:hint="default"/>
      </w:rPr>
    </w:lvl>
    <w:lvl w:ilvl="7" w:tplc="97703042" w:tentative="1">
      <w:start w:val="1"/>
      <w:numFmt w:val="bullet"/>
      <w:lvlText w:val="o"/>
      <w:lvlJc w:val="left"/>
      <w:pPr>
        <w:ind w:left="5760" w:hanging="360"/>
      </w:pPr>
      <w:rPr>
        <w:rFonts w:ascii="Courier New" w:hAnsi="Courier New" w:cs="Courier New" w:hint="default"/>
      </w:rPr>
    </w:lvl>
    <w:lvl w:ilvl="8" w:tplc="D07E1814" w:tentative="1">
      <w:start w:val="1"/>
      <w:numFmt w:val="bullet"/>
      <w:lvlText w:val=""/>
      <w:lvlJc w:val="left"/>
      <w:pPr>
        <w:ind w:left="6480" w:hanging="360"/>
      </w:pPr>
      <w:rPr>
        <w:rFonts w:ascii="Wingdings" w:hAnsi="Wingdings" w:hint="default"/>
      </w:rPr>
    </w:lvl>
  </w:abstractNum>
  <w:abstractNum w:abstractNumId="12" w15:restartNumberingAfterBreak="0">
    <w:nsid w:val="224E52B0"/>
    <w:multiLevelType w:val="hybridMultilevel"/>
    <w:tmpl w:val="483443B8"/>
    <w:lvl w:ilvl="0" w:tplc="217604E2">
      <w:start w:val="3"/>
      <w:numFmt w:val="bullet"/>
      <w:lvlText w:val=""/>
      <w:lvlJc w:val="left"/>
      <w:pPr>
        <w:ind w:left="720" w:hanging="360"/>
      </w:pPr>
      <w:rPr>
        <w:rFonts w:ascii="Symbol" w:eastAsia="Times New Roman" w:hAnsi="Symbol" w:cs="Times New Roman" w:hint="default"/>
      </w:rPr>
    </w:lvl>
    <w:lvl w:ilvl="1" w:tplc="96B88EEA" w:tentative="1">
      <w:start w:val="1"/>
      <w:numFmt w:val="bullet"/>
      <w:lvlText w:val="o"/>
      <w:lvlJc w:val="left"/>
      <w:pPr>
        <w:ind w:left="1440" w:hanging="360"/>
      </w:pPr>
      <w:rPr>
        <w:rFonts w:ascii="Courier New" w:hAnsi="Courier New" w:cs="Courier New" w:hint="default"/>
      </w:rPr>
    </w:lvl>
    <w:lvl w:ilvl="2" w:tplc="4442EBE0" w:tentative="1">
      <w:start w:val="1"/>
      <w:numFmt w:val="bullet"/>
      <w:lvlText w:val=""/>
      <w:lvlJc w:val="left"/>
      <w:pPr>
        <w:ind w:left="2160" w:hanging="360"/>
      </w:pPr>
      <w:rPr>
        <w:rFonts w:ascii="Wingdings" w:hAnsi="Wingdings" w:hint="default"/>
      </w:rPr>
    </w:lvl>
    <w:lvl w:ilvl="3" w:tplc="86784026" w:tentative="1">
      <w:start w:val="1"/>
      <w:numFmt w:val="bullet"/>
      <w:lvlText w:val=""/>
      <w:lvlJc w:val="left"/>
      <w:pPr>
        <w:ind w:left="2880" w:hanging="360"/>
      </w:pPr>
      <w:rPr>
        <w:rFonts w:ascii="Symbol" w:hAnsi="Symbol" w:hint="default"/>
      </w:rPr>
    </w:lvl>
    <w:lvl w:ilvl="4" w:tplc="4F4EECEC" w:tentative="1">
      <w:start w:val="1"/>
      <w:numFmt w:val="bullet"/>
      <w:lvlText w:val="o"/>
      <w:lvlJc w:val="left"/>
      <w:pPr>
        <w:ind w:left="3600" w:hanging="360"/>
      </w:pPr>
      <w:rPr>
        <w:rFonts w:ascii="Courier New" w:hAnsi="Courier New" w:cs="Courier New" w:hint="default"/>
      </w:rPr>
    </w:lvl>
    <w:lvl w:ilvl="5" w:tplc="CF987D42" w:tentative="1">
      <w:start w:val="1"/>
      <w:numFmt w:val="bullet"/>
      <w:lvlText w:val=""/>
      <w:lvlJc w:val="left"/>
      <w:pPr>
        <w:ind w:left="4320" w:hanging="360"/>
      </w:pPr>
      <w:rPr>
        <w:rFonts w:ascii="Wingdings" w:hAnsi="Wingdings" w:hint="default"/>
      </w:rPr>
    </w:lvl>
    <w:lvl w:ilvl="6" w:tplc="ADB45934" w:tentative="1">
      <w:start w:val="1"/>
      <w:numFmt w:val="bullet"/>
      <w:lvlText w:val=""/>
      <w:lvlJc w:val="left"/>
      <w:pPr>
        <w:ind w:left="5040" w:hanging="360"/>
      </w:pPr>
      <w:rPr>
        <w:rFonts w:ascii="Symbol" w:hAnsi="Symbol" w:hint="default"/>
      </w:rPr>
    </w:lvl>
    <w:lvl w:ilvl="7" w:tplc="740A4762" w:tentative="1">
      <w:start w:val="1"/>
      <w:numFmt w:val="bullet"/>
      <w:lvlText w:val="o"/>
      <w:lvlJc w:val="left"/>
      <w:pPr>
        <w:ind w:left="5760" w:hanging="360"/>
      </w:pPr>
      <w:rPr>
        <w:rFonts w:ascii="Courier New" w:hAnsi="Courier New" w:cs="Courier New" w:hint="default"/>
      </w:rPr>
    </w:lvl>
    <w:lvl w:ilvl="8" w:tplc="CB08823E" w:tentative="1">
      <w:start w:val="1"/>
      <w:numFmt w:val="bullet"/>
      <w:lvlText w:val=""/>
      <w:lvlJc w:val="left"/>
      <w:pPr>
        <w:ind w:left="6480" w:hanging="360"/>
      </w:pPr>
      <w:rPr>
        <w:rFonts w:ascii="Wingdings" w:hAnsi="Wingdings" w:hint="default"/>
      </w:rPr>
    </w:lvl>
  </w:abstractNum>
  <w:abstractNum w:abstractNumId="13" w15:restartNumberingAfterBreak="0">
    <w:nsid w:val="28BB52DE"/>
    <w:multiLevelType w:val="multilevel"/>
    <w:tmpl w:val="280CB72A"/>
    <w:lvl w:ilvl="0">
      <w:start w:val="1"/>
      <w:numFmt w:val="decimal"/>
      <w:pStyle w:val="Paragraphe"/>
      <w:lvlText w:val="[%1]"/>
      <w:lvlJc w:val="left"/>
      <w:pPr>
        <w:tabs>
          <w:tab w:val="num" w:pos="720"/>
        </w:tabs>
        <w:ind w:left="0" w:firstLine="0"/>
      </w:pPr>
      <w:rPr>
        <w:rFonts w:hint="default"/>
        <w:b w:val="0"/>
        <w:bCs w:val="0"/>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005744867">
    <w:abstractNumId w:val="15"/>
  </w:num>
  <w:num w:numId="2" w16cid:durableId="2126729408">
    <w:abstractNumId w:val="15"/>
  </w:num>
  <w:num w:numId="3" w16cid:durableId="1932200708">
    <w:abstractNumId w:val="15"/>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5"/>
  </w:num>
  <w:num w:numId="15" w16cid:durableId="1382091185">
    <w:abstractNumId w:val="15"/>
  </w:num>
  <w:num w:numId="16" w16cid:durableId="1993637402">
    <w:abstractNumId w:val="15"/>
  </w:num>
  <w:num w:numId="17" w16cid:durableId="1263806435">
    <w:abstractNumId w:val="14"/>
  </w:num>
  <w:num w:numId="18" w16cid:durableId="43604593">
    <w:abstractNumId w:val="13"/>
  </w:num>
  <w:num w:numId="19" w16cid:durableId="444420815">
    <w:abstractNumId w:val="12"/>
  </w:num>
  <w:num w:numId="20" w16cid:durableId="666446182">
    <w:abstractNumId w:val="11"/>
  </w:num>
  <w:num w:numId="21" w16cid:durableId="1078213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U JUGE"/>
    <w:docVar w:name="MotifJuge3" w:val="MOTIFS DE LA JUGE"/>
    <w:docVar w:name="NomFamJuge1" w:val="SCHRAGER"/>
    <w:docVar w:name="NomFamJuge2" w:val="RUEL"/>
    <w:docVar w:name="NomFamJuge3" w:val="COTNAM"/>
    <w:docVar w:name="NomFamJuge4" w:val="MAILHOT"/>
    <w:docVar w:name="NomFamJuge5" w:val="BAUDOUIN"/>
    <w:docVar w:name="QteJuge1" w:val=", J.C.A."/>
    <w:docVar w:name="QteJuge2" w:val=", J.C.A."/>
    <w:docVar w:name="QteJuge3" w:val=", J.C.A."/>
    <w:docVar w:name="stPremiereFois" w:val="Non"/>
  </w:docVars>
  <w:rsids>
    <w:rsidRoot w:val="0048453D"/>
    <w:rsid w:val="00004500"/>
    <w:rsid w:val="000131E1"/>
    <w:rsid w:val="00035EEB"/>
    <w:rsid w:val="0004394C"/>
    <w:rsid w:val="00043F4F"/>
    <w:rsid w:val="00047CB2"/>
    <w:rsid w:val="00053691"/>
    <w:rsid w:val="00056622"/>
    <w:rsid w:val="00060D10"/>
    <w:rsid w:val="000621BF"/>
    <w:rsid w:val="0006726A"/>
    <w:rsid w:val="00076CA5"/>
    <w:rsid w:val="000834B3"/>
    <w:rsid w:val="000857FC"/>
    <w:rsid w:val="0009191A"/>
    <w:rsid w:val="00097905"/>
    <w:rsid w:val="000A306F"/>
    <w:rsid w:val="000A608E"/>
    <w:rsid w:val="000A7516"/>
    <w:rsid w:val="000B42AF"/>
    <w:rsid w:val="000C06F0"/>
    <w:rsid w:val="000C26F5"/>
    <w:rsid w:val="000C3E0F"/>
    <w:rsid w:val="000C4336"/>
    <w:rsid w:val="000D2DEB"/>
    <w:rsid w:val="000D6371"/>
    <w:rsid w:val="000E158D"/>
    <w:rsid w:val="000E6A88"/>
    <w:rsid w:val="000E77A6"/>
    <w:rsid w:val="000F74FB"/>
    <w:rsid w:val="0010182E"/>
    <w:rsid w:val="001073D3"/>
    <w:rsid w:val="00110B53"/>
    <w:rsid w:val="00112321"/>
    <w:rsid w:val="00117914"/>
    <w:rsid w:val="001208E8"/>
    <w:rsid w:val="00121288"/>
    <w:rsid w:val="00121A06"/>
    <w:rsid w:val="001234C0"/>
    <w:rsid w:val="001251E2"/>
    <w:rsid w:val="00130006"/>
    <w:rsid w:val="0013028C"/>
    <w:rsid w:val="00143D23"/>
    <w:rsid w:val="00144863"/>
    <w:rsid w:val="00145125"/>
    <w:rsid w:val="00153772"/>
    <w:rsid w:val="0015610F"/>
    <w:rsid w:val="00160B31"/>
    <w:rsid w:val="00160F4C"/>
    <w:rsid w:val="00166430"/>
    <w:rsid w:val="00167284"/>
    <w:rsid w:val="00181F56"/>
    <w:rsid w:val="00183823"/>
    <w:rsid w:val="00184FA5"/>
    <w:rsid w:val="00190FA7"/>
    <w:rsid w:val="00191E33"/>
    <w:rsid w:val="00194ADF"/>
    <w:rsid w:val="001972F2"/>
    <w:rsid w:val="001B4CC9"/>
    <w:rsid w:val="001C00B2"/>
    <w:rsid w:val="001C193E"/>
    <w:rsid w:val="001E0A03"/>
    <w:rsid w:val="001E2444"/>
    <w:rsid w:val="001E2F5B"/>
    <w:rsid w:val="001E3AC3"/>
    <w:rsid w:val="001F04FA"/>
    <w:rsid w:val="001F0A89"/>
    <w:rsid w:val="001F0AC4"/>
    <w:rsid w:val="001F3DC3"/>
    <w:rsid w:val="001F607F"/>
    <w:rsid w:val="002001A0"/>
    <w:rsid w:val="00200337"/>
    <w:rsid w:val="00202DD4"/>
    <w:rsid w:val="00205DC4"/>
    <w:rsid w:val="00205FBA"/>
    <w:rsid w:val="00206B4F"/>
    <w:rsid w:val="00210777"/>
    <w:rsid w:val="00212105"/>
    <w:rsid w:val="002125BC"/>
    <w:rsid w:val="00214A5B"/>
    <w:rsid w:val="0021548E"/>
    <w:rsid w:val="00217834"/>
    <w:rsid w:val="002236B2"/>
    <w:rsid w:val="00223815"/>
    <w:rsid w:val="0022648D"/>
    <w:rsid w:val="002273F5"/>
    <w:rsid w:val="00227B4A"/>
    <w:rsid w:val="00231676"/>
    <w:rsid w:val="002350F4"/>
    <w:rsid w:val="00237C49"/>
    <w:rsid w:val="0024601E"/>
    <w:rsid w:val="002472ED"/>
    <w:rsid w:val="002475C8"/>
    <w:rsid w:val="002536A6"/>
    <w:rsid w:val="00256FC2"/>
    <w:rsid w:val="00261DC2"/>
    <w:rsid w:val="00274F99"/>
    <w:rsid w:val="00277D2E"/>
    <w:rsid w:val="00285D5E"/>
    <w:rsid w:val="00286E94"/>
    <w:rsid w:val="00296172"/>
    <w:rsid w:val="002A0068"/>
    <w:rsid w:val="002A5427"/>
    <w:rsid w:val="002B4A07"/>
    <w:rsid w:val="002B4B5A"/>
    <w:rsid w:val="002B54C0"/>
    <w:rsid w:val="002C032B"/>
    <w:rsid w:val="002C4107"/>
    <w:rsid w:val="002C4E21"/>
    <w:rsid w:val="002D46F2"/>
    <w:rsid w:val="002D6191"/>
    <w:rsid w:val="002D6A0E"/>
    <w:rsid w:val="002E1F0E"/>
    <w:rsid w:val="002E229C"/>
    <w:rsid w:val="002E51F1"/>
    <w:rsid w:val="002E7CA7"/>
    <w:rsid w:val="002F1350"/>
    <w:rsid w:val="002F236B"/>
    <w:rsid w:val="002F2EC8"/>
    <w:rsid w:val="002F3C48"/>
    <w:rsid w:val="002F6136"/>
    <w:rsid w:val="00300581"/>
    <w:rsid w:val="003041FF"/>
    <w:rsid w:val="00305B55"/>
    <w:rsid w:val="00316CA9"/>
    <w:rsid w:val="00317CB9"/>
    <w:rsid w:val="00322DE0"/>
    <w:rsid w:val="0032363D"/>
    <w:rsid w:val="0033190E"/>
    <w:rsid w:val="0034319A"/>
    <w:rsid w:val="0034600E"/>
    <w:rsid w:val="00347960"/>
    <w:rsid w:val="00350287"/>
    <w:rsid w:val="00356DCC"/>
    <w:rsid w:val="00357CE5"/>
    <w:rsid w:val="00361325"/>
    <w:rsid w:val="00372FFF"/>
    <w:rsid w:val="00374888"/>
    <w:rsid w:val="00374E40"/>
    <w:rsid w:val="00376133"/>
    <w:rsid w:val="003764F2"/>
    <w:rsid w:val="00380A4B"/>
    <w:rsid w:val="0038691B"/>
    <w:rsid w:val="00387F6B"/>
    <w:rsid w:val="00392E75"/>
    <w:rsid w:val="00395868"/>
    <w:rsid w:val="003A007E"/>
    <w:rsid w:val="003C15E8"/>
    <w:rsid w:val="003C4534"/>
    <w:rsid w:val="003C4CEE"/>
    <w:rsid w:val="003C7C89"/>
    <w:rsid w:val="003D01BE"/>
    <w:rsid w:val="003D487D"/>
    <w:rsid w:val="003D4D89"/>
    <w:rsid w:val="003E3239"/>
    <w:rsid w:val="003E3E3C"/>
    <w:rsid w:val="003E58C4"/>
    <w:rsid w:val="003E6DC8"/>
    <w:rsid w:val="003E72B9"/>
    <w:rsid w:val="0040434D"/>
    <w:rsid w:val="004228EB"/>
    <w:rsid w:val="00423179"/>
    <w:rsid w:val="00423DF1"/>
    <w:rsid w:val="00430C58"/>
    <w:rsid w:val="00431189"/>
    <w:rsid w:val="00432C56"/>
    <w:rsid w:val="004331C4"/>
    <w:rsid w:val="004351B0"/>
    <w:rsid w:val="0043564D"/>
    <w:rsid w:val="004401FB"/>
    <w:rsid w:val="0044075A"/>
    <w:rsid w:val="00441C25"/>
    <w:rsid w:val="00446452"/>
    <w:rsid w:val="00447FE5"/>
    <w:rsid w:val="00460AD1"/>
    <w:rsid w:val="00472DC8"/>
    <w:rsid w:val="0047421C"/>
    <w:rsid w:val="004754B5"/>
    <w:rsid w:val="004802EC"/>
    <w:rsid w:val="00482BB5"/>
    <w:rsid w:val="004830E6"/>
    <w:rsid w:val="0048453D"/>
    <w:rsid w:val="004963F5"/>
    <w:rsid w:val="004A29F1"/>
    <w:rsid w:val="004A6641"/>
    <w:rsid w:val="004B1E94"/>
    <w:rsid w:val="004B33FF"/>
    <w:rsid w:val="004C29BB"/>
    <w:rsid w:val="004D1911"/>
    <w:rsid w:val="004D2F69"/>
    <w:rsid w:val="004D46BE"/>
    <w:rsid w:val="004D4798"/>
    <w:rsid w:val="004D5928"/>
    <w:rsid w:val="004D629F"/>
    <w:rsid w:val="004E3337"/>
    <w:rsid w:val="004E4F88"/>
    <w:rsid w:val="004E4FBA"/>
    <w:rsid w:val="004F6660"/>
    <w:rsid w:val="005116E2"/>
    <w:rsid w:val="005131F1"/>
    <w:rsid w:val="0051484F"/>
    <w:rsid w:val="00515308"/>
    <w:rsid w:val="00515CC4"/>
    <w:rsid w:val="00516B3E"/>
    <w:rsid w:val="0052553A"/>
    <w:rsid w:val="005262C9"/>
    <w:rsid w:val="00531D70"/>
    <w:rsid w:val="0054216D"/>
    <w:rsid w:val="00546BD9"/>
    <w:rsid w:val="00553740"/>
    <w:rsid w:val="00557ED6"/>
    <w:rsid w:val="00560CF9"/>
    <w:rsid w:val="00564248"/>
    <w:rsid w:val="00566BF6"/>
    <w:rsid w:val="00583434"/>
    <w:rsid w:val="0058349F"/>
    <w:rsid w:val="00583FC1"/>
    <w:rsid w:val="00586936"/>
    <w:rsid w:val="00586D3D"/>
    <w:rsid w:val="0058719C"/>
    <w:rsid w:val="00597415"/>
    <w:rsid w:val="005A78BF"/>
    <w:rsid w:val="005B072D"/>
    <w:rsid w:val="005B2BF6"/>
    <w:rsid w:val="005B6B4C"/>
    <w:rsid w:val="005C4B3D"/>
    <w:rsid w:val="005C7516"/>
    <w:rsid w:val="005D1522"/>
    <w:rsid w:val="005D2703"/>
    <w:rsid w:val="005E0B61"/>
    <w:rsid w:val="005E320D"/>
    <w:rsid w:val="005F3699"/>
    <w:rsid w:val="005F5F5F"/>
    <w:rsid w:val="005F6C5D"/>
    <w:rsid w:val="0060038C"/>
    <w:rsid w:val="0060369B"/>
    <w:rsid w:val="006048D8"/>
    <w:rsid w:val="006076B5"/>
    <w:rsid w:val="00610785"/>
    <w:rsid w:val="006224A7"/>
    <w:rsid w:val="00624770"/>
    <w:rsid w:val="00632F39"/>
    <w:rsid w:val="0064250B"/>
    <w:rsid w:val="00644D2C"/>
    <w:rsid w:val="00646A5C"/>
    <w:rsid w:val="00656B2C"/>
    <w:rsid w:val="00665CB5"/>
    <w:rsid w:val="0067147C"/>
    <w:rsid w:val="00671D6F"/>
    <w:rsid w:val="00673A64"/>
    <w:rsid w:val="00673BD4"/>
    <w:rsid w:val="00674A4F"/>
    <w:rsid w:val="006826AA"/>
    <w:rsid w:val="0068356A"/>
    <w:rsid w:val="006850DF"/>
    <w:rsid w:val="00693B44"/>
    <w:rsid w:val="0069447E"/>
    <w:rsid w:val="006974F9"/>
    <w:rsid w:val="006A0DB0"/>
    <w:rsid w:val="006A128B"/>
    <w:rsid w:val="006A54A6"/>
    <w:rsid w:val="006A5DE5"/>
    <w:rsid w:val="006A6629"/>
    <w:rsid w:val="006A6CAD"/>
    <w:rsid w:val="006B17C9"/>
    <w:rsid w:val="006B6E6E"/>
    <w:rsid w:val="006C09CA"/>
    <w:rsid w:val="006C3DDF"/>
    <w:rsid w:val="006D4B37"/>
    <w:rsid w:val="006D5BDA"/>
    <w:rsid w:val="006F1276"/>
    <w:rsid w:val="007215A5"/>
    <w:rsid w:val="007315C7"/>
    <w:rsid w:val="00733A12"/>
    <w:rsid w:val="0074003D"/>
    <w:rsid w:val="00740A17"/>
    <w:rsid w:val="007462D6"/>
    <w:rsid w:val="0074738B"/>
    <w:rsid w:val="00752673"/>
    <w:rsid w:val="0076062E"/>
    <w:rsid w:val="007614BB"/>
    <w:rsid w:val="00762FA5"/>
    <w:rsid w:val="00763AF0"/>
    <w:rsid w:val="00767AF1"/>
    <w:rsid w:val="00770E81"/>
    <w:rsid w:val="00773F72"/>
    <w:rsid w:val="00776E8D"/>
    <w:rsid w:val="0078545F"/>
    <w:rsid w:val="0078669F"/>
    <w:rsid w:val="007901CC"/>
    <w:rsid w:val="007953F3"/>
    <w:rsid w:val="007959A7"/>
    <w:rsid w:val="007A7803"/>
    <w:rsid w:val="007B061E"/>
    <w:rsid w:val="007B48D5"/>
    <w:rsid w:val="007B59A3"/>
    <w:rsid w:val="007C18B5"/>
    <w:rsid w:val="007D087C"/>
    <w:rsid w:val="007D7A4E"/>
    <w:rsid w:val="007E33E4"/>
    <w:rsid w:val="007E4CC9"/>
    <w:rsid w:val="007F00A1"/>
    <w:rsid w:val="007F3117"/>
    <w:rsid w:val="007F40FD"/>
    <w:rsid w:val="007F56BF"/>
    <w:rsid w:val="00800D23"/>
    <w:rsid w:val="00805A13"/>
    <w:rsid w:val="00812BB5"/>
    <w:rsid w:val="008134D9"/>
    <w:rsid w:val="00815D67"/>
    <w:rsid w:val="00816273"/>
    <w:rsid w:val="00817F2E"/>
    <w:rsid w:val="00825A69"/>
    <w:rsid w:val="00826130"/>
    <w:rsid w:val="0082717B"/>
    <w:rsid w:val="00827B04"/>
    <w:rsid w:val="0083032E"/>
    <w:rsid w:val="0083473C"/>
    <w:rsid w:val="00841907"/>
    <w:rsid w:val="00845CA7"/>
    <w:rsid w:val="008522FE"/>
    <w:rsid w:val="0086036A"/>
    <w:rsid w:val="008653A3"/>
    <w:rsid w:val="008657A2"/>
    <w:rsid w:val="00866645"/>
    <w:rsid w:val="0087275A"/>
    <w:rsid w:val="008735BA"/>
    <w:rsid w:val="008756A6"/>
    <w:rsid w:val="008803FF"/>
    <w:rsid w:val="00882210"/>
    <w:rsid w:val="0088673E"/>
    <w:rsid w:val="00886FC2"/>
    <w:rsid w:val="00891A1C"/>
    <w:rsid w:val="008949AD"/>
    <w:rsid w:val="008A4320"/>
    <w:rsid w:val="008A6185"/>
    <w:rsid w:val="008B2CB8"/>
    <w:rsid w:val="008C1FE9"/>
    <w:rsid w:val="008C7DCE"/>
    <w:rsid w:val="008D18FC"/>
    <w:rsid w:val="008D398B"/>
    <w:rsid w:val="008D7E49"/>
    <w:rsid w:val="008E5E9D"/>
    <w:rsid w:val="008F364A"/>
    <w:rsid w:val="008F3F53"/>
    <w:rsid w:val="008F4D08"/>
    <w:rsid w:val="00913255"/>
    <w:rsid w:val="00913E03"/>
    <w:rsid w:val="00915D2E"/>
    <w:rsid w:val="00916FF7"/>
    <w:rsid w:val="009229E9"/>
    <w:rsid w:val="00922FC1"/>
    <w:rsid w:val="00926953"/>
    <w:rsid w:val="00932703"/>
    <w:rsid w:val="00933AAA"/>
    <w:rsid w:val="00933DFC"/>
    <w:rsid w:val="00936469"/>
    <w:rsid w:val="009400B7"/>
    <w:rsid w:val="009451C9"/>
    <w:rsid w:val="00946D67"/>
    <w:rsid w:val="00952574"/>
    <w:rsid w:val="00954132"/>
    <w:rsid w:val="00954C74"/>
    <w:rsid w:val="00954DC2"/>
    <w:rsid w:val="00957B92"/>
    <w:rsid w:val="00970966"/>
    <w:rsid w:val="00974442"/>
    <w:rsid w:val="00982374"/>
    <w:rsid w:val="00982CB8"/>
    <w:rsid w:val="00986EB6"/>
    <w:rsid w:val="0099054D"/>
    <w:rsid w:val="00990DD2"/>
    <w:rsid w:val="00992A63"/>
    <w:rsid w:val="00995B9A"/>
    <w:rsid w:val="00997777"/>
    <w:rsid w:val="009A6B4B"/>
    <w:rsid w:val="009B1E1F"/>
    <w:rsid w:val="009B7999"/>
    <w:rsid w:val="009D0860"/>
    <w:rsid w:val="009D1887"/>
    <w:rsid w:val="009D3B51"/>
    <w:rsid w:val="009E5B11"/>
    <w:rsid w:val="009F1327"/>
    <w:rsid w:val="009F1F69"/>
    <w:rsid w:val="009F6683"/>
    <w:rsid w:val="00A146C9"/>
    <w:rsid w:val="00A147F4"/>
    <w:rsid w:val="00A17A95"/>
    <w:rsid w:val="00A23BF4"/>
    <w:rsid w:val="00A2593B"/>
    <w:rsid w:val="00A325C8"/>
    <w:rsid w:val="00A33F12"/>
    <w:rsid w:val="00A34E05"/>
    <w:rsid w:val="00A43D8B"/>
    <w:rsid w:val="00A44A90"/>
    <w:rsid w:val="00A454F1"/>
    <w:rsid w:val="00A45DA6"/>
    <w:rsid w:val="00A543CC"/>
    <w:rsid w:val="00A65B46"/>
    <w:rsid w:val="00A65E13"/>
    <w:rsid w:val="00A72F95"/>
    <w:rsid w:val="00A76F48"/>
    <w:rsid w:val="00A855B4"/>
    <w:rsid w:val="00A86A1E"/>
    <w:rsid w:val="00A93CFF"/>
    <w:rsid w:val="00AA49EE"/>
    <w:rsid w:val="00AB05EA"/>
    <w:rsid w:val="00AB2D36"/>
    <w:rsid w:val="00AB7DD2"/>
    <w:rsid w:val="00AC240D"/>
    <w:rsid w:val="00AC3624"/>
    <w:rsid w:val="00AD42EF"/>
    <w:rsid w:val="00AE1B6D"/>
    <w:rsid w:val="00AE32B1"/>
    <w:rsid w:val="00AE3583"/>
    <w:rsid w:val="00AF0C7C"/>
    <w:rsid w:val="00AF5AC3"/>
    <w:rsid w:val="00AF7DCE"/>
    <w:rsid w:val="00B008F1"/>
    <w:rsid w:val="00B01D86"/>
    <w:rsid w:val="00B01F29"/>
    <w:rsid w:val="00B03730"/>
    <w:rsid w:val="00B03875"/>
    <w:rsid w:val="00B07E4E"/>
    <w:rsid w:val="00B11FD1"/>
    <w:rsid w:val="00B12404"/>
    <w:rsid w:val="00B137E9"/>
    <w:rsid w:val="00B1715F"/>
    <w:rsid w:val="00B22213"/>
    <w:rsid w:val="00B24627"/>
    <w:rsid w:val="00B278C1"/>
    <w:rsid w:val="00B30EA2"/>
    <w:rsid w:val="00B36ED3"/>
    <w:rsid w:val="00B513C9"/>
    <w:rsid w:val="00B56EF4"/>
    <w:rsid w:val="00B606F7"/>
    <w:rsid w:val="00B612BC"/>
    <w:rsid w:val="00B626BA"/>
    <w:rsid w:val="00B63D3B"/>
    <w:rsid w:val="00B66CFF"/>
    <w:rsid w:val="00B70485"/>
    <w:rsid w:val="00B7656F"/>
    <w:rsid w:val="00B829B0"/>
    <w:rsid w:val="00B82A13"/>
    <w:rsid w:val="00B84E51"/>
    <w:rsid w:val="00B903F7"/>
    <w:rsid w:val="00B92395"/>
    <w:rsid w:val="00B92642"/>
    <w:rsid w:val="00B94277"/>
    <w:rsid w:val="00BA55FF"/>
    <w:rsid w:val="00BA6D2A"/>
    <w:rsid w:val="00BB3299"/>
    <w:rsid w:val="00BB722C"/>
    <w:rsid w:val="00BC751D"/>
    <w:rsid w:val="00BD0F9C"/>
    <w:rsid w:val="00BD758D"/>
    <w:rsid w:val="00BF111E"/>
    <w:rsid w:val="00C02AF8"/>
    <w:rsid w:val="00C03D0C"/>
    <w:rsid w:val="00C041F3"/>
    <w:rsid w:val="00C05348"/>
    <w:rsid w:val="00C1143A"/>
    <w:rsid w:val="00C17E01"/>
    <w:rsid w:val="00C21C1D"/>
    <w:rsid w:val="00C21EAD"/>
    <w:rsid w:val="00C2212F"/>
    <w:rsid w:val="00C23B7C"/>
    <w:rsid w:val="00C31AC4"/>
    <w:rsid w:val="00C359BD"/>
    <w:rsid w:val="00C409BE"/>
    <w:rsid w:val="00C423CA"/>
    <w:rsid w:val="00C47520"/>
    <w:rsid w:val="00C50556"/>
    <w:rsid w:val="00C520FD"/>
    <w:rsid w:val="00C617C6"/>
    <w:rsid w:val="00C652ED"/>
    <w:rsid w:val="00C66D8B"/>
    <w:rsid w:val="00C7793C"/>
    <w:rsid w:val="00C81936"/>
    <w:rsid w:val="00C867B3"/>
    <w:rsid w:val="00C92CE1"/>
    <w:rsid w:val="00C939A8"/>
    <w:rsid w:val="00C97145"/>
    <w:rsid w:val="00CA69D6"/>
    <w:rsid w:val="00CB158B"/>
    <w:rsid w:val="00CB28AF"/>
    <w:rsid w:val="00CB7813"/>
    <w:rsid w:val="00CB7882"/>
    <w:rsid w:val="00CC27DA"/>
    <w:rsid w:val="00CC6ADA"/>
    <w:rsid w:val="00CD212D"/>
    <w:rsid w:val="00CD6218"/>
    <w:rsid w:val="00CD689C"/>
    <w:rsid w:val="00CE72C4"/>
    <w:rsid w:val="00D00E62"/>
    <w:rsid w:val="00D010FD"/>
    <w:rsid w:val="00D02812"/>
    <w:rsid w:val="00D05399"/>
    <w:rsid w:val="00D1282F"/>
    <w:rsid w:val="00D16E52"/>
    <w:rsid w:val="00D20056"/>
    <w:rsid w:val="00D31E1E"/>
    <w:rsid w:val="00D37B39"/>
    <w:rsid w:val="00D37EF3"/>
    <w:rsid w:val="00D55B5F"/>
    <w:rsid w:val="00D64163"/>
    <w:rsid w:val="00D66B95"/>
    <w:rsid w:val="00D75FA9"/>
    <w:rsid w:val="00D85806"/>
    <w:rsid w:val="00DA02BB"/>
    <w:rsid w:val="00DA401A"/>
    <w:rsid w:val="00DA447D"/>
    <w:rsid w:val="00DB2119"/>
    <w:rsid w:val="00DB5155"/>
    <w:rsid w:val="00DC003F"/>
    <w:rsid w:val="00DC05BC"/>
    <w:rsid w:val="00DC696D"/>
    <w:rsid w:val="00DD07E4"/>
    <w:rsid w:val="00DD0CC1"/>
    <w:rsid w:val="00DD198A"/>
    <w:rsid w:val="00DD3A24"/>
    <w:rsid w:val="00DD4BAB"/>
    <w:rsid w:val="00DD68E2"/>
    <w:rsid w:val="00DD762E"/>
    <w:rsid w:val="00DE10D1"/>
    <w:rsid w:val="00DE5D9E"/>
    <w:rsid w:val="00DF3516"/>
    <w:rsid w:val="00E03083"/>
    <w:rsid w:val="00E03C07"/>
    <w:rsid w:val="00E11B9F"/>
    <w:rsid w:val="00E13EC9"/>
    <w:rsid w:val="00E1471E"/>
    <w:rsid w:val="00E20E3C"/>
    <w:rsid w:val="00E22B9C"/>
    <w:rsid w:val="00E241BF"/>
    <w:rsid w:val="00E26095"/>
    <w:rsid w:val="00E2619E"/>
    <w:rsid w:val="00E30176"/>
    <w:rsid w:val="00E31691"/>
    <w:rsid w:val="00E36290"/>
    <w:rsid w:val="00E426A5"/>
    <w:rsid w:val="00E429A3"/>
    <w:rsid w:val="00E44240"/>
    <w:rsid w:val="00E601E1"/>
    <w:rsid w:val="00E60D4D"/>
    <w:rsid w:val="00E61668"/>
    <w:rsid w:val="00E63024"/>
    <w:rsid w:val="00E6606D"/>
    <w:rsid w:val="00E71082"/>
    <w:rsid w:val="00E81E61"/>
    <w:rsid w:val="00E8303E"/>
    <w:rsid w:val="00E848B4"/>
    <w:rsid w:val="00E91417"/>
    <w:rsid w:val="00E94329"/>
    <w:rsid w:val="00EB1377"/>
    <w:rsid w:val="00EB34CF"/>
    <w:rsid w:val="00EC1E33"/>
    <w:rsid w:val="00EC4516"/>
    <w:rsid w:val="00ED743A"/>
    <w:rsid w:val="00EE1DF0"/>
    <w:rsid w:val="00F0639E"/>
    <w:rsid w:val="00F07022"/>
    <w:rsid w:val="00F1119E"/>
    <w:rsid w:val="00F12BF4"/>
    <w:rsid w:val="00F164D3"/>
    <w:rsid w:val="00F26635"/>
    <w:rsid w:val="00F274A8"/>
    <w:rsid w:val="00F3140E"/>
    <w:rsid w:val="00F33E30"/>
    <w:rsid w:val="00F35740"/>
    <w:rsid w:val="00F35A34"/>
    <w:rsid w:val="00F40882"/>
    <w:rsid w:val="00F4270D"/>
    <w:rsid w:val="00F43559"/>
    <w:rsid w:val="00F445F6"/>
    <w:rsid w:val="00F534CC"/>
    <w:rsid w:val="00F5789B"/>
    <w:rsid w:val="00F75AAB"/>
    <w:rsid w:val="00F75C76"/>
    <w:rsid w:val="00F7687C"/>
    <w:rsid w:val="00F903CA"/>
    <w:rsid w:val="00F96EE3"/>
    <w:rsid w:val="00F97B0C"/>
    <w:rsid w:val="00FA01E0"/>
    <w:rsid w:val="00FB27DE"/>
    <w:rsid w:val="00FB45EB"/>
    <w:rsid w:val="00FC720B"/>
    <w:rsid w:val="00FD098C"/>
    <w:rsid w:val="00FD1598"/>
    <w:rsid w:val="00FD630B"/>
    <w:rsid w:val="00FE3FE9"/>
    <w:rsid w:val="00FE60FE"/>
    <w:rsid w:val="00FE6A10"/>
    <w:rsid w:val="00FF722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03FA93"/>
  <w15:chartTrackingRefBased/>
  <w15:docId w15:val="{37C6853B-7AC3-435E-BFAA-274D2559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aliases w:val="(b) Titre 1"/>
    <w:basedOn w:val="Normal"/>
    <w:next w:val="Normal"/>
    <w:qFormat/>
    <w:rsid w:val="006D4B37"/>
    <w:pPr>
      <w:keepNext/>
      <w:numPr>
        <w:numId w:val="21"/>
      </w:numPr>
      <w:spacing w:before="120" w:after="240" w:line="240" w:lineRule="auto"/>
      <w:ind w:hanging="720"/>
      <w:outlineLvl w:val="0"/>
    </w:pPr>
    <w:rPr>
      <w:b/>
      <w:kern w:val="28"/>
      <w:sz w:val="28"/>
    </w:rPr>
  </w:style>
  <w:style w:type="paragraph" w:styleId="Titre2">
    <w:name w:val="heading 2"/>
    <w:aliases w:val="(b) Titre 2"/>
    <w:basedOn w:val="Normal"/>
    <w:next w:val="Normal"/>
    <w:qFormat/>
    <w:rsid w:val="006D4B37"/>
    <w:pPr>
      <w:keepNext/>
      <w:spacing w:before="240" w:after="60"/>
      <w:ind w:firstLine="720"/>
      <w:outlineLvl w:val="1"/>
    </w:pPr>
    <w:rPr>
      <w:b/>
      <w:i/>
    </w:rPr>
  </w:style>
  <w:style w:type="paragraph" w:styleId="Titre3">
    <w:name w:val="heading 3"/>
    <w:aliases w:val="(b) Titre 3"/>
    <w:basedOn w:val="Normal"/>
    <w:next w:val="Normal"/>
    <w:qFormat/>
    <w:pPr>
      <w:keepNext/>
      <w:spacing w:before="240" w:after="60"/>
      <w:outlineLvl w:val="2"/>
    </w:pPr>
  </w:style>
  <w:style w:type="paragraph" w:styleId="Titre4">
    <w:name w:val="heading 4"/>
    <w:aliases w:val="(b) Titre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semiHidden/>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uiPriority w:val="99"/>
    <w:semiHidden/>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paragraph" w:customStyle="1" w:styleId="aParagraphe">
    <w:name w:val="(a) Paragraphe"/>
    <w:basedOn w:val="Normal"/>
    <w:qFormat/>
    <w:rsid w:val="00CD689C"/>
    <w:pPr>
      <w:tabs>
        <w:tab w:val="num" w:pos="720"/>
      </w:tabs>
      <w:spacing w:before="120" w:after="120" w:line="360" w:lineRule="auto"/>
      <w:jc w:val="both"/>
    </w:pPr>
    <w:rPr>
      <w:kern w:val="28"/>
    </w:rPr>
  </w:style>
  <w:style w:type="character" w:styleId="Hyperlien">
    <w:name w:val="Hyperlink"/>
    <w:uiPriority w:val="99"/>
    <w:rsid w:val="00CD689C"/>
    <w:rPr>
      <w:noProof w:val="0"/>
      <w:color w:val="0000FF"/>
      <w:u w:val="single"/>
      <w:lang w:val="fr-CA"/>
    </w:rPr>
  </w:style>
  <w:style w:type="character" w:customStyle="1" w:styleId="NotedebasdepageCar">
    <w:name w:val="Note de bas de page Car"/>
    <w:basedOn w:val="Policepardfaut"/>
    <w:link w:val="Notedebasdepage"/>
    <w:semiHidden/>
    <w:rsid w:val="00CD689C"/>
    <w:rPr>
      <w:rFonts w:ascii="Arial" w:hAnsi="Arial"/>
      <w:lang w:eastAsia="fr-FR"/>
    </w:rPr>
  </w:style>
  <w:style w:type="paragraph" w:customStyle="1" w:styleId="cCitationdebase">
    <w:name w:val="(c) Citation de base"/>
    <w:basedOn w:val="Normal"/>
    <w:qFormat/>
    <w:rsid w:val="006D4B37"/>
    <w:pPr>
      <w:spacing w:before="120" w:after="120"/>
      <w:ind w:left="720" w:right="720"/>
      <w:jc w:val="both"/>
    </w:pPr>
    <w:rPr>
      <w:kern w:val="24"/>
      <w:sz w:val="22"/>
    </w:rPr>
  </w:style>
  <w:style w:type="character" w:styleId="Lienvisit">
    <w:name w:val="FollowedHyperlink"/>
    <w:basedOn w:val="Policepardfaut"/>
    <w:uiPriority w:val="99"/>
    <w:semiHidden/>
    <w:unhideWhenUsed/>
    <w:rsid w:val="006D4B37"/>
    <w:rPr>
      <w:color w:val="954F72" w:themeColor="followedHyperlink"/>
      <w:u w:val="single"/>
    </w:rPr>
  </w:style>
  <w:style w:type="character" w:styleId="Marquedecommentaire">
    <w:name w:val="annotation reference"/>
    <w:basedOn w:val="Policepardfaut"/>
    <w:uiPriority w:val="99"/>
    <w:semiHidden/>
    <w:unhideWhenUsed/>
    <w:rsid w:val="006D4B37"/>
    <w:rPr>
      <w:sz w:val="16"/>
      <w:szCs w:val="16"/>
    </w:rPr>
  </w:style>
  <w:style w:type="paragraph" w:styleId="Commentaire">
    <w:name w:val="annotation text"/>
    <w:basedOn w:val="Normal"/>
    <w:link w:val="CommentaireCar"/>
    <w:uiPriority w:val="99"/>
    <w:unhideWhenUsed/>
    <w:rsid w:val="006D4B37"/>
    <w:pPr>
      <w:spacing w:line="240" w:lineRule="auto"/>
    </w:pPr>
    <w:rPr>
      <w:sz w:val="20"/>
    </w:rPr>
  </w:style>
  <w:style w:type="character" w:customStyle="1" w:styleId="CommentaireCar">
    <w:name w:val="Commentaire Car"/>
    <w:basedOn w:val="Policepardfaut"/>
    <w:link w:val="Commentaire"/>
    <w:uiPriority w:val="99"/>
    <w:rsid w:val="006D4B37"/>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6D4B37"/>
    <w:rPr>
      <w:b/>
      <w:bCs/>
    </w:rPr>
  </w:style>
  <w:style w:type="character" w:customStyle="1" w:styleId="ObjetducommentaireCar">
    <w:name w:val="Objet du commentaire Car"/>
    <w:basedOn w:val="CommentaireCar"/>
    <w:link w:val="Objetducommentaire"/>
    <w:uiPriority w:val="99"/>
    <w:semiHidden/>
    <w:rsid w:val="006D4B37"/>
    <w:rPr>
      <w:rFonts w:ascii="Arial" w:hAnsi="Arial"/>
      <w:b/>
      <w:bCs/>
      <w:lang w:eastAsia="fr-FR"/>
    </w:rPr>
  </w:style>
  <w:style w:type="character" w:styleId="Mentionnonrsolue">
    <w:name w:val="Unresolved Mention"/>
    <w:basedOn w:val="Policepardfaut"/>
    <w:uiPriority w:val="99"/>
    <w:semiHidden/>
    <w:unhideWhenUsed/>
    <w:rsid w:val="006D4B37"/>
    <w:rPr>
      <w:color w:val="605E5C"/>
      <w:shd w:val="clear" w:color="auto" w:fill="E1DFDD"/>
    </w:rPr>
  </w:style>
  <w:style w:type="paragraph" w:styleId="Rvision">
    <w:name w:val="Revision"/>
    <w:hidden/>
    <w:uiPriority w:val="99"/>
    <w:semiHidden/>
    <w:rsid w:val="00286E94"/>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2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7020</Words>
  <Characters>37272</Characters>
  <Application>Microsoft Office Word</Application>
  <DocSecurity>4</DocSecurity>
  <Lines>310</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Boisvert, Annie</dc:creator>
  <cp:lastModifiedBy>Traduction</cp:lastModifiedBy>
  <cp:revision>2</cp:revision>
  <cp:lastPrinted>2026-05-08T15:23:00Z</cp:lastPrinted>
  <dcterms:created xsi:type="dcterms:W3CDTF">2026-05-11T14:29:00Z</dcterms:created>
  <dcterms:modified xsi:type="dcterms:W3CDTF">2026-05-11T14:29:00Z</dcterms:modified>
</cp:coreProperties>
</file>