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EE69" w14:textId="77777777" w:rsidR="006A726F" w:rsidRDefault="006A726F" w:rsidP="006A726F">
      <w:pPr>
        <w:pStyle w:val="En-tte"/>
        <w:spacing w:line="240" w:lineRule="auto"/>
        <w:rPr>
          <w:rFonts w:cs="Arial"/>
          <w:b/>
          <w:szCs w:val="24"/>
          <w:lang w:val="en-CA"/>
        </w:rPr>
      </w:pPr>
      <w:r w:rsidRPr="00D64FCD">
        <w:rPr>
          <w:rFonts w:cs="Arial"/>
          <w:b/>
          <w:szCs w:val="24"/>
          <w:lang w:val="en-CA"/>
        </w:rPr>
        <w:t>English translation of the</w:t>
      </w:r>
      <w:r>
        <w:rPr>
          <w:rFonts w:cs="Arial"/>
          <w:b/>
          <w:szCs w:val="24"/>
          <w:lang w:val="en-CA"/>
        </w:rPr>
        <w:t xml:space="preserve"> </w:t>
      </w:r>
      <w:r w:rsidRPr="00D64FCD">
        <w:rPr>
          <w:rFonts w:cs="Arial"/>
          <w:b/>
          <w:szCs w:val="24"/>
          <w:lang w:val="en-CA"/>
        </w:rPr>
        <w:t>judgment</w:t>
      </w:r>
      <w:r>
        <w:rPr>
          <w:rFonts w:cs="Arial"/>
          <w:b/>
          <w:szCs w:val="24"/>
          <w:lang w:val="en-CA"/>
        </w:rPr>
        <w:t xml:space="preserve"> </w:t>
      </w:r>
      <w:r w:rsidRPr="00D64FCD">
        <w:rPr>
          <w:rFonts w:cs="Arial"/>
          <w:b/>
          <w:szCs w:val="24"/>
          <w:lang w:val="en-CA"/>
        </w:rPr>
        <w:t>of the Court by SOQUIJ</w:t>
      </w:r>
    </w:p>
    <w:p w14:paraId="6811866A" w14:textId="77777777" w:rsidR="00A43497" w:rsidRPr="00C533A5" w:rsidRDefault="00A43497" w:rsidP="006A726F">
      <w:pPr>
        <w:pStyle w:val="En-tte"/>
        <w:spacing w:line="240" w:lineRule="auto"/>
        <w:rPr>
          <w:lang w:val="en-CA"/>
        </w:rPr>
      </w:pPr>
    </w:p>
    <w:tbl>
      <w:tblPr>
        <w:tblW w:w="9360" w:type="dxa"/>
        <w:tblLayout w:type="fixed"/>
        <w:tblCellMar>
          <w:left w:w="0" w:type="dxa"/>
          <w:right w:w="0" w:type="dxa"/>
        </w:tblCellMar>
        <w:tblLook w:val="0000" w:firstRow="0" w:lastRow="0" w:firstColumn="0" w:lastColumn="0" w:noHBand="0" w:noVBand="0"/>
      </w:tblPr>
      <w:tblGrid>
        <w:gridCol w:w="7372"/>
        <w:gridCol w:w="1988"/>
      </w:tblGrid>
      <w:tr w:rsidR="006A726F" w:rsidRPr="008F116B" w14:paraId="28366F28" w14:textId="77777777" w:rsidTr="00271879">
        <w:trPr>
          <w:trHeight w:val="248"/>
        </w:trPr>
        <w:tc>
          <w:tcPr>
            <w:tcW w:w="7372" w:type="dxa"/>
          </w:tcPr>
          <w:p w14:paraId="143C755A" w14:textId="77777777" w:rsidR="006A726F" w:rsidRPr="002F0F97" w:rsidRDefault="006A726F" w:rsidP="00271879">
            <w:pPr>
              <w:pStyle w:val="zSoquijdatRepertorie"/>
              <w:rPr>
                <w:rFonts w:cs="Arial"/>
              </w:rPr>
            </w:pPr>
            <w:r>
              <w:rPr>
                <w:rFonts w:cs="Arial"/>
              </w:rPr>
              <w:t xml:space="preserve">Procureur général du Québec c. </w:t>
            </w:r>
            <w:proofErr w:type="spellStart"/>
            <w:r>
              <w:rPr>
                <w:rFonts w:cs="Arial"/>
              </w:rPr>
              <w:t>Ortona</w:t>
            </w:r>
            <w:proofErr w:type="spellEnd"/>
          </w:p>
        </w:tc>
        <w:tc>
          <w:tcPr>
            <w:tcW w:w="1988" w:type="dxa"/>
          </w:tcPr>
          <w:p w14:paraId="6E6EB584" w14:textId="77777777" w:rsidR="006A726F" w:rsidRPr="008F116B" w:rsidRDefault="006A726F" w:rsidP="00271879">
            <w:pPr>
              <w:pStyle w:val="zSoquijdatRefNeutre"/>
              <w:jc w:val="right"/>
              <w:rPr>
                <w:rFonts w:cs="Arial"/>
              </w:rPr>
            </w:pPr>
            <w:r w:rsidRPr="008F116B">
              <w:rPr>
                <w:rFonts w:cs="Arial"/>
              </w:rPr>
              <w:t>2026 QCCA 267</w:t>
            </w:r>
          </w:p>
        </w:tc>
      </w:tr>
    </w:tbl>
    <w:p w14:paraId="0DBB877B" w14:textId="487C409C" w:rsidR="001309F1" w:rsidRPr="00D16016" w:rsidRDefault="001309F1" w:rsidP="00D16016">
      <w:pPr>
        <w:ind w:left="703" w:hanging="703"/>
        <w:rPr>
          <w:rFonts w:cs="Arial"/>
          <w:szCs w:val="24"/>
          <w:lang w:val="en-CA"/>
        </w:rPr>
      </w:pPr>
    </w:p>
    <w:tbl>
      <w:tblPr>
        <w:tblW w:w="9360" w:type="dxa"/>
        <w:tblLayout w:type="fixed"/>
        <w:tblCellMar>
          <w:left w:w="0" w:type="dxa"/>
          <w:right w:w="0" w:type="dxa"/>
        </w:tblCellMar>
        <w:tblLook w:val="0000" w:firstRow="0" w:lastRow="0" w:firstColumn="0" w:lastColumn="0" w:noHBand="0" w:noVBand="0"/>
      </w:tblPr>
      <w:tblGrid>
        <w:gridCol w:w="1030"/>
        <w:gridCol w:w="590"/>
        <w:gridCol w:w="2350"/>
        <w:gridCol w:w="5390"/>
      </w:tblGrid>
      <w:tr w:rsidR="002C2BF3" w:rsidRPr="00D64FCD" w14:paraId="549A9920" w14:textId="77777777" w:rsidTr="008D18FC">
        <w:trPr>
          <w:trHeight w:val="247"/>
        </w:trPr>
        <w:tc>
          <w:tcPr>
            <w:tcW w:w="9360" w:type="dxa"/>
            <w:gridSpan w:val="4"/>
          </w:tcPr>
          <w:p w14:paraId="16870369" w14:textId="77777777" w:rsidR="008F364A" w:rsidRPr="00D64FCD" w:rsidRDefault="00294345">
            <w:pPr>
              <w:pStyle w:val="zSoquijlblCour"/>
              <w:rPr>
                <w:lang w:val="en-CA"/>
              </w:rPr>
            </w:pPr>
            <w:r w:rsidRPr="00D64FCD">
              <w:rPr>
                <w:lang w:val="en-CA"/>
              </w:rPr>
              <w:t>COURT OF APPEAL</w:t>
            </w:r>
          </w:p>
        </w:tc>
      </w:tr>
      <w:tr w:rsidR="002C2BF3" w:rsidRPr="00D64FCD" w14:paraId="4A1CCDB5" w14:textId="77777777" w:rsidTr="008D18FC">
        <w:trPr>
          <w:trHeight w:val="540"/>
        </w:trPr>
        <w:tc>
          <w:tcPr>
            <w:tcW w:w="9360" w:type="dxa"/>
            <w:gridSpan w:val="4"/>
          </w:tcPr>
          <w:p w14:paraId="49F1537D" w14:textId="77777777" w:rsidR="008F364A" w:rsidRPr="00D64FCD" w:rsidRDefault="008F364A">
            <w:pPr>
              <w:pStyle w:val="zSoquijdatDivision"/>
              <w:rPr>
                <w:lang w:val="en-CA"/>
              </w:rPr>
            </w:pPr>
          </w:p>
        </w:tc>
      </w:tr>
      <w:tr w:rsidR="002C2BF3" w:rsidRPr="00D64FCD" w14:paraId="4F35FBA6" w14:textId="77777777" w:rsidTr="008D18FC">
        <w:tc>
          <w:tcPr>
            <w:tcW w:w="9360" w:type="dxa"/>
            <w:gridSpan w:val="4"/>
          </w:tcPr>
          <w:p w14:paraId="4E0C76CA" w14:textId="77777777" w:rsidR="008F364A" w:rsidRPr="00D64FCD" w:rsidRDefault="00294345">
            <w:pPr>
              <w:pStyle w:val="zSoquijlblPays"/>
              <w:rPr>
                <w:lang w:val="en-CA"/>
              </w:rPr>
            </w:pPr>
            <w:r w:rsidRPr="00D64FCD">
              <w:rPr>
                <w:lang w:val="en-CA"/>
              </w:rPr>
              <w:t>CANADA</w:t>
            </w:r>
          </w:p>
        </w:tc>
      </w:tr>
      <w:tr w:rsidR="002C2BF3" w:rsidRPr="00D64FCD" w14:paraId="61EBC3EC" w14:textId="77777777" w:rsidTr="008D18FC">
        <w:tc>
          <w:tcPr>
            <w:tcW w:w="9360" w:type="dxa"/>
            <w:gridSpan w:val="4"/>
          </w:tcPr>
          <w:p w14:paraId="4490BA36" w14:textId="77777777" w:rsidR="005F247F" w:rsidRPr="00D64FCD" w:rsidRDefault="00294345">
            <w:pPr>
              <w:pStyle w:val="zSoquijlblProvince"/>
              <w:rPr>
                <w:lang w:val="en-CA"/>
              </w:rPr>
            </w:pPr>
            <w:r w:rsidRPr="00D64FCD">
              <w:rPr>
                <w:lang w:val="en-CA"/>
              </w:rPr>
              <w:t>PROVINCE OF QUEBEC</w:t>
            </w:r>
          </w:p>
          <w:p w14:paraId="799A3802" w14:textId="77777777" w:rsidR="005F247F" w:rsidRPr="00D64FCD" w:rsidRDefault="00294345">
            <w:pPr>
              <w:pStyle w:val="zSoquijlblProvince"/>
              <w:rPr>
                <w:lang w:val="en-CA"/>
              </w:rPr>
            </w:pPr>
            <w:r w:rsidRPr="00D64FCD">
              <w:rPr>
                <w:lang w:val="en-CA"/>
              </w:rPr>
              <w:t>MONTREAL SEAT</w:t>
            </w:r>
          </w:p>
          <w:p w14:paraId="6503E818" w14:textId="1AF8C830" w:rsidR="005F247F" w:rsidRPr="00D64FCD" w:rsidRDefault="005F247F">
            <w:pPr>
              <w:pStyle w:val="zSoquijlblProvince"/>
              <w:rPr>
                <w:lang w:val="en-CA"/>
              </w:rPr>
            </w:pPr>
          </w:p>
        </w:tc>
      </w:tr>
      <w:tr w:rsidR="002C2BF3" w:rsidRPr="00D64FCD" w14:paraId="76000B85" w14:textId="77777777" w:rsidTr="008D18FC">
        <w:tc>
          <w:tcPr>
            <w:tcW w:w="1030" w:type="dxa"/>
          </w:tcPr>
          <w:p w14:paraId="17B95AB3" w14:textId="77777777" w:rsidR="008F364A" w:rsidRPr="00D64FCD" w:rsidRDefault="00294345">
            <w:pPr>
              <w:pStyle w:val="zSoquijlblNoDossier"/>
              <w:rPr>
                <w:lang w:val="en-CA"/>
              </w:rPr>
            </w:pPr>
            <w:r w:rsidRPr="00D64FCD">
              <w:rPr>
                <w:lang w:val="en-CA"/>
              </w:rPr>
              <w:t>Nos.:</w:t>
            </w:r>
          </w:p>
        </w:tc>
        <w:tc>
          <w:tcPr>
            <w:tcW w:w="8330" w:type="dxa"/>
            <w:gridSpan w:val="3"/>
          </w:tcPr>
          <w:p w14:paraId="3CD94385" w14:textId="1003A2C8" w:rsidR="008F364A" w:rsidRPr="00D64FCD" w:rsidRDefault="00294345">
            <w:pPr>
              <w:pStyle w:val="zSoquijdatNoDossier"/>
              <w:rPr>
                <w:lang w:val="en-CA"/>
              </w:rPr>
            </w:pPr>
            <w:bookmarkStart w:id="0" w:name="NoDossier"/>
            <w:r w:rsidRPr="00D64FCD">
              <w:rPr>
                <w:lang w:val="en-CA"/>
              </w:rPr>
              <w:t>500-09-031172-240</w:t>
            </w:r>
            <w:bookmarkEnd w:id="0"/>
          </w:p>
        </w:tc>
      </w:tr>
      <w:tr w:rsidR="002C2BF3" w:rsidRPr="00D64FCD" w14:paraId="2EEA2DB2" w14:textId="77777777" w:rsidTr="008D18FC">
        <w:tc>
          <w:tcPr>
            <w:tcW w:w="9360" w:type="dxa"/>
            <w:gridSpan w:val="4"/>
          </w:tcPr>
          <w:p w14:paraId="3192FDF1" w14:textId="6FEE2EA1" w:rsidR="00EB5D08" w:rsidRPr="00D64FCD" w:rsidRDefault="00294345" w:rsidP="00C533A5">
            <w:pPr>
              <w:pStyle w:val="zSoquijdatNoDossierAnt"/>
              <w:ind w:left="993"/>
              <w:rPr>
                <w:lang w:val="en-CA"/>
              </w:rPr>
            </w:pPr>
            <w:r w:rsidRPr="00D64FCD">
              <w:rPr>
                <w:lang w:val="en-CA"/>
              </w:rPr>
              <w:t>(500-17-121195-229) (500-17-121419-223) (500-17-122176-228)</w:t>
            </w:r>
          </w:p>
          <w:p w14:paraId="05587E19" w14:textId="5A149643" w:rsidR="00912BB4" w:rsidRPr="00D64FCD" w:rsidRDefault="00294345" w:rsidP="00C533A5">
            <w:pPr>
              <w:pStyle w:val="zSoquijdatNoDossierAnt"/>
              <w:ind w:left="993"/>
              <w:rPr>
                <w:lang w:val="en-CA"/>
              </w:rPr>
            </w:pPr>
            <w:r w:rsidRPr="00D64FCD">
              <w:rPr>
                <w:lang w:val="en-CA"/>
              </w:rPr>
              <w:t>(500-17-126959-231)</w:t>
            </w:r>
          </w:p>
        </w:tc>
      </w:tr>
      <w:tr w:rsidR="002C2BF3" w:rsidRPr="00D64FCD" w14:paraId="3DB52BED" w14:textId="77777777" w:rsidTr="008D18FC">
        <w:tc>
          <w:tcPr>
            <w:tcW w:w="9360" w:type="dxa"/>
            <w:gridSpan w:val="4"/>
          </w:tcPr>
          <w:p w14:paraId="7AC6F515" w14:textId="77777777" w:rsidR="008F364A" w:rsidRPr="00D64FCD" w:rsidRDefault="008F364A">
            <w:pPr>
              <w:rPr>
                <w:lang w:val="en-CA"/>
              </w:rPr>
            </w:pPr>
          </w:p>
        </w:tc>
      </w:tr>
      <w:tr w:rsidR="002C2BF3" w:rsidRPr="00D64FCD" w14:paraId="5D281D70" w14:textId="77777777" w:rsidTr="008D18FC">
        <w:tc>
          <w:tcPr>
            <w:tcW w:w="1030" w:type="dxa"/>
          </w:tcPr>
          <w:p w14:paraId="6A630254" w14:textId="77777777" w:rsidR="008F364A" w:rsidRPr="00D64FCD" w:rsidRDefault="00294345">
            <w:pPr>
              <w:pStyle w:val="zSoquijlblDateJugement"/>
              <w:rPr>
                <w:lang w:val="en-CA"/>
              </w:rPr>
            </w:pPr>
            <w:r w:rsidRPr="00D64FCD">
              <w:rPr>
                <w:lang w:val="en-CA"/>
              </w:rPr>
              <w:t>DATE:</w:t>
            </w:r>
          </w:p>
        </w:tc>
        <w:tc>
          <w:tcPr>
            <w:tcW w:w="8330" w:type="dxa"/>
            <w:gridSpan w:val="3"/>
          </w:tcPr>
          <w:p w14:paraId="735D4B8C" w14:textId="034D6D47" w:rsidR="008F364A" w:rsidRPr="00D64FCD" w:rsidRDefault="00F1486F">
            <w:pPr>
              <w:pStyle w:val="zSoquijdatDateJugement"/>
              <w:rPr>
                <w:lang w:val="en-CA"/>
              </w:rPr>
            </w:pPr>
            <w:r w:rsidRPr="00D64FCD">
              <w:rPr>
                <w:lang w:val="en-CA"/>
              </w:rPr>
              <w:t>March</w:t>
            </w:r>
            <w:r w:rsidR="00A00A6C">
              <w:rPr>
                <w:lang w:val="en-CA"/>
              </w:rPr>
              <w:t> </w:t>
            </w:r>
            <w:r w:rsidRPr="00D64FCD">
              <w:rPr>
                <w:lang w:val="en-CA"/>
              </w:rPr>
              <w:t>2, 2026</w:t>
            </w:r>
          </w:p>
        </w:tc>
      </w:tr>
      <w:tr w:rsidR="002C2BF3" w:rsidRPr="00D64FCD" w14:paraId="4228D113" w14:textId="77777777" w:rsidTr="008D18FC">
        <w:tc>
          <w:tcPr>
            <w:tcW w:w="9360" w:type="dxa"/>
            <w:gridSpan w:val="4"/>
            <w:tcBorders>
              <w:bottom w:val="single" w:sz="8" w:space="0" w:color="auto"/>
            </w:tcBorders>
          </w:tcPr>
          <w:p w14:paraId="66FE3AF6" w14:textId="77777777" w:rsidR="008F364A" w:rsidRPr="00D64FCD" w:rsidRDefault="008F364A">
            <w:pPr>
              <w:rPr>
                <w:lang w:val="en-CA"/>
              </w:rPr>
            </w:pPr>
          </w:p>
        </w:tc>
      </w:tr>
      <w:tr w:rsidR="002C2BF3" w:rsidRPr="00D64FCD" w14:paraId="46D31702" w14:textId="77777777" w:rsidTr="008D18FC">
        <w:tc>
          <w:tcPr>
            <w:tcW w:w="9360" w:type="dxa"/>
            <w:gridSpan w:val="4"/>
            <w:tcBorders>
              <w:top w:val="single" w:sz="8" w:space="0" w:color="auto"/>
            </w:tcBorders>
          </w:tcPr>
          <w:p w14:paraId="32E99A59" w14:textId="77777777" w:rsidR="008F364A" w:rsidRPr="00D64FCD" w:rsidRDefault="008F364A">
            <w:pPr>
              <w:rPr>
                <w:lang w:val="en-CA"/>
              </w:rPr>
            </w:pPr>
          </w:p>
        </w:tc>
      </w:tr>
      <w:tr w:rsidR="002C2BF3" w:rsidRPr="00D64FCD" w14:paraId="03644809" w14:textId="77777777" w:rsidTr="008D18FC">
        <w:tc>
          <w:tcPr>
            <w:tcW w:w="1620" w:type="dxa"/>
            <w:gridSpan w:val="2"/>
          </w:tcPr>
          <w:p w14:paraId="2B2676ED" w14:textId="77777777" w:rsidR="008F364A" w:rsidRPr="00D64FCD" w:rsidRDefault="00294345" w:rsidP="00423DF1">
            <w:pPr>
              <w:pStyle w:val="zSoquijlblJuge"/>
              <w:ind w:right="-142"/>
              <w:rPr>
                <w:lang w:val="en-CA"/>
              </w:rPr>
            </w:pPr>
            <w:bookmarkStart w:id="1" w:name="FORMATION"/>
            <w:r w:rsidRPr="00D64FCD">
              <w:rPr>
                <w:lang w:val="en-CA"/>
              </w:rPr>
              <w:t>CORAM:</w:t>
            </w:r>
            <w:bookmarkEnd w:id="1"/>
          </w:p>
        </w:tc>
        <w:tc>
          <w:tcPr>
            <w:tcW w:w="2350" w:type="dxa"/>
          </w:tcPr>
          <w:p w14:paraId="7DAD3BB5" w14:textId="77777777" w:rsidR="008F364A" w:rsidRPr="00D64FCD" w:rsidRDefault="00294345">
            <w:pPr>
              <w:pStyle w:val="zSoquijdatQteJuge"/>
              <w:rPr>
                <w:lang w:val="en-CA"/>
              </w:rPr>
            </w:pPr>
            <w:bookmarkStart w:id="2" w:name="Honorables"/>
            <w:r w:rsidRPr="00D64FCD">
              <w:rPr>
                <w:lang w:val="en-CA"/>
              </w:rPr>
              <w:t>THE HONOURABLE</w:t>
            </w:r>
            <w:bookmarkEnd w:id="2"/>
          </w:p>
        </w:tc>
        <w:tc>
          <w:tcPr>
            <w:tcW w:w="5390" w:type="dxa"/>
          </w:tcPr>
          <w:p w14:paraId="2DA0D16D" w14:textId="401E07B8" w:rsidR="0001484D" w:rsidRDefault="00294345">
            <w:pPr>
              <w:pStyle w:val="zSoquijdatJuge"/>
              <w:rPr>
                <w:lang w:val="en-CA"/>
              </w:rPr>
            </w:pPr>
            <w:r w:rsidRPr="00D64FCD">
              <w:rPr>
                <w:lang w:val="en-CA"/>
              </w:rPr>
              <w:t>MARK SCHRAGER</w:t>
            </w:r>
            <w:r w:rsidR="0001484D">
              <w:rPr>
                <w:lang w:val="en-CA"/>
              </w:rPr>
              <w:t>, J.A.</w:t>
            </w:r>
          </w:p>
          <w:p w14:paraId="05558EB8" w14:textId="3C6032B5" w:rsidR="008F364A" w:rsidRPr="00D64FCD" w:rsidRDefault="00294345">
            <w:pPr>
              <w:pStyle w:val="zSoquijdatJuge"/>
              <w:rPr>
                <w:lang w:val="en-CA"/>
              </w:rPr>
            </w:pPr>
            <w:r w:rsidRPr="00D64FCD">
              <w:rPr>
                <w:lang w:val="en-CA"/>
              </w:rPr>
              <w:t>STEPHEN W.</w:t>
            </w:r>
            <w:r w:rsidR="00A00A6C">
              <w:rPr>
                <w:lang w:val="en-CA"/>
              </w:rPr>
              <w:t> </w:t>
            </w:r>
            <w:r w:rsidRPr="00D64FCD">
              <w:rPr>
                <w:lang w:val="en-CA"/>
              </w:rPr>
              <w:t>HAMILTON</w:t>
            </w:r>
            <w:r w:rsidR="00F92FA1">
              <w:rPr>
                <w:lang w:val="en-CA"/>
              </w:rPr>
              <w:t>,</w:t>
            </w:r>
            <w:r w:rsidR="0001484D">
              <w:rPr>
                <w:lang w:val="en-CA"/>
              </w:rPr>
              <w:t xml:space="preserve"> J.A.</w:t>
            </w:r>
          </w:p>
          <w:p w14:paraId="747D3B99" w14:textId="51860C24" w:rsidR="005A78BF" w:rsidRPr="00D64FCD" w:rsidRDefault="00294345" w:rsidP="00912BB4">
            <w:pPr>
              <w:pStyle w:val="zSoquijdatJuge"/>
              <w:rPr>
                <w:lang w:val="en-CA"/>
              </w:rPr>
            </w:pPr>
            <w:bookmarkStart w:id="3" w:name="_Hlt520513784"/>
            <w:bookmarkStart w:id="4" w:name="NomJuge3"/>
            <w:bookmarkEnd w:id="3"/>
            <w:r w:rsidRPr="00D64FCD">
              <w:rPr>
                <w:lang w:val="en-CA"/>
              </w:rPr>
              <w:t>MICHEL BEAUPRÉ, J.A.</w:t>
            </w:r>
            <w:bookmarkEnd w:id="4"/>
          </w:p>
        </w:tc>
      </w:tr>
      <w:tr w:rsidR="002C2BF3" w:rsidRPr="00D64FCD" w14:paraId="6CEDF7B7" w14:textId="77777777" w:rsidTr="008D18FC">
        <w:tc>
          <w:tcPr>
            <w:tcW w:w="9360" w:type="dxa"/>
            <w:gridSpan w:val="4"/>
            <w:tcBorders>
              <w:bottom w:val="single" w:sz="8" w:space="0" w:color="auto"/>
            </w:tcBorders>
          </w:tcPr>
          <w:p w14:paraId="392C20AA" w14:textId="77777777" w:rsidR="008F364A" w:rsidRPr="00D64FCD" w:rsidRDefault="008F364A">
            <w:pPr>
              <w:rPr>
                <w:lang w:val="en-CA"/>
              </w:rPr>
            </w:pPr>
          </w:p>
        </w:tc>
      </w:tr>
      <w:tr w:rsidR="002C2BF3" w:rsidRPr="00D64FCD" w14:paraId="76C88510" w14:textId="77777777" w:rsidTr="008D18FC">
        <w:tc>
          <w:tcPr>
            <w:tcW w:w="9360" w:type="dxa"/>
            <w:gridSpan w:val="4"/>
          </w:tcPr>
          <w:p w14:paraId="00451F25" w14:textId="77777777" w:rsidR="008F364A" w:rsidRPr="00D64FCD" w:rsidRDefault="008F364A">
            <w:pPr>
              <w:pStyle w:val="zSoquijlblTitrePartie"/>
              <w:rPr>
                <w:lang w:val="en-CA"/>
              </w:rPr>
            </w:pPr>
          </w:p>
        </w:tc>
      </w:tr>
      <w:tr w:rsidR="002C2BF3" w:rsidRPr="00D64FCD" w14:paraId="5083343D" w14:textId="77777777" w:rsidTr="008D18FC">
        <w:tc>
          <w:tcPr>
            <w:tcW w:w="9360" w:type="dxa"/>
            <w:gridSpan w:val="4"/>
          </w:tcPr>
          <w:p w14:paraId="1ADDF816" w14:textId="5D6ABF17" w:rsidR="00757411" w:rsidRPr="00D64FCD" w:rsidRDefault="00294345">
            <w:pPr>
              <w:pStyle w:val="zSoquijlblTitrePartie"/>
              <w:rPr>
                <w:b/>
                <w:bCs/>
                <w:u w:val="single"/>
                <w:lang w:val="en-CA"/>
              </w:rPr>
            </w:pPr>
            <w:r w:rsidRPr="00D64FCD">
              <w:rPr>
                <w:b/>
                <w:bCs/>
                <w:u w:val="single"/>
                <w:lang w:val="en-CA"/>
              </w:rPr>
              <w:t>500-17-121195-229</w:t>
            </w:r>
          </w:p>
        </w:tc>
      </w:tr>
      <w:tr w:rsidR="002C2BF3" w:rsidRPr="00D64FCD" w14:paraId="0F7E4513" w14:textId="77777777" w:rsidTr="008D18FC">
        <w:tc>
          <w:tcPr>
            <w:tcW w:w="9360" w:type="dxa"/>
            <w:gridSpan w:val="4"/>
          </w:tcPr>
          <w:p w14:paraId="45455297" w14:textId="77777777" w:rsidR="00757411" w:rsidRPr="00D64FCD" w:rsidRDefault="00757411">
            <w:pPr>
              <w:pStyle w:val="zSoquijlblTitrePartie"/>
              <w:rPr>
                <w:lang w:val="en-CA"/>
              </w:rPr>
            </w:pPr>
          </w:p>
        </w:tc>
      </w:tr>
      <w:tr w:rsidR="002C2BF3" w:rsidRPr="00D64FCD" w14:paraId="3E0F7B2E" w14:textId="77777777" w:rsidTr="008D18FC">
        <w:tc>
          <w:tcPr>
            <w:tcW w:w="9360" w:type="dxa"/>
            <w:gridSpan w:val="4"/>
          </w:tcPr>
          <w:p w14:paraId="05A5A09E" w14:textId="3E1F631C" w:rsidR="008F364A" w:rsidRPr="00D64FCD" w:rsidRDefault="00294345">
            <w:pPr>
              <w:pStyle w:val="zSoquijdatNomPartieDem"/>
              <w:rPr>
                <w:lang w:val="en-CA"/>
              </w:rPr>
            </w:pPr>
            <w:r w:rsidRPr="00D64FCD">
              <w:rPr>
                <w:lang w:val="en-CA"/>
              </w:rPr>
              <w:t>ATTORNEY GENERAL OF QUEBEC</w:t>
            </w:r>
          </w:p>
        </w:tc>
      </w:tr>
      <w:tr w:rsidR="002C2BF3" w:rsidRPr="00D64FCD" w14:paraId="524340A1" w14:textId="77777777" w:rsidTr="008D18FC">
        <w:tc>
          <w:tcPr>
            <w:tcW w:w="9360" w:type="dxa"/>
            <w:gridSpan w:val="4"/>
          </w:tcPr>
          <w:p w14:paraId="21B5B090" w14:textId="6B4A70A9" w:rsidR="00912BB4" w:rsidRPr="00D16016" w:rsidRDefault="00294345">
            <w:pPr>
              <w:pStyle w:val="zSoquijdatNomPartieDem"/>
            </w:pPr>
            <w:r w:rsidRPr="00D16016">
              <w:t>OFFICE QUÉBÉCOIS DE LA LANGUE FRANÇAISE</w:t>
            </w:r>
          </w:p>
        </w:tc>
      </w:tr>
      <w:tr w:rsidR="002C2BF3" w:rsidRPr="00D64FCD" w14:paraId="4C5EAD0F" w14:textId="77777777" w:rsidTr="008D18FC">
        <w:tc>
          <w:tcPr>
            <w:tcW w:w="9360" w:type="dxa"/>
            <w:gridSpan w:val="4"/>
          </w:tcPr>
          <w:p w14:paraId="72F56CDF" w14:textId="4CC293F1" w:rsidR="008F364A" w:rsidRPr="00D64FCD" w:rsidRDefault="00294345">
            <w:pPr>
              <w:pStyle w:val="zSoquijdatQtePartieDem"/>
              <w:rPr>
                <w:lang w:val="en-CA"/>
              </w:rPr>
            </w:pPr>
            <w:r w:rsidRPr="00D64FCD">
              <w:rPr>
                <w:lang w:val="en-CA"/>
              </w:rPr>
              <w:t>APPELLANTS</w:t>
            </w:r>
            <w:r w:rsidR="00B61901">
              <w:rPr>
                <w:lang w:val="en-CA"/>
              </w:rPr>
              <w:t xml:space="preserve"> – </w:t>
            </w:r>
            <w:r w:rsidRPr="00D64FCD">
              <w:rPr>
                <w:lang w:val="en-CA"/>
              </w:rPr>
              <w:t>Defendants</w:t>
            </w:r>
          </w:p>
        </w:tc>
      </w:tr>
      <w:tr w:rsidR="002C2BF3" w:rsidRPr="00D64FCD" w14:paraId="1C199567" w14:textId="77777777" w:rsidTr="008D18FC">
        <w:tc>
          <w:tcPr>
            <w:tcW w:w="9360" w:type="dxa"/>
            <w:gridSpan w:val="4"/>
          </w:tcPr>
          <w:p w14:paraId="6721F0A3" w14:textId="032CFCC7" w:rsidR="008F364A" w:rsidRPr="00D64FCD" w:rsidRDefault="00294345">
            <w:pPr>
              <w:pStyle w:val="zSoquijlblLienParties"/>
              <w:rPr>
                <w:lang w:val="en-CA"/>
              </w:rPr>
            </w:pPr>
            <w:r w:rsidRPr="00D64FCD">
              <w:rPr>
                <w:lang w:val="en-CA"/>
              </w:rPr>
              <w:t>v.</w:t>
            </w:r>
          </w:p>
        </w:tc>
      </w:tr>
      <w:tr w:rsidR="002C2BF3" w:rsidRPr="00D64FCD" w14:paraId="418FE296" w14:textId="77777777" w:rsidTr="008D18FC">
        <w:tc>
          <w:tcPr>
            <w:tcW w:w="9360" w:type="dxa"/>
            <w:gridSpan w:val="4"/>
          </w:tcPr>
          <w:p w14:paraId="1C855162" w14:textId="77777777" w:rsidR="008F364A" w:rsidRPr="00D64FCD" w:rsidRDefault="008F364A">
            <w:pPr>
              <w:rPr>
                <w:lang w:val="en-CA"/>
              </w:rPr>
            </w:pPr>
          </w:p>
        </w:tc>
      </w:tr>
      <w:tr w:rsidR="002C2BF3" w:rsidRPr="00D64FCD" w14:paraId="0539DB93" w14:textId="77777777" w:rsidTr="008D18FC">
        <w:tc>
          <w:tcPr>
            <w:tcW w:w="9360" w:type="dxa"/>
            <w:gridSpan w:val="4"/>
          </w:tcPr>
          <w:p w14:paraId="47F460FE" w14:textId="795CE57D" w:rsidR="008F364A" w:rsidRPr="00D64FCD" w:rsidRDefault="00294345">
            <w:pPr>
              <w:pStyle w:val="zSoquijdatNomPartieDef"/>
              <w:rPr>
                <w:lang w:val="en-CA"/>
              </w:rPr>
            </w:pPr>
            <w:r w:rsidRPr="00D64FCD">
              <w:rPr>
                <w:lang w:val="en-CA"/>
              </w:rPr>
              <w:t>GIUSEPPE ORTONA</w:t>
            </w:r>
          </w:p>
        </w:tc>
      </w:tr>
      <w:tr w:rsidR="002C2BF3" w:rsidRPr="00D64FCD" w14:paraId="25C60CCF" w14:textId="77777777" w:rsidTr="008D18FC">
        <w:tc>
          <w:tcPr>
            <w:tcW w:w="9360" w:type="dxa"/>
            <w:gridSpan w:val="4"/>
          </w:tcPr>
          <w:p w14:paraId="650C592D" w14:textId="63FEC61B" w:rsidR="00912BB4" w:rsidRPr="00D64FCD" w:rsidRDefault="00294345">
            <w:pPr>
              <w:pStyle w:val="zSoquijdatNomPartieDef"/>
              <w:rPr>
                <w:lang w:val="en-CA"/>
              </w:rPr>
            </w:pPr>
            <w:r w:rsidRPr="00D64FCD">
              <w:rPr>
                <w:lang w:val="en-CA"/>
              </w:rPr>
              <w:t>ENGLISH MONTREAL SCHOOL BOARD</w:t>
            </w:r>
          </w:p>
        </w:tc>
      </w:tr>
      <w:tr w:rsidR="002C2BF3" w:rsidRPr="00D64FCD" w14:paraId="5525072B" w14:textId="77777777" w:rsidTr="008D18FC">
        <w:tc>
          <w:tcPr>
            <w:tcW w:w="9360" w:type="dxa"/>
            <w:gridSpan w:val="4"/>
          </w:tcPr>
          <w:p w14:paraId="17A94E14" w14:textId="2E5DBF47" w:rsidR="008F364A" w:rsidRPr="00D64FCD" w:rsidRDefault="00294345">
            <w:pPr>
              <w:pStyle w:val="zSoquijdatQtePartieDef"/>
              <w:rPr>
                <w:lang w:val="en-CA"/>
              </w:rPr>
            </w:pPr>
            <w:r w:rsidRPr="00D64FCD">
              <w:rPr>
                <w:lang w:val="en-CA"/>
              </w:rPr>
              <w:t>RESPONDENTS – Plaintiffs</w:t>
            </w:r>
          </w:p>
        </w:tc>
      </w:tr>
      <w:tr w:rsidR="002C2BF3" w:rsidRPr="00D64FCD" w14:paraId="5F4F4638" w14:textId="77777777" w:rsidTr="008D18FC">
        <w:tc>
          <w:tcPr>
            <w:tcW w:w="9360" w:type="dxa"/>
            <w:gridSpan w:val="4"/>
          </w:tcPr>
          <w:p w14:paraId="6A2317A7" w14:textId="76937774" w:rsidR="00912BB4" w:rsidRPr="00D64FCD" w:rsidRDefault="00294345" w:rsidP="00912BB4">
            <w:pPr>
              <w:rPr>
                <w:lang w:val="en-CA"/>
              </w:rPr>
            </w:pPr>
            <w:r w:rsidRPr="00D64FCD">
              <w:rPr>
                <w:lang w:val="en-CA"/>
              </w:rPr>
              <w:t>and</w:t>
            </w:r>
          </w:p>
        </w:tc>
      </w:tr>
      <w:tr w:rsidR="002C2BF3" w:rsidRPr="00C533A5" w14:paraId="334C664F" w14:textId="77777777" w:rsidTr="008D18FC">
        <w:tc>
          <w:tcPr>
            <w:tcW w:w="9360" w:type="dxa"/>
            <w:gridSpan w:val="4"/>
          </w:tcPr>
          <w:p w14:paraId="7F45C967" w14:textId="5DD21469" w:rsidR="00912BB4" w:rsidRPr="00D64FCD" w:rsidRDefault="00294345" w:rsidP="00912BB4">
            <w:pPr>
              <w:pStyle w:val="zSoquijdatNomPartieDef"/>
              <w:rPr>
                <w:lang w:val="en-CA"/>
              </w:rPr>
            </w:pPr>
            <w:r w:rsidRPr="00D64FCD">
              <w:rPr>
                <w:lang w:val="en-CA"/>
              </w:rPr>
              <w:t>QUEBEC ENGLISH SCHOOL BOARDS ASSOCIATION</w:t>
            </w:r>
          </w:p>
        </w:tc>
      </w:tr>
      <w:tr w:rsidR="002C2BF3" w:rsidRPr="00D64FCD" w14:paraId="4A29EA2A" w14:textId="77777777" w:rsidTr="008D18FC">
        <w:tc>
          <w:tcPr>
            <w:tcW w:w="9360" w:type="dxa"/>
            <w:gridSpan w:val="4"/>
          </w:tcPr>
          <w:p w14:paraId="5645ADD0" w14:textId="5A3C4EAD" w:rsidR="00912BB4" w:rsidRPr="00D64FCD" w:rsidRDefault="00294345" w:rsidP="00912BB4">
            <w:pPr>
              <w:pStyle w:val="zSoquijdatNomPartieDef"/>
              <w:rPr>
                <w:lang w:val="en-CA"/>
              </w:rPr>
            </w:pPr>
            <w:r w:rsidRPr="00D64FCD">
              <w:rPr>
                <w:lang w:val="en-CA"/>
              </w:rPr>
              <w:t>CENTRAL QUEBEC SCHOOL BOARD</w:t>
            </w:r>
          </w:p>
        </w:tc>
      </w:tr>
      <w:tr w:rsidR="002C2BF3" w:rsidRPr="00D64FCD" w14:paraId="7E60489A" w14:textId="77777777" w:rsidTr="008D18FC">
        <w:tc>
          <w:tcPr>
            <w:tcW w:w="9360" w:type="dxa"/>
            <w:gridSpan w:val="4"/>
          </w:tcPr>
          <w:p w14:paraId="504190E4" w14:textId="0389EA67" w:rsidR="00912BB4" w:rsidRPr="00D64FCD" w:rsidRDefault="00294345" w:rsidP="00912BB4">
            <w:pPr>
              <w:pStyle w:val="zSoquijdatNomPartieDef"/>
              <w:rPr>
                <w:lang w:val="en-CA"/>
              </w:rPr>
            </w:pPr>
            <w:r w:rsidRPr="00D64FCD">
              <w:rPr>
                <w:lang w:val="en-CA"/>
              </w:rPr>
              <w:t>EASTERN SHORES SCHOOL BOARD</w:t>
            </w:r>
          </w:p>
        </w:tc>
      </w:tr>
      <w:tr w:rsidR="002C2BF3" w:rsidRPr="00D64FCD" w14:paraId="4F4D451E" w14:textId="77777777" w:rsidTr="008D18FC">
        <w:tc>
          <w:tcPr>
            <w:tcW w:w="9360" w:type="dxa"/>
            <w:gridSpan w:val="4"/>
          </w:tcPr>
          <w:p w14:paraId="5B7C6C22" w14:textId="0941682A" w:rsidR="00912BB4" w:rsidRPr="00D64FCD" w:rsidRDefault="00294345" w:rsidP="00912BB4">
            <w:pPr>
              <w:pStyle w:val="zSoquijdatNomPartieDef"/>
              <w:rPr>
                <w:lang w:val="en-CA"/>
              </w:rPr>
            </w:pPr>
            <w:r w:rsidRPr="00D64FCD">
              <w:rPr>
                <w:lang w:val="en-CA"/>
              </w:rPr>
              <w:t>EASTERN TOWNSHIPS SCHOOL BOARD</w:t>
            </w:r>
          </w:p>
        </w:tc>
      </w:tr>
      <w:tr w:rsidR="002C2BF3" w:rsidRPr="00D64FCD" w14:paraId="54231C1D" w14:textId="77777777" w:rsidTr="008D18FC">
        <w:tc>
          <w:tcPr>
            <w:tcW w:w="9360" w:type="dxa"/>
            <w:gridSpan w:val="4"/>
          </w:tcPr>
          <w:p w14:paraId="727380DA" w14:textId="0D319B48" w:rsidR="00912BB4" w:rsidRPr="00D64FCD" w:rsidRDefault="00294345" w:rsidP="00912BB4">
            <w:pPr>
              <w:pStyle w:val="zSoquijdatNomPartieDef"/>
              <w:rPr>
                <w:lang w:val="en-CA"/>
              </w:rPr>
            </w:pPr>
            <w:r w:rsidRPr="00D64FCD">
              <w:rPr>
                <w:lang w:val="en-CA"/>
              </w:rPr>
              <w:t>NEW FRONTIERS SCHOOL BOARD</w:t>
            </w:r>
          </w:p>
        </w:tc>
      </w:tr>
      <w:tr w:rsidR="002C2BF3" w:rsidRPr="00D64FCD" w14:paraId="12D69EA4" w14:textId="77777777" w:rsidTr="008D18FC">
        <w:tc>
          <w:tcPr>
            <w:tcW w:w="9360" w:type="dxa"/>
            <w:gridSpan w:val="4"/>
          </w:tcPr>
          <w:p w14:paraId="7527CC54" w14:textId="5FB7629B" w:rsidR="00912BB4" w:rsidRPr="00D64FCD" w:rsidRDefault="00294345" w:rsidP="00912BB4">
            <w:pPr>
              <w:pStyle w:val="zSoquijdatNomPartieDef"/>
              <w:rPr>
                <w:lang w:val="en-CA"/>
              </w:rPr>
            </w:pPr>
            <w:r w:rsidRPr="00D64FCD">
              <w:rPr>
                <w:lang w:val="en-CA"/>
              </w:rPr>
              <w:t>RIVERSIDE SCHOOL BOARD</w:t>
            </w:r>
          </w:p>
        </w:tc>
      </w:tr>
      <w:tr w:rsidR="002C2BF3" w:rsidRPr="00C533A5" w14:paraId="723BEAB6" w14:textId="77777777" w:rsidTr="008D18FC">
        <w:tc>
          <w:tcPr>
            <w:tcW w:w="9360" w:type="dxa"/>
            <w:gridSpan w:val="4"/>
          </w:tcPr>
          <w:p w14:paraId="28341CA7" w14:textId="42745F9F" w:rsidR="00912BB4" w:rsidRPr="00D64FCD" w:rsidRDefault="00294345" w:rsidP="00912BB4">
            <w:pPr>
              <w:pStyle w:val="zSoquijdatNomPartieDef"/>
              <w:rPr>
                <w:lang w:val="en-CA"/>
              </w:rPr>
            </w:pPr>
            <w:r w:rsidRPr="00D64FCD">
              <w:rPr>
                <w:lang w:val="en-CA"/>
              </w:rPr>
              <w:t>SIR WILFRID</w:t>
            </w:r>
            <w:r w:rsidR="00A00A6C">
              <w:rPr>
                <w:lang w:val="en-CA"/>
              </w:rPr>
              <w:t> </w:t>
            </w:r>
            <w:r w:rsidRPr="00D64FCD">
              <w:rPr>
                <w:lang w:val="en-CA"/>
              </w:rPr>
              <w:t>LAURIER SCHOOL BOARD</w:t>
            </w:r>
          </w:p>
        </w:tc>
      </w:tr>
      <w:tr w:rsidR="002C2BF3" w:rsidRPr="00D64FCD" w14:paraId="1FD0D859" w14:textId="77777777" w:rsidTr="008D18FC">
        <w:tc>
          <w:tcPr>
            <w:tcW w:w="9360" w:type="dxa"/>
            <w:gridSpan w:val="4"/>
          </w:tcPr>
          <w:p w14:paraId="647962D1" w14:textId="20F2BFC6" w:rsidR="00912BB4" w:rsidRPr="00D64FCD" w:rsidRDefault="00294345" w:rsidP="00912BB4">
            <w:pPr>
              <w:pStyle w:val="zSoquijdatNomPartieDef"/>
              <w:rPr>
                <w:lang w:val="en-CA"/>
              </w:rPr>
            </w:pPr>
            <w:r w:rsidRPr="00D64FCD">
              <w:rPr>
                <w:lang w:val="en-CA"/>
              </w:rPr>
              <w:t>WESTERN QUEBEC SCHOOL BOARD</w:t>
            </w:r>
          </w:p>
        </w:tc>
      </w:tr>
      <w:tr w:rsidR="002C2BF3" w:rsidRPr="00D64FCD" w14:paraId="660D7F98" w14:textId="77777777" w:rsidTr="008D18FC">
        <w:tc>
          <w:tcPr>
            <w:tcW w:w="9360" w:type="dxa"/>
            <w:gridSpan w:val="4"/>
          </w:tcPr>
          <w:p w14:paraId="7A1FE412" w14:textId="77777777" w:rsidR="00912BB4" w:rsidRDefault="00294345" w:rsidP="00912BB4">
            <w:pPr>
              <w:pStyle w:val="zSoquijdatQtePartieDef"/>
              <w:rPr>
                <w:lang w:val="en-CA"/>
              </w:rPr>
            </w:pPr>
            <w:r w:rsidRPr="00D64FCD">
              <w:rPr>
                <w:lang w:val="en-CA"/>
              </w:rPr>
              <w:t xml:space="preserve">IMPLEADED PARTY </w:t>
            </w:r>
            <w:r w:rsidR="00D31933">
              <w:rPr>
                <w:lang w:val="en-CA"/>
              </w:rPr>
              <w:t>–</w:t>
            </w:r>
            <w:r w:rsidR="00D31933" w:rsidRPr="00D64FCD">
              <w:rPr>
                <w:lang w:val="en-CA"/>
              </w:rPr>
              <w:t xml:space="preserve"> </w:t>
            </w:r>
            <w:r w:rsidR="001210B3" w:rsidRPr="00D64FCD">
              <w:rPr>
                <w:lang w:val="en-CA"/>
              </w:rPr>
              <w:t>Interven</w:t>
            </w:r>
            <w:r w:rsidR="001210B3">
              <w:rPr>
                <w:lang w:val="en-CA"/>
              </w:rPr>
              <w:t>e</w:t>
            </w:r>
            <w:r w:rsidR="001210B3" w:rsidRPr="00D64FCD">
              <w:rPr>
                <w:lang w:val="en-CA"/>
              </w:rPr>
              <w:t>rs</w:t>
            </w:r>
          </w:p>
          <w:p w14:paraId="14FDC223" w14:textId="5B8AF517" w:rsidR="00E96917" w:rsidRPr="00D64FCD" w:rsidRDefault="00E96917" w:rsidP="00912BB4">
            <w:pPr>
              <w:pStyle w:val="zSoquijdatQtePartieDef"/>
              <w:rPr>
                <w:lang w:val="en-CA"/>
              </w:rPr>
            </w:pPr>
          </w:p>
        </w:tc>
      </w:tr>
      <w:tr w:rsidR="002C2BF3" w:rsidRPr="00D64FCD" w14:paraId="3D2FAB54" w14:textId="77777777" w:rsidTr="008D18FC">
        <w:tc>
          <w:tcPr>
            <w:tcW w:w="9360" w:type="dxa"/>
            <w:gridSpan w:val="4"/>
          </w:tcPr>
          <w:p w14:paraId="2BB0EAE2" w14:textId="77777777" w:rsidR="00757411" w:rsidRPr="00D64FCD" w:rsidRDefault="00757411" w:rsidP="00757411">
            <w:pPr>
              <w:rPr>
                <w:lang w:val="en-CA"/>
              </w:rPr>
            </w:pPr>
          </w:p>
        </w:tc>
      </w:tr>
      <w:tr w:rsidR="002C2BF3" w:rsidRPr="00D64FCD" w14:paraId="1053D0C5" w14:textId="77777777" w:rsidTr="008D18FC">
        <w:tc>
          <w:tcPr>
            <w:tcW w:w="9360" w:type="dxa"/>
            <w:gridSpan w:val="4"/>
          </w:tcPr>
          <w:p w14:paraId="3046345E" w14:textId="62091033" w:rsidR="001274E3" w:rsidRPr="00D64FCD" w:rsidRDefault="00294345" w:rsidP="00757411">
            <w:pPr>
              <w:rPr>
                <w:lang w:val="en-CA"/>
              </w:rPr>
            </w:pPr>
            <w:r w:rsidRPr="00D64FCD">
              <w:rPr>
                <w:lang w:val="en-CA"/>
              </w:rPr>
              <w:lastRenderedPageBreak/>
              <w:t>______________________________________________________________________</w:t>
            </w:r>
          </w:p>
        </w:tc>
      </w:tr>
    </w:tbl>
    <w:p w14:paraId="16259E36" w14:textId="2ED73C1F" w:rsidR="001274E3" w:rsidRPr="00D64FCD" w:rsidRDefault="001274E3">
      <w:pPr>
        <w:rPr>
          <w:lang w:val="en-CA"/>
        </w:rPr>
      </w:pPr>
    </w:p>
    <w:tbl>
      <w:tblPr>
        <w:tblW w:w="9360" w:type="dxa"/>
        <w:tblLayout w:type="fixed"/>
        <w:tblCellMar>
          <w:left w:w="0" w:type="dxa"/>
          <w:right w:w="0" w:type="dxa"/>
        </w:tblCellMar>
        <w:tblLook w:val="0000" w:firstRow="0" w:lastRow="0" w:firstColumn="0" w:lastColumn="0" w:noHBand="0" w:noVBand="0"/>
      </w:tblPr>
      <w:tblGrid>
        <w:gridCol w:w="9360"/>
      </w:tblGrid>
      <w:tr w:rsidR="002C2BF3" w:rsidRPr="00D64FCD" w14:paraId="06782C79" w14:textId="77777777" w:rsidTr="008D18FC">
        <w:tc>
          <w:tcPr>
            <w:tcW w:w="9360" w:type="dxa"/>
          </w:tcPr>
          <w:p w14:paraId="3C6B9677" w14:textId="34E9E49D" w:rsidR="00757411" w:rsidRPr="00D64FCD" w:rsidRDefault="00294345" w:rsidP="00757411">
            <w:pPr>
              <w:rPr>
                <w:b/>
                <w:bCs/>
                <w:u w:val="single"/>
                <w:lang w:val="en-CA"/>
              </w:rPr>
            </w:pPr>
            <w:r w:rsidRPr="00D64FCD">
              <w:rPr>
                <w:b/>
                <w:bCs/>
                <w:u w:val="single"/>
                <w:lang w:val="en-CA"/>
              </w:rPr>
              <w:t>500-17-121419-223</w:t>
            </w:r>
          </w:p>
        </w:tc>
      </w:tr>
      <w:tr w:rsidR="002C2BF3" w:rsidRPr="00D64FCD" w14:paraId="64F3DC57" w14:textId="77777777" w:rsidTr="008D18FC">
        <w:tc>
          <w:tcPr>
            <w:tcW w:w="9360" w:type="dxa"/>
          </w:tcPr>
          <w:p w14:paraId="2B2FD464" w14:textId="77777777" w:rsidR="00757411" w:rsidRPr="00D64FCD" w:rsidRDefault="00757411" w:rsidP="00757411">
            <w:pPr>
              <w:rPr>
                <w:lang w:val="en-CA"/>
              </w:rPr>
            </w:pPr>
          </w:p>
        </w:tc>
      </w:tr>
      <w:tr w:rsidR="002C2BF3" w:rsidRPr="00D64FCD" w14:paraId="5700DAFD" w14:textId="77777777" w:rsidTr="008D18FC">
        <w:tc>
          <w:tcPr>
            <w:tcW w:w="9360" w:type="dxa"/>
          </w:tcPr>
          <w:p w14:paraId="71800305" w14:textId="5ECB1D7B" w:rsidR="00757411" w:rsidRPr="00D64FCD" w:rsidRDefault="00294345" w:rsidP="00757411">
            <w:pPr>
              <w:pStyle w:val="zSoquijdatNomPartieDem"/>
              <w:rPr>
                <w:lang w:val="en-CA"/>
              </w:rPr>
            </w:pPr>
            <w:r w:rsidRPr="00D64FCD">
              <w:rPr>
                <w:lang w:val="en-CA"/>
              </w:rPr>
              <w:t>ATTORNEY GENERAL OF QUEBEC</w:t>
            </w:r>
          </w:p>
        </w:tc>
      </w:tr>
      <w:tr w:rsidR="002C2BF3" w:rsidRPr="00D64FCD" w14:paraId="5468E170" w14:textId="77777777" w:rsidTr="008D18FC">
        <w:tc>
          <w:tcPr>
            <w:tcW w:w="9360" w:type="dxa"/>
          </w:tcPr>
          <w:p w14:paraId="022EB1D5" w14:textId="101EBC54" w:rsidR="00757411" w:rsidRPr="00D64FCD" w:rsidRDefault="00294345" w:rsidP="00757411">
            <w:pPr>
              <w:pStyle w:val="zSoquijdatQtePartieDem"/>
              <w:rPr>
                <w:lang w:val="en-CA"/>
              </w:rPr>
            </w:pPr>
            <w:r w:rsidRPr="00D64FCD">
              <w:rPr>
                <w:lang w:val="en-CA"/>
              </w:rPr>
              <w:t>APPELLANT</w:t>
            </w:r>
            <w:r w:rsidR="00D31933">
              <w:rPr>
                <w:lang w:val="en-CA"/>
              </w:rPr>
              <w:t xml:space="preserve"> </w:t>
            </w:r>
            <w:r w:rsidRPr="00D64FCD">
              <w:rPr>
                <w:lang w:val="en-CA"/>
              </w:rPr>
              <w:t>–</w:t>
            </w:r>
            <w:r w:rsidR="00D31933">
              <w:rPr>
                <w:lang w:val="en-CA"/>
              </w:rPr>
              <w:t xml:space="preserve"> </w:t>
            </w:r>
            <w:r w:rsidRPr="00D64FCD">
              <w:rPr>
                <w:lang w:val="en-CA"/>
              </w:rPr>
              <w:t>Defendant</w:t>
            </w:r>
          </w:p>
        </w:tc>
      </w:tr>
      <w:tr w:rsidR="002C2BF3" w:rsidRPr="00D64FCD" w14:paraId="48D139D7" w14:textId="77777777" w:rsidTr="008D18FC">
        <w:tc>
          <w:tcPr>
            <w:tcW w:w="9360" w:type="dxa"/>
          </w:tcPr>
          <w:p w14:paraId="6C7E6AB9" w14:textId="4A76D985" w:rsidR="00757411" w:rsidRPr="00D64FCD" w:rsidRDefault="00294345" w:rsidP="00757411">
            <w:pPr>
              <w:rPr>
                <w:lang w:val="en-CA"/>
              </w:rPr>
            </w:pPr>
            <w:r w:rsidRPr="00D64FCD">
              <w:rPr>
                <w:lang w:val="en-CA"/>
              </w:rPr>
              <w:t>v.</w:t>
            </w:r>
          </w:p>
        </w:tc>
      </w:tr>
      <w:tr w:rsidR="002C2BF3" w:rsidRPr="00D64FCD" w14:paraId="110EDFEE" w14:textId="77777777" w:rsidTr="008D18FC">
        <w:tc>
          <w:tcPr>
            <w:tcW w:w="9360" w:type="dxa"/>
          </w:tcPr>
          <w:p w14:paraId="248EB051" w14:textId="77777777" w:rsidR="00757411" w:rsidRPr="00D64FCD" w:rsidRDefault="00757411" w:rsidP="00757411">
            <w:pPr>
              <w:rPr>
                <w:lang w:val="en-CA"/>
              </w:rPr>
            </w:pPr>
          </w:p>
        </w:tc>
      </w:tr>
      <w:tr w:rsidR="002C2BF3" w:rsidRPr="00D64FCD" w14:paraId="2629EE4E" w14:textId="77777777" w:rsidTr="008D18FC">
        <w:tc>
          <w:tcPr>
            <w:tcW w:w="9360" w:type="dxa"/>
          </w:tcPr>
          <w:p w14:paraId="7EFF609A" w14:textId="63B73DD2" w:rsidR="00757411" w:rsidRPr="00D64FCD" w:rsidRDefault="00294345" w:rsidP="00757411">
            <w:pPr>
              <w:pStyle w:val="zSoquijdatNomPartieDef"/>
              <w:rPr>
                <w:lang w:val="en-CA"/>
              </w:rPr>
            </w:pPr>
            <w:r w:rsidRPr="00D64FCD">
              <w:rPr>
                <w:lang w:val="en-CA"/>
              </w:rPr>
              <w:t>DOUG</w:t>
            </w:r>
            <w:r w:rsidR="00A00A6C">
              <w:rPr>
                <w:lang w:val="en-CA"/>
              </w:rPr>
              <w:t> </w:t>
            </w:r>
            <w:r w:rsidRPr="00D64FCD">
              <w:rPr>
                <w:lang w:val="en-CA"/>
              </w:rPr>
              <w:t>MITCHELL</w:t>
            </w:r>
          </w:p>
        </w:tc>
      </w:tr>
      <w:tr w:rsidR="002C2BF3" w:rsidRPr="00D64FCD" w14:paraId="7517B3F2" w14:textId="77777777" w:rsidTr="008D18FC">
        <w:tc>
          <w:tcPr>
            <w:tcW w:w="9360" w:type="dxa"/>
          </w:tcPr>
          <w:p w14:paraId="2E650904" w14:textId="7DB3BF5A" w:rsidR="00757411" w:rsidRPr="00D64FCD" w:rsidRDefault="00EE700B" w:rsidP="00757411">
            <w:pPr>
              <w:pStyle w:val="zSoquijdatNomPartieDef"/>
              <w:rPr>
                <w:lang w:val="en-CA"/>
              </w:rPr>
            </w:pPr>
            <w:r w:rsidRPr="00D64FCD">
              <w:rPr>
                <w:lang w:val="en-CA"/>
              </w:rPr>
              <w:t>MICHAEL</w:t>
            </w:r>
            <w:r>
              <w:rPr>
                <w:lang w:val="en-CA"/>
              </w:rPr>
              <w:t> </w:t>
            </w:r>
            <w:r w:rsidR="00294345" w:rsidRPr="00D64FCD">
              <w:rPr>
                <w:lang w:val="en-CA"/>
              </w:rPr>
              <w:t>SHORTT</w:t>
            </w:r>
          </w:p>
        </w:tc>
      </w:tr>
      <w:tr w:rsidR="002C2BF3" w:rsidRPr="00D64FCD" w14:paraId="641C76D0" w14:textId="77777777" w:rsidTr="008D18FC">
        <w:tc>
          <w:tcPr>
            <w:tcW w:w="9360" w:type="dxa"/>
          </w:tcPr>
          <w:p w14:paraId="10CB58DB" w14:textId="73C0DB8D" w:rsidR="00757411" w:rsidRPr="00D64FCD" w:rsidRDefault="00EE700B" w:rsidP="00757411">
            <w:pPr>
              <w:pStyle w:val="zSoquijdatNomPartieDef"/>
              <w:rPr>
                <w:lang w:val="en-CA"/>
              </w:rPr>
            </w:pPr>
            <w:r w:rsidRPr="00D64FCD">
              <w:rPr>
                <w:lang w:val="en-CA"/>
              </w:rPr>
              <w:t>SHANNON</w:t>
            </w:r>
            <w:r>
              <w:rPr>
                <w:lang w:val="en-CA"/>
              </w:rPr>
              <w:t> </w:t>
            </w:r>
            <w:r w:rsidR="00294345" w:rsidRPr="00D64FCD">
              <w:rPr>
                <w:lang w:val="en-CA"/>
              </w:rPr>
              <w:t>SNOW</w:t>
            </w:r>
          </w:p>
        </w:tc>
      </w:tr>
      <w:tr w:rsidR="002C2BF3" w:rsidRPr="00D64FCD" w14:paraId="4C14AA6B" w14:textId="77777777" w:rsidTr="008D18FC">
        <w:tc>
          <w:tcPr>
            <w:tcW w:w="9360" w:type="dxa"/>
          </w:tcPr>
          <w:p w14:paraId="12EDE91D" w14:textId="48B393CD" w:rsidR="00757411" w:rsidRPr="00D64FCD" w:rsidRDefault="00EE700B" w:rsidP="00757411">
            <w:pPr>
              <w:pStyle w:val="zSoquijdatNomPartieDef"/>
              <w:rPr>
                <w:lang w:val="en-CA"/>
              </w:rPr>
            </w:pPr>
            <w:r w:rsidRPr="00D64FCD">
              <w:rPr>
                <w:lang w:val="en-CA"/>
              </w:rPr>
              <w:t>FRÉDÉRIQUE</w:t>
            </w:r>
            <w:r>
              <w:rPr>
                <w:lang w:val="en-CA"/>
              </w:rPr>
              <w:t> </w:t>
            </w:r>
            <w:r w:rsidR="00294345" w:rsidRPr="00D64FCD">
              <w:rPr>
                <w:lang w:val="en-CA"/>
              </w:rPr>
              <w:t>LISSOIR</w:t>
            </w:r>
          </w:p>
        </w:tc>
      </w:tr>
      <w:tr w:rsidR="002C2BF3" w:rsidRPr="00D64FCD" w14:paraId="245E03F4" w14:textId="77777777" w:rsidTr="008D18FC">
        <w:tc>
          <w:tcPr>
            <w:tcW w:w="9360" w:type="dxa"/>
          </w:tcPr>
          <w:p w14:paraId="722F8714" w14:textId="2C3A08C0" w:rsidR="00757411" w:rsidRPr="00D64FCD" w:rsidRDefault="00EE700B" w:rsidP="00757411">
            <w:pPr>
              <w:pStyle w:val="zSoquijdatNomPartieDef"/>
              <w:rPr>
                <w:lang w:val="en-CA"/>
              </w:rPr>
            </w:pPr>
            <w:r w:rsidRPr="00D64FCD">
              <w:rPr>
                <w:lang w:val="en-CA"/>
              </w:rPr>
              <w:t>ADAM</w:t>
            </w:r>
            <w:r>
              <w:rPr>
                <w:lang w:val="en-CA"/>
              </w:rPr>
              <w:t> </w:t>
            </w:r>
            <w:r w:rsidR="00294345" w:rsidRPr="00D64FCD">
              <w:rPr>
                <w:lang w:val="en-CA"/>
              </w:rPr>
              <w:t>STERNTHAL</w:t>
            </w:r>
          </w:p>
        </w:tc>
      </w:tr>
      <w:tr w:rsidR="002C2BF3" w:rsidRPr="00D64FCD" w14:paraId="5C7CB274" w14:textId="77777777" w:rsidTr="008D18FC">
        <w:tc>
          <w:tcPr>
            <w:tcW w:w="9360" w:type="dxa"/>
          </w:tcPr>
          <w:p w14:paraId="3CCE96D1" w14:textId="16C84279" w:rsidR="00757411" w:rsidRPr="00D64FCD" w:rsidRDefault="00294345" w:rsidP="00757411">
            <w:pPr>
              <w:pStyle w:val="zSoquijdatNomPartieDef"/>
              <w:rPr>
                <w:lang w:val="en-CA"/>
              </w:rPr>
            </w:pPr>
            <w:r w:rsidRPr="00D64FCD">
              <w:rPr>
                <w:lang w:val="en-CA"/>
              </w:rPr>
              <w:t>10096547 CANADA INC.</w:t>
            </w:r>
          </w:p>
        </w:tc>
      </w:tr>
      <w:tr w:rsidR="002C2BF3" w:rsidRPr="00D64FCD" w14:paraId="58359F13" w14:textId="77777777" w:rsidTr="008D18FC">
        <w:tc>
          <w:tcPr>
            <w:tcW w:w="9360" w:type="dxa"/>
          </w:tcPr>
          <w:p w14:paraId="30CA33E5" w14:textId="42B16856" w:rsidR="00757411" w:rsidRPr="00D64FCD" w:rsidRDefault="00294345" w:rsidP="00757411">
            <w:pPr>
              <w:pStyle w:val="zSoquijdatQtePartieDef"/>
              <w:rPr>
                <w:lang w:val="en-CA"/>
              </w:rPr>
            </w:pPr>
            <w:r w:rsidRPr="00D64FCD">
              <w:rPr>
                <w:lang w:val="en-CA"/>
              </w:rPr>
              <w:t>IMPLEADED PARTIES – Plaintiffs</w:t>
            </w:r>
          </w:p>
        </w:tc>
      </w:tr>
      <w:tr w:rsidR="002C2BF3" w:rsidRPr="00D64FCD" w14:paraId="65082A5F" w14:textId="77777777" w:rsidTr="008D18FC">
        <w:tc>
          <w:tcPr>
            <w:tcW w:w="9360" w:type="dxa"/>
          </w:tcPr>
          <w:p w14:paraId="3232E1AB" w14:textId="792E07D7" w:rsidR="00757411" w:rsidRPr="00D64FCD" w:rsidRDefault="00294345" w:rsidP="00757411">
            <w:pPr>
              <w:rPr>
                <w:lang w:val="en-CA"/>
              </w:rPr>
            </w:pPr>
            <w:r w:rsidRPr="00D64FCD">
              <w:rPr>
                <w:lang w:val="en-CA"/>
              </w:rPr>
              <w:t>and</w:t>
            </w:r>
          </w:p>
        </w:tc>
      </w:tr>
      <w:tr w:rsidR="002C2BF3" w:rsidRPr="00D64FCD" w14:paraId="4B5108F2" w14:textId="77777777" w:rsidTr="008D18FC">
        <w:tc>
          <w:tcPr>
            <w:tcW w:w="9360" w:type="dxa"/>
          </w:tcPr>
          <w:p w14:paraId="7D6CA05D" w14:textId="140161F2" w:rsidR="00757411" w:rsidRPr="00D64FCD" w:rsidRDefault="00294345" w:rsidP="00757411">
            <w:pPr>
              <w:rPr>
                <w:b/>
                <w:bCs/>
                <w:lang w:val="en-CA"/>
              </w:rPr>
            </w:pPr>
            <w:r w:rsidRPr="00D64FCD">
              <w:rPr>
                <w:b/>
                <w:bCs/>
                <w:lang w:val="en-CA"/>
              </w:rPr>
              <w:t>BARREAU DU QUÉBEC</w:t>
            </w:r>
          </w:p>
        </w:tc>
      </w:tr>
      <w:tr w:rsidR="002C2BF3" w:rsidRPr="00D64FCD" w14:paraId="6FD1A700" w14:textId="77777777" w:rsidTr="008D18FC">
        <w:tc>
          <w:tcPr>
            <w:tcW w:w="9360" w:type="dxa"/>
          </w:tcPr>
          <w:p w14:paraId="15EAE7F7" w14:textId="1F121404" w:rsidR="00757411" w:rsidRPr="00D64FCD" w:rsidRDefault="00294345" w:rsidP="001274E3">
            <w:pPr>
              <w:pStyle w:val="zSoquijdatQtePartieDef"/>
              <w:rPr>
                <w:lang w:val="en-CA"/>
              </w:rPr>
            </w:pPr>
            <w:r w:rsidRPr="00D64FCD">
              <w:rPr>
                <w:lang w:val="en-CA"/>
              </w:rPr>
              <w:t xml:space="preserve">IMPLEADED PARTY </w:t>
            </w:r>
            <w:r w:rsidR="00D31933">
              <w:rPr>
                <w:lang w:val="en-CA"/>
              </w:rPr>
              <w:t>–</w:t>
            </w:r>
            <w:r w:rsidR="00D31933" w:rsidRPr="00D64FCD">
              <w:rPr>
                <w:lang w:val="en-CA"/>
              </w:rPr>
              <w:t xml:space="preserve"> </w:t>
            </w:r>
            <w:r w:rsidR="001210B3" w:rsidRPr="00D64FCD">
              <w:rPr>
                <w:lang w:val="en-CA"/>
              </w:rPr>
              <w:t>Interven</w:t>
            </w:r>
            <w:r w:rsidR="001210B3">
              <w:rPr>
                <w:lang w:val="en-CA"/>
              </w:rPr>
              <w:t>e</w:t>
            </w:r>
            <w:r w:rsidR="001210B3" w:rsidRPr="00D64FCD">
              <w:rPr>
                <w:lang w:val="en-CA"/>
              </w:rPr>
              <w:t>r</w:t>
            </w:r>
          </w:p>
        </w:tc>
      </w:tr>
      <w:tr w:rsidR="002C2BF3" w:rsidRPr="00D64FCD" w14:paraId="55A6BFD6" w14:textId="77777777" w:rsidTr="008D18FC">
        <w:tc>
          <w:tcPr>
            <w:tcW w:w="9360" w:type="dxa"/>
          </w:tcPr>
          <w:p w14:paraId="5C161169" w14:textId="78C3801F" w:rsidR="001274E3" w:rsidRPr="00D64FCD" w:rsidRDefault="00294345" w:rsidP="00757411">
            <w:pPr>
              <w:rPr>
                <w:lang w:val="en-CA"/>
              </w:rPr>
            </w:pPr>
            <w:r w:rsidRPr="00D64FCD">
              <w:rPr>
                <w:lang w:val="en-CA"/>
              </w:rPr>
              <w:t>______________________________________________________________________</w:t>
            </w:r>
          </w:p>
        </w:tc>
      </w:tr>
      <w:tr w:rsidR="002C2BF3" w:rsidRPr="00D64FCD" w14:paraId="255E13BB" w14:textId="77777777" w:rsidTr="008D18FC">
        <w:tc>
          <w:tcPr>
            <w:tcW w:w="9360" w:type="dxa"/>
          </w:tcPr>
          <w:p w14:paraId="73C9F237" w14:textId="77777777" w:rsidR="00757411" w:rsidRPr="00D64FCD" w:rsidRDefault="00757411" w:rsidP="00757411">
            <w:pPr>
              <w:rPr>
                <w:lang w:val="en-CA"/>
              </w:rPr>
            </w:pPr>
          </w:p>
        </w:tc>
      </w:tr>
      <w:tr w:rsidR="002C2BF3" w:rsidRPr="00D64FCD" w14:paraId="5776D218" w14:textId="77777777" w:rsidTr="008D18FC">
        <w:tc>
          <w:tcPr>
            <w:tcW w:w="9360" w:type="dxa"/>
          </w:tcPr>
          <w:p w14:paraId="085C495B" w14:textId="14B842D5" w:rsidR="00757411" w:rsidRPr="00D64FCD" w:rsidRDefault="00294345" w:rsidP="00757411">
            <w:pPr>
              <w:rPr>
                <w:b/>
                <w:bCs/>
                <w:u w:val="single"/>
                <w:lang w:val="en-CA"/>
              </w:rPr>
            </w:pPr>
            <w:r w:rsidRPr="00D64FCD">
              <w:rPr>
                <w:b/>
                <w:bCs/>
                <w:u w:val="single"/>
                <w:lang w:val="en-CA"/>
              </w:rPr>
              <w:t>500-17-122176-228</w:t>
            </w:r>
          </w:p>
        </w:tc>
      </w:tr>
      <w:tr w:rsidR="002C2BF3" w:rsidRPr="00D64FCD" w14:paraId="4193940F" w14:textId="77777777" w:rsidTr="008D18FC">
        <w:tc>
          <w:tcPr>
            <w:tcW w:w="9360" w:type="dxa"/>
          </w:tcPr>
          <w:p w14:paraId="6D4D17B6" w14:textId="77777777" w:rsidR="00757411" w:rsidRPr="00D64FCD" w:rsidRDefault="00757411" w:rsidP="00757411">
            <w:pPr>
              <w:rPr>
                <w:lang w:val="en-CA"/>
              </w:rPr>
            </w:pPr>
          </w:p>
        </w:tc>
      </w:tr>
      <w:tr w:rsidR="002C2BF3" w:rsidRPr="00D64FCD" w14:paraId="6610AA74" w14:textId="77777777" w:rsidTr="008D18FC">
        <w:tc>
          <w:tcPr>
            <w:tcW w:w="9360" w:type="dxa"/>
          </w:tcPr>
          <w:p w14:paraId="724BEEAF" w14:textId="333EC427" w:rsidR="00757411" w:rsidRPr="00D64FCD" w:rsidRDefault="00294345" w:rsidP="00757411">
            <w:pPr>
              <w:pStyle w:val="zSoquijdatNomPartieDem"/>
              <w:rPr>
                <w:lang w:val="en-CA"/>
              </w:rPr>
            </w:pPr>
            <w:r w:rsidRPr="00D64FCD">
              <w:rPr>
                <w:lang w:val="en-CA"/>
              </w:rPr>
              <w:t>ATTORNEY GENERAL OF QUEBEC</w:t>
            </w:r>
          </w:p>
        </w:tc>
      </w:tr>
      <w:tr w:rsidR="002C2BF3" w:rsidRPr="00D64FCD" w14:paraId="7F39752C" w14:textId="77777777" w:rsidTr="008D18FC">
        <w:tc>
          <w:tcPr>
            <w:tcW w:w="9360" w:type="dxa"/>
          </w:tcPr>
          <w:p w14:paraId="5BB9BAA0" w14:textId="4A06430F" w:rsidR="00757411" w:rsidRPr="00D64FCD" w:rsidRDefault="00294345" w:rsidP="00757411">
            <w:pPr>
              <w:pStyle w:val="zSoquijdatQtePartieDem"/>
              <w:rPr>
                <w:lang w:val="en-CA"/>
              </w:rPr>
            </w:pPr>
            <w:r w:rsidRPr="00D64FCD">
              <w:rPr>
                <w:lang w:val="en-CA"/>
              </w:rPr>
              <w:t>APPELLANT</w:t>
            </w:r>
            <w:r w:rsidR="00F23363">
              <w:rPr>
                <w:lang w:val="en-CA"/>
              </w:rPr>
              <w:t xml:space="preserve"> </w:t>
            </w:r>
            <w:r w:rsidRPr="00D64FCD">
              <w:rPr>
                <w:lang w:val="en-CA"/>
              </w:rPr>
              <w:t>–</w:t>
            </w:r>
            <w:r w:rsidR="00F23363">
              <w:rPr>
                <w:lang w:val="en-CA"/>
              </w:rPr>
              <w:t xml:space="preserve"> </w:t>
            </w:r>
            <w:r w:rsidRPr="00D64FCD">
              <w:rPr>
                <w:lang w:val="en-CA"/>
              </w:rPr>
              <w:t>Defendant</w:t>
            </w:r>
          </w:p>
        </w:tc>
      </w:tr>
      <w:tr w:rsidR="002C2BF3" w:rsidRPr="00D64FCD" w14:paraId="0680DFED" w14:textId="77777777" w:rsidTr="008D18FC">
        <w:tc>
          <w:tcPr>
            <w:tcW w:w="9360" w:type="dxa"/>
          </w:tcPr>
          <w:p w14:paraId="6E9C8AAC" w14:textId="7E967533" w:rsidR="00757411" w:rsidRPr="00D64FCD" w:rsidRDefault="00294345" w:rsidP="00757411">
            <w:pPr>
              <w:rPr>
                <w:lang w:val="en-CA"/>
              </w:rPr>
            </w:pPr>
            <w:r w:rsidRPr="00D64FCD">
              <w:rPr>
                <w:lang w:val="en-CA"/>
              </w:rPr>
              <w:t>v.</w:t>
            </w:r>
          </w:p>
        </w:tc>
      </w:tr>
      <w:tr w:rsidR="002C2BF3" w:rsidRPr="00D64FCD" w14:paraId="5518F172" w14:textId="77777777" w:rsidTr="008D18FC">
        <w:tc>
          <w:tcPr>
            <w:tcW w:w="9360" w:type="dxa"/>
          </w:tcPr>
          <w:p w14:paraId="1E8AFD02" w14:textId="77777777" w:rsidR="00757411" w:rsidRPr="00D64FCD" w:rsidRDefault="00757411" w:rsidP="00757411">
            <w:pPr>
              <w:rPr>
                <w:lang w:val="en-CA"/>
              </w:rPr>
            </w:pPr>
          </w:p>
        </w:tc>
      </w:tr>
      <w:tr w:rsidR="002C2BF3" w:rsidRPr="00D64FCD" w14:paraId="777A6619" w14:textId="77777777" w:rsidTr="008D18FC">
        <w:tc>
          <w:tcPr>
            <w:tcW w:w="9360" w:type="dxa"/>
          </w:tcPr>
          <w:p w14:paraId="4360E693" w14:textId="496E6918" w:rsidR="00757411" w:rsidRPr="00D64FCD" w:rsidRDefault="00294345" w:rsidP="001274E3">
            <w:pPr>
              <w:pStyle w:val="zSoquijdatNomPartieDef"/>
              <w:rPr>
                <w:lang w:val="en-CA"/>
              </w:rPr>
            </w:pPr>
            <w:r w:rsidRPr="00D64FCD">
              <w:rPr>
                <w:lang w:val="en-CA"/>
              </w:rPr>
              <w:t>CARL M.</w:t>
            </w:r>
            <w:r w:rsidR="00EE700B">
              <w:rPr>
                <w:lang w:val="en-CA"/>
              </w:rPr>
              <w:t> </w:t>
            </w:r>
            <w:r w:rsidRPr="00D64FCD">
              <w:rPr>
                <w:lang w:val="en-CA"/>
              </w:rPr>
              <w:t>RAVINSKY</w:t>
            </w:r>
          </w:p>
        </w:tc>
      </w:tr>
      <w:tr w:rsidR="002C2BF3" w:rsidRPr="00D64FCD" w14:paraId="100AA5D9" w14:textId="77777777" w:rsidTr="008D18FC">
        <w:tc>
          <w:tcPr>
            <w:tcW w:w="9360" w:type="dxa"/>
          </w:tcPr>
          <w:p w14:paraId="5DE407C3" w14:textId="2BC2922A" w:rsidR="00757411" w:rsidRPr="00D64FCD" w:rsidRDefault="00294345" w:rsidP="001274E3">
            <w:pPr>
              <w:pStyle w:val="zSoquijdatNomPartieDef"/>
              <w:rPr>
                <w:lang w:val="en-CA"/>
              </w:rPr>
            </w:pPr>
            <w:r w:rsidRPr="00D64FCD">
              <w:rPr>
                <w:lang w:val="en-CA"/>
              </w:rPr>
              <w:t>JEFFREY</w:t>
            </w:r>
            <w:r w:rsidR="00EE700B">
              <w:rPr>
                <w:lang w:val="en-CA"/>
              </w:rPr>
              <w:t> </w:t>
            </w:r>
            <w:r w:rsidRPr="00D64FCD">
              <w:rPr>
                <w:lang w:val="en-CA"/>
              </w:rPr>
              <w:t>BORO</w:t>
            </w:r>
          </w:p>
        </w:tc>
      </w:tr>
      <w:tr w:rsidR="002C2BF3" w:rsidRPr="00D64FCD" w14:paraId="2B523B3A" w14:textId="77777777" w:rsidTr="008D18FC">
        <w:tc>
          <w:tcPr>
            <w:tcW w:w="9360" w:type="dxa"/>
          </w:tcPr>
          <w:p w14:paraId="4D5E077E" w14:textId="626E23EE" w:rsidR="00757411" w:rsidRPr="00D64FCD" w:rsidRDefault="00294345" w:rsidP="001274E3">
            <w:pPr>
              <w:pStyle w:val="zSoquijdatNomPartieDef"/>
              <w:rPr>
                <w:lang w:val="en-CA"/>
              </w:rPr>
            </w:pPr>
            <w:r w:rsidRPr="00D64FCD">
              <w:rPr>
                <w:lang w:val="en-CA"/>
              </w:rPr>
              <w:t>NADIA</w:t>
            </w:r>
            <w:r w:rsidR="00EE700B">
              <w:rPr>
                <w:lang w:val="en-CA"/>
              </w:rPr>
              <w:t> </w:t>
            </w:r>
            <w:r w:rsidRPr="00D64FCD">
              <w:rPr>
                <w:lang w:val="en-CA"/>
              </w:rPr>
              <w:t>KHOURI</w:t>
            </w:r>
          </w:p>
        </w:tc>
      </w:tr>
      <w:tr w:rsidR="002C2BF3" w:rsidRPr="00D64FCD" w14:paraId="4C3B4510" w14:textId="77777777" w:rsidTr="008D18FC">
        <w:tc>
          <w:tcPr>
            <w:tcW w:w="9360" w:type="dxa"/>
          </w:tcPr>
          <w:p w14:paraId="388E756A" w14:textId="520648AB" w:rsidR="00757411" w:rsidRPr="00D64FCD" w:rsidRDefault="00294345" w:rsidP="001274E3">
            <w:pPr>
              <w:pStyle w:val="zSoquijdatQtePartieDef"/>
              <w:rPr>
                <w:lang w:val="en-CA"/>
              </w:rPr>
            </w:pPr>
            <w:r w:rsidRPr="00D64FCD">
              <w:rPr>
                <w:lang w:val="en-CA"/>
              </w:rPr>
              <w:t>IMPLEADED PARTIES – Plaintiffs</w:t>
            </w:r>
          </w:p>
        </w:tc>
      </w:tr>
      <w:tr w:rsidR="002C2BF3" w:rsidRPr="00D64FCD" w14:paraId="5A3FAB75" w14:textId="77777777" w:rsidTr="008D18FC">
        <w:tc>
          <w:tcPr>
            <w:tcW w:w="9360" w:type="dxa"/>
          </w:tcPr>
          <w:p w14:paraId="21A1E0F4" w14:textId="77777777" w:rsidR="00757411" w:rsidRPr="00D64FCD" w:rsidRDefault="00757411" w:rsidP="00757411">
            <w:pPr>
              <w:rPr>
                <w:lang w:val="en-CA"/>
              </w:rPr>
            </w:pPr>
          </w:p>
        </w:tc>
      </w:tr>
      <w:tr w:rsidR="002C2BF3" w:rsidRPr="00D64FCD" w14:paraId="06DF0ED6" w14:textId="77777777" w:rsidTr="008D18FC">
        <w:tc>
          <w:tcPr>
            <w:tcW w:w="9360" w:type="dxa"/>
          </w:tcPr>
          <w:p w14:paraId="62A24933" w14:textId="78DA8900" w:rsidR="00757411" w:rsidRPr="00D64FCD" w:rsidRDefault="00294345" w:rsidP="00757411">
            <w:pPr>
              <w:rPr>
                <w:lang w:val="en-CA"/>
              </w:rPr>
            </w:pPr>
            <w:r w:rsidRPr="00D64FCD">
              <w:rPr>
                <w:lang w:val="en-CA"/>
              </w:rPr>
              <w:t>______________________________________________________________________</w:t>
            </w:r>
          </w:p>
        </w:tc>
      </w:tr>
      <w:tr w:rsidR="002C2BF3" w:rsidRPr="00D64FCD" w14:paraId="0927BEDC" w14:textId="77777777" w:rsidTr="008D18FC">
        <w:tc>
          <w:tcPr>
            <w:tcW w:w="9360" w:type="dxa"/>
          </w:tcPr>
          <w:p w14:paraId="24D13695" w14:textId="77777777" w:rsidR="00757411" w:rsidRPr="00D64FCD" w:rsidRDefault="00757411" w:rsidP="00757411">
            <w:pPr>
              <w:rPr>
                <w:lang w:val="en-CA"/>
              </w:rPr>
            </w:pPr>
          </w:p>
        </w:tc>
      </w:tr>
      <w:tr w:rsidR="002C2BF3" w:rsidRPr="00D64FCD" w14:paraId="4811E57F" w14:textId="77777777" w:rsidTr="008D18FC">
        <w:tc>
          <w:tcPr>
            <w:tcW w:w="9360" w:type="dxa"/>
          </w:tcPr>
          <w:p w14:paraId="2067C589" w14:textId="0E2F36CA" w:rsidR="00757411" w:rsidRPr="00D64FCD" w:rsidRDefault="00294345" w:rsidP="00757411">
            <w:pPr>
              <w:rPr>
                <w:b/>
                <w:bCs/>
                <w:u w:val="single"/>
                <w:lang w:val="en-CA"/>
              </w:rPr>
            </w:pPr>
            <w:r w:rsidRPr="00D64FCD">
              <w:rPr>
                <w:b/>
                <w:bCs/>
                <w:u w:val="single"/>
                <w:lang w:val="en-CA"/>
              </w:rPr>
              <w:t>500-17-126959-231</w:t>
            </w:r>
          </w:p>
        </w:tc>
      </w:tr>
      <w:tr w:rsidR="002C2BF3" w:rsidRPr="00D64FCD" w14:paraId="303486A4" w14:textId="77777777" w:rsidTr="008D18FC">
        <w:tc>
          <w:tcPr>
            <w:tcW w:w="9360" w:type="dxa"/>
          </w:tcPr>
          <w:p w14:paraId="11421BE3" w14:textId="77777777" w:rsidR="00757411" w:rsidRPr="00D64FCD" w:rsidRDefault="00757411" w:rsidP="00757411">
            <w:pPr>
              <w:rPr>
                <w:lang w:val="en-CA"/>
              </w:rPr>
            </w:pPr>
          </w:p>
        </w:tc>
      </w:tr>
      <w:tr w:rsidR="002C2BF3" w:rsidRPr="00D64FCD" w14:paraId="0D8AE0B0" w14:textId="77777777" w:rsidTr="008D18FC">
        <w:tc>
          <w:tcPr>
            <w:tcW w:w="9360" w:type="dxa"/>
          </w:tcPr>
          <w:p w14:paraId="7DB46B72" w14:textId="6605F7C3" w:rsidR="00757411" w:rsidRPr="00D64FCD" w:rsidRDefault="00294345" w:rsidP="00757411">
            <w:pPr>
              <w:pStyle w:val="zSoquijdatNomPartieDem"/>
              <w:rPr>
                <w:lang w:val="en-CA"/>
              </w:rPr>
            </w:pPr>
            <w:r w:rsidRPr="00D64FCD">
              <w:rPr>
                <w:lang w:val="en-CA"/>
              </w:rPr>
              <w:t>ATTORNEY GENERAL OF QUEBEC</w:t>
            </w:r>
          </w:p>
        </w:tc>
      </w:tr>
      <w:tr w:rsidR="002C2BF3" w:rsidRPr="00D64FCD" w14:paraId="06C36138" w14:textId="77777777" w:rsidTr="008D18FC">
        <w:tc>
          <w:tcPr>
            <w:tcW w:w="9360" w:type="dxa"/>
          </w:tcPr>
          <w:p w14:paraId="6B6E6FC9" w14:textId="31CA1B84" w:rsidR="00757411" w:rsidRPr="00D64FCD" w:rsidRDefault="00294345" w:rsidP="00757411">
            <w:pPr>
              <w:pStyle w:val="zSoquijdatQtePartieDem"/>
              <w:rPr>
                <w:lang w:val="en-CA"/>
              </w:rPr>
            </w:pPr>
            <w:r w:rsidRPr="00D64FCD">
              <w:rPr>
                <w:lang w:val="en-CA"/>
              </w:rPr>
              <w:t>APPELLANT</w:t>
            </w:r>
            <w:r w:rsidR="00F23363">
              <w:rPr>
                <w:lang w:val="en-CA"/>
              </w:rPr>
              <w:t xml:space="preserve"> </w:t>
            </w:r>
            <w:r w:rsidRPr="00D64FCD">
              <w:rPr>
                <w:lang w:val="en-CA"/>
              </w:rPr>
              <w:t>–</w:t>
            </w:r>
            <w:r w:rsidR="00F23363">
              <w:rPr>
                <w:lang w:val="en-CA"/>
              </w:rPr>
              <w:t xml:space="preserve"> </w:t>
            </w:r>
            <w:r w:rsidRPr="00D64FCD">
              <w:rPr>
                <w:lang w:val="en-CA"/>
              </w:rPr>
              <w:t>Defendant</w:t>
            </w:r>
          </w:p>
        </w:tc>
      </w:tr>
      <w:tr w:rsidR="002C2BF3" w:rsidRPr="00D64FCD" w14:paraId="340EB97C" w14:textId="77777777" w:rsidTr="008D18FC">
        <w:tc>
          <w:tcPr>
            <w:tcW w:w="9360" w:type="dxa"/>
          </w:tcPr>
          <w:p w14:paraId="462FD517" w14:textId="6654CDC6" w:rsidR="00757411" w:rsidRPr="00D64FCD" w:rsidRDefault="00294345" w:rsidP="00757411">
            <w:pPr>
              <w:rPr>
                <w:lang w:val="en-CA"/>
              </w:rPr>
            </w:pPr>
            <w:r w:rsidRPr="00D64FCD">
              <w:rPr>
                <w:lang w:val="en-CA"/>
              </w:rPr>
              <w:t>v.</w:t>
            </w:r>
          </w:p>
        </w:tc>
      </w:tr>
      <w:tr w:rsidR="002C2BF3" w:rsidRPr="00D64FCD" w14:paraId="3C5B1C54" w14:textId="77777777" w:rsidTr="008D18FC">
        <w:tc>
          <w:tcPr>
            <w:tcW w:w="9360" w:type="dxa"/>
          </w:tcPr>
          <w:p w14:paraId="3BC2D466" w14:textId="77777777" w:rsidR="00757411" w:rsidRPr="00D64FCD" w:rsidRDefault="00757411" w:rsidP="00757411">
            <w:pPr>
              <w:rPr>
                <w:lang w:val="en-CA"/>
              </w:rPr>
            </w:pPr>
          </w:p>
        </w:tc>
      </w:tr>
      <w:tr w:rsidR="002C2BF3" w:rsidRPr="00D64FCD" w14:paraId="0496B264" w14:textId="77777777" w:rsidTr="008D18FC">
        <w:tc>
          <w:tcPr>
            <w:tcW w:w="9360" w:type="dxa"/>
          </w:tcPr>
          <w:p w14:paraId="4B9DECEA" w14:textId="36655706" w:rsidR="00757411" w:rsidRPr="00D64FCD" w:rsidRDefault="00EE700B" w:rsidP="001274E3">
            <w:pPr>
              <w:pStyle w:val="zSoquijdatNomPartieDef"/>
              <w:rPr>
                <w:lang w:val="en-CA"/>
              </w:rPr>
            </w:pPr>
            <w:r w:rsidRPr="00D64FCD">
              <w:rPr>
                <w:lang w:val="en-CA"/>
              </w:rPr>
              <w:t>JEREMY</w:t>
            </w:r>
            <w:r>
              <w:rPr>
                <w:lang w:val="en-CA"/>
              </w:rPr>
              <w:t> </w:t>
            </w:r>
            <w:r w:rsidR="00294345" w:rsidRPr="00D64FCD">
              <w:rPr>
                <w:lang w:val="en-CA"/>
              </w:rPr>
              <w:t>LEVI</w:t>
            </w:r>
          </w:p>
        </w:tc>
      </w:tr>
      <w:tr w:rsidR="002C2BF3" w:rsidRPr="00D64FCD" w14:paraId="47E55C71" w14:textId="77777777" w:rsidTr="008D18FC">
        <w:tc>
          <w:tcPr>
            <w:tcW w:w="9360" w:type="dxa"/>
          </w:tcPr>
          <w:p w14:paraId="546F2B84" w14:textId="68C85ACB" w:rsidR="00757411" w:rsidRPr="00D64FCD" w:rsidRDefault="00294345" w:rsidP="001274E3">
            <w:pPr>
              <w:pStyle w:val="zSoquijdatNomPartieDef"/>
              <w:rPr>
                <w:lang w:val="en-CA"/>
              </w:rPr>
            </w:pPr>
            <w:r w:rsidRPr="00D64FCD">
              <w:rPr>
                <w:lang w:val="en-CA"/>
              </w:rPr>
              <w:t>PETER J</w:t>
            </w:r>
            <w:r w:rsidR="00EE700B" w:rsidRPr="00D64FCD">
              <w:rPr>
                <w:lang w:val="en-CA"/>
              </w:rPr>
              <w:t>.</w:t>
            </w:r>
            <w:r w:rsidR="00EE700B">
              <w:rPr>
                <w:lang w:val="en-CA"/>
              </w:rPr>
              <w:t> </w:t>
            </w:r>
            <w:r w:rsidRPr="00D64FCD">
              <w:rPr>
                <w:lang w:val="en-CA"/>
              </w:rPr>
              <w:t>MALOUF</w:t>
            </w:r>
          </w:p>
        </w:tc>
      </w:tr>
      <w:tr w:rsidR="002C2BF3" w:rsidRPr="00D64FCD" w14:paraId="65C1B987" w14:textId="77777777" w:rsidTr="008D18FC">
        <w:tc>
          <w:tcPr>
            <w:tcW w:w="9360" w:type="dxa"/>
          </w:tcPr>
          <w:p w14:paraId="1803D2FC" w14:textId="27E864D4" w:rsidR="00757411" w:rsidRPr="00D64FCD" w:rsidRDefault="00294345" w:rsidP="001274E3">
            <w:pPr>
              <w:pStyle w:val="zSoquijdatQtePartieDef"/>
              <w:rPr>
                <w:lang w:val="en-CA"/>
              </w:rPr>
            </w:pPr>
            <w:r w:rsidRPr="00D64FCD">
              <w:rPr>
                <w:lang w:val="en-CA"/>
              </w:rPr>
              <w:t>IMPLEADED PARTY – Plaintiffs</w:t>
            </w:r>
          </w:p>
        </w:tc>
      </w:tr>
    </w:tbl>
    <w:p w14:paraId="20D4094C" w14:textId="77777777" w:rsidR="000941AD" w:rsidRDefault="000941AD" w:rsidP="00757411">
      <w:pPr>
        <w:rPr>
          <w:lang w:val="en-CA"/>
        </w:rPr>
        <w:sectPr w:rsidR="000941AD" w:rsidSect="00C533A5">
          <w:footerReference w:type="default" r:id="rId8"/>
          <w:pgSz w:w="12242" w:h="15842" w:code="1"/>
          <w:pgMar w:top="1440" w:right="1008" w:bottom="1440" w:left="1872" w:header="1440" w:footer="792" w:gutter="0"/>
          <w:cols w:space="720"/>
          <w:formProt w:val="0"/>
          <w:titlePg/>
          <w:docGrid w:linePitch="326"/>
        </w:sectPr>
      </w:pPr>
    </w:p>
    <w:tbl>
      <w:tblPr>
        <w:tblW w:w="9360" w:type="dxa"/>
        <w:tblLayout w:type="fixed"/>
        <w:tblCellMar>
          <w:left w:w="0" w:type="dxa"/>
          <w:right w:w="0" w:type="dxa"/>
        </w:tblCellMar>
        <w:tblLook w:val="0000" w:firstRow="0" w:lastRow="0" w:firstColumn="0" w:lastColumn="0" w:noHBand="0" w:noVBand="0"/>
      </w:tblPr>
      <w:tblGrid>
        <w:gridCol w:w="9360"/>
      </w:tblGrid>
      <w:tr w:rsidR="002C2BF3" w:rsidRPr="00D64FCD" w14:paraId="45A33911" w14:textId="77777777" w:rsidTr="008D18FC">
        <w:tc>
          <w:tcPr>
            <w:tcW w:w="9360" w:type="dxa"/>
            <w:tcBorders>
              <w:top w:val="single" w:sz="8" w:space="0" w:color="auto"/>
            </w:tcBorders>
          </w:tcPr>
          <w:p w14:paraId="4612430E" w14:textId="77777777" w:rsidR="008F364A" w:rsidRPr="00D64FCD" w:rsidRDefault="008F364A">
            <w:pPr>
              <w:rPr>
                <w:lang w:val="en-CA"/>
              </w:rPr>
            </w:pPr>
            <w:bookmarkStart w:id="5" w:name="Arret"/>
          </w:p>
        </w:tc>
      </w:tr>
      <w:tr w:rsidR="002C2BF3" w:rsidRPr="00D64FCD" w14:paraId="6D8D7F8E" w14:textId="77777777" w:rsidTr="008D18FC">
        <w:tc>
          <w:tcPr>
            <w:tcW w:w="9360" w:type="dxa"/>
          </w:tcPr>
          <w:p w14:paraId="21D117DF" w14:textId="5BFCFDEE" w:rsidR="008F364A" w:rsidRPr="00D64FCD" w:rsidRDefault="00294345">
            <w:pPr>
              <w:pStyle w:val="zSoquijlblTypeDocument"/>
              <w:rPr>
                <w:lang w:val="en-CA"/>
              </w:rPr>
            </w:pPr>
            <w:r w:rsidRPr="00D64FCD">
              <w:rPr>
                <w:lang w:val="en-CA"/>
              </w:rPr>
              <w:t>JUDGMENT</w:t>
            </w:r>
          </w:p>
        </w:tc>
      </w:tr>
      <w:tr w:rsidR="002C2BF3" w:rsidRPr="00D64FCD" w14:paraId="4624BA3D" w14:textId="77777777" w:rsidTr="008D18FC">
        <w:tc>
          <w:tcPr>
            <w:tcW w:w="9360" w:type="dxa"/>
            <w:tcBorders>
              <w:bottom w:val="single" w:sz="8" w:space="0" w:color="auto"/>
            </w:tcBorders>
          </w:tcPr>
          <w:p w14:paraId="6863579B" w14:textId="77777777" w:rsidR="008F364A" w:rsidRPr="00D64FCD" w:rsidRDefault="008F364A">
            <w:pPr>
              <w:rPr>
                <w:lang w:val="en-CA"/>
              </w:rPr>
            </w:pPr>
          </w:p>
        </w:tc>
      </w:tr>
      <w:tr w:rsidR="002C2BF3" w:rsidRPr="00D64FCD" w14:paraId="2A005788" w14:textId="77777777" w:rsidTr="008D18FC">
        <w:tc>
          <w:tcPr>
            <w:tcW w:w="9360" w:type="dxa"/>
            <w:tcBorders>
              <w:top w:val="single" w:sz="8" w:space="0" w:color="auto"/>
            </w:tcBorders>
          </w:tcPr>
          <w:p w14:paraId="0A098357" w14:textId="77777777" w:rsidR="008F364A" w:rsidRPr="00D64FCD" w:rsidRDefault="008F364A">
            <w:pPr>
              <w:rPr>
                <w:lang w:val="en-CA"/>
              </w:rPr>
            </w:pPr>
          </w:p>
        </w:tc>
      </w:tr>
    </w:tbl>
    <w:p w14:paraId="469A2AD7" w14:textId="12607361" w:rsidR="003B679D" w:rsidRPr="00D64FCD" w:rsidRDefault="00294345" w:rsidP="00D64254">
      <w:pPr>
        <w:pStyle w:val="1Paragraphe"/>
        <w:numPr>
          <w:ilvl w:val="0"/>
          <w:numId w:val="18"/>
        </w:numPr>
        <w:spacing w:line="240" w:lineRule="auto"/>
        <w:rPr>
          <w:lang w:val="en-CA"/>
        </w:rPr>
      </w:pPr>
      <w:r w:rsidRPr="00D64FCD">
        <w:rPr>
          <w:lang w:val="en-CA"/>
        </w:rPr>
        <w:t>The appel</w:t>
      </w:r>
      <w:r w:rsidR="00F724EB">
        <w:rPr>
          <w:lang w:val="en-CA"/>
        </w:rPr>
        <w:t>l</w:t>
      </w:r>
      <w:r w:rsidRPr="00D64FCD">
        <w:rPr>
          <w:lang w:val="en-CA"/>
        </w:rPr>
        <w:t>ants appeal</w:t>
      </w:r>
      <w:r w:rsidR="00570D18">
        <w:rPr>
          <w:lang w:val="en-CA"/>
        </w:rPr>
        <w:t>,</w:t>
      </w:r>
      <w:r w:rsidRPr="00D64FCD">
        <w:rPr>
          <w:lang w:val="en-CA"/>
        </w:rPr>
        <w:t xml:space="preserve"> </w:t>
      </w:r>
      <w:r w:rsidR="00570D18">
        <w:rPr>
          <w:lang w:val="en-CA"/>
        </w:rPr>
        <w:t xml:space="preserve">with </w:t>
      </w:r>
      <w:r w:rsidRPr="00D64FCD">
        <w:rPr>
          <w:lang w:val="en-CA"/>
        </w:rPr>
        <w:t xml:space="preserve">leave </w:t>
      </w:r>
      <w:r w:rsidR="00C94135">
        <w:rPr>
          <w:lang w:val="en-CA"/>
        </w:rPr>
        <w:t>of</w:t>
      </w:r>
      <w:r w:rsidRPr="00D64FCD">
        <w:rPr>
          <w:lang w:val="en-CA"/>
        </w:rPr>
        <w:t xml:space="preserve"> a judge of the Court, from a judgment</w:t>
      </w:r>
      <w:r w:rsidR="00F07805">
        <w:rPr>
          <w:lang w:val="en-CA"/>
        </w:rPr>
        <w:t xml:space="preserve"> rendered</w:t>
      </w:r>
      <w:r w:rsidRPr="00D64FCD">
        <w:rPr>
          <w:lang w:val="en-CA"/>
        </w:rPr>
        <w:t xml:space="preserve"> in the course of proceedings on July</w:t>
      </w:r>
      <w:r w:rsidR="00A00A6C">
        <w:rPr>
          <w:lang w:val="en-CA"/>
        </w:rPr>
        <w:t> </w:t>
      </w:r>
      <w:r w:rsidRPr="00D64FCD">
        <w:rPr>
          <w:lang w:val="en-CA"/>
        </w:rPr>
        <w:t>22, 2024, by the Superior Court, District of Montreal (the Honourable Suzanne Courchesne) authorizing, pursuant to article</w:t>
      </w:r>
      <w:r w:rsidR="00F92FA1">
        <w:rPr>
          <w:lang w:val="en-CA"/>
        </w:rPr>
        <w:t> </w:t>
      </w:r>
      <w:r w:rsidRPr="00D64FCD">
        <w:rPr>
          <w:lang w:val="en-CA"/>
        </w:rPr>
        <w:t xml:space="preserve">2870 </w:t>
      </w:r>
      <w:r w:rsidR="00F07805">
        <w:rPr>
          <w:i/>
          <w:iCs/>
          <w:lang w:val="en-CA"/>
        </w:rPr>
        <w:t>C.C.Q.</w:t>
      </w:r>
      <w:r w:rsidRPr="00D64FCD">
        <w:rPr>
          <w:lang w:val="en-CA"/>
        </w:rPr>
        <w:t xml:space="preserve">, the filing into evidence by the respondents of several </w:t>
      </w:r>
      <w:r w:rsidR="00C14CBB" w:rsidRPr="00D64FCD">
        <w:rPr>
          <w:lang w:val="en-CA"/>
        </w:rPr>
        <w:t>affidavits of</w:t>
      </w:r>
      <w:r w:rsidRPr="00D64FCD">
        <w:rPr>
          <w:lang w:val="en-CA"/>
        </w:rPr>
        <w:t xml:space="preserve"> six judges of the Court of Québec and of exhibits in support of those </w:t>
      </w:r>
      <w:r w:rsidR="00803EDE" w:rsidRPr="00D64FCD">
        <w:rPr>
          <w:lang w:val="en-CA"/>
        </w:rPr>
        <w:t>statements</w:t>
      </w:r>
      <w:r w:rsidRPr="00D64FCD">
        <w:rPr>
          <w:lang w:val="en-CA"/>
        </w:rPr>
        <w:t xml:space="preserve">, each filed in </w:t>
      </w:r>
      <w:r w:rsidR="00AA170F">
        <w:rPr>
          <w:lang w:val="en-CA"/>
        </w:rPr>
        <w:t>separate</w:t>
      </w:r>
      <w:r w:rsidRPr="00D64FCD">
        <w:rPr>
          <w:lang w:val="en-CA"/>
        </w:rPr>
        <w:t xml:space="preserve"> proceeding</w:t>
      </w:r>
      <w:r w:rsidR="00AA170F">
        <w:rPr>
          <w:lang w:val="en-CA"/>
        </w:rPr>
        <w:t>s</w:t>
      </w:r>
      <w:r w:rsidRPr="00D64FCD">
        <w:rPr>
          <w:lang w:val="en-CA"/>
        </w:rPr>
        <w:t>. The only issue raised in this appeal is whether articl</w:t>
      </w:r>
      <w:r w:rsidR="00803EDE" w:rsidRPr="00D64FCD">
        <w:rPr>
          <w:lang w:val="en-CA"/>
        </w:rPr>
        <w:t>e</w:t>
      </w:r>
      <w:r w:rsidR="00F92FA1">
        <w:rPr>
          <w:lang w:val="en-CA"/>
        </w:rPr>
        <w:t> </w:t>
      </w:r>
      <w:r w:rsidRPr="00D64FCD">
        <w:rPr>
          <w:lang w:val="en-CA"/>
        </w:rPr>
        <w:t xml:space="preserve">2870 </w:t>
      </w:r>
      <w:r w:rsidRPr="00D16016">
        <w:rPr>
          <w:i/>
          <w:iCs/>
          <w:lang w:val="en-CA"/>
        </w:rPr>
        <w:t>C</w:t>
      </w:r>
      <w:r w:rsidR="00753117">
        <w:rPr>
          <w:i/>
          <w:iCs/>
          <w:lang w:val="en-CA"/>
        </w:rPr>
        <w:t>.</w:t>
      </w:r>
      <w:r w:rsidRPr="00D16016">
        <w:rPr>
          <w:i/>
          <w:iCs/>
          <w:lang w:val="en-CA"/>
        </w:rPr>
        <w:t>C</w:t>
      </w:r>
      <w:r w:rsidR="00753117">
        <w:rPr>
          <w:i/>
          <w:iCs/>
          <w:lang w:val="en-CA"/>
        </w:rPr>
        <w:t>.</w:t>
      </w:r>
      <w:r w:rsidRPr="00D16016">
        <w:rPr>
          <w:i/>
          <w:iCs/>
          <w:lang w:val="en-CA"/>
        </w:rPr>
        <w:t>Q</w:t>
      </w:r>
      <w:r w:rsidR="00753117">
        <w:rPr>
          <w:i/>
          <w:iCs/>
          <w:lang w:val="en-CA"/>
        </w:rPr>
        <w:t>.</w:t>
      </w:r>
      <w:r w:rsidRPr="00D64FCD">
        <w:rPr>
          <w:lang w:val="en-CA"/>
        </w:rPr>
        <w:t xml:space="preserve"> allows this evidence to be admitted.</w:t>
      </w:r>
    </w:p>
    <w:p w14:paraId="6A2AB559" w14:textId="2CDFD771" w:rsidR="008F364A" w:rsidRPr="00D64FCD" w:rsidRDefault="00294345" w:rsidP="00D64254">
      <w:pPr>
        <w:pStyle w:val="Paragraphe"/>
        <w:spacing w:line="240" w:lineRule="auto"/>
        <w:rPr>
          <w:lang w:val="en-CA"/>
        </w:rPr>
      </w:pPr>
      <w:r w:rsidRPr="00D64FCD">
        <w:rPr>
          <w:lang w:val="en-CA"/>
        </w:rPr>
        <w:t>For the reasons of Schrager</w:t>
      </w:r>
      <w:r w:rsidR="00BA1585">
        <w:rPr>
          <w:lang w:val="en-CA"/>
        </w:rPr>
        <w:t>,</w:t>
      </w:r>
      <w:r w:rsidRPr="00D64FCD">
        <w:rPr>
          <w:lang w:val="en-CA"/>
        </w:rPr>
        <w:t xml:space="preserve"> J.</w:t>
      </w:r>
      <w:r w:rsidR="00753117">
        <w:rPr>
          <w:lang w:val="en-CA"/>
        </w:rPr>
        <w:t>A</w:t>
      </w:r>
      <w:r w:rsidRPr="00D64FCD">
        <w:rPr>
          <w:lang w:val="en-CA"/>
        </w:rPr>
        <w:t xml:space="preserve">, </w:t>
      </w:r>
      <w:r w:rsidR="004F5AF6">
        <w:rPr>
          <w:lang w:val="en-CA"/>
        </w:rPr>
        <w:t xml:space="preserve">with which </w:t>
      </w:r>
      <w:r w:rsidRPr="00D64FCD">
        <w:rPr>
          <w:lang w:val="en-CA"/>
        </w:rPr>
        <w:t xml:space="preserve">Hamilton and Beaupré, JJ.A. concur, </w:t>
      </w:r>
      <w:r w:rsidRPr="00D64FCD">
        <w:rPr>
          <w:b/>
          <w:lang w:val="en-CA"/>
        </w:rPr>
        <w:t>THE COURT</w:t>
      </w:r>
      <w:r w:rsidRPr="00D64FCD">
        <w:rPr>
          <w:lang w:val="en-CA"/>
        </w:rPr>
        <w:t>:</w:t>
      </w:r>
    </w:p>
    <w:p w14:paraId="74552379" w14:textId="39346DD9" w:rsidR="00C76990" w:rsidRPr="00D64FCD" w:rsidRDefault="00294345" w:rsidP="00D64254">
      <w:pPr>
        <w:pStyle w:val="Paragraphe"/>
        <w:spacing w:line="240" w:lineRule="auto"/>
        <w:rPr>
          <w:lang w:val="en-CA"/>
        </w:rPr>
      </w:pPr>
      <w:r w:rsidRPr="00D64FCD">
        <w:rPr>
          <w:b/>
          <w:bCs/>
          <w:lang w:val="en-CA"/>
        </w:rPr>
        <w:t xml:space="preserve">DISMISSES </w:t>
      </w:r>
      <w:r w:rsidRPr="00D64FCD">
        <w:rPr>
          <w:bCs/>
          <w:lang w:val="en-CA"/>
        </w:rPr>
        <w:t>the appeal with legal costs.</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2C2BF3" w:rsidRPr="00C533A5" w14:paraId="4AE4B156" w14:textId="77777777" w:rsidTr="003E3239">
        <w:trPr>
          <w:trHeight w:val="576"/>
        </w:trPr>
        <w:tc>
          <w:tcPr>
            <w:tcW w:w="9362" w:type="dxa"/>
            <w:gridSpan w:val="3"/>
            <w:tcBorders>
              <w:top w:val="nil"/>
              <w:bottom w:val="nil"/>
            </w:tcBorders>
          </w:tcPr>
          <w:p w14:paraId="037C1956" w14:textId="77777777" w:rsidR="008F364A" w:rsidRPr="00D64FCD" w:rsidRDefault="008F364A">
            <w:pPr>
              <w:keepNext/>
              <w:rPr>
                <w:lang w:val="en-CA"/>
              </w:rPr>
            </w:pPr>
          </w:p>
        </w:tc>
      </w:tr>
      <w:tr w:rsidR="002C2BF3" w:rsidRPr="00C533A5" w14:paraId="12CFD568" w14:textId="77777777" w:rsidTr="00117914">
        <w:trPr>
          <w:trHeight w:val="283"/>
        </w:trPr>
        <w:tc>
          <w:tcPr>
            <w:tcW w:w="4682" w:type="dxa"/>
            <w:gridSpan w:val="2"/>
            <w:tcBorders>
              <w:top w:val="nil"/>
              <w:bottom w:val="nil"/>
            </w:tcBorders>
          </w:tcPr>
          <w:p w14:paraId="427419D1" w14:textId="77777777" w:rsidR="008F364A" w:rsidRPr="00D64FCD" w:rsidRDefault="008F364A">
            <w:pPr>
              <w:keepNext/>
              <w:rPr>
                <w:lang w:val="en-CA"/>
              </w:rPr>
            </w:pPr>
          </w:p>
        </w:tc>
        <w:tc>
          <w:tcPr>
            <w:tcW w:w="4680" w:type="dxa"/>
            <w:tcBorders>
              <w:top w:val="nil"/>
              <w:bottom w:val="single" w:sz="8" w:space="0" w:color="auto"/>
            </w:tcBorders>
          </w:tcPr>
          <w:p w14:paraId="7B0F3E24" w14:textId="77777777" w:rsidR="008F364A" w:rsidRPr="00D64FCD" w:rsidRDefault="008F364A">
            <w:pPr>
              <w:keepNext/>
              <w:rPr>
                <w:lang w:val="en-CA"/>
              </w:rPr>
            </w:pPr>
          </w:p>
        </w:tc>
      </w:tr>
      <w:tr w:rsidR="002C2BF3" w:rsidRPr="00D64FCD" w14:paraId="1BA002B1" w14:textId="77777777" w:rsidTr="00117914">
        <w:trPr>
          <w:trHeight w:val="283"/>
        </w:trPr>
        <w:tc>
          <w:tcPr>
            <w:tcW w:w="4682" w:type="dxa"/>
            <w:gridSpan w:val="2"/>
            <w:tcBorders>
              <w:top w:val="nil"/>
            </w:tcBorders>
          </w:tcPr>
          <w:p w14:paraId="4A3AA0AA" w14:textId="77777777" w:rsidR="008F364A" w:rsidRPr="00D64FCD" w:rsidRDefault="008F364A">
            <w:pPr>
              <w:keepNext/>
              <w:rPr>
                <w:lang w:val="en-CA"/>
              </w:rPr>
            </w:pPr>
          </w:p>
        </w:tc>
        <w:tc>
          <w:tcPr>
            <w:tcW w:w="4680" w:type="dxa"/>
            <w:tcBorders>
              <w:top w:val="single" w:sz="8" w:space="0" w:color="auto"/>
            </w:tcBorders>
          </w:tcPr>
          <w:p w14:paraId="46328834" w14:textId="62CE8F5C" w:rsidR="008F364A" w:rsidRPr="00D64FCD" w:rsidRDefault="00F54E8E">
            <w:pPr>
              <w:rPr>
                <w:lang w:val="en-CA"/>
              </w:rPr>
            </w:pPr>
            <w:r w:rsidRPr="00F54E8E">
              <w:rPr>
                <w:lang w:val="en-CA"/>
              </w:rPr>
              <w:t>MARK SCHRAGER, J.A.</w:t>
            </w:r>
          </w:p>
        </w:tc>
      </w:tr>
      <w:tr w:rsidR="002C2BF3" w:rsidRPr="00D64FCD" w14:paraId="726E9814" w14:textId="77777777" w:rsidTr="00117914">
        <w:trPr>
          <w:trHeight w:val="283"/>
        </w:trPr>
        <w:tc>
          <w:tcPr>
            <w:tcW w:w="4682" w:type="dxa"/>
            <w:gridSpan w:val="2"/>
            <w:tcBorders>
              <w:top w:val="nil"/>
            </w:tcBorders>
          </w:tcPr>
          <w:p w14:paraId="649404EF" w14:textId="77777777" w:rsidR="008F364A" w:rsidRPr="00D64FCD" w:rsidRDefault="008F364A">
            <w:pPr>
              <w:keepNext/>
              <w:rPr>
                <w:lang w:val="en-CA"/>
              </w:rPr>
            </w:pPr>
            <w:bookmarkStart w:id="6" w:name="Signature2"/>
          </w:p>
        </w:tc>
        <w:tc>
          <w:tcPr>
            <w:tcW w:w="4680" w:type="dxa"/>
            <w:tcBorders>
              <w:top w:val="nil"/>
            </w:tcBorders>
          </w:tcPr>
          <w:p w14:paraId="1D8E2D5A" w14:textId="77777777" w:rsidR="008F364A" w:rsidRPr="00D64FCD" w:rsidRDefault="008F364A">
            <w:pPr>
              <w:keepNext/>
              <w:rPr>
                <w:lang w:val="en-CA"/>
              </w:rPr>
            </w:pPr>
          </w:p>
        </w:tc>
      </w:tr>
      <w:tr w:rsidR="002C2BF3" w:rsidRPr="00D64FCD" w14:paraId="1D1981AF" w14:textId="77777777" w:rsidTr="00117914">
        <w:trPr>
          <w:trHeight w:val="283"/>
        </w:trPr>
        <w:tc>
          <w:tcPr>
            <w:tcW w:w="4682" w:type="dxa"/>
            <w:gridSpan w:val="2"/>
            <w:tcBorders>
              <w:top w:val="nil"/>
              <w:bottom w:val="nil"/>
            </w:tcBorders>
          </w:tcPr>
          <w:p w14:paraId="17CD34EC" w14:textId="77777777" w:rsidR="008F364A" w:rsidRPr="00D64FCD" w:rsidRDefault="008F364A">
            <w:pPr>
              <w:keepNext/>
              <w:rPr>
                <w:lang w:val="en-CA"/>
              </w:rPr>
            </w:pPr>
          </w:p>
        </w:tc>
        <w:tc>
          <w:tcPr>
            <w:tcW w:w="4680" w:type="dxa"/>
            <w:tcBorders>
              <w:top w:val="nil"/>
              <w:bottom w:val="single" w:sz="8" w:space="0" w:color="auto"/>
            </w:tcBorders>
          </w:tcPr>
          <w:p w14:paraId="36740CBD" w14:textId="77777777" w:rsidR="008F364A" w:rsidRPr="00D64FCD" w:rsidRDefault="008F364A">
            <w:pPr>
              <w:keepNext/>
              <w:rPr>
                <w:lang w:val="en-CA"/>
              </w:rPr>
            </w:pPr>
          </w:p>
        </w:tc>
      </w:tr>
      <w:tr w:rsidR="002C2BF3" w:rsidRPr="00177FCA" w14:paraId="2FB063CD" w14:textId="77777777" w:rsidTr="00117914">
        <w:trPr>
          <w:trHeight w:val="283"/>
        </w:trPr>
        <w:tc>
          <w:tcPr>
            <w:tcW w:w="4682" w:type="dxa"/>
            <w:gridSpan w:val="2"/>
            <w:tcBorders>
              <w:top w:val="nil"/>
            </w:tcBorders>
          </w:tcPr>
          <w:p w14:paraId="7690D3F0" w14:textId="77777777" w:rsidR="008F364A" w:rsidRPr="00D64FCD" w:rsidRDefault="008F364A">
            <w:pPr>
              <w:keepNext/>
              <w:rPr>
                <w:lang w:val="en-CA"/>
              </w:rPr>
            </w:pPr>
          </w:p>
        </w:tc>
        <w:tc>
          <w:tcPr>
            <w:tcW w:w="4680" w:type="dxa"/>
            <w:tcBorders>
              <w:top w:val="single" w:sz="8" w:space="0" w:color="auto"/>
            </w:tcBorders>
          </w:tcPr>
          <w:p w14:paraId="2D1F9553" w14:textId="519892D0" w:rsidR="008F364A" w:rsidRPr="00D64FCD" w:rsidRDefault="00F54E8E">
            <w:pPr>
              <w:keepNext/>
              <w:rPr>
                <w:lang w:val="en-CA"/>
              </w:rPr>
            </w:pPr>
            <w:r w:rsidRPr="00F54E8E">
              <w:rPr>
                <w:lang w:val="en-CA"/>
              </w:rPr>
              <w:t>STEPHEN W. HAMILTON, J.A.</w:t>
            </w:r>
          </w:p>
        </w:tc>
      </w:tr>
      <w:tr w:rsidR="002C2BF3" w:rsidRPr="00177FCA" w14:paraId="72F1AF18" w14:textId="77777777" w:rsidTr="00117914">
        <w:trPr>
          <w:trHeight w:val="283"/>
        </w:trPr>
        <w:tc>
          <w:tcPr>
            <w:tcW w:w="4682" w:type="dxa"/>
            <w:gridSpan w:val="2"/>
            <w:tcBorders>
              <w:top w:val="nil"/>
            </w:tcBorders>
          </w:tcPr>
          <w:p w14:paraId="1CF1705D" w14:textId="77777777" w:rsidR="008F364A" w:rsidRPr="00D64FCD" w:rsidRDefault="008F364A">
            <w:pPr>
              <w:keepNext/>
              <w:rPr>
                <w:lang w:val="en-CA"/>
              </w:rPr>
            </w:pPr>
            <w:bookmarkStart w:id="7" w:name="Signature3"/>
            <w:bookmarkEnd w:id="6"/>
          </w:p>
        </w:tc>
        <w:tc>
          <w:tcPr>
            <w:tcW w:w="4680" w:type="dxa"/>
            <w:tcBorders>
              <w:top w:val="nil"/>
            </w:tcBorders>
          </w:tcPr>
          <w:p w14:paraId="75705ECC" w14:textId="77777777" w:rsidR="008F364A" w:rsidRPr="00D64FCD" w:rsidRDefault="008F364A">
            <w:pPr>
              <w:keepNext/>
              <w:rPr>
                <w:lang w:val="en-CA"/>
              </w:rPr>
            </w:pPr>
          </w:p>
        </w:tc>
      </w:tr>
      <w:tr w:rsidR="002C2BF3" w:rsidRPr="00177FCA" w14:paraId="012CAC19" w14:textId="77777777" w:rsidTr="00117914">
        <w:trPr>
          <w:trHeight w:val="283"/>
        </w:trPr>
        <w:tc>
          <w:tcPr>
            <w:tcW w:w="4682" w:type="dxa"/>
            <w:gridSpan w:val="2"/>
            <w:tcBorders>
              <w:top w:val="nil"/>
              <w:bottom w:val="nil"/>
            </w:tcBorders>
          </w:tcPr>
          <w:p w14:paraId="3CD716A4" w14:textId="77777777" w:rsidR="008F364A" w:rsidRPr="00D64FCD" w:rsidRDefault="008F364A">
            <w:pPr>
              <w:keepNext/>
              <w:rPr>
                <w:lang w:val="en-CA"/>
              </w:rPr>
            </w:pPr>
          </w:p>
        </w:tc>
        <w:tc>
          <w:tcPr>
            <w:tcW w:w="4680" w:type="dxa"/>
            <w:tcBorders>
              <w:top w:val="nil"/>
              <w:bottom w:val="single" w:sz="8" w:space="0" w:color="auto"/>
            </w:tcBorders>
          </w:tcPr>
          <w:p w14:paraId="228C7336" w14:textId="77777777" w:rsidR="008F364A" w:rsidRPr="00D64FCD" w:rsidRDefault="008F364A">
            <w:pPr>
              <w:keepNext/>
              <w:rPr>
                <w:lang w:val="en-CA"/>
              </w:rPr>
            </w:pPr>
          </w:p>
        </w:tc>
      </w:tr>
      <w:tr w:rsidR="002C2BF3" w:rsidRPr="00D64FCD" w14:paraId="306797EE" w14:textId="77777777" w:rsidTr="00117914">
        <w:trPr>
          <w:trHeight w:val="283"/>
        </w:trPr>
        <w:tc>
          <w:tcPr>
            <w:tcW w:w="4682" w:type="dxa"/>
            <w:gridSpan w:val="2"/>
            <w:tcBorders>
              <w:top w:val="nil"/>
            </w:tcBorders>
          </w:tcPr>
          <w:p w14:paraId="29D2E784" w14:textId="77777777" w:rsidR="008F364A" w:rsidRPr="00D64FCD" w:rsidRDefault="008F364A">
            <w:pPr>
              <w:keepNext/>
              <w:rPr>
                <w:lang w:val="en-CA"/>
              </w:rPr>
            </w:pPr>
          </w:p>
        </w:tc>
        <w:tc>
          <w:tcPr>
            <w:tcW w:w="4680" w:type="dxa"/>
            <w:tcBorders>
              <w:top w:val="single" w:sz="8" w:space="0" w:color="auto"/>
            </w:tcBorders>
          </w:tcPr>
          <w:p w14:paraId="1B0881C8" w14:textId="621B3AFF" w:rsidR="008F364A" w:rsidRPr="00D64FCD" w:rsidRDefault="00F54E8E">
            <w:pPr>
              <w:keepNext/>
              <w:rPr>
                <w:lang w:val="en-CA"/>
              </w:rPr>
            </w:pPr>
            <w:r w:rsidRPr="00F54E8E">
              <w:rPr>
                <w:lang w:val="en-CA"/>
              </w:rPr>
              <w:t>MICHEL BEAUPRÉ, J.A.</w:t>
            </w:r>
          </w:p>
        </w:tc>
      </w:tr>
      <w:bookmarkEnd w:id="7"/>
      <w:tr w:rsidR="002C2BF3" w:rsidRPr="00D64FCD" w14:paraId="2A41392E" w14:textId="77777777" w:rsidTr="00423DF1">
        <w:tc>
          <w:tcPr>
            <w:tcW w:w="9362" w:type="dxa"/>
            <w:gridSpan w:val="3"/>
          </w:tcPr>
          <w:p w14:paraId="53B6E377" w14:textId="77777777" w:rsidR="005A78BF" w:rsidRPr="00D64FCD" w:rsidRDefault="005A78BF" w:rsidP="005A78BF">
            <w:pPr>
              <w:rPr>
                <w:lang w:val="en-CA"/>
              </w:rPr>
            </w:pPr>
          </w:p>
        </w:tc>
      </w:tr>
      <w:tr w:rsidR="002C2BF3" w:rsidRPr="00D64FCD" w14:paraId="35A83520" w14:textId="77777777" w:rsidTr="00423DF1">
        <w:tc>
          <w:tcPr>
            <w:tcW w:w="9362" w:type="dxa"/>
            <w:gridSpan w:val="3"/>
          </w:tcPr>
          <w:p w14:paraId="233B513C" w14:textId="354E7ACC" w:rsidR="005A78BF" w:rsidRPr="00D64FCD" w:rsidRDefault="00294345" w:rsidP="005A78BF">
            <w:pPr>
              <w:pStyle w:val="zSoquijdatNomProcureurDem"/>
              <w:rPr>
                <w:lang w:val="en-CA"/>
              </w:rPr>
            </w:pPr>
            <w:proofErr w:type="spellStart"/>
            <w:r w:rsidRPr="00D64FCD">
              <w:rPr>
                <w:lang w:val="en-CA"/>
              </w:rPr>
              <w:t>Mtre</w:t>
            </w:r>
            <w:proofErr w:type="spellEnd"/>
            <w:r w:rsidRPr="00D64FCD">
              <w:rPr>
                <w:lang w:val="en-CA"/>
              </w:rPr>
              <w:t xml:space="preserve"> Maxence Duchesneau</w:t>
            </w:r>
          </w:p>
        </w:tc>
      </w:tr>
      <w:tr w:rsidR="002C2BF3" w:rsidRPr="00D64FCD" w14:paraId="0DFEFEC5" w14:textId="77777777" w:rsidTr="00423DF1">
        <w:tc>
          <w:tcPr>
            <w:tcW w:w="9362" w:type="dxa"/>
            <w:gridSpan w:val="3"/>
          </w:tcPr>
          <w:p w14:paraId="0AB64844" w14:textId="168F4847" w:rsidR="00C0365C" w:rsidRPr="00D64FCD" w:rsidRDefault="00294345" w:rsidP="005A78BF">
            <w:pPr>
              <w:pStyle w:val="zSoquijdatNomProcureurDem"/>
              <w:rPr>
                <w:lang w:val="en-CA"/>
              </w:rPr>
            </w:pPr>
            <w:proofErr w:type="spellStart"/>
            <w:r w:rsidRPr="00D64FCD">
              <w:rPr>
                <w:lang w:val="en-CA"/>
              </w:rPr>
              <w:t>Mtre</w:t>
            </w:r>
            <w:proofErr w:type="spellEnd"/>
            <w:r w:rsidRPr="00D64FCD">
              <w:rPr>
                <w:lang w:val="en-CA"/>
              </w:rPr>
              <w:t xml:space="preserve"> Charles Gravel</w:t>
            </w:r>
          </w:p>
        </w:tc>
      </w:tr>
      <w:tr w:rsidR="002C2BF3" w:rsidRPr="00D64FCD" w14:paraId="6B4C287C" w14:textId="77777777" w:rsidTr="00423DF1">
        <w:tc>
          <w:tcPr>
            <w:tcW w:w="9362" w:type="dxa"/>
            <w:gridSpan w:val="3"/>
          </w:tcPr>
          <w:p w14:paraId="110AEDA9" w14:textId="0ABBD441" w:rsidR="005A78BF" w:rsidRPr="00D64FCD" w:rsidRDefault="00294345" w:rsidP="005A78BF">
            <w:pPr>
              <w:pStyle w:val="zSoquijdatCabinetProcureurDem"/>
              <w:rPr>
                <w:lang w:val="en-CA"/>
              </w:rPr>
            </w:pPr>
            <w:r w:rsidRPr="00D64FCD">
              <w:rPr>
                <w:lang w:val="en-CA"/>
              </w:rPr>
              <w:t>BERNARD, ROY (JUSTICE – QUÉBEC)</w:t>
            </w:r>
          </w:p>
        </w:tc>
      </w:tr>
      <w:tr w:rsidR="002C2BF3" w:rsidRPr="00C533A5" w14:paraId="7423C776" w14:textId="77777777" w:rsidTr="00423DF1">
        <w:tc>
          <w:tcPr>
            <w:tcW w:w="9362" w:type="dxa"/>
            <w:gridSpan w:val="3"/>
          </w:tcPr>
          <w:p w14:paraId="63BA10CF" w14:textId="6B16DD15" w:rsidR="005A78BF" w:rsidRPr="00D64FCD" w:rsidRDefault="00294345" w:rsidP="00EB5D08">
            <w:pPr>
              <w:pStyle w:val="zSoquijlblProcureurDem"/>
              <w:rPr>
                <w:lang w:val="en-CA"/>
              </w:rPr>
            </w:pPr>
            <w:r w:rsidRPr="00D64FCD">
              <w:rPr>
                <w:lang w:val="en-CA"/>
              </w:rPr>
              <w:t xml:space="preserve">For the Attorney General of Quebec and the Office </w:t>
            </w:r>
            <w:proofErr w:type="spellStart"/>
            <w:r w:rsidRPr="00D64FCD">
              <w:rPr>
                <w:lang w:val="en-CA"/>
              </w:rPr>
              <w:t>québécois</w:t>
            </w:r>
            <w:proofErr w:type="spellEnd"/>
            <w:r w:rsidRPr="00D64FCD">
              <w:rPr>
                <w:lang w:val="en-CA"/>
              </w:rPr>
              <w:t xml:space="preserve"> de la langue française</w:t>
            </w:r>
          </w:p>
        </w:tc>
      </w:tr>
      <w:tr w:rsidR="002C2BF3" w:rsidRPr="00C533A5" w14:paraId="16343616" w14:textId="77777777" w:rsidTr="00D64254">
        <w:tc>
          <w:tcPr>
            <w:tcW w:w="9362" w:type="dxa"/>
            <w:gridSpan w:val="3"/>
            <w:tcBorders>
              <w:bottom w:val="nil"/>
            </w:tcBorders>
          </w:tcPr>
          <w:p w14:paraId="1BA7FA26" w14:textId="77777777" w:rsidR="005A78BF" w:rsidRPr="00D64FCD" w:rsidRDefault="005A78BF" w:rsidP="005A78BF">
            <w:pPr>
              <w:rPr>
                <w:lang w:val="en-CA"/>
              </w:rPr>
            </w:pPr>
          </w:p>
        </w:tc>
      </w:tr>
      <w:tr w:rsidR="002C2BF3" w:rsidRPr="00D64FCD" w14:paraId="13F57E28" w14:textId="77777777" w:rsidTr="00D64254">
        <w:tc>
          <w:tcPr>
            <w:tcW w:w="9362" w:type="dxa"/>
            <w:gridSpan w:val="3"/>
            <w:tcBorders>
              <w:top w:val="nil"/>
            </w:tcBorders>
          </w:tcPr>
          <w:p w14:paraId="6C0B98E5" w14:textId="43301DF7" w:rsidR="005A78BF" w:rsidRPr="00D64FCD" w:rsidRDefault="00294345" w:rsidP="005A78BF">
            <w:pPr>
              <w:pStyle w:val="zSoquijdatNomProcureurDef"/>
              <w:rPr>
                <w:lang w:val="en-CA"/>
              </w:rPr>
            </w:pPr>
            <w:proofErr w:type="spellStart"/>
            <w:r w:rsidRPr="00D64FCD">
              <w:rPr>
                <w:lang w:val="en-CA"/>
              </w:rPr>
              <w:t>Mtre</w:t>
            </w:r>
            <w:proofErr w:type="spellEnd"/>
            <w:r w:rsidRPr="00D64FCD">
              <w:rPr>
                <w:lang w:val="en-CA"/>
              </w:rPr>
              <w:t xml:space="preserve"> Audrey Mayrand</w:t>
            </w:r>
          </w:p>
        </w:tc>
      </w:tr>
      <w:tr w:rsidR="002C2BF3" w:rsidRPr="00D64FCD" w14:paraId="5C9331B0" w14:textId="77777777" w:rsidTr="00D64254">
        <w:tc>
          <w:tcPr>
            <w:tcW w:w="9362" w:type="dxa"/>
            <w:gridSpan w:val="3"/>
            <w:tcBorders>
              <w:top w:val="nil"/>
            </w:tcBorders>
          </w:tcPr>
          <w:p w14:paraId="6CB0FAD2" w14:textId="38D19306" w:rsidR="00C0365C" w:rsidRPr="00D64FCD" w:rsidRDefault="00294345" w:rsidP="005A78BF">
            <w:pPr>
              <w:pStyle w:val="zSoquijdatNomProcureurDef"/>
              <w:rPr>
                <w:lang w:val="en-CA"/>
              </w:rPr>
            </w:pPr>
            <w:proofErr w:type="spellStart"/>
            <w:r w:rsidRPr="00D64FCD">
              <w:rPr>
                <w:lang w:val="en-CA"/>
              </w:rPr>
              <w:t>Mtre</w:t>
            </w:r>
            <w:proofErr w:type="spellEnd"/>
            <w:r w:rsidRPr="00D64FCD">
              <w:rPr>
                <w:lang w:val="en-CA"/>
              </w:rPr>
              <w:t xml:space="preserve"> Mark Power</w:t>
            </w:r>
          </w:p>
        </w:tc>
      </w:tr>
      <w:tr w:rsidR="002C2BF3" w:rsidRPr="00D64FCD" w14:paraId="4EC8BA91" w14:textId="77777777" w:rsidTr="00D64254">
        <w:tc>
          <w:tcPr>
            <w:tcW w:w="9362" w:type="dxa"/>
            <w:gridSpan w:val="3"/>
            <w:tcBorders>
              <w:top w:val="nil"/>
            </w:tcBorders>
          </w:tcPr>
          <w:p w14:paraId="175C662E" w14:textId="4AB58BE5" w:rsidR="00C0365C" w:rsidRPr="00D64FCD" w:rsidRDefault="00294345" w:rsidP="005A78BF">
            <w:pPr>
              <w:pStyle w:val="zSoquijdatNomProcureurDef"/>
              <w:rPr>
                <w:lang w:val="en-CA"/>
              </w:rPr>
            </w:pPr>
            <w:proofErr w:type="spellStart"/>
            <w:r w:rsidRPr="00D64FCD">
              <w:rPr>
                <w:lang w:val="en-CA"/>
              </w:rPr>
              <w:t>Mtre</w:t>
            </w:r>
            <w:proofErr w:type="spellEnd"/>
            <w:r w:rsidRPr="00D64FCD">
              <w:rPr>
                <w:lang w:val="en-CA"/>
              </w:rPr>
              <w:t xml:space="preserve"> Perri Ravon</w:t>
            </w:r>
          </w:p>
        </w:tc>
      </w:tr>
      <w:tr w:rsidR="002C2BF3" w:rsidRPr="00D64FCD" w14:paraId="2628D273" w14:textId="77777777" w:rsidTr="00423DF1">
        <w:tc>
          <w:tcPr>
            <w:tcW w:w="9362" w:type="dxa"/>
            <w:gridSpan w:val="3"/>
          </w:tcPr>
          <w:p w14:paraId="4BF58CD6" w14:textId="66D2F89B" w:rsidR="005A78BF" w:rsidRPr="00D64FCD" w:rsidRDefault="00294345" w:rsidP="005A78BF">
            <w:pPr>
              <w:pStyle w:val="zSoquijdatCabinetProcureurDef"/>
              <w:rPr>
                <w:lang w:val="en-CA"/>
              </w:rPr>
            </w:pPr>
            <w:r w:rsidRPr="00D64FCD">
              <w:rPr>
                <w:lang w:val="en-CA"/>
              </w:rPr>
              <w:t>JURISTES POWER</w:t>
            </w:r>
          </w:p>
        </w:tc>
      </w:tr>
      <w:tr w:rsidR="002C2BF3" w:rsidRPr="00C533A5" w14:paraId="2E3F3C02" w14:textId="77777777" w:rsidTr="00423DF1">
        <w:tc>
          <w:tcPr>
            <w:tcW w:w="9362" w:type="dxa"/>
            <w:gridSpan w:val="3"/>
          </w:tcPr>
          <w:p w14:paraId="071E3E0D" w14:textId="43448CA6" w:rsidR="005A78BF" w:rsidRPr="00D64FCD" w:rsidRDefault="00294345" w:rsidP="00D775C6">
            <w:pPr>
              <w:pStyle w:val="zSoquijlblProcureurDef"/>
              <w:jc w:val="both"/>
              <w:rPr>
                <w:lang w:val="en-CA"/>
              </w:rPr>
            </w:pPr>
            <w:r w:rsidRPr="00D64FCD">
              <w:rPr>
                <w:lang w:val="en-CA"/>
              </w:rPr>
              <w:t>For Giuseppe Ortona, English Montreal School Board, Quebec English School Boards Association, Eastern Shores School Board, Eastern Townships School Board, New Frontiers School Board, Riverside School Board, Sir Wilfred</w:t>
            </w:r>
            <w:r w:rsidR="00A00A6C">
              <w:rPr>
                <w:lang w:val="en-CA"/>
              </w:rPr>
              <w:t> </w:t>
            </w:r>
            <w:r w:rsidRPr="00D64FCD">
              <w:rPr>
                <w:lang w:val="en-CA"/>
              </w:rPr>
              <w:t xml:space="preserve">Laurier School Board, and Western Quebec School Board </w:t>
            </w:r>
          </w:p>
        </w:tc>
      </w:tr>
      <w:tr w:rsidR="002C2BF3" w:rsidRPr="00C533A5" w14:paraId="092EB593" w14:textId="77777777" w:rsidTr="00EB5D08">
        <w:tc>
          <w:tcPr>
            <w:tcW w:w="9362" w:type="dxa"/>
            <w:gridSpan w:val="3"/>
            <w:tcBorders>
              <w:bottom w:val="nil"/>
            </w:tcBorders>
          </w:tcPr>
          <w:p w14:paraId="0148306F" w14:textId="77777777" w:rsidR="00C0365C" w:rsidRDefault="00C0365C" w:rsidP="005A78BF">
            <w:pPr>
              <w:rPr>
                <w:lang w:val="en-CA"/>
              </w:rPr>
            </w:pPr>
          </w:p>
          <w:p w14:paraId="57699966" w14:textId="77777777" w:rsidR="004F5B0D" w:rsidRPr="004F5B0D" w:rsidRDefault="004F5B0D" w:rsidP="00C533A5">
            <w:pPr>
              <w:jc w:val="center"/>
              <w:rPr>
                <w:lang w:val="en-CA"/>
              </w:rPr>
            </w:pPr>
          </w:p>
        </w:tc>
      </w:tr>
      <w:tr w:rsidR="002C2BF3" w:rsidRPr="00D64FCD" w14:paraId="5B9B2E10" w14:textId="77777777" w:rsidTr="00EB5D08">
        <w:tc>
          <w:tcPr>
            <w:tcW w:w="9362" w:type="dxa"/>
            <w:gridSpan w:val="3"/>
            <w:tcBorders>
              <w:top w:val="nil"/>
            </w:tcBorders>
          </w:tcPr>
          <w:p w14:paraId="5FF881DF" w14:textId="72455093" w:rsidR="00C0365C" w:rsidRPr="00D64FCD" w:rsidRDefault="00294345" w:rsidP="00EB5D08">
            <w:pPr>
              <w:pStyle w:val="zSoquijdatNomProcureurDef"/>
              <w:jc w:val="both"/>
              <w:rPr>
                <w:lang w:val="en-CA"/>
              </w:rPr>
            </w:pPr>
            <w:proofErr w:type="spellStart"/>
            <w:r w:rsidRPr="00D64FCD">
              <w:rPr>
                <w:lang w:val="en-CA"/>
              </w:rPr>
              <w:lastRenderedPageBreak/>
              <w:t>Mtre</w:t>
            </w:r>
            <w:proofErr w:type="spellEnd"/>
            <w:r w:rsidRPr="00D64FCD">
              <w:rPr>
                <w:lang w:val="en-CA"/>
              </w:rPr>
              <w:t xml:space="preserve"> André-Philippe Malette</w:t>
            </w:r>
          </w:p>
        </w:tc>
      </w:tr>
      <w:tr w:rsidR="002C2BF3" w:rsidRPr="00D64FCD" w14:paraId="7FCE332A" w14:textId="77777777" w:rsidTr="00EB5D08">
        <w:tc>
          <w:tcPr>
            <w:tcW w:w="9362" w:type="dxa"/>
            <w:gridSpan w:val="3"/>
            <w:tcBorders>
              <w:top w:val="nil"/>
            </w:tcBorders>
          </w:tcPr>
          <w:p w14:paraId="64A09703" w14:textId="7587225B" w:rsidR="00D775C6" w:rsidRPr="00D64FCD" w:rsidRDefault="00294345" w:rsidP="00EB5D08">
            <w:pPr>
              <w:pStyle w:val="zSoquijdatNomProcureurDef"/>
              <w:jc w:val="both"/>
              <w:rPr>
                <w:lang w:val="en-CA"/>
              </w:rPr>
            </w:pPr>
            <w:proofErr w:type="spellStart"/>
            <w:r w:rsidRPr="00D64FCD">
              <w:rPr>
                <w:lang w:val="en-CA"/>
              </w:rPr>
              <w:t>Mtre</w:t>
            </w:r>
            <w:proofErr w:type="spellEnd"/>
            <w:r w:rsidRPr="00D64FCD">
              <w:rPr>
                <w:lang w:val="en-CA"/>
              </w:rPr>
              <w:t xml:space="preserve"> Charlotte</w:t>
            </w:r>
            <w:r w:rsidR="00A00A6C">
              <w:rPr>
                <w:lang w:val="en-CA"/>
              </w:rPr>
              <w:t> </w:t>
            </w:r>
            <w:r w:rsidRPr="00D64FCD">
              <w:rPr>
                <w:lang w:val="en-CA"/>
              </w:rPr>
              <w:t>Gilbert-Adams</w:t>
            </w:r>
          </w:p>
        </w:tc>
      </w:tr>
      <w:tr w:rsidR="002C2BF3" w:rsidRPr="00D64FCD" w14:paraId="051B7F38" w14:textId="77777777" w:rsidTr="00EB5D08">
        <w:tc>
          <w:tcPr>
            <w:tcW w:w="9362" w:type="dxa"/>
            <w:gridSpan w:val="3"/>
            <w:tcBorders>
              <w:top w:val="nil"/>
            </w:tcBorders>
          </w:tcPr>
          <w:p w14:paraId="6B4304C9" w14:textId="4EA170C2" w:rsidR="00C0365C" w:rsidRPr="00D64FCD" w:rsidRDefault="00294345" w:rsidP="00EB5D08">
            <w:pPr>
              <w:pStyle w:val="zSoquijdatCabinetProcureurDef"/>
              <w:jc w:val="both"/>
              <w:rPr>
                <w:lang w:val="en-CA"/>
              </w:rPr>
            </w:pPr>
            <w:r w:rsidRPr="00D64FCD">
              <w:rPr>
                <w:lang w:val="en-CA"/>
              </w:rPr>
              <w:t>BARREAU DU QUÉBEC</w:t>
            </w:r>
          </w:p>
        </w:tc>
      </w:tr>
      <w:tr w:rsidR="002C2BF3" w:rsidRPr="00D64FCD" w14:paraId="2542C8D3" w14:textId="77777777" w:rsidTr="00EB5D08">
        <w:tc>
          <w:tcPr>
            <w:tcW w:w="9362" w:type="dxa"/>
            <w:gridSpan w:val="3"/>
            <w:tcBorders>
              <w:top w:val="nil"/>
            </w:tcBorders>
          </w:tcPr>
          <w:p w14:paraId="0AEC45EA" w14:textId="09039A5E" w:rsidR="00C0365C" w:rsidRPr="00D64FCD" w:rsidRDefault="00294345" w:rsidP="00EB5D08">
            <w:pPr>
              <w:pStyle w:val="zSoquijlblProcureurDef"/>
              <w:jc w:val="both"/>
              <w:rPr>
                <w:lang w:val="en-CA"/>
              </w:rPr>
            </w:pPr>
            <w:r w:rsidRPr="00D64FCD">
              <w:rPr>
                <w:lang w:val="en-CA"/>
              </w:rPr>
              <w:t>For Barreau du Québec</w:t>
            </w:r>
          </w:p>
        </w:tc>
      </w:tr>
      <w:tr w:rsidR="002C2BF3" w:rsidRPr="00D64FCD" w14:paraId="07CB2D99" w14:textId="77777777" w:rsidTr="00423DF1">
        <w:tc>
          <w:tcPr>
            <w:tcW w:w="9362" w:type="dxa"/>
            <w:gridSpan w:val="3"/>
          </w:tcPr>
          <w:p w14:paraId="5639F079" w14:textId="77777777" w:rsidR="00D775C6" w:rsidRPr="00D64FCD" w:rsidRDefault="00D775C6" w:rsidP="005A78BF">
            <w:pPr>
              <w:rPr>
                <w:lang w:val="en-CA"/>
              </w:rPr>
            </w:pPr>
          </w:p>
        </w:tc>
      </w:tr>
      <w:tr w:rsidR="002C2BF3" w:rsidRPr="00D64FCD" w14:paraId="737D796B" w14:textId="77777777" w:rsidTr="00423DF1">
        <w:tc>
          <w:tcPr>
            <w:tcW w:w="9362" w:type="dxa"/>
            <w:gridSpan w:val="3"/>
          </w:tcPr>
          <w:p w14:paraId="18A0FFAE" w14:textId="18395E94" w:rsidR="00D775C6" w:rsidRPr="00D16016" w:rsidRDefault="00294345" w:rsidP="00D775C6">
            <w:pPr>
              <w:pStyle w:val="zSoquijdatNomProcureurDef"/>
            </w:pPr>
            <w:proofErr w:type="spellStart"/>
            <w:r w:rsidRPr="00D16016">
              <w:t>Mtre</w:t>
            </w:r>
            <w:proofErr w:type="spellEnd"/>
            <w:r w:rsidRPr="00D16016">
              <w:t xml:space="preserve"> Félix-Antoine </w:t>
            </w:r>
            <w:r w:rsidR="003C52C1" w:rsidRPr="00D16016">
              <w:t xml:space="preserve">T. </w:t>
            </w:r>
            <w:r w:rsidRPr="00D16016">
              <w:t>Doyon</w:t>
            </w:r>
          </w:p>
        </w:tc>
      </w:tr>
      <w:tr w:rsidR="002C2BF3" w:rsidRPr="00D64FCD" w14:paraId="5A665519" w14:textId="77777777" w:rsidTr="00423DF1">
        <w:tc>
          <w:tcPr>
            <w:tcW w:w="9362" w:type="dxa"/>
            <w:gridSpan w:val="3"/>
          </w:tcPr>
          <w:p w14:paraId="2FA7FB74" w14:textId="46465AD9" w:rsidR="00D775C6" w:rsidRPr="00D64FCD" w:rsidRDefault="00294345" w:rsidP="00D775C6">
            <w:pPr>
              <w:pStyle w:val="zSoquijdatCabinetProcureurDef"/>
              <w:rPr>
                <w:lang w:val="en-CA"/>
              </w:rPr>
            </w:pPr>
            <w:r w:rsidRPr="00D64FCD">
              <w:rPr>
                <w:lang w:val="en-CA"/>
              </w:rPr>
              <w:t>DOYON, AVOCATS</w:t>
            </w:r>
          </w:p>
        </w:tc>
      </w:tr>
      <w:tr w:rsidR="002C2BF3" w:rsidRPr="00C533A5" w14:paraId="5D2E12DF" w14:textId="77777777" w:rsidTr="00423DF1">
        <w:tc>
          <w:tcPr>
            <w:tcW w:w="9362" w:type="dxa"/>
            <w:gridSpan w:val="3"/>
          </w:tcPr>
          <w:p w14:paraId="22DB969F" w14:textId="5A35D9D7" w:rsidR="00D775C6" w:rsidRPr="00D64FCD" w:rsidRDefault="00294345" w:rsidP="00D775C6">
            <w:pPr>
              <w:pStyle w:val="zSoquijlblProcureurDef"/>
              <w:rPr>
                <w:lang w:val="en-CA"/>
              </w:rPr>
            </w:pPr>
            <w:r w:rsidRPr="00D64FCD">
              <w:rPr>
                <w:lang w:val="en-CA"/>
              </w:rPr>
              <w:t>For Doug</w:t>
            </w:r>
            <w:r w:rsidR="00A00A6C">
              <w:rPr>
                <w:lang w:val="en-CA"/>
              </w:rPr>
              <w:t> </w:t>
            </w:r>
            <w:r w:rsidRPr="00D64FCD">
              <w:rPr>
                <w:lang w:val="en-CA"/>
              </w:rPr>
              <w:t>Mitchell, Michael</w:t>
            </w:r>
            <w:r w:rsidR="00A00A6C">
              <w:rPr>
                <w:lang w:val="en-CA"/>
              </w:rPr>
              <w:t> </w:t>
            </w:r>
            <w:r w:rsidRPr="00D64FCD">
              <w:rPr>
                <w:lang w:val="en-CA"/>
              </w:rPr>
              <w:t>Shortt, Shannon</w:t>
            </w:r>
            <w:r w:rsidR="00A00A6C">
              <w:rPr>
                <w:lang w:val="en-CA"/>
              </w:rPr>
              <w:t> </w:t>
            </w:r>
            <w:r w:rsidRPr="00D64FCD">
              <w:rPr>
                <w:lang w:val="en-CA"/>
              </w:rPr>
              <w:t xml:space="preserve">Snow, Frédérique </w:t>
            </w:r>
            <w:proofErr w:type="spellStart"/>
            <w:r w:rsidRPr="00D64FCD">
              <w:rPr>
                <w:lang w:val="en-CA"/>
              </w:rPr>
              <w:t>Lissoir</w:t>
            </w:r>
            <w:proofErr w:type="spellEnd"/>
            <w:r w:rsidRPr="00D64FCD">
              <w:rPr>
                <w:lang w:val="en-CA"/>
              </w:rPr>
              <w:t xml:space="preserve">, Adam Sternthal and 10096547 Canada </w:t>
            </w:r>
            <w:r w:rsidR="00F724EB">
              <w:rPr>
                <w:lang w:val="en-CA"/>
              </w:rPr>
              <w:t>I</w:t>
            </w:r>
            <w:r w:rsidRPr="00D64FCD">
              <w:rPr>
                <w:lang w:val="en-CA"/>
              </w:rPr>
              <w:t>nc.</w:t>
            </w:r>
          </w:p>
        </w:tc>
      </w:tr>
      <w:tr w:rsidR="002C2BF3" w:rsidRPr="00C533A5" w14:paraId="74039974" w14:textId="77777777" w:rsidTr="00423DF1">
        <w:tc>
          <w:tcPr>
            <w:tcW w:w="9362" w:type="dxa"/>
            <w:gridSpan w:val="3"/>
          </w:tcPr>
          <w:p w14:paraId="0B41BD30" w14:textId="77777777" w:rsidR="00D775C6" w:rsidRPr="00D64FCD" w:rsidRDefault="00D775C6" w:rsidP="005A78BF">
            <w:pPr>
              <w:rPr>
                <w:lang w:val="en-CA"/>
              </w:rPr>
            </w:pPr>
          </w:p>
        </w:tc>
      </w:tr>
      <w:tr w:rsidR="002C2BF3" w:rsidRPr="00D64FCD" w14:paraId="59C88B1F" w14:textId="77777777" w:rsidTr="00423DF1">
        <w:tc>
          <w:tcPr>
            <w:tcW w:w="9362" w:type="dxa"/>
            <w:gridSpan w:val="3"/>
          </w:tcPr>
          <w:p w14:paraId="4922DEC2" w14:textId="3ABB4406" w:rsidR="00D775C6"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Sasha Fortin-Ballay</w:t>
            </w:r>
          </w:p>
        </w:tc>
      </w:tr>
      <w:tr w:rsidR="002C2BF3" w:rsidRPr="00D64FCD" w14:paraId="330BC75E" w14:textId="77777777" w:rsidTr="00423DF1">
        <w:tc>
          <w:tcPr>
            <w:tcW w:w="9362" w:type="dxa"/>
            <w:gridSpan w:val="3"/>
          </w:tcPr>
          <w:p w14:paraId="6B72ED70" w14:textId="620E301A" w:rsidR="00CD63A1"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Vanessa Paliotti</w:t>
            </w:r>
          </w:p>
        </w:tc>
      </w:tr>
      <w:tr w:rsidR="002C2BF3" w:rsidRPr="00D64FCD" w14:paraId="493859A0" w14:textId="77777777" w:rsidTr="00423DF1">
        <w:tc>
          <w:tcPr>
            <w:tcW w:w="9362" w:type="dxa"/>
            <w:gridSpan w:val="3"/>
          </w:tcPr>
          <w:p w14:paraId="2825B25D" w14:textId="77934C39" w:rsidR="00CD63A1"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Julius</w:t>
            </w:r>
            <w:r w:rsidR="00A00A6C">
              <w:rPr>
                <w:lang w:val="en-CA"/>
              </w:rPr>
              <w:t> </w:t>
            </w:r>
            <w:r w:rsidRPr="00D64FCD">
              <w:rPr>
                <w:lang w:val="en-CA"/>
              </w:rPr>
              <w:t>Grey</w:t>
            </w:r>
          </w:p>
        </w:tc>
      </w:tr>
      <w:tr w:rsidR="002C2BF3" w:rsidRPr="00D64FCD" w14:paraId="4D5C85F8" w14:textId="77777777" w:rsidTr="00423DF1">
        <w:tc>
          <w:tcPr>
            <w:tcW w:w="9362" w:type="dxa"/>
            <w:gridSpan w:val="3"/>
          </w:tcPr>
          <w:p w14:paraId="7D8E0B82" w14:textId="1116D169" w:rsidR="00D775C6" w:rsidRPr="00D64FCD" w:rsidRDefault="00294345" w:rsidP="00D775C6">
            <w:pPr>
              <w:pStyle w:val="zSoquijdatCabinetProcureurDef"/>
              <w:rPr>
                <w:lang w:val="en-CA"/>
              </w:rPr>
            </w:pPr>
            <w:r w:rsidRPr="00D64FCD">
              <w:rPr>
                <w:lang w:val="en-CA"/>
              </w:rPr>
              <w:t>GREY CASGRAIN</w:t>
            </w:r>
          </w:p>
        </w:tc>
      </w:tr>
      <w:tr w:rsidR="002C2BF3" w:rsidRPr="00C533A5" w14:paraId="2E447646" w14:textId="77777777" w:rsidTr="00423DF1">
        <w:tc>
          <w:tcPr>
            <w:tcW w:w="9362" w:type="dxa"/>
            <w:gridSpan w:val="3"/>
          </w:tcPr>
          <w:p w14:paraId="718C4BCA" w14:textId="58331ECC" w:rsidR="00D775C6" w:rsidRPr="00D64FCD" w:rsidRDefault="00294345" w:rsidP="00D775C6">
            <w:pPr>
              <w:pStyle w:val="zSoquijlblProcureurDef"/>
              <w:rPr>
                <w:lang w:val="en-CA"/>
              </w:rPr>
            </w:pPr>
            <w:r w:rsidRPr="00D64FCD">
              <w:rPr>
                <w:lang w:val="en-CA"/>
              </w:rPr>
              <w:t xml:space="preserve">For Carl M. </w:t>
            </w:r>
            <w:proofErr w:type="spellStart"/>
            <w:r w:rsidRPr="00D64FCD">
              <w:rPr>
                <w:lang w:val="en-CA"/>
              </w:rPr>
              <w:t>Ravinsky</w:t>
            </w:r>
            <w:proofErr w:type="spellEnd"/>
            <w:r w:rsidRPr="00D64FCD">
              <w:rPr>
                <w:lang w:val="en-CA"/>
              </w:rPr>
              <w:t>, Jeffrey Boro and Nadia Khouri</w:t>
            </w:r>
          </w:p>
        </w:tc>
      </w:tr>
      <w:tr w:rsidR="002C2BF3" w:rsidRPr="00C533A5" w14:paraId="530D9162" w14:textId="77777777" w:rsidTr="00067E7C">
        <w:tc>
          <w:tcPr>
            <w:tcW w:w="9362" w:type="dxa"/>
            <w:gridSpan w:val="3"/>
            <w:tcBorders>
              <w:bottom w:val="nil"/>
            </w:tcBorders>
          </w:tcPr>
          <w:p w14:paraId="529C58F5" w14:textId="77777777" w:rsidR="00D775C6" w:rsidRPr="00D64FCD" w:rsidRDefault="00D775C6" w:rsidP="005A78BF">
            <w:pPr>
              <w:rPr>
                <w:lang w:val="en-CA"/>
              </w:rPr>
            </w:pPr>
          </w:p>
        </w:tc>
      </w:tr>
      <w:tr w:rsidR="002C2BF3" w:rsidRPr="00D64FCD" w14:paraId="75FF9E00" w14:textId="77777777" w:rsidTr="00067E7C">
        <w:tc>
          <w:tcPr>
            <w:tcW w:w="9362" w:type="dxa"/>
            <w:gridSpan w:val="3"/>
            <w:tcBorders>
              <w:top w:val="nil"/>
            </w:tcBorders>
          </w:tcPr>
          <w:p w14:paraId="4A8F4966" w14:textId="7B66EE4F" w:rsidR="00D775C6"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Frédéric Bérard</w:t>
            </w:r>
          </w:p>
        </w:tc>
      </w:tr>
      <w:tr w:rsidR="002C2BF3" w:rsidRPr="00D64FCD" w14:paraId="390F91B5" w14:textId="77777777" w:rsidTr="00067E7C">
        <w:tc>
          <w:tcPr>
            <w:tcW w:w="9362" w:type="dxa"/>
            <w:gridSpan w:val="3"/>
            <w:tcBorders>
              <w:top w:val="nil"/>
            </w:tcBorders>
          </w:tcPr>
          <w:p w14:paraId="74749F48" w14:textId="0633AA6A" w:rsidR="00D775C6"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Anas </w:t>
            </w:r>
            <w:proofErr w:type="spellStart"/>
            <w:r w:rsidRPr="00D64FCD">
              <w:rPr>
                <w:lang w:val="en-CA"/>
              </w:rPr>
              <w:t>Qiabi</w:t>
            </w:r>
            <w:proofErr w:type="spellEnd"/>
          </w:p>
        </w:tc>
      </w:tr>
      <w:tr w:rsidR="002C2BF3" w:rsidRPr="00D64FCD" w14:paraId="71EF5D93" w14:textId="77777777" w:rsidTr="00067E7C">
        <w:tc>
          <w:tcPr>
            <w:tcW w:w="9362" w:type="dxa"/>
            <w:gridSpan w:val="3"/>
            <w:tcBorders>
              <w:top w:val="nil"/>
            </w:tcBorders>
          </w:tcPr>
          <w:p w14:paraId="38DC2E77" w14:textId="04EBD42A" w:rsidR="00D775C6"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Laurent Bouvier Tremblay</w:t>
            </w:r>
          </w:p>
        </w:tc>
      </w:tr>
      <w:tr w:rsidR="002C2BF3" w:rsidRPr="00D64FCD" w14:paraId="1B0FD742" w14:textId="77777777" w:rsidTr="00067E7C">
        <w:tc>
          <w:tcPr>
            <w:tcW w:w="9362" w:type="dxa"/>
            <w:gridSpan w:val="3"/>
            <w:tcBorders>
              <w:top w:val="nil"/>
            </w:tcBorders>
          </w:tcPr>
          <w:p w14:paraId="6A5D5EEF" w14:textId="3088222F" w:rsidR="00D775C6" w:rsidRPr="00D64FCD" w:rsidRDefault="00294345" w:rsidP="00D775C6">
            <w:pPr>
              <w:pStyle w:val="zSoquijdatCabinetProcureurDef"/>
              <w:rPr>
                <w:lang w:val="en-CA"/>
              </w:rPr>
            </w:pPr>
            <w:r w:rsidRPr="00D64FCD">
              <w:rPr>
                <w:lang w:val="en-CA"/>
              </w:rPr>
              <w:t>GATTUSO BOUCHARD MAZZONE</w:t>
            </w:r>
          </w:p>
        </w:tc>
      </w:tr>
      <w:tr w:rsidR="002C2BF3" w:rsidRPr="00D64FCD" w14:paraId="2B574ABB" w14:textId="77777777" w:rsidTr="00067E7C">
        <w:tc>
          <w:tcPr>
            <w:tcW w:w="9362" w:type="dxa"/>
            <w:gridSpan w:val="3"/>
            <w:tcBorders>
              <w:top w:val="nil"/>
            </w:tcBorders>
          </w:tcPr>
          <w:p w14:paraId="49C1D00C" w14:textId="55E6E34E" w:rsidR="00D775C6" w:rsidRPr="00D64FCD" w:rsidRDefault="00294345" w:rsidP="00D775C6">
            <w:pPr>
              <w:pStyle w:val="zSoquijlblProcureurDef"/>
              <w:rPr>
                <w:lang w:val="en-CA"/>
              </w:rPr>
            </w:pPr>
            <w:r w:rsidRPr="00D64FCD">
              <w:rPr>
                <w:lang w:val="en-CA"/>
              </w:rPr>
              <w:t>For Peter J. Malouf</w:t>
            </w:r>
          </w:p>
        </w:tc>
      </w:tr>
      <w:tr w:rsidR="002C2BF3" w:rsidRPr="00D64FCD" w14:paraId="156A01A3" w14:textId="77777777" w:rsidTr="00067E7C">
        <w:tc>
          <w:tcPr>
            <w:tcW w:w="9362" w:type="dxa"/>
            <w:gridSpan w:val="3"/>
            <w:tcBorders>
              <w:top w:val="nil"/>
            </w:tcBorders>
          </w:tcPr>
          <w:p w14:paraId="5E91AB6B" w14:textId="77777777" w:rsidR="00D775C6" w:rsidRPr="00D64FCD" w:rsidRDefault="00D775C6" w:rsidP="005A78BF">
            <w:pPr>
              <w:rPr>
                <w:lang w:val="en-CA"/>
              </w:rPr>
            </w:pPr>
          </w:p>
        </w:tc>
      </w:tr>
      <w:tr w:rsidR="002C2BF3" w:rsidRPr="00D64FCD" w14:paraId="4FD6D8E2" w14:textId="77777777" w:rsidTr="00423DF1">
        <w:tc>
          <w:tcPr>
            <w:tcW w:w="9362" w:type="dxa"/>
            <w:gridSpan w:val="3"/>
          </w:tcPr>
          <w:p w14:paraId="1ECD94EC" w14:textId="4C605EAF" w:rsidR="00D775C6"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Barry Landy</w:t>
            </w:r>
          </w:p>
        </w:tc>
      </w:tr>
      <w:tr w:rsidR="002C2BF3" w:rsidRPr="00D64FCD" w14:paraId="68B13EC9" w14:textId="77777777" w:rsidTr="00423DF1">
        <w:tc>
          <w:tcPr>
            <w:tcW w:w="9362" w:type="dxa"/>
            <w:gridSpan w:val="3"/>
          </w:tcPr>
          <w:p w14:paraId="52ECFCF6" w14:textId="77590BCF" w:rsidR="00EB5D08" w:rsidRPr="00D64FCD" w:rsidRDefault="00294345" w:rsidP="00D775C6">
            <w:pPr>
              <w:pStyle w:val="zSoquijdatNomProcureurDef"/>
              <w:rPr>
                <w:lang w:val="en-CA"/>
              </w:rPr>
            </w:pPr>
            <w:proofErr w:type="spellStart"/>
            <w:r w:rsidRPr="00D64FCD">
              <w:rPr>
                <w:lang w:val="en-CA"/>
              </w:rPr>
              <w:t>Mtre</w:t>
            </w:r>
            <w:proofErr w:type="spellEnd"/>
            <w:r w:rsidRPr="00D64FCD">
              <w:rPr>
                <w:lang w:val="en-CA"/>
              </w:rPr>
              <w:t xml:space="preserve"> Carolyn</w:t>
            </w:r>
            <w:r w:rsidR="00A00A6C">
              <w:rPr>
                <w:lang w:val="en-CA"/>
              </w:rPr>
              <w:t> </w:t>
            </w:r>
            <w:r w:rsidRPr="00D64FCD">
              <w:rPr>
                <w:lang w:val="en-CA"/>
              </w:rPr>
              <w:t>Booth</w:t>
            </w:r>
          </w:p>
        </w:tc>
      </w:tr>
      <w:tr w:rsidR="002C2BF3" w:rsidRPr="00D64FCD" w14:paraId="5DAF16EA" w14:textId="77777777" w:rsidTr="00423DF1">
        <w:tc>
          <w:tcPr>
            <w:tcW w:w="9362" w:type="dxa"/>
            <w:gridSpan w:val="3"/>
          </w:tcPr>
          <w:p w14:paraId="004B23F5" w14:textId="3E9997E3" w:rsidR="00D775C6" w:rsidRPr="00D64FCD" w:rsidRDefault="00294345" w:rsidP="00D775C6">
            <w:pPr>
              <w:pStyle w:val="zSoquijdatCabinetProcureurDef"/>
              <w:rPr>
                <w:lang w:val="en-CA"/>
              </w:rPr>
            </w:pPr>
            <w:r w:rsidRPr="00D64FCD">
              <w:rPr>
                <w:lang w:val="en-CA"/>
              </w:rPr>
              <w:t>SPIEGEL RYAN</w:t>
            </w:r>
          </w:p>
        </w:tc>
      </w:tr>
      <w:tr w:rsidR="002C2BF3" w:rsidRPr="00D64FCD" w14:paraId="550A6140" w14:textId="77777777" w:rsidTr="00423DF1">
        <w:tc>
          <w:tcPr>
            <w:tcW w:w="9362" w:type="dxa"/>
            <w:gridSpan w:val="3"/>
          </w:tcPr>
          <w:p w14:paraId="210EEF98" w14:textId="70DDA5E3" w:rsidR="00D775C6" w:rsidRPr="00D64FCD" w:rsidRDefault="00294345" w:rsidP="00D775C6">
            <w:pPr>
              <w:pStyle w:val="zSoquijlblProcureurDef"/>
              <w:rPr>
                <w:lang w:val="en-CA"/>
              </w:rPr>
            </w:pPr>
            <w:r w:rsidRPr="00D64FCD">
              <w:rPr>
                <w:lang w:val="en-CA"/>
              </w:rPr>
              <w:t>For Jeremy Levi</w:t>
            </w:r>
          </w:p>
        </w:tc>
      </w:tr>
      <w:tr w:rsidR="002C2BF3" w:rsidRPr="00D64FCD" w14:paraId="26262ED9" w14:textId="77777777" w:rsidTr="00423DF1">
        <w:tc>
          <w:tcPr>
            <w:tcW w:w="9362" w:type="dxa"/>
            <w:gridSpan w:val="3"/>
          </w:tcPr>
          <w:p w14:paraId="4AEDF6E9" w14:textId="77777777" w:rsidR="005A78BF" w:rsidRPr="00D64FCD" w:rsidRDefault="005A78BF" w:rsidP="005A78BF">
            <w:pPr>
              <w:rPr>
                <w:lang w:val="en-CA"/>
              </w:rPr>
            </w:pPr>
          </w:p>
        </w:tc>
      </w:tr>
      <w:tr w:rsidR="002C2BF3" w:rsidRPr="00D64FCD" w14:paraId="3C40797B" w14:textId="77777777" w:rsidTr="00423DF1">
        <w:tc>
          <w:tcPr>
            <w:tcW w:w="1997" w:type="dxa"/>
          </w:tcPr>
          <w:p w14:paraId="21E00B62" w14:textId="2C581729" w:rsidR="005A78BF" w:rsidRPr="00D64FCD" w:rsidRDefault="00294345" w:rsidP="005A78BF">
            <w:pPr>
              <w:pStyle w:val="zSoquijlblDateAudience"/>
              <w:rPr>
                <w:lang w:val="en-CA"/>
              </w:rPr>
            </w:pPr>
            <w:r w:rsidRPr="00D64FCD">
              <w:rPr>
                <w:lang w:val="en-CA"/>
              </w:rPr>
              <w:t>Date of hearing:</w:t>
            </w:r>
          </w:p>
        </w:tc>
        <w:tc>
          <w:tcPr>
            <w:tcW w:w="7365" w:type="dxa"/>
            <w:gridSpan w:val="2"/>
          </w:tcPr>
          <w:p w14:paraId="2B216C32" w14:textId="0CADB9F8" w:rsidR="005A78BF" w:rsidRPr="00D64FCD" w:rsidRDefault="00294345" w:rsidP="005A78BF">
            <w:pPr>
              <w:pStyle w:val="zSoquijdatDateAudience"/>
              <w:rPr>
                <w:lang w:val="en-CA"/>
              </w:rPr>
            </w:pPr>
            <w:r w:rsidRPr="00D64FCD">
              <w:rPr>
                <w:lang w:val="en-CA"/>
              </w:rPr>
              <w:t>June</w:t>
            </w:r>
            <w:r w:rsidR="00A00A6C">
              <w:rPr>
                <w:lang w:val="en-CA"/>
              </w:rPr>
              <w:t> </w:t>
            </w:r>
            <w:r w:rsidRPr="00D64FCD">
              <w:rPr>
                <w:lang w:val="en-CA"/>
              </w:rPr>
              <w:t>11, 2025</w:t>
            </w:r>
          </w:p>
        </w:tc>
      </w:tr>
    </w:tbl>
    <w:p w14:paraId="5BB24693" w14:textId="77777777" w:rsidR="004F5B0D" w:rsidRDefault="004F5B0D">
      <w:bookmarkStart w:id="8" w:name="Opinion"/>
      <w:bookmarkEnd w:id="5"/>
      <w:r>
        <w:br w:type="page"/>
      </w:r>
    </w:p>
    <w:tbl>
      <w:tblPr>
        <w:tblW w:w="0" w:type="auto"/>
        <w:tblLayout w:type="fixed"/>
        <w:tblCellMar>
          <w:left w:w="0" w:type="dxa"/>
          <w:right w:w="0" w:type="dxa"/>
        </w:tblCellMar>
        <w:tblLook w:val="0000" w:firstRow="0" w:lastRow="0" w:firstColumn="0" w:lastColumn="0" w:noHBand="0" w:noVBand="0"/>
      </w:tblPr>
      <w:tblGrid>
        <w:gridCol w:w="9360"/>
      </w:tblGrid>
      <w:tr w:rsidR="002C2BF3" w:rsidRPr="00D64FCD" w14:paraId="08D83349" w14:textId="77777777" w:rsidTr="007C59AB">
        <w:tc>
          <w:tcPr>
            <w:tcW w:w="9360" w:type="dxa"/>
            <w:tcBorders>
              <w:bottom w:val="single" w:sz="8" w:space="0" w:color="auto"/>
            </w:tcBorders>
          </w:tcPr>
          <w:p w14:paraId="3630CA93" w14:textId="3795151E" w:rsidR="00067E7C" w:rsidRPr="00D64FCD" w:rsidRDefault="00294345" w:rsidP="007C59AB">
            <w:pPr>
              <w:rPr>
                <w:lang w:val="en-CA"/>
              </w:rPr>
            </w:pPr>
            <w:r w:rsidRPr="00D64FCD">
              <w:rPr>
                <w:lang w:val="en-CA"/>
              </w:rPr>
              <w:lastRenderedPageBreak/>
              <w:br w:type="page"/>
            </w:r>
          </w:p>
        </w:tc>
      </w:tr>
      <w:tr w:rsidR="002C2BF3" w:rsidRPr="00D64FCD" w14:paraId="11F203D8" w14:textId="77777777" w:rsidTr="007C59AB">
        <w:tc>
          <w:tcPr>
            <w:tcW w:w="9360" w:type="dxa"/>
            <w:tcBorders>
              <w:top w:val="single" w:sz="8" w:space="0" w:color="auto"/>
            </w:tcBorders>
          </w:tcPr>
          <w:p w14:paraId="69342EBD" w14:textId="77777777" w:rsidR="00067E7C" w:rsidRPr="00D64FCD" w:rsidRDefault="00067E7C" w:rsidP="007C59AB">
            <w:pPr>
              <w:rPr>
                <w:lang w:val="en-CA"/>
              </w:rPr>
            </w:pPr>
          </w:p>
        </w:tc>
      </w:tr>
      <w:bookmarkStart w:id="9" w:name="MotifJuge1"/>
      <w:tr w:rsidR="002C2BF3" w:rsidRPr="00177FCA" w14:paraId="2EDDF4B8" w14:textId="77777777" w:rsidTr="007C59AB">
        <w:tc>
          <w:tcPr>
            <w:tcW w:w="9360" w:type="dxa"/>
          </w:tcPr>
          <w:p w14:paraId="0C8A40A0" w14:textId="5BC86D98" w:rsidR="00067E7C" w:rsidRPr="00D64FCD" w:rsidRDefault="00294345" w:rsidP="007C59AB">
            <w:pPr>
              <w:pStyle w:val="zSoquijlblOpinionJuge"/>
              <w:rPr>
                <w:lang w:val="en-CA"/>
              </w:rPr>
            </w:pPr>
            <w:r w:rsidRPr="00D64FCD">
              <w:rPr>
                <w:lang w:val="en-CA"/>
              </w:rPr>
              <w:fldChar w:fldCharType="begin"/>
            </w:r>
            <w:r w:rsidRPr="00D64FCD">
              <w:rPr>
                <w:lang w:val="en-CA"/>
              </w:rPr>
              <w:instrText xml:space="preserve"> DOCVARIABLE MotifJuge1 </w:instrText>
            </w:r>
            <w:r w:rsidRPr="00D64FCD">
              <w:rPr>
                <w:lang w:val="en-CA"/>
              </w:rPr>
              <w:fldChar w:fldCharType="separate"/>
            </w:r>
            <w:r w:rsidR="00C54ED5" w:rsidRPr="00D64FCD">
              <w:rPr>
                <w:lang w:val="en-CA"/>
              </w:rPr>
              <w:t>REASONS OF</w:t>
            </w:r>
            <w:r w:rsidRPr="00D64FCD">
              <w:rPr>
                <w:lang w:val="en-CA"/>
              </w:rPr>
              <w:fldChar w:fldCharType="end"/>
            </w:r>
            <w:bookmarkEnd w:id="9"/>
            <w:r w:rsidRPr="00D64FCD">
              <w:rPr>
                <w:lang w:val="en-CA"/>
              </w:rPr>
              <w:t xml:space="preserve"> </w:t>
            </w:r>
            <w:r w:rsidRPr="00D64FCD">
              <w:rPr>
                <w:lang w:val="en-CA"/>
              </w:rPr>
              <w:fldChar w:fldCharType="begin"/>
            </w:r>
            <w:r w:rsidRPr="00D64FCD">
              <w:rPr>
                <w:lang w:val="en-CA"/>
              </w:rPr>
              <w:instrText xml:space="preserve"> DOCVARIABLE NomFamJuge1 </w:instrText>
            </w:r>
            <w:r w:rsidRPr="00D64FCD">
              <w:rPr>
                <w:lang w:val="en-CA"/>
              </w:rPr>
              <w:fldChar w:fldCharType="separate"/>
            </w:r>
            <w:r w:rsidR="00EF57F9" w:rsidRPr="00D64FCD">
              <w:rPr>
                <w:lang w:val="en-CA"/>
              </w:rPr>
              <w:t>SCHRAGER</w:t>
            </w:r>
            <w:r w:rsidRPr="00D64FCD">
              <w:rPr>
                <w:lang w:val="en-CA"/>
              </w:rPr>
              <w:fldChar w:fldCharType="end"/>
            </w:r>
            <w:r w:rsidR="00C54ED5" w:rsidRPr="00D64FCD">
              <w:rPr>
                <w:lang w:val="en-CA"/>
              </w:rPr>
              <w:t>, J.A.</w:t>
            </w:r>
          </w:p>
        </w:tc>
      </w:tr>
      <w:tr w:rsidR="002C2BF3" w:rsidRPr="00177FCA" w14:paraId="2E861867" w14:textId="77777777" w:rsidTr="007C59AB">
        <w:tc>
          <w:tcPr>
            <w:tcW w:w="9360" w:type="dxa"/>
            <w:tcBorders>
              <w:bottom w:val="single" w:sz="8" w:space="0" w:color="auto"/>
            </w:tcBorders>
          </w:tcPr>
          <w:p w14:paraId="14021256" w14:textId="77777777" w:rsidR="00067E7C" w:rsidRPr="00D64FCD" w:rsidRDefault="00067E7C" w:rsidP="007C59AB">
            <w:pPr>
              <w:rPr>
                <w:lang w:val="en-CA"/>
              </w:rPr>
            </w:pPr>
          </w:p>
        </w:tc>
      </w:tr>
      <w:tr w:rsidR="002C2BF3" w:rsidRPr="00177FCA" w14:paraId="140C2B7B" w14:textId="77777777" w:rsidTr="007C59AB">
        <w:tc>
          <w:tcPr>
            <w:tcW w:w="9360" w:type="dxa"/>
            <w:tcBorders>
              <w:top w:val="single" w:sz="8" w:space="0" w:color="auto"/>
            </w:tcBorders>
          </w:tcPr>
          <w:p w14:paraId="6962F2DE" w14:textId="77777777" w:rsidR="00067E7C" w:rsidRPr="00D64FCD" w:rsidRDefault="00067E7C" w:rsidP="007C59AB">
            <w:pPr>
              <w:rPr>
                <w:lang w:val="en-CA"/>
              </w:rPr>
            </w:pPr>
          </w:p>
        </w:tc>
      </w:tr>
    </w:tbl>
    <w:p w14:paraId="31ECD8B0" w14:textId="020709D7" w:rsidR="00067E7C" w:rsidRPr="00D64FCD" w:rsidRDefault="005F247F" w:rsidP="00D64254">
      <w:pPr>
        <w:pStyle w:val="1Paragraphe"/>
        <w:numPr>
          <w:ilvl w:val="0"/>
          <w:numId w:val="18"/>
        </w:numPr>
        <w:spacing w:line="280" w:lineRule="exact"/>
        <w:rPr>
          <w:lang w:val="en-CA"/>
        </w:rPr>
      </w:pPr>
      <w:r w:rsidRPr="00D64FCD">
        <w:rPr>
          <w:szCs w:val="24"/>
          <w:lang w:val="en-CA"/>
        </w:rPr>
        <w:t>The appel</w:t>
      </w:r>
      <w:r w:rsidR="00F724EB">
        <w:rPr>
          <w:szCs w:val="24"/>
          <w:lang w:val="en-CA"/>
        </w:rPr>
        <w:t>l</w:t>
      </w:r>
      <w:r w:rsidRPr="00D64FCD">
        <w:rPr>
          <w:szCs w:val="24"/>
          <w:lang w:val="en-CA"/>
        </w:rPr>
        <w:t>ants appeal</w:t>
      </w:r>
      <w:r w:rsidR="00AA170F">
        <w:rPr>
          <w:szCs w:val="24"/>
          <w:lang w:val="en-CA"/>
        </w:rPr>
        <w:t xml:space="preserve"> by</w:t>
      </w:r>
      <w:r w:rsidRPr="00D64FCD">
        <w:rPr>
          <w:szCs w:val="24"/>
          <w:lang w:val="en-CA"/>
        </w:rPr>
        <w:t xml:space="preserve"> leave </w:t>
      </w:r>
      <w:r w:rsidR="00AA170F">
        <w:rPr>
          <w:szCs w:val="24"/>
          <w:lang w:val="en-CA"/>
        </w:rPr>
        <w:t xml:space="preserve">of </w:t>
      </w:r>
      <w:r w:rsidRPr="00D64FCD">
        <w:rPr>
          <w:szCs w:val="24"/>
          <w:lang w:val="en-CA"/>
        </w:rPr>
        <w:t>a judge of the Court</w:t>
      </w:r>
      <w:r w:rsidR="00294345" w:rsidRPr="00D64FCD">
        <w:rPr>
          <w:rStyle w:val="Appelnotedebasdep"/>
          <w:szCs w:val="24"/>
          <w:lang w:val="en-CA"/>
        </w:rPr>
        <w:footnoteReference w:id="1"/>
      </w:r>
      <w:r w:rsidRPr="00D64FCD">
        <w:rPr>
          <w:rStyle w:val="Citationintgre"/>
          <w:i w:val="0"/>
          <w:sz w:val="24"/>
          <w:szCs w:val="24"/>
          <w:lang w:val="en-CA"/>
        </w:rPr>
        <w:t xml:space="preserve"> from a judgment rendered in the course of proceedings on July</w:t>
      </w:r>
      <w:r w:rsidR="00A00A6C">
        <w:rPr>
          <w:rStyle w:val="Citationintgre"/>
          <w:i w:val="0"/>
          <w:sz w:val="24"/>
          <w:szCs w:val="24"/>
          <w:lang w:val="en-CA"/>
        </w:rPr>
        <w:t> </w:t>
      </w:r>
      <w:r w:rsidRPr="00D64FCD">
        <w:rPr>
          <w:rStyle w:val="Citationintgre"/>
          <w:i w:val="0"/>
          <w:sz w:val="24"/>
          <w:szCs w:val="24"/>
          <w:lang w:val="en-CA"/>
        </w:rPr>
        <w:t>22, 2024, by the Superior Court, District of Montreal (the Honourable Suzanne Courchesne) authorizing, pursuant to article</w:t>
      </w:r>
      <w:r w:rsidR="00F92FA1">
        <w:rPr>
          <w:rStyle w:val="Citationintgre"/>
          <w:i w:val="0"/>
          <w:sz w:val="24"/>
          <w:szCs w:val="24"/>
          <w:lang w:val="en-CA"/>
        </w:rPr>
        <w:t> </w:t>
      </w:r>
      <w:r w:rsidRPr="00D64FCD">
        <w:rPr>
          <w:rStyle w:val="Citationintgre"/>
          <w:i w:val="0"/>
          <w:sz w:val="24"/>
          <w:szCs w:val="24"/>
          <w:lang w:val="en-CA"/>
        </w:rPr>
        <w:t xml:space="preserve">2870 </w:t>
      </w:r>
      <w:r w:rsidRPr="00D16016">
        <w:rPr>
          <w:rStyle w:val="Citationintgre"/>
          <w:iCs/>
          <w:sz w:val="24"/>
          <w:szCs w:val="24"/>
          <w:lang w:val="en-CA"/>
        </w:rPr>
        <w:t>C</w:t>
      </w:r>
      <w:r w:rsidR="00010B14">
        <w:rPr>
          <w:rStyle w:val="Citationintgre"/>
          <w:iCs/>
          <w:sz w:val="24"/>
          <w:szCs w:val="24"/>
          <w:lang w:val="en-CA"/>
        </w:rPr>
        <w:t>.</w:t>
      </w:r>
      <w:r w:rsidRPr="00D16016">
        <w:rPr>
          <w:rStyle w:val="Citationintgre"/>
          <w:iCs/>
          <w:sz w:val="24"/>
          <w:szCs w:val="24"/>
          <w:lang w:val="en-CA"/>
        </w:rPr>
        <w:t>C</w:t>
      </w:r>
      <w:r w:rsidR="00010B14">
        <w:rPr>
          <w:rStyle w:val="Citationintgre"/>
          <w:iCs/>
          <w:sz w:val="24"/>
          <w:szCs w:val="24"/>
          <w:lang w:val="en-CA"/>
        </w:rPr>
        <w:t>.</w:t>
      </w:r>
      <w:r w:rsidRPr="00D16016">
        <w:rPr>
          <w:rStyle w:val="Citationintgre"/>
          <w:iCs/>
          <w:sz w:val="24"/>
          <w:szCs w:val="24"/>
          <w:lang w:val="en-CA"/>
        </w:rPr>
        <w:t>Q</w:t>
      </w:r>
      <w:r w:rsidR="00010B14">
        <w:rPr>
          <w:rStyle w:val="Citationintgre"/>
          <w:iCs/>
          <w:sz w:val="24"/>
          <w:szCs w:val="24"/>
          <w:lang w:val="en-CA"/>
        </w:rPr>
        <w:t>.</w:t>
      </w:r>
      <w:r w:rsidRPr="00D64FCD">
        <w:rPr>
          <w:rStyle w:val="Citationintgre"/>
          <w:i w:val="0"/>
          <w:sz w:val="24"/>
          <w:szCs w:val="24"/>
          <w:lang w:val="en-CA"/>
        </w:rPr>
        <w:t xml:space="preserve">, the filing into evidence by the respondents of several </w:t>
      </w:r>
      <w:r w:rsidR="00C14CBB" w:rsidRPr="00D64FCD">
        <w:rPr>
          <w:rStyle w:val="Citationintgre"/>
          <w:i w:val="0"/>
          <w:sz w:val="24"/>
          <w:szCs w:val="24"/>
          <w:lang w:val="en-CA"/>
        </w:rPr>
        <w:t>affidavits of</w:t>
      </w:r>
      <w:r w:rsidRPr="00D64FCD">
        <w:rPr>
          <w:rStyle w:val="Citationintgre"/>
          <w:i w:val="0"/>
          <w:sz w:val="24"/>
          <w:szCs w:val="24"/>
          <w:lang w:val="en-CA"/>
        </w:rPr>
        <w:t xml:space="preserve"> six judges of the Court of Québec and of exhibits in support of those </w:t>
      </w:r>
      <w:r w:rsidR="00803EDE" w:rsidRPr="00D64FCD">
        <w:rPr>
          <w:rStyle w:val="Citationintgre"/>
          <w:i w:val="0"/>
          <w:sz w:val="24"/>
          <w:szCs w:val="24"/>
          <w:lang w:val="en-CA"/>
        </w:rPr>
        <w:t>statement</w:t>
      </w:r>
      <w:r w:rsidRPr="00D64FCD">
        <w:rPr>
          <w:rStyle w:val="Citationintgre"/>
          <w:i w:val="0"/>
          <w:sz w:val="24"/>
          <w:szCs w:val="24"/>
          <w:lang w:val="en-CA"/>
        </w:rPr>
        <w:t xml:space="preserve">s, each filed in </w:t>
      </w:r>
      <w:r w:rsidR="00AA170F">
        <w:rPr>
          <w:rStyle w:val="Citationintgre"/>
          <w:i w:val="0"/>
          <w:sz w:val="24"/>
          <w:szCs w:val="24"/>
          <w:lang w:val="en-CA"/>
        </w:rPr>
        <w:t>separate</w:t>
      </w:r>
      <w:r w:rsidRPr="00D64FCD">
        <w:rPr>
          <w:rStyle w:val="Citationintgre"/>
          <w:i w:val="0"/>
          <w:sz w:val="24"/>
          <w:szCs w:val="24"/>
          <w:lang w:val="en-CA"/>
        </w:rPr>
        <w:t xml:space="preserve"> proceeding</w:t>
      </w:r>
      <w:r w:rsidR="00AA170F">
        <w:rPr>
          <w:rStyle w:val="Citationintgre"/>
          <w:i w:val="0"/>
          <w:sz w:val="24"/>
          <w:szCs w:val="24"/>
          <w:lang w:val="en-CA"/>
        </w:rPr>
        <w:t>s</w:t>
      </w:r>
      <w:r w:rsidRPr="00D64FCD">
        <w:rPr>
          <w:rStyle w:val="Citationintgre"/>
          <w:i w:val="0"/>
          <w:sz w:val="24"/>
          <w:szCs w:val="24"/>
          <w:lang w:val="en-CA"/>
        </w:rPr>
        <w:t>.</w:t>
      </w:r>
      <w:bookmarkStart w:id="10" w:name="_Ref229137260"/>
      <w:r w:rsidR="0021307B" w:rsidRPr="00D64FCD">
        <w:rPr>
          <w:rStyle w:val="Appelnotedebasdep"/>
          <w:szCs w:val="24"/>
          <w:lang w:val="en-CA"/>
        </w:rPr>
        <w:footnoteReference w:id="2"/>
      </w:r>
      <w:bookmarkEnd w:id="10"/>
      <w:r w:rsidR="00294345" w:rsidRPr="00D64FCD">
        <w:rPr>
          <w:szCs w:val="24"/>
          <w:lang w:val="en-CA"/>
        </w:rPr>
        <w:t xml:space="preserve"> The only issue raised in this appeal is whether this evidence is admissible under article</w:t>
      </w:r>
      <w:r w:rsidR="00F92FA1">
        <w:rPr>
          <w:szCs w:val="24"/>
          <w:lang w:val="en-CA"/>
        </w:rPr>
        <w:t> </w:t>
      </w:r>
      <w:r w:rsidR="00294345" w:rsidRPr="00D64FCD">
        <w:rPr>
          <w:szCs w:val="24"/>
          <w:lang w:val="en-CA"/>
        </w:rPr>
        <w:t xml:space="preserve">2870 </w:t>
      </w:r>
      <w:r w:rsidR="00294345" w:rsidRPr="00D16016">
        <w:rPr>
          <w:i/>
          <w:iCs/>
          <w:szCs w:val="24"/>
          <w:lang w:val="en-CA"/>
        </w:rPr>
        <w:t>C</w:t>
      </w:r>
      <w:r w:rsidR="00010B14">
        <w:rPr>
          <w:i/>
          <w:iCs/>
          <w:szCs w:val="24"/>
          <w:lang w:val="en-CA"/>
        </w:rPr>
        <w:t>.</w:t>
      </w:r>
      <w:r w:rsidR="00294345" w:rsidRPr="00D16016">
        <w:rPr>
          <w:i/>
          <w:iCs/>
          <w:szCs w:val="24"/>
          <w:lang w:val="en-CA"/>
        </w:rPr>
        <w:t>C</w:t>
      </w:r>
      <w:r w:rsidR="00010B14">
        <w:rPr>
          <w:i/>
          <w:iCs/>
          <w:szCs w:val="24"/>
          <w:lang w:val="en-CA"/>
        </w:rPr>
        <w:t>.</w:t>
      </w:r>
      <w:r w:rsidR="00294345" w:rsidRPr="00D16016">
        <w:rPr>
          <w:i/>
          <w:iCs/>
          <w:szCs w:val="24"/>
          <w:lang w:val="en-CA"/>
        </w:rPr>
        <w:t>Q</w:t>
      </w:r>
      <w:r w:rsidR="00294345" w:rsidRPr="00D64FCD">
        <w:rPr>
          <w:szCs w:val="24"/>
          <w:lang w:val="en-CA"/>
        </w:rPr>
        <w:t>.</w:t>
      </w:r>
    </w:p>
    <w:p w14:paraId="6641AAF5" w14:textId="741026B5" w:rsidR="00067E7C" w:rsidRPr="00D64FCD" w:rsidRDefault="00294345" w:rsidP="00D64254">
      <w:pPr>
        <w:pStyle w:val="1Paragraphe"/>
        <w:numPr>
          <w:ilvl w:val="0"/>
          <w:numId w:val="18"/>
        </w:numPr>
        <w:spacing w:line="280" w:lineRule="exact"/>
        <w:rPr>
          <w:lang w:val="en-CA"/>
        </w:rPr>
      </w:pPr>
      <w:r w:rsidRPr="00D64FCD">
        <w:rPr>
          <w:lang w:val="en-CA"/>
        </w:rPr>
        <w:t>On June</w:t>
      </w:r>
      <w:r w:rsidR="00A00A6C">
        <w:rPr>
          <w:lang w:val="en-CA"/>
        </w:rPr>
        <w:t> </w:t>
      </w:r>
      <w:r w:rsidRPr="00D64FCD">
        <w:rPr>
          <w:lang w:val="en-CA"/>
        </w:rPr>
        <w:t xml:space="preserve">1, 2022, the same day the </w:t>
      </w:r>
      <w:r w:rsidRPr="00D64FCD">
        <w:rPr>
          <w:i/>
          <w:lang w:val="en-CA"/>
        </w:rPr>
        <w:t xml:space="preserve">Act respecting French, the official and common language of Québec </w:t>
      </w:r>
      <w:r w:rsidRPr="00D64FCD">
        <w:rPr>
          <w:lang w:val="en-CA"/>
        </w:rPr>
        <w:t>(</w:t>
      </w:r>
      <w:r w:rsidRPr="00D16016">
        <w:rPr>
          <w:iCs/>
          <w:lang w:val="en-CA"/>
        </w:rPr>
        <w:t>the</w:t>
      </w:r>
      <w:r w:rsidRPr="00D64FCD">
        <w:rPr>
          <w:i/>
          <w:lang w:val="en-CA"/>
        </w:rPr>
        <w:t xml:space="preserve"> </w:t>
      </w:r>
      <w:r w:rsidRPr="00D64FCD">
        <w:rPr>
          <w:lang w:val="en-CA"/>
        </w:rPr>
        <w:t>“</w:t>
      </w:r>
      <w:r w:rsidRPr="00D64FCD">
        <w:rPr>
          <w:b/>
          <w:i/>
          <w:lang w:val="en-CA"/>
        </w:rPr>
        <w:t>Act</w:t>
      </w:r>
      <w:r w:rsidRPr="00D64FCD">
        <w:rPr>
          <w:i/>
          <w:lang w:val="en-CA"/>
        </w:rPr>
        <w:t>”</w:t>
      </w:r>
      <w:r w:rsidRPr="00D64FCD">
        <w:rPr>
          <w:lang w:val="en-CA"/>
        </w:rPr>
        <w:t>)</w:t>
      </w:r>
      <w:r w:rsidRPr="00D64FCD">
        <w:rPr>
          <w:rStyle w:val="Appelnotedebasdep"/>
          <w:szCs w:val="24"/>
          <w:lang w:val="en-CA"/>
        </w:rPr>
        <w:footnoteReference w:id="3"/>
      </w:r>
      <w:r w:rsidR="004F5B0D">
        <w:rPr>
          <w:lang w:val="en-CA"/>
        </w:rPr>
        <w:t xml:space="preserve"> </w:t>
      </w:r>
      <w:r w:rsidRPr="00D64FCD">
        <w:rPr>
          <w:lang w:val="en-CA"/>
        </w:rPr>
        <w:t xml:space="preserve">was </w:t>
      </w:r>
      <w:r w:rsidR="00E42557">
        <w:rPr>
          <w:lang w:val="en-CA"/>
        </w:rPr>
        <w:t>assented to</w:t>
      </w:r>
      <w:r w:rsidRPr="00D64FCD">
        <w:rPr>
          <w:lang w:val="en-CA"/>
        </w:rPr>
        <w:t>, the respondents filed an application for judicial review</w:t>
      </w:r>
      <w:r w:rsidRPr="00D64FCD">
        <w:rPr>
          <w:rStyle w:val="Appelnotedebasdep"/>
          <w:szCs w:val="24"/>
          <w:lang w:val="en-CA"/>
        </w:rPr>
        <w:footnoteReference w:id="4"/>
      </w:r>
      <w:r w:rsidRPr="00D64FCD">
        <w:rPr>
          <w:lang w:val="en-CA"/>
        </w:rPr>
        <w:t xml:space="preserve"> seeking to have declared unconstitutional several of the amendments and additions made by that statute to the </w:t>
      </w:r>
      <w:r w:rsidRPr="00D64FCD">
        <w:rPr>
          <w:i/>
          <w:lang w:val="en-CA"/>
        </w:rPr>
        <w:t>Charter of the French Language</w:t>
      </w:r>
      <w:r w:rsidRPr="00D64FCD">
        <w:rPr>
          <w:lang w:val="en-CA"/>
        </w:rPr>
        <w:t xml:space="preserve"> (the “</w:t>
      </w:r>
      <w:r w:rsidRPr="00D64FCD">
        <w:rPr>
          <w:b/>
          <w:i/>
          <w:iCs/>
          <w:lang w:val="en-CA"/>
        </w:rPr>
        <w:t>C</w:t>
      </w:r>
      <w:r w:rsidR="00E87E6F" w:rsidRPr="00D64FCD">
        <w:rPr>
          <w:b/>
          <w:i/>
          <w:iCs/>
          <w:lang w:val="en-CA"/>
        </w:rPr>
        <w:t>FL</w:t>
      </w:r>
      <w:r w:rsidRPr="00D64FCD">
        <w:rPr>
          <w:lang w:val="en-CA"/>
        </w:rPr>
        <w:t>”),</w:t>
      </w:r>
      <w:r w:rsidRPr="00D64FCD">
        <w:rPr>
          <w:rStyle w:val="Appelnotedebasdep"/>
          <w:szCs w:val="24"/>
          <w:lang w:val="en-CA"/>
        </w:rPr>
        <w:footnoteReference w:id="5"/>
      </w:r>
      <w:r w:rsidRPr="00D64FCD">
        <w:rPr>
          <w:lang w:val="en-CA"/>
        </w:rPr>
        <w:t xml:space="preserve"> the </w:t>
      </w:r>
      <w:r w:rsidRPr="00D64FCD">
        <w:rPr>
          <w:i/>
          <w:lang w:val="en-CA"/>
        </w:rPr>
        <w:t xml:space="preserve">Courts of Justice Act </w:t>
      </w:r>
      <w:r w:rsidRPr="00D64FCD">
        <w:rPr>
          <w:lang w:val="en-CA"/>
        </w:rPr>
        <w:t>(the “</w:t>
      </w:r>
      <w:r w:rsidRPr="00D64FCD">
        <w:rPr>
          <w:b/>
          <w:i/>
          <w:lang w:val="en-CA"/>
        </w:rPr>
        <w:t>CJA</w:t>
      </w:r>
      <w:r w:rsidRPr="00D64FCD">
        <w:rPr>
          <w:lang w:val="en-CA"/>
        </w:rPr>
        <w:t>”),</w:t>
      </w:r>
      <w:r w:rsidRPr="00D64FCD">
        <w:rPr>
          <w:rStyle w:val="Appelnotedebasdep"/>
          <w:szCs w:val="24"/>
          <w:lang w:val="en-CA"/>
        </w:rPr>
        <w:footnoteReference w:id="6"/>
      </w:r>
      <w:r w:rsidRPr="00D64FCD">
        <w:rPr>
          <w:lang w:val="en-CA"/>
        </w:rPr>
        <w:t xml:space="preserve"> the </w:t>
      </w:r>
      <w:r w:rsidRPr="00D64FCD">
        <w:rPr>
          <w:i/>
          <w:lang w:val="en-CA"/>
        </w:rPr>
        <w:t xml:space="preserve">Regulation respecting the selection procedure </w:t>
      </w:r>
      <w:r w:rsidRPr="00D64FCD">
        <w:rPr>
          <w:lang w:val="en-CA"/>
        </w:rPr>
        <w:t>(the “</w:t>
      </w:r>
      <w:r w:rsidRPr="00D64FCD">
        <w:rPr>
          <w:b/>
          <w:i/>
          <w:iCs/>
          <w:lang w:val="en-CA"/>
        </w:rPr>
        <w:t>Regulation</w:t>
      </w:r>
      <w:r w:rsidRPr="00D64FCD">
        <w:rPr>
          <w:lang w:val="en-CA"/>
        </w:rPr>
        <w:t>”)</w:t>
      </w:r>
      <w:r w:rsidRPr="00D64FCD">
        <w:rPr>
          <w:rStyle w:val="Appelnotedebasdep"/>
          <w:szCs w:val="24"/>
          <w:lang w:val="en-CA"/>
        </w:rPr>
        <w:footnoteReference w:id="7"/>
      </w:r>
      <w:r w:rsidRPr="00D64FCD">
        <w:rPr>
          <w:lang w:val="en-CA"/>
        </w:rPr>
        <w:t xml:space="preserve"> and to the </w:t>
      </w:r>
      <w:r w:rsidRPr="00D16016">
        <w:rPr>
          <w:bCs/>
          <w:i/>
          <w:lang w:val="en-CA"/>
        </w:rPr>
        <w:t xml:space="preserve">Constitution Act, </w:t>
      </w:r>
      <w:r w:rsidR="00E42557" w:rsidRPr="00D16016">
        <w:rPr>
          <w:bCs/>
          <w:i/>
          <w:lang w:val="en-CA"/>
        </w:rPr>
        <w:t>1867</w:t>
      </w:r>
      <w:r w:rsidR="00260598">
        <w:rPr>
          <w:bCs/>
          <w:i/>
          <w:lang w:val="en-CA"/>
        </w:rPr>
        <w:t>.</w:t>
      </w:r>
      <w:r w:rsidRPr="00D64FCD">
        <w:rPr>
          <w:rStyle w:val="Appelnotedebasdep"/>
          <w:szCs w:val="24"/>
          <w:lang w:val="en-CA"/>
        </w:rPr>
        <w:footnoteReference w:id="8"/>
      </w:r>
      <w:r w:rsidRPr="00D64FCD">
        <w:rPr>
          <w:szCs w:val="24"/>
          <w:lang w:val="en-CA"/>
        </w:rPr>
        <w:t xml:space="preserve"> Concurrently, private litigants instituted three other proceedings contesting </w:t>
      </w:r>
      <w:r w:rsidR="00803EDE" w:rsidRPr="00D64FCD">
        <w:rPr>
          <w:szCs w:val="24"/>
          <w:lang w:val="en-CA"/>
        </w:rPr>
        <w:t xml:space="preserve">some of the </w:t>
      </w:r>
      <w:r w:rsidRPr="00D64FCD">
        <w:rPr>
          <w:szCs w:val="24"/>
          <w:lang w:val="en-CA"/>
        </w:rPr>
        <w:t xml:space="preserve">provisions amended or added by the </w:t>
      </w:r>
      <w:r w:rsidRPr="00D64FCD">
        <w:rPr>
          <w:i/>
          <w:szCs w:val="24"/>
          <w:lang w:val="en-CA"/>
        </w:rPr>
        <w:t>Act</w:t>
      </w:r>
      <w:r w:rsidRPr="00D64FCD">
        <w:rPr>
          <w:szCs w:val="24"/>
          <w:lang w:val="en-CA"/>
        </w:rPr>
        <w:t>.</w:t>
      </w:r>
      <w:r w:rsidRPr="00D64FCD">
        <w:rPr>
          <w:rStyle w:val="Appelnotedebasdep"/>
          <w:szCs w:val="24"/>
          <w:lang w:val="en-CA"/>
        </w:rPr>
        <w:footnoteReference w:id="9"/>
      </w:r>
      <w:r w:rsidRPr="00D64FCD">
        <w:rPr>
          <w:szCs w:val="24"/>
          <w:lang w:val="en-CA"/>
        </w:rPr>
        <w:t xml:space="preserve"> The three cases were joined to facilitate the hearing and the judgment.</w:t>
      </w:r>
    </w:p>
    <w:p w14:paraId="00485CBD" w14:textId="63F8A387" w:rsidR="00067E7C" w:rsidRPr="00D64FCD" w:rsidRDefault="00294345" w:rsidP="00D64254">
      <w:pPr>
        <w:pStyle w:val="1Paragraphe"/>
        <w:numPr>
          <w:ilvl w:val="0"/>
          <w:numId w:val="18"/>
        </w:numPr>
        <w:spacing w:line="280" w:lineRule="exact"/>
        <w:rPr>
          <w:lang w:val="en-CA"/>
        </w:rPr>
      </w:pPr>
      <w:r w:rsidRPr="00D64FCD">
        <w:rPr>
          <w:szCs w:val="24"/>
          <w:lang w:val="en-CA"/>
        </w:rPr>
        <w:t xml:space="preserve"> Similarly, in August</w:t>
      </w:r>
      <w:r w:rsidR="00A00A6C">
        <w:rPr>
          <w:szCs w:val="24"/>
          <w:lang w:val="en-CA"/>
        </w:rPr>
        <w:t> </w:t>
      </w:r>
      <w:r w:rsidRPr="00D64FCD">
        <w:rPr>
          <w:szCs w:val="24"/>
          <w:lang w:val="en-CA"/>
        </w:rPr>
        <w:t>2022, the Conseil de la magistrature du Québec and the chief judges of the Court of Québec instituted a</w:t>
      </w:r>
      <w:r w:rsidR="001932B4">
        <w:rPr>
          <w:szCs w:val="24"/>
          <w:lang w:val="en-CA"/>
        </w:rPr>
        <w:t>nother</w:t>
      </w:r>
      <w:r w:rsidRPr="00D64FCD">
        <w:rPr>
          <w:szCs w:val="24"/>
          <w:lang w:val="en-CA"/>
        </w:rPr>
        <w:t xml:space="preserve"> proceeding to protect the administrative independence of the Court of Québec and access to justice.</w:t>
      </w:r>
      <w:r w:rsidRPr="00D64FCD">
        <w:rPr>
          <w:rStyle w:val="Appelnotedebasdep"/>
          <w:lang w:val="en-CA"/>
        </w:rPr>
        <w:footnoteReference w:id="10"/>
      </w:r>
      <w:r w:rsidRPr="00D64FCD">
        <w:rPr>
          <w:lang w:val="en-CA"/>
        </w:rPr>
        <w:t xml:space="preserve"> In addition to contesting the constitutionality of section</w:t>
      </w:r>
      <w:r w:rsidR="00F92FA1">
        <w:rPr>
          <w:lang w:val="en-CA"/>
        </w:rPr>
        <w:t> </w:t>
      </w:r>
      <w:r w:rsidRPr="00D64FCD">
        <w:rPr>
          <w:lang w:val="en-CA"/>
        </w:rPr>
        <w:t xml:space="preserve">12 </w:t>
      </w:r>
      <w:r w:rsidR="001932B4" w:rsidRPr="00D64FCD">
        <w:rPr>
          <w:i/>
          <w:lang w:val="en-CA"/>
        </w:rPr>
        <w:t>C</w:t>
      </w:r>
      <w:r w:rsidR="001932B4">
        <w:rPr>
          <w:i/>
          <w:lang w:val="en-CA"/>
        </w:rPr>
        <w:t>FL</w:t>
      </w:r>
      <w:r w:rsidRPr="00D64FCD">
        <w:rPr>
          <w:lang w:val="en-CA"/>
        </w:rPr>
        <w:t>, section</w:t>
      </w:r>
      <w:r w:rsidR="00F92FA1">
        <w:rPr>
          <w:lang w:val="en-CA"/>
        </w:rPr>
        <w:t> </w:t>
      </w:r>
      <w:r w:rsidRPr="00D64FCD">
        <w:rPr>
          <w:lang w:val="en-CA"/>
        </w:rPr>
        <w:t xml:space="preserve">88.1 </w:t>
      </w:r>
      <w:r w:rsidRPr="00D64FCD">
        <w:rPr>
          <w:i/>
          <w:lang w:val="en-CA"/>
        </w:rPr>
        <w:t>CJA</w:t>
      </w:r>
      <w:r w:rsidRPr="00D64FCD">
        <w:rPr>
          <w:lang w:val="en-CA"/>
        </w:rPr>
        <w:t xml:space="preserve"> and </w:t>
      </w:r>
      <w:r w:rsidR="001932B4">
        <w:rPr>
          <w:lang w:val="en-CA"/>
        </w:rPr>
        <w:t>sections </w:t>
      </w:r>
      <w:r w:rsidRPr="00D64FCD">
        <w:rPr>
          <w:lang w:val="en-CA"/>
        </w:rPr>
        <w:t xml:space="preserve">6, 9, and 9.1 of the </w:t>
      </w:r>
      <w:r w:rsidRPr="00D64FCD">
        <w:rPr>
          <w:i/>
          <w:lang w:val="en-CA"/>
        </w:rPr>
        <w:t>Regulation</w:t>
      </w:r>
      <w:r w:rsidRPr="00D64FCD">
        <w:rPr>
          <w:lang w:val="en-CA"/>
        </w:rPr>
        <w:t xml:space="preserve"> amended or introduced by the </w:t>
      </w:r>
      <w:r w:rsidRPr="00D64FCD">
        <w:rPr>
          <w:i/>
          <w:lang w:val="en-CA"/>
        </w:rPr>
        <w:t>Act</w:t>
      </w:r>
      <w:r w:rsidRPr="00D64FCD">
        <w:rPr>
          <w:lang w:val="en-CA"/>
        </w:rPr>
        <w:t xml:space="preserve">, </w:t>
      </w:r>
      <w:r w:rsidRPr="00D64FCD">
        <w:rPr>
          <w:szCs w:val="24"/>
          <w:lang w:val="en-CA"/>
        </w:rPr>
        <w:t>in the most recent version of that proceeding, dated April</w:t>
      </w:r>
      <w:r w:rsidR="00A00A6C">
        <w:rPr>
          <w:szCs w:val="24"/>
          <w:lang w:val="en-CA"/>
        </w:rPr>
        <w:t> </w:t>
      </w:r>
      <w:r w:rsidRPr="00D64FCD">
        <w:rPr>
          <w:szCs w:val="24"/>
          <w:lang w:val="en-CA"/>
        </w:rPr>
        <w:t>26, 2023, they ask</w:t>
      </w:r>
      <w:r w:rsidR="00F724EB">
        <w:rPr>
          <w:szCs w:val="24"/>
          <w:lang w:val="en-CA"/>
        </w:rPr>
        <w:t>ed</w:t>
      </w:r>
      <w:r w:rsidRPr="00D64FCD">
        <w:rPr>
          <w:szCs w:val="24"/>
          <w:lang w:val="en-CA"/>
        </w:rPr>
        <w:t xml:space="preserve"> the Superior Court to cancel several notices of selection for judges (</w:t>
      </w:r>
      <w:r w:rsidR="00F92FA1">
        <w:rPr>
          <w:szCs w:val="24"/>
          <w:lang w:val="en-CA"/>
        </w:rPr>
        <w:t>“</w:t>
      </w:r>
      <w:r w:rsidRPr="00D64FCD">
        <w:rPr>
          <w:b/>
          <w:szCs w:val="24"/>
          <w:lang w:val="en-CA"/>
        </w:rPr>
        <w:t xml:space="preserve">CMQ </w:t>
      </w:r>
      <w:r w:rsidR="002E3E18" w:rsidRPr="00D64FCD">
        <w:rPr>
          <w:b/>
          <w:szCs w:val="24"/>
          <w:lang w:val="en-CA"/>
        </w:rPr>
        <w:t>case</w:t>
      </w:r>
      <w:r w:rsidRPr="00D64FCD">
        <w:rPr>
          <w:lang w:val="en-CA"/>
        </w:rPr>
        <w:t>”)</w:t>
      </w:r>
      <w:r w:rsidR="00293573" w:rsidRPr="00D64FCD">
        <w:rPr>
          <w:lang w:val="en-CA"/>
        </w:rPr>
        <w:t>,</w:t>
      </w:r>
      <w:r w:rsidRPr="00D64FCD">
        <w:rPr>
          <w:lang w:val="en-CA"/>
        </w:rPr>
        <w:t xml:space="preserve"> </w:t>
      </w:r>
      <w:r w:rsidR="00293573" w:rsidRPr="00D64FCD">
        <w:rPr>
          <w:lang w:val="en-CA"/>
        </w:rPr>
        <w:t>like some of the other appeals.</w:t>
      </w:r>
      <w:r w:rsidR="00293573" w:rsidRPr="00D64FCD">
        <w:rPr>
          <w:rStyle w:val="Appelnotedebasdep"/>
          <w:szCs w:val="24"/>
          <w:lang w:val="en-CA"/>
        </w:rPr>
        <w:footnoteReference w:id="11"/>
      </w:r>
      <w:r w:rsidR="00293573" w:rsidRPr="00D64FCD">
        <w:rPr>
          <w:szCs w:val="24"/>
          <w:lang w:val="en-CA"/>
        </w:rPr>
        <w:t xml:space="preserve"> </w:t>
      </w:r>
      <w:r w:rsidRPr="00D64FCD">
        <w:rPr>
          <w:lang w:val="en-CA"/>
        </w:rPr>
        <w:t>However, following an administrative agreement entered into on December</w:t>
      </w:r>
      <w:r w:rsidR="00A00A6C">
        <w:rPr>
          <w:lang w:val="en-CA"/>
        </w:rPr>
        <w:t> </w:t>
      </w:r>
      <w:r w:rsidRPr="00D64FCD">
        <w:rPr>
          <w:lang w:val="en-CA"/>
        </w:rPr>
        <w:t xml:space="preserve">6, 2023, between the chief judge </w:t>
      </w:r>
      <w:r w:rsidRPr="00D64FCD">
        <w:rPr>
          <w:lang w:val="en-CA"/>
        </w:rPr>
        <w:lastRenderedPageBreak/>
        <w:t>of the Court of Québec in office and the Minister of Justice, the chief judges filed a notice of settlement on December</w:t>
      </w:r>
      <w:r w:rsidR="00A00A6C">
        <w:rPr>
          <w:lang w:val="en-CA"/>
        </w:rPr>
        <w:t> </w:t>
      </w:r>
      <w:r w:rsidRPr="00D64FCD">
        <w:rPr>
          <w:lang w:val="en-CA"/>
        </w:rPr>
        <w:t>8, 2023.</w:t>
      </w:r>
    </w:p>
    <w:p w14:paraId="731A6911" w14:textId="796BBAE4" w:rsidR="00067E7C" w:rsidRPr="00D64FCD" w:rsidRDefault="00294345" w:rsidP="00D64254">
      <w:pPr>
        <w:pStyle w:val="1Paragraphe"/>
        <w:numPr>
          <w:ilvl w:val="0"/>
          <w:numId w:val="18"/>
        </w:numPr>
        <w:spacing w:line="280" w:lineRule="exact"/>
        <w:rPr>
          <w:lang w:val="en-CA"/>
        </w:rPr>
      </w:pPr>
      <w:r w:rsidRPr="00D64FCD">
        <w:rPr>
          <w:lang w:val="en-CA"/>
        </w:rPr>
        <w:t>The respondents asked the trial judge to admit, pursuant to article</w:t>
      </w:r>
      <w:r w:rsidR="00F92FA1">
        <w:rPr>
          <w:lang w:val="en-CA"/>
        </w:rPr>
        <w:t> </w:t>
      </w:r>
      <w:r w:rsidRPr="00D64FCD">
        <w:rPr>
          <w:lang w:val="en-CA"/>
        </w:rPr>
        <w:t xml:space="preserve">2870 </w:t>
      </w:r>
      <w:r w:rsidRPr="00D16016">
        <w:rPr>
          <w:i/>
          <w:iCs/>
          <w:lang w:val="en-CA"/>
        </w:rPr>
        <w:t>C</w:t>
      </w:r>
      <w:r w:rsidR="00784D58">
        <w:rPr>
          <w:i/>
          <w:iCs/>
          <w:lang w:val="en-CA"/>
        </w:rPr>
        <w:t>.</w:t>
      </w:r>
      <w:r w:rsidRPr="00D16016">
        <w:rPr>
          <w:i/>
          <w:iCs/>
          <w:lang w:val="en-CA"/>
        </w:rPr>
        <w:t>C</w:t>
      </w:r>
      <w:r w:rsidR="00784D58">
        <w:rPr>
          <w:i/>
          <w:iCs/>
          <w:lang w:val="en-CA"/>
        </w:rPr>
        <w:t>.</w:t>
      </w:r>
      <w:r w:rsidRPr="00D16016">
        <w:rPr>
          <w:i/>
          <w:iCs/>
          <w:lang w:val="en-CA"/>
        </w:rPr>
        <w:t>Q</w:t>
      </w:r>
      <w:r w:rsidR="00784D58">
        <w:rPr>
          <w:lang w:val="en-CA"/>
        </w:rPr>
        <w:t>.</w:t>
      </w:r>
      <w:r w:rsidRPr="00D64FCD">
        <w:rPr>
          <w:lang w:val="en-CA"/>
        </w:rPr>
        <w:t xml:space="preserve">, the </w:t>
      </w:r>
      <w:r w:rsidR="008950C5" w:rsidRPr="00D64FCD">
        <w:rPr>
          <w:lang w:val="en-CA"/>
        </w:rPr>
        <w:t xml:space="preserve">following </w:t>
      </w:r>
      <w:r w:rsidR="00C14CBB" w:rsidRPr="00D64FCD">
        <w:rPr>
          <w:lang w:val="en-CA"/>
        </w:rPr>
        <w:t>affidavit</w:t>
      </w:r>
      <w:r w:rsidRPr="00D64FCD">
        <w:rPr>
          <w:lang w:val="en-CA"/>
        </w:rPr>
        <w:t xml:space="preserve">s of the Court of Québec administrative judges and documents in support of those </w:t>
      </w:r>
      <w:r w:rsidR="00293573" w:rsidRPr="00D64FCD">
        <w:rPr>
          <w:lang w:val="en-CA"/>
        </w:rPr>
        <w:t>statement</w:t>
      </w:r>
      <w:r w:rsidRPr="00D64FCD">
        <w:rPr>
          <w:lang w:val="en-CA"/>
        </w:rPr>
        <w:t xml:space="preserve">s filed in the CMQ </w:t>
      </w:r>
      <w:r w:rsidR="002E3E18" w:rsidRPr="00D64FCD">
        <w:rPr>
          <w:lang w:val="en-CA"/>
        </w:rPr>
        <w:t>case</w:t>
      </w:r>
      <w:r w:rsidRPr="00D64FCD">
        <w:rPr>
          <w:lang w:val="en-CA"/>
        </w:rPr>
        <w:t xml:space="preserve"> as circumstances evolved</w:t>
      </w:r>
      <w:r w:rsidR="008950C5" w:rsidRPr="00D64FCD">
        <w:rPr>
          <w:lang w:val="en-CA"/>
        </w:rPr>
        <w:t>:</w:t>
      </w:r>
    </w:p>
    <w:p w14:paraId="573DAA09" w14:textId="6628DBAD" w:rsidR="00067E7C" w:rsidRPr="00D64FCD" w:rsidRDefault="00C14CBB" w:rsidP="00D64254">
      <w:pPr>
        <w:pStyle w:val="1Paragraphe"/>
        <w:numPr>
          <w:ilvl w:val="0"/>
          <w:numId w:val="19"/>
        </w:numPr>
        <w:spacing w:line="280" w:lineRule="exact"/>
        <w:rPr>
          <w:lang w:val="en-CA"/>
        </w:rPr>
      </w:pPr>
      <w:r w:rsidRPr="00D64FCD">
        <w:rPr>
          <w:lang w:val="en-CA"/>
        </w:rPr>
        <w:t>Affidavit</w:t>
      </w:r>
      <w:r w:rsidR="002E3E18" w:rsidRPr="00D64FCD">
        <w:rPr>
          <w:lang w:val="en-CA"/>
        </w:rPr>
        <w:t xml:space="preserve">s </w:t>
      </w:r>
      <w:r w:rsidRPr="00D64FCD">
        <w:rPr>
          <w:lang w:val="en-CA"/>
        </w:rPr>
        <w:t>of</w:t>
      </w:r>
      <w:r w:rsidR="002E3E18" w:rsidRPr="00D64FCD">
        <w:rPr>
          <w:lang w:val="en-CA"/>
        </w:rPr>
        <w:t xml:space="preserve"> Chief Judge Lucie Rondeau, and by the Associate Chief Judge responsible for Municipal Courts, </w:t>
      </w:r>
      <w:r w:rsidR="00294345" w:rsidRPr="00D64FCD">
        <w:rPr>
          <w:lang w:val="en-CA"/>
        </w:rPr>
        <w:t xml:space="preserve">Claudie Bélanger, </w:t>
      </w:r>
      <w:r w:rsidR="002E3E18" w:rsidRPr="00D64FCD">
        <w:rPr>
          <w:lang w:val="en-CA"/>
        </w:rPr>
        <w:t>some of which attest to the truth of the content of the versions of the applications for judicial review dated August</w:t>
      </w:r>
      <w:r w:rsidR="00A00A6C">
        <w:rPr>
          <w:lang w:val="en-CA"/>
        </w:rPr>
        <w:t> </w:t>
      </w:r>
      <w:r w:rsidR="002E3E18" w:rsidRPr="00D64FCD">
        <w:rPr>
          <w:lang w:val="en-CA"/>
        </w:rPr>
        <w:t>9, 2022, September</w:t>
      </w:r>
      <w:r w:rsidR="00A00A6C">
        <w:rPr>
          <w:lang w:val="en-CA"/>
        </w:rPr>
        <w:t> </w:t>
      </w:r>
      <w:r w:rsidR="002E3E18" w:rsidRPr="00D64FCD">
        <w:rPr>
          <w:lang w:val="en-CA"/>
        </w:rPr>
        <w:t>7, 2022, and April</w:t>
      </w:r>
      <w:r w:rsidR="00A00A6C">
        <w:rPr>
          <w:lang w:val="en-CA"/>
        </w:rPr>
        <w:t> </w:t>
      </w:r>
      <w:r w:rsidR="002E3E18" w:rsidRPr="00D64FCD">
        <w:rPr>
          <w:lang w:val="en-CA"/>
        </w:rPr>
        <w:t xml:space="preserve">26, 2023, while others concern developments in the dispute between them and the Quebec </w:t>
      </w:r>
      <w:proofErr w:type="gramStart"/>
      <w:r w:rsidR="002E3E18" w:rsidRPr="00D64FCD">
        <w:rPr>
          <w:lang w:val="en-CA"/>
        </w:rPr>
        <w:t>government;</w:t>
      </w:r>
      <w:proofErr w:type="gramEnd"/>
    </w:p>
    <w:p w14:paraId="73B1030B" w14:textId="0F4D0BBB" w:rsidR="00067E7C" w:rsidRPr="00D64FCD" w:rsidRDefault="00C14CBB" w:rsidP="00D64254">
      <w:pPr>
        <w:pStyle w:val="1Paragraphe"/>
        <w:numPr>
          <w:ilvl w:val="0"/>
          <w:numId w:val="19"/>
        </w:numPr>
        <w:spacing w:line="280" w:lineRule="exact"/>
        <w:rPr>
          <w:lang w:val="en-CA"/>
        </w:rPr>
      </w:pPr>
      <w:r w:rsidRPr="00D64FCD">
        <w:rPr>
          <w:lang w:val="en-CA"/>
        </w:rPr>
        <w:t>Affidavit of</w:t>
      </w:r>
      <w:r w:rsidR="002E3E18" w:rsidRPr="00D64FCD">
        <w:rPr>
          <w:lang w:val="en-CA"/>
        </w:rPr>
        <w:t xml:space="preserve"> the Associate Coordinating Judge for the Youth Division of the</w:t>
      </w:r>
      <w:r w:rsidR="00294345" w:rsidRPr="00D64FCD">
        <w:rPr>
          <w:lang w:val="en-CA"/>
        </w:rPr>
        <w:t xml:space="preserve"> Montérégie</w:t>
      </w:r>
      <w:r w:rsidR="002E3E18" w:rsidRPr="00D64FCD">
        <w:rPr>
          <w:lang w:val="en-CA"/>
        </w:rPr>
        <w:t xml:space="preserve"> region</w:t>
      </w:r>
      <w:r w:rsidR="00294345" w:rsidRPr="00D64FCD">
        <w:rPr>
          <w:lang w:val="en-CA"/>
        </w:rPr>
        <w:t>, Mélanie</w:t>
      </w:r>
      <w:r w:rsidR="00A00A6C">
        <w:rPr>
          <w:lang w:val="en-CA"/>
        </w:rPr>
        <w:t> </w:t>
      </w:r>
      <w:r w:rsidR="00294345" w:rsidRPr="00D64FCD">
        <w:rPr>
          <w:lang w:val="en-CA"/>
        </w:rPr>
        <w:t xml:space="preserve">Roy, </w:t>
      </w:r>
      <w:r w:rsidR="002E3E18" w:rsidRPr="00D64FCD">
        <w:rPr>
          <w:lang w:val="en-CA"/>
        </w:rPr>
        <w:t>which attests to the truth of the content of the application for judicial review dated December</w:t>
      </w:r>
      <w:r w:rsidR="00A00A6C">
        <w:rPr>
          <w:lang w:val="en-CA"/>
        </w:rPr>
        <w:t> </w:t>
      </w:r>
      <w:r w:rsidR="002E3E18" w:rsidRPr="00D64FCD">
        <w:rPr>
          <w:lang w:val="en-CA"/>
        </w:rPr>
        <w:t>21, 2022, and describes the administrative particularities and the needs of litigants in the territory of</w:t>
      </w:r>
      <w:r w:rsidR="00294345" w:rsidRPr="00D64FCD">
        <w:rPr>
          <w:lang w:val="en-CA"/>
        </w:rPr>
        <w:t xml:space="preserve"> Montérégie, </w:t>
      </w:r>
      <w:r w:rsidR="002E3E18" w:rsidRPr="00D64FCD">
        <w:rPr>
          <w:lang w:val="en-CA"/>
        </w:rPr>
        <w:t xml:space="preserve">namely in linguistic </w:t>
      </w:r>
      <w:proofErr w:type="gramStart"/>
      <w:r w:rsidR="002E3E18" w:rsidRPr="00D64FCD">
        <w:rPr>
          <w:lang w:val="en-CA"/>
        </w:rPr>
        <w:t>matters;</w:t>
      </w:r>
      <w:proofErr w:type="gramEnd"/>
    </w:p>
    <w:p w14:paraId="68CEACC9" w14:textId="20DE8357" w:rsidR="00067E7C" w:rsidRPr="00D64FCD" w:rsidRDefault="00565EC9" w:rsidP="00D64254">
      <w:pPr>
        <w:pStyle w:val="1Paragraphe"/>
        <w:numPr>
          <w:ilvl w:val="0"/>
          <w:numId w:val="19"/>
        </w:numPr>
        <w:spacing w:line="280" w:lineRule="exact"/>
        <w:rPr>
          <w:lang w:val="en-CA"/>
        </w:rPr>
      </w:pPr>
      <w:r>
        <w:rPr>
          <w:lang w:val="en-CA"/>
        </w:rPr>
        <w:t>A</w:t>
      </w:r>
      <w:r w:rsidR="00C14CBB" w:rsidRPr="00D64FCD">
        <w:rPr>
          <w:lang w:val="en-CA"/>
        </w:rPr>
        <w:t>ffidavit</w:t>
      </w:r>
      <w:r w:rsidR="002E3E18" w:rsidRPr="00D64FCD">
        <w:rPr>
          <w:lang w:val="en-CA"/>
        </w:rPr>
        <w:t>s of the Associate Coordinating Judge for the Youth Division, for the</w:t>
      </w:r>
      <w:r w:rsidR="00294345" w:rsidRPr="00D64FCD">
        <w:rPr>
          <w:lang w:val="en-CA"/>
        </w:rPr>
        <w:t xml:space="preserve"> Laval-Laurentides-</w:t>
      </w:r>
      <w:proofErr w:type="spellStart"/>
      <w:r w:rsidR="00294345" w:rsidRPr="00D64FCD">
        <w:rPr>
          <w:lang w:val="en-CA"/>
        </w:rPr>
        <w:t>Lanaudière</w:t>
      </w:r>
      <w:proofErr w:type="spellEnd"/>
      <w:r w:rsidR="00294345" w:rsidRPr="00D64FCD">
        <w:rPr>
          <w:lang w:val="en-CA"/>
        </w:rPr>
        <w:t>-Labelle</w:t>
      </w:r>
      <w:r w:rsidR="002E3E18" w:rsidRPr="00D64FCD">
        <w:rPr>
          <w:lang w:val="en-CA"/>
        </w:rPr>
        <w:t xml:space="preserve"> region</w:t>
      </w:r>
      <w:r w:rsidR="00294345" w:rsidRPr="00D64FCD">
        <w:rPr>
          <w:lang w:val="en-CA"/>
        </w:rPr>
        <w:t>, Pierre</w:t>
      </w:r>
      <w:r w:rsidR="00A00A6C">
        <w:rPr>
          <w:lang w:val="en-CA"/>
        </w:rPr>
        <w:t> </w:t>
      </w:r>
      <w:r w:rsidR="00294345" w:rsidRPr="00D64FCD">
        <w:rPr>
          <w:lang w:val="en-CA"/>
        </w:rPr>
        <w:t xml:space="preserve">Hamel, </w:t>
      </w:r>
      <w:r w:rsidR="002E3E18" w:rsidRPr="00D64FCD">
        <w:rPr>
          <w:lang w:val="en-CA"/>
        </w:rPr>
        <w:t xml:space="preserve">and the Associate Coordinating Judge for the Civil Division, Céline Gervais, describing the administrative particularities and the needs of litigants in their respective </w:t>
      </w:r>
      <w:proofErr w:type="gramStart"/>
      <w:r w:rsidR="002E3E18" w:rsidRPr="00D64FCD">
        <w:rPr>
          <w:lang w:val="en-CA"/>
        </w:rPr>
        <w:t>territories;</w:t>
      </w:r>
      <w:proofErr w:type="gramEnd"/>
    </w:p>
    <w:p w14:paraId="5BC79B85" w14:textId="0DA12F4C" w:rsidR="00067E7C" w:rsidRPr="00D64FCD" w:rsidRDefault="00565EC9" w:rsidP="00D64254">
      <w:pPr>
        <w:pStyle w:val="1Paragraphe"/>
        <w:numPr>
          <w:ilvl w:val="0"/>
          <w:numId w:val="19"/>
        </w:numPr>
        <w:spacing w:line="280" w:lineRule="exact"/>
        <w:rPr>
          <w:lang w:val="en-CA"/>
        </w:rPr>
      </w:pPr>
      <w:r>
        <w:rPr>
          <w:lang w:val="en-CA"/>
        </w:rPr>
        <w:t>A</w:t>
      </w:r>
      <w:r w:rsidR="00C14CBB" w:rsidRPr="00D64FCD">
        <w:rPr>
          <w:lang w:val="en-CA"/>
        </w:rPr>
        <w:t>ffidavit</w:t>
      </w:r>
      <w:r w:rsidR="002E3E18" w:rsidRPr="00D64FCD">
        <w:rPr>
          <w:lang w:val="en-CA"/>
        </w:rPr>
        <w:t>s of</w:t>
      </w:r>
      <w:r>
        <w:rPr>
          <w:lang w:val="en-CA"/>
        </w:rPr>
        <w:t xml:space="preserve"> </w:t>
      </w:r>
      <w:r w:rsidR="00A35B76">
        <w:rPr>
          <w:lang w:val="en-CA"/>
        </w:rPr>
        <w:t>A</w:t>
      </w:r>
      <w:r w:rsidR="00A35B76" w:rsidRPr="00D64FCD">
        <w:rPr>
          <w:lang w:val="en-CA"/>
        </w:rPr>
        <w:t xml:space="preserve">dministrative </w:t>
      </w:r>
      <w:r w:rsidR="00A35B76">
        <w:rPr>
          <w:lang w:val="en-CA"/>
        </w:rPr>
        <w:t>P</w:t>
      </w:r>
      <w:r w:rsidR="00A35B76" w:rsidRPr="00D64FCD">
        <w:rPr>
          <w:lang w:val="en-CA"/>
        </w:rPr>
        <w:t xml:space="preserve">rocedures </w:t>
      </w:r>
      <w:r w:rsidR="00A35B76">
        <w:rPr>
          <w:lang w:val="en-CA"/>
        </w:rPr>
        <w:t>A</w:t>
      </w:r>
      <w:r w:rsidR="00A35B76" w:rsidRPr="00D64FCD">
        <w:rPr>
          <w:lang w:val="en-CA"/>
        </w:rPr>
        <w:t>nalyst</w:t>
      </w:r>
      <w:r>
        <w:rPr>
          <w:lang w:val="en-CA"/>
        </w:rPr>
        <w:t xml:space="preserve"> Johanne </w:t>
      </w:r>
      <w:proofErr w:type="spellStart"/>
      <w:r>
        <w:rPr>
          <w:lang w:val="en-CA"/>
        </w:rPr>
        <w:t>Carrière</w:t>
      </w:r>
      <w:proofErr w:type="spellEnd"/>
      <w:r w:rsidRPr="00D64FCD">
        <w:rPr>
          <w:lang w:val="en-CA"/>
        </w:rPr>
        <w:t xml:space="preserve"> </w:t>
      </w:r>
      <w:r w:rsidR="002E3E18" w:rsidRPr="00D64FCD">
        <w:rPr>
          <w:lang w:val="en-CA"/>
        </w:rPr>
        <w:t xml:space="preserve">and </w:t>
      </w:r>
      <w:r w:rsidR="0021307B" w:rsidRPr="00D64FCD">
        <w:rPr>
          <w:lang w:val="en-CA"/>
        </w:rPr>
        <w:t xml:space="preserve">Senior </w:t>
      </w:r>
      <w:r w:rsidR="002E3E18" w:rsidRPr="00D64FCD">
        <w:rPr>
          <w:lang w:val="en-CA"/>
        </w:rPr>
        <w:t xml:space="preserve">Associate Chief Judge </w:t>
      </w:r>
      <w:r w:rsidR="00294345" w:rsidRPr="00D64FCD">
        <w:rPr>
          <w:lang w:val="en-CA"/>
        </w:rPr>
        <w:t>Scott</w:t>
      </w:r>
      <w:r w:rsidR="00A00A6C">
        <w:rPr>
          <w:lang w:val="en-CA"/>
        </w:rPr>
        <w:t> </w:t>
      </w:r>
      <w:r w:rsidR="00294345" w:rsidRPr="00D64FCD">
        <w:rPr>
          <w:lang w:val="en-CA"/>
        </w:rPr>
        <w:t xml:space="preserve">Hughes, </w:t>
      </w:r>
      <w:r w:rsidR="002E3E18" w:rsidRPr="00D64FCD">
        <w:rPr>
          <w:lang w:val="en-CA"/>
        </w:rPr>
        <w:t xml:space="preserve">describing the methodology of the 2021 compilation of </w:t>
      </w:r>
      <w:r w:rsidR="00294345" w:rsidRPr="00D64FCD">
        <w:rPr>
          <w:lang w:val="en-CA"/>
        </w:rPr>
        <w:t>d</w:t>
      </w:r>
      <w:r w:rsidR="002E3E18" w:rsidRPr="00D64FCD">
        <w:rPr>
          <w:lang w:val="en-CA"/>
        </w:rPr>
        <w:t xml:space="preserve">ata on the use of English by judges sitting in the regions of </w:t>
      </w:r>
      <w:proofErr w:type="spellStart"/>
      <w:r w:rsidR="002E3E18" w:rsidRPr="00D64FCD">
        <w:rPr>
          <w:lang w:val="en-CA"/>
        </w:rPr>
        <w:t>Estrie</w:t>
      </w:r>
      <w:proofErr w:type="spellEnd"/>
      <w:r w:rsidR="002E3E18" w:rsidRPr="00D64FCD">
        <w:rPr>
          <w:lang w:val="en-CA"/>
        </w:rPr>
        <w:t xml:space="preserve">, </w:t>
      </w:r>
      <w:r w:rsidR="00294345" w:rsidRPr="00D64FCD">
        <w:rPr>
          <w:lang w:val="en-CA"/>
        </w:rPr>
        <w:t>Laval-Laurentides-</w:t>
      </w:r>
      <w:proofErr w:type="spellStart"/>
      <w:r w:rsidR="00294345" w:rsidRPr="00D64FCD">
        <w:rPr>
          <w:lang w:val="en-CA"/>
        </w:rPr>
        <w:t>Lanaudière</w:t>
      </w:r>
      <w:proofErr w:type="spellEnd"/>
      <w:r w:rsidR="00294345" w:rsidRPr="00D64FCD">
        <w:rPr>
          <w:lang w:val="en-CA"/>
        </w:rPr>
        <w:t>-Labelle, Montérégie, Montr</w:t>
      </w:r>
      <w:r w:rsidR="002E3E18" w:rsidRPr="00D64FCD">
        <w:rPr>
          <w:lang w:val="en-CA"/>
        </w:rPr>
        <w:t>e</w:t>
      </w:r>
      <w:r w:rsidR="00294345" w:rsidRPr="00D64FCD">
        <w:rPr>
          <w:lang w:val="en-CA"/>
        </w:rPr>
        <w:t xml:space="preserve">al </w:t>
      </w:r>
      <w:r w:rsidR="002E3E18" w:rsidRPr="00D64FCD">
        <w:rPr>
          <w:lang w:val="en-CA"/>
        </w:rPr>
        <w:t xml:space="preserve">and the </w:t>
      </w:r>
      <w:proofErr w:type="gramStart"/>
      <w:r w:rsidR="00294345" w:rsidRPr="00D64FCD">
        <w:rPr>
          <w:lang w:val="en-CA"/>
        </w:rPr>
        <w:t>Outaouais</w:t>
      </w:r>
      <w:r w:rsidR="002E3E18" w:rsidRPr="00D64FCD">
        <w:rPr>
          <w:lang w:val="en-CA"/>
        </w:rPr>
        <w:t>;</w:t>
      </w:r>
      <w:proofErr w:type="gramEnd"/>
    </w:p>
    <w:p w14:paraId="13A62ADD" w14:textId="77C6946D" w:rsidR="00067E7C" w:rsidRPr="00D64FCD" w:rsidRDefault="002E3E18" w:rsidP="00D64254">
      <w:pPr>
        <w:pStyle w:val="1Paragraphe"/>
        <w:numPr>
          <w:ilvl w:val="0"/>
          <w:numId w:val="19"/>
        </w:numPr>
        <w:spacing w:line="280" w:lineRule="exact"/>
        <w:rPr>
          <w:lang w:val="en-CA"/>
        </w:rPr>
      </w:pPr>
      <w:r w:rsidRPr="00D64FCD">
        <w:rPr>
          <w:lang w:val="en-CA"/>
        </w:rPr>
        <w:t>The re</w:t>
      </w:r>
      <w:r w:rsidR="00A35B76">
        <w:rPr>
          <w:lang w:val="en-CA"/>
        </w:rPr>
        <w:t>-re</w:t>
      </w:r>
      <w:r w:rsidRPr="00D64FCD">
        <w:rPr>
          <w:lang w:val="en-CA"/>
        </w:rPr>
        <w:t>amended application for judicial review dated April</w:t>
      </w:r>
      <w:r w:rsidR="00A00A6C">
        <w:rPr>
          <w:lang w:val="en-CA"/>
        </w:rPr>
        <w:t> </w:t>
      </w:r>
      <w:r w:rsidRPr="00D64FCD">
        <w:rPr>
          <w:lang w:val="en-CA"/>
        </w:rPr>
        <w:t xml:space="preserve">26, </w:t>
      </w:r>
      <w:proofErr w:type="gramStart"/>
      <w:r w:rsidRPr="00D64FCD">
        <w:rPr>
          <w:lang w:val="en-CA"/>
        </w:rPr>
        <w:t>2023;</w:t>
      </w:r>
      <w:proofErr w:type="gramEnd"/>
    </w:p>
    <w:p w14:paraId="68C72930" w14:textId="33FEB8F9" w:rsidR="00067E7C" w:rsidRPr="00D64FCD" w:rsidRDefault="002E3E18" w:rsidP="00D64254">
      <w:pPr>
        <w:pStyle w:val="1Paragraphe"/>
        <w:numPr>
          <w:ilvl w:val="0"/>
          <w:numId w:val="19"/>
        </w:numPr>
        <w:spacing w:line="280" w:lineRule="exact"/>
        <w:rPr>
          <w:lang w:val="en-CA"/>
        </w:rPr>
      </w:pPr>
      <w:r w:rsidRPr="00D64FCD">
        <w:rPr>
          <w:lang w:val="en-CA"/>
        </w:rPr>
        <w:t>The results of the survey conducted from February</w:t>
      </w:r>
      <w:r w:rsidR="00A00A6C">
        <w:rPr>
          <w:lang w:val="en-CA"/>
        </w:rPr>
        <w:t> </w:t>
      </w:r>
      <w:r w:rsidRPr="00D64FCD">
        <w:rPr>
          <w:lang w:val="en-CA"/>
        </w:rPr>
        <w:t>1 to March</w:t>
      </w:r>
      <w:r w:rsidR="00A00A6C">
        <w:rPr>
          <w:lang w:val="en-CA"/>
        </w:rPr>
        <w:t> </w:t>
      </w:r>
      <w:r w:rsidRPr="00D64FCD">
        <w:rPr>
          <w:lang w:val="en-CA"/>
        </w:rPr>
        <w:t>14, 2021, on the mastery of the English language by Court of Québec judges, a corrected version</w:t>
      </w:r>
      <w:r w:rsidR="00A35B76">
        <w:rPr>
          <w:lang w:val="en-CA"/>
        </w:rPr>
        <w:t>,</w:t>
      </w:r>
      <w:r w:rsidRPr="00D64FCD">
        <w:rPr>
          <w:lang w:val="en-CA"/>
        </w:rPr>
        <w:t xml:space="preserve"> and other files connected to that </w:t>
      </w:r>
      <w:proofErr w:type="gramStart"/>
      <w:r w:rsidRPr="00D64FCD">
        <w:rPr>
          <w:lang w:val="en-CA"/>
        </w:rPr>
        <w:t>data;</w:t>
      </w:r>
      <w:proofErr w:type="gramEnd"/>
    </w:p>
    <w:p w14:paraId="3B840C86" w14:textId="1938E7AF" w:rsidR="00067E7C" w:rsidRPr="00D64FCD" w:rsidRDefault="002E3E18" w:rsidP="00D64254">
      <w:pPr>
        <w:pStyle w:val="1Paragraphe"/>
        <w:numPr>
          <w:ilvl w:val="0"/>
          <w:numId w:val="19"/>
        </w:numPr>
        <w:spacing w:line="280" w:lineRule="exact"/>
        <w:rPr>
          <w:lang w:val="en-CA"/>
        </w:rPr>
      </w:pPr>
      <w:r w:rsidRPr="00D64FCD">
        <w:rPr>
          <w:lang w:val="en-CA"/>
        </w:rPr>
        <w:t>Various documents concerning the structure and composition of the Court of Québec and of municipal courts.</w:t>
      </w:r>
    </w:p>
    <w:p w14:paraId="53E154B5" w14:textId="41277B33" w:rsidR="00067E7C" w:rsidRPr="00D64FCD" w:rsidRDefault="002E3E18" w:rsidP="00D64254">
      <w:pPr>
        <w:pStyle w:val="1Paragraphe"/>
        <w:numPr>
          <w:ilvl w:val="0"/>
          <w:numId w:val="18"/>
        </w:numPr>
        <w:spacing w:line="280" w:lineRule="exact"/>
        <w:rPr>
          <w:lang w:val="en-CA"/>
        </w:rPr>
      </w:pPr>
      <w:r w:rsidRPr="00D64FCD">
        <w:rPr>
          <w:lang w:val="en-CA"/>
        </w:rPr>
        <w:t xml:space="preserve">The </w:t>
      </w:r>
      <w:r w:rsidR="00C14CBB" w:rsidRPr="00D64FCD">
        <w:rPr>
          <w:lang w:val="en-CA"/>
        </w:rPr>
        <w:t>affidavit</w:t>
      </w:r>
      <w:r w:rsidRPr="00D64FCD">
        <w:rPr>
          <w:lang w:val="en-CA"/>
        </w:rPr>
        <w:t xml:space="preserve">s and supporting exhibits attesting </w:t>
      </w:r>
      <w:proofErr w:type="gramStart"/>
      <w:r w:rsidRPr="00D64FCD">
        <w:rPr>
          <w:lang w:val="en-CA"/>
        </w:rPr>
        <w:t xml:space="preserve">in particular </w:t>
      </w:r>
      <w:r w:rsidR="00A35B76">
        <w:rPr>
          <w:lang w:val="en-CA"/>
        </w:rPr>
        <w:t>to</w:t>
      </w:r>
      <w:proofErr w:type="gramEnd"/>
      <w:r w:rsidR="00A35B76">
        <w:rPr>
          <w:lang w:val="en-CA"/>
        </w:rPr>
        <w:t xml:space="preserve"> </w:t>
      </w:r>
      <w:r w:rsidRPr="00D64FCD">
        <w:rPr>
          <w:lang w:val="en-CA"/>
        </w:rPr>
        <w:t>the factors influencing the needs of the Court of Québec in linguistic matters, the impact of the appointment of judges who have no knowledge of English</w:t>
      </w:r>
      <w:r w:rsidR="00A35B76">
        <w:rPr>
          <w:lang w:val="en-CA"/>
        </w:rPr>
        <w:t>,</w:t>
      </w:r>
      <w:r w:rsidRPr="00D64FCD">
        <w:rPr>
          <w:lang w:val="en-CA"/>
        </w:rPr>
        <w:t xml:space="preserve"> and the </w:t>
      </w:r>
      <w:r w:rsidR="00B85E80">
        <w:rPr>
          <w:lang w:val="en-CA"/>
        </w:rPr>
        <w:t xml:space="preserve">changes in </w:t>
      </w:r>
      <w:r w:rsidRPr="00D64FCD">
        <w:rPr>
          <w:lang w:val="en-CA"/>
        </w:rPr>
        <w:t>the practice</w:t>
      </w:r>
      <w:r w:rsidR="00A35B76">
        <w:rPr>
          <w:lang w:val="en-CA"/>
        </w:rPr>
        <w:t xml:space="preserve"> of appointing judges</w:t>
      </w:r>
      <w:r w:rsidR="00F724EB">
        <w:rPr>
          <w:lang w:val="en-CA"/>
        </w:rPr>
        <w:t>.</w:t>
      </w:r>
      <w:r w:rsidRPr="00D64FCD">
        <w:rPr>
          <w:lang w:val="en-CA"/>
        </w:rPr>
        <w:t xml:space="preserve"> The coordinating judges spoke </w:t>
      </w:r>
      <w:proofErr w:type="gramStart"/>
      <w:r w:rsidRPr="00D64FCD">
        <w:rPr>
          <w:lang w:val="en-CA"/>
        </w:rPr>
        <w:t>in particular about</w:t>
      </w:r>
      <w:proofErr w:type="gramEnd"/>
      <w:r w:rsidRPr="00D64FCD">
        <w:rPr>
          <w:lang w:val="en-CA"/>
        </w:rPr>
        <w:t xml:space="preserve"> the characteristics and needs of their regions and practice chambers, and the issues related to language barriers and the use of interpreters. </w:t>
      </w:r>
    </w:p>
    <w:p w14:paraId="067B9067" w14:textId="7F9511EB" w:rsidR="00067E7C" w:rsidRPr="00D64FCD" w:rsidRDefault="002E3E18" w:rsidP="00D64254">
      <w:pPr>
        <w:pStyle w:val="1Paragraphe"/>
        <w:numPr>
          <w:ilvl w:val="0"/>
          <w:numId w:val="18"/>
        </w:numPr>
        <w:spacing w:line="280" w:lineRule="exact"/>
        <w:rPr>
          <w:lang w:val="en-CA"/>
        </w:rPr>
      </w:pPr>
      <w:r w:rsidRPr="00D64FCD">
        <w:rPr>
          <w:lang w:val="en-CA"/>
        </w:rPr>
        <w:lastRenderedPageBreak/>
        <w:t>Three of the declarants consented to examination by the appellants in the CMQ case.</w:t>
      </w:r>
      <w:r w:rsidR="00294345" w:rsidRPr="00D64FCD">
        <w:rPr>
          <w:lang w:val="en-CA"/>
        </w:rPr>
        <w:t xml:space="preserve"> </w:t>
      </w:r>
      <w:r w:rsidRPr="00D64FCD">
        <w:rPr>
          <w:lang w:val="en-CA"/>
        </w:rPr>
        <w:t>According to the appellants, unsurprisingly, these examinations focused on the issue in dispute in that case, which are not identical to those in dispute in this case.</w:t>
      </w:r>
      <w:r w:rsidR="00294345" w:rsidRPr="00D64FCD">
        <w:rPr>
          <w:lang w:val="en-CA"/>
        </w:rPr>
        <w:t xml:space="preserve"> </w:t>
      </w:r>
      <w:r w:rsidRPr="00D64FCD">
        <w:rPr>
          <w:lang w:val="en-CA"/>
        </w:rPr>
        <w:t>Since the case was settled, the transcripts were not filed in the Superior Court record, nor were they produced in the Court record.</w:t>
      </w:r>
    </w:p>
    <w:p w14:paraId="4D5F816E" w14:textId="554E6502" w:rsidR="00067E7C" w:rsidRPr="00D64FCD" w:rsidRDefault="002E3E18" w:rsidP="00D64254">
      <w:pPr>
        <w:pStyle w:val="Titre1"/>
        <w:spacing w:line="280" w:lineRule="exact"/>
        <w:rPr>
          <w:lang w:val="en-CA"/>
        </w:rPr>
      </w:pPr>
      <w:r w:rsidRPr="00D64FCD">
        <w:rPr>
          <w:lang w:val="en-CA"/>
        </w:rPr>
        <w:t>JUDGMENT UNDER APPEAL</w:t>
      </w:r>
    </w:p>
    <w:p w14:paraId="63F533C6" w14:textId="54A66B44" w:rsidR="00067E7C" w:rsidRPr="00D64FCD" w:rsidRDefault="002E3E18" w:rsidP="00D64254">
      <w:pPr>
        <w:pStyle w:val="1Paragraphe"/>
        <w:numPr>
          <w:ilvl w:val="0"/>
          <w:numId w:val="18"/>
        </w:numPr>
        <w:spacing w:line="280" w:lineRule="exact"/>
        <w:rPr>
          <w:lang w:val="en-CA"/>
        </w:rPr>
      </w:pPr>
      <w:r w:rsidRPr="00D64FCD">
        <w:rPr>
          <w:lang w:val="en-CA"/>
        </w:rPr>
        <w:t xml:space="preserve">After </w:t>
      </w:r>
      <w:r w:rsidR="00674536" w:rsidRPr="00D64FCD">
        <w:rPr>
          <w:lang w:val="en-CA"/>
        </w:rPr>
        <w:t>reca</w:t>
      </w:r>
      <w:r w:rsidR="00674536">
        <w:rPr>
          <w:lang w:val="en-CA"/>
        </w:rPr>
        <w:t>lling</w:t>
      </w:r>
      <w:r w:rsidR="00674536" w:rsidRPr="00D64FCD">
        <w:rPr>
          <w:lang w:val="en-CA"/>
        </w:rPr>
        <w:t xml:space="preserve"> </w:t>
      </w:r>
      <w:r w:rsidRPr="00D64FCD">
        <w:rPr>
          <w:lang w:val="en-CA"/>
        </w:rPr>
        <w:t>the three criteria for the application of article</w:t>
      </w:r>
      <w:r w:rsidR="00F92FA1">
        <w:rPr>
          <w:lang w:val="en-CA"/>
        </w:rPr>
        <w:t> </w:t>
      </w:r>
      <w:r w:rsidRPr="00D64FCD">
        <w:rPr>
          <w:lang w:val="en-CA"/>
        </w:rPr>
        <w:t xml:space="preserve">2870 </w:t>
      </w:r>
      <w:r w:rsidRPr="00D16016">
        <w:rPr>
          <w:i/>
          <w:iCs/>
          <w:lang w:val="en-CA"/>
        </w:rPr>
        <w:t>C</w:t>
      </w:r>
      <w:r w:rsidR="00A62805" w:rsidRPr="00D16016">
        <w:rPr>
          <w:i/>
          <w:iCs/>
          <w:lang w:val="en-CA"/>
        </w:rPr>
        <w:t>.</w:t>
      </w:r>
      <w:r w:rsidRPr="00D16016">
        <w:rPr>
          <w:i/>
          <w:iCs/>
          <w:lang w:val="en-CA"/>
        </w:rPr>
        <w:t>C</w:t>
      </w:r>
      <w:r w:rsidR="00A62805" w:rsidRPr="00D16016">
        <w:rPr>
          <w:i/>
          <w:iCs/>
          <w:lang w:val="en-CA"/>
        </w:rPr>
        <w:t>.</w:t>
      </w:r>
      <w:r w:rsidRPr="00D16016">
        <w:rPr>
          <w:i/>
          <w:iCs/>
          <w:lang w:val="en-CA"/>
        </w:rPr>
        <w:t>Q</w:t>
      </w:r>
      <w:r w:rsidR="00A62805" w:rsidRPr="00D16016">
        <w:rPr>
          <w:i/>
          <w:iCs/>
          <w:lang w:val="en-CA"/>
        </w:rPr>
        <w:t>.</w:t>
      </w:r>
      <w:r w:rsidRPr="00D64FCD">
        <w:rPr>
          <w:lang w:val="en-CA"/>
        </w:rPr>
        <w:t xml:space="preserve">, the judge determined that the evidence sought to be admitted was relevant because it demonstrated the impact of the contested provisions on access to justice in English, particularly </w:t>
      </w:r>
      <w:proofErr w:type="gramStart"/>
      <w:r w:rsidRPr="00D64FCD">
        <w:rPr>
          <w:lang w:val="en-CA"/>
        </w:rPr>
        <w:t>with regard to</w:t>
      </w:r>
      <w:proofErr w:type="gramEnd"/>
      <w:r w:rsidRPr="00D64FCD">
        <w:rPr>
          <w:lang w:val="en-CA"/>
        </w:rPr>
        <w:t xml:space="preserve"> the disadvantages and delays associated with the use of interpreters.</w:t>
      </w:r>
      <w:r w:rsidR="00294345" w:rsidRPr="00D64FCD">
        <w:rPr>
          <w:lang w:val="en-CA"/>
        </w:rPr>
        <w:t xml:space="preserve"> </w:t>
      </w:r>
      <w:r w:rsidRPr="00D64FCD">
        <w:rPr>
          <w:lang w:val="en-CA"/>
        </w:rPr>
        <w:t>Even though the debate focused on judicial independ</w:t>
      </w:r>
      <w:r w:rsidR="00F724EB">
        <w:rPr>
          <w:lang w:val="en-CA"/>
        </w:rPr>
        <w:t>e</w:t>
      </w:r>
      <w:r w:rsidRPr="00D64FCD">
        <w:rPr>
          <w:lang w:val="en-CA"/>
        </w:rPr>
        <w:t>nce, the evidence was useful in analyzing the rights of litigants to have access to justice in English.</w:t>
      </w:r>
      <w:r w:rsidR="00294345" w:rsidRPr="00D64FCD">
        <w:rPr>
          <w:lang w:val="en-CA"/>
        </w:rPr>
        <w:t xml:space="preserve"> </w:t>
      </w:r>
      <w:r w:rsidRPr="00D64FCD">
        <w:rPr>
          <w:lang w:val="en-CA"/>
        </w:rPr>
        <w:t>The judge explained that</w:t>
      </w:r>
      <w:r w:rsidR="00F724EB">
        <w:rPr>
          <w:lang w:val="en-CA"/>
        </w:rPr>
        <w:t>,</w:t>
      </w:r>
      <w:r w:rsidRPr="00D64FCD">
        <w:rPr>
          <w:lang w:val="en-CA"/>
        </w:rPr>
        <w:t xml:space="preserve"> at a preliminary stage</w:t>
      </w:r>
      <w:r w:rsidR="00F724EB">
        <w:rPr>
          <w:lang w:val="en-CA"/>
        </w:rPr>
        <w:t>,</w:t>
      </w:r>
      <w:r w:rsidRPr="00D64FCD">
        <w:rPr>
          <w:lang w:val="en-CA"/>
        </w:rPr>
        <w:t xml:space="preserve"> caution must be exercised before rejecting evidence and that the relevance threshold is not high.</w:t>
      </w:r>
      <w:r w:rsidR="00294345" w:rsidRPr="00D64FCD">
        <w:rPr>
          <w:lang w:val="en-CA"/>
        </w:rPr>
        <w:t xml:space="preserve"> </w:t>
      </w:r>
      <w:r w:rsidRPr="00D64FCD">
        <w:rPr>
          <w:lang w:val="en-CA"/>
        </w:rPr>
        <w:t>Last, in her view</w:t>
      </w:r>
      <w:r w:rsidR="00F724EB">
        <w:rPr>
          <w:lang w:val="en-CA"/>
        </w:rPr>
        <w:t>,</w:t>
      </w:r>
      <w:r w:rsidRPr="00D64FCD">
        <w:rPr>
          <w:lang w:val="en-CA"/>
        </w:rPr>
        <w:t xml:space="preserve"> the impact of the administrative agreement between the Chief Judge of the Court of Québec and the Quebec Minister of Justice was best left to a decision on the merits.</w:t>
      </w:r>
    </w:p>
    <w:p w14:paraId="50D01276" w14:textId="1CC84627" w:rsidR="00067E7C" w:rsidRPr="00D64FCD" w:rsidRDefault="002E3E18" w:rsidP="00D64254">
      <w:pPr>
        <w:pStyle w:val="1Paragraphe"/>
        <w:numPr>
          <w:ilvl w:val="0"/>
          <w:numId w:val="18"/>
        </w:numPr>
        <w:spacing w:line="280" w:lineRule="exact"/>
        <w:rPr>
          <w:lang w:val="en-CA"/>
        </w:rPr>
      </w:pPr>
      <w:r w:rsidRPr="00D64FCD">
        <w:rPr>
          <w:lang w:val="en-CA"/>
        </w:rPr>
        <w:t>Last, according to the judge, the judges could testify about facts of which they had personal knowledge, without</w:t>
      </w:r>
      <w:r w:rsidR="00F724EB">
        <w:rPr>
          <w:lang w:val="en-CA"/>
        </w:rPr>
        <w:t>, however,</w:t>
      </w:r>
      <w:r w:rsidRPr="00D64FCD">
        <w:rPr>
          <w:lang w:val="en-CA"/>
        </w:rPr>
        <w:t xml:space="preserve"> having been forced to do so.</w:t>
      </w:r>
      <w:r w:rsidR="00294345" w:rsidRPr="00D64FCD">
        <w:rPr>
          <w:lang w:val="en-CA"/>
        </w:rPr>
        <w:t xml:space="preserve"> </w:t>
      </w:r>
      <w:r w:rsidRPr="00D64FCD">
        <w:rPr>
          <w:lang w:val="en-CA"/>
        </w:rPr>
        <w:t xml:space="preserve">The judge noted </w:t>
      </w:r>
      <w:r w:rsidR="00F724EB">
        <w:rPr>
          <w:lang w:val="en-CA"/>
        </w:rPr>
        <w:t>that it</w:t>
      </w:r>
      <w:r w:rsidRPr="00D64FCD">
        <w:rPr>
          <w:lang w:val="en-CA"/>
        </w:rPr>
        <w:t xml:space="preserve"> is impossible for a declarant to appear as a witness within the meaning of article</w:t>
      </w:r>
      <w:r w:rsidR="00F92FA1">
        <w:rPr>
          <w:lang w:val="en-CA"/>
        </w:rPr>
        <w:t> </w:t>
      </w:r>
      <w:r w:rsidRPr="00D64FCD">
        <w:rPr>
          <w:lang w:val="en-CA"/>
        </w:rPr>
        <w:t xml:space="preserve">2870 </w:t>
      </w:r>
      <w:r w:rsidRPr="00D16016">
        <w:rPr>
          <w:i/>
          <w:iCs/>
          <w:lang w:val="en-CA"/>
        </w:rPr>
        <w:t>C</w:t>
      </w:r>
      <w:r w:rsidR="00265CA3" w:rsidRPr="00D16016">
        <w:rPr>
          <w:i/>
          <w:iCs/>
          <w:lang w:val="en-CA"/>
        </w:rPr>
        <w:t>.</w:t>
      </w:r>
      <w:r w:rsidRPr="00D16016">
        <w:rPr>
          <w:i/>
          <w:iCs/>
          <w:lang w:val="en-CA"/>
        </w:rPr>
        <w:t>C</w:t>
      </w:r>
      <w:r w:rsidR="00265CA3" w:rsidRPr="00D16016">
        <w:rPr>
          <w:i/>
          <w:iCs/>
          <w:lang w:val="en-CA"/>
        </w:rPr>
        <w:t>.</w:t>
      </w:r>
      <w:r w:rsidRPr="00D16016">
        <w:rPr>
          <w:i/>
          <w:iCs/>
          <w:lang w:val="en-CA"/>
        </w:rPr>
        <w:t>Q</w:t>
      </w:r>
      <w:r w:rsidR="00265CA3" w:rsidRPr="00D16016">
        <w:rPr>
          <w:i/>
          <w:iCs/>
          <w:lang w:val="en-CA"/>
        </w:rPr>
        <w:t>.</w:t>
      </w:r>
      <w:r w:rsidRPr="00D64FCD">
        <w:rPr>
          <w:lang w:val="en-CA"/>
        </w:rPr>
        <w:t>, where a witness is authorized by law to refuse to testify: since judges cannot be compelled to testify on the facts, the criteria of the impossibility of requiring the declarant to appear as a witness at the hearing had been met.</w:t>
      </w:r>
      <w:r w:rsidR="00294345" w:rsidRPr="00D64FCD">
        <w:rPr>
          <w:lang w:val="en-CA"/>
        </w:rPr>
        <w:t xml:space="preserve"> </w:t>
      </w:r>
      <w:r w:rsidRPr="00D64FCD">
        <w:rPr>
          <w:lang w:val="en-CA"/>
        </w:rPr>
        <w:t>The judge added that even if the judges could be compelled to testify, she considered it unreasonable to require them to appear when there was detailed evidence and the Attorney Gene</w:t>
      </w:r>
      <w:r w:rsidR="00F724EB">
        <w:rPr>
          <w:lang w:val="en-CA"/>
        </w:rPr>
        <w:t>ra</w:t>
      </w:r>
      <w:r w:rsidRPr="00D64FCD">
        <w:rPr>
          <w:lang w:val="en-CA"/>
        </w:rPr>
        <w:t>l had the opportunity to question them.</w:t>
      </w:r>
    </w:p>
    <w:p w14:paraId="59612969" w14:textId="605EFC6E" w:rsidR="00067E7C" w:rsidRPr="00D64FCD" w:rsidRDefault="002E3E18" w:rsidP="00D64254">
      <w:pPr>
        <w:pStyle w:val="1Paragraphe"/>
        <w:numPr>
          <w:ilvl w:val="0"/>
          <w:numId w:val="18"/>
        </w:numPr>
        <w:spacing w:line="280" w:lineRule="exact"/>
        <w:rPr>
          <w:lang w:val="en-CA"/>
        </w:rPr>
      </w:pPr>
      <w:r w:rsidRPr="00D64FCD">
        <w:rPr>
          <w:lang w:val="en-CA"/>
        </w:rPr>
        <w:t xml:space="preserve">Last, the judge was of the view that the </w:t>
      </w:r>
      <w:r w:rsidR="00C14CBB" w:rsidRPr="00D64FCD">
        <w:rPr>
          <w:lang w:val="en-CA"/>
        </w:rPr>
        <w:t>affidavit</w:t>
      </w:r>
      <w:r w:rsidRPr="00D64FCD">
        <w:rPr>
          <w:lang w:val="en-CA"/>
        </w:rPr>
        <w:t>s were reliable</w:t>
      </w:r>
      <w:r w:rsidR="005A7201">
        <w:rPr>
          <w:lang w:val="en-CA"/>
        </w:rPr>
        <w:t>,</w:t>
      </w:r>
      <w:r w:rsidRPr="00D64FCD">
        <w:rPr>
          <w:lang w:val="en-CA"/>
        </w:rPr>
        <w:t xml:space="preserve"> as the declarants were [</w:t>
      </w:r>
      <w:r w:rsidRPr="00F724EB">
        <w:rPr>
          <w:smallCaps/>
          <w:lang w:val="en-CA"/>
        </w:rPr>
        <w:t>translation</w:t>
      </w:r>
      <w:r w:rsidRPr="00D64FCD">
        <w:rPr>
          <w:lang w:val="en-CA"/>
        </w:rPr>
        <w:t>] “in a position to assess the situation”.</w:t>
      </w:r>
      <w:r w:rsidRPr="00D64FCD">
        <w:rPr>
          <w:rStyle w:val="Appelnotedebasdep"/>
          <w:lang w:val="en-CA"/>
        </w:rPr>
        <w:footnoteReference w:id="12"/>
      </w:r>
    </w:p>
    <w:p w14:paraId="7F7E743D" w14:textId="5E3701D9" w:rsidR="00067E7C" w:rsidRPr="00D64FCD" w:rsidRDefault="002E3E18" w:rsidP="00D64254">
      <w:pPr>
        <w:pStyle w:val="1Paragraphe"/>
        <w:numPr>
          <w:ilvl w:val="0"/>
          <w:numId w:val="18"/>
        </w:numPr>
        <w:spacing w:line="280" w:lineRule="exact"/>
        <w:rPr>
          <w:lang w:val="en-CA"/>
        </w:rPr>
      </w:pPr>
      <w:r w:rsidRPr="00D64FCD">
        <w:rPr>
          <w:lang w:val="en-CA"/>
        </w:rPr>
        <w:t xml:space="preserve">However, the judge set aside </w:t>
      </w:r>
      <w:r w:rsidR="0021307B" w:rsidRPr="00D64FCD">
        <w:rPr>
          <w:lang w:val="en-CA"/>
        </w:rPr>
        <w:t>Johanne Carrère’s</w:t>
      </w:r>
      <w:r w:rsidRPr="00D64FCD">
        <w:rPr>
          <w:lang w:val="en-CA"/>
        </w:rPr>
        <w:t xml:space="preserve"> </w:t>
      </w:r>
      <w:r w:rsidR="00C14CBB" w:rsidRPr="00D64FCD">
        <w:rPr>
          <w:lang w:val="en-CA"/>
        </w:rPr>
        <w:t>affidavit</w:t>
      </w:r>
      <w:r w:rsidRPr="00D64FCD">
        <w:rPr>
          <w:lang w:val="en-CA"/>
        </w:rPr>
        <w:t xml:space="preserve"> and the supporting exhibits because she </w:t>
      </w:r>
      <w:r w:rsidR="0021307B" w:rsidRPr="00D64FCD">
        <w:rPr>
          <w:lang w:val="en-CA"/>
        </w:rPr>
        <w:t>was not entitled to immunity</w:t>
      </w:r>
      <w:r w:rsidR="00F724EB">
        <w:rPr>
          <w:lang w:val="en-CA"/>
        </w:rPr>
        <w:t>,</w:t>
      </w:r>
      <w:r w:rsidR="0021307B" w:rsidRPr="00D64FCD">
        <w:rPr>
          <w:lang w:val="en-CA"/>
        </w:rPr>
        <w:t xml:space="preserve"> as she was</w:t>
      </w:r>
      <w:r w:rsidRPr="00D64FCD">
        <w:rPr>
          <w:lang w:val="en-CA"/>
        </w:rPr>
        <w:t xml:space="preserve"> not a judge.</w:t>
      </w:r>
      <w:r w:rsidR="00294345" w:rsidRPr="00D64FCD">
        <w:rPr>
          <w:lang w:val="en-CA"/>
        </w:rPr>
        <w:t xml:space="preserve"> </w:t>
      </w:r>
      <w:r w:rsidRPr="00D64FCD">
        <w:rPr>
          <w:lang w:val="en-CA"/>
        </w:rPr>
        <w:t xml:space="preserve">In </w:t>
      </w:r>
      <w:r w:rsidR="0021307B" w:rsidRPr="00D64FCD">
        <w:rPr>
          <w:lang w:val="en-CA"/>
        </w:rPr>
        <w:t>such a context</w:t>
      </w:r>
      <w:r w:rsidR="00F724EB">
        <w:rPr>
          <w:lang w:val="en-CA"/>
        </w:rPr>
        <w:t>,</w:t>
      </w:r>
      <w:r w:rsidR="0021307B" w:rsidRPr="00D64FCD">
        <w:rPr>
          <w:lang w:val="en-CA"/>
        </w:rPr>
        <w:t xml:space="preserve"> there is no need</w:t>
      </w:r>
      <w:r w:rsidRPr="00D64FCD">
        <w:rPr>
          <w:lang w:val="en-CA"/>
        </w:rPr>
        <w:t xml:space="preserve"> to invoke the exception set out in article</w:t>
      </w:r>
      <w:r w:rsidR="00F92FA1">
        <w:rPr>
          <w:lang w:val="en-CA"/>
        </w:rPr>
        <w:t> </w:t>
      </w:r>
      <w:r w:rsidRPr="00D64FCD">
        <w:rPr>
          <w:lang w:val="en-CA"/>
        </w:rPr>
        <w:t xml:space="preserve">2870 </w:t>
      </w:r>
      <w:r w:rsidRPr="00D16016">
        <w:rPr>
          <w:i/>
          <w:iCs/>
          <w:lang w:val="en-CA"/>
        </w:rPr>
        <w:t>C</w:t>
      </w:r>
      <w:r w:rsidR="006C62EB" w:rsidRPr="00D16016">
        <w:rPr>
          <w:i/>
          <w:iCs/>
          <w:lang w:val="en-CA"/>
        </w:rPr>
        <w:t>.</w:t>
      </w:r>
      <w:r w:rsidRPr="00D16016">
        <w:rPr>
          <w:i/>
          <w:iCs/>
          <w:lang w:val="en-CA"/>
        </w:rPr>
        <w:t>C</w:t>
      </w:r>
      <w:r w:rsidR="006C62EB" w:rsidRPr="00D16016">
        <w:rPr>
          <w:i/>
          <w:iCs/>
          <w:lang w:val="en-CA"/>
        </w:rPr>
        <w:t>.</w:t>
      </w:r>
      <w:r w:rsidRPr="00D16016">
        <w:rPr>
          <w:i/>
          <w:iCs/>
          <w:lang w:val="en-CA"/>
        </w:rPr>
        <w:t>Q</w:t>
      </w:r>
      <w:r w:rsidRPr="00D64FCD">
        <w:rPr>
          <w:lang w:val="en-CA"/>
        </w:rPr>
        <w:t>.</w:t>
      </w:r>
    </w:p>
    <w:p w14:paraId="313E32DC" w14:textId="73F02857" w:rsidR="00067E7C" w:rsidRPr="00D64FCD" w:rsidRDefault="002E3E18" w:rsidP="00D64254">
      <w:pPr>
        <w:pStyle w:val="Titre1"/>
        <w:spacing w:line="280" w:lineRule="exact"/>
        <w:rPr>
          <w:lang w:val="en-CA"/>
        </w:rPr>
      </w:pPr>
      <w:r w:rsidRPr="00D64FCD">
        <w:rPr>
          <w:lang w:val="en-CA"/>
        </w:rPr>
        <w:t xml:space="preserve"> ISSUES</w:t>
      </w:r>
    </w:p>
    <w:p w14:paraId="3A31EE93" w14:textId="6ED2D1CF" w:rsidR="00067E7C" w:rsidRPr="00D64FCD" w:rsidRDefault="00B265DC" w:rsidP="00D64254">
      <w:pPr>
        <w:pStyle w:val="1Paragraphe"/>
        <w:numPr>
          <w:ilvl w:val="0"/>
          <w:numId w:val="18"/>
        </w:numPr>
        <w:spacing w:line="280" w:lineRule="exact"/>
        <w:rPr>
          <w:lang w:val="en-CA"/>
        </w:rPr>
      </w:pPr>
      <w:r w:rsidRPr="00D64FCD">
        <w:rPr>
          <w:lang w:val="en-CA"/>
        </w:rPr>
        <w:t>The appellants raise four grounds of appeal, all of which relate to the judge’s application of article</w:t>
      </w:r>
      <w:r w:rsidR="00F92FA1">
        <w:rPr>
          <w:lang w:val="en-CA"/>
        </w:rPr>
        <w:t> </w:t>
      </w:r>
      <w:r w:rsidRPr="00D64FCD">
        <w:rPr>
          <w:lang w:val="en-CA"/>
        </w:rPr>
        <w:t xml:space="preserve">2870 </w:t>
      </w:r>
      <w:r w:rsidRPr="00D16016">
        <w:rPr>
          <w:i/>
          <w:iCs/>
          <w:lang w:val="en-CA"/>
        </w:rPr>
        <w:t>C</w:t>
      </w:r>
      <w:r w:rsidR="001B29AD" w:rsidRPr="00D16016">
        <w:rPr>
          <w:i/>
          <w:iCs/>
          <w:lang w:val="en-CA"/>
        </w:rPr>
        <w:t>.</w:t>
      </w:r>
      <w:r w:rsidRPr="00D16016">
        <w:rPr>
          <w:i/>
          <w:iCs/>
          <w:lang w:val="en-CA"/>
        </w:rPr>
        <w:t>C</w:t>
      </w:r>
      <w:r w:rsidR="001B29AD" w:rsidRPr="00D16016">
        <w:rPr>
          <w:i/>
          <w:iCs/>
          <w:lang w:val="en-CA"/>
        </w:rPr>
        <w:t>.</w:t>
      </w:r>
      <w:r w:rsidRPr="00D16016">
        <w:rPr>
          <w:i/>
          <w:iCs/>
          <w:lang w:val="en-CA"/>
        </w:rPr>
        <w:t>Q</w:t>
      </w:r>
      <w:r w:rsidRPr="00D64FCD">
        <w:rPr>
          <w:lang w:val="en-CA"/>
        </w:rPr>
        <w:t>.</w:t>
      </w:r>
      <w:r w:rsidR="00294345" w:rsidRPr="00D64FCD">
        <w:rPr>
          <w:lang w:val="en-CA"/>
        </w:rPr>
        <w:t xml:space="preserve"> </w:t>
      </w:r>
      <w:r w:rsidR="008F24EB" w:rsidRPr="00D64FCD">
        <w:rPr>
          <w:lang w:val="en-CA"/>
        </w:rPr>
        <w:t>According to the</w:t>
      </w:r>
      <w:r w:rsidR="008C14A0">
        <w:rPr>
          <w:lang w:val="en-CA"/>
        </w:rPr>
        <w:t>m</w:t>
      </w:r>
      <w:r w:rsidR="008F24EB" w:rsidRPr="00D64FCD">
        <w:rPr>
          <w:lang w:val="en-CA"/>
        </w:rPr>
        <w:t>, the judge committed various errors:</w:t>
      </w:r>
    </w:p>
    <w:p w14:paraId="289A5046" w14:textId="03523A0F" w:rsidR="00067E7C" w:rsidRPr="00D64FCD" w:rsidRDefault="008F24EB" w:rsidP="00D64254">
      <w:pPr>
        <w:pStyle w:val="1Paragraphe"/>
        <w:numPr>
          <w:ilvl w:val="0"/>
          <w:numId w:val="19"/>
        </w:numPr>
        <w:spacing w:line="280" w:lineRule="exact"/>
        <w:rPr>
          <w:lang w:val="en-CA"/>
        </w:rPr>
      </w:pPr>
      <w:r w:rsidRPr="00D64FCD">
        <w:rPr>
          <w:lang w:val="en-CA"/>
        </w:rPr>
        <w:lastRenderedPageBreak/>
        <w:t>An error in law in fail</w:t>
      </w:r>
      <w:r w:rsidR="00F724EB">
        <w:rPr>
          <w:lang w:val="en-CA"/>
        </w:rPr>
        <w:t>i</w:t>
      </w:r>
      <w:r w:rsidRPr="00D64FCD">
        <w:rPr>
          <w:lang w:val="en-CA"/>
        </w:rPr>
        <w:t>ng to analyze the need to adduce evidence under article</w:t>
      </w:r>
      <w:r w:rsidR="00F92FA1">
        <w:rPr>
          <w:lang w:val="en-CA"/>
        </w:rPr>
        <w:t> </w:t>
      </w:r>
      <w:r w:rsidRPr="00D64FCD">
        <w:rPr>
          <w:lang w:val="en-CA"/>
        </w:rPr>
        <w:t xml:space="preserve">2870 </w:t>
      </w:r>
      <w:proofErr w:type="gramStart"/>
      <w:r w:rsidRPr="00D16016">
        <w:rPr>
          <w:i/>
          <w:iCs/>
          <w:lang w:val="en-CA"/>
        </w:rPr>
        <w:t>C</w:t>
      </w:r>
      <w:r w:rsidR="00C5333F" w:rsidRPr="00D16016">
        <w:rPr>
          <w:i/>
          <w:iCs/>
          <w:lang w:val="en-CA"/>
        </w:rPr>
        <w:t>.</w:t>
      </w:r>
      <w:r w:rsidRPr="00D16016">
        <w:rPr>
          <w:i/>
          <w:iCs/>
          <w:lang w:val="en-CA"/>
        </w:rPr>
        <w:t>C</w:t>
      </w:r>
      <w:r w:rsidR="00C5333F" w:rsidRPr="00D16016">
        <w:rPr>
          <w:i/>
          <w:iCs/>
          <w:lang w:val="en-CA"/>
        </w:rPr>
        <w:t>.</w:t>
      </w:r>
      <w:r w:rsidRPr="00D16016">
        <w:rPr>
          <w:i/>
          <w:iCs/>
          <w:lang w:val="en-CA"/>
        </w:rPr>
        <w:t>Q</w:t>
      </w:r>
      <w:r w:rsidR="00C5333F" w:rsidRPr="00D16016">
        <w:rPr>
          <w:i/>
          <w:iCs/>
          <w:lang w:val="en-CA"/>
        </w:rPr>
        <w:t>.</w:t>
      </w:r>
      <w:r w:rsidRPr="00D64FCD">
        <w:rPr>
          <w:lang w:val="en-CA"/>
        </w:rPr>
        <w:t>;</w:t>
      </w:r>
      <w:proofErr w:type="gramEnd"/>
    </w:p>
    <w:p w14:paraId="43066339" w14:textId="741BB0FE" w:rsidR="00067E7C" w:rsidRPr="00D64FCD" w:rsidRDefault="008F24EB" w:rsidP="00D64254">
      <w:pPr>
        <w:pStyle w:val="1Paragraphe"/>
        <w:numPr>
          <w:ilvl w:val="0"/>
          <w:numId w:val="19"/>
        </w:numPr>
        <w:spacing w:line="280" w:lineRule="exact"/>
        <w:rPr>
          <w:lang w:val="en-CA"/>
        </w:rPr>
      </w:pPr>
      <w:r w:rsidRPr="00D64FCD">
        <w:rPr>
          <w:lang w:val="en-CA"/>
        </w:rPr>
        <w:t xml:space="preserve">An error in law in her analysis of the judges’ judicial </w:t>
      </w:r>
      <w:proofErr w:type="gramStart"/>
      <w:r w:rsidRPr="00D64FCD">
        <w:rPr>
          <w:lang w:val="en-CA"/>
        </w:rPr>
        <w:t>immunity;</w:t>
      </w:r>
      <w:proofErr w:type="gramEnd"/>
    </w:p>
    <w:p w14:paraId="67195AB8" w14:textId="778EA9F8" w:rsidR="00067E7C" w:rsidRPr="00D64FCD" w:rsidRDefault="008F24EB" w:rsidP="00D64254">
      <w:pPr>
        <w:pStyle w:val="1Paragraphe"/>
        <w:numPr>
          <w:ilvl w:val="0"/>
          <w:numId w:val="19"/>
        </w:numPr>
        <w:spacing w:line="280" w:lineRule="exact"/>
        <w:rPr>
          <w:lang w:val="en-CA"/>
        </w:rPr>
      </w:pPr>
      <w:r w:rsidRPr="00D64FCD">
        <w:rPr>
          <w:lang w:val="en-CA"/>
        </w:rPr>
        <w:t xml:space="preserve">A palpable and overriding error in alternatively holding that it would be unreasonable to have the judges </w:t>
      </w:r>
      <w:proofErr w:type="gramStart"/>
      <w:r w:rsidRPr="00D64FCD">
        <w:rPr>
          <w:lang w:val="en-CA"/>
        </w:rPr>
        <w:t>testify;</w:t>
      </w:r>
      <w:proofErr w:type="gramEnd"/>
    </w:p>
    <w:p w14:paraId="52BA3CF4" w14:textId="366C52E8" w:rsidR="00067E7C" w:rsidRPr="00D64FCD" w:rsidRDefault="008F24EB" w:rsidP="00D64254">
      <w:pPr>
        <w:pStyle w:val="1Paragraphe"/>
        <w:numPr>
          <w:ilvl w:val="0"/>
          <w:numId w:val="19"/>
        </w:numPr>
        <w:spacing w:line="280" w:lineRule="exact"/>
        <w:rPr>
          <w:lang w:val="en-CA"/>
        </w:rPr>
      </w:pPr>
      <w:r w:rsidRPr="00D64FCD">
        <w:rPr>
          <w:lang w:val="en-CA"/>
        </w:rPr>
        <w:t>Errors in the exercise of her discretion in failing to consider certain factors.</w:t>
      </w:r>
    </w:p>
    <w:p w14:paraId="4DC13CFF" w14:textId="6EB5DB70" w:rsidR="00067E7C" w:rsidRPr="00D64FCD" w:rsidRDefault="008F24EB" w:rsidP="00D64254">
      <w:pPr>
        <w:pStyle w:val="Titre1"/>
        <w:spacing w:line="280" w:lineRule="exact"/>
        <w:rPr>
          <w:lang w:val="en-CA"/>
        </w:rPr>
      </w:pPr>
      <w:r w:rsidRPr="00D64FCD">
        <w:rPr>
          <w:lang w:val="en-CA"/>
        </w:rPr>
        <w:t>POSITIONS OF THE PARTIES</w:t>
      </w:r>
    </w:p>
    <w:p w14:paraId="094DF31C" w14:textId="473B2771" w:rsidR="00067E7C" w:rsidRPr="00D64FCD" w:rsidRDefault="0021307B" w:rsidP="00D64254">
      <w:pPr>
        <w:pStyle w:val="1Paragraphe"/>
        <w:numPr>
          <w:ilvl w:val="0"/>
          <w:numId w:val="18"/>
        </w:numPr>
        <w:spacing w:line="280" w:lineRule="exact"/>
        <w:rPr>
          <w:lang w:val="en-CA"/>
        </w:rPr>
      </w:pPr>
      <w:r w:rsidRPr="00D64FCD">
        <w:rPr>
          <w:lang w:val="en-CA"/>
        </w:rPr>
        <w:t>The appellants argue that the exception provided by article</w:t>
      </w:r>
      <w:r w:rsidR="00F92FA1">
        <w:rPr>
          <w:lang w:val="en-CA"/>
        </w:rPr>
        <w:t> </w:t>
      </w:r>
      <w:r w:rsidRPr="00D64FCD">
        <w:rPr>
          <w:lang w:val="en-CA"/>
        </w:rPr>
        <w:t xml:space="preserve">2870 </w:t>
      </w:r>
      <w:r w:rsidRPr="00D16016">
        <w:rPr>
          <w:i/>
          <w:iCs/>
          <w:lang w:val="en-CA"/>
        </w:rPr>
        <w:t>C</w:t>
      </w:r>
      <w:r w:rsidR="002917DE" w:rsidRPr="00D16016">
        <w:rPr>
          <w:i/>
          <w:iCs/>
          <w:lang w:val="en-CA"/>
        </w:rPr>
        <w:t>.</w:t>
      </w:r>
      <w:r w:rsidRPr="00D16016">
        <w:rPr>
          <w:i/>
          <w:iCs/>
          <w:lang w:val="en-CA"/>
        </w:rPr>
        <w:t>C</w:t>
      </w:r>
      <w:r w:rsidR="002917DE" w:rsidRPr="00D16016">
        <w:rPr>
          <w:i/>
          <w:iCs/>
          <w:lang w:val="en-CA"/>
        </w:rPr>
        <w:t>.</w:t>
      </w:r>
      <w:r w:rsidRPr="00D16016">
        <w:rPr>
          <w:i/>
          <w:iCs/>
          <w:lang w:val="en-CA"/>
        </w:rPr>
        <w:t>Q</w:t>
      </w:r>
      <w:r w:rsidR="002917DE" w:rsidRPr="00D16016">
        <w:rPr>
          <w:i/>
          <w:iCs/>
          <w:lang w:val="en-CA"/>
        </w:rPr>
        <w:t>.</w:t>
      </w:r>
      <w:r w:rsidRPr="00D64FCD">
        <w:rPr>
          <w:lang w:val="en-CA"/>
        </w:rPr>
        <w:t>, which derogates from the general rule that witnesses testify at the hearing, is to be restrictively interpreted.</w:t>
      </w:r>
      <w:r w:rsidR="00294345" w:rsidRPr="00D64FCD">
        <w:rPr>
          <w:lang w:val="en-CA"/>
        </w:rPr>
        <w:t xml:space="preserve"> </w:t>
      </w:r>
      <w:r w:rsidRPr="00D64FCD">
        <w:rPr>
          <w:lang w:val="en-CA"/>
        </w:rPr>
        <w:t>The purpose of the provision is strictly to allow a party to bypass technical obstacles.</w:t>
      </w:r>
      <w:r w:rsidR="00294345" w:rsidRPr="00D64FCD">
        <w:rPr>
          <w:lang w:val="en-CA"/>
        </w:rPr>
        <w:t xml:space="preserve"> </w:t>
      </w:r>
      <w:r w:rsidRPr="00D64FCD">
        <w:rPr>
          <w:lang w:val="en-CA"/>
        </w:rPr>
        <w:t xml:space="preserve">The respondent </w:t>
      </w:r>
      <w:r w:rsidR="00EA5F7B">
        <w:rPr>
          <w:lang w:val="en-CA"/>
        </w:rPr>
        <w:t xml:space="preserve">had </w:t>
      </w:r>
      <w:r w:rsidRPr="00D64FCD">
        <w:rPr>
          <w:lang w:val="en-CA"/>
        </w:rPr>
        <w:t xml:space="preserve">therefore </w:t>
      </w:r>
      <w:r w:rsidR="005A7201">
        <w:rPr>
          <w:lang w:val="en-CA"/>
        </w:rPr>
        <w:t xml:space="preserve">to </w:t>
      </w:r>
      <w:r w:rsidRPr="00D64FCD">
        <w:rPr>
          <w:lang w:val="en-CA"/>
        </w:rPr>
        <w:t xml:space="preserve">establish, first, that it </w:t>
      </w:r>
      <w:r w:rsidR="00EA5F7B">
        <w:rPr>
          <w:lang w:val="en-CA"/>
        </w:rPr>
        <w:t>wa</w:t>
      </w:r>
      <w:r w:rsidR="00EA5F7B" w:rsidRPr="00D64FCD">
        <w:rPr>
          <w:lang w:val="en-CA"/>
        </w:rPr>
        <w:t xml:space="preserve">s </w:t>
      </w:r>
      <w:r w:rsidRPr="00D64FCD">
        <w:rPr>
          <w:lang w:val="en-CA"/>
        </w:rPr>
        <w:t xml:space="preserve">necessary to adduce the judges’ </w:t>
      </w:r>
      <w:r w:rsidR="00C14CBB" w:rsidRPr="00D64FCD">
        <w:rPr>
          <w:lang w:val="en-CA"/>
        </w:rPr>
        <w:t>affidavit</w:t>
      </w:r>
      <w:r w:rsidRPr="00D64FCD">
        <w:rPr>
          <w:lang w:val="en-CA"/>
        </w:rPr>
        <w:t>s into evidence because it was otherwise impossible to establish the same facts.</w:t>
      </w:r>
      <w:r w:rsidR="00294345" w:rsidRPr="00D64FCD">
        <w:rPr>
          <w:lang w:val="en-CA"/>
        </w:rPr>
        <w:t xml:space="preserve"> </w:t>
      </w:r>
      <w:r w:rsidRPr="00D64FCD">
        <w:rPr>
          <w:lang w:val="en-CA"/>
        </w:rPr>
        <w:t xml:space="preserve">However, there are other means they can use to prove several of the facts raised by the judges in their </w:t>
      </w:r>
      <w:r w:rsidR="00C14CBB" w:rsidRPr="00D64FCD">
        <w:rPr>
          <w:lang w:val="en-CA"/>
        </w:rPr>
        <w:t>affidavit</w:t>
      </w:r>
      <w:r w:rsidRPr="00D64FCD">
        <w:rPr>
          <w:lang w:val="en-CA"/>
        </w:rPr>
        <w:t>s.</w:t>
      </w:r>
    </w:p>
    <w:p w14:paraId="0E741EF0" w14:textId="2CFEEC52" w:rsidR="00067E7C" w:rsidRPr="00D64FCD" w:rsidRDefault="0021307B" w:rsidP="00D64254">
      <w:pPr>
        <w:pStyle w:val="1Paragraphe"/>
        <w:numPr>
          <w:ilvl w:val="0"/>
          <w:numId w:val="18"/>
        </w:numPr>
        <w:spacing w:line="280" w:lineRule="exact"/>
        <w:rPr>
          <w:lang w:val="en-CA"/>
        </w:rPr>
      </w:pPr>
      <w:r w:rsidRPr="00D64FCD">
        <w:rPr>
          <w:lang w:val="en-CA"/>
        </w:rPr>
        <w:t xml:space="preserve">Moreover, the appellants argue that the subjects discussed in the </w:t>
      </w:r>
      <w:r w:rsidR="00C14CBB" w:rsidRPr="00D64FCD">
        <w:rPr>
          <w:lang w:val="en-CA"/>
        </w:rPr>
        <w:t>affidavit</w:t>
      </w:r>
      <w:r w:rsidRPr="00D64FCD">
        <w:rPr>
          <w:lang w:val="en-CA"/>
        </w:rPr>
        <w:t xml:space="preserve">s are not covered by judicial immunity because they are unrelated to the reasons a judge arrived at a judicial </w:t>
      </w:r>
      <w:r w:rsidR="00D4330F" w:rsidRPr="00D64FCD">
        <w:rPr>
          <w:lang w:val="en-CA"/>
        </w:rPr>
        <w:t>decision,</w:t>
      </w:r>
      <w:r w:rsidRPr="00D64FCD">
        <w:rPr>
          <w:lang w:val="en-CA"/>
        </w:rPr>
        <w:t xml:space="preserve"> or the administrative autonomy judges enjoy.</w:t>
      </w:r>
      <w:r w:rsidR="00294345" w:rsidRPr="00D64FCD">
        <w:rPr>
          <w:lang w:val="en-CA"/>
        </w:rPr>
        <w:t xml:space="preserve"> </w:t>
      </w:r>
      <w:r w:rsidRPr="00D64FCD">
        <w:rPr>
          <w:lang w:val="en-CA"/>
        </w:rPr>
        <w:t>Conversely, if judicial immunity did apply, it could not be concluded that they could testify on these issues.</w:t>
      </w:r>
    </w:p>
    <w:p w14:paraId="17D3A5A5" w14:textId="6B085874" w:rsidR="00067E7C" w:rsidRPr="00D64FCD" w:rsidRDefault="0021307B" w:rsidP="00D64254">
      <w:pPr>
        <w:pStyle w:val="1Paragraphe"/>
        <w:numPr>
          <w:ilvl w:val="0"/>
          <w:numId w:val="18"/>
        </w:numPr>
        <w:spacing w:line="280" w:lineRule="exact"/>
        <w:rPr>
          <w:lang w:val="en-CA"/>
        </w:rPr>
      </w:pPr>
      <w:r w:rsidRPr="00D64FCD">
        <w:rPr>
          <w:lang w:val="en-CA"/>
        </w:rPr>
        <w:t>The appellants further argue that the judge’s alternative conclusion that it would be unreasonable to have the judges testify again is erroneous.</w:t>
      </w:r>
      <w:r w:rsidR="00294345" w:rsidRPr="00D64FCD">
        <w:rPr>
          <w:lang w:val="en-CA"/>
        </w:rPr>
        <w:t xml:space="preserve"> </w:t>
      </w:r>
      <w:r w:rsidRPr="00D64FCD">
        <w:rPr>
          <w:lang w:val="en-CA"/>
        </w:rPr>
        <w:t xml:space="preserve">The case law does not characterize the repetition of the content of evidence in </w:t>
      </w:r>
      <w:r w:rsidR="00C14CBB" w:rsidRPr="00D64FCD">
        <w:rPr>
          <w:lang w:val="en-CA"/>
        </w:rPr>
        <w:t>affidavit</w:t>
      </w:r>
      <w:r w:rsidRPr="00D64FCD">
        <w:rPr>
          <w:lang w:val="en-CA"/>
        </w:rPr>
        <w:t>s as unreasonable.</w:t>
      </w:r>
      <w:r w:rsidR="00294345" w:rsidRPr="00D64FCD">
        <w:rPr>
          <w:lang w:val="en-CA"/>
        </w:rPr>
        <w:t xml:space="preserve"> </w:t>
      </w:r>
      <w:r w:rsidRPr="00D64FCD">
        <w:rPr>
          <w:lang w:val="en-CA"/>
        </w:rPr>
        <w:t>In principle, evidence must be adduced in the proceeding itself.</w:t>
      </w:r>
      <w:r w:rsidR="00294345" w:rsidRPr="00D64FCD">
        <w:rPr>
          <w:lang w:val="en-CA"/>
        </w:rPr>
        <w:t xml:space="preserve"> </w:t>
      </w:r>
      <w:r w:rsidRPr="00D64FCD">
        <w:rPr>
          <w:lang w:val="en-CA"/>
        </w:rPr>
        <w:t xml:space="preserve">Moreover, given the settlement of the CMQ case and the passage of time, the judges would not be testifying about </w:t>
      </w:r>
      <w:proofErr w:type="gramStart"/>
      <w:r w:rsidRPr="00D64FCD">
        <w:rPr>
          <w:lang w:val="en-CA"/>
        </w:rPr>
        <w:t>exactly the same</w:t>
      </w:r>
      <w:proofErr w:type="gramEnd"/>
      <w:r w:rsidRPr="00D64FCD">
        <w:rPr>
          <w:lang w:val="en-CA"/>
        </w:rPr>
        <w:t xml:space="preserve"> facts.</w:t>
      </w:r>
      <w:r w:rsidR="00294345" w:rsidRPr="00D64FCD">
        <w:rPr>
          <w:lang w:val="en-CA"/>
        </w:rPr>
        <w:t xml:space="preserve"> </w:t>
      </w:r>
      <w:r w:rsidRPr="00D64FCD">
        <w:rPr>
          <w:lang w:val="en-CA"/>
        </w:rPr>
        <w:t>Last, the matter in this case is different from that in the CMQ case.</w:t>
      </w:r>
      <w:r w:rsidR="00294345" w:rsidRPr="00D64FCD">
        <w:rPr>
          <w:lang w:val="en-CA"/>
        </w:rPr>
        <w:t xml:space="preserve"> </w:t>
      </w:r>
      <w:r w:rsidRPr="00D64FCD">
        <w:rPr>
          <w:lang w:val="en-CA"/>
        </w:rPr>
        <w:t xml:space="preserve">The Attorney General of Quebec’s examinations of the three declarants, in addition to being focused on judicial independence, are also subject to the implied rule of confidentiality within the meaning of </w:t>
      </w:r>
      <w:r w:rsidRPr="00D64FCD">
        <w:rPr>
          <w:i/>
          <w:lang w:val="en-CA"/>
        </w:rPr>
        <w:t xml:space="preserve">Lac </w:t>
      </w:r>
      <w:proofErr w:type="spellStart"/>
      <w:r w:rsidRPr="00D64FCD">
        <w:rPr>
          <w:i/>
          <w:lang w:val="en-CA"/>
        </w:rPr>
        <w:t>d’Amiante</w:t>
      </w:r>
      <w:proofErr w:type="spellEnd"/>
      <w:r w:rsidRPr="00D64FCD">
        <w:rPr>
          <w:lang w:val="en-CA"/>
        </w:rPr>
        <w:t>.</w:t>
      </w:r>
      <w:r w:rsidRPr="00D64FCD">
        <w:rPr>
          <w:rStyle w:val="Appelnotedebasdep"/>
          <w:lang w:val="en-CA"/>
        </w:rPr>
        <w:footnoteReference w:id="13"/>
      </w:r>
    </w:p>
    <w:p w14:paraId="2D867738" w14:textId="0698C77B" w:rsidR="00067E7C" w:rsidRPr="00D64FCD" w:rsidRDefault="0021307B" w:rsidP="00D64254">
      <w:pPr>
        <w:pStyle w:val="Paragraphe"/>
        <w:spacing w:line="280" w:lineRule="exact"/>
        <w:rPr>
          <w:lang w:val="en-CA"/>
        </w:rPr>
      </w:pPr>
      <w:r w:rsidRPr="00D64FCD">
        <w:rPr>
          <w:lang w:val="en-CA"/>
        </w:rPr>
        <w:t>Last, the appellants argue that the judge misused her discretion for five overlapping reasons.</w:t>
      </w:r>
      <w:r w:rsidR="00294345" w:rsidRPr="00D64FCD">
        <w:rPr>
          <w:lang w:val="en-CA"/>
        </w:rPr>
        <w:t xml:space="preserve"> </w:t>
      </w:r>
      <w:r w:rsidRPr="00D64FCD">
        <w:rPr>
          <w:lang w:val="en-CA"/>
        </w:rPr>
        <w:t>Public confidence requires that judges not be involved in a debate that has nothing to do with them.</w:t>
      </w:r>
      <w:r w:rsidR="00294345" w:rsidRPr="00D64FCD">
        <w:rPr>
          <w:lang w:val="en-CA"/>
        </w:rPr>
        <w:t xml:space="preserve"> </w:t>
      </w:r>
      <w:r w:rsidRPr="00D64FCD">
        <w:rPr>
          <w:lang w:val="en-CA"/>
        </w:rPr>
        <w:t xml:space="preserve">This is precisely the effect of the authorization to use their </w:t>
      </w:r>
      <w:r w:rsidR="00C14CBB" w:rsidRPr="00D64FCD">
        <w:rPr>
          <w:lang w:val="en-CA"/>
        </w:rPr>
        <w:t>affidavit</w:t>
      </w:r>
      <w:r w:rsidRPr="00D64FCD">
        <w:rPr>
          <w:lang w:val="en-CA"/>
        </w:rPr>
        <w:t xml:space="preserve"> in this proceeding.</w:t>
      </w:r>
      <w:r w:rsidR="00294345" w:rsidRPr="00D64FCD">
        <w:rPr>
          <w:lang w:val="en-CA"/>
        </w:rPr>
        <w:t xml:space="preserve"> </w:t>
      </w:r>
      <w:r w:rsidRPr="00D64FCD">
        <w:rPr>
          <w:lang w:val="en-CA"/>
        </w:rPr>
        <w:t xml:space="preserve">Nor did the judge </w:t>
      </w:r>
      <w:r w:rsidR="00D4330F" w:rsidRPr="00D64FCD">
        <w:rPr>
          <w:lang w:val="en-CA"/>
        </w:rPr>
        <w:t>consider</w:t>
      </w:r>
      <w:r w:rsidRPr="00D64FCD">
        <w:rPr>
          <w:lang w:val="en-CA"/>
        </w:rPr>
        <w:t xml:space="preserve"> the importance of the settlement as a means of preserving the efficiency of the judicial system, especially given that the dispute involved two branches of government.</w:t>
      </w:r>
      <w:r w:rsidR="00294345" w:rsidRPr="00D64FCD">
        <w:rPr>
          <w:lang w:val="en-CA"/>
        </w:rPr>
        <w:t xml:space="preserve"> </w:t>
      </w:r>
      <w:r w:rsidRPr="00D64FCD">
        <w:rPr>
          <w:lang w:val="en-CA"/>
        </w:rPr>
        <w:t>In addition, the appellants</w:t>
      </w:r>
      <w:r w:rsidR="00F724EB">
        <w:rPr>
          <w:lang w:val="en-CA"/>
        </w:rPr>
        <w:t>’</w:t>
      </w:r>
      <w:r w:rsidRPr="00D64FCD">
        <w:rPr>
          <w:lang w:val="en-CA"/>
        </w:rPr>
        <w:t xml:space="preserve"> right to be heard is infringed because</w:t>
      </w:r>
      <w:r w:rsidR="00F724EB">
        <w:rPr>
          <w:lang w:val="en-CA"/>
        </w:rPr>
        <w:t>,</w:t>
      </w:r>
      <w:r w:rsidRPr="00D64FCD">
        <w:rPr>
          <w:lang w:val="en-CA"/>
        </w:rPr>
        <w:t xml:space="preserve"> in this context</w:t>
      </w:r>
      <w:r w:rsidR="00F724EB">
        <w:rPr>
          <w:lang w:val="en-CA"/>
        </w:rPr>
        <w:t>,</w:t>
      </w:r>
      <w:r w:rsidRPr="00D64FCD">
        <w:rPr>
          <w:lang w:val="en-CA"/>
        </w:rPr>
        <w:t xml:space="preserve"> they cannot cross-examine the judges.</w:t>
      </w:r>
    </w:p>
    <w:p w14:paraId="1A9875BD" w14:textId="77777777" w:rsidR="00067E7C" w:rsidRPr="00D64FCD" w:rsidRDefault="00294345" w:rsidP="00D64254">
      <w:pPr>
        <w:pStyle w:val="Titre1"/>
        <w:spacing w:line="280" w:lineRule="exact"/>
        <w:rPr>
          <w:lang w:val="en-CA"/>
        </w:rPr>
      </w:pPr>
      <w:r w:rsidRPr="00D64FCD">
        <w:rPr>
          <w:lang w:val="en-CA"/>
        </w:rPr>
        <w:lastRenderedPageBreak/>
        <w:t>ANALYSIS</w:t>
      </w:r>
    </w:p>
    <w:p w14:paraId="65E997B1" w14:textId="77777777" w:rsidR="00067E7C" w:rsidRPr="00D64FCD" w:rsidRDefault="00294345" w:rsidP="00D64254">
      <w:pPr>
        <w:pStyle w:val="Titre2"/>
        <w:rPr>
          <w:lang w:val="en-CA"/>
        </w:rPr>
      </w:pPr>
      <w:r w:rsidRPr="00D64FCD">
        <w:rPr>
          <w:lang w:val="en-CA"/>
        </w:rPr>
        <w:t>Applicable law</w:t>
      </w:r>
    </w:p>
    <w:p w14:paraId="4D6D5ECE" w14:textId="490FF6D1" w:rsidR="00067E7C" w:rsidRPr="00D64FCD" w:rsidRDefault="0021307B" w:rsidP="00D64254">
      <w:pPr>
        <w:pStyle w:val="1Paragraphe"/>
        <w:numPr>
          <w:ilvl w:val="0"/>
          <w:numId w:val="18"/>
        </w:numPr>
        <w:spacing w:line="280" w:lineRule="exact"/>
        <w:rPr>
          <w:lang w:val="en-CA"/>
        </w:rPr>
      </w:pPr>
      <w:proofErr w:type="gramStart"/>
      <w:r w:rsidRPr="00D64FCD">
        <w:rPr>
          <w:lang w:val="en-CA"/>
        </w:rPr>
        <w:t>Generally speaking, the</w:t>
      </w:r>
      <w:proofErr w:type="gramEnd"/>
      <w:r w:rsidRPr="00D64FCD">
        <w:rPr>
          <w:lang w:val="en-CA"/>
        </w:rPr>
        <w:t xml:space="preserve"> Court shows deference to a decision regarding the admission of evidence rendered during the proceedings.</w:t>
      </w:r>
      <w:r w:rsidR="00294345" w:rsidRPr="00D64FCD">
        <w:rPr>
          <w:lang w:val="en-CA"/>
        </w:rPr>
        <w:t xml:space="preserve"> </w:t>
      </w:r>
      <w:r w:rsidRPr="00D64FCD">
        <w:rPr>
          <w:lang w:val="en-CA"/>
        </w:rPr>
        <w:t>The Court will intervene only in the presence of an error in principle or an unreasonable conclusion.</w:t>
      </w:r>
      <w:r w:rsidRPr="00D64FCD">
        <w:rPr>
          <w:rStyle w:val="Appelnotedebasdep"/>
          <w:lang w:val="en-CA"/>
        </w:rPr>
        <w:footnoteReference w:id="14"/>
      </w:r>
    </w:p>
    <w:p w14:paraId="77DAE830" w14:textId="78C67039" w:rsidR="00067E7C" w:rsidRPr="00D64FCD" w:rsidRDefault="0021307B" w:rsidP="00D64254">
      <w:pPr>
        <w:pStyle w:val="Titre3"/>
        <w:rPr>
          <w:lang w:val="en-CA"/>
        </w:rPr>
      </w:pPr>
      <w:r w:rsidRPr="00D64FCD">
        <w:rPr>
          <w:lang w:val="en-CA"/>
        </w:rPr>
        <w:t>Article</w:t>
      </w:r>
      <w:r w:rsidR="00F92FA1">
        <w:rPr>
          <w:lang w:val="en-CA"/>
        </w:rPr>
        <w:t> </w:t>
      </w:r>
      <w:r w:rsidRPr="00D64FCD">
        <w:rPr>
          <w:lang w:val="en-CA"/>
        </w:rPr>
        <w:t xml:space="preserve">2870 </w:t>
      </w:r>
      <w:r w:rsidRPr="00D16016">
        <w:rPr>
          <w:i w:val="0"/>
          <w:iCs w:val="0"/>
          <w:lang w:val="en-CA"/>
        </w:rPr>
        <w:t>C</w:t>
      </w:r>
      <w:r w:rsidR="00AF6BF4" w:rsidRPr="00D16016">
        <w:rPr>
          <w:i w:val="0"/>
          <w:iCs w:val="0"/>
          <w:lang w:val="en-CA"/>
        </w:rPr>
        <w:t>.</w:t>
      </w:r>
      <w:r w:rsidRPr="00D16016">
        <w:rPr>
          <w:i w:val="0"/>
          <w:iCs w:val="0"/>
          <w:lang w:val="en-CA"/>
        </w:rPr>
        <w:t>C</w:t>
      </w:r>
      <w:r w:rsidR="00AF6BF4" w:rsidRPr="00D16016">
        <w:rPr>
          <w:i w:val="0"/>
          <w:iCs w:val="0"/>
          <w:lang w:val="en-CA"/>
        </w:rPr>
        <w:t>.</w:t>
      </w:r>
      <w:r w:rsidRPr="00D16016">
        <w:rPr>
          <w:i w:val="0"/>
          <w:iCs w:val="0"/>
          <w:lang w:val="en-CA"/>
        </w:rPr>
        <w:t>Q</w:t>
      </w:r>
      <w:r w:rsidR="00AF6BF4" w:rsidRPr="00D16016">
        <w:rPr>
          <w:i w:val="0"/>
          <w:iCs w:val="0"/>
          <w:lang w:val="en-CA"/>
        </w:rPr>
        <w:t>.</w:t>
      </w:r>
    </w:p>
    <w:p w14:paraId="240A7419" w14:textId="3A9560AB" w:rsidR="00067E7C" w:rsidRPr="00D64FCD" w:rsidRDefault="0021307B" w:rsidP="00D64254">
      <w:pPr>
        <w:pStyle w:val="1Paragraphe"/>
        <w:numPr>
          <w:ilvl w:val="0"/>
          <w:numId w:val="18"/>
        </w:numPr>
        <w:spacing w:line="280" w:lineRule="exact"/>
        <w:rPr>
          <w:lang w:val="en-CA"/>
        </w:rPr>
      </w:pPr>
      <w:r w:rsidRPr="00D64FCD">
        <w:rPr>
          <w:rFonts w:cs="Arial"/>
          <w:lang w:val="en-CA"/>
        </w:rPr>
        <w:t>Hearsay is</w:t>
      </w:r>
      <w:r w:rsidR="00F724EB">
        <w:rPr>
          <w:rFonts w:cs="Arial"/>
          <w:lang w:val="en-CA"/>
        </w:rPr>
        <w:t>, in principle,</w:t>
      </w:r>
      <w:r w:rsidRPr="00D64FCD">
        <w:rPr>
          <w:rFonts w:cs="Arial"/>
          <w:lang w:val="en-CA"/>
        </w:rPr>
        <w:t xml:space="preserve"> inadmissible into evidence.</w:t>
      </w:r>
      <w:r w:rsidR="00294345" w:rsidRPr="00D64FCD">
        <w:rPr>
          <w:rFonts w:cs="Arial"/>
          <w:lang w:val="en-CA"/>
        </w:rPr>
        <w:t xml:space="preserve"> </w:t>
      </w:r>
      <w:r w:rsidRPr="00D64FCD">
        <w:rPr>
          <w:rFonts w:cs="Arial"/>
          <w:lang w:val="en-CA"/>
        </w:rPr>
        <w:t>The general rule is that a written statement can only be filed into evidence in a proceeding if its author is called as a witness at the hearing or during an examination, allowing the opposing party to cross-examine them, unless both parties consent.</w:t>
      </w:r>
      <w:r w:rsidRPr="00D64FCD">
        <w:rPr>
          <w:vertAlign w:val="superscript"/>
          <w:lang w:val="en-CA"/>
        </w:rPr>
        <w:footnoteReference w:id="15"/>
      </w:r>
      <w:r w:rsidR="00294345" w:rsidRPr="00D64FCD">
        <w:rPr>
          <w:rFonts w:cs="Arial"/>
          <w:lang w:val="en-CA"/>
        </w:rPr>
        <w:t xml:space="preserve"> </w:t>
      </w:r>
      <w:r w:rsidRPr="00D64FCD">
        <w:rPr>
          <w:rFonts w:cs="Arial"/>
          <w:lang w:val="en-CA"/>
        </w:rPr>
        <w:t>The scheme set out in article</w:t>
      </w:r>
      <w:r w:rsidR="00F92FA1">
        <w:rPr>
          <w:rFonts w:cs="Arial"/>
          <w:lang w:val="en-CA"/>
        </w:rPr>
        <w:t> </w:t>
      </w:r>
      <w:r w:rsidRPr="00D64FCD">
        <w:rPr>
          <w:rFonts w:cs="Arial"/>
          <w:lang w:val="en-CA"/>
        </w:rPr>
        <w:t xml:space="preserve">2870 </w:t>
      </w:r>
      <w:r w:rsidRPr="00D16016">
        <w:rPr>
          <w:rFonts w:cs="Arial"/>
          <w:i/>
          <w:iCs/>
          <w:lang w:val="en-CA"/>
        </w:rPr>
        <w:t>C</w:t>
      </w:r>
      <w:r w:rsidR="00AF6BF4" w:rsidRPr="00D16016">
        <w:rPr>
          <w:rFonts w:cs="Arial"/>
          <w:i/>
          <w:iCs/>
          <w:lang w:val="en-CA"/>
        </w:rPr>
        <w:t>.</w:t>
      </w:r>
      <w:r w:rsidRPr="00D16016">
        <w:rPr>
          <w:rFonts w:cs="Arial"/>
          <w:i/>
          <w:iCs/>
          <w:lang w:val="en-CA"/>
        </w:rPr>
        <w:t>C</w:t>
      </w:r>
      <w:r w:rsidR="00AF6BF4" w:rsidRPr="00D16016">
        <w:rPr>
          <w:rFonts w:cs="Arial"/>
          <w:i/>
          <w:iCs/>
          <w:lang w:val="en-CA"/>
        </w:rPr>
        <w:t>.</w:t>
      </w:r>
      <w:r w:rsidRPr="00D16016">
        <w:rPr>
          <w:rFonts w:cs="Arial"/>
          <w:i/>
          <w:iCs/>
          <w:lang w:val="en-CA"/>
        </w:rPr>
        <w:t>Q</w:t>
      </w:r>
      <w:r w:rsidR="00AF6BF4" w:rsidRPr="00D16016">
        <w:rPr>
          <w:rFonts w:cs="Arial"/>
          <w:i/>
          <w:iCs/>
          <w:lang w:val="en-CA"/>
        </w:rPr>
        <w:t>.</w:t>
      </w:r>
      <w:r w:rsidRPr="00D64FCD">
        <w:rPr>
          <w:rFonts w:cs="Arial"/>
          <w:lang w:val="en-CA"/>
        </w:rPr>
        <w:t xml:space="preserve"> is one of the exceptions to the rule:</w:t>
      </w:r>
      <w:r w:rsidRPr="00D64FCD">
        <w:rPr>
          <w:vertAlign w:val="superscript"/>
          <w:lang w:val="en-CA"/>
        </w:rPr>
        <w:footnoteReference w:id="16"/>
      </w:r>
    </w:p>
    <w:tbl>
      <w:tblPr>
        <w:tblW w:w="10838" w:type="dxa"/>
        <w:tblCellMar>
          <w:left w:w="70" w:type="dxa"/>
          <w:right w:w="70" w:type="dxa"/>
        </w:tblCellMar>
        <w:tblLook w:val="04A0" w:firstRow="1" w:lastRow="0" w:firstColumn="1" w:lastColumn="0" w:noHBand="0" w:noVBand="1"/>
      </w:tblPr>
      <w:tblGrid>
        <w:gridCol w:w="2973"/>
        <w:gridCol w:w="1563"/>
        <w:gridCol w:w="4330"/>
        <w:gridCol w:w="321"/>
        <w:gridCol w:w="1651"/>
      </w:tblGrid>
      <w:tr w:rsidR="0021307B" w:rsidRPr="00D64FCD" w14:paraId="4320A890" w14:textId="7791E518" w:rsidTr="0021307B">
        <w:trPr>
          <w:gridAfter w:val="2"/>
          <w:wAfter w:w="1972" w:type="dxa"/>
        </w:trPr>
        <w:tc>
          <w:tcPr>
            <w:tcW w:w="4536" w:type="dxa"/>
            <w:gridSpan w:val="2"/>
          </w:tcPr>
          <w:p w14:paraId="05B75E40" w14:textId="77777777" w:rsidR="0021307B" w:rsidRPr="00D64FCD" w:rsidRDefault="0021307B" w:rsidP="00D64254">
            <w:pPr>
              <w:ind w:left="144" w:right="720"/>
              <w:jc w:val="both"/>
              <w:rPr>
                <w:rFonts w:cs="Arial"/>
                <w:kern w:val="2"/>
                <w:sz w:val="22"/>
                <w:lang w:val="en-CA"/>
                <w14:ligatures w14:val="standardContextual"/>
              </w:rPr>
            </w:pPr>
            <w:r w:rsidRPr="00D64FCD">
              <w:rPr>
                <w:rFonts w:cs="Arial"/>
                <w:b/>
                <w:bCs/>
                <w:kern w:val="2"/>
                <w:sz w:val="22"/>
                <w:lang w:val="en-CA"/>
                <w14:ligatures w14:val="standardContextual"/>
              </w:rPr>
              <w:t xml:space="preserve">2870. </w:t>
            </w:r>
            <w:r w:rsidRPr="00D64FCD">
              <w:rPr>
                <w:rFonts w:cs="Arial"/>
                <w:kern w:val="2"/>
                <w:sz w:val="22"/>
                <w:lang w:val="en-CA"/>
                <w14:ligatures w14:val="standardContextual"/>
              </w:rPr>
              <w:t>A statement made by a person who does not appear as a witness, concerning facts to which he could have legally testified, is admissible as testimony on application and after notice is given to the adverse party, provided the court authorizes it.</w:t>
            </w:r>
          </w:p>
          <w:p w14:paraId="3FB38BB8" w14:textId="77777777" w:rsidR="0021307B" w:rsidRPr="00D64FCD" w:rsidRDefault="0021307B" w:rsidP="00D64254">
            <w:pPr>
              <w:ind w:left="144" w:right="720"/>
              <w:jc w:val="both"/>
              <w:rPr>
                <w:rFonts w:cs="Arial"/>
                <w:kern w:val="2"/>
                <w:sz w:val="22"/>
                <w:lang w:val="en-CA"/>
                <w14:ligatures w14:val="standardContextual"/>
              </w:rPr>
            </w:pPr>
          </w:p>
          <w:p w14:paraId="032EA4DF" w14:textId="77777777" w:rsidR="00260598" w:rsidRDefault="00260598" w:rsidP="0021307B">
            <w:pPr>
              <w:ind w:left="144" w:right="720"/>
              <w:jc w:val="both"/>
              <w:rPr>
                <w:rFonts w:cs="Arial"/>
                <w:kern w:val="2"/>
                <w:sz w:val="22"/>
                <w:lang w:val="en-CA"/>
                <w14:ligatures w14:val="standardContextual"/>
              </w:rPr>
            </w:pPr>
          </w:p>
          <w:p w14:paraId="590DC212" w14:textId="2C34DDD3" w:rsidR="0021307B" w:rsidRPr="00D64FCD" w:rsidRDefault="0021307B" w:rsidP="0021307B">
            <w:pPr>
              <w:ind w:left="144" w:right="720"/>
              <w:jc w:val="both"/>
              <w:rPr>
                <w:rFonts w:cs="Arial"/>
                <w:kern w:val="2"/>
                <w:sz w:val="22"/>
                <w:lang w:val="en-CA"/>
                <w14:ligatures w14:val="standardContextual"/>
              </w:rPr>
            </w:pPr>
            <w:r w:rsidRPr="00D64FCD">
              <w:rPr>
                <w:rFonts w:cs="Arial"/>
                <w:kern w:val="2"/>
                <w:sz w:val="22"/>
                <w:lang w:val="en-CA"/>
                <w14:ligatures w14:val="standardContextual"/>
              </w:rPr>
              <w:t>The court shall, however, ascertain that it is impossible for the declarant to appear as a witness, or that it is unreasonable to require him to do so, and that the reliability of the statement is sufficiently guaranteed by the circumstances in which it is made.</w:t>
            </w:r>
          </w:p>
          <w:p w14:paraId="7FDB1C41" w14:textId="77777777" w:rsidR="0021307B" w:rsidRPr="00D64FCD" w:rsidRDefault="0021307B" w:rsidP="0021307B">
            <w:pPr>
              <w:ind w:left="144" w:right="720"/>
              <w:jc w:val="both"/>
              <w:rPr>
                <w:rFonts w:cs="Arial"/>
                <w:kern w:val="2"/>
                <w:sz w:val="22"/>
                <w:lang w:val="en-CA"/>
                <w14:ligatures w14:val="standardContextual"/>
              </w:rPr>
            </w:pPr>
          </w:p>
          <w:p w14:paraId="25CCF6B1" w14:textId="13D7E326" w:rsidR="0021307B" w:rsidRPr="00D64FCD" w:rsidRDefault="0021307B" w:rsidP="0021307B">
            <w:pPr>
              <w:ind w:left="144" w:right="720"/>
              <w:jc w:val="both"/>
              <w:rPr>
                <w:rFonts w:cs="Arial"/>
                <w:kern w:val="2"/>
                <w:sz w:val="22"/>
                <w:lang w:val="en-CA"/>
                <w14:ligatures w14:val="standardContextual"/>
              </w:rPr>
            </w:pPr>
            <w:r w:rsidRPr="00D64FCD">
              <w:rPr>
                <w:rFonts w:cs="Arial"/>
                <w:kern w:val="2"/>
                <w:sz w:val="22"/>
                <w:lang w:val="en-CA"/>
                <w14:ligatures w14:val="standardContextual"/>
              </w:rPr>
              <w:lastRenderedPageBreak/>
              <w:t xml:space="preserve">Reliability is presumed to be sufficiently guaranteed with respect </w:t>
            </w:r>
            <w:proofErr w:type="gramStart"/>
            <w:r w:rsidRPr="00D64FCD">
              <w:rPr>
                <w:rFonts w:cs="Arial"/>
                <w:kern w:val="2"/>
                <w:sz w:val="22"/>
                <w:lang w:val="en-CA"/>
                <w14:ligatures w14:val="standardContextual"/>
              </w:rPr>
              <w:t>in particular to</w:t>
            </w:r>
            <w:proofErr w:type="gramEnd"/>
            <w:r w:rsidRPr="00D64FCD">
              <w:rPr>
                <w:rFonts w:cs="Arial"/>
                <w:kern w:val="2"/>
                <w:sz w:val="22"/>
                <w:lang w:val="en-CA"/>
                <w14:ligatures w14:val="standardContextual"/>
              </w:rPr>
              <w:t xml:space="preserve"> documents drawn up in the ordinary course of business of an enterprise, to documents entered in a register required by law to be kept, and spontaneous statements that are contemporaneous to the occurrence of the facts.</w:t>
            </w:r>
          </w:p>
        </w:tc>
        <w:tc>
          <w:tcPr>
            <w:tcW w:w="4330" w:type="dxa"/>
          </w:tcPr>
          <w:tbl>
            <w:tblPr>
              <w:tblW w:w="4190" w:type="dxa"/>
              <w:tblCellMar>
                <w:left w:w="70" w:type="dxa"/>
                <w:right w:w="70" w:type="dxa"/>
              </w:tblCellMar>
              <w:tblLook w:val="04A0" w:firstRow="1" w:lastRow="0" w:firstColumn="1" w:lastColumn="0" w:noHBand="0" w:noVBand="1"/>
            </w:tblPr>
            <w:tblGrid>
              <w:gridCol w:w="4190"/>
            </w:tblGrid>
            <w:tr w:rsidR="00260598" w:rsidRPr="00D64FCD" w14:paraId="5E3203D0" w14:textId="77777777" w:rsidTr="00353A61">
              <w:trPr>
                <w:trHeight w:val="5040"/>
              </w:trPr>
              <w:tc>
                <w:tcPr>
                  <w:tcW w:w="4190" w:type="dxa"/>
                </w:tcPr>
                <w:p w14:paraId="5CE8A382" w14:textId="77777777" w:rsidR="00260598" w:rsidRDefault="00260598" w:rsidP="00F54E8E">
                  <w:pPr>
                    <w:ind w:left="282" w:right="16" w:hanging="13"/>
                    <w:jc w:val="both"/>
                    <w:rPr>
                      <w:rFonts w:cs="Arial"/>
                      <w:kern w:val="2"/>
                      <w:sz w:val="22"/>
                      <w14:ligatures w14:val="standardContextual"/>
                    </w:rPr>
                  </w:pPr>
                  <w:r w:rsidRPr="00D16016">
                    <w:rPr>
                      <w:rFonts w:cs="Arial"/>
                      <w:b/>
                      <w:bCs/>
                      <w:kern w:val="2"/>
                      <w:sz w:val="22"/>
                      <w14:ligatures w14:val="standardContextual"/>
                    </w:rPr>
                    <w:lastRenderedPageBreak/>
                    <w:t>2870.</w:t>
                  </w:r>
                  <w:r w:rsidRPr="00D16016">
                    <w:rPr>
                      <w:rFonts w:cs="Arial"/>
                      <w:kern w:val="2"/>
                      <w:sz w:val="22"/>
                      <w14:ligatures w14:val="standardContextual"/>
                    </w:rPr>
                    <w:t xml:space="preserve"> La déclaration faite par une personne qui ne comparaît pas comme témoin, sur des faits au sujet desquels elle aurait pu légalement déposer, peut être admise à titre de témoignage, pourvu que, sur demande et après qu’avis en ait été donné à la partie adverse, le tribunal l’autorise.</w:t>
                  </w:r>
                </w:p>
                <w:p w14:paraId="76A9C7B0" w14:textId="77777777" w:rsidR="00260598" w:rsidRDefault="00260598" w:rsidP="00F54E8E">
                  <w:pPr>
                    <w:ind w:left="282" w:right="16" w:hanging="13"/>
                    <w:jc w:val="both"/>
                    <w:rPr>
                      <w:rFonts w:cs="Arial"/>
                      <w:kern w:val="2"/>
                      <w:sz w:val="22"/>
                      <w14:ligatures w14:val="standardContextual"/>
                    </w:rPr>
                  </w:pPr>
                </w:p>
                <w:p w14:paraId="543D6D25" w14:textId="39B52DC6" w:rsidR="00260598" w:rsidRPr="00D16016" w:rsidRDefault="00260598" w:rsidP="00C533A5">
                  <w:pPr>
                    <w:ind w:left="282" w:right="16" w:hanging="13"/>
                    <w:jc w:val="both"/>
                    <w:rPr>
                      <w:rFonts w:cs="Arial"/>
                      <w:kern w:val="2"/>
                      <w:sz w:val="22"/>
                      <w14:ligatures w14:val="standardContextual"/>
                    </w:rPr>
                  </w:pPr>
                  <w:r w:rsidRPr="00D16016">
                    <w:rPr>
                      <w:rFonts w:cs="Arial"/>
                      <w:kern w:val="2"/>
                      <w:sz w:val="22"/>
                      <w14:ligatures w14:val="standardContextual"/>
                    </w:rPr>
                    <w:t>Celui-ci doit cependant s’assurer qu’il est impossible d’obtenir la comparution du déclarant comme témoin, ou déraisonnable de l’exiger, et que les circonstances entourant la déclaration donnent à celle-ci des garanties suffisamment sérieuses pour pouvoir s’y fier.</w:t>
                  </w:r>
                </w:p>
                <w:p w14:paraId="4EDF0E3C" w14:textId="55E2C093" w:rsidR="00260598" w:rsidRPr="00D16016" w:rsidRDefault="00260598" w:rsidP="0021307B">
                  <w:pPr>
                    <w:ind w:left="720" w:right="142"/>
                    <w:jc w:val="both"/>
                    <w:rPr>
                      <w:rFonts w:cs="Arial"/>
                      <w:kern w:val="2"/>
                      <w:sz w:val="22"/>
                      <w14:ligatures w14:val="standardContextual"/>
                    </w:rPr>
                  </w:pPr>
                </w:p>
              </w:tc>
            </w:tr>
            <w:tr w:rsidR="0021307B" w:rsidRPr="00D64FCD" w14:paraId="5A200537" w14:textId="77777777" w:rsidTr="0021307B">
              <w:tc>
                <w:tcPr>
                  <w:tcW w:w="4190" w:type="dxa"/>
                </w:tcPr>
                <w:p w14:paraId="158CEAFF" w14:textId="77777777" w:rsidR="0021307B" w:rsidRPr="00D16016" w:rsidRDefault="0021307B" w:rsidP="0021307B">
                  <w:pPr>
                    <w:ind w:left="-2" w:right="142"/>
                    <w:jc w:val="both"/>
                    <w:rPr>
                      <w:rFonts w:cs="Arial"/>
                      <w:b/>
                      <w:bCs/>
                      <w:kern w:val="2"/>
                      <w:sz w:val="22"/>
                      <w14:ligatures w14:val="standardContextual"/>
                    </w:rPr>
                  </w:pPr>
                  <w:r w:rsidRPr="00D16016">
                    <w:rPr>
                      <w:rFonts w:cs="Arial"/>
                      <w:kern w:val="2"/>
                      <w:sz w:val="22"/>
                      <w14:ligatures w14:val="standardContextual"/>
                    </w:rPr>
                    <w:lastRenderedPageBreak/>
                    <w:t>Sont présumés présenter ces garanties, notamment, les documents établis dans le cours des activités d’une entreprise et les documents insérés dans un registre dont la tenue est exigée par la loi, de même que les déclarations spontanées et contemporaines de la survenance des faits.</w:t>
                  </w:r>
                </w:p>
              </w:tc>
            </w:tr>
          </w:tbl>
          <w:p w14:paraId="330EBCA9" w14:textId="77777777" w:rsidR="0021307B" w:rsidRPr="00D16016" w:rsidRDefault="0021307B" w:rsidP="00D64254">
            <w:pPr>
              <w:ind w:left="144" w:right="720"/>
              <w:jc w:val="both"/>
              <w:rPr>
                <w:rFonts w:cs="Arial"/>
                <w:b/>
                <w:bCs/>
                <w:kern w:val="2"/>
                <w:sz w:val="22"/>
                <w14:ligatures w14:val="standardContextual"/>
              </w:rPr>
            </w:pPr>
          </w:p>
        </w:tc>
      </w:tr>
      <w:tr w:rsidR="0021307B" w:rsidRPr="00D64FCD" w14:paraId="7BBB2759" w14:textId="57686B72" w:rsidTr="0021307B">
        <w:tc>
          <w:tcPr>
            <w:tcW w:w="2973" w:type="dxa"/>
          </w:tcPr>
          <w:p w14:paraId="388F4AA1" w14:textId="77777777" w:rsidR="0021307B" w:rsidRPr="00D16016" w:rsidRDefault="0021307B" w:rsidP="00D64254">
            <w:pPr>
              <w:ind w:left="720" w:right="142"/>
              <w:jc w:val="both"/>
              <w:rPr>
                <w:rFonts w:cs="Arial"/>
                <w:b/>
                <w:bCs/>
                <w:kern w:val="2"/>
                <w:sz w:val="22"/>
                <w14:ligatures w14:val="standardContextual"/>
              </w:rPr>
            </w:pPr>
          </w:p>
        </w:tc>
        <w:tc>
          <w:tcPr>
            <w:tcW w:w="6214" w:type="dxa"/>
            <w:gridSpan w:val="3"/>
          </w:tcPr>
          <w:p w14:paraId="5C1DBBD1" w14:textId="77777777" w:rsidR="0021307B" w:rsidRPr="00D16016" w:rsidRDefault="0021307B" w:rsidP="00D64254">
            <w:pPr>
              <w:ind w:left="144" w:right="720"/>
              <w:jc w:val="both"/>
              <w:rPr>
                <w:rFonts w:cs="Arial"/>
                <w:b/>
                <w:bCs/>
                <w:kern w:val="2"/>
                <w:sz w:val="22"/>
                <w14:ligatures w14:val="standardContextual"/>
              </w:rPr>
            </w:pPr>
          </w:p>
        </w:tc>
        <w:tc>
          <w:tcPr>
            <w:tcW w:w="1651" w:type="dxa"/>
          </w:tcPr>
          <w:p w14:paraId="5BEEDC43" w14:textId="77777777" w:rsidR="0021307B" w:rsidRPr="00D16016" w:rsidRDefault="0021307B" w:rsidP="00D64254">
            <w:pPr>
              <w:ind w:left="144" w:right="720"/>
              <w:jc w:val="both"/>
              <w:rPr>
                <w:rFonts w:cs="Arial"/>
                <w:kern w:val="2"/>
                <w:sz w:val="22"/>
                <w14:ligatures w14:val="standardContextual"/>
              </w:rPr>
            </w:pPr>
          </w:p>
        </w:tc>
      </w:tr>
      <w:tr w:rsidR="0021307B" w:rsidRPr="00D64FCD" w14:paraId="5764433C" w14:textId="7584ED19" w:rsidTr="0021307B">
        <w:tc>
          <w:tcPr>
            <w:tcW w:w="2973" w:type="dxa"/>
          </w:tcPr>
          <w:p w14:paraId="55E18D26" w14:textId="483852CA" w:rsidR="0021307B" w:rsidRPr="00D16016" w:rsidRDefault="0021307B" w:rsidP="00D64254">
            <w:pPr>
              <w:ind w:left="720" w:right="142"/>
              <w:jc w:val="both"/>
              <w:rPr>
                <w:rFonts w:cs="Arial"/>
                <w:b/>
                <w:bCs/>
                <w:kern w:val="2"/>
                <w:sz w:val="22"/>
                <w14:ligatures w14:val="standardContextual"/>
              </w:rPr>
            </w:pPr>
          </w:p>
        </w:tc>
        <w:tc>
          <w:tcPr>
            <w:tcW w:w="6214" w:type="dxa"/>
            <w:gridSpan w:val="3"/>
          </w:tcPr>
          <w:p w14:paraId="48F0C28C" w14:textId="64A56E14" w:rsidR="0021307B" w:rsidRPr="00D16016" w:rsidRDefault="0021307B" w:rsidP="00D64254">
            <w:pPr>
              <w:ind w:left="144" w:right="720"/>
              <w:jc w:val="both"/>
              <w:rPr>
                <w:rFonts w:cs="Arial"/>
                <w:b/>
                <w:bCs/>
                <w:kern w:val="2"/>
                <w:sz w:val="22"/>
                <w14:ligatures w14:val="standardContextual"/>
              </w:rPr>
            </w:pPr>
          </w:p>
        </w:tc>
        <w:tc>
          <w:tcPr>
            <w:tcW w:w="1651" w:type="dxa"/>
          </w:tcPr>
          <w:p w14:paraId="0788D477" w14:textId="77777777" w:rsidR="0021307B" w:rsidRPr="00D16016" w:rsidRDefault="0021307B" w:rsidP="00D64254">
            <w:pPr>
              <w:ind w:left="144" w:right="720"/>
              <w:jc w:val="both"/>
              <w:rPr>
                <w:rFonts w:cs="Arial"/>
                <w:kern w:val="2"/>
                <w:sz w:val="22"/>
                <w14:ligatures w14:val="standardContextual"/>
              </w:rPr>
            </w:pPr>
          </w:p>
        </w:tc>
      </w:tr>
    </w:tbl>
    <w:p w14:paraId="3C742E7D" w14:textId="157DDEAF" w:rsidR="00067E7C" w:rsidRPr="00D64FCD" w:rsidRDefault="0021307B" w:rsidP="00D64254">
      <w:pPr>
        <w:pStyle w:val="1Paragraphe"/>
        <w:numPr>
          <w:ilvl w:val="0"/>
          <w:numId w:val="18"/>
        </w:numPr>
        <w:spacing w:line="280" w:lineRule="exact"/>
        <w:rPr>
          <w:lang w:val="en-CA"/>
        </w:rPr>
      </w:pPr>
      <w:r w:rsidRPr="00D64FCD">
        <w:rPr>
          <w:rFonts w:cs="Arial"/>
          <w:lang w:val="en-CA"/>
        </w:rPr>
        <w:t>Three criteria must be met to apply the provision:</w:t>
      </w:r>
      <w:r w:rsidRPr="00D64FCD">
        <w:rPr>
          <w:vertAlign w:val="superscript"/>
          <w:lang w:val="en-CA"/>
        </w:rPr>
        <w:t xml:space="preserve"> </w:t>
      </w:r>
      <w:r w:rsidRPr="00D64FCD">
        <w:rPr>
          <w:vertAlign w:val="superscript"/>
          <w:lang w:val="en-CA"/>
        </w:rPr>
        <w:footnoteReference w:id="17"/>
      </w:r>
    </w:p>
    <w:p w14:paraId="50283525" w14:textId="0FAA41D6" w:rsidR="00067E7C" w:rsidRPr="00D64FCD" w:rsidRDefault="0021307B" w:rsidP="00D64254">
      <w:pPr>
        <w:numPr>
          <w:ilvl w:val="0"/>
          <w:numId w:val="19"/>
        </w:numPr>
        <w:tabs>
          <w:tab w:val="left" w:pos="708"/>
        </w:tabs>
        <w:spacing w:before="120" w:after="120"/>
        <w:jc w:val="both"/>
        <w:rPr>
          <w:rFonts w:cs="Arial"/>
          <w:kern w:val="28"/>
          <w:lang w:val="en-CA"/>
        </w:rPr>
      </w:pPr>
      <w:r w:rsidRPr="00D64FCD">
        <w:rPr>
          <w:rFonts w:cs="Arial"/>
          <w:kern w:val="28"/>
          <w:lang w:val="en-CA"/>
        </w:rPr>
        <w:t xml:space="preserve">the statement concerns facts about which the declarant may legally </w:t>
      </w:r>
      <w:proofErr w:type="gramStart"/>
      <w:r w:rsidRPr="00D64FCD">
        <w:rPr>
          <w:rFonts w:cs="Arial"/>
          <w:kern w:val="28"/>
          <w:lang w:val="en-CA"/>
        </w:rPr>
        <w:t>testify</w:t>
      </w:r>
      <w:r w:rsidR="008A2DF3">
        <w:rPr>
          <w:rFonts w:cs="Arial"/>
          <w:kern w:val="28"/>
          <w:lang w:val="en-CA"/>
        </w:rPr>
        <w:t>;</w:t>
      </w:r>
      <w:proofErr w:type="gramEnd"/>
    </w:p>
    <w:p w14:paraId="318BAE13" w14:textId="0EBFDFEB" w:rsidR="00067E7C" w:rsidRPr="00D64FCD" w:rsidRDefault="0021307B" w:rsidP="00D64254">
      <w:pPr>
        <w:numPr>
          <w:ilvl w:val="0"/>
          <w:numId w:val="19"/>
        </w:numPr>
        <w:tabs>
          <w:tab w:val="left" w:pos="708"/>
        </w:tabs>
        <w:spacing w:before="120" w:after="120"/>
        <w:jc w:val="both"/>
        <w:rPr>
          <w:rFonts w:cs="Arial"/>
          <w:kern w:val="28"/>
          <w:lang w:val="en-CA"/>
        </w:rPr>
      </w:pPr>
      <w:r w:rsidRPr="00D64FCD">
        <w:rPr>
          <w:rFonts w:cs="Arial"/>
          <w:kern w:val="28"/>
          <w:lang w:val="en-CA"/>
        </w:rPr>
        <w:t xml:space="preserve">his or her appearance is impossible or </w:t>
      </w:r>
      <w:proofErr w:type="gramStart"/>
      <w:r w:rsidRPr="00D64FCD">
        <w:rPr>
          <w:rFonts w:cs="Arial"/>
          <w:kern w:val="28"/>
          <w:lang w:val="en-CA"/>
        </w:rPr>
        <w:t>unreasonable;</w:t>
      </w:r>
      <w:proofErr w:type="gramEnd"/>
    </w:p>
    <w:p w14:paraId="56A1DC61" w14:textId="02A4C1E3" w:rsidR="00067E7C" w:rsidRPr="00D64FCD" w:rsidRDefault="0021307B" w:rsidP="00D64254">
      <w:pPr>
        <w:numPr>
          <w:ilvl w:val="0"/>
          <w:numId w:val="19"/>
        </w:numPr>
        <w:tabs>
          <w:tab w:val="left" w:pos="708"/>
        </w:tabs>
        <w:spacing w:before="120" w:after="120"/>
        <w:jc w:val="both"/>
        <w:rPr>
          <w:rFonts w:cs="Arial"/>
          <w:kern w:val="28"/>
          <w:lang w:val="en-CA"/>
        </w:rPr>
      </w:pPr>
      <w:r w:rsidRPr="00D64FCD">
        <w:rPr>
          <w:rFonts w:cs="Arial"/>
          <w:kern w:val="28"/>
          <w:lang w:val="en-CA"/>
        </w:rPr>
        <w:t>the reliability of the statement is sufficiently guaranteed by the circumstances in which it is made.</w:t>
      </w:r>
    </w:p>
    <w:p w14:paraId="1A904809" w14:textId="11AC6DAF" w:rsidR="00067E7C" w:rsidRPr="00D64FCD" w:rsidRDefault="0021307B" w:rsidP="00D64254">
      <w:pPr>
        <w:pStyle w:val="1Paragraphe"/>
        <w:numPr>
          <w:ilvl w:val="0"/>
          <w:numId w:val="18"/>
        </w:numPr>
        <w:spacing w:line="280" w:lineRule="exact"/>
        <w:rPr>
          <w:lang w:val="en-CA"/>
        </w:rPr>
      </w:pPr>
      <w:r w:rsidRPr="00D64FCD">
        <w:rPr>
          <w:rFonts w:cs="Arial"/>
          <w:lang w:val="en-CA"/>
        </w:rPr>
        <w:t>In this case the proceeding concerns the first two criteria.</w:t>
      </w:r>
      <w:r w:rsidR="00294345" w:rsidRPr="00D64FCD">
        <w:rPr>
          <w:rFonts w:cs="Arial"/>
          <w:lang w:val="en-CA"/>
        </w:rPr>
        <w:t xml:space="preserve"> </w:t>
      </w:r>
      <w:r w:rsidRPr="00D64FCD">
        <w:rPr>
          <w:rFonts w:cs="Arial"/>
          <w:lang w:val="en-CA"/>
        </w:rPr>
        <w:t xml:space="preserve">The reliability of the </w:t>
      </w:r>
      <w:r w:rsidR="00C14CBB" w:rsidRPr="00D64FCD">
        <w:rPr>
          <w:rFonts w:cs="Arial"/>
          <w:lang w:val="en-CA"/>
        </w:rPr>
        <w:t>affidavit</w:t>
      </w:r>
      <w:r w:rsidRPr="00D64FCD">
        <w:rPr>
          <w:rFonts w:cs="Arial"/>
          <w:lang w:val="en-CA"/>
        </w:rPr>
        <w:t>s of the chief judges, associate chief judge</w:t>
      </w:r>
      <w:r w:rsidR="00BD03C3">
        <w:rPr>
          <w:rFonts w:cs="Arial"/>
          <w:lang w:val="en-CA"/>
        </w:rPr>
        <w:t>,</w:t>
      </w:r>
      <w:r w:rsidRPr="00D64FCD">
        <w:rPr>
          <w:rFonts w:cs="Arial"/>
          <w:lang w:val="en-CA"/>
        </w:rPr>
        <w:t xml:space="preserve"> and associate coordinating judges of the Court of Québec is not really in dispute here.</w:t>
      </w:r>
      <w:r w:rsidR="00294345" w:rsidRPr="00D64FCD">
        <w:rPr>
          <w:rFonts w:cs="Arial"/>
          <w:lang w:val="en-CA"/>
        </w:rPr>
        <w:t xml:space="preserve"> </w:t>
      </w:r>
      <w:r w:rsidRPr="00D64FCD">
        <w:rPr>
          <w:rFonts w:cs="Arial"/>
          <w:lang w:val="en-CA"/>
        </w:rPr>
        <w:t xml:space="preserve">The </w:t>
      </w:r>
      <w:r w:rsidR="00C14CBB" w:rsidRPr="00D64FCD">
        <w:rPr>
          <w:rFonts w:cs="Arial"/>
          <w:lang w:val="en-CA"/>
        </w:rPr>
        <w:t>affidavit</w:t>
      </w:r>
      <w:r w:rsidRPr="00D64FCD">
        <w:rPr>
          <w:rFonts w:cs="Arial"/>
          <w:lang w:val="en-CA"/>
        </w:rPr>
        <w:t xml:space="preserve">s were made under </w:t>
      </w:r>
      <w:proofErr w:type="gramStart"/>
      <w:r w:rsidRPr="00D64FCD">
        <w:rPr>
          <w:rFonts w:cs="Arial"/>
          <w:lang w:val="en-CA"/>
        </w:rPr>
        <w:t>oath</w:t>
      </w:r>
      <w:proofErr w:type="gramEnd"/>
      <w:r w:rsidRPr="00D64FCD">
        <w:rPr>
          <w:rFonts w:cs="Arial"/>
          <w:lang w:val="en-CA"/>
        </w:rPr>
        <w:t xml:space="preserve"> </w:t>
      </w:r>
      <w:r w:rsidR="00BD03C3" w:rsidRPr="00D64FCD">
        <w:rPr>
          <w:rFonts w:cs="Arial"/>
          <w:lang w:val="en-CA"/>
        </w:rPr>
        <w:t>and</w:t>
      </w:r>
      <w:r w:rsidRPr="00D64FCD">
        <w:rPr>
          <w:rFonts w:cs="Arial"/>
          <w:lang w:val="en-CA"/>
        </w:rPr>
        <w:t xml:space="preserve"> concern matters of public interest on which the judges are in a position to testify.</w:t>
      </w:r>
    </w:p>
    <w:p w14:paraId="2C285018" w14:textId="7818C3AB" w:rsidR="00067E7C" w:rsidRPr="00D64FCD" w:rsidRDefault="0021307B" w:rsidP="00D64254">
      <w:pPr>
        <w:pStyle w:val="Titre3"/>
        <w:rPr>
          <w:lang w:val="en-CA"/>
        </w:rPr>
      </w:pPr>
      <w:r w:rsidRPr="00D64FCD">
        <w:rPr>
          <w:lang w:val="en-CA"/>
        </w:rPr>
        <w:t>Judicial immunity</w:t>
      </w:r>
    </w:p>
    <w:p w14:paraId="219585DB" w14:textId="1EF89C3B" w:rsidR="00067E7C" w:rsidRPr="00D64FCD" w:rsidRDefault="0021307B" w:rsidP="00D64254">
      <w:pPr>
        <w:pStyle w:val="1Paragraphe"/>
        <w:numPr>
          <w:ilvl w:val="0"/>
          <w:numId w:val="18"/>
        </w:numPr>
        <w:spacing w:line="280" w:lineRule="exact"/>
        <w:rPr>
          <w:lang w:val="en-CA"/>
        </w:rPr>
      </w:pPr>
      <w:r w:rsidRPr="00D64FCD">
        <w:rPr>
          <w:lang w:val="en-CA"/>
        </w:rPr>
        <w:t xml:space="preserve">In Quebec, </w:t>
      </w:r>
      <w:r w:rsidR="00BD03C3">
        <w:rPr>
          <w:lang w:val="en-CA"/>
        </w:rPr>
        <w:t xml:space="preserve">paragraph 3 of </w:t>
      </w:r>
      <w:r w:rsidRPr="00D64FCD">
        <w:rPr>
          <w:lang w:val="en-CA"/>
        </w:rPr>
        <w:t xml:space="preserve">article </w:t>
      </w:r>
      <w:r w:rsidR="00BD03C3">
        <w:rPr>
          <w:lang w:val="en-CA"/>
        </w:rPr>
        <w:t xml:space="preserve">9 </w:t>
      </w:r>
      <w:r w:rsidRPr="00D16016">
        <w:rPr>
          <w:i/>
          <w:iCs/>
          <w:lang w:val="en-CA"/>
        </w:rPr>
        <w:t>C</w:t>
      </w:r>
      <w:r w:rsidR="008A2DF3" w:rsidRPr="00D16016">
        <w:rPr>
          <w:i/>
          <w:iCs/>
          <w:lang w:val="en-CA"/>
        </w:rPr>
        <w:t>.</w:t>
      </w:r>
      <w:r w:rsidRPr="00D16016">
        <w:rPr>
          <w:i/>
          <w:iCs/>
          <w:lang w:val="en-CA"/>
        </w:rPr>
        <w:t>C</w:t>
      </w:r>
      <w:r w:rsidR="008A2DF3" w:rsidRPr="00D16016">
        <w:rPr>
          <w:i/>
          <w:iCs/>
          <w:lang w:val="en-CA"/>
        </w:rPr>
        <w:t>.</w:t>
      </w:r>
      <w:r w:rsidRPr="00D16016">
        <w:rPr>
          <w:i/>
          <w:iCs/>
          <w:lang w:val="en-CA"/>
        </w:rPr>
        <w:t>P</w:t>
      </w:r>
      <w:r w:rsidR="008A2DF3" w:rsidRPr="00D16016">
        <w:rPr>
          <w:i/>
          <w:iCs/>
          <w:lang w:val="en-CA"/>
        </w:rPr>
        <w:t>.</w:t>
      </w:r>
      <w:r w:rsidRPr="00D64FCD">
        <w:rPr>
          <w:lang w:val="en-CA"/>
        </w:rPr>
        <w:t xml:space="preserve"> explicitly enshrines the judicial immunity of the courts and judges.</w:t>
      </w:r>
      <w:r w:rsidR="00294345" w:rsidRPr="00D64FCD">
        <w:rPr>
          <w:lang w:val="en-CA"/>
        </w:rPr>
        <w:t xml:space="preserve"> </w:t>
      </w:r>
      <w:r w:rsidRPr="00D64FCD">
        <w:rPr>
          <w:lang w:val="en-CA"/>
        </w:rPr>
        <w:t>Section</w:t>
      </w:r>
      <w:r w:rsidR="00F92FA1">
        <w:rPr>
          <w:lang w:val="en-CA"/>
        </w:rPr>
        <w:t> </w:t>
      </w:r>
      <w:r w:rsidRPr="00D64FCD">
        <w:rPr>
          <w:lang w:val="en-CA"/>
        </w:rPr>
        <w:t xml:space="preserve">1 of the </w:t>
      </w:r>
      <w:r w:rsidRPr="00D64FCD">
        <w:rPr>
          <w:i/>
          <w:lang w:val="en-CA"/>
        </w:rPr>
        <w:t>Magistrate</w:t>
      </w:r>
      <w:r w:rsidR="00A00A6C">
        <w:rPr>
          <w:i/>
          <w:lang w:val="en-CA"/>
        </w:rPr>
        <w:t>’</w:t>
      </w:r>
      <w:r w:rsidRPr="00D64FCD">
        <w:rPr>
          <w:i/>
          <w:lang w:val="en-CA"/>
        </w:rPr>
        <w:t>s Privileges Act</w:t>
      </w:r>
      <w:r w:rsidRPr="00D64FCD">
        <w:rPr>
          <w:rStyle w:val="Appelnotedebasdep"/>
          <w:rFonts w:cs="Arial"/>
          <w:lang w:val="en-CA"/>
        </w:rPr>
        <w:footnoteReference w:id="18"/>
      </w:r>
      <w:r w:rsidR="008A2DF3">
        <w:rPr>
          <w:i/>
          <w:lang w:val="en-CA"/>
        </w:rPr>
        <w:t xml:space="preserve"> </w:t>
      </w:r>
      <w:r w:rsidRPr="00D16016">
        <w:rPr>
          <w:rStyle w:val="Citationintgre"/>
          <w:rFonts w:cs="Arial"/>
          <w:i w:val="0"/>
          <w:sz w:val="24"/>
          <w:szCs w:val="24"/>
          <w:lang w:val="en-CA"/>
        </w:rPr>
        <w:t>provides that provincially appointed judges enjoy the same immunity as Superior Court judges.</w:t>
      </w:r>
      <w:r w:rsidRPr="00D64FCD">
        <w:rPr>
          <w:rStyle w:val="Appelnotedebasdep"/>
          <w:rFonts w:cs="Arial"/>
          <w:lang w:val="en-CA"/>
        </w:rPr>
        <w:footnoteReference w:id="19"/>
      </w:r>
      <w:r w:rsidR="00294345" w:rsidRPr="00D64FCD">
        <w:rPr>
          <w:lang w:val="en-CA"/>
        </w:rPr>
        <w:t xml:space="preserve"> </w:t>
      </w:r>
      <w:r w:rsidRPr="00D64FCD">
        <w:rPr>
          <w:lang w:val="en-CA"/>
        </w:rPr>
        <w:t>The principle of judicial immunity comes from English law, where its meaning and scope can be found, and is more broadly rooted in the principle of judicial independence.</w:t>
      </w:r>
      <w:bookmarkStart w:id="11" w:name="_Ref212719117"/>
      <w:r w:rsidRPr="00D64FCD">
        <w:rPr>
          <w:rStyle w:val="Appelnotedebasdep"/>
          <w:rFonts w:cs="Arial"/>
          <w:lang w:val="en-CA"/>
        </w:rPr>
        <w:footnoteReference w:id="20"/>
      </w:r>
      <w:bookmarkEnd w:id="11"/>
      <w:r w:rsidRPr="00D64FCD">
        <w:rPr>
          <w:rStyle w:val="Citationintgre"/>
          <w:rFonts w:cs="Arial"/>
          <w:i w:val="0"/>
          <w:lang w:val="en-CA"/>
        </w:rPr>
        <w:t xml:space="preserve">                                </w:t>
      </w:r>
    </w:p>
    <w:p w14:paraId="003CF3EF" w14:textId="428E4C1D" w:rsidR="00067E7C" w:rsidRPr="00D64FCD" w:rsidRDefault="0021307B" w:rsidP="00D64254">
      <w:pPr>
        <w:pStyle w:val="Paragraphe"/>
        <w:spacing w:line="280" w:lineRule="exact"/>
        <w:rPr>
          <w:lang w:val="en-CA"/>
        </w:rPr>
      </w:pPr>
      <w:r w:rsidRPr="00D64FCD">
        <w:rPr>
          <w:rFonts w:cs="Arial"/>
          <w:lang w:val="en-CA"/>
        </w:rPr>
        <w:t xml:space="preserve">Pursuant to the rules of common law, the judicial immunity enjoyed by superior court judges protects them from prosecution for acts committed in the performance of </w:t>
      </w:r>
      <w:r w:rsidRPr="00D64FCD">
        <w:rPr>
          <w:rFonts w:cs="Arial"/>
          <w:lang w:val="en-CA"/>
        </w:rPr>
        <w:lastRenderedPageBreak/>
        <w:t>their judicial functions.</w:t>
      </w:r>
      <w:r w:rsidRPr="00D64FCD">
        <w:rPr>
          <w:rStyle w:val="Appelnotedebasdep"/>
          <w:rFonts w:cs="Arial"/>
          <w:lang w:val="en-CA"/>
        </w:rPr>
        <w:footnoteReference w:id="21"/>
      </w:r>
      <w:r w:rsidR="00294345" w:rsidRPr="00D64FCD">
        <w:rPr>
          <w:rFonts w:cs="Arial"/>
          <w:lang w:val="en-CA"/>
        </w:rPr>
        <w:t xml:space="preserve"> </w:t>
      </w:r>
      <w:r w:rsidRPr="00D64FCD">
        <w:rPr>
          <w:rFonts w:cs="Arial"/>
          <w:lang w:val="en-CA"/>
        </w:rPr>
        <w:t>This rule aims to allow judges to independently and impartially perform their duties without the fear of retaliation through a civil suit.</w:t>
      </w:r>
      <w:r w:rsidR="00294345" w:rsidRPr="00D64FCD">
        <w:rPr>
          <w:rFonts w:cs="Arial"/>
          <w:lang w:val="en-CA"/>
        </w:rPr>
        <w:t xml:space="preserve"> </w:t>
      </w:r>
      <w:r w:rsidRPr="00D64FCD">
        <w:rPr>
          <w:rFonts w:cs="Arial"/>
          <w:lang w:val="en-CA"/>
        </w:rPr>
        <w:t>Thus</w:t>
      </w:r>
      <w:r w:rsidR="00DD0A5B">
        <w:rPr>
          <w:rFonts w:cs="Arial"/>
          <w:lang w:val="en-CA"/>
        </w:rPr>
        <w:t>,</w:t>
      </w:r>
      <w:r w:rsidRPr="00D64FCD">
        <w:rPr>
          <w:rFonts w:cs="Arial"/>
          <w:lang w:val="en-CA"/>
        </w:rPr>
        <w:t xml:space="preserve"> the </w:t>
      </w:r>
      <w:r w:rsidR="00BC6488" w:rsidRPr="00D64FCD">
        <w:rPr>
          <w:rFonts w:cs="Arial"/>
          <w:lang w:val="en-CA"/>
        </w:rPr>
        <w:t>judges are</w:t>
      </w:r>
      <w:r w:rsidRPr="00D64FCD">
        <w:rPr>
          <w:rFonts w:cs="Arial"/>
          <w:lang w:val="en-CA"/>
        </w:rPr>
        <w:t xml:space="preserve"> protected from the pressure likely to arise from potential suits by litigants and the risks of intimidation or harassment.</w:t>
      </w:r>
      <w:r w:rsidRPr="00D64FCD">
        <w:rPr>
          <w:rStyle w:val="Appelnotedebasdep"/>
          <w:rFonts w:cs="Arial"/>
          <w:lang w:val="en-CA"/>
        </w:rPr>
        <w:footnoteReference w:id="22"/>
      </w:r>
    </w:p>
    <w:p w14:paraId="3D66D557" w14:textId="680AD5B7" w:rsidR="00067E7C" w:rsidRPr="00D64FCD" w:rsidRDefault="0021307B" w:rsidP="00D64254">
      <w:pPr>
        <w:pStyle w:val="1Paragraphe"/>
        <w:numPr>
          <w:ilvl w:val="0"/>
          <w:numId w:val="18"/>
        </w:numPr>
        <w:spacing w:line="280" w:lineRule="exact"/>
        <w:rPr>
          <w:rFonts w:cs="Arial"/>
          <w:sz w:val="22"/>
          <w:szCs w:val="18"/>
          <w:lang w:val="en-CA"/>
        </w:rPr>
      </w:pPr>
      <w:r w:rsidRPr="00D64FCD">
        <w:rPr>
          <w:rFonts w:cs="Arial"/>
          <w:lang w:val="en-CA"/>
        </w:rPr>
        <w:t>The principle of judicial immunity also means that judges may not be compelled to testify about matters related to their judicial independ</w:t>
      </w:r>
      <w:r w:rsidR="00F724EB">
        <w:rPr>
          <w:rFonts w:cs="Arial"/>
          <w:lang w:val="en-CA"/>
        </w:rPr>
        <w:t>e</w:t>
      </w:r>
      <w:r w:rsidRPr="00D64FCD">
        <w:rPr>
          <w:rFonts w:cs="Arial"/>
          <w:lang w:val="en-CA"/>
        </w:rPr>
        <w:t>nce, including the way they reach their decisions.</w:t>
      </w:r>
      <w:r w:rsidRPr="00D64FCD">
        <w:rPr>
          <w:rStyle w:val="Appelnotedebasdep"/>
          <w:rFonts w:cs="Arial"/>
          <w:lang w:val="en-CA"/>
        </w:rPr>
        <w:footnoteReference w:id="23"/>
      </w:r>
    </w:p>
    <w:p w14:paraId="2D134951" w14:textId="6FC1F43C" w:rsidR="00067E7C" w:rsidRPr="00D64FCD" w:rsidRDefault="0021307B" w:rsidP="00D64254">
      <w:pPr>
        <w:pStyle w:val="1Paragraphe"/>
        <w:numPr>
          <w:ilvl w:val="0"/>
          <w:numId w:val="18"/>
        </w:numPr>
        <w:spacing w:line="280" w:lineRule="exact"/>
        <w:rPr>
          <w:rFonts w:cs="Arial"/>
          <w:sz w:val="22"/>
          <w:szCs w:val="18"/>
          <w:lang w:val="en-CA"/>
        </w:rPr>
      </w:pPr>
      <w:r w:rsidRPr="00D64FCD">
        <w:rPr>
          <w:rFonts w:cs="Arial"/>
          <w:lang w:val="en-CA"/>
        </w:rPr>
        <w:t>Moreover, judges must not be compelled to testify about their administrative duties, in particular with respect to assignment.</w:t>
      </w:r>
      <w:r w:rsidRPr="00D64FCD">
        <w:rPr>
          <w:rStyle w:val="Appelnotedebasdep"/>
          <w:rFonts w:cs="Arial"/>
          <w:lang w:val="en-CA"/>
        </w:rPr>
        <w:footnoteReference w:id="24"/>
      </w:r>
      <w:r w:rsidR="00294345" w:rsidRPr="00D64FCD">
        <w:rPr>
          <w:rFonts w:cs="Arial"/>
          <w:lang w:val="en-CA"/>
        </w:rPr>
        <w:t xml:space="preserve"> </w:t>
      </w:r>
      <w:r w:rsidRPr="00D64FCD">
        <w:rPr>
          <w:rFonts w:cs="Arial"/>
          <w:lang w:val="en-CA"/>
        </w:rPr>
        <w:t>To preserve its independence, a judicial court must have some control over the assignment of judges to cases, the sitting of the court, and court lists, as well as over the allocation of court rooms and direction of the administrative staff.</w:t>
      </w:r>
      <w:r w:rsidRPr="00D64FCD">
        <w:rPr>
          <w:rStyle w:val="Appelnotedebasdep"/>
          <w:rFonts w:cs="Arial"/>
          <w:lang w:val="en-CA"/>
        </w:rPr>
        <w:footnoteReference w:id="25"/>
      </w:r>
      <w:r w:rsidR="00294345" w:rsidRPr="00D64FCD">
        <w:rPr>
          <w:rFonts w:cs="Arial"/>
          <w:lang w:val="en-CA"/>
        </w:rPr>
        <w:t xml:space="preserve"> </w:t>
      </w:r>
      <w:r w:rsidRPr="00D64FCD">
        <w:rPr>
          <w:rFonts w:cs="Arial"/>
          <w:lang w:val="en-CA"/>
        </w:rPr>
        <w:t>The judicial branch must not be accountable to the executive or legislative branch on these matters.</w:t>
      </w:r>
      <w:r w:rsidR="00294345" w:rsidRPr="00D64FCD">
        <w:rPr>
          <w:rFonts w:cs="Arial"/>
          <w:lang w:val="en-CA"/>
        </w:rPr>
        <w:t xml:space="preserve"> </w:t>
      </w:r>
      <w:r w:rsidR="00BC6488" w:rsidRPr="00D64FCD">
        <w:rPr>
          <w:rFonts w:cs="Arial"/>
          <w:lang w:val="en-CA"/>
        </w:rPr>
        <w:t xml:space="preserve">In </w:t>
      </w:r>
      <w:r w:rsidR="00BC6488" w:rsidRPr="00D64FCD">
        <w:rPr>
          <w:rFonts w:cs="Arial"/>
          <w:i/>
          <w:lang w:val="en-CA"/>
        </w:rPr>
        <w:t>MacKeigan v. Hickman</w:t>
      </w:r>
      <w:r w:rsidR="00BC6488" w:rsidRPr="00D64FCD">
        <w:rPr>
          <w:rFonts w:cs="Arial"/>
          <w:lang w:val="en-CA"/>
        </w:rPr>
        <w:t>, the Supreme Court considered whe</w:t>
      </w:r>
      <w:r w:rsidR="00BD03C3">
        <w:rPr>
          <w:rFonts w:cs="Arial"/>
          <w:lang w:val="en-CA"/>
        </w:rPr>
        <w:t>th</w:t>
      </w:r>
      <w:r w:rsidR="00BC6488" w:rsidRPr="00D64FCD">
        <w:rPr>
          <w:rFonts w:cs="Arial"/>
          <w:lang w:val="en-CA"/>
        </w:rPr>
        <w:t>er judges can be called to testify on their reasons and on their assignment to a case.</w:t>
      </w:r>
      <w:r w:rsidR="00294345" w:rsidRPr="00D64FCD">
        <w:rPr>
          <w:rFonts w:cs="Arial"/>
          <w:lang w:val="en-CA"/>
        </w:rPr>
        <w:t xml:space="preserve"> </w:t>
      </w:r>
      <w:r w:rsidR="00BC6488" w:rsidRPr="00D64FCD">
        <w:rPr>
          <w:rFonts w:cs="Arial"/>
          <w:lang w:val="en-CA"/>
        </w:rPr>
        <w:t>A panel of five judges from the Appeal Division of the Supreme Court of Nova Scotia quashed Donald</w:t>
      </w:r>
      <w:r w:rsidR="00A00A6C">
        <w:rPr>
          <w:rFonts w:cs="Arial"/>
          <w:lang w:val="en-CA"/>
        </w:rPr>
        <w:t> </w:t>
      </w:r>
      <w:r w:rsidR="00BC6488" w:rsidRPr="00D64FCD">
        <w:rPr>
          <w:rFonts w:cs="Arial"/>
          <w:lang w:val="en-CA"/>
        </w:rPr>
        <w:t>Marshall</w:t>
      </w:r>
      <w:r w:rsidR="00EA58C4">
        <w:rPr>
          <w:rFonts w:cs="Arial"/>
          <w:lang w:val="en-CA"/>
        </w:rPr>
        <w:t>’s</w:t>
      </w:r>
      <w:r w:rsidR="00BC6488" w:rsidRPr="00D64FCD">
        <w:rPr>
          <w:rFonts w:cs="Arial"/>
          <w:lang w:val="en-CA"/>
        </w:rPr>
        <w:t xml:space="preserve"> conviction.</w:t>
      </w:r>
      <w:r w:rsidR="00294345" w:rsidRPr="00D64FCD">
        <w:rPr>
          <w:rFonts w:cs="Arial"/>
          <w:lang w:val="en-CA"/>
        </w:rPr>
        <w:t xml:space="preserve"> </w:t>
      </w:r>
      <w:r w:rsidR="00BC6488" w:rsidRPr="00D64FCD">
        <w:rPr>
          <w:rFonts w:cs="Arial"/>
          <w:lang w:val="en-CA"/>
        </w:rPr>
        <w:t xml:space="preserve">The panel included a justice who had been Attorney General of Nova </w:t>
      </w:r>
      <w:r w:rsidR="00F7169A" w:rsidRPr="00D64FCD">
        <w:rPr>
          <w:rFonts w:cs="Arial"/>
          <w:lang w:val="en-CA"/>
        </w:rPr>
        <w:t>Scotia</w:t>
      </w:r>
      <w:r w:rsidR="00BC6488" w:rsidRPr="00D64FCD">
        <w:rPr>
          <w:rFonts w:cs="Arial"/>
          <w:lang w:val="en-CA"/>
        </w:rPr>
        <w:t xml:space="preserve"> when Marshall was convicted.</w:t>
      </w:r>
      <w:r w:rsidR="00294345" w:rsidRPr="00D64FCD">
        <w:rPr>
          <w:rFonts w:cs="Arial"/>
          <w:lang w:val="en-CA"/>
        </w:rPr>
        <w:t xml:space="preserve"> </w:t>
      </w:r>
      <w:r w:rsidR="00BC6488" w:rsidRPr="00D64FCD">
        <w:rPr>
          <w:rFonts w:cs="Arial"/>
          <w:lang w:val="en-CA"/>
        </w:rPr>
        <w:t>A</w:t>
      </w:r>
      <w:r w:rsidR="00A00A6C">
        <w:rPr>
          <w:rFonts w:cs="Arial"/>
          <w:lang w:val="en-CA"/>
        </w:rPr>
        <w:t> </w:t>
      </w:r>
      <w:r w:rsidR="00BC6488" w:rsidRPr="00D64FCD">
        <w:rPr>
          <w:rFonts w:cs="Arial"/>
          <w:lang w:val="en-CA"/>
        </w:rPr>
        <w:t xml:space="preserve">Royal Commission assigned the five justices to testify on how the </w:t>
      </w:r>
      <w:r w:rsidR="008D0C4A">
        <w:rPr>
          <w:rFonts w:cs="Arial"/>
          <w:lang w:val="en-CA"/>
        </w:rPr>
        <w:t>Chief J</w:t>
      </w:r>
      <w:r w:rsidR="00BC6488" w:rsidRPr="00D64FCD">
        <w:rPr>
          <w:rFonts w:cs="Arial"/>
          <w:lang w:val="en-CA"/>
        </w:rPr>
        <w:t>ustice (who was on the panel of five justices at the time) had appointed the members of the panel, and which affidavits were part of the record at the time.</w:t>
      </w:r>
      <w:r w:rsidR="00294345" w:rsidRPr="00D64FCD">
        <w:rPr>
          <w:rFonts w:cs="Arial"/>
          <w:lang w:val="en-CA"/>
        </w:rPr>
        <w:t xml:space="preserve"> </w:t>
      </w:r>
      <w:r w:rsidR="00BC6488" w:rsidRPr="00D64FCD">
        <w:rPr>
          <w:rFonts w:cs="Arial"/>
          <w:lang w:val="en-CA"/>
        </w:rPr>
        <w:t xml:space="preserve">The Supreme Court was unanimous: judicial immunity means that the justices did not have to testify on the legal reasoning behind the </w:t>
      </w:r>
      <w:r w:rsidR="00BC6488" w:rsidRPr="00D64FCD">
        <w:rPr>
          <w:rFonts w:cs="Arial"/>
          <w:lang w:val="en-CA"/>
        </w:rPr>
        <w:lastRenderedPageBreak/>
        <w:t>judgment. Justice</w:t>
      </w:r>
      <w:r w:rsidR="00294345" w:rsidRPr="00D64FCD">
        <w:rPr>
          <w:rFonts w:cs="Arial"/>
          <w:lang w:val="en-CA"/>
        </w:rPr>
        <w:t xml:space="preserve"> </w:t>
      </w:r>
      <w:r w:rsidR="00BC6488" w:rsidRPr="00D64FCD">
        <w:rPr>
          <w:rFonts w:cs="Arial"/>
          <w:lang w:val="en-CA"/>
        </w:rPr>
        <w:t>McLachlin, as she then was, held that</w:t>
      </w:r>
      <w:r w:rsidR="008D0C4A">
        <w:rPr>
          <w:rFonts w:cs="Arial"/>
          <w:lang w:val="en-CA"/>
        </w:rPr>
        <w:t>,</w:t>
      </w:r>
      <w:r w:rsidR="00BC6488" w:rsidRPr="00D64FCD">
        <w:rPr>
          <w:rFonts w:cs="Arial"/>
          <w:lang w:val="en-CA"/>
        </w:rPr>
        <w:t xml:space="preserve"> in the name of independence and the proper functioning of the judicial branch, the Chief Justice of Nova Scotia could not be compelled to explain how he had determined who would sit on the panel because the assignation of judges is the exclusive purview of the Court and its Chief Justice, who need not explain to the executive branch why he assigned a particular judge to a particular case.</w:t>
      </w:r>
      <w:r w:rsidR="00BC6488" w:rsidRPr="00D64FCD">
        <w:rPr>
          <w:rStyle w:val="Appelnotedebasdep"/>
          <w:rFonts w:cs="Arial"/>
          <w:sz w:val="22"/>
          <w:szCs w:val="18"/>
          <w:lang w:val="en-CA"/>
        </w:rPr>
        <w:footnoteReference w:id="26"/>
      </w:r>
    </w:p>
    <w:p w14:paraId="57F08111" w14:textId="77777777" w:rsidR="00067E7C" w:rsidRPr="00D64FCD" w:rsidRDefault="00294345" w:rsidP="00D64254">
      <w:pPr>
        <w:pStyle w:val="Titre2"/>
        <w:rPr>
          <w:lang w:val="en-CA"/>
        </w:rPr>
      </w:pPr>
      <w:r w:rsidRPr="00D64FCD">
        <w:rPr>
          <w:lang w:val="en-CA"/>
        </w:rPr>
        <w:t>Discussion</w:t>
      </w:r>
    </w:p>
    <w:p w14:paraId="40943E72" w14:textId="3D6F13CD" w:rsidR="00067E7C" w:rsidRPr="00D64FCD" w:rsidRDefault="00BC6488" w:rsidP="00D64254">
      <w:pPr>
        <w:pStyle w:val="1Paragraphe"/>
        <w:numPr>
          <w:ilvl w:val="0"/>
          <w:numId w:val="18"/>
        </w:numPr>
        <w:spacing w:line="280" w:lineRule="exact"/>
        <w:rPr>
          <w:lang w:val="en-CA"/>
        </w:rPr>
      </w:pPr>
      <w:r w:rsidRPr="00D64FCD">
        <w:rPr>
          <w:lang w:val="en-CA"/>
        </w:rPr>
        <w:t xml:space="preserve">The </w:t>
      </w:r>
      <w:r w:rsidR="008D0C4A">
        <w:rPr>
          <w:lang w:val="en-CA"/>
        </w:rPr>
        <w:t>appellants'</w:t>
      </w:r>
      <w:r w:rsidRPr="00D64FCD">
        <w:rPr>
          <w:lang w:val="en-CA"/>
        </w:rPr>
        <w:t xml:space="preserve"> first argument is that the judge did not consider the need to file the judges’ </w:t>
      </w:r>
      <w:r w:rsidR="00C14CBB" w:rsidRPr="00D64FCD">
        <w:rPr>
          <w:lang w:val="en-CA"/>
        </w:rPr>
        <w:t>affidavit</w:t>
      </w:r>
      <w:r w:rsidRPr="00D64FCD">
        <w:rPr>
          <w:lang w:val="en-CA"/>
        </w:rPr>
        <w:t>s into evidence.</w:t>
      </w:r>
      <w:r w:rsidR="00294345" w:rsidRPr="00D64FCD">
        <w:rPr>
          <w:lang w:val="en-CA"/>
        </w:rPr>
        <w:t xml:space="preserve"> </w:t>
      </w:r>
      <w:r w:rsidRPr="00D64FCD">
        <w:rPr>
          <w:lang w:val="en-CA"/>
        </w:rPr>
        <w:t>They add that since several pieces of evidence filed by the judges could have been established in another way, for example, using demographic data about the territories, this criteri</w:t>
      </w:r>
      <w:r w:rsidR="004F5278">
        <w:rPr>
          <w:lang w:val="en-CA"/>
        </w:rPr>
        <w:t>on</w:t>
      </w:r>
      <w:r w:rsidRPr="00D64FCD">
        <w:rPr>
          <w:lang w:val="en-CA"/>
        </w:rPr>
        <w:t xml:space="preserve"> was not met.</w:t>
      </w:r>
    </w:p>
    <w:p w14:paraId="122C6A04" w14:textId="30D1BB44"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t>This argument does not withstand scrutiny.</w:t>
      </w:r>
      <w:r w:rsidR="00294345" w:rsidRPr="00D64FCD">
        <w:rPr>
          <w:rFonts w:cs="Arial"/>
          <w:lang w:val="en-CA"/>
        </w:rPr>
        <w:t xml:space="preserve"> The criteria are clearly established by the case law. </w:t>
      </w:r>
      <w:r w:rsidRPr="00D64FCD">
        <w:rPr>
          <w:rFonts w:cs="Arial"/>
          <w:lang w:val="en-CA"/>
        </w:rPr>
        <w:t xml:space="preserve">First, the statement can relate only facts about which the witness could testify. This requirement refers to the rule that a witness may only </w:t>
      </w:r>
      <w:r w:rsidR="004F5278" w:rsidRPr="00D64FCD">
        <w:rPr>
          <w:rFonts w:cs="Arial"/>
          <w:lang w:val="en-CA"/>
        </w:rPr>
        <w:t>testify</w:t>
      </w:r>
      <w:r w:rsidRPr="00D64FCD">
        <w:rPr>
          <w:rFonts w:cs="Arial"/>
          <w:lang w:val="en-CA"/>
        </w:rPr>
        <w:t xml:space="preserve"> about facts of which they have personal knowledge (article </w:t>
      </w:r>
      <w:r w:rsidR="00294345" w:rsidRPr="00D64FCD">
        <w:rPr>
          <w:rFonts w:cs="Arial"/>
          <w:lang w:val="en-CA"/>
        </w:rPr>
        <w:t> </w:t>
      </w:r>
      <w:r w:rsidRPr="00D64FCD">
        <w:rPr>
          <w:rFonts w:cs="Arial"/>
          <w:lang w:val="en-CA"/>
        </w:rPr>
        <w:t xml:space="preserve">2843 </w:t>
      </w:r>
      <w:r w:rsidRPr="00D16016">
        <w:rPr>
          <w:rFonts w:cs="Arial"/>
          <w:i/>
          <w:iCs/>
          <w:lang w:val="en-CA"/>
        </w:rPr>
        <w:t>C</w:t>
      </w:r>
      <w:r w:rsidR="00F46370" w:rsidRPr="00D16016">
        <w:rPr>
          <w:rFonts w:cs="Arial"/>
          <w:i/>
          <w:iCs/>
          <w:lang w:val="en-CA"/>
        </w:rPr>
        <w:t>.</w:t>
      </w:r>
      <w:r w:rsidRPr="00D16016">
        <w:rPr>
          <w:rFonts w:cs="Arial"/>
          <w:i/>
          <w:iCs/>
          <w:lang w:val="en-CA"/>
        </w:rPr>
        <w:t>C</w:t>
      </w:r>
      <w:r w:rsidR="00F46370" w:rsidRPr="00D16016">
        <w:rPr>
          <w:rFonts w:cs="Arial"/>
          <w:i/>
          <w:iCs/>
          <w:lang w:val="en-CA"/>
        </w:rPr>
        <w:t>.</w:t>
      </w:r>
      <w:r w:rsidRPr="00D16016">
        <w:rPr>
          <w:rFonts w:cs="Arial"/>
          <w:i/>
          <w:iCs/>
          <w:lang w:val="en-CA"/>
        </w:rPr>
        <w:t>Q</w:t>
      </w:r>
      <w:r w:rsidR="00F46370" w:rsidRPr="00D16016">
        <w:rPr>
          <w:rFonts w:cs="Arial"/>
          <w:i/>
          <w:iCs/>
          <w:lang w:val="en-CA"/>
        </w:rPr>
        <w:t>.</w:t>
      </w:r>
      <w:r w:rsidRPr="00D64FCD">
        <w:rPr>
          <w:rFonts w:cs="Arial"/>
          <w:lang w:val="en-CA"/>
        </w:rPr>
        <w:t>).</w:t>
      </w:r>
      <w:r w:rsidRPr="00D64FCD">
        <w:rPr>
          <w:rStyle w:val="Appelnotedebasdep"/>
          <w:rFonts w:cs="Arial"/>
          <w:lang w:val="en-CA"/>
        </w:rPr>
        <w:footnoteReference w:id="27"/>
      </w:r>
      <w:r w:rsidR="005F247F" w:rsidRPr="00D64FCD">
        <w:rPr>
          <w:rFonts w:cs="Arial"/>
          <w:lang w:val="en-CA"/>
        </w:rPr>
        <w:t xml:space="preserve"> </w:t>
      </w:r>
      <w:r w:rsidRPr="00D64FCD">
        <w:rPr>
          <w:rFonts w:cs="Arial"/>
          <w:lang w:val="en-CA"/>
        </w:rPr>
        <w:t>Moreover, necessity is assessed in light of the impossibility or unreasonableness of requiring the witness to appear, which requires the party to produce an out-of-court statement; neither the commentary nor the case law associates the criterion of necessity with the non-existence of other possible evidence.</w:t>
      </w:r>
      <w:r w:rsidRPr="00D64FCD">
        <w:rPr>
          <w:rStyle w:val="Appelnotedebasdep"/>
          <w:rFonts w:cs="Arial"/>
          <w:lang w:val="en-CA"/>
        </w:rPr>
        <w:footnoteReference w:id="28"/>
      </w:r>
    </w:p>
    <w:p w14:paraId="4CEBE3AF" w14:textId="77777777" w:rsidR="00067E7C" w:rsidRPr="00D64FCD" w:rsidRDefault="00294345" w:rsidP="00D64254">
      <w:pPr>
        <w:pStyle w:val="1Paragraphe"/>
        <w:tabs>
          <w:tab w:val="clear" w:pos="720"/>
        </w:tabs>
        <w:spacing w:line="280" w:lineRule="exact"/>
        <w:jc w:val="center"/>
        <w:rPr>
          <w:rFonts w:cs="Arial"/>
          <w:lang w:val="en-CA"/>
        </w:rPr>
      </w:pPr>
      <w:r w:rsidRPr="00D64FCD">
        <w:rPr>
          <w:rFonts w:cs="Arial"/>
          <w:lang w:val="en-CA"/>
        </w:rPr>
        <w:t>* * *</w:t>
      </w:r>
    </w:p>
    <w:p w14:paraId="108A8E50" w14:textId="0F131708"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t>In this case, the judge found that judicial immunity meant that the judges could not be compelled as witnesses</w:t>
      </w:r>
      <w:r w:rsidR="00751DC6">
        <w:rPr>
          <w:rFonts w:cs="Arial"/>
          <w:lang w:val="en-CA"/>
        </w:rPr>
        <w:t>;</w:t>
      </w:r>
      <w:r w:rsidR="00751DC6" w:rsidRPr="00D64FCD">
        <w:rPr>
          <w:rFonts w:cs="Arial"/>
          <w:lang w:val="en-CA"/>
        </w:rPr>
        <w:t xml:space="preserve"> </w:t>
      </w:r>
      <w:r w:rsidRPr="00D64FCD">
        <w:rPr>
          <w:rFonts w:cs="Arial"/>
          <w:lang w:val="en-CA"/>
        </w:rPr>
        <w:t>however, in her view</w:t>
      </w:r>
      <w:r w:rsidR="008D0C4A">
        <w:rPr>
          <w:rFonts w:cs="Arial"/>
          <w:lang w:val="en-CA"/>
        </w:rPr>
        <w:t>,</w:t>
      </w:r>
      <w:r w:rsidRPr="00D64FCD">
        <w:rPr>
          <w:rFonts w:cs="Arial"/>
          <w:lang w:val="en-CA"/>
        </w:rPr>
        <w:t xml:space="preserve"> they were competent to testify about the facts reported in the </w:t>
      </w:r>
      <w:r w:rsidR="00C14CBB" w:rsidRPr="00D64FCD">
        <w:rPr>
          <w:rFonts w:cs="Arial"/>
          <w:lang w:val="en-CA"/>
        </w:rPr>
        <w:t>affidavit</w:t>
      </w:r>
      <w:r w:rsidRPr="00D64FCD">
        <w:rPr>
          <w:rFonts w:cs="Arial"/>
          <w:lang w:val="en-CA"/>
        </w:rPr>
        <w:t>s.</w:t>
      </w:r>
      <w:r w:rsidRPr="00D64FCD">
        <w:rPr>
          <w:rStyle w:val="Appelnotedebasdep"/>
          <w:rFonts w:cs="Arial"/>
          <w:lang w:val="en-CA"/>
        </w:rPr>
        <w:footnoteReference w:id="29"/>
      </w:r>
      <w:r w:rsidR="00294345" w:rsidRPr="00D64FCD">
        <w:rPr>
          <w:rFonts w:cs="Arial"/>
          <w:lang w:val="en-CA"/>
        </w:rPr>
        <w:t xml:space="preserve"> </w:t>
      </w:r>
      <w:r w:rsidRPr="00D64FCD">
        <w:rPr>
          <w:rFonts w:cs="Arial"/>
          <w:lang w:val="en-CA"/>
        </w:rPr>
        <w:t>The appellants see this as a contradiction, which, with respect, does not exist.</w:t>
      </w:r>
      <w:r w:rsidR="00294345" w:rsidRPr="00D64FCD">
        <w:rPr>
          <w:rFonts w:cs="Arial"/>
          <w:lang w:val="en-CA"/>
        </w:rPr>
        <w:t xml:space="preserve"> </w:t>
      </w:r>
      <w:r w:rsidRPr="00D64FCD">
        <w:rPr>
          <w:rFonts w:cs="Arial"/>
          <w:lang w:val="en-CA"/>
        </w:rPr>
        <w:t xml:space="preserve">In this case, the </w:t>
      </w:r>
      <w:r w:rsidR="00C14CBB" w:rsidRPr="00D64FCD">
        <w:rPr>
          <w:rFonts w:cs="Arial"/>
          <w:lang w:val="en-CA"/>
        </w:rPr>
        <w:t>affidavit</w:t>
      </w:r>
      <w:r w:rsidRPr="00D64FCD">
        <w:rPr>
          <w:rFonts w:cs="Arial"/>
          <w:lang w:val="en-CA"/>
        </w:rPr>
        <w:t>s address, among other things, the linguistic needs of the Court of Québec in various areas; they outline the factors that coordinating judges consider when assigning judges, as well as the challenges associated with employing unilingual French-speaking judges.</w:t>
      </w:r>
      <w:r w:rsidR="00294345" w:rsidRPr="00D64FCD">
        <w:rPr>
          <w:rFonts w:cs="Arial"/>
          <w:lang w:val="en-CA"/>
        </w:rPr>
        <w:t xml:space="preserve"> </w:t>
      </w:r>
      <w:r w:rsidRPr="00D64FCD">
        <w:rPr>
          <w:rFonts w:cs="Arial"/>
          <w:lang w:val="en-CA"/>
        </w:rPr>
        <w:t xml:space="preserve">The administrative independence of the Court of Québec </w:t>
      </w:r>
      <w:r w:rsidR="00747300">
        <w:rPr>
          <w:rFonts w:cs="Arial"/>
          <w:lang w:val="en-CA"/>
        </w:rPr>
        <w:t xml:space="preserve">no doubt </w:t>
      </w:r>
      <w:r w:rsidRPr="00D64FCD">
        <w:rPr>
          <w:rFonts w:cs="Arial"/>
          <w:lang w:val="en-CA"/>
        </w:rPr>
        <w:t xml:space="preserve">includes </w:t>
      </w:r>
      <w:proofErr w:type="gramStart"/>
      <w:r w:rsidRPr="00D64FCD">
        <w:rPr>
          <w:rFonts w:cs="Arial"/>
          <w:lang w:val="en-CA"/>
        </w:rPr>
        <w:t>all of</w:t>
      </w:r>
      <w:proofErr w:type="gramEnd"/>
      <w:r w:rsidRPr="00D64FCD">
        <w:rPr>
          <w:rFonts w:cs="Arial"/>
          <w:lang w:val="en-CA"/>
        </w:rPr>
        <w:t xml:space="preserve"> these </w:t>
      </w:r>
      <w:r w:rsidR="003B38A0" w:rsidRPr="00D64FCD">
        <w:rPr>
          <w:rFonts w:cs="Arial"/>
          <w:lang w:val="en-CA"/>
        </w:rPr>
        <w:t>aspects,</w:t>
      </w:r>
      <w:r w:rsidRPr="00D64FCD">
        <w:rPr>
          <w:rFonts w:cs="Arial"/>
          <w:lang w:val="en-CA"/>
        </w:rPr>
        <w:t xml:space="preserve"> and the judges had personal knowledge of the facts reported in the </w:t>
      </w:r>
      <w:r w:rsidR="00C14CBB" w:rsidRPr="00D64FCD">
        <w:rPr>
          <w:rFonts w:cs="Arial"/>
          <w:lang w:val="en-CA"/>
        </w:rPr>
        <w:t>affidavit</w:t>
      </w:r>
      <w:r w:rsidRPr="00D64FCD">
        <w:rPr>
          <w:rFonts w:cs="Arial"/>
          <w:lang w:val="en-CA"/>
        </w:rPr>
        <w:t>s.</w:t>
      </w:r>
    </w:p>
    <w:p w14:paraId="2E824F75" w14:textId="7C5CD6AC"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lastRenderedPageBreak/>
        <w:t xml:space="preserve">The appellants invoke an </w:t>
      </w:r>
      <w:r w:rsidRPr="00D64FCD">
        <w:rPr>
          <w:rFonts w:cs="Arial"/>
          <w:i/>
          <w:lang w:val="en-CA"/>
        </w:rPr>
        <w:t>obiter dictum</w:t>
      </w:r>
      <w:r w:rsidRPr="00D64FCD">
        <w:rPr>
          <w:rFonts w:cs="Arial"/>
          <w:lang w:val="en-CA"/>
        </w:rPr>
        <w:t xml:space="preserve"> from the Court</w:t>
      </w:r>
      <w:r w:rsidR="00751DC6">
        <w:rPr>
          <w:rFonts w:cs="Arial"/>
          <w:lang w:val="en-CA"/>
        </w:rPr>
        <w:t>’</w:t>
      </w:r>
      <w:r w:rsidRPr="00D16016">
        <w:rPr>
          <w:rFonts w:cs="Arial"/>
          <w:iCs/>
          <w:lang w:val="en-CA"/>
        </w:rPr>
        <w:t>s</w:t>
      </w:r>
      <w:r w:rsidRPr="00D64FCD">
        <w:rPr>
          <w:rFonts w:cs="Arial"/>
          <w:i/>
          <w:lang w:val="en-CA"/>
        </w:rPr>
        <w:t xml:space="preserve"> </w:t>
      </w:r>
      <w:r w:rsidRPr="00D64FCD">
        <w:rPr>
          <w:rFonts w:cs="Arial"/>
          <w:lang w:val="en-CA"/>
        </w:rPr>
        <w:t xml:space="preserve">2006 decision in </w:t>
      </w:r>
      <w:r w:rsidRPr="00D64FCD">
        <w:rPr>
          <w:rFonts w:cs="Arial"/>
          <w:i/>
          <w:lang w:val="en-CA"/>
        </w:rPr>
        <w:t>Kosko</w:t>
      </w:r>
      <w:r w:rsidR="00751DC6">
        <w:rPr>
          <w:rFonts w:cs="Arial"/>
          <w:iCs/>
          <w:lang w:val="en-CA"/>
        </w:rPr>
        <w:t>,</w:t>
      </w:r>
      <w:r w:rsidRPr="00D64FCD">
        <w:rPr>
          <w:rFonts w:cs="Arial"/>
          <w:i/>
          <w:lang w:val="en-CA"/>
        </w:rPr>
        <w:t xml:space="preserve"> </w:t>
      </w:r>
      <w:r w:rsidRPr="00D64FCD">
        <w:rPr>
          <w:rFonts w:cs="Arial"/>
          <w:lang w:val="en-CA"/>
        </w:rPr>
        <w:t>which is worthwhile reproducing:</w:t>
      </w:r>
    </w:p>
    <w:p w14:paraId="7965A32F" w14:textId="2952FA40" w:rsidR="00411037" w:rsidRPr="00D16016" w:rsidRDefault="00411037" w:rsidP="00D64254">
      <w:pPr>
        <w:pStyle w:val="1Paragraphe"/>
        <w:tabs>
          <w:tab w:val="clear" w:pos="720"/>
          <w:tab w:val="left" w:pos="708"/>
        </w:tabs>
        <w:spacing w:line="280" w:lineRule="exact"/>
        <w:ind w:left="709" w:right="561"/>
        <w:rPr>
          <w:rFonts w:cs="Arial"/>
          <w:smallCaps/>
          <w:sz w:val="22"/>
          <w:szCs w:val="18"/>
          <w:lang w:val="en-CA"/>
        </w:rPr>
      </w:pPr>
      <w:r>
        <w:rPr>
          <w:rFonts w:cs="Arial"/>
          <w:sz w:val="22"/>
          <w:szCs w:val="18"/>
          <w:lang w:val="en-CA"/>
        </w:rPr>
        <w:t>[</w:t>
      </w:r>
      <w:r>
        <w:rPr>
          <w:rFonts w:cs="Arial"/>
          <w:smallCaps/>
          <w:sz w:val="22"/>
          <w:szCs w:val="18"/>
          <w:lang w:val="en-CA"/>
        </w:rPr>
        <w:t>translation]</w:t>
      </w:r>
    </w:p>
    <w:p w14:paraId="582EFE6A" w14:textId="2F660F4C" w:rsidR="00067E7C" w:rsidRPr="00D64FCD" w:rsidRDefault="00BC6488" w:rsidP="00D64254">
      <w:pPr>
        <w:pStyle w:val="1Paragraphe"/>
        <w:tabs>
          <w:tab w:val="clear" w:pos="720"/>
          <w:tab w:val="left" w:pos="708"/>
        </w:tabs>
        <w:spacing w:line="280" w:lineRule="exact"/>
        <w:ind w:left="709" w:right="561"/>
        <w:rPr>
          <w:rFonts w:cs="Arial"/>
          <w:sz w:val="22"/>
          <w:szCs w:val="18"/>
          <w:lang w:val="en-CA"/>
        </w:rPr>
      </w:pPr>
      <w:r w:rsidRPr="00D64FCD">
        <w:rPr>
          <w:rFonts w:cs="Arial"/>
          <w:sz w:val="22"/>
          <w:szCs w:val="18"/>
          <w:lang w:val="en-CA"/>
        </w:rPr>
        <w:t>[43</w:t>
      </w:r>
      <w:proofErr w:type="gramStart"/>
      <w:r w:rsidRPr="00D64FCD">
        <w:rPr>
          <w:rFonts w:cs="Arial"/>
          <w:sz w:val="22"/>
          <w:szCs w:val="18"/>
          <w:lang w:val="en-CA"/>
        </w:rPr>
        <w:t>]  Judges</w:t>
      </w:r>
      <w:proofErr w:type="gramEnd"/>
      <w:r w:rsidRPr="00D64FCD">
        <w:rPr>
          <w:rFonts w:cs="Arial"/>
          <w:sz w:val="22"/>
          <w:szCs w:val="18"/>
          <w:lang w:val="en-CA"/>
        </w:rPr>
        <w:t xml:space="preserve"> may not voluntarily waive this immunity and agree to testify.</w:t>
      </w:r>
      <w:r w:rsidR="00294345" w:rsidRPr="00D64FCD">
        <w:rPr>
          <w:rFonts w:cs="Arial"/>
          <w:sz w:val="22"/>
          <w:szCs w:val="18"/>
          <w:lang w:val="en-CA"/>
        </w:rPr>
        <w:t xml:space="preserve"> </w:t>
      </w:r>
      <w:r w:rsidRPr="00D64FCD">
        <w:rPr>
          <w:rFonts w:cs="Arial"/>
          <w:sz w:val="22"/>
          <w:szCs w:val="18"/>
          <w:lang w:val="en-CA"/>
        </w:rPr>
        <w:t>Immunity belongs neither to judges nor to the parties before them. Rather, it exists to protect the institution of the judiciary and the public</w:t>
      </w:r>
      <w:r w:rsidR="00A00A6C">
        <w:rPr>
          <w:rFonts w:cs="Arial"/>
          <w:sz w:val="22"/>
          <w:szCs w:val="18"/>
          <w:lang w:val="en-CA"/>
        </w:rPr>
        <w:t>’</w:t>
      </w:r>
      <w:r w:rsidRPr="00D64FCD">
        <w:rPr>
          <w:rFonts w:cs="Arial"/>
          <w:sz w:val="22"/>
          <w:szCs w:val="18"/>
          <w:lang w:val="en-CA"/>
        </w:rPr>
        <w:t>s confidence in it. Consequently, it may not be waived by either the judges or the parties.</w:t>
      </w:r>
      <w:r w:rsidR="00294345" w:rsidRPr="00D64FCD">
        <w:rPr>
          <w:rFonts w:cs="Arial"/>
          <w:sz w:val="22"/>
          <w:szCs w:val="18"/>
          <w:lang w:val="en-CA"/>
        </w:rPr>
        <w:t xml:space="preserve"> </w:t>
      </w:r>
    </w:p>
    <w:p w14:paraId="1DE30A37" w14:textId="77777777" w:rsidR="00067E7C" w:rsidRPr="00D64FCD" w:rsidRDefault="00294345" w:rsidP="00D64254">
      <w:pPr>
        <w:pStyle w:val="1Paragraphe"/>
        <w:tabs>
          <w:tab w:val="clear" w:pos="720"/>
          <w:tab w:val="left" w:pos="708"/>
        </w:tabs>
        <w:spacing w:line="280" w:lineRule="exact"/>
        <w:ind w:left="709" w:right="561"/>
        <w:jc w:val="right"/>
        <w:rPr>
          <w:rFonts w:cs="Arial"/>
          <w:sz w:val="22"/>
          <w:szCs w:val="18"/>
          <w:lang w:val="en-CA"/>
        </w:rPr>
      </w:pPr>
      <w:r w:rsidRPr="00D64FCD">
        <w:rPr>
          <w:rFonts w:cs="Arial"/>
          <w:sz w:val="22"/>
          <w:szCs w:val="18"/>
          <w:lang w:val="en-CA"/>
        </w:rPr>
        <w:t>[Reference omitted]</w:t>
      </w:r>
    </w:p>
    <w:p w14:paraId="2A0BB46D" w14:textId="65F5E4E2" w:rsidR="00067E7C" w:rsidRPr="00D64FCD" w:rsidRDefault="00BC6488" w:rsidP="00D64254">
      <w:pPr>
        <w:pStyle w:val="Paragraphe"/>
        <w:numPr>
          <w:ilvl w:val="0"/>
          <w:numId w:val="0"/>
        </w:numPr>
        <w:spacing w:line="280" w:lineRule="exact"/>
        <w:rPr>
          <w:lang w:val="en-CA"/>
        </w:rPr>
      </w:pPr>
      <w:r w:rsidRPr="00D64FCD">
        <w:rPr>
          <w:lang w:val="en-CA"/>
        </w:rPr>
        <w:t xml:space="preserve">As </w:t>
      </w:r>
      <w:r w:rsidRPr="00D64FCD">
        <w:rPr>
          <w:i/>
          <w:lang w:val="en-CA"/>
        </w:rPr>
        <w:t>Kosko</w:t>
      </w:r>
      <w:r w:rsidRPr="00D64FCD">
        <w:rPr>
          <w:lang w:val="en-CA"/>
        </w:rPr>
        <w:t xml:space="preserve"> </w:t>
      </w:r>
      <w:r w:rsidR="003B38A0" w:rsidRPr="00D64FCD">
        <w:rPr>
          <w:lang w:val="en-CA"/>
        </w:rPr>
        <w:t>stated earlier</w:t>
      </w:r>
      <w:r w:rsidR="003B38A0">
        <w:rPr>
          <w:lang w:val="en-CA"/>
        </w:rPr>
        <w:t>,</w:t>
      </w:r>
      <w:r w:rsidR="003B38A0" w:rsidRPr="00D64FCD">
        <w:rPr>
          <w:lang w:val="en-CA"/>
        </w:rPr>
        <w:t xml:space="preserve"> </w:t>
      </w:r>
      <w:r w:rsidRPr="00D64FCD">
        <w:rPr>
          <w:lang w:val="en-CA"/>
        </w:rPr>
        <w:t xml:space="preserve">at paragraph [41], </w:t>
      </w:r>
      <w:r w:rsidR="00F43D0E">
        <w:rPr>
          <w:lang w:val="en-CA"/>
        </w:rPr>
        <w:t>[</w:t>
      </w:r>
      <w:r w:rsidR="00F43D0E">
        <w:rPr>
          <w:smallCaps/>
          <w:lang w:val="en-CA"/>
        </w:rPr>
        <w:t xml:space="preserve">translation] </w:t>
      </w:r>
      <w:r w:rsidRPr="00D64FCD">
        <w:rPr>
          <w:lang w:val="en-CA"/>
        </w:rPr>
        <w:t>“this immunity”</w:t>
      </w:r>
      <w:r w:rsidR="00A00A6C">
        <w:rPr>
          <w:lang w:val="en-CA"/>
        </w:rPr>
        <w:t>–</w:t>
      </w:r>
      <w:r w:rsidRPr="00D64FCD">
        <w:rPr>
          <w:lang w:val="en-CA"/>
        </w:rPr>
        <w:t>as Rochon, J.</w:t>
      </w:r>
      <w:r w:rsidR="00465D96">
        <w:rPr>
          <w:lang w:val="en-CA"/>
        </w:rPr>
        <w:t>A.</w:t>
      </w:r>
      <w:r w:rsidRPr="00D64FCD">
        <w:rPr>
          <w:lang w:val="en-CA"/>
        </w:rPr>
        <w:t xml:space="preserve"> wrote at the time</w:t>
      </w:r>
      <w:r w:rsidR="00A00A6C">
        <w:rPr>
          <w:lang w:val="en-CA"/>
        </w:rPr>
        <w:t>–</w:t>
      </w:r>
      <w:r w:rsidRPr="00D64FCD">
        <w:rPr>
          <w:lang w:val="en-CA"/>
        </w:rPr>
        <w:t>pertained to the judge’s immunity from being compelled to testify</w:t>
      </w:r>
      <w:r w:rsidR="00F43D0E">
        <w:rPr>
          <w:lang w:val="en-CA"/>
        </w:rPr>
        <w:t xml:space="preserve"> [</w:t>
      </w:r>
      <w:r w:rsidR="00F43D0E">
        <w:rPr>
          <w:smallCaps/>
          <w:lang w:val="en-CA"/>
        </w:rPr>
        <w:t>translation]</w:t>
      </w:r>
      <w:r w:rsidRPr="00D64FCD">
        <w:rPr>
          <w:lang w:val="en-CA"/>
        </w:rPr>
        <w:t xml:space="preserve"> “about the legal proceedings in which they have played a role”.</w:t>
      </w:r>
      <w:r w:rsidRPr="00D64FCD">
        <w:rPr>
          <w:rStyle w:val="Appelnotedebasdep"/>
          <w:rFonts w:cs="Arial"/>
          <w:lang w:val="en-CA"/>
        </w:rPr>
        <w:footnoteReference w:id="30"/>
      </w:r>
      <w:r w:rsidR="00294345" w:rsidRPr="00D64FCD">
        <w:rPr>
          <w:lang w:val="en-CA"/>
        </w:rPr>
        <w:t xml:space="preserve"> </w:t>
      </w:r>
      <w:r w:rsidRPr="00D64FCD">
        <w:rPr>
          <w:lang w:val="en-CA"/>
        </w:rPr>
        <w:t xml:space="preserve">The sole reference in paragraph [43] of the judgment, which cites Professor Brun’s </w:t>
      </w:r>
      <w:r w:rsidR="00F261F8">
        <w:rPr>
          <w:lang w:val="en-CA"/>
        </w:rPr>
        <w:t>commentary</w:t>
      </w:r>
      <w:r w:rsidRPr="00D64FCD">
        <w:rPr>
          <w:lang w:val="en-CA"/>
        </w:rPr>
        <w:t>, confirms this.</w:t>
      </w:r>
      <w:r w:rsidRPr="00D64FCD">
        <w:rPr>
          <w:rStyle w:val="Appelnotedebasdep"/>
          <w:rFonts w:cs="Arial"/>
          <w:lang w:val="en-CA"/>
        </w:rPr>
        <w:footnoteReference w:id="31"/>
      </w:r>
      <w:r w:rsidR="00294345" w:rsidRPr="00D64FCD">
        <w:rPr>
          <w:lang w:val="en-CA"/>
        </w:rPr>
        <w:t xml:space="preserve"> </w:t>
      </w:r>
      <w:r w:rsidRPr="00D64FCD">
        <w:rPr>
          <w:lang w:val="en-CA"/>
        </w:rPr>
        <w:t xml:space="preserve">The Nova Scotia Court of Appeal recently cited </w:t>
      </w:r>
      <w:r w:rsidRPr="00D64FCD">
        <w:rPr>
          <w:i/>
          <w:lang w:val="en-CA"/>
        </w:rPr>
        <w:t>Kosko</w:t>
      </w:r>
      <w:r w:rsidRPr="00D64FCD">
        <w:rPr>
          <w:lang w:val="en-CA"/>
        </w:rPr>
        <w:t xml:space="preserve"> concerning the judicial function of judges.</w:t>
      </w:r>
      <w:r w:rsidRPr="00D64FCD">
        <w:rPr>
          <w:rStyle w:val="Appelnotedebasdep"/>
          <w:rFonts w:cs="Arial"/>
          <w:lang w:val="en-CA"/>
        </w:rPr>
        <w:footnoteReference w:id="32"/>
      </w:r>
      <w:r w:rsidR="00294345" w:rsidRPr="00D64FCD">
        <w:rPr>
          <w:lang w:val="en-CA"/>
        </w:rPr>
        <w:t xml:space="preserve"> </w:t>
      </w:r>
      <w:r w:rsidRPr="00D64FCD">
        <w:rPr>
          <w:lang w:val="en-CA"/>
        </w:rPr>
        <w:t>In this case, however, the judges were not testifying as to the reasons that led to a judicial decision.</w:t>
      </w:r>
      <w:r w:rsidR="00294345" w:rsidRPr="00D64FCD">
        <w:rPr>
          <w:lang w:val="en-CA"/>
        </w:rPr>
        <w:t xml:space="preserve"> </w:t>
      </w:r>
      <w:r w:rsidRPr="00D64FCD">
        <w:rPr>
          <w:lang w:val="en-CA"/>
        </w:rPr>
        <w:t xml:space="preserve">Nor are the facts reported by the judges related to a particular administrative decision, for example, the </w:t>
      </w:r>
      <w:r w:rsidR="00EA72B3" w:rsidRPr="00D64FCD">
        <w:rPr>
          <w:lang w:val="en-CA"/>
        </w:rPr>
        <w:t>assignment</w:t>
      </w:r>
      <w:r w:rsidRPr="00D64FCD">
        <w:rPr>
          <w:lang w:val="en-CA"/>
        </w:rPr>
        <w:t xml:space="preserve"> of a particular judge to a particular case (as in </w:t>
      </w:r>
      <w:r w:rsidRPr="00D64FCD">
        <w:rPr>
          <w:i/>
          <w:lang w:val="en-CA"/>
        </w:rPr>
        <w:t>MacKeigan v. Hickman</w:t>
      </w:r>
      <w:r w:rsidRPr="00D64FCD">
        <w:rPr>
          <w:lang w:val="en-CA"/>
        </w:rPr>
        <w:t>), but rather to the functioning and practices or anticipated problems.</w:t>
      </w:r>
      <w:r w:rsidR="00294345" w:rsidRPr="00D64FCD">
        <w:rPr>
          <w:rFonts w:cs="Arial"/>
          <w:lang w:val="en-CA"/>
        </w:rPr>
        <w:t xml:space="preserve"> </w:t>
      </w:r>
      <w:r w:rsidRPr="00D64FCD">
        <w:rPr>
          <w:rFonts w:cs="Arial"/>
          <w:lang w:val="en-CA"/>
        </w:rPr>
        <w:t xml:space="preserve">However, the content of these </w:t>
      </w:r>
      <w:r w:rsidR="00C14CBB" w:rsidRPr="00D64FCD">
        <w:rPr>
          <w:rFonts w:cs="Arial"/>
          <w:lang w:val="en-CA"/>
        </w:rPr>
        <w:t>affidavit</w:t>
      </w:r>
      <w:r w:rsidRPr="00D64FCD">
        <w:rPr>
          <w:rFonts w:cs="Arial"/>
          <w:lang w:val="en-CA"/>
        </w:rPr>
        <w:t>s raises significant linguistic concerns regarding the assignment decisions made by chief justices and coordinating judges of the practice chambers.</w:t>
      </w:r>
      <w:r w:rsidR="00294345" w:rsidRPr="00D64FCD">
        <w:rPr>
          <w:rFonts w:cs="Arial"/>
          <w:lang w:val="en-CA"/>
        </w:rPr>
        <w:t xml:space="preserve"> </w:t>
      </w:r>
      <w:r w:rsidRPr="00D64FCD">
        <w:rPr>
          <w:rFonts w:cs="Arial"/>
          <w:lang w:val="en-CA"/>
        </w:rPr>
        <w:t xml:space="preserve">In other words, the </w:t>
      </w:r>
      <w:r w:rsidR="00C14CBB" w:rsidRPr="00D64FCD">
        <w:rPr>
          <w:rFonts w:cs="Arial"/>
          <w:lang w:val="en-CA"/>
        </w:rPr>
        <w:t>affidavit</w:t>
      </w:r>
      <w:r w:rsidRPr="00D64FCD">
        <w:rPr>
          <w:rFonts w:cs="Arial"/>
          <w:lang w:val="en-CA"/>
        </w:rPr>
        <w:t>s report certain facts and their impact on the administrative decisions that must be taken.</w:t>
      </w:r>
      <w:r w:rsidR="00294345" w:rsidRPr="00D64FCD">
        <w:rPr>
          <w:rFonts w:cs="Arial"/>
          <w:lang w:val="en-CA"/>
        </w:rPr>
        <w:t xml:space="preserve"> </w:t>
      </w:r>
      <w:r w:rsidRPr="00D64FCD">
        <w:rPr>
          <w:lang w:val="en-CA"/>
        </w:rPr>
        <w:t>These incidental issues are “inextricably intertwined” with the judges’ adjudicative function.</w:t>
      </w:r>
      <w:r w:rsidRPr="00D64FCD">
        <w:rPr>
          <w:rStyle w:val="Appelnotedebasdep"/>
          <w:rFonts w:cs="Arial"/>
          <w:lang w:val="en-CA"/>
        </w:rPr>
        <w:footnoteReference w:id="33"/>
      </w:r>
      <w:r w:rsidR="00294345" w:rsidRPr="00D64FCD">
        <w:rPr>
          <w:lang w:val="en-CA"/>
        </w:rPr>
        <w:t xml:space="preserve"> </w:t>
      </w:r>
      <w:r w:rsidRPr="00D64FCD">
        <w:rPr>
          <w:lang w:val="en-CA"/>
        </w:rPr>
        <w:t>However, the situation before the Court is at the limit of subjects clearly covered by judicial immunity, and in this context, the judges could choose to present them before the Superior Court, as they did in the CMQ case.</w:t>
      </w:r>
      <w:r w:rsidR="00294345" w:rsidRPr="00D64FCD">
        <w:rPr>
          <w:lang w:val="en-CA"/>
        </w:rPr>
        <w:t xml:space="preserve"> </w:t>
      </w:r>
      <w:r w:rsidRPr="00D64FCD">
        <w:rPr>
          <w:lang w:val="en-CA"/>
        </w:rPr>
        <w:t xml:space="preserve">They do not explain an administrative decision </w:t>
      </w:r>
      <w:r w:rsidRPr="00D64FCD">
        <w:rPr>
          <w:i/>
          <w:iCs/>
          <w:lang w:val="en-CA"/>
        </w:rPr>
        <w:t>per se</w:t>
      </w:r>
      <w:r w:rsidRPr="00D64FCD">
        <w:rPr>
          <w:lang w:val="en-CA"/>
        </w:rPr>
        <w:t>, but rather the factors they consider when making assignments.</w:t>
      </w:r>
      <w:r w:rsidR="00294345" w:rsidRPr="00D64FCD">
        <w:rPr>
          <w:lang w:val="en-CA"/>
        </w:rPr>
        <w:t xml:space="preserve"> </w:t>
      </w:r>
      <w:r w:rsidRPr="00D64FCD">
        <w:rPr>
          <w:lang w:val="en-CA"/>
        </w:rPr>
        <w:t>There is a risk that they could be asked to explain their decisions on cross-examination. For example, [</w:t>
      </w:r>
      <w:r w:rsidRPr="00D64FCD">
        <w:rPr>
          <w:smallCaps/>
          <w:lang w:val="en-CA"/>
        </w:rPr>
        <w:t>translation</w:t>
      </w:r>
      <w:r w:rsidRPr="00D64FCD">
        <w:rPr>
          <w:lang w:val="en-CA"/>
        </w:rPr>
        <w:t xml:space="preserve">] “Can you explain why </w:t>
      </w:r>
      <w:r w:rsidR="008D0C4A">
        <w:rPr>
          <w:lang w:val="en-CA"/>
        </w:rPr>
        <w:t>J</w:t>
      </w:r>
      <w:r w:rsidRPr="00D64FCD">
        <w:rPr>
          <w:lang w:val="en-CA"/>
        </w:rPr>
        <w:t xml:space="preserve">udge X sat in </w:t>
      </w:r>
      <w:proofErr w:type="spellStart"/>
      <w:r w:rsidR="00377F7E">
        <w:rPr>
          <w:lang w:val="en-CA"/>
        </w:rPr>
        <w:t>Estrie</w:t>
      </w:r>
      <w:proofErr w:type="spellEnd"/>
      <w:r w:rsidRPr="00D64FCD">
        <w:rPr>
          <w:lang w:val="en-CA"/>
        </w:rPr>
        <w:t xml:space="preserve"> between </w:t>
      </w:r>
      <w:r w:rsidR="008D0C4A">
        <w:rPr>
          <w:lang w:val="en-CA"/>
        </w:rPr>
        <w:t>[</w:t>
      </w:r>
      <w:r w:rsidRPr="00D64FCD">
        <w:rPr>
          <w:lang w:val="en-CA"/>
        </w:rPr>
        <w:t>date</w:t>
      </w:r>
      <w:r w:rsidR="008D0C4A">
        <w:rPr>
          <w:lang w:val="en-CA"/>
        </w:rPr>
        <w:t>s]</w:t>
      </w:r>
      <w:r w:rsidRPr="00D64FCD">
        <w:rPr>
          <w:lang w:val="en-CA"/>
        </w:rPr>
        <w:t xml:space="preserve"> despite their poor knowledge of English?”.</w:t>
      </w:r>
      <w:r w:rsidR="00294345" w:rsidRPr="00D64FCD">
        <w:rPr>
          <w:lang w:val="en-CA"/>
        </w:rPr>
        <w:t xml:space="preserve"> </w:t>
      </w:r>
      <w:r w:rsidRPr="00D64FCD">
        <w:rPr>
          <w:lang w:val="en-CA"/>
        </w:rPr>
        <w:t>Thus, judicial immunity applies, given that its fundamental purpose is to protect the integrity of judges so that they do not have to render judicial or administrative decisions while risking having to testify in a proceeding to explain their actions.</w:t>
      </w:r>
      <w:r w:rsidR="00294345" w:rsidRPr="00D64FCD">
        <w:rPr>
          <w:lang w:val="en-CA"/>
        </w:rPr>
        <w:t xml:space="preserve"> </w:t>
      </w:r>
      <w:r w:rsidRPr="00D64FCD">
        <w:rPr>
          <w:lang w:val="en-CA"/>
        </w:rPr>
        <w:t xml:space="preserve">After all, </w:t>
      </w:r>
      <w:r w:rsidRPr="00D64FCD">
        <w:rPr>
          <w:lang w:val="en-CA"/>
        </w:rPr>
        <w:lastRenderedPageBreak/>
        <w:t>it is not always so easy to distinguish between general considerations and specific decisions.</w:t>
      </w:r>
      <w:r w:rsidR="00294345" w:rsidRPr="00D64FCD">
        <w:rPr>
          <w:lang w:val="en-CA"/>
        </w:rPr>
        <w:t xml:space="preserve"> </w:t>
      </w:r>
      <w:r w:rsidRPr="00D64FCD">
        <w:rPr>
          <w:lang w:val="en-CA"/>
        </w:rPr>
        <w:t>Judges should not routinely be called upon to defend the scope of their immunity; otherwise, it will be eroded.</w:t>
      </w:r>
    </w:p>
    <w:p w14:paraId="1E158846" w14:textId="2BCF8152"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t xml:space="preserve">The appellants’ arguments on this point do not convince the undersigned that the judge committed a reviewable error in ruling that the judges could not be compelled to </w:t>
      </w:r>
      <w:r w:rsidR="008D0C4A" w:rsidRPr="00D64FCD">
        <w:rPr>
          <w:rFonts w:cs="Arial"/>
          <w:lang w:val="en-CA"/>
        </w:rPr>
        <w:t>testify but</w:t>
      </w:r>
      <w:r w:rsidRPr="00D64FCD">
        <w:rPr>
          <w:rFonts w:cs="Arial"/>
          <w:lang w:val="en-CA"/>
        </w:rPr>
        <w:t xml:space="preserve"> could choose to do so.</w:t>
      </w:r>
    </w:p>
    <w:p w14:paraId="2CC7EBA3" w14:textId="0AFB5157" w:rsidR="008025B1" w:rsidRPr="00D64FCD" w:rsidRDefault="00BC6488" w:rsidP="00D64254">
      <w:pPr>
        <w:pStyle w:val="1Paragraphe"/>
        <w:numPr>
          <w:ilvl w:val="0"/>
          <w:numId w:val="18"/>
        </w:numPr>
        <w:spacing w:line="280" w:lineRule="exact"/>
        <w:rPr>
          <w:rFonts w:cs="Arial"/>
          <w:lang w:val="en-CA"/>
        </w:rPr>
      </w:pPr>
      <w:r w:rsidRPr="00D64FCD">
        <w:rPr>
          <w:rFonts w:cs="Arial"/>
          <w:lang w:val="en-CA"/>
        </w:rPr>
        <w:t>Moreover, after finding that the immunity of the judges applies, she added that</w:t>
      </w:r>
      <w:r w:rsidR="00505255">
        <w:rPr>
          <w:rFonts w:cs="Arial"/>
          <w:lang w:val="en-CA"/>
        </w:rPr>
        <w:t>,</w:t>
      </w:r>
      <w:r w:rsidRPr="00D64FCD">
        <w:rPr>
          <w:rFonts w:cs="Arial"/>
          <w:lang w:val="en-CA"/>
        </w:rPr>
        <w:t xml:space="preserve"> </w:t>
      </w:r>
      <w:r w:rsidR="00505255" w:rsidRPr="00D64FCD">
        <w:rPr>
          <w:rFonts w:cs="Arial"/>
          <w:lang w:val="en-CA"/>
        </w:rPr>
        <w:t>[</w:t>
      </w:r>
      <w:r w:rsidR="00505255" w:rsidRPr="00D64FCD">
        <w:rPr>
          <w:rFonts w:cs="Arial"/>
          <w:smallCaps/>
          <w:lang w:val="en-CA"/>
        </w:rPr>
        <w:t>translation</w:t>
      </w:r>
      <w:r w:rsidR="00505255" w:rsidRPr="00D64FCD">
        <w:rPr>
          <w:rFonts w:cs="Arial"/>
          <w:lang w:val="en-CA"/>
        </w:rPr>
        <w:t>]</w:t>
      </w:r>
      <w:r w:rsidR="00505255">
        <w:rPr>
          <w:rFonts w:ascii="Segoe UI Emoji" w:hAnsi="Segoe UI Emoji" w:cs="Arial"/>
          <w:lang w:val="en-CA"/>
        </w:rPr>
        <w:t xml:space="preserve"> </w:t>
      </w:r>
      <w:r w:rsidR="00505255" w:rsidRPr="00D64FCD">
        <w:rPr>
          <w:rFonts w:cs="Arial"/>
          <w:lang w:val="en-CA"/>
        </w:rPr>
        <w:t>“</w:t>
      </w:r>
      <w:r w:rsidRPr="00D64FCD">
        <w:rPr>
          <w:rFonts w:cs="Arial"/>
          <w:lang w:val="en-CA"/>
        </w:rPr>
        <w:t xml:space="preserve">it appears unreasonable to require them to appear to repeat the content of evidence that </w:t>
      </w:r>
      <w:r w:rsidR="00D64FCD" w:rsidRPr="00D64FCD">
        <w:rPr>
          <w:rFonts w:cs="Arial"/>
          <w:lang w:val="en-CA"/>
        </w:rPr>
        <w:t>had</w:t>
      </w:r>
      <w:r w:rsidRPr="00D64FCD">
        <w:rPr>
          <w:rFonts w:cs="Arial"/>
          <w:lang w:val="en-CA"/>
        </w:rPr>
        <w:t xml:space="preserve"> already </w:t>
      </w:r>
      <w:r w:rsidR="00D64FCD" w:rsidRPr="00D64FCD">
        <w:rPr>
          <w:rFonts w:cs="Arial"/>
          <w:lang w:val="en-CA"/>
        </w:rPr>
        <w:t xml:space="preserve">been </w:t>
      </w:r>
      <w:r w:rsidRPr="00D64FCD">
        <w:rPr>
          <w:rFonts w:cs="Arial"/>
          <w:lang w:val="en-CA"/>
        </w:rPr>
        <w:t xml:space="preserve">explained in the </w:t>
      </w:r>
      <w:r w:rsidR="00C14CBB" w:rsidRPr="00D64FCD">
        <w:rPr>
          <w:rFonts w:cs="Arial"/>
          <w:lang w:val="en-CA"/>
        </w:rPr>
        <w:t>affidavit</w:t>
      </w:r>
      <w:r w:rsidRPr="00D64FCD">
        <w:rPr>
          <w:rFonts w:cs="Arial"/>
          <w:lang w:val="en-CA"/>
        </w:rPr>
        <w:t xml:space="preserve">s and about which the AGQ had the opportunity to ask questions in the context of the CMQ </w:t>
      </w:r>
      <w:r w:rsidR="00D64FCD" w:rsidRPr="00D64FCD">
        <w:rPr>
          <w:rFonts w:cs="Arial"/>
          <w:lang w:val="en-CA"/>
        </w:rPr>
        <w:t>hearing</w:t>
      </w:r>
      <w:r w:rsidRPr="00D64FCD">
        <w:rPr>
          <w:rFonts w:cs="Arial"/>
          <w:lang w:val="en-CA"/>
        </w:rPr>
        <w:t>”.</w:t>
      </w:r>
      <w:r w:rsidRPr="00D64FCD">
        <w:rPr>
          <w:rStyle w:val="Appelnotedebasdep"/>
          <w:rFonts w:cs="Arial"/>
          <w:lang w:val="en-CA"/>
        </w:rPr>
        <w:footnoteReference w:id="34"/>
      </w:r>
      <w:r w:rsidR="00294345" w:rsidRPr="00D64FCD">
        <w:rPr>
          <w:rFonts w:cs="Arial"/>
          <w:lang w:val="en-CA"/>
        </w:rPr>
        <w:t xml:space="preserve"> </w:t>
      </w:r>
      <w:r w:rsidRPr="00D64FCD">
        <w:rPr>
          <w:rFonts w:cs="Arial"/>
          <w:lang w:val="en-CA"/>
        </w:rPr>
        <w:t>I agree that it would be unreasonable to assign judges simply to repeat their essential factual observations about the linguistic needs of the various divisions and districts of the Court of Québec from the witness box.</w:t>
      </w:r>
      <w:r w:rsidR="00294345" w:rsidRPr="00D64FCD">
        <w:rPr>
          <w:rFonts w:cs="Arial"/>
          <w:lang w:val="en-CA"/>
        </w:rPr>
        <w:t xml:space="preserve"> </w:t>
      </w:r>
      <w:r w:rsidRPr="00D64FCD">
        <w:rPr>
          <w:rFonts w:cs="Arial"/>
          <w:lang w:val="en-CA"/>
        </w:rPr>
        <w:t>The judge exercised her discretion by applying paragraph</w:t>
      </w:r>
      <w:r w:rsidR="00F92FA1">
        <w:rPr>
          <w:rFonts w:cs="Arial"/>
          <w:lang w:val="en-CA"/>
        </w:rPr>
        <w:t> </w:t>
      </w:r>
      <w:r w:rsidRPr="00D64FCD">
        <w:rPr>
          <w:rFonts w:cs="Arial"/>
          <w:lang w:val="en-CA"/>
        </w:rPr>
        <w:t>2 of article</w:t>
      </w:r>
      <w:r w:rsidR="00F92FA1">
        <w:rPr>
          <w:rFonts w:cs="Arial"/>
          <w:lang w:val="en-CA"/>
        </w:rPr>
        <w:t> </w:t>
      </w:r>
      <w:r w:rsidRPr="00D64FCD">
        <w:rPr>
          <w:rFonts w:cs="Arial"/>
          <w:lang w:val="en-CA"/>
        </w:rPr>
        <w:t xml:space="preserve">2870 </w:t>
      </w:r>
      <w:r w:rsidRPr="00D16016">
        <w:rPr>
          <w:rFonts w:cs="Arial"/>
          <w:i/>
          <w:iCs/>
          <w:lang w:val="en-CA"/>
        </w:rPr>
        <w:t>C</w:t>
      </w:r>
      <w:r w:rsidR="004D6E56" w:rsidRPr="00D16016">
        <w:rPr>
          <w:rFonts w:cs="Arial"/>
          <w:i/>
          <w:iCs/>
          <w:lang w:val="en-CA"/>
        </w:rPr>
        <w:t>.</w:t>
      </w:r>
      <w:r w:rsidRPr="00D16016">
        <w:rPr>
          <w:rFonts w:cs="Arial"/>
          <w:i/>
          <w:iCs/>
          <w:lang w:val="en-CA"/>
        </w:rPr>
        <w:t>C</w:t>
      </w:r>
      <w:r w:rsidR="004D6E56" w:rsidRPr="00D16016">
        <w:rPr>
          <w:rFonts w:cs="Arial"/>
          <w:i/>
          <w:iCs/>
          <w:lang w:val="en-CA"/>
        </w:rPr>
        <w:t>.</w:t>
      </w:r>
      <w:r w:rsidRPr="00D16016">
        <w:rPr>
          <w:rFonts w:cs="Arial"/>
          <w:i/>
          <w:iCs/>
          <w:lang w:val="en-CA"/>
        </w:rPr>
        <w:t>Q</w:t>
      </w:r>
      <w:r w:rsidRPr="00D64FCD">
        <w:rPr>
          <w:rFonts w:cs="Arial"/>
          <w:lang w:val="en-CA"/>
        </w:rPr>
        <w:t>.</w:t>
      </w:r>
      <w:r w:rsidR="00294345" w:rsidRPr="00D64FCD">
        <w:rPr>
          <w:rFonts w:cs="Arial"/>
          <w:lang w:val="en-CA"/>
        </w:rPr>
        <w:t xml:space="preserve"> </w:t>
      </w:r>
      <w:r w:rsidRPr="00D64FCD">
        <w:rPr>
          <w:rFonts w:cs="Arial"/>
          <w:lang w:val="en-CA"/>
        </w:rPr>
        <w:t>He</w:t>
      </w:r>
      <w:r w:rsidR="004D6E56">
        <w:rPr>
          <w:rFonts w:cs="Arial"/>
          <w:lang w:val="en-CA"/>
        </w:rPr>
        <w:t>r</w:t>
      </w:r>
      <w:r w:rsidRPr="00D64FCD">
        <w:rPr>
          <w:rFonts w:cs="Arial"/>
          <w:lang w:val="en-CA"/>
        </w:rPr>
        <w:t xml:space="preserve"> conclusion is not tainted by an error in principle justifying the Court’s intervention.</w:t>
      </w:r>
      <w:r w:rsidR="00294345" w:rsidRPr="00D64FCD">
        <w:rPr>
          <w:rFonts w:cs="Arial"/>
          <w:lang w:val="en-CA"/>
        </w:rPr>
        <w:t xml:space="preserve"> </w:t>
      </w:r>
    </w:p>
    <w:p w14:paraId="13BD39BD" w14:textId="5871CC33" w:rsidR="008025B1" w:rsidRPr="00D64FCD" w:rsidRDefault="00BC6488" w:rsidP="00D64254">
      <w:pPr>
        <w:pStyle w:val="1Paragraphe"/>
        <w:numPr>
          <w:ilvl w:val="0"/>
          <w:numId w:val="18"/>
        </w:numPr>
        <w:spacing w:line="280" w:lineRule="exact"/>
        <w:rPr>
          <w:rFonts w:cs="Arial"/>
          <w:lang w:val="en-CA"/>
        </w:rPr>
      </w:pPr>
      <w:r w:rsidRPr="00D64FCD">
        <w:rPr>
          <w:lang w:val="en-CA"/>
        </w:rPr>
        <w:t xml:space="preserve">Even if the judges who signed the </w:t>
      </w:r>
      <w:r w:rsidR="00C14CBB" w:rsidRPr="00D64FCD">
        <w:rPr>
          <w:lang w:val="en-CA"/>
        </w:rPr>
        <w:t>affidavit</w:t>
      </w:r>
      <w:r w:rsidRPr="00D64FCD">
        <w:rPr>
          <w:lang w:val="en-CA"/>
        </w:rPr>
        <w:t xml:space="preserve">s could be compelled to testify, it is generally advisable to avoid calling judges as witnesses to protect the image of </w:t>
      </w:r>
      <w:proofErr w:type="gramStart"/>
      <w:r w:rsidRPr="00D64FCD">
        <w:rPr>
          <w:lang w:val="en-CA"/>
        </w:rPr>
        <w:t>justice as a whole</w:t>
      </w:r>
      <w:proofErr w:type="gramEnd"/>
      <w:r w:rsidRPr="00D64FCD">
        <w:rPr>
          <w:lang w:val="en-CA"/>
        </w:rPr>
        <w:t>.</w:t>
      </w:r>
      <w:r w:rsidR="00294345" w:rsidRPr="00D64FCD">
        <w:rPr>
          <w:lang w:val="en-CA"/>
        </w:rPr>
        <w:t xml:space="preserve"> </w:t>
      </w:r>
      <w:r w:rsidRPr="00D64FCD">
        <w:rPr>
          <w:lang w:val="en-CA"/>
        </w:rPr>
        <w:t>The sight of a judge in the witness box merely risks creating an awkward, if not embarrassing, situation.</w:t>
      </w:r>
      <w:r w:rsidR="00294345" w:rsidRPr="00D64FCD">
        <w:rPr>
          <w:lang w:val="en-CA"/>
        </w:rPr>
        <w:t xml:space="preserve"> </w:t>
      </w:r>
      <w:r w:rsidRPr="00D64FCD">
        <w:rPr>
          <w:lang w:val="en-CA"/>
        </w:rPr>
        <w:t xml:space="preserve">More specifically, in this case, the respondents’ calling of the signatories of the </w:t>
      </w:r>
      <w:r w:rsidR="00C14CBB" w:rsidRPr="00D64FCD">
        <w:rPr>
          <w:lang w:val="en-CA"/>
        </w:rPr>
        <w:t>affidavit</w:t>
      </w:r>
      <w:r w:rsidRPr="00D64FCD">
        <w:rPr>
          <w:lang w:val="en-CA"/>
        </w:rPr>
        <w:t>s is likely to give the public the impression that the judges are favo</w:t>
      </w:r>
      <w:r w:rsidR="00505255">
        <w:rPr>
          <w:lang w:val="en-CA"/>
        </w:rPr>
        <w:t>u</w:t>
      </w:r>
      <w:r w:rsidRPr="00D64FCD">
        <w:rPr>
          <w:lang w:val="en-CA"/>
        </w:rPr>
        <w:t>ring the respondents’ position in the dispute.</w:t>
      </w:r>
      <w:r w:rsidR="00294345" w:rsidRPr="00D64FCD">
        <w:rPr>
          <w:lang w:val="en-CA"/>
        </w:rPr>
        <w:t xml:space="preserve"> </w:t>
      </w:r>
      <w:r w:rsidRPr="00D64FCD">
        <w:rPr>
          <w:lang w:val="en-CA"/>
        </w:rPr>
        <w:t xml:space="preserve">Even though ultimately it was not the case, summoning judges as witnesses would draw them directly into a dispute between the government and private parties, even more so than simply admitting </w:t>
      </w:r>
      <w:r w:rsidR="00C14CBB" w:rsidRPr="00D64FCD">
        <w:rPr>
          <w:lang w:val="en-CA"/>
        </w:rPr>
        <w:t>affidavit</w:t>
      </w:r>
      <w:r w:rsidRPr="00D64FCD">
        <w:rPr>
          <w:lang w:val="en-CA"/>
        </w:rPr>
        <w:t>s that are already in the public domain and were voluntarily filed in the CMQ case.</w:t>
      </w:r>
      <w:r w:rsidR="00294345" w:rsidRPr="00D64FCD">
        <w:rPr>
          <w:lang w:val="en-CA"/>
        </w:rPr>
        <w:t xml:space="preserve"> </w:t>
      </w:r>
    </w:p>
    <w:p w14:paraId="4BB4862B" w14:textId="40CD4074" w:rsidR="008025B1" w:rsidRPr="00D64FCD" w:rsidRDefault="00BC6488" w:rsidP="00D64254">
      <w:pPr>
        <w:pStyle w:val="1Paragraphe"/>
        <w:numPr>
          <w:ilvl w:val="0"/>
          <w:numId w:val="18"/>
        </w:numPr>
        <w:spacing w:line="280" w:lineRule="exact"/>
        <w:rPr>
          <w:rFonts w:cs="Arial"/>
          <w:lang w:val="en-CA"/>
        </w:rPr>
      </w:pPr>
      <w:r w:rsidRPr="00D64FCD">
        <w:rPr>
          <w:lang w:val="en-CA"/>
        </w:rPr>
        <w:t>Moreover, in this case, the subject matter covered in the affidavits is not central to this dispute and, given the passage of time, it may prove to be of secondary importance in establishing the facts.</w:t>
      </w:r>
      <w:r w:rsidR="00294345" w:rsidRPr="00D64FCD">
        <w:rPr>
          <w:lang w:val="en-CA"/>
        </w:rPr>
        <w:t xml:space="preserve"> </w:t>
      </w:r>
      <w:r w:rsidRPr="00D64FCD">
        <w:rPr>
          <w:lang w:val="en-CA"/>
        </w:rPr>
        <w:t>This underscores the unreasonableness of calling judges as witnesses.</w:t>
      </w:r>
      <w:r w:rsidR="00294345" w:rsidRPr="00D64FCD">
        <w:rPr>
          <w:lang w:val="en-CA"/>
        </w:rPr>
        <w:t xml:space="preserve"> </w:t>
      </w:r>
      <w:proofErr w:type="gramStart"/>
      <w:r w:rsidRPr="00D64FCD">
        <w:rPr>
          <w:lang w:val="en-CA"/>
        </w:rPr>
        <w:t>All the more</w:t>
      </w:r>
      <w:proofErr w:type="gramEnd"/>
      <w:r w:rsidRPr="00D64FCD">
        <w:rPr>
          <w:lang w:val="en-CA"/>
        </w:rPr>
        <w:t xml:space="preserve"> so</w:t>
      </w:r>
      <w:r w:rsidR="00A00A6C">
        <w:rPr>
          <w:lang w:val="en-CA"/>
        </w:rPr>
        <w:t>–</w:t>
      </w:r>
      <w:r w:rsidRPr="00D64FCD">
        <w:rPr>
          <w:lang w:val="en-CA"/>
        </w:rPr>
        <w:t>and once again</w:t>
      </w:r>
      <w:r w:rsidR="00A00A6C">
        <w:rPr>
          <w:lang w:val="en-CA"/>
        </w:rPr>
        <w:t>–</w:t>
      </w:r>
      <w:r w:rsidRPr="00D64FCD">
        <w:rPr>
          <w:lang w:val="en-CA"/>
        </w:rPr>
        <w:t>because cross-examination could go too far by, for example, seeking justifications for a specific assignation —a sensitive matter that is certainly covered by judicial immunity and on which judges cannot be compelled to testify.</w:t>
      </w:r>
      <w:r w:rsidR="00294345" w:rsidRPr="00D64FCD">
        <w:rPr>
          <w:lang w:val="en-CA"/>
        </w:rPr>
        <w:t xml:space="preserve"> </w:t>
      </w:r>
    </w:p>
    <w:p w14:paraId="3B19B4A1" w14:textId="151E7489" w:rsidR="00067E7C" w:rsidRPr="00D64FCD" w:rsidRDefault="00BC6488" w:rsidP="00D64254">
      <w:pPr>
        <w:pStyle w:val="1Paragraphe"/>
        <w:numPr>
          <w:ilvl w:val="0"/>
          <w:numId w:val="18"/>
        </w:numPr>
        <w:spacing w:line="280" w:lineRule="exact"/>
        <w:rPr>
          <w:rFonts w:cs="Arial"/>
          <w:lang w:val="en-CA"/>
        </w:rPr>
      </w:pPr>
      <w:r w:rsidRPr="00D64FCD">
        <w:rPr>
          <w:lang w:val="en-CA"/>
        </w:rPr>
        <w:t xml:space="preserve">The assignation of judges could lead to long debates about their judicial immunity that are neither necessary </w:t>
      </w:r>
      <w:r w:rsidR="00361E50">
        <w:rPr>
          <w:lang w:val="en-CA"/>
        </w:rPr>
        <w:t>n</w:t>
      </w:r>
      <w:r w:rsidRPr="00D64FCD">
        <w:rPr>
          <w:lang w:val="en-CA"/>
        </w:rPr>
        <w:t xml:space="preserve">or proportionate in the context where the </w:t>
      </w:r>
      <w:r w:rsidR="00C14CBB" w:rsidRPr="00D64FCD">
        <w:rPr>
          <w:lang w:val="en-CA"/>
        </w:rPr>
        <w:t>affidavit</w:t>
      </w:r>
      <w:r w:rsidRPr="00D64FCD">
        <w:rPr>
          <w:lang w:val="en-CA"/>
        </w:rPr>
        <w:t>s and their supporting exhibits are detailed and, I repeat, do not necessarily concern the central issue of this dispute.</w:t>
      </w:r>
    </w:p>
    <w:p w14:paraId="64335E1A" w14:textId="6A4D086D"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lastRenderedPageBreak/>
        <w:t xml:space="preserve">In short, I am of the view that the judge did not err in this very specific case when she concluded that it was impossible or unreasonable to call the judges as witnesses in a constitutional dispute of public interest for the sole purpose of introducing their detailed </w:t>
      </w:r>
      <w:r w:rsidR="00C14CBB" w:rsidRPr="00D64FCD">
        <w:rPr>
          <w:rFonts w:cs="Arial"/>
          <w:lang w:val="en-CA"/>
        </w:rPr>
        <w:t>affidavit</w:t>
      </w:r>
      <w:r w:rsidRPr="00D64FCD">
        <w:rPr>
          <w:rFonts w:cs="Arial"/>
          <w:lang w:val="en-CA"/>
        </w:rPr>
        <w:t>s filed in another case.</w:t>
      </w:r>
    </w:p>
    <w:p w14:paraId="21ADEE94" w14:textId="77777777" w:rsidR="00067E7C" w:rsidRPr="00D64FCD" w:rsidRDefault="00294345" w:rsidP="00D64254">
      <w:pPr>
        <w:pStyle w:val="1Paragraphe"/>
        <w:tabs>
          <w:tab w:val="clear" w:pos="720"/>
        </w:tabs>
        <w:spacing w:line="280" w:lineRule="exact"/>
        <w:jc w:val="center"/>
        <w:rPr>
          <w:rFonts w:cs="Arial"/>
          <w:lang w:val="en-CA"/>
        </w:rPr>
      </w:pPr>
      <w:r w:rsidRPr="00D64FCD">
        <w:rPr>
          <w:rFonts w:cs="Arial"/>
          <w:lang w:val="en-CA"/>
        </w:rPr>
        <w:t>* * *</w:t>
      </w:r>
    </w:p>
    <w:p w14:paraId="28A66328" w14:textId="6C7AADB9"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t xml:space="preserve">In this case, several sections of the </w:t>
      </w:r>
      <w:r w:rsidR="00C14CBB" w:rsidRPr="00D64FCD">
        <w:rPr>
          <w:rFonts w:cs="Arial"/>
          <w:lang w:val="en-CA"/>
        </w:rPr>
        <w:t>affidavit</w:t>
      </w:r>
      <w:r w:rsidRPr="00D64FCD">
        <w:rPr>
          <w:rFonts w:cs="Arial"/>
          <w:lang w:val="en-CA"/>
        </w:rPr>
        <w:t>s have a high degree of reliability.</w:t>
      </w:r>
      <w:r w:rsidR="00294345" w:rsidRPr="00D64FCD">
        <w:rPr>
          <w:rFonts w:cs="Arial"/>
          <w:lang w:val="en-CA"/>
        </w:rPr>
        <w:t xml:space="preserve"> </w:t>
      </w:r>
      <w:r w:rsidRPr="00D64FCD">
        <w:rPr>
          <w:rFonts w:cs="Arial"/>
          <w:lang w:val="en-CA"/>
        </w:rPr>
        <w:t xml:space="preserve">The </w:t>
      </w:r>
      <w:r w:rsidR="00C14CBB" w:rsidRPr="00D64FCD">
        <w:rPr>
          <w:rFonts w:cs="Arial"/>
          <w:lang w:val="en-CA"/>
        </w:rPr>
        <w:t>affidavit</w:t>
      </w:r>
      <w:r w:rsidRPr="00D64FCD">
        <w:rPr>
          <w:rFonts w:cs="Arial"/>
          <w:lang w:val="en-CA"/>
        </w:rPr>
        <w:t xml:space="preserve">s were given under oath, and the chief judges and coordinating judges were </w:t>
      </w:r>
      <w:proofErr w:type="gramStart"/>
      <w:r w:rsidRPr="00D64FCD">
        <w:rPr>
          <w:rFonts w:cs="Arial"/>
          <w:lang w:val="en-CA"/>
        </w:rPr>
        <w:t>in a position</w:t>
      </w:r>
      <w:proofErr w:type="gramEnd"/>
      <w:r w:rsidRPr="00D64FCD">
        <w:rPr>
          <w:rFonts w:cs="Arial"/>
          <w:lang w:val="en-CA"/>
        </w:rPr>
        <w:t xml:space="preserve"> to comment on the needs of the Court of Québec.</w:t>
      </w:r>
      <w:r w:rsidR="00294345" w:rsidRPr="00D64FCD">
        <w:rPr>
          <w:rFonts w:cs="Arial"/>
          <w:lang w:val="en-CA"/>
        </w:rPr>
        <w:t xml:space="preserve"> </w:t>
      </w:r>
      <w:r w:rsidRPr="00D64FCD">
        <w:rPr>
          <w:rFonts w:cs="Arial"/>
          <w:lang w:val="en-CA"/>
        </w:rPr>
        <w:t>A significant concern associated with receiving hearsay is thus dispelled.</w:t>
      </w:r>
    </w:p>
    <w:p w14:paraId="1236C2A3" w14:textId="0FF736D6"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t>The appellants</w:t>
      </w:r>
      <w:r w:rsidR="00505255">
        <w:rPr>
          <w:rFonts w:cs="Arial"/>
          <w:lang w:val="en-CA"/>
        </w:rPr>
        <w:t>’</w:t>
      </w:r>
      <w:r w:rsidRPr="00D64FCD">
        <w:rPr>
          <w:rFonts w:cs="Arial"/>
          <w:i/>
          <w:lang w:val="en-CA"/>
        </w:rPr>
        <w:t xml:space="preserve"> </w:t>
      </w:r>
      <w:r w:rsidRPr="00D64FCD">
        <w:rPr>
          <w:rFonts w:cs="Arial"/>
          <w:lang w:val="en-CA"/>
        </w:rPr>
        <w:t>argument</w:t>
      </w:r>
      <w:r w:rsidR="00505255">
        <w:rPr>
          <w:rFonts w:cs="Arial"/>
          <w:lang w:val="en-CA"/>
        </w:rPr>
        <w:t>,</w:t>
      </w:r>
      <w:r w:rsidRPr="00D64FCD">
        <w:rPr>
          <w:rFonts w:cs="Arial"/>
          <w:lang w:val="en-CA"/>
        </w:rPr>
        <w:t xml:space="preserve"> based on the Supreme Court</w:t>
      </w:r>
      <w:r w:rsidR="00837A8E">
        <w:rPr>
          <w:rFonts w:cs="Arial"/>
          <w:lang w:val="en-CA"/>
        </w:rPr>
        <w:t>’</w:t>
      </w:r>
      <w:r w:rsidRPr="00D16016">
        <w:rPr>
          <w:rFonts w:cs="Arial"/>
          <w:iCs/>
          <w:lang w:val="en-CA"/>
        </w:rPr>
        <w:t>s</w:t>
      </w:r>
      <w:r w:rsidRPr="00D64FCD">
        <w:rPr>
          <w:rFonts w:cs="Arial"/>
          <w:i/>
          <w:lang w:val="en-CA"/>
        </w:rPr>
        <w:t xml:space="preserve"> </w:t>
      </w:r>
      <w:r w:rsidRPr="00D64FCD">
        <w:rPr>
          <w:rFonts w:cs="Arial"/>
          <w:lang w:val="en-CA"/>
        </w:rPr>
        <w:t xml:space="preserve">judgment in </w:t>
      </w:r>
      <w:proofErr w:type="spellStart"/>
      <w:r w:rsidRPr="00D64FCD">
        <w:rPr>
          <w:rFonts w:cs="Arial"/>
          <w:i/>
          <w:lang w:val="en-CA"/>
        </w:rPr>
        <w:t>MediaQMI</w:t>
      </w:r>
      <w:proofErr w:type="spellEnd"/>
      <w:r w:rsidRPr="00D64FCD">
        <w:rPr>
          <w:rFonts w:cs="Arial"/>
          <w:i/>
          <w:lang w:val="en-CA"/>
        </w:rPr>
        <w:t xml:space="preserve"> inc. v. Kamel</w:t>
      </w:r>
      <w:r w:rsidRPr="00D64FCD">
        <w:rPr>
          <w:rFonts w:cs="Arial"/>
          <w:lang w:val="en-CA"/>
        </w:rPr>
        <w:t>,</w:t>
      </w:r>
      <w:r w:rsidRPr="00D64FCD">
        <w:rPr>
          <w:rStyle w:val="Appelnotedebasdep"/>
          <w:rFonts w:cs="Arial"/>
          <w:lang w:val="en-CA"/>
        </w:rPr>
        <w:footnoteReference w:id="35"/>
      </w:r>
      <w:r w:rsidR="00D411CA">
        <w:rPr>
          <w:rStyle w:val="Citationintgre"/>
          <w:rFonts w:cs="Arial"/>
          <w:lang w:val="en-CA"/>
        </w:rPr>
        <w:t xml:space="preserve"> </w:t>
      </w:r>
      <w:r w:rsidRPr="00D16016">
        <w:rPr>
          <w:rStyle w:val="Citationintgre"/>
          <w:rFonts w:cs="Arial"/>
          <w:i w:val="0"/>
          <w:sz w:val="24"/>
          <w:szCs w:val="24"/>
          <w:lang w:val="en-CA"/>
        </w:rPr>
        <w:t>is of little assistance.</w:t>
      </w:r>
      <w:r w:rsidR="00294345" w:rsidRPr="00D64FCD">
        <w:rPr>
          <w:rFonts w:cs="Arial"/>
          <w:lang w:val="en-CA"/>
        </w:rPr>
        <w:t xml:space="preserve"> </w:t>
      </w:r>
      <w:r w:rsidRPr="00D64FCD">
        <w:rPr>
          <w:rFonts w:cs="Arial"/>
          <w:lang w:val="en-CA"/>
        </w:rPr>
        <w:t>In that case, journalists sought the communication of exhibits removed from the Superior Court record after the case was settled.</w:t>
      </w:r>
      <w:r w:rsidR="00294345" w:rsidRPr="00D64FCD">
        <w:rPr>
          <w:rFonts w:cs="Arial"/>
          <w:lang w:val="en-CA"/>
        </w:rPr>
        <w:t xml:space="preserve"> </w:t>
      </w:r>
      <w:r w:rsidRPr="00D64FCD">
        <w:rPr>
          <w:rFonts w:cs="Arial"/>
          <w:lang w:val="en-CA"/>
        </w:rPr>
        <w:t xml:space="preserve">The </w:t>
      </w:r>
      <w:r w:rsidR="00C14CBB" w:rsidRPr="00D64FCD">
        <w:rPr>
          <w:rFonts w:cs="Arial"/>
          <w:lang w:val="en-CA"/>
        </w:rPr>
        <w:t>affidavit</w:t>
      </w:r>
      <w:r w:rsidRPr="00D64FCD">
        <w:rPr>
          <w:rFonts w:cs="Arial"/>
          <w:lang w:val="en-CA"/>
        </w:rPr>
        <w:t>s at issue were obtained by the parties before the settlement in the CMQ case, when they were still in the public domain.</w:t>
      </w:r>
    </w:p>
    <w:p w14:paraId="59D5972B" w14:textId="19FF5E5A" w:rsidR="00067E7C" w:rsidRPr="00D64FCD" w:rsidRDefault="00BC6488" w:rsidP="00D64254">
      <w:pPr>
        <w:pStyle w:val="1Paragraphe"/>
        <w:numPr>
          <w:ilvl w:val="0"/>
          <w:numId w:val="18"/>
        </w:numPr>
        <w:spacing w:line="280" w:lineRule="exact"/>
        <w:rPr>
          <w:rFonts w:cs="Arial"/>
          <w:lang w:val="en-CA"/>
        </w:rPr>
      </w:pPr>
      <w:r w:rsidRPr="00D64FCD">
        <w:rPr>
          <w:rFonts w:cs="Arial"/>
          <w:lang w:val="en-CA"/>
        </w:rPr>
        <w:t xml:space="preserve">I note that some parts of the </w:t>
      </w:r>
      <w:r w:rsidR="00C14CBB" w:rsidRPr="00D64FCD">
        <w:rPr>
          <w:rFonts w:cs="Arial"/>
          <w:lang w:val="en-CA"/>
        </w:rPr>
        <w:t>affidavit</w:t>
      </w:r>
      <w:r w:rsidRPr="00D64FCD">
        <w:rPr>
          <w:rFonts w:cs="Arial"/>
          <w:lang w:val="en-CA"/>
        </w:rPr>
        <w:t>s support evidence that pertains to the parties’ arguments, not to factual observations.</w:t>
      </w:r>
      <w:r w:rsidRPr="00D64FCD">
        <w:rPr>
          <w:rStyle w:val="Appelnotedebasdep"/>
          <w:rFonts w:cs="Arial"/>
          <w:lang w:val="en-CA"/>
        </w:rPr>
        <w:footnoteReference w:id="36"/>
      </w:r>
      <w:r w:rsidR="00294345" w:rsidRPr="00D64FCD">
        <w:rPr>
          <w:rFonts w:cs="Arial"/>
          <w:lang w:val="en-CA"/>
        </w:rPr>
        <w:t xml:space="preserve"> </w:t>
      </w:r>
      <w:r w:rsidRPr="00D64FCD">
        <w:rPr>
          <w:rFonts w:cs="Arial"/>
          <w:lang w:val="en-CA"/>
        </w:rPr>
        <w:t>Judges</w:t>
      </w:r>
      <w:r w:rsidR="00A00A6C">
        <w:rPr>
          <w:rFonts w:cs="Arial"/>
          <w:lang w:val="en-CA"/>
        </w:rPr>
        <w:t>’</w:t>
      </w:r>
      <w:r w:rsidRPr="00D64FCD">
        <w:rPr>
          <w:rFonts w:cs="Arial"/>
          <w:lang w:val="en-CA"/>
        </w:rPr>
        <w:t xml:space="preserve"> </w:t>
      </w:r>
      <w:r w:rsidR="00E87E6F" w:rsidRPr="00D64FCD">
        <w:rPr>
          <w:rFonts w:cs="Arial"/>
          <w:lang w:val="en-CA"/>
        </w:rPr>
        <w:t>affidavit</w:t>
      </w:r>
      <w:r w:rsidRPr="00D64FCD">
        <w:rPr>
          <w:rFonts w:cs="Arial"/>
          <w:lang w:val="en-CA"/>
        </w:rPr>
        <w:t xml:space="preserve">s may not be the best source </w:t>
      </w:r>
      <w:r w:rsidRPr="00D64FCD">
        <w:rPr>
          <w:rFonts w:cs="Arial"/>
          <w:lang w:val="en-CA"/>
        </w:rPr>
        <w:lastRenderedPageBreak/>
        <w:t>for certain information, such as demographic data on the courts.</w:t>
      </w:r>
      <w:r w:rsidR="00294345" w:rsidRPr="00D64FCD">
        <w:rPr>
          <w:rFonts w:cs="Arial"/>
          <w:lang w:val="en-CA"/>
        </w:rPr>
        <w:t xml:space="preserve"> </w:t>
      </w:r>
      <w:r w:rsidRPr="00D64FCD">
        <w:rPr>
          <w:rFonts w:cs="Arial"/>
          <w:lang w:val="en-CA"/>
        </w:rPr>
        <w:t xml:space="preserve">The trial judge must assess the opinions and arguments </w:t>
      </w:r>
      <w:proofErr w:type="gramStart"/>
      <w:r w:rsidRPr="00D64FCD">
        <w:rPr>
          <w:rFonts w:cs="Arial"/>
          <w:lang w:val="en-CA"/>
        </w:rPr>
        <w:t>in light of</w:t>
      </w:r>
      <w:proofErr w:type="gramEnd"/>
      <w:r w:rsidRPr="00D64FCD">
        <w:rPr>
          <w:rFonts w:cs="Arial"/>
          <w:lang w:val="en-CA"/>
        </w:rPr>
        <w:t xml:space="preserve"> the evidence as a whole, a process with which judges are familiar.</w:t>
      </w:r>
      <w:r w:rsidR="00294345" w:rsidRPr="00D64FCD">
        <w:rPr>
          <w:rFonts w:cs="Arial"/>
          <w:lang w:val="en-CA"/>
        </w:rPr>
        <w:t xml:space="preserve"> </w:t>
      </w:r>
      <w:r w:rsidRPr="00D64FCD">
        <w:rPr>
          <w:rFonts w:cs="Arial"/>
          <w:lang w:val="en-CA"/>
        </w:rPr>
        <w:t xml:space="preserve">The Attorney General of Quebec will have the opportunity to present his point of view on the probative value of the evidence contained in the </w:t>
      </w:r>
      <w:r w:rsidR="00E87E6F" w:rsidRPr="00D64FCD">
        <w:rPr>
          <w:rFonts w:cs="Arial"/>
          <w:lang w:val="en-CA"/>
        </w:rPr>
        <w:t>affidavit</w:t>
      </w:r>
      <w:r w:rsidRPr="00D64FCD">
        <w:rPr>
          <w:rFonts w:cs="Arial"/>
          <w:lang w:val="en-CA"/>
        </w:rPr>
        <w:t>s of the judges acting as ordinary witnesses.</w:t>
      </w:r>
    </w:p>
    <w:p w14:paraId="7215300C" w14:textId="74D3556B" w:rsidR="00067E7C" w:rsidRPr="005020B1" w:rsidRDefault="00BC6488" w:rsidP="00D64254">
      <w:pPr>
        <w:pStyle w:val="1Paragraphe"/>
        <w:numPr>
          <w:ilvl w:val="0"/>
          <w:numId w:val="18"/>
        </w:numPr>
        <w:spacing w:line="280" w:lineRule="exact"/>
        <w:rPr>
          <w:rFonts w:cs="Arial"/>
          <w:szCs w:val="24"/>
          <w:lang w:val="en-CA"/>
        </w:rPr>
      </w:pPr>
      <w:r w:rsidRPr="00D64FCD">
        <w:rPr>
          <w:rFonts w:cs="Arial"/>
          <w:lang w:val="en-CA"/>
        </w:rPr>
        <w:t xml:space="preserve">The fact that the appellants did not have the opportunity to cross-examine the judges again can be </w:t>
      </w:r>
      <w:proofErr w:type="gramStart"/>
      <w:r w:rsidRPr="00D64FCD">
        <w:rPr>
          <w:rFonts w:cs="Arial"/>
          <w:lang w:val="en-CA"/>
        </w:rPr>
        <w:t>taken into account</w:t>
      </w:r>
      <w:proofErr w:type="gramEnd"/>
      <w:r w:rsidRPr="00D64FCD">
        <w:rPr>
          <w:rFonts w:cs="Arial"/>
          <w:lang w:val="en-CA"/>
        </w:rPr>
        <w:t xml:space="preserve"> by the trial judge when assessing the probative value of the </w:t>
      </w:r>
      <w:r w:rsidR="00C14CBB" w:rsidRPr="00D64FCD">
        <w:rPr>
          <w:rFonts w:cs="Arial"/>
          <w:lang w:val="en-CA"/>
        </w:rPr>
        <w:t>affidavit</w:t>
      </w:r>
      <w:r w:rsidRPr="00D64FCD">
        <w:rPr>
          <w:rFonts w:cs="Arial"/>
          <w:lang w:val="en-CA"/>
        </w:rPr>
        <w:t>s in light of the evidence as a whole.</w:t>
      </w:r>
      <w:r w:rsidR="00294345" w:rsidRPr="00D64FCD">
        <w:rPr>
          <w:rFonts w:cs="Arial"/>
          <w:lang w:val="en-CA"/>
        </w:rPr>
        <w:t xml:space="preserve"> </w:t>
      </w:r>
      <w:r w:rsidRPr="00D64FCD">
        <w:rPr>
          <w:rFonts w:cs="Arial"/>
          <w:lang w:val="en-CA"/>
        </w:rPr>
        <w:t>Article</w:t>
      </w:r>
      <w:r w:rsidR="00F92FA1">
        <w:rPr>
          <w:rFonts w:cs="Arial"/>
          <w:lang w:val="en-CA"/>
        </w:rPr>
        <w:t> </w:t>
      </w:r>
      <w:r w:rsidRPr="00D64FCD">
        <w:rPr>
          <w:rFonts w:cs="Arial"/>
          <w:lang w:val="en-CA"/>
        </w:rPr>
        <w:t xml:space="preserve">2870 </w:t>
      </w:r>
      <w:r w:rsidRPr="00D16016">
        <w:rPr>
          <w:rFonts w:cs="Arial"/>
          <w:i/>
          <w:iCs/>
          <w:lang w:val="en-CA"/>
        </w:rPr>
        <w:t>C</w:t>
      </w:r>
      <w:r w:rsidR="00D648A5" w:rsidRPr="00D16016">
        <w:rPr>
          <w:rFonts w:cs="Arial"/>
          <w:i/>
          <w:iCs/>
          <w:lang w:val="en-CA"/>
        </w:rPr>
        <w:t>.</w:t>
      </w:r>
      <w:r w:rsidRPr="00D16016">
        <w:rPr>
          <w:rFonts w:cs="Arial"/>
          <w:i/>
          <w:iCs/>
          <w:lang w:val="en-CA"/>
        </w:rPr>
        <w:t>C</w:t>
      </w:r>
      <w:r w:rsidR="00D648A5" w:rsidRPr="00D16016">
        <w:rPr>
          <w:rFonts w:cs="Arial"/>
          <w:i/>
          <w:iCs/>
          <w:lang w:val="en-CA"/>
        </w:rPr>
        <w:t>.</w:t>
      </w:r>
      <w:r w:rsidRPr="00D16016">
        <w:rPr>
          <w:rFonts w:cs="Arial"/>
          <w:i/>
          <w:iCs/>
          <w:lang w:val="en-CA"/>
        </w:rPr>
        <w:t>Q</w:t>
      </w:r>
      <w:r w:rsidR="00D648A5" w:rsidRPr="00D16016">
        <w:rPr>
          <w:rFonts w:cs="Arial"/>
          <w:i/>
          <w:iCs/>
          <w:lang w:val="en-CA"/>
        </w:rPr>
        <w:t>.</w:t>
      </w:r>
      <w:r w:rsidRPr="00D64FCD">
        <w:rPr>
          <w:rFonts w:cs="Arial"/>
          <w:lang w:val="en-CA"/>
        </w:rPr>
        <w:t xml:space="preserve"> permits </w:t>
      </w:r>
      <w:r w:rsidR="00E87E6F" w:rsidRPr="00D64FCD">
        <w:rPr>
          <w:rFonts w:cs="Arial"/>
          <w:lang w:val="en-CA"/>
        </w:rPr>
        <w:t>affidavit</w:t>
      </w:r>
      <w:r w:rsidRPr="00D64FCD">
        <w:rPr>
          <w:rFonts w:cs="Arial"/>
          <w:lang w:val="en-CA"/>
        </w:rPr>
        <w:t>s on which the declarants cannot, by definition, be cross-examined; this is the rationale behind the criteria of necessity and reliability, which are met in this case.</w:t>
      </w:r>
      <w:r w:rsidR="00294345" w:rsidRPr="00D64FCD">
        <w:rPr>
          <w:rFonts w:cs="Arial"/>
          <w:lang w:val="en-CA"/>
        </w:rPr>
        <w:t xml:space="preserve"> </w:t>
      </w:r>
      <w:r w:rsidRPr="00D64FCD">
        <w:rPr>
          <w:rFonts w:cs="Arial"/>
          <w:lang w:val="en-CA"/>
        </w:rPr>
        <w:t xml:space="preserve">Above all, and despite </w:t>
      </w:r>
      <w:r w:rsidRPr="00D64FCD">
        <w:rPr>
          <w:rFonts w:cs="Arial"/>
          <w:i/>
          <w:lang w:val="en-CA"/>
        </w:rPr>
        <w:t xml:space="preserve">Lac </w:t>
      </w:r>
      <w:proofErr w:type="spellStart"/>
      <w:r w:rsidRPr="00D64FCD">
        <w:rPr>
          <w:rFonts w:cs="Arial"/>
          <w:i/>
          <w:lang w:val="en-CA"/>
        </w:rPr>
        <w:t>Amiante</w:t>
      </w:r>
      <w:proofErr w:type="spellEnd"/>
      <w:r w:rsidRPr="00D64FCD">
        <w:rPr>
          <w:rFonts w:cs="Arial"/>
          <w:lang w:val="en-CA"/>
        </w:rPr>
        <w:t>,</w:t>
      </w:r>
      <w:r w:rsidRPr="00D64FCD">
        <w:rPr>
          <w:rStyle w:val="Appelnotedebasdep"/>
          <w:rFonts w:cs="Arial"/>
          <w:lang w:val="en-CA"/>
        </w:rPr>
        <w:footnoteReference w:id="37"/>
      </w:r>
      <w:r w:rsidRPr="00D64FCD">
        <w:rPr>
          <w:rStyle w:val="Citationintgre"/>
          <w:rFonts w:cs="Arial"/>
          <w:i w:val="0"/>
          <w:lang w:val="en-CA"/>
        </w:rPr>
        <w:t xml:space="preserve"> </w:t>
      </w:r>
      <w:r w:rsidRPr="00D16016">
        <w:rPr>
          <w:rStyle w:val="Citationintgre"/>
          <w:rFonts w:cs="Arial"/>
          <w:i w:val="0"/>
          <w:sz w:val="24"/>
          <w:szCs w:val="24"/>
          <w:lang w:val="en-CA"/>
        </w:rPr>
        <w:t>the appellants may still request consent or permission to produce the transcripts of the interviews contained in the CMQ file if they deem them useful.</w:t>
      </w:r>
    </w:p>
    <w:p w14:paraId="31E13DFD" w14:textId="77777777" w:rsidR="00067E7C" w:rsidRPr="00D64FCD" w:rsidRDefault="00294345" w:rsidP="00D64254">
      <w:pPr>
        <w:pStyle w:val="1Paragraphe"/>
        <w:tabs>
          <w:tab w:val="clear" w:pos="720"/>
        </w:tabs>
        <w:spacing w:line="280" w:lineRule="exact"/>
        <w:jc w:val="center"/>
        <w:rPr>
          <w:rFonts w:cs="Arial"/>
          <w:lang w:val="en-CA"/>
        </w:rPr>
      </w:pPr>
      <w:r w:rsidRPr="00D64FCD">
        <w:rPr>
          <w:rFonts w:cs="Arial"/>
          <w:lang w:val="en-CA"/>
        </w:rPr>
        <w:t>* * *</w:t>
      </w:r>
    </w:p>
    <w:p w14:paraId="2913CFAE" w14:textId="4CF7EF17" w:rsidR="00067E7C" w:rsidRPr="00D64FCD" w:rsidRDefault="00BC6488" w:rsidP="00D64254">
      <w:pPr>
        <w:pStyle w:val="1Paragraphe"/>
        <w:numPr>
          <w:ilvl w:val="0"/>
          <w:numId w:val="18"/>
        </w:numPr>
        <w:spacing w:line="280" w:lineRule="exact"/>
        <w:rPr>
          <w:lang w:val="en-CA"/>
        </w:rPr>
      </w:pPr>
      <w:r w:rsidRPr="00D64FCD">
        <w:rPr>
          <w:rFonts w:cs="Arial"/>
          <w:lang w:val="en-CA"/>
        </w:rPr>
        <w:t>I accept none of the grounds pleaded by the appellants and I therefore propose to dismiss the appeal with legal costs.</w:t>
      </w:r>
    </w:p>
    <w:tbl>
      <w:tblPr>
        <w:tblW w:w="9360" w:type="dxa"/>
        <w:tblInd w:w="70" w:type="dxa"/>
        <w:tblLayout w:type="fixed"/>
        <w:tblCellMar>
          <w:left w:w="70" w:type="dxa"/>
          <w:right w:w="70" w:type="dxa"/>
        </w:tblCellMar>
        <w:tblLook w:val="0000" w:firstRow="0" w:lastRow="0" w:firstColumn="0" w:lastColumn="0" w:noHBand="0" w:noVBand="0"/>
      </w:tblPr>
      <w:tblGrid>
        <w:gridCol w:w="4735"/>
        <w:gridCol w:w="4625"/>
      </w:tblGrid>
      <w:tr w:rsidR="002C2BF3" w:rsidRPr="00C533A5" w14:paraId="0CCAB20D" w14:textId="77777777" w:rsidTr="003C0CC9">
        <w:trPr>
          <w:cantSplit/>
          <w:trHeight w:val="513"/>
        </w:trPr>
        <w:tc>
          <w:tcPr>
            <w:tcW w:w="9360" w:type="dxa"/>
            <w:gridSpan w:val="2"/>
          </w:tcPr>
          <w:p w14:paraId="78130599" w14:textId="77777777" w:rsidR="00067E7C" w:rsidRPr="00D64FCD" w:rsidRDefault="00067E7C" w:rsidP="00D64254">
            <w:pPr>
              <w:rPr>
                <w:lang w:val="en-CA"/>
              </w:rPr>
            </w:pPr>
          </w:p>
        </w:tc>
      </w:tr>
      <w:tr w:rsidR="002C2BF3" w:rsidRPr="00C533A5" w14:paraId="647424F2" w14:textId="77777777" w:rsidTr="003C0CC9">
        <w:tblPrEx>
          <w:tblCellMar>
            <w:left w:w="0" w:type="dxa"/>
            <w:right w:w="0" w:type="dxa"/>
          </w:tblCellMar>
        </w:tblPrEx>
        <w:trPr>
          <w:cantSplit/>
          <w:trHeight w:val="277"/>
        </w:trPr>
        <w:tc>
          <w:tcPr>
            <w:tcW w:w="4735" w:type="dxa"/>
            <w:vMerge w:val="restart"/>
          </w:tcPr>
          <w:p w14:paraId="571D4CC0" w14:textId="77777777" w:rsidR="00067E7C" w:rsidRPr="00D64FCD" w:rsidRDefault="00067E7C" w:rsidP="007C59AB">
            <w:pPr>
              <w:rPr>
                <w:lang w:val="en-CA"/>
              </w:rPr>
            </w:pPr>
          </w:p>
        </w:tc>
        <w:tc>
          <w:tcPr>
            <w:tcW w:w="4625" w:type="dxa"/>
            <w:tcBorders>
              <w:bottom w:val="single" w:sz="8" w:space="0" w:color="auto"/>
            </w:tcBorders>
          </w:tcPr>
          <w:p w14:paraId="1A164C27" w14:textId="77777777" w:rsidR="00067E7C" w:rsidRPr="00D64FCD" w:rsidRDefault="00067E7C" w:rsidP="007C59AB">
            <w:pPr>
              <w:rPr>
                <w:lang w:val="en-CA"/>
              </w:rPr>
            </w:pPr>
          </w:p>
        </w:tc>
      </w:tr>
      <w:tr w:rsidR="002C2BF3" w:rsidRPr="00D64FCD" w14:paraId="7DAEA285" w14:textId="77777777" w:rsidTr="003C0CC9">
        <w:tblPrEx>
          <w:tblCellMar>
            <w:left w:w="0" w:type="dxa"/>
            <w:right w:w="0" w:type="dxa"/>
          </w:tblCellMar>
        </w:tblPrEx>
        <w:trPr>
          <w:cantSplit/>
          <w:trHeight w:val="276"/>
        </w:trPr>
        <w:tc>
          <w:tcPr>
            <w:tcW w:w="4735" w:type="dxa"/>
            <w:vMerge/>
          </w:tcPr>
          <w:p w14:paraId="56BA3B45" w14:textId="77777777" w:rsidR="00067E7C" w:rsidRPr="00D64FCD" w:rsidRDefault="00067E7C" w:rsidP="007C59AB">
            <w:pPr>
              <w:rPr>
                <w:lang w:val="en-CA"/>
              </w:rPr>
            </w:pPr>
          </w:p>
        </w:tc>
        <w:tc>
          <w:tcPr>
            <w:tcW w:w="4625" w:type="dxa"/>
          </w:tcPr>
          <w:p w14:paraId="513577FF" w14:textId="77777777" w:rsidR="00260598" w:rsidRPr="00260598" w:rsidRDefault="00260598" w:rsidP="00260598">
            <w:pPr>
              <w:rPr>
                <w:lang w:val="en-CA"/>
              </w:rPr>
            </w:pPr>
            <w:r w:rsidRPr="00260598">
              <w:rPr>
                <w:lang w:val="en-CA"/>
              </w:rPr>
              <w:t>MARK SCHRAGER, J.A.</w:t>
            </w:r>
          </w:p>
          <w:p w14:paraId="41809A5C" w14:textId="695000E0" w:rsidR="00067E7C" w:rsidRPr="00D64FCD" w:rsidRDefault="00067E7C" w:rsidP="007C59AB">
            <w:pPr>
              <w:rPr>
                <w:lang w:val="en-CA"/>
              </w:rPr>
            </w:pPr>
          </w:p>
        </w:tc>
      </w:tr>
      <w:bookmarkEnd w:id="8"/>
    </w:tbl>
    <w:p w14:paraId="7FE297AC" w14:textId="77777777" w:rsidR="003C0CC9" w:rsidRPr="00D64FCD" w:rsidRDefault="003C0CC9" w:rsidP="003C0CC9">
      <w:pPr>
        <w:rPr>
          <w:lang w:val="en-CA"/>
        </w:rPr>
        <w:sectPr w:rsidR="003C0CC9" w:rsidRPr="00D64FCD" w:rsidSect="003C0CC9">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2" w:h="15842" w:code="1"/>
          <w:pgMar w:top="1440" w:right="1008" w:bottom="1440" w:left="1872" w:header="1440" w:footer="792" w:gutter="0"/>
          <w:cols w:space="720"/>
          <w:formProt w:val="0"/>
          <w:docGrid w:linePitch="326"/>
        </w:sectPr>
      </w:pPr>
    </w:p>
    <w:tbl>
      <w:tblPr>
        <w:tblW w:w="0" w:type="auto"/>
        <w:tblLayout w:type="fixed"/>
        <w:tblCellMar>
          <w:left w:w="0" w:type="dxa"/>
          <w:right w:w="0" w:type="dxa"/>
        </w:tblCellMar>
        <w:tblLook w:val="0000" w:firstRow="0" w:lastRow="0" w:firstColumn="0" w:lastColumn="0" w:noHBand="0" w:noVBand="0"/>
      </w:tblPr>
      <w:tblGrid>
        <w:gridCol w:w="9360"/>
      </w:tblGrid>
      <w:tr w:rsidR="002C2BF3" w:rsidRPr="00D64FCD" w14:paraId="16D379CA" w14:textId="77777777" w:rsidTr="009F3CA2">
        <w:tc>
          <w:tcPr>
            <w:tcW w:w="9360" w:type="dxa"/>
            <w:tcBorders>
              <w:bottom w:val="single" w:sz="8" w:space="0" w:color="auto"/>
            </w:tcBorders>
          </w:tcPr>
          <w:p w14:paraId="32E1ADC0" w14:textId="77777777" w:rsidR="003C0CC9" w:rsidRPr="00D64FCD" w:rsidRDefault="003C0CC9" w:rsidP="009F3CA2">
            <w:pPr>
              <w:rPr>
                <w:lang w:val="en-CA"/>
              </w:rPr>
            </w:pPr>
          </w:p>
        </w:tc>
      </w:tr>
      <w:tr w:rsidR="002C2BF3" w:rsidRPr="00D64FCD" w14:paraId="31F554AF" w14:textId="77777777" w:rsidTr="009F3CA2">
        <w:tc>
          <w:tcPr>
            <w:tcW w:w="9360" w:type="dxa"/>
            <w:tcBorders>
              <w:top w:val="single" w:sz="8" w:space="0" w:color="auto"/>
            </w:tcBorders>
          </w:tcPr>
          <w:p w14:paraId="49F40875" w14:textId="77777777" w:rsidR="003C0CC9" w:rsidRPr="00D64FCD" w:rsidRDefault="003C0CC9" w:rsidP="009F3CA2">
            <w:pPr>
              <w:rPr>
                <w:lang w:val="en-CA"/>
              </w:rPr>
            </w:pPr>
          </w:p>
        </w:tc>
      </w:tr>
      <w:tr w:rsidR="002C2BF3" w:rsidRPr="00C533A5" w14:paraId="48EBF8E1" w14:textId="77777777" w:rsidTr="009F3CA2">
        <w:tc>
          <w:tcPr>
            <w:tcW w:w="9360" w:type="dxa"/>
          </w:tcPr>
          <w:p w14:paraId="2BBE91CC" w14:textId="0015C0D2" w:rsidR="003C0CC9" w:rsidRPr="00D64FCD" w:rsidRDefault="00CB4976" w:rsidP="009F3CA2">
            <w:pPr>
              <w:pStyle w:val="zSoquijlblOpinionJuge"/>
              <w:rPr>
                <w:lang w:val="en-CA"/>
              </w:rPr>
            </w:pPr>
            <w:r w:rsidRPr="00D64FCD">
              <w:rPr>
                <w:lang w:val="en-CA"/>
              </w:rPr>
              <w:t>REASONS OF</w:t>
            </w:r>
            <w:r w:rsidR="00294345" w:rsidRPr="00D64FCD">
              <w:rPr>
                <w:lang w:val="en-CA"/>
              </w:rPr>
              <w:t xml:space="preserve"> HAMILTON </w:t>
            </w:r>
            <w:r w:rsidRPr="00D64FCD">
              <w:rPr>
                <w:lang w:val="en-CA"/>
              </w:rPr>
              <w:t xml:space="preserve">AND </w:t>
            </w:r>
            <w:r w:rsidR="00294345" w:rsidRPr="00D64FCD">
              <w:rPr>
                <w:lang w:val="en-CA"/>
              </w:rPr>
              <w:t>BEAUPRÉ</w:t>
            </w:r>
            <w:r w:rsidRPr="00D64FCD">
              <w:rPr>
                <w:lang w:val="en-CA"/>
              </w:rPr>
              <w:t xml:space="preserve">, </w:t>
            </w:r>
            <w:proofErr w:type="gramStart"/>
            <w:r w:rsidRPr="00D64FCD">
              <w:rPr>
                <w:lang w:val="en-CA"/>
              </w:rPr>
              <w:t>JJ.A</w:t>
            </w:r>
            <w:proofErr w:type="gramEnd"/>
          </w:p>
        </w:tc>
      </w:tr>
      <w:tr w:rsidR="002C2BF3" w:rsidRPr="00C533A5" w14:paraId="64338176" w14:textId="77777777" w:rsidTr="009F3CA2">
        <w:tc>
          <w:tcPr>
            <w:tcW w:w="9360" w:type="dxa"/>
            <w:tcBorders>
              <w:bottom w:val="single" w:sz="8" w:space="0" w:color="auto"/>
            </w:tcBorders>
          </w:tcPr>
          <w:p w14:paraId="1FB7AB4E" w14:textId="77777777" w:rsidR="003C0CC9" w:rsidRPr="00D64FCD" w:rsidRDefault="003C0CC9" w:rsidP="009F3CA2">
            <w:pPr>
              <w:rPr>
                <w:lang w:val="en-CA"/>
              </w:rPr>
            </w:pPr>
          </w:p>
        </w:tc>
      </w:tr>
      <w:tr w:rsidR="002C2BF3" w:rsidRPr="00C533A5" w14:paraId="72166027" w14:textId="77777777" w:rsidTr="009F3CA2">
        <w:tc>
          <w:tcPr>
            <w:tcW w:w="9360" w:type="dxa"/>
            <w:tcBorders>
              <w:top w:val="single" w:sz="8" w:space="0" w:color="auto"/>
            </w:tcBorders>
          </w:tcPr>
          <w:p w14:paraId="26FA7990" w14:textId="77777777" w:rsidR="003C0CC9" w:rsidRPr="00D64FCD" w:rsidRDefault="003C0CC9" w:rsidP="009F3CA2">
            <w:pPr>
              <w:rPr>
                <w:lang w:val="en-CA"/>
              </w:rPr>
            </w:pPr>
          </w:p>
        </w:tc>
      </w:tr>
    </w:tbl>
    <w:p w14:paraId="1BE9E082" w14:textId="30D7EAE4" w:rsidR="007F4756" w:rsidRPr="00D64FCD" w:rsidRDefault="00DA4C63" w:rsidP="007F4756">
      <w:pPr>
        <w:numPr>
          <w:ilvl w:val="0"/>
          <w:numId w:val="18"/>
        </w:numPr>
        <w:spacing w:before="120" w:after="120" w:line="240" w:lineRule="auto"/>
        <w:jc w:val="both"/>
        <w:rPr>
          <w:kern w:val="28"/>
          <w:lang w:val="en-CA"/>
        </w:rPr>
      </w:pPr>
      <w:r w:rsidRPr="00D64FCD">
        <w:rPr>
          <w:kern w:val="28"/>
          <w:lang w:val="en-CA"/>
        </w:rPr>
        <w:t xml:space="preserve">We have carefully read the reasons of our colleague </w:t>
      </w:r>
      <w:r w:rsidR="00294345" w:rsidRPr="00D64FCD">
        <w:rPr>
          <w:kern w:val="28"/>
          <w:lang w:val="en-CA"/>
        </w:rPr>
        <w:t>Schrager</w:t>
      </w:r>
      <w:r w:rsidRPr="00D64FCD">
        <w:rPr>
          <w:kern w:val="28"/>
          <w:lang w:val="en-CA"/>
        </w:rPr>
        <w:t>, J</w:t>
      </w:r>
      <w:r w:rsidR="005020B1">
        <w:rPr>
          <w:kern w:val="28"/>
          <w:lang w:val="en-CA"/>
        </w:rPr>
        <w:t>.A</w:t>
      </w:r>
      <w:r w:rsidR="00294345" w:rsidRPr="00D64FCD">
        <w:rPr>
          <w:kern w:val="28"/>
          <w:lang w:val="en-CA"/>
        </w:rPr>
        <w:t>.</w:t>
      </w:r>
    </w:p>
    <w:p w14:paraId="7656A9D3" w14:textId="27E6A407" w:rsidR="007F4756" w:rsidRPr="00D64FCD" w:rsidRDefault="00DA4C63" w:rsidP="009F090A">
      <w:pPr>
        <w:numPr>
          <w:ilvl w:val="0"/>
          <w:numId w:val="18"/>
        </w:numPr>
        <w:spacing w:before="120" w:after="120" w:line="240" w:lineRule="auto"/>
        <w:jc w:val="both"/>
        <w:rPr>
          <w:kern w:val="28"/>
          <w:lang w:val="en-CA"/>
        </w:rPr>
      </w:pPr>
      <w:r w:rsidRPr="00D64FCD">
        <w:rPr>
          <w:kern w:val="28"/>
          <w:lang w:val="en-CA"/>
        </w:rPr>
        <w:t>We will not repeat his summary of the history of the dispute between the parties in this case and of parallel disputes, primarily that which resulted from the application for judicial review by the Conseil de la magistrature, the Chief Judge of the Court of Québec, the Associate Chief Judge</w:t>
      </w:r>
      <w:r w:rsidR="00BE6FD2">
        <w:rPr>
          <w:kern w:val="28"/>
          <w:lang w:val="en-CA"/>
        </w:rPr>
        <w:t>,</w:t>
      </w:r>
      <w:r w:rsidRPr="00D64FCD">
        <w:rPr>
          <w:kern w:val="28"/>
          <w:lang w:val="en-CA"/>
        </w:rPr>
        <w:t xml:space="preserve"> and the coordinating judges of this Court at the time (collectively the “Judges”) against the Attorney General of Quebec (the “AGQ”), the rights of the Minister of Justice, and the</w:t>
      </w:r>
      <w:r w:rsidR="009F090A" w:rsidRPr="00D64FCD">
        <w:rPr>
          <w:kern w:val="28"/>
          <w:lang w:val="en-CA"/>
        </w:rPr>
        <w:t xml:space="preserve"> Secretariat for the selection of candidates for judicial office </w:t>
      </w:r>
      <w:r w:rsidRPr="00D64FCD">
        <w:rPr>
          <w:kern w:val="28"/>
          <w:lang w:val="en-CA"/>
        </w:rPr>
        <w:t>(the “Council file”).</w:t>
      </w:r>
    </w:p>
    <w:p w14:paraId="75BDF23E" w14:textId="283E7CC0" w:rsidR="007F4756" w:rsidRPr="00C533A5" w:rsidRDefault="009F090A" w:rsidP="007F4756">
      <w:pPr>
        <w:numPr>
          <w:ilvl w:val="0"/>
          <w:numId w:val="18"/>
        </w:numPr>
        <w:spacing w:before="120" w:after="120" w:line="240" w:lineRule="auto"/>
        <w:jc w:val="both"/>
        <w:rPr>
          <w:kern w:val="28"/>
          <w:lang w:val="en-CA"/>
        </w:rPr>
      </w:pPr>
      <w:r w:rsidRPr="00D64FCD">
        <w:rPr>
          <w:rFonts w:cs="Arial"/>
          <w:kern w:val="28"/>
          <w:szCs w:val="24"/>
          <w:lang w:val="en-CA"/>
        </w:rPr>
        <w:t>As for the law, it is well established that judges cannot be compelled to testify as to how, on what basis</w:t>
      </w:r>
      <w:r w:rsidR="00BE6FD2">
        <w:rPr>
          <w:rFonts w:cs="Arial"/>
          <w:kern w:val="28"/>
          <w:szCs w:val="24"/>
          <w:lang w:val="en-CA"/>
        </w:rPr>
        <w:t>,</w:t>
      </w:r>
      <w:r w:rsidRPr="00D64FCD">
        <w:rPr>
          <w:rFonts w:cs="Arial"/>
          <w:kern w:val="28"/>
          <w:szCs w:val="24"/>
          <w:lang w:val="en-CA"/>
        </w:rPr>
        <w:t xml:space="preserve"> or why they rendered a particular judgment or decision, which indeed touches upon the principle of judicial independence, which comes from common law and is enshrined in paragraph</w:t>
      </w:r>
      <w:r w:rsidR="00F92FA1">
        <w:rPr>
          <w:rFonts w:cs="Arial"/>
          <w:kern w:val="28"/>
          <w:szCs w:val="24"/>
          <w:lang w:val="en-CA"/>
        </w:rPr>
        <w:t> </w:t>
      </w:r>
      <w:r w:rsidRPr="00D64FCD">
        <w:rPr>
          <w:rFonts w:cs="Arial"/>
          <w:kern w:val="28"/>
          <w:szCs w:val="24"/>
          <w:lang w:val="en-CA"/>
        </w:rPr>
        <w:t xml:space="preserve">11(d) of the </w:t>
      </w:r>
      <w:r w:rsidRPr="00D64FCD">
        <w:rPr>
          <w:rFonts w:cs="Arial"/>
          <w:i/>
          <w:iCs/>
          <w:kern w:val="28"/>
          <w:szCs w:val="24"/>
          <w:lang w:val="en-CA"/>
        </w:rPr>
        <w:t>Canadian Charter of Rights and Freedoms</w:t>
      </w:r>
      <w:r w:rsidR="00294345" w:rsidRPr="00D64FCD">
        <w:rPr>
          <w:rFonts w:cs="Arial"/>
          <w:color w:val="212529"/>
          <w:kern w:val="28"/>
          <w:szCs w:val="24"/>
          <w:shd w:val="clear" w:color="auto" w:fill="FFFFFF"/>
          <w:vertAlign w:val="superscript"/>
          <w:lang w:val="en-CA"/>
        </w:rPr>
        <w:footnoteReference w:id="38"/>
      </w:r>
      <w:r w:rsidR="00294345" w:rsidRPr="00D64FCD">
        <w:rPr>
          <w:rFonts w:cs="Arial"/>
          <w:color w:val="212529"/>
          <w:kern w:val="28"/>
          <w:szCs w:val="24"/>
          <w:shd w:val="clear" w:color="auto" w:fill="FFFFFF"/>
          <w:lang w:val="en-CA"/>
        </w:rPr>
        <w:t xml:space="preserve"> (« </w:t>
      </w:r>
      <w:r w:rsidRPr="00D64FCD">
        <w:rPr>
          <w:rFonts w:cs="Arial"/>
          <w:color w:val="212529"/>
          <w:kern w:val="28"/>
          <w:szCs w:val="24"/>
          <w:shd w:val="clear" w:color="auto" w:fill="FFFFFF"/>
          <w:lang w:val="en-CA"/>
        </w:rPr>
        <w:t>the</w:t>
      </w:r>
      <w:r w:rsidR="00294345" w:rsidRPr="00D64FCD">
        <w:rPr>
          <w:rFonts w:cs="Arial"/>
          <w:color w:val="212529"/>
          <w:kern w:val="28"/>
          <w:szCs w:val="24"/>
          <w:shd w:val="clear" w:color="auto" w:fill="FFFFFF"/>
          <w:lang w:val="en-CA"/>
        </w:rPr>
        <w:t xml:space="preserve"> </w:t>
      </w:r>
      <w:r w:rsidR="00294345" w:rsidRPr="00D64FCD">
        <w:rPr>
          <w:rFonts w:cs="Arial"/>
          <w:i/>
          <w:iCs/>
          <w:color w:val="212529"/>
          <w:kern w:val="28"/>
          <w:szCs w:val="24"/>
          <w:shd w:val="clear" w:color="auto" w:fill="FFFFFF"/>
          <w:lang w:val="en-CA"/>
        </w:rPr>
        <w:t>Charte</w:t>
      </w:r>
      <w:r w:rsidRPr="00D64FCD">
        <w:rPr>
          <w:rFonts w:cs="Arial"/>
          <w:i/>
          <w:iCs/>
          <w:color w:val="212529"/>
          <w:kern w:val="28"/>
          <w:szCs w:val="24"/>
          <w:shd w:val="clear" w:color="auto" w:fill="FFFFFF"/>
          <w:lang w:val="en-CA"/>
        </w:rPr>
        <w:t>r</w:t>
      </w:r>
      <w:r w:rsidR="00294345" w:rsidRPr="00D64FCD">
        <w:rPr>
          <w:rFonts w:cs="Arial"/>
          <w:color w:val="212529"/>
          <w:kern w:val="28"/>
          <w:szCs w:val="24"/>
          <w:shd w:val="clear" w:color="auto" w:fill="FFFFFF"/>
          <w:lang w:val="en-CA"/>
        </w:rPr>
        <w:t xml:space="preserve"> »). </w:t>
      </w:r>
      <w:r w:rsidR="00274132" w:rsidRPr="00C533A5">
        <w:rPr>
          <w:rFonts w:cs="Arial"/>
          <w:kern w:val="28"/>
          <w:szCs w:val="24"/>
          <w:shd w:val="clear" w:color="auto" w:fill="FFFFFF"/>
          <w:lang w:val="en-CA"/>
        </w:rPr>
        <w:t>This means the individual (or decisional) judicial independence that McLachlin, J. characterized as “the most sacrosanct core of judicial independence”.</w:t>
      </w:r>
      <w:bookmarkStart w:id="12" w:name="_Ref222921531"/>
      <w:r w:rsidR="00274132" w:rsidRPr="00C533A5">
        <w:rPr>
          <w:rFonts w:cs="Arial"/>
          <w:kern w:val="28"/>
          <w:szCs w:val="24"/>
          <w:shd w:val="clear" w:color="auto" w:fill="FFFFFF"/>
          <w:vertAlign w:val="superscript"/>
          <w:lang w:val="en-CA"/>
        </w:rPr>
        <w:footnoteReference w:id="39"/>
      </w:r>
      <w:bookmarkEnd w:id="12"/>
      <w:r w:rsidR="00294345" w:rsidRPr="00C533A5">
        <w:rPr>
          <w:rFonts w:cs="Arial"/>
          <w:kern w:val="28"/>
          <w:szCs w:val="24"/>
          <w:shd w:val="clear" w:color="auto" w:fill="FFFFFF"/>
          <w:lang w:val="en-CA"/>
        </w:rPr>
        <w:t xml:space="preserve"> </w:t>
      </w:r>
      <w:r w:rsidR="00274132" w:rsidRPr="00C533A5">
        <w:rPr>
          <w:rFonts w:cs="Arial"/>
          <w:kern w:val="28"/>
          <w:szCs w:val="24"/>
          <w:shd w:val="clear" w:color="auto" w:fill="FFFFFF"/>
          <w:lang w:val="en-CA"/>
        </w:rPr>
        <w:t>The other elements of so-called individual independence are security of tenure and financial security.</w:t>
      </w:r>
      <w:r w:rsidR="00274132" w:rsidRPr="00C533A5">
        <w:rPr>
          <w:rFonts w:cs="Arial"/>
          <w:kern w:val="28"/>
          <w:szCs w:val="24"/>
          <w:shd w:val="clear" w:color="auto" w:fill="FFFFFF"/>
          <w:vertAlign w:val="superscript"/>
          <w:lang w:val="en-CA"/>
        </w:rPr>
        <w:footnoteReference w:id="40"/>
      </w:r>
      <w:r w:rsidR="00294345" w:rsidRPr="00C533A5">
        <w:rPr>
          <w:rFonts w:cs="Arial"/>
          <w:kern w:val="28"/>
          <w:szCs w:val="24"/>
          <w:shd w:val="clear" w:color="auto" w:fill="FFFFFF"/>
          <w:lang w:val="en-CA"/>
        </w:rPr>
        <w:t xml:space="preserve"> </w:t>
      </w:r>
      <w:r w:rsidR="00274132" w:rsidRPr="00C533A5">
        <w:rPr>
          <w:rFonts w:cs="Arial"/>
          <w:kern w:val="28"/>
          <w:szCs w:val="24"/>
          <w:shd w:val="clear" w:color="auto" w:fill="FFFFFF"/>
          <w:lang w:val="en-CA"/>
        </w:rPr>
        <w:t>These three components of judicial independence are not at issue here.</w:t>
      </w:r>
    </w:p>
    <w:p w14:paraId="130338A0" w14:textId="636F48EF" w:rsidR="007F4756" w:rsidRPr="00D64FCD" w:rsidRDefault="00274132" w:rsidP="007F4756">
      <w:pPr>
        <w:numPr>
          <w:ilvl w:val="0"/>
          <w:numId w:val="18"/>
        </w:numPr>
        <w:spacing w:before="120" w:after="120" w:line="240" w:lineRule="auto"/>
        <w:jc w:val="both"/>
        <w:rPr>
          <w:kern w:val="28"/>
          <w:lang w:val="en-CA"/>
        </w:rPr>
      </w:pPr>
      <w:bookmarkStart w:id="13" w:name="_Ref218671494"/>
      <w:r w:rsidRPr="00C533A5">
        <w:rPr>
          <w:rFonts w:cs="Arial"/>
          <w:kern w:val="28"/>
          <w:szCs w:val="24"/>
          <w:shd w:val="clear" w:color="auto" w:fill="FFFFFF"/>
          <w:lang w:val="en-CA"/>
        </w:rPr>
        <w:t>Nor can judges be compelled to testify on certain administrative matters that “bear directly and immediately” on the exercise of judicial functions.</w:t>
      </w:r>
      <w:r w:rsidR="00294345" w:rsidRPr="00C533A5">
        <w:rPr>
          <w:rFonts w:cs="Arial"/>
          <w:kern w:val="28"/>
          <w:szCs w:val="24"/>
          <w:shd w:val="clear" w:color="auto" w:fill="FFFFFF"/>
          <w:vertAlign w:val="superscript"/>
          <w:lang w:val="en-CA"/>
        </w:rPr>
        <w:footnoteReference w:id="41"/>
      </w:r>
      <w:bookmarkEnd w:id="13"/>
      <w:r w:rsidRPr="00C533A5">
        <w:rPr>
          <w:rFonts w:cs="Arial"/>
          <w:kern w:val="28"/>
          <w:szCs w:val="24"/>
          <w:shd w:val="clear" w:color="auto" w:fill="FFFFFF"/>
          <w:lang w:val="en-CA"/>
        </w:rPr>
        <w:t xml:space="preserve"> This means administrative (or institutional) judicial independence, which is another essential condition of the principle of judicial independence</w:t>
      </w:r>
      <w:r w:rsidRPr="00D64FCD">
        <w:rPr>
          <w:rFonts w:cs="Arial"/>
          <w:color w:val="212529"/>
          <w:kern w:val="28"/>
          <w:szCs w:val="24"/>
          <w:shd w:val="clear" w:color="auto" w:fill="FFFFFF"/>
          <w:lang w:val="en-CA"/>
        </w:rPr>
        <w:t>.</w:t>
      </w:r>
    </w:p>
    <w:p w14:paraId="7DA00E97" w14:textId="3F4DE339" w:rsidR="007F4756" w:rsidRPr="00D64FCD" w:rsidRDefault="00274132" w:rsidP="007F4756">
      <w:pPr>
        <w:numPr>
          <w:ilvl w:val="0"/>
          <w:numId w:val="18"/>
        </w:numPr>
        <w:spacing w:before="120" w:after="120" w:line="240" w:lineRule="auto"/>
        <w:jc w:val="both"/>
        <w:rPr>
          <w:kern w:val="28"/>
          <w:lang w:val="en-CA"/>
        </w:rPr>
      </w:pPr>
      <w:r w:rsidRPr="00D64FCD">
        <w:rPr>
          <w:kern w:val="28"/>
          <w:lang w:val="en-CA"/>
        </w:rPr>
        <w:t xml:space="preserve">According to </w:t>
      </w:r>
      <w:r w:rsidRPr="00D64FCD">
        <w:rPr>
          <w:i/>
          <w:kern w:val="28"/>
          <w:lang w:val="en-CA"/>
        </w:rPr>
        <w:t>Valente</w:t>
      </w:r>
      <w:r w:rsidRPr="00D64FCD">
        <w:rPr>
          <w:kern w:val="28"/>
          <w:lang w:val="en-CA"/>
        </w:rPr>
        <w:t xml:space="preserve">, cited with approval by McLachlin, J. in </w:t>
      </w:r>
      <w:r w:rsidRPr="00D64FCD">
        <w:rPr>
          <w:i/>
          <w:kern w:val="28"/>
          <w:lang w:val="en-CA"/>
        </w:rPr>
        <w:t>MacKeigan</w:t>
      </w:r>
      <w:r w:rsidRPr="00D64FCD">
        <w:rPr>
          <w:kern w:val="28"/>
          <w:lang w:val="en-CA"/>
        </w:rPr>
        <w:t>, this condition is related to “assignment of judges, sittings of the court and court lists -- as well as the related matters of allocation of court rooms and direction of the administrative staff engaged in carrying out these functions”.</w:t>
      </w:r>
      <w:r w:rsidRPr="00D64FCD">
        <w:rPr>
          <w:kern w:val="28"/>
          <w:vertAlign w:val="superscript"/>
          <w:lang w:val="en-CA"/>
        </w:rPr>
        <w:footnoteReference w:id="42"/>
      </w:r>
      <w:r w:rsidR="00294345" w:rsidRPr="00D64FCD">
        <w:rPr>
          <w:kern w:val="28"/>
          <w:lang w:val="en-CA"/>
        </w:rPr>
        <w:t xml:space="preserve"> </w:t>
      </w:r>
      <w:r w:rsidR="003E083D" w:rsidRPr="00D64FCD">
        <w:rPr>
          <w:kern w:val="28"/>
          <w:lang w:val="en-CA"/>
        </w:rPr>
        <w:t xml:space="preserve">In </w:t>
      </w:r>
      <w:r w:rsidR="003E083D" w:rsidRPr="00D64FCD">
        <w:rPr>
          <w:i/>
          <w:kern w:val="28"/>
          <w:lang w:val="en-CA"/>
        </w:rPr>
        <w:t>MacKeigan</w:t>
      </w:r>
      <w:r w:rsidR="003E083D" w:rsidRPr="00D64FCD">
        <w:rPr>
          <w:kern w:val="28"/>
          <w:lang w:val="en-CA"/>
        </w:rPr>
        <w:t>, which was uncontradicted by the majority</w:t>
      </w:r>
      <w:r w:rsidR="00EC64E1" w:rsidRPr="00EC64E1">
        <w:rPr>
          <w:kern w:val="28"/>
          <w:lang w:val="en-CA"/>
        </w:rPr>
        <w:t xml:space="preserve"> </w:t>
      </w:r>
      <w:r w:rsidR="00EC64E1" w:rsidRPr="00D64FCD">
        <w:rPr>
          <w:kern w:val="28"/>
          <w:lang w:val="en-CA"/>
        </w:rPr>
        <w:t>on this point</w:t>
      </w:r>
      <w:r w:rsidR="003E083D" w:rsidRPr="00D64FCD">
        <w:rPr>
          <w:kern w:val="28"/>
          <w:lang w:val="en-CA"/>
        </w:rPr>
        <w:t xml:space="preserve">, Cory, J. stated that judicial immunity related to administrative </w:t>
      </w:r>
      <w:r w:rsidR="003E083D" w:rsidRPr="00D64FCD">
        <w:rPr>
          <w:kern w:val="28"/>
          <w:lang w:val="en-CA"/>
        </w:rPr>
        <w:lastRenderedPageBreak/>
        <w:t>independence “is not of the same fundamental importance”</w:t>
      </w:r>
      <w:r w:rsidR="003E083D" w:rsidRPr="00D64FCD">
        <w:rPr>
          <w:kern w:val="28"/>
          <w:vertAlign w:val="superscript"/>
          <w:lang w:val="en-CA"/>
        </w:rPr>
        <w:footnoteReference w:id="43"/>
      </w:r>
      <w:r w:rsidR="003E083D" w:rsidRPr="00D64FCD">
        <w:rPr>
          <w:kern w:val="28"/>
          <w:lang w:val="en-CA"/>
        </w:rPr>
        <w:t xml:space="preserve"> as that related to adju</w:t>
      </w:r>
      <w:r w:rsidR="00EA72B3">
        <w:rPr>
          <w:kern w:val="28"/>
          <w:lang w:val="en-CA"/>
        </w:rPr>
        <w:t>di</w:t>
      </w:r>
      <w:r w:rsidR="003E083D" w:rsidRPr="00D64FCD">
        <w:rPr>
          <w:kern w:val="28"/>
          <w:lang w:val="en-CA"/>
        </w:rPr>
        <w:t xml:space="preserve">cative privilege </w:t>
      </w:r>
      <w:r w:rsidR="003E083D" w:rsidRPr="00D16016">
        <w:rPr>
          <w:i/>
          <w:iCs/>
          <w:kern w:val="28"/>
          <w:lang w:val="en-CA"/>
        </w:rPr>
        <w:t>per se</w:t>
      </w:r>
      <w:r w:rsidR="003E083D" w:rsidRPr="00D64FCD">
        <w:rPr>
          <w:kern w:val="28"/>
          <w:lang w:val="en-CA"/>
        </w:rPr>
        <w:t xml:space="preserve"> (that is, the decision itself and the judge’s reasons for making it).</w:t>
      </w:r>
      <w:r w:rsidR="00294345" w:rsidRPr="00D64FCD">
        <w:rPr>
          <w:kern w:val="28"/>
          <w:lang w:val="en-CA"/>
        </w:rPr>
        <w:t xml:space="preserve"> </w:t>
      </w:r>
      <w:r w:rsidR="007A0748" w:rsidRPr="00D64FCD">
        <w:rPr>
          <w:kern w:val="28"/>
          <w:lang w:val="en-CA"/>
        </w:rPr>
        <w:t xml:space="preserve">Thus, according to the Supreme Court, judicial immunity that </w:t>
      </w:r>
      <w:r w:rsidR="00BA118A" w:rsidRPr="00D64FCD">
        <w:rPr>
          <w:kern w:val="28"/>
          <w:lang w:val="en-CA"/>
        </w:rPr>
        <w:t>touches on the adjudicative function is the core of the principle of judicial independence</w:t>
      </w:r>
      <w:r w:rsidR="00294345" w:rsidRPr="00D64FCD">
        <w:rPr>
          <w:kern w:val="28"/>
          <w:vertAlign w:val="superscript"/>
          <w:lang w:val="en-CA"/>
        </w:rPr>
        <w:footnoteReference w:id="44"/>
      </w:r>
      <w:r w:rsidR="00294345" w:rsidRPr="00D64FCD">
        <w:rPr>
          <w:kern w:val="28"/>
          <w:lang w:val="en-CA"/>
        </w:rPr>
        <w:t xml:space="preserve"> </w:t>
      </w:r>
      <w:r w:rsidR="00BA118A" w:rsidRPr="00D64FCD">
        <w:rPr>
          <w:kern w:val="28"/>
          <w:lang w:val="en-CA"/>
        </w:rPr>
        <w:t xml:space="preserve">and is absolute, whereas judicial immunity related to the </w:t>
      </w:r>
      <w:r w:rsidR="00294345" w:rsidRPr="00D64FCD">
        <w:rPr>
          <w:kern w:val="28"/>
          <w:lang w:val="en-CA"/>
        </w:rPr>
        <w:t xml:space="preserve">administration </w:t>
      </w:r>
      <w:r w:rsidR="00BA118A" w:rsidRPr="00D64FCD">
        <w:rPr>
          <w:kern w:val="28"/>
          <w:lang w:val="en-CA"/>
        </w:rPr>
        <w:t>of the court is limited.</w:t>
      </w:r>
      <w:r w:rsidR="00294345" w:rsidRPr="00D64FCD">
        <w:rPr>
          <w:kern w:val="28"/>
          <w:vertAlign w:val="superscript"/>
          <w:lang w:val="en-CA"/>
        </w:rPr>
        <w:footnoteReference w:id="45"/>
      </w:r>
    </w:p>
    <w:p w14:paraId="005CA71A" w14:textId="2A12E73D" w:rsidR="007F4756" w:rsidRPr="00D64FCD" w:rsidRDefault="00505DCF" w:rsidP="007F4756">
      <w:pPr>
        <w:numPr>
          <w:ilvl w:val="0"/>
          <w:numId w:val="18"/>
        </w:numPr>
        <w:spacing w:before="120" w:after="120" w:line="240" w:lineRule="auto"/>
        <w:jc w:val="both"/>
        <w:rPr>
          <w:kern w:val="28"/>
          <w:lang w:val="en-CA"/>
        </w:rPr>
      </w:pPr>
      <w:r w:rsidRPr="00D64FCD">
        <w:rPr>
          <w:kern w:val="28"/>
          <w:lang w:val="en-CA"/>
        </w:rPr>
        <w:t xml:space="preserve">The limits of the courts’ administrative independence are unclear. The Supreme Court’s leading cases on this aspect of judicial independence are at least 30 years old, and therefore do not </w:t>
      </w:r>
      <w:proofErr w:type="gramStart"/>
      <w:r w:rsidRPr="00D64FCD">
        <w:rPr>
          <w:kern w:val="28"/>
          <w:lang w:val="en-CA"/>
        </w:rPr>
        <w:t>take into account</w:t>
      </w:r>
      <w:proofErr w:type="gramEnd"/>
      <w:r w:rsidRPr="00D64FCD">
        <w:rPr>
          <w:kern w:val="28"/>
          <w:lang w:val="en-CA"/>
        </w:rPr>
        <w:t>, in particular, the emergence of new technologies and their use in the internal management of courts.</w:t>
      </w:r>
    </w:p>
    <w:p w14:paraId="7D8347D0" w14:textId="6AF5C4F7" w:rsidR="007F4756" w:rsidRPr="00D64FCD" w:rsidRDefault="00505DCF" w:rsidP="007F4756">
      <w:pPr>
        <w:numPr>
          <w:ilvl w:val="0"/>
          <w:numId w:val="18"/>
        </w:numPr>
        <w:spacing w:before="120" w:after="120" w:line="240" w:lineRule="auto"/>
        <w:jc w:val="both"/>
        <w:rPr>
          <w:kern w:val="28"/>
          <w:lang w:val="en-CA"/>
        </w:rPr>
      </w:pPr>
      <w:r w:rsidRPr="00D64FCD">
        <w:rPr>
          <w:kern w:val="28"/>
          <w:lang w:val="en-CA"/>
        </w:rPr>
        <w:t>That said, we find</w:t>
      </w:r>
      <w:r w:rsidR="00EA72B3">
        <w:rPr>
          <w:kern w:val="28"/>
          <w:lang w:val="en-CA"/>
        </w:rPr>
        <w:t xml:space="preserve"> </w:t>
      </w:r>
      <w:r w:rsidRPr="00D64FCD">
        <w:rPr>
          <w:kern w:val="28"/>
          <w:lang w:val="en-CA"/>
        </w:rPr>
        <w:t xml:space="preserve">it important to note that we disagree with our colleague’s conclusion that </w:t>
      </w:r>
      <w:proofErr w:type="gramStart"/>
      <w:r w:rsidR="00EA72B3">
        <w:rPr>
          <w:kern w:val="28"/>
          <w:lang w:val="en-CA"/>
        </w:rPr>
        <w:t>all of</w:t>
      </w:r>
      <w:proofErr w:type="gramEnd"/>
      <w:r w:rsidR="00EA72B3">
        <w:rPr>
          <w:kern w:val="28"/>
          <w:lang w:val="en-CA"/>
        </w:rPr>
        <w:t xml:space="preserve"> the issues addressed by the Judges in their respective affidavits are related to the administrative independence of the Court of Québec. </w:t>
      </w:r>
      <w:r w:rsidRPr="00D64FCD">
        <w:rPr>
          <w:kern w:val="28"/>
          <w:lang w:val="en-CA"/>
        </w:rPr>
        <w:t>For example, the demography of certain regions served by the Court, the distance between court houses in a region, the number of hospitals offering mental health services in some regions, and the career path of the Judges who signed are not subjects covered by administrative independence and the related judicial immunity.</w:t>
      </w:r>
      <w:r w:rsidRPr="00D64FCD">
        <w:rPr>
          <w:kern w:val="28"/>
          <w:vertAlign w:val="superscript"/>
          <w:lang w:val="en-CA"/>
        </w:rPr>
        <w:footnoteReference w:id="46"/>
      </w:r>
      <w:r w:rsidR="00294345" w:rsidRPr="00D64FCD">
        <w:rPr>
          <w:kern w:val="28"/>
          <w:lang w:val="en-CA"/>
        </w:rPr>
        <w:t xml:space="preserve"> </w:t>
      </w:r>
      <w:r w:rsidR="00D64FCD" w:rsidRPr="00D64FCD">
        <w:rPr>
          <w:kern w:val="28"/>
          <w:lang w:val="en-CA"/>
        </w:rPr>
        <w:t xml:space="preserve">It must also be borne in mind that the Court of </w:t>
      </w:r>
      <w:r w:rsidR="00294345" w:rsidRPr="00D64FCD">
        <w:rPr>
          <w:kern w:val="28"/>
          <w:lang w:val="en-CA"/>
        </w:rPr>
        <w:t xml:space="preserve">Québec </w:t>
      </w:r>
      <w:r w:rsidR="00D64FCD" w:rsidRPr="00D64FCD">
        <w:rPr>
          <w:kern w:val="28"/>
          <w:lang w:val="en-CA"/>
        </w:rPr>
        <w:t xml:space="preserve">publishes its organizational chart on its website, including the names of the coordinating judges by region and district served, and the number of judges by region or district, the number of </w:t>
      </w:r>
      <w:r w:rsidR="0053057C">
        <w:rPr>
          <w:kern w:val="28"/>
          <w:lang w:val="en-CA"/>
        </w:rPr>
        <w:t>p</w:t>
      </w:r>
      <w:r w:rsidR="0053057C" w:rsidRPr="00D64FCD">
        <w:rPr>
          <w:kern w:val="28"/>
          <w:lang w:val="en-CA"/>
        </w:rPr>
        <w:t xml:space="preserve">residing </w:t>
      </w:r>
      <w:r w:rsidR="0053057C">
        <w:rPr>
          <w:kern w:val="28"/>
          <w:lang w:val="en-CA"/>
        </w:rPr>
        <w:t>j</w:t>
      </w:r>
      <w:r w:rsidR="0053057C" w:rsidRPr="00D64FCD">
        <w:rPr>
          <w:kern w:val="28"/>
          <w:lang w:val="en-CA"/>
        </w:rPr>
        <w:t xml:space="preserve">ustices </w:t>
      </w:r>
      <w:r w:rsidR="00D64FCD" w:rsidRPr="00D64FCD">
        <w:rPr>
          <w:kern w:val="28"/>
          <w:lang w:val="en-CA"/>
        </w:rPr>
        <w:t xml:space="preserve">of the </w:t>
      </w:r>
      <w:r w:rsidR="0053057C">
        <w:rPr>
          <w:kern w:val="28"/>
          <w:lang w:val="en-CA"/>
        </w:rPr>
        <w:t>p</w:t>
      </w:r>
      <w:r w:rsidR="0053057C" w:rsidRPr="00D64FCD">
        <w:rPr>
          <w:kern w:val="28"/>
          <w:lang w:val="en-CA"/>
        </w:rPr>
        <w:t>eace</w:t>
      </w:r>
      <w:r w:rsidR="00294345" w:rsidRPr="00D64FCD">
        <w:rPr>
          <w:kern w:val="28"/>
          <w:lang w:val="en-CA"/>
        </w:rPr>
        <w:t xml:space="preserve">, </w:t>
      </w:r>
      <w:r w:rsidR="00D64FCD" w:rsidRPr="00D64FCD">
        <w:rPr>
          <w:kern w:val="28"/>
          <w:lang w:val="en-CA"/>
        </w:rPr>
        <w:t>the</w:t>
      </w:r>
      <w:r w:rsidR="00294345" w:rsidRPr="00D64FCD">
        <w:rPr>
          <w:kern w:val="28"/>
          <w:lang w:val="en-CA"/>
        </w:rPr>
        <w:t xml:space="preserve"> juri</w:t>
      </w:r>
      <w:r w:rsidR="00EA72B3">
        <w:rPr>
          <w:kern w:val="28"/>
          <w:lang w:val="en-CA"/>
        </w:rPr>
        <w:t>s</w:t>
      </w:r>
      <w:r w:rsidR="00294345" w:rsidRPr="00D64FCD">
        <w:rPr>
          <w:kern w:val="28"/>
          <w:lang w:val="en-CA"/>
        </w:rPr>
        <w:t>dictions exerc</w:t>
      </w:r>
      <w:r w:rsidR="00EA72B3">
        <w:rPr>
          <w:kern w:val="28"/>
          <w:lang w:val="en-CA"/>
        </w:rPr>
        <w:t xml:space="preserve">ised </w:t>
      </w:r>
      <w:r w:rsidR="00294345" w:rsidRPr="00D64FCD">
        <w:rPr>
          <w:kern w:val="28"/>
          <w:lang w:val="en-CA"/>
        </w:rPr>
        <w:t>(</w:t>
      </w:r>
      <w:r w:rsidR="00D64FCD" w:rsidRPr="00D64FCD">
        <w:rPr>
          <w:kern w:val="28"/>
          <w:lang w:val="en-CA"/>
        </w:rPr>
        <w:t>criminal and penal</w:t>
      </w:r>
      <w:r w:rsidR="00294345" w:rsidRPr="00D64FCD">
        <w:rPr>
          <w:kern w:val="28"/>
          <w:lang w:val="en-CA"/>
        </w:rPr>
        <w:t xml:space="preserve">, civil, </w:t>
      </w:r>
      <w:r w:rsidR="00EC64E1">
        <w:rPr>
          <w:kern w:val="28"/>
          <w:lang w:val="en-CA"/>
        </w:rPr>
        <w:t>youth</w:t>
      </w:r>
      <w:r w:rsidR="00294345" w:rsidRPr="00D64FCD">
        <w:rPr>
          <w:kern w:val="28"/>
          <w:lang w:val="en-CA"/>
        </w:rPr>
        <w:t>, profession</w:t>
      </w:r>
      <w:r w:rsidR="00D64FCD" w:rsidRPr="00D64FCD">
        <w:rPr>
          <w:kern w:val="28"/>
          <w:lang w:val="en-CA"/>
        </w:rPr>
        <w:t>al</w:t>
      </w:r>
      <w:r w:rsidR="00294345" w:rsidRPr="00D64FCD">
        <w:rPr>
          <w:kern w:val="28"/>
          <w:lang w:val="en-CA"/>
        </w:rPr>
        <w:t xml:space="preserve">, …) </w:t>
      </w:r>
      <w:r w:rsidR="00D64FCD" w:rsidRPr="00D64FCD">
        <w:rPr>
          <w:kern w:val="28"/>
          <w:lang w:val="en-CA"/>
        </w:rPr>
        <w:t>and the hearing rolls, etc.</w:t>
      </w:r>
    </w:p>
    <w:p w14:paraId="3066FFAF" w14:textId="5393E09F"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 xml:space="preserve">Furthermore, </w:t>
      </w:r>
      <w:proofErr w:type="gramStart"/>
      <w:r w:rsidRPr="00D64FCD">
        <w:rPr>
          <w:kern w:val="28"/>
          <w:lang w:val="en-CA"/>
        </w:rPr>
        <w:t>assuming that</w:t>
      </w:r>
      <w:proofErr w:type="gramEnd"/>
      <w:r w:rsidRPr="00D64FCD">
        <w:rPr>
          <w:kern w:val="28"/>
          <w:lang w:val="en-CA"/>
        </w:rPr>
        <w:t xml:space="preserve"> certain matters fall under administrative independence, it would then be necessary to question whether the Judges had the option, by subscribing to their affidavits in dispute, of waiving the constitutional protection recognized for that condition of judicial independence. If so, what is the scope of this faculty? And if</w:t>
      </w:r>
      <w:r w:rsidR="00EA72B3">
        <w:rPr>
          <w:kern w:val="28"/>
          <w:lang w:val="en-CA"/>
        </w:rPr>
        <w:t xml:space="preserve"> </w:t>
      </w:r>
      <w:r w:rsidRPr="00D64FCD">
        <w:rPr>
          <w:kern w:val="28"/>
          <w:lang w:val="en-CA"/>
        </w:rPr>
        <w:t xml:space="preserve">it were concluded </w:t>
      </w:r>
      <w:r w:rsidR="00EA72B3" w:rsidRPr="00D64FCD">
        <w:rPr>
          <w:kern w:val="28"/>
          <w:lang w:val="en-CA"/>
        </w:rPr>
        <w:t xml:space="preserve">in this case </w:t>
      </w:r>
      <w:r w:rsidRPr="00D64FCD">
        <w:rPr>
          <w:kern w:val="28"/>
          <w:lang w:val="en-CA"/>
        </w:rPr>
        <w:t>that the Judges could not waive this immunity in whole or in part given the matters covered in their statements, what is the impact of their decision to waive it nevertheless by subscribing to their affidavits in the Council case, on the one hand, and on the admissibility of those affidavits as evidence in this case, on the other? These crucial questions necessarily flow from an analysis of the question of legal impossibility, but parties have not addressed them in their briefs, on which they have not submitted observations and that the file does not allow to be dealt with effectively</w:t>
      </w:r>
      <w:r w:rsidR="00294345" w:rsidRPr="00D64FCD">
        <w:rPr>
          <w:kern w:val="28"/>
          <w:lang w:val="en-CA"/>
        </w:rPr>
        <w:t>.</w:t>
      </w:r>
    </w:p>
    <w:p w14:paraId="7A6BADDE" w14:textId="139069D9"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That said, and with respect for our colleague, in our view</w:t>
      </w:r>
      <w:r w:rsidR="00EC64E1">
        <w:rPr>
          <w:kern w:val="28"/>
          <w:lang w:val="en-CA"/>
        </w:rPr>
        <w:t>,</w:t>
      </w:r>
      <w:r w:rsidRPr="00D64FCD">
        <w:rPr>
          <w:kern w:val="28"/>
          <w:lang w:val="en-CA"/>
        </w:rPr>
        <w:t xml:space="preserve"> it is not necessary to determine all these issues related to the immunity of the Judges and the </w:t>
      </w:r>
      <w:r w:rsidR="00294345" w:rsidRPr="00D64FCD">
        <w:rPr>
          <w:i/>
          <w:iCs/>
          <w:kern w:val="28"/>
          <w:lang w:val="en-CA"/>
        </w:rPr>
        <w:t>impossibilit</w:t>
      </w:r>
      <w:r w:rsidRPr="00D64FCD">
        <w:rPr>
          <w:i/>
          <w:iCs/>
          <w:kern w:val="28"/>
          <w:lang w:val="en-CA"/>
        </w:rPr>
        <w:t>y</w:t>
      </w:r>
      <w:r w:rsidR="00294345" w:rsidRPr="00D64FCD">
        <w:rPr>
          <w:kern w:val="28"/>
          <w:lang w:val="en-CA"/>
        </w:rPr>
        <w:t xml:space="preserve"> </w:t>
      </w:r>
      <w:r w:rsidRPr="00D64FCD">
        <w:rPr>
          <w:kern w:val="28"/>
          <w:lang w:val="en-CA"/>
        </w:rPr>
        <w:t>for them to testify at the hearing within the meaning of article</w:t>
      </w:r>
      <w:r w:rsidR="00F92FA1">
        <w:rPr>
          <w:kern w:val="28"/>
          <w:lang w:val="en-CA"/>
        </w:rPr>
        <w:t> </w:t>
      </w:r>
      <w:r w:rsidR="00294345" w:rsidRPr="00D64FCD">
        <w:rPr>
          <w:kern w:val="28"/>
          <w:lang w:val="en-CA"/>
        </w:rPr>
        <w:t xml:space="preserve">2870 </w:t>
      </w:r>
      <w:r w:rsidRPr="00D16016">
        <w:rPr>
          <w:i/>
          <w:iCs/>
          <w:kern w:val="28"/>
          <w:lang w:val="en-CA"/>
        </w:rPr>
        <w:t>C</w:t>
      </w:r>
      <w:r w:rsidR="00324494">
        <w:rPr>
          <w:i/>
          <w:iCs/>
          <w:kern w:val="28"/>
          <w:lang w:val="en-CA"/>
        </w:rPr>
        <w:t>.</w:t>
      </w:r>
      <w:r w:rsidRPr="00D16016">
        <w:rPr>
          <w:i/>
          <w:iCs/>
          <w:kern w:val="28"/>
          <w:lang w:val="en-CA"/>
        </w:rPr>
        <w:t>C</w:t>
      </w:r>
      <w:r w:rsidR="00324494">
        <w:rPr>
          <w:i/>
          <w:iCs/>
          <w:kern w:val="28"/>
          <w:lang w:val="en-CA"/>
        </w:rPr>
        <w:t>.</w:t>
      </w:r>
      <w:r w:rsidRPr="00D16016">
        <w:rPr>
          <w:i/>
          <w:iCs/>
          <w:kern w:val="28"/>
          <w:lang w:val="en-CA"/>
        </w:rPr>
        <w:t>Q</w:t>
      </w:r>
      <w:r w:rsidR="00324494">
        <w:rPr>
          <w:i/>
          <w:iCs/>
          <w:kern w:val="28"/>
          <w:lang w:val="en-CA"/>
        </w:rPr>
        <w:t>.</w:t>
      </w:r>
      <w:r w:rsidRPr="00D64FCD">
        <w:rPr>
          <w:kern w:val="28"/>
          <w:lang w:val="en-CA"/>
        </w:rPr>
        <w:t xml:space="preserve">, to the extent the </w:t>
      </w:r>
      <w:r w:rsidRPr="00D64FCD">
        <w:rPr>
          <w:kern w:val="28"/>
          <w:lang w:val="en-CA"/>
        </w:rPr>
        <w:lastRenderedPageBreak/>
        <w:t xml:space="preserve">analysis of the issue of </w:t>
      </w:r>
      <w:r w:rsidR="00294345" w:rsidRPr="00D64FCD">
        <w:rPr>
          <w:i/>
          <w:iCs/>
          <w:kern w:val="28"/>
          <w:lang w:val="en-CA"/>
        </w:rPr>
        <w:t>r</w:t>
      </w:r>
      <w:r w:rsidRPr="00D64FCD">
        <w:rPr>
          <w:i/>
          <w:iCs/>
          <w:kern w:val="28"/>
          <w:lang w:val="en-CA"/>
        </w:rPr>
        <w:t>ea</w:t>
      </w:r>
      <w:r w:rsidR="00294345" w:rsidRPr="00D64FCD">
        <w:rPr>
          <w:i/>
          <w:iCs/>
          <w:kern w:val="28"/>
          <w:lang w:val="en-CA"/>
        </w:rPr>
        <w:t>sonabilit</w:t>
      </w:r>
      <w:r w:rsidRPr="00D64FCD">
        <w:rPr>
          <w:i/>
          <w:iCs/>
          <w:kern w:val="28"/>
          <w:lang w:val="en-CA"/>
        </w:rPr>
        <w:t>y</w:t>
      </w:r>
      <w:r w:rsidR="00294345" w:rsidRPr="00D64FCD">
        <w:rPr>
          <w:kern w:val="28"/>
          <w:lang w:val="en-CA"/>
        </w:rPr>
        <w:t xml:space="preserve">, </w:t>
      </w:r>
      <w:r w:rsidRPr="00D64FCD">
        <w:rPr>
          <w:kern w:val="28"/>
          <w:lang w:val="en-CA"/>
        </w:rPr>
        <w:t xml:space="preserve">within the meaning of the same provision, makes it possible to determine the outcome of the appeal. </w:t>
      </w:r>
    </w:p>
    <w:p w14:paraId="0FFA20ED" w14:textId="38AC9B99"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We now turn to the excerpts of the judgment under appeal and the judge’s conclusions on this issue.</w:t>
      </w:r>
    </w:p>
    <w:p w14:paraId="09CDE092" w14:textId="77777777" w:rsidR="007F4756" w:rsidRPr="00D64FCD" w:rsidRDefault="00294345" w:rsidP="007F4756">
      <w:pPr>
        <w:numPr>
          <w:ilvl w:val="0"/>
          <w:numId w:val="23"/>
        </w:numPr>
        <w:spacing w:before="240" w:after="60" w:line="240" w:lineRule="auto"/>
        <w:ind w:left="0" w:firstLine="0"/>
        <w:outlineLvl w:val="0"/>
        <w:rPr>
          <w:b/>
          <w:i/>
          <w:kern w:val="28"/>
          <w:lang w:val="en-CA"/>
        </w:rPr>
      </w:pPr>
      <w:r w:rsidRPr="00D64FCD">
        <w:rPr>
          <w:b/>
          <w:i/>
          <w:kern w:val="28"/>
          <w:lang w:val="en-CA"/>
        </w:rPr>
        <w:t>Judgment under appeal</w:t>
      </w:r>
    </w:p>
    <w:p w14:paraId="3A2CE48E" w14:textId="66FD5E2D" w:rsidR="007F4756" w:rsidRPr="00D64FCD" w:rsidRDefault="00D64FCD" w:rsidP="007F4756">
      <w:pPr>
        <w:numPr>
          <w:ilvl w:val="0"/>
          <w:numId w:val="18"/>
        </w:numPr>
        <w:spacing w:before="120" w:after="120" w:line="240" w:lineRule="auto"/>
        <w:jc w:val="both"/>
        <w:rPr>
          <w:kern w:val="28"/>
          <w:lang w:val="en-CA" w:eastAsia="fr-CA"/>
        </w:rPr>
      </w:pPr>
      <w:r w:rsidRPr="00D64FCD">
        <w:rPr>
          <w:kern w:val="28"/>
          <w:lang w:val="en-CA" w:eastAsia="fr-CA"/>
        </w:rPr>
        <w:t xml:space="preserve">The judge’s key reasons and conditions concerning </w:t>
      </w:r>
      <w:r w:rsidRPr="00D64FCD">
        <w:rPr>
          <w:i/>
          <w:iCs/>
          <w:kern w:val="28"/>
          <w:lang w:val="en-CA"/>
        </w:rPr>
        <w:t>reasonability</w:t>
      </w:r>
      <w:r w:rsidRPr="00D64FCD">
        <w:rPr>
          <w:kern w:val="28"/>
          <w:lang w:val="en-CA" w:eastAsia="fr-CA"/>
        </w:rPr>
        <w:t xml:space="preserve"> within the meaning of article</w:t>
      </w:r>
      <w:r w:rsidR="00F92FA1">
        <w:rPr>
          <w:kern w:val="28"/>
          <w:lang w:val="en-CA" w:eastAsia="fr-CA"/>
        </w:rPr>
        <w:t> </w:t>
      </w:r>
      <w:r w:rsidR="00294345" w:rsidRPr="00D64FCD">
        <w:rPr>
          <w:kern w:val="28"/>
          <w:lang w:val="en-CA" w:eastAsia="fr-CA"/>
        </w:rPr>
        <w:t>2870</w:t>
      </w:r>
      <w:r w:rsidRPr="00D64FCD">
        <w:rPr>
          <w:kern w:val="28"/>
          <w:lang w:val="en-CA" w:eastAsia="fr-CA"/>
        </w:rPr>
        <w:t xml:space="preserve"> </w:t>
      </w:r>
      <w:r w:rsidRPr="00D16016">
        <w:rPr>
          <w:i/>
          <w:iCs/>
          <w:kern w:val="28"/>
          <w:lang w:val="en-CA" w:eastAsia="fr-CA"/>
        </w:rPr>
        <w:t>C</w:t>
      </w:r>
      <w:r w:rsidR="00E202A0">
        <w:rPr>
          <w:i/>
          <w:iCs/>
          <w:kern w:val="28"/>
          <w:lang w:val="en-CA" w:eastAsia="fr-CA"/>
        </w:rPr>
        <w:t>.</w:t>
      </w:r>
      <w:r w:rsidRPr="00D16016">
        <w:rPr>
          <w:i/>
          <w:iCs/>
          <w:kern w:val="28"/>
          <w:lang w:val="en-CA" w:eastAsia="fr-CA"/>
        </w:rPr>
        <w:t>C</w:t>
      </w:r>
      <w:r w:rsidR="00E202A0">
        <w:rPr>
          <w:i/>
          <w:iCs/>
          <w:kern w:val="28"/>
          <w:lang w:val="en-CA" w:eastAsia="fr-CA"/>
        </w:rPr>
        <w:t>.</w:t>
      </w:r>
      <w:r w:rsidRPr="00D16016">
        <w:rPr>
          <w:i/>
          <w:iCs/>
          <w:kern w:val="28"/>
          <w:lang w:val="en-CA" w:eastAsia="fr-CA"/>
        </w:rPr>
        <w:t>Q</w:t>
      </w:r>
      <w:r w:rsidR="00E202A0">
        <w:rPr>
          <w:i/>
          <w:iCs/>
          <w:kern w:val="28"/>
          <w:lang w:val="en-CA" w:eastAsia="fr-CA"/>
        </w:rPr>
        <w:t>.</w:t>
      </w:r>
      <w:r w:rsidRPr="00D64FCD">
        <w:rPr>
          <w:kern w:val="28"/>
          <w:lang w:val="en-CA" w:eastAsia="fr-CA"/>
        </w:rPr>
        <w:t xml:space="preserve"> are the following:</w:t>
      </w:r>
    </w:p>
    <w:p w14:paraId="225FB86A" w14:textId="01EC9D65" w:rsidR="00D64FCD" w:rsidRPr="00D64FCD" w:rsidRDefault="00D64FCD" w:rsidP="00D64FCD">
      <w:pPr>
        <w:spacing w:before="120" w:after="120" w:line="240" w:lineRule="auto"/>
        <w:ind w:firstLine="720"/>
        <w:jc w:val="both"/>
        <w:rPr>
          <w:kern w:val="28"/>
          <w:lang w:val="en-CA" w:eastAsia="fr-CA"/>
        </w:rPr>
      </w:pPr>
      <w:r w:rsidRPr="00D64FCD">
        <w:rPr>
          <w:kern w:val="28"/>
          <w:lang w:val="en-CA" w:eastAsia="fr-CA"/>
        </w:rPr>
        <w:t>[</w:t>
      </w:r>
      <w:r w:rsidRPr="00D64FCD">
        <w:rPr>
          <w:smallCaps/>
          <w:kern w:val="28"/>
          <w:lang w:val="en-CA" w:eastAsia="fr-CA"/>
        </w:rPr>
        <w:t>translation</w:t>
      </w:r>
      <w:r w:rsidRPr="00D64FCD">
        <w:rPr>
          <w:kern w:val="28"/>
          <w:lang w:val="en-CA" w:eastAsia="fr-CA"/>
        </w:rPr>
        <w:t>]</w:t>
      </w:r>
    </w:p>
    <w:p w14:paraId="6748F92B" w14:textId="50496A2E" w:rsidR="007F4756" w:rsidRPr="00D64FCD" w:rsidRDefault="00294345" w:rsidP="007F4756">
      <w:pPr>
        <w:spacing w:before="120" w:after="120" w:line="240" w:lineRule="auto"/>
        <w:ind w:left="720" w:right="720"/>
        <w:jc w:val="both"/>
        <w:rPr>
          <w:b/>
          <w:bCs/>
          <w:kern w:val="24"/>
          <w:sz w:val="22"/>
          <w:lang w:val="en-CA" w:eastAsia="fr-CA"/>
        </w:rPr>
      </w:pPr>
      <w:r w:rsidRPr="00D64FCD">
        <w:rPr>
          <w:b/>
          <w:bCs/>
          <w:kern w:val="24"/>
          <w:sz w:val="22"/>
          <w:lang w:val="en-CA"/>
        </w:rPr>
        <w:t>2.3. </w:t>
      </w:r>
      <w:r w:rsidR="00D64FCD" w:rsidRPr="00D64FCD">
        <w:rPr>
          <w:b/>
          <w:bCs/>
          <w:kern w:val="24"/>
          <w:sz w:val="22"/>
          <w:lang w:val="en-CA"/>
        </w:rPr>
        <w:t>The impossibility</w:t>
      </w:r>
      <w:r w:rsidRPr="00D64FCD">
        <w:rPr>
          <w:b/>
          <w:bCs/>
          <w:kern w:val="24"/>
          <w:sz w:val="22"/>
          <w:lang w:val="en-CA"/>
        </w:rPr>
        <w:t xml:space="preserve"> </w:t>
      </w:r>
      <w:r w:rsidR="00D64FCD" w:rsidRPr="00D64FCD">
        <w:rPr>
          <w:b/>
          <w:bCs/>
          <w:kern w:val="24"/>
          <w:sz w:val="22"/>
          <w:u w:val="single"/>
          <w:lang w:val="en-CA"/>
        </w:rPr>
        <w:t>or unreasonab</w:t>
      </w:r>
      <w:r w:rsidR="001B5574">
        <w:rPr>
          <w:b/>
          <w:bCs/>
          <w:kern w:val="24"/>
          <w:sz w:val="22"/>
          <w:u w:val="single"/>
          <w:lang w:val="en-CA"/>
        </w:rPr>
        <w:t>leness</w:t>
      </w:r>
      <w:r w:rsidRPr="00D64FCD">
        <w:rPr>
          <w:b/>
          <w:bCs/>
          <w:kern w:val="24"/>
          <w:sz w:val="22"/>
          <w:lang w:val="en-CA"/>
        </w:rPr>
        <w:t xml:space="preserve"> </w:t>
      </w:r>
      <w:r w:rsidR="00D64FCD" w:rsidRPr="00D64FCD">
        <w:rPr>
          <w:b/>
          <w:bCs/>
          <w:kern w:val="24"/>
          <w:sz w:val="22"/>
          <w:lang w:val="en-CA"/>
        </w:rPr>
        <w:t>of requiring the declarant to testify at the hearing</w:t>
      </w:r>
    </w:p>
    <w:p w14:paraId="758BE1CD" w14:textId="39C128FF" w:rsidR="007F4756" w:rsidRPr="00D64FCD" w:rsidRDefault="00294345" w:rsidP="007F4756">
      <w:pPr>
        <w:spacing w:before="120" w:after="120" w:line="240" w:lineRule="auto"/>
        <w:ind w:left="720" w:right="720"/>
        <w:jc w:val="both"/>
        <w:rPr>
          <w:kern w:val="24"/>
          <w:sz w:val="22"/>
          <w:szCs w:val="24"/>
          <w:lang w:val="en-CA"/>
        </w:rPr>
      </w:pPr>
      <w:r w:rsidRPr="00D64FCD">
        <w:rPr>
          <w:kern w:val="24"/>
          <w:sz w:val="22"/>
          <w:lang w:val="en-CA"/>
        </w:rPr>
        <w:t>[</w:t>
      </w:r>
      <w:bookmarkStart w:id="14" w:name="par41"/>
      <w:r w:rsidRPr="00D64FCD">
        <w:rPr>
          <w:kern w:val="24"/>
          <w:sz w:val="22"/>
          <w:lang w:val="en-CA"/>
        </w:rPr>
        <w:t>41</w:t>
      </w:r>
      <w:bookmarkEnd w:id="14"/>
      <w:r w:rsidRPr="00D64FCD">
        <w:rPr>
          <w:kern w:val="24"/>
          <w:sz w:val="22"/>
          <w:lang w:val="en-CA"/>
        </w:rPr>
        <w:t>] </w:t>
      </w:r>
      <w:r w:rsidR="00D64FCD" w:rsidRPr="00D64FCD">
        <w:rPr>
          <w:kern w:val="24"/>
          <w:sz w:val="22"/>
          <w:lang w:val="en-CA"/>
        </w:rPr>
        <w:t xml:space="preserve">The impossibility of testifying provided in </w:t>
      </w:r>
      <w:hyperlink r:id="rId15" w:anchor="art2870_smooth" w:history="1">
        <w:r w:rsidR="007F4756" w:rsidRPr="00D64FCD">
          <w:rPr>
            <w:rFonts w:cs="Arial"/>
            <w:color w:val="000000" w:themeColor="text1"/>
            <w:kern w:val="24"/>
            <w:sz w:val="22"/>
            <w:lang w:val="en-CA"/>
          </w:rPr>
          <w:t>article</w:t>
        </w:r>
        <w:r w:rsidR="00F92FA1">
          <w:rPr>
            <w:rFonts w:cs="Arial"/>
            <w:color w:val="000000" w:themeColor="text1"/>
            <w:kern w:val="24"/>
            <w:sz w:val="22"/>
            <w:lang w:val="en-CA"/>
          </w:rPr>
          <w:t> </w:t>
        </w:r>
        <w:r w:rsidR="007F4756" w:rsidRPr="00D64FCD">
          <w:rPr>
            <w:rFonts w:cs="Arial"/>
            <w:color w:val="000000" w:themeColor="text1"/>
            <w:kern w:val="24"/>
            <w:sz w:val="22"/>
            <w:lang w:val="en-CA"/>
          </w:rPr>
          <w:t>2870</w:t>
        </w:r>
      </w:hyperlink>
      <w:r w:rsidRPr="00D64FCD">
        <w:rPr>
          <w:color w:val="000000" w:themeColor="text1"/>
          <w:kern w:val="24"/>
          <w:sz w:val="22"/>
          <w:lang w:val="en-CA"/>
        </w:rPr>
        <w:t> </w:t>
      </w:r>
      <w:hyperlink r:id="rId16" w:history="1">
        <w:r w:rsidR="00D64FCD" w:rsidRPr="00D16016">
          <w:rPr>
            <w:rFonts w:cs="Arial"/>
            <w:i/>
            <w:iCs/>
            <w:color w:val="000000" w:themeColor="text1"/>
            <w:kern w:val="24"/>
            <w:sz w:val="22"/>
            <w:lang w:val="en-CA"/>
          </w:rPr>
          <w:t>C</w:t>
        </w:r>
        <w:r w:rsidR="00C60A2E" w:rsidRPr="00D16016">
          <w:rPr>
            <w:rFonts w:cs="Arial"/>
            <w:i/>
            <w:iCs/>
            <w:color w:val="000000" w:themeColor="text1"/>
            <w:kern w:val="24"/>
            <w:sz w:val="22"/>
            <w:lang w:val="en-CA"/>
          </w:rPr>
          <w:t>.</w:t>
        </w:r>
        <w:r w:rsidR="00D64FCD" w:rsidRPr="00D16016">
          <w:rPr>
            <w:rFonts w:cs="Arial"/>
            <w:i/>
            <w:iCs/>
            <w:color w:val="000000" w:themeColor="text1"/>
            <w:kern w:val="24"/>
            <w:sz w:val="22"/>
            <w:lang w:val="en-CA"/>
          </w:rPr>
          <w:t>C</w:t>
        </w:r>
        <w:r w:rsidR="00C60A2E" w:rsidRPr="00D16016">
          <w:rPr>
            <w:rFonts w:cs="Arial"/>
            <w:i/>
            <w:iCs/>
            <w:color w:val="000000" w:themeColor="text1"/>
            <w:kern w:val="24"/>
            <w:sz w:val="22"/>
            <w:lang w:val="en-CA"/>
          </w:rPr>
          <w:t>.</w:t>
        </w:r>
        <w:r w:rsidR="00D64FCD" w:rsidRPr="00D16016">
          <w:rPr>
            <w:rFonts w:cs="Arial"/>
            <w:i/>
            <w:iCs/>
            <w:color w:val="000000" w:themeColor="text1"/>
            <w:kern w:val="24"/>
            <w:sz w:val="22"/>
            <w:lang w:val="en-CA"/>
          </w:rPr>
          <w:t>Q</w:t>
        </w:r>
      </w:hyperlink>
      <w:r w:rsidR="00C60A2E" w:rsidRPr="00D16016">
        <w:rPr>
          <w:i/>
          <w:iCs/>
          <w:lang w:val="en-CA"/>
        </w:rPr>
        <w:t>.</w:t>
      </w:r>
      <w:r w:rsidRPr="00D64FCD">
        <w:rPr>
          <w:color w:val="000000" w:themeColor="text1"/>
          <w:kern w:val="24"/>
          <w:sz w:val="22"/>
          <w:lang w:val="en-CA"/>
        </w:rPr>
        <w:t> </w:t>
      </w:r>
      <w:proofErr w:type="gramStart"/>
      <w:r w:rsidR="00D64FCD" w:rsidRPr="00D64FCD">
        <w:rPr>
          <w:color w:val="000000" w:themeColor="text1"/>
          <w:kern w:val="24"/>
          <w:sz w:val="22"/>
          <w:lang w:val="en-CA"/>
        </w:rPr>
        <w:t>generally</w:t>
      </w:r>
      <w:proofErr w:type="gramEnd"/>
      <w:r w:rsidR="00D64FCD" w:rsidRPr="00D64FCD">
        <w:rPr>
          <w:color w:val="000000" w:themeColor="text1"/>
          <w:kern w:val="24"/>
          <w:sz w:val="22"/>
          <w:lang w:val="en-CA"/>
        </w:rPr>
        <w:t xml:space="preserve"> refers to cases of death, illness, incapacity, or another situation preventing the declarant from testifying at the hearing. Legal impossibility is also a valid reason when the law authorizes a witness to refuse to testify. </w:t>
      </w:r>
      <w:r w:rsidR="00D64FCD" w:rsidRPr="00D64FCD">
        <w:rPr>
          <w:color w:val="000000" w:themeColor="text1"/>
          <w:kern w:val="24"/>
          <w:sz w:val="22"/>
          <w:u w:val="single"/>
          <w:lang w:val="en-CA"/>
        </w:rPr>
        <w:t xml:space="preserve">Last, this provision also provides for situations where it would be unreasonable to require the witness to </w:t>
      </w:r>
      <w:r w:rsidR="00D64FCD" w:rsidRPr="00D16016">
        <w:rPr>
          <w:color w:val="000000" w:themeColor="text1"/>
          <w:kern w:val="24"/>
          <w:sz w:val="22"/>
          <w:u w:val="single"/>
          <w:lang w:val="en-CA"/>
        </w:rPr>
        <w:t>appear</w:t>
      </w:r>
      <w:r w:rsidR="00D64FCD" w:rsidRPr="00D64FCD">
        <w:rPr>
          <w:color w:val="000000" w:themeColor="text1"/>
          <w:kern w:val="24"/>
          <w:sz w:val="22"/>
          <w:lang w:val="en-CA"/>
        </w:rPr>
        <w:t>.</w:t>
      </w:r>
    </w:p>
    <w:p w14:paraId="126266FE" w14:textId="77777777" w:rsidR="007F4756" w:rsidRPr="00D64FCD" w:rsidRDefault="00294345" w:rsidP="007F4756">
      <w:pPr>
        <w:spacing w:before="120" w:after="120" w:line="240" w:lineRule="auto"/>
        <w:ind w:left="720" w:right="720"/>
        <w:jc w:val="both"/>
        <w:rPr>
          <w:kern w:val="24"/>
          <w:sz w:val="22"/>
          <w:lang w:val="en-CA"/>
        </w:rPr>
      </w:pPr>
      <w:r w:rsidRPr="00D64FCD">
        <w:rPr>
          <w:kern w:val="24"/>
          <w:sz w:val="22"/>
          <w:lang w:val="en-CA"/>
        </w:rPr>
        <w:t>[</w:t>
      </w:r>
      <w:bookmarkStart w:id="15" w:name="par42"/>
      <w:r w:rsidRPr="00D64FCD">
        <w:rPr>
          <w:kern w:val="24"/>
          <w:sz w:val="22"/>
          <w:lang w:val="en-CA"/>
        </w:rPr>
        <w:t>42</w:t>
      </w:r>
      <w:bookmarkEnd w:id="15"/>
      <w:r w:rsidRPr="00D64FCD">
        <w:rPr>
          <w:kern w:val="24"/>
          <w:sz w:val="22"/>
          <w:lang w:val="en-CA"/>
        </w:rPr>
        <w:t>] […].</w:t>
      </w:r>
    </w:p>
    <w:p w14:paraId="6415D8F1" w14:textId="2112CF1F" w:rsidR="007F4756" w:rsidRPr="00D64FCD" w:rsidRDefault="00294345" w:rsidP="007F4756">
      <w:pPr>
        <w:spacing w:before="120" w:after="120" w:line="240" w:lineRule="auto"/>
        <w:ind w:left="720" w:right="720"/>
        <w:jc w:val="both"/>
        <w:rPr>
          <w:kern w:val="24"/>
          <w:sz w:val="22"/>
          <w:lang w:val="en-CA"/>
        </w:rPr>
      </w:pPr>
      <w:r w:rsidRPr="00D64FCD">
        <w:rPr>
          <w:kern w:val="24"/>
          <w:sz w:val="22"/>
          <w:lang w:val="en-CA"/>
        </w:rPr>
        <w:t>[</w:t>
      </w:r>
      <w:bookmarkStart w:id="16" w:name="par43"/>
      <w:r w:rsidRPr="00D64FCD">
        <w:rPr>
          <w:kern w:val="24"/>
          <w:sz w:val="22"/>
          <w:lang w:val="en-CA"/>
        </w:rPr>
        <w:t>43</w:t>
      </w:r>
      <w:bookmarkEnd w:id="16"/>
      <w:r w:rsidRPr="00D64FCD">
        <w:rPr>
          <w:kern w:val="24"/>
          <w:sz w:val="22"/>
          <w:lang w:val="en-CA"/>
        </w:rPr>
        <w:t>] </w:t>
      </w:r>
      <w:r w:rsidR="00D64FCD" w:rsidRPr="00D64FCD">
        <w:rPr>
          <w:kern w:val="24"/>
          <w:sz w:val="22"/>
          <w:lang w:val="en-CA"/>
        </w:rPr>
        <w:t xml:space="preserve">Even if they could be compelled to testify on the facts set out in their respective </w:t>
      </w:r>
      <w:r w:rsidR="00D60695">
        <w:rPr>
          <w:kern w:val="24"/>
          <w:sz w:val="22"/>
          <w:lang w:val="en-CA"/>
        </w:rPr>
        <w:t>affidavits</w:t>
      </w:r>
      <w:r w:rsidR="00D64FCD" w:rsidRPr="00D64FCD">
        <w:rPr>
          <w:kern w:val="24"/>
          <w:sz w:val="22"/>
          <w:lang w:val="en-CA"/>
        </w:rPr>
        <w:t xml:space="preserve">, </w:t>
      </w:r>
      <w:r w:rsidR="00D64FCD" w:rsidRPr="00D64FCD">
        <w:rPr>
          <w:kern w:val="24"/>
          <w:sz w:val="22"/>
          <w:u w:val="single"/>
          <w:lang w:val="en-CA"/>
        </w:rPr>
        <w:t>it appears unreasonable to require them to appear to repeat the content of evidence that had already been explained in the affidavits and about which the AGQ had the opportunity to ask questions in the context of the CMQ hearing</w:t>
      </w:r>
      <w:bookmarkStart w:id="17" w:name="_Hlk208927216"/>
      <w:r w:rsidR="00D64FCD" w:rsidRPr="00D64FCD">
        <w:rPr>
          <w:kern w:val="24"/>
          <w:sz w:val="22"/>
          <w:lang w:val="en-CA"/>
        </w:rPr>
        <w:t>.</w:t>
      </w:r>
    </w:p>
    <w:bookmarkEnd w:id="17"/>
    <w:p w14:paraId="35307802" w14:textId="77777777" w:rsidR="007F4756" w:rsidRPr="00D64FCD" w:rsidRDefault="00294345" w:rsidP="007F4756">
      <w:pPr>
        <w:spacing w:before="120" w:after="120" w:line="240" w:lineRule="auto"/>
        <w:ind w:left="720" w:right="720"/>
        <w:jc w:val="both"/>
        <w:rPr>
          <w:kern w:val="24"/>
          <w:sz w:val="22"/>
          <w:lang w:val="en-CA"/>
        </w:rPr>
      </w:pPr>
      <w:r w:rsidRPr="00D64FCD">
        <w:rPr>
          <w:kern w:val="24"/>
          <w:sz w:val="22"/>
          <w:lang w:val="en-CA"/>
        </w:rPr>
        <w:t>[…]</w:t>
      </w:r>
    </w:p>
    <w:p w14:paraId="1F78B221" w14:textId="2B7B5588" w:rsidR="007F4756" w:rsidRPr="00D64FCD" w:rsidRDefault="00294345" w:rsidP="007F4756">
      <w:pPr>
        <w:spacing w:before="120" w:after="120" w:line="240" w:lineRule="auto"/>
        <w:ind w:left="720" w:right="720"/>
        <w:jc w:val="both"/>
        <w:rPr>
          <w:b/>
          <w:bCs/>
          <w:kern w:val="24"/>
          <w:sz w:val="22"/>
          <w:lang w:val="en-CA" w:eastAsia="fr-CA"/>
        </w:rPr>
      </w:pPr>
      <w:r w:rsidRPr="00D64FCD">
        <w:rPr>
          <w:b/>
          <w:bCs/>
          <w:kern w:val="24"/>
          <w:sz w:val="22"/>
          <w:lang w:val="en-CA"/>
        </w:rPr>
        <w:t>2.6. Analys</w:t>
      </w:r>
      <w:r w:rsidR="00D64FCD" w:rsidRPr="00D64FCD">
        <w:rPr>
          <w:b/>
          <w:bCs/>
          <w:kern w:val="24"/>
          <w:sz w:val="22"/>
          <w:lang w:val="en-CA"/>
        </w:rPr>
        <w:t>is of the</w:t>
      </w:r>
      <w:r w:rsidRPr="00D64FCD">
        <w:rPr>
          <w:b/>
          <w:bCs/>
          <w:kern w:val="24"/>
          <w:sz w:val="22"/>
          <w:lang w:val="en-CA"/>
        </w:rPr>
        <w:t xml:space="preserve"> documents</w:t>
      </w:r>
    </w:p>
    <w:p w14:paraId="745667D0" w14:textId="1E48584D" w:rsidR="007F4756" w:rsidRPr="00D64FCD" w:rsidRDefault="00294345" w:rsidP="007F4756">
      <w:pPr>
        <w:spacing w:before="120" w:after="120" w:line="240" w:lineRule="auto"/>
        <w:ind w:left="720" w:right="720"/>
        <w:jc w:val="both"/>
        <w:rPr>
          <w:kern w:val="24"/>
          <w:szCs w:val="24"/>
          <w:lang w:val="en-CA"/>
        </w:rPr>
      </w:pPr>
      <w:r w:rsidRPr="00D64FCD">
        <w:rPr>
          <w:kern w:val="24"/>
          <w:sz w:val="22"/>
          <w:lang w:val="en-CA"/>
        </w:rPr>
        <w:t>[</w:t>
      </w:r>
      <w:bookmarkStart w:id="18" w:name="par50"/>
      <w:r w:rsidRPr="00D64FCD">
        <w:rPr>
          <w:kern w:val="24"/>
          <w:sz w:val="22"/>
          <w:lang w:val="en-CA"/>
        </w:rPr>
        <w:t>50</w:t>
      </w:r>
      <w:bookmarkEnd w:id="18"/>
      <w:r w:rsidRPr="00D64FCD">
        <w:rPr>
          <w:kern w:val="24"/>
          <w:sz w:val="22"/>
          <w:lang w:val="en-CA"/>
        </w:rPr>
        <w:t>] </w:t>
      </w:r>
      <w:r w:rsidR="00D64FCD" w:rsidRPr="00D64FCD">
        <w:rPr>
          <w:kern w:val="24"/>
          <w:sz w:val="22"/>
          <w:lang w:val="en-CA"/>
        </w:rPr>
        <w:t>After analyzing the documents submitt</w:t>
      </w:r>
      <w:r w:rsidR="00EC64E1">
        <w:rPr>
          <w:kern w:val="24"/>
          <w:sz w:val="22"/>
          <w:lang w:val="en-CA"/>
        </w:rPr>
        <w:t>ed</w:t>
      </w:r>
      <w:r w:rsidR="00D64FCD" w:rsidRPr="00D64FCD">
        <w:rPr>
          <w:kern w:val="24"/>
          <w:sz w:val="22"/>
          <w:lang w:val="en-CA"/>
        </w:rPr>
        <w:t xml:space="preserve"> and for the reasons given above, the Court authorizes the filing in lieu of testimony of the affidavits of the </w:t>
      </w:r>
      <w:r w:rsidR="00020FC8">
        <w:rPr>
          <w:kern w:val="24"/>
          <w:sz w:val="22"/>
          <w:lang w:val="en-CA"/>
        </w:rPr>
        <w:t>c</w:t>
      </w:r>
      <w:r w:rsidR="00020FC8" w:rsidRPr="00D64FCD">
        <w:rPr>
          <w:kern w:val="24"/>
          <w:sz w:val="22"/>
          <w:lang w:val="en-CA"/>
        </w:rPr>
        <w:t xml:space="preserve">hief </w:t>
      </w:r>
      <w:r w:rsidR="00020FC8">
        <w:rPr>
          <w:kern w:val="24"/>
          <w:sz w:val="22"/>
          <w:lang w:val="en-CA"/>
        </w:rPr>
        <w:t>j</w:t>
      </w:r>
      <w:r w:rsidR="00020FC8" w:rsidRPr="00D64FCD">
        <w:rPr>
          <w:kern w:val="24"/>
          <w:sz w:val="22"/>
          <w:lang w:val="en-CA"/>
        </w:rPr>
        <w:t xml:space="preserve">udges </w:t>
      </w:r>
      <w:r w:rsidR="00D64FCD" w:rsidRPr="00D64FCD">
        <w:rPr>
          <w:kern w:val="24"/>
          <w:sz w:val="22"/>
          <w:lang w:val="en-CA"/>
        </w:rPr>
        <w:t xml:space="preserve">and </w:t>
      </w:r>
      <w:r w:rsidR="00020FC8">
        <w:rPr>
          <w:kern w:val="24"/>
          <w:sz w:val="22"/>
          <w:lang w:val="en-CA"/>
        </w:rPr>
        <w:t>c</w:t>
      </w:r>
      <w:r w:rsidR="00020FC8" w:rsidRPr="00D64FCD">
        <w:rPr>
          <w:kern w:val="24"/>
          <w:sz w:val="22"/>
          <w:lang w:val="en-CA"/>
        </w:rPr>
        <w:t xml:space="preserve">oordinating </w:t>
      </w:r>
      <w:r w:rsidR="00020FC8">
        <w:rPr>
          <w:kern w:val="24"/>
          <w:sz w:val="22"/>
          <w:lang w:val="en-CA"/>
        </w:rPr>
        <w:t>j</w:t>
      </w:r>
      <w:r w:rsidR="00020FC8" w:rsidRPr="00D64FCD">
        <w:rPr>
          <w:kern w:val="24"/>
          <w:sz w:val="22"/>
          <w:lang w:val="en-CA"/>
        </w:rPr>
        <w:t xml:space="preserve">udges </w:t>
      </w:r>
      <w:r w:rsidR="00D64FCD" w:rsidRPr="00D64FCD">
        <w:rPr>
          <w:kern w:val="24"/>
          <w:sz w:val="22"/>
          <w:lang w:val="en-CA"/>
        </w:rPr>
        <w:t xml:space="preserve">and the supporting exhibits. Beyond their relevance to the description of the possible impacts that the impugned provisions would have on the administration of the judicial function of the Court of Québec and services to the public, these </w:t>
      </w:r>
      <w:r w:rsidR="00020FC8">
        <w:rPr>
          <w:kern w:val="24"/>
          <w:sz w:val="22"/>
          <w:lang w:val="en-CA"/>
        </w:rPr>
        <w:t>affidavits</w:t>
      </w:r>
      <w:r w:rsidR="00020FC8" w:rsidRPr="00D64FCD">
        <w:rPr>
          <w:kern w:val="24"/>
          <w:sz w:val="22"/>
          <w:lang w:val="en-CA"/>
        </w:rPr>
        <w:t xml:space="preserve"> </w:t>
      </w:r>
      <w:r w:rsidR="00D64FCD" w:rsidRPr="00D64FCD">
        <w:rPr>
          <w:kern w:val="24"/>
          <w:sz w:val="22"/>
          <w:lang w:val="en-CA"/>
        </w:rPr>
        <w:t>satisfy the criteria of necessity and reliability recognized in the case law.</w:t>
      </w:r>
    </w:p>
    <w:p w14:paraId="31D98FDF" w14:textId="0FAF6FEA" w:rsidR="007F4756" w:rsidRPr="00D64FCD" w:rsidRDefault="00294345" w:rsidP="007F4756">
      <w:pPr>
        <w:spacing w:before="120" w:after="120" w:line="240" w:lineRule="auto"/>
        <w:ind w:left="720" w:right="720"/>
        <w:jc w:val="both"/>
        <w:rPr>
          <w:kern w:val="24"/>
          <w:lang w:val="en-CA" w:eastAsia="fr-CA"/>
        </w:rPr>
      </w:pPr>
      <w:r w:rsidRPr="00D64FCD">
        <w:rPr>
          <w:kern w:val="24"/>
          <w:sz w:val="22"/>
          <w:lang w:val="en-CA"/>
        </w:rPr>
        <w:t>[</w:t>
      </w:r>
      <w:bookmarkStart w:id="19" w:name="par51"/>
      <w:r w:rsidRPr="00D64FCD">
        <w:rPr>
          <w:kern w:val="24"/>
          <w:sz w:val="22"/>
          <w:lang w:val="en-CA"/>
        </w:rPr>
        <w:t>51</w:t>
      </w:r>
      <w:bookmarkEnd w:id="19"/>
      <w:r w:rsidRPr="00D64FCD">
        <w:rPr>
          <w:kern w:val="24"/>
          <w:sz w:val="22"/>
          <w:lang w:val="en-CA"/>
        </w:rPr>
        <w:t>] </w:t>
      </w:r>
      <w:r w:rsidR="00D64FCD" w:rsidRPr="00D64FCD">
        <w:rPr>
          <w:kern w:val="24"/>
          <w:sz w:val="22"/>
          <w:u w:val="single"/>
          <w:lang w:val="en-CA"/>
        </w:rPr>
        <w:t xml:space="preserve">Authorization is not granted with respect to the </w:t>
      </w:r>
      <w:r w:rsidR="00020FC8">
        <w:rPr>
          <w:kern w:val="24"/>
          <w:sz w:val="22"/>
          <w:u w:val="single"/>
          <w:lang w:val="en-CA"/>
        </w:rPr>
        <w:t>affidavit</w:t>
      </w:r>
      <w:r w:rsidR="00020FC8" w:rsidRPr="00D64FCD">
        <w:rPr>
          <w:kern w:val="24"/>
          <w:sz w:val="22"/>
          <w:u w:val="single"/>
          <w:lang w:val="en-CA"/>
        </w:rPr>
        <w:t xml:space="preserve"> </w:t>
      </w:r>
      <w:r w:rsidR="00D64FCD" w:rsidRPr="00D64FCD">
        <w:rPr>
          <w:kern w:val="24"/>
          <w:sz w:val="22"/>
          <w:u w:val="single"/>
          <w:lang w:val="en-CA"/>
        </w:rPr>
        <w:t xml:space="preserve">of </w:t>
      </w:r>
      <w:r w:rsidRPr="00D64FCD">
        <w:rPr>
          <w:kern w:val="24"/>
          <w:sz w:val="22"/>
          <w:u w:val="single"/>
          <w:lang w:val="en-CA"/>
        </w:rPr>
        <w:t xml:space="preserve">Johanne </w:t>
      </w:r>
      <w:proofErr w:type="spellStart"/>
      <w:r w:rsidRPr="00D64FCD">
        <w:rPr>
          <w:kern w:val="24"/>
          <w:sz w:val="22"/>
          <w:u w:val="single"/>
          <w:lang w:val="en-CA"/>
        </w:rPr>
        <w:t>Carrière</w:t>
      </w:r>
      <w:proofErr w:type="spellEnd"/>
      <w:r w:rsidRPr="00D64FCD">
        <w:rPr>
          <w:kern w:val="24"/>
          <w:sz w:val="22"/>
          <w:u w:val="single"/>
          <w:lang w:val="en-CA"/>
        </w:rPr>
        <w:t xml:space="preserve"> </w:t>
      </w:r>
      <w:r w:rsidR="00D64FCD" w:rsidRPr="00D64FCD">
        <w:rPr>
          <w:kern w:val="24"/>
          <w:sz w:val="22"/>
          <w:u w:val="single"/>
          <w:lang w:val="en-CA"/>
        </w:rPr>
        <w:t>and the exhibits in support thereof</w:t>
      </w:r>
      <w:r w:rsidRPr="00D64FCD">
        <w:rPr>
          <w:kern w:val="24"/>
          <w:sz w:val="22"/>
          <w:lang w:val="en-CA"/>
        </w:rPr>
        <w:t xml:space="preserve">. </w:t>
      </w:r>
      <w:r w:rsidR="00D64FCD" w:rsidRPr="00D64FCD">
        <w:rPr>
          <w:kern w:val="24"/>
          <w:sz w:val="22"/>
          <w:lang w:val="en-CA"/>
        </w:rPr>
        <w:t xml:space="preserve">That </w:t>
      </w:r>
      <w:r w:rsidR="00020FC8">
        <w:rPr>
          <w:kern w:val="24"/>
          <w:sz w:val="22"/>
          <w:lang w:val="en-CA"/>
        </w:rPr>
        <w:t>affidavit</w:t>
      </w:r>
      <w:r w:rsidR="00020FC8" w:rsidRPr="00D64FCD">
        <w:rPr>
          <w:kern w:val="24"/>
          <w:sz w:val="22"/>
          <w:lang w:val="en-CA"/>
        </w:rPr>
        <w:t xml:space="preserve"> </w:t>
      </w:r>
      <w:r w:rsidRPr="00D64FCD">
        <w:rPr>
          <w:kern w:val="24"/>
          <w:sz w:val="22"/>
          <w:lang w:val="en-CA"/>
        </w:rPr>
        <w:t xml:space="preserve">(EMSB-58) </w:t>
      </w:r>
      <w:r w:rsidR="00D64FCD" w:rsidRPr="00D64FCD">
        <w:rPr>
          <w:kern w:val="24"/>
          <w:sz w:val="22"/>
          <w:lang w:val="en-CA"/>
        </w:rPr>
        <w:t>essentially concerns the method she used to correct the data init</w:t>
      </w:r>
      <w:r w:rsidR="00EC64E1">
        <w:rPr>
          <w:kern w:val="24"/>
          <w:sz w:val="22"/>
          <w:lang w:val="en-CA"/>
        </w:rPr>
        <w:t>i</w:t>
      </w:r>
      <w:r w:rsidR="00D64FCD" w:rsidRPr="00D64FCD">
        <w:rPr>
          <w:kern w:val="24"/>
          <w:sz w:val="22"/>
          <w:lang w:val="en-CA"/>
        </w:rPr>
        <w:t xml:space="preserve">ally collected by the Court of </w:t>
      </w:r>
      <w:r w:rsidRPr="00D64FCD">
        <w:rPr>
          <w:kern w:val="24"/>
          <w:sz w:val="22"/>
          <w:lang w:val="en-CA"/>
        </w:rPr>
        <w:t xml:space="preserve">Québec </w:t>
      </w:r>
      <w:r w:rsidR="00D64FCD" w:rsidRPr="00D64FCD">
        <w:rPr>
          <w:kern w:val="24"/>
          <w:sz w:val="22"/>
          <w:lang w:val="en-CA"/>
        </w:rPr>
        <w:t xml:space="preserve">concerning the use of English by judges in certain coordinating regions </w:t>
      </w:r>
      <w:r w:rsidRPr="00D64FCD">
        <w:rPr>
          <w:kern w:val="24"/>
          <w:sz w:val="22"/>
          <w:lang w:val="en-CA"/>
        </w:rPr>
        <w:t xml:space="preserve">(EMSB-57). </w:t>
      </w:r>
      <w:r w:rsidR="00D64FCD" w:rsidRPr="00D64FCD">
        <w:rPr>
          <w:kern w:val="24"/>
          <w:sz w:val="22"/>
          <w:lang w:val="en-CA"/>
        </w:rPr>
        <w:t xml:space="preserve">That exercise was based on various documents, that is, the judges’ answers </w:t>
      </w:r>
      <w:r w:rsidR="00D64FCD" w:rsidRPr="00D64FCD">
        <w:rPr>
          <w:kern w:val="24"/>
          <w:sz w:val="22"/>
          <w:lang w:val="en-CA"/>
        </w:rPr>
        <w:lastRenderedPageBreak/>
        <w:t xml:space="preserve">to questionnaires </w:t>
      </w:r>
      <w:r w:rsidRPr="00D64FCD">
        <w:rPr>
          <w:kern w:val="24"/>
          <w:sz w:val="22"/>
          <w:lang w:val="en-CA"/>
        </w:rPr>
        <w:t xml:space="preserve">(EMSB-59 </w:t>
      </w:r>
      <w:r w:rsidR="009043AB">
        <w:rPr>
          <w:kern w:val="24"/>
          <w:sz w:val="22"/>
          <w:lang w:val="en-CA"/>
        </w:rPr>
        <w:t>and</w:t>
      </w:r>
      <w:r w:rsidR="009043AB" w:rsidRPr="00D64FCD">
        <w:rPr>
          <w:kern w:val="24"/>
          <w:sz w:val="22"/>
          <w:lang w:val="en-CA"/>
        </w:rPr>
        <w:t xml:space="preserve"> </w:t>
      </w:r>
      <w:r w:rsidRPr="00D64FCD">
        <w:rPr>
          <w:kern w:val="24"/>
          <w:sz w:val="22"/>
          <w:lang w:val="en-CA"/>
        </w:rPr>
        <w:t xml:space="preserve">EMSB-60) </w:t>
      </w:r>
      <w:r w:rsidR="00D64FCD" w:rsidRPr="00D64FCD">
        <w:rPr>
          <w:kern w:val="24"/>
          <w:sz w:val="22"/>
          <w:lang w:val="en-CA"/>
        </w:rPr>
        <w:t xml:space="preserve">and the files related to the </w:t>
      </w:r>
      <w:r w:rsidRPr="00D64FCD">
        <w:rPr>
          <w:kern w:val="24"/>
          <w:sz w:val="22"/>
          <w:lang w:val="en-CA"/>
        </w:rPr>
        <w:t>assignation</w:t>
      </w:r>
      <w:r w:rsidR="00D64FCD" w:rsidRPr="00D64FCD">
        <w:rPr>
          <w:kern w:val="24"/>
          <w:sz w:val="22"/>
          <w:lang w:val="en-CA"/>
        </w:rPr>
        <w:t xml:space="preserve"> of judges</w:t>
      </w:r>
      <w:r w:rsidRPr="00D64FCD">
        <w:rPr>
          <w:kern w:val="24"/>
          <w:sz w:val="22"/>
          <w:lang w:val="en-CA"/>
        </w:rPr>
        <w:t xml:space="preserve"> (EMSB-61 </w:t>
      </w:r>
      <w:r w:rsidR="009043AB">
        <w:rPr>
          <w:kern w:val="24"/>
          <w:sz w:val="22"/>
          <w:lang w:val="en-CA"/>
        </w:rPr>
        <w:t>and</w:t>
      </w:r>
      <w:r w:rsidR="009043AB" w:rsidRPr="00D64FCD">
        <w:rPr>
          <w:kern w:val="24"/>
          <w:sz w:val="22"/>
          <w:lang w:val="en-CA"/>
        </w:rPr>
        <w:t xml:space="preserve"> </w:t>
      </w:r>
      <w:r w:rsidRPr="00D64FCD">
        <w:rPr>
          <w:kern w:val="24"/>
          <w:sz w:val="22"/>
          <w:lang w:val="en-CA"/>
        </w:rPr>
        <w:t>EMSB-62).</w:t>
      </w:r>
    </w:p>
    <w:p w14:paraId="02713ADA" w14:textId="586529FD" w:rsidR="007F4756" w:rsidRPr="00D64FCD" w:rsidRDefault="00294345" w:rsidP="007F4756">
      <w:pPr>
        <w:spacing w:before="120" w:after="120" w:line="240" w:lineRule="auto"/>
        <w:ind w:left="720" w:right="720"/>
        <w:jc w:val="both"/>
        <w:rPr>
          <w:kern w:val="24"/>
          <w:sz w:val="22"/>
          <w:lang w:val="en-CA"/>
        </w:rPr>
      </w:pPr>
      <w:r w:rsidRPr="00D64FCD">
        <w:rPr>
          <w:kern w:val="24"/>
          <w:sz w:val="22"/>
          <w:lang w:val="en-CA"/>
        </w:rPr>
        <w:t>[</w:t>
      </w:r>
      <w:bookmarkStart w:id="20" w:name="par52"/>
      <w:r w:rsidRPr="00D64FCD">
        <w:rPr>
          <w:kern w:val="24"/>
          <w:sz w:val="22"/>
          <w:lang w:val="en-CA"/>
        </w:rPr>
        <w:t>52</w:t>
      </w:r>
      <w:bookmarkEnd w:id="20"/>
      <w:r w:rsidRPr="00D64FCD">
        <w:rPr>
          <w:kern w:val="24"/>
          <w:sz w:val="22"/>
          <w:lang w:val="en-CA"/>
        </w:rPr>
        <w:t>] </w:t>
      </w:r>
      <w:r w:rsidR="00D64FCD" w:rsidRPr="00D64FCD">
        <w:rPr>
          <w:kern w:val="24"/>
          <w:sz w:val="22"/>
          <w:lang w:val="en-CA"/>
        </w:rPr>
        <w:t>However relevant and reliable that statement may be</w:t>
      </w:r>
      <w:r w:rsidR="00A00A6C">
        <w:rPr>
          <w:kern w:val="24"/>
          <w:sz w:val="22"/>
          <w:lang w:val="en-CA"/>
        </w:rPr>
        <w:t>–</w:t>
      </w:r>
      <w:r w:rsidR="00D64FCD" w:rsidRPr="00D64FCD">
        <w:rPr>
          <w:kern w:val="24"/>
          <w:sz w:val="22"/>
          <w:lang w:val="en-CA"/>
        </w:rPr>
        <w:t>having been sworn at the same time as Judge Scott</w:t>
      </w:r>
      <w:r w:rsidR="00A00A6C">
        <w:rPr>
          <w:kern w:val="24"/>
          <w:sz w:val="22"/>
          <w:lang w:val="en-CA"/>
        </w:rPr>
        <w:t> </w:t>
      </w:r>
      <w:r w:rsidR="00D64FCD" w:rsidRPr="00D64FCD">
        <w:rPr>
          <w:kern w:val="24"/>
          <w:sz w:val="22"/>
          <w:lang w:val="en-CA"/>
        </w:rPr>
        <w:t>Hughes’s</w:t>
      </w:r>
      <w:r w:rsidR="00A00A6C">
        <w:rPr>
          <w:kern w:val="24"/>
          <w:sz w:val="22"/>
          <w:lang w:val="en-CA"/>
        </w:rPr>
        <w:t>–</w:t>
      </w:r>
      <w:r w:rsidR="00D64FCD" w:rsidRPr="00D64FCD">
        <w:rPr>
          <w:kern w:val="24"/>
          <w:sz w:val="22"/>
          <w:lang w:val="en-CA"/>
        </w:rPr>
        <w:t xml:space="preserve">the Applicants do not explain why it is impossible, or </w:t>
      </w:r>
      <w:r w:rsidR="00D64FCD" w:rsidRPr="00D64FCD">
        <w:rPr>
          <w:kern w:val="24"/>
          <w:sz w:val="22"/>
          <w:u w:val="single"/>
          <w:lang w:val="en-CA"/>
        </w:rPr>
        <w:t>even unreasonable</w:t>
      </w:r>
      <w:r w:rsidR="00D64FCD" w:rsidRPr="00D64FCD">
        <w:rPr>
          <w:kern w:val="24"/>
          <w:sz w:val="22"/>
          <w:lang w:val="en-CA"/>
        </w:rPr>
        <w:t xml:space="preserve">, to require Ms. </w:t>
      </w:r>
      <w:proofErr w:type="spellStart"/>
      <w:r w:rsidR="00D64FCD" w:rsidRPr="00D64FCD">
        <w:rPr>
          <w:kern w:val="24"/>
          <w:sz w:val="22"/>
          <w:lang w:val="en-CA"/>
        </w:rPr>
        <w:t>Carrière</w:t>
      </w:r>
      <w:proofErr w:type="spellEnd"/>
      <w:r w:rsidR="00D64FCD" w:rsidRPr="00D64FCD">
        <w:rPr>
          <w:kern w:val="24"/>
          <w:sz w:val="22"/>
          <w:lang w:val="en-CA"/>
        </w:rPr>
        <w:t xml:space="preserve"> to appear as a witness at the hearing. She enjoys no immunity, and </w:t>
      </w:r>
      <w:r w:rsidR="00D64FCD" w:rsidRPr="00D64FCD">
        <w:rPr>
          <w:kern w:val="24"/>
          <w:sz w:val="22"/>
          <w:u w:val="single"/>
          <w:lang w:val="en-CA"/>
        </w:rPr>
        <w:t xml:space="preserve">the fact that she is likely to come and repeat the content of her </w:t>
      </w:r>
      <w:r w:rsidR="00DE0610">
        <w:rPr>
          <w:kern w:val="24"/>
          <w:sz w:val="22"/>
          <w:u w:val="single"/>
          <w:lang w:val="en-CA"/>
        </w:rPr>
        <w:t>affidavit</w:t>
      </w:r>
      <w:r w:rsidR="00DE0610" w:rsidRPr="00D64FCD">
        <w:rPr>
          <w:kern w:val="24"/>
          <w:sz w:val="22"/>
          <w:u w:val="single"/>
          <w:lang w:val="en-CA"/>
        </w:rPr>
        <w:t xml:space="preserve"> </w:t>
      </w:r>
      <w:r w:rsidR="00D64FCD" w:rsidRPr="00D64FCD">
        <w:rPr>
          <w:kern w:val="24"/>
          <w:sz w:val="22"/>
          <w:u w:val="single"/>
          <w:lang w:val="en-CA"/>
        </w:rPr>
        <w:t>and explain exhibits</w:t>
      </w:r>
      <w:r w:rsidR="00F92FA1">
        <w:rPr>
          <w:kern w:val="24"/>
          <w:sz w:val="22"/>
          <w:u w:val="single"/>
          <w:lang w:val="en-CA"/>
        </w:rPr>
        <w:t> </w:t>
      </w:r>
      <w:r w:rsidR="00D64FCD" w:rsidRPr="00D64FCD">
        <w:rPr>
          <w:kern w:val="24"/>
          <w:sz w:val="22"/>
          <w:u w:val="single"/>
          <w:lang w:val="en-CA"/>
        </w:rPr>
        <w:t>EMSB-59 through EMSB-62 cannot preclude the AGQ’s right to cross-examine this witness</w:t>
      </w:r>
      <w:r w:rsidR="00D64FCD" w:rsidRPr="00D64FCD">
        <w:rPr>
          <w:kern w:val="24"/>
          <w:sz w:val="22"/>
          <w:lang w:val="en-CA"/>
        </w:rPr>
        <w:t xml:space="preserve">. </w:t>
      </w:r>
    </w:p>
    <w:p w14:paraId="4CEB72B2" w14:textId="20BCF0CC" w:rsidR="007F4756" w:rsidRPr="00D64FCD" w:rsidRDefault="00294345" w:rsidP="007F4756">
      <w:pPr>
        <w:spacing w:before="120" w:after="120" w:line="240" w:lineRule="auto"/>
        <w:ind w:left="720" w:right="720"/>
        <w:jc w:val="right"/>
        <w:rPr>
          <w:kern w:val="24"/>
          <w:sz w:val="22"/>
          <w:lang w:val="en-CA"/>
        </w:rPr>
      </w:pPr>
      <w:r w:rsidRPr="00D64FCD">
        <w:rPr>
          <w:kern w:val="24"/>
          <w:sz w:val="22"/>
          <w:lang w:val="en-CA"/>
        </w:rPr>
        <w:t>[</w:t>
      </w:r>
      <w:r w:rsidR="00D64FCD" w:rsidRPr="00D64FCD">
        <w:rPr>
          <w:kern w:val="24"/>
          <w:sz w:val="22"/>
          <w:lang w:val="en-CA"/>
        </w:rPr>
        <w:t>Emphasis and text in brackets added; references omitted</w:t>
      </w:r>
      <w:r w:rsidR="00DE0610">
        <w:rPr>
          <w:kern w:val="24"/>
          <w:sz w:val="22"/>
          <w:lang w:val="en-CA"/>
        </w:rPr>
        <w:t>.</w:t>
      </w:r>
      <w:r w:rsidRPr="00D64FCD">
        <w:rPr>
          <w:kern w:val="24"/>
          <w:sz w:val="22"/>
          <w:lang w:val="en-CA"/>
        </w:rPr>
        <w:t>]</w:t>
      </w:r>
    </w:p>
    <w:p w14:paraId="7F9BE4AA" w14:textId="77777777" w:rsidR="007F4756" w:rsidRPr="00D64FCD" w:rsidRDefault="00294345" w:rsidP="007F4756">
      <w:pPr>
        <w:numPr>
          <w:ilvl w:val="0"/>
          <w:numId w:val="23"/>
        </w:numPr>
        <w:spacing w:before="240" w:after="60" w:line="240" w:lineRule="auto"/>
        <w:ind w:left="0" w:firstLine="0"/>
        <w:outlineLvl w:val="0"/>
        <w:rPr>
          <w:b/>
          <w:i/>
          <w:kern w:val="28"/>
          <w:lang w:val="en-CA" w:eastAsia="fr-CA"/>
        </w:rPr>
      </w:pPr>
      <w:r w:rsidRPr="00D64FCD">
        <w:rPr>
          <w:b/>
          <w:i/>
          <w:kern w:val="28"/>
          <w:lang w:val="en-CA" w:eastAsia="fr-CA"/>
        </w:rPr>
        <w:t>Analysis</w:t>
      </w:r>
    </w:p>
    <w:p w14:paraId="1AA041F9" w14:textId="79288A70" w:rsidR="007F4756" w:rsidRPr="00D64FCD" w:rsidRDefault="00D64FCD" w:rsidP="007F4756">
      <w:pPr>
        <w:numPr>
          <w:ilvl w:val="0"/>
          <w:numId w:val="24"/>
        </w:numPr>
        <w:tabs>
          <w:tab w:val="left" w:pos="1134"/>
        </w:tabs>
        <w:spacing w:before="120" w:after="120" w:line="240" w:lineRule="auto"/>
        <w:ind w:left="1134" w:hanging="414"/>
        <w:outlineLvl w:val="1"/>
        <w:rPr>
          <w:b/>
          <w:i/>
          <w:lang w:val="en-CA"/>
        </w:rPr>
      </w:pPr>
      <w:r w:rsidRPr="00D64FCD">
        <w:rPr>
          <w:b/>
          <w:i/>
          <w:lang w:val="en-CA"/>
        </w:rPr>
        <w:t>Relevant statutory provisions in evidentiary matters</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755645" w:rsidRPr="00D64FCD" w14:paraId="408D3ADA" w14:textId="7842CACB" w:rsidTr="006775BE">
        <w:tc>
          <w:tcPr>
            <w:tcW w:w="4681" w:type="dxa"/>
            <w:shd w:val="clear" w:color="auto" w:fill="auto"/>
          </w:tcPr>
          <w:p w14:paraId="23CB1264" w14:textId="17418659" w:rsidR="00755645" w:rsidRPr="00D64FCD" w:rsidRDefault="00755645" w:rsidP="00755645">
            <w:pPr>
              <w:spacing w:line="240" w:lineRule="auto"/>
              <w:ind w:left="144" w:right="720"/>
              <w:jc w:val="both"/>
              <w:rPr>
                <w:b/>
                <w:bCs/>
                <w:i/>
                <w:iCs/>
                <w:sz w:val="22"/>
                <w:lang w:val="en-CA"/>
              </w:rPr>
            </w:pPr>
            <w:r w:rsidRPr="00D64FCD">
              <w:rPr>
                <w:b/>
                <w:bCs/>
                <w:i/>
                <w:iCs/>
                <w:sz w:val="22"/>
                <w:lang w:val="en-CA"/>
              </w:rPr>
              <w:t xml:space="preserve">Civil Code of Québec                    </w:t>
            </w:r>
          </w:p>
        </w:tc>
        <w:tc>
          <w:tcPr>
            <w:tcW w:w="4681" w:type="dxa"/>
          </w:tcPr>
          <w:p w14:paraId="356ABC1E" w14:textId="65834AC8" w:rsidR="00755645" w:rsidRPr="00D64FCD" w:rsidRDefault="00755645" w:rsidP="00755645">
            <w:pPr>
              <w:spacing w:line="240" w:lineRule="auto"/>
              <w:ind w:left="144" w:right="720"/>
              <w:jc w:val="both"/>
              <w:rPr>
                <w:b/>
                <w:bCs/>
                <w:i/>
                <w:iCs/>
                <w:sz w:val="22"/>
                <w:lang w:val="en-CA"/>
              </w:rPr>
            </w:pPr>
            <w:r w:rsidRPr="00D64FCD">
              <w:rPr>
                <w:b/>
                <w:bCs/>
                <w:i/>
                <w:iCs/>
                <w:sz w:val="22"/>
                <w:lang w:val="en-CA"/>
              </w:rPr>
              <w:t>Code civil du Québec</w:t>
            </w:r>
          </w:p>
        </w:tc>
      </w:tr>
      <w:tr w:rsidR="00755645" w:rsidRPr="00D64FCD" w14:paraId="690EAF76" w14:textId="5ABF93CD" w:rsidTr="006775BE">
        <w:tc>
          <w:tcPr>
            <w:tcW w:w="4681" w:type="dxa"/>
            <w:shd w:val="clear" w:color="auto" w:fill="auto"/>
          </w:tcPr>
          <w:p w14:paraId="76EFD015" w14:textId="77777777" w:rsidR="00755645" w:rsidRPr="00D64FCD" w:rsidRDefault="00755645" w:rsidP="00755645">
            <w:pPr>
              <w:spacing w:line="240" w:lineRule="auto"/>
              <w:ind w:left="144" w:right="720"/>
              <w:jc w:val="both"/>
              <w:rPr>
                <w:sz w:val="22"/>
                <w:lang w:val="en-CA"/>
              </w:rPr>
            </w:pPr>
          </w:p>
        </w:tc>
        <w:tc>
          <w:tcPr>
            <w:tcW w:w="4681" w:type="dxa"/>
          </w:tcPr>
          <w:p w14:paraId="02961590" w14:textId="77777777" w:rsidR="00755645" w:rsidRPr="00D64FCD" w:rsidRDefault="00755645" w:rsidP="00755645">
            <w:pPr>
              <w:spacing w:line="240" w:lineRule="auto"/>
              <w:ind w:left="144" w:right="720"/>
              <w:jc w:val="both"/>
              <w:rPr>
                <w:sz w:val="22"/>
                <w:lang w:val="en-CA"/>
              </w:rPr>
            </w:pPr>
          </w:p>
        </w:tc>
      </w:tr>
      <w:tr w:rsidR="00755645" w:rsidRPr="00D64FCD" w14:paraId="004A6376" w14:textId="52C5F2FA" w:rsidTr="006775BE">
        <w:tc>
          <w:tcPr>
            <w:tcW w:w="4681" w:type="dxa"/>
            <w:shd w:val="clear" w:color="auto" w:fill="auto"/>
          </w:tcPr>
          <w:p w14:paraId="642F2925" w14:textId="77777777" w:rsidR="00755645" w:rsidRPr="00D64FCD" w:rsidRDefault="00755645" w:rsidP="00755645">
            <w:pPr>
              <w:spacing w:line="240" w:lineRule="auto"/>
              <w:ind w:left="144" w:right="720"/>
              <w:jc w:val="both"/>
              <w:rPr>
                <w:sz w:val="22"/>
                <w:lang w:val="en-CA"/>
              </w:rPr>
            </w:pPr>
            <w:r w:rsidRPr="00D64FCD">
              <w:rPr>
                <w:sz w:val="22"/>
                <w:lang w:val="en-CA"/>
              </w:rPr>
              <w:t>[…]</w:t>
            </w:r>
          </w:p>
        </w:tc>
        <w:tc>
          <w:tcPr>
            <w:tcW w:w="4681" w:type="dxa"/>
          </w:tcPr>
          <w:p w14:paraId="0F074D79" w14:textId="78D8C99F" w:rsidR="00755645" w:rsidRPr="00D64FCD" w:rsidRDefault="00755645" w:rsidP="00755645">
            <w:pPr>
              <w:spacing w:line="240" w:lineRule="auto"/>
              <w:ind w:left="144" w:right="720"/>
              <w:jc w:val="both"/>
              <w:rPr>
                <w:sz w:val="22"/>
                <w:lang w:val="en-CA"/>
              </w:rPr>
            </w:pPr>
            <w:r w:rsidRPr="00D64FCD">
              <w:rPr>
                <w:sz w:val="22"/>
                <w:lang w:val="en-CA"/>
              </w:rPr>
              <w:t>[…]</w:t>
            </w:r>
          </w:p>
        </w:tc>
      </w:tr>
      <w:tr w:rsidR="00755645" w:rsidRPr="00D64FCD" w14:paraId="4F2A4186" w14:textId="2633CD9C" w:rsidTr="006775BE">
        <w:tc>
          <w:tcPr>
            <w:tcW w:w="4681" w:type="dxa"/>
            <w:shd w:val="clear" w:color="auto" w:fill="auto"/>
          </w:tcPr>
          <w:p w14:paraId="792302AB" w14:textId="61406DEE" w:rsidR="00755645" w:rsidRPr="00D64FCD" w:rsidRDefault="00755645" w:rsidP="00755645">
            <w:pPr>
              <w:spacing w:line="240" w:lineRule="auto"/>
              <w:ind w:left="144" w:right="720"/>
              <w:jc w:val="both"/>
              <w:rPr>
                <w:b/>
                <w:bCs/>
                <w:sz w:val="22"/>
                <w:lang w:val="en-CA"/>
              </w:rPr>
            </w:pPr>
            <w:r w:rsidRPr="00D64FCD">
              <w:rPr>
                <w:b/>
                <w:bCs/>
                <w:sz w:val="22"/>
                <w:lang w:val="en-CA"/>
              </w:rPr>
              <w:t>TITLE</w:t>
            </w:r>
            <w:r w:rsidR="00F92FA1">
              <w:rPr>
                <w:b/>
                <w:bCs/>
                <w:sz w:val="22"/>
                <w:lang w:val="en-CA"/>
              </w:rPr>
              <w:t> </w:t>
            </w:r>
            <w:r w:rsidRPr="00D64FCD">
              <w:rPr>
                <w:b/>
                <w:bCs/>
                <w:sz w:val="22"/>
                <w:lang w:val="en-CA"/>
              </w:rPr>
              <w:t>TWO</w:t>
            </w:r>
          </w:p>
        </w:tc>
        <w:tc>
          <w:tcPr>
            <w:tcW w:w="4681" w:type="dxa"/>
          </w:tcPr>
          <w:p w14:paraId="2C63AB6C" w14:textId="2FBBD957" w:rsidR="00755645" w:rsidRPr="00D64FCD" w:rsidRDefault="00755645" w:rsidP="00755645">
            <w:pPr>
              <w:spacing w:line="240" w:lineRule="auto"/>
              <w:ind w:left="144" w:right="720"/>
              <w:jc w:val="both"/>
              <w:rPr>
                <w:b/>
                <w:bCs/>
                <w:sz w:val="22"/>
                <w:lang w:val="en-CA"/>
              </w:rPr>
            </w:pPr>
            <w:r w:rsidRPr="00D64FCD">
              <w:rPr>
                <w:b/>
                <w:bCs/>
                <w:sz w:val="22"/>
                <w:lang w:val="en-CA"/>
              </w:rPr>
              <w:t>TITRE DEUXIÈME</w:t>
            </w:r>
          </w:p>
        </w:tc>
      </w:tr>
      <w:tr w:rsidR="00755645" w:rsidRPr="00D64FCD" w14:paraId="0B4F241C" w14:textId="06B4083C" w:rsidTr="006775BE">
        <w:tc>
          <w:tcPr>
            <w:tcW w:w="4681" w:type="dxa"/>
            <w:shd w:val="clear" w:color="auto" w:fill="auto"/>
          </w:tcPr>
          <w:p w14:paraId="30A6D53C" w14:textId="77777777" w:rsidR="00755645" w:rsidRPr="00D64FCD" w:rsidRDefault="00755645" w:rsidP="00755645">
            <w:pPr>
              <w:spacing w:line="240" w:lineRule="auto"/>
              <w:ind w:left="144" w:right="720"/>
              <w:jc w:val="both"/>
              <w:rPr>
                <w:sz w:val="22"/>
                <w:lang w:val="en-CA"/>
              </w:rPr>
            </w:pPr>
            <w:r w:rsidRPr="00D64FCD">
              <w:rPr>
                <w:sz w:val="22"/>
                <w:lang w:val="en-CA"/>
              </w:rPr>
              <w:t>MEANS OF PROOF</w:t>
            </w:r>
          </w:p>
        </w:tc>
        <w:tc>
          <w:tcPr>
            <w:tcW w:w="4681" w:type="dxa"/>
          </w:tcPr>
          <w:p w14:paraId="43AC898A" w14:textId="548DACC1" w:rsidR="00755645" w:rsidRPr="00D64FCD" w:rsidRDefault="00755645" w:rsidP="00755645">
            <w:pPr>
              <w:spacing w:line="240" w:lineRule="auto"/>
              <w:ind w:left="144" w:right="720"/>
              <w:jc w:val="both"/>
              <w:rPr>
                <w:sz w:val="22"/>
                <w:lang w:val="en-CA"/>
              </w:rPr>
            </w:pPr>
            <w:r w:rsidRPr="00D64FCD">
              <w:rPr>
                <w:sz w:val="22"/>
                <w:lang w:val="en-CA"/>
              </w:rPr>
              <w:t>DES MOYENS DE PREUVE</w:t>
            </w:r>
          </w:p>
        </w:tc>
      </w:tr>
      <w:tr w:rsidR="00755645" w:rsidRPr="00D64FCD" w14:paraId="3DA3D74D" w14:textId="4D253F42" w:rsidTr="006775BE">
        <w:tc>
          <w:tcPr>
            <w:tcW w:w="4681" w:type="dxa"/>
            <w:shd w:val="clear" w:color="auto" w:fill="auto"/>
          </w:tcPr>
          <w:p w14:paraId="1D1805D1" w14:textId="77777777" w:rsidR="00755645" w:rsidRPr="00D64FCD" w:rsidRDefault="00755645" w:rsidP="00755645">
            <w:pPr>
              <w:spacing w:line="240" w:lineRule="auto"/>
              <w:ind w:left="144" w:right="720"/>
              <w:jc w:val="both"/>
              <w:rPr>
                <w:sz w:val="22"/>
                <w:lang w:val="en-CA"/>
              </w:rPr>
            </w:pPr>
          </w:p>
        </w:tc>
        <w:tc>
          <w:tcPr>
            <w:tcW w:w="4681" w:type="dxa"/>
          </w:tcPr>
          <w:p w14:paraId="28F8B5CC" w14:textId="77777777" w:rsidR="00755645" w:rsidRPr="00D64FCD" w:rsidRDefault="00755645" w:rsidP="00755645">
            <w:pPr>
              <w:spacing w:line="240" w:lineRule="auto"/>
              <w:ind w:left="144" w:right="720"/>
              <w:jc w:val="both"/>
              <w:rPr>
                <w:sz w:val="22"/>
                <w:lang w:val="en-CA"/>
              </w:rPr>
            </w:pPr>
          </w:p>
        </w:tc>
      </w:tr>
      <w:tr w:rsidR="00755645" w:rsidRPr="00D64FCD" w14:paraId="3C59A60C" w14:textId="68631F62" w:rsidTr="006775BE">
        <w:tc>
          <w:tcPr>
            <w:tcW w:w="4681" w:type="dxa"/>
            <w:shd w:val="clear" w:color="auto" w:fill="auto"/>
          </w:tcPr>
          <w:p w14:paraId="55E7E56F" w14:textId="0D86F33A" w:rsidR="00755645" w:rsidRPr="00D64FCD" w:rsidRDefault="00755645" w:rsidP="00755645">
            <w:pPr>
              <w:spacing w:line="240" w:lineRule="auto"/>
              <w:ind w:left="142" w:right="720"/>
              <w:jc w:val="both"/>
              <w:rPr>
                <w:sz w:val="22"/>
                <w:lang w:val="en-CA"/>
              </w:rPr>
            </w:pPr>
            <w:r w:rsidRPr="00D64FCD">
              <w:rPr>
                <w:rFonts w:eastAsiaTheme="minorEastAsia" w:cs="Arial"/>
                <w:b/>
                <w:bCs/>
                <w:kern w:val="2"/>
                <w:sz w:val="22"/>
                <w:lang w:val="en-CA"/>
                <w14:ligatures w14:val="standardContextual"/>
              </w:rPr>
              <w:t>2811.</w:t>
            </w:r>
            <w:r w:rsidRPr="00D64FCD">
              <w:rPr>
                <w:rFonts w:eastAsiaTheme="minorEastAsia" w:cs="Arial"/>
                <w:kern w:val="2"/>
                <w:sz w:val="22"/>
                <w:lang w:val="en-CA"/>
                <w14:ligatures w14:val="standardContextual"/>
              </w:rPr>
              <w:t xml:space="preserve"> A fact or juridical act may be proved by a writing, </w:t>
            </w:r>
            <w:r w:rsidRPr="00D64FCD">
              <w:rPr>
                <w:rFonts w:eastAsiaTheme="minorEastAsia" w:cs="Arial"/>
                <w:kern w:val="2"/>
                <w:sz w:val="22"/>
                <w:u w:val="single"/>
                <w:lang w:val="en-CA"/>
                <w14:ligatures w14:val="standardContextual"/>
              </w:rPr>
              <w:t>by testimony</w:t>
            </w:r>
            <w:r w:rsidRPr="00D64FCD">
              <w:rPr>
                <w:rFonts w:eastAsiaTheme="minorEastAsia" w:cs="Arial"/>
                <w:kern w:val="2"/>
                <w:sz w:val="22"/>
                <w:lang w:val="en-CA"/>
                <w14:ligatures w14:val="standardContextual"/>
              </w:rPr>
              <w:t xml:space="preserve">, by presumption, by admission or by the production of real evidence, </w:t>
            </w:r>
            <w:r w:rsidRPr="00D64FCD">
              <w:rPr>
                <w:rFonts w:eastAsiaTheme="minorEastAsia" w:cs="Arial"/>
                <w:kern w:val="2"/>
                <w:sz w:val="22"/>
                <w:u w:val="single"/>
                <w:lang w:val="en-CA"/>
                <w14:ligatures w14:val="standardContextual"/>
              </w:rPr>
              <w:t>according to the rules set forth in this Book and in the manner provided in the Code of Civil Procedure</w:t>
            </w:r>
            <w:r w:rsidRPr="00D64FCD">
              <w:rPr>
                <w:rFonts w:eastAsiaTheme="minorEastAsia" w:cs="Arial"/>
                <w:kern w:val="2"/>
                <w:sz w:val="22"/>
                <w:lang w:val="en-CA"/>
                <w14:ligatures w14:val="standardContextual"/>
              </w:rPr>
              <w:t xml:space="preserve"> (chapter</w:t>
            </w:r>
            <w:r w:rsidR="00F92FA1">
              <w:rPr>
                <w:rFonts w:eastAsiaTheme="minorEastAsia" w:cs="Arial"/>
                <w:kern w:val="2"/>
                <w:sz w:val="22"/>
                <w:lang w:val="en-CA"/>
                <w14:ligatures w14:val="standardContextual"/>
              </w:rPr>
              <w:t> </w:t>
            </w:r>
            <w:r w:rsidRPr="00D64FCD">
              <w:rPr>
                <w:rFonts w:eastAsiaTheme="minorEastAsia" w:cs="Arial"/>
                <w:kern w:val="2"/>
                <w:sz w:val="22"/>
                <w:lang w:val="en-CA"/>
                <w14:ligatures w14:val="standardContextual"/>
              </w:rPr>
              <w:t>C-25.01) or in any other Act.</w:t>
            </w:r>
          </w:p>
        </w:tc>
        <w:tc>
          <w:tcPr>
            <w:tcW w:w="4681" w:type="dxa"/>
          </w:tcPr>
          <w:p w14:paraId="3DB7EF5C" w14:textId="5A295342" w:rsidR="00755645" w:rsidRPr="00D16016" w:rsidRDefault="00755645" w:rsidP="00755645">
            <w:pPr>
              <w:spacing w:line="240" w:lineRule="auto"/>
              <w:ind w:left="142" w:right="720"/>
              <w:jc w:val="both"/>
              <w:rPr>
                <w:rFonts w:eastAsiaTheme="minorEastAsia" w:cs="Arial"/>
                <w:b/>
                <w:bCs/>
                <w:kern w:val="2"/>
                <w:sz w:val="22"/>
                <w14:ligatures w14:val="standardContextual"/>
              </w:rPr>
            </w:pPr>
            <w:hyperlink r:id="rId17" w:anchor="se:2811" w:history="1">
              <w:r w:rsidRPr="00D16016">
                <w:rPr>
                  <w:rFonts w:cs="Arial"/>
                  <w:b/>
                  <w:bCs/>
                  <w:color w:val="000000" w:themeColor="text1"/>
                  <w:sz w:val="22"/>
                  <w:szCs w:val="22"/>
                  <w:lang w:eastAsia="fr-CA"/>
                </w:rPr>
                <w:t>2811.</w:t>
              </w:r>
            </w:hyperlink>
            <w:r w:rsidRPr="00D16016">
              <w:rPr>
                <w:rFonts w:cs="Arial"/>
                <w:color w:val="000000" w:themeColor="text1"/>
                <w:sz w:val="22"/>
                <w:szCs w:val="22"/>
                <w:lang w:eastAsia="fr-CA"/>
              </w:rPr>
              <w:t xml:space="preserve"> La preuve d’un acte juridique ou d’un fait peut être établie par écrit, </w:t>
            </w:r>
            <w:r w:rsidRPr="00D16016">
              <w:rPr>
                <w:rFonts w:cs="Arial"/>
                <w:color w:val="000000" w:themeColor="text1"/>
                <w:sz w:val="22"/>
                <w:szCs w:val="22"/>
                <w:u w:val="single"/>
                <w:lang w:eastAsia="fr-CA"/>
              </w:rPr>
              <w:t>par témoignage</w:t>
            </w:r>
            <w:r w:rsidRPr="00D16016">
              <w:rPr>
                <w:rFonts w:cs="Arial"/>
                <w:color w:val="000000" w:themeColor="text1"/>
                <w:sz w:val="22"/>
                <w:szCs w:val="22"/>
                <w:lang w:eastAsia="fr-CA"/>
              </w:rPr>
              <w:t xml:space="preserve">, par présomption, </w:t>
            </w:r>
            <w:r w:rsidRPr="00D16016">
              <w:rPr>
                <w:rFonts w:eastAsiaTheme="minorEastAsia" w:cs="Arial"/>
                <w:color w:val="000000" w:themeColor="text1"/>
                <w:kern w:val="2"/>
                <w:sz w:val="22"/>
                <w:szCs w:val="22"/>
                <w14:ligatures w14:val="standardContextual"/>
              </w:rPr>
              <w:t>par</w:t>
            </w:r>
            <w:r w:rsidRPr="00D16016">
              <w:rPr>
                <w:rFonts w:cs="Arial"/>
                <w:color w:val="000000" w:themeColor="text1"/>
                <w:sz w:val="22"/>
                <w:szCs w:val="22"/>
                <w:lang w:eastAsia="fr-CA"/>
              </w:rPr>
              <w:t xml:space="preserve"> aveu ou par la présentation d’un élément matériel, </w:t>
            </w:r>
            <w:r w:rsidRPr="00D16016">
              <w:rPr>
                <w:rFonts w:cs="Arial"/>
                <w:color w:val="000000" w:themeColor="text1"/>
                <w:sz w:val="22"/>
                <w:szCs w:val="22"/>
                <w:u w:val="single"/>
                <w:lang w:eastAsia="fr-CA"/>
              </w:rPr>
              <w:t>conformément aux règles énoncées dans le présent livre et de la manière indiquée par le </w:t>
            </w:r>
            <w:hyperlink r:id="rId18" w:history="1">
              <w:r w:rsidRPr="00D16016">
                <w:rPr>
                  <w:rFonts w:cs="Arial"/>
                  <w:color w:val="000000" w:themeColor="text1"/>
                  <w:sz w:val="22"/>
                  <w:szCs w:val="22"/>
                  <w:u w:val="single"/>
                  <w:lang w:eastAsia="fr-CA"/>
                </w:rPr>
                <w:t>Code de procédure civile (</w:t>
              </w:r>
            </w:hyperlink>
            <w:r w:rsidRPr="00D16016">
              <w:rPr>
                <w:rFonts w:cs="Arial"/>
                <w:color w:val="000000" w:themeColor="text1"/>
                <w:sz w:val="22"/>
                <w:szCs w:val="22"/>
                <w:lang w:eastAsia="fr-CA"/>
              </w:rPr>
              <w:t>chapitre C-25.01) ou par quelque autre lo</w:t>
            </w:r>
            <w:r w:rsidRPr="00D16016">
              <w:rPr>
                <w:rFonts w:cs="Arial"/>
                <w:color w:val="000000"/>
                <w:sz w:val="22"/>
                <w:szCs w:val="22"/>
                <w:lang w:eastAsia="fr-CA"/>
              </w:rPr>
              <w:t>i.</w:t>
            </w:r>
          </w:p>
        </w:tc>
      </w:tr>
      <w:tr w:rsidR="00755645" w:rsidRPr="00D64FCD" w14:paraId="0B82AA29" w14:textId="54666075" w:rsidTr="006775BE">
        <w:tc>
          <w:tcPr>
            <w:tcW w:w="4681" w:type="dxa"/>
            <w:shd w:val="clear" w:color="auto" w:fill="auto"/>
          </w:tcPr>
          <w:p w14:paraId="054A393E" w14:textId="77777777" w:rsidR="00755645" w:rsidRPr="00D16016" w:rsidRDefault="00755645" w:rsidP="00755645">
            <w:pPr>
              <w:spacing w:line="240" w:lineRule="auto"/>
              <w:ind w:left="144" w:right="720"/>
              <w:jc w:val="both"/>
              <w:rPr>
                <w:rFonts w:eastAsiaTheme="minorEastAsia" w:cs="Arial"/>
                <w:kern w:val="2"/>
                <w:sz w:val="22"/>
                <w14:ligatures w14:val="standardContextual"/>
              </w:rPr>
            </w:pPr>
          </w:p>
        </w:tc>
        <w:tc>
          <w:tcPr>
            <w:tcW w:w="4681" w:type="dxa"/>
          </w:tcPr>
          <w:p w14:paraId="768F3FA4" w14:textId="77777777" w:rsidR="00755645" w:rsidRPr="00D16016" w:rsidRDefault="00755645" w:rsidP="00755645">
            <w:pPr>
              <w:spacing w:line="240" w:lineRule="auto"/>
              <w:ind w:left="144" w:right="720"/>
              <w:jc w:val="both"/>
              <w:rPr>
                <w:rFonts w:eastAsiaTheme="minorEastAsia" w:cs="Arial"/>
                <w:kern w:val="2"/>
                <w:sz w:val="22"/>
                <w14:ligatures w14:val="standardContextual"/>
              </w:rPr>
            </w:pPr>
          </w:p>
        </w:tc>
      </w:tr>
      <w:tr w:rsidR="00755645" w:rsidRPr="00D64FCD" w14:paraId="2F65C2AD" w14:textId="7089804B" w:rsidTr="006775BE">
        <w:tc>
          <w:tcPr>
            <w:tcW w:w="4681" w:type="dxa"/>
            <w:shd w:val="clear" w:color="auto" w:fill="auto"/>
          </w:tcPr>
          <w:p w14:paraId="162548C7" w14:textId="77777777" w:rsidR="00755645" w:rsidRPr="00D64FCD" w:rsidRDefault="00755645" w:rsidP="00755645">
            <w:pPr>
              <w:spacing w:line="240" w:lineRule="auto"/>
              <w:ind w:left="144" w:right="720"/>
              <w:jc w:val="both"/>
              <w:rPr>
                <w:rFonts w:eastAsiaTheme="minorEastAsia" w:cs="Arial"/>
                <w:b/>
                <w:bCs/>
                <w:kern w:val="2"/>
                <w:sz w:val="22"/>
                <w:lang w:val="en-CA"/>
                <w14:ligatures w14:val="standardContextual"/>
              </w:rPr>
            </w:pPr>
            <w:r w:rsidRPr="00D64FCD">
              <w:rPr>
                <w:rFonts w:eastAsiaTheme="minorEastAsia" w:cs="Arial"/>
                <w:b/>
                <w:bCs/>
                <w:kern w:val="2"/>
                <w:sz w:val="22"/>
                <w:lang w:val="en-CA"/>
                <w14:ligatures w14:val="standardContextual"/>
              </w:rPr>
              <w:t>CHAPTER II</w:t>
            </w:r>
          </w:p>
        </w:tc>
        <w:tc>
          <w:tcPr>
            <w:tcW w:w="4681" w:type="dxa"/>
          </w:tcPr>
          <w:p w14:paraId="660BB80D" w14:textId="7E6C016F" w:rsidR="00755645" w:rsidRPr="00D64FCD" w:rsidRDefault="00755645" w:rsidP="00755645">
            <w:pPr>
              <w:spacing w:line="240" w:lineRule="auto"/>
              <w:ind w:left="144" w:right="720"/>
              <w:jc w:val="both"/>
              <w:rPr>
                <w:rFonts w:eastAsiaTheme="minorEastAsia" w:cs="Arial"/>
                <w:b/>
                <w:bCs/>
                <w:kern w:val="2"/>
                <w:sz w:val="22"/>
                <w:lang w:val="en-CA"/>
                <w14:ligatures w14:val="standardContextual"/>
              </w:rPr>
            </w:pPr>
            <w:r w:rsidRPr="00D64FCD">
              <w:rPr>
                <w:rFonts w:cs="Arial"/>
                <w:b/>
                <w:bCs/>
                <w:color w:val="000000" w:themeColor="text1"/>
                <w:sz w:val="22"/>
                <w:szCs w:val="22"/>
                <w:lang w:val="en-CA" w:eastAsia="fr-CA"/>
              </w:rPr>
              <w:t>CHAPITRE</w:t>
            </w:r>
            <w:r w:rsidRPr="00D64FCD">
              <w:rPr>
                <w:rFonts w:cs="Arial"/>
                <w:b/>
                <w:bCs/>
                <w:caps/>
                <w:color w:val="000000"/>
                <w:sz w:val="22"/>
                <w:szCs w:val="22"/>
                <w:lang w:val="en-CA" w:eastAsia="fr-CA"/>
              </w:rPr>
              <w:t> DEUXIÈME</w:t>
            </w:r>
          </w:p>
        </w:tc>
      </w:tr>
      <w:tr w:rsidR="00755645" w:rsidRPr="00D64FCD" w14:paraId="4075F105" w14:textId="6AA0BFD5" w:rsidTr="006775BE">
        <w:tc>
          <w:tcPr>
            <w:tcW w:w="4681" w:type="dxa"/>
            <w:shd w:val="clear" w:color="auto" w:fill="auto"/>
          </w:tcPr>
          <w:p w14:paraId="4BACD50B"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lang w:val="en-CA"/>
                <w14:ligatures w14:val="standardContextual"/>
              </w:rPr>
              <w:t>TESTIMONY</w:t>
            </w:r>
          </w:p>
        </w:tc>
        <w:tc>
          <w:tcPr>
            <w:tcW w:w="4681" w:type="dxa"/>
          </w:tcPr>
          <w:p w14:paraId="33EC4AE9" w14:textId="10800633"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cs="Arial"/>
                <w:color w:val="000000" w:themeColor="text1"/>
                <w:sz w:val="22"/>
                <w:szCs w:val="22"/>
                <w:lang w:val="en-CA" w:eastAsia="fr-CA"/>
              </w:rPr>
              <w:t>DU TÉMOIGNAGE</w:t>
            </w:r>
          </w:p>
        </w:tc>
      </w:tr>
      <w:tr w:rsidR="00755645" w:rsidRPr="00D64FCD" w14:paraId="50E77B94" w14:textId="0B02A224" w:rsidTr="006775BE">
        <w:tc>
          <w:tcPr>
            <w:tcW w:w="4681" w:type="dxa"/>
            <w:shd w:val="clear" w:color="auto" w:fill="auto"/>
          </w:tcPr>
          <w:p w14:paraId="72736B47"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c>
          <w:tcPr>
            <w:tcW w:w="4681" w:type="dxa"/>
          </w:tcPr>
          <w:p w14:paraId="7F12FC37"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r>
      <w:tr w:rsidR="00755645" w:rsidRPr="00D64FCD" w14:paraId="6EB3FE81" w14:textId="1662D294" w:rsidTr="006775BE">
        <w:tc>
          <w:tcPr>
            <w:tcW w:w="4681" w:type="dxa"/>
            <w:shd w:val="clear" w:color="auto" w:fill="auto"/>
          </w:tcPr>
          <w:p w14:paraId="5956B6E9" w14:textId="77777777" w:rsidR="00755645" w:rsidRPr="00D64FCD" w:rsidRDefault="00755645" w:rsidP="00755645">
            <w:pPr>
              <w:spacing w:line="240" w:lineRule="auto"/>
              <w:ind w:left="142" w:right="720"/>
              <w:jc w:val="both"/>
              <w:rPr>
                <w:rFonts w:eastAsiaTheme="minorEastAsia" w:cs="Arial"/>
                <w:kern w:val="2"/>
                <w:lang w:val="en-CA"/>
                <w14:ligatures w14:val="standardContextual"/>
              </w:rPr>
            </w:pPr>
            <w:r w:rsidRPr="00D64FCD">
              <w:rPr>
                <w:rFonts w:eastAsiaTheme="minorEastAsia" w:cs="Arial"/>
                <w:b/>
                <w:bCs/>
                <w:kern w:val="2"/>
                <w:sz w:val="22"/>
                <w:lang w:val="en-CA"/>
                <w14:ligatures w14:val="standardContextual"/>
              </w:rPr>
              <w:t>2843.</w:t>
            </w:r>
            <w:r w:rsidRPr="00D64FCD">
              <w:rPr>
                <w:rFonts w:eastAsiaTheme="minorEastAsia" w:cs="Arial"/>
                <w:kern w:val="2"/>
                <w:sz w:val="22"/>
                <w:lang w:val="en-CA"/>
                <w14:ligatures w14:val="standardContextual"/>
              </w:rPr>
              <w:t> T</w:t>
            </w:r>
            <w:r w:rsidRPr="00D64FCD">
              <w:rPr>
                <w:rFonts w:eastAsiaTheme="minorEastAsia" w:cs="Arial"/>
                <w:kern w:val="2"/>
                <w:sz w:val="22"/>
                <w:u w:val="single"/>
                <w:lang w:val="en-CA"/>
                <w14:ligatures w14:val="standardContextual"/>
              </w:rPr>
              <w:t>estimony is a statement whereby a person relates facts of which he has personal knowledge</w:t>
            </w:r>
            <w:r w:rsidRPr="00D64FCD">
              <w:rPr>
                <w:rFonts w:eastAsiaTheme="minorEastAsia" w:cs="Arial"/>
                <w:kern w:val="2"/>
                <w:sz w:val="22"/>
                <w:lang w:val="en-CA"/>
                <w14:ligatures w14:val="standardContextual"/>
              </w:rPr>
              <w:t xml:space="preserve"> or whereby an expert gives his opinion.</w:t>
            </w:r>
          </w:p>
        </w:tc>
        <w:tc>
          <w:tcPr>
            <w:tcW w:w="4681" w:type="dxa"/>
          </w:tcPr>
          <w:p w14:paraId="2F2E03E3" w14:textId="77777777" w:rsidR="00755645" w:rsidRDefault="00755645" w:rsidP="00755645">
            <w:pPr>
              <w:spacing w:line="240" w:lineRule="auto"/>
              <w:ind w:left="142" w:right="720"/>
              <w:jc w:val="both"/>
              <w:rPr>
                <w:rFonts w:cs="Arial"/>
                <w:color w:val="000000" w:themeColor="text1"/>
                <w:sz w:val="22"/>
                <w:szCs w:val="22"/>
                <w:lang w:eastAsia="fr-CA"/>
              </w:rPr>
            </w:pPr>
            <w:hyperlink r:id="rId19" w:anchor="se:2843" w:history="1">
              <w:r w:rsidRPr="00D16016">
                <w:rPr>
                  <w:rFonts w:cs="Arial"/>
                  <w:b/>
                  <w:bCs/>
                  <w:color w:val="000000" w:themeColor="text1"/>
                  <w:sz w:val="22"/>
                  <w:szCs w:val="22"/>
                  <w:lang w:eastAsia="fr-CA"/>
                </w:rPr>
                <w:t>2843.</w:t>
              </w:r>
            </w:hyperlink>
            <w:r w:rsidRPr="00D16016">
              <w:rPr>
                <w:rFonts w:cs="Arial"/>
                <w:color w:val="000000" w:themeColor="text1"/>
                <w:sz w:val="22"/>
                <w:szCs w:val="22"/>
                <w:lang w:eastAsia="fr-CA"/>
              </w:rPr>
              <w:t> </w:t>
            </w:r>
            <w:r w:rsidRPr="00D16016">
              <w:rPr>
                <w:rFonts w:cs="Arial"/>
                <w:color w:val="000000" w:themeColor="text1"/>
                <w:sz w:val="22"/>
                <w:szCs w:val="22"/>
                <w:u w:val="single"/>
                <w:lang w:eastAsia="fr-CA"/>
              </w:rPr>
              <w:t>Le témoignage est la déclaration par laquelle une personne relate les faits dont elle a eu personnellement connaissance</w:t>
            </w:r>
            <w:r w:rsidRPr="00D16016">
              <w:rPr>
                <w:rFonts w:cs="Arial"/>
                <w:color w:val="000000" w:themeColor="text1"/>
                <w:sz w:val="22"/>
                <w:szCs w:val="22"/>
                <w:lang w:eastAsia="fr-CA"/>
              </w:rPr>
              <w:t xml:space="preserve"> ou par laquelle un expert donne son avis.</w:t>
            </w:r>
          </w:p>
          <w:p w14:paraId="68353056" w14:textId="1A7A8435" w:rsidR="00F54E8E" w:rsidRPr="00D16016" w:rsidRDefault="00F54E8E" w:rsidP="00755645">
            <w:pPr>
              <w:spacing w:line="240" w:lineRule="auto"/>
              <w:ind w:left="142" w:right="720"/>
              <w:jc w:val="both"/>
              <w:rPr>
                <w:rFonts w:eastAsiaTheme="minorEastAsia" w:cs="Arial"/>
                <w:b/>
                <w:bCs/>
                <w:kern w:val="2"/>
                <w:sz w:val="22"/>
                <w14:ligatures w14:val="standardContextual"/>
              </w:rPr>
            </w:pPr>
          </w:p>
        </w:tc>
      </w:tr>
      <w:tr w:rsidR="00755645" w:rsidRPr="00D64FCD" w14:paraId="5652B3DB" w14:textId="5B8C3266" w:rsidTr="006775BE">
        <w:tc>
          <w:tcPr>
            <w:tcW w:w="4681" w:type="dxa"/>
            <w:shd w:val="clear" w:color="auto" w:fill="auto"/>
          </w:tcPr>
          <w:p w14:paraId="10A99F58" w14:textId="77777777" w:rsidR="00755645" w:rsidRPr="00D64FCD" w:rsidRDefault="00755645" w:rsidP="00755645">
            <w:pPr>
              <w:spacing w:line="240" w:lineRule="auto"/>
              <w:ind w:left="142" w:right="720"/>
              <w:jc w:val="both"/>
              <w:rPr>
                <w:rFonts w:eastAsiaTheme="minorEastAsia" w:cs="Arial"/>
                <w:b/>
                <w:bCs/>
                <w:kern w:val="2"/>
                <w:sz w:val="22"/>
                <w:lang w:val="en-CA"/>
                <w14:ligatures w14:val="standardContextual"/>
              </w:rPr>
            </w:pPr>
            <w:r w:rsidRPr="00D64FCD">
              <w:rPr>
                <w:rFonts w:eastAsiaTheme="minorEastAsia" w:cs="Arial"/>
                <w:b/>
                <w:bCs/>
                <w:kern w:val="2"/>
                <w:sz w:val="22"/>
                <w:lang w:val="en-CA"/>
                <w14:ligatures w14:val="standardContextual"/>
              </w:rPr>
              <w:t>To make proof, testimony shall be given by deposition in a judicial proceeding unless otherwise agreed by the parties or provided by law.</w:t>
            </w:r>
          </w:p>
        </w:tc>
        <w:tc>
          <w:tcPr>
            <w:tcW w:w="4681" w:type="dxa"/>
          </w:tcPr>
          <w:p w14:paraId="2C76671F" w14:textId="692EA923" w:rsidR="00755645" w:rsidRPr="00D16016" w:rsidRDefault="00755645" w:rsidP="00755645">
            <w:pPr>
              <w:spacing w:line="240" w:lineRule="auto"/>
              <w:ind w:left="142" w:right="720"/>
              <w:jc w:val="both"/>
              <w:rPr>
                <w:rFonts w:eastAsiaTheme="minorEastAsia" w:cs="Arial"/>
                <w:b/>
                <w:bCs/>
                <w:kern w:val="2"/>
                <w:sz w:val="22"/>
                <w14:ligatures w14:val="standardContextual"/>
              </w:rPr>
            </w:pPr>
            <w:r w:rsidRPr="00D16016">
              <w:rPr>
                <w:rFonts w:cs="Arial"/>
                <w:b/>
                <w:bCs/>
                <w:color w:val="000000" w:themeColor="text1"/>
                <w:sz w:val="22"/>
                <w:szCs w:val="22"/>
                <w:lang w:eastAsia="fr-CA"/>
              </w:rPr>
              <w:t>Il doit, pour faire preuve, être contenu dans une déposition faite à l’instance, sauf du consentement des parties ou dans les cas prévus par la loi.</w:t>
            </w:r>
          </w:p>
        </w:tc>
      </w:tr>
      <w:tr w:rsidR="00755645" w:rsidRPr="00D64FCD" w14:paraId="6E25A01F" w14:textId="555ED199" w:rsidTr="006775BE">
        <w:tc>
          <w:tcPr>
            <w:tcW w:w="4681" w:type="dxa"/>
            <w:shd w:val="clear" w:color="auto" w:fill="auto"/>
          </w:tcPr>
          <w:p w14:paraId="25E570D0" w14:textId="77777777" w:rsidR="00755645" w:rsidRPr="00D16016" w:rsidRDefault="00755645" w:rsidP="00755645">
            <w:pPr>
              <w:spacing w:line="240" w:lineRule="auto"/>
              <w:ind w:left="144" w:right="720"/>
              <w:jc w:val="both"/>
              <w:rPr>
                <w:rFonts w:eastAsiaTheme="minorEastAsia" w:cs="Arial"/>
                <w:kern w:val="2"/>
                <w:sz w:val="22"/>
                <w14:ligatures w14:val="standardContextual"/>
              </w:rPr>
            </w:pPr>
          </w:p>
        </w:tc>
        <w:tc>
          <w:tcPr>
            <w:tcW w:w="4681" w:type="dxa"/>
          </w:tcPr>
          <w:p w14:paraId="319BC368" w14:textId="77777777" w:rsidR="00755645" w:rsidRPr="00D16016" w:rsidRDefault="00755645" w:rsidP="00755645">
            <w:pPr>
              <w:spacing w:line="240" w:lineRule="auto"/>
              <w:ind w:left="144" w:right="720"/>
              <w:jc w:val="both"/>
              <w:rPr>
                <w:rFonts w:eastAsiaTheme="minorEastAsia" w:cs="Arial"/>
                <w:kern w:val="2"/>
                <w:sz w:val="22"/>
                <w14:ligatures w14:val="standardContextual"/>
              </w:rPr>
            </w:pPr>
          </w:p>
        </w:tc>
      </w:tr>
      <w:tr w:rsidR="00755645" w:rsidRPr="00D64FCD" w14:paraId="21E404C5" w14:textId="3FA44B0B" w:rsidTr="006775BE">
        <w:tc>
          <w:tcPr>
            <w:tcW w:w="4681" w:type="dxa"/>
            <w:shd w:val="clear" w:color="auto" w:fill="auto"/>
          </w:tcPr>
          <w:p w14:paraId="2D188CF3"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lang w:val="en-CA"/>
                <w14:ligatures w14:val="standardContextual"/>
              </w:rPr>
              <w:t>[…]</w:t>
            </w:r>
          </w:p>
        </w:tc>
        <w:tc>
          <w:tcPr>
            <w:tcW w:w="4681" w:type="dxa"/>
          </w:tcPr>
          <w:p w14:paraId="1CDFABCE" w14:textId="3E1B9349"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cs="Arial"/>
                <w:color w:val="000000" w:themeColor="text1"/>
                <w:sz w:val="22"/>
                <w:szCs w:val="22"/>
                <w:lang w:val="en-CA" w:eastAsia="fr-CA"/>
              </w:rPr>
              <w:t>[…]</w:t>
            </w:r>
          </w:p>
        </w:tc>
      </w:tr>
      <w:tr w:rsidR="00755645" w:rsidRPr="00D64FCD" w14:paraId="65A4F22D" w14:textId="4BCECA43" w:rsidTr="006775BE">
        <w:tc>
          <w:tcPr>
            <w:tcW w:w="4681" w:type="dxa"/>
            <w:shd w:val="clear" w:color="auto" w:fill="auto"/>
          </w:tcPr>
          <w:p w14:paraId="2FA4F056" w14:textId="77777777" w:rsidR="00755645" w:rsidRPr="00D64FCD" w:rsidRDefault="00755645" w:rsidP="00755645">
            <w:pPr>
              <w:spacing w:line="240" w:lineRule="auto"/>
              <w:ind w:left="144" w:right="720"/>
              <w:jc w:val="both"/>
              <w:rPr>
                <w:rFonts w:eastAsiaTheme="minorEastAsia" w:cs="Arial"/>
                <w:b/>
                <w:bCs/>
                <w:kern w:val="2"/>
                <w:sz w:val="22"/>
                <w:lang w:val="en-CA"/>
                <w14:ligatures w14:val="standardContextual"/>
              </w:rPr>
            </w:pPr>
            <w:r w:rsidRPr="00D64FCD">
              <w:rPr>
                <w:rFonts w:eastAsiaTheme="minorEastAsia" w:cs="Arial"/>
                <w:b/>
                <w:bCs/>
                <w:kern w:val="2"/>
                <w:sz w:val="22"/>
                <w:lang w:val="en-CA"/>
                <w14:ligatures w14:val="standardContextual"/>
              </w:rPr>
              <w:lastRenderedPageBreak/>
              <w:t>CHAPTER III</w:t>
            </w:r>
          </w:p>
        </w:tc>
        <w:tc>
          <w:tcPr>
            <w:tcW w:w="4681" w:type="dxa"/>
          </w:tcPr>
          <w:p w14:paraId="573250AB" w14:textId="42EE1CC1" w:rsidR="00755645" w:rsidRPr="00D64FCD" w:rsidRDefault="00755645" w:rsidP="00755645">
            <w:pPr>
              <w:spacing w:line="240" w:lineRule="auto"/>
              <w:ind w:left="144" w:right="720"/>
              <w:jc w:val="both"/>
              <w:rPr>
                <w:rFonts w:eastAsiaTheme="minorEastAsia" w:cs="Arial"/>
                <w:b/>
                <w:bCs/>
                <w:kern w:val="2"/>
                <w:sz w:val="22"/>
                <w:lang w:val="en-CA"/>
                <w14:ligatures w14:val="standardContextual"/>
              </w:rPr>
            </w:pPr>
            <w:r w:rsidRPr="00D64FCD">
              <w:rPr>
                <w:rFonts w:cs="Arial"/>
                <w:b/>
                <w:bCs/>
                <w:caps/>
                <w:color w:val="000000"/>
                <w:sz w:val="22"/>
                <w:szCs w:val="22"/>
                <w:lang w:val="en-CA" w:eastAsia="fr-CA"/>
              </w:rPr>
              <w:t>CHAPITRE TROISIÈME</w:t>
            </w:r>
          </w:p>
        </w:tc>
      </w:tr>
      <w:tr w:rsidR="00755645" w:rsidRPr="00D64FCD" w14:paraId="703292CC" w14:textId="404D9247" w:rsidTr="006775BE">
        <w:tc>
          <w:tcPr>
            <w:tcW w:w="4681" w:type="dxa"/>
            <w:shd w:val="clear" w:color="auto" w:fill="auto"/>
          </w:tcPr>
          <w:p w14:paraId="7DBA53EC"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lang w:val="en-CA"/>
                <w14:ligatures w14:val="standardContextual"/>
              </w:rPr>
              <w:t>CERTAIN STATEMENTS</w:t>
            </w:r>
          </w:p>
        </w:tc>
        <w:tc>
          <w:tcPr>
            <w:tcW w:w="4681" w:type="dxa"/>
          </w:tcPr>
          <w:p w14:paraId="7AF185AE" w14:textId="43D1EBA9"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cs="Arial"/>
                <w:caps/>
                <w:color w:val="000000"/>
                <w:sz w:val="22"/>
                <w:szCs w:val="22"/>
                <w:lang w:val="en-CA" w:eastAsia="fr-CA"/>
              </w:rPr>
              <w:t>DE CERTAINES DÉCLARATIONS</w:t>
            </w:r>
          </w:p>
        </w:tc>
      </w:tr>
      <w:tr w:rsidR="00755645" w:rsidRPr="00D64FCD" w14:paraId="32FE29AC" w14:textId="1EA266E3" w:rsidTr="006775BE">
        <w:tc>
          <w:tcPr>
            <w:tcW w:w="4681" w:type="dxa"/>
            <w:shd w:val="clear" w:color="auto" w:fill="auto"/>
          </w:tcPr>
          <w:p w14:paraId="4996A329"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c>
          <w:tcPr>
            <w:tcW w:w="4681" w:type="dxa"/>
          </w:tcPr>
          <w:p w14:paraId="5751E3E9"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r>
      <w:tr w:rsidR="00755645" w:rsidRPr="00D64FCD" w14:paraId="7614B7A0" w14:textId="7BA14C7D" w:rsidTr="006775BE">
        <w:tc>
          <w:tcPr>
            <w:tcW w:w="4681" w:type="dxa"/>
            <w:shd w:val="clear" w:color="auto" w:fill="auto"/>
          </w:tcPr>
          <w:p w14:paraId="7613F115"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cs="Arial"/>
                <w:b/>
                <w:bCs/>
                <w:color w:val="212529"/>
                <w:sz w:val="22"/>
                <w:szCs w:val="22"/>
                <w:shd w:val="clear" w:color="auto" w:fill="FFFFFF"/>
                <w:lang w:val="en-CA"/>
              </w:rPr>
              <w:t>2869.</w:t>
            </w:r>
            <w:r w:rsidRPr="00D64FCD">
              <w:rPr>
                <w:rFonts w:cs="Arial"/>
                <w:color w:val="212529"/>
                <w:sz w:val="22"/>
                <w:szCs w:val="22"/>
                <w:shd w:val="clear" w:color="auto" w:fill="FFFFFF"/>
                <w:lang w:val="en-CA"/>
              </w:rPr>
              <w:t> </w:t>
            </w:r>
            <w:r w:rsidRPr="00D64FCD">
              <w:rPr>
                <w:rFonts w:cs="Arial"/>
                <w:color w:val="212529"/>
                <w:sz w:val="22"/>
                <w:szCs w:val="22"/>
                <w:u w:val="single"/>
                <w:shd w:val="clear" w:color="auto" w:fill="FFFFFF"/>
                <w:lang w:val="en-CA"/>
              </w:rPr>
              <w:t>A statement made by a person who does not testify in the judicial proceeding or made by a witness prior</w:t>
            </w:r>
            <w:r w:rsidRPr="00D64FCD">
              <w:rPr>
                <w:rFonts w:cs="Arial"/>
                <w:color w:val="212529"/>
                <w:sz w:val="22"/>
                <w:szCs w:val="22"/>
                <w:shd w:val="clear" w:color="auto" w:fill="FFFFFF"/>
                <w:lang w:val="en-CA"/>
              </w:rPr>
              <w:t xml:space="preserve"> to the judicial proceeding </w:t>
            </w:r>
            <w:r w:rsidRPr="00D64FCD">
              <w:rPr>
                <w:rFonts w:cs="Arial"/>
                <w:color w:val="212529"/>
                <w:sz w:val="22"/>
                <w:szCs w:val="22"/>
                <w:u w:val="single"/>
                <w:shd w:val="clear" w:color="auto" w:fill="FFFFFF"/>
                <w:lang w:val="en-CA"/>
              </w:rPr>
              <w:t xml:space="preserve">is admissible as testimony if the </w:t>
            </w:r>
            <w:proofErr w:type="gramStart"/>
            <w:r w:rsidRPr="00D64FCD">
              <w:rPr>
                <w:rFonts w:cs="Arial"/>
                <w:color w:val="212529"/>
                <w:sz w:val="22"/>
                <w:szCs w:val="22"/>
                <w:u w:val="single"/>
                <w:shd w:val="clear" w:color="auto" w:fill="FFFFFF"/>
                <w:lang w:val="en-CA"/>
              </w:rPr>
              <w:t>parties</w:t>
            </w:r>
            <w:proofErr w:type="gramEnd"/>
            <w:r w:rsidRPr="00D64FCD">
              <w:rPr>
                <w:rFonts w:cs="Arial"/>
                <w:color w:val="212529"/>
                <w:sz w:val="22"/>
                <w:szCs w:val="22"/>
                <w:u w:val="single"/>
                <w:shd w:val="clear" w:color="auto" w:fill="FFFFFF"/>
                <w:lang w:val="en-CA"/>
              </w:rPr>
              <w:t xml:space="preserve"> consent thereto</w:t>
            </w:r>
            <w:r w:rsidRPr="00D64FCD">
              <w:rPr>
                <w:rFonts w:cs="Arial"/>
                <w:color w:val="212529"/>
                <w:sz w:val="22"/>
                <w:szCs w:val="22"/>
                <w:shd w:val="clear" w:color="auto" w:fill="FFFFFF"/>
                <w:lang w:val="en-CA"/>
              </w:rPr>
              <w:t>; a statement that meets the requirements of this chapter or of the law is also admissible as testimony.</w:t>
            </w:r>
          </w:p>
        </w:tc>
        <w:tc>
          <w:tcPr>
            <w:tcW w:w="4681" w:type="dxa"/>
          </w:tcPr>
          <w:p w14:paraId="2D45A738" w14:textId="77777777" w:rsidR="00755645" w:rsidRDefault="00755645" w:rsidP="00755645">
            <w:pPr>
              <w:spacing w:line="240" w:lineRule="auto"/>
              <w:ind w:left="144" w:right="720"/>
              <w:jc w:val="both"/>
              <w:rPr>
                <w:rFonts w:cs="Arial"/>
                <w:color w:val="000000" w:themeColor="text1"/>
                <w:sz w:val="22"/>
                <w:szCs w:val="22"/>
                <w:lang w:eastAsia="fr-CA"/>
              </w:rPr>
            </w:pPr>
            <w:hyperlink r:id="rId20" w:anchor="se:2869" w:history="1">
              <w:r w:rsidRPr="00D16016">
                <w:rPr>
                  <w:rFonts w:cs="Arial"/>
                  <w:b/>
                  <w:bCs/>
                  <w:color w:val="000000" w:themeColor="text1"/>
                  <w:sz w:val="22"/>
                  <w:szCs w:val="22"/>
                  <w:lang w:eastAsia="fr-CA"/>
                </w:rPr>
                <w:t>2869.</w:t>
              </w:r>
            </w:hyperlink>
            <w:r w:rsidRPr="00D16016">
              <w:rPr>
                <w:rFonts w:cs="Arial"/>
                <w:color w:val="000000" w:themeColor="text1"/>
                <w:sz w:val="22"/>
                <w:szCs w:val="22"/>
                <w:lang w:eastAsia="fr-CA"/>
              </w:rPr>
              <w:t> </w:t>
            </w:r>
            <w:r w:rsidRPr="00D16016">
              <w:rPr>
                <w:rFonts w:cs="Arial"/>
                <w:color w:val="000000" w:themeColor="text1"/>
                <w:sz w:val="22"/>
                <w:szCs w:val="22"/>
                <w:u w:val="single"/>
                <w:lang w:eastAsia="fr-CA"/>
              </w:rPr>
              <w:t xml:space="preserve">La déclaration d’une personne qui ne témoigne pas à l’instance ou celle </w:t>
            </w:r>
            <w:proofErr w:type="gramStart"/>
            <w:r w:rsidRPr="00D16016">
              <w:rPr>
                <w:rFonts w:cs="Arial"/>
                <w:color w:val="000000" w:themeColor="text1"/>
                <w:sz w:val="22"/>
                <w:szCs w:val="22"/>
                <w:u w:val="single"/>
                <w:lang w:eastAsia="fr-CA"/>
              </w:rPr>
              <w:t>d’un témoin faite</w:t>
            </w:r>
            <w:proofErr w:type="gramEnd"/>
            <w:r w:rsidRPr="00D16016">
              <w:rPr>
                <w:rFonts w:cs="Arial"/>
                <w:color w:val="000000" w:themeColor="text1"/>
                <w:sz w:val="22"/>
                <w:szCs w:val="22"/>
                <w:u w:val="single"/>
                <w:lang w:eastAsia="fr-CA"/>
              </w:rPr>
              <w:t xml:space="preserve"> antérieurement</w:t>
            </w:r>
            <w:r w:rsidRPr="00D16016">
              <w:rPr>
                <w:rFonts w:cs="Arial"/>
                <w:color w:val="000000" w:themeColor="text1"/>
                <w:sz w:val="22"/>
                <w:szCs w:val="22"/>
                <w:lang w:eastAsia="fr-CA"/>
              </w:rPr>
              <w:t xml:space="preserve"> à l’instance </w:t>
            </w:r>
            <w:r w:rsidRPr="00D16016">
              <w:rPr>
                <w:rFonts w:cs="Arial"/>
                <w:color w:val="000000" w:themeColor="text1"/>
                <w:sz w:val="22"/>
                <w:szCs w:val="22"/>
                <w:u w:val="single"/>
                <w:lang w:eastAsia="fr-CA"/>
              </w:rPr>
              <w:t>est admise à titre de témoignage si les parties y consenten</w:t>
            </w:r>
            <w:r w:rsidRPr="00D16016">
              <w:rPr>
                <w:rFonts w:cs="Arial"/>
                <w:color w:val="000000" w:themeColor="text1"/>
                <w:sz w:val="22"/>
                <w:szCs w:val="22"/>
                <w:lang w:eastAsia="fr-CA"/>
              </w:rPr>
              <w:t>t; est aussi admise à titre de témoignage la déclaration qui respecte les exigences prévues par le présent chapitre ou par la loi.</w:t>
            </w:r>
          </w:p>
          <w:p w14:paraId="7600585C" w14:textId="674A7A2C" w:rsidR="00F54E8E" w:rsidRPr="00D16016" w:rsidRDefault="00F54E8E" w:rsidP="00755645">
            <w:pPr>
              <w:spacing w:line="240" w:lineRule="auto"/>
              <w:ind w:left="144" w:right="720"/>
              <w:jc w:val="both"/>
              <w:rPr>
                <w:rFonts w:cs="Arial"/>
                <w:b/>
                <w:bCs/>
                <w:color w:val="212529"/>
                <w:sz w:val="22"/>
                <w:szCs w:val="22"/>
                <w:shd w:val="clear" w:color="auto" w:fill="FFFFFF"/>
              </w:rPr>
            </w:pPr>
          </w:p>
        </w:tc>
      </w:tr>
      <w:tr w:rsidR="00755645" w:rsidRPr="00D64FCD" w14:paraId="7337787F" w14:textId="064AB27E" w:rsidTr="006775BE">
        <w:tc>
          <w:tcPr>
            <w:tcW w:w="4681" w:type="dxa"/>
            <w:shd w:val="clear" w:color="auto" w:fill="auto"/>
          </w:tcPr>
          <w:p w14:paraId="7BA4900F"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b/>
                <w:bCs/>
                <w:kern w:val="2"/>
                <w:sz w:val="22"/>
                <w:lang w:val="en-CA"/>
                <w14:ligatures w14:val="standardContextual"/>
              </w:rPr>
              <w:t>2870.</w:t>
            </w:r>
            <w:r w:rsidRPr="00D64FCD">
              <w:rPr>
                <w:rFonts w:eastAsiaTheme="minorEastAsia" w:cs="Arial"/>
                <w:kern w:val="2"/>
                <w:sz w:val="22"/>
                <w:lang w:val="en-CA"/>
                <w14:ligatures w14:val="standardContextual"/>
              </w:rPr>
              <w:t> </w:t>
            </w:r>
            <w:r w:rsidRPr="00D64FCD">
              <w:rPr>
                <w:rFonts w:eastAsiaTheme="minorEastAsia" w:cs="Arial"/>
                <w:kern w:val="2"/>
                <w:sz w:val="22"/>
                <w:u w:val="single"/>
                <w:lang w:val="en-CA"/>
                <w14:ligatures w14:val="standardContextual"/>
              </w:rPr>
              <w:t>A statement made by a person who does not appear as a witness</w:t>
            </w:r>
            <w:r w:rsidRPr="00D64FCD">
              <w:rPr>
                <w:rFonts w:eastAsiaTheme="minorEastAsia" w:cs="Arial"/>
                <w:kern w:val="2"/>
                <w:sz w:val="22"/>
                <w:lang w:val="en-CA"/>
                <w14:ligatures w14:val="standardContextual"/>
              </w:rPr>
              <w:t xml:space="preserve">, </w:t>
            </w:r>
            <w:r w:rsidRPr="00D64FCD">
              <w:rPr>
                <w:rFonts w:eastAsiaTheme="minorEastAsia" w:cs="Arial"/>
                <w:kern w:val="2"/>
                <w:sz w:val="22"/>
                <w:u w:val="single"/>
                <w:lang w:val="en-CA"/>
                <w14:ligatures w14:val="standardContextual"/>
              </w:rPr>
              <w:t>concerning facts to which he could have legally testified</w:t>
            </w:r>
            <w:r w:rsidRPr="00D64FCD">
              <w:rPr>
                <w:rFonts w:eastAsiaTheme="minorEastAsia" w:cs="Arial"/>
                <w:kern w:val="2"/>
                <w:sz w:val="22"/>
                <w:lang w:val="en-CA"/>
                <w14:ligatures w14:val="standardContextual"/>
              </w:rPr>
              <w:t xml:space="preserve">, </w:t>
            </w:r>
            <w:r w:rsidRPr="00D64FCD">
              <w:rPr>
                <w:rFonts w:eastAsiaTheme="minorEastAsia" w:cs="Arial"/>
                <w:kern w:val="2"/>
                <w:sz w:val="22"/>
                <w:u w:val="single"/>
                <w:lang w:val="en-CA"/>
                <w14:ligatures w14:val="standardContextual"/>
              </w:rPr>
              <w:t>is admissible as testimony</w:t>
            </w:r>
            <w:r w:rsidRPr="00D64FCD">
              <w:rPr>
                <w:rFonts w:eastAsiaTheme="minorEastAsia" w:cs="Arial"/>
                <w:kern w:val="2"/>
                <w:sz w:val="22"/>
                <w:lang w:val="en-CA"/>
                <w14:ligatures w14:val="standardContextual"/>
              </w:rPr>
              <w:t xml:space="preserve"> on application and after notice is given to the adverse party, </w:t>
            </w:r>
            <w:r w:rsidRPr="00D64FCD">
              <w:rPr>
                <w:rFonts w:eastAsiaTheme="minorEastAsia" w:cs="Arial"/>
                <w:kern w:val="2"/>
                <w:sz w:val="22"/>
                <w:u w:val="single"/>
                <w:lang w:val="en-CA"/>
                <w14:ligatures w14:val="standardContextual"/>
              </w:rPr>
              <w:t>provided the court authorizes it</w:t>
            </w:r>
            <w:r w:rsidRPr="00D64FCD">
              <w:rPr>
                <w:rFonts w:eastAsiaTheme="minorEastAsia" w:cs="Arial"/>
                <w:kern w:val="2"/>
                <w:sz w:val="22"/>
                <w:lang w:val="en-CA"/>
                <w14:ligatures w14:val="standardContextual"/>
              </w:rPr>
              <w:t>.</w:t>
            </w:r>
          </w:p>
        </w:tc>
        <w:tc>
          <w:tcPr>
            <w:tcW w:w="4681" w:type="dxa"/>
          </w:tcPr>
          <w:p w14:paraId="2A5C3D5A" w14:textId="77777777" w:rsidR="00755645" w:rsidRDefault="00755645" w:rsidP="00755645">
            <w:pPr>
              <w:spacing w:line="240" w:lineRule="auto"/>
              <w:ind w:left="144" w:right="720"/>
              <w:jc w:val="both"/>
              <w:rPr>
                <w:rFonts w:eastAsiaTheme="minorEastAsia" w:cs="Arial"/>
                <w:kern w:val="2"/>
                <w:sz w:val="22"/>
                <w:u w:val="single"/>
                <w14:ligatures w14:val="standardContextual"/>
              </w:rPr>
            </w:pPr>
            <w:r w:rsidRPr="00D16016">
              <w:rPr>
                <w:rFonts w:eastAsiaTheme="minorEastAsia" w:cs="Arial"/>
                <w:b/>
                <w:bCs/>
                <w:kern w:val="2"/>
                <w:sz w:val="22"/>
                <w14:ligatures w14:val="standardContextual"/>
              </w:rPr>
              <w:t>2870.</w:t>
            </w:r>
            <w:r w:rsidRPr="00D16016">
              <w:rPr>
                <w:rFonts w:eastAsiaTheme="minorEastAsia" w:cs="Arial"/>
                <w:kern w:val="2"/>
                <w:sz w:val="22"/>
                <w14:ligatures w14:val="standardContextual"/>
              </w:rPr>
              <w:t xml:space="preserve"> La déclaration faite </w:t>
            </w:r>
            <w:r w:rsidRPr="00D16016">
              <w:rPr>
                <w:rFonts w:eastAsiaTheme="minorEastAsia" w:cs="Arial"/>
                <w:kern w:val="2"/>
                <w:sz w:val="22"/>
                <w:u w:val="single"/>
                <w14:ligatures w14:val="standardContextual"/>
              </w:rPr>
              <w:t>par une personne qui ne comparaît pas comme témoin</w:t>
            </w:r>
            <w:r w:rsidRPr="00D16016">
              <w:rPr>
                <w:rFonts w:eastAsiaTheme="minorEastAsia" w:cs="Arial"/>
                <w:kern w:val="2"/>
                <w:sz w:val="22"/>
                <w14:ligatures w14:val="standardContextual"/>
              </w:rPr>
              <w:t xml:space="preserve">, </w:t>
            </w:r>
            <w:r w:rsidRPr="00D16016">
              <w:rPr>
                <w:rFonts w:eastAsiaTheme="minorEastAsia" w:cs="Arial"/>
                <w:kern w:val="2"/>
                <w:sz w:val="22"/>
                <w:u w:val="single"/>
                <w14:ligatures w14:val="standardContextual"/>
              </w:rPr>
              <w:t>sur des faits au sujet desquels elle aurait pu légalement déposer</w:t>
            </w:r>
            <w:r w:rsidRPr="00D16016">
              <w:rPr>
                <w:rFonts w:eastAsiaTheme="minorEastAsia" w:cs="Arial"/>
                <w:kern w:val="2"/>
                <w:sz w:val="22"/>
                <w14:ligatures w14:val="standardContextual"/>
              </w:rPr>
              <w:t xml:space="preserve">, </w:t>
            </w:r>
            <w:r w:rsidRPr="00D16016">
              <w:rPr>
                <w:rFonts w:eastAsiaTheme="minorEastAsia" w:cs="Arial"/>
                <w:kern w:val="2"/>
                <w:sz w:val="22"/>
                <w:u w:val="single"/>
                <w14:ligatures w14:val="standardContextual"/>
              </w:rPr>
              <w:t>peut être admise à titre de témoignage</w:t>
            </w:r>
            <w:r w:rsidRPr="00D16016">
              <w:rPr>
                <w:rFonts w:eastAsiaTheme="minorEastAsia" w:cs="Arial"/>
                <w:kern w:val="2"/>
                <w:sz w:val="22"/>
                <w14:ligatures w14:val="standardContextual"/>
              </w:rPr>
              <w:t xml:space="preserve">, </w:t>
            </w:r>
            <w:r w:rsidRPr="00D16016">
              <w:rPr>
                <w:rFonts w:eastAsiaTheme="minorEastAsia" w:cs="Arial"/>
                <w:kern w:val="2"/>
                <w:sz w:val="22"/>
                <w:u w:val="single"/>
                <w14:ligatures w14:val="standardContextual"/>
              </w:rPr>
              <w:t>pourvu que</w:t>
            </w:r>
            <w:r w:rsidRPr="00D16016">
              <w:rPr>
                <w:rFonts w:eastAsiaTheme="minorEastAsia" w:cs="Arial"/>
                <w:kern w:val="2"/>
                <w:sz w:val="22"/>
                <w14:ligatures w14:val="standardContextual"/>
              </w:rPr>
              <w:t xml:space="preserve">, sur demande et après qu’avis en ait été donné à la partie adverse, </w:t>
            </w:r>
            <w:r w:rsidRPr="00D16016">
              <w:rPr>
                <w:rFonts w:eastAsiaTheme="minorEastAsia" w:cs="Arial"/>
                <w:kern w:val="2"/>
                <w:sz w:val="22"/>
                <w:u w:val="single"/>
                <w14:ligatures w14:val="standardContextual"/>
              </w:rPr>
              <w:t>le tribunal l’autorise.</w:t>
            </w:r>
          </w:p>
          <w:p w14:paraId="7AAE42FE" w14:textId="2F3DEAA3" w:rsidR="00F54E8E" w:rsidRPr="00D16016" w:rsidRDefault="00F54E8E" w:rsidP="00755645">
            <w:pPr>
              <w:spacing w:line="240" w:lineRule="auto"/>
              <w:ind w:left="144" w:right="720"/>
              <w:jc w:val="both"/>
              <w:rPr>
                <w:rFonts w:eastAsiaTheme="minorEastAsia" w:cs="Arial"/>
                <w:b/>
                <w:bCs/>
                <w:kern w:val="2"/>
                <w:sz w:val="22"/>
                <w14:ligatures w14:val="standardContextual"/>
              </w:rPr>
            </w:pPr>
          </w:p>
        </w:tc>
      </w:tr>
      <w:tr w:rsidR="00755645" w:rsidRPr="00D64FCD" w14:paraId="0CEBD377" w14:textId="0A4D0576" w:rsidTr="006775BE">
        <w:tc>
          <w:tcPr>
            <w:tcW w:w="4681" w:type="dxa"/>
            <w:shd w:val="clear" w:color="auto" w:fill="auto"/>
          </w:tcPr>
          <w:p w14:paraId="1A9566DD"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u w:val="single"/>
                <w:lang w:val="en-CA"/>
                <w14:ligatures w14:val="standardContextual"/>
              </w:rPr>
              <w:t>The court shall, however,</w:t>
            </w:r>
            <w:r w:rsidRPr="00D64FCD">
              <w:rPr>
                <w:rFonts w:eastAsiaTheme="minorEastAsia" w:cs="Arial"/>
                <w:kern w:val="2"/>
                <w:sz w:val="22"/>
                <w:lang w:val="en-CA"/>
                <w14:ligatures w14:val="standardContextual"/>
              </w:rPr>
              <w:t xml:space="preserve"> </w:t>
            </w:r>
            <w:r w:rsidRPr="00D64FCD">
              <w:rPr>
                <w:rFonts w:eastAsiaTheme="minorEastAsia" w:cs="Arial"/>
                <w:kern w:val="2"/>
                <w:sz w:val="22"/>
                <w:u w:val="single"/>
                <w:lang w:val="en-CA"/>
                <w14:ligatures w14:val="standardContextual"/>
              </w:rPr>
              <w:t>ascertain that it is impossible for the declarant to appear as a witness, or that it is unreasonable to require him to do so</w:t>
            </w:r>
            <w:r w:rsidRPr="00D64FCD">
              <w:rPr>
                <w:rFonts w:eastAsiaTheme="minorEastAsia" w:cs="Arial"/>
                <w:kern w:val="2"/>
                <w:sz w:val="22"/>
                <w:lang w:val="en-CA"/>
                <w14:ligatures w14:val="standardContextual"/>
              </w:rPr>
              <w:t>, and that the reliability of the statement is sufficiently guaranteed by the circumstances in which it is made.</w:t>
            </w:r>
          </w:p>
          <w:p w14:paraId="7097DC50"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lang w:val="en-CA"/>
                <w14:ligatures w14:val="standardContextual"/>
              </w:rPr>
              <w:t>[…]</w:t>
            </w:r>
          </w:p>
        </w:tc>
        <w:tc>
          <w:tcPr>
            <w:tcW w:w="4681" w:type="dxa"/>
          </w:tcPr>
          <w:p w14:paraId="755F4455" w14:textId="77777777" w:rsidR="00755645" w:rsidRPr="00C533A5" w:rsidRDefault="00755645" w:rsidP="00C533A5">
            <w:pPr>
              <w:spacing w:line="240" w:lineRule="auto"/>
              <w:ind w:left="144" w:right="720"/>
              <w:jc w:val="both"/>
              <w:rPr>
                <w:rFonts w:eastAsiaTheme="minorEastAsia" w:cs="Arial"/>
                <w:kern w:val="2"/>
                <w:sz w:val="22"/>
                <w14:ligatures w14:val="standardContextual"/>
              </w:rPr>
            </w:pPr>
            <w:r w:rsidRPr="00C533A5">
              <w:rPr>
                <w:rFonts w:eastAsiaTheme="minorEastAsia" w:cs="Arial"/>
                <w:kern w:val="2"/>
                <w:sz w:val="22"/>
                <w:u w:val="single"/>
                <w14:ligatures w14:val="standardContextual"/>
              </w:rPr>
              <w:t>Celui-ci doit cependant s’assurer qu’il est impossible d’obtenir la comparution du déclarant comme témoin, ou déraisonnable de l’exiger</w:t>
            </w:r>
            <w:r w:rsidRPr="00C533A5">
              <w:rPr>
                <w:rFonts w:eastAsiaTheme="minorEastAsia" w:cs="Arial"/>
                <w:kern w:val="2"/>
                <w:sz w:val="22"/>
                <w14:ligatures w14:val="standardContextual"/>
              </w:rPr>
              <w:t>, et que les circonstances entourant la déclaration donnent à celle-ci des garanties suffisamment sérieuses pour pouvoir s’y fier.</w:t>
            </w:r>
          </w:p>
          <w:p w14:paraId="47D724A8" w14:textId="62CD57E7" w:rsidR="00755645" w:rsidRPr="00D64FCD" w:rsidRDefault="00755645" w:rsidP="00755645">
            <w:pPr>
              <w:spacing w:line="240" w:lineRule="auto"/>
              <w:ind w:left="144" w:right="720"/>
              <w:jc w:val="both"/>
              <w:rPr>
                <w:rFonts w:eastAsiaTheme="minorEastAsia" w:cs="Arial"/>
                <w:kern w:val="2"/>
                <w:sz w:val="22"/>
                <w:u w:val="single"/>
                <w:lang w:val="en-CA"/>
                <w14:ligatures w14:val="standardContextual"/>
              </w:rPr>
            </w:pPr>
            <w:r w:rsidRPr="00C533A5">
              <w:rPr>
                <w:rFonts w:eastAsiaTheme="minorEastAsia" w:cs="Arial"/>
                <w:kern w:val="2"/>
                <w:sz w:val="22"/>
                <w14:ligatures w14:val="standardContextual"/>
              </w:rPr>
              <w:t>[…]</w:t>
            </w:r>
          </w:p>
        </w:tc>
      </w:tr>
      <w:tr w:rsidR="00755645" w:rsidRPr="00D64FCD" w14:paraId="170ACB30" w14:textId="23A621FE" w:rsidTr="006775BE">
        <w:tc>
          <w:tcPr>
            <w:tcW w:w="4681" w:type="dxa"/>
            <w:shd w:val="clear" w:color="auto" w:fill="auto"/>
          </w:tcPr>
          <w:p w14:paraId="1852BEED" w14:textId="77777777" w:rsidR="00755645" w:rsidRPr="00D64FCD" w:rsidRDefault="00755645" w:rsidP="00755645">
            <w:pPr>
              <w:spacing w:line="240" w:lineRule="auto"/>
              <w:ind w:left="144" w:right="720"/>
              <w:jc w:val="both"/>
              <w:rPr>
                <w:rFonts w:eastAsiaTheme="minorEastAsia" w:cs="Arial"/>
                <w:b/>
                <w:bCs/>
                <w:i/>
                <w:iCs/>
                <w:kern w:val="2"/>
                <w:sz w:val="22"/>
                <w:lang w:val="en-CA"/>
                <w14:ligatures w14:val="standardContextual"/>
              </w:rPr>
            </w:pPr>
          </w:p>
          <w:p w14:paraId="39734AD6" w14:textId="77777777" w:rsidR="00755645" w:rsidRPr="00D64FCD" w:rsidRDefault="00755645" w:rsidP="00755645">
            <w:pPr>
              <w:spacing w:line="240" w:lineRule="auto"/>
              <w:ind w:left="144" w:right="720"/>
              <w:jc w:val="both"/>
              <w:rPr>
                <w:rFonts w:eastAsiaTheme="minorEastAsia" w:cs="Arial"/>
                <w:b/>
                <w:bCs/>
                <w:i/>
                <w:iCs/>
                <w:kern w:val="2"/>
                <w:sz w:val="22"/>
                <w:lang w:val="en-CA"/>
                <w14:ligatures w14:val="standardContextual"/>
              </w:rPr>
            </w:pPr>
            <w:r w:rsidRPr="00D64FCD">
              <w:rPr>
                <w:rFonts w:eastAsiaTheme="minorEastAsia" w:cs="Arial"/>
                <w:b/>
                <w:bCs/>
                <w:i/>
                <w:iCs/>
                <w:kern w:val="2"/>
                <w:sz w:val="22"/>
                <w:lang w:val="en-CA"/>
                <w14:ligatures w14:val="standardContextual"/>
              </w:rPr>
              <w:t>Code of Civil Procedure</w:t>
            </w:r>
          </w:p>
        </w:tc>
        <w:tc>
          <w:tcPr>
            <w:tcW w:w="4681" w:type="dxa"/>
          </w:tcPr>
          <w:p w14:paraId="7AB22FD3" w14:textId="77777777" w:rsidR="00755645" w:rsidRPr="00D64FCD" w:rsidRDefault="00755645" w:rsidP="00755645">
            <w:pPr>
              <w:spacing w:line="240" w:lineRule="auto"/>
              <w:ind w:left="720" w:right="142"/>
              <w:jc w:val="both"/>
              <w:rPr>
                <w:rFonts w:eastAsiaTheme="minorEastAsia" w:cs="Arial"/>
                <w:b/>
                <w:bCs/>
                <w:i/>
                <w:iCs/>
                <w:kern w:val="2"/>
                <w:sz w:val="22"/>
                <w:lang w:val="en-CA"/>
                <w14:ligatures w14:val="standardContextual"/>
              </w:rPr>
            </w:pPr>
          </w:p>
          <w:p w14:paraId="3772C266" w14:textId="20E1BBF9" w:rsidR="00755645" w:rsidRPr="00D64FCD" w:rsidRDefault="00755645" w:rsidP="00755645">
            <w:pPr>
              <w:spacing w:line="240" w:lineRule="auto"/>
              <w:ind w:left="144" w:right="720"/>
              <w:jc w:val="both"/>
              <w:rPr>
                <w:rFonts w:eastAsiaTheme="minorEastAsia" w:cs="Arial"/>
                <w:b/>
                <w:bCs/>
                <w:i/>
                <w:iCs/>
                <w:kern w:val="2"/>
                <w:sz w:val="22"/>
                <w:lang w:val="en-CA"/>
                <w14:ligatures w14:val="standardContextual"/>
              </w:rPr>
            </w:pPr>
            <w:r w:rsidRPr="00D64FCD">
              <w:rPr>
                <w:rFonts w:eastAsiaTheme="minorEastAsia" w:cs="Arial"/>
                <w:b/>
                <w:bCs/>
                <w:i/>
                <w:iCs/>
                <w:kern w:val="2"/>
                <w:sz w:val="22"/>
                <w:lang w:val="en-CA"/>
                <w14:ligatures w14:val="standardContextual"/>
              </w:rPr>
              <w:t xml:space="preserve">Code de </w:t>
            </w:r>
            <w:proofErr w:type="spellStart"/>
            <w:r w:rsidRPr="00D64FCD">
              <w:rPr>
                <w:rFonts w:eastAsiaTheme="minorEastAsia" w:cs="Arial"/>
                <w:b/>
                <w:bCs/>
                <w:i/>
                <w:iCs/>
                <w:kern w:val="2"/>
                <w:sz w:val="22"/>
                <w:lang w:val="en-CA"/>
                <w14:ligatures w14:val="standardContextual"/>
              </w:rPr>
              <w:t>procédure</w:t>
            </w:r>
            <w:proofErr w:type="spellEnd"/>
            <w:r w:rsidRPr="00D64FCD">
              <w:rPr>
                <w:rFonts w:eastAsiaTheme="minorEastAsia" w:cs="Arial"/>
                <w:b/>
                <w:bCs/>
                <w:i/>
                <w:iCs/>
                <w:kern w:val="2"/>
                <w:sz w:val="22"/>
                <w:lang w:val="en-CA"/>
                <w14:ligatures w14:val="standardContextual"/>
              </w:rPr>
              <w:t xml:space="preserve"> civile</w:t>
            </w:r>
          </w:p>
        </w:tc>
      </w:tr>
      <w:tr w:rsidR="00755645" w:rsidRPr="00D64FCD" w14:paraId="3E44A106" w14:textId="48989494" w:rsidTr="006775BE">
        <w:tc>
          <w:tcPr>
            <w:tcW w:w="4681" w:type="dxa"/>
            <w:shd w:val="clear" w:color="auto" w:fill="auto"/>
          </w:tcPr>
          <w:p w14:paraId="6974BB5C"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c>
          <w:tcPr>
            <w:tcW w:w="4681" w:type="dxa"/>
          </w:tcPr>
          <w:p w14:paraId="2088BD38"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r>
      <w:tr w:rsidR="00755645" w:rsidRPr="00D64FCD" w14:paraId="5ABB26DA" w14:textId="38CFE3D0" w:rsidTr="006775BE">
        <w:tc>
          <w:tcPr>
            <w:tcW w:w="4681" w:type="dxa"/>
            <w:shd w:val="clear" w:color="auto" w:fill="auto"/>
          </w:tcPr>
          <w:p w14:paraId="24D356F1" w14:textId="73A0281E" w:rsidR="00755645" w:rsidRPr="00D64FCD" w:rsidRDefault="00755645" w:rsidP="00755645">
            <w:pPr>
              <w:spacing w:line="240" w:lineRule="auto"/>
              <w:ind w:left="144" w:right="720"/>
              <w:jc w:val="both"/>
              <w:rPr>
                <w:rFonts w:eastAsiaTheme="minorEastAsia" w:cs="Arial"/>
                <w:b/>
                <w:bCs/>
                <w:kern w:val="2"/>
                <w:sz w:val="22"/>
                <w:lang w:val="en-CA"/>
                <w14:ligatures w14:val="standardContextual"/>
              </w:rPr>
            </w:pPr>
            <w:r w:rsidRPr="00D64FCD">
              <w:rPr>
                <w:rFonts w:eastAsiaTheme="minorEastAsia" w:cs="Arial"/>
                <w:b/>
                <w:bCs/>
                <w:kern w:val="2"/>
                <w:sz w:val="22"/>
                <w:lang w:val="en-CA"/>
                <w14:ligatures w14:val="standardContextual"/>
              </w:rPr>
              <w:t>DIVISION</w:t>
            </w:r>
            <w:r w:rsidR="00F92FA1">
              <w:rPr>
                <w:rFonts w:eastAsiaTheme="minorEastAsia" w:cs="Arial"/>
                <w:b/>
                <w:bCs/>
                <w:kern w:val="2"/>
                <w:sz w:val="22"/>
                <w:lang w:val="en-CA"/>
                <w14:ligatures w14:val="standardContextual"/>
              </w:rPr>
              <w:t> </w:t>
            </w:r>
            <w:r w:rsidRPr="00D64FCD">
              <w:rPr>
                <w:rFonts w:eastAsiaTheme="minorEastAsia" w:cs="Arial"/>
                <w:b/>
                <w:bCs/>
                <w:kern w:val="2"/>
                <w:sz w:val="22"/>
                <w:lang w:val="en-CA"/>
                <w14:ligatures w14:val="standardContextual"/>
              </w:rPr>
              <w:t>III</w:t>
            </w:r>
          </w:p>
        </w:tc>
        <w:tc>
          <w:tcPr>
            <w:tcW w:w="4681" w:type="dxa"/>
          </w:tcPr>
          <w:p w14:paraId="1A636D91" w14:textId="65EF54D0" w:rsidR="00755645" w:rsidRPr="00D64FCD" w:rsidRDefault="00755645" w:rsidP="00755645">
            <w:pPr>
              <w:spacing w:line="240" w:lineRule="auto"/>
              <w:ind w:left="144" w:right="720"/>
              <w:jc w:val="both"/>
              <w:rPr>
                <w:rFonts w:eastAsiaTheme="minorEastAsia" w:cs="Arial"/>
                <w:b/>
                <w:bCs/>
                <w:kern w:val="2"/>
                <w:sz w:val="22"/>
                <w:lang w:val="en-CA"/>
                <w14:ligatures w14:val="standardContextual"/>
              </w:rPr>
            </w:pPr>
            <w:r w:rsidRPr="00D64FCD">
              <w:rPr>
                <w:rFonts w:eastAsiaTheme="minorEastAsia" w:cs="Arial"/>
                <w:b/>
                <w:bCs/>
                <w:kern w:val="2"/>
                <w:sz w:val="22"/>
                <w:lang w:val="en-CA"/>
                <w14:ligatures w14:val="standardContextual"/>
              </w:rPr>
              <w:t>SECTION</w:t>
            </w:r>
            <w:r w:rsidR="00F92FA1">
              <w:rPr>
                <w:rFonts w:eastAsiaTheme="minorEastAsia" w:cs="Arial"/>
                <w:b/>
                <w:bCs/>
                <w:kern w:val="2"/>
                <w:sz w:val="22"/>
                <w:lang w:val="en-CA"/>
                <w14:ligatures w14:val="standardContextual"/>
              </w:rPr>
              <w:t> </w:t>
            </w:r>
            <w:r w:rsidRPr="00D64FCD">
              <w:rPr>
                <w:rFonts w:eastAsiaTheme="minorEastAsia" w:cs="Arial"/>
                <w:b/>
                <w:bCs/>
                <w:kern w:val="2"/>
                <w:sz w:val="22"/>
                <w:lang w:val="en-CA"/>
                <w14:ligatures w14:val="standardContextual"/>
              </w:rPr>
              <w:t>III</w:t>
            </w:r>
          </w:p>
        </w:tc>
      </w:tr>
      <w:tr w:rsidR="00755645" w:rsidRPr="00D64FCD" w14:paraId="0F229F38" w14:textId="736F26B2" w:rsidTr="006775BE">
        <w:tc>
          <w:tcPr>
            <w:tcW w:w="4681" w:type="dxa"/>
            <w:shd w:val="clear" w:color="auto" w:fill="auto"/>
          </w:tcPr>
          <w:p w14:paraId="017C0D9B"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lang w:val="en-CA"/>
                <w14:ligatures w14:val="standardContextual"/>
              </w:rPr>
              <w:t>HEARING OF WITNESSES</w:t>
            </w:r>
          </w:p>
        </w:tc>
        <w:tc>
          <w:tcPr>
            <w:tcW w:w="4681" w:type="dxa"/>
          </w:tcPr>
          <w:p w14:paraId="0A2C5E66" w14:textId="67E477CD"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lang w:val="en-CA"/>
                <w14:ligatures w14:val="standardContextual"/>
              </w:rPr>
              <w:t>L’AUDITION DES TÉMOINS</w:t>
            </w:r>
          </w:p>
        </w:tc>
      </w:tr>
      <w:tr w:rsidR="00755645" w:rsidRPr="00D64FCD" w14:paraId="4C701D28" w14:textId="632E198A" w:rsidTr="006775BE">
        <w:tc>
          <w:tcPr>
            <w:tcW w:w="4681" w:type="dxa"/>
            <w:shd w:val="clear" w:color="auto" w:fill="auto"/>
          </w:tcPr>
          <w:p w14:paraId="285B2A3D"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c>
          <w:tcPr>
            <w:tcW w:w="4681" w:type="dxa"/>
          </w:tcPr>
          <w:p w14:paraId="7A969C98"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r>
      <w:tr w:rsidR="00755645" w:rsidRPr="00D64FCD" w14:paraId="48C0CD50" w14:textId="7F026EC6" w:rsidTr="006775BE">
        <w:tc>
          <w:tcPr>
            <w:tcW w:w="4681" w:type="dxa"/>
            <w:shd w:val="clear" w:color="auto" w:fill="auto"/>
          </w:tcPr>
          <w:p w14:paraId="2B5075B8"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b/>
                <w:bCs/>
                <w:kern w:val="2"/>
                <w:sz w:val="22"/>
                <w:lang w:val="en-CA"/>
                <w14:ligatures w14:val="standardContextual"/>
              </w:rPr>
              <w:t>276.</w:t>
            </w:r>
            <w:r w:rsidRPr="00D64FCD">
              <w:rPr>
                <w:rFonts w:eastAsiaTheme="minorEastAsia" w:cs="Arial"/>
                <w:kern w:val="2"/>
                <w:sz w:val="22"/>
                <w:lang w:val="en-CA"/>
                <w14:ligatures w14:val="standardContextual"/>
              </w:rPr>
              <w:t> </w:t>
            </w:r>
            <w:r w:rsidRPr="00D64FCD">
              <w:rPr>
                <w:rFonts w:eastAsiaTheme="minorEastAsia" w:cs="Arial"/>
                <w:kern w:val="2"/>
                <w:sz w:val="22"/>
                <w:u w:val="single"/>
                <w:lang w:val="en-CA"/>
                <w14:ligatures w14:val="standardContextual"/>
              </w:rPr>
              <w:t>All persons are presumed competent to testify and may be compelled to do so</w:t>
            </w:r>
            <w:r w:rsidRPr="00D64FCD">
              <w:rPr>
                <w:rFonts w:eastAsiaTheme="minorEastAsia" w:cs="Arial"/>
                <w:kern w:val="2"/>
                <w:sz w:val="22"/>
                <w:lang w:val="en-CA"/>
                <w14:ligatures w14:val="standardContextual"/>
              </w:rPr>
              <w:t>. However, persons who, because of their young age or physical or mental condition, are unable to relate the facts of which they have knowledge are not competent to testify.</w:t>
            </w:r>
          </w:p>
        </w:tc>
        <w:tc>
          <w:tcPr>
            <w:tcW w:w="4681" w:type="dxa"/>
          </w:tcPr>
          <w:p w14:paraId="1B609000" w14:textId="42D4EC08" w:rsidR="00755645" w:rsidRPr="00D16016" w:rsidRDefault="00755645" w:rsidP="00755645">
            <w:pPr>
              <w:spacing w:line="240" w:lineRule="auto"/>
              <w:ind w:left="144" w:right="720"/>
              <w:jc w:val="both"/>
              <w:rPr>
                <w:rFonts w:eastAsiaTheme="minorEastAsia" w:cs="Arial"/>
                <w:b/>
                <w:bCs/>
                <w:kern w:val="2"/>
                <w:sz w:val="22"/>
                <w14:ligatures w14:val="standardContextual"/>
              </w:rPr>
            </w:pPr>
            <w:hyperlink r:id="rId21" w:anchor="se:276" w:history="1">
              <w:r w:rsidRPr="00D16016">
                <w:rPr>
                  <w:rFonts w:cs="Arial"/>
                  <w:b/>
                  <w:bCs/>
                  <w:color w:val="000000" w:themeColor="text1"/>
                  <w:sz w:val="22"/>
                  <w:szCs w:val="22"/>
                  <w:lang w:eastAsia="fr-CA"/>
                </w:rPr>
                <w:t>276.</w:t>
              </w:r>
            </w:hyperlink>
            <w:r w:rsidRPr="00D16016">
              <w:rPr>
                <w:rFonts w:cs="Arial"/>
                <w:color w:val="000000" w:themeColor="text1"/>
                <w:sz w:val="22"/>
                <w:szCs w:val="22"/>
                <w:lang w:eastAsia="fr-CA"/>
              </w:rPr>
              <w:t> </w:t>
            </w:r>
            <w:r w:rsidRPr="00D16016">
              <w:rPr>
                <w:rFonts w:cs="Arial"/>
                <w:color w:val="000000" w:themeColor="text1"/>
                <w:sz w:val="22"/>
                <w:szCs w:val="22"/>
                <w:u w:val="single"/>
                <w:lang w:eastAsia="fr-CA"/>
              </w:rPr>
              <w:t>Toute personne est présumée apte à témoigner et peut être contrainte de le faire</w:t>
            </w:r>
            <w:r w:rsidRPr="00D16016">
              <w:rPr>
                <w:rFonts w:cs="Arial"/>
                <w:color w:val="000000" w:themeColor="text1"/>
                <w:sz w:val="22"/>
                <w:szCs w:val="22"/>
                <w:lang w:eastAsia="fr-CA"/>
              </w:rPr>
              <w:t xml:space="preserve">. Elle est inapte à </w:t>
            </w:r>
            <w:r w:rsidRPr="00D16016">
              <w:rPr>
                <w:rFonts w:eastAsiaTheme="minorEastAsia" w:cs="Arial"/>
                <w:color w:val="000000" w:themeColor="text1"/>
                <w:kern w:val="2"/>
                <w:sz w:val="22"/>
                <w14:ligatures w14:val="standardContextual"/>
              </w:rPr>
              <w:t>témoigner</w:t>
            </w:r>
            <w:r w:rsidRPr="00D16016">
              <w:rPr>
                <w:rFonts w:cs="Arial"/>
                <w:color w:val="000000" w:themeColor="text1"/>
                <w:sz w:val="22"/>
                <w:szCs w:val="22"/>
                <w:lang w:eastAsia="fr-CA"/>
              </w:rPr>
              <w:t xml:space="preserve"> si, en raison de son jeune âge ou de son état physique ou mental, elle n’est pas en état de rapporter des faits dont elle a eu connaissance.</w:t>
            </w:r>
          </w:p>
        </w:tc>
      </w:tr>
      <w:tr w:rsidR="00755645" w:rsidRPr="00D64FCD" w14:paraId="0618406D" w14:textId="62812365" w:rsidTr="006775BE">
        <w:tc>
          <w:tcPr>
            <w:tcW w:w="4681" w:type="dxa"/>
            <w:shd w:val="clear" w:color="auto" w:fill="auto"/>
          </w:tcPr>
          <w:p w14:paraId="0E87AD83"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kern w:val="2"/>
                <w:sz w:val="22"/>
                <w:lang w:val="en-CA"/>
                <w14:ligatures w14:val="standardContextual"/>
              </w:rPr>
              <w:t>[…]</w:t>
            </w:r>
          </w:p>
        </w:tc>
        <w:tc>
          <w:tcPr>
            <w:tcW w:w="4681" w:type="dxa"/>
          </w:tcPr>
          <w:p w14:paraId="0F37B9E7" w14:textId="7D6FD2B5"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lang w:val="en-CA"/>
              </w:rPr>
              <w:t>[…]</w:t>
            </w:r>
          </w:p>
        </w:tc>
      </w:tr>
      <w:tr w:rsidR="00755645" w:rsidRPr="00D64FCD" w14:paraId="44AF2BC3" w14:textId="67E38F15" w:rsidTr="006775BE">
        <w:tc>
          <w:tcPr>
            <w:tcW w:w="4681" w:type="dxa"/>
            <w:shd w:val="clear" w:color="auto" w:fill="auto"/>
          </w:tcPr>
          <w:p w14:paraId="35E59C6F"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c>
          <w:tcPr>
            <w:tcW w:w="4681" w:type="dxa"/>
          </w:tcPr>
          <w:p w14:paraId="1FF5135D"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p>
        </w:tc>
      </w:tr>
      <w:tr w:rsidR="00755645" w:rsidRPr="00D64FCD" w14:paraId="35E6DE27" w14:textId="17F49E7F" w:rsidTr="006775BE">
        <w:tc>
          <w:tcPr>
            <w:tcW w:w="4681" w:type="dxa"/>
            <w:shd w:val="clear" w:color="auto" w:fill="auto"/>
          </w:tcPr>
          <w:p w14:paraId="0A8BF29B"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eastAsiaTheme="minorEastAsia" w:cs="Arial"/>
                <w:b/>
                <w:bCs/>
                <w:kern w:val="2"/>
                <w:sz w:val="22"/>
                <w:lang w:val="en-CA"/>
                <w14:ligatures w14:val="standardContextual"/>
              </w:rPr>
              <w:t>279.</w:t>
            </w:r>
            <w:r w:rsidRPr="00D64FCD">
              <w:rPr>
                <w:rFonts w:eastAsiaTheme="minorEastAsia" w:cs="Arial"/>
                <w:kern w:val="2"/>
                <w:sz w:val="22"/>
                <w:lang w:val="en-CA"/>
                <w14:ligatures w14:val="standardContextual"/>
              </w:rPr>
              <w:t> </w:t>
            </w:r>
            <w:r w:rsidRPr="00D64FCD">
              <w:rPr>
                <w:rFonts w:eastAsiaTheme="minorEastAsia" w:cs="Arial"/>
                <w:kern w:val="2"/>
                <w:sz w:val="22"/>
                <w:u w:val="single"/>
                <w:lang w:val="en-CA"/>
                <w14:ligatures w14:val="standardContextual"/>
              </w:rPr>
              <w:t>In any defended proceeding, the witnesses are examined at the hearing</w:t>
            </w:r>
            <w:r w:rsidRPr="00D64FCD">
              <w:rPr>
                <w:rFonts w:eastAsiaTheme="minorEastAsia" w:cs="Arial"/>
                <w:kern w:val="2"/>
                <w:sz w:val="22"/>
                <w:lang w:val="en-CA"/>
                <w14:ligatures w14:val="standardContextual"/>
              </w:rPr>
              <w:t>, the other parties being present or having been duly called.</w:t>
            </w:r>
          </w:p>
        </w:tc>
        <w:tc>
          <w:tcPr>
            <w:tcW w:w="4681" w:type="dxa"/>
          </w:tcPr>
          <w:p w14:paraId="1E711B19" w14:textId="45F367DC" w:rsidR="00755645" w:rsidRPr="00D16016" w:rsidRDefault="00755645" w:rsidP="00755645">
            <w:pPr>
              <w:spacing w:line="240" w:lineRule="auto"/>
              <w:ind w:left="144" w:right="720"/>
              <w:jc w:val="both"/>
              <w:rPr>
                <w:rFonts w:eastAsiaTheme="minorEastAsia" w:cs="Arial"/>
                <w:b/>
                <w:bCs/>
                <w:kern w:val="2"/>
                <w:sz w:val="22"/>
                <w14:ligatures w14:val="standardContextual"/>
              </w:rPr>
            </w:pPr>
            <w:hyperlink r:id="rId22" w:anchor="se:279" w:history="1">
              <w:r w:rsidRPr="00D16016">
                <w:rPr>
                  <w:rFonts w:cs="Arial"/>
                  <w:b/>
                  <w:bCs/>
                  <w:color w:val="000000" w:themeColor="text1"/>
                  <w:sz w:val="22"/>
                  <w:szCs w:val="22"/>
                  <w:lang w:eastAsia="fr-CA"/>
                </w:rPr>
                <w:t>279.</w:t>
              </w:r>
            </w:hyperlink>
            <w:r w:rsidRPr="00D16016">
              <w:rPr>
                <w:rFonts w:cs="Arial"/>
                <w:color w:val="000000" w:themeColor="text1"/>
                <w:sz w:val="22"/>
                <w:szCs w:val="22"/>
                <w:lang w:eastAsia="fr-CA"/>
              </w:rPr>
              <w:t> </w:t>
            </w:r>
            <w:r w:rsidRPr="00D16016">
              <w:rPr>
                <w:rFonts w:cs="Arial"/>
                <w:color w:val="000000" w:themeColor="text1"/>
                <w:sz w:val="22"/>
                <w:szCs w:val="22"/>
                <w:u w:val="single"/>
                <w:lang w:eastAsia="fr-CA"/>
              </w:rPr>
              <w:t>Dans toute instance contestée, les témoins sont interrogés à l’audience</w:t>
            </w:r>
            <w:r w:rsidRPr="00D16016">
              <w:rPr>
                <w:rFonts w:cs="Arial"/>
                <w:color w:val="000000" w:themeColor="text1"/>
                <w:sz w:val="22"/>
                <w:szCs w:val="22"/>
                <w:lang w:eastAsia="fr-CA"/>
              </w:rPr>
              <w:t>, les autres parties présentes ou dûment appelées.</w:t>
            </w:r>
          </w:p>
        </w:tc>
      </w:tr>
      <w:tr w:rsidR="00755645" w:rsidRPr="00D64FCD" w14:paraId="1B461BEA" w14:textId="742940F5" w:rsidTr="006775BE">
        <w:tc>
          <w:tcPr>
            <w:tcW w:w="4681" w:type="dxa"/>
            <w:shd w:val="clear" w:color="auto" w:fill="auto"/>
          </w:tcPr>
          <w:p w14:paraId="1EBB8766" w14:textId="77777777" w:rsidR="00755645" w:rsidRPr="00D64FCD" w:rsidRDefault="00755645" w:rsidP="00755645">
            <w:pPr>
              <w:spacing w:line="240" w:lineRule="auto"/>
              <w:ind w:left="144" w:right="720"/>
              <w:jc w:val="both"/>
              <w:rPr>
                <w:rFonts w:eastAsiaTheme="minorEastAsia" w:cs="Arial"/>
                <w:kern w:val="2"/>
                <w:sz w:val="22"/>
                <w:lang w:val="en-CA"/>
                <w14:ligatures w14:val="standardContextual"/>
              </w:rPr>
            </w:pPr>
            <w:r w:rsidRPr="00D64FCD">
              <w:rPr>
                <w:rFonts w:cs="Arial"/>
                <w:color w:val="212529"/>
                <w:sz w:val="22"/>
                <w:szCs w:val="22"/>
                <w:shd w:val="clear" w:color="auto" w:fill="FFFFFF"/>
                <w:lang w:val="en-CA"/>
              </w:rPr>
              <w:t>A party may request that witnesses testify without knowledge of the testimony given by other witnesses. However, barring exceptional circumstances, no such request may be made in the case of expert witnesses.</w:t>
            </w:r>
          </w:p>
        </w:tc>
        <w:tc>
          <w:tcPr>
            <w:tcW w:w="4681" w:type="dxa"/>
          </w:tcPr>
          <w:p w14:paraId="371A286A" w14:textId="77777777" w:rsidR="00755645" w:rsidRDefault="00755645" w:rsidP="00755645">
            <w:pPr>
              <w:spacing w:line="240" w:lineRule="auto"/>
              <w:ind w:left="144" w:right="720"/>
              <w:jc w:val="both"/>
              <w:rPr>
                <w:rFonts w:cs="Arial"/>
                <w:color w:val="000000"/>
                <w:sz w:val="22"/>
                <w:szCs w:val="22"/>
                <w:lang w:eastAsia="fr-CA"/>
              </w:rPr>
            </w:pPr>
            <w:r w:rsidRPr="00D16016">
              <w:rPr>
                <w:rFonts w:cs="Arial"/>
                <w:color w:val="000000" w:themeColor="text1"/>
                <w:sz w:val="22"/>
                <w:szCs w:val="22"/>
                <w:lang w:eastAsia="fr-CA"/>
              </w:rPr>
              <w:t>Chaque partie peut demander que les témoins déposent sans prendre connaissance</w:t>
            </w:r>
            <w:r w:rsidRPr="00D16016">
              <w:rPr>
                <w:rFonts w:cs="Arial"/>
                <w:color w:val="000000"/>
                <w:sz w:val="22"/>
                <w:szCs w:val="22"/>
                <w:lang w:eastAsia="fr-CA"/>
              </w:rPr>
              <w:t xml:space="preserve"> des autres </w:t>
            </w:r>
            <w:r w:rsidRPr="00D16016">
              <w:rPr>
                <w:rFonts w:cs="Arial"/>
                <w:color w:val="000000" w:themeColor="text1"/>
                <w:sz w:val="22"/>
                <w:szCs w:val="22"/>
                <w:lang w:eastAsia="fr-CA"/>
              </w:rPr>
              <w:t>témoignages</w:t>
            </w:r>
            <w:r w:rsidRPr="00D16016">
              <w:rPr>
                <w:rFonts w:cs="Arial"/>
                <w:color w:val="000000"/>
                <w:sz w:val="22"/>
                <w:szCs w:val="22"/>
                <w:lang w:eastAsia="fr-CA"/>
              </w:rPr>
              <w:t>. Cependant, à moins de circonstances exceptionnelles, une telle demande ne peut viser les témoins experts.</w:t>
            </w:r>
          </w:p>
          <w:p w14:paraId="6DADDDA7" w14:textId="25E43160" w:rsidR="00F54E8E" w:rsidRPr="00D16016" w:rsidRDefault="00F54E8E" w:rsidP="00755645">
            <w:pPr>
              <w:spacing w:line="240" w:lineRule="auto"/>
              <w:ind w:left="144" w:right="720"/>
              <w:jc w:val="both"/>
              <w:rPr>
                <w:rFonts w:cs="Arial"/>
                <w:color w:val="212529"/>
                <w:sz w:val="22"/>
                <w:szCs w:val="22"/>
                <w:shd w:val="clear" w:color="auto" w:fill="FFFFFF"/>
              </w:rPr>
            </w:pPr>
          </w:p>
        </w:tc>
      </w:tr>
      <w:tr w:rsidR="00755645" w:rsidRPr="00D64FCD" w14:paraId="2A9AD87C" w14:textId="421D4A2D" w:rsidTr="006775BE">
        <w:tc>
          <w:tcPr>
            <w:tcW w:w="4681" w:type="dxa"/>
            <w:shd w:val="clear" w:color="auto" w:fill="auto"/>
          </w:tcPr>
          <w:p w14:paraId="64A860EA" w14:textId="77777777" w:rsidR="00755645" w:rsidRPr="00D64FCD" w:rsidRDefault="00755645" w:rsidP="00755645">
            <w:pPr>
              <w:spacing w:line="240" w:lineRule="auto"/>
              <w:ind w:left="144" w:right="720"/>
              <w:jc w:val="both"/>
              <w:rPr>
                <w:rFonts w:cs="Arial"/>
                <w:color w:val="212529"/>
                <w:sz w:val="22"/>
                <w:szCs w:val="22"/>
                <w:shd w:val="clear" w:color="auto" w:fill="FFFFFF"/>
                <w:lang w:val="en-CA"/>
              </w:rPr>
            </w:pPr>
            <w:r w:rsidRPr="00D64FCD">
              <w:rPr>
                <w:rFonts w:cs="Arial"/>
                <w:color w:val="212529"/>
                <w:sz w:val="22"/>
                <w:szCs w:val="22"/>
                <w:u w:val="single"/>
                <w:shd w:val="clear" w:color="auto" w:fill="FFFFFF"/>
                <w:lang w:val="en-CA"/>
              </w:rPr>
              <w:t>A witness who has been examined before the trial may be examined anew during the trial on a party’s request</w:t>
            </w:r>
            <w:r w:rsidRPr="00D64FCD">
              <w:rPr>
                <w:rFonts w:cs="Arial"/>
                <w:color w:val="212529"/>
                <w:sz w:val="22"/>
                <w:szCs w:val="22"/>
                <w:shd w:val="clear" w:color="auto" w:fill="FFFFFF"/>
                <w:lang w:val="en-CA"/>
              </w:rPr>
              <w:t>.</w:t>
            </w:r>
          </w:p>
        </w:tc>
        <w:tc>
          <w:tcPr>
            <w:tcW w:w="4681" w:type="dxa"/>
          </w:tcPr>
          <w:p w14:paraId="78B37996" w14:textId="3E46EA2B" w:rsidR="00755645" w:rsidRPr="00D16016" w:rsidRDefault="00755645" w:rsidP="00755645">
            <w:pPr>
              <w:spacing w:line="240" w:lineRule="auto"/>
              <w:ind w:left="144" w:right="720"/>
              <w:jc w:val="both"/>
              <w:rPr>
                <w:rFonts w:cs="Arial"/>
                <w:color w:val="212529"/>
                <w:sz w:val="22"/>
                <w:szCs w:val="22"/>
                <w:u w:val="single"/>
                <w:shd w:val="clear" w:color="auto" w:fill="FFFFFF"/>
              </w:rPr>
            </w:pPr>
            <w:r w:rsidRPr="00D16016">
              <w:rPr>
                <w:rFonts w:cs="Arial"/>
                <w:color w:val="000000"/>
                <w:sz w:val="22"/>
                <w:szCs w:val="22"/>
                <w:u w:val="single"/>
                <w:lang w:eastAsia="fr-CA"/>
              </w:rPr>
              <w:t>Le témoin qui a été interrogé préalablement à l’instruction peut, au moment de l’instruction, être interrogé de nouveau sur demande de l’une ou l’autre des parties</w:t>
            </w:r>
            <w:r w:rsidRPr="00D16016">
              <w:rPr>
                <w:rFonts w:cs="Arial"/>
                <w:color w:val="000000"/>
                <w:sz w:val="22"/>
                <w:szCs w:val="22"/>
                <w:lang w:eastAsia="fr-CA"/>
              </w:rPr>
              <w:t>.</w:t>
            </w:r>
          </w:p>
        </w:tc>
      </w:tr>
      <w:tr w:rsidR="00755645" w:rsidRPr="00D64FCD" w14:paraId="4EC8BEBE" w14:textId="184C5626" w:rsidTr="006775BE">
        <w:tc>
          <w:tcPr>
            <w:tcW w:w="4681" w:type="dxa"/>
            <w:shd w:val="clear" w:color="auto" w:fill="auto"/>
          </w:tcPr>
          <w:p w14:paraId="0C164E5B" w14:textId="77777777" w:rsidR="00755645" w:rsidRPr="00D64FCD" w:rsidRDefault="00755645" w:rsidP="00755645">
            <w:pPr>
              <w:spacing w:line="240" w:lineRule="auto"/>
              <w:ind w:left="144" w:right="720"/>
              <w:jc w:val="both"/>
              <w:rPr>
                <w:rFonts w:cs="Arial"/>
                <w:color w:val="212529"/>
                <w:sz w:val="22"/>
                <w:szCs w:val="22"/>
                <w:shd w:val="clear" w:color="auto" w:fill="FFFFFF"/>
                <w:lang w:val="en-CA"/>
              </w:rPr>
            </w:pPr>
            <w:r w:rsidRPr="00D64FCD">
              <w:rPr>
                <w:rFonts w:cs="Arial"/>
                <w:color w:val="212529"/>
                <w:sz w:val="22"/>
                <w:szCs w:val="22"/>
                <w:shd w:val="clear" w:color="auto" w:fill="FFFFFF"/>
                <w:lang w:val="en-CA"/>
              </w:rPr>
              <w:t>[…]</w:t>
            </w:r>
          </w:p>
        </w:tc>
        <w:tc>
          <w:tcPr>
            <w:tcW w:w="4681" w:type="dxa"/>
          </w:tcPr>
          <w:p w14:paraId="43919D96" w14:textId="41925999" w:rsidR="00755645" w:rsidRPr="00D64FCD" w:rsidRDefault="00755645" w:rsidP="00755645">
            <w:pPr>
              <w:spacing w:line="240" w:lineRule="auto"/>
              <w:ind w:left="144" w:right="720"/>
              <w:jc w:val="both"/>
              <w:rPr>
                <w:rFonts w:cs="Arial"/>
                <w:color w:val="212529"/>
                <w:sz w:val="22"/>
                <w:szCs w:val="22"/>
                <w:shd w:val="clear" w:color="auto" w:fill="FFFFFF"/>
                <w:lang w:val="en-CA"/>
              </w:rPr>
            </w:pPr>
            <w:r w:rsidRPr="00D64FCD">
              <w:rPr>
                <w:rFonts w:cs="Arial"/>
                <w:color w:val="000000"/>
                <w:sz w:val="22"/>
                <w:szCs w:val="22"/>
                <w:lang w:val="en-CA" w:eastAsia="fr-CA"/>
              </w:rPr>
              <w:t>[…]</w:t>
            </w:r>
          </w:p>
        </w:tc>
      </w:tr>
      <w:tr w:rsidR="00755645" w:rsidRPr="00D64FCD" w14:paraId="693EC38C" w14:textId="44575CA8" w:rsidTr="006775BE">
        <w:tc>
          <w:tcPr>
            <w:tcW w:w="4681" w:type="dxa"/>
            <w:shd w:val="clear" w:color="auto" w:fill="auto"/>
          </w:tcPr>
          <w:p w14:paraId="6CD2ACDE" w14:textId="77777777" w:rsidR="00755645" w:rsidRPr="00D64FCD" w:rsidRDefault="00755645" w:rsidP="00755645">
            <w:pPr>
              <w:spacing w:line="240" w:lineRule="auto"/>
              <w:ind w:left="144" w:right="720"/>
              <w:jc w:val="both"/>
              <w:rPr>
                <w:rFonts w:cs="Arial"/>
                <w:color w:val="212529"/>
                <w:sz w:val="22"/>
                <w:szCs w:val="22"/>
                <w:shd w:val="clear" w:color="auto" w:fill="FFFFFF"/>
                <w:lang w:val="en-CA"/>
              </w:rPr>
            </w:pPr>
          </w:p>
        </w:tc>
        <w:tc>
          <w:tcPr>
            <w:tcW w:w="4681" w:type="dxa"/>
          </w:tcPr>
          <w:p w14:paraId="668A78B6" w14:textId="77777777" w:rsidR="00755645" w:rsidRPr="00D64FCD" w:rsidRDefault="00755645" w:rsidP="00755645">
            <w:pPr>
              <w:spacing w:line="240" w:lineRule="auto"/>
              <w:ind w:left="144" w:right="720"/>
              <w:jc w:val="both"/>
              <w:rPr>
                <w:rFonts w:cs="Arial"/>
                <w:color w:val="212529"/>
                <w:sz w:val="22"/>
                <w:szCs w:val="22"/>
                <w:shd w:val="clear" w:color="auto" w:fill="FFFFFF"/>
                <w:lang w:val="en-CA"/>
              </w:rPr>
            </w:pPr>
          </w:p>
        </w:tc>
      </w:tr>
      <w:tr w:rsidR="00755645" w:rsidRPr="00D64FCD" w14:paraId="7BC1010B" w14:textId="6945DC98" w:rsidTr="006775BE">
        <w:tc>
          <w:tcPr>
            <w:tcW w:w="4681" w:type="dxa"/>
            <w:shd w:val="clear" w:color="auto" w:fill="auto"/>
          </w:tcPr>
          <w:p w14:paraId="730AADF8" w14:textId="77777777" w:rsidR="00755645" w:rsidRPr="00D64FCD" w:rsidRDefault="00755645" w:rsidP="00755645">
            <w:pPr>
              <w:spacing w:line="240" w:lineRule="auto"/>
              <w:ind w:left="144" w:right="720"/>
              <w:jc w:val="right"/>
              <w:rPr>
                <w:rFonts w:cs="Arial"/>
                <w:color w:val="212529"/>
                <w:sz w:val="22"/>
                <w:szCs w:val="22"/>
                <w:shd w:val="clear" w:color="auto" w:fill="FFFFFF"/>
                <w:lang w:val="en-CA"/>
              </w:rPr>
            </w:pPr>
            <w:r w:rsidRPr="00D64FCD">
              <w:rPr>
                <w:rFonts w:eastAsiaTheme="minorEastAsia" w:cs="Arial"/>
                <w:kern w:val="2"/>
                <w:sz w:val="22"/>
                <w:lang w:val="en-CA"/>
                <w14:ligatures w14:val="standardContextual"/>
              </w:rPr>
              <w:t>[Underlining and emphasis added]</w:t>
            </w:r>
          </w:p>
        </w:tc>
        <w:tc>
          <w:tcPr>
            <w:tcW w:w="4681" w:type="dxa"/>
          </w:tcPr>
          <w:p w14:paraId="382CA470" w14:textId="26842497" w:rsidR="00755645" w:rsidRPr="00D16016" w:rsidRDefault="00755645" w:rsidP="00755645">
            <w:pPr>
              <w:spacing w:line="240" w:lineRule="auto"/>
              <w:ind w:left="144" w:right="720"/>
              <w:jc w:val="right"/>
              <w:rPr>
                <w:rFonts w:eastAsiaTheme="minorEastAsia" w:cs="Arial"/>
                <w:kern w:val="2"/>
                <w:sz w:val="22"/>
                <w14:ligatures w14:val="standardContextual"/>
              </w:rPr>
            </w:pPr>
            <w:r w:rsidRPr="00D16016">
              <w:rPr>
                <w:rFonts w:cs="Arial"/>
                <w:color w:val="000000"/>
                <w:sz w:val="22"/>
                <w:szCs w:val="22"/>
                <w:lang w:eastAsia="fr-CA"/>
              </w:rPr>
              <w:t>[Soulignements et caractères gras ajoutés]</w:t>
            </w:r>
          </w:p>
        </w:tc>
      </w:tr>
    </w:tbl>
    <w:p w14:paraId="3652103D" w14:textId="7364A7E4" w:rsidR="007F4756" w:rsidRPr="00D64FCD" w:rsidRDefault="00D64FCD" w:rsidP="007F4756">
      <w:pPr>
        <w:numPr>
          <w:ilvl w:val="0"/>
          <w:numId w:val="18"/>
        </w:numPr>
        <w:spacing w:before="120" w:after="120" w:line="240" w:lineRule="auto"/>
        <w:jc w:val="both"/>
        <w:rPr>
          <w:kern w:val="28"/>
          <w:lang w:val="en-CA" w:eastAsia="fr-CA"/>
        </w:rPr>
      </w:pPr>
      <w:bookmarkStart w:id="21" w:name="_Ref218670735"/>
      <w:r w:rsidRPr="00D64FCD">
        <w:rPr>
          <w:kern w:val="28"/>
          <w:lang w:val="en-CA"/>
        </w:rPr>
        <w:t>The mechanism set forth in article</w:t>
      </w:r>
      <w:r w:rsidR="00F92FA1">
        <w:rPr>
          <w:kern w:val="28"/>
          <w:lang w:val="en-CA"/>
        </w:rPr>
        <w:t> </w:t>
      </w:r>
      <w:r w:rsidRPr="00D64FCD">
        <w:rPr>
          <w:kern w:val="28"/>
          <w:lang w:val="en-CA"/>
        </w:rPr>
        <w:t xml:space="preserve">2870 of the </w:t>
      </w:r>
      <w:r w:rsidRPr="00D16016">
        <w:rPr>
          <w:i/>
          <w:iCs/>
          <w:kern w:val="28"/>
          <w:lang w:val="en-CA"/>
        </w:rPr>
        <w:t>Civil Code of Québec</w:t>
      </w:r>
      <w:r w:rsidRPr="00D64FCD">
        <w:rPr>
          <w:kern w:val="28"/>
          <w:lang w:val="en-CA"/>
        </w:rPr>
        <w:t xml:space="preserve"> thus constitutes an exception to the principle that, in order to be admissible as evidence, a person’s testimony regarding facts of which they have personal knowledge must be given by deposition at the hearing such that the opposing party may cross-examine them,</w:t>
      </w:r>
      <w:r w:rsidR="00294345" w:rsidRPr="00D64FCD">
        <w:rPr>
          <w:kern w:val="28"/>
          <w:vertAlign w:val="superscript"/>
          <w:lang w:val="en-CA" w:eastAsia="fr-CA"/>
        </w:rPr>
        <w:footnoteReference w:id="47"/>
      </w:r>
      <w:bookmarkEnd w:id="21"/>
      <w:r w:rsidR="00A26347">
        <w:rPr>
          <w:kern w:val="28"/>
          <w:lang w:val="en-CA"/>
        </w:rPr>
        <w:t xml:space="preserve"> </w:t>
      </w:r>
      <w:r w:rsidRPr="00D64FCD">
        <w:rPr>
          <w:kern w:val="28"/>
          <w:lang w:val="en-CA"/>
        </w:rPr>
        <w:t>unless otherwise agreed by the parties or provided by law.</w:t>
      </w:r>
      <w:r w:rsidR="00294345" w:rsidRPr="00D64FCD">
        <w:rPr>
          <w:kern w:val="28"/>
          <w:vertAlign w:val="superscript"/>
          <w:lang w:val="en-CA" w:eastAsia="fr-CA"/>
        </w:rPr>
        <w:footnoteReference w:id="48"/>
      </w:r>
      <w:r w:rsidR="00A26347">
        <w:rPr>
          <w:kern w:val="28"/>
          <w:lang w:val="en-CA"/>
        </w:rPr>
        <w:t xml:space="preserve"> </w:t>
      </w:r>
      <w:r w:rsidRPr="00D64FCD">
        <w:rPr>
          <w:kern w:val="28"/>
          <w:lang w:val="en-CA"/>
        </w:rPr>
        <w:t>This mechanism</w:t>
      </w:r>
      <w:r w:rsidRPr="00D64FCD">
        <w:rPr>
          <w:kern w:val="28"/>
          <w:lang w:val="en-CA" w:eastAsia="fr-CA"/>
        </w:rPr>
        <w:t xml:space="preserve"> for the admin</w:t>
      </w:r>
      <w:r w:rsidR="00EC64E1">
        <w:rPr>
          <w:kern w:val="28"/>
          <w:lang w:val="en-CA" w:eastAsia="fr-CA"/>
        </w:rPr>
        <w:t>i</w:t>
      </w:r>
      <w:r w:rsidRPr="00D64FCD">
        <w:rPr>
          <w:kern w:val="28"/>
          <w:lang w:val="en-CA" w:eastAsia="fr-CA"/>
        </w:rPr>
        <w:t>stration of evidence, which allows for a departure from the adversarial process,</w:t>
      </w:r>
      <w:r w:rsidRPr="00D64FCD">
        <w:rPr>
          <w:kern w:val="28"/>
          <w:vertAlign w:val="superscript"/>
          <w:lang w:val="en-CA" w:eastAsia="fr-CA"/>
        </w:rPr>
        <w:footnoteReference w:id="49"/>
      </w:r>
      <w:r w:rsidRPr="00D64FCD">
        <w:rPr>
          <w:kern w:val="28"/>
          <w:lang w:val="en-CA" w:eastAsia="fr-CA"/>
        </w:rPr>
        <w:t xml:space="preserve"> should therefore be applied only sparingly.</w:t>
      </w:r>
    </w:p>
    <w:p w14:paraId="0545B6C6" w14:textId="6CC4DA5D" w:rsidR="007F4756" w:rsidRPr="00D64FCD" w:rsidRDefault="00D64FCD" w:rsidP="007F4756">
      <w:pPr>
        <w:numPr>
          <w:ilvl w:val="0"/>
          <w:numId w:val="24"/>
        </w:numPr>
        <w:tabs>
          <w:tab w:val="left" w:pos="1134"/>
        </w:tabs>
        <w:spacing w:before="120" w:after="120" w:line="240" w:lineRule="auto"/>
        <w:ind w:left="1134" w:hanging="414"/>
        <w:outlineLvl w:val="1"/>
        <w:rPr>
          <w:b/>
          <w:i/>
          <w:lang w:val="en-CA" w:eastAsia="fr-CA"/>
        </w:rPr>
      </w:pPr>
      <w:r w:rsidRPr="00D64FCD">
        <w:rPr>
          <w:b/>
          <w:i/>
          <w:lang w:val="en-CA"/>
        </w:rPr>
        <w:t xml:space="preserve"> Did the judge commit a reviewable error in finding that it was “unreasonable” to require the Judges to testify at the hearing?</w:t>
      </w:r>
    </w:p>
    <w:p w14:paraId="5E818FC3" w14:textId="4D0348C0"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While by no means exhaustive, the case law has identified the following types of reasons, either alone or in combination, for which it has been deemed unreasonable to require a declarant to appear in person to testify at a hearing: the declarant’s distance from the location; the difficulty in locating the declarant and the high cost of the steps involved;</w:t>
      </w:r>
      <w:r w:rsidR="00294345" w:rsidRPr="00D64FCD">
        <w:rPr>
          <w:kern w:val="28"/>
          <w:vertAlign w:val="superscript"/>
          <w:lang w:val="en-CA"/>
        </w:rPr>
        <w:footnoteReference w:id="50"/>
      </w:r>
      <w:r w:rsidRPr="00D64FCD">
        <w:rPr>
          <w:lang w:val="en-CA"/>
        </w:rPr>
        <w:t xml:space="preserve"> i</w:t>
      </w:r>
      <w:r w:rsidRPr="00D64FCD">
        <w:rPr>
          <w:kern w:val="28"/>
          <w:lang w:val="en-CA"/>
        </w:rPr>
        <w:t xml:space="preserve">n the case of a witness residing abroad, their testimony would add nothing to </w:t>
      </w:r>
      <w:r w:rsidRPr="00D64FCD">
        <w:rPr>
          <w:kern w:val="28"/>
          <w:lang w:val="en-CA"/>
        </w:rPr>
        <w:lastRenderedPageBreak/>
        <w:t>their strictly factual written report;</w:t>
      </w:r>
      <w:r w:rsidR="00294345" w:rsidRPr="00D64FCD">
        <w:rPr>
          <w:kern w:val="28"/>
          <w:vertAlign w:val="superscript"/>
          <w:lang w:val="en-CA"/>
        </w:rPr>
        <w:footnoteReference w:id="51"/>
      </w:r>
      <w:r w:rsidRPr="00D64FCD">
        <w:rPr>
          <w:kern w:val="28"/>
          <w:lang w:val="en-CA"/>
        </w:rPr>
        <w:t xml:space="preserve"> the declarant’s health issues;</w:t>
      </w:r>
      <w:r w:rsidR="00294345" w:rsidRPr="00D64FCD">
        <w:rPr>
          <w:kern w:val="28"/>
          <w:vertAlign w:val="superscript"/>
          <w:lang w:val="en-CA"/>
        </w:rPr>
        <w:footnoteReference w:id="52"/>
      </w:r>
      <w:r w:rsidRPr="00D64FCD">
        <w:rPr>
          <w:lang w:val="en-CA"/>
        </w:rPr>
        <w:t xml:space="preserve"> </w:t>
      </w:r>
      <w:r w:rsidRPr="00D64FCD">
        <w:rPr>
          <w:kern w:val="28"/>
          <w:lang w:val="en-CA"/>
        </w:rPr>
        <w:t>combined with the modest amount in dispute, the obligation to testify could negatively affect the declarant</w:t>
      </w:r>
      <w:r w:rsidR="00EC64E1">
        <w:rPr>
          <w:kern w:val="28"/>
          <w:lang w:val="en-CA"/>
        </w:rPr>
        <w:t>,</w:t>
      </w:r>
      <w:r w:rsidRPr="00D64FCD">
        <w:rPr>
          <w:kern w:val="28"/>
          <w:lang w:val="en-CA"/>
        </w:rPr>
        <w:t xml:space="preserve"> given the intimate nature of the information already contained in their statement, the criminal context in which their statement was obtained, and their age at the time they made it, etc.</w:t>
      </w:r>
      <w:r w:rsidR="00294345" w:rsidRPr="00D64FCD">
        <w:rPr>
          <w:kern w:val="28"/>
          <w:vertAlign w:val="superscript"/>
          <w:lang w:val="en-CA"/>
        </w:rPr>
        <w:footnoteReference w:id="53"/>
      </w:r>
    </w:p>
    <w:p w14:paraId="2B7510C5" w14:textId="56FA0C09"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 xml:space="preserve">Here, the judge’s reasons are entirely different. Thus, in addition to finding it necessary to file the affidavits in dispute because the Judges could not be compelled to testify, the judge alternatively concluded that it would be unreasonable to </w:t>
      </w:r>
      <w:r w:rsidR="00207DFF" w:rsidRPr="00D64FCD">
        <w:rPr>
          <w:kern w:val="28"/>
          <w:lang w:val="en-CA"/>
        </w:rPr>
        <w:t>compel</w:t>
      </w:r>
      <w:r w:rsidRPr="00D64FCD">
        <w:rPr>
          <w:kern w:val="28"/>
          <w:lang w:val="en-CA"/>
        </w:rPr>
        <w:t xml:space="preserve"> them to testify at the hearing, given that they would then be required to [</w:t>
      </w:r>
      <w:r w:rsidRPr="00D64FCD">
        <w:rPr>
          <w:smallCaps/>
          <w:kern w:val="28"/>
          <w:lang w:val="en-CA"/>
        </w:rPr>
        <w:t>translation</w:t>
      </w:r>
      <w:r w:rsidRPr="00D64FCD">
        <w:rPr>
          <w:kern w:val="28"/>
          <w:lang w:val="en-CA"/>
        </w:rPr>
        <w:t xml:space="preserve">] </w:t>
      </w:r>
      <w:r w:rsidR="00EA1627">
        <w:rPr>
          <w:kern w:val="28"/>
          <w:lang w:val="en-CA"/>
        </w:rPr>
        <w:t>“</w:t>
      </w:r>
      <w:r w:rsidRPr="00D64FCD">
        <w:rPr>
          <w:kern w:val="28"/>
          <w:lang w:val="en-CA"/>
        </w:rPr>
        <w:t>repeat the content of evidence that had already been explained in the affidavits and about which the AGQ had the opportunity to ask questions in the context of the CMQ hearing”.</w:t>
      </w:r>
    </w:p>
    <w:p w14:paraId="451122BE" w14:textId="39842875"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 xml:space="preserve">Moreover, with respect to Ms. </w:t>
      </w:r>
      <w:proofErr w:type="spellStart"/>
      <w:r w:rsidR="00294345" w:rsidRPr="00D64FCD">
        <w:rPr>
          <w:kern w:val="28"/>
          <w:lang w:val="en-CA"/>
        </w:rPr>
        <w:t>Carrière</w:t>
      </w:r>
      <w:proofErr w:type="spellEnd"/>
      <w:r w:rsidR="00294345" w:rsidRPr="00D64FCD">
        <w:rPr>
          <w:kern w:val="28"/>
          <w:lang w:val="en-CA"/>
        </w:rPr>
        <w:t xml:space="preserve">, </w:t>
      </w:r>
      <w:r w:rsidRPr="00D64FCD">
        <w:rPr>
          <w:kern w:val="28"/>
          <w:lang w:val="en-CA"/>
        </w:rPr>
        <w:t>the</w:t>
      </w:r>
      <w:r w:rsidR="00294345" w:rsidRPr="00D64FCD">
        <w:rPr>
          <w:kern w:val="28"/>
          <w:lang w:val="en-CA"/>
        </w:rPr>
        <w:t xml:space="preserve"> Cour</w:t>
      </w:r>
      <w:r w:rsidRPr="00D64FCD">
        <w:rPr>
          <w:kern w:val="28"/>
          <w:lang w:val="en-CA"/>
        </w:rPr>
        <w:t>t</w:t>
      </w:r>
      <w:r w:rsidR="00294345" w:rsidRPr="00D64FCD">
        <w:rPr>
          <w:kern w:val="28"/>
          <w:lang w:val="en-CA"/>
        </w:rPr>
        <w:t xml:space="preserve"> </w:t>
      </w:r>
      <w:r w:rsidRPr="00D64FCD">
        <w:rPr>
          <w:kern w:val="28"/>
          <w:lang w:val="en-CA"/>
        </w:rPr>
        <w:t>of</w:t>
      </w:r>
      <w:r w:rsidR="00294345" w:rsidRPr="00D64FCD">
        <w:rPr>
          <w:kern w:val="28"/>
          <w:lang w:val="en-CA"/>
        </w:rPr>
        <w:t xml:space="preserve"> Québec</w:t>
      </w:r>
      <w:r w:rsidRPr="00D64FCD">
        <w:rPr>
          <w:kern w:val="28"/>
          <w:lang w:val="en-CA"/>
        </w:rPr>
        <w:t xml:space="preserve"> administrative procedures analyst</w:t>
      </w:r>
      <w:r w:rsidR="00294345" w:rsidRPr="00D64FCD">
        <w:rPr>
          <w:kern w:val="28"/>
          <w:lang w:val="en-CA"/>
        </w:rPr>
        <w:t xml:space="preserve">, </w:t>
      </w:r>
      <w:r w:rsidRPr="00D64FCD">
        <w:rPr>
          <w:kern w:val="28"/>
          <w:lang w:val="en-CA"/>
        </w:rPr>
        <w:t>the judge dismissed the application to have her affidavit filed in lieu of testimony pursuant to art</w:t>
      </w:r>
      <w:r w:rsidR="00294345" w:rsidRPr="00D64FCD">
        <w:rPr>
          <w:kern w:val="28"/>
          <w:lang w:val="en-CA"/>
        </w:rPr>
        <w:t>icle</w:t>
      </w:r>
      <w:r w:rsidR="00F92FA1">
        <w:rPr>
          <w:kern w:val="28"/>
          <w:lang w:val="en-CA"/>
        </w:rPr>
        <w:t> </w:t>
      </w:r>
      <w:r w:rsidR="00294345" w:rsidRPr="00D64FCD">
        <w:rPr>
          <w:kern w:val="28"/>
          <w:lang w:val="en-CA"/>
        </w:rPr>
        <w:t>2870</w:t>
      </w:r>
      <w:r w:rsidRPr="00D64FCD">
        <w:rPr>
          <w:kern w:val="28"/>
          <w:lang w:val="en-CA"/>
        </w:rPr>
        <w:t xml:space="preserve"> </w:t>
      </w:r>
      <w:r w:rsidRPr="00D16016">
        <w:rPr>
          <w:i/>
          <w:iCs/>
          <w:kern w:val="28"/>
          <w:lang w:val="en-CA"/>
        </w:rPr>
        <w:t>C</w:t>
      </w:r>
      <w:r w:rsidR="00295AEB" w:rsidRPr="00D16016">
        <w:rPr>
          <w:i/>
          <w:iCs/>
          <w:kern w:val="28"/>
          <w:lang w:val="en-CA"/>
        </w:rPr>
        <w:t>.</w:t>
      </w:r>
      <w:r w:rsidRPr="00D16016">
        <w:rPr>
          <w:i/>
          <w:iCs/>
          <w:kern w:val="28"/>
          <w:lang w:val="en-CA"/>
        </w:rPr>
        <w:t>C</w:t>
      </w:r>
      <w:r w:rsidR="00295AEB" w:rsidRPr="00D16016">
        <w:rPr>
          <w:i/>
          <w:iCs/>
          <w:kern w:val="28"/>
          <w:lang w:val="en-CA"/>
        </w:rPr>
        <w:t>.</w:t>
      </w:r>
      <w:r w:rsidRPr="00D16016">
        <w:rPr>
          <w:i/>
          <w:iCs/>
          <w:kern w:val="28"/>
          <w:lang w:val="en-CA"/>
        </w:rPr>
        <w:t>Q</w:t>
      </w:r>
      <w:r w:rsidR="00295AEB" w:rsidRPr="00D16016">
        <w:rPr>
          <w:i/>
          <w:iCs/>
          <w:kern w:val="28"/>
          <w:lang w:val="en-CA"/>
        </w:rPr>
        <w:t>.</w:t>
      </w:r>
      <w:r w:rsidRPr="00D64FCD">
        <w:rPr>
          <w:kern w:val="28"/>
          <w:lang w:val="en-CA"/>
        </w:rPr>
        <w:t xml:space="preserve"> because [</w:t>
      </w:r>
      <w:r w:rsidRPr="00D64FCD">
        <w:rPr>
          <w:smallCaps/>
          <w:kern w:val="28"/>
          <w:lang w:val="en-CA"/>
        </w:rPr>
        <w:t>translation</w:t>
      </w:r>
      <w:r w:rsidRPr="00D64FCD">
        <w:rPr>
          <w:kern w:val="28"/>
          <w:lang w:val="en-CA"/>
        </w:rPr>
        <w:t>]</w:t>
      </w:r>
      <w:r w:rsidR="00294345" w:rsidRPr="00D64FCD">
        <w:rPr>
          <w:kern w:val="28"/>
          <w:lang w:val="en-CA"/>
        </w:rPr>
        <w:t xml:space="preserve"> </w:t>
      </w:r>
      <w:r w:rsidR="00A63508">
        <w:rPr>
          <w:kern w:val="28"/>
          <w:lang w:val="en-CA"/>
        </w:rPr>
        <w:t>“</w:t>
      </w:r>
      <w:r w:rsidRPr="00D64FCD">
        <w:rPr>
          <w:kern w:val="28"/>
          <w:lang w:val="en-CA"/>
        </w:rPr>
        <w:t xml:space="preserve">the fact that she would </w:t>
      </w:r>
      <w:r w:rsidR="00207DFF" w:rsidRPr="00D64FCD">
        <w:rPr>
          <w:kern w:val="28"/>
          <w:lang w:val="en-CA"/>
        </w:rPr>
        <w:t>probably</w:t>
      </w:r>
      <w:r w:rsidRPr="00D64FCD">
        <w:rPr>
          <w:kern w:val="28"/>
          <w:lang w:val="en-CA"/>
        </w:rPr>
        <w:t xml:space="preserve"> come and </w:t>
      </w:r>
      <w:r w:rsidRPr="00D64FCD">
        <w:rPr>
          <w:rFonts w:cs="Arial"/>
          <w:lang w:val="en-CA"/>
        </w:rPr>
        <w:t>repeat the content of her statement and explain exhibits</w:t>
      </w:r>
      <w:r w:rsidR="00F92FA1">
        <w:rPr>
          <w:kern w:val="28"/>
          <w:lang w:val="en-CA"/>
        </w:rPr>
        <w:t> </w:t>
      </w:r>
      <w:r w:rsidR="00294345" w:rsidRPr="00D64FCD">
        <w:rPr>
          <w:kern w:val="28"/>
          <w:lang w:val="en-CA"/>
        </w:rPr>
        <w:t xml:space="preserve">EMSB-59 </w:t>
      </w:r>
      <w:r w:rsidR="00295AEB">
        <w:rPr>
          <w:kern w:val="28"/>
          <w:lang w:val="en-CA"/>
        </w:rPr>
        <w:t>through</w:t>
      </w:r>
      <w:r w:rsidR="00295AEB" w:rsidRPr="00D64FCD">
        <w:rPr>
          <w:kern w:val="28"/>
          <w:lang w:val="en-CA"/>
        </w:rPr>
        <w:t xml:space="preserve"> </w:t>
      </w:r>
      <w:r w:rsidR="00294345" w:rsidRPr="00D64FCD">
        <w:rPr>
          <w:kern w:val="28"/>
          <w:lang w:val="en-CA"/>
        </w:rPr>
        <w:t xml:space="preserve">EMSB-62 </w:t>
      </w:r>
      <w:r w:rsidRPr="00D64FCD">
        <w:rPr>
          <w:kern w:val="28"/>
          <w:lang w:val="en-CA"/>
        </w:rPr>
        <w:t>cannot interfere with the A</w:t>
      </w:r>
      <w:r w:rsidR="00294345" w:rsidRPr="00D64FCD">
        <w:rPr>
          <w:kern w:val="28"/>
          <w:lang w:val="en-CA"/>
        </w:rPr>
        <w:t>GQ</w:t>
      </w:r>
      <w:r w:rsidRPr="00D64FCD">
        <w:rPr>
          <w:kern w:val="28"/>
          <w:lang w:val="en-CA"/>
        </w:rPr>
        <w:t>’s right to cross-examine this witness”.</w:t>
      </w:r>
      <w:r w:rsidR="00294345" w:rsidRPr="00D64FCD">
        <w:rPr>
          <w:kern w:val="28"/>
          <w:lang w:val="en-CA"/>
        </w:rPr>
        <w:t xml:space="preserve"> </w:t>
      </w:r>
    </w:p>
    <w:p w14:paraId="3D6EB04F" w14:textId="0751C24B"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 xml:space="preserve">It is difficult to conceive that it would not be unreasonable to require Ms. </w:t>
      </w:r>
      <w:proofErr w:type="spellStart"/>
      <w:r w:rsidRPr="00D64FCD">
        <w:rPr>
          <w:kern w:val="28"/>
          <w:lang w:val="en-CA"/>
        </w:rPr>
        <w:t>Carrière</w:t>
      </w:r>
      <w:r w:rsidR="00A00A6C">
        <w:rPr>
          <w:kern w:val="28"/>
          <w:lang w:val="en-CA"/>
        </w:rPr>
        <w:t>’</w:t>
      </w:r>
      <w:r w:rsidRPr="00D64FCD">
        <w:rPr>
          <w:kern w:val="28"/>
          <w:lang w:val="en-CA"/>
        </w:rPr>
        <w:t>s</w:t>
      </w:r>
      <w:proofErr w:type="spellEnd"/>
      <w:r w:rsidRPr="00D64FCD">
        <w:rPr>
          <w:kern w:val="28"/>
          <w:lang w:val="en-CA"/>
        </w:rPr>
        <w:t xml:space="preserve"> deposition at the hearing, even if she would then be called upon to repeat the allegations contained in her affidavit, but that it would, on the contrary, be unreasonable to require the deposition at the hearing of one of the Judges for that same reason. The alternative criterion of reasonableness in article</w:t>
      </w:r>
      <w:r w:rsidR="00F92FA1">
        <w:rPr>
          <w:kern w:val="28"/>
          <w:lang w:val="en-CA"/>
        </w:rPr>
        <w:t> </w:t>
      </w:r>
      <w:r w:rsidRPr="00D64FCD">
        <w:rPr>
          <w:kern w:val="28"/>
          <w:lang w:val="en-CA"/>
        </w:rPr>
        <w:t xml:space="preserve">2870 </w:t>
      </w:r>
      <w:r w:rsidRPr="00D16016">
        <w:rPr>
          <w:i/>
          <w:iCs/>
          <w:kern w:val="28"/>
          <w:lang w:val="en-CA"/>
        </w:rPr>
        <w:t>C</w:t>
      </w:r>
      <w:r w:rsidR="00BB431E" w:rsidRPr="00D16016">
        <w:rPr>
          <w:i/>
          <w:iCs/>
          <w:kern w:val="28"/>
          <w:lang w:val="en-CA"/>
        </w:rPr>
        <w:t>.</w:t>
      </w:r>
      <w:r w:rsidRPr="00D16016">
        <w:rPr>
          <w:i/>
          <w:iCs/>
          <w:kern w:val="28"/>
          <w:lang w:val="en-CA"/>
        </w:rPr>
        <w:t>C</w:t>
      </w:r>
      <w:r w:rsidR="00BB431E" w:rsidRPr="00D16016">
        <w:rPr>
          <w:i/>
          <w:iCs/>
          <w:kern w:val="28"/>
          <w:lang w:val="en-CA"/>
        </w:rPr>
        <w:t>.</w:t>
      </w:r>
      <w:r w:rsidRPr="00D16016">
        <w:rPr>
          <w:i/>
          <w:iCs/>
          <w:kern w:val="28"/>
          <w:lang w:val="en-CA"/>
        </w:rPr>
        <w:t>Q</w:t>
      </w:r>
      <w:r w:rsidR="00BB431E" w:rsidRPr="00D16016">
        <w:rPr>
          <w:i/>
          <w:iCs/>
          <w:kern w:val="28"/>
          <w:lang w:val="en-CA"/>
        </w:rPr>
        <w:t>.</w:t>
      </w:r>
      <w:r w:rsidRPr="00D64FCD">
        <w:rPr>
          <w:kern w:val="28"/>
          <w:lang w:val="en-CA"/>
        </w:rPr>
        <w:t xml:space="preserve"> is different and is not linked to that of impossibility, and that, in this case, the analysis of the former cannot borrow, closely or distantly, from the latter for fear of duplication. Thus, authorizing the filing of the Judges’ statements pursuant to article</w:t>
      </w:r>
      <w:r w:rsidR="00F92FA1">
        <w:rPr>
          <w:kern w:val="28"/>
          <w:lang w:val="en-CA"/>
        </w:rPr>
        <w:t> </w:t>
      </w:r>
      <w:r w:rsidRPr="00D64FCD">
        <w:rPr>
          <w:kern w:val="28"/>
          <w:lang w:val="en-CA"/>
        </w:rPr>
        <w:t xml:space="preserve">2870 </w:t>
      </w:r>
      <w:r w:rsidRPr="00D16016">
        <w:rPr>
          <w:i/>
          <w:iCs/>
          <w:kern w:val="28"/>
          <w:lang w:val="en-CA"/>
        </w:rPr>
        <w:t>C</w:t>
      </w:r>
      <w:r w:rsidR="00BB431E" w:rsidRPr="00D16016">
        <w:rPr>
          <w:i/>
          <w:iCs/>
          <w:kern w:val="28"/>
          <w:lang w:val="en-CA"/>
        </w:rPr>
        <w:t>.</w:t>
      </w:r>
      <w:r w:rsidRPr="00D16016">
        <w:rPr>
          <w:i/>
          <w:iCs/>
          <w:kern w:val="28"/>
          <w:lang w:val="en-CA"/>
        </w:rPr>
        <w:t>C</w:t>
      </w:r>
      <w:r w:rsidR="00BB431E" w:rsidRPr="00D16016">
        <w:rPr>
          <w:i/>
          <w:iCs/>
          <w:kern w:val="28"/>
          <w:lang w:val="en-CA"/>
        </w:rPr>
        <w:t>.</w:t>
      </w:r>
      <w:r w:rsidRPr="00D16016">
        <w:rPr>
          <w:i/>
          <w:iCs/>
          <w:kern w:val="28"/>
          <w:lang w:val="en-CA"/>
        </w:rPr>
        <w:t>Q</w:t>
      </w:r>
      <w:r w:rsidR="00BB431E" w:rsidRPr="00D16016">
        <w:rPr>
          <w:i/>
          <w:iCs/>
          <w:kern w:val="28"/>
          <w:lang w:val="en-CA"/>
        </w:rPr>
        <w:t>.</w:t>
      </w:r>
      <w:r w:rsidRPr="00D64FCD">
        <w:rPr>
          <w:kern w:val="28"/>
          <w:lang w:val="en-CA"/>
        </w:rPr>
        <w:t>, on the grounds that it would be unreasonable to require them to testify at the hearing, for the reasons previously stated by the judge, could be perceived by the public as a form of elitism</w:t>
      </w:r>
      <w:r w:rsidR="00294345" w:rsidRPr="00D64FCD">
        <w:rPr>
          <w:kern w:val="28"/>
          <w:vertAlign w:val="superscript"/>
          <w:lang w:val="en-CA"/>
        </w:rPr>
        <w:footnoteReference w:id="54"/>
      </w:r>
      <w:r w:rsidR="00294345" w:rsidRPr="00D64FCD">
        <w:rPr>
          <w:kern w:val="28"/>
          <w:lang w:val="en-CA"/>
        </w:rPr>
        <w:t xml:space="preserve"> </w:t>
      </w:r>
      <w:r w:rsidRPr="00D64FCD">
        <w:rPr>
          <w:kern w:val="28"/>
          <w:lang w:val="en-CA"/>
        </w:rPr>
        <w:t xml:space="preserve">and runs the risk alluded to by Major, J., in the Supreme Court’s unanimous decision in </w:t>
      </w:r>
      <w:r w:rsidR="00294345" w:rsidRPr="00D64FCD">
        <w:rPr>
          <w:i/>
          <w:iCs/>
          <w:kern w:val="28"/>
          <w:lang w:val="en-CA"/>
        </w:rPr>
        <w:t xml:space="preserve">Ell </w:t>
      </w:r>
      <w:r w:rsidR="00BB431E">
        <w:rPr>
          <w:i/>
          <w:iCs/>
          <w:kern w:val="28"/>
          <w:lang w:val="en-CA"/>
        </w:rPr>
        <w:t>v</w:t>
      </w:r>
      <w:r w:rsidR="00294345" w:rsidRPr="00D64FCD">
        <w:rPr>
          <w:i/>
          <w:iCs/>
          <w:kern w:val="28"/>
          <w:lang w:val="en-CA"/>
        </w:rPr>
        <w:t>. Alberta</w:t>
      </w:r>
      <w:r w:rsidRPr="00D64FCD">
        <w:rPr>
          <w:kern w:val="28"/>
          <w:lang w:val="en-CA"/>
        </w:rPr>
        <w:t>,</w:t>
      </w:r>
      <w:r w:rsidR="00294345" w:rsidRPr="00D64FCD">
        <w:rPr>
          <w:kern w:val="28"/>
          <w:vertAlign w:val="superscript"/>
          <w:lang w:val="en-CA"/>
        </w:rPr>
        <w:footnoteReference w:id="55"/>
      </w:r>
      <w:r w:rsidRPr="00D64FCD">
        <w:rPr>
          <w:kern w:val="28"/>
          <w:lang w:val="en-CA"/>
        </w:rPr>
        <w:t xml:space="preserve"> thereby citing with approval </w:t>
      </w:r>
      <w:r w:rsidR="00294345" w:rsidRPr="00D64FCD">
        <w:rPr>
          <w:kern w:val="28"/>
          <w:lang w:val="en-CA"/>
        </w:rPr>
        <w:t>Binnie</w:t>
      </w:r>
      <w:r w:rsidRPr="00D64FCD">
        <w:rPr>
          <w:kern w:val="28"/>
          <w:lang w:val="en-CA"/>
        </w:rPr>
        <w:t>, J.’s warning in</w:t>
      </w:r>
      <w:r w:rsidR="00294345" w:rsidRPr="00D64FCD">
        <w:rPr>
          <w:kern w:val="28"/>
          <w:lang w:val="en-CA"/>
        </w:rPr>
        <w:t xml:space="preserve"> </w:t>
      </w:r>
      <w:r w:rsidR="00294345" w:rsidRPr="00D64FCD">
        <w:rPr>
          <w:i/>
          <w:iCs/>
          <w:kern w:val="28"/>
          <w:lang w:val="en-CA"/>
        </w:rPr>
        <w:t>Mackin</w:t>
      </w:r>
      <w:r w:rsidRPr="00D64FCD">
        <w:rPr>
          <w:kern w:val="28"/>
          <w:lang w:val="en-CA"/>
        </w:rPr>
        <w:t>:</w:t>
      </w:r>
      <w:r w:rsidR="00294345" w:rsidRPr="00D64FCD">
        <w:rPr>
          <w:kern w:val="28"/>
          <w:vertAlign w:val="superscript"/>
          <w:lang w:val="en-CA"/>
        </w:rPr>
        <w:footnoteReference w:id="56"/>
      </w:r>
      <w:r w:rsidR="00294345" w:rsidRPr="00D64FCD">
        <w:rPr>
          <w:i/>
          <w:iCs/>
          <w:kern w:val="28"/>
          <w:lang w:val="en-CA"/>
        </w:rPr>
        <w:t> </w:t>
      </w:r>
    </w:p>
    <w:p w14:paraId="5A6EA602" w14:textId="531DA087" w:rsidR="007F4756" w:rsidRPr="00D64FCD" w:rsidRDefault="00294345" w:rsidP="007F4756">
      <w:pPr>
        <w:keepNext/>
        <w:spacing w:before="120" w:after="120" w:line="240" w:lineRule="auto"/>
        <w:ind w:left="720" w:right="720"/>
        <w:jc w:val="both"/>
        <w:rPr>
          <w:color w:val="000000" w:themeColor="text1"/>
          <w:sz w:val="22"/>
          <w:szCs w:val="22"/>
          <w:lang w:val="en-CA"/>
        </w:rPr>
      </w:pPr>
      <w:r w:rsidRPr="00D64FCD">
        <w:rPr>
          <w:kern w:val="24"/>
          <w:sz w:val="22"/>
          <w:lang w:val="en-CA"/>
        </w:rPr>
        <w:t>29. […] </w:t>
      </w:r>
      <w:r w:rsidR="00755645" w:rsidRPr="00D64FCD">
        <w:rPr>
          <w:kern w:val="24"/>
          <w:sz w:val="22"/>
          <w:lang w:val="en-CA"/>
        </w:rPr>
        <w:t>In assessing this issue, it must be considered that the conditions of independence are intended to protect the interests of the public. Judicial independence serves not as an end in itself, but as a means to safeguard our constitutional order and to maintain public confidence in the administration of justice</w:t>
      </w:r>
      <w:proofErr w:type="gramStart"/>
      <w:r w:rsidR="00755645" w:rsidRPr="00D64FCD">
        <w:rPr>
          <w:kern w:val="24"/>
          <w:sz w:val="22"/>
          <w:lang w:val="en-CA"/>
        </w:rPr>
        <w:t>:  [</w:t>
      </w:r>
      <w:proofErr w:type="gramEnd"/>
      <w:r w:rsidR="00755645" w:rsidRPr="00D64FCD">
        <w:rPr>
          <w:kern w:val="24"/>
          <w:sz w:val="22"/>
          <w:lang w:val="en-CA"/>
        </w:rPr>
        <w:t xml:space="preserve">…]. The principle exists for the benefit of the judged, </w:t>
      </w:r>
      <w:r w:rsidR="00755645" w:rsidRPr="00D64FCD">
        <w:rPr>
          <w:kern w:val="24"/>
          <w:sz w:val="22"/>
          <w:u w:val="single"/>
          <w:lang w:val="en-CA"/>
        </w:rPr>
        <w:t>not the judges</w:t>
      </w:r>
      <w:r w:rsidR="00755645" w:rsidRPr="00D64FCD">
        <w:rPr>
          <w:kern w:val="24"/>
          <w:sz w:val="22"/>
          <w:lang w:val="en-CA"/>
        </w:rPr>
        <w:t xml:space="preserve">. </w:t>
      </w:r>
      <w:r w:rsidR="00755645" w:rsidRPr="00D64FCD">
        <w:rPr>
          <w:kern w:val="24"/>
          <w:sz w:val="22"/>
          <w:u w:val="single"/>
          <w:lang w:val="en-CA"/>
        </w:rPr>
        <w:t xml:space="preserve">If the conditions of independence are not “interpreted in light of the public interests they </w:t>
      </w:r>
      <w:r w:rsidR="00755645" w:rsidRPr="00D64FCD">
        <w:rPr>
          <w:kern w:val="24"/>
          <w:sz w:val="22"/>
          <w:u w:val="single"/>
          <w:lang w:val="en-CA"/>
        </w:rPr>
        <w:lastRenderedPageBreak/>
        <w:t>were intended to serve, there is a danger that their application will wind up hurting rather than enhancing public confidence in the courts</w:t>
      </w:r>
      <w:r w:rsidR="00755645" w:rsidRPr="00D64FCD">
        <w:rPr>
          <w:kern w:val="24"/>
          <w:sz w:val="22"/>
          <w:lang w:val="en-CA"/>
        </w:rPr>
        <w:t>”</w:t>
      </w:r>
      <w:r w:rsidRPr="00D64FCD">
        <w:rPr>
          <w:kern w:val="24"/>
          <w:sz w:val="22"/>
          <w:lang w:val="en-CA"/>
        </w:rPr>
        <w:t>:</w:t>
      </w:r>
      <w:r w:rsidRPr="00D64FCD">
        <w:rPr>
          <w:color w:val="000000"/>
          <w:sz w:val="27"/>
          <w:szCs w:val="27"/>
          <w:lang w:val="en-CA"/>
        </w:rPr>
        <w:t xml:space="preserve"> </w:t>
      </w:r>
      <w:r w:rsidRPr="00D64FCD">
        <w:rPr>
          <w:color w:val="000000" w:themeColor="text1"/>
          <w:sz w:val="22"/>
          <w:szCs w:val="22"/>
          <w:lang w:val="en-CA"/>
        </w:rPr>
        <w:t>[…].</w:t>
      </w:r>
    </w:p>
    <w:p w14:paraId="61E3765D" w14:textId="77777777" w:rsidR="007F4756" w:rsidRPr="00D64FCD" w:rsidRDefault="00294345" w:rsidP="007F4756">
      <w:pPr>
        <w:keepNext/>
        <w:spacing w:before="120" w:after="120" w:line="240" w:lineRule="auto"/>
        <w:ind w:left="720" w:right="720"/>
        <w:jc w:val="right"/>
        <w:rPr>
          <w:color w:val="000000" w:themeColor="text1"/>
          <w:kern w:val="24"/>
          <w:sz w:val="22"/>
          <w:szCs w:val="22"/>
          <w:lang w:val="en-CA"/>
        </w:rPr>
      </w:pPr>
      <w:r w:rsidRPr="00D64FCD">
        <w:rPr>
          <w:color w:val="000000" w:themeColor="text1"/>
          <w:sz w:val="22"/>
          <w:szCs w:val="22"/>
          <w:lang w:val="en-CA"/>
        </w:rPr>
        <w:t>[Emphasis added; references omitted.]</w:t>
      </w:r>
    </w:p>
    <w:p w14:paraId="6E40AD3E" w14:textId="300793D4"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In</w:t>
      </w:r>
      <w:r w:rsidRPr="00D64FCD">
        <w:rPr>
          <w:i/>
          <w:iCs/>
          <w:kern w:val="28"/>
          <w:lang w:val="en-CA"/>
        </w:rPr>
        <w:t xml:space="preserve"> MacKeigan</w:t>
      </w:r>
      <w:r w:rsidRPr="00D64FCD">
        <w:rPr>
          <w:kern w:val="28"/>
          <w:lang w:val="en-CA"/>
        </w:rPr>
        <w:t xml:space="preserve">, </w:t>
      </w:r>
      <w:r w:rsidR="00294345" w:rsidRPr="00D64FCD">
        <w:rPr>
          <w:kern w:val="28"/>
          <w:lang w:val="en-CA"/>
        </w:rPr>
        <w:t>Wilson</w:t>
      </w:r>
      <w:r w:rsidRPr="00D64FCD">
        <w:rPr>
          <w:kern w:val="28"/>
          <w:lang w:val="en-CA"/>
        </w:rPr>
        <w:t>, J.</w:t>
      </w:r>
      <w:r w:rsidR="00294345" w:rsidRPr="00D64FCD">
        <w:rPr>
          <w:kern w:val="28"/>
          <w:lang w:val="en-CA"/>
        </w:rPr>
        <w:t>, diss</w:t>
      </w:r>
      <w:r w:rsidRPr="00D64FCD">
        <w:rPr>
          <w:kern w:val="28"/>
          <w:lang w:val="en-CA"/>
        </w:rPr>
        <w:t>enting in part</w:t>
      </w:r>
      <w:r w:rsidR="00294345" w:rsidRPr="00D64FCD">
        <w:rPr>
          <w:kern w:val="28"/>
          <w:lang w:val="en-CA"/>
        </w:rPr>
        <w:t xml:space="preserve">, </w:t>
      </w:r>
      <w:r w:rsidRPr="00D64FCD">
        <w:rPr>
          <w:kern w:val="28"/>
          <w:lang w:val="en-CA"/>
        </w:rPr>
        <w:t>expressed the same view:</w:t>
      </w:r>
    </w:p>
    <w:p w14:paraId="42430D19" w14:textId="08B8897E" w:rsidR="007F4756" w:rsidRPr="00D64FCD" w:rsidRDefault="008375C2" w:rsidP="007F4756">
      <w:pPr>
        <w:spacing w:before="120" w:after="120" w:line="240" w:lineRule="auto"/>
        <w:ind w:left="720" w:right="720"/>
        <w:jc w:val="both"/>
        <w:rPr>
          <w:kern w:val="24"/>
          <w:sz w:val="22"/>
          <w:lang w:val="en-CA"/>
        </w:rPr>
      </w:pPr>
      <w:r w:rsidRPr="00D64FCD">
        <w:rPr>
          <w:kern w:val="24"/>
          <w:sz w:val="22"/>
          <w:lang w:val="en-CA"/>
        </w:rPr>
        <w:t>When there is a real risk that judicial immunity may be perceived by the public as being advanced for the protection of the judiciary rather than for the protection of the justice system, the public interest in my view requires that the question be asked and answered</w:t>
      </w:r>
      <w:r w:rsidR="00294345" w:rsidRPr="00D64FCD">
        <w:rPr>
          <w:kern w:val="24"/>
          <w:sz w:val="22"/>
          <w:lang w:val="en-CA"/>
        </w:rPr>
        <w:t>.</w:t>
      </w:r>
      <w:r w:rsidR="00294345" w:rsidRPr="00D64FCD">
        <w:rPr>
          <w:kern w:val="24"/>
          <w:sz w:val="22"/>
          <w:vertAlign w:val="superscript"/>
          <w:lang w:val="en-CA"/>
        </w:rPr>
        <w:footnoteReference w:id="57"/>
      </w:r>
    </w:p>
    <w:p w14:paraId="215A4F60" w14:textId="5BABECAB"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We are nevertheless of the view for reasons differing from those of the judge, but aligning with some of those of our colleague, that it would be unreasonable, within the meaning of article</w:t>
      </w:r>
      <w:r w:rsidR="00F92FA1">
        <w:rPr>
          <w:kern w:val="28"/>
          <w:lang w:val="en-CA"/>
        </w:rPr>
        <w:t> </w:t>
      </w:r>
      <w:r w:rsidRPr="00D64FCD">
        <w:rPr>
          <w:kern w:val="28"/>
          <w:lang w:val="en-CA"/>
        </w:rPr>
        <w:t xml:space="preserve">2870 </w:t>
      </w:r>
      <w:r w:rsidRPr="00D16016">
        <w:rPr>
          <w:i/>
          <w:iCs/>
          <w:kern w:val="28"/>
          <w:lang w:val="en-CA"/>
        </w:rPr>
        <w:t>C</w:t>
      </w:r>
      <w:r w:rsidR="00BB431E" w:rsidRPr="00D16016">
        <w:rPr>
          <w:i/>
          <w:iCs/>
          <w:kern w:val="28"/>
          <w:lang w:val="en-CA"/>
        </w:rPr>
        <w:t>.</w:t>
      </w:r>
      <w:r w:rsidRPr="00D16016">
        <w:rPr>
          <w:i/>
          <w:iCs/>
          <w:kern w:val="28"/>
          <w:lang w:val="en-CA"/>
        </w:rPr>
        <w:t>C</w:t>
      </w:r>
      <w:r w:rsidR="00BB431E" w:rsidRPr="00D16016">
        <w:rPr>
          <w:i/>
          <w:iCs/>
          <w:kern w:val="28"/>
          <w:lang w:val="en-CA"/>
        </w:rPr>
        <w:t>.</w:t>
      </w:r>
      <w:r w:rsidRPr="00D16016">
        <w:rPr>
          <w:i/>
          <w:iCs/>
          <w:kern w:val="28"/>
          <w:lang w:val="en-CA"/>
        </w:rPr>
        <w:t>Q</w:t>
      </w:r>
      <w:r w:rsidR="00BB431E" w:rsidRPr="00D16016">
        <w:rPr>
          <w:i/>
          <w:iCs/>
          <w:kern w:val="28"/>
          <w:lang w:val="en-CA"/>
        </w:rPr>
        <w:t>.</w:t>
      </w:r>
      <w:r w:rsidR="006775BE">
        <w:rPr>
          <w:kern w:val="28"/>
          <w:lang w:val="en-CA"/>
        </w:rPr>
        <w:t>,</w:t>
      </w:r>
      <w:r w:rsidRPr="00D64FCD">
        <w:rPr>
          <w:kern w:val="28"/>
          <w:lang w:val="en-CA"/>
        </w:rPr>
        <w:t xml:space="preserve"> to require the Judges to testify at the hearing.</w:t>
      </w:r>
    </w:p>
    <w:p w14:paraId="20A3E0CE" w14:textId="391B61AB"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The assessment of reasonableness is discretionary and requires that judges weigh a series of factors, including the importance of the evidence, the degree to which the opposing party’s ability to cross-examine is impaired and the nature of the disadvantages of having judges testify. In our view, it is always preferable to avoid, whenever possible, having judges testify, not out of concern for protecting them as judges, but rather to protect the justice system in general and foster public confidence in its administration. Judges play a crucial role in this system, and several issues can arise when a judge testifies before a court. For example, the judge could appear to be favouring the party at whose request they are testifying, which can compromise the appearance of impartiality, a fundamental requirement in judicial matters. The lawyers who examine or cross-examine the judge, and the hearing judge who must assess their credibility, find themselves in a difficult, even awkward, position. It is therefore in the interest of justice to avoid such testimony as much as possible. The justice system should only have to deal with these issues when a judge’s testimony before the court is legally possible</w:t>
      </w:r>
      <w:r w:rsidR="006775BE">
        <w:rPr>
          <w:kern w:val="28"/>
          <w:lang w:val="en-CA"/>
        </w:rPr>
        <w:t xml:space="preserve"> and</w:t>
      </w:r>
      <w:r w:rsidRPr="00D64FCD">
        <w:rPr>
          <w:kern w:val="28"/>
          <w:lang w:val="en-CA"/>
        </w:rPr>
        <w:t xml:space="preserve"> </w:t>
      </w:r>
      <w:proofErr w:type="gramStart"/>
      <w:r w:rsidR="00B6123F">
        <w:rPr>
          <w:kern w:val="28"/>
          <w:lang w:val="en-CA"/>
        </w:rPr>
        <w:t xml:space="preserve">absolutely </w:t>
      </w:r>
      <w:r w:rsidRPr="00D64FCD">
        <w:rPr>
          <w:kern w:val="28"/>
          <w:lang w:val="en-CA"/>
        </w:rPr>
        <w:t>necessary</w:t>
      </w:r>
      <w:proofErr w:type="gramEnd"/>
      <w:r w:rsidRPr="00D64FCD">
        <w:rPr>
          <w:kern w:val="28"/>
          <w:lang w:val="en-CA"/>
        </w:rPr>
        <w:t xml:space="preserve">. </w:t>
      </w:r>
    </w:p>
    <w:p w14:paraId="5599FFCC" w14:textId="66977BE1" w:rsidR="00D64FCD" w:rsidRPr="00D64FCD" w:rsidRDefault="00D64FCD" w:rsidP="00D64FCD">
      <w:pPr>
        <w:numPr>
          <w:ilvl w:val="0"/>
          <w:numId w:val="18"/>
        </w:numPr>
        <w:spacing w:before="120" w:after="120" w:line="240" w:lineRule="auto"/>
        <w:jc w:val="both"/>
        <w:rPr>
          <w:kern w:val="28"/>
          <w:lang w:val="en-CA"/>
        </w:rPr>
      </w:pPr>
      <w:r w:rsidRPr="00D64FCD">
        <w:rPr>
          <w:kern w:val="28"/>
          <w:lang w:val="en-CA"/>
        </w:rPr>
        <w:t>In this case, however, the Judges’ testimony about the subjects addressed in their affidavits does not appear essential, or even sufficiently important to justify exposing the justice system to the risks discussed above. The statements primarily concern subjects relating to the linguistic realities and needs of the Court of Québec in various regions: the use of English by judges in those regions, the judicial resources serving the population of those regions, logistical issues related to the use of interpreters, and the prejudice that would result from access to justice if unilingual judges were appointed in those regions. These issues were relevant in the Council’s case to debate the validity of the new provisions concerning the appointment of judges of the Court of Québec and certain notices of selection. However, this is not the debate in this case, which concerns essentially the application of Bill</w:t>
      </w:r>
      <w:r w:rsidR="00F92FA1">
        <w:rPr>
          <w:kern w:val="28"/>
          <w:lang w:val="en-CA"/>
        </w:rPr>
        <w:t> </w:t>
      </w:r>
      <w:r w:rsidRPr="00D64FCD">
        <w:rPr>
          <w:kern w:val="28"/>
          <w:lang w:val="en-CA"/>
        </w:rPr>
        <w:t xml:space="preserve">96 to English-language school boards. Furthermore, the </w:t>
      </w:r>
      <w:r w:rsidRPr="00D64FCD">
        <w:rPr>
          <w:kern w:val="28"/>
          <w:lang w:val="en-CA"/>
        </w:rPr>
        <w:lastRenderedPageBreak/>
        <w:t xml:space="preserve">Judges’ affidavits date from 2022 or 2023 and the statistics cited are therefore out of date. The appellants have access to more recent data and may produce </w:t>
      </w:r>
      <w:r w:rsidR="00393DD3">
        <w:rPr>
          <w:kern w:val="28"/>
          <w:lang w:val="en-CA"/>
        </w:rPr>
        <w:t>them</w:t>
      </w:r>
      <w:r w:rsidR="00393DD3" w:rsidRPr="00D64FCD">
        <w:rPr>
          <w:kern w:val="28"/>
          <w:lang w:val="en-CA"/>
        </w:rPr>
        <w:t xml:space="preserve"> </w:t>
      </w:r>
      <w:r w:rsidRPr="00D64FCD">
        <w:rPr>
          <w:kern w:val="28"/>
          <w:lang w:val="en-CA"/>
        </w:rPr>
        <w:t>if they deem it appropriate.</w:t>
      </w:r>
    </w:p>
    <w:p w14:paraId="32528E51" w14:textId="1F835988"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Therefore, it is preferable to use the Judges’ affidavits as a mode of proof</w:t>
      </w:r>
      <w:r w:rsidR="00294345" w:rsidRPr="00D64FCD">
        <w:rPr>
          <w:kern w:val="28"/>
          <w:lang w:val="en-CA"/>
        </w:rPr>
        <w:t xml:space="preserve">, </w:t>
      </w:r>
      <w:r w:rsidRPr="00D64FCD">
        <w:rPr>
          <w:kern w:val="28"/>
          <w:lang w:val="en-CA"/>
        </w:rPr>
        <w:t>rather than requiring them to appear before the Court, which</w:t>
      </w:r>
      <w:r w:rsidR="006775BE">
        <w:rPr>
          <w:kern w:val="28"/>
          <w:lang w:val="en-CA"/>
        </w:rPr>
        <w:t>,</w:t>
      </w:r>
      <w:r w:rsidRPr="00D64FCD">
        <w:rPr>
          <w:kern w:val="28"/>
          <w:lang w:val="en-CA"/>
        </w:rPr>
        <w:t xml:space="preserve"> in the circumstances and for the reasons above, would be unreasonable. Furthermore, like </w:t>
      </w:r>
      <w:r w:rsidR="00294345" w:rsidRPr="00D64FCD">
        <w:rPr>
          <w:kern w:val="28"/>
          <w:lang w:val="en-CA"/>
        </w:rPr>
        <w:t>Schrager</w:t>
      </w:r>
      <w:r w:rsidR="00361E50">
        <w:rPr>
          <w:kern w:val="28"/>
          <w:lang w:val="en-CA"/>
        </w:rPr>
        <w:t>,</w:t>
      </w:r>
      <w:r w:rsidRPr="00D64FCD">
        <w:rPr>
          <w:kern w:val="28"/>
          <w:lang w:val="en-CA"/>
        </w:rPr>
        <w:t xml:space="preserve"> J.</w:t>
      </w:r>
      <w:r w:rsidR="00465D96">
        <w:rPr>
          <w:kern w:val="28"/>
          <w:lang w:val="en-CA"/>
        </w:rPr>
        <w:t>A.</w:t>
      </w:r>
      <w:r w:rsidR="00361E50">
        <w:rPr>
          <w:kern w:val="28"/>
          <w:lang w:val="en-CA"/>
        </w:rPr>
        <w:t>,</w:t>
      </w:r>
      <w:r w:rsidR="00294345" w:rsidRPr="00D64FCD">
        <w:rPr>
          <w:kern w:val="28"/>
          <w:lang w:val="en-CA"/>
        </w:rPr>
        <w:t xml:space="preserve"> </w:t>
      </w:r>
      <w:r w:rsidRPr="00D64FCD">
        <w:rPr>
          <w:kern w:val="28"/>
          <w:lang w:val="en-CA"/>
        </w:rPr>
        <w:t>we are of the view that it is appropriate to leave it to the trial judge to assess the probative value of the statements, particularly to exclude excerpts that are opinion evidence or arguments.</w:t>
      </w:r>
    </w:p>
    <w:p w14:paraId="242A89D3" w14:textId="3D74F58C" w:rsidR="007F4756" w:rsidRPr="00D64FCD" w:rsidRDefault="00D64FCD" w:rsidP="007F4756">
      <w:pPr>
        <w:numPr>
          <w:ilvl w:val="0"/>
          <w:numId w:val="18"/>
        </w:numPr>
        <w:spacing w:before="120" w:after="120" w:line="240" w:lineRule="auto"/>
        <w:jc w:val="both"/>
        <w:rPr>
          <w:kern w:val="28"/>
          <w:lang w:val="en-CA"/>
        </w:rPr>
      </w:pPr>
      <w:r w:rsidRPr="00D64FCD">
        <w:rPr>
          <w:kern w:val="28"/>
          <w:lang w:val="en-CA"/>
        </w:rPr>
        <w:t>Last, we cannot conclude without noting that these reasons must not be interpreted as a free pass allowing judges to file an affidavit in a case on the assumption that it will always be unreasonable to compel them to appear and testify at the hearing or in any other. Each case will always be considered on its own merits.</w:t>
      </w:r>
    </w:p>
    <w:p w14:paraId="1C7B90DE" w14:textId="3588AA06" w:rsidR="003C0CC9" w:rsidRPr="00D64FCD" w:rsidRDefault="00D64FCD" w:rsidP="007F4756">
      <w:pPr>
        <w:numPr>
          <w:ilvl w:val="0"/>
          <w:numId w:val="18"/>
        </w:numPr>
        <w:spacing w:before="120" w:after="120" w:line="240" w:lineRule="auto"/>
        <w:jc w:val="both"/>
        <w:rPr>
          <w:kern w:val="28"/>
          <w:lang w:val="en-CA"/>
        </w:rPr>
      </w:pPr>
      <w:r w:rsidRPr="00D64FCD">
        <w:rPr>
          <w:kern w:val="28"/>
          <w:lang w:val="en-CA"/>
        </w:rPr>
        <w:t xml:space="preserve">For these reasons, which pertain solely to the issue of </w:t>
      </w:r>
      <w:r w:rsidR="00207DFF">
        <w:rPr>
          <w:kern w:val="28"/>
          <w:lang w:val="en-CA"/>
        </w:rPr>
        <w:t>“</w:t>
      </w:r>
      <w:r w:rsidRPr="00D64FCD">
        <w:rPr>
          <w:kern w:val="28"/>
          <w:lang w:val="en-CA"/>
        </w:rPr>
        <w:t>reasonableness</w:t>
      </w:r>
      <w:r w:rsidR="00207DFF">
        <w:rPr>
          <w:kern w:val="28"/>
          <w:lang w:val="en-CA"/>
        </w:rPr>
        <w:t>”</w:t>
      </w:r>
      <w:r w:rsidRPr="00D64FCD">
        <w:rPr>
          <w:kern w:val="28"/>
          <w:lang w:val="en-CA"/>
        </w:rPr>
        <w:t>, we concur with our colleague in dismissing the appeal, with costs.</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2C2BF3" w:rsidRPr="00C533A5" w14:paraId="76660FDC" w14:textId="77777777" w:rsidTr="009F3CA2">
        <w:trPr>
          <w:cantSplit/>
          <w:trHeight w:val="513"/>
        </w:trPr>
        <w:tc>
          <w:tcPr>
            <w:tcW w:w="9360" w:type="dxa"/>
            <w:gridSpan w:val="2"/>
          </w:tcPr>
          <w:p w14:paraId="21FCB2DA" w14:textId="77777777" w:rsidR="003C0CC9" w:rsidRPr="00D64FCD" w:rsidRDefault="003C0CC9" w:rsidP="003C0CC9">
            <w:pPr>
              <w:pStyle w:val="Paragraphe"/>
              <w:numPr>
                <w:ilvl w:val="0"/>
                <w:numId w:val="0"/>
              </w:numPr>
              <w:spacing w:line="240" w:lineRule="auto"/>
              <w:rPr>
                <w:lang w:val="en-CA"/>
              </w:rPr>
            </w:pPr>
          </w:p>
        </w:tc>
      </w:tr>
      <w:tr w:rsidR="002C2BF3" w:rsidRPr="00C533A5" w14:paraId="4F599A2A" w14:textId="77777777" w:rsidTr="009F3CA2">
        <w:trPr>
          <w:cantSplit/>
          <w:trHeight w:val="277"/>
        </w:trPr>
        <w:tc>
          <w:tcPr>
            <w:tcW w:w="4735" w:type="dxa"/>
            <w:vMerge w:val="restart"/>
          </w:tcPr>
          <w:p w14:paraId="447B73BE" w14:textId="77777777" w:rsidR="003C0CC9" w:rsidRPr="00D64FCD" w:rsidRDefault="003C0CC9" w:rsidP="009F3CA2">
            <w:pPr>
              <w:rPr>
                <w:lang w:val="en-CA"/>
              </w:rPr>
            </w:pPr>
          </w:p>
        </w:tc>
        <w:tc>
          <w:tcPr>
            <w:tcW w:w="4625" w:type="dxa"/>
            <w:tcBorders>
              <w:bottom w:val="single" w:sz="8" w:space="0" w:color="auto"/>
            </w:tcBorders>
          </w:tcPr>
          <w:p w14:paraId="4F140D93" w14:textId="77777777" w:rsidR="003C0CC9" w:rsidRPr="00D64FCD" w:rsidRDefault="003C0CC9" w:rsidP="009F3CA2">
            <w:pPr>
              <w:rPr>
                <w:lang w:val="en-CA"/>
              </w:rPr>
            </w:pPr>
          </w:p>
        </w:tc>
      </w:tr>
      <w:tr w:rsidR="002C2BF3" w:rsidRPr="00177FCA" w14:paraId="693B5E9B" w14:textId="77777777" w:rsidTr="009F3CA2">
        <w:trPr>
          <w:cantSplit/>
          <w:trHeight w:val="276"/>
        </w:trPr>
        <w:tc>
          <w:tcPr>
            <w:tcW w:w="4735" w:type="dxa"/>
            <w:vMerge/>
          </w:tcPr>
          <w:p w14:paraId="3B7C2E53" w14:textId="77777777" w:rsidR="003C0CC9" w:rsidRPr="00D64FCD" w:rsidRDefault="003C0CC9" w:rsidP="009F3CA2">
            <w:pPr>
              <w:rPr>
                <w:lang w:val="en-CA"/>
              </w:rPr>
            </w:pPr>
          </w:p>
        </w:tc>
        <w:tc>
          <w:tcPr>
            <w:tcW w:w="4625" w:type="dxa"/>
          </w:tcPr>
          <w:p w14:paraId="260A03AA" w14:textId="56EF744E" w:rsidR="003C0CC9" w:rsidRPr="00D64FCD" w:rsidRDefault="00C533A5" w:rsidP="009F3CA2">
            <w:pPr>
              <w:rPr>
                <w:lang w:val="en-CA"/>
              </w:rPr>
            </w:pPr>
            <w:r w:rsidRPr="00C533A5">
              <w:rPr>
                <w:lang w:val="en-CA"/>
              </w:rPr>
              <w:t>STEPHEN W. HAMILTON, J.A.</w:t>
            </w:r>
          </w:p>
        </w:tc>
      </w:tr>
      <w:tr w:rsidR="002C2BF3" w:rsidRPr="00177FCA" w14:paraId="0D84A404" w14:textId="77777777" w:rsidTr="009F3CA2">
        <w:trPr>
          <w:cantSplit/>
          <w:trHeight w:val="513"/>
        </w:trPr>
        <w:tc>
          <w:tcPr>
            <w:tcW w:w="9360" w:type="dxa"/>
            <w:gridSpan w:val="2"/>
          </w:tcPr>
          <w:p w14:paraId="583893A2" w14:textId="77777777" w:rsidR="003C0CC9" w:rsidRPr="00D64FCD" w:rsidRDefault="003C0CC9" w:rsidP="009F3CA2">
            <w:pPr>
              <w:rPr>
                <w:lang w:val="en-CA"/>
              </w:rPr>
            </w:pPr>
          </w:p>
        </w:tc>
      </w:tr>
      <w:tr w:rsidR="002C2BF3" w:rsidRPr="00177FCA" w14:paraId="255796B4" w14:textId="77777777" w:rsidTr="009F3CA2">
        <w:trPr>
          <w:cantSplit/>
          <w:trHeight w:val="277"/>
        </w:trPr>
        <w:tc>
          <w:tcPr>
            <w:tcW w:w="4735" w:type="dxa"/>
            <w:vMerge w:val="restart"/>
          </w:tcPr>
          <w:p w14:paraId="3494F217" w14:textId="77777777" w:rsidR="003C0CC9" w:rsidRPr="00D64FCD" w:rsidRDefault="003C0CC9" w:rsidP="009F3CA2">
            <w:pPr>
              <w:rPr>
                <w:lang w:val="en-CA"/>
              </w:rPr>
            </w:pPr>
          </w:p>
        </w:tc>
        <w:tc>
          <w:tcPr>
            <w:tcW w:w="4625" w:type="dxa"/>
            <w:tcBorders>
              <w:bottom w:val="single" w:sz="8" w:space="0" w:color="auto"/>
            </w:tcBorders>
          </w:tcPr>
          <w:p w14:paraId="51181E84" w14:textId="4EE05F63" w:rsidR="003C0CC9" w:rsidRPr="00D64FCD" w:rsidRDefault="003C0CC9" w:rsidP="009F3CA2">
            <w:pPr>
              <w:rPr>
                <w:lang w:val="en-CA"/>
              </w:rPr>
            </w:pPr>
          </w:p>
        </w:tc>
      </w:tr>
      <w:tr w:rsidR="00C533A5" w:rsidRPr="00D64FCD" w14:paraId="5595C278" w14:textId="77777777" w:rsidTr="009F3CA2">
        <w:trPr>
          <w:cantSplit/>
          <w:trHeight w:val="276"/>
        </w:trPr>
        <w:tc>
          <w:tcPr>
            <w:tcW w:w="4735" w:type="dxa"/>
            <w:vMerge/>
          </w:tcPr>
          <w:p w14:paraId="2C3D4EAF" w14:textId="77777777" w:rsidR="00C533A5" w:rsidRPr="00D64FCD" w:rsidRDefault="00C533A5" w:rsidP="00C533A5">
            <w:pPr>
              <w:rPr>
                <w:lang w:val="en-CA"/>
              </w:rPr>
            </w:pPr>
          </w:p>
        </w:tc>
        <w:tc>
          <w:tcPr>
            <w:tcW w:w="4625" w:type="dxa"/>
          </w:tcPr>
          <w:p w14:paraId="625442DB" w14:textId="3B4DC328" w:rsidR="00C533A5" w:rsidRPr="00D64FCD" w:rsidRDefault="00C533A5" w:rsidP="00C533A5">
            <w:pPr>
              <w:rPr>
                <w:lang w:val="en-CA"/>
              </w:rPr>
            </w:pPr>
            <w:r w:rsidRPr="00C533A5">
              <w:rPr>
                <w:lang w:val="en-CA"/>
              </w:rPr>
              <w:t>MICHEL BEAUPRÉ, J.A.</w:t>
            </w:r>
          </w:p>
        </w:tc>
      </w:tr>
      <w:tr w:rsidR="00C533A5" w:rsidRPr="00D64FCD" w14:paraId="46919DFB" w14:textId="77777777" w:rsidTr="009F3CA2">
        <w:trPr>
          <w:cantSplit/>
          <w:trHeight w:val="276"/>
        </w:trPr>
        <w:tc>
          <w:tcPr>
            <w:tcW w:w="4735" w:type="dxa"/>
          </w:tcPr>
          <w:p w14:paraId="615FE53B" w14:textId="77777777" w:rsidR="00C533A5" w:rsidRPr="00D64FCD" w:rsidRDefault="00C533A5" w:rsidP="00C533A5">
            <w:pPr>
              <w:rPr>
                <w:lang w:val="en-CA"/>
              </w:rPr>
            </w:pPr>
          </w:p>
        </w:tc>
        <w:tc>
          <w:tcPr>
            <w:tcW w:w="4625" w:type="dxa"/>
          </w:tcPr>
          <w:p w14:paraId="36E9E8B8" w14:textId="76D845AB" w:rsidR="00C533A5" w:rsidRPr="00D64FCD" w:rsidRDefault="00C533A5" w:rsidP="00C533A5">
            <w:pPr>
              <w:rPr>
                <w:lang w:val="en-CA"/>
              </w:rPr>
            </w:pPr>
          </w:p>
        </w:tc>
      </w:tr>
    </w:tbl>
    <w:p w14:paraId="0FB9E692" w14:textId="77777777" w:rsidR="00740A17" w:rsidRPr="00D64FCD" w:rsidRDefault="00740A17" w:rsidP="00912BB4">
      <w:pPr>
        <w:rPr>
          <w:lang w:val="en-CA"/>
        </w:rPr>
      </w:pPr>
    </w:p>
    <w:sectPr w:rsidR="00740A17" w:rsidRPr="00D64FCD" w:rsidSect="00067E7C">
      <w:headerReference w:type="even" r:id="rId23"/>
      <w:headerReference w:type="default" r:id="rId24"/>
      <w:footerReference w:type="even" r:id="rId25"/>
      <w:footerReference w:type="default" r:id="rId26"/>
      <w:headerReference w:type="first" r:id="rId27"/>
      <w:footerReference w:type="first" r:id="rId28"/>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998E" w14:textId="77777777" w:rsidR="00001786" w:rsidRDefault="00001786">
      <w:pPr>
        <w:spacing w:line="240" w:lineRule="auto"/>
      </w:pPr>
      <w:r>
        <w:separator/>
      </w:r>
    </w:p>
  </w:endnote>
  <w:endnote w:type="continuationSeparator" w:id="0">
    <w:p w14:paraId="4535D57A" w14:textId="77777777" w:rsidR="00001786" w:rsidRDefault="00001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FA28" w14:textId="75538340" w:rsidR="00405543" w:rsidRPr="00D16016" w:rsidRDefault="00613E24" w:rsidP="00C533A5">
    <w:pPr>
      <w:ind w:right="6"/>
      <w:jc w:val="right"/>
      <w:rPr>
        <w:lang w:val="en-CA"/>
      </w:rPr>
    </w:pPr>
    <w:r w:rsidRPr="00D64FCD">
      <w:rPr>
        <w:rFonts w:cs="Arial"/>
        <w:b/>
        <w:szCs w:val="24"/>
        <w:lang w:val="en-CA"/>
      </w:rPr>
      <w:t>English translation of the</w:t>
    </w:r>
    <w:r>
      <w:rPr>
        <w:rFonts w:cs="Arial"/>
        <w:b/>
        <w:szCs w:val="24"/>
        <w:lang w:val="en-CA"/>
      </w:rPr>
      <w:t xml:space="preserve"> </w:t>
    </w:r>
    <w:r w:rsidRPr="00D64FCD">
      <w:rPr>
        <w:rFonts w:cs="Arial"/>
        <w:b/>
        <w:szCs w:val="24"/>
        <w:lang w:val="en-CA"/>
      </w:rPr>
      <w:t>judgment</w:t>
    </w:r>
    <w:r>
      <w:rPr>
        <w:rFonts w:cs="Arial"/>
        <w:b/>
        <w:szCs w:val="24"/>
        <w:lang w:val="en-CA"/>
      </w:rPr>
      <w:t xml:space="preserve"> </w:t>
    </w:r>
    <w:r w:rsidRPr="00D64FCD">
      <w:rPr>
        <w:rFonts w:cs="Arial"/>
        <w:b/>
        <w:szCs w:val="24"/>
        <w:lang w:val="en-CA"/>
      </w:rPr>
      <w:t>of the Court by SOQUIJ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200F" w14:textId="77777777" w:rsidR="003C0CC9" w:rsidRDefault="003C0C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8005" w14:textId="175D3404" w:rsidR="00325ABF" w:rsidRPr="00BF35B6" w:rsidRDefault="00EE700B" w:rsidP="00C533A5">
    <w:pPr>
      <w:spacing w:line="240" w:lineRule="auto"/>
      <w:ind w:right="6"/>
      <w:jc w:val="right"/>
      <w:rPr>
        <w:rFonts w:cs="Arial"/>
        <w:szCs w:val="24"/>
        <w:lang w:val="en-CA"/>
      </w:rPr>
    </w:pPr>
    <w:r w:rsidRPr="00D64FCD">
      <w:rPr>
        <w:rFonts w:cs="Arial"/>
        <w:b/>
        <w:szCs w:val="24"/>
        <w:lang w:val="en-CA"/>
      </w:rPr>
      <w:t>English translation of the</w:t>
    </w:r>
    <w:r>
      <w:rPr>
        <w:rFonts w:cs="Arial"/>
        <w:b/>
        <w:szCs w:val="24"/>
        <w:lang w:val="en-CA"/>
      </w:rPr>
      <w:t xml:space="preserve"> </w:t>
    </w:r>
    <w:r w:rsidRPr="00D64FCD">
      <w:rPr>
        <w:rFonts w:cs="Arial"/>
        <w:b/>
        <w:szCs w:val="24"/>
        <w:lang w:val="en-CA"/>
      </w:rPr>
      <w:t>judgment</w:t>
    </w:r>
    <w:r>
      <w:rPr>
        <w:rFonts w:cs="Arial"/>
        <w:b/>
        <w:szCs w:val="24"/>
        <w:lang w:val="en-CA"/>
      </w:rPr>
      <w:t xml:space="preserve"> </w:t>
    </w:r>
    <w:r w:rsidRPr="00D64FCD">
      <w:rPr>
        <w:rFonts w:cs="Arial"/>
        <w:b/>
        <w:szCs w:val="24"/>
        <w:lang w:val="en-CA"/>
      </w:rPr>
      <w:t>of the Court by SOQUIJ</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81D1" w14:textId="77777777" w:rsidR="003C0CC9" w:rsidRDefault="003C0CC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0F83" w14:textId="77777777" w:rsidR="00E42447" w:rsidRDefault="00E42447">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4564" w14:textId="1B37B5C2" w:rsidR="00E42447" w:rsidRPr="00C533A5" w:rsidRDefault="00C533A5" w:rsidP="00C533A5">
    <w:pPr>
      <w:spacing w:line="240" w:lineRule="auto"/>
      <w:ind w:right="6"/>
      <w:jc w:val="right"/>
      <w:rPr>
        <w:lang w:val="en-CA"/>
      </w:rPr>
    </w:pPr>
    <w:r w:rsidRPr="00D64FCD">
      <w:rPr>
        <w:rFonts w:cs="Arial"/>
        <w:b/>
        <w:szCs w:val="24"/>
        <w:lang w:val="en-CA"/>
      </w:rPr>
      <w:t>English translation of the</w:t>
    </w:r>
    <w:r>
      <w:rPr>
        <w:rFonts w:cs="Arial"/>
        <w:b/>
        <w:szCs w:val="24"/>
        <w:lang w:val="en-CA"/>
      </w:rPr>
      <w:t xml:space="preserve"> </w:t>
    </w:r>
    <w:r w:rsidRPr="00D64FCD">
      <w:rPr>
        <w:rFonts w:cs="Arial"/>
        <w:b/>
        <w:szCs w:val="24"/>
        <w:lang w:val="en-CA"/>
      </w:rPr>
      <w:t>judgment</w:t>
    </w:r>
    <w:r>
      <w:rPr>
        <w:rFonts w:cs="Arial"/>
        <w:b/>
        <w:szCs w:val="24"/>
        <w:lang w:val="en-CA"/>
      </w:rPr>
      <w:t xml:space="preserve"> </w:t>
    </w:r>
    <w:r w:rsidRPr="00D64FCD">
      <w:rPr>
        <w:rFonts w:cs="Arial"/>
        <w:b/>
        <w:szCs w:val="24"/>
        <w:lang w:val="en-CA"/>
      </w:rPr>
      <w:t>of the Court by SOQUIJ</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9297" w14:textId="77777777" w:rsidR="00E42447" w:rsidRDefault="00E424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D119" w14:textId="77777777" w:rsidR="00001786" w:rsidRDefault="00001786">
      <w:r>
        <w:separator/>
      </w:r>
    </w:p>
  </w:footnote>
  <w:footnote w:type="continuationSeparator" w:id="0">
    <w:p w14:paraId="0836FECD" w14:textId="77777777" w:rsidR="00001786" w:rsidRDefault="00001786">
      <w:r>
        <w:continuationSeparator/>
      </w:r>
    </w:p>
  </w:footnote>
  <w:footnote w:id="1">
    <w:p w14:paraId="07AAFBAE" w14:textId="77777777" w:rsidR="005F247F" w:rsidRPr="00D16016" w:rsidRDefault="00294345" w:rsidP="005F247F">
      <w:pPr>
        <w:pStyle w:val="Notedebasdepage"/>
      </w:pPr>
      <w:r w:rsidRPr="00B352FB">
        <w:rPr>
          <w:rStyle w:val="Appelnotedebasdep"/>
        </w:rPr>
        <w:footnoteRef/>
      </w:r>
      <w:r w:rsidRPr="00B352FB">
        <w:t xml:space="preserve">  </w:t>
      </w:r>
      <w:r w:rsidRPr="00B352FB">
        <w:tab/>
      </w:r>
      <w:r w:rsidRPr="00D16016">
        <w:rPr>
          <w:i/>
          <w:iCs/>
        </w:rPr>
        <w:t>Procureur général du Québec c. Ortona</w:t>
      </w:r>
      <w:r w:rsidRPr="00D16016">
        <w:t>, 2024 QCCA 1392.</w:t>
      </w:r>
    </w:p>
  </w:footnote>
  <w:footnote w:id="2">
    <w:p w14:paraId="194BE177" w14:textId="79B7B415" w:rsidR="0021307B" w:rsidRPr="00D16016" w:rsidRDefault="0021307B">
      <w:pPr>
        <w:pStyle w:val="Notedebasdepage"/>
      </w:pPr>
      <w:r w:rsidRPr="009568BF">
        <w:rPr>
          <w:rStyle w:val="Appelnotedebasdep"/>
          <w:lang w:val="en-CA"/>
        </w:rPr>
        <w:footnoteRef/>
      </w:r>
      <w:r w:rsidRPr="00D16016">
        <w:t xml:space="preserve">     </w:t>
      </w:r>
      <w:r w:rsidRPr="00D16016">
        <w:rPr>
          <w:i/>
          <w:iCs/>
        </w:rPr>
        <w:t>Ortona c. Procureur général du Québec</w:t>
      </w:r>
      <w:r w:rsidRPr="00D16016">
        <w:t>, 2024 QCCS 2780 [judgment under appeal].</w:t>
      </w:r>
    </w:p>
  </w:footnote>
  <w:footnote w:id="3">
    <w:p w14:paraId="166D1930" w14:textId="662DE8E8" w:rsidR="005F247F" w:rsidRPr="009568BF" w:rsidRDefault="00294345" w:rsidP="005F247F">
      <w:pPr>
        <w:pStyle w:val="Notedebasdepage"/>
        <w:rPr>
          <w:lang w:val="en-CA"/>
        </w:rPr>
      </w:pPr>
      <w:r w:rsidRPr="009568BF">
        <w:rPr>
          <w:rStyle w:val="Appelnotedebasdep"/>
          <w:lang w:val="en-CA"/>
        </w:rPr>
        <w:footnoteRef/>
      </w:r>
      <w:r w:rsidRPr="009568BF">
        <w:rPr>
          <w:lang w:val="en-CA"/>
        </w:rPr>
        <w:t xml:space="preserve">  </w:t>
      </w:r>
      <w:r w:rsidRPr="009568BF">
        <w:rPr>
          <w:lang w:val="en-CA"/>
        </w:rPr>
        <w:tab/>
      </w:r>
      <w:r w:rsidR="0021307B" w:rsidRPr="009568BF">
        <w:rPr>
          <w:lang w:val="en-CA"/>
        </w:rPr>
        <w:t>S</w:t>
      </w:r>
      <w:r w:rsidRPr="009568BF">
        <w:rPr>
          <w:lang w:val="en-CA"/>
        </w:rPr>
        <w:t>.Q.</w:t>
      </w:r>
      <w:r w:rsidR="00F92FA1">
        <w:rPr>
          <w:lang w:val="en-CA"/>
        </w:rPr>
        <w:t> </w:t>
      </w:r>
      <w:r w:rsidRPr="009568BF">
        <w:rPr>
          <w:lang w:val="en-CA"/>
        </w:rPr>
        <w:t>2022, c. 14.</w:t>
      </w:r>
    </w:p>
  </w:footnote>
  <w:footnote w:id="4">
    <w:p w14:paraId="7C923711" w14:textId="5BB568F5" w:rsidR="005F247F" w:rsidRPr="009568BF" w:rsidRDefault="00294345" w:rsidP="005F247F">
      <w:pPr>
        <w:pStyle w:val="Notedebasdepage"/>
        <w:rPr>
          <w:lang w:val="en-CA"/>
        </w:rPr>
      </w:pPr>
      <w:r w:rsidRPr="009568BF">
        <w:rPr>
          <w:rStyle w:val="Appelnotedebasdep"/>
          <w:lang w:val="en-CA"/>
        </w:rPr>
        <w:footnoteRef/>
      </w:r>
      <w:r w:rsidRPr="009568BF">
        <w:rPr>
          <w:lang w:val="en-CA"/>
        </w:rPr>
        <w:t xml:space="preserve"> </w:t>
      </w:r>
      <w:r w:rsidRPr="009568BF">
        <w:rPr>
          <w:lang w:val="en-CA"/>
        </w:rPr>
        <w:tab/>
      </w:r>
      <w:r w:rsidR="00E87E6F" w:rsidRPr="009568BF">
        <w:rPr>
          <w:lang w:val="en-CA"/>
        </w:rPr>
        <w:t>The application was amended at least twice and the most recent version contained in the appellants</w:t>
      </w:r>
      <w:r w:rsidR="00293573" w:rsidRPr="009568BF">
        <w:rPr>
          <w:lang w:val="en-CA"/>
        </w:rPr>
        <w:t>’</w:t>
      </w:r>
      <w:r w:rsidR="00E87E6F" w:rsidRPr="009568BF">
        <w:rPr>
          <w:lang w:val="en-CA"/>
        </w:rPr>
        <w:t xml:space="preserve"> brief is dated March</w:t>
      </w:r>
      <w:r w:rsidR="00A00A6C">
        <w:rPr>
          <w:lang w:val="en-CA"/>
        </w:rPr>
        <w:t> </w:t>
      </w:r>
      <w:r w:rsidR="00E87E6F" w:rsidRPr="009568BF">
        <w:rPr>
          <w:lang w:val="en-CA"/>
        </w:rPr>
        <w:t>5, 2024.</w:t>
      </w:r>
    </w:p>
  </w:footnote>
  <w:footnote w:id="5">
    <w:p w14:paraId="4A794722" w14:textId="5D97F147" w:rsidR="005F247F" w:rsidRPr="009568BF" w:rsidRDefault="00294345" w:rsidP="005F247F">
      <w:pPr>
        <w:pStyle w:val="Notedebasdepage"/>
        <w:rPr>
          <w:lang w:val="en-CA"/>
        </w:rPr>
      </w:pPr>
      <w:r w:rsidRPr="009568BF">
        <w:rPr>
          <w:rStyle w:val="Appelnotedebasdep"/>
          <w:lang w:val="en-CA"/>
        </w:rPr>
        <w:footnoteRef/>
      </w:r>
      <w:r w:rsidRPr="009568BF">
        <w:rPr>
          <w:lang w:val="en-CA"/>
        </w:rPr>
        <w:t xml:space="preserve">  </w:t>
      </w:r>
      <w:r w:rsidRPr="009568BF">
        <w:rPr>
          <w:lang w:val="en-CA"/>
        </w:rPr>
        <w:tab/>
      </w:r>
      <w:r w:rsidRPr="009568BF">
        <w:rPr>
          <w:i/>
          <w:iCs/>
          <w:lang w:val="en-CA"/>
        </w:rPr>
        <w:t>Charte</w:t>
      </w:r>
      <w:r w:rsidR="00B77130" w:rsidRPr="009568BF">
        <w:rPr>
          <w:i/>
          <w:iCs/>
          <w:lang w:val="en-CA"/>
        </w:rPr>
        <w:t>r of the French Language</w:t>
      </w:r>
      <w:r w:rsidRPr="009568BF">
        <w:rPr>
          <w:lang w:val="en-CA"/>
        </w:rPr>
        <w:t xml:space="preserve">, </w:t>
      </w:r>
      <w:r w:rsidR="00B77130" w:rsidRPr="009568BF">
        <w:rPr>
          <w:lang w:val="en-CA"/>
        </w:rPr>
        <w:t>CQLR</w:t>
      </w:r>
      <w:r w:rsidRPr="009568BF">
        <w:rPr>
          <w:lang w:val="en-CA"/>
        </w:rPr>
        <w:t>, c. C-11.</w:t>
      </w:r>
    </w:p>
  </w:footnote>
  <w:footnote w:id="6">
    <w:p w14:paraId="27702E04" w14:textId="4EB9D5CC" w:rsidR="005F247F" w:rsidRPr="009568BF" w:rsidRDefault="00294345" w:rsidP="005F247F">
      <w:pPr>
        <w:pStyle w:val="Notedebasdepage"/>
        <w:rPr>
          <w:lang w:val="en-CA"/>
        </w:rPr>
      </w:pPr>
      <w:r w:rsidRPr="009568BF">
        <w:rPr>
          <w:rStyle w:val="Appelnotedebasdep"/>
          <w:lang w:val="en-CA"/>
        </w:rPr>
        <w:footnoteRef/>
      </w:r>
      <w:r w:rsidRPr="009568BF">
        <w:rPr>
          <w:lang w:val="en-CA"/>
        </w:rPr>
        <w:t xml:space="preserve">  </w:t>
      </w:r>
      <w:r w:rsidRPr="009568BF">
        <w:rPr>
          <w:lang w:val="en-CA"/>
        </w:rPr>
        <w:tab/>
      </w:r>
      <w:r w:rsidR="00B77130" w:rsidRPr="009568BF">
        <w:rPr>
          <w:i/>
          <w:iCs/>
          <w:lang w:val="en-CA"/>
        </w:rPr>
        <w:t>Courts of Justice Act</w:t>
      </w:r>
      <w:r w:rsidRPr="009568BF">
        <w:rPr>
          <w:lang w:val="en-CA"/>
        </w:rPr>
        <w:t xml:space="preserve">, </w:t>
      </w:r>
      <w:r w:rsidR="00B77130" w:rsidRPr="009568BF">
        <w:rPr>
          <w:lang w:val="en-CA"/>
        </w:rPr>
        <w:t>CQLR</w:t>
      </w:r>
      <w:r w:rsidRPr="009568BF">
        <w:rPr>
          <w:lang w:val="en-CA"/>
        </w:rPr>
        <w:t>, c.</w:t>
      </w:r>
      <w:r w:rsidR="00F92FA1">
        <w:rPr>
          <w:lang w:val="en-CA"/>
        </w:rPr>
        <w:t> </w:t>
      </w:r>
      <w:r w:rsidRPr="009568BF">
        <w:rPr>
          <w:lang w:val="en-CA"/>
        </w:rPr>
        <w:t>T-16.</w:t>
      </w:r>
    </w:p>
  </w:footnote>
  <w:footnote w:id="7">
    <w:p w14:paraId="0EBA9645" w14:textId="573F0C41" w:rsidR="005F247F" w:rsidRPr="009568BF" w:rsidRDefault="00294345" w:rsidP="005F247F">
      <w:pPr>
        <w:pStyle w:val="Notedebasdepage"/>
        <w:rPr>
          <w:lang w:val="en-CA"/>
        </w:rPr>
      </w:pPr>
      <w:r w:rsidRPr="009568BF">
        <w:rPr>
          <w:rStyle w:val="Appelnotedebasdep"/>
          <w:lang w:val="en-CA"/>
        </w:rPr>
        <w:footnoteRef/>
      </w:r>
      <w:r w:rsidRPr="009568BF">
        <w:rPr>
          <w:lang w:val="en-CA"/>
        </w:rPr>
        <w:t xml:space="preserve">  </w:t>
      </w:r>
      <w:r w:rsidRPr="009568BF">
        <w:rPr>
          <w:lang w:val="en-CA"/>
        </w:rPr>
        <w:tab/>
      </w:r>
      <w:r w:rsidR="00E87E6F" w:rsidRPr="009568BF">
        <w:rPr>
          <w:i/>
          <w:iCs/>
          <w:lang w:val="en-CA"/>
        </w:rPr>
        <w:t>Regulation respecting the selection procedure of candidates for the office of judge of the Court of Québec, municipal court judge and presiding justice of the peace</w:t>
      </w:r>
      <w:r w:rsidRPr="009568BF">
        <w:rPr>
          <w:lang w:val="en-CA"/>
        </w:rPr>
        <w:t xml:space="preserve">, </w:t>
      </w:r>
      <w:r w:rsidR="00E87E6F" w:rsidRPr="009568BF">
        <w:rPr>
          <w:lang w:val="en-CA"/>
        </w:rPr>
        <w:t>CQLR</w:t>
      </w:r>
      <w:r w:rsidRPr="009568BF">
        <w:rPr>
          <w:lang w:val="en-CA"/>
        </w:rPr>
        <w:t>, c.</w:t>
      </w:r>
      <w:r w:rsidR="00F92FA1">
        <w:rPr>
          <w:lang w:val="en-CA"/>
        </w:rPr>
        <w:t> </w:t>
      </w:r>
      <w:r w:rsidRPr="009568BF">
        <w:rPr>
          <w:lang w:val="en-CA"/>
        </w:rPr>
        <w:t>T-16, r. 4.1.</w:t>
      </w:r>
    </w:p>
  </w:footnote>
  <w:footnote w:id="8">
    <w:p w14:paraId="3C59058C" w14:textId="20D0B4F9" w:rsidR="005F247F" w:rsidRPr="009568BF" w:rsidRDefault="00294345" w:rsidP="005F247F">
      <w:pPr>
        <w:pStyle w:val="Notedebasdepage"/>
        <w:rPr>
          <w:lang w:val="en-CA"/>
        </w:rPr>
      </w:pPr>
      <w:r w:rsidRPr="009568BF">
        <w:rPr>
          <w:rStyle w:val="Appelnotedebasdep"/>
          <w:lang w:val="en-CA"/>
        </w:rPr>
        <w:footnoteRef/>
      </w:r>
      <w:r w:rsidRPr="009568BF">
        <w:rPr>
          <w:lang w:val="en-CA"/>
        </w:rPr>
        <w:t xml:space="preserve">  </w:t>
      </w:r>
      <w:r w:rsidRPr="009568BF">
        <w:rPr>
          <w:lang w:val="en-CA"/>
        </w:rPr>
        <w:tab/>
      </w:r>
      <w:r w:rsidR="009568BF">
        <w:rPr>
          <w:i/>
          <w:iCs/>
          <w:lang w:val="en-CA"/>
        </w:rPr>
        <w:t>Constitution Act,</w:t>
      </w:r>
      <w:r w:rsidRPr="009568BF">
        <w:rPr>
          <w:i/>
          <w:iCs/>
          <w:lang w:val="en-CA"/>
        </w:rPr>
        <w:t xml:space="preserve"> 1867</w:t>
      </w:r>
      <w:r w:rsidRPr="009568BF">
        <w:rPr>
          <w:lang w:val="en-CA"/>
        </w:rPr>
        <w:t>, 30 &amp; 31</w:t>
      </w:r>
      <w:r w:rsidR="001932B4">
        <w:rPr>
          <w:lang w:val="en-CA"/>
        </w:rPr>
        <w:t xml:space="preserve"> </w:t>
      </w:r>
      <w:r w:rsidRPr="009568BF">
        <w:rPr>
          <w:lang w:val="en-CA"/>
        </w:rPr>
        <w:t>Vict</w:t>
      </w:r>
      <w:r w:rsidR="001932B4">
        <w:rPr>
          <w:lang w:val="en-CA"/>
        </w:rPr>
        <w:t>oria</w:t>
      </w:r>
      <w:r w:rsidRPr="009568BF">
        <w:rPr>
          <w:lang w:val="en-CA"/>
        </w:rPr>
        <w:t>, c. 3.</w:t>
      </w:r>
    </w:p>
  </w:footnote>
  <w:footnote w:id="9">
    <w:p w14:paraId="3CA01F4E" w14:textId="5D34CE89" w:rsidR="005F247F" w:rsidRPr="009568BF" w:rsidRDefault="00294345" w:rsidP="005F247F">
      <w:pPr>
        <w:pStyle w:val="Notedebasdepage"/>
        <w:rPr>
          <w:lang w:val="en-CA"/>
        </w:rPr>
      </w:pPr>
      <w:r w:rsidRPr="009568BF">
        <w:rPr>
          <w:rStyle w:val="Appelnotedebasdep"/>
          <w:lang w:val="en-CA"/>
        </w:rPr>
        <w:footnoteRef/>
      </w:r>
      <w:r w:rsidRPr="009568BF">
        <w:rPr>
          <w:lang w:val="en-CA"/>
        </w:rPr>
        <w:t xml:space="preserve"> </w:t>
      </w:r>
      <w:r w:rsidRPr="009568BF">
        <w:rPr>
          <w:lang w:val="en-CA"/>
        </w:rPr>
        <w:tab/>
      </w:r>
      <w:r w:rsidRPr="009568BF">
        <w:rPr>
          <w:i/>
          <w:iCs/>
          <w:lang w:val="en-CA"/>
        </w:rPr>
        <w:t>Mitchell et al c. PGQ</w:t>
      </w:r>
      <w:r w:rsidRPr="009568BF">
        <w:rPr>
          <w:lang w:val="en-CA"/>
        </w:rPr>
        <w:t xml:space="preserve">, 500-17-121419-223, </w:t>
      </w:r>
      <w:r w:rsidRPr="009568BF">
        <w:rPr>
          <w:i/>
          <w:iCs/>
          <w:lang w:val="en-CA"/>
        </w:rPr>
        <w:t>Ravinsky et al c. PGQ</w:t>
      </w:r>
      <w:r w:rsidRPr="009568BF">
        <w:rPr>
          <w:lang w:val="en-CA"/>
        </w:rPr>
        <w:t xml:space="preserve">, 500-17-122176-228, </w:t>
      </w:r>
      <w:r w:rsidR="00E87E6F" w:rsidRPr="009568BF">
        <w:rPr>
          <w:lang w:val="en-CA"/>
        </w:rPr>
        <w:t>and</w:t>
      </w:r>
      <w:r w:rsidRPr="009568BF">
        <w:rPr>
          <w:lang w:val="en-CA"/>
        </w:rPr>
        <w:t xml:space="preserve"> </w:t>
      </w:r>
      <w:r w:rsidRPr="009568BF">
        <w:rPr>
          <w:i/>
          <w:iCs/>
          <w:lang w:val="en-CA"/>
        </w:rPr>
        <w:t>Levi et al c. PGQ</w:t>
      </w:r>
      <w:r w:rsidRPr="009568BF">
        <w:rPr>
          <w:lang w:val="en-CA"/>
        </w:rPr>
        <w:t>, 500-17-126959-231.</w:t>
      </w:r>
    </w:p>
  </w:footnote>
  <w:footnote w:id="10">
    <w:p w14:paraId="6CD1248C" w14:textId="77777777" w:rsidR="00C54ED5" w:rsidRPr="009568BF" w:rsidRDefault="00294345" w:rsidP="00C54ED5">
      <w:pPr>
        <w:pStyle w:val="Notedebasdepage"/>
        <w:rPr>
          <w:lang w:val="en-CA"/>
        </w:rPr>
      </w:pPr>
      <w:r w:rsidRPr="009568BF">
        <w:rPr>
          <w:rStyle w:val="Appelnotedebasdep"/>
          <w:lang w:val="en-CA"/>
        </w:rPr>
        <w:footnoteRef/>
      </w:r>
      <w:r w:rsidRPr="009568BF">
        <w:rPr>
          <w:lang w:val="en-CA"/>
        </w:rPr>
        <w:t xml:space="preserve"> </w:t>
      </w:r>
      <w:r w:rsidRPr="009568BF">
        <w:rPr>
          <w:lang w:val="en-CA"/>
        </w:rPr>
        <w:tab/>
        <w:t>500-17-121965-225.</w:t>
      </w:r>
    </w:p>
  </w:footnote>
  <w:footnote w:id="11">
    <w:p w14:paraId="2668E7DF" w14:textId="0F76C747" w:rsidR="00293573" w:rsidRPr="00D16016" w:rsidRDefault="00293573" w:rsidP="00293573">
      <w:pPr>
        <w:pStyle w:val="Notedebasdepage"/>
        <w:rPr>
          <w:lang w:val="en-CA"/>
        </w:rPr>
      </w:pPr>
      <w:r w:rsidRPr="009568BF">
        <w:rPr>
          <w:rStyle w:val="Appelnotedebasdep"/>
          <w:lang w:val="en-CA"/>
        </w:rPr>
        <w:footnoteRef/>
      </w:r>
      <w:r w:rsidRPr="009568BF">
        <w:rPr>
          <w:lang w:val="en-CA"/>
        </w:rPr>
        <w:t xml:space="preserve">  </w:t>
      </w:r>
      <w:r w:rsidRPr="009568BF">
        <w:rPr>
          <w:lang w:val="en-CA"/>
        </w:rPr>
        <w:tab/>
        <w:t>The respondents also challenge section</w:t>
      </w:r>
      <w:r w:rsidR="00F92FA1">
        <w:rPr>
          <w:lang w:val="en-CA"/>
        </w:rPr>
        <w:t> </w:t>
      </w:r>
      <w:r w:rsidRPr="009568BF">
        <w:rPr>
          <w:lang w:val="en-CA"/>
        </w:rPr>
        <w:t xml:space="preserve">13 </w:t>
      </w:r>
      <w:r w:rsidRPr="009568BF">
        <w:rPr>
          <w:i/>
          <w:iCs/>
          <w:lang w:val="en-CA"/>
        </w:rPr>
        <w:t xml:space="preserve">CFL </w:t>
      </w:r>
      <w:r w:rsidRPr="009568BF">
        <w:rPr>
          <w:lang w:val="en-CA"/>
        </w:rPr>
        <w:t>and section</w:t>
      </w:r>
      <w:r w:rsidR="00F92FA1">
        <w:rPr>
          <w:lang w:val="en-CA"/>
        </w:rPr>
        <w:t> </w:t>
      </w:r>
      <w:r w:rsidRPr="009568BF">
        <w:rPr>
          <w:lang w:val="en-CA"/>
        </w:rPr>
        <w:t xml:space="preserve">25 of the </w:t>
      </w:r>
      <w:r w:rsidRPr="009568BF">
        <w:rPr>
          <w:i/>
          <w:iCs/>
          <w:lang w:val="en-CA"/>
        </w:rPr>
        <w:t>Regulation.</w:t>
      </w:r>
    </w:p>
  </w:footnote>
  <w:footnote w:id="12">
    <w:p w14:paraId="24D8D015" w14:textId="3EC72165" w:rsidR="002E3E18" w:rsidRPr="00B352FB" w:rsidRDefault="002E3E18" w:rsidP="002E3E18">
      <w:pPr>
        <w:pStyle w:val="Notedebasdepage"/>
      </w:pPr>
      <w:r w:rsidRPr="00B352FB">
        <w:rPr>
          <w:rStyle w:val="Appelnotedebasdep"/>
        </w:rPr>
        <w:footnoteRef/>
      </w:r>
      <w:r w:rsidRPr="00D16016">
        <w:rPr>
          <w:lang w:val="en-CA"/>
        </w:rPr>
        <w:t xml:space="preserve">  </w:t>
      </w:r>
      <w:r w:rsidRPr="00D16016">
        <w:rPr>
          <w:lang w:val="en-CA"/>
        </w:rPr>
        <w:tab/>
      </w:r>
      <w:r w:rsidR="0021307B" w:rsidRPr="00D16016">
        <w:rPr>
          <w:lang w:val="en-CA"/>
        </w:rPr>
        <w:t>Judgment under appeal</w:t>
      </w:r>
      <w:r w:rsidRPr="00D16016">
        <w:rPr>
          <w:lang w:val="en-CA"/>
        </w:rPr>
        <w:t xml:space="preserve">, </w:t>
      </w:r>
      <w:r w:rsidRPr="00D16016">
        <w:rPr>
          <w:i/>
          <w:iCs/>
          <w:lang w:val="en-CA"/>
        </w:rPr>
        <w:t>supra</w:t>
      </w:r>
      <w:r w:rsidRPr="00D16016">
        <w:rPr>
          <w:lang w:val="en-CA"/>
        </w:rPr>
        <w:t>, note</w:t>
      </w:r>
      <w:r w:rsidR="00F92FA1" w:rsidRPr="00D16016">
        <w:rPr>
          <w:lang w:val="en-CA"/>
        </w:rPr>
        <w:t> </w:t>
      </w:r>
      <w:r w:rsidR="00F54E8E">
        <w:fldChar w:fldCharType="begin"/>
      </w:r>
      <w:r w:rsidR="00F54E8E">
        <w:rPr>
          <w:lang w:val="en-CA"/>
        </w:rPr>
        <w:instrText xml:space="preserve"> NOTEREF _Ref229137260 \h </w:instrText>
      </w:r>
      <w:r w:rsidR="00F54E8E">
        <w:fldChar w:fldCharType="separate"/>
      </w:r>
      <w:r w:rsidR="00F54E8E">
        <w:rPr>
          <w:lang w:val="en-CA"/>
        </w:rPr>
        <w:t>2</w:t>
      </w:r>
      <w:r w:rsidR="00F54E8E">
        <w:fldChar w:fldCharType="end"/>
      </w:r>
      <w:r w:rsidR="00B77130" w:rsidRPr="00D16016">
        <w:rPr>
          <w:lang w:val="en-CA"/>
        </w:rPr>
        <w:t xml:space="preserve">, </w:t>
      </w:r>
      <w:r w:rsidRPr="00D16016">
        <w:rPr>
          <w:lang w:val="en-CA"/>
        </w:rPr>
        <w:t xml:space="preserve">para. </w:t>
      </w:r>
      <w:r w:rsidRPr="00B352FB">
        <w:t>44.</w:t>
      </w:r>
    </w:p>
  </w:footnote>
  <w:footnote w:id="13">
    <w:p w14:paraId="58D5D930" w14:textId="2F587706" w:rsidR="0021307B" w:rsidRPr="00B352FB" w:rsidRDefault="0021307B" w:rsidP="0021307B">
      <w:pPr>
        <w:pStyle w:val="Notedebasdepage"/>
      </w:pPr>
      <w:r w:rsidRPr="00B352FB">
        <w:rPr>
          <w:rStyle w:val="Appelnotedebasdep"/>
        </w:rPr>
        <w:footnoteRef/>
      </w:r>
      <w:r w:rsidRPr="00B352FB">
        <w:t xml:space="preserve">  </w:t>
      </w:r>
      <w:r w:rsidRPr="00B352FB">
        <w:tab/>
      </w:r>
      <w:r w:rsidRPr="00D64FCD">
        <w:rPr>
          <w:i/>
          <w:iCs/>
        </w:rPr>
        <w:t>Lac d’Amiante du Québec Ltée v. 2858-0702 Québec Inc</w:t>
      </w:r>
      <w:r w:rsidRPr="00D64FCD">
        <w:t>., 2001 SCC 51.</w:t>
      </w:r>
    </w:p>
  </w:footnote>
  <w:footnote w:id="14">
    <w:p w14:paraId="5632E6CC" w14:textId="484A8207" w:rsidR="0021307B" w:rsidRPr="00D16016" w:rsidRDefault="0021307B" w:rsidP="0021307B">
      <w:pPr>
        <w:pStyle w:val="Notedebasdepage"/>
      </w:pPr>
      <w:r w:rsidRPr="0035302B">
        <w:rPr>
          <w:rStyle w:val="Appelnotedebasdep"/>
          <w:lang w:val="en-CA"/>
        </w:rPr>
        <w:footnoteRef/>
      </w:r>
      <w:r w:rsidRPr="00D16016">
        <w:t xml:space="preserve">  </w:t>
      </w:r>
      <w:r w:rsidRPr="00D16016">
        <w:tab/>
      </w:r>
      <w:r w:rsidRPr="00D16016">
        <w:rPr>
          <w:i/>
          <w:iCs/>
        </w:rPr>
        <w:t>Bouzaglo c. 9135-4894 Québec inc. (Amerispec de Montréal)</w:t>
      </w:r>
      <w:r w:rsidRPr="00D16016">
        <w:t>, 2018 QCCA</w:t>
      </w:r>
      <w:r w:rsidR="00F92FA1" w:rsidRPr="00D16016">
        <w:t> </w:t>
      </w:r>
      <w:r w:rsidRPr="00D16016">
        <w:t xml:space="preserve">1691, para. 4; </w:t>
      </w:r>
      <w:r w:rsidRPr="00D16016">
        <w:rPr>
          <w:i/>
          <w:iCs/>
        </w:rPr>
        <w:t>Bernard c. Collège Charles-Lemoyne de Longueuil inc</w:t>
      </w:r>
      <w:r w:rsidRPr="00D16016">
        <w:t>., 2023 QCCA 854, para. 27, cit</w:t>
      </w:r>
      <w:r w:rsidR="00B77130" w:rsidRPr="00D16016">
        <w:t>ing</w:t>
      </w:r>
      <w:r w:rsidRPr="00D16016">
        <w:t xml:space="preserve"> </w:t>
      </w:r>
      <w:r w:rsidRPr="00D16016">
        <w:rPr>
          <w:i/>
          <w:iCs/>
        </w:rPr>
        <w:t>Cousineau c. Intact, compagnie d’assurances</w:t>
      </w:r>
      <w:r w:rsidRPr="00D16016">
        <w:t>, 2019 QCCA 1022, para</w:t>
      </w:r>
      <w:r w:rsidR="00B77130" w:rsidRPr="00D16016">
        <w:t>s</w:t>
      </w:r>
      <w:r w:rsidRPr="00D16016">
        <w:t>. 37</w:t>
      </w:r>
      <w:r w:rsidRPr="00D16016">
        <w:noBreakHyphen/>
        <w:t>40;</w:t>
      </w:r>
      <w:r w:rsidRPr="00D16016">
        <w:rPr>
          <w:i/>
          <w:iCs/>
        </w:rPr>
        <w:t xml:space="preserve"> Coalition contre le bruit c. Bel-Air Laurentien Aviation inc.</w:t>
      </w:r>
      <w:r w:rsidRPr="00D16016">
        <w:t>, 2022 QCCA 51, para</w:t>
      </w:r>
      <w:r w:rsidR="00B77130" w:rsidRPr="00D16016">
        <w:t>s</w:t>
      </w:r>
      <w:r w:rsidRPr="00D16016">
        <w:t>. 9</w:t>
      </w:r>
      <w:r w:rsidRPr="00D16016">
        <w:noBreakHyphen/>
        <w:t>10; </w:t>
      </w:r>
      <w:r w:rsidRPr="00D16016">
        <w:rPr>
          <w:i/>
          <w:iCs/>
        </w:rPr>
        <w:t>Bermex International inc. c. Agence du revenu du Québec</w:t>
      </w:r>
      <w:r w:rsidRPr="00D16016">
        <w:t>, 2013 QCCA 1379, para. 17; </w:t>
      </w:r>
      <w:r w:rsidRPr="00D16016">
        <w:rPr>
          <w:i/>
          <w:iCs/>
        </w:rPr>
        <w:t>Comtois c. Comtois</w:t>
      </w:r>
      <w:r w:rsidRPr="00D16016">
        <w:t>, 2013 QCCA 247, para. 10.</w:t>
      </w:r>
    </w:p>
  </w:footnote>
  <w:footnote w:id="15">
    <w:p w14:paraId="0A25C4B2" w14:textId="6814FF1D" w:rsidR="0021307B" w:rsidRPr="0035302B" w:rsidRDefault="0021307B" w:rsidP="0021307B">
      <w:pPr>
        <w:pStyle w:val="Notedebasdepage"/>
        <w:rPr>
          <w:lang w:val="en-CA"/>
        </w:rPr>
      </w:pPr>
      <w:r w:rsidRPr="0035302B">
        <w:rPr>
          <w:rStyle w:val="Appelnotedebasdep"/>
          <w:lang w:val="en-CA"/>
        </w:rPr>
        <w:footnoteRef/>
      </w:r>
      <w:r w:rsidRPr="00D16016">
        <w:t xml:space="preserve">  </w:t>
      </w:r>
      <w:r w:rsidRPr="00D16016">
        <w:tab/>
        <w:t>Art</w:t>
      </w:r>
      <w:r w:rsidR="00BC6488" w:rsidRPr="00D16016">
        <w:t>s</w:t>
      </w:r>
      <w:r w:rsidRPr="00D16016">
        <w:t xml:space="preserve">. 2843 </w:t>
      </w:r>
      <w:r w:rsidR="00BC6488" w:rsidRPr="00D16016">
        <w:t>para.</w:t>
      </w:r>
      <w:r w:rsidRPr="00D16016">
        <w:t xml:space="preserve"> 2 </w:t>
      </w:r>
      <w:r w:rsidR="00B77130" w:rsidRPr="00D16016">
        <w:t>and</w:t>
      </w:r>
      <w:r w:rsidRPr="00D16016">
        <w:t xml:space="preserve"> 2869 </w:t>
      </w:r>
      <w:r w:rsidR="00BC6488" w:rsidRPr="00D16016">
        <w:t>CCQ</w:t>
      </w:r>
      <w:r w:rsidRPr="00D16016">
        <w:t xml:space="preserve"> </w:t>
      </w:r>
      <w:r w:rsidR="00BC6488" w:rsidRPr="00D16016">
        <w:t>and</w:t>
      </w:r>
      <w:r w:rsidRPr="00D16016">
        <w:t xml:space="preserve"> 279 </w:t>
      </w:r>
      <w:r w:rsidR="00BC6488" w:rsidRPr="00D16016">
        <w:t>CCP</w:t>
      </w:r>
      <w:r w:rsidRPr="00D16016">
        <w:t xml:space="preserve">; </w:t>
      </w:r>
      <w:r w:rsidRPr="00D16016">
        <w:rPr>
          <w:i/>
          <w:iCs/>
        </w:rPr>
        <w:t>Cousineau c. Intact, compagnie d’assurances</w:t>
      </w:r>
      <w:r w:rsidRPr="00D16016">
        <w:t>, 2019 QCCA 1022</w:t>
      </w:r>
      <w:r w:rsidR="00B77130" w:rsidRPr="00D16016">
        <w:t xml:space="preserve">, </w:t>
      </w:r>
      <w:r w:rsidR="00BC6488" w:rsidRPr="00D16016">
        <w:t>para.</w:t>
      </w:r>
      <w:r w:rsidRPr="00D16016">
        <w:t> </w:t>
      </w:r>
      <w:r w:rsidRPr="0035302B">
        <w:rPr>
          <w:lang w:val="en-CA"/>
        </w:rPr>
        <w:t>37, cit</w:t>
      </w:r>
      <w:r w:rsidR="00BC6488" w:rsidRPr="0035302B">
        <w:rPr>
          <w:lang w:val="en-CA"/>
        </w:rPr>
        <w:t xml:space="preserve">ing </w:t>
      </w:r>
      <w:r w:rsidRPr="0035302B">
        <w:rPr>
          <w:i/>
          <w:iCs/>
          <w:lang w:val="en-CA"/>
        </w:rPr>
        <w:t>Dubé c. Cliche</w:t>
      </w:r>
      <w:r w:rsidRPr="0035302B">
        <w:rPr>
          <w:lang w:val="en-CA"/>
        </w:rPr>
        <w:t>, 2003 CanLII 75333</w:t>
      </w:r>
      <w:r w:rsidR="00B77130" w:rsidRPr="0035302B">
        <w:rPr>
          <w:lang w:val="en-CA"/>
        </w:rPr>
        <w:t>,</w:t>
      </w:r>
      <w:r w:rsidR="00BC6488" w:rsidRPr="0035302B">
        <w:rPr>
          <w:lang w:val="en-CA"/>
        </w:rPr>
        <w:t xml:space="preserve"> para.</w:t>
      </w:r>
      <w:r w:rsidRPr="0035302B">
        <w:rPr>
          <w:lang w:val="en-CA"/>
        </w:rPr>
        <w:t xml:space="preserve"> 28 (QC CA). </w:t>
      </w:r>
      <w:r w:rsidR="00BC6488" w:rsidRPr="0035302B">
        <w:rPr>
          <w:lang w:val="en-CA"/>
        </w:rPr>
        <w:t>See</w:t>
      </w:r>
      <w:r w:rsidRPr="0035302B">
        <w:rPr>
          <w:lang w:val="en-CA"/>
        </w:rPr>
        <w:t xml:space="preserve"> </w:t>
      </w:r>
      <w:r w:rsidRPr="0035302B">
        <w:rPr>
          <w:i/>
          <w:iCs/>
          <w:lang w:val="en-CA"/>
        </w:rPr>
        <w:t>Ruffo (Re)</w:t>
      </w:r>
      <w:r w:rsidRPr="0035302B">
        <w:rPr>
          <w:lang w:val="en-CA"/>
        </w:rPr>
        <w:t>, 2005 QCCA</w:t>
      </w:r>
      <w:r w:rsidR="00F92FA1">
        <w:rPr>
          <w:lang w:val="en-CA"/>
        </w:rPr>
        <w:t> </w:t>
      </w:r>
      <w:r w:rsidRPr="0035302B">
        <w:rPr>
          <w:lang w:val="en-CA"/>
        </w:rPr>
        <w:t>1197</w:t>
      </w:r>
      <w:r w:rsidR="00B77130" w:rsidRPr="0035302B">
        <w:rPr>
          <w:lang w:val="en-CA"/>
        </w:rPr>
        <w:t xml:space="preserve">, </w:t>
      </w:r>
      <w:r w:rsidR="00BC6488" w:rsidRPr="0035302B">
        <w:rPr>
          <w:lang w:val="en-CA"/>
        </w:rPr>
        <w:t>paras.</w:t>
      </w:r>
      <w:r w:rsidRPr="0035302B">
        <w:rPr>
          <w:lang w:val="en-CA"/>
        </w:rPr>
        <w:t xml:space="preserve"> 206</w:t>
      </w:r>
      <w:r w:rsidR="00B77130" w:rsidRPr="0035302B">
        <w:rPr>
          <w:lang w:val="en-CA"/>
        </w:rPr>
        <w:t>-</w:t>
      </w:r>
      <w:r w:rsidRPr="0035302B">
        <w:rPr>
          <w:lang w:val="en-CA"/>
        </w:rPr>
        <w:t xml:space="preserve">208, </w:t>
      </w:r>
      <w:r w:rsidR="00BC6488" w:rsidRPr="0035302B">
        <w:rPr>
          <w:lang w:val="en-CA"/>
        </w:rPr>
        <w:t>leave to appeal to SCC refused, 18</w:t>
      </w:r>
      <w:r w:rsidR="00A00A6C">
        <w:rPr>
          <w:lang w:val="en-CA"/>
        </w:rPr>
        <w:t> </w:t>
      </w:r>
      <w:r w:rsidR="00BC6488" w:rsidRPr="0035302B">
        <w:rPr>
          <w:lang w:val="en-CA"/>
        </w:rPr>
        <w:t>May</w:t>
      </w:r>
      <w:r w:rsidR="00A00A6C">
        <w:rPr>
          <w:lang w:val="en-CA"/>
        </w:rPr>
        <w:t> </w:t>
      </w:r>
      <w:r w:rsidR="00BC6488" w:rsidRPr="0035302B">
        <w:rPr>
          <w:lang w:val="en-CA"/>
        </w:rPr>
        <w:t>2006</w:t>
      </w:r>
      <w:r w:rsidR="00B77130" w:rsidRPr="0035302B">
        <w:rPr>
          <w:lang w:val="en-CA"/>
        </w:rPr>
        <w:t>, no.</w:t>
      </w:r>
      <w:r w:rsidR="00F92FA1">
        <w:rPr>
          <w:lang w:val="en-CA"/>
        </w:rPr>
        <w:t> </w:t>
      </w:r>
      <w:r w:rsidR="00B77130" w:rsidRPr="0035302B">
        <w:rPr>
          <w:lang w:val="en-CA"/>
        </w:rPr>
        <w:t>31304.</w:t>
      </w:r>
    </w:p>
  </w:footnote>
  <w:footnote w:id="16">
    <w:p w14:paraId="682121EB" w14:textId="1797F986" w:rsidR="0021307B" w:rsidRPr="00D16016" w:rsidRDefault="0021307B" w:rsidP="0021307B">
      <w:pPr>
        <w:pStyle w:val="Notedebasdepage"/>
        <w:rPr>
          <w:lang w:val="en-CA"/>
        </w:rPr>
      </w:pPr>
      <w:r w:rsidRPr="0035302B">
        <w:rPr>
          <w:rStyle w:val="Appelnotedebasdep"/>
          <w:lang w:val="en-CA"/>
        </w:rPr>
        <w:footnoteRef/>
      </w:r>
      <w:r w:rsidRPr="0035302B">
        <w:rPr>
          <w:lang w:val="en-CA"/>
        </w:rPr>
        <w:t xml:space="preserve">  </w:t>
      </w:r>
      <w:r w:rsidRPr="0035302B">
        <w:rPr>
          <w:lang w:val="en-CA"/>
        </w:rPr>
        <w:tab/>
      </w:r>
      <w:r w:rsidR="00B77130" w:rsidRPr="0035302B">
        <w:rPr>
          <w:lang w:val="en-CA"/>
        </w:rPr>
        <w:t xml:space="preserve">For </w:t>
      </w:r>
      <w:r w:rsidR="0035302B" w:rsidRPr="0035302B">
        <w:rPr>
          <w:lang w:val="en-CA"/>
        </w:rPr>
        <w:t>example,</w:t>
      </w:r>
      <w:r w:rsidR="00B77130" w:rsidRPr="0035302B">
        <w:rPr>
          <w:lang w:val="en-CA"/>
        </w:rPr>
        <w:t xml:space="preserve"> the first paragraph of article</w:t>
      </w:r>
      <w:r w:rsidR="00F92FA1">
        <w:rPr>
          <w:lang w:val="en-CA"/>
        </w:rPr>
        <w:t> </w:t>
      </w:r>
      <w:r w:rsidRPr="0035302B">
        <w:rPr>
          <w:lang w:val="en-CA"/>
        </w:rPr>
        <w:t xml:space="preserve">292 </w:t>
      </w:r>
      <w:r w:rsidR="00B77130" w:rsidRPr="0035302B">
        <w:rPr>
          <w:lang w:val="en-CA"/>
        </w:rPr>
        <w:t>CCP</w:t>
      </w:r>
      <w:r w:rsidR="00294345" w:rsidRPr="0035302B">
        <w:rPr>
          <w:lang w:val="en-CA"/>
        </w:rPr>
        <w:t>, which allows a party to produce</w:t>
      </w:r>
      <w:r w:rsidR="0048500E">
        <w:rPr>
          <w:lang w:val="en-CA"/>
        </w:rPr>
        <w:t xml:space="preserve"> their witness’s</w:t>
      </w:r>
      <w:r w:rsidR="00294345" w:rsidRPr="0035302B">
        <w:rPr>
          <w:lang w:val="en-CA"/>
        </w:rPr>
        <w:t xml:space="preserve"> affidavit </w:t>
      </w:r>
      <w:r w:rsidR="0048500E">
        <w:rPr>
          <w:lang w:val="en-CA"/>
        </w:rPr>
        <w:t>in lieu of</w:t>
      </w:r>
      <w:r w:rsidR="0048500E" w:rsidRPr="0035302B">
        <w:rPr>
          <w:lang w:val="en-CA"/>
        </w:rPr>
        <w:t xml:space="preserve"> testimony </w:t>
      </w:r>
      <w:r w:rsidR="00294345" w:rsidRPr="0035302B">
        <w:rPr>
          <w:lang w:val="en-CA"/>
        </w:rPr>
        <w:t xml:space="preserve">provided it is only to prove a fact </w:t>
      </w:r>
      <w:r w:rsidR="0048500E" w:rsidRPr="0035302B">
        <w:rPr>
          <w:lang w:val="en-CA"/>
        </w:rPr>
        <w:t>secondary</w:t>
      </w:r>
      <w:r w:rsidR="00294345" w:rsidRPr="0035302B">
        <w:rPr>
          <w:lang w:val="en-CA"/>
        </w:rPr>
        <w:t xml:space="preserve"> to the dispute.</w:t>
      </w:r>
      <w:r w:rsidRPr="00D16016">
        <w:rPr>
          <w:i/>
          <w:iCs/>
          <w:lang w:val="en-CA"/>
        </w:rPr>
        <w:t xml:space="preserve"> </w:t>
      </w:r>
    </w:p>
  </w:footnote>
  <w:footnote w:id="17">
    <w:p w14:paraId="60D2694B" w14:textId="5400F722" w:rsidR="0021307B" w:rsidRPr="0048500E" w:rsidRDefault="0021307B" w:rsidP="0021307B">
      <w:pPr>
        <w:pStyle w:val="Notedebasdepage"/>
        <w:rPr>
          <w:lang w:val="en-CA"/>
        </w:rPr>
      </w:pPr>
      <w:r w:rsidRPr="0048500E">
        <w:rPr>
          <w:rStyle w:val="Appelnotedebasdep"/>
          <w:lang w:val="en-CA"/>
        </w:rPr>
        <w:footnoteRef/>
      </w:r>
      <w:r w:rsidRPr="00D16016">
        <w:t xml:space="preserve"> </w:t>
      </w:r>
      <w:r w:rsidRPr="00D16016">
        <w:tab/>
      </w:r>
      <w:r w:rsidRPr="00D16016">
        <w:rPr>
          <w:i/>
          <w:iCs/>
        </w:rPr>
        <w:t>Cousineau c. Intact, compagnie d’assurances</w:t>
      </w:r>
      <w:r w:rsidRPr="00D16016">
        <w:t>, 2019 QCCA 1022</w:t>
      </w:r>
      <w:r w:rsidR="00BC6488" w:rsidRPr="00D16016">
        <w:t xml:space="preserve"> at para.</w:t>
      </w:r>
      <w:r w:rsidRPr="00D16016">
        <w:t> </w:t>
      </w:r>
      <w:r w:rsidRPr="0048500E">
        <w:rPr>
          <w:lang w:val="en-CA"/>
        </w:rPr>
        <w:t xml:space="preserve">39. </w:t>
      </w:r>
      <w:r w:rsidR="00BC6488" w:rsidRPr="0048500E">
        <w:rPr>
          <w:lang w:val="en-CA"/>
        </w:rPr>
        <w:t>See also</w:t>
      </w:r>
      <w:r w:rsidRPr="0048500E">
        <w:rPr>
          <w:lang w:val="en-CA"/>
        </w:rPr>
        <w:t xml:space="preserve"> </w:t>
      </w:r>
      <w:r w:rsidRPr="0048500E">
        <w:rPr>
          <w:i/>
          <w:iCs/>
          <w:lang w:val="en-CA"/>
        </w:rPr>
        <w:t>Droit de la famille — 152507</w:t>
      </w:r>
      <w:r w:rsidRPr="0048500E">
        <w:rPr>
          <w:lang w:val="en-CA"/>
        </w:rPr>
        <w:t>, 2015 QCCA</w:t>
      </w:r>
      <w:r w:rsidR="00F92FA1">
        <w:rPr>
          <w:lang w:val="en-CA"/>
        </w:rPr>
        <w:t> </w:t>
      </w:r>
      <w:r w:rsidRPr="0048500E">
        <w:rPr>
          <w:lang w:val="en-CA"/>
        </w:rPr>
        <w:t>1628</w:t>
      </w:r>
      <w:r w:rsidR="00BC6488" w:rsidRPr="0048500E">
        <w:rPr>
          <w:lang w:val="en-CA"/>
        </w:rPr>
        <w:t xml:space="preserve"> at para.</w:t>
      </w:r>
      <w:r w:rsidRPr="0048500E">
        <w:rPr>
          <w:lang w:val="en-CA"/>
        </w:rPr>
        <w:t xml:space="preserve"> 21. </w:t>
      </w:r>
      <w:r w:rsidR="00BC6488" w:rsidRPr="0048500E">
        <w:rPr>
          <w:lang w:val="en-CA"/>
        </w:rPr>
        <w:t>It should be noted that there is a procedural requirement that notice be given to the opposing party before the case is ready for trial.</w:t>
      </w:r>
    </w:p>
  </w:footnote>
  <w:footnote w:id="18">
    <w:p w14:paraId="3E8ACD89" w14:textId="109A96D8" w:rsidR="0021307B" w:rsidRPr="0048500E" w:rsidRDefault="0021307B" w:rsidP="0021307B">
      <w:pPr>
        <w:pStyle w:val="Notedebasdepage"/>
        <w:rPr>
          <w:lang w:val="en-CA"/>
        </w:rPr>
      </w:pPr>
      <w:r w:rsidRPr="0048500E">
        <w:rPr>
          <w:rStyle w:val="Appelnotedebasdep"/>
          <w:lang w:val="en-CA"/>
        </w:rPr>
        <w:footnoteRef/>
      </w:r>
      <w:r w:rsidRPr="0048500E">
        <w:rPr>
          <w:lang w:val="en-CA"/>
        </w:rPr>
        <w:t xml:space="preserve">  </w:t>
      </w:r>
      <w:r w:rsidRPr="0048500E">
        <w:rPr>
          <w:lang w:val="en-CA"/>
        </w:rPr>
        <w:tab/>
      </w:r>
      <w:r w:rsidRPr="0048500E">
        <w:rPr>
          <w:i/>
          <w:lang w:val="en-CA"/>
        </w:rPr>
        <w:t>Magistrate</w:t>
      </w:r>
      <w:r w:rsidR="00A00A6C">
        <w:rPr>
          <w:i/>
          <w:lang w:val="en-CA"/>
        </w:rPr>
        <w:t>’</w:t>
      </w:r>
      <w:r w:rsidRPr="0048500E">
        <w:rPr>
          <w:i/>
          <w:lang w:val="en-CA"/>
        </w:rPr>
        <w:t>s Privileges Act</w:t>
      </w:r>
      <w:r w:rsidRPr="0048500E">
        <w:rPr>
          <w:lang w:val="en-CA"/>
        </w:rPr>
        <w:t>, CQLR, c. P-24.</w:t>
      </w:r>
    </w:p>
  </w:footnote>
  <w:footnote w:id="19">
    <w:p w14:paraId="18A25D3D" w14:textId="000B5889" w:rsidR="0021307B" w:rsidRPr="00B352FB" w:rsidRDefault="0021307B" w:rsidP="0021307B">
      <w:pPr>
        <w:pStyle w:val="Notedebasdepage"/>
      </w:pPr>
      <w:r w:rsidRPr="0048500E">
        <w:rPr>
          <w:rStyle w:val="Appelnotedebasdep"/>
          <w:lang w:val="en-CA"/>
        </w:rPr>
        <w:footnoteRef/>
      </w:r>
      <w:r w:rsidRPr="00D16016">
        <w:t xml:space="preserve"> </w:t>
      </w:r>
      <w:r w:rsidRPr="00D16016">
        <w:tab/>
      </w:r>
      <w:r w:rsidR="0048500E" w:rsidRPr="00D16016">
        <w:t xml:space="preserve">See </w:t>
      </w:r>
      <w:r w:rsidRPr="00D16016">
        <w:rPr>
          <w:i/>
          <w:iCs/>
        </w:rPr>
        <w:t>Lauzon c. Gagnon</w:t>
      </w:r>
      <w:r w:rsidRPr="00D16016">
        <w:t>, 2024 QCCA</w:t>
      </w:r>
      <w:r w:rsidR="00F92FA1" w:rsidRPr="00D16016">
        <w:t> </w:t>
      </w:r>
      <w:r w:rsidRPr="00D16016">
        <w:t>98, para. 6; H.</w:t>
      </w:r>
      <w:r w:rsidR="00A00A6C" w:rsidRPr="00D16016">
        <w:t> </w:t>
      </w:r>
      <w:r w:rsidRPr="00D16016">
        <w:t>Patrick</w:t>
      </w:r>
      <w:r w:rsidR="00A00A6C" w:rsidRPr="00D16016">
        <w:t> </w:t>
      </w:r>
      <w:r w:rsidRPr="00D16016">
        <w:t xml:space="preserve">Glenn, </w:t>
      </w:r>
      <w:r w:rsidR="0048500E" w:rsidRPr="00D16016">
        <w:t>“</w:t>
      </w:r>
      <w:r w:rsidRPr="00D16016">
        <w:t>La responsabilité des juges</w:t>
      </w:r>
      <w:r w:rsidR="0048500E" w:rsidRPr="00D16016">
        <w:t>”</w:t>
      </w:r>
      <w:r w:rsidRPr="00D16016">
        <w:t xml:space="preserve">, (1983) 28 </w:t>
      </w:r>
      <w:r w:rsidRPr="00D16016">
        <w:rPr>
          <w:i/>
          <w:iCs/>
        </w:rPr>
        <w:t>R.D. McGill</w:t>
      </w:r>
      <w:r w:rsidR="00F92FA1" w:rsidRPr="00D16016">
        <w:t> </w:t>
      </w:r>
      <w:r w:rsidRPr="00D16016">
        <w:t>228, p.</w:t>
      </w:r>
      <w:r w:rsidR="00F92FA1" w:rsidRPr="00D16016">
        <w:t> </w:t>
      </w:r>
      <w:r w:rsidRPr="00D16016">
        <w:t>242.</w:t>
      </w:r>
    </w:p>
  </w:footnote>
  <w:footnote w:id="20">
    <w:p w14:paraId="74180583" w14:textId="766322B4" w:rsidR="0021307B" w:rsidRPr="00BA7C9A" w:rsidRDefault="0021307B" w:rsidP="0021307B">
      <w:pPr>
        <w:pStyle w:val="Notedebasdepage"/>
        <w:rPr>
          <w:lang w:val="en-CA"/>
        </w:rPr>
      </w:pPr>
      <w:r w:rsidRPr="00B352FB">
        <w:rPr>
          <w:rStyle w:val="Appelnotedebasdep"/>
        </w:rPr>
        <w:footnoteRef/>
      </w:r>
      <w:r w:rsidRPr="00D16016">
        <w:rPr>
          <w:lang w:val="en-CA"/>
        </w:rPr>
        <w:t xml:space="preserve">  </w:t>
      </w:r>
      <w:r w:rsidRPr="00D16016">
        <w:rPr>
          <w:lang w:val="en-CA"/>
        </w:rPr>
        <w:tab/>
      </w:r>
      <w:r w:rsidR="002818E0" w:rsidRPr="00D64FCD">
        <w:rPr>
          <w:lang w:val="en-CA"/>
        </w:rPr>
        <w:t>See</w:t>
      </w:r>
      <w:r w:rsidRPr="00D64FCD">
        <w:rPr>
          <w:lang w:val="en-CA"/>
        </w:rPr>
        <w:t xml:space="preserve"> </w:t>
      </w:r>
      <w:r w:rsidRPr="00D64FCD">
        <w:rPr>
          <w:i/>
          <w:iCs/>
          <w:lang w:val="en-CA"/>
        </w:rPr>
        <w:t>Kosko c. Bijimine</w:t>
      </w:r>
      <w:r w:rsidRPr="00D64FCD">
        <w:rPr>
          <w:lang w:val="en-CA"/>
        </w:rPr>
        <w:t>, 2006 QCCA</w:t>
      </w:r>
      <w:r w:rsidR="00F92FA1">
        <w:rPr>
          <w:lang w:val="en-CA"/>
        </w:rPr>
        <w:t> </w:t>
      </w:r>
      <w:r w:rsidRPr="00D64FCD">
        <w:rPr>
          <w:lang w:val="en-CA"/>
        </w:rPr>
        <w:t>671, para.</w:t>
      </w:r>
      <w:r w:rsidRPr="00BA7C9A">
        <w:rPr>
          <w:lang w:val="en-CA"/>
        </w:rPr>
        <w:t xml:space="preserve"> 39 [</w:t>
      </w:r>
      <w:r w:rsidRPr="00BA7C9A">
        <w:rPr>
          <w:i/>
          <w:iCs/>
          <w:lang w:val="en-CA"/>
        </w:rPr>
        <w:t>Kosko</w:t>
      </w:r>
      <w:r w:rsidRPr="00BA7C9A">
        <w:rPr>
          <w:lang w:val="en-CA"/>
        </w:rPr>
        <w:t>].</w:t>
      </w:r>
    </w:p>
  </w:footnote>
  <w:footnote w:id="21">
    <w:p w14:paraId="2D9CD440" w14:textId="088BDF1E" w:rsidR="0021307B" w:rsidRPr="00BA7C9A" w:rsidRDefault="0021307B" w:rsidP="0021307B">
      <w:pPr>
        <w:pStyle w:val="Notedebasdepage"/>
        <w:rPr>
          <w:lang w:val="en-CA"/>
        </w:rPr>
      </w:pPr>
      <w:r w:rsidRPr="00BA7C9A">
        <w:rPr>
          <w:rStyle w:val="Appelnotedebasdep"/>
          <w:lang w:val="en-CA"/>
        </w:rPr>
        <w:footnoteRef/>
      </w:r>
      <w:r w:rsidRPr="00BA7C9A">
        <w:rPr>
          <w:lang w:val="en-CA"/>
        </w:rPr>
        <w:t xml:space="preserve"> </w:t>
      </w:r>
      <w:r w:rsidRPr="00BA7C9A">
        <w:rPr>
          <w:lang w:val="en-CA"/>
        </w:rPr>
        <w:tab/>
      </w:r>
      <w:r w:rsidRPr="00D64FCD">
        <w:rPr>
          <w:i/>
          <w:iCs/>
          <w:lang w:val="en-CA"/>
        </w:rPr>
        <w:t xml:space="preserve">Ernst </w:t>
      </w:r>
      <w:r w:rsidR="002818E0" w:rsidRPr="00D64FCD">
        <w:rPr>
          <w:i/>
          <w:iCs/>
          <w:lang w:val="en-CA"/>
        </w:rPr>
        <w:t>v</w:t>
      </w:r>
      <w:r w:rsidRPr="00D64FCD">
        <w:rPr>
          <w:i/>
          <w:iCs/>
          <w:lang w:val="en-CA"/>
        </w:rPr>
        <w:t>. Alberta Energy Regulator</w:t>
      </w:r>
      <w:r w:rsidRPr="00D64FCD">
        <w:rPr>
          <w:lang w:val="en-CA"/>
        </w:rPr>
        <w:t xml:space="preserve">, 2017 </w:t>
      </w:r>
      <w:r w:rsidR="002818E0" w:rsidRPr="00D64FCD">
        <w:rPr>
          <w:lang w:val="en-CA"/>
        </w:rPr>
        <w:t>SCC</w:t>
      </w:r>
      <w:r w:rsidR="00F92FA1">
        <w:rPr>
          <w:lang w:val="en-CA"/>
        </w:rPr>
        <w:t> </w:t>
      </w:r>
      <w:r w:rsidRPr="00D64FCD">
        <w:rPr>
          <w:lang w:val="en-CA"/>
        </w:rPr>
        <w:t>1, para</w:t>
      </w:r>
      <w:r w:rsidR="002818E0" w:rsidRPr="00D64FCD">
        <w:rPr>
          <w:lang w:val="en-CA"/>
        </w:rPr>
        <w:t>s</w:t>
      </w:r>
      <w:r w:rsidRPr="00D64FCD">
        <w:rPr>
          <w:lang w:val="en-CA"/>
        </w:rPr>
        <w:t>.</w:t>
      </w:r>
      <w:r w:rsidRPr="00BA7C9A">
        <w:rPr>
          <w:lang w:val="en-CA"/>
        </w:rPr>
        <w:t xml:space="preserve"> 51 </w:t>
      </w:r>
      <w:r w:rsidR="002818E0" w:rsidRPr="00BA7C9A">
        <w:rPr>
          <w:lang w:val="en-CA"/>
        </w:rPr>
        <w:t>and</w:t>
      </w:r>
      <w:r w:rsidRPr="00BA7C9A">
        <w:rPr>
          <w:lang w:val="en-CA"/>
        </w:rPr>
        <w:t xml:space="preserve"> 54 (</w:t>
      </w:r>
      <w:r w:rsidR="002818E0" w:rsidRPr="00BA7C9A">
        <w:rPr>
          <w:lang w:val="en-CA"/>
        </w:rPr>
        <w:t>reasons of</w:t>
      </w:r>
      <w:r w:rsidRPr="00BA7C9A">
        <w:rPr>
          <w:lang w:val="en-CA"/>
        </w:rPr>
        <w:t xml:space="preserve"> Cromwell</w:t>
      </w:r>
      <w:r w:rsidR="002818E0" w:rsidRPr="00BA7C9A">
        <w:rPr>
          <w:lang w:val="en-CA"/>
        </w:rPr>
        <w:t>, J.</w:t>
      </w:r>
      <w:r w:rsidRPr="00BA7C9A">
        <w:rPr>
          <w:lang w:val="en-CA"/>
        </w:rPr>
        <w:t xml:space="preserve">) </w:t>
      </w:r>
      <w:r w:rsidR="002818E0" w:rsidRPr="00BA7C9A">
        <w:rPr>
          <w:lang w:val="en-CA"/>
        </w:rPr>
        <w:t>and</w:t>
      </w:r>
      <w:r w:rsidRPr="00BA7C9A">
        <w:rPr>
          <w:lang w:val="en-CA"/>
        </w:rPr>
        <w:t xml:space="preserve"> 116 (</w:t>
      </w:r>
      <w:r w:rsidR="002818E0" w:rsidRPr="00BA7C9A">
        <w:rPr>
          <w:lang w:val="en-CA"/>
        </w:rPr>
        <w:t>reasons of</w:t>
      </w:r>
      <w:r w:rsidRPr="00BA7C9A">
        <w:rPr>
          <w:lang w:val="en-CA"/>
        </w:rPr>
        <w:t xml:space="preserve"> Abella</w:t>
      </w:r>
      <w:r w:rsidR="002818E0" w:rsidRPr="00BA7C9A">
        <w:rPr>
          <w:lang w:val="en-CA"/>
        </w:rPr>
        <w:t>, J.</w:t>
      </w:r>
      <w:r w:rsidRPr="00BA7C9A">
        <w:rPr>
          <w:lang w:val="en-CA"/>
        </w:rPr>
        <w:t>, conc</w:t>
      </w:r>
      <w:r w:rsidR="002818E0" w:rsidRPr="00BA7C9A">
        <w:rPr>
          <w:lang w:val="en-CA"/>
        </w:rPr>
        <w:t>urring</w:t>
      </w:r>
      <w:r w:rsidRPr="00BA7C9A">
        <w:rPr>
          <w:lang w:val="en-CA"/>
        </w:rPr>
        <w:t>), cit</w:t>
      </w:r>
      <w:r w:rsidR="002818E0" w:rsidRPr="00BA7C9A">
        <w:rPr>
          <w:lang w:val="en-CA"/>
        </w:rPr>
        <w:t>ing</w:t>
      </w:r>
      <w:r w:rsidRPr="00BA7C9A">
        <w:rPr>
          <w:lang w:val="en-CA"/>
        </w:rPr>
        <w:t xml:space="preserve"> </w:t>
      </w:r>
      <w:r w:rsidRPr="00BA7C9A">
        <w:rPr>
          <w:i/>
          <w:iCs/>
          <w:lang w:val="en-CA"/>
        </w:rPr>
        <w:t>Canada (</w:t>
      </w:r>
      <w:r w:rsidR="002818E0" w:rsidRPr="00BA7C9A">
        <w:rPr>
          <w:i/>
          <w:iCs/>
          <w:lang w:val="en-CA"/>
        </w:rPr>
        <w:t>Attorney General</w:t>
      </w:r>
      <w:r w:rsidRPr="00BA7C9A">
        <w:rPr>
          <w:i/>
          <w:iCs/>
          <w:lang w:val="en-CA"/>
        </w:rPr>
        <w:t xml:space="preserve">) </w:t>
      </w:r>
      <w:r w:rsidR="002818E0" w:rsidRPr="00BA7C9A">
        <w:rPr>
          <w:i/>
          <w:iCs/>
          <w:lang w:val="en-CA"/>
        </w:rPr>
        <w:t>v</w:t>
      </w:r>
      <w:r w:rsidRPr="00BA7C9A">
        <w:rPr>
          <w:i/>
          <w:iCs/>
          <w:lang w:val="en-CA"/>
        </w:rPr>
        <w:t>. Slansky</w:t>
      </w:r>
      <w:r w:rsidRPr="00BA7C9A">
        <w:rPr>
          <w:lang w:val="en-CA"/>
        </w:rPr>
        <w:t>,</w:t>
      </w:r>
      <w:r w:rsidRPr="00BA7C9A">
        <w:rPr>
          <w:i/>
          <w:iCs/>
          <w:lang w:val="en-CA"/>
        </w:rPr>
        <w:t> </w:t>
      </w:r>
      <w:r w:rsidRPr="00BA7C9A">
        <w:rPr>
          <w:lang w:val="en-CA"/>
        </w:rPr>
        <w:t xml:space="preserve">2013 </w:t>
      </w:r>
      <w:r w:rsidR="002818E0" w:rsidRPr="00BA7C9A">
        <w:rPr>
          <w:lang w:val="en-CA"/>
        </w:rPr>
        <w:t>FCA</w:t>
      </w:r>
      <w:r w:rsidR="00F92FA1">
        <w:rPr>
          <w:lang w:val="en-CA"/>
        </w:rPr>
        <w:t> </w:t>
      </w:r>
      <w:r w:rsidRPr="00BA7C9A">
        <w:rPr>
          <w:lang w:val="en-CA"/>
        </w:rPr>
        <w:t>199, para</w:t>
      </w:r>
      <w:r w:rsidR="002818E0" w:rsidRPr="00BA7C9A">
        <w:rPr>
          <w:lang w:val="en-CA"/>
        </w:rPr>
        <w:t>s</w:t>
      </w:r>
      <w:r w:rsidRPr="00BA7C9A">
        <w:rPr>
          <w:lang w:val="en-CA"/>
        </w:rPr>
        <w:t>. </w:t>
      </w:r>
      <w:r w:rsidRPr="00D64FCD">
        <w:rPr>
          <w:lang w:val="en-CA"/>
        </w:rPr>
        <w:t xml:space="preserve">134-137, </w:t>
      </w:r>
      <w:r w:rsidR="002818E0" w:rsidRPr="00D64FCD">
        <w:rPr>
          <w:lang w:val="en-CA"/>
        </w:rPr>
        <w:t>leave to appeal to the Supreme Court dismissed</w:t>
      </w:r>
      <w:r w:rsidRPr="00D64FCD">
        <w:rPr>
          <w:lang w:val="en-CA"/>
        </w:rPr>
        <w:t>, 13 </w:t>
      </w:r>
      <w:r w:rsidR="00BA7C9A" w:rsidRPr="00D64FCD">
        <w:rPr>
          <w:lang w:val="en-CA"/>
        </w:rPr>
        <w:t>February</w:t>
      </w:r>
      <w:r w:rsidRPr="00D64FCD">
        <w:rPr>
          <w:lang w:val="en-CA"/>
        </w:rPr>
        <w:t xml:space="preserve"> 2014, </w:t>
      </w:r>
      <w:r w:rsidR="00BA7C9A" w:rsidRPr="00D64FCD">
        <w:rPr>
          <w:lang w:val="en-CA"/>
        </w:rPr>
        <w:t>no.</w:t>
      </w:r>
      <w:r w:rsidR="00F92FA1">
        <w:rPr>
          <w:lang w:val="en-CA"/>
        </w:rPr>
        <w:t> </w:t>
      </w:r>
      <w:r w:rsidRPr="00D64FCD">
        <w:rPr>
          <w:lang w:val="en-CA"/>
        </w:rPr>
        <w:t xml:space="preserve">35606; </w:t>
      </w:r>
      <w:r w:rsidRPr="00D64FCD">
        <w:rPr>
          <w:i/>
          <w:iCs/>
          <w:lang w:val="en-CA"/>
        </w:rPr>
        <w:t xml:space="preserve">Morier et Boily </w:t>
      </w:r>
      <w:r w:rsidR="00BA7C9A" w:rsidRPr="00D64FCD">
        <w:rPr>
          <w:i/>
          <w:iCs/>
          <w:lang w:val="en-CA"/>
        </w:rPr>
        <w:t>v</w:t>
      </w:r>
      <w:r w:rsidRPr="00D64FCD">
        <w:rPr>
          <w:i/>
          <w:iCs/>
          <w:lang w:val="en-CA"/>
        </w:rPr>
        <w:t>. Rivard</w:t>
      </w:r>
      <w:r w:rsidRPr="00D64FCD">
        <w:rPr>
          <w:lang w:val="en-CA"/>
        </w:rPr>
        <w:t xml:space="preserve">, [1985] 2 </w:t>
      </w:r>
      <w:r w:rsidR="006D1B88" w:rsidRPr="00D64FCD">
        <w:rPr>
          <w:lang w:val="en-CA"/>
        </w:rPr>
        <w:t>S.C.R.</w:t>
      </w:r>
      <w:r w:rsidRPr="00BA7C9A">
        <w:rPr>
          <w:lang w:val="en-CA"/>
        </w:rPr>
        <w:t xml:space="preserve"> </w:t>
      </w:r>
      <w:r w:rsidRPr="00D64FCD">
        <w:rPr>
          <w:lang w:val="en-CA"/>
        </w:rPr>
        <w:t>716, para</w:t>
      </w:r>
      <w:r w:rsidR="00BA7C9A" w:rsidRPr="00D64FCD">
        <w:rPr>
          <w:lang w:val="en-CA"/>
        </w:rPr>
        <w:t>s</w:t>
      </w:r>
      <w:r w:rsidRPr="00D64FCD">
        <w:rPr>
          <w:lang w:val="en-CA"/>
        </w:rPr>
        <w:t>.</w:t>
      </w:r>
      <w:r w:rsidRPr="00BA7C9A">
        <w:rPr>
          <w:lang w:val="en-CA"/>
        </w:rPr>
        <w:t> </w:t>
      </w:r>
      <w:r w:rsidRPr="00D64FCD">
        <w:rPr>
          <w:lang w:val="en-CA"/>
        </w:rPr>
        <w:t xml:space="preserve">89-91; </w:t>
      </w:r>
      <w:r w:rsidRPr="00D64FCD">
        <w:rPr>
          <w:i/>
          <w:iCs/>
          <w:lang w:val="en-CA"/>
        </w:rPr>
        <w:t>Bohémier c. Barreau du Québec</w:t>
      </w:r>
      <w:r w:rsidRPr="00D64FCD">
        <w:rPr>
          <w:lang w:val="en-CA"/>
        </w:rPr>
        <w:t>, 2014 QCCA 961, para.</w:t>
      </w:r>
      <w:r w:rsidRPr="00BA7C9A">
        <w:rPr>
          <w:lang w:val="en-CA"/>
        </w:rPr>
        <w:t> </w:t>
      </w:r>
      <w:r w:rsidRPr="00D64FCD">
        <w:rPr>
          <w:lang w:val="en-CA"/>
        </w:rPr>
        <w:t xml:space="preserve">17, </w:t>
      </w:r>
      <w:r w:rsidR="00BA7C9A" w:rsidRPr="00D64FCD">
        <w:rPr>
          <w:lang w:val="en-CA"/>
        </w:rPr>
        <w:t>leave to appeal to the Supreme Court refused</w:t>
      </w:r>
      <w:r w:rsidRPr="00D64FCD">
        <w:rPr>
          <w:lang w:val="en-CA"/>
        </w:rPr>
        <w:t>, 15 </w:t>
      </w:r>
      <w:r w:rsidR="00BA7C9A" w:rsidRPr="00D64FCD">
        <w:rPr>
          <w:lang w:val="en-CA"/>
        </w:rPr>
        <w:t>January</w:t>
      </w:r>
      <w:r w:rsidRPr="00D64FCD">
        <w:rPr>
          <w:lang w:val="en-CA"/>
        </w:rPr>
        <w:t xml:space="preserve"> 2015, </w:t>
      </w:r>
      <w:r w:rsidR="00BA7C9A" w:rsidRPr="00D64FCD">
        <w:rPr>
          <w:lang w:val="en-CA"/>
        </w:rPr>
        <w:t>no.</w:t>
      </w:r>
      <w:r w:rsidRPr="00D64FCD">
        <w:rPr>
          <w:lang w:val="en-CA"/>
        </w:rPr>
        <w:t xml:space="preserve"> 36006; </w:t>
      </w:r>
      <w:r w:rsidRPr="00D64FCD">
        <w:rPr>
          <w:i/>
          <w:iCs/>
          <w:lang w:val="en-CA"/>
        </w:rPr>
        <w:t>Kosko</w:t>
      </w:r>
      <w:r w:rsidRPr="00D64FCD">
        <w:rPr>
          <w:lang w:val="en-CA"/>
        </w:rPr>
        <w:t>,</w:t>
      </w:r>
      <w:r w:rsidRPr="00D64FCD">
        <w:rPr>
          <w:i/>
          <w:iCs/>
          <w:lang w:val="en-CA"/>
        </w:rPr>
        <w:t xml:space="preserve"> supra</w:t>
      </w:r>
      <w:r w:rsidRPr="00D64FCD">
        <w:rPr>
          <w:lang w:val="en-CA"/>
        </w:rPr>
        <w:t>, note</w:t>
      </w:r>
      <w:r w:rsidRPr="00BA7C9A">
        <w:rPr>
          <w:i/>
          <w:iCs/>
          <w:lang w:val="en-CA"/>
        </w:rPr>
        <w:t xml:space="preserve"> </w:t>
      </w:r>
      <w:r w:rsidRPr="00BA7C9A">
        <w:rPr>
          <w:lang w:val="en-CA"/>
        </w:rPr>
        <w:fldChar w:fldCharType="begin"/>
      </w:r>
      <w:r w:rsidRPr="00BA7C9A">
        <w:rPr>
          <w:lang w:val="en-CA"/>
        </w:rPr>
        <w:instrText xml:space="preserve"> NOTEREF _Ref212719117 \h  \* MERGEFORMAT </w:instrText>
      </w:r>
      <w:r w:rsidRPr="00BA7C9A">
        <w:rPr>
          <w:lang w:val="en-CA"/>
        </w:rPr>
      </w:r>
      <w:r w:rsidRPr="00BA7C9A">
        <w:rPr>
          <w:lang w:val="en-CA"/>
        </w:rPr>
        <w:fldChar w:fldCharType="separate"/>
      </w:r>
      <w:r w:rsidRPr="00BA7C9A">
        <w:rPr>
          <w:lang w:val="en-CA"/>
        </w:rPr>
        <w:t>20</w:t>
      </w:r>
      <w:r w:rsidRPr="00BA7C9A">
        <w:rPr>
          <w:lang w:val="en-CA"/>
        </w:rPr>
        <w:fldChar w:fldCharType="end"/>
      </w:r>
      <w:r w:rsidR="00BA7C9A" w:rsidRPr="00BA7C9A">
        <w:rPr>
          <w:lang w:val="en-CA"/>
        </w:rPr>
        <w:t xml:space="preserve">, </w:t>
      </w:r>
      <w:r w:rsidRPr="00D64FCD">
        <w:rPr>
          <w:lang w:val="en-CA"/>
        </w:rPr>
        <w:t>para.</w:t>
      </w:r>
      <w:r w:rsidRPr="00BA7C9A">
        <w:rPr>
          <w:lang w:val="en-CA"/>
        </w:rPr>
        <w:t> </w:t>
      </w:r>
      <w:r w:rsidRPr="00C533A5">
        <w:t xml:space="preserve">39; </w:t>
      </w:r>
      <w:r w:rsidRPr="00C533A5">
        <w:rPr>
          <w:i/>
          <w:iCs/>
        </w:rPr>
        <w:t>Joad c. Procureure générale du Québec</w:t>
      </w:r>
      <w:r w:rsidRPr="00C533A5">
        <w:t xml:space="preserve">, 2018 QCCA 1227, para. 9; </w:t>
      </w:r>
      <w:r w:rsidRPr="00C533A5">
        <w:rPr>
          <w:i/>
          <w:iCs/>
        </w:rPr>
        <w:t>Abitbol c. Emery</w:t>
      </w:r>
      <w:r w:rsidRPr="00C533A5">
        <w:t>, 2012 QCCA</w:t>
      </w:r>
      <w:r w:rsidR="00F92FA1" w:rsidRPr="00C533A5">
        <w:t> </w:t>
      </w:r>
      <w:r w:rsidRPr="00C533A5">
        <w:t xml:space="preserve">1437, para. </w:t>
      </w:r>
      <w:r w:rsidRPr="00BA7C9A">
        <w:rPr>
          <w:lang w:val="en-CA"/>
        </w:rPr>
        <w:t>7.</w:t>
      </w:r>
    </w:p>
  </w:footnote>
  <w:footnote w:id="22">
    <w:p w14:paraId="30D2F6E0" w14:textId="17882536" w:rsidR="0021307B" w:rsidRPr="00BA7C9A" w:rsidRDefault="0021307B" w:rsidP="0021307B">
      <w:pPr>
        <w:pStyle w:val="Notedebasdepage"/>
        <w:rPr>
          <w:lang w:val="en-CA"/>
        </w:rPr>
      </w:pPr>
      <w:r w:rsidRPr="00BA7C9A">
        <w:rPr>
          <w:rStyle w:val="Appelnotedebasdep"/>
          <w:lang w:val="en-CA"/>
        </w:rPr>
        <w:footnoteRef/>
      </w:r>
      <w:r w:rsidRPr="00BA7C9A">
        <w:rPr>
          <w:lang w:val="en-CA"/>
        </w:rPr>
        <w:t xml:space="preserve">  </w:t>
      </w:r>
      <w:r w:rsidRPr="00BA7C9A">
        <w:rPr>
          <w:lang w:val="en-CA"/>
        </w:rPr>
        <w:tab/>
        <w:t xml:space="preserve">Mariève Lacroix, </w:t>
      </w:r>
      <w:r w:rsidR="00BA7C9A">
        <w:rPr>
          <w:lang w:val="en-CA"/>
        </w:rPr>
        <w:t>“</w:t>
      </w:r>
      <w:r w:rsidRPr="00BA7C9A">
        <w:rPr>
          <w:lang w:val="en-CA"/>
        </w:rPr>
        <w:t>L’immunité judiciaire au Québec: son fondement et sa mise à l’épreuve</w:t>
      </w:r>
      <w:r w:rsidR="00BA7C9A">
        <w:rPr>
          <w:lang w:val="en-CA"/>
        </w:rPr>
        <w:t>”</w:t>
      </w:r>
      <w:r w:rsidRPr="00BA7C9A">
        <w:rPr>
          <w:lang w:val="en-CA"/>
        </w:rPr>
        <w:t xml:space="preserve">, (2017) 47:2 </w:t>
      </w:r>
      <w:r w:rsidRPr="00BA7C9A">
        <w:rPr>
          <w:i/>
          <w:iCs/>
          <w:lang w:val="en-CA"/>
        </w:rPr>
        <w:t xml:space="preserve">R.G.D. </w:t>
      </w:r>
      <w:r w:rsidRPr="00BA7C9A">
        <w:rPr>
          <w:lang w:val="en-CA"/>
        </w:rPr>
        <w:t xml:space="preserve">310 at 325; </w:t>
      </w:r>
      <w:r w:rsidRPr="00BA7C9A">
        <w:rPr>
          <w:i/>
          <w:iCs/>
          <w:lang w:val="en-CA"/>
        </w:rPr>
        <w:t>Royer c. Mignault</w:t>
      </w:r>
      <w:r w:rsidRPr="00BA7C9A">
        <w:rPr>
          <w:lang w:val="en-CA"/>
        </w:rPr>
        <w:t>, 1988 CanLII</w:t>
      </w:r>
      <w:r w:rsidR="00F92FA1">
        <w:rPr>
          <w:lang w:val="en-CA"/>
        </w:rPr>
        <w:t> </w:t>
      </w:r>
      <w:r w:rsidRPr="00BA7C9A">
        <w:rPr>
          <w:lang w:val="en-CA"/>
        </w:rPr>
        <w:t xml:space="preserve">445 (reasons of Rothman, J.), </w:t>
      </w:r>
      <w:r w:rsidR="00BA7C9A">
        <w:rPr>
          <w:lang w:val="en-CA"/>
        </w:rPr>
        <w:t>leave to appeal to the Supreme Court refused</w:t>
      </w:r>
      <w:r w:rsidRPr="00BA7C9A">
        <w:rPr>
          <w:lang w:val="en-CA"/>
        </w:rPr>
        <w:t>, no</w:t>
      </w:r>
      <w:r w:rsidR="00BA7C9A">
        <w:rPr>
          <w:lang w:val="en-CA"/>
        </w:rPr>
        <w:t>.</w:t>
      </w:r>
      <w:r w:rsidR="00F92FA1">
        <w:rPr>
          <w:lang w:val="en-CA"/>
        </w:rPr>
        <w:t> </w:t>
      </w:r>
      <w:r w:rsidRPr="00BA7C9A">
        <w:rPr>
          <w:lang w:val="en-CA"/>
        </w:rPr>
        <w:t xml:space="preserve">20885: “The purpose of the principle is not, of course, to protect the personal interests of judged [sic] but rather to protect the public interest in an independent and impartial justice system. To this end, judges, in performing their judicial functions, must be able to do so without fear of personal liability for what they say or do in their judicial capacities. Any errors they make may be corrected on appeal, (or judicial review, as the case may be), but they should not have to fear that they may be threatened by dissatisfied litigants, or others, with civil actions charging them with malice, bias, or excess of jurisdiction. A judge should not be subject to the influence of personal concerns, conscious or unconscious, when performing his judicial functions”; </w:t>
      </w:r>
      <w:r w:rsidRPr="00BA7C9A">
        <w:rPr>
          <w:i/>
          <w:iCs/>
          <w:lang w:val="en-CA"/>
        </w:rPr>
        <w:t xml:space="preserve">Taylor </w:t>
      </w:r>
      <w:r w:rsidRPr="00BA7C9A">
        <w:rPr>
          <w:rFonts w:cs="Arial"/>
          <w:i/>
          <w:iCs/>
          <w:lang w:val="en-CA"/>
        </w:rPr>
        <w:t>v</w:t>
      </w:r>
      <w:r w:rsidRPr="00BA7C9A">
        <w:rPr>
          <w:i/>
          <w:iCs/>
          <w:lang w:val="en-CA"/>
        </w:rPr>
        <w:t>. Canada (Attorney General)</w:t>
      </w:r>
      <w:r w:rsidRPr="00BA7C9A">
        <w:rPr>
          <w:lang w:val="en-CA"/>
        </w:rPr>
        <w:t>, 2000 CanLII</w:t>
      </w:r>
      <w:r w:rsidR="00F92FA1">
        <w:rPr>
          <w:lang w:val="en-CA"/>
        </w:rPr>
        <w:t> </w:t>
      </w:r>
      <w:r w:rsidRPr="00BA7C9A">
        <w:rPr>
          <w:lang w:val="en-CA"/>
        </w:rPr>
        <w:t>17120, paras. 28–29 (FCA).</w:t>
      </w:r>
    </w:p>
  </w:footnote>
  <w:footnote w:id="23">
    <w:p w14:paraId="7868A257" w14:textId="67B0CAE3" w:rsidR="0021307B" w:rsidRPr="00BA7C9A" w:rsidRDefault="0021307B" w:rsidP="0021307B">
      <w:pPr>
        <w:pStyle w:val="Notedebasdepage"/>
        <w:rPr>
          <w:lang w:val="en-CA"/>
        </w:rPr>
      </w:pPr>
      <w:r w:rsidRPr="00BA7C9A">
        <w:rPr>
          <w:rStyle w:val="Appelnotedebasdep"/>
          <w:lang w:val="en-CA"/>
        </w:rPr>
        <w:footnoteRef/>
      </w:r>
      <w:r w:rsidRPr="00BA7C9A">
        <w:rPr>
          <w:lang w:val="en-CA"/>
        </w:rPr>
        <w:t xml:space="preserve">  </w:t>
      </w:r>
      <w:r w:rsidRPr="00BA7C9A">
        <w:rPr>
          <w:lang w:val="en-CA"/>
        </w:rPr>
        <w:tab/>
      </w:r>
      <w:r w:rsidRPr="00D64FCD">
        <w:rPr>
          <w:i/>
          <w:iCs/>
          <w:lang w:val="en-CA"/>
        </w:rPr>
        <w:t>Kosko</w:t>
      </w:r>
      <w:r w:rsidRPr="00D64FCD">
        <w:rPr>
          <w:lang w:val="en-CA"/>
        </w:rPr>
        <w:t xml:space="preserve">, </w:t>
      </w:r>
      <w:r w:rsidRPr="00D64FCD">
        <w:rPr>
          <w:i/>
          <w:iCs/>
          <w:lang w:val="en-CA"/>
        </w:rPr>
        <w:t>supra</w:t>
      </w:r>
      <w:r w:rsidRPr="00D64FCD">
        <w:rPr>
          <w:lang w:val="en-CA"/>
        </w:rPr>
        <w:t>, note</w:t>
      </w:r>
      <w:r w:rsidR="00F92FA1">
        <w:rPr>
          <w:lang w:val="en-CA"/>
        </w:rPr>
        <w:t> </w:t>
      </w:r>
      <w:r w:rsidRPr="00BA7C9A">
        <w:rPr>
          <w:lang w:val="en-CA"/>
        </w:rPr>
        <w:fldChar w:fldCharType="begin"/>
      </w:r>
      <w:r w:rsidRPr="00BA7C9A">
        <w:rPr>
          <w:lang w:val="en-CA"/>
        </w:rPr>
        <w:instrText xml:space="preserve"> NOTEREF _Ref212719117 \h  \* MERGEFORMAT </w:instrText>
      </w:r>
      <w:r w:rsidRPr="00BA7C9A">
        <w:rPr>
          <w:lang w:val="en-CA"/>
        </w:rPr>
      </w:r>
      <w:r w:rsidRPr="00BA7C9A">
        <w:rPr>
          <w:lang w:val="en-CA"/>
        </w:rPr>
        <w:fldChar w:fldCharType="separate"/>
      </w:r>
      <w:r w:rsidRPr="00BA7C9A">
        <w:rPr>
          <w:lang w:val="en-CA"/>
        </w:rPr>
        <w:t>20</w:t>
      </w:r>
      <w:r w:rsidRPr="00BA7C9A">
        <w:rPr>
          <w:lang w:val="en-CA"/>
        </w:rPr>
        <w:fldChar w:fldCharType="end"/>
      </w:r>
      <w:r w:rsidR="00BA7C9A">
        <w:rPr>
          <w:lang w:val="en-CA"/>
        </w:rPr>
        <w:t>,</w:t>
      </w:r>
      <w:r w:rsidRPr="00BA7C9A">
        <w:rPr>
          <w:lang w:val="en-CA"/>
        </w:rPr>
        <w:t xml:space="preserve"> </w:t>
      </w:r>
      <w:r w:rsidRPr="00D64FCD">
        <w:rPr>
          <w:lang w:val="en-CA"/>
        </w:rPr>
        <w:t>para.</w:t>
      </w:r>
      <w:r w:rsidRPr="00BA7C9A">
        <w:rPr>
          <w:lang w:val="en-CA"/>
        </w:rPr>
        <w:t xml:space="preserve"> </w:t>
      </w:r>
      <w:r w:rsidRPr="00D64FCD">
        <w:rPr>
          <w:lang w:val="en-CA"/>
        </w:rPr>
        <w:t xml:space="preserve">41; </w:t>
      </w:r>
      <w:r w:rsidRPr="00D64FCD">
        <w:rPr>
          <w:i/>
          <w:iCs/>
          <w:lang w:val="en-CA"/>
        </w:rPr>
        <w:t>R. v. K.J.M.J., </w:t>
      </w:r>
      <w:r w:rsidRPr="00D64FCD">
        <w:rPr>
          <w:lang w:val="en-CA"/>
        </w:rPr>
        <w:t>2023 NSCA</w:t>
      </w:r>
      <w:r w:rsidR="00F92FA1">
        <w:rPr>
          <w:lang w:val="en-CA"/>
        </w:rPr>
        <w:t> </w:t>
      </w:r>
      <w:r w:rsidRPr="00D64FCD">
        <w:rPr>
          <w:lang w:val="en-CA"/>
        </w:rPr>
        <w:t>84</w:t>
      </w:r>
      <w:r w:rsidR="00BA7C9A" w:rsidRPr="00D64FCD">
        <w:rPr>
          <w:lang w:val="en-CA"/>
        </w:rPr>
        <w:t>,</w:t>
      </w:r>
      <w:r w:rsidRPr="00D64FCD">
        <w:rPr>
          <w:lang w:val="en-CA"/>
        </w:rPr>
        <w:t xml:space="preserve"> para. 43</w:t>
      </w:r>
      <w:r w:rsidRPr="00D64FCD">
        <w:rPr>
          <w:i/>
          <w:iCs/>
          <w:lang w:val="en-CA"/>
        </w:rPr>
        <w:t>; Canada (Attorney General) v. Slansky, </w:t>
      </w:r>
      <w:r w:rsidRPr="00D64FCD">
        <w:rPr>
          <w:lang w:val="en-CA"/>
        </w:rPr>
        <w:t>2013 FCA 199</w:t>
      </w:r>
      <w:r w:rsidR="00BA7C9A" w:rsidRPr="00D64FCD">
        <w:rPr>
          <w:lang w:val="en-CA"/>
        </w:rPr>
        <w:t xml:space="preserve">, </w:t>
      </w:r>
      <w:r w:rsidRPr="00D64FCD">
        <w:rPr>
          <w:lang w:val="en-CA"/>
        </w:rPr>
        <w:t>para. 160.</w:t>
      </w:r>
    </w:p>
  </w:footnote>
  <w:footnote w:id="24">
    <w:p w14:paraId="1048C922" w14:textId="18763A4F" w:rsidR="0021307B" w:rsidRPr="00BA7C9A" w:rsidRDefault="0021307B" w:rsidP="0021307B">
      <w:pPr>
        <w:pStyle w:val="Notedebasdepage"/>
        <w:rPr>
          <w:lang w:val="en-CA"/>
        </w:rPr>
      </w:pPr>
      <w:r w:rsidRPr="00BA7C9A">
        <w:rPr>
          <w:rStyle w:val="Appelnotedebasdep"/>
          <w:lang w:val="en-CA"/>
        </w:rPr>
        <w:footnoteRef/>
      </w:r>
      <w:r w:rsidRPr="00BA7C9A">
        <w:rPr>
          <w:lang w:val="en-CA"/>
        </w:rPr>
        <w:t xml:space="preserve">  </w:t>
      </w:r>
      <w:r w:rsidRPr="00BA7C9A">
        <w:rPr>
          <w:lang w:val="en-CA"/>
        </w:rPr>
        <w:tab/>
      </w:r>
      <w:r w:rsidRPr="00D64FCD">
        <w:rPr>
          <w:i/>
          <w:iCs/>
          <w:lang w:val="en-CA"/>
        </w:rPr>
        <w:t xml:space="preserve">Ref re Remuneration of Judges of the Prov. Court of P.E.I.; Ref re Independence and Impartiality of Judges of the Prov. Court of P.E.I., </w:t>
      </w:r>
      <w:r w:rsidRPr="00D64FCD">
        <w:rPr>
          <w:lang w:val="en-CA"/>
        </w:rPr>
        <w:t>1997 CanLII</w:t>
      </w:r>
      <w:r w:rsidR="00F92FA1">
        <w:rPr>
          <w:lang w:val="en-CA"/>
        </w:rPr>
        <w:t> </w:t>
      </w:r>
      <w:r w:rsidRPr="00D64FCD">
        <w:rPr>
          <w:lang w:val="en-CA"/>
        </w:rPr>
        <w:t>317 (SCC), [1997] 3 SCR 3</w:t>
      </w:r>
      <w:r w:rsidR="00BA7C9A" w:rsidRPr="00D64FCD">
        <w:rPr>
          <w:lang w:val="en-CA"/>
        </w:rPr>
        <w:t>,</w:t>
      </w:r>
      <w:r w:rsidRPr="00D64FCD">
        <w:rPr>
          <w:lang w:val="en-CA"/>
        </w:rPr>
        <w:t xml:space="preserve"> para.</w:t>
      </w:r>
      <w:r w:rsidRPr="00BA7C9A">
        <w:rPr>
          <w:lang w:val="en-CA"/>
        </w:rPr>
        <w:t xml:space="preserve"> 117.</w:t>
      </w:r>
    </w:p>
  </w:footnote>
  <w:footnote w:id="25">
    <w:p w14:paraId="7252D898" w14:textId="5B2D9B5F" w:rsidR="0021307B" w:rsidRPr="00D16016" w:rsidRDefault="0021307B" w:rsidP="0021307B">
      <w:pPr>
        <w:pStyle w:val="Notedebasdepage"/>
        <w:rPr>
          <w:lang w:val="en-CA"/>
        </w:rPr>
      </w:pPr>
      <w:r w:rsidRPr="00BA7C9A">
        <w:rPr>
          <w:rStyle w:val="Appelnotedebasdep"/>
          <w:lang w:val="en-CA"/>
        </w:rPr>
        <w:footnoteRef/>
      </w:r>
      <w:r w:rsidRPr="00BA7C9A">
        <w:rPr>
          <w:lang w:val="en-CA"/>
        </w:rPr>
        <w:t xml:space="preserve">  </w:t>
      </w:r>
      <w:r w:rsidRPr="00BA7C9A">
        <w:rPr>
          <w:lang w:val="en-CA"/>
        </w:rPr>
        <w:tab/>
      </w:r>
      <w:r w:rsidRPr="00D64FCD">
        <w:rPr>
          <w:i/>
          <w:iCs/>
          <w:lang w:val="en-CA"/>
        </w:rPr>
        <w:t xml:space="preserve">Valente </w:t>
      </w:r>
      <w:r w:rsidR="00BC6488" w:rsidRPr="00D64FCD">
        <w:rPr>
          <w:i/>
          <w:iCs/>
          <w:lang w:val="en-CA"/>
        </w:rPr>
        <w:t>v. The Queen</w:t>
      </w:r>
      <w:r w:rsidRPr="00D64FCD">
        <w:rPr>
          <w:lang w:val="en-CA"/>
        </w:rPr>
        <w:t xml:space="preserve">, [1985] 2 </w:t>
      </w:r>
      <w:r w:rsidR="006D1B88" w:rsidRPr="00D64FCD">
        <w:rPr>
          <w:lang w:val="en-CA"/>
        </w:rPr>
        <w:t>S.C.R.</w:t>
      </w:r>
      <w:r w:rsidR="00F92FA1">
        <w:rPr>
          <w:lang w:val="en-CA"/>
        </w:rPr>
        <w:t> </w:t>
      </w:r>
      <w:r w:rsidRPr="00D64FCD">
        <w:rPr>
          <w:lang w:val="en-CA"/>
        </w:rPr>
        <w:t>673, p</w:t>
      </w:r>
      <w:r w:rsidR="00BA7C9A" w:rsidRPr="00D64FCD">
        <w:rPr>
          <w:lang w:val="en-CA"/>
        </w:rPr>
        <w:t>p</w:t>
      </w:r>
      <w:r w:rsidRPr="00D64FCD">
        <w:rPr>
          <w:lang w:val="en-CA"/>
        </w:rPr>
        <w:t>. 708-709.</w:t>
      </w:r>
    </w:p>
  </w:footnote>
  <w:footnote w:id="26">
    <w:p w14:paraId="5BF922A8" w14:textId="4ED0C511" w:rsidR="00BC6488" w:rsidRPr="00EA72B3" w:rsidRDefault="00BC6488" w:rsidP="00BC6488">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 xml:space="preserve">MacKeigan </w:t>
      </w:r>
      <w:r w:rsidR="00BA7C9A" w:rsidRPr="00EA72B3">
        <w:rPr>
          <w:i/>
          <w:iCs/>
          <w:lang w:val="en-CA"/>
        </w:rPr>
        <w:t>v</w:t>
      </w:r>
      <w:r w:rsidRPr="00EA72B3">
        <w:rPr>
          <w:i/>
          <w:iCs/>
          <w:lang w:val="en-CA"/>
        </w:rPr>
        <w:t>. Hickman</w:t>
      </w:r>
      <w:r w:rsidRPr="00EA72B3">
        <w:rPr>
          <w:lang w:val="en-CA"/>
        </w:rPr>
        <w:t xml:space="preserve">, [1989] 2 </w:t>
      </w:r>
      <w:r w:rsidR="006D1B88" w:rsidRPr="00EA72B3">
        <w:rPr>
          <w:lang w:val="en-CA"/>
        </w:rPr>
        <w:t>S.C.R.</w:t>
      </w:r>
      <w:r w:rsidR="00F92FA1">
        <w:rPr>
          <w:lang w:val="en-CA"/>
        </w:rPr>
        <w:t> </w:t>
      </w:r>
      <w:r w:rsidRPr="00EA72B3">
        <w:rPr>
          <w:lang w:val="en-CA"/>
        </w:rPr>
        <w:t>796, p</w:t>
      </w:r>
      <w:r w:rsidR="00BA7C9A" w:rsidRPr="00EA72B3">
        <w:rPr>
          <w:lang w:val="en-CA"/>
        </w:rPr>
        <w:t>p</w:t>
      </w:r>
      <w:r w:rsidRPr="00EA72B3">
        <w:rPr>
          <w:lang w:val="en-CA"/>
        </w:rPr>
        <w:t xml:space="preserve">. 830-831 </w:t>
      </w:r>
      <w:r w:rsidR="00BA7C9A" w:rsidRPr="00EA72B3">
        <w:rPr>
          <w:lang w:val="en-CA"/>
        </w:rPr>
        <w:t>and</w:t>
      </w:r>
      <w:r w:rsidRPr="00EA72B3">
        <w:rPr>
          <w:lang w:val="en-CA"/>
        </w:rPr>
        <w:t xml:space="preserve"> 833. </w:t>
      </w:r>
      <w:r w:rsidR="00E573E9" w:rsidRPr="00EA72B3">
        <w:rPr>
          <w:lang w:val="en-CA"/>
        </w:rPr>
        <w:t>See, in a judicial context</w:t>
      </w:r>
      <w:r w:rsidRPr="00EA72B3">
        <w:rPr>
          <w:lang w:val="en-CA"/>
        </w:rPr>
        <w:t xml:space="preserve">, </w:t>
      </w:r>
      <w:r w:rsidRPr="00EA72B3">
        <w:rPr>
          <w:i/>
          <w:iCs/>
          <w:lang w:val="en-CA"/>
        </w:rPr>
        <w:t>R. v. Hahn</w:t>
      </w:r>
      <w:r w:rsidRPr="00EA72B3">
        <w:rPr>
          <w:lang w:val="en-CA"/>
        </w:rPr>
        <w:t>, 2018 SKCA</w:t>
      </w:r>
      <w:r w:rsidR="00F92FA1">
        <w:rPr>
          <w:lang w:val="en-CA"/>
        </w:rPr>
        <w:t> </w:t>
      </w:r>
      <w:r w:rsidRPr="00EA72B3">
        <w:rPr>
          <w:lang w:val="en-CA"/>
        </w:rPr>
        <w:t>73, para</w:t>
      </w:r>
      <w:r w:rsidR="00E573E9" w:rsidRPr="00EA72B3">
        <w:rPr>
          <w:lang w:val="en-CA"/>
        </w:rPr>
        <w:t>s</w:t>
      </w:r>
      <w:r w:rsidRPr="00EA72B3">
        <w:rPr>
          <w:lang w:val="en-CA"/>
        </w:rPr>
        <w:t>. 39-44.</w:t>
      </w:r>
    </w:p>
  </w:footnote>
  <w:footnote w:id="27">
    <w:p w14:paraId="283CCAE3" w14:textId="4AFCCCDB" w:rsidR="00BC6488" w:rsidRPr="00EA72B3" w:rsidRDefault="00BC6488" w:rsidP="00BC6488">
      <w:pPr>
        <w:pStyle w:val="Notedebasdepage"/>
        <w:rPr>
          <w:lang w:val="en-CA"/>
        </w:rPr>
      </w:pPr>
      <w:r w:rsidRPr="00EA72B3">
        <w:rPr>
          <w:rStyle w:val="Appelnotedebasdep"/>
          <w:lang w:val="en-CA"/>
        </w:rPr>
        <w:footnoteRef/>
      </w:r>
      <w:r w:rsidRPr="00EA72B3">
        <w:rPr>
          <w:rFonts w:cs="Arial"/>
          <w:lang w:val="en-CA"/>
        </w:rPr>
        <w:t xml:space="preserve">  </w:t>
      </w:r>
      <w:r w:rsidRPr="00EA72B3">
        <w:rPr>
          <w:rFonts w:cs="Arial"/>
          <w:lang w:val="en-CA"/>
        </w:rPr>
        <w:tab/>
      </w:r>
      <w:r w:rsidR="00E573E9" w:rsidRPr="00EA72B3">
        <w:rPr>
          <w:rFonts w:cs="Arial"/>
          <w:lang w:val="en-CA"/>
        </w:rPr>
        <w:t xml:space="preserve">This excludes, for example, facts protected by professional secrecy </w:t>
      </w:r>
      <w:r w:rsidR="003B38A0">
        <w:rPr>
          <w:rFonts w:cs="Arial"/>
          <w:lang w:val="en-CA"/>
        </w:rPr>
        <w:t>and those that</w:t>
      </w:r>
      <w:r w:rsidR="00E573E9" w:rsidRPr="00EA72B3">
        <w:rPr>
          <w:rFonts w:cs="Arial"/>
          <w:lang w:val="en-CA"/>
        </w:rPr>
        <w:t xml:space="preserve"> are irrelevant or inadmissible.</w:t>
      </w:r>
      <w:r w:rsidRPr="00EA72B3">
        <w:rPr>
          <w:rFonts w:cs="Arial"/>
          <w:lang w:val="en-CA"/>
        </w:rPr>
        <w:t xml:space="preserve"> </w:t>
      </w:r>
      <w:r w:rsidR="00E573E9" w:rsidRPr="00EA72B3">
        <w:rPr>
          <w:rFonts w:cs="Arial"/>
          <w:lang w:val="en-CA"/>
        </w:rPr>
        <w:t>The witness must be otherwise competent to testify.</w:t>
      </w:r>
    </w:p>
  </w:footnote>
  <w:footnote w:id="28">
    <w:p w14:paraId="546AEF45" w14:textId="2136705E" w:rsidR="00BC6488" w:rsidRPr="00EA72B3" w:rsidRDefault="00BC6488" w:rsidP="00BC6488">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Groupe Royal inc. c. Crewcut Investments Inc.</w:t>
      </w:r>
      <w:r w:rsidRPr="00EA72B3">
        <w:rPr>
          <w:lang w:val="en-CA"/>
        </w:rPr>
        <w:t xml:space="preserve">, 2019 QCCA 1839, para. </w:t>
      </w:r>
      <w:r w:rsidRPr="00D16016">
        <w:t xml:space="preserve">15; </w:t>
      </w:r>
      <w:r w:rsidRPr="00D16016">
        <w:rPr>
          <w:i/>
          <w:iCs/>
        </w:rPr>
        <w:t>Université de Sherbrooke c. Beaudoin</w:t>
      </w:r>
      <w:r w:rsidRPr="00D16016">
        <w:t>, 2010 QCCA 28, para</w:t>
      </w:r>
      <w:r w:rsidR="004A0B78" w:rsidRPr="00D16016">
        <w:t>s</w:t>
      </w:r>
      <w:r w:rsidRPr="00D16016">
        <w:t xml:space="preserve">. 107-108; </w:t>
      </w:r>
      <w:r w:rsidRPr="00D16016">
        <w:rPr>
          <w:i/>
          <w:iCs/>
        </w:rPr>
        <w:t>Conseil québécois sur le tabac et la santé c. JTI-MacDonald Corp.</w:t>
      </w:r>
      <w:r w:rsidRPr="00D16016">
        <w:t xml:space="preserve">, 2013 QCCS 20, para. </w:t>
      </w:r>
      <w:r w:rsidRPr="00EA72B3">
        <w:rPr>
          <w:lang w:val="en-CA"/>
        </w:rPr>
        <w:t>16</w:t>
      </w:r>
      <w:r w:rsidR="001A5500" w:rsidRPr="00EA72B3">
        <w:rPr>
          <w:lang w:val="en-CA"/>
        </w:rPr>
        <w:t>(</w:t>
      </w:r>
      <w:r w:rsidRPr="00EA72B3">
        <w:rPr>
          <w:lang w:val="en-CA"/>
        </w:rPr>
        <w:t>c), leave to appeal to the Court of Appeal refused, 2013 QCCA</w:t>
      </w:r>
      <w:r w:rsidR="00F92FA1">
        <w:rPr>
          <w:lang w:val="en-CA"/>
        </w:rPr>
        <w:t> </w:t>
      </w:r>
      <w:r w:rsidRPr="00EA72B3">
        <w:rPr>
          <w:lang w:val="en-CA"/>
        </w:rPr>
        <w:t xml:space="preserve">1139. </w:t>
      </w:r>
      <w:r w:rsidR="001A5500" w:rsidRPr="00EA72B3">
        <w:rPr>
          <w:lang w:val="en-CA"/>
        </w:rPr>
        <w:t>See</w:t>
      </w:r>
      <w:r w:rsidRPr="00EA72B3">
        <w:rPr>
          <w:lang w:val="en-CA"/>
        </w:rPr>
        <w:t xml:space="preserve"> Jean-Claude Royer </w:t>
      </w:r>
      <w:r w:rsidR="001A5500" w:rsidRPr="00EA72B3">
        <w:rPr>
          <w:lang w:val="en-CA"/>
        </w:rPr>
        <w:t>and</w:t>
      </w:r>
      <w:r w:rsidRPr="00EA72B3">
        <w:rPr>
          <w:lang w:val="en-CA"/>
        </w:rPr>
        <w:t xml:space="preserve"> Catherine Piché, </w:t>
      </w:r>
      <w:r w:rsidRPr="00EA72B3">
        <w:rPr>
          <w:i/>
          <w:iCs/>
          <w:lang w:val="en-CA"/>
        </w:rPr>
        <w:t>La preuve civile</w:t>
      </w:r>
      <w:r w:rsidRPr="00EA72B3">
        <w:rPr>
          <w:lang w:val="en-CA"/>
        </w:rPr>
        <w:t>, 6</w:t>
      </w:r>
      <w:r w:rsidR="001A5500" w:rsidRPr="00EA72B3">
        <w:rPr>
          <w:lang w:val="en-CA"/>
        </w:rPr>
        <w:t>th</w:t>
      </w:r>
      <w:r w:rsidRPr="00EA72B3">
        <w:rPr>
          <w:lang w:val="en-CA"/>
        </w:rPr>
        <w:t xml:space="preserve"> </w:t>
      </w:r>
      <w:r w:rsidR="001A5500" w:rsidRPr="00EA72B3">
        <w:rPr>
          <w:lang w:val="en-CA"/>
        </w:rPr>
        <w:t>e</w:t>
      </w:r>
      <w:r w:rsidRPr="00EA72B3">
        <w:rPr>
          <w:lang w:val="en-CA"/>
        </w:rPr>
        <w:t>d., Cowansville, Yvon Blais, 2020, p.</w:t>
      </w:r>
      <w:r w:rsidR="00F92FA1">
        <w:rPr>
          <w:lang w:val="en-CA"/>
        </w:rPr>
        <w:t> </w:t>
      </w:r>
      <w:r w:rsidRPr="00EA72B3">
        <w:rPr>
          <w:lang w:val="en-CA"/>
        </w:rPr>
        <w:t xml:space="preserve">576, </w:t>
      </w:r>
      <w:r w:rsidR="001A5500" w:rsidRPr="00EA72B3">
        <w:rPr>
          <w:lang w:val="en-CA"/>
        </w:rPr>
        <w:t>no.</w:t>
      </w:r>
      <w:r w:rsidR="00F92FA1">
        <w:rPr>
          <w:lang w:val="en-CA"/>
        </w:rPr>
        <w:t> </w:t>
      </w:r>
      <w:r w:rsidRPr="00EA72B3">
        <w:rPr>
          <w:lang w:val="en-CA"/>
        </w:rPr>
        <w:t>751.</w:t>
      </w:r>
    </w:p>
  </w:footnote>
  <w:footnote w:id="29">
    <w:p w14:paraId="7ECA3C1F" w14:textId="7F6BB6B8" w:rsidR="00BC6488" w:rsidRPr="00D16016" w:rsidRDefault="00BC6488" w:rsidP="00BC6488">
      <w:pPr>
        <w:pStyle w:val="Notedebasdepage"/>
        <w:rPr>
          <w:lang w:val="en-CA"/>
        </w:rPr>
      </w:pPr>
      <w:r w:rsidRPr="00EA72B3">
        <w:rPr>
          <w:rStyle w:val="Appelnotedebasdep"/>
          <w:lang w:val="en-CA"/>
        </w:rPr>
        <w:footnoteRef/>
      </w:r>
      <w:r w:rsidRPr="00EA72B3">
        <w:rPr>
          <w:lang w:val="en-CA"/>
        </w:rPr>
        <w:t xml:space="preserve">  </w:t>
      </w:r>
      <w:r w:rsidRPr="00EA72B3">
        <w:rPr>
          <w:lang w:val="en-CA"/>
        </w:rPr>
        <w:tab/>
        <w:t xml:space="preserve">Judgment under appeal, </w:t>
      </w:r>
      <w:r w:rsidRPr="00EA72B3">
        <w:rPr>
          <w:i/>
          <w:iCs/>
          <w:lang w:val="en-CA"/>
        </w:rPr>
        <w:t>supra</w:t>
      </w:r>
      <w:r w:rsidRPr="00EA72B3">
        <w:rPr>
          <w:lang w:val="en-CA"/>
        </w:rPr>
        <w:t>, note</w:t>
      </w:r>
      <w:r w:rsidR="00F54E8E">
        <w:rPr>
          <w:lang w:val="en-CA"/>
        </w:rPr>
        <w:t> </w:t>
      </w:r>
      <w:r w:rsidR="00F54E8E">
        <w:rPr>
          <w:lang w:val="en-CA"/>
        </w:rPr>
        <w:fldChar w:fldCharType="begin"/>
      </w:r>
      <w:r w:rsidR="00F54E8E">
        <w:rPr>
          <w:lang w:val="en-CA"/>
        </w:rPr>
        <w:instrText xml:space="preserve"> NOTEREF _Ref229137260 \h </w:instrText>
      </w:r>
      <w:r w:rsidR="00F54E8E">
        <w:rPr>
          <w:lang w:val="en-CA"/>
        </w:rPr>
      </w:r>
      <w:r w:rsidR="00F54E8E">
        <w:rPr>
          <w:lang w:val="en-CA"/>
        </w:rPr>
        <w:fldChar w:fldCharType="separate"/>
      </w:r>
      <w:r w:rsidR="00F54E8E">
        <w:rPr>
          <w:lang w:val="en-CA"/>
        </w:rPr>
        <w:t>2</w:t>
      </w:r>
      <w:r w:rsidR="00F54E8E">
        <w:rPr>
          <w:lang w:val="en-CA"/>
        </w:rPr>
        <w:fldChar w:fldCharType="end"/>
      </w:r>
      <w:r w:rsidR="001A5500" w:rsidRPr="00EA72B3">
        <w:rPr>
          <w:lang w:val="en-CA"/>
        </w:rPr>
        <w:t xml:space="preserve">, </w:t>
      </w:r>
      <w:r w:rsidRPr="00EA72B3">
        <w:rPr>
          <w:lang w:val="en-CA"/>
        </w:rPr>
        <w:t>para</w:t>
      </w:r>
      <w:r w:rsidR="001A5500" w:rsidRPr="00EA72B3">
        <w:rPr>
          <w:lang w:val="en-CA"/>
        </w:rPr>
        <w:t>s</w:t>
      </w:r>
      <w:r w:rsidRPr="00EA72B3">
        <w:rPr>
          <w:lang w:val="en-CA"/>
        </w:rPr>
        <w:t>. 38-40.</w:t>
      </w:r>
    </w:p>
  </w:footnote>
  <w:footnote w:id="30">
    <w:p w14:paraId="2C94996B" w14:textId="18752ECF" w:rsidR="00BC6488" w:rsidRPr="001A5500" w:rsidRDefault="00BC6488" w:rsidP="00BC6488">
      <w:pPr>
        <w:pStyle w:val="Notedebasdepage"/>
        <w:rPr>
          <w:lang w:val="en-CA"/>
        </w:rPr>
      </w:pPr>
      <w:r w:rsidRPr="001A5500">
        <w:rPr>
          <w:rStyle w:val="Appelnotedebasdep"/>
          <w:lang w:val="en-CA"/>
        </w:rPr>
        <w:footnoteRef/>
      </w:r>
      <w:r w:rsidRPr="001A5500">
        <w:rPr>
          <w:lang w:val="en-CA"/>
        </w:rPr>
        <w:t xml:space="preserve">  </w:t>
      </w:r>
      <w:r w:rsidRPr="001A5500">
        <w:rPr>
          <w:lang w:val="en-CA"/>
        </w:rPr>
        <w:tab/>
      </w:r>
      <w:r w:rsidRPr="00D64FCD">
        <w:rPr>
          <w:i/>
          <w:iCs/>
          <w:lang w:val="en-CA"/>
        </w:rPr>
        <w:t>Kosko</w:t>
      </w:r>
      <w:r w:rsidRPr="00D64FCD">
        <w:rPr>
          <w:lang w:val="en-CA"/>
        </w:rPr>
        <w:t xml:space="preserve">, </w:t>
      </w:r>
      <w:r w:rsidRPr="00D64FCD">
        <w:rPr>
          <w:i/>
          <w:iCs/>
          <w:lang w:val="en-CA"/>
        </w:rPr>
        <w:t>supra</w:t>
      </w:r>
      <w:r w:rsidRPr="00D64FCD">
        <w:rPr>
          <w:lang w:val="en-CA"/>
        </w:rPr>
        <w:t>, note</w:t>
      </w:r>
      <w:r w:rsidRPr="001A5500">
        <w:rPr>
          <w:lang w:val="en-CA"/>
        </w:rPr>
        <w:t xml:space="preserve"> </w:t>
      </w:r>
      <w:r w:rsidRPr="001A5500">
        <w:rPr>
          <w:lang w:val="en-CA"/>
        </w:rPr>
        <w:fldChar w:fldCharType="begin"/>
      </w:r>
      <w:r w:rsidRPr="001A5500">
        <w:rPr>
          <w:lang w:val="en-CA"/>
        </w:rPr>
        <w:instrText xml:space="preserve"> NOTEREF _Ref212719117 \h  \* MERGEFORMAT </w:instrText>
      </w:r>
      <w:r w:rsidRPr="001A5500">
        <w:rPr>
          <w:lang w:val="en-CA"/>
        </w:rPr>
      </w:r>
      <w:r w:rsidRPr="001A5500">
        <w:rPr>
          <w:lang w:val="en-CA"/>
        </w:rPr>
        <w:fldChar w:fldCharType="separate"/>
      </w:r>
      <w:r w:rsidRPr="001A5500">
        <w:rPr>
          <w:lang w:val="en-CA"/>
        </w:rPr>
        <w:t>20</w:t>
      </w:r>
      <w:r w:rsidRPr="001A5500">
        <w:rPr>
          <w:lang w:val="en-CA"/>
        </w:rPr>
        <w:fldChar w:fldCharType="end"/>
      </w:r>
      <w:r w:rsidR="001A5500" w:rsidRPr="00D64FCD">
        <w:rPr>
          <w:lang w:val="en-CA"/>
        </w:rPr>
        <w:t xml:space="preserve">, </w:t>
      </w:r>
      <w:r w:rsidRPr="00D64FCD">
        <w:rPr>
          <w:lang w:val="en-CA"/>
        </w:rPr>
        <w:t>para.</w:t>
      </w:r>
      <w:r w:rsidRPr="001A5500">
        <w:rPr>
          <w:lang w:val="en-CA"/>
        </w:rPr>
        <w:t xml:space="preserve"> 41.</w:t>
      </w:r>
    </w:p>
  </w:footnote>
  <w:footnote w:id="31">
    <w:p w14:paraId="31CF74B2" w14:textId="01DDBEF8" w:rsidR="00BC6488" w:rsidRPr="001A5500" w:rsidRDefault="00BC6488" w:rsidP="00BC6488">
      <w:pPr>
        <w:pStyle w:val="Notedebasdepage"/>
        <w:rPr>
          <w:lang w:val="en-CA"/>
        </w:rPr>
      </w:pPr>
      <w:r w:rsidRPr="001A5500">
        <w:rPr>
          <w:rStyle w:val="Appelnotedebasdep"/>
          <w:lang w:val="en-CA"/>
        </w:rPr>
        <w:footnoteRef/>
      </w:r>
      <w:r w:rsidRPr="001A5500">
        <w:rPr>
          <w:lang w:val="en-CA"/>
        </w:rPr>
        <w:t xml:space="preserve">  </w:t>
      </w:r>
      <w:r w:rsidRPr="001A5500">
        <w:rPr>
          <w:lang w:val="en-CA"/>
        </w:rPr>
        <w:tab/>
        <w:t xml:space="preserve">Henri Brun </w:t>
      </w:r>
      <w:r w:rsidR="001A5500" w:rsidRPr="001A5500">
        <w:rPr>
          <w:lang w:val="en-CA"/>
        </w:rPr>
        <w:t>and</w:t>
      </w:r>
      <w:r w:rsidR="00EA72B3">
        <w:rPr>
          <w:lang w:val="en-CA"/>
        </w:rPr>
        <w:t xml:space="preserve"> </w:t>
      </w:r>
      <w:r w:rsidRPr="001A5500">
        <w:rPr>
          <w:lang w:val="en-CA"/>
        </w:rPr>
        <w:t>Guy Tremblay, </w:t>
      </w:r>
      <w:r w:rsidRPr="001A5500">
        <w:rPr>
          <w:i/>
          <w:iCs/>
          <w:lang w:val="en-CA"/>
        </w:rPr>
        <w:t>Droit constitutionnel</w:t>
      </w:r>
      <w:r w:rsidRPr="001A5500">
        <w:rPr>
          <w:lang w:val="en-CA"/>
        </w:rPr>
        <w:t xml:space="preserve">, </w:t>
      </w:r>
      <w:r w:rsidR="001A5500" w:rsidRPr="001A5500">
        <w:rPr>
          <w:lang w:val="en-CA"/>
        </w:rPr>
        <w:t>4th ed</w:t>
      </w:r>
      <w:r w:rsidRPr="001A5500">
        <w:rPr>
          <w:lang w:val="en-CA"/>
        </w:rPr>
        <w:t xml:space="preserve">., Cowansville, Yvon Blais, 2002, p. 815 </w:t>
      </w:r>
      <w:r w:rsidR="001A5500" w:rsidRPr="001A5500">
        <w:rPr>
          <w:lang w:val="en-CA"/>
        </w:rPr>
        <w:t>stated</w:t>
      </w:r>
      <w:r w:rsidRPr="001A5500">
        <w:rPr>
          <w:lang w:val="en-CA"/>
        </w:rPr>
        <w:t xml:space="preserve">: </w:t>
      </w:r>
      <w:r w:rsidR="001A5500" w:rsidRPr="001A5500">
        <w:rPr>
          <w:lang w:val="en-CA"/>
        </w:rPr>
        <w:t>[</w:t>
      </w:r>
      <w:r w:rsidR="001A5500" w:rsidRPr="001A5500">
        <w:rPr>
          <w:smallCaps/>
          <w:lang w:val="en-CA"/>
        </w:rPr>
        <w:t>translation</w:t>
      </w:r>
      <w:r w:rsidR="001A5500" w:rsidRPr="001A5500">
        <w:rPr>
          <w:lang w:val="en-CA"/>
        </w:rPr>
        <w:t xml:space="preserve">] </w:t>
      </w:r>
      <w:r w:rsidR="001A5500">
        <w:rPr>
          <w:lang w:val="en-CA"/>
        </w:rPr>
        <w:t>“Nor can judges be compelled to testify about the reasons guiding their decisions. Their deliberations are confidential.</w:t>
      </w:r>
      <w:r w:rsidRPr="001A5500">
        <w:rPr>
          <w:lang w:val="en-CA"/>
        </w:rPr>
        <w:t xml:space="preserve"> […] </w:t>
      </w:r>
      <w:r w:rsidR="001A5500">
        <w:rPr>
          <w:lang w:val="en-CA"/>
        </w:rPr>
        <w:t xml:space="preserve">A judge may not waive this immunity and decide to testify voluntarily: </w:t>
      </w:r>
      <w:r w:rsidRPr="001A5500">
        <w:rPr>
          <w:i/>
          <w:iCs/>
          <w:lang w:val="en-CA"/>
        </w:rPr>
        <w:t>Promutuel Dorchester, société d’assurance générale c. Ferland</w:t>
      </w:r>
      <w:r w:rsidRPr="001A5500">
        <w:rPr>
          <w:lang w:val="en-CA"/>
        </w:rPr>
        <w:t>, 2000 CanLII 17747 (QC CS), REJB 2000-22465 (</w:t>
      </w:r>
      <w:r w:rsidR="001A5500">
        <w:rPr>
          <w:lang w:val="en-CA"/>
        </w:rPr>
        <w:t>S.C</w:t>
      </w:r>
      <w:r w:rsidRPr="001A5500">
        <w:rPr>
          <w:lang w:val="en-CA"/>
        </w:rPr>
        <w:t>.)</w:t>
      </w:r>
      <w:r w:rsidR="001A5500">
        <w:rPr>
          <w:lang w:val="en-CA"/>
        </w:rPr>
        <w:t>”.</w:t>
      </w:r>
      <w:r w:rsidRPr="001A5500">
        <w:rPr>
          <w:lang w:val="en-CA"/>
        </w:rPr>
        <w:t xml:space="preserve"> </w:t>
      </w:r>
      <w:r w:rsidR="003373A5">
        <w:rPr>
          <w:lang w:val="en-CA"/>
        </w:rPr>
        <w:t>The principle has changed little in the most recent edition of the work.</w:t>
      </w:r>
    </w:p>
  </w:footnote>
  <w:footnote w:id="32">
    <w:p w14:paraId="7A34DD38" w14:textId="4868F000" w:rsidR="00BC6488" w:rsidRPr="001A5500" w:rsidRDefault="00BC6488" w:rsidP="00BC6488">
      <w:pPr>
        <w:pStyle w:val="Notedebasdepage"/>
        <w:rPr>
          <w:lang w:val="en-CA"/>
        </w:rPr>
      </w:pPr>
      <w:r w:rsidRPr="001A5500">
        <w:rPr>
          <w:rStyle w:val="Appelnotedebasdep"/>
          <w:lang w:val="en-CA"/>
        </w:rPr>
        <w:footnoteRef/>
      </w:r>
      <w:r w:rsidRPr="001A5500">
        <w:rPr>
          <w:lang w:val="en-CA"/>
        </w:rPr>
        <w:t xml:space="preserve">  </w:t>
      </w:r>
      <w:r w:rsidRPr="001A5500">
        <w:rPr>
          <w:lang w:val="en-CA"/>
        </w:rPr>
        <w:tab/>
      </w:r>
      <w:r w:rsidRPr="00D64FCD">
        <w:rPr>
          <w:i/>
          <w:iCs/>
          <w:lang w:val="en-CA"/>
        </w:rPr>
        <w:t>R. v. K.J.M.J</w:t>
      </w:r>
      <w:r w:rsidRPr="00D64FCD">
        <w:rPr>
          <w:lang w:val="en-CA"/>
        </w:rPr>
        <w:t>., 2023 NSCA</w:t>
      </w:r>
      <w:r w:rsidR="00F92FA1">
        <w:rPr>
          <w:lang w:val="en-CA"/>
        </w:rPr>
        <w:t> </w:t>
      </w:r>
      <w:r w:rsidRPr="00D64FCD">
        <w:rPr>
          <w:lang w:val="en-CA"/>
        </w:rPr>
        <w:t>84</w:t>
      </w:r>
      <w:r w:rsidR="003373A5">
        <w:rPr>
          <w:lang w:val="en-CA"/>
        </w:rPr>
        <w:t xml:space="preserve">, </w:t>
      </w:r>
      <w:r w:rsidRPr="001A5500">
        <w:rPr>
          <w:lang w:val="en-CA"/>
        </w:rPr>
        <w:t>para. 44.</w:t>
      </w:r>
    </w:p>
  </w:footnote>
  <w:footnote w:id="33">
    <w:p w14:paraId="06CECFCC" w14:textId="5B3CD395" w:rsidR="00BC6488" w:rsidRPr="00B352FB" w:rsidRDefault="00BC6488" w:rsidP="00BC6488">
      <w:pPr>
        <w:pStyle w:val="Notedebasdepage"/>
        <w:rPr>
          <w:lang w:val="en-CA"/>
        </w:rPr>
      </w:pPr>
      <w:r w:rsidRPr="001A5500">
        <w:rPr>
          <w:rStyle w:val="Appelnotedebasdep"/>
          <w:lang w:val="en-CA"/>
        </w:rPr>
        <w:footnoteRef/>
      </w:r>
      <w:r w:rsidRPr="001A5500">
        <w:rPr>
          <w:lang w:val="en-CA"/>
        </w:rPr>
        <w:t xml:space="preserve">  </w:t>
      </w:r>
      <w:r w:rsidRPr="001A5500">
        <w:rPr>
          <w:lang w:val="en-CA"/>
        </w:rPr>
        <w:tab/>
      </w:r>
      <w:r w:rsidRPr="00D64FCD">
        <w:rPr>
          <w:i/>
          <w:iCs/>
          <w:lang w:val="en-CA"/>
        </w:rPr>
        <w:t>R. v</w:t>
      </w:r>
      <w:r w:rsidR="003B38A0">
        <w:rPr>
          <w:i/>
          <w:iCs/>
          <w:lang w:val="en-CA"/>
        </w:rPr>
        <w:t>.</w:t>
      </w:r>
      <w:r w:rsidRPr="00D64FCD">
        <w:rPr>
          <w:i/>
          <w:iCs/>
          <w:lang w:val="en-CA"/>
        </w:rPr>
        <w:t xml:space="preserve"> D’Souza</w:t>
      </w:r>
      <w:r w:rsidRPr="00D64FCD">
        <w:rPr>
          <w:lang w:val="en-CA"/>
        </w:rPr>
        <w:t>, 2017 ONSC 2231</w:t>
      </w:r>
      <w:r w:rsidR="003373A5">
        <w:rPr>
          <w:lang w:val="en-CA"/>
        </w:rPr>
        <w:t>,</w:t>
      </w:r>
      <w:r w:rsidRPr="001A5500">
        <w:rPr>
          <w:lang w:val="en-CA"/>
        </w:rPr>
        <w:t xml:space="preserve"> para. 15. See also, </w:t>
      </w:r>
      <w:r w:rsidRPr="001A5500">
        <w:rPr>
          <w:i/>
          <w:iCs/>
          <w:lang w:val="en-CA"/>
        </w:rPr>
        <w:t>Re Clendenning and Board of Police Commissioners for City of Belleville</w:t>
      </w:r>
      <w:r w:rsidRPr="001A5500">
        <w:rPr>
          <w:lang w:val="en-CA"/>
        </w:rPr>
        <w:t>, 1976 CanLII</w:t>
      </w:r>
      <w:r w:rsidR="00F92FA1">
        <w:rPr>
          <w:lang w:val="en-CA"/>
        </w:rPr>
        <w:t> </w:t>
      </w:r>
      <w:r w:rsidRPr="001A5500">
        <w:rPr>
          <w:lang w:val="en-CA"/>
        </w:rPr>
        <w:t>696 (ON SC)</w:t>
      </w:r>
      <w:r w:rsidR="003373A5">
        <w:rPr>
          <w:lang w:val="en-CA"/>
        </w:rPr>
        <w:t>, p.</w:t>
      </w:r>
      <w:r w:rsidR="00F92FA1">
        <w:rPr>
          <w:lang w:val="en-CA"/>
        </w:rPr>
        <w:t> </w:t>
      </w:r>
      <w:r w:rsidRPr="001A5500">
        <w:rPr>
          <w:lang w:val="en-CA"/>
        </w:rPr>
        <w:t>8.</w:t>
      </w:r>
    </w:p>
  </w:footnote>
  <w:footnote w:id="34">
    <w:p w14:paraId="761BEACC" w14:textId="3AC28456" w:rsidR="00BC6488" w:rsidRPr="00D16016" w:rsidRDefault="00BC6488" w:rsidP="00BC6488">
      <w:pPr>
        <w:pStyle w:val="Notedebasdepage"/>
        <w:rPr>
          <w:lang w:val="en-CA"/>
        </w:rPr>
      </w:pPr>
      <w:r w:rsidRPr="00B352FB">
        <w:rPr>
          <w:rStyle w:val="Appelnotedebasdep"/>
        </w:rPr>
        <w:footnoteRef/>
      </w:r>
      <w:r w:rsidRPr="00D16016">
        <w:rPr>
          <w:lang w:val="en-CA"/>
        </w:rPr>
        <w:t xml:space="preserve">  </w:t>
      </w:r>
      <w:r w:rsidRPr="00D16016">
        <w:rPr>
          <w:lang w:val="en-CA"/>
        </w:rPr>
        <w:tab/>
        <w:t xml:space="preserve">Judgment under appeal, </w:t>
      </w:r>
      <w:r w:rsidRPr="00D16016">
        <w:rPr>
          <w:i/>
          <w:iCs/>
          <w:lang w:val="en-CA"/>
        </w:rPr>
        <w:t>supra</w:t>
      </w:r>
      <w:r w:rsidRPr="00D16016">
        <w:rPr>
          <w:lang w:val="en-CA"/>
        </w:rPr>
        <w:t>, note</w:t>
      </w:r>
      <w:r w:rsidR="00F54E8E">
        <w:rPr>
          <w:lang w:val="en-CA"/>
        </w:rPr>
        <w:t> </w:t>
      </w:r>
      <w:r w:rsidR="00F54E8E">
        <w:rPr>
          <w:lang w:val="en-CA"/>
        </w:rPr>
        <w:fldChar w:fldCharType="begin"/>
      </w:r>
      <w:r w:rsidR="00F54E8E">
        <w:rPr>
          <w:lang w:val="en-CA"/>
        </w:rPr>
        <w:instrText xml:space="preserve"> NOTEREF _Ref229137260 \h </w:instrText>
      </w:r>
      <w:r w:rsidR="00F54E8E">
        <w:rPr>
          <w:lang w:val="en-CA"/>
        </w:rPr>
      </w:r>
      <w:r w:rsidR="00F54E8E">
        <w:rPr>
          <w:lang w:val="en-CA"/>
        </w:rPr>
        <w:fldChar w:fldCharType="separate"/>
      </w:r>
      <w:r w:rsidR="00F54E8E">
        <w:rPr>
          <w:lang w:val="en-CA"/>
        </w:rPr>
        <w:t>2</w:t>
      </w:r>
      <w:r w:rsidR="00F54E8E">
        <w:rPr>
          <w:lang w:val="en-CA"/>
        </w:rPr>
        <w:fldChar w:fldCharType="end"/>
      </w:r>
      <w:r w:rsidR="003373A5" w:rsidRPr="00D16016">
        <w:rPr>
          <w:lang w:val="en-CA"/>
        </w:rPr>
        <w:t>,</w:t>
      </w:r>
      <w:r w:rsidRPr="00D16016">
        <w:rPr>
          <w:lang w:val="en-CA"/>
        </w:rPr>
        <w:t xml:space="preserve"> para. 43.</w:t>
      </w:r>
    </w:p>
  </w:footnote>
  <w:footnote w:id="35">
    <w:p w14:paraId="5E53453D" w14:textId="05D0316D" w:rsidR="00BC6488" w:rsidRPr="00EA72B3" w:rsidRDefault="00BC6488" w:rsidP="00BC6488">
      <w:pPr>
        <w:pStyle w:val="Notedebasdepage"/>
        <w:rPr>
          <w:lang w:val="en-CA"/>
        </w:rPr>
      </w:pPr>
      <w:r w:rsidRPr="00B352FB">
        <w:rPr>
          <w:rStyle w:val="Appelnotedebasdep"/>
        </w:rPr>
        <w:footnoteRef/>
      </w:r>
      <w:r w:rsidRPr="00D16016">
        <w:rPr>
          <w:rFonts w:cs="Arial"/>
          <w:lang w:val="en-CA"/>
        </w:rPr>
        <w:t xml:space="preserve">  </w:t>
      </w:r>
      <w:r w:rsidRPr="00D16016">
        <w:rPr>
          <w:rFonts w:cs="Arial"/>
          <w:lang w:val="en-CA"/>
        </w:rPr>
        <w:tab/>
        <w:t xml:space="preserve">2021 </w:t>
      </w:r>
      <w:r w:rsidR="003373A5" w:rsidRPr="00D16016">
        <w:rPr>
          <w:rFonts w:cs="Arial"/>
          <w:lang w:val="en-CA"/>
        </w:rPr>
        <w:t>SCC</w:t>
      </w:r>
      <w:r w:rsidR="00F92FA1" w:rsidRPr="00D16016">
        <w:rPr>
          <w:rFonts w:cs="Arial"/>
          <w:lang w:val="en-CA"/>
        </w:rPr>
        <w:t> </w:t>
      </w:r>
      <w:r w:rsidRPr="00D16016">
        <w:rPr>
          <w:rFonts w:cs="Arial"/>
          <w:lang w:val="en-CA"/>
        </w:rPr>
        <w:t xml:space="preserve">23, [2021] 1 </w:t>
      </w:r>
      <w:r w:rsidR="006D1B88" w:rsidRPr="00D16016">
        <w:rPr>
          <w:rFonts w:cs="Arial"/>
          <w:lang w:val="en-CA"/>
        </w:rPr>
        <w:t>S.C.R.</w:t>
      </w:r>
      <w:r w:rsidRPr="00D16016">
        <w:rPr>
          <w:rFonts w:cs="Arial"/>
          <w:lang w:val="en-CA"/>
        </w:rPr>
        <w:t xml:space="preserve"> 899.</w:t>
      </w:r>
    </w:p>
  </w:footnote>
  <w:footnote w:id="36">
    <w:p w14:paraId="55E1FA36" w14:textId="667F95DD" w:rsidR="00BC6488" w:rsidRPr="00EA72B3" w:rsidRDefault="00BC6488" w:rsidP="00BC6488">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003373A5" w:rsidRPr="00EA72B3">
        <w:rPr>
          <w:lang w:val="en-CA"/>
        </w:rPr>
        <w:t>For example, the following paragraphs of the application in the CMQ case were supported by the affidavit of Chief Justice Lucie Rondeau dated August</w:t>
      </w:r>
      <w:r w:rsidR="00A00A6C">
        <w:rPr>
          <w:lang w:val="en-CA"/>
        </w:rPr>
        <w:t> </w:t>
      </w:r>
      <w:r w:rsidR="003373A5" w:rsidRPr="00EA72B3">
        <w:rPr>
          <w:lang w:val="en-CA"/>
        </w:rPr>
        <w:t xml:space="preserve">9, 2022: </w:t>
      </w:r>
    </w:p>
    <w:p w14:paraId="56731DAF" w14:textId="77777777" w:rsidR="00CB4976" w:rsidRPr="00EA72B3" w:rsidRDefault="00CB4976" w:rsidP="00BC6488">
      <w:pPr>
        <w:pStyle w:val="Notedebasdepage"/>
        <w:rPr>
          <w:lang w:val="en-CA"/>
        </w:rPr>
      </w:pPr>
    </w:p>
    <w:p w14:paraId="16439493" w14:textId="452EA4DA" w:rsidR="00CB4976" w:rsidRPr="00EA72B3" w:rsidRDefault="00CB4976" w:rsidP="00BC6488">
      <w:pPr>
        <w:pStyle w:val="Notedebasdepage"/>
        <w:rPr>
          <w:lang w:val="en-CA"/>
        </w:rPr>
      </w:pPr>
      <w:r w:rsidRPr="00EA72B3">
        <w:rPr>
          <w:lang w:val="en-CA"/>
        </w:rPr>
        <w:tab/>
      </w:r>
      <w:r w:rsidRPr="00EA72B3">
        <w:rPr>
          <w:lang w:val="en-CA"/>
        </w:rPr>
        <w:tab/>
        <w:t>[</w:t>
      </w:r>
      <w:r w:rsidRPr="00EA72B3">
        <w:rPr>
          <w:smallCaps/>
          <w:lang w:val="en-CA"/>
        </w:rPr>
        <w:t>translation</w:t>
      </w:r>
      <w:r w:rsidRPr="00EA72B3">
        <w:rPr>
          <w:lang w:val="en-CA"/>
        </w:rPr>
        <w:t>]</w:t>
      </w:r>
    </w:p>
    <w:p w14:paraId="48EAB224" w14:textId="77777777" w:rsidR="00CB4976" w:rsidRPr="00EA72B3" w:rsidRDefault="00CB4976" w:rsidP="00BC6488">
      <w:pPr>
        <w:pStyle w:val="Notedebasdepage"/>
        <w:rPr>
          <w:lang w:val="en-CA"/>
        </w:rPr>
      </w:pPr>
    </w:p>
    <w:p w14:paraId="585277B5" w14:textId="4C41E483" w:rsidR="00BC6488" w:rsidRPr="00EA72B3" w:rsidRDefault="00BC6488" w:rsidP="00BC6488">
      <w:pPr>
        <w:pStyle w:val="Notedebasdepage"/>
        <w:ind w:left="709" w:firstLine="0"/>
        <w:rPr>
          <w:sz w:val="18"/>
          <w:szCs w:val="18"/>
          <w:lang w:val="en-CA"/>
        </w:rPr>
      </w:pPr>
      <w:r w:rsidRPr="00EA72B3">
        <w:rPr>
          <w:sz w:val="18"/>
          <w:szCs w:val="18"/>
          <w:lang w:val="en-CA"/>
        </w:rPr>
        <w:t xml:space="preserve">16. </w:t>
      </w:r>
      <w:r w:rsidRPr="00EA72B3">
        <w:rPr>
          <w:sz w:val="18"/>
          <w:szCs w:val="18"/>
          <w:lang w:val="en-CA"/>
        </w:rPr>
        <w:tab/>
      </w:r>
      <w:r w:rsidR="00867330" w:rsidRPr="00EA72B3">
        <w:rPr>
          <w:sz w:val="18"/>
          <w:szCs w:val="18"/>
          <w:lang w:val="en-CA"/>
        </w:rPr>
        <w:t>Thus, the Challenged Provisions violate the fundamental principle of judicial independence and, more specifically, the guarantee of administrative independence to which the Court is entitled. They therefore result from an unlawful and invalid exercise of the power vested in provincial legislatures under section</w:t>
      </w:r>
      <w:r w:rsidR="00F92FA1">
        <w:rPr>
          <w:sz w:val="18"/>
          <w:szCs w:val="18"/>
          <w:lang w:val="en-CA"/>
        </w:rPr>
        <w:t> </w:t>
      </w:r>
      <w:r w:rsidR="00867330" w:rsidRPr="00EA72B3">
        <w:rPr>
          <w:sz w:val="18"/>
          <w:szCs w:val="18"/>
          <w:lang w:val="en-CA"/>
        </w:rPr>
        <w:t xml:space="preserve">92(14) of the </w:t>
      </w:r>
      <w:r w:rsidR="00867330" w:rsidRPr="00D16016">
        <w:rPr>
          <w:i/>
          <w:iCs/>
          <w:sz w:val="18"/>
          <w:szCs w:val="18"/>
          <w:lang w:val="en-CA"/>
        </w:rPr>
        <w:t>Constitution Act, 1867</w:t>
      </w:r>
      <w:r w:rsidR="00867330" w:rsidRPr="00EA72B3">
        <w:rPr>
          <w:sz w:val="18"/>
          <w:szCs w:val="18"/>
          <w:lang w:val="en-CA"/>
        </w:rPr>
        <w:t xml:space="preserve"> (the “</w:t>
      </w:r>
      <w:r w:rsidR="00867330" w:rsidRPr="00EA72B3">
        <w:rPr>
          <w:b/>
          <w:bCs/>
          <w:sz w:val="18"/>
          <w:szCs w:val="18"/>
          <w:lang w:val="en-CA"/>
        </w:rPr>
        <w:t>Constitution</w:t>
      </w:r>
      <w:r w:rsidR="00867330" w:rsidRPr="00EA72B3">
        <w:rPr>
          <w:sz w:val="18"/>
          <w:szCs w:val="18"/>
          <w:lang w:val="en-CA"/>
        </w:rPr>
        <w:t>”).</w:t>
      </w:r>
    </w:p>
    <w:p w14:paraId="6EC73BA2" w14:textId="77777777" w:rsidR="00BC6488" w:rsidRPr="00EA72B3" w:rsidRDefault="00BC6488" w:rsidP="00BC6488">
      <w:pPr>
        <w:pStyle w:val="Notedebasdepage"/>
        <w:ind w:left="709" w:firstLine="0"/>
        <w:rPr>
          <w:sz w:val="18"/>
          <w:szCs w:val="18"/>
          <w:lang w:val="en-CA"/>
        </w:rPr>
      </w:pPr>
      <w:r w:rsidRPr="00EA72B3">
        <w:rPr>
          <w:sz w:val="18"/>
          <w:szCs w:val="18"/>
          <w:lang w:val="en-CA"/>
        </w:rPr>
        <w:t>[…]</w:t>
      </w:r>
    </w:p>
    <w:p w14:paraId="6C47B0BB" w14:textId="77777777" w:rsidR="00BC6488" w:rsidRPr="00EA72B3" w:rsidRDefault="00BC6488" w:rsidP="00BC6488">
      <w:pPr>
        <w:pStyle w:val="Notedebasdepage"/>
        <w:rPr>
          <w:sz w:val="18"/>
          <w:szCs w:val="18"/>
          <w:lang w:val="en-CA"/>
        </w:rPr>
      </w:pPr>
      <w:r w:rsidRPr="00EA72B3">
        <w:rPr>
          <w:sz w:val="18"/>
          <w:szCs w:val="18"/>
          <w:lang w:val="en-CA"/>
        </w:rPr>
        <w:tab/>
      </w:r>
      <w:r w:rsidRPr="00EA72B3">
        <w:rPr>
          <w:sz w:val="18"/>
          <w:szCs w:val="18"/>
          <w:lang w:val="en-CA"/>
        </w:rPr>
        <w:tab/>
      </w:r>
    </w:p>
    <w:p w14:paraId="1553F1F1" w14:textId="6EC0DF2D" w:rsidR="00BC6488" w:rsidRPr="00EA72B3" w:rsidRDefault="00BC6488" w:rsidP="00BC6488">
      <w:pPr>
        <w:pStyle w:val="Notedebasdepage"/>
        <w:ind w:left="709" w:firstLine="0"/>
        <w:rPr>
          <w:sz w:val="18"/>
          <w:szCs w:val="18"/>
          <w:lang w:val="en-CA"/>
        </w:rPr>
      </w:pPr>
      <w:r w:rsidRPr="00EA72B3">
        <w:rPr>
          <w:sz w:val="18"/>
          <w:szCs w:val="18"/>
          <w:lang w:val="en-CA"/>
        </w:rPr>
        <w:t xml:space="preserve">225. </w:t>
      </w:r>
      <w:r w:rsidRPr="00EA72B3">
        <w:rPr>
          <w:sz w:val="18"/>
          <w:szCs w:val="18"/>
          <w:lang w:val="en-CA"/>
        </w:rPr>
        <w:tab/>
      </w:r>
      <w:r w:rsidR="00867330" w:rsidRPr="00EA72B3">
        <w:rPr>
          <w:sz w:val="18"/>
          <w:szCs w:val="18"/>
          <w:lang w:val="en-CA"/>
        </w:rPr>
        <w:t>Through legislation, the Minister granted himself the powers he perceived to be lacking under the previous regime to gain complete control over the selection and appointment process, to the point of disregarding the needs of the Court as expressed by the Chief Ju</w:t>
      </w:r>
      <w:r w:rsidR="00593ED9" w:rsidRPr="00EA72B3">
        <w:rPr>
          <w:sz w:val="18"/>
          <w:szCs w:val="18"/>
          <w:lang w:val="en-CA"/>
        </w:rPr>
        <w:t>dge</w:t>
      </w:r>
      <w:r w:rsidR="00867330" w:rsidRPr="00EA72B3">
        <w:rPr>
          <w:sz w:val="18"/>
          <w:szCs w:val="18"/>
          <w:lang w:val="en-CA"/>
        </w:rPr>
        <w:t xml:space="preserve"> and the Associate Chief Ju</w:t>
      </w:r>
      <w:r w:rsidR="00593ED9" w:rsidRPr="00EA72B3">
        <w:rPr>
          <w:sz w:val="18"/>
          <w:szCs w:val="18"/>
          <w:lang w:val="en-CA"/>
        </w:rPr>
        <w:t>dge</w:t>
      </w:r>
      <w:r w:rsidR="00867330" w:rsidRPr="00EA72B3">
        <w:rPr>
          <w:sz w:val="18"/>
          <w:szCs w:val="18"/>
          <w:lang w:val="en-CA"/>
        </w:rPr>
        <w:t>, as well as the necessary relationship between the selection and appointment of new judges and the needs of the Court.</w:t>
      </w:r>
    </w:p>
    <w:p w14:paraId="507575B4" w14:textId="77777777" w:rsidR="00BC6488" w:rsidRPr="00EA72B3" w:rsidRDefault="00BC6488" w:rsidP="00BC6488">
      <w:pPr>
        <w:pStyle w:val="Notedebasdepage"/>
        <w:ind w:left="709" w:firstLine="0"/>
        <w:rPr>
          <w:sz w:val="18"/>
          <w:szCs w:val="18"/>
          <w:lang w:val="en-CA"/>
        </w:rPr>
      </w:pPr>
    </w:p>
    <w:p w14:paraId="118A40D3" w14:textId="359968AE" w:rsidR="00BC6488" w:rsidRPr="00EA72B3" w:rsidRDefault="00BC6488" w:rsidP="00BC6488">
      <w:pPr>
        <w:pStyle w:val="Notedebasdepage"/>
        <w:ind w:left="709" w:firstLine="0"/>
        <w:rPr>
          <w:sz w:val="18"/>
          <w:szCs w:val="18"/>
          <w:lang w:val="en-CA"/>
        </w:rPr>
      </w:pPr>
      <w:r w:rsidRPr="00EA72B3">
        <w:rPr>
          <w:sz w:val="18"/>
          <w:szCs w:val="18"/>
          <w:lang w:val="en-CA"/>
        </w:rPr>
        <w:t xml:space="preserve">226. </w:t>
      </w:r>
      <w:r w:rsidRPr="00EA72B3">
        <w:rPr>
          <w:sz w:val="18"/>
          <w:szCs w:val="18"/>
          <w:lang w:val="en-CA"/>
        </w:rPr>
        <w:tab/>
      </w:r>
      <w:r w:rsidR="008950C5" w:rsidRPr="00EA72B3">
        <w:rPr>
          <w:sz w:val="18"/>
          <w:szCs w:val="18"/>
          <w:lang w:val="en-CA"/>
        </w:rPr>
        <w:t>This control amounts to a takeover of the Court’s management and administration and a violation of institutional judicial independence.</w:t>
      </w:r>
    </w:p>
    <w:p w14:paraId="300B74D8" w14:textId="77777777" w:rsidR="008950C5" w:rsidRPr="00EA72B3" w:rsidRDefault="008950C5" w:rsidP="00BC6488">
      <w:pPr>
        <w:pStyle w:val="Notedebasdepage"/>
        <w:ind w:left="709" w:firstLine="0"/>
        <w:rPr>
          <w:sz w:val="18"/>
          <w:szCs w:val="18"/>
          <w:lang w:val="en-CA"/>
        </w:rPr>
      </w:pPr>
    </w:p>
    <w:p w14:paraId="7FE589CF" w14:textId="0A7B07AF" w:rsidR="00BC6488" w:rsidRPr="00EA72B3" w:rsidRDefault="00BC6488" w:rsidP="00BC6488">
      <w:pPr>
        <w:pStyle w:val="Notedebasdepage"/>
        <w:ind w:left="709" w:firstLine="0"/>
        <w:rPr>
          <w:sz w:val="18"/>
          <w:szCs w:val="18"/>
          <w:lang w:val="en-CA"/>
        </w:rPr>
      </w:pPr>
      <w:r w:rsidRPr="00EA72B3">
        <w:rPr>
          <w:sz w:val="18"/>
          <w:szCs w:val="18"/>
          <w:lang w:val="en-CA"/>
        </w:rPr>
        <w:t xml:space="preserve">227. </w:t>
      </w:r>
      <w:r w:rsidRPr="00EA72B3">
        <w:rPr>
          <w:sz w:val="18"/>
          <w:szCs w:val="18"/>
          <w:lang w:val="en-CA"/>
        </w:rPr>
        <w:tab/>
      </w:r>
      <w:r w:rsidR="008950C5" w:rsidRPr="00EA72B3">
        <w:rPr>
          <w:sz w:val="18"/>
          <w:szCs w:val="18"/>
          <w:lang w:val="en-CA"/>
        </w:rPr>
        <w:t xml:space="preserve">The </w:t>
      </w:r>
      <w:r w:rsidR="006775BE">
        <w:rPr>
          <w:sz w:val="18"/>
          <w:szCs w:val="18"/>
          <w:lang w:val="en-CA"/>
        </w:rPr>
        <w:t>A</w:t>
      </w:r>
      <w:r w:rsidR="008950C5" w:rsidRPr="00EA72B3">
        <w:rPr>
          <w:sz w:val="18"/>
          <w:szCs w:val="18"/>
          <w:lang w:val="en-CA"/>
        </w:rPr>
        <w:t>pplicants submit that the</w:t>
      </w:r>
      <w:r w:rsidRPr="00EA72B3">
        <w:rPr>
          <w:sz w:val="18"/>
          <w:szCs w:val="18"/>
          <w:lang w:val="en-CA"/>
        </w:rPr>
        <w:t xml:space="preserve"> </w:t>
      </w:r>
      <w:r w:rsidR="008950C5" w:rsidRPr="00EA72B3">
        <w:rPr>
          <w:sz w:val="18"/>
          <w:szCs w:val="18"/>
          <w:lang w:val="en-CA"/>
        </w:rPr>
        <w:t>Challenged Provisions violate the principle of judicial independence, thereby violating the province’s power over the administration of justice under section</w:t>
      </w:r>
      <w:r w:rsidR="00F92FA1">
        <w:rPr>
          <w:sz w:val="18"/>
          <w:szCs w:val="18"/>
          <w:lang w:val="en-CA"/>
        </w:rPr>
        <w:t> </w:t>
      </w:r>
      <w:r w:rsidR="008950C5" w:rsidRPr="00EA72B3">
        <w:rPr>
          <w:sz w:val="18"/>
          <w:szCs w:val="18"/>
          <w:lang w:val="en-CA"/>
        </w:rPr>
        <w:t xml:space="preserve">92(14) of the </w:t>
      </w:r>
      <w:r w:rsidR="008950C5" w:rsidRPr="00D16016">
        <w:rPr>
          <w:sz w:val="18"/>
          <w:szCs w:val="18"/>
          <w:lang w:val="en-CA"/>
        </w:rPr>
        <w:t>Constitution</w:t>
      </w:r>
      <w:r w:rsidR="008950C5" w:rsidRPr="00EA72B3">
        <w:rPr>
          <w:sz w:val="18"/>
          <w:szCs w:val="18"/>
          <w:lang w:val="en-CA"/>
        </w:rPr>
        <w:t>, and that they must therefore be declared invalid and inoperative.</w:t>
      </w:r>
    </w:p>
    <w:p w14:paraId="23E4BC04" w14:textId="77777777" w:rsidR="00BC6488" w:rsidRPr="00EA72B3" w:rsidRDefault="00BC6488" w:rsidP="00BC6488">
      <w:pPr>
        <w:pStyle w:val="Notedebasdepage"/>
        <w:ind w:left="709" w:firstLine="0"/>
        <w:rPr>
          <w:sz w:val="18"/>
          <w:szCs w:val="18"/>
          <w:lang w:val="en-CA"/>
        </w:rPr>
      </w:pPr>
    </w:p>
    <w:p w14:paraId="190DBBFF" w14:textId="77777777" w:rsidR="00BC6488" w:rsidRPr="00EA72B3" w:rsidRDefault="00BC6488" w:rsidP="00BC6488">
      <w:pPr>
        <w:pStyle w:val="Notedebasdepage"/>
        <w:ind w:left="709" w:firstLine="0"/>
        <w:rPr>
          <w:sz w:val="18"/>
          <w:szCs w:val="18"/>
          <w:lang w:val="en-CA"/>
        </w:rPr>
      </w:pPr>
      <w:r w:rsidRPr="00EA72B3">
        <w:rPr>
          <w:sz w:val="18"/>
          <w:szCs w:val="18"/>
          <w:lang w:val="en-CA"/>
        </w:rPr>
        <w:t>[…]</w:t>
      </w:r>
    </w:p>
    <w:p w14:paraId="3EF1F79C" w14:textId="77777777" w:rsidR="00BC6488" w:rsidRPr="00EA72B3" w:rsidRDefault="00BC6488" w:rsidP="00BC6488">
      <w:pPr>
        <w:pStyle w:val="Notedebasdepage"/>
        <w:ind w:left="709" w:firstLine="0"/>
        <w:rPr>
          <w:sz w:val="18"/>
          <w:szCs w:val="18"/>
          <w:lang w:val="en-CA"/>
        </w:rPr>
      </w:pPr>
    </w:p>
    <w:p w14:paraId="63B4EA92" w14:textId="475EB0B2" w:rsidR="00BC6488" w:rsidRPr="00EA72B3" w:rsidRDefault="00BC6488" w:rsidP="00BC6488">
      <w:pPr>
        <w:pStyle w:val="Notedebasdepage"/>
        <w:ind w:left="709" w:firstLine="0"/>
        <w:rPr>
          <w:sz w:val="18"/>
          <w:szCs w:val="18"/>
          <w:lang w:val="en-CA"/>
        </w:rPr>
      </w:pPr>
      <w:r w:rsidRPr="00EA72B3">
        <w:rPr>
          <w:sz w:val="18"/>
          <w:szCs w:val="18"/>
          <w:lang w:val="en-CA"/>
        </w:rPr>
        <w:t xml:space="preserve">299. </w:t>
      </w:r>
      <w:r w:rsidRPr="00EA72B3">
        <w:rPr>
          <w:sz w:val="18"/>
          <w:szCs w:val="18"/>
          <w:lang w:val="en-CA"/>
        </w:rPr>
        <w:tab/>
      </w:r>
      <w:r w:rsidR="008950C5" w:rsidRPr="00EA72B3">
        <w:rPr>
          <w:sz w:val="18"/>
          <w:szCs w:val="18"/>
          <w:lang w:val="en-CA"/>
        </w:rPr>
        <w:t>The protection of judicial independence thus requires the annulment of the sections at issue in this appeal and a return to the Prior version of the Regulation</w:t>
      </w:r>
      <w:r w:rsidRPr="00EA72B3">
        <w:rPr>
          <w:sz w:val="18"/>
          <w:szCs w:val="18"/>
          <w:lang w:val="en-CA"/>
        </w:rPr>
        <w:t xml:space="preserve">, </w:t>
      </w:r>
      <w:r w:rsidR="00CB4976" w:rsidRPr="00EA72B3">
        <w:rPr>
          <w:sz w:val="18"/>
          <w:szCs w:val="18"/>
          <w:lang w:val="en-CA"/>
        </w:rPr>
        <w:t>which was specifically created to safeguard judicial independence and ensure that the Court’s needs are met.</w:t>
      </w:r>
    </w:p>
  </w:footnote>
  <w:footnote w:id="37">
    <w:p w14:paraId="51279748" w14:textId="0D027591" w:rsidR="00BC6488" w:rsidRPr="00B352FB" w:rsidRDefault="00BC6488" w:rsidP="00BC6488">
      <w:pPr>
        <w:pStyle w:val="Notedebasdepage"/>
      </w:pPr>
      <w:r w:rsidRPr="00EA72B3">
        <w:rPr>
          <w:rStyle w:val="Appelnotedebasdep"/>
          <w:lang w:val="en-CA"/>
        </w:rPr>
        <w:footnoteRef/>
      </w:r>
      <w:r w:rsidRPr="00D16016">
        <w:t xml:space="preserve">  </w:t>
      </w:r>
      <w:r w:rsidRPr="00D16016">
        <w:tab/>
      </w:r>
      <w:r w:rsidRPr="00D16016">
        <w:rPr>
          <w:i/>
          <w:iCs/>
        </w:rPr>
        <w:t>Lac d’Amiante du Québec Ltée v. 2858-0702 Québec Inc</w:t>
      </w:r>
      <w:r w:rsidRPr="00D16016">
        <w:t>., 2001 SCC 51.</w:t>
      </w:r>
    </w:p>
  </w:footnote>
  <w:footnote w:id="38">
    <w:p w14:paraId="170F430B" w14:textId="1630F89D" w:rsidR="007F4756" w:rsidRPr="00EA72B3" w:rsidRDefault="00294345" w:rsidP="007F4756">
      <w:pPr>
        <w:pStyle w:val="Notedebasdepage"/>
        <w:rPr>
          <w:lang w:val="en-CA"/>
        </w:rPr>
      </w:pPr>
      <w:r>
        <w:rPr>
          <w:rStyle w:val="Appelnotedebasdep"/>
        </w:rPr>
        <w:footnoteRef/>
      </w:r>
      <w:r w:rsidRPr="00D16016">
        <w:rPr>
          <w:lang w:val="en-CA"/>
        </w:rPr>
        <w:t xml:space="preserve"> </w:t>
      </w:r>
      <w:r w:rsidRPr="00EA72B3">
        <w:rPr>
          <w:lang w:val="en-CA"/>
        </w:rPr>
        <w:tab/>
      </w:r>
      <w:r w:rsidR="006D1B88" w:rsidRPr="00EA72B3">
        <w:rPr>
          <w:i/>
          <w:iCs/>
          <w:lang w:val="en-CA"/>
        </w:rPr>
        <w:t xml:space="preserve">Canadian Charter of Rights and Freedoms, </w:t>
      </w:r>
      <w:r w:rsidR="006D1B88" w:rsidRPr="00EA72B3">
        <w:rPr>
          <w:lang w:val="en-CA"/>
        </w:rPr>
        <w:t>Part I of the</w:t>
      </w:r>
      <w:r w:rsidR="006D1B88" w:rsidRPr="00EA72B3">
        <w:rPr>
          <w:i/>
          <w:iCs/>
          <w:lang w:val="en-CA"/>
        </w:rPr>
        <w:t xml:space="preserve"> Constitution Act, 1982, </w:t>
      </w:r>
      <w:r w:rsidR="006D1B88" w:rsidRPr="00EA72B3">
        <w:rPr>
          <w:lang w:val="en-CA"/>
        </w:rPr>
        <w:t xml:space="preserve">being </w:t>
      </w:r>
      <w:r w:rsidR="006D1B88" w:rsidRPr="00D16016">
        <w:rPr>
          <w:lang w:val="en-CA"/>
        </w:rPr>
        <w:t>Schedule B</w:t>
      </w:r>
      <w:r w:rsidR="006D1B88" w:rsidRPr="00EA72B3">
        <w:rPr>
          <w:lang w:val="en-CA"/>
        </w:rPr>
        <w:t xml:space="preserve"> </w:t>
      </w:r>
      <w:r w:rsidR="009568BF">
        <w:rPr>
          <w:lang w:val="en-CA"/>
        </w:rPr>
        <w:t>of</w:t>
      </w:r>
      <w:r w:rsidR="006D1B88" w:rsidRPr="00EA72B3">
        <w:rPr>
          <w:lang w:val="en-CA"/>
        </w:rPr>
        <w:t xml:space="preserve"> the</w:t>
      </w:r>
      <w:r w:rsidR="006D1B88" w:rsidRPr="00EA72B3">
        <w:rPr>
          <w:i/>
          <w:iCs/>
          <w:lang w:val="en-CA"/>
        </w:rPr>
        <w:t xml:space="preserve"> Canada Act</w:t>
      </w:r>
      <w:r w:rsidR="00F92FA1">
        <w:rPr>
          <w:i/>
          <w:iCs/>
          <w:lang w:val="en-CA"/>
        </w:rPr>
        <w:t> </w:t>
      </w:r>
      <w:r w:rsidR="006D1B88" w:rsidRPr="00EA72B3">
        <w:rPr>
          <w:i/>
          <w:iCs/>
          <w:lang w:val="en-CA"/>
        </w:rPr>
        <w:t xml:space="preserve">1982 </w:t>
      </w:r>
      <w:r w:rsidR="006D1B88" w:rsidRPr="009568BF">
        <w:rPr>
          <w:lang w:val="en-CA"/>
        </w:rPr>
        <w:t>(UK),</w:t>
      </w:r>
      <w:r w:rsidR="006D1B88" w:rsidRPr="00EA72B3">
        <w:rPr>
          <w:lang w:val="en-CA"/>
        </w:rPr>
        <w:t xml:space="preserve"> 1982, c</w:t>
      </w:r>
      <w:r w:rsidR="009568BF">
        <w:rPr>
          <w:lang w:val="en-CA"/>
        </w:rPr>
        <w:t>.</w:t>
      </w:r>
      <w:r w:rsidR="006D1B88" w:rsidRPr="00EA72B3">
        <w:rPr>
          <w:lang w:val="en-CA"/>
        </w:rPr>
        <w:t xml:space="preserve"> 11. </w:t>
      </w:r>
    </w:p>
  </w:footnote>
  <w:footnote w:id="39">
    <w:p w14:paraId="7CDF6AE6" w14:textId="753668D3" w:rsidR="00274132" w:rsidRPr="00EA72B3" w:rsidRDefault="00274132" w:rsidP="00274132">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MacKeigan v. Hickman</w:t>
      </w:r>
      <w:r w:rsidRPr="00EA72B3">
        <w:rPr>
          <w:lang w:val="en-CA"/>
        </w:rPr>
        <w:t>, [1989] 2 S.C.R.</w:t>
      </w:r>
      <w:r w:rsidR="00F92FA1">
        <w:rPr>
          <w:lang w:val="en-CA"/>
        </w:rPr>
        <w:t> </w:t>
      </w:r>
      <w:r w:rsidRPr="00EA72B3">
        <w:rPr>
          <w:lang w:val="en-CA"/>
        </w:rPr>
        <w:t>796, 825.</w:t>
      </w:r>
    </w:p>
  </w:footnote>
  <w:footnote w:id="40">
    <w:p w14:paraId="05CD9D1A" w14:textId="646DB045" w:rsidR="00274132" w:rsidRPr="00EA72B3" w:rsidRDefault="00274132" w:rsidP="00274132">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Valente v. The Queen</w:t>
      </w:r>
      <w:r w:rsidRPr="00EA72B3">
        <w:rPr>
          <w:lang w:val="en-CA"/>
        </w:rPr>
        <w:t>, [1985] 2 S.C.R.</w:t>
      </w:r>
      <w:r w:rsidR="00F92FA1">
        <w:rPr>
          <w:lang w:val="en-CA"/>
        </w:rPr>
        <w:t> </w:t>
      </w:r>
      <w:r w:rsidRPr="00EA72B3">
        <w:rPr>
          <w:lang w:val="en-CA"/>
        </w:rPr>
        <w:t>673, 694 and 704.</w:t>
      </w:r>
    </w:p>
  </w:footnote>
  <w:footnote w:id="41">
    <w:p w14:paraId="56CF4CBF" w14:textId="74AB39C7" w:rsidR="007F4756" w:rsidRPr="00EA72B3" w:rsidRDefault="00294345" w:rsidP="00C14CBB">
      <w:pPr>
        <w:pStyle w:val="Notedebasdepage"/>
        <w:jc w:val="left"/>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Id</w:t>
      </w:r>
      <w:r w:rsidRPr="00EA72B3">
        <w:rPr>
          <w:lang w:val="en-CA"/>
        </w:rPr>
        <w:t>., p.</w:t>
      </w:r>
      <w:r w:rsidR="00F92FA1">
        <w:rPr>
          <w:lang w:val="en-CA"/>
        </w:rPr>
        <w:t> </w:t>
      </w:r>
      <w:r w:rsidRPr="00EA72B3">
        <w:rPr>
          <w:lang w:val="en-CA"/>
        </w:rPr>
        <w:t xml:space="preserve">712; </w:t>
      </w:r>
      <w:r w:rsidR="008375C2" w:rsidRPr="00EA72B3">
        <w:rPr>
          <w:lang w:val="en-CA"/>
        </w:rPr>
        <w:t xml:space="preserve">cited with approval by </w:t>
      </w:r>
      <w:r w:rsidRPr="00EA72B3">
        <w:rPr>
          <w:lang w:val="en-CA"/>
        </w:rPr>
        <w:t>Lamer</w:t>
      </w:r>
      <w:r w:rsidR="001B5574">
        <w:rPr>
          <w:lang w:val="en-CA"/>
        </w:rPr>
        <w:t xml:space="preserve">, C.J., </w:t>
      </w:r>
      <w:r w:rsidR="008375C2" w:rsidRPr="00EA72B3">
        <w:rPr>
          <w:lang w:val="en-CA"/>
        </w:rPr>
        <w:t xml:space="preserve">in </w:t>
      </w:r>
      <w:r w:rsidR="008375C2" w:rsidRPr="00EA72B3">
        <w:rPr>
          <w:i/>
          <w:iCs/>
          <w:lang w:val="en-CA"/>
        </w:rPr>
        <w:t>Ref re Remuneration of Judges of the Prov. Court of P.E.I.; Ref re Independence and Impartiality of Judges of the Prov. Court of P.E.I</w:t>
      </w:r>
      <w:r w:rsidR="008375C2" w:rsidRPr="00EA72B3">
        <w:rPr>
          <w:lang w:val="en-CA"/>
        </w:rPr>
        <w:t>.</w:t>
      </w:r>
      <w:r w:rsidR="006D1B88" w:rsidRPr="00EA72B3">
        <w:rPr>
          <w:i/>
          <w:iCs/>
          <w:lang w:val="en-CA"/>
        </w:rPr>
        <w:t>,</w:t>
      </w:r>
      <w:r w:rsidRPr="00EA72B3">
        <w:rPr>
          <w:lang w:val="en-CA"/>
        </w:rPr>
        <w:t xml:space="preserve"> [1997] 3 </w:t>
      </w:r>
      <w:r w:rsidR="006D1B88" w:rsidRPr="00EA72B3">
        <w:rPr>
          <w:lang w:val="en-CA"/>
        </w:rPr>
        <w:t>S.C.R.</w:t>
      </w:r>
      <w:r w:rsidR="00F92FA1">
        <w:rPr>
          <w:lang w:val="en-CA"/>
        </w:rPr>
        <w:t> </w:t>
      </w:r>
      <w:r w:rsidRPr="00EA72B3">
        <w:rPr>
          <w:lang w:val="en-CA"/>
        </w:rPr>
        <w:t xml:space="preserve">3, 81; </w:t>
      </w:r>
      <w:r w:rsidR="006D1B88" w:rsidRPr="00EA72B3">
        <w:rPr>
          <w:lang w:val="en-CA"/>
        </w:rPr>
        <w:t>f</w:t>
      </w:r>
      <w:r w:rsidR="00274132" w:rsidRPr="00EA72B3">
        <w:rPr>
          <w:lang w:val="en-CA"/>
        </w:rPr>
        <w:t>o</w:t>
      </w:r>
      <w:r w:rsidR="006D1B88" w:rsidRPr="00EA72B3">
        <w:rPr>
          <w:lang w:val="en-CA"/>
        </w:rPr>
        <w:t>r a review of the principles</w:t>
      </w:r>
      <w:r w:rsidR="009568BF" w:rsidRPr="009568BF">
        <w:rPr>
          <w:lang w:val="en-CA"/>
        </w:rPr>
        <w:t xml:space="preserve"> </w:t>
      </w:r>
      <w:r w:rsidR="009568BF" w:rsidRPr="00EA72B3">
        <w:rPr>
          <w:lang w:val="en-CA"/>
        </w:rPr>
        <w:t>see also,</w:t>
      </w:r>
      <w:r w:rsidRPr="00EA72B3">
        <w:rPr>
          <w:lang w:val="en-CA"/>
        </w:rPr>
        <w:t xml:space="preserve"> </w:t>
      </w:r>
      <w:r w:rsidRPr="00EA72B3">
        <w:rPr>
          <w:i/>
          <w:iCs/>
          <w:lang w:val="en-CA"/>
        </w:rPr>
        <w:t xml:space="preserve">R. </w:t>
      </w:r>
      <w:r w:rsidR="006D1B88" w:rsidRPr="00EA72B3">
        <w:rPr>
          <w:i/>
          <w:iCs/>
          <w:lang w:val="en-CA"/>
        </w:rPr>
        <w:t>v</w:t>
      </w:r>
      <w:r w:rsidRPr="00EA72B3">
        <w:rPr>
          <w:i/>
          <w:iCs/>
          <w:lang w:val="en-CA"/>
        </w:rPr>
        <w:t>. Edwards</w:t>
      </w:r>
      <w:r w:rsidRPr="00EA72B3">
        <w:rPr>
          <w:lang w:val="en-CA"/>
        </w:rPr>
        <w:t xml:space="preserve">, 2024 </w:t>
      </w:r>
      <w:r w:rsidR="006D1B88" w:rsidRPr="00EA72B3">
        <w:rPr>
          <w:lang w:val="en-CA"/>
        </w:rPr>
        <w:t>SCC</w:t>
      </w:r>
      <w:r w:rsidR="00F92FA1">
        <w:rPr>
          <w:lang w:val="en-CA"/>
        </w:rPr>
        <w:t> </w:t>
      </w:r>
      <w:r w:rsidRPr="00EA72B3">
        <w:rPr>
          <w:lang w:val="en-CA"/>
        </w:rPr>
        <w:t>15, para. 116.</w:t>
      </w:r>
    </w:p>
  </w:footnote>
  <w:footnote w:id="42">
    <w:p w14:paraId="08E784B1" w14:textId="5E732F7D" w:rsidR="00274132" w:rsidRPr="00214347" w:rsidRDefault="00274132" w:rsidP="00274132">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MacKeigan v. Hickman</w:t>
      </w:r>
      <w:r w:rsidRPr="00EA72B3">
        <w:rPr>
          <w:lang w:val="en-CA"/>
        </w:rPr>
        <w:t xml:space="preserve">, </w:t>
      </w:r>
      <w:r w:rsidRPr="00EA72B3">
        <w:rPr>
          <w:i/>
          <w:iCs/>
          <w:lang w:val="en-CA"/>
        </w:rPr>
        <w:t>supra</w:t>
      </w:r>
      <w:r w:rsidRPr="00EA72B3">
        <w:rPr>
          <w:lang w:val="en-CA"/>
        </w:rPr>
        <w:t xml:space="preserve"> note</w:t>
      </w:r>
      <w:r w:rsidR="00F92FA1">
        <w:rPr>
          <w:lang w:val="en-CA"/>
        </w:rPr>
        <w:t> </w:t>
      </w:r>
      <w:r w:rsidRPr="00EA72B3">
        <w:rPr>
          <w:lang w:val="en-CA"/>
        </w:rPr>
        <w:fldChar w:fldCharType="begin"/>
      </w:r>
      <w:r w:rsidRPr="00EA72B3">
        <w:rPr>
          <w:lang w:val="en-CA"/>
        </w:rPr>
        <w:instrText xml:space="preserve"> NOTEREF _Ref222921531 \h </w:instrText>
      </w:r>
      <w:r w:rsidRPr="00EA72B3">
        <w:rPr>
          <w:lang w:val="en-CA"/>
        </w:rPr>
      </w:r>
      <w:r w:rsidRPr="00EA72B3">
        <w:rPr>
          <w:lang w:val="en-CA"/>
        </w:rPr>
        <w:fldChar w:fldCharType="separate"/>
      </w:r>
      <w:r w:rsidRPr="00EA72B3">
        <w:rPr>
          <w:lang w:val="en-CA"/>
        </w:rPr>
        <w:t>39</w:t>
      </w:r>
      <w:r w:rsidRPr="00EA72B3">
        <w:rPr>
          <w:lang w:val="en-CA"/>
        </w:rPr>
        <w:fldChar w:fldCharType="end"/>
      </w:r>
      <w:r w:rsidRPr="00EA72B3">
        <w:rPr>
          <w:lang w:val="en-CA"/>
        </w:rPr>
        <w:t>, pp. 832-833.</w:t>
      </w:r>
    </w:p>
  </w:footnote>
  <w:footnote w:id="43">
    <w:p w14:paraId="19EF8892" w14:textId="3DD0129F" w:rsidR="003E083D" w:rsidRPr="00EA72B3" w:rsidRDefault="003E083D" w:rsidP="003E083D">
      <w:pPr>
        <w:pStyle w:val="Notedebasdepage"/>
        <w:rPr>
          <w:lang w:val="en-CA"/>
        </w:rPr>
      </w:pPr>
      <w:r>
        <w:rPr>
          <w:rStyle w:val="Appelnotedebasdep"/>
        </w:rPr>
        <w:footnoteRef/>
      </w:r>
      <w:r w:rsidRPr="0029597E">
        <w:rPr>
          <w:lang w:val="en-CA"/>
        </w:rPr>
        <w:t xml:space="preserve"> </w:t>
      </w:r>
      <w:r w:rsidRPr="0029597E">
        <w:rPr>
          <w:lang w:val="en-CA"/>
        </w:rPr>
        <w:tab/>
      </w:r>
      <w:r w:rsidRPr="00EA72B3">
        <w:rPr>
          <w:i/>
          <w:iCs/>
          <w:lang w:val="en-CA"/>
        </w:rPr>
        <w:t>MacKeigan v. Hickman</w:t>
      </w:r>
      <w:r w:rsidRPr="00EA72B3">
        <w:rPr>
          <w:lang w:val="en-CA"/>
        </w:rPr>
        <w:t xml:space="preserve">, </w:t>
      </w:r>
      <w:r w:rsidRPr="00EA72B3">
        <w:rPr>
          <w:i/>
          <w:iCs/>
          <w:lang w:val="en-CA"/>
        </w:rPr>
        <w:t>supra</w:t>
      </w:r>
      <w:r w:rsidRPr="00EA72B3">
        <w:rPr>
          <w:lang w:val="en-CA"/>
        </w:rPr>
        <w:t xml:space="preserve"> note</w:t>
      </w:r>
      <w:r w:rsidR="00F92FA1">
        <w:rPr>
          <w:lang w:val="en-CA"/>
        </w:rPr>
        <w:t> </w:t>
      </w:r>
      <w:r w:rsidRPr="00EA72B3">
        <w:rPr>
          <w:lang w:val="en-CA"/>
        </w:rPr>
        <w:fldChar w:fldCharType="begin"/>
      </w:r>
      <w:r w:rsidRPr="00EA72B3">
        <w:rPr>
          <w:lang w:val="en-CA"/>
        </w:rPr>
        <w:instrText xml:space="preserve"> NOTEREF _Ref222921531 \h </w:instrText>
      </w:r>
      <w:r w:rsidRPr="00EA72B3">
        <w:rPr>
          <w:lang w:val="en-CA"/>
        </w:rPr>
      </w:r>
      <w:r w:rsidRPr="00EA72B3">
        <w:rPr>
          <w:lang w:val="en-CA"/>
        </w:rPr>
        <w:fldChar w:fldCharType="separate"/>
      </w:r>
      <w:r w:rsidRPr="00EA72B3">
        <w:rPr>
          <w:lang w:val="en-CA"/>
        </w:rPr>
        <w:t>39</w:t>
      </w:r>
      <w:r w:rsidRPr="00EA72B3">
        <w:rPr>
          <w:lang w:val="en-CA"/>
        </w:rPr>
        <w:fldChar w:fldCharType="end"/>
      </w:r>
      <w:r w:rsidRPr="00EA72B3">
        <w:rPr>
          <w:lang w:val="en-CA"/>
        </w:rPr>
        <w:t>, p.</w:t>
      </w:r>
      <w:r w:rsidR="00F92FA1">
        <w:rPr>
          <w:lang w:val="en-CA"/>
        </w:rPr>
        <w:t> </w:t>
      </w:r>
      <w:r w:rsidRPr="00EA72B3">
        <w:rPr>
          <w:lang w:val="en-CA"/>
        </w:rPr>
        <w:t>841.</w:t>
      </w:r>
    </w:p>
  </w:footnote>
  <w:footnote w:id="44">
    <w:p w14:paraId="09FDA7AB" w14:textId="37B1F1AF" w:rsidR="007F4756" w:rsidRPr="00EA72B3" w:rsidRDefault="00294345" w:rsidP="007F4756">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 xml:space="preserve">Beauregard </w:t>
      </w:r>
      <w:r w:rsidR="008375C2" w:rsidRPr="00EA72B3">
        <w:rPr>
          <w:i/>
          <w:iCs/>
          <w:lang w:val="en-CA"/>
        </w:rPr>
        <w:t>v</w:t>
      </w:r>
      <w:r w:rsidRPr="00EA72B3">
        <w:rPr>
          <w:i/>
          <w:iCs/>
          <w:lang w:val="en-CA"/>
        </w:rPr>
        <w:t>. Canada</w:t>
      </w:r>
      <w:r w:rsidRPr="00EA72B3">
        <w:rPr>
          <w:lang w:val="en-CA"/>
        </w:rPr>
        <w:t xml:space="preserve">, [1986] 2 </w:t>
      </w:r>
      <w:r w:rsidR="006D1B88" w:rsidRPr="00EA72B3">
        <w:rPr>
          <w:lang w:val="en-CA"/>
        </w:rPr>
        <w:t>S.C.R.</w:t>
      </w:r>
      <w:r w:rsidRPr="00EA72B3">
        <w:rPr>
          <w:lang w:val="en-CA"/>
        </w:rPr>
        <w:t xml:space="preserve"> 56,</w:t>
      </w:r>
      <w:r w:rsidR="00F54E8E">
        <w:rPr>
          <w:lang w:val="en-CA"/>
        </w:rPr>
        <w:t xml:space="preserve"> p. </w:t>
      </w:r>
      <w:r w:rsidRPr="00EA72B3">
        <w:rPr>
          <w:lang w:val="en-CA"/>
        </w:rPr>
        <w:t>69.</w:t>
      </w:r>
    </w:p>
  </w:footnote>
  <w:footnote w:id="45">
    <w:p w14:paraId="6315F8FA" w14:textId="3465A042" w:rsidR="007F4756" w:rsidRPr="00EA72B3" w:rsidRDefault="00294345" w:rsidP="008375C2">
      <w:pPr>
        <w:pStyle w:val="Notedebasdepage"/>
        <w:jc w:val="left"/>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 xml:space="preserve">MacKeigan </w:t>
      </w:r>
      <w:r w:rsidR="008375C2" w:rsidRPr="00EA72B3">
        <w:rPr>
          <w:i/>
          <w:iCs/>
          <w:lang w:val="en-CA"/>
        </w:rPr>
        <w:t>v</w:t>
      </w:r>
      <w:r w:rsidRPr="00EA72B3">
        <w:rPr>
          <w:i/>
          <w:iCs/>
          <w:lang w:val="en-CA"/>
        </w:rPr>
        <w:t>. Hickman</w:t>
      </w:r>
      <w:r w:rsidRPr="00EA72B3">
        <w:rPr>
          <w:lang w:val="en-CA"/>
        </w:rPr>
        <w:t xml:space="preserve">, </w:t>
      </w:r>
      <w:r w:rsidRPr="00EA72B3">
        <w:rPr>
          <w:i/>
          <w:iCs/>
          <w:lang w:val="en-CA"/>
        </w:rPr>
        <w:t>supra</w:t>
      </w:r>
      <w:r w:rsidRPr="00EA72B3">
        <w:rPr>
          <w:lang w:val="en-CA"/>
        </w:rPr>
        <w:t xml:space="preserve"> note</w:t>
      </w:r>
      <w:r w:rsidR="00F92FA1">
        <w:rPr>
          <w:lang w:val="en-CA"/>
        </w:rPr>
        <w:t> </w:t>
      </w:r>
      <w:r w:rsidR="001A6556" w:rsidRPr="00EA72B3">
        <w:rPr>
          <w:lang w:val="en-CA"/>
        </w:rPr>
        <w:fldChar w:fldCharType="begin"/>
      </w:r>
      <w:r w:rsidR="001A6556" w:rsidRPr="00EA72B3">
        <w:rPr>
          <w:lang w:val="en-CA"/>
        </w:rPr>
        <w:instrText xml:space="preserve"> NOTEREF _Ref222921531 \h </w:instrText>
      </w:r>
      <w:r w:rsidR="001A6556" w:rsidRPr="00EA72B3">
        <w:rPr>
          <w:lang w:val="en-CA"/>
        </w:rPr>
      </w:r>
      <w:r w:rsidR="001A6556" w:rsidRPr="00EA72B3">
        <w:rPr>
          <w:lang w:val="en-CA"/>
        </w:rPr>
        <w:fldChar w:fldCharType="separate"/>
      </w:r>
      <w:r w:rsidR="00EF57F9" w:rsidRPr="00EA72B3">
        <w:rPr>
          <w:lang w:val="en-CA"/>
        </w:rPr>
        <w:t>39</w:t>
      </w:r>
      <w:r w:rsidR="001A6556" w:rsidRPr="00EA72B3">
        <w:rPr>
          <w:lang w:val="en-CA"/>
        </w:rPr>
        <w:fldChar w:fldCharType="end"/>
      </w:r>
      <w:r w:rsidRPr="00EA72B3">
        <w:rPr>
          <w:lang w:val="en-CA"/>
        </w:rPr>
        <w:t>, p.</w:t>
      </w:r>
      <w:r w:rsidR="00F92FA1">
        <w:rPr>
          <w:lang w:val="en-CA"/>
        </w:rPr>
        <w:t> </w:t>
      </w:r>
      <w:r w:rsidRPr="00EA72B3">
        <w:rPr>
          <w:lang w:val="en-CA"/>
        </w:rPr>
        <w:t xml:space="preserve">825; </w:t>
      </w:r>
      <w:r w:rsidR="008375C2" w:rsidRPr="00EA72B3">
        <w:rPr>
          <w:lang w:val="en-CA"/>
        </w:rPr>
        <w:t>see also</w:t>
      </w:r>
      <w:r w:rsidRPr="00EA72B3">
        <w:rPr>
          <w:lang w:val="en-CA"/>
        </w:rPr>
        <w:t xml:space="preserve"> </w:t>
      </w:r>
      <w:r w:rsidR="008375C2" w:rsidRPr="00EA72B3">
        <w:rPr>
          <w:i/>
          <w:iCs/>
          <w:lang w:val="en-CA"/>
        </w:rPr>
        <w:t>Ref re Remuneration of Judges of the Prov. Court of P.E.I.; Ref re Independence and Impartiality of Judges of the Prov. Court of P.E.I.</w:t>
      </w:r>
      <w:r w:rsidRPr="00EA72B3">
        <w:rPr>
          <w:lang w:val="en-CA"/>
        </w:rPr>
        <w:t xml:space="preserve"> </w:t>
      </w:r>
      <w:r w:rsidR="00D4253B" w:rsidRPr="00EA72B3">
        <w:rPr>
          <w:i/>
          <w:iCs/>
          <w:lang w:val="en-CA"/>
        </w:rPr>
        <w:t>supra</w:t>
      </w:r>
      <w:r w:rsidRPr="00EA72B3">
        <w:rPr>
          <w:lang w:val="en-CA"/>
        </w:rPr>
        <w:t>, note</w:t>
      </w:r>
      <w:r w:rsidR="00F92FA1">
        <w:rPr>
          <w:lang w:val="en-CA"/>
        </w:rPr>
        <w:t> </w:t>
      </w:r>
      <w:r w:rsidR="00D43697" w:rsidRPr="00EA72B3">
        <w:rPr>
          <w:lang w:val="en-CA"/>
        </w:rPr>
        <w:fldChar w:fldCharType="begin"/>
      </w:r>
      <w:r w:rsidR="00D43697" w:rsidRPr="00EA72B3">
        <w:rPr>
          <w:lang w:val="en-CA"/>
        </w:rPr>
        <w:instrText xml:space="preserve"> NOTEREF _Ref218671494 \h </w:instrText>
      </w:r>
      <w:r w:rsidR="00D43697" w:rsidRPr="00EA72B3">
        <w:rPr>
          <w:lang w:val="en-CA"/>
        </w:rPr>
      </w:r>
      <w:r w:rsidR="00D43697" w:rsidRPr="00EA72B3">
        <w:rPr>
          <w:lang w:val="en-CA"/>
        </w:rPr>
        <w:fldChar w:fldCharType="separate"/>
      </w:r>
      <w:r w:rsidR="00EF57F9" w:rsidRPr="00EA72B3">
        <w:rPr>
          <w:lang w:val="en-CA"/>
        </w:rPr>
        <w:t>41</w:t>
      </w:r>
      <w:r w:rsidR="00D43697" w:rsidRPr="00EA72B3">
        <w:rPr>
          <w:lang w:val="en-CA"/>
        </w:rPr>
        <w:fldChar w:fldCharType="end"/>
      </w:r>
      <w:r w:rsidRPr="00EA72B3">
        <w:rPr>
          <w:lang w:val="en-CA"/>
        </w:rPr>
        <w:t>, p.</w:t>
      </w:r>
      <w:r w:rsidR="00F92FA1">
        <w:rPr>
          <w:lang w:val="en-CA"/>
        </w:rPr>
        <w:t> </w:t>
      </w:r>
      <w:r w:rsidRPr="00EA72B3">
        <w:rPr>
          <w:lang w:val="en-CA"/>
        </w:rPr>
        <w:t>81.</w:t>
      </w:r>
    </w:p>
  </w:footnote>
  <w:footnote w:id="46">
    <w:p w14:paraId="2416871D" w14:textId="56A85778" w:rsidR="00505DCF" w:rsidRPr="00D16016" w:rsidRDefault="00505DCF" w:rsidP="00505DCF">
      <w:pPr>
        <w:pStyle w:val="Notedebasdepage"/>
        <w:rPr>
          <w:lang w:val="en-CA"/>
        </w:rPr>
      </w:pPr>
      <w:r w:rsidRPr="00EA72B3">
        <w:rPr>
          <w:rStyle w:val="Appelnotedebasdep"/>
          <w:lang w:val="en-CA"/>
        </w:rPr>
        <w:footnoteRef/>
      </w:r>
      <w:r w:rsidRPr="00EA72B3">
        <w:rPr>
          <w:lang w:val="en-CA"/>
        </w:rPr>
        <w:t xml:space="preserve"> </w:t>
      </w:r>
      <w:r w:rsidRPr="00EA72B3">
        <w:rPr>
          <w:lang w:val="en-CA"/>
        </w:rPr>
        <w:tab/>
      </w:r>
      <w:r w:rsidRPr="00EA72B3">
        <w:rPr>
          <w:i/>
          <w:iCs/>
          <w:lang w:val="en-CA"/>
        </w:rPr>
        <w:t>MacKeigan v. Hickman</w:t>
      </w:r>
      <w:r w:rsidRPr="00EA72B3">
        <w:rPr>
          <w:lang w:val="en-CA"/>
        </w:rPr>
        <w:t xml:space="preserve">, </w:t>
      </w:r>
      <w:r w:rsidRPr="00EA72B3">
        <w:rPr>
          <w:i/>
          <w:iCs/>
          <w:lang w:val="en-CA"/>
        </w:rPr>
        <w:t>supra</w:t>
      </w:r>
      <w:r w:rsidRPr="00EA72B3">
        <w:rPr>
          <w:lang w:val="en-CA"/>
        </w:rPr>
        <w:t xml:space="preserve"> note</w:t>
      </w:r>
      <w:r w:rsidR="00F92FA1">
        <w:rPr>
          <w:lang w:val="en-CA"/>
        </w:rPr>
        <w:t> </w:t>
      </w:r>
      <w:r w:rsidRPr="00EA72B3">
        <w:rPr>
          <w:lang w:val="en-CA"/>
        </w:rPr>
        <w:fldChar w:fldCharType="begin"/>
      </w:r>
      <w:r w:rsidRPr="00EA72B3">
        <w:rPr>
          <w:lang w:val="en-CA"/>
        </w:rPr>
        <w:instrText xml:space="preserve"> NOTEREF _Ref222921531 \h </w:instrText>
      </w:r>
      <w:r w:rsidRPr="00EA72B3">
        <w:rPr>
          <w:lang w:val="en-CA"/>
        </w:rPr>
      </w:r>
      <w:r w:rsidRPr="00EA72B3">
        <w:rPr>
          <w:lang w:val="en-CA"/>
        </w:rPr>
        <w:fldChar w:fldCharType="separate"/>
      </w:r>
      <w:r w:rsidRPr="00EA72B3">
        <w:rPr>
          <w:lang w:val="en-CA"/>
        </w:rPr>
        <w:t>39</w:t>
      </w:r>
      <w:r w:rsidRPr="00EA72B3">
        <w:rPr>
          <w:lang w:val="en-CA"/>
        </w:rPr>
        <w:fldChar w:fldCharType="end"/>
      </w:r>
      <w:r w:rsidRPr="00EA72B3">
        <w:rPr>
          <w:lang w:val="en-CA"/>
        </w:rPr>
        <w:t>, p.</w:t>
      </w:r>
      <w:r w:rsidR="00F92FA1">
        <w:rPr>
          <w:lang w:val="en-CA"/>
        </w:rPr>
        <w:t> </w:t>
      </w:r>
      <w:r w:rsidRPr="00EA72B3">
        <w:rPr>
          <w:lang w:val="en-CA"/>
        </w:rPr>
        <w:t>826, see also p.</w:t>
      </w:r>
      <w:r w:rsidR="00F92FA1">
        <w:rPr>
          <w:lang w:val="en-CA"/>
        </w:rPr>
        <w:t> </w:t>
      </w:r>
      <w:r w:rsidRPr="00EA72B3">
        <w:rPr>
          <w:lang w:val="en-CA"/>
        </w:rPr>
        <w:t>832.</w:t>
      </w:r>
    </w:p>
  </w:footnote>
  <w:footnote w:id="47">
    <w:p w14:paraId="01966235" w14:textId="0B7319FA" w:rsidR="007F4756" w:rsidRPr="00D16016" w:rsidRDefault="00294345" w:rsidP="007F4756">
      <w:pPr>
        <w:pStyle w:val="Notedebasdepage"/>
        <w:rPr>
          <w:rFonts w:cs="Arial"/>
          <w:color w:val="000000"/>
          <w:kern w:val="36"/>
          <w:lang w:eastAsia="fr-CA"/>
        </w:rPr>
      </w:pPr>
      <w:r w:rsidRPr="001B5574">
        <w:rPr>
          <w:rStyle w:val="Appelnotedebasdep"/>
          <w:rFonts w:cs="Arial"/>
          <w:lang w:val="en-CA"/>
        </w:rPr>
        <w:footnoteRef/>
      </w:r>
      <w:r w:rsidRPr="00D16016">
        <w:rPr>
          <w:rFonts w:cs="Arial"/>
        </w:rPr>
        <w:t xml:space="preserve"> </w:t>
      </w:r>
      <w:r w:rsidRPr="00D16016">
        <w:rPr>
          <w:rFonts w:cs="Arial"/>
        </w:rPr>
        <w:tab/>
        <w:t>Art. 2843</w:t>
      </w:r>
      <w:r w:rsidR="00D64FCD" w:rsidRPr="00D16016">
        <w:rPr>
          <w:rFonts w:cs="Arial"/>
        </w:rPr>
        <w:t xml:space="preserve"> </w:t>
      </w:r>
      <w:r w:rsidR="00D64FCD" w:rsidRPr="00D16016">
        <w:rPr>
          <w:rFonts w:cs="Arial"/>
          <w:i/>
          <w:iCs/>
        </w:rPr>
        <w:t>C</w:t>
      </w:r>
      <w:r w:rsidR="00C04EB1" w:rsidRPr="00D16016">
        <w:rPr>
          <w:rFonts w:cs="Arial"/>
          <w:i/>
          <w:iCs/>
        </w:rPr>
        <w:t>.</w:t>
      </w:r>
      <w:r w:rsidR="00D64FCD" w:rsidRPr="00D16016">
        <w:rPr>
          <w:rFonts w:cs="Arial"/>
          <w:i/>
          <w:iCs/>
        </w:rPr>
        <w:t>C</w:t>
      </w:r>
      <w:r w:rsidR="00C04EB1" w:rsidRPr="00D16016">
        <w:rPr>
          <w:rFonts w:cs="Arial"/>
          <w:i/>
          <w:iCs/>
        </w:rPr>
        <w:t>.</w:t>
      </w:r>
      <w:r w:rsidR="00D64FCD" w:rsidRPr="00D16016">
        <w:rPr>
          <w:rFonts w:cs="Arial"/>
          <w:i/>
          <w:iCs/>
        </w:rPr>
        <w:t>Q</w:t>
      </w:r>
      <w:r w:rsidR="00C04EB1">
        <w:rPr>
          <w:rFonts w:cs="Arial"/>
        </w:rPr>
        <w:t>.</w:t>
      </w:r>
      <w:r w:rsidR="00D64FCD" w:rsidRPr="00D16016">
        <w:rPr>
          <w:rFonts w:cs="Arial"/>
        </w:rPr>
        <w:t>;</w:t>
      </w:r>
      <w:r w:rsidRPr="00D16016">
        <w:rPr>
          <w:rFonts w:cs="Arial"/>
        </w:rPr>
        <w:t xml:space="preserve"> </w:t>
      </w:r>
      <w:r w:rsidRPr="00D16016">
        <w:rPr>
          <w:rFonts w:cs="Arial"/>
          <w:i/>
          <w:iCs/>
          <w:color w:val="000000"/>
          <w:kern w:val="36"/>
          <w:lang w:eastAsia="fr-CA"/>
        </w:rPr>
        <w:t xml:space="preserve">Cousineau c. </w:t>
      </w:r>
      <w:r w:rsidRPr="00D16016">
        <w:rPr>
          <w:i/>
          <w:iCs/>
        </w:rPr>
        <w:t>Intact</w:t>
      </w:r>
      <w:r w:rsidRPr="00D16016">
        <w:rPr>
          <w:rFonts w:cs="Arial"/>
          <w:i/>
          <w:iCs/>
          <w:color w:val="000000"/>
          <w:kern w:val="36"/>
          <w:lang w:eastAsia="fr-CA"/>
        </w:rPr>
        <w:t>, compagnie d</w:t>
      </w:r>
      <w:r w:rsidR="00A00A6C" w:rsidRPr="00D16016">
        <w:rPr>
          <w:rFonts w:cs="Arial"/>
          <w:i/>
          <w:iCs/>
          <w:color w:val="000000"/>
          <w:kern w:val="36"/>
          <w:lang w:eastAsia="fr-CA"/>
        </w:rPr>
        <w:t>’</w:t>
      </w:r>
      <w:r w:rsidRPr="00D16016">
        <w:rPr>
          <w:rFonts w:cs="Arial"/>
          <w:i/>
          <w:iCs/>
          <w:color w:val="000000"/>
          <w:kern w:val="36"/>
          <w:lang w:eastAsia="fr-CA"/>
        </w:rPr>
        <w:t>assurances</w:t>
      </w:r>
      <w:r w:rsidRPr="00D16016">
        <w:rPr>
          <w:rFonts w:cs="Arial"/>
          <w:color w:val="000000"/>
          <w:kern w:val="36"/>
          <w:lang w:eastAsia="fr-CA"/>
        </w:rPr>
        <w:t xml:space="preserve">, 2019 QCCA 1022, para. 38; </w:t>
      </w:r>
      <w:r w:rsidRPr="00D16016">
        <w:rPr>
          <w:rFonts w:cs="Arial"/>
          <w:i/>
          <w:iCs/>
          <w:color w:val="000000"/>
          <w:kern w:val="36"/>
          <w:lang w:eastAsia="fr-CA"/>
        </w:rPr>
        <w:t xml:space="preserve">Dubé c. Cliche, </w:t>
      </w:r>
      <w:r w:rsidRPr="00D16016">
        <w:t>2003</w:t>
      </w:r>
      <w:r w:rsidRPr="00D16016">
        <w:rPr>
          <w:rFonts w:cs="Arial"/>
          <w:color w:val="000000"/>
          <w:kern w:val="36"/>
          <w:lang w:eastAsia="fr-CA"/>
        </w:rPr>
        <w:t xml:space="preserve"> CanLII 75333 (QC CA),</w:t>
      </w:r>
      <w:r w:rsidRPr="00D16016">
        <w:rPr>
          <w:rFonts w:cs="Arial"/>
          <w:b/>
          <w:bCs/>
          <w:color w:val="000000"/>
          <w:kern w:val="36"/>
          <w:lang w:eastAsia="fr-CA"/>
        </w:rPr>
        <w:t xml:space="preserve"> </w:t>
      </w:r>
      <w:r w:rsidRPr="00D16016">
        <w:rPr>
          <w:rFonts w:cs="Arial"/>
          <w:color w:val="000000"/>
          <w:kern w:val="36"/>
          <w:lang w:eastAsia="fr-CA"/>
        </w:rPr>
        <w:t>paras. 28 and 29.</w:t>
      </w:r>
    </w:p>
  </w:footnote>
  <w:footnote w:id="48">
    <w:p w14:paraId="01423D63" w14:textId="5FB9393C" w:rsidR="007F4756" w:rsidRPr="00D16016" w:rsidRDefault="00294345" w:rsidP="007F4756">
      <w:pPr>
        <w:pStyle w:val="Notedebasdepage"/>
      </w:pPr>
      <w:r w:rsidRPr="001B5574">
        <w:rPr>
          <w:rStyle w:val="Appelnotedebasdep"/>
          <w:lang w:val="en-CA"/>
        </w:rPr>
        <w:footnoteRef/>
      </w:r>
      <w:r w:rsidRPr="00D16016">
        <w:t xml:space="preserve"> </w:t>
      </w:r>
      <w:r w:rsidRPr="00D16016">
        <w:tab/>
        <w:t>Art. 2843</w:t>
      </w:r>
      <w:r w:rsidR="00D64FCD" w:rsidRPr="00D16016">
        <w:rPr>
          <w:i/>
          <w:iCs/>
        </w:rPr>
        <w:t xml:space="preserve"> C</w:t>
      </w:r>
      <w:r w:rsidR="00C04EB1" w:rsidRPr="00D16016">
        <w:rPr>
          <w:i/>
          <w:iCs/>
        </w:rPr>
        <w:t>.</w:t>
      </w:r>
      <w:r w:rsidR="00D64FCD" w:rsidRPr="00D16016">
        <w:rPr>
          <w:i/>
          <w:iCs/>
        </w:rPr>
        <w:t>C</w:t>
      </w:r>
      <w:r w:rsidR="00C04EB1" w:rsidRPr="00D16016">
        <w:rPr>
          <w:i/>
          <w:iCs/>
        </w:rPr>
        <w:t>.</w:t>
      </w:r>
      <w:r w:rsidR="00D64FCD" w:rsidRPr="00D16016">
        <w:rPr>
          <w:i/>
          <w:iCs/>
        </w:rPr>
        <w:t>Q.</w:t>
      </w:r>
    </w:p>
  </w:footnote>
  <w:footnote w:id="49">
    <w:p w14:paraId="62EC4296" w14:textId="77777777" w:rsidR="00D64FCD" w:rsidRPr="00D16016" w:rsidRDefault="00D64FCD" w:rsidP="00D64FCD">
      <w:pPr>
        <w:pStyle w:val="Notedebasdepage"/>
      </w:pPr>
      <w:r w:rsidRPr="001B5574">
        <w:rPr>
          <w:rStyle w:val="Appelnotedebasdep"/>
          <w:lang w:val="en-CA"/>
        </w:rPr>
        <w:footnoteRef/>
      </w:r>
      <w:r w:rsidRPr="00D16016">
        <w:t xml:space="preserve"> </w:t>
      </w:r>
      <w:r w:rsidRPr="00D16016">
        <w:tab/>
      </w:r>
      <w:r w:rsidRPr="00D16016">
        <w:rPr>
          <w:i/>
          <w:iCs/>
        </w:rPr>
        <w:t>Innu-Science Canada inc. c. Laboratoire Choisy ltée</w:t>
      </w:r>
      <w:r w:rsidRPr="00D16016">
        <w:t>, 1999 CanLII 13503, para. 12 (QC CA).</w:t>
      </w:r>
    </w:p>
  </w:footnote>
  <w:footnote w:id="50">
    <w:p w14:paraId="6EB9762A" w14:textId="4F93B2E6" w:rsidR="007F4756" w:rsidRPr="00D16016" w:rsidRDefault="00294345" w:rsidP="007F4756">
      <w:pPr>
        <w:pStyle w:val="Notedebasdepage"/>
      </w:pPr>
      <w:r w:rsidRPr="001B5574">
        <w:rPr>
          <w:rStyle w:val="Appelnotedebasdep"/>
          <w:lang w:val="en-CA"/>
        </w:rPr>
        <w:footnoteRef/>
      </w:r>
      <w:r w:rsidRPr="00D16016">
        <w:t xml:space="preserve"> </w:t>
      </w:r>
      <w:r w:rsidRPr="00D16016">
        <w:tab/>
      </w:r>
      <w:r w:rsidRPr="00D16016">
        <w:rPr>
          <w:i/>
          <w:iCs/>
        </w:rPr>
        <w:t>Itenberg c. Breuvages Cott inc</w:t>
      </w:r>
      <w:r w:rsidRPr="00D16016">
        <w:t>.,</w:t>
      </w:r>
      <w:r w:rsidR="00D64FCD" w:rsidRPr="00D16016">
        <w:t>2000 CanLII 7586 (QC CA),</w:t>
      </w:r>
      <w:r w:rsidRPr="00D16016">
        <w:t xml:space="preserve"> [2000] R.R.A. 285 (C.A.), para</w:t>
      </w:r>
      <w:r w:rsidR="00D64FCD" w:rsidRPr="00D16016">
        <w:t>s</w:t>
      </w:r>
      <w:r w:rsidRPr="00D16016">
        <w:t xml:space="preserve">. </w:t>
      </w:r>
      <w:r w:rsidRPr="001B5574">
        <w:rPr>
          <w:lang w:val="en-CA"/>
        </w:rPr>
        <w:t xml:space="preserve">14-15 </w:t>
      </w:r>
      <w:r w:rsidR="00D64FCD" w:rsidRPr="001B5574">
        <w:rPr>
          <w:lang w:val="en-CA"/>
        </w:rPr>
        <w:t>and case law cited</w:t>
      </w:r>
      <w:r w:rsidRPr="001B5574">
        <w:rPr>
          <w:lang w:val="en-CA"/>
        </w:rPr>
        <w:t xml:space="preserve">; </w:t>
      </w:r>
      <w:r w:rsidRPr="001B5574">
        <w:rPr>
          <w:i/>
          <w:iCs/>
          <w:lang w:val="en-CA"/>
        </w:rPr>
        <w:t>Y.C. c. M.H</w:t>
      </w:r>
      <w:r w:rsidRPr="001B5574">
        <w:rPr>
          <w:lang w:val="en-CA"/>
        </w:rPr>
        <w:t xml:space="preserve">., 2011 QCCS 5529, para. </w:t>
      </w:r>
      <w:r w:rsidRPr="00D16016">
        <w:t>49.</w:t>
      </w:r>
    </w:p>
  </w:footnote>
  <w:footnote w:id="51">
    <w:p w14:paraId="5BF70EC9" w14:textId="2B2A7A34" w:rsidR="007F4756" w:rsidRPr="00D16016" w:rsidRDefault="00294345" w:rsidP="007F4756">
      <w:pPr>
        <w:pStyle w:val="Notedebasdepage"/>
      </w:pPr>
      <w:r w:rsidRPr="001B5574">
        <w:rPr>
          <w:rStyle w:val="Appelnotedebasdep"/>
          <w:lang w:val="en-CA"/>
        </w:rPr>
        <w:footnoteRef/>
      </w:r>
      <w:r w:rsidRPr="00D16016">
        <w:t xml:space="preserve"> </w:t>
      </w:r>
      <w:r w:rsidRPr="00D16016">
        <w:tab/>
      </w:r>
      <w:r w:rsidRPr="00D16016">
        <w:rPr>
          <w:i/>
          <w:iCs/>
        </w:rPr>
        <w:t xml:space="preserve">Despec Supplies </w:t>
      </w:r>
      <w:r w:rsidR="00F724EB" w:rsidRPr="00D16016">
        <w:rPr>
          <w:i/>
          <w:iCs/>
        </w:rPr>
        <w:t>I</w:t>
      </w:r>
      <w:r w:rsidRPr="00D16016">
        <w:rPr>
          <w:i/>
          <w:iCs/>
        </w:rPr>
        <w:t>nc. c. Royal &amp; Sun alliance Insurance PLC</w:t>
      </w:r>
      <w:r w:rsidRPr="00D16016">
        <w:t>, 2006 QCCA</w:t>
      </w:r>
      <w:r w:rsidR="00F92FA1" w:rsidRPr="00D16016">
        <w:t> </w:t>
      </w:r>
      <w:r w:rsidRPr="00D16016">
        <w:t>145, para. 13.</w:t>
      </w:r>
    </w:p>
  </w:footnote>
  <w:footnote w:id="52">
    <w:p w14:paraId="2FFF13A8" w14:textId="78293D18" w:rsidR="007F4756" w:rsidRPr="00853C59" w:rsidRDefault="00294345" w:rsidP="007F4756">
      <w:pPr>
        <w:pStyle w:val="Notedebasdepage"/>
      </w:pPr>
      <w:r w:rsidRPr="001B5574">
        <w:rPr>
          <w:rStyle w:val="Appelnotedebasdep"/>
          <w:lang w:val="en-CA"/>
        </w:rPr>
        <w:footnoteRef/>
      </w:r>
      <w:r w:rsidRPr="00D16016">
        <w:t xml:space="preserve"> </w:t>
      </w:r>
      <w:r w:rsidRPr="00D16016">
        <w:tab/>
      </w:r>
      <w:r w:rsidRPr="00D16016">
        <w:rPr>
          <w:i/>
          <w:iCs/>
        </w:rPr>
        <w:t>Succession de Tremblay c. Provencher</w:t>
      </w:r>
      <w:r w:rsidRPr="00D16016">
        <w:t xml:space="preserve">, 2017 QCCS 4503, para. 9; </w:t>
      </w:r>
      <w:r w:rsidRPr="00D16016">
        <w:rPr>
          <w:i/>
          <w:iCs/>
        </w:rPr>
        <w:t>Fares c. Ramori Canada inc.</w:t>
      </w:r>
      <w:r w:rsidRPr="00D16016">
        <w:t>, 2006 QCCS 3438, para. 10.</w:t>
      </w:r>
    </w:p>
  </w:footnote>
  <w:footnote w:id="53">
    <w:p w14:paraId="67A1D751" w14:textId="31E40712" w:rsidR="007F4756" w:rsidRPr="00207DFF" w:rsidRDefault="00294345" w:rsidP="007F4756">
      <w:pPr>
        <w:pStyle w:val="Notedebasdepage"/>
        <w:rPr>
          <w:lang w:val="en-CA"/>
        </w:rPr>
      </w:pPr>
      <w:r w:rsidRPr="00853C59">
        <w:rPr>
          <w:rStyle w:val="Appelnotedebasdep"/>
        </w:rPr>
        <w:footnoteRef/>
      </w:r>
      <w:r w:rsidRPr="00853C59">
        <w:t xml:space="preserve"> </w:t>
      </w:r>
      <w:r w:rsidRPr="00853C59">
        <w:tab/>
      </w:r>
      <w:r w:rsidRPr="00D16016">
        <w:rPr>
          <w:i/>
          <w:iCs/>
        </w:rPr>
        <w:t>Procureur général du Québec c. Koda</w:t>
      </w:r>
      <w:r w:rsidRPr="00D16016">
        <w:t>, 2021 QCCQ 880, para</w:t>
      </w:r>
      <w:r w:rsidR="0099777F" w:rsidRPr="00D16016">
        <w:t>s</w:t>
      </w:r>
      <w:r w:rsidRPr="00D16016">
        <w:t xml:space="preserve">. </w:t>
      </w:r>
      <w:r w:rsidRPr="00207DFF">
        <w:rPr>
          <w:lang w:val="en-CA"/>
        </w:rPr>
        <w:t>22-23.</w:t>
      </w:r>
    </w:p>
  </w:footnote>
  <w:footnote w:id="54">
    <w:p w14:paraId="46CE1C9C" w14:textId="06F84C22" w:rsidR="007F4756" w:rsidRPr="00207DFF" w:rsidRDefault="00294345" w:rsidP="007F4756">
      <w:pPr>
        <w:pStyle w:val="Notedebasdepage"/>
        <w:rPr>
          <w:lang w:val="en-CA"/>
        </w:rPr>
      </w:pPr>
      <w:r w:rsidRPr="00207DFF">
        <w:rPr>
          <w:rStyle w:val="Appelnotedebasdep"/>
          <w:lang w:val="en-CA"/>
        </w:rPr>
        <w:footnoteRef/>
      </w:r>
      <w:r w:rsidRPr="00207DFF">
        <w:rPr>
          <w:lang w:val="en-CA"/>
        </w:rPr>
        <w:t xml:space="preserve"> </w:t>
      </w:r>
      <w:r w:rsidRPr="00207DFF">
        <w:rPr>
          <w:lang w:val="en-CA"/>
        </w:rPr>
        <w:tab/>
      </w:r>
      <w:r w:rsidR="00207DFF">
        <w:rPr>
          <w:lang w:val="en-CA"/>
        </w:rPr>
        <w:t>It is important</w:t>
      </w:r>
      <w:r w:rsidR="0099777F" w:rsidRPr="00207DFF">
        <w:rPr>
          <w:lang w:val="en-CA"/>
        </w:rPr>
        <w:t xml:space="preserve"> to note that we are not suggesting that this motivated the judge to find as she did.</w:t>
      </w:r>
    </w:p>
  </w:footnote>
  <w:footnote w:id="55">
    <w:p w14:paraId="6C2C72DF" w14:textId="7D507EDF" w:rsidR="007F4756" w:rsidRPr="00207DFF" w:rsidRDefault="00294345" w:rsidP="007F4756">
      <w:pPr>
        <w:pStyle w:val="Notedebasdepage"/>
        <w:rPr>
          <w:lang w:val="en-CA"/>
        </w:rPr>
      </w:pPr>
      <w:r w:rsidRPr="00207DFF">
        <w:rPr>
          <w:rStyle w:val="Appelnotedebasdep"/>
          <w:lang w:val="en-CA"/>
        </w:rPr>
        <w:footnoteRef/>
      </w:r>
      <w:r w:rsidRPr="00207DFF">
        <w:rPr>
          <w:lang w:val="en-CA"/>
        </w:rPr>
        <w:t xml:space="preserve"> </w:t>
      </w:r>
      <w:r w:rsidRPr="00207DFF">
        <w:rPr>
          <w:lang w:val="en-CA"/>
        </w:rPr>
        <w:tab/>
      </w:r>
      <w:r w:rsidRPr="00207DFF">
        <w:rPr>
          <w:i/>
          <w:iCs/>
          <w:lang w:val="en-CA"/>
        </w:rPr>
        <w:t xml:space="preserve">Ell </w:t>
      </w:r>
      <w:r w:rsidR="0099777F" w:rsidRPr="00207DFF">
        <w:rPr>
          <w:i/>
          <w:iCs/>
          <w:lang w:val="en-CA"/>
        </w:rPr>
        <w:t>v.</w:t>
      </w:r>
      <w:r w:rsidRPr="00207DFF">
        <w:rPr>
          <w:i/>
          <w:iCs/>
          <w:lang w:val="en-CA"/>
        </w:rPr>
        <w:t xml:space="preserve"> Alberta</w:t>
      </w:r>
      <w:r w:rsidRPr="00207DFF">
        <w:rPr>
          <w:lang w:val="en-CA"/>
        </w:rPr>
        <w:t xml:space="preserve">, 2003 </w:t>
      </w:r>
      <w:r w:rsidR="0099777F" w:rsidRPr="00207DFF">
        <w:rPr>
          <w:lang w:val="en-CA"/>
        </w:rPr>
        <w:t>SCC</w:t>
      </w:r>
      <w:r w:rsidR="00F92FA1">
        <w:rPr>
          <w:lang w:val="en-CA"/>
        </w:rPr>
        <w:t> </w:t>
      </w:r>
      <w:r w:rsidRPr="00207DFF">
        <w:rPr>
          <w:lang w:val="en-CA"/>
        </w:rPr>
        <w:t>35.</w:t>
      </w:r>
    </w:p>
  </w:footnote>
  <w:footnote w:id="56">
    <w:p w14:paraId="003FCBED" w14:textId="30A2AD06" w:rsidR="007F4756" w:rsidRPr="00853C59" w:rsidRDefault="00294345" w:rsidP="007F4756">
      <w:pPr>
        <w:pStyle w:val="Notedebasdepage"/>
        <w:rPr>
          <w:rFonts w:cs="Arial"/>
          <w:color w:val="000000"/>
          <w:kern w:val="36"/>
          <w:lang w:eastAsia="fr-CA"/>
        </w:rPr>
      </w:pPr>
      <w:r w:rsidRPr="00207DFF">
        <w:rPr>
          <w:rStyle w:val="Appelnotedebasdep"/>
          <w:rFonts w:cs="Arial"/>
          <w:lang w:val="en-CA"/>
        </w:rPr>
        <w:footnoteRef/>
      </w:r>
      <w:r w:rsidRPr="00207DFF">
        <w:rPr>
          <w:rFonts w:cs="Arial"/>
          <w:lang w:val="en-CA"/>
        </w:rPr>
        <w:t xml:space="preserve"> </w:t>
      </w:r>
      <w:r w:rsidRPr="00207DFF">
        <w:rPr>
          <w:rFonts w:cs="Arial"/>
          <w:lang w:val="en-CA"/>
        </w:rPr>
        <w:tab/>
      </w:r>
      <w:r w:rsidR="0099777F" w:rsidRPr="00207DFF">
        <w:rPr>
          <w:rFonts w:cs="Arial"/>
          <w:i/>
          <w:iCs/>
          <w:color w:val="000000"/>
          <w:kern w:val="36"/>
          <w:lang w:val="en-CA" w:eastAsia="fr-CA"/>
        </w:rPr>
        <w:t xml:space="preserve">Mackin v. New Brunswick (Minister of Finance); Rice v. New Brunswick, </w:t>
      </w:r>
      <w:r w:rsidRPr="00207DFF">
        <w:rPr>
          <w:rFonts w:cs="Arial"/>
          <w:color w:val="000000"/>
          <w:kern w:val="36"/>
          <w:lang w:val="en-CA" w:eastAsia="fr-CA"/>
        </w:rPr>
        <w:t xml:space="preserve">2002 </w:t>
      </w:r>
      <w:r w:rsidR="0099777F" w:rsidRPr="00207DFF">
        <w:rPr>
          <w:rFonts w:cs="Arial"/>
          <w:color w:val="000000"/>
          <w:kern w:val="36"/>
          <w:lang w:val="en-CA" w:eastAsia="fr-CA"/>
        </w:rPr>
        <w:t>SCC</w:t>
      </w:r>
      <w:r w:rsidR="00F92FA1">
        <w:rPr>
          <w:rFonts w:cs="Arial"/>
          <w:color w:val="000000"/>
          <w:kern w:val="36"/>
          <w:lang w:val="en-CA" w:eastAsia="fr-CA"/>
        </w:rPr>
        <w:t> </w:t>
      </w:r>
      <w:r w:rsidRPr="00207DFF">
        <w:rPr>
          <w:rFonts w:cs="Arial"/>
          <w:color w:val="000000"/>
          <w:kern w:val="36"/>
          <w:lang w:val="en-CA" w:eastAsia="fr-CA"/>
        </w:rPr>
        <w:t>13, para. 116.</w:t>
      </w:r>
    </w:p>
  </w:footnote>
  <w:footnote w:id="57">
    <w:p w14:paraId="2A7F00C4" w14:textId="71FEB1F3" w:rsidR="007F4756" w:rsidRPr="006A1681" w:rsidRDefault="00294345" w:rsidP="007F4756">
      <w:pPr>
        <w:pStyle w:val="Notedebasdepage"/>
        <w:rPr>
          <w:lang w:val="en-CA"/>
        </w:rPr>
      </w:pPr>
      <w:r w:rsidRPr="00853C59">
        <w:rPr>
          <w:rStyle w:val="Appelnotedebasdep"/>
        </w:rPr>
        <w:footnoteRef/>
      </w:r>
      <w:r w:rsidRPr="00853C59">
        <w:rPr>
          <w:lang w:val="en-CA"/>
        </w:rPr>
        <w:t xml:space="preserve"> </w:t>
      </w:r>
      <w:r w:rsidRPr="00853C59">
        <w:rPr>
          <w:lang w:val="en-CA"/>
        </w:rPr>
        <w:tab/>
      </w:r>
      <w:r w:rsidRPr="00D64FCD">
        <w:rPr>
          <w:i/>
          <w:iCs/>
          <w:lang w:val="en-CA"/>
        </w:rPr>
        <w:t xml:space="preserve">MacKeigan </w:t>
      </w:r>
      <w:r w:rsidR="00D64FCD" w:rsidRPr="00D64FCD">
        <w:rPr>
          <w:i/>
          <w:iCs/>
          <w:lang w:val="en-CA"/>
        </w:rPr>
        <w:t>v</w:t>
      </w:r>
      <w:r w:rsidRPr="00D64FCD">
        <w:rPr>
          <w:i/>
          <w:iCs/>
          <w:lang w:val="en-CA"/>
        </w:rPr>
        <w:t>. Hickman</w:t>
      </w:r>
      <w:r w:rsidRPr="00D64FCD">
        <w:rPr>
          <w:lang w:val="en-CA"/>
        </w:rPr>
        <w:t xml:space="preserve">, </w:t>
      </w:r>
      <w:r w:rsidRPr="00D64FCD">
        <w:rPr>
          <w:i/>
          <w:iCs/>
          <w:lang w:val="en-CA"/>
        </w:rPr>
        <w:t>supra</w:t>
      </w:r>
      <w:r w:rsidRPr="00D64FCD">
        <w:rPr>
          <w:lang w:val="en-CA"/>
        </w:rPr>
        <w:t>, note</w:t>
      </w:r>
      <w:r w:rsidR="00F92FA1">
        <w:rPr>
          <w:lang w:val="en-CA"/>
        </w:rPr>
        <w:t> </w:t>
      </w:r>
      <w:r w:rsidR="001A6556">
        <w:rPr>
          <w:lang w:val="en-CA"/>
        </w:rPr>
        <w:fldChar w:fldCharType="begin"/>
      </w:r>
      <w:r w:rsidR="001A6556">
        <w:rPr>
          <w:lang w:val="en-CA"/>
        </w:rPr>
        <w:instrText xml:space="preserve"> NOTEREF _Ref222921531 \h </w:instrText>
      </w:r>
      <w:r w:rsidR="001A6556">
        <w:rPr>
          <w:lang w:val="en-CA"/>
        </w:rPr>
      </w:r>
      <w:r w:rsidR="001A6556">
        <w:rPr>
          <w:lang w:val="en-CA"/>
        </w:rPr>
        <w:fldChar w:fldCharType="separate"/>
      </w:r>
      <w:r w:rsidR="00EF57F9">
        <w:rPr>
          <w:lang w:val="en-CA"/>
        </w:rPr>
        <w:t>39</w:t>
      </w:r>
      <w:r w:rsidR="001A6556">
        <w:rPr>
          <w:lang w:val="en-CA"/>
        </w:rPr>
        <w:fldChar w:fldCharType="end"/>
      </w:r>
      <w:r w:rsidRPr="00D64FCD">
        <w:rPr>
          <w:lang w:val="en-CA"/>
        </w:rPr>
        <w:t>, p.</w:t>
      </w:r>
      <w:r w:rsidR="00F92FA1">
        <w:rPr>
          <w:lang w:val="en-CA"/>
        </w:rPr>
        <w:t> </w:t>
      </w:r>
      <w:r w:rsidRPr="00D64FCD">
        <w:rPr>
          <w:lang w:val="en-CA"/>
        </w:rPr>
        <w:t>809.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A913" w14:textId="77777777" w:rsidR="003C0CC9" w:rsidRDefault="003C0C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BA80" w14:textId="53C59E11" w:rsidR="003C0CC9" w:rsidRDefault="00294345" w:rsidP="00C824E0">
    <w:pPr>
      <w:tabs>
        <w:tab w:val="center" w:pos="4709"/>
        <w:tab w:val="right" w:pos="9360"/>
      </w:tabs>
      <w:spacing w:line="360" w:lineRule="auto"/>
      <w:ind w:right="524"/>
    </w:pPr>
    <w:r>
      <w:t xml:space="preserve">500-09-031172-240 </w:t>
    </w:r>
    <w:r>
      <w:tab/>
    </w:r>
    <w:r>
      <w:tab/>
    </w:r>
    <w:r w:rsidRPr="00D64FCD">
      <w:t>PAGE:</w:t>
    </w:r>
    <w:r>
      <w:t xml:space="preserve"> </w:t>
    </w:r>
    <w:r>
      <w:fldChar w:fldCharType="begin"/>
    </w:r>
    <w:r>
      <w:instrText xml:space="preserve"> PAGE </w:instrText>
    </w:r>
    <w:r>
      <w:fldChar w:fldCharType="separate"/>
    </w:r>
    <w:r>
      <w:t>1</w:t>
    </w:r>
    <w:r>
      <w:fldChar w:fldCharType="end"/>
    </w:r>
  </w:p>
  <w:p w14:paraId="304A9E89" w14:textId="77777777" w:rsidR="003C0CC9" w:rsidRDefault="003C0CC9" w:rsidP="00C824E0">
    <w:pPr>
      <w:tabs>
        <w:tab w:val="center" w:pos="4709"/>
        <w:tab w:val="right" w:pos="9360"/>
      </w:tabs>
      <w:spacing w:line="360" w:lineRule="auto"/>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D363" w14:textId="77777777" w:rsidR="003C0CC9" w:rsidRDefault="003C0CC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943B" w14:textId="77777777" w:rsidR="00E42447" w:rsidRDefault="00E4244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FFAB" w14:textId="2EF3EB94" w:rsidR="007E33E4" w:rsidRDefault="00294345" w:rsidP="00DB2119">
    <w:pPr>
      <w:tabs>
        <w:tab w:val="center" w:pos="4709"/>
        <w:tab w:val="right" w:pos="9360"/>
      </w:tabs>
      <w:spacing w:line="360" w:lineRule="auto"/>
      <w:ind w:right="524"/>
    </w:pPr>
    <w:bookmarkStart w:id="22" w:name="EntDossier"/>
    <w:r>
      <w:t>500-09-031172-240</w:t>
    </w:r>
    <w:bookmarkEnd w:id="22"/>
    <w:r>
      <w:t xml:space="preserve"> </w:t>
    </w:r>
    <w:r>
      <w:tab/>
    </w:r>
    <w:r>
      <w:tab/>
    </w:r>
    <w:r w:rsidRPr="00D64FCD">
      <w:t>PAGE:</w:t>
    </w:r>
    <w:r>
      <w:t xml:space="preserve"> </w:t>
    </w:r>
    <w:r>
      <w:fldChar w:fldCharType="begin"/>
    </w:r>
    <w:r>
      <w:instrText xml:space="preserve"> PAGE </w:instrText>
    </w:r>
    <w:r>
      <w:fldChar w:fldCharType="separate"/>
    </w:r>
    <w:r w:rsidR="008D18FC">
      <w:rPr>
        <w:noProof/>
      </w:rPr>
      <w:t>2</w:t>
    </w:r>
    <w:r>
      <w:fldChar w:fldCharType="end"/>
    </w:r>
  </w:p>
  <w:p w14:paraId="0E4B04B0" w14:textId="77777777" w:rsidR="007E33E4" w:rsidRDefault="007E33E4" w:rsidP="00DB2119">
    <w:pPr>
      <w:tabs>
        <w:tab w:val="center" w:pos="4709"/>
        <w:tab w:val="right" w:pos="9360"/>
      </w:tabs>
      <w:spacing w:line="360" w:lineRule="auto"/>
      <w:ind w:right="52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472D" w14:textId="77777777" w:rsidR="00E42447" w:rsidRDefault="00E424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342EF2"/>
    <w:multiLevelType w:val="hybridMultilevel"/>
    <w:tmpl w:val="D3D06BCE"/>
    <w:lvl w:ilvl="0" w:tplc="31DAD7A6">
      <w:numFmt w:val="bullet"/>
      <w:lvlText w:val="-"/>
      <w:lvlJc w:val="left"/>
      <w:pPr>
        <w:ind w:left="720" w:hanging="360"/>
      </w:pPr>
      <w:rPr>
        <w:rFonts w:ascii="Arial" w:eastAsia="SimSun" w:hAnsi="Arial" w:cs="Arial" w:hint="default"/>
      </w:rPr>
    </w:lvl>
    <w:lvl w:ilvl="1" w:tplc="B68C95E2">
      <w:start w:val="1"/>
      <w:numFmt w:val="bullet"/>
      <w:lvlText w:val="o"/>
      <w:lvlJc w:val="left"/>
      <w:pPr>
        <w:ind w:left="1440" w:hanging="360"/>
      </w:pPr>
      <w:rPr>
        <w:rFonts w:ascii="Courier New" w:hAnsi="Courier New" w:cs="Courier New" w:hint="default"/>
      </w:rPr>
    </w:lvl>
    <w:lvl w:ilvl="2" w:tplc="939EB628" w:tentative="1">
      <w:start w:val="1"/>
      <w:numFmt w:val="bullet"/>
      <w:lvlText w:val=""/>
      <w:lvlJc w:val="left"/>
      <w:pPr>
        <w:ind w:left="2160" w:hanging="360"/>
      </w:pPr>
      <w:rPr>
        <w:rFonts w:ascii="Wingdings" w:hAnsi="Wingdings" w:hint="default"/>
      </w:rPr>
    </w:lvl>
    <w:lvl w:ilvl="3" w:tplc="D22CA080" w:tentative="1">
      <w:start w:val="1"/>
      <w:numFmt w:val="bullet"/>
      <w:lvlText w:val=""/>
      <w:lvlJc w:val="left"/>
      <w:pPr>
        <w:ind w:left="2880" w:hanging="360"/>
      </w:pPr>
      <w:rPr>
        <w:rFonts w:ascii="Symbol" w:hAnsi="Symbol" w:hint="default"/>
      </w:rPr>
    </w:lvl>
    <w:lvl w:ilvl="4" w:tplc="FB2A1746" w:tentative="1">
      <w:start w:val="1"/>
      <w:numFmt w:val="bullet"/>
      <w:lvlText w:val="o"/>
      <w:lvlJc w:val="left"/>
      <w:pPr>
        <w:ind w:left="3600" w:hanging="360"/>
      </w:pPr>
      <w:rPr>
        <w:rFonts w:ascii="Courier New" w:hAnsi="Courier New" w:cs="Courier New" w:hint="default"/>
      </w:rPr>
    </w:lvl>
    <w:lvl w:ilvl="5" w:tplc="1F3EE636" w:tentative="1">
      <w:start w:val="1"/>
      <w:numFmt w:val="bullet"/>
      <w:lvlText w:val=""/>
      <w:lvlJc w:val="left"/>
      <w:pPr>
        <w:ind w:left="4320" w:hanging="360"/>
      </w:pPr>
      <w:rPr>
        <w:rFonts w:ascii="Wingdings" w:hAnsi="Wingdings" w:hint="default"/>
      </w:rPr>
    </w:lvl>
    <w:lvl w:ilvl="6" w:tplc="364EA866" w:tentative="1">
      <w:start w:val="1"/>
      <w:numFmt w:val="bullet"/>
      <w:lvlText w:val=""/>
      <w:lvlJc w:val="left"/>
      <w:pPr>
        <w:ind w:left="5040" w:hanging="360"/>
      </w:pPr>
      <w:rPr>
        <w:rFonts w:ascii="Symbol" w:hAnsi="Symbol" w:hint="default"/>
      </w:rPr>
    </w:lvl>
    <w:lvl w:ilvl="7" w:tplc="CB503150" w:tentative="1">
      <w:start w:val="1"/>
      <w:numFmt w:val="bullet"/>
      <w:lvlText w:val="o"/>
      <w:lvlJc w:val="left"/>
      <w:pPr>
        <w:ind w:left="5760" w:hanging="360"/>
      </w:pPr>
      <w:rPr>
        <w:rFonts w:ascii="Courier New" w:hAnsi="Courier New" w:cs="Courier New" w:hint="default"/>
      </w:rPr>
    </w:lvl>
    <w:lvl w:ilvl="8" w:tplc="387C3FF8" w:tentative="1">
      <w:start w:val="1"/>
      <w:numFmt w:val="bullet"/>
      <w:lvlText w:val=""/>
      <w:lvlJc w:val="left"/>
      <w:pPr>
        <w:ind w:left="6480" w:hanging="360"/>
      </w:pPr>
      <w:rPr>
        <w:rFonts w:ascii="Wingdings" w:hAnsi="Wingdings" w:hint="default"/>
      </w:rPr>
    </w:lvl>
  </w:abstractNum>
  <w:abstractNum w:abstractNumId="11" w15:restartNumberingAfterBreak="0">
    <w:nsid w:val="28BB52DE"/>
    <w:multiLevelType w:val="multilevel"/>
    <w:tmpl w:val="2B5A79C8"/>
    <w:lvl w:ilvl="0">
      <w:start w:val="1"/>
      <w:numFmt w:val="decimal"/>
      <w:pStyle w:val="Paragraphe"/>
      <w:lvlText w:val="[%1]"/>
      <w:lvlJc w:val="left"/>
      <w:pPr>
        <w:tabs>
          <w:tab w:val="num" w:pos="720"/>
        </w:tabs>
        <w:ind w:left="0" w:firstLine="0"/>
      </w:pPr>
      <w:rPr>
        <w:rFonts w:hint="default"/>
        <w:sz w:val="24"/>
        <w:szCs w:val="24"/>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096293B"/>
    <w:multiLevelType w:val="hybridMultilevel"/>
    <w:tmpl w:val="3858FEFA"/>
    <w:lvl w:ilvl="0" w:tplc="69CAE22E">
      <w:numFmt w:val="bullet"/>
      <w:lvlText w:val="-"/>
      <w:lvlJc w:val="left"/>
      <w:pPr>
        <w:ind w:left="1080" w:hanging="360"/>
      </w:pPr>
      <w:rPr>
        <w:rFonts w:ascii="Arial" w:eastAsia="Times New Roman" w:hAnsi="Arial" w:cs="Arial" w:hint="default"/>
      </w:rPr>
    </w:lvl>
    <w:lvl w:ilvl="1" w:tplc="7A34ABC4" w:tentative="1">
      <w:start w:val="1"/>
      <w:numFmt w:val="bullet"/>
      <w:lvlText w:val="o"/>
      <w:lvlJc w:val="left"/>
      <w:pPr>
        <w:ind w:left="1800" w:hanging="360"/>
      </w:pPr>
      <w:rPr>
        <w:rFonts w:ascii="Courier New" w:hAnsi="Courier New" w:cs="Courier New" w:hint="default"/>
      </w:rPr>
    </w:lvl>
    <w:lvl w:ilvl="2" w:tplc="FD404ECA" w:tentative="1">
      <w:start w:val="1"/>
      <w:numFmt w:val="bullet"/>
      <w:lvlText w:val=""/>
      <w:lvlJc w:val="left"/>
      <w:pPr>
        <w:ind w:left="2520" w:hanging="360"/>
      </w:pPr>
      <w:rPr>
        <w:rFonts w:ascii="Wingdings" w:hAnsi="Wingdings" w:hint="default"/>
      </w:rPr>
    </w:lvl>
    <w:lvl w:ilvl="3" w:tplc="0674CA26" w:tentative="1">
      <w:start w:val="1"/>
      <w:numFmt w:val="bullet"/>
      <w:lvlText w:val=""/>
      <w:lvlJc w:val="left"/>
      <w:pPr>
        <w:ind w:left="3240" w:hanging="360"/>
      </w:pPr>
      <w:rPr>
        <w:rFonts w:ascii="Symbol" w:hAnsi="Symbol" w:hint="default"/>
      </w:rPr>
    </w:lvl>
    <w:lvl w:ilvl="4" w:tplc="98AA4556" w:tentative="1">
      <w:start w:val="1"/>
      <w:numFmt w:val="bullet"/>
      <w:lvlText w:val="o"/>
      <w:lvlJc w:val="left"/>
      <w:pPr>
        <w:ind w:left="3960" w:hanging="360"/>
      </w:pPr>
      <w:rPr>
        <w:rFonts w:ascii="Courier New" w:hAnsi="Courier New" w:cs="Courier New" w:hint="default"/>
      </w:rPr>
    </w:lvl>
    <w:lvl w:ilvl="5" w:tplc="4482C478" w:tentative="1">
      <w:start w:val="1"/>
      <w:numFmt w:val="bullet"/>
      <w:lvlText w:val=""/>
      <w:lvlJc w:val="left"/>
      <w:pPr>
        <w:ind w:left="4680" w:hanging="360"/>
      </w:pPr>
      <w:rPr>
        <w:rFonts w:ascii="Wingdings" w:hAnsi="Wingdings" w:hint="default"/>
      </w:rPr>
    </w:lvl>
    <w:lvl w:ilvl="6" w:tplc="D7F0B188" w:tentative="1">
      <w:start w:val="1"/>
      <w:numFmt w:val="bullet"/>
      <w:lvlText w:val=""/>
      <w:lvlJc w:val="left"/>
      <w:pPr>
        <w:ind w:left="5400" w:hanging="360"/>
      </w:pPr>
      <w:rPr>
        <w:rFonts w:ascii="Symbol" w:hAnsi="Symbol" w:hint="default"/>
      </w:rPr>
    </w:lvl>
    <w:lvl w:ilvl="7" w:tplc="3C0635E0" w:tentative="1">
      <w:start w:val="1"/>
      <w:numFmt w:val="bullet"/>
      <w:lvlText w:val="o"/>
      <w:lvlJc w:val="left"/>
      <w:pPr>
        <w:ind w:left="6120" w:hanging="360"/>
      </w:pPr>
      <w:rPr>
        <w:rFonts w:ascii="Courier New" w:hAnsi="Courier New" w:cs="Courier New" w:hint="default"/>
      </w:rPr>
    </w:lvl>
    <w:lvl w:ilvl="8" w:tplc="568EED3C" w:tentative="1">
      <w:start w:val="1"/>
      <w:numFmt w:val="bullet"/>
      <w:lvlText w:val=""/>
      <w:lvlJc w:val="left"/>
      <w:pPr>
        <w:ind w:left="6840" w:hanging="360"/>
      </w:pPr>
      <w:rPr>
        <w:rFonts w:ascii="Wingdings" w:hAnsi="Wingdings" w:hint="default"/>
      </w:rPr>
    </w:lvl>
  </w:abstractNum>
  <w:abstractNum w:abstractNumId="13" w15:restartNumberingAfterBreak="0">
    <w:nsid w:val="43AF5324"/>
    <w:multiLevelType w:val="hybridMultilevel"/>
    <w:tmpl w:val="7BEC72AE"/>
    <w:lvl w:ilvl="0" w:tplc="E1121DE2">
      <w:start w:val="1"/>
      <w:numFmt w:val="upperRoman"/>
      <w:pStyle w:val="Titre1"/>
      <w:lvlText w:val="%1."/>
      <w:lvlJc w:val="left"/>
      <w:pPr>
        <w:ind w:left="720" w:hanging="360"/>
      </w:pPr>
    </w:lvl>
    <w:lvl w:ilvl="1" w:tplc="D0C6B7C4" w:tentative="1">
      <w:start w:val="1"/>
      <w:numFmt w:val="lowerLetter"/>
      <w:lvlText w:val="%2."/>
      <w:lvlJc w:val="left"/>
      <w:pPr>
        <w:ind w:left="1440" w:hanging="360"/>
      </w:pPr>
    </w:lvl>
    <w:lvl w:ilvl="2" w:tplc="834C8A38" w:tentative="1">
      <w:start w:val="1"/>
      <w:numFmt w:val="lowerRoman"/>
      <w:lvlText w:val="%3."/>
      <w:lvlJc w:val="right"/>
      <w:pPr>
        <w:ind w:left="2160" w:hanging="180"/>
      </w:pPr>
    </w:lvl>
    <w:lvl w:ilvl="3" w:tplc="16869432" w:tentative="1">
      <w:start w:val="1"/>
      <w:numFmt w:val="decimal"/>
      <w:lvlText w:val="%4."/>
      <w:lvlJc w:val="left"/>
      <w:pPr>
        <w:ind w:left="2880" w:hanging="360"/>
      </w:pPr>
    </w:lvl>
    <w:lvl w:ilvl="4" w:tplc="E6C220F4" w:tentative="1">
      <w:start w:val="1"/>
      <w:numFmt w:val="lowerLetter"/>
      <w:lvlText w:val="%5."/>
      <w:lvlJc w:val="left"/>
      <w:pPr>
        <w:ind w:left="3600" w:hanging="360"/>
      </w:pPr>
    </w:lvl>
    <w:lvl w:ilvl="5" w:tplc="75282402" w:tentative="1">
      <w:start w:val="1"/>
      <w:numFmt w:val="lowerRoman"/>
      <w:lvlText w:val="%6."/>
      <w:lvlJc w:val="right"/>
      <w:pPr>
        <w:ind w:left="4320" w:hanging="180"/>
      </w:pPr>
    </w:lvl>
    <w:lvl w:ilvl="6" w:tplc="A3C0AC76" w:tentative="1">
      <w:start w:val="1"/>
      <w:numFmt w:val="decimal"/>
      <w:lvlText w:val="%7."/>
      <w:lvlJc w:val="left"/>
      <w:pPr>
        <w:ind w:left="5040" w:hanging="360"/>
      </w:pPr>
    </w:lvl>
    <w:lvl w:ilvl="7" w:tplc="C7104E54" w:tentative="1">
      <w:start w:val="1"/>
      <w:numFmt w:val="lowerLetter"/>
      <w:lvlText w:val="%8."/>
      <w:lvlJc w:val="left"/>
      <w:pPr>
        <w:ind w:left="5760" w:hanging="360"/>
      </w:pPr>
    </w:lvl>
    <w:lvl w:ilvl="8" w:tplc="6DC6A500" w:tentative="1">
      <w:start w:val="1"/>
      <w:numFmt w:val="lowerRoman"/>
      <w:lvlText w:val="%9."/>
      <w:lvlJc w:val="right"/>
      <w:pPr>
        <w:ind w:left="6480" w:hanging="180"/>
      </w:pPr>
    </w:lvl>
  </w:abstractNum>
  <w:abstractNum w:abstractNumId="14"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4C840E6"/>
    <w:multiLevelType w:val="hybridMultilevel"/>
    <w:tmpl w:val="B81487E0"/>
    <w:lvl w:ilvl="0" w:tplc="B56EB01A">
      <w:start w:val="1"/>
      <w:numFmt w:val="lowerRoman"/>
      <w:pStyle w:val="Titre3"/>
      <w:lvlText w:val="%1."/>
      <w:lvlJc w:val="right"/>
      <w:pPr>
        <w:ind w:left="1800" w:hanging="360"/>
      </w:pPr>
      <w:rPr>
        <w:rFonts w:hint="default"/>
      </w:rPr>
    </w:lvl>
    <w:lvl w:ilvl="1" w:tplc="8B1EA0AC" w:tentative="1">
      <w:start w:val="1"/>
      <w:numFmt w:val="lowerLetter"/>
      <w:lvlText w:val="%2."/>
      <w:lvlJc w:val="left"/>
      <w:pPr>
        <w:ind w:left="2520" w:hanging="360"/>
      </w:pPr>
    </w:lvl>
    <w:lvl w:ilvl="2" w:tplc="8744D12A" w:tentative="1">
      <w:start w:val="1"/>
      <w:numFmt w:val="lowerRoman"/>
      <w:lvlText w:val="%3."/>
      <w:lvlJc w:val="right"/>
      <w:pPr>
        <w:ind w:left="3240" w:hanging="180"/>
      </w:pPr>
    </w:lvl>
    <w:lvl w:ilvl="3" w:tplc="F4BA2A2A" w:tentative="1">
      <w:start w:val="1"/>
      <w:numFmt w:val="decimal"/>
      <w:lvlText w:val="%4."/>
      <w:lvlJc w:val="left"/>
      <w:pPr>
        <w:ind w:left="3960" w:hanging="360"/>
      </w:pPr>
    </w:lvl>
    <w:lvl w:ilvl="4" w:tplc="D1D6BF66" w:tentative="1">
      <w:start w:val="1"/>
      <w:numFmt w:val="lowerLetter"/>
      <w:lvlText w:val="%5."/>
      <w:lvlJc w:val="left"/>
      <w:pPr>
        <w:ind w:left="4680" w:hanging="360"/>
      </w:pPr>
    </w:lvl>
    <w:lvl w:ilvl="5" w:tplc="404287A6" w:tentative="1">
      <w:start w:val="1"/>
      <w:numFmt w:val="lowerRoman"/>
      <w:lvlText w:val="%6."/>
      <w:lvlJc w:val="right"/>
      <w:pPr>
        <w:ind w:left="5400" w:hanging="180"/>
      </w:pPr>
    </w:lvl>
    <w:lvl w:ilvl="6" w:tplc="58F40C0A" w:tentative="1">
      <w:start w:val="1"/>
      <w:numFmt w:val="decimal"/>
      <w:lvlText w:val="%7."/>
      <w:lvlJc w:val="left"/>
      <w:pPr>
        <w:ind w:left="6120" w:hanging="360"/>
      </w:pPr>
    </w:lvl>
    <w:lvl w:ilvl="7" w:tplc="3BB874FC" w:tentative="1">
      <w:start w:val="1"/>
      <w:numFmt w:val="lowerLetter"/>
      <w:lvlText w:val="%8."/>
      <w:lvlJc w:val="left"/>
      <w:pPr>
        <w:ind w:left="6840" w:hanging="360"/>
      </w:pPr>
    </w:lvl>
    <w:lvl w:ilvl="8" w:tplc="69AA0114" w:tentative="1">
      <w:start w:val="1"/>
      <w:numFmt w:val="lowerRoman"/>
      <w:lvlText w:val="%9."/>
      <w:lvlJc w:val="right"/>
      <w:pPr>
        <w:ind w:left="7560" w:hanging="180"/>
      </w:pPr>
    </w:lvl>
  </w:abstractNum>
  <w:abstractNum w:abstractNumId="16"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3042C17"/>
    <w:multiLevelType w:val="hybridMultilevel"/>
    <w:tmpl w:val="C0700098"/>
    <w:lvl w:ilvl="0" w:tplc="B18A72AC">
      <w:start w:val="1"/>
      <w:numFmt w:val="lowerLetter"/>
      <w:pStyle w:val="Titre2"/>
      <w:lvlText w:val="%1)"/>
      <w:lvlJc w:val="left"/>
      <w:pPr>
        <w:ind w:left="720" w:hanging="360"/>
      </w:pPr>
      <w:rPr>
        <w:i w:val="0"/>
        <w:iCs/>
      </w:rPr>
    </w:lvl>
    <w:lvl w:ilvl="1" w:tplc="BC46727C" w:tentative="1">
      <w:start w:val="1"/>
      <w:numFmt w:val="lowerLetter"/>
      <w:lvlText w:val="%2."/>
      <w:lvlJc w:val="left"/>
      <w:pPr>
        <w:ind w:left="1440" w:hanging="360"/>
      </w:pPr>
    </w:lvl>
    <w:lvl w:ilvl="2" w:tplc="69B81EAC" w:tentative="1">
      <w:start w:val="1"/>
      <w:numFmt w:val="lowerRoman"/>
      <w:lvlText w:val="%3."/>
      <w:lvlJc w:val="right"/>
      <w:pPr>
        <w:ind w:left="2160" w:hanging="180"/>
      </w:pPr>
    </w:lvl>
    <w:lvl w:ilvl="3" w:tplc="02C0BE04" w:tentative="1">
      <w:start w:val="1"/>
      <w:numFmt w:val="decimal"/>
      <w:lvlText w:val="%4."/>
      <w:lvlJc w:val="left"/>
      <w:pPr>
        <w:ind w:left="2880" w:hanging="360"/>
      </w:pPr>
    </w:lvl>
    <w:lvl w:ilvl="4" w:tplc="3F88A5C0" w:tentative="1">
      <w:start w:val="1"/>
      <w:numFmt w:val="lowerLetter"/>
      <w:lvlText w:val="%5."/>
      <w:lvlJc w:val="left"/>
      <w:pPr>
        <w:ind w:left="3600" w:hanging="360"/>
      </w:pPr>
    </w:lvl>
    <w:lvl w:ilvl="5" w:tplc="47A28636" w:tentative="1">
      <w:start w:val="1"/>
      <w:numFmt w:val="lowerRoman"/>
      <w:lvlText w:val="%6."/>
      <w:lvlJc w:val="right"/>
      <w:pPr>
        <w:ind w:left="4320" w:hanging="180"/>
      </w:pPr>
    </w:lvl>
    <w:lvl w:ilvl="6" w:tplc="40823CCA" w:tentative="1">
      <w:start w:val="1"/>
      <w:numFmt w:val="decimal"/>
      <w:lvlText w:val="%7."/>
      <w:lvlJc w:val="left"/>
      <w:pPr>
        <w:ind w:left="5040" w:hanging="360"/>
      </w:pPr>
    </w:lvl>
    <w:lvl w:ilvl="7" w:tplc="963ADE32" w:tentative="1">
      <w:start w:val="1"/>
      <w:numFmt w:val="lowerLetter"/>
      <w:lvlText w:val="%8."/>
      <w:lvlJc w:val="left"/>
      <w:pPr>
        <w:ind w:left="5760" w:hanging="360"/>
      </w:pPr>
    </w:lvl>
    <w:lvl w:ilvl="8" w:tplc="E6EC6932" w:tentative="1">
      <w:start w:val="1"/>
      <w:numFmt w:val="lowerRoman"/>
      <w:lvlText w:val="%9."/>
      <w:lvlJc w:val="right"/>
      <w:pPr>
        <w:ind w:left="6480" w:hanging="180"/>
      </w:pPr>
    </w:lvl>
  </w:abstractNum>
  <w:abstractNum w:abstractNumId="18" w15:restartNumberingAfterBreak="0">
    <w:nsid w:val="79D701CD"/>
    <w:multiLevelType w:val="hybridMultilevel"/>
    <w:tmpl w:val="C8C24B7A"/>
    <w:lvl w:ilvl="0" w:tplc="65EA3190">
      <w:start w:val="1"/>
      <w:numFmt w:val="decimal"/>
      <w:lvlText w:val="%1)"/>
      <w:lvlJc w:val="left"/>
      <w:pPr>
        <w:ind w:left="1080" w:hanging="360"/>
      </w:pPr>
      <w:rPr>
        <w:rFonts w:ascii="Arial" w:eastAsia="Times New Roman" w:hAnsi="Arial" w:cs="Times New Roman"/>
      </w:rPr>
    </w:lvl>
    <w:lvl w:ilvl="1" w:tplc="D7101D70" w:tentative="1">
      <w:start w:val="1"/>
      <w:numFmt w:val="bullet"/>
      <w:lvlText w:val="o"/>
      <w:lvlJc w:val="left"/>
      <w:pPr>
        <w:ind w:left="1800" w:hanging="360"/>
      </w:pPr>
      <w:rPr>
        <w:rFonts w:ascii="Courier New" w:hAnsi="Courier New" w:cs="Courier New" w:hint="default"/>
      </w:rPr>
    </w:lvl>
    <w:lvl w:ilvl="2" w:tplc="CABAFD92" w:tentative="1">
      <w:start w:val="1"/>
      <w:numFmt w:val="bullet"/>
      <w:lvlText w:val=""/>
      <w:lvlJc w:val="left"/>
      <w:pPr>
        <w:ind w:left="2520" w:hanging="360"/>
      </w:pPr>
      <w:rPr>
        <w:rFonts w:ascii="Wingdings" w:hAnsi="Wingdings" w:hint="default"/>
      </w:rPr>
    </w:lvl>
    <w:lvl w:ilvl="3" w:tplc="61C8C866" w:tentative="1">
      <w:start w:val="1"/>
      <w:numFmt w:val="bullet"/>
      <w:lvlText w:val=""/>
      <w:lvlJc w:val="left"/>
      <w:pPr>
        <w:ind w:left="3240" w:hanging="360"/>
      </w:pPr>
      <w:rPr>
        <w:rFonts w:ascii="Symbol" w:hAnsi="Symbol" w:hint="default"/>
      </w:rPr>
    </w:lvl>
    <w:lvl w:ilvl="4" w:tplc="63BC8B14" w:tentative="1">
      <w:start w:val="1"/>
      <w:numFmt w:val="bullet"/>
      <w:lvlText w:val="o"/>
      <w:lvlJc w:val="left"/>
      <w:pPr>
        <w:ind w:left="3960" w:hanging="360"/>
      </w:pPr>
      <w:rPr>
        <w:rFonts w:ascii="Courier New" w:hAnsi="Courier New" w:cs="Courier New" w:hint="default"/>
      </w:rPr>
    </w:lvl>
    <w:lvl w:ilvl="5" w:tplc="0148729C" w:tentative="1">
      <w:start w:val="1"/>
      <w:numFmt w:val="bullet"/>
      <w:lvlText w:val=""/>
      <w:lvlJc w:val="left"/>
      <w:pPr>
        <w:ind w:left="4680" w:hanging="360"/>
      </w:pPr>
      <w:rPr>
        <w:rFonts w:ascii="Wingdings" w:hAnsi="Wingdings" w:hint="default"/>
      </w:rPr>
    </w:lvl>
    <w:lvl w:ilvl="6" w:tplc="6714E6A6" w:tentative="1">
      <w:start w:val="1"/>
      <w:numFmt w:val="bullet"/>
      <w:lvlText w:val=""/>
      <w:lvlJc w:val="left"/>
      <w:pPr>
        <w:ind w:left="5400" w:hanging="360"/>
      </w:pPr>
      <w:rPr>
        <w:rFonts w:ascii="Symbol" w:hAnsi="Symbol" w:hint="default"/>
      </w:rPr>
    </w:lvl>
    <w:lvl w:ilvl="7" w:tplc="1AC668D6" w:tentative="1">
      <w:start w:val="1"/>
      <w:numFmt w:val="bullet"/>
      <w:lvlText w:val="o"/>
      <w:lvlJc w:val="left"/>
      <w:pPr>
        <w:ind w:left="6120" w:hanging="360"/>
      </w:pPr>
      <w:rPr>
        <w:rFonts w:ascii="Courier New" w:hAnsi="Courier New" w:cs="Courier New" w:hint="default"/>
      </w:rPr>
    </w:lvl>
    <w:lvl w:ilvl="8" w:tplc="637847DA" w:tentative="1">
      <w:start w:val="1"/>
      <w:numFmt w:val="bullet"/>
      <w:lvlText w:val=""/>
      <w:lvlJc w:val="left"/>
      <w:pPr>
        <w:ind w:left="6840" w:hanging="360"/>
      </w:pPr>
      <w:rPr>
        <w:rFonts w:ascii="Wingdings" w:hAnsi="Wingdings" w:hint="default"/>
      </w:rPr>
    </w:lvl>
  </w:abstractNum>
  <w:num w:numId="1" w16cid:durableId="1005744867">
    <w:abstractNumId w:val="16"/>
  </w:num>
  <w:num w:numId="2" w16cid:durableId="2126729408">
    <w:abstractNumId w:val="16"/>
  </w:num>
  <w:num w:numId="3" w16cid:durableId="1932200708">
    <w:abstractNumId w:val="16"/>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6"/>
  </w:num>
  <w:num w:numId="15" w16cid:durableId="1382091185">
    <w:abstractNumId w:val="16"/>
  </w:num>
  <w:num w:numId="16" w16cid:durableId="1993637402">
    <w:abstractNumId w:val="16"/>
  </w:num>
  <w:num w:numId="17" w16cid:durableId="1263806435">
    <w:abstractNumId w:val="14"/>
  </w:num>
  <w:num w:numId="18" w16cid:durableId="43604593">
    <w:abstractNumId w:val="11"/>
  </w:num>
  <w:num w:numId="19" w16cid:durableId="705252653">
    <w:abstractNumId w:val="10"/>
  </w:num>
  <w:num w:numId="20" w16cid:durableId="544609672">
    <w:abstractNumId w:val="13"/>
  </w:num>
  <w:num w:numId="21" w16cid:durableId="1534030474">
    <w:abstractNumId w:val="17"/>
  </w:num>
  <w:num w:numId="22" w16cid:durableId="507986042">
    <w:abstractNumId w:val="15"/>
  </w:num>
  <w:num w:numId="23" w16cid:durableId="723874692">
    <w:abstractNumId w:val="18"/>
  </w:num>
  <w:num w:numId="24" w16cid:durableId="5834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U JUGE"/>
    <w:docVar w:name="NomFamJuge1" w:val="SCHRAGER"/>
    <w:docVar w:name="NomFamJuge2" w:val="HAMILTON"/>
    <w:docVar w:name="NomFamJuge3" w:val="BEAUPRÉ"/>
    <w:docVar w:name="NomFamJuge4" w:val="MAILHOT"/>
    <w:docVar w:name="NomFamJuge5" w:val="BAUDOUIN"/>
    <w:docVar w:name="QteJuge1" w:val=", J.C.A."/>
    <w:docVar w:name="QteJuge2" w:val=", J.C.A."/>
    <w:docVar w:name="QteJuge3" w:val=", J.C.A."/>
    <w:docVar w:name="stPremiereFois" w:val="Non"/>
  </w:docVars>
  <w:rsids>
    <w:rsidRoot w:val="00912BB4"/>
    <w:rsid w:val="00001786"/>
    <w:rsid w:val="0000723F"/>
    <w:rsid w:val="00010B14"/>
    <w:rsid w:val="000131E1"/>
    <w:rsid w:val="0001484D"/>
    <w:rsid w:val="00020FC8"/>
    <w:rsid w:val="0004394C"/>
    <w:rsid w:val="0004775F"/>
    <w:rsid w:val="00053691"/>
    <w:rsid w:val="00061B18"/>
    <w:rsid w:val="00067E7C"/>
    <w:rsid w:val="00072C0E"/>
    <w:rsid w:val="00080768"/>
    <w:rsid w:val="00092E2F"/>
    <w:rsid w:val="000941AD"/>
    <w:rsid w:val="000A0B25"/>
    <w:rsid w:val="000A7516"/>
    <w:rsid w:val="000B42AF"/>
    <w:rsid w:val="00110B53"/>
    <w:rsid w:val="00112321"/>
    <w:rsid w:val="00117914"/>
    <w:rsid w:val="001210B3"/>
    <w:rsid w:val="001274E3"/>
    <w:rsid w:val="0013028C"/>
    <w:rsid w:val="001309F1"/>
    <w:rsid w:val="00140710"/>
    <w:rsid w:val="001436F6"/>
    <w:rsid w:val="00155146"/>
    <w:rsid w:val="0015610F"/>
    <w:rsid w:val="00160782"/>
    <w:rsid w:val="00160B31"/>
    <w:rsid w:val="00177FCA"/>
    <w:rsid w:val="00181F56"/>
    <w:rsid w:val="00190FA7"/>
    <w:rsid w:val="001932B4"/>
    <w:rsid w:val="001964B0"/>
    <w:rsid w:val="001972F2"/>
    <w:rsid w:val="001A0B7C"/>
    <w:rsid w:val="001A5500"/>
    <w:rsid w:val="001A6556"/>
    <w:rsid w:val="001B0633"/>
    <w:rsid w:val="001B29AD"/>
    <w:rsid w:val="001B3D8E"/>
    <w:rsid w:val="001B5574"/>
    <w:rsid w:val="001B64FD"/>
    <w:rsid w:val="00205DC4"/>
    <w:rsid w:val="00207DFF"/>
    <w:rsid w:val="0021307B"/>
    <w:rsid w:val="00213768"/>
    <w:rsid w:val="00214347"/>
    <w:rsid w:val="0021548E"/>
    <w:rsid w:val="002273F5"/>
    <w:rsid w:val="0024749C"/>
    <w:rsid w:val="00260598"/>
    <w:rsid w:val="00265CA3"/>
    <w:rsid w:val="00270F9A"/>
    <w:rsid w:val="00274132"/>
    <w:rsid w:val="00275AAF"/>
    <w:rsid w:val="00277D2E"/>
    <w:rsid w:val="002818E0"/>
    <w:rsid w:val="002854FC"/>
    <w:rsid w:val="002917DE"/>
    <w:rsid w:val="00293573"/>
    <w:rsid w:val="00294345"/>
    <w:rsid w:val="0029597E"/>
    <w:rsid w:val="00295AEB"/>
    <w:rsid w:val="002A5191"/>
    <w:rsid w:val="002B0847"/>
    <w:rsid w:val="002B4A07"/>
    <w:rsid w:val="002C2BF3"/>
    <w:rsid w:val="002C4107"/>
    <w:rsid w:val="002C440A"/>
    <w:rsid w:val="002C7BC4"/>
    <w:rsid w:val="002E1073"/>
    <w:rsid w:val="002E1F0E"/>
    <w:rsid w:val="002E229C"/>
    <w:rsid w:val="002E3E18"/>
    <w:rsid w:val="002E51F1"/>
    <w:rsid w:val="002F1350"/>
    <w:rsid w:val="002F36B2"/>
    <w:rsid w:val="002F6136"/>
    <w:rsid w:val="003107D9"/>
    <w:rsid w:val="00322DE0"/>
    <w:rsid w:val="0032363D"/>
    <w:rsid w:val="00324494"/>
    <w:rsid w:val="0032590B"/>
    <w:rsid w:val="00325ABF"/>
    <w:rsid w:val="0033190E"/>
    <w:rsid w:val="003373A5"/>
    <w:rsid w:val="00342E4F"/>
    <w:rsid w:val="0035302B"/>
    <w:rsid w:val="00361325"/>
    <w:rsid w:val="00361E50"/>
    <w:rsid w:val="00374888"/>
    <w:rsid w:val="00374E40"/>
    <w:rsid w:val="00377F7E"/>
    <w:rsid w:val="00386BFD"/>
    <w:rsid w:val="00392C6F"/>
    <w:rsid w:val="00392E75"/>
    <w:rsid w:val="00393DD3"/>
    <w:rsid w:val="003A33A5"/>
    <w:rsid w:val="003A5193"/>
    <w:rsid w:val="003B38A0"/>
    <w:rsid w:val="003B679D"/>
    <w:rsid w:val="003B72AB"/>
    <w:rsid w:val="003C0CC9"/>
    <w:rsid w:val="003C52C1"/>
    <w:rsid w:val="003D487D"/>
    <w:rsid w:val="003E083D"/>
    <w:rsid w:val="003E3239"/>
    <w:rsid w:val="003E3E3C"/>
    <w:rsid w:val="00402383"/>
    <w:rsid w:val="00405543"/>
    <w:rsid w:val="004077B4"/>
    <w:rsid w:val="00411037"/>
    <w:rsid w:val="00423DF1"/>
    <w:rsid w:val="00430C58"/>
    <w:rsid w:val="004331C4"/>
    <w:rsid w:val="0043564D"/>
    <w:rsid w:val="00441C25"/>
    <w:rsid w:val="00446452"/>
    <w:rsid w:val="004617E2"/>
    <w:rsid w:val="00465D96"/>
    <w:rsid w:val="00472DC8"/>
    <w:rsid w:val="004802EC"/>
    <w:rsid w:val="0048500E"/>
    <w:rsid w:val="004935AE"/>
    <w:rsid w:val="004A0B78"/>
    <w:rsid w:val="004A29F1"/>
    <w:rsid w:val="004A6641"/>
    <w:rsid w:val="004B1E94"/>
    <w:rsid w:val="004B33FF"/>
    <w:rsid w:val="004D1123"/>
    <w:rsid w:val="004D2F69"/>
    <w:rsid w:val="004D6E56"/>
    <w:rsid w:val="004E4FBA"/>
    <w:rsid w:val="004F5278"/>
    <w:rsid w:val="004F5AF6"/>
    <w:rsid w:val="004F5B0D"/>
    <w:rsid w:val="005020B1"/>
    <w:rsid w:val="00505255"/>
    <w:rsid w:val="00505DCF"/>
    <w:rsid w:val="005131F1"/>
    <w:rsid w:val="0051484F"/>
    <w:rsid w:val="00516B3E"/>
    <w:rsid w:val="00517EBB"/>
    <w:rsid w:val="00524C5C"/>
    <w:rsid w:val="005262C9"/>
    <w:rsid w:val="0053057C"/>
    <w:rsid w:val="00531D70"/>
    <w:rsid w:val="00564BFB"/>
    <w:rsid w:val="00564E2C"/>
    <w:rsid w:val="00565EC9"/>
    <w:rsid w:val="00566BF6"/>
    <w:rsid w:val="00570D18"/>
    <w:rsid w:val="00583434"/>
    <w:rsid w:val="0058349F"/>
    <w:rsid w:val="005851DB"/>
    <w:rsid w:val="00593ED9"/>
    <w:rsid w:val="00595B2B"/>
    <w:rsid w:val="005A243D"/>
    <w:rsid w:val="005A69B3"/>
    <w:rsid w:val="005A7201"/>
    <w:rsid w:val="005A78BF"/>
    <w:rsid w:val="005B1677"/>
    <w:rsid w:val="005B6B4C"/>
    <w:rsid w:val="005C2A3A"/>
    <w:rsid w:val="005C7516"/>
    <w:rsid w:val="005D1522"/>
    <w:rsid w:val="005D6992"/>
    <w:rsid w:val="005F247F"/>
    <w:rsid w:val="005F5F5F"/>
    <w:rsid w:val="00613874"/>
    <w:rsid w:val="00613E24"/>
    <w:rsid w:val="006159E9"/>
    <w:rsid w:val="00624770"/>
    <w:rsid w:val="0064250B"/>
    <w:rsid w:val="00642A04"/>
    <w:rsid w:val="00663BBD"/>
    <w:rsid w:val="00663C05"/>
    <w:rsid w:val="00674536"/>
    <w:rsid w:val="00676DE5"/>
    <w:rsid w:val="006775BE"/>
    <w:rsid w:val="00681A75"/>
    <w:rsid w:val="006826AA"/>
    <w:rsid w:val="0068356A"/>
    <w:rsid w:val="006A0DB0"/>
    <w:rsid w:val="006A1681"/>
    <w:rsid w:val="006A6629"/>
    <w:rsid w:val="006A726F"/>
    <w:rsid w:val="006B0F84"/>
    <w:rsid w:val="006C62EB"/>
    <w:rsid w:val="006D1B88"/>
    <w:rsid w:val="006E1344"/>
    <w:rsid w:val="006F72B4"/>
    <w:rsid w:val="00702B24"/>
    <w:rsid w:val="0071339B"/>
    <w:rsid w:val="00720313"/>
    <w:rsid w:val="007308E5"/>
    <w:rsid w:val="0073386B"/>
    <w:rsid w:val="00735D43"/>
    <w:rsid w:val="00740A17"/>
    <w:rsid w:val="007462D6"/>
    <w:rsid w:val="00747300"/>
    <w:rsid w:val="0074738B"/>
    <w:rsid w:val="00751DC6"/>
    <w:rsid w:val="00753117"/>
    <w:rsid w:val="00755645"/>
    <w:rsid w:val="00757411"/>
    <w:rsid w:val="0076062E"/>
    <w:rsid w:val="00763EEF"/>
    <w:rsid w:val="00777B0D"/>
    <w:rsid w:val="00780649"/>
    <w:rsid w:val="00784D58"/>
    <w:rsid w:val="00787255"/>
    <w:rsid w:val="007901CC"/>
    <w:rsid w:val="007953F3"/>
    <w:rsid w:val="007A0748"/>
    <w:rsid w:val="007A19F5"/>
    <w:rsid w:val="007A3C0D"/>
    <w:rsid w:val="007A6D47"/>
    <w:rsid w:val="007A7803"/>
    <w:rsid w:val="007B061E"/>
    <w:rsid w:val="007B48D5"/>
    <w:rsid w:val="007B4E36"/>
    <w:rsid w:val="007C59AB"/>
    <w:rsid w:val="007D087C"/>
    <w:rsid w:val="007D3EC0"/>
    <w:rsid w:val="007D4EC1"/>
    <w:rsid w:val="007D50F0"/>
    <w:rsid w:val="007E33E4"/>
    <w:rsid w:val="007E4CC9"/>
    <w:rsid w:val="007F40FD"/>
    <w:rsid w:val="007F4756"/>
    <w:rsid w:val="00800D23"/>
    <w:rsid w:val="008025B1"/>
    <w:rsid w:val="00803CF9"/>
    <w:rsid w:val="00803EDE"/>
    <w:rsid w:val="00816273"/>
    <w:rsid w:val="0082717B"/>
    <w:rsid w:val="00827B04"/>
    <w:rsid w:val="0083032E"/>
    <w:rsid w:val="00836D46"/>
    <w:rsid w:val="008375C2"/>
    <w:rsid w:val="00837A8E"/>
    <w:rsid w:val="00841907"/>
    <w:rsid w:val="00853C59"/>
    <w:rsid w:val="0086036A"/>
    <w:rsid w:val="00860EB0"/>
    <w:rsid w:val="008653A3"/>
    <w:rsid w:val="008657A2"/>
    <w:rsid w:val="00866645"/>
    <w:rsid w:val="00867330"/>
    <w:rsid w:val="00880F55"/>
    <w:rsid w:val="00882210"/>
    <w:rsid w:val="008825D3"/>
    <w:rsid w:val="00886E37"/>
    <w:rsid w:val="008950C5"/>
    <w:rsid w:val="008A2DF3"/>
    <w:rsid w:val="008A6185"/>
    <w:rsid w:val="008C14A0"/>
    <w:rsid w:val="008C1B48"/>
    <w:rsid w:val="008C1FE9"/>
    <w:rsid w:val="008C7DCE"/>
    <w:rsid w:val="008D0C4A"/>
    <w:rsid w:val="008D18FC"/>
    <w:rsid w:val="008D398B"/>
    <w:rsid w:val="008D7E49"/>
    <w:rsid w:val="008E5E9D"/>
    <w:rsid w:val="008F24EB"/>
    <w:rsid w:val="008F364A"/>
    <w:rsid w:val="008F3F53"/>
    <w:rsid w:val="00900FE4"/>
    <w:rsid w:val="009043AB"/>
    <w:rsid w:val="00912BB4"/>
    <w:rsid w:val="00913E03"/>
    <w:rsid w:val="00915E45"/>
    <w:rsid w:val="009229E9"/>
    <w:rsid w:val="00926953"/>
    <w:rsid w:val="00932703"/>
    <w:rsid w:val="00936469"/>
    <w:rsid w:val="009400B7"/>
    <w:rsid w:val="00944F3C"/>
    <w:rsid w:val="0095405D"/>
    <w:rsid w:val="00954DC2"/>
    <w:rsid w:val="0095586C"/>
    <w:rsid w:val="009568BF"/>
    <w:rsid w:val="00957B92"/>
    <w:rsid w:val="00970966"/>
    <w:rsid w:val="00974442"/>
    <w:rsid w:val="00976791"/>
    <w:rsid w:val="00977554"/>
    <w:rsid w:val="0099777F"/>
    <w:rsid w:val="009B38BF"/>
    <w:rsid w:val="009E063B"/>
    <w:rsid w:val="009E2E78"/>
    <w:rsid w:val="009F090A"/>
    <w:rsid w:val="009F16EC"/>
    <w:rsid w:val="009F1F69"/>
    <w:rsid w:val="009F3CA2"/>
    <w:rsid w:val="009F4687"/>
    <w:rsid w:val="00A00A6C"/>
    <w:rsid w:val="00A1568C"/>
    <w:rsid w:val="00A23BF4"/>
    <w:rsid w:val="00A2593B"/>
    <w:rsid w:val="00A26347"/>
    <w:rsid w:val="00A26F00"/>
    <w:rsid w:val="00A34E05"/>
    <w:rsid w:val="00A35B76"/>
    <w:rsid w:val="00A43497"/>
    <w:rsid w:val="00A43D8B"/>
    <w:rsid w:val="00A454F1"/>
    <w:rsid w:val="00A543CC"/>
    <w:rsid w:val="00A62805"/>
    <w:rsid w:val="00A63508"/>
    <w:rsid w:val="00A64E15"/>
    <w:rsid w:val="00A6783D"/>
    <w:rsid w:val="00A717F5"/>
    <w:rsid w:val="00A81FEA"/>
    <w:rsid w:val="00A831B1"/>
    <w:rsid w:val="00A93CFF"/>
    <w:rsid w:val="00AA170F"/>
    <w:rsid w:val="00AB7DD2"/>
    <w:rsid w:val="00AC310C"/>
    <w:rsid w:val="00AE1B6D"/>
    <w:rsid w:val="00AF0C7C"/>
    <w:rsid w:val="00AF4CFE"/>
    <w:rsid w:val="00AF6BF4"/>
    <w:rsid w:val="00B01D86"/>
    <w:rsid w:val="00B04144"/>
    <w:rsid w:val="00B07E4E"/>
    <w:rsid w:val="00B11FD1"/>
    <w:rsid w:val="00B137E9"/>
    <w:rsid w:val="00B25AAC"/>
    <w:rsid w:val="00B265DC"/>
    <w:rsid w:val="00B271C7"/>
    <w:rsid w:val="00B2734B"/>
    <w:rsid w:val="00B27E55"/>
    <w:rsid w:val="00B30EA2"/>
    <w:rsid w:val="00B352FB"/>
    <w:rsid w:val="00B36ED3"/>
    <w:rsid w:val="00B513C9"/>
    <w:rsid w:val="00B56EF4"/>
    <w:rsid w:val="00B6123F"/>
    <w:rsid w:val="00B61901"/>
    <w:rsid w:val="00B70485"/>
    <w:rsid w:val="00B737AA"/>
    <w:rsid w:val="00B77130"/>
    <w:rsid w:val="00B82A13"/>
    <w:rsid w:val="00B85E80"/>
    <w:rsid w:val="00BA118A"/>
    <w:rsid w:val="00BA1585"/>
    <w:rsid w:val="00BA7C9A"/>
    <w:rsid w:val="00BB431E"/>
    <w:rsid w:val="00BC6488"/>
    <w:rsid w:val="00BD03C3"/>
    <w:rsid w:val="00BE6FD2"/>
    <w:rsid w:val="00BF35B6"/>
    <w:rsid w:val="00C02AF8"/>
    <w:rsid w:val="00C02C56"/>
    <w:rsid w:val="00C0365C"/>
    <w:rsid w:val="00C04EB1"/>
    <w:rsid w:val="00C1143A"/>
    <w:rsid w:val="00C14CBB"/>
    <w:rsid w:val="00C17E01"/>
    <w:rsid w:val="00C31AC4"/>
    <w:rsid w:val="00C37C89"/>
    <w:rsid w:val="00C409BE"/>
    <w:rsid w:val="00C423CA"/>
    <w:rsid w:val="00C5333F"/>
    <w:rsid w:val="00C533A5"/>
    <w:rsid w:val="00C54ED5"/>
    <w:rsid w:val="00C60A2E"/>
    <w:rsid w:val="00C652ED"/>
    <w:rsid w:val="00C6742B"/>
    <w:rsid w:val="00C762FF"/>
    <w:rsid w:val="00C76990"/>
    <w:rsid w:val="00C7793C"/>
    <w:rsid w:val="00C77DFB"/>
    <w:rsid w:val="00C824E0"/>
    <w:rsid w:val="00C939A8"/>
    <w:rsid w:val="00C94135"/>
    <w:rsid w:val="00C97145"/>
    <w:rsid w:val="00CA7A57"/>
    <w:rsid w:val="00CB4976"/>
    <w:rsid w:val="00CB791F"/>
    <w:rsid w:val="00CC4CA9"/>
    <w:rsid w:val="00CD63A1"/>
    <w:rsid w:val="00CF0E0E"/>
    <w:rsid w:val="00D010FD"/>
    <w:rsid w:val="00D016E2"/>
    <w:rsid w:val="00D02812"/>
    <w:rsid w:val="00D16016"/>
    <w:rsid w:val="00D20056"/>
    <w:rsid w:val="00D2106D"/>
    <w:rsid w:val="00D31933"/>
    <w:rsid w:val="00D411CA"/>
    <w:rsid w:val="00D4253B"/>
    <w:rsid w:val="00D4330F"/>
    <w:rsid w:val="00D43697"/>
    <w:rsid w:val="00D448C3"/>
    <w:rsid w:val="00D605E2"/>
    <w:rsid w:val="00D60695"/>
    <w:rsid w:val="00D64254"/>
    <w:rsid w:val="00D648A5"/>
    <w:rsid w:val="00D64FCD"/>
    <w:rsid w:val="00D730F5"/>
    <w:rsid w:val="00D775C6"/>
    <w:rsid w:val="00D77621"/>
    <w:rsid w:val="00D8370A"/>
    <w:rsid w:val="00DA3A51"/>
    <w:rsid w:val="00DA4C63"/>
    <w:rsid w:val="00DB2119"/>
    <w:rsid w:val="00DB4A16"/>
    <w:rsid w:val="00DC05BC"/>
    <w:rsid w:val="00DC4B28"/>
    <w:rsid w:val="00DD0A5B"/>
    <w:rsid w:val="00DD3A24"/>
    <w:rsid w:val="00DE0610"/>
    <w:rsid w:val="00DE4428"/>
    <w:rsid w:val="00DF3516"/>
    <w:rsid w:val="00E03C07"/>
    <w:rsid w:val="00E164E0"/>
    <w:rsid w:val="00E1768F"/>
    <w:rsid w:val="00E202A0"/>
    <w:rsid w:val="00E20E3C"/>
    <w:rsid w:val="00E31802"/>
    <w:rsid w:val="00E36290"/>
    <w:rsid w:val="00E37B03"/>
    <w:rsid w:val="00E42447"/>
    <w:rsid w:val="00E42557"/>
    <w:rsid w:val="00E44252"/>
    <w:rsid w:val="00E573E9"/>
    <w:rsid w:val="00E61E05"/>
    <w:rsid w:val="00E664A9"/>
    <w:rsid w:val="00E81E61"/>
    <w:rsid w:val="00E848B4"/>
    <w:rsid w:val="00E87E6F"/>
    <w:rsid w:val="00E91417"/>
    <w:rsid w:val="00E92E90"/>
    <w:rsid w:val="00E94329"/>
    <w:rsid w:val="00E96917"/>
    <w:rsid w:val="00EA1627"/>
    <w:rsid w:val="00EA58C4"/>
    <w:rsid w:val="00EA5F7B"/>
    <w:rsid w:val="00EA72B3"/>
    <w:rsid w:val="00EB1377"/>
    <w:rsid w:val="00EB37EB"/>
    <w:rsid w:val="00EB4D95"/>
    <w:rsid w:val="00EB5D08"/>
    <w:rsid w:val="00EC1E33"/>
    <w:rsid w:val="00EC64E1"/>
    <w:rsid w:val="00EE700B"/>
    <w:rsid w:val="00EF57F9"/>
    <w:rsid w:val="00F04625"/>
    <w:rsid w:val="00F07022"/>
    <w:rsid w:val="00F074CC"/>
    <w:rsid w:val="00F07805"/>
    <w:rsid w:val="00F1119E"/>
    <w:rsid w:val="00F112FB"/>
    <w:rsid w:val="00F1486F"/>
    <w:rsid w:val="00F217B1"/>
    <w:rsid w:val="00F231BA"/>
    <w:rsid w:val="00F23363"/>
    <w:rsid w:val="00F261F8"/>
    <w:rsid w:val="00F26635"/>
    <w:rsid w:val="00F26D9A"/>
    <w:rsid w:val="00F33E30"/>
    <w:rsid w:val="00F35A34"/>
    <w:rsid w:val="00F35B50"/>
    <w:rsid w:val="00F40882"/>
    <w:rsid w:val="00F43559"/>
    <w:rsid w:val="00F43D0E"/>
    <w:rsid w:val="00F46370"/>
    <w:rsid w:val="00F54E8E"/>
    <w:rsid w:val="00F550E3"/>
    <w:rsid w:val="00F5789B"/>
    <w:rsid w:val="00F70360"/>
    <w:rsid w:val="00F7169A"/>
    <w:rsid w:val="00F724EB"/>
    <w:rsid w:val="00F75AAB"/>
    <w:rsid w:val="00F75C76"/>
    <w:rsid w:val="00F902AD"/>
    <w:rsid w:val="00F92FA1"/>
    <w:rsid w:val="00FC720B"/>
    <w:rsid w:val="00FD348D"/>
    <w:rsid w:val="00FE3FE9"/>
    <w:rsid w:val="00FE6A10"/>
    <w:rsid w:val="00FF62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039D9"/>
  <w15:chartTrackingRefBased/>
  <w15:docId w15:val="{69F6873E-5DD6-4364-9E68-920CEE6A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rsid w:val="00342E4F"/>
    <w:pPr>
      <w:keepNext/>
      <w:numPr>
        <w:numId w:val="20"/>
      </w:numPr>
      <w:spacing w:before="240" w:after="60" w:line="500" w:lineRule="exact"/>
      <w:ind w:hanging="720"/>
      <w:outlineLvl w:val="0"/>
    </w:pPr>
    <w:rPr>
      <w:rFonts w:eastAsia="Arial" w:cs="Arial"/>
      <w:b/>
      <w:bCs/>
      <w:kern w:val="28"/>
      <w:sz w:val="28"/>
      <w:szCs w:val="28"/>
    </w:rPr>
  </w:style>
  <w:style w:type="paragraph" w:styleId="Titre2">
    <w:name w:val="heading 2"/>
    <w:basedOn w:val="Normal"/>
    <w:next w:val="Normal"/>
    <w:qFormat/>
    <w:rsid w:val="00342E4F"/>
    <w:pPr>
      <w:keepNext/>
      <w:numPr>
        <w:numId w:val="21"/>
      </w:numPr>
      <w:spacing w:before="240" w:after="60"/>
      <w:outlineLvl w:val="1"/>
    </w:pPr>
    <w:rPr>
      <w:b/>
      <w:iCs/>
    </w:rPr>
  </w:style>
  <w:style w:type="paragraph" w:styleId="Titre3">
    <w:name w:val="heading 3"/>
    <w:basedOn w:val="Normal"/>
    <w:next w:val="Normal"/>
    <w:qFormat/>
    <w:rsid w:val="00342E4F"/>
    <w:pPr>
      <w:keepNext/>
      <w:numPr>
        <w:numId w:val="22"/>
      </w:numPr>
      <w:spacing w:before="240" w:after="60"/>
      <w:outlineLvl w:val="2"/>
    </w:pPr>
    <w:rPr>
      <w:i/>
      <w:iCs/>
    </w:r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tabs>
        <w:tab w:val="clear" w:pos="720"/>
        <w:tab w:val="num" w:pos="360"/>
      </w:tabs>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Footnote Text Char2,Footnote Text Char1 Char,Footnote Text Char Char Char, Char1 Char1 Char Char, Char1 Char2 Char,Footnote Text Char Char1, Char1 Char1 Char1, Char1 Char3,fn,Char1 Char1 Char Char,Char1 Char2 Char,Char1 Char1 Char1"/>
    <w:basedOn w:val="Normal"/>
    <w:link w:val="NotedebasdepageCar"/>
    <w:uiPriority w:val="99"/>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Hyperlien">
    <w:name w:val="Hyperlink"/>
    <w:uiPriority w:val="99"/>
    <w:rsid w:val="003B679D"/>
    <w:rPr>
      <w:noProof w:val="0"/>
      <w:color w:val="0000FF"/>
      <w:u w:val="single"/>
      <w:lang w:val="fr-CA"/>
    </w:rPr>
  </w:style>
  <w:style w:type="paragraph" w:customStyle="1" w:styleId="1Paragraphe">
    <w:name w:val="(1) Paragraphe"/>
    <w:basedOn w:val="Normal"/>
    <w:qFormat/>
    <w:rsid w:val="003B679D"/>
    <w:pPr>
      <w:tabs>
        <w:tab w:val="num" w:pos="720"/>
      </w:tabs>
      <w:spacing w:before="120" w:after="120" w:line="360" w:lineRule="auto"/>
      <w:jc w:val="both"/>
    </w:pPr>
    <w:rPr>
      <w:rFonts w:eastAsia="SimSun"/>
      <w:kern w:val="28"/>
    </w:rPr>
  </w:style>
  <w:style w:type="character" w:customStyle="1" w:styleId="NotedebasdepageCar">
    <w:name w:val="Note de bas de page Car"/>
    <w:aliases w:val="Footnote Text Char2 Car,Footnote Text Char1 Char Car,Footnote Text Char Char Char Car, Char1 Char1 Char Char Car, Char1 Char2 Char Car,Footnote Text Char Char1 Car, Char1 Char1 Char1 Car, Char1 Char3 Car,fn Car"/>
    <w:basedOn w:val="Policepardfaut"/>
    <w:link w:val="Notedebasdepage"/>
    <w:uiPriority w:val="99"/>
    <w:rsid w:val="003B679D"/>
    <w:rPr>
      <w:rFonts w:ascii="Arial" w:hAnsi="Arial"/>
      <w:lang w:eastAsia="fr-FR"/>
    </w:rPr>
  </w:style>
  <w:style w:type="character" w:customStyle="1" w:styleId="ParagrapheCar">
    <w:name w:val="Paragraphe Car"/>
    <w:link w:val="Paragraphe"/>
    <w:qFormat/>
    <w:rsid w:val="003C0CC9"/>
    <w:rPr>
      <w:rFonts w:ascii="Arial" w:hAnsi="Arial"/>
      <w:kern w:val="28"/>
      <w:sz w:val="24"/>
      <w:lang w:eastAsia="fr-FR"/>
    </w:rPr>
  </w:style>
  <w:style w:type="character" w:styleId="Marquedecommentaire">
    <w:name w:val="annotation reference"/>
    <w:basedOn w:val="Policepardfaut"/>
    <w:uiPriority w:val="99"/>
    <w:semiHidden/>
    <w:unhideWhenUsed/>
    <w:rsid w:val="002E3E18"/>
    <w:rPr>
      <w:sz w:val="16"/>
      <w:szCs w:val="16"/>
    </w:rPr>
  </w:style>
  <w:style w:type="paragraph" w:styleId="Commentaire">
    <w:name w:val="annotation text"/>
    <w:basedOn w:val="Normal"/>
    <w:link w:val="CommentaireCar"/>
    <w:uiPriority w:val="99"/>
    <w:unhideWhenUsed/>
    <w:rsid w:val="002E3E18"/>
    <w:pPr>
      <w:spacing w:line="240" w:lineRule="auto"/>
    </w:pPr>
    <w:rPr>
      <w:sz w:val="20"/>
    </w:rPr>
  </w:style>
  <w:style w:type="character" w:customStyle="1" w:styleId="CommentaireCar">
    <w:name w:val="Commentaire Car"/>
    <w:basedOn w:val="Policepardfaut"/>
    <w:link w:val="Commentaire"/>
    <w:uiPriority w:val="99"/>
    <w:rsid w:val="002E3E18"/>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2E3E18"/>
    <w:rPr>
      <w:b/>
      <w:bCs/>
    </w:rPr>
  </w:style>
  <w:style w:type="character" w:customStyle="1" w:styleId="ObjetducommentaireCar">
    <w:name w:val="Objet du commentaire Car"/>
    <w:basedOn w:val="CommentaireCar"/>
    <w:link w:val="Objetducommentaire"/>
    <w:uiPriority w:val="99"/>
    <w:semiHidden/>
    <w:rsid w:val="002E3E18"/>
    <w:rPr>
      <w:rFonts w:ascii="Arial" w:hAnsi="Arial"/>
      <w:b/>
      <w:bCs/>
      <w:lang w:eastAsia="fr-FR"/>
    </w:rPr>
  </w:style>
  <w:style w:type="character" w:styleId="Mentionnonrsolue">
    <w:name w:val="Unresolved Mention"/>
    <w:basedOn w:val="Policepardfaut"/>
    <w:uiPriority w:val="99"/>
    <w:semiHidden/>
    <w:unhideWhenUsed/>
    <w:rsid w:val="002E3E18"/>
    <w:rPr>
      <w:color w:val="605E5C"/>
      <w:shd w:val="clear" w:color="auto" w:fill="E1DFDD"/>
    </w:rPr>
  </w:style>
  <w:style w:type="character" w:styleId="Lienvisit">
    <w:name w:val="FollowedHyperlink"/>
    <w:basedOn w:val="Policepardfaut"/>
    <w:uiPriority w:val="99"/>
    <w:semiHidden/>
    <w:unhideWhenUsed/>
    <w:rsid w:val="00593ED9"/>
    <w:rPr>
      <w:color w:val="954F72" w:themeColor="followedHyperlink"/>
      <w:u w:val="single"/>
    </w:rPr>
  </w:style>
  <w:style w:type="paragraph" w:styleId="Rvision">
    <w:name w:val="Revision"/>
    <w:hidden/>
    <w:uiPriority w:val="99"/>
    <w:semiHidden/>
    <w:rsid w:val="001309F1"/>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canlii.org/fr/qc/legis/lois/rlrq-c-c-25.01/derniere/rlrq-c-c-25.01.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canlii.org/fr/qc/legis/lois/rlrq-c-c-25.01/derniere/rlrq-c-c-25.01.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nlii.org/fr/qc/legis/lois/rlrq-c-ccq-1991/derniere/rlrq-c-ccq-1991.htm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canlii.org/fr/qc/legis/lois/rlrq-c-ccq-1991/derniere/rlrq-c-ccq-1991.html" TargetMode="External"/><Relationship Id="rId20" Type="http://schemas.openxmlformats.org/officeDocument/2006/relationships/hyperlink" Target="https://www.canlii.org/fr/qc/legis/lois/rlrq-c-ccq-1991/derniere/rlrq-c-ccq-199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anlii.org/fr/qc/legis/lois/rlrq-c-ccq-1991/derniere/rlrq-c-ccq-1991.html" TargetMode="Externa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s://www.canlii.org/fr/qc/legis/lois/rlrq-c-ccq-1991/derniere/rlrq-c-ccq-1991.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canlii.org/fr/qc/legis/lois/rlrq-c-c-25.01/derniere/rlrq-c-c-25.01.html"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C98C-D672-4A67-B28C-73B4AEE3EA5E}">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7744</Words>
  <Characters>42596</Characters>
  <Application>Microsoft Office Word</Application>
  <DocSecurity>0</DocSecurity>
  <Lines>354</Lines>
  <Paragraphs>100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Gauthier, François</cp:lastModifiedBy>
  <cp:revision>3</cp:revision>
  <dcterms:created xsi:type="dcterms:W3CDTF">2026-05-12T17:04:00Z</dcterms:created>
  <dcterms:modified xsi:type="dcterms:W3CDTF">2026-05-12T17:23:00Z</dcterms:modified>
</cp:coreProperties>
</file>